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3CF4" w:rsidR="00A845C0" w:rsidP="00E93CF4" w:rsidRDefault="00536DFF" w14:paraId="2437FDD4" w14:textId="2B1082D7">
      <w:pPr>
        <w:pStyle w:val="Heading1-IPR"/>
      </w:pPr>
      <w:bookmarkStart w:name="_Toc499028278" w:id="0"/>
      <w:r w:rsidRPr="00E93CF4">
        <w:t xml:space="preserve">Appendix B. </w:t>
      </w:r>
      <w:r w:rsidRPr="00E93CF4" w:rsidR="00A845C0">
        <w:t>Research Objectives and Questions by Data Source</w:t>
      </w:r>
    </w:p>
    <w:p w:rsidRPr="00982F53" w:rsidR="00692A05" w:rsidP="00692A05" w:rsidRDefault="00692A05" w14:paraId="1B57C2A9" w14:textId="0AA4397F">
      <w:pPr>
        <w:pStyle w:val="TableTitle-IPR"/>
      </w:pPr>
      <w:bookmarkStart w:name="_Toc73025367" w:id="1"/>
      <w:bookmarkStart w:name="_Toc76452282" w:id="2"/>
      <w:bookmarkStart w:name="_Toc24038613" w:id="3"/>
      <w:bookmarkStart w:name="_Hlk49760102" w:id="4"/>
      <w:r w:rsidRPr="00982F53">
        <w:t xml:space="preserve">Table </w:t>
      </w:r>
      <w:r>
        <w:t>1.</w:t>
      </w:r>
      <w:r w:rsidRPr="00982F53">
        <w:t xml:space="preserve"> Research </w:t>
      </w:r>
      <w:r w:rsidRPr="00170F61">
        <w:t>Objectives</w:t>
      </w:r>
      <w:r w:rsidRPr="00982F53">
        <w:t xml:space="preserve"> and Questions by Data Sources</w:t>
      </w:r>
      <w:bookmarkEnd w:id="1"/>
      <w:bookmarkEnd w:id="2"/>
    </w:p>
    <w:tbl>
      <w:tblPr>
        <w:tblStyle w:val="InsightTable11"/>
        <w:tblW w:w="5000" w:type="pct"/>
        <w:tblLayout w:type="fixed"/>
        <w:tblLook w:val="04A0" w:firstRow="1" w:lastRow="0" w:firstColumn="1" w:lastColumn="0" w:noHBand="0" w:noVBand="1"/>
      </w:tblPr>
      <w:tblGrid>
        <w:gridCol w:w="6231"/>
        <w:gridCol w:w="2242"/>
        <w:gridCol w:w="2242"/>
        <w:gridCol w:w="2245"/>
      </w:tblGrid>
      <w:tr w:rsidRPr="003876C1" w:rsidR="00692A05" w:rsidTr="009D77A6" w14:paraId="0394F183"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2404" w:type="pct"/>
            <w:vMerge w:val="restart"/>
            <w:tcBorders>
              <w:bottom w:val="dotted" w:color="B12732" w:sz="4" w:space="0"/>
            </w:tcBorders>
          </w:tcPr>
          <w:bookmarkEnd w:id="3"/>
          <w:bookmarkEnd w:id="4"/>
          <w:p w:rsidRPr="003876C1" w:rsidR="00692A05" w:rsidP="009D77A6" w:rsidRDefault="00692A05" w14:paraId="10D397CD" w14:textId="77777777">
            <w:pPr>
              <w:spacing w:after="0"/>
              <w:ind w:left="360"/>
              <w:contextualSpacing/>
              <w:rPr>
                <w:rFonts w:ascii="Calibri" w:hAnsi="Calibri" w:cs="Calibri"/>
                <w:szCs w:val="20"/>
              </w:rPr>
            </w:pPr>
            <w:r w:rsidRPr="003876C1">
              <w:rPr>
                <w:rFonts w:ascii="Lucida Sans" w:hAnsi="Lucida Sans" w:cs="Lucida Sans Unicode"/>
                <w:b/>
                <w:szCs w:val="20"/>
              </w:rPr>
              <w:t>Research Objectives and Questions</w:t>
            </w:r>
          </w:p>
        </w:tc>
        <w:tc>
          <w:tcPr>
            <w:tcW w:w="2596" w:type="pct"/>
            <w:gridSpan w:val="3"/>
            <w:tcBorders>
              <w:bottom w:val="dotted" w:color="B12732" w:sz="4" w:space="0"/>
            </w:tcBorders>
          </w:tcPr>
          <w:p w:rsidRPr="003876C1" w:rsidR="00692A05" w:rsidP="009D77A6" w:rsidRDefault="00692A05" w14:paraId="2073551D" w14:textId="77777777">
            <w:pPr>
              <w:spacing w:after="0"/>
              <w:rPr>
                <w:rFonts w:ascii="Calibri" w:hAnsi="Calibri" w:cs="Arial"/>
                <w:color w:val="B12732"/>
                <w:szCs w:val="20"/>
              </w:rPr>
            </w:pPr>
            <w:r w:rsidRPr="003876C1">
              <w:rPr>
                <w:rFonts w:ascii="Lucida Sans" w:hAnsi="Lucida Sans" w:cs="Lucida Sans Unicode"/>
                <w:b/>
                <w:szCs w:val="20"/>
              </w:rPr>
              <w:t>Data Sources</w:t>
            </w:r>
          </w:p>
        </w:tc>
      </w:tr>
      <w:tr w:rsidRPr="003876C1" w:rsidR="00692A05" w:rsidTr="009D77A6" w14:paraId="5F4B432B" w14:textId="77777777">
        <w:trPr>
          <w:cnfStyle w:val="100000000000" w:firstRow="1" w:lastRow="0" w:firstColumn="0" w:lastColumn="0" w:oddVBand="0" w:evenVBand="0" w:oddHBand="0" w:evenHBand="0" w:firstRowFirstColumn="0" w:firstRowLastColumn="0" w:lastRowFirstColumn="0" w:lastRowLastColumn="0"/>
          <w:cantSplit/>
          <w:trHeight w:val="360"/>
          <w:tblHeader/>
        </w:trPr>
        <w:tc>
          <w:tcPr>
            <w:tcW w:w="2404" w:type="pct"/>
            <w:vMerge/>
            <w:tcBorders>
              <w:top w:val="dotted" w:color="B12732" w:sz="4" w:space="0"/>
            </w:tcBorders>
          </w:tcPr>
          <w:p w:rsidRPr="003876C1" w:rsidR="00692A05" w:rsidP="009D77A6" w:rsidRDefault="00692A05" w14:paraId="0401D602" w14:textId="77777777">
            <w:pPr>
              <w:spacing w:after="0"/>
              <w:ind w:left="360"/>
              <w:contextualSpacing/>
              <w:rPr>
                <w:rFonts w:ascii="Calibri" w:hAnsi="Calibri" w:cs="Calibri"/>
                <w:szCs w:val="20"/>
              </w:rPr>
            </w:pPr>
          </w:p>
        </w:tc>
        <w:tc>
          <w:tcPr>
            <w:tcW w:w="865" w:type="pct"/>
            <w:tcBorders>
              <w:top w:val="dotted" w:color="B12732" w:sz="4" w:space="0"/>
            </w:tcBorders>
          </w:tcPr>
          <w:p w:rsidRPr="003876C1" w:rsidR="00692A05" w:rsidP="009D77A6" w:rsidRDefault="00692A05" w14:paraId="557BACAB" w14:textId="77777777">
            <w:pPr>
              <w:spacing w:after="0"/>
              <w:rPr>
                <w:rFonts w:cs="Arial"/>
                <w:color w:val="B12732"/>
                <w:sz w:val="18"/>
                <w:szCs w:val="18"/>
              </w:rPr>
            </w:pPr>
            <w:r w:rsidRPr="003876C1">
              <w:rPr>
                <w:rFonts w:ascii="Lucida Sans" w:hAnsi="Lucida Sans" w:cs="Arial"/>
                <w:b/>
                <w:sz w:val="18"/>
                <w:szCs w:val="18"/>
              </w:rPr>
              <w:t>Household Survey of Puerto Rico Residents</w:t>
            </w:r>
          </w:p>
        </w:tc>
        <w:tc>
          <w:tcPr>
            <w:tcW w:w="865" w:type="pct"/>
            <w:tcBorders>
              <w:top w:val="dotted" w:color="B12732" w:sz="4" w:space="0"/>
            </w:tcBorders>
          </w:tcPr>
          <w:p w:rsidRPr="003876C1" w:rsidR="00692A05" w:rsidP="009D77A6" w:rsidRDefault="00692A05" w14:paraId="049C00D4" w14:textId="77777777">
            <w:pPr>
              <w:spacing w:after="0"/>
              <w:rPr>
                <w:rFonts w:cs="Arial"/>
                <w:color w:val="B12732"/>
                <w:sz w:val="18"/>
                <w:szCs w:val="18"/>
              </w:rPr>
            </w:pPr>
            <w:r w:rsidRPr="003876C1">
              <w:rPr>
                <w:rFonts w:ascii="Lucida Sans" w:hAnsi="Lucida Sans" w:cs="Arial"/>
                <w:b/>
                <w:sz w:val="18"/>
                <w:szCs w:val="18"/>
              </w:rPr>
              <w:t xml:space="preserve">In-Depth Interviews </w:t>
            </w:r>
            <w:proofErr w:type="gramStart"/>
            <w:r w:rsidRPr="003876C1">
              <w:rPr>
                <w:rFonts w:ascii="Lucida Sans" w:hAnsi="Lucida Sans" w:cs="Arial"/>
                <w:b/>
                <w:sz w:val="18"/>
                <w:szCs w:val="18"/>
              </w:rPr>
              <w:t>With</w:t>
            </w:r>
            <w:proofErr w:type="gramEnd"/>
            <w:r w:rsidRPr="003876C1">
              <w:rPr>
                <w:rFonts w:ascii="Lucida Sans" w:hAnsi="Lucida Sans" w:cs="Arial"/>
                <w:b/>
                <w:sz w:val="18"/>
                <w:szCs w:val="18"/>
              </w:rPr>
              <w:t xml:space="preserve"> NAP Participants and Low-Income Nonparticipants</w:t>
            </w:r>
          </w:p>
        </w:tc>
        <w:tc>
          <w:tcPr>
            <w:tcW w:w="866" w:type="pct"/>
            <w:tcBorders>
              <w:top w:val="dotted" w:color="B12732" w:sz="4" w:space="0"/>
            </w:tcBorders>
          </w:tcPr>
          <w:p w:rsidRPr="003876C1" w:rsidR="00692A05" w:rsidP="009D77A6" w:rsidRDefault="00692A05" w14:paraId="6FD87D49" w14:textId="77777777">
            <w:pPr>
              <w:spacing w:after="0"/>
              <w:rPr>
                <w:rFonts w:ascii="Calibri" w:hAnsi="Calibri" w:cs="Arial"/>
                <w:color w:val="B12732"/>
                <w:sz w:val="18"/>
                <w:szCs w:val="18"/>
              </w:rPr>
            </w:pPr>
            <w:r w:rsidRPr="003876C1">
              <w:rPr>
                <w:rFonts w:ascii="Lucida Sans" w:hAnsi="Lucida Sans" w:cs="Arial"/>
                <w:b/>
                <w:sz w:val="18"/>
                <w:szCs w:val="18"/>
              </w:rPr>
              <w:t>Concept Map of Puerto Rico’s Food System</w:t>
            </w:r>
          </w:p>
        </w:tc>
      </w:tr>
      <w:tr w:rsidRPr="003876C1" w:rsidR="00692A05" w:rsidTr="009D77A6" w14:paraId="2E7DD2C8" w14:textId="77777777">
        <w:trPr>
          <w:cantSplit/>
          <w:trHeight w:val="288"/>
        </w:trPr>
        <w:tc>
          <w:tcPr>
            <w:tcW w:w="5000" w:type="pct"/>
            <w:gridSpan w:val="4"/>
            <w:tcBorders>
              <w:top w:val="single" w:color="DD2230" w:sz="8" w:space="0"/>
            </w:tcBorders>
            <w:shd w:val="clear" w:color="auto" w:fill="F2F2F2" w:themeFill="background1" w:themeFillShade="F2"/>
          </w:tcPr>
          <w:p w:rsidRPr="003876C1" w:rsidR="00692A05" w:rsidP="009D77A6" w:rsidRDefault="00692A05" w14:paraId="655CA6F4" w14:textId="77777777">
            <w:pPr>
              <w:spacing w:after="0"/>
              <w:rPr>
                <w:rFonts w:cs="Arial"/>
                <w:color w:val="B12732"/>
                <w:szCs w:val="20"/>
              </w:rPr>
            </w:pPr>
            <w:bookmarkStart w:name="_Hlk21943829" w:id="5"/>
            <w:r w:rsidRPr="003876C1">
              <w:rPr>
                <w:rFonts w:eastAsiaTheme="minorEastAsia"/>
                <w:b/>
                <w:szCs w:val="20"/>
              </w:rPr>
              <w:t xml:space="preserve">Objective 1. </w:t>
            </w:r>
            <w:r w:rsidRPr="003876C1">
              <w:rPr>
                <w:b/>
                <w:bCs/>
                <w:szCs w:val="20"/>
              </w:rPr>
              <w:t>Produce descriptive statistics on key sociodemographic and economic variables, including household food security, in a representative sample of Puerto Rico households</w:t>
            </w:r>
          </w:p>
        </w:tc>
      </w:tr>
      <w:tr w:rsidRPr="003876C1" w:rsidR="00692A05" w:rsidTr="009D77A6" w14:paraId="1E09CF0A" w14:textId="77777777">
        <w:trPr>
          <w:cantSplit/>
          <w:trHeight w:val="288"/>
        </w:trPr>
        <w:tc>
          <w:tcPr>
            <w:tcW w:w="2404" w:type="pct"/>
          </w:tcPr>
          <w:p w:rsidRPr="003876C1" w:rsidR="00692A05" w:rsidP="00692A05" w:rsidRDefault="00692A05" w14:paraId="2C0C0AF7" w14:textId="77777777">
            <w:pPr>
              <w:pStyle w:val="TableRedNumbers-IPR"/>
              <w:numPr>
                <w:ilvl w:val="0"/>
                <w:numId w:val="45"/>
              </w:numPr>
              <w:ind w:left="288" w:hanging="288"/>
            </w:pPr>
            <w:r w:rsidRPr="003876C1">
              <w:t>What is the prevalence of low and very low food security among households with and without children in Puerto Rico?</w:t>
            </w:r>
          </w:p>
        </w:tc>
        <w:tc>
          <w:tcPr>
            <w:tcW w:w="865" w:type="pct"/>
          </w:tcPr>
          <w:p w:rsidRPr="003876C1" w:rsidR="00692A05" w:rsidP="009D77A6" w:rsidRDefault="00692A05" w14:paraId="650D6412" w14:textId="77777777">
            <w:pPr>
              <w:spacing w:after="0"/>
              <w:jc w:val="center"/>
              <w:rPr>
                <w:rFonts w:cs="Arial"/>
                <w:color w:val="B12732"/>
                <w:szCs w:val="20"/>
              </w:rPr>
            </w:pPr>
            <w:r w:rsidRPr="003876C1">
              <w:rPr>
                <w:rFonts w:cs="Arial"/>
                <w:color w:val="B12732"/>
                <w:szCs w:val="20"/>
              </w:rPr>
              <w:sym w:font="Wingdings" w:char="F06C"/>
            </w:r>
          </w:p>
        </w:tc>
        <w:tc>
          <w:tcPr>
            <w:tcW w:w="865" w:type="pct"/>
          </w:tcPr>
          <w:p w:rsidRPr="003876C1" w:rsidR="00692A05" w:rsidP="009D77A6" w:rsidRDefault="00692A05" w14:paraId="4DC4E52C" w14:textId="77777777">
            <w:pPr>
              <w:spacing w:after="0"/>
              <w:jc w:val="center"/>
              <w:rPr>
                <w:rFonts w:cs="Arial"/>
                <w:color w:val="B12732"/>
                <w:szCs w:val="20"/>
              </w:rPr>
            </w:pPr>
          </w:p>
        </w:tc>
        <w:tc>
          <w:tcPr>
            <w:tcW w:w="866" w:type="pct"/>
          </w:tcPr>
          <w:p w:rsidRPr="003876C1" w:rsidR="00692A05" w:rsidP="009D77A6" w:rsidRDefault="00692A05" w14:paraId="1598B2A3" w14:textId="77777777">
            <w:pPr>
              <w:spacing w:after="0"/>
              <w:jc w:val="center"/>
              <w:rPr>
                <w:rFonts w:cs="Arial"/>
                <w:color w:val="B12732"/>
                <w:szCs w:val="20"/>
              </w:rPr>
            </w:pPr>
          </w:p>
        </w:tc>
      </w:tr>
      <w:tr w:rsidRPr="003876C1" w:rsidR="00692A05" w:rsidTr="009D77A6" w14:paraId="68062954" w14:textId="77777777">
        <w:trPr>
          <w:cantSplit/>
          <w:trHeight w:val="288"/>
        </w:trPr>
        <w:tc>
          <w:tcPr>
            <w:tcW w:w="2404" w:type="pct"/>
          </w:tcPr>
          <w:p w:rsidRPr="003876C1" w:rsidR="00692A05" w:rsidP="00692A05" w:rsidRDefault="00692A05" w14:paraId="79587278" w14:textId="77777777">
            <w:pPr>
              <w:pStyle w:val="TableRedNumbers-IPR"/>
              <w:numPr>
                <w:ilvl w:val="0"/>
                <w:numId w:val="45"/>
              </w:numPr>
              <w:ind w:left="288" w:hanging="288"/>
            </w:pPr>
            <w:r w:rsidRPr="003876C1">
              <w:t>What is the prevalence of low and very low food security among adults in households with and without children in Puerto Rico?</w:t>
            </w:r>
          </w:p>
        </w:tc>
        <w:tc>
          <w:tcPr>
            <w:tcW w:w="865" w:type="pct"/>
          </w:tcPr>
          <w:p w:rsidRPr="003876C1" w:rsidR="00692A05" w:rsidP="009D77A6" w:rsidRDefault="00692A05" w14:paraId="512C5C81" w14:textId="77777777">
            <w:pPr>
              <w:spacing w:after="0"/>
              <w:jc w:val="center"/>
              <w:rPr>
                <w:rFonts w:cs="Arial"/>
                <w:color w:val="B12732"/>
                <w:szCs w:val="20"/>
              </w:rPr>
            </w:pPr>
            <w:r w:rsidRPr="003876C1">
              <w:rPr>
                <w:rFonts w:cs="Arial"/>
                <w:color w:val="B12732"/>
                <w:szCs w:val="20"/>
              </w:rPr>
              <w:sym w:font="Wingdings" w:char="F06C"/>
            </w:r>
          </w:p>
        </w:tc>
        <w:tc>
          <w:tcPr>
            <w:tcW w:w="865" w:type="pct"/>
          </w:tcPr>
          <w:p w:rsidRPr="003876C1" w:rsidR="00692A05" w:rsidP="009D77A6" w:rsidRDefault="00692A05" w14:paraId="2DE5A4E5" w14:textId="77777777">
            <w:pPr>
              <w:spacing w:after="0"/>
              <w:jc w:val="center"/>
              <w:rPr>
                <w:rFonts w:cs="Arial"/>
                <w:color w:val="B12732"/>
                <w:szCs w:val="20"/>
              </w:rPr>
            </w:pPr>
          </w:p>
        </w:tc>
        <w:tc>
          <w:tcPr>
            <w:tcW w:w="866" w:type="pct"/>
          </w:tcPr>
          <w:p w:rsidRPr="003876C1" w:rsidR="00692A05" w:rsidP="009D77A6" w:rsidRDefault="00692A05" w14:paraId="5DF3AB79" w14:textId="77777777">
            <w:pPr>
              <w:spacing w:after="0"/>
              <w:jc w:val="center"/>
              <w:rPr>
                <w:rFonts w:cs="Arial"/>
                <w:color w:val="B12732"/>
                <w:szCs w:val="20"/>
              </w:rPr>
            </w:pPr>
          </w:p>
        </w:tc>
      </w:tr>
      <w:tr w:rsidRPr="003876C1" w:rsidR="00692A05" w:rsidTr="009D77A6" w14:paraId="06D747B8" w14:textId="77777777">
        <w:trPr>
          <w:cantSplit/>
          <w:trHeight w:val="288"/>
        </w:trPr>
        <w:tc>
          <w:tcPr>
            <w:tcW w:w="2404" w:type="pct"/>
          </w:tcPr>
          <w:p w:rsidRPr="003876C1" w:rsidR="00692A05" w:rsidP="00692A05" w:rsidRDefault="00692A05" w14:paraId="4F6C7CB1" w14:textId="77777777">
            <w:pPr>
              <w:pStyle w:val="TableRedNumbers-IPR"/>
              <w:numPr>
                <w:ilvl w:val="0"/>
                <w:numId w:val="45"/>
              </w:numPr>
              <w:ind w:left="288" w:hanging="288"/>
              <w:rPr>
                <w:rFonts w:asciiTheme="minorHAnsi" w:hAnsiTheme="minorHAnsi"/>
              </w:rPr>
            </w:pPr>
            <w:r w:rsidRPr="003876C1">
              <w:rPr>
                <w:rFonts w:asciiTheme="minorHAnsi" w:hAnsiTheme="minorHAnsi"/>
              </w:rPr>
              <w:t xml:space="preserve">What is the prevalence of low and very low food security among children in Puerto Rico? </w:t>
            </w:r>
          </w:p>
        </w:tc>
        <w:tc>
          <w:tcPr>
            <w:tcW w:w="865" w:type="pct"/>
          </w:tcPr>
          <w:p w:rsidRPr="003876C1" w:rsidR="00692A05" w:rsidP="009D77A6" w:rsidRDefault="00692A05" w14:paraId="0FF871D6" w14:textId="77777777">
            <w:pPr>
              <w:spacing w:after="0"/>
              <w:jc w:val="center"/>
              <w:rPr>
                <w:rFonts w:cs="Arial"/>
                <w:color w:val="B12732"/>
                <w:szCs w:val="20"/>
              </w:rPr>
            </w:pPr>
            <w:r w:rsidRPr="003876C1">
              <w:rPr>
                <w:rFonts w:cs="Arial"/>
                <w:color w:val="B12732"/>
                <w:szCs w:val="20"/>
              </w:rPr>
              <w:sym w:font="Wingdings" w:char="F06C"/>
            </w:r>
          </w:p>
        </w:tc>
        <w:tc>
          <w:tcPr>
            <w:tcW w:w="865" w:type="pct"/>
          </w:tcPr>
          <w:p w:rsidRPr="003876C1" w:rsidR="00692A05" w:rsidP="009D77A6" w:rsidRDefault="00692A05" w14:paraId="4933E8EC" w14:textId="77777777">
            <w:pPr>
              <w:spacing w:after="0"/>
              <w:jc w:val="center"/>
              <w:rPr>
                <w:rFonts w:cs="Arial"/>
                <w:color w:val="B12732"/>
                <w:szCs w:val="20"/>
              </w:rPr>
            </w:pPr>
          </w:p>
        </w:tc>
        <w:tc>
          <w:tcPr>
            <w:tcW w:w="866" w:type="pct"/>
          </w:tcPr>
          <w:p w:rsidRPr="003876C1" w:rsidR="00692A05" w:rsidP="009D77A6" w:rsidRDefault="00692A05" w14:paraId="677B78D4" w14:textId="77777777">
            <w:pPr>
              <w:spacing w:after="0"/>
              <w:jc w:val="center"/>
              <w:rPr>
                <w:rFonts w:cs="Arial"/>
                <w:color w:val="B12732"/>
                <w:szCs w:val="20"/>
              </w:rPr>
            </w:pPr>
          </w:p>
        </w:tc>
      </w:tr>
      <w:tr w:rsidRPr="003876C1" w:rsidR="00692A05" w:rsidTr="009D77A6" w14:paraId="449D5FB3" w14:textId="77777777">
        <w:trPr>
          <w:cantSplit/>
          <w:trHeight w:val="288"/>
        </w:trPr>
        <w:tc>
          <w:tcPr>
            <w:tcW w:w="2404" w:type="pct"/>
          </w:tcPr>
          <w:p w:rsidRPr="003876C1" w:rsidR="00692A05" w:rsidP="00692A05" w:rsidRDefault="00692A05" w14:paraId="0BE70423" w14:textId="77777777">
            <w:pPr>
              <w:pStyle w:val="TableRedNumbers-IPR"/>
              <w:numPr>
                <w:ilvl w:val="0"/>
                <w:numId w:val="45"/>
              </w:numPr>
              <w:ind w:left="288" w:hanging="288"/>
              <w:rPr>
                <w:rFonts w:asciiTheme="minorHAnsi" w:hAnsiTheme="minorHAnsi"/>
              </w:rPr>
            </w:pPr>
            <w:r w:rsidRPr="003876C1">
              <w:rPr>
                <w:rFonts w:asciiTheme="minorHAnsi" w:hAnsiTheme="minorHAnsi"/>
              </w:rPr>
              <w:t xml:space="preserve">What are the sociodemographic characteristics and geospatial locations of these households in Puerto Rico? </w:t>
            </w:r>
          </w:p>
        </w:tc>
        <w:tc>
          <w:tcPr>
            <w:tcW w:w="865" w:type="pct"/>
          </w:tcPr>
          <w:p w:rsidRPr="003876C1" w:rsidR="00692A05" w:rsidP="009D77A6" w:rsidRDefault="00692A05" w14:paraId="38965F39" w14:textId="77777777">
            <w:pPr>
              <w:pageBreakBefore/>
              <w:spacing w:after="0"/>
              <w:jc w:val="center"/>
              <w:rPr>
                <w:rFonts w:cs="Arial"/>
                <w:color w:val="B12732"/>
                <w:szCs w:val="20"/>
              </w:rPr>
            </w:pPr>
            <w:r w:rsidRPr="003876C1">
              <w:rPr>
                <w:rFonts w:cs="Arial"/>
                <w:color w:val="B12732"/>
                <w:szCs w:val="20"/>
              </w:rPr>
              <w:sym w:font="Wingdings" w:char="F06C"/>
            </w:r>
          </w:p>
        </w:tc>
        <w:tc>
          <w:tcPr>
            <w:tcW w:w="865" w:type="pct"/>
          </w:tcPr>
          <w:p w:rsidRPr="003876C1" w:rsidR="00692A05" w:rsidP="009D77A6" w:rsidRDefault="00692A05" w14:paraId="7BCFE37F" w14:textId="77777777">
            <w:pPr>
              <w:pageBreakBefore/>
              <w:spacing w:after="0"/>
              <w:jc w:val="center"/>
              <w:rPr>
                <w:rFonts w:cs="Arial"/>
                <w:color w:val="B12732"/>
                <w:szCs w:val="20"/>
              </w:rPr>
            </w:pPr>
          </w:p>
        </w:tc>
        <w:tc>
          <w:tcPr>
            <w:tcW w:w="866" w:type="pct"/>
          </w:tcPr>
          <w:p w:rsidRPr="003876C1" w:rsidR="00692A05" w:rsidP="009D77A6" w:rsidRDefault="00692A05" w14:paraId="71577E83" w14:textId="77777777">
            <w:pPr>
              <w:pageBreakBefore/>
              <w:spacing w:after="0"/>
              <w:jc w:val="center"/>
              <w:rPr>
                <w:rFonts w:cs="Arial"/>
                <w:color w:val="B12732"/>
                <w:szCs w:val="20"/>
              </w:rPr>
            </w:pPr>
          </w:p>
        </w:tc>
      </w:tr>
      <w:tr w:rsidRPr="003876C1" w:rsidR="00692A05" w:rsidTr="009D77A6" w14:paraId="4CCF1DF0" w14:textId="77777777">
        <w:trPr>
          <w:cantSplit/>
          <w:trHeight w:val="288"/>
        </w:trPr>
        <w:tc>
          <w:tcPr>
            <w:tcW w:w="5000" w:type="pct"/>
            <w:gridSpan w:val="4"/>
            <w:shd w:val="clear" w:color="auto" w:fill="F2F2F2" w:themeFill="background1" w:themeFillShade="F2"/>
          </w:tcPr>
          <w:p w:rsidRPr="003876C1" w:rsidR="00692A05" w:rsidP="009D77A6" w:rsidRDefault="00692A05" w14:paraId="646D3675" w14:textId="77777777">
            <w:pPr>
              <w:spacing w:after="0"/>
              <w:rPr>
                <w:rFonts w:cstheme="minorHAnsi"/>
                <w:color w:val="B12732"/>
                <w:szCs w:val="20"/>
              </w:rPr>
            </w:pPr>
            <w:r w:rsidRPr="003876C1">
              <w:rPr>
                <w:rFonts w:eastAsiaTheme="minorEastAsia" w:cstheme="minorHAnsi"/>
                <w:b/>
                <w:szCs w:val="20"/>
              </w:rPr>
              <w:t xml:space="preserve">Objective 2. </w:t>
            </w:r>
            <w:r w:rsidRPr="003876C1">
              <w:rPr>
                <w:rFonts w:cstheme="minorHAnsi"/>
                <w:b/>
                <w:bCs/>
                <w:szCs w:val="20"/>
              </w:rPr>
              <w:t>Produce descriptive statistics on key sociodemographic and economic variables, including household low food security, in multiple representative subsamples in Puerto Rico</w:t>
            </w:r>
          </w:p>
        </w:tc>
      </w:tr>
      <w:tr w:rsidRPr="003876C1" w:rsidR="00692A05" w:rsidTr="009D77A6" w14:paraId="46D92284" w14:textId="77777777">
        <w:trPr>
          <w:cantSplit/>
          <w:trHeight w:val="288"/>
        </w:trPr>
        <w:tc>
          <w:tcPr>
            <w:tcW w:w="2404" w:type="pct"/>
          </w:tcPr>
          <w:p w:rsidRPr="003876C1" w:rsidR="00692A05" w:rsidP="00692A05" w:rsidRDefault="00692A05" w14:paraId="40BC6E8F" w14:textId="77777777">
            <w:pPr>
              <w:pStyle w:val="TableRedNumbers-IPR"/>
              <w:numPr>
                <w:ilvl w:val="0"/>
                <w:numId w:val="44"/>
              </w:numPr>
              <w:ind w:left="288" w:hanging="288"/>
            </w:pPr>
            <w:r w:rsidRPr="003876C1">
              <w:t>What is the prevalence of low and very low food security among the following subsamples in Puerto Rico? NAP participating households and low-income nonparticipant households, households with and without one or more adults aged 60 or older, households with and without one or more persons with a disability.</w:t>
            </w:r>
          </w:p>
        </w:tc>
        <w:tc>
          <w:tcPr>
            <w:tcW w:w="865" w:type="pct"/>
          </w:tcPr>
          <w:p w:rsidRPr="003876C1" w:rsidR="00692A05" w:rsidP="009D77A6" w:rsidRDefault="00692A05" w14:paraId="17EA2CC8" w14:textId="77777777">
            <w:pPr>
              <w:spacing w:after="0"/>
              <w:jc w:val="center"/>
              <w:rPr>
                <w:rFonts w:cs="Arial"/>
                <w:color w:val="B12732"/>
                <w:szCs w:val="20"/>
              </w:rPr>
            </w:pPr>
            <w:r w:rsidRPr="003876C1">
              <w:rPr>
                <w:rFonts w:cs="Arial"/>
                <w:color w:val="B12732"/>
                <w:szCs w:val="20"/>
              </w:rPr>
              <w:sym w:font="Wingdings" w:char="F06C"/>
            </w:r>
          </w:p>
        </w:tc>
        <w:tc>
          <w:tcPr>
            <w:tcW w:w="865" w:type="pct"/>
          </w:tcPr>
          <w:p w:rsidRPr="003876C1" w:rsidR="00692A05" w:rsidP="009D77A6" w:rsidRDefault="00692A05" w14:paraId="0DC4BD6A" w14:textId="77777777">
            <w:pPr>
              <w:spacing w:after="0"/>
              <w:jc w:val="center"/>
              <w:rPr>
                <w:rFonts w:cs="Arial"/>
                <w:color w:val="B12732"/>
                <w:szCs w:val="20"/>
              </w:rPr>
            </w:pPr>
          </w:p>
        </w:tc>
        <w:tc>
          <w:tcPr>
            <w:tcW w:w="866" w:type="pct"/>
          </w:tcPr>
          <w:p w:rsidRPr="003876C1" w:rsidR="00692A05" w:rsidP="009D77A6" w:rsidRDefault="00692A05" w14:paraId="4FA34D4B" w14:textId="77777777">
            <w:pPr>
              <w:spacing w:after="0"/>
              <w:jc w:val="center"/>
              <w:rPr>
                <w:rFonts w:cs="Arial"/>
                <w:color w:val="B12732"/>
                <w:szCs w:val="20"/>
              </w:rPr>
            </w:pPr>
          </w:p>
        </w:tc>
      </w:tr>
      <w:tr w:rsidRPr="003876C1" w:rsidR="00692A05" w:rsidTr="009D77A6" w14:paraId="73584C5A" w14:textId="77777777">
        <w:trPr>
          <w:cantSplit/>
          <w:trHeight w:val="288"/>
        </w:trPr>
        <w:tc>
          <w:tcPr>
            <w:tcW w:w="2404" w:type="pct"/>
          </w:tcPr>
          <w:p w:rsidRPr="003876C1" w:rsidR="00692A05" w:rsidP="00692A05" w:rsidRDefault="00692A05" w14:paraId="130E0DDA" w14:textId="77777777">
            <w:pPr>
              <w:pStyle w:val="TableRedNumbers-IPR"/>
              <w:numPr>
                <w:ilvl w:val="0"/>
                <w:numId w:val="44"/>
              </w:numPr>
              <w:ind w:left="288" w:hanging="288"/>
            </w:pPr>
            <w:r w:rsidRPr="003876C1">
              <w:t>What are the sociodemographic characteristics of households in each subsample in Puerto Rico?</w:t>
            </w:r>
          </w:p>
        </w:tc>
        <w:tc>
          <w:tcPr>
            <w:tcW w:w="865" w:type="pct"/>
          </w:tcPr>
          <w:p w:rsidRPr="003876C1" w:rsidR="00692A05" w:rsidP="009D77A6" w:rsidRDefault="00692A05" w14:paraId="1D362D41" w14:textId="77777777">
            <w:pPr>
              <w:spacing w:after="0"/>
              <w:jc w:val="center"/>
              <w:rPr>
                <w:rFonts w:cs="Arial"/>
                <w:color w:val="B12732"/>
                <w:szCs w:val="20"/>
              </w:rPr>
            </w:pPr>
            <w:r w:rsidRPr="003876C1">
              <w:rPr>
                <w:rFonts w:cs="Arial"/>
                <w:color w:val="B12732"/>
                <w:szCs w:val="20"/>
              </w:rPr>
              <w:sym w:font="Wingdings" w:char="F06C"/>
            </w:r>
          </w:p>
        </w:tc>
        <w:tc>
          <w:tcPr>
            <w:tcW w:w="865" w:type="pct"/>
          </w:tcPr>
          <w:p w:rsidRPr="003876C1" w:rsidR="00692A05" w:rsidP="009D77A6" w:rsidRDefault="00692A05" w14:paraId="4272CDE9" w14:textId="77777777">
            <w:pPr>
              <w:spacing w:after="0"/>
              <w:jc w:val="center"/>
              <w:rPr>
                <w:rFonts w:cs="Arial"/>
                <w:color w:val="B12732"/>
                <w:szCs w:val="20"/>
              </w:rPr>
            </w:pPr>
          </w:p>
        </w:tc>
        <w:tc>
          <w:tcPr>
            <w:tcW w:w="866" w:type="pct"/>
          </w:tcPr>
          <w:p w:rsidRPr="003876C1" w:rsidR="00692A05" w:rsidP="009D77A6" w:rsidRDefault="00692A05" w14:paraId="49523F6E" w14:textId="77777777">
            <w:pPr>
              <w:spacing w:after="0"/>
              <w:jc w:val="center"/>
              <w:rPr>
                <w:rFonts w:cs="Arial"/>
                <w:color w:val="B12732"/>
                <w:szCs w:val="20"/>
              </w:rPr>
            </w:pPr>
          </w:p>
        </w:tc>
      </w:tr>
      <w:tr w:rsidRPr="003876C1" w:rsidR="00692A05" w:rsidTr="009D77A6" w14:paraId="57C5745E" w14:textId="77777777">
        <w:trPr>
          <w:cantSplit/>
          <w:trHeight w:val="288"/>
        </w:trPr>
        <w:tc>
          <w:tcPr>
            <w:tcW w:w="5000" w:type="pct"/>
            <w:gridSpan w:val="4"/>
            <w:shd w:val="clear" w:color="auto" w:fill="F2F2F2" w:themeFill="background1" w:themeFillShade="F2"/>
          </w:tcPr>
          <w:p w:rsidRPr="003876C1" w:rsidR="00692A05" w:rsidP="009D77A6" w:rsidRDefault="00692A05" w14:paraId="1D762065" w14:textId="77777777">
            <w:pPr>
              <w:spacing w:after="0"/>
              <w:rPr>
                <w:rFonts w:cs="Arial"/>
                <w:color w:val="B12732"/>
                <w:szCs w:val="20"/>
              </w:rPr>
            </w:pPr>
            <w:r w:rsidRPr="003876C1">
              <w:rPr>
                <w:rFonts w:eastAsiaTheme="minorEastAsia"/>
                <w:b/>
                <w:szCs w:val="20"/>
              </w:rPr>
              <w:t xml:space="preserve">Objective 3. </w:t>
            </w:r>
            <w:r w:rsidRPr="003876C1">
              <w:rPr>
                <w:b/>
                <w:bCs/>
                <w:szCs w:val="20"/>
              </w:rPr>
              <w:t>Produce descriptive statistics for each subsample in Puerto Rico on key social, geospatial, and other policy-relevant elements of health and well-being associated with household food security</w:t>
            </w:r>
            <w:r w:rsidRPr="003876C1">
              <w:rPr>
                <w:szCs w:val="20"/>
              </w:rPr>
              <w:t xml:space="preserve"> </w:t>
            </w:r>
          </w:p>
        </w:tc>
      </w:tr>
      <w:tr w:rsidRPr="003876C1" w:rsidR="00692A05" w:rsidTr="009D77A6" w14:paraId="1495A923" w14:textId="77777777">
        <w:trPr>
          <w:cantSplit/>
          <w:trHeight w:val="288"/>
        </w:trPr>
        <w:tc>
          <w:tcPr>
            <w:tcW w:w="2404" w:type="pct"/>
          </w:tcPr>
          <w:p w:rsidRPr="003876C1" w:rsidR="00692A05" w:rsidP="00692A05" w:rsidRDefault="00692A05" w14:paraId="4D0E2465" w14:textId="77777777">
            <w:pPr>
              <w:pStyle w:val="ListParagraph"/>
              <w:numPr>
                <w:ilvl w:val="0"/>
                <w:numId w:val="43"/>
              </w:numPr>
              <w:spacing w:after="0"/>
              <w:ind w:left="288" w:hanging="288"/>
              <w:rPr>
                <w:sz w:val="20"/>
                <w:szCs w:val="20"/>
              </w:rPr>
            </w:pPr>
            <w:r w:rsidRPr="003876C1">
              <w:rPr>
                <w:sz w:val="20"/>
                <w:szCs w:val="20"/>
              </w:rPr>
              <w:t>What is the prevalence of each of these characteristics in each subsample?</w:t>
            </w:r>
          </w:p>
        </w:tc>
        <w:tc>
          <w:tcPr>
            <w:tcW w:w="865" w:type="pct"/>
          </w:tcPr>
          <w:p w:rsidRPr="003876C1" w:rsidR="00692A05" w:rsidP="009D77A6" w:rsidRDefault="00692A05" w14:paraId="32972643" w14:textId="77777777">
            <w:pPr>
              <w:spacing w:after="0"/>
              <w:jc w:val="center"/>
              <w:rPr>
                <w:rFonts w:cs="Arial"/>
                <w:color w:val="B12732"/>
                <w:szCs w:val="20"/>
              </w:rPr>
            </w:pPr>
            <w:r w:rsidRPr="003876C1">
              <w:rPr>
                <w:rFonts w:cs="Arial"/>
                <w:color w:val="B12732"/>
                <w:szCs w:val="20"/>
              </w:rPr>
              <w:sym w:font="Wingdings" w:char="F06C"/>
            </w:r>
          </w:p>
        </w:tc>
        <w:tc>
          <w:tcPr>
            <w:tcW w:w="865" w:type="pct"/>
          </w:tcPr>
          <w:p w:rsidRPr="003876C1" w:rsidR="00692A05" w:rsidP="009D77A6" w:rsidRDefault="00692A05" w14:paraId="6BA39D92" w14:textId="77777777">
            <w:pPr>
              <w:spacing w:after="0"/>
              <w:jc w:val="center"/>
              <w:rPr>
                <w:rFonts w:cs="Arial"/>
                <w:color w:val="B12732"/>
                <w:szCs w:val="20"/>
              </w:rPr>
            </w:pPr>
          </w:p>
        </w:tc>
        <w:tc>
          <w:tcPr>
            <w:tcW w:w="866" w:type="pct"/>
          </w:tcPr>
          <w:p w:rsidRPr="003876C1" w:rsidR="00692A05" w:rsidP="009D77A6" w:rsidRDefault="00692A05" w14:paraId="7EE0E3F2" w14:textId="77777777">
            <w:pPr>
              <w:spacing w:after="0"/>
              <w:jc w:val="center"/>
              <w:rPr>
                <w:rFonts w:cs="Arial"/>
                <w:color w:val="B12732"/>
                <w:szCs w:val="20"/>
              </w:rPr>
            </w:pPr>
          </w:p>
        </w:tc>
      </w:tr>
      <w:tr w:rsidRPr="003876C1" w:rsidR="00692A05" w:rsidTr="009D77A6" w14:paraId="548A559A" w14:textId="77777777">
        <w:trPr>
          <w:cantSplit/>
          <w:trHeight w:val="288"/>
        </w:trPr>
        <w:tc>
          <w:tcPr>
            <w:tcW w:w="2404" w:type="pct"/>
          </w:tcPr>
          <w:p w:rsidRPr="00B34082" w:rsidR="00B34082" w:rsidP="00536DFF" w:rsidRDefault="00692A05" w14:paraId="4C865EAF" w14:textId="60763F9B">
            <w:pPr>
              <w:pStyle w:val="ListParagraph"/>
              <w:numPr>
                <w:ilvl w:val="0"/>
                <w:numId w:val="43"/>
              </w:numPr>
              <w:spacing w:after="0"/>
              <w:ind w:left="288" w:hanging="288"/>
            </w:pPr>
            <w:r w:rsidRPr="00536DFF">
              <w:rPr>
                <w:sz w:val="20"/>
                <w:szCs w:val="20"/>
              </w:rPr>
              <w:t xml:space="preserve">Is there a statistically significant difference in these characteristics between the full Puerto Rico sample and the subsamples? </w:t>
            </w:r>
          </w:p>
        </w:tc>
        <w:tc>
          <w:tcPr>
            <w:tcW w:w="865" w:type="pct"/>
          </w:tcPr>
          <w:p w:rsidRPr="003876C1" w:rsidR="00692A05" w:rsidP="009D77A6" w:rsidRDefault="00692A05" w14:paraId="59EB378A" w14:textId="77777777">
            <w:pPr>
              <w:spacing w:after="0"/>
              <w:jc w:val="center"/>
              <w:rPr>
                <w:rFonts w:cs="Arial"/>
                <w:color w:val="B12732"/>
                <w:szCs w:val="20"/>
              </w:rPr>
            </w:pPr>
            <w:r w:rsidRPr="003876C1">
              <w:rPr>
                <w:rFonts w:cs="Arial"/>
                <w:color w:val="B12732"/>
                <w:szCs w:val="20"/>
              </w:rPr>
              <w:sym w:font="Wingdings" w:char="F06C"/>
            </w:r>
          </w:p>
        </w:tc>
        <w:tc>
          <w:tcPr>
            <w:tcW w:w="865" w:type="pct"/>
          </w:tcPr>
          <w:p w:rsidRPr="003876C1" w:rsidR="00692A05" w:rsidP="009D77A6" w:rsidRDefault="00692A05" w14:paraId="2FBE8C6A" w14:textId="77777777">
            <w:pPr>
              <w:spacing w:after="0"/>
              <w:jc w:val="center"/>
              <w:rPr>
                <w:rFonts w:cs="Arial"/>
                <w:color w:val="B12732"/>
                <w:szCs w:val="20"/>
              </w:rPr>
            </w:pPr>
          </w:p>
        </w:tc>
        <w:tc>
          <w:tcPr>
            <w:tcW w:w="866" w:type="pct"/>
          </w:tcPr>
          <w:p w:rsidRPr="003876C1" w:rsidR="00692A05" w:rsidP="009D77A6" w:rsidRDefault="00692A05" w14:paraId="3C1D8BD6" w14:textId="77777777">
            <w:pPr>
              <w:spacing w:after="0"/>
              <w:jc w:val="center"/>
              <w:rPr>
                <w:rFonts w:cs="Arial"/>
                <w:color w:val="B12732"/>
                <w:szCs w:val="20"/>
              </w:rPr>
            </w:pPr>
          </w:p>
        </w:tc>
      </w:tr>
      <w:tr w:rsidRPr="003876C1" w:rsidR="00692A05" w:rsidTr="009D77A6" w14:paraId="5E32DF24" w14:textId="77777777">
        <w:trPr>
          <w:cantSplit/>
          <w:trHeight w:val="288"/>
        </w:trPr>
        <w:tc>
          <w:tcPr>
            <w:tcW w:w="2404" w:type="pct"/>
          </w:tcPr>
          <w:p w:rsidRPr="00B34082" w:rsidR="00B34082" w:rsidP="00536DFF" w:rsidRDefault="00692A05" w14:paraId="5A02CC03" w14:textId="33783F6F">
            <w:pPr>
              <w:pStyle w:val="ListParagraph"/>
              <w:numPr>
                <w:ilvl w:val="0"/>
                <w:numId w:val="43"/>
              </w:numPr>
              <w:spacing w:after="0"/>
              <w:ind w:left="288" w:hanging="288"/>
            </w:pPr>
            <w:r w:rsidRPr="003876C1">
              <w:rPr>
                <w:sz w:val="20"/>
                <w:szCs w:val="20"/>
              </w:rPr>
              <w:t xml:space="preserve">Is there a statistically significant difference in these characteristics between each subsample for key sociodemographic and economic variables? </w:t>
            </w:r>
          </w:p>
        </w:tc>
        <w:tc>
          <w:tcPr>
            <w:tcW w:w="865" w:type="pct"/>
          </w:tcPr>
          <w:p w:rsidRPr="003876C1" w:rsidR="00692A05" w:rsidP="009D77A6" w:rsidRDefault="00692A05" w14:paraId="38596B7A" w14:textId="77777777">
            <w:pPr>
              <w:spacing w:after="0"/>
              <w:jc w:val="center"/>
              <w:rPr>
                <w:rFonts w:cs="Arial"/>
                <w:color w:val="B12732"/>
                <w:szCs w:val="20"/>
              </w:rPr>
            </w:pPr>
            <w:r w:rsidRPr="003876C1">
              <w:rPr>
                <w:rFonts w:cs="Arial"/>
                <w:color w:val="B12732"/>
                <w:szCs w:val="20"/>
              </w:rPr>
              <w:sym w:font="Wingdings" w:char="F06C"/>
            </w:r>
          </w:p>
        </w:tc>
        <w:tc>
          <w:tcPr>
            <w:tcW w:w="865" w:type="pct"/>
          </w:tcPr>
          <w:p w:rsidRPr="003876C1" w:rsidR="00692A05" w:rsidP="009D77A6" w:rsidRDefault="00692A05" w14:paraId="597CFFBC" w14:textId="77777777">
            <w:pPr>
              <w:spacing w:after="0"/>
              <w:jc w:val="center"/>
              <w:rPr>
                <w:rFonts w:cs="Arial"/>
                <w:color w:val="B12732"/>
                <w:szCs w:val="20"/>
              </w:rPr>
            </w:pPr>
          </w:p>
        </w:tc>
        <w:tc>
          <w:tcPr>
            <w:tcW w:w="866" w:type="pct"/>
          </w:tcPr>
          <w:p w:rsidRPr="003876C1" w:rsidR="00692A05" w:rsidP="009D77A6" w:rsidRDefault="00692A05" w14:paraId="2B6BB606" w14:textId="77777777">
            <w:pPr>
              <w:spacing w:after="0"/>
              <w:jc w:val="center"/>
              <w:rPr>
                <w:rFonts w:cs="Arial"/>
                <w:color w:val="B12732"/>
                <w:szCs w:val="20"/>
              </w:rPr>
            </w:pPr>
          </w:p>
        </w:tc>
      </w:tr>
      <w:tr w:rsidRPr="003876C1" w:rsidR="00692A05" w:rsidTr="009D77A6" w14:paraId="0E89C42A" w14:textId="77777777">
        <w:trPr>
          <w:cantSplit/>
          <w:trHeight w:val="288"/>
        </w:trPr>
        <w:tc>
          <w:tcPr>
            <w:tcW w:w="5000" w:type="pct"/>
            <w:gridSpan w:val="4"/>
            <w:shd w:val="clear" w:color="auto" w:fill="F2F2F2" w:themeFill="background1" w:themeFillShade="F2"/>
          </w:tcPr>
          <w:p w:rsidRPr="003876C1" w:rsidR="00692A05" w:rsidP="009D77A6" w:rsidRDefault="00692A05" w14:paraId="60A7558C" w14:textId="77777777">
            <w:pPr>
              <w:pageBreakBefore/>
              <w:spacing w:after="0"/>
              <w:rPr>
                <w:rFonts w:cs="Arial"/>
                <w:color w:val="B12732"/>
                <w:szCs w:val="20"/>
              </w:rPr>
            </w:pPr>
            <w:r w:rsidRPr="003876C1">
              <w:rPr>
                <w:rFonts w:eastAsiaTheme="minorEastAsia"/>
                <w:b/>
                <w:szCs w:val="20"/>
              </w:rPr>
              <w:lastRenderedPageBreak/>
              <w:t>Objective 4. Characterize the social context and, in particular, the life course of individuals as they define their experiences with low food security through in-depth interviews with individuals within the NAP participant and low-income nonparticipant subgroups</w:t>
            </w:r>
          </w:p>
        </w:tc>
      </w:tr>
      <w:tr w:rsidRPr="003876C1" w:rsidR="00692A05" w:rsidTr="009D77A6" w14:paraId="7C0B10A9" w14:textId="77777777">
        <w:trPr>
          <w:cantSplit/>
          <w:trHeight w:val="288"/>
        </w:trPr>
        <w:tc>
          <w:tcPr>
            <w:tcW w:w="2404" w:type="pct"/>
          </w:tcPr>
          <w:p w:rsidRPr="003876C1" w:rsidR="00692A05" w:rsidP="00692A05" w:rsidRDefault="00692A05" w14:paraId="56372CBD" w14:textId="77777777">
            <w:pPr>
              <w:pStyle w:val="ListParagraph"/>
              <w:numPr>
                <w:ilvl w:val="0"/>
                <w:numId w:val="42"/>
              </w:numPr>
              <w:spacing w:after="0"/>
              <w:ind w:left="288" w:hanging="288"/>
              <w:rPr>
                <w:sz w:val="20"/>
                <w:szCs w:val="20"/>
              </w:rPr>
            </w:pPr>
            <w:r w:rsidRPr="003876C1">
              <w:rPr>
                <w:sz w:val="20"/>
                <w:szCs w:val="20"/>
              </w:rPr>
              <w:t>How do individuals adapt to difficult life experiences, particularly low household food security? (Additional difficult life experiences will vary by respondent but may include natural disasters such as hurricanes and earthquakes, unemployment, and unstable housing.)</w:t>
            </w:r>
          </w:p>
        </w:tc>
        <w:tc>
          <w:tcPr>
            <w:tcW w:w="865" w:type="pct"/>
          </w:tcPr>
          <w:p w:rsidRPr="003876C1" w:rsidR="00692A05" w:rsidP="009D77A6" w:rsidRDefault="00692A05" w14:paraId="1DBC3251" w14:textId="77777777">
            <w:pPr>
              <w:spacing w:after="0"/>
              <w:jc w:val="center"/>
              <w:rPr>
                <w:rFonts w:cs="Arial"/>
                <w:color w:val="B12732"/>
                <w:szCs w:val="20"/>
              </w:rPr>
            </w:pPr>
          </w:p>
        </w:tc>
        <w:tc>
          <w:tcPr>
            <w:tcW w:w="865" w:type="pct"/>
          </w:tcPr>
          <w:p w:rsidRPr="003876C1" w:rsidR="00692A05" w:rsidP="009D77A6" w:rsidRDefault="00692A05" w14:paraId="57E3173B" w14:textId="77777777">
            <w:pPr>
              <w:spacing w:after="0"/>
              <w:jc w:val="center"/>
              <w:rPr>
                <w:rFonts w:cs="Arial"/>
                <w:color w:val="B12732"/>
                <w:szCs w:val="20"/>
              </w:rPr>
            </w:pPr>
            <w:r w:rsidRPr="003876C1">
              <w:rPr>
                <w:rFonts w:cs="Arial"/>
                <w:color w:val="B12732"/>
                <w:szCs w:val="20"/>
              </w:rPr>
              <w:sym w:font="Wingdings" w:char="F06C"/>
            </w:r>
          </w:p>
        </w:tc>
        <w:tc>
          <w:tcPr>
            <w:tcW w:w="866" w:type="pct"/>
          </w:tcPr>
          <w:p w:rsidRPr="003876C1" w:rsidR="00692A05" w:rsidP="009D77A6" w:rsidRDefault="00692A05" w14:paraId="3DFF090D" w14:textId="77777777">
            <w:pPr>
              <w:spacing w:after="0"/>
              <w:jc w:val="center"/>
              <w:rPr>
                <w:rFonts w:cs="Arial"/>
                <w:color w:val="B12732"/>
                <w:szCs w:val="20"/>
              </w:rPr>
            </w:pPr>
          </w:p>
        </w:tc>
      </w:tr>
      <w:tr w:rsidRPr="003876C1" w:rsidR="00692A05" w:rsidTr="009D77A6" w14:paraId="762E74EB" w14:textId="77777777">
        <w:trPr>
          <w:cantSplit/>
          <w:trHeight w:val="288"/>
        </w:trPr>
        <w:tc>
          <w:tcPr>
            <w:tcW w:w="2404" w:type="pct"/>
          </w:tcPr>
          <w:p w:rsidRPr="003876C1" w:rsidR="00692A05" w:rsidP="00692A05" w:rsidRDefault="00692A05" w14:paraId="4F8B1489" w14:textId="77777777">
            <w:pPr>
              <w:pStyle w:val="ListParagraph"/>
              <w:numPr>
                <w:ilvl w:val="0"/>
                <w:numId w:val="42"/>
              </w:numPr>
              <w:spacing w:after="0"/>
              <w:ind w:left="288" w:hanging="288"/>
              <w:rPr>
                <w:sz w:val="20"/>
                <w:szCs w:val="20"/>
              </w:rPr>
            </w:pPr>
            <w:r w:rsidRPr="003876C1">
              <w:rPr>
                <w:sz w:val="20"/>
                <w:szCs w:val="20"/>
              </w:rPr>
              <w:t xml:space="preserve">What transitions and turning points in the life course of an individual shape their experiences of difficult life events, particularly low household food security? (What is the importance of Hurricanes Maria and Irma and other catastrophic life experiences, such as the earthquakes of 2019–2020 and the coronavirus pandemic?) </w:t>
            </w:r>
          </w:p>
        </w:tc>
        <w:tc>
          <w:tcPr>
            <w:tcW w:w="865" w:type="pct"/>
          </w:tcPr>
          <w:p w:rsidRPr="003876C1" w:rsidR="00692A05" w:rsidP="009D77A6" w:rsidRDefault="00692A05" w14:paraId="259FB066" w14:textId="77777777">
            <w:pPr>
              <w:spacing w:after="0"/>
              <w:jc w:val="center"/>
              <w:rPr>
                <w:rFonts w:cs="Arial"/>
                <w:color w:val="B12732"/>
                <w:szCs w:val="20"/>
              </w:rPr>
            </w:pPr>
          </w:p>
        </w:tc>
        <w:tc>
          <w:tcPr>
            <w:tcW w:w="865" w:type="pct"/>
          </w:tcPr>
          <w:p w:rsidRPr="003876C1" w:rsidR="00692A05" w:rsidP="009D77A6" w:rsidRDefault="00692A05" w14:paraId="7A3F10B8" w14:textId="77777777">
            <w:pPr>
              <w:spacing w:after="0"/>
              <w:jc w:val="center"/>
              <w:rPr>
                <w:rFonts w:cs="Arial"/>
                <w:color w:val="B12732"/>
                <w:szCs w:val="20"/>
              </w:rPr>
            </w:pPr>
            <w:r w:rsidRPr="003876C1">
              <w:rPr>
                <w:rFonts w:cs="Arial"/>
                <w:color w:val="B12732"/>
                <w:szCs w:val="20"/>
              </w:rPr>
              <w:sym w:font="Wingdings" w:char="F06C"/>
            </w:r>
          </w:p>
        </w:tc>
        <w:tc>
          <w:tcPr>
            <w:tcW w:w="866" w:type="pct"/>
          </w:tcPr>
          <w:p w:rsidRPr="003876C1" w:rsidR="00692A05" w:rsidP="009D77A6" w:rsidRDefault="00692A05" w14:paraId="6071509D" w14:textId="77777777">
            <w:pPr>
              <w:spacing w:after="0"/>
              <w:jc w:val="center"/>
              <w:rPr>
                <w:rFonts w:cs="Arial"/>
                <w:color w:val="B12732"/>
                <w:szCs w:val="20"/>
              </w:rPr>
            </w:pPr>
          </w:p>
        </w:tc>
      </w:tr>
      <w:tr w:rsidRPr="003876C1" w:rsidR="00692A05" w:rsidTr="009D77A6" w14:paraId="2D577B38" w14:textId="77777777">
        <w:trPr>
          <w:cantSplit/>
          <w:trHeight w:val="288"/>
        </w:trPr>
        <w:tc>
          <w:tcPr>
            <w:tcW w:w="2404" w:type="pct"/>
          </w:tcPr>
          <w:p w:rsidRPr="003876C1" w:rsidR="00692A05" w:rsidP="00692A05" w:rsidRDefault="00692A05" w14:paraId="6F484C10" w14:textId="77777777">
            <w:pPr>
              <w:pStyle w:val="ListParagraph"/>
              <w:numPr>
                <w:ilvl w:val="0"/>
                <w:numId w:val="42"/>
              </w:numPr>
              <w:spacing w:after="0"/>
              <w:ind w:left="288" w:hanging="288"/>
              <w:rPr>
                <w:sz w:val="20"/>
                <w:szCs w:val="20"/>
              </w:rPr>
            </w:pPr>
            <w:r w:rsidRPr="003876C1">
              <w:rPr>
                <w:sz w:val="20"/>
                <w:szCs w:val="20"/>
              </w:rPr>
              <w:t xml:space="preserve">What capabilities, demands, and meanings are associated with the understanding of and adaptation to each individual to difficult life events, particularly low household food security? </w:t>
            </w:r>
          </w:p>
        </w:tc>
        <w:tc>
          <w:tcPr>
            <w:tcW w:w="865" w:type="pct"/>
          </w:tcPr>
          <w:p w:rsidRPr="003876C1" w:rsidR="00692A05" w:rsidP="009D77A6" w:rsidRDefault="00692A05" w14:paraId="439AE2D8" w14:textId="77777777">
            <w:pPr>
              <w:spacing w:after="0"/>
              <w:jc w:val="center"/>
              <w:rPr>
                <w:rFonts w:cs="Arial"/>
                <w:color w:val="B12732"/>
                <w:szCs w:val="20"/>
              </w:rPr>
            </w:pPr>
          </w:p>
        </w:tc>
        <w:tc>
          <w:tcPr>
            <w:tcW w:w="865" w:type="pct"/>
          </w:tcPr>
          <w:p w:rsidRPr="003876C1" w:rsidR="00692A05" w:rsidP="009D77A6" w:rsidRDefault="00692A05" w14:paraId="27FD5B00" w14:textId="77777777">
            <w:pPr>
              <w:spacing w:after="0"/>
              <w:jc w:val="center"/>
              <w:rPr>
                <w:rFonts w:cs="Arial"/>
                <w:color w:val="B12732"/>
                <w:szCs w:val="20"/>
              </w:rPr>
            </w:pPr>
            <w:r w:rsidRPr="003876C1">
              <w:rPr>
                <w:rFonts w:cs="Arial"/>
                <w:color w:val="B12732"/>
                <w:szCs w:val="20"/>
              </w:rPr>
              <w:sym w:font="Wingdings" w:char="F06C"/>
            </w:r>
          </w:p>
        </w:tc>
        <w:tc>
          <w:tcPr>
            <w:tcW w:w="866" w:type="pct"/>
          </w:tcPr>
          <w:p w:rsidRPr="003876C1" w:rsidR="00692A05" w:rsidP="009D77A6" w:rsidRDefault="00692A05" w14:paraId="3D98E35F" w14:textId="77777777">
            <w:pPr>
              <w:spacing w:after="0"/>
              <w:jc w:val="center"/>
              <w:rPr>
                <w:rFonts w:cs="Arial"/>
                <w:color w:val="B12732"/>
                <w:szCs w:val="20"/>
              </w:rPr>
            </w:pPr>
          </w:p>
        </w:tc>
      </w:tr>
      <w:tr w:rsidRPr="003876C1" w:rsidR="00692A05" w:rsidTr="009D77A6" w14:paraId="1FB8A9F8" w14:textId="77777777">
        <w:trPr>
          <w:cantSplit/>
          <w:trHeight w:val="288"/>
        </w:trPr>
        <w:tc>
          <w:tcPr>
            <w:tcW w:w="2404" w:type="pct"/>
          </w:tcPr>
          <w:p w:rsidRPr="003876C1" w:rsidR="00692A05" w:rsidP="00692A05" w:rsidRDefault="00692A05" w14:paraId="101EE6AB" w14:textId="77777777">
            <w:pPr>
              <w:pStyle w:val="ListParagraph"/>
              <w:numPr>
                <w:ilvl w:val="0"/>
                <w:numId w:val="42"/>
              </w:numPr>
              <w:spacing w:after="0"/>
              <w:ind w:left="288" w:hanging="288"/>
              <w:rPr>
                <w:sz w:val="20"/>
                <w:szCs w:val="20"/>
              </w:rPr>
            </w:pPr>
            <w:r w:rsidRPr="003876C1">
              <w:rPr>
                <w:sz w:val="20"/>
                <w:szCs w:val="20"/>
              </w:rPr>
              <w:t xml:space="preserve">How do individuals identify the importance of neighborhood and community in their understanding of and adaptation to difficult life experiences, particularly low household food security? </w:t>
            </w:r>
          </w:p>
        </w:tc>
        <w:tc>
          <w:tcPr>
            <w:tcW w:w="865" w:type="pct"/>
          </w:tcPr>
          <w:p w:rsidRPr="003876C1" w:rsidR="00692A05" w:rsidP="009D77A6" w:rsidRDefault="00692A05" w14:paraId="0C83E100" w14:textId="77777777">
            <w:pPr>
              <w:spacing w:after="0"/>
              <w:jc w:val="center"/>
              <w:rPr>
                <w:rFonts w:cs="Arial"/>
                <w:color w:val="B12732"/>
                <w:szCs w:val="20"/>
              </w:rPr>
            </w:pPr>
          </w:p>
        </w:tc>
        <w:tc>
          <w:tcPr>
            <w:tcW w:w="865" w:type="pct"/>
          </w:tcPr>
          <w:p w:rsidRPr="003876C1" w:rsidR="00692A05" w:rsidP="009D77A6" w:rsidRDefault="00692A05" w14:paraId="3A5B7D4A" w14:textId="77777777">
            <w:pPr>
              <w:spacing w:after="0"/>
              <w:jc w:val="center"/>
              <w:rPr>
                <w:rFonts w:cs="Arial"/>
                <w:color w:val="B12732"/>
                <w:szCs w:val="20"/>
              </w:rPr>
            </w:pPr>
            <w:r w:rsidRPr="003876C1">
              <w:rPr>
                <w:rFonts w:cs="Arial"/>
                <w:color w:val="B12732"/>
                <w:szCs w:val="20"/>
              </w:rPr>
              <w:sym w:font="Wingdings" w:char="F06C"/>
            </w:r>
          </w:p>
        </w:tc>
        <w:tc>
          <w:tcPr>
            <w:tcW w:w="866" w:type="pct"/>
          </w:tcPr>
          <w:p w:rsidRPr="003876C1" w:rsidR="00692A05" w:rsidP="009D77A6" w:rsidRDefault="00692A05" w14:paraId="62E253E0" w14:textId="77777777">
            <w:pPr>
              <w:spacing w:after="0"/>
              <w:jc w:val="center"/>
              <w:rPr>
                <w:rFonts w:cs="Arial"/>
                <w:color w:val="B12732"/>
                <w:szCs w:val="20"/>
              </w:rPr>
            </w:pPr>
          </w:p>
        </w:tc>
      </w:tr>
      <w:tr w:rsidRPr="003876C1" w:rsidR="00692A05" w:rsidTr="009D77A6" w14:paraId="459E8F44" w14:textId="77777777">
        <w:trPr>
          <w:cantSplit/>
          <w:trHeight w:val="288"/>
        </w:trPr>
        <w:tc>
          <w:tcPr>
            <w:tcW w:w="2404" w:type="pct"/>
          </w:tcPr>
          <w:p w:rsidRPr="003876C1" w:rsidR="00692A05" w:rsidP="00692A05" w:rsidRDefault="00692A05" w14:paraId="0A5D50A9" w14:textId="77777777">
            <w:pPr>
              <w:pStyle w:val="ListParagraph"/>
              <w:numPr>
                <w:ilvl w:val="0"/>
                <w:numId w:val="42"/>
              </w:numPr>
              <w:spacing w:after="0"/>
              <w:ind w:left="288" w:hanging="288"/>
              <w:rPr>
                <w:sz w:val="20"/>
                <w:szCs w:val="20"/>
              </w:rPr>
            </w:pPr>
            <w:r w:rsidRPr="003876C1">
              <w:rPr>
                <w:sz w:val="20"/>
                <w:szCs w:val="20"/>
              </w:rPr>
              <w:t xml:space="preserve">How do individuals identify the importance of these experiences and transitions in their decisions to participate or not participate in NAP? </w:t>
            </w:r>
          </w:p>
        </w:tc>
        <w:tc>
          <w:tcPr>
            <w:tcW w:w="865" w:type="pct"/>
          </w:tcPr>
          <w:p w:rsidRPr="003876C1" w:rsidR="00692A05" w:rsidP="009D77A6" w:rsidRDefault="00692A05" w14:paraId="38EC1466" w14:textId="77777777">
            <w:pPr>
              <w:spacing w:after="0"/>
              <w:jc w:val="center"/>
              <w:rPr>
                <w:rFonts w:cs="Arial"/>
                <w:color w:val="B12732"/>
                <w:szCs w:val="20"/>
              </w:rPr>
            </w:pPr>
          </w:p>
        </w:tc>
        <w:tc>
          <w:tcPr>
            <w:tcW w:w="865" w:type="pct"/>
          </w:tcPr>
          <w:p w:rsidRPr="003876C1" w:rsidR="00692A05" w:rsidP="009D77A6" w:rsidRDefault="00692A05" w14:paraId="53D75EF3" w14:textId="77777777">
            <w:pPr>
              <w:spacing w:after="0"/>
              <w:jc w:val="center"/>
              <w:rPr>
                <w:rFonts w:cs="Arial"/>
                <w:color w:val="B12732"/>
                <w:szCs w:val="20"/>
              </w:rPr>
            </w:pPr>
            <w:r w:rsidRPr="003876C1">
              <w:rPr>
                <w:rFonts w:cs="Arial"/>
                <w:color w:val="B12732"/>
                <w:szCs w:val="20"/>
              </w:rPr>
              <w:sym w:font="Wingdings" w:char="F06C"/>
            </w:r>
          </w:p>
        </w:tc>
        <w:tc>
          <w:tcPr>
            <w:tcW w:w="866" w:type="pct"/>
          </w:tcPr>
          <w:p w:rsidRPr="003876C1" w:rsidR="00692A05" w:rsidP="009D77A6" w:rsidRDefault="00692A05" w14:paraId="08627E93" w14:textId="77777777">
            <w:pPr>
              <w:spacing w:after="0"/>
              <w:jc w:val="center"/>
              <w:rPr>
                <w:rFonts w:cs="Arial"/>
                <w:color w:val="B12732"/>
                <w:szCs w:val="20"/>
              </w:rPr>
            </w:pPr>
          </w:p>
        </w:tc>
      </w:tr>
      <w:tr w:rsidRPr="003876C1" w:rsidR="00692A05" w:rsidTr="009D77A6" w14:paraId="2CA5193C" w14:textId="77777777">
        <w:trPr>
          <w:cantSplit/>
          <w:trHeight w:val="288"/>
        </w:trPr>
        <w:tc>
          <w:tcPr>
            <w:tcW w:w="2404" w:type="pct"/>
          </w:tcPr>
          <w:p w:rsidRPr="003876C1" w:rsidR="00692A05" w:rsidP="00692A05" w:rsidRDefault="00692A05" w14:paraId="6EEAF094" w14:textId="77777777">
            <w:pPr>
              <w:pStyle w:val="ListParagraph"/>
              <w:numPr>
                <w:ilvl w:val="0"/>
                <w:numId w:val="42"/>
              </w:numPr>
              <w:spacing w:after="0"/>
              <w:ind w:left="288" w:hanging="288"/>
              <w:rPr>
                <w:sz w:val="20"/>
                <w:szCs w:val="20"/>
              </w:rPr>
            </w:pPr>
            <w:r w:rsidRPr="003876C1">
              <w:rPr>
                <w:sz w:val="20"/>
                <w:szCs w:val="20"/>
              </w:rPr>
              <w:t xml:space="preserve">Are there experiences or characteristics that shape an individual’s resilience or vulnerability to low food security? </w:t>
            </w:r>
          </w:p>
        </w:tc>
        <w:tc>
          <w:tcPr>
            <w:tcW w:w="865" w:type="pct"/>
          </w:tcPr>
          <w:p w:rsidRPr="003876C1" w:rsidR="00692A05" w:rsidP="009D77A6" w:rsidRDefault="00692A05" w14:paraId="461C458B" w14:textId="77777777">
            <w:pPr>
              <w:spacing w:after="0"/>
              <w:jc w:val="center"/>
              <w:rPr>
                <w:rFonts w:cs="Arial"/>
                <w:color w:val="B12732"/>
                <w:szCs w:val="20"/>
              </w:rPr>
            </w:pPr>
          </w:p>
        </w:tc>
        <w:tc>
          <w:tcPr>
            <w:tcW w:w="865" w:type="pct"/>
          </w:tcPr>
          <w:p w:rsidRPr="003876C1" w:rsidR="00692A05" w:rsidP="009D77A6" w:rsidRDefault="00692A05" w14:paraId="45A4AF00" w14:textId="77777777">
            <w:pPr>
              <w:spacing w:after="0"/>
              <w:jc w:val="center"/>
              <w:rPr>
                <w:rFonts w:cs="Arial"/>
                <w:color w:val="B12732"/>
                <w:szCs w:val="20"/>
              </w:rPr>
            </w:pPr>
            <w:r w:rsidRPr="003876C1">
              <w:rPr>
                <w:rFonts w:cs="Arial"/>
                <w:color w:val="B12732"/>
                <w:szCs w:val="20"/>
              </w:rPr>
              <w:sym w:font="Wingdings" w:char="F06C"/>
            </w:r>
          </w:p>
        </w:tc>
        <w:tc>
          <w:tcPr>
            <w:tcW w:w="866" w:type="pct"/>
          </w:tcPr>
          <w:p w:rsidRPr="003876C1" w:rsidR="00692A05" w:rsidP="009D77A6" w:rsidRDefault="00692A05" w14:paraId="59DA741B" w14:textId="77777777">
            <w:pPr>
              <w:spacing w:after="0"/>
              <w:jc w:val="center"/>
              <w:rPr>
                <w:rFonts w:cs="Arial"/>
                <w:color w:val="B12732"/>
                <w:szCs w:val="20"/>
              </w:rPr>
            </w:pPr>
          </w:p>
        </w:tc>
      </w:tr>
      <w:tr w:rsidRPr="003876C1" w:rsidR="00692A05" w:rsidTr="009D77A6" w14:paraId="6D262839" w14:textId="77777777">
        <w:trPr>
          <w:cantSplit/>
          <w:trHeight w:val="288"/>
        </w:trPr>
        <w:tc>
          <w:tcPr>
            <w:tcW w:w="2404" w:type="pct"/>
          </w:tcPr>
          <w:p w:rsidRPr="003876C1" w:rsidR="00692A05" w:rsidP="00692A05" w:rsidRDefault="00692A05" w14:paraId="54C5DC13" w14:textId="77777777">
            <w:pPr>
              <w:pStyle w:val="ListParagraph"/>
              <w:numPr>
                <w:ilvl w:val="0"/>
                <w:numId w:val="42"/>
              </w:numPr>
              <w:spacing w:after="0"/>
              <w:ind w:left="288" w:hanging="288"/>
              <w:rPr>
                <w:sz w:val="20"/>
                <w:szCs w:val="20"/>
              </w:rPr>
            </w:pPr>
            <w:r w:rsidRPr="003876C1">
              <w:rPr>
                <w:sz w:val="20"/>
                <w:szCs w:val="20"/>
              </w:rPr>
              <w:t>Are there insights to be gained about the dynamics of household food security and hunger coping strategies among intergenerational households?</w:t>
            </w:r>
          </w:p>
        </w:tc>
        <w:tc>
          <w:tcPr>
            <w:tcW w:w="865" w:type="pct"/>
          </w:tcPr>
          <w:p w:rsidRPr="003876C1" w:rsidR="00692A05" w:rsidP="009D77A6" w:rsidRDefault="00692A05" w14:paraId="4598B778" w14:textId="77777777">
            <w:pPr>
              <w:spacing w:after="0"/>
              <w:jc w:val="center"/>
              <w:rPr>
                <w:rFonts w:cs="Arial"/>
                <w:color w:val="B12732"/>
                <w:szCs w:val="20"/>
              </w:rPr>
            </w:pPr>
          </w:p>
        </w:tc>
        <w:tc>
          <w:tcPr>
            <w:tcW w:w="865" w:type="pct"/>
          </w:tcPr>
          <w:p w:rsidRPr="003876C1" w:rsidR="00692A05" w:rsidP="009D77A6" w:rsidRDefault="00692A05" w14:paraId="0EC34605" w14:textId="77777777">
            <w:pPr>
              <w:spacing w:after="0"/>
              <w:jc w:val="center"/>
              <w:rPr>
                <w:rFonts w:cs="Arial"/>
                <w:color w:val="B12732"/>
                <w:szCs w:val="20"/>
              </w:rPr>
            </w:pPr>
            <w:r w:rsidRPr="003876C1">
              <w:rPr>
                <w:rFonts w:cs="Arial"/>
                <w:color w:val="B12732"/>
                <w:szCs w:val="20"/>
              </w:rPr>
              <w:sym w:font="Wingdings" w:char="F06C"/>
            </w:r>
          </w:p>
        </w:tc>
        <w:tc>
          <w:tcPr>
            <w:tcW w:w="866" w:type="pct"/>
          </w:tcPr>
          <w:p w:rsidRPr="003876C1" w:rsidR="00692A05" w:rsidP="009D77A6" w:rsidRDefault="00692A05" w14:paraId="7461F5F8" w14:textId="77777777">
            <w:pPr>
              <w:spacing w:after="0"/>
              <w:jc w:val="center"/>
              <w:rPr>
                <w:rFonts w:cs="Arial"/>
                <w:color w:val="B12732"/>
                <w:szCs w:val="20"/>
              </w:rPr>
            </w:pPr>
          </w:p>
        </w:tc>
      </w:tr>
      <w:tr w:rsidRPr="003876C1" w:rsidR="00692A05" w:rsidTr="009D77A6" w14:paraId="11998C09" w14:textId="77777777">
        <w:trPr>
          <w:cantSplit/>
          <w:trHeight w:val="288"/>
        </w:trPr>
        <w:tc>
          <w:tcPr>
            <w:tcW w:w="2404" w:type="pct"/>
          </w:tcPr>
          <w:p w:rsidRPr="003876C1" w:rsidR="00692A05" w:rsidP="00692A05" w:rsidRDefault="00692A05" w14:paraId="6BE1F9BB" w14:textId="77777777">
            <w:pPr>
              <w:pStyle w:val="ListParagraph"/>
              <w:numPr>
                <w:ilvl w:val="0"/>
                <w:numId w:val="42"/>
              </w:numPr>
              <w:spacing w:after="0"/>
              <w:ind w:left="288" w:hanging="288"/>
              <w:rPr>
                <w:sz w:val="20"/>
                <w:szCs w:val="20"/>
              </w:rPr>
            </w:pPr>
            <w:r w:rsidRPr="003876C1">
              <w:rPr>
                <w:sz w:val="20"/>
                <w:szCs w:val="20"/>
              </w:rPr>
              <w:t>What are the key sociodemographic and economic characteristics for each interviewee?</w:t>
            </w:r>
          </w:p>
        </w:tc>
        <w:tc>
          <w:tcPr>
            <w:tcW w:w="865" w:type="pct"/>
          </w:tcPr>
          <w:p w:rsidRPr="003876C1" w:rsidR="00692A05" w:rsidP="009D77A6" w:rsidRDefault="00692A05" w14:paraId="573671D8" w14:textId="77777777">
            <w:pPr>
              <w:spacing w:after="0"/>
              <w:jc w:val="center"/>
              <w:rPr>
                <w:rFonts w:cs="Arial"/>
                <w:color w:val="B12732"/>
                <w:szCs w:val="20"/>
              </w:rPr>
            </w:pPr>
          </w:p>
        </w:tc>
        <w:tc>
          <w:tcPr>
            <w:tcW w:w="865" w:type="pct"/>
          </w:tcPr>
          <w:p w:rsidRPr="003876C1" w:rsidR="00692A05" w:rsidP="009D77A6" w:rsidRDefault="00692A05" w14:paraId="5EBA4F7F" w14:textId="77777777">
            <w:pPr>
              <w:spacing w:after="0"/>
              <w:jc w:val="center"/>
              <w:rPr>
                <w:rFonts w:cs="Arial"/>
                <w:color w:val="B12732"/>
                <w:szCs w:val="20"/>
              </w:rPr>
            </w:pPr>
            <w:r w:rsidRPr="003876C1">
              <w:rPr>
                <w:rFonts w:cs="Arial"/>
                <w:color w:val="B12732"/>
                <w:szCs w:val="20"/>
              </w:rPr>
              <w:sym w:font="Wingdings" w:char="F06C"/>
            </w:r>
          </w:p>
        </w:tc>
        <w:tc>
          <w:tcPr>
            <w:tcW w:w="866" w:type="pct"/>
          </w:tcPr>
          <w:p w:rsidRPr="003876C1" w:rsidR="00692A05" w:rsidP="009D77A6" w:rsidRDefault="00692A05" w14:paraId="2C88A7C9" w14:textId="77777777">
            <w:pPr>
              <w:spacing w:after="0"/>
              <w:jc w:val="center"/>
              <w:rPr>
                <w:rFonts w:cs="Arial"/>
                <w:color w:val="B12732"/>
                <w:szCs w:val="20"/>
              </w:rPr>
            </w:pPr>
          </w:p>
        </w:tc>
      </w:tr>
      <w:tr w:rsidRPr="003876C1" w:rsidR="00692A05" w:rsidTr="009D77A6" w14:paraId="271C1761" w14:textId="77777777">
        <w:trPr>
          <w:cantSplit/>
          <w:trHeight w:val="288"/>
        </w:trPr>
        <w:tc>
          <w:tcPr>
            <w:tcW w:w="5000" w:type="pct"/>
            <w:gridSpan w:val="4"/>
            <w:shd w:val="clear" w:color="auto" w:fill="F2F2F2" w:themeFill="background1" w:themeFillShade="F2"/>
          </w:tcPr>
          <w:p w:rsidRPr="003876C1" w:rsidR="00692A05" w:rsidP="009D77A6" w:rsidRDefault="00692A05" w14:paraId="4A9DE9B8" w14:textId="77777777">
            <w:pPr>
              <w:spacing w:after="0"/>
              <w:rPr>
                <w:rFonts w:cs="Arial"/>
                <w:color w:val="B12732"/>
                <w:szCs w:val="20"/>
              </w:rPr>
            </w:pPr>
            <w:r w:rsidRPr="003876C1">
              <w:rPr>
                <w:rFonts w:eastAsiaTheme="minorEastAsia"/>
                <w:b/>
                <w:szCs w:val="20"/>
              </w:rPr>
              <w:t>Objective 5. Develop a detailed concept/problem map of the systemic factors that shape the implementation of the NAP program, particularly as a disaster relief tool</w:t>
            </w:r>
          </w:p>
        </w:tc>
      </w:tr>
      <w:tr w:rsidRPr="003876C1" w:rsidR="00692A05" w:rsidTr="009D77A6" w14:paraId="0FE91ECD" w14:textId="77777777">
        <w:trPr>
          <w:cantSplit/>
          <w:trHeight w:val="288"/>
        </w:trPr>
        <w:tc>
          <w:tcPr>
            <w:tcW w:w="2404" w:type="pct"/>
          </w:tcPr>
          <w:p w:rsidRPr="003876C1" w:rsidR="00692A05" w:rsidP="00692A05" w:rsidRDefault="00692A05" w14:paraId="7BB9AE6A" w14:textId="77777777">
            <w:pPr>
              <w:numPr>
                <w:ilvl w:val="0"/>
                <w:numId w:val="41"/>
              </w:numPr>
              <w:spacing w:after="0"/>
              <w:ind w:left="288" w:hanging="288"/>
              <w:contextualSpacing/>
              <w:rPr>
                <w:rFonts w:cstheme="minorHAnsi"/>
                <w:szCs w:val="20"/>
              </w:rPr>
            </w:pPr>
            <w:r w:rsidRPr="003876C1">
              <w:rPr>
                <w:rFonts w:cstheme="minorHAnsi"/>
                <w:szCs w:val="20"/>
              </w:rPr>
              <w:t xml:space="preserve">What are the research gaps in the knowledge of how the NAP program protects against low food security among NAP participants, especially during natural disasters? </w:t>
            </w:r>
          </w:p>
        </w:tc>
        <w:tc>
          <w:tcPr>
            <w:tcW w:w="865" w:type="pct"/>
          </w:tcPr>
          <w:p w:rsidRPr="003876C1" w:rsidR="00692A05" w:rsidP="009D77A6" w:rsidRDefault="00692A05" w14:paraId="1D6511F8" w14:textId="77777777">
            <w:pPr>
              <w:spacing w:after="0"/>
              <w:jc w:val="center"/>
              <w:rPr>
                <w:rFonts w:cs="Arial"/>
                <w:color w:val="B12732"/>
                <w:szCs w:val="20"/>
              </w:rPr>
            </w:pPr>
          </w:p>
        </w:tc>
        <w:tc>
          <w:tcPr>
            <w:tcW w:w="865" w:type="pct"/>
          </w:tcPr>
          <w:p w:rsidRPr="003876C1" w:rsidR="00692A05" w:rsidP="009D77A6" w:rsidRDefault="00692A05" w14:paraId="496F1B81" w14:textId="77777777">
            <w:pPr>
              <w:spacing w:after="0"/>
              <w:jc w:val="center"/>
              <w:rPr>
                <w:rFonts w:cs="Arial"/>
                <w:color w:val="B12732"/>
                <w:szCs w:val="20"/>
              </w:rPr>
            </w:pPr>
          </w:p>
        </w:tc>
        <w:tc>
          <w:tcPr>
            <w:tcW w:w="865" w:type="pct"/>
          </w:tcPr>
          <w:p w:rsidRPr="003876C1" w:rsidR="00692A05" w:rsidP="009D77A6" w:rsidRDefault="00692A05" w14:paraId="467EF77C" w14:textId="77777777">
            <w:pPr>
              <w:spacing w:after="0"/>
              <w:jc w:val="center"/>
              <w:rPr>
                <w:rFonts w:cs="Arial"/>
                <w:color w:val="B12732"/>
                <w:szCs w:val="20"/>
              </w:rPr>
            </w:pPr>
            <w:r w:rsidRPr="003876C1">
              <w:rPr>
                <w:rFonts w:cs="Arial"/>
                <w:color w:val="B12732"/>
                <w:szCs w:val="20"/>
              </w:rPr>
              <w:sym w:font="Wingdings" w:char="F06C"/>
            </w:r>
          </w:p>
        </w:tc>
      </w:tr>
      <w:tr w:rsidRPr="003876C1" w:rsidR="00692A05" w:rsidTr="009D77A6" w14:paraId="016C2BE6" w14:textId="77777777">
        <w:trPr>
          <w:cantSplit/>
          <w:trHeight w:val="288"/>
        </w:trPr>
        <w:tc>
          <w:tcPr>
            <w:tcW w:w="2404" w:type="pct"/>
            <w:tcBorders>
              <w:bottom w:val="single" w:color="6C7066" w:sz="18" w:space="0"/>
            </w:tcBorders>
          </w:tcPr>
          <w:p w:rsidRPr="003876C1" w:rsidR="00692A05" w:rsidP="00692A05" w:rsidRDefault="00692A05" w14:paraId="7D4F4E46" w14:textId="77777777">
            <w:pPr>
              <w:numPr>
                <w:ilvl w:val="0"/>
                <w:numId w:val="41"/>
              </w:numPr>
              <w:spacing w:after="0"/>
              <w:ind w:left="288" w:hanging="288"/>
              <w:contextualSpacing/>
              <w:rPr>
                <w:rFonts w:cstheme="minorHAnsi"/>
                <w:szCs w:val="20"/>
              </w:rPr>
            </w:pPr>
            <w:r w:rsidRPr="003876C1">
              <w:rPr>
                <w:rFonts w:cstheme="minorHAnsi"/>
                <w:szCs w:val="20"/>
              </w:rPr>
              <w:t xml:space="preserve">What are the policies that influence the delivery and effectiveness of the NAP program, especially during natural disasters? </w:t>
            </w:r>
          </w:p>
        </w:tc>
        <w:tc>
          <w:tcPr>
            <w:tcW w:w="865" w:type="pct"/>
            <w:tcBorders>
              <w:bottom w:val="single" w:color="6C7066" w:sz="18" w:space="0"/>
            </w:tcBorders>
          </w:tcPr>
          <w:p w:rsidRPr="003876C1" w:rsidR="00692A05" w:rsidP="009D77A6" w:rsidRDefault="00692A05" w14:paraId="667ACF49" w14:textId="77777777">
            <w:pPr>
              <w:spacing w:after="0"/>
              <w:jc w:val="center"/>
              <w:rPr>
                <w:rFonts w:cs="Arial"/>
                <w:color w:val="B12732"/>
                <w:szCs w:val="20"/>
              </w:rPr>
            </w:pPr>
          </w:p>
        </w:tc>
        <w:tc>
          <w:tcPr>
            <w:tcW w:w="865" w:type="pct"/>
            <w:tcBorders>
              <w:bottom w:val="single" w:color="6C7066" w:sz="18" w:space="0"/>
            </w:tcBorders>
          </w:tcPr>
          <w:p w:rsidRPr="003876C1" w:rsidR="00692A05" w:rsidP="009D77A6" w:rsidRDefault="00692A05" w14:paraId="106F071A" w14:textId="77777777">
            <w:pPr>
              <w:spacing w:after="0"/>
              <w:jc w:val="center"/>
              <w:rPr>
                <w:rFonts w:cs="Arial"/>
                <w:color w:val="B12732"/>
                <w:szCs w:val="20"/>
              </w:rPr>
            </w:pPr>
          </w:p>
        </w:tc>
        <w:tc>
          <w:tcPr>
            <w:tcW w:w="865" w:type="pct"/>
            <w:tcBorders>
              <w:bottom w:val="single" w:color="6C7066" w:sz="18" w:space="0"/>
            </w:tcBorders>
          </w:tcPr>
          <w:p w:rsidRPr="003876C1" w:rsidR="00692A05" w:rsidP="009D77A6" w:rsidRDefault="00692A05" w14:paraId="0E703349" w14:textId="77777777">
            <w:pPr>
              <w:spacing w:after="0"/>
              <w:jc w:val="center"/>
              <w:rPr>
                <w:rFonts w:cs="Arial"/>
                <w:color w:val="B12732"/>
                <w:szCs w:val="20"/>
              </w:rPr>
            </w:pPr>
            <w:r w:rsidRPr="003876C1">
              <w:rPr>
                <w:rFonts w:cs="Arial"/>
                <w:color w:val="B12732"/>
                <w:szCs w:val="20"/>
              </w:rPr>
              <w:sym w:font="Wingdings" w:char="F06C"/>
            </w:r>
          </w:p>
        </w:tc>
      </w:tr>
      <w:bookmarkEnd w:id="0"/>
      <w:bookmarkEnd w:id="5"/>
    </w:tbl>
    <w:p w:rsidRPr="00F5289D" w:rsidR="00431F8D" w:rsidP="003876C1" w:rsidRDefault="00431F8D" w14:paraId="50069907" w14:textId="77777777">
      <w:pPr>
        <w:pStyle w:val="FtnteTable-IPR"/>
        <w:rPr>
          <w:rFonts w:eastAsia="Times New Roman" w:cs="Times New Roman"/>
          <w:vanish/>
          <w:sz w:val="20"/>
        </w:rPr>
      </w:pPr>
    </w:p>
    <w:sectPr w:rsidRPr="00F5289D" w:rsidR="00431F8D" w:rsidSect="00E05FB4">
      <w:headerReference w:type="default" r:id="rId8"/>
      <w:footerReference w:type="default" r:id="rId9"/>
      <w:pgSz w:w="15840" w:h="12240" w:orient="landscape"/>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20F12" w14:textId="77777777" w:rsidR="008C1571" w:rsidRDefault="008C1571">
      <w:pPr>
        <w:spacing w:after="0"/>
      </w:pPr>
      <w:r>
        <w:separator/>
      </w:r>
    </w:p>
  </w:endnote>
  <w:endnote w:type="continuationSeparator" w:id="0">
    <w:p w14:paraId="5855D8AA" w14:textId="77777777" w:rsidR="008C1571" w:rsidRDefault="008C1571">
      <w:pPr>
        <w:spacing w:after="0"/>
      </w:pPr>
      <w:r>
        <w:continuationSeparator/>
      </w:r>
    </w:p>
  </w:endnote>
  <w:endnote w:type="continuationNotice" w:id="1">
    <w:p w14:paraId="0C8B3AE5" w14:textId="77777777" w:rsidR="008C1571" w:rsidRDefault="008C15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49883" w14:textId="0312F50F" w:rsidR="0067394A" w:rsidRPr="000330EE" w:rsidRDefault="00F70AA3" w:rsidP="00CA1386">
    <w:pPr>
      <w:pStyle w:val="Footer"/>
      <w:pBdr>
        <w:top w:val="single" w:sz="8" w:space="1" w:color="B12732"/>
      </w:pBdr>
      <w:tabs>
        <w:tab w:val="clear" w:pos="9360"/>
        <w:tab w:val="right" w:pos="12960"/>
      </w:tabs>
      <w:rPr>
        <w:i/>
        <w:sz w:val="18"/>
        <w:szCs w:val="18"/>
      </w:rPr>
    </w:pPr>
    <w:r w:rsidRPr="00F70AA3">
      <w:rPr>
        <w:i/>
        <w:sz w:val="18"/>
        <w:szCs w:val="18"/>
      </w:rPr>
      <w:t>Food Security Status and Well-Being of NAP Participants in Puerto Rico</w:t>
    </w:r>
    <w:r w:rsidR="00555B2C">
      <w:rPr>
        <w:i/>
        <w:sz w:val="18"/>
        <w:szCs w:val="18"/>
      </w:rPr>
      <w:t>,</w:t>
    </w:r>
    <w:r w:rsidR="00805E4C">
      <w:rPr>
        <w:i/>
        <w:sz w:val="18"/>
        <w:szCs w:val="18"/>
      </w:rPr>
      <w:t xml:space="preserve"> </w:t>
    </w:r>
    <w:r w:rsidR="000330EE" w:rsidRPr="000330EE">
      <w:rPr>
        <w:i/>
        <w:sz w:val="18"/>
        <w:szCs w:val="18"/>
      </w:rPr>
      <w:t>Appendix B. Research Objectives and Questions by Data Source</w:t>
    </w:r>
    <w:r w:rsidR="00CA1386">
      <w:rPr>
        <w:i/>
        <w:sz w:val="18"/>
        <w:szCs w:val="18"/>
      </w:rPr>
      <w:tab/>
      <w:t>B-</w:t>
    </w:r>
    <w:r w:rsidR="00CA1386" w:rsidRPr="00CA1386">
      <w:rPr>
        <w:i/>
        <w:sz w:val="18"/>
        <w:szCs w:val="18"/>
      </w:rPr>
      <w:fldChar w:fldCharType="begin"/>
    </w:r>
    <w:r w:rsidR="00CA1386" w:rsidRPr="00CA1386">
      <w:rPr>
        <w:i/>
        <w:sz w:val="18"/>
        <w:szCs w:val="18"/>
      </w:rPr>
      <w:instrText xml:space="preserve"> PAGE   \* MERGEFORMAT </w:instrText>
    </w:r>
    <w:r w:rsidR="00CA1386" w:rsidRPr="00CA1386">
      <w:rPr>
        <w:i/>
        <w:sz w:val="18"/>
        <w:szCs w:val="18"/>
      </w:rPr>
      <w:fldChar w:fldCharType="separate"/>
    </w:r>
    <w:r w:rsidR="00D02928">
      <w:rPr>
        <w:i/>
        <w:noProof/>
        <w:sz w:val="18"/>
        <w:szCs w:val="18"/>
      </w:rPr>
      <w:t>2</w:t>
    </w:r>
    <w:r w:rsidR="00CA1386" w:rsidRPr="00CA1386">
      <w:rPr>
        <w: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D839A" w14:textId="77777777" w:rsidR="008C1571" w:rsidRDefault="008C1571">
      <w:pPr>
        <w:spacing w:after="0"/>
      </w:pPr>
      <w:r>
        <w:separator/>
      </w:r>
    </w:p>
  </w:footnote>
  <w:footnote w:type="continuationSeparator" w:id="0">
    <w:p w14:paraId="158C71B1" w14:textId="77777777" w:rsidR="008C1571" w:rsidRDefault="008C1571">
      <w:pPr>
        <w:spacing w:after="0"/>
      </w:pPr>
      <w:r>
        <w:continuationSeparator/>
      </w:r>
    </w:p>
  </w:footnote>
  <w:footnote w:type="continuationNotice" w:id="1">
    <w:p w14:paraId="37C26D3D" w14:textId="77777777" w:rsidR="008C1571" w:rsidRDefault="008C15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AFA9" w14:textId="33046D92" w:rsidR="003876C1" w:rsidRDefault="003876C1" w:rsidP="00237FAD">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45D19AA"/>
    <w:multiLevelType w:val="multilevel"/>
    <w:tmpl w:val="6AC0D0D2"/>
    <w:lvl w:ilvl="0">
      <w:start w:val="1"/>
      <w:numFmt w:val="bullet"/>
      <w:lvlText w:val=""/>
      <w:lvlJc w:val="left"/>
      <w:pPr>
        <w:ind w:left="720" w:hanging="360"/>
      </w:pPr>
      <w:rPr>
        <w:rFonts w:ascii="Wingdings 2" w:hAnsi="Wingdings 2"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9767A8"/>
    <w:multiLevelType w:val="multilevel"/>
    <w:tmpl w:val="F6DE30B6"/>
    <w:numStyleLink w:val="NumbersListStyleRed-IPR"/>
  </w:abstractNum>
  <w:abstractNum w:abstractNumId="7"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8" w15:restartNumberingAfterBreak="0">
    <w:nsid w:val="0EDC4AEF"/>
    <w:multiLevelType w:val="hybridMultilevel"/>
    <w:tmpl w:val="124E8244"/>
    <w:lvl w:ilvl="0" w:tplc="72023E6A">
      <w:start w:val="1"/>
      <w:numFmt w:val="decimal"/>
      <w:lvlText w:val="%1."/>
      <w:lvlJc w:val="left"/>
      <w:pPr>
        <w:ind w:left="720" w:hanging="360"/>
      </w:pPr>
      <w:rPr>
        <w:rFonts w:ascii="Calibri" w:hAnsi="Calibr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52EF0"/>
    <w:multiLevelType w:val="hybridMultilevel"/>
    <w:tmpl w:val="4B2AD968"/>
    <w:lvl w:ilvl="0" w:tplc="1D0A8412">
      <w:start w:val="1"/>
      <w:numFmt w:val="decimal"/>
      <w:pStyle w:val="TableTextNumber"/>
      <w:lvlText w:val="%1."/>
      <w:lvlJc w:val="left"/>
      <w:pPr>
        <w:ind w:left="720" w:hanging="360"/>
      </w:pPr>
      <w:rPr>
        <w:rFonts w:ascii="Calibri" w:hAnsi="Calibri" w:hint="default"/>
        <w:b w:val="0"/>
        <w:i w:val="0"/>
        <w:color w:val="B12732"/>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34D58"/>
    <w:multiLevelType w:val="multilevel"/>
    <w:tmpl w:val="0F5A555C"/>
    <w:numStyleLink w:val="BulletListStyleRed-IPR"/>
  </w:abstractNum>
  <w:abstractNum w:abstractNumId="15"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6" w15:restartNumberingAfterBreak="0">
    <w:nsid w:val="23DB5245"/>
    <w:multiLevelType w:val="multilevel"/>
    <w:tmpl w:val="BB4ABF92"/>
    <w:lvl w:ilvl="0">
      <w:start w:val="1"/>
      <w:numFmt w:val="bullet"/>
      <w:lvlText w:val=""/>
      <w:lvlJc w:val="left"/>
      <w:pPr>
        <w:ind w:left="720" w:hanging="360"/>
      </w:pPr>
      <w:rPr>
        <w:rFonts w:ascii="Wingdings 2" w:hAnsi="Wingdings 2"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15:restartNumberingAfterBreak="0">
    <w:nsid w:val="250E3F9B"/>
    <w:multiLevelType w:val="multilevel"/>
    <w:tmpl w:val="B286579C"/>
    <w:lvl w:ilvl="0">
      <w:start w:val="1"/>
      <w:numFmt w:val="decimal"/>
      <w:lvlText w:val="%1."/>
      <w:lvlJc w:val="left"/>
      <w:pPr>
        <w:ind w:left="720" w:hanging="360"/>
      </w:pPr>
      <w:rPr>
        <w:rFonts w:ascii="Calibri" w:hAnsi="Calibri" w:hint="default"/>
        <w:b w:val="0"/>
        <w:i w:val="0"/>
        <w:color w:val="B12732"/>
        <w:sz w:val="20"/>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8"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761B73"/>
    <w:multiLevelType w:val="multilevel"/>
    <w:tmpl w:val="70A847E4"/>
    <w:lvl w:ilvl="0">
      <w:start w:val="1"/>
      <w:numFmt w:val="bullet"/>
      <w:lvlText w:val=""/>
      <w:lvlJc w:val="left"/>
      <w:pPr>
        <w:ind w:left="720" w:hanging="360"/>
      </w:pPr>
      <w:rPr>
        <w:rFonts w:ascii="Wingdings 2" w:hAnsi="Wingdings 2"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0"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2" w15:restartNumberingAfterBreak="0">
    <w:nsid w:val="39C56C4A"/>
    <w:multiLevelType w:val="multilevel"/>
    <w:tmpl w:val="4D96001E"/>
    <w:lvl w:ilvl="0">
      <w:start w:val="1"/>
      <w:numFmt w:val="decimal"/>
      <w:lvlText w:val="%1."/>
      <w:lvlJc w:val="left"/>
      <w:pPr>
        <w:ind w:left="720" w:hanging="360"/>
      </w:pPr>
      <w:rPr>
        <w:rFonts w:ascii="Calibri" w:hAnsi="Calibri" w:hint="default"/>
        <w:b w:val="0"/>
        <w:bCs/>
        <w:i w:val="0"/>
        <w:color w:val="B12732"/>
        <w:sz w:val="20"/>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3"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4"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EE4E74"/>
    <w:multiLevelType w:val="multilevel"/>
    <w:tmpl w:val="0F860C3A"/>
    <w:lvl w:ilvl="0">
      <w:start w:val="1"/>
      <w:numFmt w:val="bullet"/>
      <w:lvlText w:val=""/>
      <w:lvlJc w:val="left"/>
      <w:pPr>
        <w:ind w:left="720" w:hanging="360"/>
      </w:pPr>
      <w:rPr>
        <w:rFonts w:ascii="Wingdings 2" w:hAnsi="Wingdings 2"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6"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4B720F65"/>
    <w:multiLevelType w:val="multilevel"/>
    <w:tmpl w:val="A1C212C6"/>
    <w:lvl w:ilvl="0">
      <w:start w:val="1"/>
      <w:numFmt w:val="bullet"/>
      <w:lvlText w:val=""/>
      <w:lvlJc w:val="left"/>
      <w:pPr>
        <w:ind w:left="720" w:hanging="360"/>
      </w:pPr>
      <w:rPr>
        <w:rFonts w:ascii="Wingdings 2" w:hAnsi="Wingdings 2"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FD1D65"/>
    <w:multiLevelType w:val="multilevel"/>
    <w:tmpl w:val="B7082DC0"/>
    <w:lvl w:ilvl="0">
      <w:start w:val="1"/>
      <w:numFmt w:val="bullet"/>
      <w:lvlText w:val=""/>
      <w:lvlJc w:val="left"/>
      <w:pPr>
        <w:ind w:left="720" w:hanging="360"/>
      </w:pPr>
      <w:rPr>
        <w:rFonts w:ascii="Wingdings 2" w:hAnsi="Wingdings 2"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0" w15:restartNumberingAfterBreak="0">
    <w:nsid w:val="53B208FA"/>
    <w:multiLevelType w:val="hybridMultilevel"/>
    <w:tmpl w:val="028C276E"/>
    <w:lvl w:ilvl="0" w:tplc="72023E6A">
      <w:start w:val="1"/>
      <w:numFmt w:val="decimal"/>
      <w:lvlText w:val="%1."/>
      <w:lvlJc w:val="left"/>
      <w:pPr>
        <w:ind w:left="720" w:hanging="360"/>
      </w:pPr>
      <w:rPr>
        <w:rFonts w:ascii="Calibri" w:hAnsi="Calibri" w:hint="default"/>
        <w:b w:val="0"/>
        <w:bCs/>
        <w:i w:val="0"/>
        <w:color w:val="B12732"/>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4BC6EB8"/>
    <w:multiLevelType w:val="multilevel"/>
    <w:tmpl w:val="B84CE8A6"/>
    <w:numStyleLink w:val="TableRedNumbersList-IPR"/>
  </w:abstractNum>
  <w:abstractNum w:abstractNumId="3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3" w15:restartNumberingAfterBreak="0">
    <w:nsid w:val="5905607C"/>
    <w:multiLevelType w:val="multilevel"/>
    <w:tmpl w:val="80B4EF18"/>
    <w:lvl w:ilvl="0">
      <w:start w:val="1"/>
      <w:numFmt w:val="bullet"/>
      <w:lvlText w:val=""/>
      <w:lvlJc w:val="left"/>
      <w:pPr>
        <w:ind w:left="720" w:hanging="360"/>
      </w:pPr>
      <w:rPr>
        <w:rFonts w:ascii="Wingdings 2" w:hAnsi="Wingdings 2"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4"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4435B"/>
    <w:multiLevelType w:val="hybridMultilevel"/>
    <w:tmpl w:val="07628FFA"/>
    <w:lvl w:ilvl="0" w:tplc="09F8DA5A">
      <w:start w:val="2"/>
      <w:numFmt w:val="lowerRoman"/>
      <w:lvlText w:val="(%1)"/>
      <w:lvlJc w:val="left"/>
      <w:pPr>
        <w:ind w:left="100" w:hanging="354"/>
      </w:pPr>
      <w:rPr>
        <w:rFonts w:ascii="Calibri" w:eastAsia="Times New Roman" w:hAnsi="Calibri" w:cs="Calibri"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36" w15:restartNumberingAfterBreak="0">
    <w:nsid w:val="5F2C6630"/>
    <w:multiLevelType w:val="hybridMultilevel"/>
    <w:tmpl w:val="37147FFE"/>
    <w:lvl w:ilvl="0" w:tplc="72023E6A">
      <w:start w:val="1"/>
      <w:numFmt w:val="decimal"/>
      <w:lvlText w:val="%1."/>
      <w:lvlJc w:val="left"/>
      <w:pPr>
        <w:ind w:left="720" w:hanging="360"/>
      </w:pPr>
      <w:rPr>
        <w:rFonts w:ascii="Calibri" w:hAnsi="Calibr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9A4D49"/>
    <w:multiLevelType w:val="multilevel"/>
    <w:tmpl w:val="E0FE1110"/>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8" w15:restartNumberingAfterBreak="0">
    <w:nsid w:val="6A8531E0"/>
    <w:multiLevelType w:val="multilevel"/>
    <w:tmpl w:val="13723D78"/>
    <w:lvl w:ilvl="0">
      <w:start w:val="1"/>
      <w:numFmt w:val="bullet"/>
      <w:lvlText w:val=""/>
      <w:lvlJc w:val="left"/>
      <w:pPr>
        <w:ind w:left="720" w:hanging="360"/>
      </w:pPr>
      <w:rPr>
        <w:rFonts w:ascii="Wingdings 2" w:hAnsi="Wingdings 2"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9"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0" w15:restartNumberingAfterBreak="0">
    <w:nsid w:val="79741CC7"/>
    <w:multiLevelType w:val="hybridMultilevel"/>
    <w:tmpl w:val="5F907C5E"/>
    <w:styleLink w:val="TableBlackBulletsList-IPR1"/>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6509BB"/>
    <w:multiLevelType w:val="multilevel"/>
    <w:tmpl w:val="EC8C60E8"/>
    <w:lvl w:ilvl="0">
      <w:start w:val="1"/>
      <w:numFmt w:val="bullet"/>
      <w:lvlText w:val=""/>
      <w:lvlJc w:val="left"/>
      <w:pPr>
        <w:ind w:left="720" w:hanging="360"/>
      </w:pPr>
      <w:rPr>
        <w:rFonts w:ascii="Wingdings 2" w:hAnsi="Wingdings 2"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num w:numId="1">
    <w:abstractNumId w:val="32"/>
  </w:num>
  <w:num w:numId="2">
    <w:abstractNumId w:val="40"/>
  </w:num>
  <w:num w:numId="3">
    <w:abstractNumId w:val="24"/>
  </w:num>
  <w:num w:numId="4">
    <w:abstractNumId w:val="18"/>
  </w:num>
  <w:num w:numId="5">
    <w:abstractNumId w:val="34"/>
  </w:num>
  <w:num w:numId="6">
    <w:abstractNumId w:val="10"/>
  </w:num>
  <w:num w:numId="7">
    <w:abstractNumId w:val="0"/>
  </w:num>
  <w:num w:numId="8">
    <w:abstractNumId w:val="21"/>
  </w:num>
  <w:num w:numId="9">
    <w:abstractNumId w:val="7"/>
  </w:num>
  <w:num w:numId="10">
    <w:abstractNumId w:val="12"/>
  </w:num>
  <w:num w:numId="11">
    <w:abstractNumId w:val="2"/>
  </w:num>
  <w:num w:numId="12">
    <w:abstractNumId w:val="3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3"/>
  </w:num>
  <w:num w:numId="14">
    <w:abstractNumId w:val="4"/>
  </w:num>
  <w:num w:numId="15">
    <w:abstractNumId w:val="5"/>
  </w:num>
  <w:num w:numId="16">
    <w:abstractNumId w:val="6"/>
    <w:lvlOverride w:ilvl="0">
      <w:lvl w:ilvl="0">
        <w:start w:val="1"/>
        <w:numFmt w:val="decimal"/>
        <w:pStyle w:val="NumbersRed-IPR"/>
        <w:lvlText w:val="%1."/>
        <w:lvlJc w:val="left"/>
        <w:pPr>
          <w:ind w:left="720" w:hanging="360"/>
        </w:pPr>
        <w:rPr>
          <w:rFonts w:hint="default"/>
          <w:b w:val="0"/>
          <w:color w:val="B12732"/>
        </w:rPr>
      </w:lvl>
    </w:lvlOverride>
  </w:num>
  <w:num w:numId="17">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23"/>
  </w:num>
  <w:num w:numId="20">
    <w:abstractNumId w:val="28"/>
  </w:num>
  <w:num w:numId="21">
    <w:abstractNumId w:val="11"/>
  </w:num>
  <w:num w:numId="22">
    <w:abstractNumId w:val="26"/>
  </w:num>
  <w:num w:numId="23">
    <w:abstractNumId w:val="20"/>
  </w:num>
  <w:num w:numId="24">
    <w:abstractNumId w:val="39"/>
  </w:num>
  <w:num w:numId="25">
    <w:abstractNumId w:val="15"/>
  </w:num>
  <w:num w:numId="26">
    <w:abstractNumId w:val="33"/>
  </w:num>
  <w:num w:numId="27">
    <w:abstractNumId w:val="41"/>
  </w:num>
  <w:num w:numId="28">
    <w:abstractNumId w:val="3"/>
  </w:num>
  <w:num w:numId="29">
    <w:abstractNumId w:val="29"/>
  </w:num>
  <w:num w:numId="30">
    <w:abstractNumId w:val="27"/>
  </w:num>
  <w:num w:numId="31">
    <w:abstractNumId w:val="25"/>
  </w:num>
  <w:num w:numId="32">
    <w:abstractNumId w:val="19"/>
  </w:num>
  <w:num w:numId="33">
    <w:abstractNumId w:val="16"/>
  </w:num>
  <w:num w:numId="34">
    <w:abstractNumId w:val="38"/>
  </w:num>
  <w:num w:numId="35">
    <w:abstractNumId w:val="9"/>
  </w:num>
  <w:num w:numId="36">
    <w:abstractNumId w:val="9"/>
    <w:lvlOverride w:ilvl="0">
      <w:startOverride w:val="1"/>
    </w:lvlOverride>
  </w:num>
  <w:num w:numId="37">
    <w:abstractNumId w:val="35"/>
  </w:num>
  <w:num w:numId="38">
    <w:abstractNumId w:val="37"/>
  </w:num>
  <w:num w:numId="39">
    <w:abstractNumId w:val="6"/>
  </w:num>
  <w:num w:numId="40">
    <w:abstractNumId w:val="31"/>
    <w:lvlOverride w:ilvl="0">
      <w:lvl w:ilvl="0">
        <w:start w:val="1"/>
        <w:numFmt w:val="decimal"/>
        <w:pStyle w:val="TableRedNumbers-IPR"/>
        <w:lvlText w:val="%1."/>
        <w:lvlJc w:val="right"/>
        <w:pPr>
          <w:ind w:left="360" w:hanging="360"/>
        </w:pPr>
        <w:rPr>
          <w:rFonts w:ascii="Calibri" w:hAnsi="Calibri" w:hint="default"/>
          <w:b w:val="0"/>
          <w:i w:val="0"/>
          <w:color w:val="B12732"/>
          <w:sz w:val="20"/>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1">
    <w:abstractNumId w:val="30"/>
  </w:num>
  <w:num w:numId="42">
    <w:abstractNumId w:val="36"/>
  </w:num>
  <w:num w:numId="43">
    <w:abstractNumId w:val="8"/>
  </w:num>
  <w:num w:numId="44">
    <w:abstractNumId w:val="22"/>
  </w:num>
  <w:num w:numId="45">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827"/>
    <w:rsid w:val="00002EF2"/>
    <w:rsid w:val="00012775"/>
    <w:rsid w:val="00015739"/>
    <w:rsid w:val="00022C1C"/>
    <w:rsid w:val="00024B36"/>
    <w:rsid w:val="000330EE"/>
    <w:rsid w:val="00035538"/>
    <w:rsid w:val="00036035"/>
    <w:rsid w:val="00037EC0"/>
    <w:rsid w:val="00040609"/>
    <w:rsid w:val="0004078C"/>
    <w:rsid w:val="00041885"/>
    <w:rsid w:val="0004462B"/>
    <w:rsid w:val="000525B8"/>
    <w:rsid w:val="00055B78"/>
    <w:rsid w:val="0005655D"/>
    <w:rsid w:val="00060C40"/>
    <w:rsid w:val="00065AB6"/>
    <w:rsid w:val="00066A16"/>
    <w:rsid w:val="00071E43"/>
    <w:rsid w:val="00072CCF"/>
    <w:rsid w:val="000764CC"/>
    <w:rsid w:val="00094CC1"/>
    <w:rsid w:val="00094CCB"/>
    <w:rsid w:val="000A0D8C"/>
    <w:rsid w:val="000A53D5"/>
    <w:rsid w:val="000A63BA"/>
    <w:rsid w:val="000A68D1"/>
    <w:rsid w:val="000B08BF"/>
    <w:rsid w:val="000B24A5"/>
    <w:rsid w:val="000B4926"/>
    <w:rsid w:val="000B50F7"/>
    <w:rsid w:val="000B66B9"/>
    <w:rsid w:val="000C2879"/>
    <w:rsid w:val="000C29EA"/>
    <w:rsid w:val="000C339C"/>
    <w:rsid w:val="000C3E4D"/>
    <w:rsid w:val="000C4F52"/>
    <w:rsid w:val="000C609D"/>
    <w:rsid w:val="000C68FF"/>
    <w:rsid w:val="000D21D7"/>
    <w:rsid w:val="000D33B3"/>
    <w:rsid w:val="000E22D8"/>
    <w:rsid w:val="000E2303"/>
    <w:rsid w:val="000E2ECA"/>
    <w:rsid w:val="000E41B3"/>
    <w:rsid w:val="000E684A"/>
    <w:rsid w:val="000F22FE"/>
    <w:rsid w:val="000F60BE"/>
    <w:rsid w:val="000F631A"/>
    <w:rsid w:val="00106F74"/>
    <w:rsid w:val="00115513"/>
    <w:rsid w:val="00115A8A"/>
    <w:rsid w:val="00122B35"/>
    <w:rsid w:val="00124579"/>
    <w:rsid w:val="00124A4B"/>
    <w:rsid w:val="00125DF4"/>
    <w:rsid w:val="00126BF5"/>
    <w:rsid w:val="00127C53"/>
    <w:rsid w:val="00130E1E"/>
    <w:rsid w:val="0013196B"/>
    <w:rsid w:val="001328A7"/>
    <w:rsid w:val="00133412"/>
    <w:rsid w:val="001446F9"/>
    <w:rsid w:val="00150659"/>
    <w:rsid w:val="00155A53"/>
    <w:rsid w:val="001578FD"/>
    <w:rsid w:val="00161429"/>
    <w:rsid w:val="0016287B"/>
    <w:rsid w:val="001635D6"/>
    <w:rsid w:val="001673B5"/>
    <w:rsid w:val="00170CEF"/>
    <w:rsid w:val="00177BFB"/>
    <w:rsid w:val="001810BD"/>
    <w:rsid w:val="00181850"/>
    <w:rsid w:val="00181C7D"/>
    <w:rsid w:val="00183810"/>
    <w:rsid w:val="001855BE"/>
    <w:rsid w:val="00191BB3"/>
    <w:rsid w:val="0019699C"/>
    <w:rsid w:val="001A1002"/>
    <w:rsid w:val="001A2FF5"/>
    <w:rsid w:val="001A4CCC"/>
    <w:rsid w:val="001A6157"/>
    <w:rsid w:val="001A7028"/>
    <w:rsid w:val="001A7692"/>
    <w:rsid w:val="001B1B2C"/>
    <w:rsid w:val="001B32D5"/>
    <w:rsid w:val="001C3C6B"/>
    <w:rsid w:val="001C5605"/>
    <w:rsid w:val="001C57DB"/>
    <w:rsid w:val="001C5AC9"/>
    <w:rsid w:val="001C6700"/>
    <w:rsid w:val="001D318C"/>
    <w:rsid w:val="001D3E03"/>
    <w:rsid w:val="001E0736"/>
    <w:rsid w:val="001E32A2"/>
    <w:rsid w:val="001E4086"/>
    <w:rsid w:val="001E410C"/>
    <w:rsid w:val="001E4FE0"/>
    <w:rsid w:val="001E6201"/>
    <w:rsid w:val="001E7D91"/>
    <w:rsid w:val="001F2E7B"/>
    <w:rsid w:val="001F3774"/>
    <w:rsid w:val="001F78E4"/>
    <w:rsid w:val="00202289"/>
    <w:rsid w:val="00202EEA"/>
    <w:rsid w:val="00210AE8"/>
    <w:rsid w:val="00214A36"/>
    <w:rsid w:val="00214FC8"/>
    <w:rsid w:val="002226AD"/>
    <w:rsid w:val="00224C95"/>
    <w:rsid w:val="00230AEF"/>
    <w:rsid w:val="00230C6A"/>
    <w:rsid w:val="00233A36"/>
    <w:rsid w:val="00237B42"/>
    <w:rsid w:val="00240BAD"/>
    <w:rsid w:val="00244337"/>
    <w:rsid w:val="00244479"/>
    <w:rsid w:val="002459AE"/>
    <w:rsid w:val="00245DAC"/>
    <w:rsid w:val="00246F92"/>
    <w:rsid w:val="0025082C"/>
    <w:rsid w:val="00252CDD"/>
    <w:rsid w:val="00257C3F"/>
    <w:rsid w:val="00267A45"/>
    <w:rsid w:val="00270620"/>
    <w:rsid w:val="00274661"/>
    <w:rsid w:val="002808A8"/>
    <w:rsid w:val="002847D0"/>
    <w:rsid w:val="0028674A"/>
    <w:rsid w:val="002873D2"/>
    <w:rsid w:val="002914EB"/>
    <w:rsid w:val="00293BDE"/>
    <w:rsid w:val="00294BAD"/>
    <w:rsid w:val="0029752C"/>
    <w:rsid w:val="002A4002"/>
    <w:rsid w:val="002B112B"/>
    <w:rsid w:val="002B1BBE"/>
    <w:rsid w:val="002C065F"/>
    <w:rsid w:val="002C35B8"/>
    <w:rsid w:val="002D126E"/>
    <w:rsid w:val="002D2388"/>
    <w:rsid w:val="002D36DD"/>
    <w:rsid w:val="002D5D85"/>
    <w:rsid w:val="002D6E8D"/>
    <w:rsid w:val="002D7582"/>
    <w:rsid w:val="002E35D2"/>
    <w:rsid w:val="002E4A32"/>
    <w:rsid w:val="002E576E"/>
    <w:rsid w:val="002F0114"/>
    <w:rsid w:val="002F26EE"/>
    <w:rsid w:val="002F3B5A"/>
    <w:rsid w:val="002F75BC"/>
    <w:rsid w:val="00303857"/>
    <w:rsid w:val="003066FB"/>
    <w:rsid w:val="00313F27"/>
    <w:rsid w:val="003162CF"/>
    <w:rsid w:val="00320276"/>
    <w:rsid w:val="003208EC"/>
    <w:rsid w:val="00326A62"/>
    <w:rsid w:val="003273F1"/>
    <w:rsid w:val="00331518"/>
    <w:rsid w:val="00337D45"/>
    <w:rsid w:val="00341ED6"/>
    <w:rsid w:val="003472AC"/>
    <w:rsid w:val="0035171A"/>
    <w:rsid w:val="003541C9"/>
    <w:rsid w:val="00357E67"/>
    <w:rsid w:val="00360F6F"/>
    <w:rsid w:val="0036104C"/>
    <w:rsid w:val="00363D63"/>
    <w:rsid w:val="003718B5"/>
    <w:rsid w:val="00376BE5"/>
    <w:rsid w:val="00382607"/>
    <w:rsid w:val="003876C1"/>
    <w:rsid w:val="0039001A"/>
    <w:rsid w:val="00392BE4"/>
    <w:rsid w:val="00393EB0"/>
    <w:rsid w:val="00393FAE"/>
    <w:rsid w:val="0039715A"/>
    <w:rsid w:val="003A1D15"/>
    <w:rsid w:val="003A7EDD"/>
    <w:rsid w:val="003A7F34"/>
    <w:rsid w:val="003B0110"/>
    <w:rsid w:val="003B034A"/>
    <w:rsid w:val="003B5469"/>
    <w:rsid w:val="003C6499"/>
    <w:rsid w:val="003D041D"/>
    <w:rsid w:val="003D1254"/>
    <w:rsid w:val="003D23D9"/>
    <w:rsid w:val="003D2591"/>
    <w:rsid w:val="003D34F7"/>
    <w:rsid w:val="003D368C"/>
    <w:rsid w:val="003D7E45"/>
    <w:rsid w:val="003E3BBA"/>
    <w:rsid w:val="003E551C"/>
    <w:rsid w:val="003E5F43"/>
    <w:rsid w:val="00404C1C"/>
    <w:rsid w:val="004110DA"/>
    <w:rsid w:val="004217E7"/>
    <w:rsid w:val="00423955"/>
    <w:rsid w:val="00424050"/>
    <w:rsid w:val="00427600"/>
    <w:rsid w:val="00431F8D"/>
    <w:rsid w:val="00441547"/>
    <w:rsid w:val="00442715"/>
    <w:rsid w:val="00450BA5"/>
    <w:rsid w:val="00452B9E"/>
    <w:rsid w:val="004555D0"/>
    <w:rsid w:val="0045655E"/>
    <w:rsid w:val="004641BD"/>
    <w:rsid w:val="00466F08"/>
    <w:rsid w:val="00473EAC"/>
    <w:rsid w:val="0048146D"/>
    <w:rsid w:val="0048236F"/>
    <w:rsid w:val="00482E29"/>
    <w:rsid w:val="004835B4"/>
    <w:rsid w:val="00496542"/>
    <w:rsid w:val="004A0638"/>
    <w:rsid w:val="004B08DD"/>
    <w:rsid w:val="004B4F0D"/>
    <w:rsid w:val="004B796B"/>
    <w:rsid w:val="004C5633"/>
    <w:rsid w:val="004C66F1"/>
    <w:rsid w:val="004D23B8"/>
    <w:rsid w:val="004D4F58"/>
    <w:rsid w:val="004D52AA"/>
    <w:rsid w:val="004D5348"/>
    <w:rsid w:val="004E0E2F"/>
    <w:rsid w:val="004E0EB6"/>
    <w:rsid w:val="004E189F"/>
    <w:rsid w:val="004E635E"/>
    <w:rsid w:val="004E68B3"/>
    <w:rsid w:val="004E79A4"/>
    <w:rsid w:val="004F37A1"/>
    <w:rsid w:val="005026F6"/>
    <w:rsid w:val="00502DB0"/>
    <w:rsid w:val="0050748F"/>
    <w:rsid w:val="005109B4"/>
    <w:rsid w:val="00513E31"/>
    <w:rsid w:val="00513F8B"/>
    <w:rsid w:val="00514782"/>
    <w:rsid w:val="00516ABE"/>
    <w:rsid w:val="005236D7"/>
    <w:rsid w:val="00523798"/>
    <w:rsid w:val="00526B66"/>
    <w:rsid w:val="00532636"/>
    <w:rsid w:val="0053312A"/>
    <w:rsid w:val="00533DE2"/>
    <w:rsid w:val="00536DFF"/>
    <w:rsid w:val="00540CD6"/>
    <w:rsid w:val="00541149"/>
    <w:rsid w:val="00541D1F"/>
    <w:rsid w:val="00546602"/>
    <w:rsid w:val="00550C61"/>
    <w:rsid w:val="005546C4"/>
    <w:rsid w:val="00555B2C"/>
    <w:rsid w:val="0055666E"/>
    <w:rsid w:val="00564182"/>
    <w:rsid w:val="005647C1"/>
    <w:rsid w:val="00565C4D"/>
    <w:rsid w:val="00566470"/>
    <w:rsid w:val="00567980"/>
    <w:rsid w:val="00574C8D"/>
    <w:rsid w:val="005847E7"/>
    <w:rsid w:val="005851DF"/>
    <w:rsid w:val="00585B39"/>
    <w:rsid w:val="00587A23"/>
    <w:rsid w:val="00594FA6"/>
    <w:rsid w:val="00595FC7"/>
    <w:rsid w:val="005976EA"/>
    <w:rsid w:val="005A01EC"/>
    <w:rsid w:val="005A050B"/>
    <w:rsid w:val="005A1C07"/>
    <w:rsid w:val="005A20A4"/>
    <w:rsid w:val="005A5BEE"/>
    <w:rsid w:val="005B2C56"/>
    <w:rsid w:val="005C417C"/>
    <w:rsid w:val="005D2989"/>
    <w:rsid w:val="005D5997"/>
    <w:rsid w:val="005D631A"/>
    <w:rsid w:val="005D650A"/>
    <w:rsid w:val="005F2F55"/>
    <w:rsid w:val="005F42DB"/>
    <w:rsid w:val="005F6E75"/>
    <w:rsid w:val="00600FF8"/>
    <w:rsid w:val="00610673"/>
    <w:rsid w:val="006106FB"/>
    <w:rsid w:val="006150ED"/>
    <w:rsid w:val="00634443"/>
    <w:rsid w:val="0064514E"/>
    <w:rsid w:val="00652E26"/>
    <w:rsid w:val="006538E4"/>
    <w:rsid w:val="00654431"/>
    <w:rsid w:val="006559C7"/>
    <w:rsid w:val="006561E0"/>
    <w:rsid w:val="006563ED"/>
    <w:rsid w:val="00662998"/>
    <w:rsid w:val="006631F9"/>
    <w:rsid w:val="006646D0"/>
    <w:rsid w:val="00664A30"/>
    <w:rsid w:val="00667B2F"/>
    <w:rsid w:val="00670476"/>
    <w:rsid w:val="0067052B"/>
    <w:rsid w:val="0067394A"/>
    <w:rsid w:val="0068382F"/>
    <w:rsid w:val="00684E48"/>
    <w:rsid w:val="00686046"/>
    <w:rsid w:val="00692A05"/>
    <w:rsid w:val="00694E47"/>
    <w:rsid w:val="00697B5D"/>
    <w:rsid w:val="006A06D4"/>
    <w:rsid w:val="006A13F6"/>
    <w:rsid w:val="006A19A8"/>
    <w:rsid w:val="006A3D4A"/>
    <w:rsid w:val="006B13A0"/>
    <w:rsid w:val="006B2970"/>
    <w:rsid w:val="006B527B"/>
    <w:rsid w:val="006B6C71"/>
    <w:rsid w:val="006C1257"/>
    <w:rsid w:val="006C199A"/>
    <w:rsid w:val="006C273A"/>
    <w:rsid w:val="006C3940"/>
    <w:rsid w:val="006C5464"/>
    <w:rsid w:val="006D18B7"/>
    <w:rsid w:val="006D249C"/>
    <w:rsid w:val="006D5FDB"/>
    <w:rsid w:val="006D775C"/>
    <w:rsid w:val="006E062F"/>
    <w:rsid w:val="006E1713"/>
    <w:rsid w:val="006E4D36"/>
    <w:rsid w:val="006E505E"/>
    <w:rsid w:val="006F20D9"/>
    <w:rsid w:val="006F3271"/>
    <w:rsid w:val="006F57A0"/>
    <w:rsid w:val="00702AEF"/>
    <w:rsid w:val="00704BED"/>
    <w:rsid w:val="00725E90"/>
    <w:rsid w:val="00744452"/>
    <w:rsid w:val="0075272D"/>
    <w:rsid w:val="00754555"/>
    <w:rsid w:val="00755695"/>
    <w:rsid w:val="00761E9B"/>
    <w:rsid w:val="00765D33"/>
    <w:rsid w:val="00770A58"/>
    <w:rsid w:val="00770FF4"/>
    <w:rsid w:val="00773251"/>
    <w:rsid w:val="00773F9C"/>
    <w:rsid w:val="007770E1"/>
    <w:rsid w:val="007846A1"/>
    <w:rsid w:val="00786B0C"/>
    <w:rsid w:val="00786B9E"/>
    <w:rsid w:val="00790528"/>
    <w:rsid w:val="0079797B"/>
    <w:rsid w:val="007A0310"/>
    <w:rsid w:val="007A31F8"/>
    <w:rsid w:val="007A474F"/>
    <w:rsid w:val="007B1E0E"/>
    <w:rsid w:val="007B27CD"/>
    <w:rsid w:val="007B2EB9"/>
    <w:rsid w:val="007B3855"/>
    <w:rsid w:val="007B4F48"/>
    <w:rsid w:val="007B5040"/>
    <w:rsid w:val="007B60D6"/>
    <w:rsid w:val="007B785B"/>
    <w:rsid w:val="007C13E2"/>
    <w:rsid w:val="007D00DB"/>
    <w:rsid w:val="007D1EF7"/>
    <w:rsid w:val="007D5E85"/>
    <w:rsid w:val="007E6779"/>
    <w:rsid w:val="007F18F0"/>
    <w:rsid w:val="007F55B8"/>
    <w:rsid w:val="007F7C44"/>
    <w:rsid w:val="008001CC"/>
    <w:rsid w:val="0080063A"/>
    <w:rsid w:val="008008E1"/>
    <w:rsid w:val="00800CF4"/>
    <w:rsid w:val="00805E4C"/>
    <w:rsid w:val="008069F1"/>
    <w:rsid w:val="00812E92"/>
    <w:rsid w:val="00814772"/>
    <w:rsid w:val="00817225"/>
    <w:rsid w:val="008204AD"/>
    <w:rsid w:val="00820E25"/>
    <w:rsid w:val="00820F5A"/>
    <w:rsid w:val="00827252"/>
    <w:rsid w:val="008324DE"/>
    <w:rsid w:val="0083435C"/>
    <w:rsid w:val="00836197"/>
    <w:rsid w:val="00837700"/>
    <w:rsid w:val="00840006"/>
    <w:rsid w:val="00841978"/>
    <w:rsid w:val="00843A1A"/>
    <w:rsid w:val="00852383"/>
    <w:rsid w:val="00852A65"/>
    <w:rsid w:val="00873742"/>
    <w:rsid w:val="008811E4"/>
    <w:rsid w:val="00885D52"/>
    <w:rsid w:val="00890220"/>
    <w:rsid w:val="008A4242"/>
    <w:rsid w:val="008B2BA2"/>
    <w:rsid w:val="008C1571"/>
    <w:rsid w:val="008C1B6F"/>
    <w:rsid w:val="008C3AB3"/>
    <w:rsid w:val="008C4FF2"/>
    <w:rsid w:val="008C5DD0"/>
    <w:rsid w:val="008C681E"/>
    <w:rsid w:val="008C7D8E"/>
    <w:rsid w:val="008D1DF4"/>
    <w:rsid w:val="008D6AF4"/>
    <w:rsid w:val="008E7D06"/>
    <w:rsid w:val="008F174D"/>
    <w:rsid w:val="008F1857"/>
    <w:rsid w:val="008F51CF"/>
    <w:rsid w:val="00903BC9"/>
    <w:rsid w:val="009065E1"/>
    <w:rsid w:val="00917320"/>
    <w:rsid w:val="009173B8"/>
    <w:rsid w:val="0092254B"/>
    <w:rsid w:val="00924AD8"/>
    <w:rsid w:val="0093686E"/>
    <w:rsid w:val="0094079B"/>
    <w:rsid w:val="00945039"/>
    <w:rsid w:val="00950285"/>
    <w:rsid w:val="00956BA3"/>
    <w:rsid w:val="00956F8E"/>
    <w:rsid w:val="00960072"/>
    <w:rsid w:val="009622AB"/>
    <w:rsid w:val="0097251F"/>
    <w:rsid w:val="00980DDF"/>
    <w:rsid w:val="00982398"/>
    <w:rsid w:val="009837AF"/>
    <w:rsid w:val="00994601"/>
    <w:rsid w:val="009A0DA1"/>
    <w:rsid w:val="009A19EE"/>
    <w:rsid w:val="009A381F"/>
    <w:rsid w:val="009A5445"/>
    <w:rsid w:val="009A73AC"/>
    <w:rsid w:val="009A7712"/>
    <w:rsid w:val="009B0D30"/>
    <w:rsid w:val="009B0FED"/>
    <w:rsid w:val="009B1AAD"/>
    <w:rsid w:val="009B1F71"/>
    <w:rsid w:val="009B2C98"/>
    <w:rsid w:val="009B61B1"/>
    <w:rsid w:val="009B65A2"/>
    <w:rsid w:val="009C475C"/>
    <w:rsid w:val="009D14D7"/>
    <w:rsid w:val="009D1E90"/>
    <w:rsid w:val="009D3A1D"/>
    <w:rsid w:val="009E27C6"/>
    <w:rsid w:val="009F4CB3"/>
    <w:rsid w:val="00A00A72"/>
    <w:rsid w:val="00A03684"/>
    <w:rsid w:val="00A04349"/>
    <w:rsid w:val="00A0610B"/>
    <w:rsid w:val="00A072EC"/>
    <w:rsid w:val="00A11D5A"/>
    <w:rsid w:val="00A15F06"/>
    <w:rsid w:val="00A1754E"/>
    <w:rsid w:val="00A216EF"/>
    <w:rsid w:val="00A21813"/>
    <w:rsid w:val="00A218BE"/>
    <w:rsid w:val="00A239A2"/>
    <w:rsid w:val="00A3051D"/>
    <w:rsid w:val="00A34AD5"/>
    <w:rsid w:val="00A430F2"/>
    <w:rsid w:val="00A44617"/>
    <w:rsid w:val="00A4796D"/>
    <w:rsid w:val="00A5245E"/>
    <w:rsid w:val="00A540DF"/>
    <w:rsid w:val="00A54E9E"/>
    <w:rsid w:val="00A57D43"/>
    <w:rsid w:val="00A57D99"/>
    <w:rsid w:val="00A64571"/>
    <w:rsid w:val="00A65689"/>
    <w:rsid w:val="00A65B0D"/>
    <w:rsid w:val="00A716E3"/>
    <w:rsid w:val="00A72020"/>
    <w:rsid w:val="00A74D84"/>
    <w:rsid w:val="00A84468"/>
    <w:rsid w:val="00A845C0"/>
    <w:rsid w:val="00A90F80"/>
    <w:rsid w:val="00A92E0D"/>
    <w:rsid w:val="00A93212"/>
    <w:rsid w:val="00A95173"/>
    <w:rsid w:val="00AA4F03"/>
    <w:rsid w:val="00AA5306"/>
    <w:rsid w:val="00AA6F6E"/>
    <w:rsid w:val="00AB140C"/>
    <w:rsid w:val="00AB189C"/>
    <w:rsid w:val="00AB282B"/>
    <w:rsid w:val="00AB360A"/>
    <w:rsid w:val="00AC596C"/>
    <w:rsid w:val="00AC6D3C"/>
    <w:rsid w:val="00AC7106"/>
    <w:rsid w:val="00AD4E3D"/>
    <w:rsid w:val="00AD5389"/>
    <w:rsid w:val="00AD6BC3"/>
    <w:rsid w:val="00AD6D3B"/>
    <w:rsid w:val="00AE5566"/>
    <w:rsid w:val="00AF02EB"/>
    <w:rsid w:val="00AF6B6F"/>
    <w:rsid w:val="00B00306"/>
    <w:rsid w:val="00B014F7"/>
    <w:rsid w:val="00B0199D"/>
    <w:rsid w:val="00B06F29"/>
    <w:rsid w:val="00B1098F"/>
    <w:rsid w:val="00B15515"/>
    <w:rsid w:val="00B21505"/>
    <w:rsid w:val="00B22256"/>
    <w:rsid w:val="00B25483"/>
    <w:rsid w:val="00B26409"/>
    <w:rsid w:val="00B30C6D"/>
    <w:rsid w:val="00B30E41"/>
    <w:rsid w:val="00B3120E"/>
    <w:rsid w:val="00B34082"/>
    <w:rsid w:val="00B3413A"/>
    <w:rsid w:val="00B40614"/>
    <w:rsid w:val="00B40C89"/>
    <w:rsid w:val="00B46609"/>
    <w:rsid w:val="00B61F9B"/>
    <w:rsid w:val="00B63CF8"/>
    <w:rsid w:val="00B656C6"/>
    <w:rsid w:val="00B66FB5"/>
    <w:rsid w:val="00B70D5E"/>
    <w:rsid w:val="00B76A84"/>
    <w:rsid w:val="00B830B8"/>
    <w:rsid w:val="00B833D9"/>
    <w:rsid w:val="00B92682"/>
    <w:rsid w:val="00B93AC6"/>
    <w:rsid w:val="00B966AF"/>
    <w:rsid w:val="00B9697A"/>
    <w:rsid w:val="00B96C8B"/>
    <w:rsid w:val="00B9755A"/>
    <w:rsid w:val="00BA45E5"/>
    <w:rsid w:val="00BA4B2A"/>
    <w:rsid w:val="00BA6B3F"/>
    <w:rsid w:val="00BA6C57"/>
    <w:rsid w:val="00BB16DF"/>
    <w:rsid w:val="00BB4285"/>
    <w:rsid w:val="00BC1DD5"/>
    <w:rsid w:val="00BD0875"/>
    <w:rsid w:val="00BD5659"/>
    <w:rsid w:val="00BD5B31"/>
    <w:rsid w:val="00BE068A"/>
    <w:rsid w:val="00BE1BC2"/>
    <w:rsid w:val="00BE2F2C"/>
    <w:rsid w:val="00BF088B"/>
    <w:rsid w:val="00BF1A1D"/>
    <w:rsid w:val="00BF37B5"/>
    <w:rsid w:val="00C000E1"/>
    <w:rsid w:val="00C0236E"/>
    <w:rsid w:val="00C02F39"/>
    <w:rsid w:val="00C05256"/>
    <w:rsid w:val="00C11802"/>
    <w:rsid w:val="00C11BF6"/>
    <w:rsid w:val="00C1299A"/>
    <w:rsid w:val="00C14631"/>
    <w:rsid w:val="00C15787"/>
    <w:rsid w:val="00C17467"/>
    <w:rsid w:val="00C17CDF"/>
    <w:rsid w:val="00C27766"/>
    <w:rsid w:val="00C369AD"/>
    <w:rsid w:val="00C40E7A"/>
    <w:rsid w:val="00C44EE1"/>
    <w:rsid w:val="00C55356"/>
    <w:rsid w:val="00C55ADB"/>
    <w:rsid w:val="00C56A6F"/>
    <w:rsid w:val="00C60865"/>
    <w:rsid w:val="00C63FD1"/>
    <w:rsid w:val="00C655CF"/>
    <w:rsid w:val="00C70EFC"/>
    <w:rsid w:val="00C7100C"/>
    <w:rsid w:val="00C7215B"/>
    <w:rsid w:val="00C7517C"/>
    <w:rsid w:val="00C75CC3"/>
    <w:rsid w:val="00C761B9"/>
    <w:rsid w:val="00C82EFF"/>
    <w:rsid w:val="00C85162"/>
    <w:rsid w:val="00CA1386"/>
    <w:rsid w:val="00CA222F"/>
    <w:rsid w:val="00CA4BA0"/>
    <w:rsid w:val="00CA598A"/>
    <w:rsid w:val="00CB0301"/>
    <w:rsid w:val="00CC7407"/>
    <w:rsid w:val="00CD160F"/>
    <w:rsid w:val="00CD3328"/>
    <w:rsid w:val="00CD436B"/>
    <w:rsid w:val="00CD6CCB"/>
    <w:rsid w:val="00CD7C53"/>
    <w:rsid w:val="00CE756A"/>
    <w:rsid w:val="00CF0F1D"/>
    <w:rsid w:val="00CF2849"/>
    <w:rsid w:val="00CF59EC"/>
    <w:rsid w:val="00CF6506"/>
    <w:rsid w:val="00D00738"/>
    <w:rsid w:val="00D02928"/>
    <w:rsid w:val="00D02AB8"/>
    <w:rsid w:val="00D0346D"/>
    <w:rsid w:val="00D05C42"/>
    <w:rsid w:val="00D101FF"/>
    <w:rsid w:val="00D136EF"/>
    <w:rsid w:val="00D14C1E"/>
    <w:rsid w:val="00D206E4"/>
    <w:rsid w:val="00D239B7"/>
    <w:rsid w:val="00D26586"/>
    <w:rsid w:val="00D274AB"/>
    <w:rsid w:val="00D305F9"/>
    <w:rsid w:val="00D31F94"/>
    <w:rsid w:val="00D33FE7"/>
    <w:rsid w:val="00D350EB"/>
    <w:rsid w:val="00D423E0"/>
    <w:rsid w:val="00D44D1F"/>
    <w:rsid w:val="00D460A6"/>
    <w:rsid w:val="00D5336A"/>
    <w:rsid w:val="00D62DC7"/>
    <w:rsid w:val="00D63F0F"/>
    <w:rsid w:val="00D64730"/>
    <w:rsid w:val="00D75DCB"/>
    <w:rsid w:val="00D81984"/>
    <w:rsid w:val="00D84204"/>
    <w:rsid w:val="00D84243"/>
    <w:rsid w:val="00D848B5"/>
    <w:rsid w:val="00D906D7"/>
    <w:rsid w:val="00D95978"/>
    <w:rsid w:val="00D95D0D"/>
    <w:rsid w:val="00D96A9C"/>
    <w:rsid w:val="00DA319F"/>
    <w:rsid w:val="00DA3CB3"/>
    <w:rsid w:val="00DA6D3F"/>
    <w:rsid w:val="00DA6E74"/>
    <w:rsid w:val="00DA7708"/>
    <w:rsid w:val="00DB5AE5"/>
    <w:rsid w:val="00DB5D5C"/>
    <w:rsid w:val="00DC44C5"/>
    <w:rsid w:val="00DC7229"/>
    <w:rsid w:val="00DD0D51"/>
    <w:rsid w:val="00DD6364"/>
    <w:rsid w:val="00DE07A5"/>
    <w:rsid w:val="00DE5E78"/>
    <w:rsid w:val="00DE61DC"/>
    <w:rsid w:val="00E0053A"/>
    <w:rsid w:val="00E02012"/>
    <w:rsid w:val="00E05FB4"/>
    <w:rsid w:val="00E0774B"/>
    <w:rsid w:val="00E128E7"/>
    <w:rsid w:val="00E1738B"/>
    <w:rsid w:val="00E17AE2"/>
    <w:rsid w:val="00E26C79"/>
    <w:rsid w:val="00E31EF5"/>
    <w:rsid w:val="00E3264E"/>
    <w:rsid w:val="00E331F4"/>
    <w:rsid w:val="00E34854"/>
    <w:rsid w:val="00E34DD4"/>
    <w:rsid w:val="00E3566A"/>
    <w:rsid w:val="00E42DD1"/>
    <w:rsid w:val="00E445A8"/>
    <w:rsid w:val="00E4731F"/>
    <w:rsid w:val="00E53B1F"/>
    <w:rsid w:val="00E54165"/>
    <w:rsid w:val="00E551A2"/>
    <w:rsid w:val="00E55614"/>
    <w:rsid w:val="00E562CE"/>
    <w:rsid w:val="00E573E7"/>
    <w:rsid w:val="00E60B44"/>
    <w:rsid w:val="00E60B66"/>
    <w:rsid w:val="00E618CC"/>
    <w:rsid w:val="00E636F3"/>
    <w:rsid w:val="00E71251"/>
    <w:rsid w:val="00E75D90"/>
    <w:rsid w:val="00E766FF"/>
    <w:rsid w:val="00E77747"/>
    <w:rsid w:val="00E81437"/>
    <w:rsid w:val="00E81587"/>
    <w:rsid w:val="00E917A0"/>
    <w:rsid w:val="00E93CF4"/>
    <w:rsid w:val="00E96CEF"/>
    <w:rsid w:val="00E9793A"/>
    <w:rsid w:val="00EA0641"/>
    <w:rsid w:val="00EA29EC"/>
    <w:rsid w:val="00EA48FA"/>
    <w:rsid w:val="00EA7A5D"/>
    <w:rsid w:val="00EA7E0A"/>
    <w:rsid w:val="00EB04A9"/>
    <w:rsid w:val="00EB1C36"/>
    <w:rsid w:val="00EB3FBB"/>
    <w:rsid w:val="00EC1B26"/>
    <w:rsid w:val="00EC4628"/>
    <w:rsid w:val="00ED1267"/>
    <w:rsid w:val="00ED2B08"/>
    <w:rsid w:val="00ED7A02"/>
    <w:rsid w:val="00EE0CE6"/>
    <w:rsid w:val="00EE12F0"/>
    <w:rsid w:val="00EE3560"/>
    <w:rsid w:val="00EE5A73"/>
    <w:rsid w:val="00EF0396"/>
    <w:rsid w:val="00EF0C32"/>
    <w:rsid w:val="00EF2065"/>
    <w:rsid w:val="00EF655B"/>
    <w:rsid w:val="00F04F32"/>
    <w:rsid w:val="00F059D7"/>
    <w:rsid w:val="00F117B7"/>
    <w:rsid w:val="00F128A8"/>
    <w:rsid w:val="00F13B65"/>
    <w:rsid w:val="00F1472C"/>
    <w:rsid w:val="00F16354"/>
    <w:rsid w:val="00F17890"/>
    <w:rsid w:val="00F17B1F"/>
    <w:rsid w:val="00F23B6C"/>
    <w:rsid w:val="00F2413D"/>
    <w:rsid w:val="00F2669A"/>
    <w:rsid w:val="00F272DE"/>
    <w:rsid w:val="00F27C95"/>
    <w:rsid w:val="00F31DA2"/>
    <w:rsid w:val="00F35312"/>
    <w:rsid w:val="00F40880"/>
    <w:rsid w:val="00F418CD"/>
    <w:rsid w:val="00F41939"/>
    <w:rsid w:val="00F4435F"/>
    <w:rsid w:val="00F4450B"/>
    <w:rsid w:val="00F46AD8"/>
    <w:rsid w:val="00F51507"/>
    <w:rsid w:val="00F51A13"/>
    <w:rsid w:val="00F5289D"/>
    <w:rsid w:val="00F5452C"/>
    <w:rsid w:val="00F57577"/>
    <w:rsid w:val="00F61B64"/>
    <w:rsid w:val="00F670F0"/>
    <w:rsid w:val="00F70AA3"/>
    <w:rsid w:val="00F76EF9"/>
    <w:rsid w:val="00F770B2"/>
    <w:rsid w:val="00F81391"/>
    <w:rsid w:val="00F821CA"/>
    <w:rsid w:val="00F82B50"/>
    <w:rsid w:val="00F83CB0"/>
    <w:rsid w:val="00F841A1"/>
    <w:rsid w:val="00F86FEE"/>
    <w:rsid w:val="00F87413"/>
    <w:rsid w:val="00F901A0"/>
    <w:rsid w:val="00FA0B7B"/>
    <w:rsid w:val="00FA1FC3"/>
    <w:rsid w:val="00FA4FE8"/>
    <w:rsid w:val="00FA678C"/>
    <w:rsid w:val="00FB2BE9"/>
    <w:rsid w:val="00FB7EA8"/>
    <w:rsid w:val="00FC11F8"/>
    <w:rsid w:val="00FC4E4A"/>
    <w:rsid w:val="00FD3BB7"/>
    <w:rsid w:val="00FE1524"/>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87F8C69"/>
  <w15:docId w15:val="{DA4CC01E-796C-498C-A30D-95002EB3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iPriority w:val="99"/>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99"/>
    <w:unhideWhenUsed/>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99"/>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TextNumber">
    <w:name w:val="Table Text Number"/>
    <w:basedOn w:val="ListParagraph"/>
    <w:link w:val="TableTextNumberChar"/>
    <w:qFormat/>
    <w:rsid w:val="003A7F34"/>
    <w:pPr>
      <w:numPr>
        <w:numId w:val="35"/>
      </w:numPr>
      <w:spacing w:after="60"/>
      <w:contextualSpacing w:val="0"/>
    </w:pPr>
    <w:rPr>
      <w:rFonts w:ascii="Calibri" w:hAnsi="Calibri"/>
      <w:sz w:val="20"/>
    </w:rPr>
  </w:style>
  <w:style w:type="character" w:customStyle="1" w:styleId="TableTextNumberChar">
    <w:name w:val="Table Text Number Char"/>
    <w:basedOn w:val="ListParagraphChar"/>
    <w:link w:val="TableTextNumber"/>
    <w:rsid w:val="003A7F34"/>
    <w:rPr>
      <w:rFonts w:ascii="Calibri" w:hAnsi="Calibri"/>
      <w:sz w:val="20"/>
    </w:rPr>
  </w:style>
  <w:style w:type="character" w:customStyle="1" w:styleId="Body11ptCalibri-IPRChar">
    <w:name w:val="Body11ptCalibri-IPR Char"/>
    <w:basedOn w:val="DefaultParagraphFont"/>
    <w:link w:val="Body11ptCalibri-IPR"/>
    <w:locked/>
    <w:rsid w:val="00A00A72"/>
    <w:rPr>
      <w:rFonts w:ascii="Calibri" w:eastAsia="Times New Roman" w:hAnsi="Calibri" w:cs="Times New Roman"/>
      <w:szCs w:val="24"/>
    </w:rPr>
  </w:style>
  <w:style w:type="paragraph" w:customStyle="1" w:styleId="Body11ptCalibri-IPR">
    <w:name w:val="Body11ptCalibri-IPR"/>
    <w:link w:val="Body11ptCalibri-IPRChar"/>
    <w:qFormat/>
    <w:rsid w:val="00A00A72"/>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733700821">
      <w:bodyDiv w:val="1"/>
      <w:marLeft w:val="0"/>
      <w:marRight w:val="0"/>
      <w:marTop w:val="0"/>
      <w:marBottom w:val="0"/>
      <w:divBdr>
        <w:top w:val="none" w:sz="0" w:space="0" w:color="auto"/>
        <w:left w:val="none" w:sz="0" w:space="0" w:color="auto"/>
        <w:bottom w:val="none" w:sz="0" w:space="0" w:color="auto"/>
        <w:right w:val="none" w:sz="0" w:space="0" w:color="auto"/>
      </w:divBdr>
    </w:div>
    <w:div w:id="1130710047">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907714656">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4B586-BEF0-4FD8-8C87-A300D2A0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Dani Hansen</cp:lastModifiedBy>
  <cp:revision>4</cp:revision>
  <cp:lastPrinted>2019-03-07T15:52:00Z</cp:lastPrinted>
  <dcterms:created xsi:type="dcterms:W3CDTF">2022-01-03T17:45:00Z</dcterms:created>
  <dcterms:modified xsi:type="dcterms:W3CDTF">2022-01-14T00:41:00Z</dcterms:modified>
</cp:coreProperties>
</file>