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01F29" w:rsidR="00754990" w:rsidP="00754990" w:rsidRDefault="00754990" w14:paraId="4B0220D0" w14:textId="5E2EB3B6">
      <w:pPr>
        <w:pStyle w:val="DocTitle-IPR"/>
        <w:spacing w:before="1440" w:after="1440"/>
        <w:rPr>
          <w:rFonts w:ascii="Candara" w:hAnsi="Candara"/>
        </w:rPr>
      </w:pPr>
      <w:bookmarkStart w:name="OLE_LINK1" w:id="0"/>
      <w:r w:rsidRPr="00E01F29">
        <w:rPr>
          <w:rFonts w:ascii="Candara" w:hAnsi="Candara"/>
        </w:rPr>
        <w:t xml:space="preserve">Supporting Statement Part </w:t>
      </w:r>
      <w:r>
        <w:rPr>
          <w:rFonts w:ascii="Candara" w:hAnsi="Candara"/>
        </w:rPr>
        <w:t>B</w:t>
      </w:r>
    </w:p>
    <w:p w:rsidRPr="00267BFC" w:rsidR="00754990" w:rsidP="00754990" w:rsidRDefault="00754990" w14:paraId="2BB19CDC" w14:textId="77777777">
      <w:pPr>
        <w:spacing w:before="1440" w:after="1440"/>
        <w:jc w:val="center"/>
        <w:rPr>
          <w:rFonts w:ascii="Candara" w:hAnsi="Candara"/>
          <w:bCs/>
          <w:sz w:val="36"/>
          <w:szCs w:val="52"/>
        </w:rPr>
      </w:pPr>
      <w:r w:rsidRPr="00D6798F">
        <w:rPr>
          <w:rFonts w:ascii="Candara" w:hAnsi="Candara"/>
          <w:bCs/>
          <w:sz w:val="36"/>
          <w:szCs w:val="52"/>
        </w:rPr>
        <w:t>OMB No. 0584-[NEW]</w:t>
      </w:r>
    </w:p>
    <w:p w:rsidR="00754990" w:rsidP="00754990" w:rsidRDefault="00754990" w14:paraId="57DB80D5" w14:textId="77777777">
      <w:pPr>
        <w:spacing w:before="1440" w:after="1440"/>
        <w:jc w:val="center"/>
        <w:rPr>
          <w:rFonts w:ascii="Candara" w:hAnsi="Candara" w:cs="Lucida Sans Unicode"/>
          <w:i/>
          <w:sz w:val="36"/>
          <w:szCs w:val="36"/>
        </w:rPr>
      </w:pPr>
      <w:r w:rsidRPr="00311E40">
        <w:rPr>
          <w:rFonts w:ascii="Candara" w:hAnsi="Candara" w:cs="Lucida Sans Unicode"/>
          <w:i/>
          <w:sz w:val="36"/>
          <w:szCs w:val="36"/>
        </w:rPr>
        <w:t>Food Security Status and Well-Being of Nutrition Assistance Program (NAP) Participants in Puerto Rico</w:t>
      </w:r>
    </w:p>
    <w:p w:rsidRPr="00E40F84" w:rsidR="00754990" w:rsidP="00754990" w:rsidRDefault="00757A2A" w14:paraId="1AEA4E36" w14:textId="5ECF593A">
      <w:pPr>
        <w:spacing w:before="1440" w:after="1440"/>
        <w:jc w:val="center"/>
        <w:rPr>
          <w:rFonts w:ascii="Calibri" w:hAnsi="Calibri" w:cs="Calibri"/>
        </w:rPr>
      </w:pPr>
      <w:r>
        <w:rPr>
          <w:rFonts w:ascii="Calibri" w:hAnsi="Calibri" w:cs="Calibri"/>
        </w:rPr>
        <w:t>May 3</w:t>
      </w:r>
      <w:r w:rsidRPr="00BB4565" w:rsidR="00754990">
        <w:rPr>
          <w:rFonts w:ascii="Calibri" w:hAnsi="Calibri" w:cs="Calibri"/>
        </w:rPr>
        <w:t>, 202</w:t>
      </w:r>
      <w:r w:rsidR="00DE76D6">
        <w:rPr>
          <w:rFonts w:ascii="Calibri" w:hAnsi="Calibri" w:cs="Calibri"/>
        </w:rPr>
        <w:t>2</w:t>
      </w:r>
    </w:p>
    <w:p w:rsidRPr="00C07F5B" w:rsidR="00754990" w:rsidP="00754990" w:rsidRDefault="00754990" w14:paraId="29C73780" w14:textId="77777777">
      <w:pPr>
        <w:pStyle w:val="TableText-IPR"/>
        <w:spacing w:after="120"/>
        <w:jc w:val="center"/>
        <w:rPr>
          <w:b/>
          <w:sz w:val="24"/>
          <w:szCs w:val="24"/>
        </w:rPr>
      </w:pPr>
      <w:r w:rsidRPr="008D5210">
        <w:rPr>
          <w:b/>
          <w:sz w:val="24"/>
          <w:szCs w:val="24"/>
        </w:rPr>
        <w:t xml:space="preserve">Project Officer: </w:t>
      </w:r>
      <w:r>
        <w:rPr>
          <w:b/>
          <w:sz w:val="24"/>
          <w:szCs w:val="24"/>
        </w:rPr>
        <w:t>Kristen Corey</w:t>
      </w:r>
    </w:p>
    <w:p w:rsidR="00754990" w:rsidP="00754990" w:rsidRDefault="00754990" w14:paraId="5AA8E0B9" w14:textId="77777777">
      <w:pPr>
        <w:pStyle w:val="TableText-IPR"/>
        <w:jc w:val="center"/>
        <w:rPr>
          <w:rFonts w:cs="Calibri"/>
          <w:sz w:val="22"/>
          <w:szCs w:val="24"/>
        </w:rPr>
      </w:pPr>
      <w:r>
        <w:rPr>
          <w:rFonts w:cs="Calibri"/>
          <w:sz w:val="22"/>
          <w:szCs w:val="24"/>
        </w:rPr>
        <w:t>Office of Policy Support</w:t>
      </w:r>
    </w:p>
    <w:p w:rsidR="00754990" w:rsidP="00754990" w:rsidRDefault="00754990" w14:paraId="1BC1EE07" w14:textId="77777777">
      <w:pPr>
        <w:pStyle w:val="TableText-IPR"/>
        <w:jc w:val="center"/>
        <w:rPr>
          <w:rFonts w:cs="Calibri"/>
          <w:sz w:val="22"/>
          <w:szCs w:val="24"/>
        </w:rPr>
      </w:pPr>
      <w:r>
        <w:rPr>
          <w:rFonts w:cs="Calibri"/>
          <w:sz w:val="22"/>
          <w:szCs w:val="24"/>
        </w:rPr>
        <w:t>Food and Nutrition Service</w:t>
      </w:r>
    </w:p>
    <w:p w:rsidR="00754990" w:rsidP="00754990" w:rsidRDefault="00754990" w14:paraId="79D54DB1" w14:textId="77777777">
      <w:pPr>
        <w:pStyle w:val="TableText-IPR"/>
        <w:jc w:val="center"/>
        <w:rPr>
          <w:rFonts w:cs="Calibri"/>
          <w:sz w:val="22"/>
          <w:szCs w:val="24"/>
        </w:rPr>
      </w:pPr>
      <w:r>
        <w:rPr>
          <w:rFonts w:cs="Calibri"/>
          <w:sz w:val="22"/>
          <w:szCs w:val="24"/>
        </w:rPr>
        <w:t>U.S. Department of Agriculture</w:t>
      </w:r>
    </w:p>
    <w:p w:rsidR="00754990" w:rsidP="00754990" w:rsidRDefault="00754990" w14:paraId="071286A0" w14:textId="77777777">
      <w:pPr>
        <w:pStyle w:val="TableText-IPR"/>
        <w:jc w:val="center"/>
        <w:rPr>
          <w:rFonts w:cs="Calibri"/>
          <w:sz w:val="22"/>
          <w:szCs w:val="24"/>
        </w:rPr>
      </w:pPr>
      <w:r>
        <w:rPr>
          <w:rFonts w:cs="Calibri"/>
          <w:sz w:val="22"/>
          <w:szCs w:val="24"/>
        </w:rPr>
        <w:t>1320 Braddock Place</w:t>
      </w:r>
    </w:p>
    <w:p w:rsidR="00754990" w:rsidP="00754990" w:rsidRDefault="00754990" w14:paraId="6CC35D66" w14:textId="658CEB39">
      <w:pPr>
        <w:pStyle w:val="TableText-IPR"/>
        <w:jc w:val="center"/>
        <w:rPr>
          <w:rFonts w:cs="Calibri"/>
          <w:sz w:val="22"/>
          <w:szCs w:val="24"/>
        </w:rPr>
      </w:pPr>
      <w:r>
        <w:rPr>
          <w:rFonts w:cs="Calibri"/>
          <w:sz w:val="22"/>
          <w:szCs w:val="24"/>
        </w:rPr>
        <w:t>Alexandria, VA 22314</w:t>
      </w:r>
    </w:p>
    <w:p w:rsidR="005A64F3" w:rsidP="005A64F3" w:rsidRDefault="005A64F3" w14:paraId="7C89019C" w14:textId="77777777">
      <w:pPr>
        <w:pStyle w:val="TableText-IPR"/>
        <w:jc w:val="center"/>
        <w:rPr>
          <w:rFonts w:cs="Calibri"/>
          <w:sz w:val="22"/>
          <w:szCs w:val="24"/>
        </w:rPr>
      </w:pPr>
      <w:r w:rsidRPr="00AA6045">
        <w:rPr>
          <w:rFonts w:cs="Calibri"/>
          <w:sz w:val="22"/>
          <w:szCs w:val="24"/>
        </w:rPr>
        <w:t>703-305-2517</w:t>
      </w:r>
    </w:p>
    <w:p w:rsidR="00754990" w:rsidP="00754990" w:rsidRDefault="00754990" w14:paraId="1DE2F184" w14:textId="77777777">
      <w:pPr>
        <w:pStyle w:val="TableText-IPR"/>
        <w:jc w:val="center"/>
        <w:rPr>
          <w:rFonts w:cs="Calibri"/>
          <w:sz w:val="22"/>
        </w:rPr>
      </w:pPr>
    </w:p>
    <w:p w:rsidRPr="00E40F84" w:rsidR="00754990" w:rsidP="00754990" w:rsidRDefault="00754990" w14:paraId="26581851" w14:textId="77777777">
      <w:pPr>
        <w:pStyle w:val="TableText-IPR"/>
        <w:jc w:val="center"/>
        <w:rPr>
          <w:rFonts w:cs="Calibri"/>
          <w:sz w:val="22"/>
        </w:rPr>
        <w:sectPr w:rsidRPr="00E40F84" w:rsidR="00754990" w:rsidSect="00CB6433">
          <w:headerReference w:type="default" r:id="rId8"/>
          <w:footerReference w:type="default" r:id="rId9"/>
          <w:type w:val="continuous"/>
          <w:pgSz w:w="12240" w:h="15840"/>
          <w:pgMar w:top="1440" w:right="1440" w:bottom="1440" w:left="1440" w:header="720" w:footer="720" w:gutter="0"/>
          <w:pgNumType w:start="1"/>
          <w:cols w:space="720"/>
          <w:docGrid w:linePitch="299"/>
        </w:sectPr>
      </w:pPr>
      <w:r>
        <w:rPr>
          <w:rFonts w:cs="Calibri"/>
          <w:sz w:val="22"/>
        </w:rPr>
        <w:t>Kristen.Corey</w:t>
      </w:r>
      <w:r w:rsidRPr="00E40F84">
        <w:rPr>
          <w:rFonts w:cs="Calibri"/>
          <w:sz w:val="22"/>
        </w:rPr>
        <w:t xml:space="preserve">@usda.gov </w:t>
      </w:r>
    </w:p>
    <w:p w:rsidR="00754990" w:rsidP="00754990" w:rsidRDefault="00754990" w14:paraId="1CA99A38" w14:textId="77777777">
      <w:pPr>
        <w:pStyle w:val="NewHeading10"/>
      </w:pPr>
      <w:r>
        <w:lastRenderedPageBreak/>
        <w:t>Contents</w:t>
      </w:r>
    </w:p>
    <w:p w:rsidRPr="009E3FA4" w:rsidR="00754990" w:rsidP="00754990" w:rsidRDefault="00754990" w14:paraId="318E1210" w14:textId="16F04051">
      <w:pPr>
        <w:pStyle w:val="TOC1"/>
        <w:tabs>
          <w:tab w:val="right" w:leader="dot" w:pos="9350"/>
        </w:tabs>
        <w:rPr>
          <w:rFonts w:asciiTheme="minorHAnsi" w:hAnsiTheme="minorHAnsi" w:eastAsiaTheme="minorEastAsia" w:cstheme="minorBidi"/>
          <w:noProof/>
          <w:sz w:val="20"/>
        </w:rPr>
      </w:pPr>
      <w:r>
        <w:rPr>
          <w:bCs w:val="0"/>
        </w:rPr>
        <w:fldChar w:fldCharType="begin"/>
      </w:r>
      <w:r>
        <w:rPr>
          <w:bCs w:val="0"/>
        </w:rPr>
        <w:instrText xml:space="preserve"> TOC \h \z \t "Heading 1,1,Heading 2,2,Heading 3,3,Hdng3-IPR,3,Hdng1Report-IPR,1,Hdng2-IPR,2,New Heading 1,1,New Heading 2,2,NewHeading1,1,New heading3,3,Heading2-IPR,2" </w:instrText>
      </w:r>
      <w:r>
        <w:rPr>
          <w:bCs w:val="0"/>
        </w:rPr>
        <w:fldChar w:fldCharType="separate"/>
      </w:r>
      <w:hyperlink w:history="1" w:anchor="_Toc14464747">
        <w:r w:rsidRPr="009E3FA4">
          <w:rPr>
            <w:rStyle w:val="Hyperlink"/>
            <w:noProof/>
            <w:sz w:val="22"/>
            <w:szCs w:val="18"/>
          </w:rPr>
          <w:t>Part B. Collection of Information Employing Statistical Methods</w:t>
        </w:r>
        <w:r w:rsidRPr="009E3FA4">
          <w:rPr>
            <w:noProof/>
            <w:webHidden/>
            <w:sz w:val="22"/>
            <w:szCs w:val="18"/>
          </w:rPr>
          <w:tab/>
        </w:r>
        <w:r w:rsidRPr="009E3FA4">
          <w:rPr>
            <w:noProof/>
            <w:webHidden/>
            <w:sz w:val="22"/>
            <w:szCs w:val="18"/>
          </w:rPr>
          <w:fldChar w:fldCharType="begin"/>
        </w:r>
        <w:r w:rsidRPr="009E3FA4">
          <w:rPr>
            <w:noProof/>
            <w:webHidden/>
            <w:sz w:val="22"/>
            <w:szCs w:val="18"/>
          </w:rPr>
          <w:instrText xml:space="preserve"> PAGEREF _Toc14464747 \h </w:instrText>
        </w:r>
        <w:r w:rsidRPr="009E3FA4">
          <w:rPr>
            <w:noProof/>
            <w:webHidden/>
            <w:sz w:val="22"/>
            <w:szCs w:val="18"/>
          </w:rPr>
        </w:r>
        <w:r w:rsidRPr="009E3FA4">
          <w:rPr>
            <w:noProof/>
            <w:webHidden/>
            <w:sz w:val="22"/>
            <w:szCs w:val="18"/>
          </w:rPr>
          <w:fldChar w:fldCharType="separate"/>
        </w:r>
        <w:r w:rsidR="00B97916">
          <w:rPr>
            <w:noProof/>
            <w:webHidden/>
            <w:sz w:val="22"/>
            <w:szCs w:val="18"/>
          </w:rPr>
          <w:t>1</w:t>
        </w:r>
        <w:r w:rsidRPr="009E3FA4">
          <w:rPr>
            <w:noProof/>
            <w:webHidden/>
            <w:sz w:val="22"/>
            <w:szCs w:val="18"/>
          </w:rPr>
          <w:fldChar w:fldCharType="end"/>
        </w:r>
      </w:hyperlink>
    </w:p>
    <w:p w:rsidRPr="009E3FA4" w:rsidR="00754990" w:rsidP="00754990" w:rsidRDefault="00AB5681" w14:paraId="3257C0BC" w14:textId="46345E12">
      <w:pPr>
        <w:pStyle w:val="TOC3"/>
        <w:tabs>
          <w:tab w:val="left" w:pos="720"/>
          <w:tab w:val="right" w:leader="dot" w:pos="9350"/>
        </w:tabs>
        <w:spacing w:after="120"/>
        <w:ind w:left="547" w:hanging="547"/>
        <w:rPr>
          <w:rFonts w:asciiTheme="minorHAnsi" w:hAnsiTheme="minorHAnsi" w:eastAsiaTheme="minorEastAsia" w:cstheme="minorBidi"/>
          <w:iCs w:val="0"/>
          <w:noProof/>
          <w:sz w:val="20"/>
        </w:rPr>
      </w:pPr>
      <w:hyperlink w:history="1" w:anchor="_Toc14464748">
        <w:r w:rsidRPr="009E3FA4" w:rsidR="00754990">
          <w:rPr>
            <w:rStyle w:val="Hyperlink"/>
            <w:noProof/>
            <w:sz w:val="22"/>
            <w:szCs w:val="18"/>
          </w:rPr>
          <w:t>B.1.</w:t>
        </w:r>
        <w:r w:rsidRPr="009E3FA4" w:rsidR="00754990">
          <w:rPr>
            <w:rFonts w:asciiTheme="minorHAnsi" w:hAnsiTheme="minorHAnsi" w:eastAsiaTheme="minorEastAsia" w:cstheme="minorBidi"/>
            <w:iCs w:val="0"/>
            <w:noProof/>
            <w:sz w:val="20"/>
          </w:rPr>
          <w:tab/>
        </w:r>
        <w:r w:rsidRPr="009E3FA4" w:rsidR="00754990">
          <w:rPr>
            <w:rStyle w:val="Hyperlink"/>
            <w:noProof/>
            <w:sz w:val="22"/>
            <w:szCs w:val="18"/>
          </w:rPr>
          <w:t>Respondent Universe and Selection Methods</w:t>
        </w:r>
        <w:r w:rsidRPr="009E3FA4" w:rsidR="00754990">
          <w:rPr>
            <w:noProof/>
            <w:webHidden/>
            <w:sz w:val="22"/>
            <w:szCs w:val="18"/>
          </w:rPr>
          <w:tab/>
        </w:r>
        <w:r w:rsidRPr="009E3FA4" w:rsidR="00754990">
          <w:rPr>
            <w:noProof/>
            <w:webHidden/>
            <w:sz w:val="22"/>
            <w:szCs w:val="18"/>
          </w:rPr>
          <w:fldChar w:fldCharType="begin"/>
        </w:r>
        <w:r w:rsidRPr="009E3FA4" w:rsidR="00754990">
          <w:rPr>
            <w:noProof/>
            <w:webHidden/>
            <w:sz w:val="22"/>
            <w:szCs w:val="18"/>
          </w:rPr>
          <w:instrText xml:space="preserve"> PAGEREF _Toc14464748 \h </w:instrText>
        </w:r>
        <w:r w:rsidRPr="009E3FA4" w:rsidR="00754990">
          <w:rPr>
            <w:noProof/>
            <w:webHidden/>
            <w:sz w:val="22"/>
            <w:szCs w:val="18"/>
          </w:rPr>
        </w:r>
        <w:r w:rsidRPr="009E3FA4" w:rsidR="00754990">
          <w:rPr>
            <w:noProof/>
            <w:webHidden/>
            <w:sz w:val="22"/>
            <w:szCs w:val="18"/>
          </w:rPr>
          <w:fldChar w:fldCharType="separate"/>
        </w:r>
        <w:r w:rsidR="00B97916">
          <w:rPr>
            <w:noProof/>
            <w:webHidden/>
            <w:sz w:val="22"/>
            <w:szCs w:val="18"/>
          </w:rPr>
          <w:t>1</w:t>
        </w:r>
        <w:r w:rsidRPr="009E3FA4" w:rsidR="00754990">
          <w:rPr>
            <w:noProof/>
            <w:webHidden/>
            <w:sz w:val="22"/>
            <w:szCs w:val="18"/>
          </w:rPr>
          <w:fldChar w:fldCharType="end"/>
        </w:r>
      </w:hyperlink>
    </w:p>
    <w:p w:rsidRPr="009E3FA4" w:rsidR="00754990" w:rsidP="00754990" w:rsidRDefault="00AB5681" w14:paraId="6B89CCBA" w14:textId="299CBE72">
      <w:pPr>
        <w:pStyle w:val="TOC3"/>
        <w:tabs>
          <w:tab w:val="left" w:pos="720"/>
          <w:tab w:val="right" w:leader="dot" w:pos="9350"/>
        </w:tabs>
        <w:spacing w:after="120"/>
        <w:ind w:left="547" w:hanging="547"/>
        <w:rPr>
          <w:rFonts w:asciiTheme="minorHAnsi" w:hAnsiTheme="minorHAnsi" w:eastAsiaTheme="minorEastAsia" w:cstheme="minorBidi"/>
          <w:iCs w:val="0"/>
          <w:noProof/>
          <w:sz w:val="20"/>
        </w:rPr>
      </w:pPr>
      <w:hyperlink w:history="1" w:anchor="_Toc14464749">
        <w:r w:rsidRPr="009E3FA4" w:rsidR="00754990">
          <w:rPr>
            <w:rStyle w:val="Hyperlink"/>
            <w:noProof/>
            <w:sz w:val="22"/>
            <w:szCs w:val="18"/>
          </w:rPr>
          <w:t>B.2.</w:t>
        </w:r>
        <w:r w:rsidRPr="009E3FA4" w:rsidR="00754990">
          <w:rPr>
            <w:rFonts w:asciiTheme="minorHAnsi" w:hAnsiTheme="minorHAnsi" w:eastAsiaTheme="minorEastAsia" w:cstheme="minorBidi"/>
            <w:iCs w:val="0"/>
            <w:noProof/>
            <w:sz w:val="20"/>
          </w:rPr>
          <w:tab/>
        </w:r>
        <w:r w:rsidRPr="009E3FA4" w:rsidR="00754990">
          <w:rPr>
            <w:rStyle w:val="Hyperlink"/>
            <w:noProof/>
            <w:sz w:val="22"/>
            <w:szCs w:val="18"/>
          </w:rPr>
          <w:t>Procedures for the Collection of Information</w:t>
        </w:r>
        <w:r w:rsidRPr="009E3FA4" w:rsidR="00754990">
          <w:rPr>
            <w:noProof/>
            <w:webHidden/>
            <w:sz w:val="22"/>
            <w:szCs w:val="18"/>
          </w:rPr>
          <w:tab/>
        </w:r>
        <w:r w:rsidRPr="009E3FA4" w:rsidR="00754990">
          <w:rPr>
            <w:noProof/>
            <w:webHidden/>
            <w:sz w:val="22"/>
            <w:szCs w:val="18"/>
          </w:rPr>
          <w:fldChar w:fldCharType="begin"/>
        </w:r>
        <w:r w:rsidRPr="009E3FA4" w:rsidR="00754990">
          <w:rPr>
            <w:noProof/>
            <w:webHidden/>
            <w:sz w:val="22"/>
            <w:szCs w:val="18"/>
          </w:rPr>
          <w:instrText xml:space="preserve"> PAGEREF _Toc14464749 \h </w:instrText>
        </w:r>
        <w:r w:rsidRPr="009E3FA4" w:rsidR="00754990">
          <w:rPr>
            <w:noProof/>
            <w:webHidden/>
            <w:sz w:val="22"/>
            <w:szCs w:val="18"/>
          </w:rPr>
        </w:r>
        <w:r w:rsidRPr="009E3FA4" w:rsidR="00754990">
          <w:rPr>
            <w:noProof/>
            <w:webHidden/>
            <w:sz w:val="22"/>
            <w:szCs w:val="18"/>
          </w:rPr>
          <w:fldChar w:fldCharType="separate"/>
        </w:r>
        <w:r w:rsidR="00B97916">
          <w:rPr>
            <w:noProof/>
            <w:webHidden/>
            <w:sz w:val="22"/>
            <w:szCs w:val="18"/>
          </w:rPr>
          <w:t>4</w:t>
        </w:r>
        <w:r w:rsidRPr="009E3FA4" w:rsidR="00754990">
          <w:rPr>
            <w:noProof/>
            <w:webHidden/>
            <w:sz w:val="22"/>
            <w:szCs w:val="18"/>
          </w:rPr>
          <w:fldChar w:fldCharType="end"/>
        </w:r>
      </w:hyperlink>
    </w:p>
    <w:p w:rsidRPr="009E3FA4" w:rsidR="00754990" w:rsidP="00754990" w:rsidRDefault="00AB5681" w14:paraId="207FF302" w14:textId="0A9429A3">
      <w:pPr>
        <w:pStyle w:val="TOC3"/>
        <w:tabs>
          <w:tab w:val="left" w:pos="720"/>
          <w:tab w:val="right" w:leader="dot" w:pos="9350"/>
        </w:tabs>
        <w:spacing w:after="120"/>
        <w:ind w:left="547" w:hanging="547"/>
        <w:rPr>
          <w:rFonts w:asciiTheme="minorHAnsi" w:hAnsiTheme="minorHAnsi" w:eastAsiaTheme="minorEastAsia" w:cstheme="minorBidi"/>
          <w:iCs w:val="0"/>
          <w:noProof/>
          <w:sz w:val="20"/>
        </w:rPr>
      </w:pPr>
      <w:hyperlink w:history="1" w:anchor="_Toc14464750">
        <w:r w:rsidRPr="009E3FA4" w:rsidR="00754990">
          <w:rPr>
            <w:rStyle w:val="Hyperlink"/>
            <w:noProof/>
            <w:sz w:val="22"/>
            <w:szCs w:val="18"/>
          </w:rPr>
          <w:t>B.3.</w:t>
        </w:r>
        <w:r w:rsidRPr="009E3FA4" w:rsidR="00754990">
          <w:rPr>
            <w:rFonts w:asciiTheme="minorHAnsi" w:hAnsiTheme="minorHAnsi" w:eastAsiaTheme="minorEastAsia" w:cstheme="minorBidi"/>
            <w:iCs w:val="0"/>
            <w:noProof/>
            <w:sz w:val="20"/>
          </w:rPr>
          <w:tab/>
        </w:r>
        <w:r w:rsidRPr="009E3FA4" w:rsidR="00754990">
          <w:rPr>
            <w:rStyle w:val="Hyperlink"/>
            <w:noProof/>
            <w:sz w:val="22"/>
            <w:szCs w:val="18"/>
          </w:rPr>
          <w:t>Methods to Maximize Response Rates and the Issue of Nonresponse</w:t>
        </w:r>
        <w:r w:rsidRPr="009E3FA4" w:rsidR="00754990">
          <w:rPr>
            <w:noProof/>
            <w:webHidden/>
            <w:sz w:val="22"/>
            <w:szCs w:val="18"/>
          </w:rPr>
          <w:tab/>
        </w:r>
        <w:r w:rsidRPr="009E3FA4" w:rsidR="00754990">
          <w:rPr>
            <w:noProof/>
            <w:webHidden/>
            <w:sz w:val="22"/>
            <w:szCs w:val="18"/>
          </w:rPr>
          <w:fldChar w:fldCharType="begin"/>
        </w:r>
        <w:r w:rsidRPr="009E3FA4" w:rsidR="00754990">
          <w:rPr>
            <w:noProof/>
            <w:webHidden/>
            <w:sz w:val="22"/>
            <w:szCs w:val="18"/>
          </w:rPr>
          <w:instrText xml:space="preserve"> PAGEREF _Toc14464750 \h </w:instrText>
        </w:r>
        <w:r w:rsidRPr="009E3FA4" w:rsidR="00754990">
          <w:rPr>
            <w:noProof/>
            <w:webHidden/>
            <w:sz w:val="22"/>
            <w:szCs w:val="18"/>
          </w:rPr>
        </w:r>
        <w:r w:rsidRPr="009E3FA4" w:rsidR="00754990">
          <w:rPr>
            <w:noProof/>
            <w:webHidden/>
            <w:sz w:val="22"/>
            <w:szCs w:val="18"/>
          </w:rPr>
          <w:fldChar w:fldCharType="separate"/>
        </w:r>
        <w:r w:rsidR="00B97916">
          <w:rPr>
            <w:noProof/>
            <w:webHidden/>
            <w:sz w:val="22"/>
            <w:szCs w:val="18"/>
          </w:rPr>
          <w:t>19</w:t>
        </w:r>
        <w:r w:rsidRPr="009E3FA4" w:rsidR="00754990">
          <w:rPr>
            <w:noProof/>
            <w:webHidden/>
            <w:sz w:val="22"/>
            <w:szCs w:val="18"/>
          </w:rPr>
          <w:fldChar w:fldCharType="end"/>
        </w:r>
      </w:hyperlink>
    </w:p>
    <w:p w:rsidRPr="009E3FA4" w:rsidR="00754990" w:rsidP="00754990" w:rsidRDefault="00AB5681" w14:paraId="679A5BE1" w14:textId="424225DE">
      <w:pPr>
        <w:pStyle w:val="TOC3"/>
        <w:tabs>
          <w:tab w:val="left" w:pos="720"/>
          <w:tab w:val="right" w:leader="dot" w:pos="9350"/>
        </w:tabs>
        <w:spacing w:after="120"/>
        <w:ind w:left="547" w:hanging="547"/>
        <w:rPr>
          <w:rFonts w:asciiTheme="minorHAnsi" w:hAnsiTheme="minorHAnsi" w:eastAsiaTheme="minorEastAsia" w:cstheme="minorBidi"/>
          <w:iCs w:val="0"/>
          <w:noProof/>
          <w:sz w:val="20"/>
        </w:rPr>
      </w:pPr>
      <w:hyperlink w:history="1" w:anchor="_Toc14464751">
        <w:r w:rsidRPr="009E3FA4" w:rsidR="00754990">
          <w:rPr>
            <w:rStyle w:val="Hyperlink"/>
            <w:noProof/>
            <w:sz w:val="22"/>
            <w:szCs w:val="18"/>
          </w:rPr>
          <w:t>B.4.</w:t>
        </w:r>
        <w:r w:rsidRPr="009E3FA4" w:rsidR="00754990">
          <w:rPr>
            <w:rFonts w:asciiTheme="minorHAnsi" w:hAnsiTheme="minorHAnsi" w:eastAsiaTheme="minorEastAsia" w:cstheme="minorBidi"/>
            <w:iCs w:val="0"/>
            <w:noProof/>
            <w:sz w:val="20"/>
          </w:rPr>
          <w:tab/>
        </w:r>
        <w:r w:rsidRPr="009E3FA4" w:rsidR="00754990">
          <w:rPr>
            <w:rStyle w:val="Hyperlink"/>
            <w:noProof/>
            <w:sz w:val="22"/>
            <w:szCs w:val="18"/>
          </w:rPr>
          <w:t>Tests of Procedures</w:t>
        </w:r>
        <w:r w:rsidRPr="009E3FA4" w:rsidR="00754990">
          <w:rPr>
            <w:noProof/>
            <w:webHidden/>
            <w:sz w:val="22"/>
            <w:szCs w:val="18"/>
          </w:rPr>
          <w:tab/>
        </w:r>
        <w:r w:rsidRPr="009E3FA4" w:rsidR="00754990">
          <w:rPr>
            <w:noProof/>
            <w:webHidden/>
            <w:sz w:val="22"/>
            <w:szCs w:val="18"/>
          </w:rPr>
          <w:fldChar w:fldCharType="begin"/>
        </w:r>
        <w:r w:rsidRPr="009E3FA4" w:rsidR="00754990">
          <w:rPr>
            <w:noProof/>
            <w:webHidden/>
            <w:sz w:val="22"/>
            <w:szCs w:val="18"/>
          </w:rPr>
          <w:instrText xml:space="preserve"> PAGEREF _Toc14464751 \h </w:instrText>
        </w:r>
        <w:r w:rsidRPr="009E3FA4" w:rsidR="00754990">
          <w:rPr>
            <w:noProof/>
            <w:webHidden/>
            <w:sz w:val="22"/>
            <w:szCs w:val="18"/>
          </w:rPr>
        </w:r>
        <w:r w:rsidRPr="009E3FA4" w:rsidR="00754990">
          <w:rPr>
            <w:noProof/>
            <w:webHidden/>
            <w:sz w:val="22"/>
            <w:szCs w:val="18"/>
          </w:rPr>
          <w:fldChar w:fldCharType="separate"/>
        </w:r>
        <w:r w:rsidR="00B97916">
          <w:rPr>
            <w:noProof/>
            <w:webHidden/>
            <w:sz w:val="22"/>
            <w:szCs w:val="18"/>
          </w:rPr>
          <w:t>25</w:t>
        </w:r>
        <w:r w:rsidRPr="009E3FA4" w:rsidR="00754990">
          <w:rPr>
            <w:noProof/>
            <w:webHidden/>
            <w:sz w:val="22"/>
            <w:szCs w:val="18"/>
          </w:rPr>
          <w:fldChar w:fldCharType="end"/>
        </w:r>
      </w:hyperlink>
    </w:p>
    <w:p w:rsidRPr="009E3FA4" w:rsidR="00754990" w:rsidP="00754990" w:rsidRDefault="00AB5681" w14:paraId="27C3C3DF" w14:textId="4BF5E4AA">
      <w:pPr>
        <w:pStyle w:val="TOC3"/>
        <w:tabs>
          <w:tab w:val="left" w:pos="720"/>
          <w:tab w:val="right" w:leader="dot" w:pos="9350"/>
        </w:tabs>
        <w:spacing w:after="120"/>
        <w:ind w:left="547" w:hanging="547"/>
        <w:rPr>
          <w:rFonts w:asciiTheme="minorHAnsi" w:hAnsiTheme="minorHAnsi" w:eastAsiaTheme="minorEastAsia" w:cstheme="minorBidi"/>
          <w:iCs w:val="0"/>
          <w:noProof/>
          <w:sz w:val="20"/>
        </w:rPr>
      </w:pPr>
      <w:hyperlink w:history="1" w:anchor="_Toc14464752">
        <w:r w:rsidRPr="009E3FA4" w:rsidR="00754990">
          <w:rPr>
            <w:rStyle w:val="Hyperlink"/>
            <w:noProof/>
            <w:sz w:val="22"/>
            <w:szCs w:val="18"/>
          </w:rPr>
          <w:t>B.5.</w:t>
        </w:r>
        <w:r w:rsidRPr="009E3FA4" w:rsidR="00754990">
          <w:rPr>
            <w:rFonts w:asciiTheme="minorHAnsi" w:hAnsiTheme="minorHAnsi" w:eastAsiaTheme="minorEastAsia" w:cstheme="minorBidi"/>
            <w:iCs w:val="0"/>
            <w:noProof/>
            <w:sz w:val="20"/>
          </w:rPr>
          <w:tab/>
        </w:r>
        <w:r w:rsidRPr="009E3FA4" w:rsidR="00754990">
          <w:rPr>
            <w:rStyle w:val="Hyperlink"/>
            <w:noProof/>
            <w:sz w:val="22"/>
            <w:szCs w:val="18"/>
          </w:rPr>
          <w:t>Consultants</w:t>
        </w:r>
        <w:r w:rsidRPr="009E3FA4" w:rsidR="00754990">
          <w:rPr>
            <w:noProof/>
            <w:webHidden/>
            <w:sz w:val="22"/>
            <w:szCs w:val="18"/>
          </w:rPr>
          <w:tab/>
        </w:r>
        <w:r w:rsidRPr="009E3FA4" w:rsidR="00754990">
          <w:rPr>
            <w:noProof/>
            <w:webHidden/>
            <w:sz w:val="22"/>
            <w:szCs w:val="18"/>
          </w:rPr>
          <w:fldChar w:fldCharType="begin"/>
        </w:r>
        <w:r w:rsidRPr="009E3FA4" w:rsidR="00754990">
          <w:rPr>
            <w:noProof/>
            <w:webHidden/>
            <w:sz w:val="22"/>
            <w:szCs w:val="18"/>
          </w:rPr>
          <w:instrText xml:space="preserve"> PAGEREF _Toc14464752 \h </w:instrText>
        </w:r>
        <w:r w:rsidRPr="009E3FA4" w:rsidR="00754990">
          <w:rPr>
            <w:noProof/>
            <w:webHidden/>
            <w:sz w:val="22"/>
            <w:szCs w:val="18"/>
          </w:rPr>
        </w:r>
        <w:r w:rsidRPr="009E3FA4" w:rsidR="00754990">
          <w:rPr>
            <w:noProof/>
            <w:webHidden/>
            <w:sz w:val="22"/>
            <w:szCs w:val="18"/>
          </w:rPr>
          <w:fldChar w:fldCharType="separate"/>
        </w:r>
        <w:r w:rsidR="00B97916">
          <w:rPr>
            <w:noProof/>
            <w:webHidden/>
            <w:sz w:val="22"/>
            <w:szCs w:val="18"/>
          </w:rPr>
          <w:t>26</w:t>
        </w:r>
        <w:r w:rsidRPr="009E3FA4" w:rsidR="00754990">
          <w:rPr>
            <w:noProof/>
            <w:webHidden/>
            <w:sz w:val="22"/>
            <w:szCs w:val="18"/>
          </w:rPr>
          <w:fldChar w:fldCharType="end"/>
        </w:r>
      </w:hyperlink>
    </w:p>
    <w:p w:rsidRPr="00CF49AA" w:rsidR="00754990" w:rsidP="00754990" w:rsidRDefault="00754990" w14:paraId="1C3E0287" w14:textId="1CF49FF7">
      <w:pPr>
        <w:pStyle w:val="TOCHeading2"/>
        <w:spacing w:before="240"/>
        <w:rPr>
          <w:caps/>
        </w:rPr>
      </w:pPr>
      <w:r>
        <w:rPr>
          <w:bCs/>
          <w:szCs w:val="20"/>
        </w:rPr>
        <w:fldChar w:fldCharType="end"/>
      </w:r>
      <w:r w:rsidRPr="00CF49AA">
        <w:t>Tables</w:t>
      </w:r>
    </w:p>
    <w:p w:rsidRPr="009E3FA4" w:rsidR="009E3FA4" w:rsidP="009E3FA4" w:rsidRDefault="00754990" w14:paraId="62DD318A" w14:textId="7307DBC4">
      <w:pPr>
        <w:pStyle w:val="TableofFigures"/>
        <w:tabs>
          <w:tab w:val="right" w:leader="dot" w:pos="9350"/>
        </w:tabs>
        <w:spacing w:after="120"/>
        <w:ind w:left="0" w:firstLine="0"/>
        <w:rPr>
          <w:rFonts w:asciiTheme="minorHAnsi" w:hAnsiTheme="minorHAnsi" w:eastAsiaTheme="minorEastAsia" w:cstheme="minorBidi"/>
          <w:noProof/>
          <w:sz w:val="22"/>
          <w:szCs w:val="22"/>
        </w:rPr>
      </w:pPr>
      <w:r w:rsidRPr="009E3FA4">
        <w:rPr>
          <w:b/>
          <w:smallCaps/>
          <w:sz w:val="22"/>
          <w:szCs w:val="22"/>
        </w:rPr>
        <w:fldChar w:fldCharType="begin"/>
      </w:r>
      <w:r w:rsidRPr="009E3FA4">
        <w:rPr>
          <w:b/>
          <w:smallCaps/>
          <w:sz w:val="22"/>
          <w:szCs w:val="22"/>
        </w:rPr>
        <w:instrText xml:space="preserve"> TOC \h \z \t "TableTitle-IPR" \c </w:instrText>
      </w:r>
      <w:r w:rsidRPr="009E3FA4">
        <w:rPr>
          <w:b/>
          <w:smallCaps/>
          <w:sz w:val="22"/>
          <w:szCs w:val="22"/>
        </w:rPr>
        <w:fldChar w:fldCharType="separate"/>
      </w:r>
      <w:hyperlink w:history="1" w:anchor="_Toc78365136">
        <w:r w:rsidRPr="009E3FA4" w:rsidR="009E3FA4">
          <w:rPr>
            <w:rStyle w:val="Hyperlink"/>
            <w:rFonts w:eastAsia="Calibri"/>
            <w:noProof/>
            <w:sz w:val="22"/>
            <w:szCs w:val="22"/>
          </w:rPr>
          <w:t>Table B.1.1. Target Subgroups for In-Depth Interviews</w:t>
        </w:r>
        <w:r w:rsidRPr="009E3FA4" w:rsidR="009E3FA4">
          <w:rPr>
            <w:noProof/>
            <w:webHidden/>
            <w:sz w:val="22"/>
            <w:szCs w:val="22"/>
          </w:rPr>
          <w:tab/>
        </w:r>
        <w:r w:rsidRPr="009E3FA4" w:rsidR="009E3FA4">
          <w:rPr>
            <w:noProof/>
            <w:webHidden/>
            <w:sz w:val="22"/>
            <w:szCs w:val="22"/>
          </w:rPr>
          <w:fldChar w:fldCharType="begin"/>
        </w:r>
        <w:r w:rsidRPr="009E3FA4" w:rsidR="009E3FA4">
          <w:rPr>
            <w:noProof/>
            <w:webHidden/>
            <w:sz w:val="22"/>
            <w:szCs w:val="22"/>
          </w:rPr>
          <w:instrText xml:space="preserve"> PAGEREF _Toc78365136 \h </w:instrText>
        </w:r>
        <w:r w:rsidRPr="009E3FA4" w:rsidR="009E3FA4">
          <w:rPr>
            <w:noProof/>
            <w:webHidden/>
            <w:sz w:val="22"/>
            <w:szCs w:val="22"/>
          </w:rPr>
        </w:r>
        <w:r w:rsidRPr="009E3FA4" w:rsidR="009E3FA4">
          <w:rPr>
            <w:noProof/>
            <w:webHidden/>
            <w:sz w:val="22"/>
            <w:szCs w:val="22"/>
          </w:rPr>
          <w:fldChar w:fldCharType="separate"/>
        </w:r>
        <w:r w:rsidR="00B97916">
          <w:rPr>
            <w:noProof/>
            <w:webHidden/>
            <w:sz w:val="22"/>
            <w:szCs w:val="22"/>
          </w:rPr>
          <w:t>3</w:t>
        </w:r>
        <w:r w:rsidRPr="009E3FA4" w:rsidR="009E3FA4">
          <w:rPr>
            <w:noProof/>
            <w:webHidden/>
            <w:sz w:val="22"/>
            <w:szCs w:val="22"/>
          </w:rPr>
          <w:fldChar w:fldCharType="end"/>
        </w:r>
      </w:hyperlink>
    </w:p>
    <w:p w:rsidRPr="009E3FA4" w:rsidR="009E3FA4" w:rsidP="009E3FA4" w:rsidRDefault="00AB5681" w14:paraId="5AC273C4" w14:textId="4635A060">
      <w:pPr>
        <w:pStyle w:val="TableofFigures"/>
        <w:tabs>
          <w:tab w:val="right" w:leader="dot" w:pos="9350"/>
        </w:tabs>
        <w:spacing w:after="120"/>
        <w:ind w:left="0" w:firstLine="0"/>
        <w:rPr>
          <w:rFonts w:asciiTheme="minorHAnsi" w:hAnsiTheme="minorHAnsi" w:eastAsiaTheme="minorEastAsia" w:cstheme="minorBidi"/>
          <w:noProof/>
          <w:sz w:val="22"/>
          <w:szCs w:val="22"/>
        </w:rPr>
      </w:pPr>
      <w:hyperlink w:history="1" w:anchor="_Toc78365137">
        <w:r w:rsidRPr="009E3FA4" w:rsidR="009E3FA4">
          <w:rPr>
            <w:rStyle w:val="Hyperlink"/>
            <w:rFonts w:eastAsia="Calibri"/>
            <w:noProof/>
            <w:sz w:val="22"/>
            <w:szCs w:val="22"/>
          </w:rPr>
          <w:t>Table B.1.2. Breakout of Respondents and Nonrespondents by Respondent Type</w:t>
        </w:r>
        <w:r w:rsidRPr="009E3FA4" w:rsidR="009E3FA4">
          <w:rPr>
            <w:noProof/>
            <w:webHidden/>
            <w:sz w:val="22"/>
            <w:szCs w:val="22"/>
          </w:rPr>
          <w:tab/>
        </w:r>
        <w:r w:rsidRPr="009E3FA4" w:rsidR="009E3FA4">
          <w:rPr>
            <w:noProof/>
            <w:webHidden/>
            <w:sz w:val="22"/>
            <w:szCs w:val="22"/>
          </w:rPr>
          <w:fldChar w:fldCharType="begin"/>
        </w:r>
        <w:r w:rsidRPr="009E3FA4" w:rsidR="009E3FA4">
          <w:rPr>
            <w:noProof/>
            <w:webHidden/>
            <w:sz w:val="22"/>
            <w:szCs w:val="22"/>
          </w:rPr>
          <w:instrText xml:space="preserve"> PAGEREF _Toc78365137 \h </w:instrText>
        </w:r>
        <w:r w:rsidRPr="009E3FA4" w:rsidR="009E3FA4">
          <w:rPr>
            <w:noProof/>
            <w:webHidden/>
            <w:sz w:val="22"/>
            <w:szCs w:val="22"/>
          </w:rPr>
        </w:r>
        <w:r w:rsidRPr="009E3FA4" w:rsidR="009E3FA4">
          <w:rPr>
            <w:noProof/>
            <w:webHidden/>
            <w:sz w:val="22"/>
            <w:szCs w:val="22"/>
          </w:rPr>
          <w:fldChar w:fldCharType="separate"/>
        </w:r>
        <w:r w:rsidR="00B97916">
          <w:rPr>
            <w:noProof/>
            <w:webHidden/>
            <w:sz w:val="22"/>
            <w:szCs w:val="22"/>
          </w:rPr>
          <w:t>4</w:t>
        </w:r>
        <w:r w:rsidRPr="009E3FA4" w:rsidR="009E3FA4">
          <w:rPr>
            <w:noProof/>
            <w:webHidden/>
            <w:sz w:val="22"/>
            <w:szCs w:val="22"/>
          </w:rPr>
          <w:fldChar w:fldCharType="end"/>
        </w:r>
      </w:hyperlink>
    </w:p>
    <w:p w:rsidRPr="009E3FA4" w:rsidR="009E3FA4" w:rsidP="009E3FA4" w:rsidRDefault="00AB5681" w14:paraId="70E010F9" w14:textId="1380A910">
      <w:pPr>
        <w:pStyle w:val="TableofFigures"/>
        <w:tabs>
          <w:tab w:val="right" w:leader="dot" w:pos="9350"/>
        </w:tabs>
        <w:spacing w:after="120"/>
        <w:ind w:left="0" w:firstLine="0"/>
        <w:rPr>
          <w:rFonts w:asciiTheme="minorHAnsi" w:hAnsiTheme="minorHAnsi" w:eastAsiaTheme="minorEastAsia" w:cstheme="minorBidi"/>
          <w:noProof/>
          <w:sz w:val="22"/>
          <w:szCs w:val="22"/>
        </w:rPr>
      </w:pPr>
      <w:hyperlink w:history="1" w:anchor="_Toc78365138">
        <w:r w:rsidRPr="009E3FA4" w:rsidR="009E3FA4">
          <w:rPr>
            <w:rStyle w:val="Hyperlink"/>
            <w:rFonts w:eastAsia="Calibri"/>
            <w:noProof/>
            <w:sz w:val="22"/>
            <w:szCs w:val="22"/>
          </w:rPr>
          <w:t>Table</w:t>
        </w:r>
        <w:r w:rsidRPr="009E3FA4" w:rsidR="009E3FA4">
          <w:rPr>
            <w:rStyle w:val="Hyperlink"/>
            <w:rFonts w:eastAsia="Calibri"/>
            <w:noProof/>
            <w:spacing w:val="-2"/>
            <w:sz w:val="22"/>
            <w:szCs w:val="22"/>
          </w:rPr>
          <w:t xml:space="preserve"> B.</w:t>
        </w:r>
        <w:r w:rsidRPr="009E3FA4" w:rsidR="009E3FA4">
          <w:rPr>
            <w:rStyle w:val="Hyperlink"/>
            <w:rFonts w:eastAsia="Calibri"/>
            <w:noProof/>
            <w:sz w:val="22"/>
            <w:szCs w:val="22"/>
          </w:rPr>
          <w:t>2.1.</w:t>
        </w:r>
        <w:r w:rsidRPr="009E3FA4" w:rsidR="009E3FA4">
          <w:rPr>
            <w:rStyle w:val="Hyperlink"/>
            <w:rFonts w:eastAsia="Calibri"/>
            <w:noProof/>
            <w:spacing w:val="-1"/>
            <w:sz w:val="22"/>
            <w:szCs w:val="22"/>
          </w:rPr>
          <w:t xml:space="preserve"> </w:t>
        </w:r>
        <w:r w:rsidRPr="009E3FA4" w:rsidR="009E3FA4">
          <w:rPr>
            <w:rStyle w:val="Hyperlink"/>
            <w:rFonts w:eastAsia="Calibri"/>
            <w:noProof/>
            <w:sz w:val="22"/>
            <w:szCs w:val="22"/>
          </w:rPr>
          <w:t>Key</w:t>
        </w:r>
        <w:r w:rsidRPr="009E3FA4" w:rsidR="009E3FA4">
          <w:rPr>
            <w:rStyle w:val="Hyperlink"/>
            <w:rFonts w:eastAsia="Calibri"/>
            <w:noProof/>
            <w:spacing w:val="-1"/>
            <w:sz w:val="22"/>
            <w:szCs w:val="22"/>
          </w:rPr>
          <w:t xml:space="preserve"> </w:t>
        </w:r>
        <w:r w:rsidRPr="009E3FA4" w:rsidR="009E3FA4">
          <w:rPr>
            <w:rStyle w:val="Hyperlink"/>
            <w:rFonts w:eastAsia="Calibri"/>
            <w:noProof/>
            <w:sz w:val="22"/>
            <w:szCs w:val="22"/>
          </w:rPr>
          <w:t>Features</w:t>
        </w:r>
        <w:r w:rsidRPr="009E3FA4" w:rsidR="009E3FA4">
          <w:rPr>
            <w:rStyle w:val="Hyperlink"/>
            <w:rFonts w:eastAsia="Calibri"/>
            <w:noProof/>
            <w:spacing w:val="-1"/>
            <w:sz w:val="22"/>
            <w:szCs w:val="22"/>
          </w:rPr>
          <w:t xml:space="preserve"> </w:t>
        </w:r>
        <w:r w:rsidRPr="009E3FA4" w:rsidR="009E3FA4">
          <w:rPr>
            <w:rStyle w:val="Hyperlink"/>
            <w:rFonts w:eastAsia="Calibri"/>
            <w:noProof/>
            <w:sz w:val="22"/>
            <w:szCs w:val="22"/>
          </w:rPr>
          <w:t>of</w:t>
        </w:r>
        <w:r w:rsidRPr="009E3FA4" w:rsidR="009E3FA4">
          <w:rPr>
            <w:rStyle w:val="Hyperlink"/>
            <w:rFonts w:eastAsia="Calibri"/>
            <w:noProof/>
            <w:spacing w:val="-2"/>
            <w:sz w:val="22"/>
            <w:szCs w:val="22"/>
          </w:rPr>
          <w:t xml:space="preserve"> </w:t>
        </w:r>
        <w:r w:rsidRPr="009E3FA4" w:rsidR="009E3FA4">
          <w:rPr>
            <w:rStyle w:val="Hyperlink"/>
            <w:rFonts w:eastAsia="Calibri"/>
            <w:noProof/>
            <w:sz w:val="22"/>
            <w:szCs w:val="22"/>
          </w:rPr>
          <w:t>the</w:t>
        </w:r>
        <w:r w:rsidRPr="009E3FA4" w:rsidR="009E3FA4">
          <w:rPr>
            <w:rStyle w:val="Hyperlink"/>
            <w:rFonts w:eastAsia="Calibri"/>
            <w:noProof/>
            <w:spacing w:val="-1"/>
            <w:sz w:val="22"/>
            <w:szCs w:val="22"/>
          </w:rPr>
          <w:t xml:space="preserve"> </w:t>
        </w:r>
        <w:r w:rsidRPr="009E3FA4" w:rsidR="009E3FA4">
          <w:rPr>
            <w:rStyle w:val="Hyperlink"/>
            <w:rFonts w:eastAsia="Calibri"/>
            <w:noProof/>
            <w:sz w:val="22"/>
            <w:szCs w:val="22"/>
          </w:rPr>
          <w:t>Two</w:t>
        </w:r>
        <w:r w:rsidRPr="009E3FA4" w:rsidR="009E3FA4">
          <w:rPr>
            <w:rStyle w:val="Hyperlink"/>
            <w:rFonts w:eastAsia="Calibri"/>
            <w:noProof/>
            <w:spacing w:val="-1"/>
            <w:sz w:val="22"/>
            <w:szCs w:val="22"/>
          </w:rPr>
          <w:t xml:space="preserve"> </w:t>
        </w:r>
        <w:r w:rsidRPr="009E3FA4" w:rsidR="009E3FA4">
          <w:rPr>
            <w:rStyle w:val="Hyperlink"/>
            <w:rFonts w:eastAsia="Calibri"/>
            <w:noProof/>
            <w:sz w:val="22"/>
            <w:szCs w:val="22"/>
          </w:rPr>
          <w:t>Components</w:t>
        </w:r>
        <w:r w:rsidRPr="009E3FA4" w:rsidR="009E3FA4">
          <w:rPr>
            <w:rStyle w:val="Hyperlink"/>
            <w:rFonts w:eastAsia="Calibri"/>
            <w:noProof/>
            <w:spacing w:val="-1"/>
            <w:sz w:val="22"/>
            <w:szCs w:val="22"/>
          </w:rPr>
          <w:t xml:space="preserve"> </w:t>
        </w:r>
        <w:r w:rsidRPr="009E3FA4" w:rsidR="009E3FA4">
          <w:rPr>
            <w:rStyle w:val="Hyperlink"/>
            <w:rFonts w:eastAsia="Calibri"/>
            <w:noProof/>
            <w:sz w:val="22"/>
            <w:szCs w:val="22"/>
          </w:rPr>
          <w:t>of</w:t>
        </w:r>
        <w:r w:rsidRPr="009E3FA4" w:rsidR="009E3FA4">
          <w:rPr>
            <w:rStyle w:val="Hyperlink"/>
            <w:rFonts w:eastAsia="Calibri"/>
            <w:noProof/>
            <w:spacing w:val="-1"/>
            <w:sz w:val="22"/>
            <w:szCs w:val="22"/>
          </w:rPr>
          <w:t xml:space="preserve"> </w:t>
        </w:r>
        <w:r w:rsidRPr="009E3FA4" w:rsidR="009E3FA4">
          <w:rPr>
            <w:rStyle w:val="Hyperlink"/>
            <w:rFonts w:eastAsia="Calibri"/>
            <w:noProof/>
            <w:sz w:val="22"/>
            <w:szCs w:val="22"/>
          </w:rPr>
          <w:t>the</w:t>
        </w:r>
        <w:r w:rsidRPr="009E3FA4" w:rsidR="009E3FA4">
          <w:rPr>
            <w:rStyle w:val="Hyperlink"/>
            <w:rFonts w:eastAsia="Calibri"/>
            <w:noProof/>
            <w:spacing w:val="-1"/>
            <w:sz w:val="22"/>
            <w:szCs w:val="22"/>
          </w:rPr>
          <w:t xml:space="preserve"> </w:t>
        </w:r>
        <w:r w:rsidRPr="009E3FA4" w:rsidR="009E3FA4">
          <w:rPr>
            <w:rStyle w:val="Hyperlink"/>
            <w:rFonts w:eastAsia="Calibri"/>
            <w:noProof/>
            <w:sz w:val="22"/>
            <w:szCs w:val="22"/>
          </w:rPr>
          <w:t>Sample</w:t>
        </w:r>
        <w:r w:rsidRPr="009E3FA4" w:rsidR="009E3FA4">
          <w:rPr>
            <w:rStyle w:val="Hyperlink"/>
            <w:rFonts w:eastAsia="Calibri"/>
            <w:noProof/>
            <w:spacing w:val="-1"/>
            <w:sz w:val="22"/>
            <w:szCs w:val="22"/>
          </w:rPr>
          <w:t xml:space="preserve"> </w:t>
        </w:r>
        <w:r w:rsidRPr="009E3FA4" w:rsidR="009E3FA4">
          <w:rPr>
            <w:rStyle w:val="Hyperlink"/>
            <w:rFonts w:eastAsia="Calibri"/>
            <w:noProof/>
            <w:sz w:val="22"/>
            <w:szCs w:val="22"/>
          </w:rPr>
          <w:t>Design</w:t>
        </w:r>
        <w:r w:rsidRPr="009E3FA4" w:rsidR="009E3FA4">
          <w:rPr>
            <w:rStyle w:val="Hyperlink"/>
            <w:rFonts w:eastAsia="Calibri"/>
            <w:noProof/>
            <w:spacing w:val="-1"/>
            <w:sz w:val="22"/>
            <w:szCs w:val="22"/>
          </w:rPr>
          <w:t xml:space="preserve"> </w:t>
        </w:r>
        <w:r w:rsidRPr="009E3FA4" w:rsidR="009E3FA4">
          <w:rPr>
            <w:rStyle w:val="Hyperlink"/>
            <w:rFonts w:eastAsia="Calibri"/>
            <w:noProof/>
            <w:sz w:val="22"/>
            <w:szCs w:val="22"/>
          </w:rPr>
          <w:t>for</w:t>
        </w:r>
        <w:r w:rsidRPr="009E3FA4" w:rsidR="009E3FA4">
          <w:rPr>
            <w:rStyle w:val="Hyperlink"/>
            <w:rFonts w:eastAsia="Calibri"/>
            <w:noProof/>
            <w:spacing w:val="-1"/>
            <w:sz w:val="22"/>
            <w:szCs w:val="22"/>
          </w:rPr>
          <w:t xml:space="preserve"> </w:t>
        </w:r>
        <w:r w:rsidRPr="009E3FA4" w:rsidR="009E3FA4">
          <w:rPr>
            <w:rStyle w:val="Hyperlink"/>
            <w:rFonts w:eastAsia="Calibri"/>
            <w:noProof/>
            <w:sz w:val="22"/>
            <w:szCs w:val="22"/>
          </w:rPr>
          <w:t>the</w:t>
        </w:r>
        <w:r w:rsidRPr="009E3FA4" w:rsidR="009E3FA4">
          <w:rPr>
            <w:rStyle w:val="Hyperlink"/>
            <w:rFonts w:eastAsia="Calibri"/>
            <w:noProof/>
            <w:spacing w:val="-1"/>
            <w:sz w:val="22"/>
            <w:szCs w:val="22"/>
          </w:rPr>
          <w:t xml:space="preserve"> </w:t>
        </w:r>
        <w:r w:rsidRPr="009E3FA4" w:rsidR="009E3FA4">
          <w:rPr>
            <w:rStyle w:val="Hyperlink"/>
            <w:rFonts w:eastAsia="Calibri"/>
            <w:noProof/>
            <w:sz w:val="22"/>
            <w:szCs w:val="22"/>
          </w:rPr>
          <w:t>Household</w:t>
        </w:r>
        <w:r w:rsidRPr="009E3FA4" w:rsidR="009E3FA4">
          <w:rPr>
            <w:rStyle w:val="Hyperlink"/>
            <w:rFonts w:eastAsia="Calibri"/>
            <w:noProof/>
            <w:spacing w:val="-1"/>
            <w:sz w:val="22"/>
            <w:szCs w:val="22"/>
          </w:rPr>
          <w:t xml:space="preserve"> </w:t>
        </w:r>
        <w:r w:rsidRPr="009E3FA4" w:rsidR="009E3FA4">
          <w:rPr>
            <w:rStyle w:val="Hyperlink"/>
            <w:rFonts w:eastAsia="Calibri"/>
            <w:noProof/>
            <w:sz w:val="22"/>
            <w:szCs w:val="22"/>
          </w:rPr>
          <w:t>Survey</w:t>
        </w:r>
        <w:r w:rsidRPr="009E3FA4" w:rsidR="009E3FA4">
          <w:rPr>
            <w:noProof/>
            <w:webHidden/>
            <w:sz w:val="22"/>
            <w:szCs w:val="22"/>
          </w:rPr>
          <w:tab/>
        </w:r>
        <w:r w:rsidRPr="009E3FA4" w:rsidR="009E3FA4">
          <w:rPr>
            <w:noProof/>
            <w:webHidden/>
            <w:sz w:val="22"/>
            <w:szCs w:val="22"/>
          </w:rPr>
          <w:fldChar w:fldCharType="begin"/>
        </w:r>
        <w:r w:rsidRPr="009E3FA4" w:rsidR="009E3FA4">
          <w:rPr>
            <w:noProof/>
            <w:webHidden/>
            <w:sz w:val="22"/>
            <w:szCs w:val="22"/>
          </w:rPr>
          <w:instrText xml:space="preserve"> PAGEREF _Toc78365138 \h </w:instrText>
        </w:r>
        <w:r w:rsidRPr="009E3FA4" w:rsidR="009E3FA4">
          <w:rPr>
            <w:noProof/>
            <w:webHidden/>
            <w:sz w:val="22"/>
            <w:szCs w:val="22"/>
          </w:rPr>
        </w:r>
        <w:r w:rsidRPr="009E3FA4" w:rsidR="009E3FA4">
          <w:rPr>
            <w:noProof/>
            <w:webHidden/>
            <w:sz w:val="22"/>
            <w:szCs w:val="22"/>
          </w:rPr>
          <w:fldChar w:fldCharType="separate"/>
        </w:r>
        <w:r w:rsidR="00B97916">
          <w:rPr>
            <w:noProof/>
            <w:webHidden/>
            <w:sz w:val="22"/>
            <w:szCs w:val="22"/>
          </w:rPr>
          <w:t>6</w:t>
        </w:r>
        <w:r w:rsidRPr="009E3FA4" w:rsidR="009E3FA4">
          <w:rPr>
            <w:noProof/>
            <w:webHidden/>
            <w:sz w:val="22"/>
            <w:szCs w:val="22"/>
          </w:rPr>
          <w:fldChar w:fldCharType="end"/>
        </w:r>
      </w:hyperlink>
    </w:p>
    <w:p w:rsidRPr="009E3FA4" w:rsidR="009E3FA4" w:rsidP="009E3FA4" w:rsidRDefault="00AB5681" w14:paraId="5EF81A70" w14:textId="14E222B7">
      <w:pPr>
        <w:pStyle w:val="TableofFigures"/>
        <w:tabs>
          <w:tab w:val="right" w:leader="dot" w:pos="9350"/>
        </w:tabs>
        <w:spacing w:after="120"/>
        <w:ind w:left="0" w:firstLine="0"/>
        <w:rPr>
          <w:rFonts w:asciiTheme="minorHAnsi" w:hAnsiTheme="minorHAnsi" w:eastAsiaTheme="minorEastAsia" w:cstheme="minorBidi"/>
          <w:noProof/>
          <w:sz w:val="22"/>
          <w:szCs w:val="22"/>
        </w:rPr>
      </w:pPr>
      <w:hyperlink w:history="1" w:anchor="_Toc78365139">
        <w:r w:rsidRPr="009E3FA4" w:rsidR="009E3FA4">
          <w:rPr>
            <w:rStyle w:val="Hyperlink"/>
            <w:rFonts w:eastAsia="Calibri"/>
            <w:noProof/>
            <w:sz w:val="22"/>
            <w:szCs w:val="22"/>
          </w:rPr>
          <w:t>Table B.2.2. Computation of the Compositing Factor</w:t>
        </w:r>
        <w:r w:rsidRPr="009E3FA4" w:rsidR="009E3FA4">
          <w:rPr>
            <w:noProof/>
            <w:webHidden/>
            <w:sz w:val="22"/>
            <w:szCs w:val="22"/>
          </w:rPr>
          <w:tab/>
        </w:r>
        <w:r w:rsidRPr="009E3FA4" w:rsidR="009E3FA4">
          <w:rPr>
            <w:noProof/>
            <w:webHidden/>
            <w:sz w:val="22"/>
            <w:szCs w:val="22"/>
          </w:rPr>
          <w:fldChar w:fldCharType="begin"/>
        </w:r>
        <w:r w:rsidRPr="009E3FA4" w:rsidR="009E3FA4">
          <w:rPr>
            <w:noProof/>
            <w:webHidden/>
            <w:sz w:val="22"/>
            <w:szCs w:val="22"/>
          </w:rPr>
          <w:instrText xml:space="preserve"> PAGEREF _Toc78365139 \h </w:instrText>
        </w:r>
        <w:r w:rsidRPr="009E3FA4" w:rsidR="009E3FA4">
          <w:rPr>
            <w:noProof/>
            <w:webHidden/>
            <w:sz w:val="22"/>
            <w:szCs w:val="22"/>
          </w:rPr>
        </w:r>
        <w:r w:rsidRPr="009E3FA4" w:rsidR="009E3FA4">
          <w:rPr>
            <w:noProof/>
            <w:webHidden/>
            <w:sz w:val="22"/>
            <w:szCs w:val="22"/>
          </w:rPr>
          <w:fldChar w:fldCharType="separate"/>
        </w:r>
        <w:r w:rsidR="00B97916">
          <w:rPr>
            <w:noProof/>
            <w:webHidden/>
            <w:sz w:val="22"/>
            <w:szCs w:val="22"/>
          </w:rPr>
          <w:t>12</w:t>
        </w:r>
        <w:r w:rsidRPr="009E3FA4" w:rsidR="009E3FA4">
          <w:rPr>
            <w:noProof/>
            <w:webHidden/>
            <w:sz w:val="22"/>
            <w:szCs w:val="22"/>
          </w:rPr>
          <w:fldChar w:fldCharType="end"/>
        </w:r>
      </w:hyperlink>
    </w:p>
    <w:p w:rsidRPr="009E3FA4" w:rsidR="009E3FA4" w:rsidP="009E3FA4" w:rsidRDefault="00AB5681" w14:paraId="6F1B2FCC" w14:textId="274FB7C9">
      <w:pPr>
        <w:pStyle w:val="TableofFigures"/>
        <w:tabs>
          <w:tab w:val="right" w:leader="dot" w:pos="9350"/>
        </w:tabs>
        <w:spacing w:after="120"/>
        <w:ind w:left="0" w:firstLine="0"/>
        <w:rPr>
          <w:rFonts w:asciiTheme="minorHAnsi" w:hAnsiTheme="minorHAnsi" w:eastAsiaTheme="minorEastAsia" w:cstheme="minorBidi"/>
          <w:noProof/>
          <w:sz w:val="22"/>
          <w:szCs w:val="22"/>
        </w:rPr>
      </w:pPr>
      <w:hyperlink w:history="1" w:anchor="_Toc78365140">
        <w:r w:rsidRPr="009E3FA4" w:rsidR="009E3FA4">
          <w:rPr>
            <w:rStyle w:val="Hyperlink"/>
            <w:rFonts w:eastAsia="Calibri"/>
            <w:noProof/>
            <w:sz w:val="22"/>
            <w:szCs w:val="22"/>
          </w:rPr>
          <w:t>Table</w:t>
        </w:r>
        <w:r w:rsidRPr="009E3FA4" w:rsidR="009E3FA4">
          <w:rPr>
            <w:rStyle w:val="Hyperlink"/>
            <w:rFonts w:eastAsia="Calibri"/>
            <w:noProof/>
            <w:spacing w:val="-1"/>
            <w:sz w:val="22"/>
            <w:szCs w:val="22"/>
          </w:rPr>
          <w:t xml:space="preserve"> B.</w:t>
        </w:r>
        <w:r w:rsidRPr="009E3FA4" w:rsidR="009E3FA4">
          <w:rPr>
            <w:rStyle w:val="Hyperlink"/>
            <w:rFonts w:eastAsia="Calibri"/>
            <w:noProof/>
            <w:sz w:val="22"/>
            <w:szCs w:val="22"/>
          </w:rPr>
          <w:t>2.3.</w:t>
        </w:r>
        <w:r w:rsidRPr="009E3FA4" w:rsidR="009E3FA4">
          <w:rPr>
            <w:rStyle w:val="Hyperlink"/>
            <w:rFonts w:eastAsia="Calibri"/>
            <w:noProof/>
            <w:spacing w:val="-1"/>
            <w:sz w:val="22"/>
            <w:szCs w:val="22"/>
          </w:rPr>
          <w:t xml:space="preserve"> </w:t>
        </w:r>
        <w:r w:rsidRPr="009E3FA4" w:rsidR="009E3FA4">
          <w:rPr>
            <w:rStyle w:val="Hyperlink"/>
            <w:rFonts w:eastAsia="Calibri"/>
            <w:noProof/>
            <w:sz w:val="22"/>
            <w:szCs w:val="22"/>
          </w:rPr>
          <w:t>Population</w:t>
        </w:r>
        <w:r w:rsidRPr="009E3FA4" w:rsidR="009E3FA4">
          <w:rPr>
            <w:rStyle w:val="Hyperlink"/>
            <w:rFonts w:eastAsia="Calibri"/>
            <w:noProof/>
            <w:spacing w:val="-1"/>
            <w:sz w:val="22"/>
            <w:szCs w:val="22"/>
          </w:rPr>
          <w:t xml:space="preserve"> </w:t>
        </w:r>
        <w:r w:rsidRPr="009E3FA4" w:rsidR="009E3FA4">
          <w:rPr>
            <w:rStyle w:val="Hyperlink"/>
            <w:rFonts w:eastAsia="Calibri"/>
            <w:noProof/>
            <w:sz w:val="22"/>
            <w:szCs w:val="22"/>
          </w:rPr>
          <w:t>Prevalence</w:t>
        </w:r>
        <w:r w:rsidRPr="009E3FA4" w:rsidR="009E3FA4">
          <w:rPr>
            <w:rStyle w:val="Hyperlink"/>
            <w:rFonts w:eastAsia="Calibri"/>
            <w:noProof/>
            <w:spacing w:val="-1"/>
            <w:sz w:val="22"/>
            <w:szCs w:val="22"/>
          </w:rPr>
          <w:t xml:space="preserve"> </w:t>
        </w:r>
        <w:r w:rsidRPr="009E3FA4" w:rsidR="009E3FA4">
          <w:rPr>
            <w:rStyle w:val="Hyperlink"/>
            <w:rFonts w:eastAsia="Calibri"/>
            <w:noProof/>
            <w:sz w:val="22"/>
            <w:szCs w:val="22"/>
          </w:rPr>
          <w:t>of Key</w:t>
        </w:r>
        <w:r w:rsidRPr="009E3FA4" w:rsidR="009E3FA4">
          <w:rPr>
            <w:rStyle w:val="Hyperlink"/>
            <w:rFonts w:eastAsia="Calibri"/>
            <w:noProof/>
            <w:spacing w:val="-1"/>
            <w:sz w:val="22"/>
            <w:szCs w:val="22"/>
          </w:rPr>
          <w:t xml:space="preserve"> </w:t>
        </w:r>
        <w:r w:rsidRPr="009E3FA4" w:rsidR="009E3FA4">
          <w:rPr>
            <w:rStyle w:val="Hyperlink"/>
            <w:rFonts w:eastAsia="Calibri"/>
            <w:noProof/>
            <w:sz w:val="22"/>
            <w:szCs w:val="22"/>
          </w:rPr>
          <w:t>Subgroups</w:t>
        </w:r>
        <w:r w:rsidRPr="009E3FA4" w:rsidR="009E3FA4">
          <w:rPr>
            <w:noProof/>
            <w:webHidden/>
            <w:sz w:val="22"/>
            <w:szCs w:val="22"/>
          </w:rPr>
          <w:tab/>
        </w:r>
        <w:r w:rsidRPr="009E3FA4" w:rsidR="009E3FA4">
          <w:rPr>
            <w:noProof/>
            <w:webHidden/>
            <w:sz w:val="22"/>
            <w:szCs w:val="22"/>
          </w:rPr>
          <w:fldChar w:fldCharType="begin"/>
        </w:r>
        <w:r w:rsidRPr="009E3FA4" w:rsidR="009E3FA4">
          <w:rPr>
            <w:noProof/>
            <w:webHidden/>
            <w:sz w:val="22"/>
            <w:szCs w:val="22"/>
          </w:rPr>
          <w:instrText xml:space="preserve"> PAGEREF _Toc78365140 \h </w:instrText>
        </w:r>
        <w:r w:rsidRPr="009E3FA4" w:rsidR="009E3FA4">
          <w:rPr>
            <w:noProof/>
            <w:webHidden/>
            <w:sz w:val="22"/>
            <w:szCs w:val="22"/>
          </w:rPr>
        </w:r>
        <w:r w:rsidRPr="009E3FA4" w:rsidR="009E3FA4">
          <w:rPr>
            <w:noProof/>
            <w:webHidden/>
            <w:sz w:val="22"/>
            <w:szCs w:val="22"/>
          </w:rPr>
          <w:fldChar w:fldCharType="separate"/>
        </w:r>
        <w:r w:rsidR="00B97916">
          <w:rPr>
            <w:noProof/>
            <w:webHidden/>
            <w:sz w:val="22"/>
            <w:szCs w:val="22"/>
          </w:rPr>
          <w:t>15</w:t>
        </w:r>
        <w:r w:rsidRPr="009E3FA4" w:rsidR="009E3FA4">
          <w:rPr>
            <w:noProof/>
            <w:webHidden/>
            <w:sz w:val="22"/>
            <w:szCs w:val="22"/>
          </w:rPr>
          <w:fldChar w:fldCharType="end"/>
        </w:r>
      </w:hyperlink>
    </w:p>
    <w:p w:rsidRPr="009E3FA4" w:rsidR="009E3FA4" w:rsidP="009E3FA4" w:rsidRDefault="00AB5681" w14:paraId="0105A1A5" w14:textId="187FD0CC">
      <w:pPr>
        <w:pStyle w:val="TableofFigures"/>
        <w:tabs>
          <w:tab w:val="right" w:leader="dot" w:pos="9350"/>
        </w:tabs>
        <w:spacing w:after="120"/>
        <w:ind w:left="0" w:firstLine="0"/>
        <w:rPr>
          <w:rFonts w:asciiTheme="minorHAnsi" w:hAnsiTheme="minorHAnsi" w:eastAsiaTheme="minorEastAsia" w:cstheme="minorBidi"/>
          <w:noProof/>
          <w:sz w:val="22"/>
          <w:szCs w:val="22"/>
        </w:rPr>
      </w:pPr>
      <w:hyperlink w:history="1" w:anchor="_Toc78365141">
        <w:r w:rsidRPr="009E3FA4" w:rsidR="009E3FA4">
          <w:rPr>
            <w:rStyle w:val="Hyperlink"/>
            <w:rFonts w:eastAsia="Calibri"/>
            <w:noProof/>
            <w:sz w:val="22"/>
            <w:szCs w:val="22"/>
          </w:rPr>
          <w:t>Table</w:t>
        </w:r>
        <w:r w:rsidRPr="009E3FA4" w:rsidR="009E3FA4">
          <w:rPr>
            <w:rStyle w:val="Hyperlink"/>
            <w:rFonts w:eastAsia="Calibri"/>
            <w:noProof/>
            <w:spacing w:val="-2"/>
            <w:sz w:val="22"/>
            <w:szCs w:val="22"/>
          </w:rPr>
          <w:t xml:space="preserve"> B.</w:t>
        </w:r>
        <w:r w:rsidRPr="009E3FA4" w:rsidR="009E3FA4">
          <w:rPr>
            <w:rStyle w:val="Hyperlink"/>
            <w:rFonts w:eastAsia="Calibri"/>
            <w:noProof/>
            <w:sz w:val="22"/>
            <w:szCs w:val="22"/>
          </w:rPr>
          <w:t>2.4.</w:t>
        </w:r>
        <w:r w:rsidRPr="009E3FA4" w:rsidR="009E3FA4">
          <w:rPr>
            <w:rStyle w:val="Hyperlink"/>
            <w:rFonts w:eastAsia="Calibri"/>
            <w:noProof/>
            <w:spacing w:val="-1"/>
            <w:sz w:val="22"/>
            <w:szCs w:val="22"/>
          </w:rPr>
          <w:t xml:space="preserve"> </w:t>
        </w:r>
        <w:r w:rsidRPr="009E3FA4" w:rsidR="009E3FA4">
          <w:rPr>
            <w:rStyle w:val="Hyperlink"/>
            <w:rFonts w:eastAsia="Calibri"/>
            <w:noProof/>
            <w:sz w:val="22"/>
            <w:szCs w:val="22"/>
          </w:rPr>
          <w:t>Expected</w:t>
        </w:r>
        <w:r w:rsidRPr="009E3FA4" w:rsidR="009E3FA4">
          <w:rPr>
            <w:rStyle w:val="Hyperlink"/>
            <w:rFonts w:eastAsia="Calibri"/>
            <w:noProof/>
            <w:spacing w:val="-1"/>
            <w:sz w:val="22"/>
            <w:szCs w:val="22"/>
          </w:rPr>
          <w:t xml:space="preserve"> </w:t>
        </w:r>
        <w:r w:rsidRPr="009E3FA4" w:rsidR="009E3FA4">
          <w:rPr>
            <w:rStyle w:val="Hyperlink"/>
            <w:rFonts w:eastAsia="Calibri"/>
            <w:noProof/>
            <w:sz w:val="22"/>
            <w:szCs w:val="22"/>
          </w:rPr>
          <w:t>Response</w:t>
        </w:r>
        <w:r w:rsidRPr="009E3FA4" w:rsidR="009E3FA4">
          <w:rPr>
            <w:rStyle w:val="Hyperlink"/>
            <w:rFonts w:eastAsia="Calibri"/>
            <w:noProof/>
            <w:spacing w:val="-2"/>
            <w:sz w:val="22"/>
            <w:szCs w:val="22"/>
          </w:rPr>
          <w:t xml:space="preserve"> </w:t>
        </w:r>
        <w:r w:rsidRPr="009E3FA4" w:rsidR="009E3FA4">
          <w:rPr>
            <w:rStyle w:val="Hyperlink"/>
            <w:rFonts w:eastAsia="Calibri"/>
            <w:noProof/>
            <w:sz w:val="22"/>
            <w:szCs w:val="22"/>
          </w:rPr>
          <w:t>Rates</w:t>
        </w:r>
        <w:r w:rsidRPr="009E3FA4" w:rsidR="009E3FA4">
          <w:rPr>
            <w:rStyle w:val="Hyperlink"/>
            <w:rFonts w:eastAsia="Calibri"/>
            <w:noProof/>
            <w:spacing w:val="-1"/>
            <w:sz w:val="22"/>
            <w:szCs w:val="22"/>
          </w:rPr>
          <w:t xml:space="preserve"> </w:t>
        </w:r>
        <w:r w:rsidRPr="009E3FA4" w:rsidR="009E3FA4">
          <w:rPr>
            <w:rStyle w:val="Hyperlink"/>
            <w:rFonts w:eastAsia="Calibri"/>
            <w:noProof/>
            <w:sz w:val="22"/>
            <w:szCs w:val="22"/>
          </w:rPr>
          <w:t>by</w:t>
        </w:r>
        <w:r w:rsidRPr="009E3FA4" w:rsidR="009E3FA4">
          <w:rPr>
            <w:rStyle w:val="Hyperlink"/>
            <w:rFonts w:eastAsia="Calibri"/>
            <w:noProof/>
            <w:spacing w:val="-2"/>
            <w:sz w:val="22"/>
            <w:szCs w:val="22"/>
          </w:rPr>
          <w:t xml:space="preserve"> </w:t>
        </w:r>
        <w:r w:rsidRPr="009E3FA4" w:rsidR="009E3FA4">
          <w:rPr>
            <w:rStyle w:val="Hyperlink"/>
            <w:rFonts w:eastAsia="Calibri"/>
            <w:noProof/>
            <w:sz w:val="22"/>
            <w:szCs w:val="22"/>
          </w:rPr>
          <w:t>Sampling</w:t>
        </w:r>
        <w:r w:rsidRPr="009E3FA4" w:rsidR="009E3FA4">
          <w:rPr>
            <w:rStyle w:val="Hyperlink"/>
            <w:rFonts w:eastAsia="Calibri"/>
            <w:noProof/>
            <w:spacing w:val="-1"/>
            <w:sz w:val="22"/>
            <w:szCs w:val="22"/>
          </w:rPr>
          <w:t xml:space="preserve"> </w:t>
        </w:r>
        <w:r w:rsidRPr="009E3FA4" w:rsidR="009E3FA4">
          <w:rPr>
            <w:rStyle w:val="Hyperlink"/>
            <w:rFonts w:eastAsia="Calibri"/>
            <w:noProof/>
            <w:sz w:val="22"/>
            <w:szCs w:val="22"/>
          </w:rPr>
          <w:t>Frame</w:t>
        </w:r>
        <w:r w:rsidRPr="009E3FA4" w:rsidR="009E3FA4">
          <w:rPr>
            <w:rStyle w:val="Hyperlink"/>
            <w:rFonts w:eastAsia="Calibri"/>
            <w:noProof/>
            <w:spacing w:val="-2"/>
            <w:sz w:val="22"/>
            <w:szCs w:val="22"/>
          </w:rPr>
          <w:t xml:space="preserve"> </w:t>
        </w:r>
        <w:r w:rsidRPr="009E3FA4" w:rsidR="009E3FA4">
          <w:rPr>
            <w:rStyle w:val="Hyperlink"/>
            <w:rFonts w:eastAsia="Calibri"/>
            <w:noProof/>
            <w:sz w:val="22"/>
            <w:szCs w:val="22"/>
          </w:rPr>
          <w:t>for</w:t>
        </w:r>
        <w:r w:rsidRPr="009E3FA4" w:rsidR="009E3FA4">
          <w:rPr>
            <w:rStyle w:val="Hyperlink"/>
            <w:rFonts w:eastAsia="Calibri"/>
            <w:noProof/>
            <w:spacing w:val="-1"/>
            <w:sz w:val="22"/>
            <w:szCs w:val="22"/>
          </w:rPr>
          <w:t xml:space="preserve"> </w:t>
        </w:r>
        <w:r w:rsidRPr="009E3FA4" w:rsidR="009E3FA4">
          <w:rPr>
            <w:rStyle w:val="Hyperlink"/>
            <w:rFonts w:eastAsia="Calibri"/>
            <w:noProof/>
            <w:sz w:val="22"/>
            <w:szCs w:val="22"/>
          </w:rPr>
          <w:t>Baseline</w:t>
        </w:r>
        <w:r w:rsidRPr="009E3FA4" w:rsidR="009E3FA4">
          <w:rPr>
            <w:rStyle w:val="Hyperlink"/>
            <w:rFonts w:eastAsia="Calibri"/>
            <w:noProof/>
            <w:spacing w:val="-1"/>
            <w:sz w:val="22"/>
            <w:szCs w:val="22"/>
          </w:rPr>
          <w:t xml:space="preserve"> </w:t>
        </w:r>
        <w:r w:rsidRPr="009E3FA4" w:rsidR="009E3FA4">
          <w:rPr>
            <w:rStyle w:val="Hyperlink"/>
            <w:rFonts w:eastAsia="Calibri"/>
            <w:noProof/>
            <w:sz w:val="22"/>
            <w:szCs w:val="22"/>
          </w:rPr>
          <w:t>Study</w:t>
        </w:r>
        <w:r w:rsidRPr="009E3FA4" w:rsidR="009E3FA4">
          <w:rPr>
            <w:noProof/>
            <w:webHidden/>
            <w:sz w:val="22"/>
            <w:szCs w:val="22"/>
          </w:rPr>
          <w:tab/>
        </w:r>
        <w:r w:rsidRPr="009E3FA4" w:rsidR="009E3FA4">
          <w:rPr>
            <w:noProof/>
            <w:webHidden/>
            <w:sz w:val="22"/>
            <w:szCs w:val="22"/>
          </w:rPr>
          <w:fldChar w:fldCharType="begin"/>
        </w:r>
        <w:r w:rsidRPr="009E3FA4" w:rsidR="009E3FA4">
          <w:rPr>
            <w:noProof/>
            <w:webHidden/>
            <w:sz w:val="22"/>
            <w:szCs w:val="22"/>
          </w:rPr>
          <w:instrText xml:space="preserve"> PAGEREF _Toc78365141 \h </w:instrText>
        </w:r>
        <w:r w:rsidRPr="009E3FA4" w:rsidR="009E3FA4">
          <w:rPr>
            <w:noProof/>
            <w:webHidden/>
            <w:sz w:val="22"/>
            <w:szCs w:val="22"/>
          </w:rPr>
        </w:r>
        <w:r w:rsidRPr="009E3FA4" w:rsidR="009E3FA4">
          <w:rPr>
            <w:noProof/>
            <w:webHidden/>
            <w:sz w:val="22"/>
            <w:szCs w:val="22"/>
          </w:rPr>
          <w:fldChar w:fldCharType="separate"/>
        </w:r>
        <w:r w:rsidR="00B97916">
          <w:rPr>
            <w:noProof/>
            <w:webHidden/>
            <w:sz w:val="22"/>
            <w:szCs w:val="22"/>
          </w:rPr>
          <w:t>17</w:t>
        </w:r>
        <w:r w:rsidRPr="009E3FA4" w:rsidR="009E3FA4">
          <w:rPr>
            <w:noProof/>
            <w:webHidden/>
            <w:sz w:val="22"/>
            <w:szCs w:val="22"/>
          </w:rPr>
          <w:fldChar w:fldCharType="end"/>
        </w:r>
      </w:hyperlink>
    </w:p>
    <w:p w:rsidRPr="009E3FA4" w:rsidR="009E3FA4" w:rsidP="009E3FA4" w:rsidRDefault="00AB5681" w14:paraId="5016E638" w14:textId="333F5C69">
      <w:pPr>
        <w:pStyle w:val="TableofFigures"/>
        <w:tabs>
          <w:tab w:val="right" w:leader="dot" w:pos="9350"/>
        </w:tabs>
        <w:spacing w:after="120"/>
        <w:ind w:left="0" w:firstLine="0"/>
        <w:rPr>
          <w:rFonts w:asciiTheme="minorHAnsi" w:hAnsiTheme="minorHAnsi" w:eastAsiaTheme="minorEastAsia" w:cstheme="minorBidi"/>
          <w:noProof/>
          <w:sz w:val="22"/>
          <w:szCs w:val="22"/>
        </w:rPr>
      </w:pPr>
      <w:hyperlink w:history="1" w:anchor="_Toc78365142">
        <w:r w:rsidRPr="009E3FA4" w:rsidR="009E3FA4">
          <w:rPr>
            <w:rStyle w:val="Hyperlink"/>
            <w:rFonts w:eastAsia="Calibri"/>
            <w:noProof/>
            <w:sz w:val="22"/>
            <w:szCs w:val="22"/>
          </w:rPr>
          <w:t xml:space="preserve">Table B.2.5. Expected Yield Rates and Number of Respondents for Each Sampling Frame for the </w:t>
        </w:r>
        <w:r w:rsidR="009E3FA4">
          <w:rPr>
            <w:rStyle w:val="Hyperlink"/>
            <w:rFonts w:eastAsia="Calibri"/>
            <w:noProof/>
            <w:sz w:val="22"/>
            <w:szCs w:val="22"/>
          </w:rPr>
          <w:br/>
        </w:r>
        <w:r w:rsidRPr="009E3FA4" w:rsidR="009E3FA4">
          <w:rPr>
            <w:rStyle w:val="Hyperlink"/>
            <w:rFonts w:eastAsia="Calibri"/>
            <w:noProof/>
            <w:sz w:val="22"/>
            <w:szCs w:val="22"/>
          </w:rPr>
          <w:t>Baseline Study</w:t>
        </w:r>
        <w:r w:rsidRPr="009E3FA4" w:rsidR="009E3FA4">
          <w:rPr>
            <w:noProof/>
            <w:webHidden/>
            <w:sz w:val="22"/>
            <w:szCs w:val="22"/>
          </w:rPr>
          <w:tab/>
        </w:r>
        <w:r w:rsidRPr="009E3FA4" w:rsidR="009E3FA4">
          <w:rPr>
            <w:noProof/>
            <w:webHidden/>
            <w:sz w:val="22"/>
            <w:szCs w:val="22"/>
          </w:rPr>
          <w:fldChar w:fldCharType="begin"/>
        </w:r>
        <w:r w:rsidRPr="009E3FA4" w:rsidR="009E3FA4">
          <w:rPr>
            <w:noProof/>
            <w:webHidden/>
            <w:sz w:val="22"/>
            <w:szCs w:val="22"/>
          </w:rPr>
          <w:instrText xml:space="preserve"> PAGEREF _Toc78365142 \h </w:instrText>
        </w:r>
        <w:r w:rsidRPr="009E3FA4" w:rsidR="009E3FA4">
          <w:rPr>
            <w:noProof/>
            <w:webHidden/>
            <w:sz w:val="22"/>
            <w:szCs w:val="22"/>
          </w:rPr>
        </w:r>
        <w:r w:rsidRPr="009E3FA4" w:rsidR="009E3FA4">
          <w:rPr>
            <w:noProof/>
            <w:webHidden/>
            <w:sz w:val="22"/>
            <w:szCs w:val="22"/>
          </w:rPr>
          <w:fldChar w:fldCharType="separate"/>
        </w:r>
        <w:r w:rsidR="00B97916">
          <w:rPr>
            <w:noProof/>
            <w:webHidden/>
            <w:sz w:val="22"/>
            <w:szCs w:val="22"/>
          </w:rPr>
          <w:t>17</w:t>
        </w:r>
        <w:r w:rsidRPr="009E3FA4" w:rsidR="009E3FA4">
          <w:rPr>
            <w:noProof/>
            <w:webHidden/>
            <w:sz w:val="22"/>
            <w:szCs w:val="22"/>
          </w:rPr>
          <w:fldChar w:fldCharType="end"/>
        </w:r>
      </w:hyperlink>
    </w:p>
    <w:p w:rsidRPr="009E3FA4" w:rsidR="009E3FA4" w:rsidP="009E3FA4" w:rsidRDefault="00AB5681" w14:paraId="198AE3CA" w14:textId="577293D8">
      <w:pPr>
        <w:pStyle w:val="TableofFigures"/>
        <w:tabs>
          <w:tab w:val="right" w:leader="dot" w:pos="9350"/>
        </w:tabs>
        <w:spacing w:after="120"/>
        <w:ind w:left="0" w:firstLine="0"/>
        <w:rPr>
          <w:rFonts w:asciiTheme="minorHAnsi" w:hAnsiTheme="minorHAnsi" w:eastAsiaTheme="minorEastAsia" w:cstheme="minorBidi"/>
          <w:noProof/>
          <w:sz w:val="22"/>
          <w:szCs w:val="22"/>
        </w:rPr>
      </w:pPr>
      <w:hyperlink w:history="1" w:anchor="_Toc78365143">
        <w:r w:rsidRPr="009E3FA4" w:rsidR="009E3FA4">
          <w:rPr>
            <w:rStyle w:val="Hyperlink"/>
            <w:rFonts w:eastAsia="Calibri"/>
            <w:noProof/>
            <w:sz w:val="22"/>
            <w:szCs w:val="22"/>
          </w:rPr>
          <w:t>Table</w:t>
        </w:r>
        <w:r w:rsidRPr="009E3FA4" w:rsidR="009E3FA4">
          <w:rPr>
            <w:rStyle w:val="Hyperlink"/>
            <w:rFonts w:eastAsia="Calibri"/>
            <w:noProof/>
            <w:spacing w:val="-2"/>
            <w:sz w:val="22"/>
            <w:szCs w:val="22"/>
          </w:rPr>
          <w:t xml:space="preserve"> B.</w:t>
        </w:r>
        <w:r w:rsidRPr="009E3FA4" w:rsidR="009E3FA4">
          <w:rPr>
            <w:rStyle w:val="Hyperlink"/>
            <w:rFonts w:eastAsia="Calibri"/>
            <w:noProof/>
            <w:sz w:val="22"/>
            <w:szCs w:val="22"/>
          </w:rPr>
          <w:t>2.6.</w:t>
        </w:r>
        <w:r w:rsidRPr="009E3FA4" w:rsidR="009E3FA4">
          <w:rPr>
            <w:rStyle w:val="Hyperlink"/>
            <w:rFonts w:eastAsia="Calibri"/>
            <w:noProof/>
            <w:spacing w:val="-1"/>
            <w:sz w:val="22"/>
            <w:szCs w:val="22"/>
          </w:rPr>
          <w:t xml:space="preserve"> </w:t>
        </w:r>
        <w:r w:rsidRPr="009E3FA4" w:rsidR="009E3FA4">
          <w:rPr>
            <w:rStyle w:val="Hyperlink"/>
            <w:rFonts w:eastAsia="Calibri"/>
            <w:noProof/>
            <w:sz w:val="22"/>
            <w:szCs w:val="22"/>
          </w:rPr>
          <w:t>Expected</w:t>
        </w:r>
        <w:r w:rsidRPr="009E3FA4" w:rsidR="009E3FA4">
          <w:rPr>
            <w:rStyle w:val="Hyperlink"/>
            <w:rFonts w:eastAsia="Calibri"/>
            <w:noProof/>
            <w:spacing w:val="-2"/>
            <w:sz w:val="22"/>
            <w:szCs w:val="22"/>
          </w:rPr>
          <w:t xml:space="preserve"> </w:t>
        </w:r>
        <w:r w:rsidRPr="009E3FA4" w:rsidR="009E3FA4">
          <w:rPr>
            <w:rStyle w:val="Hyperlink"/>
            <w:rFonts w:eastAsia="Calibri"/>
            <w:noProof/>
            <w:sz w:val="22"/>
            <w:szCs w:val="22"/>
          </w:rPr>
          <w:t>Yield</w:t>
        </w:r>
        <w:r w:rsidRPr="009E3FA4" w:rsidR="009E3FA4">
          <w:rPr>
            <w:rStyle w:val="Hyperlink"/>
            <w:rFonts w:eastAsia="Calibri"/>
            <w:noProof/>
            <w:spacing w:val="1"/>
            <w:sz w:val="22"/>
            <w:szCs w:val="22"/>
          </w:rPr>
          <w:t xml:space="preserve"> </w:t>
        </w:r>
        <w:r w:rsidRPr="009E3FA4" w:rsidR="009E3FA4">
          <w:rPr>
            <w:rStyle w:val="Hyperlink"/>
            <w:rFonts w:eastAsia="Calibri"/>
            <w:noProof/>
            <w:sz w:val="22"/>
            <w:szCs w:val="22"/>
          </w:rPr>
          <w:t>Rates</w:t>
        </w:r>
        <w:r w:rsidRPr="009E3FA4" w:rsidR="009E3FA4">
          <w:rPr>
            <w:rStyle w:val="Hyperlink"/>
            <w:rFonts w:eastAsia="Calibri"/>
            <w:noProof/>
            <w:spacing w:val="-3"/>
            <w:sz w:val="22"/>
            <w:szCs w:val="22"/>
          </w:rPr>
          <w:t xml:space="preserve"> </w:t>
        </w:r>
        <w:r w:rsidRPr="009E3FA4" w:rsidR="009E3FA4">
          <w:rPr>
            <w:rStyle w:val="Hyperlink"/>
            <w:rFonts w:eastAsia="Calibri"/>
            <w:noProof/>
            <w:sz w:val="22"/>
            <w:szCs w:val="22"/>
          </w:rPr>
          <w:t>and</w:t>
        </w:r>
        <w:r w:rsidRPr="009E3FA4" w:rsidR="009E3FA4">
          <w:rPr>
            <w:rStyle w:val="Hyperlink"/>
            <w:rFonts w:eastAsia="Calibri"/>
            <w:noProof/>
            <w:spacing w:val="-2"/>
            <w:sz w:val="22"/>
            <w:szCs w:val="22"/>
          </w:rPr>
          <w:t xml:space="preserve"> </w:t>
        </w:r>
        <w:r w:rsidRPr="009E3FA4" w:rsidR="009E3FA4">
          <w:rPr>
            <w:rStyle w:val="Hyperlink"/>
            <w:rFonts w:eastAsia="Calibri"/>
            <w:noProof/>
            <w:sz w:val="22"/>
            <w:szCs w:val="22"/>
          </w:rPr>
          <w:t>Number</w:t>
        </w:r>
        <w:r w:rsidRPr="009E3FA4" w:rsidR="009E3FA4">
          <w:rPr>
            <w:rStyle w:val="Hyperlink"/>
            <w:rFonts w:eastAsia="Calibri"/>
            <w:noProof/>
            <w:spacing w:val="-1"/>
            <w:sz w:val="22"/>
            <w:szCs w:val="22"/>
          </w:rPr>
          <w:t xml:space="preserve"> </w:t>
        </w:r>
        <w:r w:rsidRPr="009E3FA4" w:rsidR="009E3FA4">
          <w:rPr>
            <w:rStyle w:val="Hyperlink"/>
            <w:rFonts w:eastAsia="Calibri"/>
            <w:noProof/>
            <w:sz w:val="22"/>
            <w:szCs w:val="22"/>
          </w:rPr>
          <w:t>of</w:t>
        </w:r>
        <w:r w:rsidRPr="009E3FA4" w:rsidR="009E3FA4">
          <w:rPr>
            <w:rStyle w:val="Hyperlink"/>
            <w:rFonts w:eastAsia="Calibri"/>
            <w:noProof/>
            <w:spacing w:val="-2"/>
            <w:sz w:val="22"/>
            <w:szCs w:val="22"/>
          </w:rPr>
          <w:t xml:space="preserve"> </w:t>
        </w:r>
        <w:r w:rsidRPr="009E3FA4" w:rsidR="009E3FA4">
          <w:rPr>
            <w:rStyle w:val="Hyperlink"/>
            <w:rFonts w:eastAsia="Calibri"/>
            <w:noProof/>
            <w:sz w:val="22"/>
            <w:szCs w:val="22"/>
          </w:rPr>
          <w:t>Respondents</w:t>
        </w:r>
        <w:r w:rsidRPr="009E3FA4" w:rsidR="009E3FA4">
          <w:rPr>
            <w:rStyle w:val="Hyperlink"/>
            <w:rFonts w:eastAsia="Calibri"/>
            <w:noProof/>
            <w:spacing w:val="-3"/>
            <w:sz w:val="22"/>
            <w:szCs w:val="22"/>
          </w:rPr>
          <w:t xml:space="preserve"> </w:t>
        </w:r>
        <w:r w:rsidRPr="009E3FA4" w:rsidR="009E3FA4">
          <w:rPr>
            <w:rStyle w:val="Hyperlink"/>
            <w:rFonts w:eastAsia="Calibri"/>
            <w:noProof/>
            <w:sz w:val="22"/>
            <w:szCs w:val="22"/>
          </w:rPr>
          <w:t>for</w:t>
        </w:r>
        <w:r w:rsidRPr="009E3FA4" w:rsidR="009E3FA4">
          <w:rPr>
            <w:rStyle w:val="Hyperlink"/>
            <w:rFonts w:eastAsia="Calibri"/>
            <w:noProof/>
            <w:spacing w:val="-2"/>
            <w:sz w:val="22"/>
            <w:szCs w:val="22"/>
          </w:rPr>
          <w:t xml:space="preserve"> </w:t>
        </w:r>
        <w:r w:rsidRPr="009E3FA4" w:rsidR="009E3FA4">
          <w:rPr>
            <w:rStyle w:val="Hyperlink"/>
            <w:rFonts w:eastAsia="Calibri"/>
            <w:noProof/>
            <w:sz w:val="22"/>
            <w:szCs w:val="22"/>
          </w:rPr>
          <w:t>the</w:t>
        </w:r>
        <w:r w:rsidRPr="009E3FA4" w:rsidR="009E3FA4">
          <w:rPr>
            <w:rStyle w:val="Hyperlink"/>
            <w:rFonts w:eastAsia="Calibri"/>
            <w:noProof/>
            <w:spacing w:val="-1"/>
            <w:sz w:val="22"/>
            <w:szCs w:val="22"/>
          </w:rPr>
          <w:t xml:space="preserve"> </w:t>
        </w:r>
        <w:r w:rsidRPr="009E3FA4" w:rsidR="009E3FA4">
          <w:rPr>
            <w:rStyle w:val="Hyperlink"/>
            <w:rFonts w:eastAsia="Calibri"/>
            <w:noProof/>
            <w:sz w:val="22"/>
            <w:szCs w:val="22"/>
          </w:rPr>
          <w:t>2‐Year</w:t>
        </w:r>
        <w:r w:rsidRPr="009E3FA4" w:rsidR="009E3FA4">
          <w:rPr>
            <w:rStyle w:val="Hyperlink"/>
            <w:rFonts w:eastAsia="Calibri"/>
            <w:noProof/>
            <w:spacing w:val="-2"/>
            <w:sz w:val="22"/>
            <w:szCs w:val="22"/>
          </w:rPr>
          <w:t xml:space="preserve"> </w:t>
        </w:r>
        <w:r w:rsidRPr="009E3FA4" w:rsidR="009E3FA4">
          <w:rPr>
            <w:rStyle w:val="Hyperlink"/>
            <w:rFonts w:eastAsia="Calibri"/>
            <w:noProof/>
            <w:sz w:val="22"/>
            <w:szCs w:val="22"/>
          </w:rPr>
          <w:t>Follow‐Up</w:t>
        </w:r>
        <w:r w:rsidRPr="009E3FA4" w:rsidR="009E3FA4">
          <w:rPr>
            <w:noProof/>
            <w:webHidden/>
            <w:sz w:val="22"/>
            <w:szCs w:val="22"/>
          </w:rPr>
          <w:tab/>
        </w:r>
        <w:r w:rsidRPr="009E3FA4" w:rsidR="009E3FA4">
          <w:rPr>
            <w:noProof/>
            <w:webHidden/>
            <w:sz w:val="22"/>
            <w:szCs w:val="22"/>
          </w:rPr>
          <w:fldChar w:fldCharType="begin"/>
        </w:r>
        <w:r w:rsidRPr="009E3FA4" w:rsidR="009E3FA4">
          <w:rPr>
            <w:noProof/>
            <w:webHidden/>
            <w:sz w:val="22"/>
            <w:szCs w:val="22"/>
          </w:rPr>
          <w:instrText xml:space="preserve"> PAGEREF _Toc78365143 \h </w:instrText>
        </w:r>
        <w:r w:rsidRPr="009E3FA4" w:rsidR="009E3FA4">
          <w:rPr>
            <w:noProof/>
            <w:webHidden/>
            <w:sz w:val="22"/>
            <w:szCs w:val="22"/>
          </w:rPr>
        </w:r>
        <w:r w:rsidRPr="009E3FA4" w:rsidR="009E3FA4">
          <w:rPr>
            <w:noProof/>
            <w:webHidden/>
            <w:sz w:val="22"/>
            <w:szCs w:val="22"/>
          </w:rPr>
          <w:fldChar w:fldCharType="separate"/>
        </w:r>
        <w:r w:rsidR="00B97916">
          <w:rPr>
            <w:noProof/>
            <w:webHidden/>
            <w:sz w:val="22"/>
            <w:szCs w:val="22"/>
          </w:rPr>
          <w:t>17</w:t>
        </w:r>
        <w:r w:rsidRPr="009E3FA4" w:rsidR="009E3FA4">
          <w:rPr>
            <w:noProof/>
            <w:webHidden/>
            <w:sz w:val="22"/>
            <w:szCs w:val="22"/>
          </w:rPr>
          <w:fldChar w:fldCharType="end"/>
        </w:r>
      </w:hyperlink>
    </w:p>
    <w:p w:rsidRPr="009E3FA4" w:rsidR="009E3FA4" w:rsidP="009E3FA4" w:rsidRDefault="00AB5681" w14:paraId="00517B7A" w14:textId="1CD9B0CE">
      <w:pPr>
        <w:pStyle w:val="TableofFigures"/>
        <w:tabs>
          <w:tab w:val="right" w:leader="dot" w:pos="9350"/>
        </w:tabs>
        <w:spacing w:after="120"/>
        <w:ind w:left="0" w:firstLine="0"/>
        <w:rPr>
          <w:rFonts w:asciiTheme="minorHAnsi" w:hAnsiTheme="minorHAnsi" w:eastAsiaTheme="minorEastAsia" w:cstheme="minorBidi"/>
          <w:noProof/>
          <w:sz w:val="22"/>
          <w:szCs w:val="22"/>
        </w:rPr>
      </w:pPr>
      <w:hyperlink w:history="1" w:anchor="_Toc78365144">
        <w:r w:rsidRPr="009E3FA4" w:rsidR="009E3FA4">
          <w:rPr>
            <w:rStyle w:val="Hyperlink"/>
            <w:rFonts w:eastAsia="Calibri"/>
            <w:noProof/>
            <w:sz w:val="22"/>
            <w:szCs w:val="22"/>
          </w:rPr>
          <w:t>Table</w:t>
        </w:r>
        <w:r w:rsidRPr="009E3FA4" w:rsidR="009E3FA4">
          <w:rPr>
            <w:rStyle w:val="Hyperlink"/>
            <w:rFonts w:eastAsia="Calibri"/>
            <w:noProof/>
            <w:spacing w:val="-3"/>
            <w:sz w:val="22"/>
            <w:szCs w:val="22"/>
          </w:rPr>
          <w:t xml:space="preserve"> B.</w:t>
        </w:r>
        <w:r w:rsidRPr="009E3FA4" w:rsidR="009E3FA4">
          <w:rPr>
            <w:rStyle w:val="Hyperlink"/>
            <w:rFonts w:eastAsia="Calibri"/>
            <w:noProof/>
            <w:sz w:val="22"/>
            <w:szCs w:val="22"/>
          </w:rPr>
          <w:t>2.7.</w:t>
        </w:r>
        <w:r w:rsidRPr="009E3FA4" w:rsidR="009E3FA4">
          <w:rPr>
            <w:rStyle w:val="Hyperlink"/>
            <w:rFonts w:eastAsia="Calibri"/>
            <w:noProof/>
            <w:spacing w:val="-2"/>
            <w:sz w:val="22"/>
            <w:szCs w:val="22"/>
          </w:rPr>
          <w:t xml:space="preserve"> </w:t>
        </w:r>
        <w:r w:rsidRPr="009E3FA4" w:rsidR="009E3FA4">
          <w:rPr>
            <w:rStyle w:val="Hyperlink"/>
            <w:rFonts w:eastAsia="Calibri"/>
            <w:noProof/>
            <w:sz w:val="22"/>
            <w:szCs w:val="22"/>
          </w:rPr>
          <w:t>Expected</w:t>
        </w:r>
        <w:r w:rsidRPr="009E3FA4" w:rsidR="009E3FA4">
          <w:rPr>
            <w:rStyle w:val="Hyperlink"/>
            <w:rFonts w:eastAsia="Calibri"/>
            <w:noProof/>
            <w:spacing w:val="-2"/>
            <w:sz w:val="22"/>
            <w:szCs w:val="22"/>
          </w:rPr>
          <w:t xml:space="preserve"> </w:t>
        </w:r>
        <w:r w:rsidRPr="009E3FA4" w:rsidR="009E3FA4">
          <w:rPr>
            <w:rStyle w:val="Hyperlink"/>
            <w:rFonts w:eastAsia="Calibri"/>
            <w:noProof/>
            <w:sz w:val="22"/>
            <w:szCs w:val="22"/>
          </w:rPr>
          <w:t>Margin</w:t>
        </w:r>
        <w:r w:rsidRPr="009E3FA4" w:rsidR="009E3FA4">
          <w:rPr>
            <w:rStyle w:val="Hyperlink"/>
            <w:rFonts w:eastAsia="Calibri"/>
            <w:noProof/>
            <w:spacing w:val="-1"/>
            <w:sz w:val="22"/>
            <w:szCs w:val="22"/>
          </w:rPr>
          <w:t xml:space="preserve"> </w:t>
        </w:r>
        <w:r w:rsidRPr="009E3FA4" w:rsidR="009E3FA4">
          <w:rPr>
            <w:rStyle w:val="Hyperlink"/>
            <w:rFonts w:eastAsia="Calibri"/>
            <w:noProof/>
            <w:sz w:val="22"/>
            <w:szCs w:val="22"/>
          </w:rPr>
          <w:t>of</w:t>
        </w:r>
        <w:r w:rsidRPr="009E3FA4" w:rsidR="009E3FA4">
          <w:rPr>
            <w:rStyle w:val="Hyperlink"/>
            <w:rFonts w:eastAsia="Calibri"/>
            <w:noProof/>
            <w:spacing w:val="-3"/>
            <w:sz w:val="22"/>
            <w:szCs w:val="22"/>
          </w:rPr>
          <w:t xml:space="preserve"> </w:t>
        </w:r>
        <w:r w:rsidRPr="009E3FA4" w:rsidR="009E3FA4">
          <w:rPr>
            <w:rStyle w:val="Hyperlink"/>
            <w:rFonts w:eastAsia="Calibri"/>
            <w:noProof/>
            <w:sz w:val="22"/>
            <w:szCs w:val="22"/>
          </w:rPr>
          <w:t>Error</w:t>
        </w:r>
        <w:r w:rsidRPr="009E3FA4" w:rsidR="009E3FA4">
          <w:rPr>
            <w:rStyle w:val="Hyperlink"/>
            <w:rFonts w:eastAsia="Calibri"/>
            <w:noProof/>
            <w:spacing w:val="-2"/>
            <w:sz w:val="22"/>
            <w:szCs w:val="22"/>
          </w:rPr>
          <w:t xml:space="preserve"> </w:t>
        </w:r>
        <w:r w:rsidRPr="009E3FA4" w:rsidR="009E3FA4">
          <w:rPr>
            <w:rStyle w:val="Hyperlink"/>
            <w:rFonts w:eastAsia="Calibri"/>
            <w:noProof/>
            <w:sz w:val="22"/>
            <w:szCs w:val="22"/>
          </w:rPr>
          <w:t>for</w:t>
        </w:r>
        <w:r w:rsidRPr="009E3FA4" w:rsidR="009E3FA4">
          <w:rPr>
            <w:rStyle w:val="Hyperlink"/>
            <w:rFonts w:eastAsia="Calibri"/>
            <w:noProof/>
            <w:spacing w:val="-1"/>
            <w:sz w:val="22"/>
            <w:szCs w:val="22"/>
          </w:rPr>
          <w:t xml:space="preserve"> </w:t>
        </w:r>
        <w:r w:rsidRPr="009E3FA4" w:rsidR="009E3FA4">
          <w:rPr>
            <w:rStyle w:val="Hyperlink"/>
            <w:rFonts w:eastAsia="Calibri"/>
            <w:noProof/>
            <w:sz w:val="22"/>
            <w:szCs w:val="22"/>
          </w:rPr>
          <w:t>Best,</w:t>
        </w:r>
        <w:r w:rsidRPr="009E3FA4" w:rsidR="009E3FA4">
          <w:rPr>
            <w:rStyle w:val="Hyperlink"/>
            <w:rFonts w:eastAsia="Calibri"/>
            <w:noProof/>
            <w:spacing w:val="-2"/>
            <w:sz w:val="22"/>
            <w:szCs w:val="22"/>
          </w:rPr>
          <w:t xml:space="preserve"> </w:t>
        </w:r>
        <w:r w:rsidRPr="009E3FA4" w:rsidR="009E3FA4">
          <w:rPr>
            <w:rStyle w:val="Hyperlink"/>
            <w:rFonts w:eastAsia="Calibri"/>
            <w:noProof/>
            <w:sz w:val="22"/>
            <w:szCs w:val="22"/>
          </w:rPr>
          <w:t>Worst,</w:t>
        </w:r>
        <w:r w:rsidRPr="009E3FA4" w:rsidR="009E3FA4">
          <w:rPr>
            <w:rStyle w:val="Hyperlink"/>
            <w:rFonts w:eastAsia="Calibri"/>
            <w:noProof/>
            <w:spacing w:val="-2"/>
            <w:sz w:val="22"/>
            <w:szCs w:val="22"/>
          </w:rPr>
          <w:t xml:space="preserve"> </w:t>
        </w:r>
        <w:r w:rsidRPr="009E3FA4" w:rsidR="009E3FA4">
          <w:rPr>
            <w:rStyle w:val="Hyperlink"/>
            <w:rFonts w:eastAsia="Calibri"/>
            <w:noProof/>
            <w:sz w:val="22"/>
            <w:szCs w:val="22"/>
          </w:rPr>
          <w:t>and</w:t>
        </w:r>
        <w:r w:rsidRPr="009E3FA4" w:rsidR="009E3FA4">
          <w:rPr>
            <w:rStyle w:val="Hyperlink"/>
            <w:rFonts w:eastAsia="Calibri"/>
            <w:noProof/>
            <w:spacing w:val="-2"/>
            <w:sz w:val="22"/>
            <w:szCs w:val="22"/>
          </w:rPr>
          <w:t xml:space="preserve"> </w:t>
        </w:r>
        <w:r w:rsidRPr="009E3FA4" w:rsidR="009E3FA4">
          <w:rPr>
            <w:rStyle w:val="Hyperlink"/>
            <w:rFonts w:eastAsia="Calibri"/>
            <w:noProof/>
            <w:sz w:val="22"/>
            <w:szCs w:val="22"/>
          </w:rPr>
          <w:t>Middle</w:t>
        </w:r>
        <w:r w:rsidRPr="009E3FA4" w:rsidR="009E3FA4">
          <w:rPr>
            <w:rStyle w:val="Hyperlink"/>
            <w:rFonts w:eastAsia="Calibri"/>
            <w:noProof/>
            <w:spacing w:val="-3"/>
            <w:sz w:val="22"/>
            <w:szCs w:val="22"/>
          </w:rPr>
          <w:t xml:space="preserve"> </w:t>
        </w:r>
        <w:r w:rsidRPr="009E3FA4" w:rsidR="009E3FA4">
          <w:rPr>
            <w:rStyle w:val="Hyperlink"/>
            <w:rFonts w:eastAsia="Calibri"/>
            <w:noProof/>
            <w:sz w:val="22"/>
            <w:szCs w:val="22"/>
          </w:rPr>
          <w:t>Yield‐Rate</w:t>
        </w:r>
        <w:r w:rsidRPr="009E3FA4" w:rsidR="009E3FA4">
          <w:rPr>
            <w:rStyle w:val="Hyperlink"/>
            <w:rFonts w:eastAsia="Calibri"/>
            <w:noProof/>
            <w:spacing w:val="-2"/>
            <w:sz w:val="22"/>
            <w:szCs w:val="22"/>
          </w:rPr>
          <w:t xml:space="preserve"> </w:t>
        </w:r>
        <w:r w:rsidRPr="009E3FA4" w:rsidR="009E3FA4">
          <w:rPr>
            <w:rStyle w:val="Hyperlink"/>
            <w:rFonts w:eastAsia="Calibri"/>
            <w:noProof/>
            <w:sz w:val="22"/>
            <w:szCs w:val="22"/>
          </w:rPr>
          <w:t>Scenarios</w:t>
        </w:r>
        <w:r w:rsidRPr="009E3FA4" w:rsidR="009E3FA4">
          <w:rPr>
            <w:rStyle w:val="Hyperlink"/>
            <w:rFonts w:eastAsia="Calibri"/>
            <w:noProof/>
            <w:spacing w:val="-3"/>
            <w:sz w:val="22"/>
            <w:szCs w:val="22"/>
          </w:rPr>
          <w:t xml:space="preserve"> </w:t>
        </w:r>
        <w:r w:rsidRPr="009E3FA4" w:rsidR="009E3FA4">
          <w:rPr>
            <w:rStyle w:val="Hyperlink"/>
            <w:rFonts w:eastAsia="Calibri"/>
            <w:noProof/>
            <w:sz w:val="22"/>
            <w:szCs w:val="22"/>
          </w:rPr>
          <w:t>for</w:t>
        </w:r>
        <w:r w:rsidRPr="009E3FA4" w:rsidR="009E3FA4">
          <w:rPr>
            <w:rStyle w:val="Hyperlink"/>
            <w:rFonts w:eastAsia="Calibri"/>
            <w:noProof/>
            <w:spacing w:val="-2"/>
            <w:sz w:val="22"/>
            <w:szCs w:val="22"/>
          </w:rPr>
          <w:t xml:space="preserve"> </w:t>
        </w:r>
        <w:r w:rsidRPr="009E3FA4" w:rsidR="009E3FA4">
          <w:rPr>
            <w:rStyle w:val="Hyperlink"/>
            <w:rFonts w:eastAsia="Calibri"/>
            <w:noProof/>
            <w:sz w:val="22"/>
            <w:szCs w:val="22"/>
          </w:rPr>
          <w:t>Estimates</w:t>
        </w:r>
        <w:r w:rsidRPr="009E3FA4" w:rsidR="009E3FA4">
          <w:rPr>
            <w:rStyle w:val="Hyperlink"/>
            <w:rFonts w:eastAsia="Calibri"/>
            <w:noProof/>
            <w:spacing w:val="-3"/>
            <w:sz w:val="22"/>
            <w:szCs w:val="22"/>
          </w:rPr>
          <w:t xml:space="preserve"> </w:t>
        </w:r>
        <w:r w:rsidR="009E3FA4">
          <w:rPr>
            <w:rStyle w:val="Hyperlink"/>
            <w:rFonts w:eastAsia="Calibri"/>
            <w:noProof/>
            <w:spacing w:val="-3"/>
            <w:sz w:val="22"/>
            <w:szCs w:val="22"/>
          </w:rPr>
          <w:br/>
        </w:r>
        <w:r w:rsidRPr="009E3FA4" w:rsidR="009E3FA4">
          <w:rPr>
            <w:rStyle w:val="Hyperlink"/>
            <w:rFonts w:eastAsia="Calibri"/>
            <w:noProof/>
            <w:sz w:val="22"/>
            <w:szCs w:val="22"/>
          </w:rPr>
          <w:t>of</w:t>
        </w:r>
        <w:r w:rsidRPr="009E3FA4" w:rsidR="009E3FA4">
          <w:rPr>
            <w:rStyle w:val="Hyperlink"/>
            <w:rFonts w:eastAsia="Calibri"/>
            <w:noProof/>
            <w:spacing w:val="-2"/>
            <w:sz w:val="22"/>
            <w:szCs w:val="22"/>
          </w:rPr>
          <w:t xml:space="preserve"> a 50-Percent Characteristic: Baseline Study</w:t>
        </w:r>
        <w:r w:rsidRPr="009E3FA4" w:rsidR="009E3FA4">
          <w:rPr>
            <w:noProof/>
            <w:webHidden/>
            <w:sz w:val="22"/>
            <w:szCs w:val="22"/>
          </w:rPr>
          <w:tab/>
        </w:r>
        <w:r w:rsidRPr="009E3FA4" w:rsidR="009E3FA4">
          <w:rPr>
            <w:noProof/>
            <w:webHidden/>
            <w:sz w:val="22"/>
            <w:szCs w:val="22"/>
          </w:rPr>
          <w:fldChar w:fldCharType="begin"/>
        </w:r>
        <w:r w:rsidRPr="009E3FA4" w:rsidR="009E3FA4">
          <w:rPr>
            <w:noProof/>
            <w:webHidden/>
            <w:sz w:val="22"/>
            <w:szCs w:val="22"/>
          </w:rPr>
          <w:instrText xml:space="preserve"> PAGEREF _Toc78365144 \h </w:instrText>
        </w:r>
        <w:r w:rsidRPr="009E3FA4" w:rsidR="009E3FA4">
          <w:rPr>
            <w:noProof/>
            <w:webHidden/>
            <w:sz w:val="22"/>
            <w:szCs w:val="22"/>
          </w:rPr>
        </w:r>
        <w:r w:rsidRPr="009E3FA4" w:rsidR="009E3FA4">
          <w:rPr>
            <w:noProof/>
            <w:webHidden/>
            <w:sz w:val="22"/>
            <w:szCs w:val="22"/>
          </w:rPr>
          <w:fldChar w:fldCharType="separate"/>
        </w:r>
        <w:r w:rsidR="00B97916">
          <w:rPr>
            <w:noProof/>
            <w:webHidden/>
            <w:sz w:val="22"/>
            <w:szCs w:val="22"/>
          </w:rPr>
          <w:t>18</w:t>
        </w:r>
        <w:r w:rsidRPr="009E3FA4" w:rsidR="009E3FA4">
          <w:rPr>
            <w:noProof/>
            <w:webHidden/>
            <w:sz w:val="22"/>
            <w:szCs w:val="22"/>
          </w:rPr>
          <w:fldChar w:fldCharType="end"/>
        </w:r>
      </w:hyperlink>
    </w:p>
    <w:p w:rsidRPr="009E3FA4" w:rsidR="009E3FA4" w:rsidP="009E3FA4" w:rsidRDefault="00AB5681" w14:paraId="50FAA88C" w14:textId="2253E7A1">
      <w:pPr>
        <w:pStyle w:val="TableofFigures"/>
        <w:tabs>
          <w:tab w:val="right" w:leader="dot" w:pos="9350"/>
        </w:tabs>
        <w:spacing w:after="120"/>
        <w:ind w:left="0" w:firstLine="0"/>
        <w:rPr>
          <w:rFonts w:asciiTheme="minorHAnsi" w:hAnsiTheme="minorHAnsi" w:eastAsiaTheme="minorEastAsia" w:cstheme="minorBidi"/>
          <w:noProof/>
          <w:sz w:val="22"/>
          <w:szCs w:val="22"/>
        </w:rPr>
      </w:pPr>
      <w:hyperlink w:history="1" w:anchor="_Toc78365145">
        <w:r w:rsidRPr="009E3FA4" w:rsidR="009E3FA4">
          <w:rPr>
            <w:rStyle w:val="Hyperlink"/>
            <w:rFonts w:eastAsia="Calibri"/>
            <w:noProof/>
            <w:sz w:val="22"/>
            <w:szCs w:val="22"/>
          </w:rPr>
          <w:t xml:space="preserve">Table B.2.8. Expected Margin of Error for Middle Yield‐Rate Scenario for Estimates of 20, 30, and </w:t>
        </w:r>
        <w:r w:rsidR="009E3FA4">
          <w:rPr>
            <w:rStyle w:val="Hyperlink"/>
            <w:rFonts w:eastAsia="Calibri"/>
            <w:noProof/>
            <w:sz w:val="22"/>
            <w:szCs w:val="22"/>
          </w:rPr>
          <w:br/>
        </w:r>
        <w:r w:rsidRPr="009E3FA4" w:rsidR="009E3FA4">
          <w:rPr>
            <w:rStyle w:val="Hyperlink"/>
            <w:rFonts w:eastAsia="Calibri"/>
            <w:noProof/>
            <w:sz w:val="22"/>
            <w:szCs w:val="22"/>
          </w:rPr>
          <w:t>40 Percent Characteristics: Baseline Study</w:t>
        </w:r>
        <w:r w:rsidRPr="009E3FA4" w:rsidR="009E3FA4">
          <w:rPr>
            <w:noProof/>
            <w:webHidden/>
            <w:sz w:val="22"/>
            <w:szCs w:val="22"/>
          </w:rPr>
          <w:tab/>
        </w:r>
        <w:r w:rsidRPr="009E3FA4" w:rsidR="009E3FA4">
          <w:rPr>
            <w:noProof/>
            <w:webHidden/>
            <w:sz w:val="22"/>
            <w:szCs w:val="22"/>
          </w:rPr>
          <w:fldChar w:fldCharType="begin"/>
        </w:r>
        <w:r w:rsidRPr="009E3FA4" w:rsidR="009E3FA4">
          <w:rPr>
            <w:noProof/>
            <w:webHidden/>
            <w:sz w:val="22"/>
            <w:szCs w:val="22"/>
          </w:rPr>
          <w:instrText xml:space="preserve"> PAGEREF _Toc78365145 \h </w:instrText>
        </w:r>
        <w:r w:rsidRPr="009E3FA4" w:rsidR="009E3FA4">
          <w:rPr>
            <w:noProof/>
            <w:webHidden/>
            <w:sz w:val="22"/>
            <w:szCs w:val="22"/>
          </w:rPr>
        </w:r>
        <w:r w:rsidRPr="009E3FA4" w:rsidR="009E3FA4">
          <w:rPr>
            <w:noProof/>
            <w:webHidden/>
            <w:sz w:val="22"/>
            <w:szCs w:val="22"/>
          </w:rPr>
          <w:fldChar w:fldCharType="separate"/>
        </w:r>
        <w:r w:rsidR="00B97916">
          <w:rPr>
            <w:noProof/>
            <w:webHidden/>
            <w:sz w:val="22"/>
            <w:szCs w:val="22"/>
          </w:rPr>
          <w:t>18</w:t>
        </w:r>
        <w:r w:rsidRPr="009E3FA4" w:rsidR="009E3FA4">
          <w:rPr>
            <w:noProof/>
            <w:webHidden/>
            <w:sz w:val="22"/>
            <w:szCs w:val="22"/>
          </w:rPr>
          <w:fldChar w:fldCharType="end"/>
        </w:r>
      </w:hyperlink>
    </w:p>
    <w:p w:rsidRPr="009E3FA4" w:rsidR="009E3FA4" w:rsidP="009E3FA4" w:rsidRDefault="00AB5681" w14:paraId="3B20E9AA" w14:textId="301E7B12">
      <w:pPr>
        <w:pStyle w:val="TableofFigures"/>
        <w:tabs>
          <w:tab w:val="right" w:leader="dot" w:pos="9350"/>
        </w:tabs>
        <w:spacing w:after="120"/>
        <w:ind w:left="0" w:firstLine="0"/>
        <w:rPr>
          <w:rFonts w:asciiTheme="minorHAnsi" w:hAnsiTheme="minorHAnsi" w:eastAsiaTheme="minorEastAsia" w:cstheme="minorBidi"/>
          <w:noProof/>
          <w:sz w:val="22"/>
          <w:szCs w:val="22"/>
        </w:rPr>
      </w:pPr>
      <w:hyperlink w:history="1" w:anchor="_Toc78365146">
        <w:r w:rsidRPr="009E3FA4" w:rsidR="009E3FA4">
          <w:rPr>
            <w:rStyle w:val="Hyperlink"/>
            <w:rFonts w:eastAsia="Calibri"/>
            <w:noProof/>
            <w:sz w:val="22"/>
            <w:szCs w:val="22"/>
          </w:rPr>
          <w:t>Table</w:t>
        </w:r>
        <w:r w:rsidRPr="009E3FA4" w:rsidR="009E3FA4">
          <w:rPr>
            <w:rStyle w:val="Hyperlink"/>
            <w:rFonts w:eastAsia="Calibri"/>
            <w:noProof/>
            <w:spacing w:val="-3"/>
            <w:sz w:val="22"/>
            <w:szCs w:val="22"/>
          </w:rPr>
          <w:t xml:space="preserve"> B.</w:t>
        </w:r>
        <w:r w:rsidRPr="009E3FA4" w:rsidR="009E3FA4">
          <w:rPr>
            <w:rStyle w:val="Hyperlink"/>
            <w:rFonts w:eastAsia="Calibri"/>
            <w:noProof/>
            <w:sz w:val="22"/>
            <w:szCs w:val="22"/>
          </w:rPr>
          <w:t>2.9.</w:t>
        </w:r>
        <w:r w:rsidRPr="009E3FA4" w:rsidR="009E3FA4">
          <w:rPr>
            <w:rStyle w:val="Hyperlink"/>
            <w:rFonts w:eastAsia="Calibri"/>
            <w:noProof/>
            <w:spacing w:val="-2"/>
            <w:sz w:val="22"/>
            <w:szCs w:val="22"/>
          </w:rPr>
          <w:t xml:space="preserve"> </w:t>
        </w:r>
        <w:r w:rsidRPr="009E3FA4" w:rsidR="009E3FA4">
          <w:rPr>
            <w:rStyle w:val="Hyperlink"/>
            <w:rFonts w:eastAsia="Calibri"/>
            <w:noProof/>
            <w:sz w:val="22"/>
            <w:szCs w:val="22"/>
          </w:rPr>
          <w:t>Expected</w:t>
        </w:r>
        <w:r w:rsidRPr="009E3FA4" w:rsidR="009E3FA4">
          <w:rPr>
            <w:rStyle w:val="Hyperlink"/>
            <w:rFonts w:eastAsia="Calibri"/>
            <w:noProof/>
            <w:spacing w:val="-2"/>
            <w:sz w:val="22"/>
            <w:szCs w:val="22"/>
          </w:rPr>
          <w:t xml:space="preserve"> </w:t>
        </w:r>
        <w:r w:rsidRPr="009E3FA4" w:rsidR="009E3FA4">
          <w:rPr>
            <w:rStyle w:val="Hyperlink"/>
            <w:rFonts w:eastAsia="Calibri"/>
            <w:noProof/>
            <w:sz w:val="22"/>
            <w:szCs w:val="22"/>
          </w:rPr>
          <w:t>Margin</w:t>
        </w:r>
        <w:r w:rsidRPr="009E3FA4" w:rsidR="009E3FA4">
          <w:rPr>
            <w:rStyle w:val="Hyperlink"/>
            <w:rFonts w:eastAsia="Calibri"/>
            <w:noProof/>
            <w:spacing w:val="-1"/>
            <w:sz w:val="22"/>
            <w:szCs w:val="22"/>
          </w:rPr>
          <w:t xml:space="preserve"> </w:t>
        </w:r>
        <w:r w:rsidRPr="009E3FA4" w:rsidR="009E3FA4">
          <w:rPr>
            <w:rStyle w:val="Hyperlink"/>
            <w:rFonts w:eastAsia="Calibri"/>
            <w:noProof/>
            <w:sz w:val="22"/>
            <w:szCs w:val="22"/>
          </w:rPr>
          <w:t>of</w:t>
        </w:r>
        <w:r w:rsidRPr="009E3FA4" w:rsidR="009E3FA4">
          <w:rPr>
            <w:rStyle w:val="Hyperlink"/>
            <w:rFonts w:eastAsia="Calibri"/>
            <w:noProof/>
            <w:spacing w:val="-3"/>
            <w:sz w:val="22"/>
            <w:szCs w:val="22"/>
          </w:rPr>
          <w:t xml:space="preserve"> </w:t>
        </w:r>
        <w:r w:rsidRPr="009E3FA4" w:rsidR="009E3FA4">
          <w:rPr>
            <w:rStyle w:val="Hyperlink"/>
            <w:rFonts w:eastAsia="Calibri"/>
            <w:noProof/>
            <w:sz w:val="22"/>
            <w:szCs w:val="22"/>
          </w:rPr>
          <w:t>Error</w:t>
        </w:r>
        <w:r w:rsidRPr="009E3FA4" w:rsidR="009E3FA4">
          <w:rPr>
            <w:rStyle w:val="Hyperlink"/>
            <w:rFonts w:eastAsia="Calibri"/>
            <w:noProof/>
            <w:spacing w:val="-2"/>
            <w:sz w:val="22"/>
            <w:szCs w:val="22"/>
          </w:rPr>
          <w:t xml:space="preserve"> </w:t>
        </w:r>
        <w:r w:rsidRPr="009E3FA4" w:rsidR="009E3FA4">
          <w:rPr>
            <w:rStyle w:val="Hyperlink"/>
            <w:rFonts w:eastAsia="Calibri"/>
            <w:noProof/>
            <w:sz w:val="22"/>
            <w:szCs w:val="22"/>
          </w:rPr>
          <w:t>for</w:t>
        </w:r>
        <w:r w:rsidRPr="009E3FA4" w:rsidR="009E3FA4">
          <w:rPr>
            <w:rStyle w:val="Hyperlink"/>
            <w:rFonts w:eastAsia="Calibri"/>
            <w:noProof/>
            <w:spacing w:val="-1"/>
            <w:sz w:val="22"/>
            <w:szCs w:val="22"/>
          </w:rPr>
          <w:t xml:space="preserve"> </w:t>
        </w:r>
        <w:r w:rsidRPr="009E3FA4" w:rsidR="009E3FA4">
          <w:rPr>
            <w:rStyle w:val="Hyperlink"/>
            <w:rFonts w:eastAsia="Calibri"/>
            <w:noProof/>
            <w:sz w:val="22"/>
            <w:szCs w:val="22"/>
          </w:rPr>
          <w:t>Best,</w:t>
        </w:r>
        <w:r w:rsidRPr="009E3FA4" w:rsidR="009E3FA4">
          <w:rPr>
            <w:rStyle w:val="Hyperlink"/>
            <w:rFonts w:eastAsia="Calibri"/>
            <w:noProof/>
            <w:spacing w:val="-2"/>
            <w:sz w:val="22"/>
            <w:szCs w:val="22"/>
          </w:rPr>
          <w:t xml:space="preserve"> </w:t>
        </w:r>
        <w:r w:rsidRPr="009E3FA4" w:rsidR="009E3FA4">
          <w:rPr>
            <w:rStyle w:val="Hyperlink"/>
            <w:rFonts w:eastAsia="Calibri"/>
            <w:noProof/>
            <w:sz w:val="22"/>
            <w:szCs w:val="22"/>
          </w:rPr>
          <w:t>Worst,</w:t>
        </w:r>
        <w:r w:rsidRPr="009E3FA4" w:rsidR="009E3FA4">
          <w:rPr>
            <w:rStyle w:val="Hyperlink"/>
            <w:rFonts w:eastAsia="Calibri"/>
            <w:noProof/>
            <w:spacing w:val="-2"/>
            <w:sz w:val="22"/>
            <w:szCs w:val="22"/>
          </w:rPr>
          <w:t xml:space="preserve"> </w:t>
        </w:r>
        <w:r w:rsidRPr="009E3FA4" w:rsidR="009E3FA4">
          <w:rPr>
            <w:rStyle w:val="Hyperlink"/>
            <w:rFonts w:eastAsia="Calibri"/>
            <w:noProof/>
            <w:sz w:val="22"/>
            <w:szCs w:val="22"/>
          </w:rPr>
          <w:t>and</w:t>
        </w:r>
        <w:r w:rsidRPr="009E3FA4" w:rsidR="009E3FA4">
          <w:rPr>
            <w:rStyle w:val="Hyperlink"/>
            <w:rFonts w:eastAsia="Calibri"/>
            <w:noProof/>
            <w:spacing w:val="-2"/>
            <w:sz w:val="22"/>
            <w:szCs w:val="22"/>
          </w:rPr>
          <w:t xml:space="preserve"> </w:t>
        </w:r>
        <w:r w:rsidRPr="009E3FA4" w:rsidR="009E3FA4">
          <w:rPr>
            <w:rStyle w:val="Hyperlink"/>
            <w:rFonts w:eastAsia="Calibri"/>
            <w:noProof/>
            <w:sz w:val="22"/>
            <w:szCs w:val="22"/>
          </w:rPr>
          <w:t>Middle</w:t>
        </w:r>
        <w:r w:rsidRPr="009E3FA4" w:rsidR="009E3FA4">
          <w:rPr>
            <w:rStyle w:val="Hyperlink"/>
            <w:rFonts w:eastAsia="Calibri"/>
            <w:noProof/>
            <w:spacing w:val="-3"/>
            <w:sz w:val="22"/>
            <w:szCs w:val="22"/>
          </w:rPr>
          <w:t xml:space="preserve"> </w:t>
        </w:r>
        <w:r w:rsidRPr="009E3FA4" w:rsidR="009E3FA4">
          <w:rPr>
            <w:rStyle w:val="Hyperlink"/>
            <w:rFonts w:eastAsia="Calibri"/>
            <w:noProof/>
            <w:sz w:val="22"/>
            <w:szCs w:val="22"/>
          </w:rPr>
          <w:t>Yield‐Rate</w:t>
        </w:r>
        <w:r w:rsidRPr="009E3FA4" w:rsidR="009E3FA4">
          <w:rPr>
            <w:rStyle w:val="Hyperlink"/>
            <w:rFonts w:eastAsia="Calibri"/>
            <w:noProof/>
            <w:spacing w:val="-2"/>
            <w:sz w:val="22"/>
            <w:szCs w:val="22"/>
          </w:rPr>
          <w:t xml:space="preserve"> </w:t>
        </w:r>
        <w:r w:rsidRPr="009E3FA4" w:rsidR="009E3FA4">
          <w:rPr>
            <w:rStyle w:val="Hyperlink"/>
            <w:rFonts w:eastAsia="Calibri"/>
            <w:noProof/>
            <w:sz w:val="22"/>
            <w:szCs w:val="22"/>
          </w:rPr>
          <w:t>Scenarios</w:t>
        </w:r>
        <w:r w:rsidRPr="009E3FA4" w:rsidR="009E3FA4">
          <w:rPr>
            <w:rStyle w:val="Hyperlink"/>
            <w:rFonts w:eastAsia="Calibri"/>
            <w:noProof/>
            <w:spacing w:val="-3"/>
            <w:sz w:val="22"/>
            <w:szCs w:val="22"/>
          </w:rPr>
          <w:t xml:space="preserve"> </w:t>
        </w:r>
        <w:r w:rsidRPr="009E3FA4" w:rsidR="009E3FA4">
          <w:rPr>
            <w:rStyle w:val="Hyperlink"/>
            <w:rFonts w:eastAsia="Calibri"/>
            <w:noProof/>
            <w:sz w:val="22"/>
            <w:szCs w:val="22"/>
          </w:rPr>
          <w:t>for</w:t>
        </w:r>
        <w:r w:rsidRPr="009E3FA4" w:rsidR="009E3FA4">
          <w:rPr>
            <w:rStyle w:val="Hyperlink"/>
            <w:rFonts w:eastAsia="Calibri"/>
            <w:noProof/>
            <w:spacing w:val="-2"/>
            <w:sz w:val="22"/>
            <w:szCs w:val="22"/>
          </w:rPr>
          <w:t xml:space="preserve"> </w:t>
        </w:r>
        <w:r w:rsidRPr="009E3FA4" w:rsidR="009E3FA4">
          <w:rPr>
            <w:rStyle w:val="Hyperlink"/>
            <w:rFonts w:eastAsia="Calibri"/>
            <w:noProof/>
            <w:sz w:val="22"/>
            <w:szCs w:val="22"/>
          </w:rPr>
          <w:t>Estimates</w:t>
        </w:r>
        <w:r w:rsidRPr="009E3FA4" w:rsidR="009E3FA4">
          <w:rPr>
            <w:rStyle w:val="Hyperlink"/>
            <w:rFonts w:eastAsia="Calibri"/>
            <w:noProof/>
            <w:spacing w:val="-3"/>
            <w:sz w:val="22"/>
            <w:szCs w:val="22"/>
          </w:rPr>
          <w:t xml:space="preserve"> </w:t>
        </w:r>
        <w:r w:rsidR="009E3FA4">
          <w:rPr>
            <w:rStyle w:val="Hyperlink"/>
            <w:rFonts w:eastAsia="Calibri"/>
            <w:noProof/>
            <w:spacing w:val="-3"/>
            <w:sz w:val="22"/>
            <w:szCs w:val="22"/>
          </w:rPr>
          <w:br/>
        </w:r>
        <w:r w:rsidRPr="009E3FA4" w:rsidR="009E3FA4">
          <w:rPr>
            <w:rStyle w:val="Hyperlink"/>
            <w:rFonts w:eastAsia="Calibri"/>
            <w:noProof/>
            <w:sz w:val="22"/>
            <w:szCs w:val="22"/>
          </w:rPr>
          <w:t>of a 50-Percent Characteristic: 2-Year Follow-up Study</w:t>
        </w:r>
        <w:r w:rsidRPr="009E3FA4" w:rsidR="009E3FA4">
          <w:rPr>
            <w:noProof/>
            <w:webHidden/>
            <w:sz w:val="22"/>
            <w:szCs w:val="22"/>
          </w:rPr>
          <w:tab/>
        </w:r>
        <w:r w:rsidRPr="009E3FA4" w:rsidR="009E3FA4">
          <w:rPr>
            <w:noProof/>
            <w:webHidden/>
            <w:sz w:val="22"/>
            <w:szCs w:val="22"/>
          </w:rPr>
          <w:fldChar w:fldCharType="begin"/>
        </w:r>
        <w:r w:rsidRPr="009E3FA4" w:rsidR="009E3FA4">
          <w:rPr>
            <w:noProof/>
            <w:webHidden/>
            <w:sz w:val="22"/>
            <w:szCs w:val="22"/>
          </w:rPr>
          <w:instrText xml:space="preserve"> PAGEREF _Toc78365146 \h </w:instrText>
        </w:r>
        <w:r w:rsidRPr="009E3FA4" w:rsidR="009E3FA4">
          <w:rPr>
            <w:noProof/>
            <w:webHidden/>
            <w:sz w:val="22"/>
            <w:szCs w:val="22"/>
          </w:rPr>
        </w:r>
        <w:r w:rsidRPr="009E3FA4" w:rsidR="009E3FA4">
          <w:rPr>
            <w:noProof/>
            <w:webHidden/>
            <w:sz w:val="22"/>
            <w:szCs w:val="22"/>
          </w:rPr>
          <w:fldChar w:fldCharType="separate"/>
        </w:r>
        <w:r w:rsidR="00B97916">
          <w:rPr>
            <w:noProof/>
            <w:webHidden/>
            <w:sz w:val="22"/>
            <w:szCs w:val="22"/>
          </w:rPr>
          <w:t>19</w:t>
        </w:r>
        <w:r w:rsidRPr="009E3FA4" w:rsidR="009E3FA4">
          <w:rPr>
            <w:noProof/>
            <w:webHidden/>
            <w:sz w:val="22"/>
            <w:szCs w:val="22"/>
          </w:rPr>
          <w:fldChar w:fldCharType="end"/>
        </w:r>
      </w:hyperlink>
    </w:p>
    <w:p w:rsidRPr="009E3FA4" w:rsidR="009E3FA4" w:rsidP="009E3FA4" w:rsidRDefault="00AB5681" w14:paraId="78B0E8B5" w14:textId="4D0A411E">
      <w:pPr>
        <w:pStyle w:val="TableofFigures"/>
        <w:tabs>
          <w:tab w:val="right" w:leader="dot" w:pos="9350"/>
        </w:tabs>
        <w:spacing w:after="120"/>
        <w:ind w:left="0" w:firstLine="0"/>
        <w:rPr>
          <w:rFonts w:asciiTheme="minorHAnsi" w:hAnsiTheme="minorHAnsi" w:eastAsiaTheme="minorEastAsia" w:cstheme="minorBidi"/>
          <w:noProof/>
          <w:sz w:val="22"/>
          <w:szCs w:val="22"/>
        </w:rPr>
      </w:pPr>
      <w:hyperlink w:history="1" w:anchor="_Toc78365147">
        <w:r w:rsidRPr="009E3FA4" w:rsidR="009E3FA4">
          <w:rPr>
            <w:rStyle w:val="Hyperlink"/>
            <w:rFonts w:eastAsia="Calibri"/>
            <w:noProof/>
            <w:sz w:val="22"/>
            <w:szCs w:val="22"/>
          </w:rPr>
          <w:t>Table B.3.1. Expected Response Rates</w:t>
        </w:r>
        <w:r w:rsidRPr="009E3FA4" w:rsidR="009E3FA4">
          <w:rPr>
            <w:noProof/>
            <w:webHidden/>
            <w:sz w:val="22"/>
            <w:szCs w:val="22"/>
          </w:rPr>
          <w:tab/>
        </w:r>
        <w:r w:rsidRPr="009E3FA4" w:rsidR="009E3FA4">
          <w:rPr>
            <w:noProof/>
            <w:webHidden/>
            <w:sz w:val="22"/>
            <w:szCs w:val="22"/>
          </w:rPr>
          <w:fldChar w:fldCharType="begin"/>
        </w:r>
        <w:r w:rsidRPr="009E3FA4" w:rsidR="009E3FA4">
          <w:rPr>
            <w:noProof/>
            <w:webHidden/>
            <w:sz w:val="22"/>
            <w:szCs w:val="22"/>
          </w:rPr>
          <w:instrText xml:space="preserve"> PAGEREF _Toc78365147 \h </w:instrText>
        </w:r>
        <w:r w:rsidRPr="009E3FA4" w:rsidR="009E3FA4">
          <w:rPr>
            <w:noProof/>
            <w:webHidden/>
            <w:sz w:val="22"/>
            <w:szCs w:val="22"/>
          </w:rPr>
        </w:r>
        <w:r w:rsidRPr="009E3FA4" w:rsidR="009E3FA4">
          <w:rPr>
            <w:noProof/>
            <w:webHidden/>
            <w:sz w:val="22"/>
            <w:szCs w:val="22"/>
          </w:rPr>
          <w:fldChar w:fldCharType="separate"/>
        </w:r>
        <w:r w:rsidR="00B97916">
          <w:rPr>
            <w:noProof/>
            <w:webHidden/>
            <w:sz w:val="22"/>
            <w:szCs w:val="22"/>
          </w:rPr>
          <w:t>21</w:t>
        </w:r>
        <w:r w:rsidRPr="009E3FA4" w:rsidR="009E3FA4">
          <w:rPr>
            <w:noProof/>
            <w:webHidden/>
            <w:sz w:val="22"/>
            <w:szCs w:val="22"/>
          </w:rPr>
          <w:fldChar w:fldCharType="end"/>
        </w:r>
      </w:hyperlink>
    </w:p>
    <w:p w:rsidRPr="009E3FA4" w:rsidR="009E3FA4" w:rsidP="009E3FA4" w:rsidRDefault="00AB5681" w14:paraId="35DC72AC" w14:textId="0FBE7A49">
      <w:pPr>
        <w:pStyle w:val="TableofFigures"/>
        <w:tabs>
          <w:tab w:val="right" w:leader="dot" w:pos="9350"/>
        </w:tabs>
        <w:spacing w:after="120"/>
        <w:ind w:left="0" w:firstLine="0"/>
        <w:rPr>
          <w:rFonts w:asciiTheme="minorHAnsi" w:hAnsiTheme="minorHAnsi" w:eastAsiaTheme="minorEastAsia" w:cstheme="minorBidi"/>
          <w:noProof/>
          <w:sz w:val="22"/>
          <w:szCs w:val="22"/>
        </w:rPr>
      </w:pPr>
      <w:hyperlink w:history="1" w:anchor="_Toc78365148">
        <w:r w:rsidRPr="009E3FA4" w:rsidR="009E3FA4">
          <w:rPr>
            <w:rStyle w:val="Hyperlink"/>
            <w:rFonts w:eastAsia="Calibri"/>
            <w:noProof/>
            <w:sz w:val="22"/>
            <w:szCs w:val="22"/>
          </w:rPr>
          <w:t>Table B.3.2. Timeline for Sampled NAP Participant Data Collection Activities</w:t>
        </w:r>
        <w:r w:rsidRPr="009E3FA4" w:rsidR="009E3FA4">
          <w:rPr>
            <w:noProof/>
            <w:webHidden/>
            <w:sz w:val="22"/>
            <w:szCs w:val="22"/>
          </w:rPr>
          <w:tab/>
        </w:r>
        <w:r w:rsidRPr="009E3FA4" w:rsidR="009E3FA4">
          <w:rPr>
            <w:noProof/>
            <w:webHidden/>
            <w:sz w:val="22"/>
            <w:szCs w:val="22"/>
          </w:rPr>
          <w:fldChar w:fldCharType="begin"/>
        </w:r>
        <w:r w:rsidRPr="009E3FA4" w:rsidR="009E3FA4">
          <w:rPr>
            <w:noProof/>
            <w:webHidden/>
            <w:sz w:val="22"/>
            <w:szCs w:val="22"/>
          </w:rPr>
          <w:instrText xml:space="preserve"> PAGEREF _Toc78365148 \h </w:instrText>
        </w:r>
        <w:r w:rsidRPr="009E3FA4" w:rsidR="009E3FA4">
          <w:rPr>
            <w:noProof/>
            <w:webHidden/>
            <w:sz w:val="22"/>
            <w:szCs w:val="22"/>
          </w:rPr>
        </w:r>
        <w:r w:rsidRPr="009E3FA4" w:rsidR="009E3FA4">
          <w:rPr>
            <w:noProof/>
            <w:webHidden/>
            <w:sz w:val="22"/>
            <w:szCs w:val="22"/>
          </w:rPr>
          <w:fldChar w:fldCharType="separate"/>
        </w:r>
        <w:r w:rsidR="00B97916">
          <w:rPr>
            <w:noProof/>
            <w:webHidden/>
            <w:sz w:val="22"/>
            <w:szCs w:val="22"/>
          </w:rPr>
          <w:t>22</w:t>
        </w:r>
        <w:r w:rsidRPr="009E3FA4" w:rsidR="009E3FA4">
          <w:rPr>
            <w:noProof/>
            <w:webHidden/>
            <w:sz w:val="22"/>
            <w:szCs w:val="22"/>
          </w:rPr>
          <w:fldChar w:fldCharType="end"/>
        </w:r>
      </w:hyperlink>
    </w:p>
    <w:p w:rsidRPr="009E3FA4" w:rsidR="009E3FA4" w:rsidP="009E3FA4" w:rsidRDefault="00AB5681" w14:paraId="65280154" w14:textId="79D9EF71">
      <w:pPr>
        <w:pStyle w:val="TableofFigures"/>
        <w:tabs>
          <w:tab w:val="right" w:leader="dot" w:pos="9350"/>
        </w:tabs>
        <w:spacing w:after="120"/>
        <w:ind w:left="0" w:firstLine="0"/>
        <w:rPr>
          <w:rFonts w:asciiTheme="minorHAnsi" w:hAnsiTheme="minorHAnsi" w:eastAsiaTheme="minorEastAsia" w:cstheme="minorBidi"/>
          <w:noProof/>
          <w:sz w:val="22"/>
          <w:szCs w:val="22"/>
        </w:rPr>
      </w:pPr>
      <w:hyperlink w:history="1" w:anchor="_Toc78365149">
        <w:r w:rsidRPr="009E3FA4" w:rsidR="009E3FA4">
          <w:rPr>
            <w:rStyle w:val="Hyperlink"/>
            <w:rFonts w:eastAsia="Calibri"/>
            <w:noProof/>
            <w:sz w:val="22"/>
            <w:szCs w:val="22"/>
          </w:rPr>
          <w:t>Table B.4.1. Summary of Pretest Findings</w:t>
        </w:r>
        <w:r w:rsidRPr="009E3FA4" w:rsidR="009E3FA4">
          <w:rPr>
            <w:noProof/>
            <w:webHidden/>
            <w:sz w:val="22"/>
            <w:szCs w:val="22"/>
          </w:rPr>
          <w:tab/>
        </w:r>
        <w:r w:rsidRPr="009E3FA4" w:rsidR="009E3FA4">
          <w:rPr>
            <w:noProof/>
            <w:webHidden/>
            <w:sz w:val="22"/>
            <w:szCs w:val="22"/>
          </w:rPr>
          <w:fldChar w:fldCharType="begin"/>
        </w:r>
        <w:r w:rsidRPr="009E3FA4" w:rsidR="009E3FA4">
          <w:rPr>
            <w:noProof/>
            <w:webHidden/>
            <w:sz w:val="22"/>
            <w:szCs w:val="22"/>
          </w:rPr>
          <w:instrText xml:space="preserve"> PAGEREF _Toc78365149 \h </w:instrText>
        </w:r>
        <w:r w:rsidRPr="009E3FA4" w:rsidR="009E3FA4">
          <w:rPr>
            <w:noProof/>
            <w:webHidden/>
            <w:sz w:val="22"/>
            <w:szCs w:val="22"/>
          </w:rPr>
        </w:r>
        <w:r w:rsidRPr="009E3FA4" w:rsidR="009E3FA4">
          <w:rPr>
            <w:noProof/>
            <w:webHidden/>
            <w:sz w:val="22"/>
            <w:szCs w:val="22"/>
          </w:rPr>
          <w:fldChar w:fldCharType="separate"/>
        </w:r>
        <w:r w:rsidR="00B97916">
          <w:rPr>
            <w:noProof/>
            <w:webHidden/>
            <w:sz w:val="22"/>
            <w:szCs w:val="22"/>
          </w:rPr>
          <w:t>25</w:t>
        </w:r>
        <w:r w:rsidRPr="009E3FA4" w:rsidR="009E3FA4">
          <w:rPr>
            <w:noProof/>
            <w:webHidden/>
            <w:sz w:val="22"/>
            <w:szCs w:val="22"/>
          </w:rPr>
          <w:fldChar w:fldCharType="end"/>
        </w:r>
      </w:hyperlink>
    </w:p>
    <w:p w:rsidRPr="009E3FA4" w:rsidR="009E3FA4" w:rsidRDefault="00AB5681" w14:paraId="4AC7F358" w14:textId="4625EA35">
      <w:pPr>
        <w:pStyle w:val="TableofFigures"/>
        <w:tabs>
          <w:tab w:val="right" w:leader="dot" w:pos="9350"/>
        </w:tabs>
        <w:rPr>
          <w:rFonts w:asciiTheme="minorHAnsi" w:hAnsiTheme="minorHAnsi" w:eastAsiaTheme="minorEastAsia" w:cstheme="minorBidi"/>
          <w:noProof/>
          <w:sz w:val="22"/>
          <w:szCs w:val="22"/>
        </w:rPr>
      </w:pPr>
      <w:hyperlink w:history="1" w:anchor="_Toc78365150">
        <w:r w:rsidRPr="009E3FA4" w:rsidR="009E3FA4">
          <w:rPr>
            <w:rStyle w:val="Hyperlink"/>
            <w:rFonts w:eastAsia="Calibri"/>
            <w:noProof/>
            <w:sz w:val="22"/>
            <w:szCs w:val="22"/>
          </w:rPr>
          <w:t>Table B.5.1. Consultants</w:t>
        </w:r>
        <w:r w:rsidRPr="009E3FA4" w:rsidR="009E3FA4">
          <w:rPr>
            <w:noProof/>
            <w:webHidden/>
            <w:sz w:val="22"/>
            <w:szCs w:val="22"/>
          </w:rPr>
          <w:tab/>
        </w:r>
        <w:r w:rsidRPr="009E3FA4" w:rsidR="009E3FA4">
          <w:rPr>
            <w:noProof/>
            <w:webHidden/>
            <w:sz w:val="22"/>
            <w:szCs w:val="22"/>
          </w:rPr>
          <w:fldChar w:fldCharType="begin"/>
        </w:r>
        <w:r w:rsidRPr="009E3FA4" w:rsidR="009E3FA4">
          <w:rPr>
            <w:noProof/>
            <w:webHidden/>
            <w:sz w:val="22"/>
            <w:szCs w:val="22"/>
          </w:rPr>
          <w:instrText xml:space="preserve"> PAGEREF _Toc78365150 \h </w:instrText>
        </w:r>
        <w:r w:rsidRPr="009E3FA4" w:rsidR="009E3FA4">
          <w:rPr>
            <w:noProof/>
            <w:webHidden/>
            <w:sz w:val="22"/>
            <w:szCs w:val="22"/>
          </w:rPr>
        </w:r>
        <w:r w:rsidRPr="009E3FA4" w:rsidR="009E3FA4">
          <w:rPr>
            <w:noProof/>
            <w:webHidden/>
            <w:sz w:val="22"/>
            <w:szCs w:val="22"/>
          </w:rPr>
          <w:fldChar w:fldCharType="separate"/>
        </w:r>
        <w:r w:rsidR="00B97916">
          <w:rPr>
            <w:noProof/>
            <w:webHidden/>
            <w:sz w:val="22"/>
            <w:szCs w:val="22"/>
          </w:rPr>
          <w:t>26</w:t>
        </w:r>
        <w:r w:rsidRPr="009E3FA4" w:rsidR="009E3FA4">
          <w:rPr>
            <w:noProof/>
            <w:webHidden/>
            <w:sz w:val="22"/>
            <w:szCs w:val="22"/>
          </w:rPr>
          <w:fldChar w:fldCharType="end"/>
        </w:r>
      </w:hyperlink>
    </w:p>
    <w:p w:rsidR="00754990" w:rsidP="00754990" w:rsidRDefault="00754990" w14:paraId="6B921223" w14:textId="73CF4C29">
      <w:pPr>
        <w:pStyle w:val="TableofFigures"/>
        <w:rPr>
          <w:rFonts w:asciiTheme="minorHAnsi" w:hAnsiTheme="minorHAnsi" w:eastAsiaTheme="minorEastAsia" w:cstheme="minorBidi"/>
          <w:noProof/>
          <w:sz w:val="22"/>
          <w:szCs w:val="22"/>
        </w:rPr>
      </w:pPr>
      <w:r w:rsidRPr="009E3FA4">
        <w:rPr>
          <w:b/>
          <w:smallCaps/>
          <w:sz w:val="22"/>
          <w:szCs w:val="22"/>
        </w:rPr>
        <w:fldChar w:fldCharType="end"/>
      </w:r>
      <w:r>
        <w:rPr>
          <w:rFonts w:cs="Arial" w:asciiTheme="minorHAnsi" w:hAnsiTheme="minorHAnsi"/>
          <w:b/>
          <w:bCs/>
          <w:sz w:val="22"/>
          <w:szCs w:val="22"/>
        </w:rPr>
        <w:fldChar w:fldCharType="begin"/>
      </w:r>
      <w:r>
        <w:rPr>
          <w:rFonts w:cs="Arial" w:asciiTheme="minorHAnsi" w:hAnsiTheme="minorHAnsi"/>
          <w:b/>
          <w:bCs/>
          <w:sz w:val="22"/>
          <w:szCs w:val="22"/>
        </w:rPr>
        <w:instrText xml:space="preserve"> TOC \h \z \t "TableTitle-IPR" \c </w:instrText>
      </w:r>
      <w:r>
        <w:rPr>
          <w:rFonts w:cs="Arial" w:asciiTheme="minorHAnsi" w:hAnsiTheme="minorHAnsi"/>
          <w:b/>
          <w:bCs/>
          <w:sz w:val="22"/>
          <w:szCs w:val="22"/>
        </w:rPr>
        <w:fldChar w:fldCharType="separate"/>
      </w:r>
    </w:p>
    <w:p w:rsidRPr="003312EF" w:rsidR="00754990" w:rsidP="00754990" w:rsidRDefault="00754990" w14:paraId="5DCEB4E9" w14:textId="77777777">
      <w:pPr>
        <w:pStyle w:val="TOCHeading2"/>
        <w:spacing w:before="0"/>
        <w:rPr>
          <w:caps/>
        </w:rPr>
      </w:pPr>
      <w:r>
        <w:rPr>
          <w:rFonts w:asciiTheme="minorHAnsi" w:hAnsiTheme="minorHAnsi"/>
          <w:bCs/>
          <w:sz w:val="22"/>
          <w:szCs w:val="22"/>
        </w:rPr>
        <w:fldChar w:fldCharType="end"/>
      </w:r>
      <w:r w:rsidRPr="003312EF">
        <w:t>Appendices</w:t>
      </w:r>
    </w:p>
    <w:p w:rsidRPr="009C1F57" w:rsidR="009017E7" w:rsidP="009C1F57" w:rsidRDefault="009017E7" w14:paraId="35E081E0" w14:textId="2369B263">
      <w:pPr>
        <w:pStyle w:val="TOCListText-IPR"/>
        <w:spacing w:after="48" w:afterLines="20"/>
        <w:rPr>
          <w:rFonts w:asciiTheme="minorHAnsi" w:hAnsiTheme="minorHAnsi" w:cstheme="minorHAnsi"/>
          <w:sz w:val="22"/>
          <w:szCs w:val="22"/>
        </w:rPr>
      </w:pPr>
      <w:bookmarkStart w:name="_Hlk92994495" w:id="1"/>
      <w:bookmarkStart w:name="_Hlk30504843" w:id="2"/>
      <w:r w:rsidRPr="009C1F57">
        <w:rPr>
          <w:rFonts w:asciiTheme="minorHAnsi" w:hAnsiTheme="minorHAnsi" w:cstheme="minorHAnsi"/>
          <w:sz w:val="22"/>
          <w:szCs w:val="22"/>
        </w:rPr>
        <w:t>A. Legal Authority</w:t>
      </w:r>
    </w:p>
    <w:p w:rsidRPr="009C1F57" w:rsidR="009017E7" w:rsidP="009C1F57" w:rsidRDefault="009017E7" w14:paraId="2A5BF765" w14:textId="183B0A95">
      <w:pPr>
        <w:pStyle w:val="TOCListText-IPR"/>
        <w:spacing w:after="48" w:afterLines="20"/>
        <w:rPr>
          <w:rFonts w:asciiTheme="minorHAnsi" w:hAnsiTheme="minorHAnsi" w:cstheme="minorHAnsi"/>
          <w:sz w:val="22"/>
          <w:szCs w:val="22"/>
        </w:rPr>
      </w:pPr>
      <w:r w:rsidRPr="009C1F57">
        <w:rPr>
          <w:rFonts w:asciiTheme="minorHAnsi" w:hAnsiTheme="minorHAnsi" w:cstheme="minorHAnsi"/>
          <w:sz w:val="22"/>
          <w:szCs w:val="22"/>
        </w:rPr>
        <w:t>B. Research Objectives and Questions by Data Source</w:t>
      </w:r>
    </w:p>
    <w:p w:rsidRPr="009C1F57" w:rsidR="009017E7" w:rsidP="009C1F57" w:rsidRDefault="009017E7" w14:paraId="252EAED8" w14:textId="5F4A6589">
      <w:pPr>
        <w:pStyle w:val="TOCListText-IPR"/>
        <w:spacing w:after="48" w:afterLines="20"/>
        <w:rPr>
          <w:rFonts w:asciiTheme="minorHAnsi" w:hAnsiTheme="minorHAnsi" w:cstheme="minorHAnsi"/>
          <w:sz w:val="22"/>
          <w:szCs w:val="22"/>
        </w:rPr>
      </w:pPr>
      <w:r w:rsidRPr="009C1F57">
        <w:rPr>
          <w:rFonts w:asciiTheme="minorHAnsi" w:hAnsiTheme="minorHAnsi" w:cstheme="minorHAnsi"/>
          <w:sz w:val="22"/>
          <w:szCs w:val="22"/>
        </w:rPr>
        <w:t>C.1</w:t>
      </w:r>
      <w:r w:rsidRPr="009C1F57" w:rsidR="004E1006">
        <w:rPr>
          <w:rFonts w:asciiTheme="minorHAnsi" w:hAnsiTheme="minorHAnsi" w:cstheme="minorHAnsi"/>
          <w:sz w:val="22"/>
          <w:szCs w:val="22"/>
        </w:rPr>
        <w:t>.</w:t>
      </w:r>
      <w:r w:rsidRPr="009C1F57">
        <w:rPr>
          <w:rFonts w:asciiTheme="minorHAnsi" w:hAnsiTheme="minorHAnsi" w:cstheme="minorHAnsi"/>
          <w:sz w:val="22"/>
          <w:szCs w:val="22"/>
        </w:rPr>
        <w:t xml:space="preserve"> Household Survey Instrument in English</w:t>
      </w:r>
    </w:p>
    <w:p w:rsidRPr="009C1F57" w:rsidR="009017E7" w:rsidP="009C1F57" w:rsidRDefault="009017E7" w14:paraId="0AF64896" w14:textId="33129E1F">
      <w:pPr>
        <w:pStyle w:val="TOCListText-IPR"/>
        <w:spacing w:after="48" w:afterLines="20"/>
        <w:rPr>
          <w:rFonts w:asciiTheme="minorHAnsi" w:hAnsiTheme="minorHAnsi" w:cstheme="minorHAnsi"/>
          <w:sz w:val="22"/>
          <w:szCs w:val="22"/>
        </w:rPr>
      </w:pPr>
      <w:r w:rsidRPr="009C1F57">
        <w:rPr>
          <w:rFonts w:asciiTheme="minorHAnsi" w:hAnsiTheme="minorHAnsi" w:cstheme="minorHAnsi"/>
          <w:sz w:val="22"/>
          <w:szCs w:val="22"/>
        </w:rPr>
        <w:t>C.2</w:t>
      </w:r>
      <w:r w:rsidRPr="009C1F57" w:rsidR="004E1006">
        <w:rPr>
          <w:rFonts w:asciiTheme="minorHAnsi" w:hAnsiTheme="minorHAnsi" w:cstheme="minorHAnsi"/>
          <w:sz w:val="22"/>
          <w:szCs w:val="22"/>
        </w:rPr>
        <w:t>.</w:t>
      </w:r>
      <w:r w:rsidRPr="009C1F57">
        <w:rPr>
          <w:rFonts w:asciiTheme="minorHAnsi" w:hAnsiTheme="minorHAnsi" w:cstheme="minorHAnsi"/>
          <w:sz w:val="22"/>
          <w:szCs w:val="22"/>
        </w:rPr>
        <w:t xml:space="preserve"> Household Survey Instrument in Spanish</w:t>
      </w:r>
    </w:p>
    <w:p w:rsidRPr="009C1F57" w:rsidR="009017E7" w:rsidP="009C1F57" w:rsidRDefault="009017E7" w14:paraId="553537F4" w14:textId="6F87B159">
      <w:pPr>
        <w:pStyle w:val="TOCListText-IPR"/>
        <w:spacing w:after="48" w:afterLines="20"/>
        <w:rPr>
          <w:rFonts w:asciiTheme="minorHAnsi" w:hAnsiTheme="minorHAnsi" w:cstheme="minorHAnsi"/>
          <w:sz w:val="22"/>
          <w:szCs w:val="22"/>
        </w:rPr>
      </w:pPr>
      <w:r w:rsidRPr="009C1F57">
        <w:rPr>
          <w:rFonts w:asciiTheme="minorHAnsi" w:hAnsiTheme="minorHAnsi" w:cstheme="minorHAnsi"/>
          <w:sz w:val="22"/>
          <w:szCs w:val="22"/>
        </w:rPr>
        <w:t>D.1</w:t>
      </w:r>
      <w:r w:rsidRPr="009C1F57" w:rsidR="004E1006">
        <w:rPr>
          <w:rFonts w:asciiTheme="minorHAnsi" w:hAnsiTheme="minorHAnsi" w:cstheme="minorHAnsi"/>
          <w:sz w:val="22"/>
          <w:szCs w:val="22"/>
        </w:rPr>
        <w:t>.</w:t>
      </w:r>
      <w:r w:rsidRPr="009C1F57">
        <w:rPr>
          <w:rFonts w:asciiTheme="minorHAnsi" w:hAnsiTheme="minorHAnsi" w:cstheme="minorHAnsi"/>
          <w:sz w:val="22"/>
          <w:szCs w:val="22"/>
        </w:rPr>
        <w:t xml:space="preserve"> </w:t>
      </w:r>
      <w:r w:rsidR="002452FC">
        <w:rPr>
          <w:rFonts w:asciiTheme="minorHAnsi" w:hAnsiTheme="minorHAnsi" w:cstheme="minorHAnsi"/>
          <w:sz w:val="22"/>
          <w:szCs w:val="22"/>
        </w:rPr>
        <w:t xml:space="preserve">Web-based </w:t>
      </w:r>
      <w:r w:rsidRPr="009C1F57">
        <w:rPr>
          <w:rFonts w:asciiTheme="minorHAnsi" w:hAnsiTheme="minorHAnsi" w:cstheme="minorHAnsi"/>
          <w:sz w:val="22"/>
          <w:szCs w:val="22"/>
        </w:rPr>
        <w:t>Household Survey Instrument in English</w:t>
      </w:r>
    </w:p>
    <w:p w:rsidRPr="009C1F57" w:rsidR="009017E7" w:rsidP="009C1F57" w:rsidRDefault="009017E7" w14:paraId="75B05D0C" w14:textId="7B275A0F">
      <w:pPr>
        <w:pStyle w:val="TOCListText-IPR"/>
        <w:spacing w:after="48" w:afterLines="20"/>
        <w:rPr>
          <w:rFonts w:asciiTheme="minorHAnsi" w:hAnsiTheme="minorHAnsi" w:cstheme="minorHAnsi"/>
          <w:sz w:val="22"/>
          <w:szCs w:val="22"/>
        </w:rPr>
      </w:pPr>
      <w:r w:rsidRPr="009C1F57">
        <w:rPr>
          <w:rFonts w:asciiTheme="minorHAnsi" w:hAnsiTheme="minorHAnsi" w:cstheme="minorHAnsi"/>
          <w:sz w:val="22"/>
          <w:szCs w:val="22"/>
        </w:rPr>
        <w:t>D.2</w:t>
      </w:r>
      <w:r w:rsidRPr="009C1F57" w:rsidR="004E1006">
        <w:rPr>
          <w:rFonts w:asciiTheme="minorHAnsi" w:hAnsiTheme="minorHAnsi" w:cstheme="minorHAnsi"/>
          <w:sz w:val="22"/>
          <w:szCs w:val="22"/>
        </w:rPr>
        <w:t>.</w:t>
      </w:r>
      <w:r w:rsidRPr="009C1F57">
        <w:rPr>
          <w:rFonts w:asciiTheme="minorHAnsi" w:hAnsiTheme="minorHAnsi" w:cstheme="minorHAnsi"/>
          <w:sz w:val="22"/>
          <w:szCs w:val="22"/>
        </w:rPr>
        <w:t xml:space="preserve"> </w:t>
      </w:r>
      <w:r w:rsidR="002452FC">
        <w:rPr>
          <w:rFonts w:asciiTheme="minorHAnsi" w:hAnsiTheme="minorHAnsi" w:cstheme="minorHAnsi"/>
          <w:sz w:val="22"/>
          <w:szCs w:val="22"/>
        </w:rPr>
        <w:t xml:space="preserve">Web-based </w:t>
      </w:r>
      <w:r w:rsidRPr="009C1F57">
        <w:rPr>
          <w:rFonts w:asciiTheme="minorHAnsi" w:hAnsiTheme="minorHAnsi" w:cstheme="minorHAnsi"/>
          <w:sz w:val="22"/>
          <w:szCs w:val="22"/>
        </w:rPr>
        <w:t>Household Survey Instrument in Spanish</w:t>
      </w:r>
    </w:p>
    <w:p w:rsidRPr="009C1F57" w:rsidR="009017E7" w:rsidP="009C1F57" w:rsidRDefault="009017E7" w14:paraId="2014F0B0" w14:textId="09C75F9F">
      <w:pPr>
        <w:pStyle w:val="TOCListText-IPR"/>
        <w:spacing w:after="48" w:afterLines="20"/>
        <w:rPr>
          <w:rFonts w:asciiTheme="minorHAnsi" w:hAnsiTheme="minorHAnsi" w:cstheme="minorHAnsi"/>
          <w:sz w:val="22"/>
          <w:szCs w:val="22"/>
        </w:rPr>
      </w:pPr>
      <w:r w:rsidRPr="009C1F57">
        <w:rPr>
          <w:rFonts w:asciiTheme="minorHAnsi" w:hAnsiTheme="minorHAnsi" w:cstheme="minorHAnsi"/>
          <w:sz w:val="22"/>
          <w:szCs w:val="22"/>
        </w:rPr>
        <w:t>E.1</w:t>
      </w:r>
      <w:r w:rsidRPr="009C1F57" w:rsidR="004E1006">
        <w:rPr>
          <w:rFonts w:asciiTheme="minorHAnsi" w:hAnsiTheme="minorHAnsi" w:cstheme="minorHAnsi"/>
          <w:sz w:val="22"/>
          <w:szCs w:val="22"/>
        </w:rPr>
        <w:t>.</w:t>
      </w:r>
      <w:r w:rsidRPr="009C1F57">
        <w:rPr>
          <w:rFonts w:asciiTheme="minorHAnsi" w:hAnsiTheme="minorHAnsi" w:cstheme="minorHAnsi"/>
          <w:sz w:val="22"/>
          <w:szCs w:val="22"/>
        </w:rPr>
        <w:t xml:space="preserve"> In-depth Interview Protocol in English</w:t>
      </w:r>
    </w:p>
    <w:p w:rsidRPr="009C1F57" w:rsidR="009017E7" w:rsidP="009C1F57" w:rsidRDefault="009017E7" w14:paraId="5E624523" w14:textId="40ABFF26">
      <w:pPr>
        <w:pStyle w:val="TOCListText-IPR"/>
        <w:spacing w:after="48" w:afterLines="20"/>
        <w:rPr>
          <w:rFonts w:asciiTheme="minorHAnsi" w:hAnsiTheme="minorHAnsi" w:cstheme="minorHAnsi"/>
          <w:sz w:val="22"/>
          <w:szCs w:val="22"/>
        </w:rPr>
      </w:pPr>
      <w:r w:rsidRPr="009C1F57">
        <w:rPr>
          <w:rFonts w:asciiTheme="minorHAnsi" w:hAnsiTheme="minorHAnsi" w:cstheme="minorHAnsi"/>
          <w:sz w:val="22"/>
          <w:szCs w:val="22"/>
        </w:rPr>
        <w:lastRenderedPageBreak/>
        <w:t>E.2</w:t>
      </w:r>
      <w:r w:rsidRPr="009C1F57" w:rsidR="004E1006">
        <w:rPr>
          <w:rFonts w:asciiTheme="minorHAnsi" w:hAnsiTheme="minorHAnsi" w:cstheme="minorHAnsi"/>
          <w:sz w:val="22"/>
          <w:szCs w:val="22"/>
        </w:rPr>
        <w:t>.</w:t>
      </w:r>
      <w:r w:rsidRPr="009C1F57">
        <w:rPr>
          <w:rFonts w:asciiTheme="minorHAnsi" w:hAnsiTheme="minorHAnsi" w:cstheme="minorHAnsi"/>
          <w:sz w:val="22"/>
          <w:szCs w:val="22"/>
        </w:rPr>
        <w:t xml:space="preserve"> In-depth Interview Protocol in Spanish</w:t>
      </w:r>
    </w:p>
    <w:p w:rsidRPr="009C1F57" w:rsidR="009017E7" w:rsidP="009C1F57" w:rsidRDefault="009017E7" w14:paraId="46FC9155" w14:textId="7B9F38B5">
      <w:pPr>
        <w:pStyle w:val="TOCListText-IPR"/>
        <w:spacing w:after="48" w:afterLines="20"/>
        <w:rPr>
          <w:rFonts w:asciiTheme="minorHAnsi" w:hAnsiTheme="minorHAnsi" w:cstheme="minorHAnsi"/>
          <w:sz w:val="22"/>
          <w:szCs w:val="22"/>
        </w:rPr>
      </w:pPr>
      <w:r w:rsidRPr="009C1F57">
        <w:rPr>
          <w:rFonts w:asciiTheme="minorHAnsi" w:hAnsiTheme="minorHAnsi" w:cstheme="minorHAnsi"/>
          <w:sz w:val="22"/>
          <w:szCs w:val="22"/>
        </w:rPr>
        <w:t>F.</w:t>
      </w:r>
      <w:r w:rsidR="002452FC">
        <w:rPr>
          <w:rFonts w:asciiTheme="minorHAnsi" w:hAnsiTheme="minorHAnsi" w:cstheme="minorHAnsi"/>
          <w:sz w:val="22"/>
          <w:szCs w:val="22"/>
        </w:rPr>
        <w:t>1</w:t>
      </w:r>
      <w:r w:rsidRPr="009C1F57" w:rsidR="00AB0809">
        <w:rPr>
          <w:rFonts w:asciiTheme="minorHAnsi" w:hAnsiTheme="minorHAnsi" w:cstheme="minorHAnsi"/>
          <w:sz w:val="22"/>
          <w:szCs w:val="22"/>
        </w:rPr>
        <w:t>.</w:t>
      </w:r>
      <w:r w:rsidRPr="009C1F57">
        <w:rPr>
          <w:rFonts w:asciiTheme="minorHAnsi" w:hAnsiTheme="minorHAnsi" w:cstheme="minorHAnsi"/>
          <w:sz w:val="22"/>
          <w:szCs w:val="22"/>
        </w:rPr>
        <w:t xml:space="preserve"> </w:t>
      </w:r>
      <w:r w:rsidRPr="009C1F57" w:rsidR="002452FC">
        <w:rPr>
          <w:rFonts w:asciiTheme="minorHAnsi" w:hAnsiTheme="minorHAnsi" w:cstheme="minorHAnsi"/>
          <w:sz w:val="22"/>
          <w:szCs w:val="22"/>
        </w:rPr>
        <w:t xml:space="preserve">Concept Mapping </w:t>
      </w:r>
      <w:r w:rsidRPr="009C1F57">
        <w:rPr>
          <w:rFonts w:asciiTheme="minorHAnsi" w:hAnsiTheme="minorHAnsi" w:cstheme="minorHAnsi"/>
          <w:sz w:val="22"/>
          <w:szCs w:val="22"/>
        </w:rPr>
        <w:t>Welcome and Scheduling Email</w:t>
      </w:r>
    </w:p>
    <w:p w:rsidRPr="009C1F57" w:rsidR="009017E7" w:rsidP="009C1F57" w:rsidRDefault="009017E7" w14:paraId="626057B9" w14:textId="264F830C">
      <w:pPr>
        <w:pStyle w:val="TOCListText-IPR"/>
        <w:spacing w:after="48" w:afterLines="20"/>
        <w:rPr>
          <w:rFonts w:asciiTheme="minorHAnsi" w:hAnsiTheme="minorHAnsi" w:cstheme="minorHAnsi"/>
          <w:sz w:val="22"/>
          <w:szCs w:val="22"/>
        </w:rPr>
      </w:pPr>
      <w:r w:rsidRPr="009C1F57">
        <w:rPr>
          <w:rFonts w:asciiTheme="minorHAnsi" w:hAnsiTheme="minorHAnsi" w:cstheme="minorHAnsi"/>
          <w:sz w:val="22"/>
          <w:szCs w:val="22"/>
        </w:rPr>
        <w:t>F.</w:t>
      </w:r>
      <w:r w:rsidR="002452FC">
        <w:rPr>
          <w:rFonts w:asciiTheme="minorHAnsi" w:hAnsiTheme="minorHAnsi" w:cstheme="minorHAnsi"/>
          <w:sz w:val="22"/>
          <w:szCs w:val="22"/>
        </w:rPr>
        <w:t>2</w:t>
      </w:r>
      <w:r w:rsidRPr="009C1F57">
        <w:rPr>
          <w:rFonts w:asciiTheme="minorHAnsi" w:hAnsiTheme="minorHAnsi" w:cstheme="minorHAnsi"/>
          <w:sz w:val="22"/>
          <w:szCs w:val="22"/>
        </w:rPr>
        <w:t xml:space="preserve">. Reminder Email for First </w:t>
      </w:r>
      <w:r w:rsidRPr="009C1F57" w:rsidR="00AB0809">
        <w:rPr>
          <w:rFonts w:asciiTheme="minorHAnsi" w:hAnsiTheme="minorHAnsi" w:cstheme="minorHAnsi"/>
          <w:sz w:val="22"/>
          <w:szCs w:val="22"/>
        </w:rPr>
        <w:t xml:space="preserve">Concept Mapping </w:t>
      </w:r>
      <w:r w:rsidRPr="009C1F57">
        <w:rPr>
          <w:rFonts w:asciiTheme="minorHAnsi" w:hAnsiTheme="minorHAnsi" w:cstheme="minorHAnsi"/>
          <w:sz w:val="22"/>
          <w:szCs w:val="22"/>
        </w:rPr>
        <w:t>Meeting</w:t>
      </w:r>
    </w:p>
    <w:p w:rsidRPr="009C1F57" w:rsidR="009017E7" w:rsidP="009C1F57" w:rsidRDefault="009017E7" w14:paraId="251238FD" w14:textId="5363309C">
      <w:pPr>
        <w:pStyle w:val="TOCListText-IPR"/>
        <w:spacing w:after="48" w:afterLines="20"/>
        <w:rPr>
          <w:rFonts w:asciiTheme="minorHAnsi" w:hAnsiTheme="minorHAnsi" w:cstheme="minorHAnsi"/>
          <w:sz w:val="22"/>
          <w:szCs w:val="22"/>
        </w:rPr>
      </w:pPr>
      <w:r w:rsidRPr="009C1F57">
        <w:rPr>
          <w:rFonts w:asciiTheme="minorHAnsi" w:hAnsiTheme="minorHAnsi" w:cstheme="minorHAnsi"/>
          <w:sz w:val="22"/>
          <w:szCs w:val="22"/>
        </w:rPr>
        <w:t>F.</w:t>
      </w:r>
      <w:r w:rsidR="002452FC">
        <w:rPr>
          <w:rFonts w:asciiTheme="minorHAnsi" w:hAnsiTheme="minorHAnsi" w:cstheme="minorHAnsi"/>
          <w:sz w:val="22"/>
          <w:szCs w:val="22"/>
        </w:rPr>
        <w:t>3</w:t>
      </w:r>
      <w:r w:rsidRPr="009C1F57">
        <w:rPr>
          <w:rFonts w:asciiTheme="minorHAnsi" w:hAnsiTheme="minorHAnsi" w:cstheme="minorHAnsi"/>
          <w:sz w:val="22"/>
          <w:szCs w:val="22"/>
        </w:rPr>
        <w:t>. Advance Material for First</w:t>
      </w:r>
      <w:r w:rsidRPr="009C1F57" w:rsidR="00AB0809">
        <w:rPr>
          <w:rFonts w:asciiTheme="minorHAnsi" w:hAnsiTheme="minorHAnsi" w:cstheme="minorHAnsi"/>
          <w:sz w:val="22"/>
          <w:szCs w:val="22"/>
        </w:rPr>
        <w:t xml:space="preserve"> Concept Mapping</w:t>
      </w:r>
      <w:r w:rsidRPr="009C1F57">
        <w:rPr>
          <w:rFonts w:asciiTheme="minorHAnsi" w:hAnsiTheme="minorHAnsi" w:cstheme="minorHAnsi"/>
          <w:sz w:val="22"/>
          <w:szCs w:val="22"/>
        </w:rPr>
        <w:t xml:space="preserve"> Meeting</w:t>
      </w:r>
    </w:p>
    <w:p w:rsidRPr="009C1F57" w:rsidR="009017E7" w:rsidP="009C1F57" w:rsidRDefault="009017E7" w14:paraId="47210126" w14:textId="1F4CB4EE">
      <w:pPr>
        <w:pStyle w:val="TOCListText-IPR"/>
        <w:spacing w:after="48" w:afterLines="20"/>
        <w:rPr>
          <w:rFonts w:asciiTheme="minorHAnsi" w:hAnsiTheme="minorHAnsi" w:cstheme="minorHAnsi"/>
          <w:sz w:val="22"/>
          <w:szCs w:val="22"/>
        </w:rPr>
      </w:pPr>
      <w:r w:rsidRPr="009C1F57">
        <w:rPr>
          <w:rFonts w:asciiTheme="minorHAnsi" w:hAnsiTheme="minorHAnsi" w:cstheme="minorHAnsi"/>
          <w:sz w:val="22"/>
          <w:szCs w:val="22"/>
        </w:rPr>
        <w:t>F.</w:t>
      </w:r>
      <w:r w:rsidR="002452FC">
        <w:rPr>
          <w:rFonts w:asciiTheme="minorHAnsi" w:hAnsiTheme="minorHAnsi" w:cstheme="minorHAnsi"/>
          <w:sz w:val="22"/>
          <w:szCs w:val="22"/>
        </w:rPr>
        <w:t>4</w:t>
      </w:r>
      <w:r w:rsidRPr="009C1F57">
        <w:rPr>
          <w:rFonts w:asciiTheme="minorHAnsi" w:hAnsiTheme="minorHAnsi" w:cstheme="minorHAnsi"/>
          <w:sz w:val="22"/>
          <w:szCs w:val="22"/>
        </w:rPr>
        <w:t xml:space="preserve">. First </w:t>
      </w:r>
      <w:r w:rsidRPr="009C1F57" w:rsidR="00AB0809">
        <w:rPr>
          <w:rFonts w:asciiTheme="minorHAnsi" w:hAnsiTheme="minorHAnsi" w:cstheme="minorHAnsi"/>
          <w:sz w:val="22"/>
          <w:szCs w:val="22"/>
        </w:rPr>
        <w:t xml:space="preserve">Concept Mapping </w:t>
      </w:r>
      <w:r w:rsidRPr="009C1F57">
        <w:rPr>
          <w:rFonts w:asciiTheme="minorHAnsi" w:hAnsiTheme="minorHAnsi" w:cstheme="minorHAnsi"/>
          <w:sz w:val="22"/>
          <w:szCs w:val="22"/>
        </w:rPr>
        <w:t>Meeting Facilitator Guide</w:t>
      </w:r>
    </w:p>
    <w:p w:rsidRPr="009C1F57" w:rsidR="009017E7" w:rsidP="009C1F57" w:rsidRDefault="009017E7" w14:paraId="28EB3F71" w14:textId="29E1A388">
      <w:pPr>
        <w:pStyle w:val="TOCListText-IPR"/>
        <w:spacing w:after="48" w:afterLines="20"/>
        <w:rPr>
          <w:rFonts w:asciiTheme="minorHAnsi" w:hAnsiTheme="minorHAnsi" w:cstheme="minorHAnsi"/>
          <w:sz w:val="22"/>
          <w:szCs w:val="22"/>
        </w:rPr>
      </w:pPr>
      <w:r w:rsidRPr="009C1F57">
        <w:rPr>
          <w:rFonts w:asciiTheme="minorHAnsi" w:hAnsiTheme="minorHAnsi" w:cstheme="minorHAnsi"/>
          <w:sz w:val="22"/>
          <w:szCs w:val="22"/>
        </w:rPr>
        <w:t>F.</w:t>
      </w:r>
      <w:r w:rsidR="002452FC">
        <w:rPr>
          <w:rFonts w:asciiTheme="minorHAnsi" w:hAnsiTheme="minorHAnsi" w:cstheme="minorHAnsi"/>
          <w:sz w:val="22"/>
          <w:szCs w:val="22"/>
        </w:rPr>
        <w:t>5</w:t>
      </w:r>
      <w:r w:rsidRPr="009C1F57">
        <w:rPr>
          <w:rFonts w:asciiTheme="minorHAnsi" w:hAnsiTheme="minorHAnsi" w:cstheme="minorHAnsi"/>
          <w:sz w:val="22"/>
          <w:szCs w:val="22"/>
        </w:rPr>
        <w:t xml:space="preserve">. Additional Ideas </w:t>
      </w:r>
      <w:r w:rsidRPr="009C1F57" w:rsidR="002452FC">
        <w:rPr>
          <w:rFonts w:asciiTheme="minorHAnsi" w:hAnsiTheme="minorHAnsi" w:cstheme="minorHAnsi"/>
          <w:sz w:val="22"/>
          <w:szCs w:val="22"/>
        </w:rPr>
        <w:t xml:space="preserve">Concept Mapping </w:t>
      </w:r>
      <w:r w:rsidRPr="009C1F57">
        <w:rPr>
          <w:rFonts w:asciiTheme="minorHAnsi" w:hAnsiTheme="minorHAnsi" w:cstheme="minorHAnsi"/>
          <w:sz w:val="22"/>
          <w:szCs w:val="22"/>
        </w:rPr>
        <w:t>Email</w:t>
      </w:r>
    </w:p>
    <w:p w:rsidRPr="009C1F57" w:rsidR="009017E7" w:rsidP="009C1F57" w:rsidRDefault="009017E7" w14:paraId="63ED8E5E" w14:textId="79BB28EF">
      <w:pPr>
        <w:pStyle w:val="TOCListText-IPR"/>
        <w:spacing w:after="48" w:afterLines="20"/>
        <w:rPr>
          <w:rFonts w:asciiTheme="minorHAnsi" w:hAnsiTheme="minorHAnsi" w:cstheme="minorHAnsi"/>
          <w:sz w:val="22"/>
          <w:szCs w:val="22"/>
        </w:rPr>
      </w:pPr>
      <w:r w:rsidRPr="009C1F57">
        <w:rPr>
          <w:rFonts w:asciiTheme="minorHAnsi" w:hAnsiTheme="minorHAnsi" w:cstheme="minorHAnsi"/>
          <w:sz w:val="22"/>
          <w:szCs w:val="22"/>
        </w:rPr>
        <w:t>F.</w:t>
      </w:r>
      <w:r w:rsidR="002452FC">
        <w:rPr>
          <w:rFonts w:asciiTheme="minorHAnsi" w:hAnsiTheme="minorHAnsi" w:cstheme="minorHAnsi"/>
          <w:sz w:val="22"/>
          <w:szCs w:val="22"/>
        </w:rPr>
        <w:t>6</w:t>
      </w:r>
      <w:r w:rsidRPr="009C1F57">
        <w:rPr>
          <w:rFonts w:asciiTheme="minorHAnsi" w:hAnsiTheme="minorHAnsi" w:cstheme="minorHAnsi"/>
          <w:sz w:val="22"/>
          <w:szCs w:val="22"/>
        </w:rPr>
        <w:t xml:space="preserve">. Instructions for Sorting and Rating </w:t>
      </w:r>
      <w:r w:rsidRPr="009C1F57" w:rsidR="002452FC">
        <w:rPr>
          <w:rFonts w:asciiTheme="minorHAnsi" w:hAnsiTheme="minorHAnsi" w:cstheme="minorHAnsi"/>
          <w:sz w:val="22"/>
          <w:szCs w:val="22"/>
        </w:rPr>
        <w:t xml:space="preserve">Concept Mapping </w:t>
      </w:r>
      <w:r w:rsidRPr="009C1F57">
        <w:rPr>
          <w:rFonts w:asciiTheme="minorHAnsi" w:hAnsiTheme="minorHAnsi" w:cstheme="minorHAnsi"/>
          <w:sz w:val="22"/>
          <w:szCs w:val="22"/>
        </w:rPr>
        <w:t>Email</w:t>
      </w:r>
    </w:p>
    <w:p w:rsidRPr="009C1F57" w:rsidR="009017E7" w:rsidP="009C1F57" w:rsidRDefault="009017E7" w14:paraId="3E14DDF8" w14:textId="1C1E5848">
      <w:pPr>
        <w:pStyle w:val="TOCListText-IPR"/>
        <w:spacing w:after="48" w:afterLines="20"/>
        <w:rPr>
          <w:rFonts w:asciiTheme="minorHAnsi" w:hAnsiTheme="minorHAnsi" w:cstheme="minorHAnsi"/>
          <w:sz w:val="22"/>
          <w:szCs w:val="22"/>
        </w:rPr>
      </w:pPr>
      <w:r w:rsidRPr="009C1F57">
        <w:rPr>
          <w:rFonts w:asciiTheme="minorHAnsi" w:hAnsiTheme="minorHAnsi" w:cstheme="minorHAnsi"/>
          <w:sz w:val="22"/>
          <w:szCs w:val="22"/>
        </w:rPr>
        <w:t>F.</w:t>
      </w:r>
      <w:r w:rsidR="002452FC">
        <w:rPr>
          <w:rFonts w:asciiTheme="minorHAnsi" w:hAnsiTheme="minorHAnsi" w:cstheme="minorHAnsi"/>
          <w:sz w:val="22"/>
          <w:szCs w:val="22"/>
        </w:rPr>
        <w:t>7</w:t>
      </w:r>
      <w:r w:rsidRPr="009C1F57">
        <w:rPr>
          <w:rFonts w:asciiTheme="minorHAnsi" w:hAnsiTheme="minorHAnsi" w:cstheme="minorHAnsi"/>
          <w:sz w:val="22"/>
          <w:szCs w:val="22"/>
        </w:rPr>
        <w:t xml:space="preserve">. Second </w:t>
      </w:r>
      <w:r w:rsidRPr="009C1F57" w:rsidR="00AB0809">
        <w:rPr>
          <w:rFonts w:asciiTheme="minorHAnsi" w:hAnsiTheme="minorHAnsi" w:cstheme="minorHAnsi"/>
          <w:sz w:val="22"/>
          <w:szCs w:val="22"/>
        </w:rPr>
        <w:t xml:space="preserve">Concept Mapping </w:t>
      </w:r>
      <w:r w:rsidRPr="009C1F57">
        <w:rPr>
          <w:rFonts w:asciiTheme="minorHAnsi" w:hAnsiTheme="minorHAnsi" w:cstheme="minorHAnsi"/>
          <w:sz w:val="22"/>
          <w:szCs w:val="22"/>
        </w:rPr>
        <w:t>Meeting Scheduling Email</w:t>
      </w:r>
    </w:p>
    <w:p w:rsidRPr="009C1F57" w:rsidR="009017E7" w:rsidP="009C1F57" w:rsidRDefault="009017E7" w14:paraId="4194472A" w14:textId="532D7495">
      <w:pPr>
        <w:pStyle w:val="TOCListText-IPR"/>
        <w:spacing w:after="48" w:afterLines="20"/>
        <w:rPr>
          <w:rFonts w:asciiTheme="minorHAnsi" w:hAnsiTheme="minorHAnsi" w:cstheme="minorHAnsi"/>
          <w:sz w:val="22"/>
          <w:szCs w:val="22"/>
        </w:rPr>
      </w:pPr>
      <w:r w:rsidRPr="009C1F57">
        <w:rPr>
          <w:rFonts w:asciiTheme="minorHAnsi" w:hAnsiTheme="minorHAnsi" w:cstheme="minorHAnsi"/>
          <w:sz w:val="22"/>
          <w:szCs w:val="22"/>
        </w:rPr>
        <w:t>F.</w:t>
      </w:r>
      <w:r w:rsidR="002452FC">
        <w:rPr>
          <w:rFonts w:asciiTheme="minorHAnsi" w:hAnsiTheme="minorHAnsi" w:cstheme="minorHAnsi"/>
          <w:sz w:val="22"/>
          <w:szCs w:val="22"/>
        </w:rPr>
        <w:t>8</w:t>
      </w:r>
      <w:r w:rsidRPr="009C1F57">
        <w:rPr>
          <w:rFonts w:asciiTheme="minorHAnsi" w:hAnsiTheme="minorHAnsi" w:cstheme="minorHAnsi"/>
          <w:sz w:val="22"/>
          <w:szCs w:val="22"/>
        </w:rPr>
        <w:t xml:space="preserve">. Reminder Email for Second </w:t>
      </w:r>
      <w:r w:rsidRPr="009C1F57" w:rsidR="00AB0809">
        <w:rPr>
          <w:rFonts w:asciiTheme="minorHAnsi" w:hAnsiTheme="minorHAnsi" w:cstheme="minorHAnsi"/>
          <w:sz w:val="22"/>
          <w:szCs w:val="22"/>
        </w:rPr>
        <w:t xml:space="preserve">Concept Mapping </w:t>
      </w:r>
      <w:r w:rsidRPr="009C1F57">
        <w:rPr>
          <w:rFonts w:asciiTheme="minorHAnsi" w:hAnsiTheme="minorHAnsi" w:cstheme="minorHAnsi"/>
          <w:sz w:val="22"/>
          <w:szCs w:val="22"/>
        </w:rPr>
        <w:t>Meeting</w:t>
      </w:r>
    </w:p>
    <w:p w:rsidRPr="009C1F57" w:rsidR="009017E7" w:rsidP="009C1F57" w:rsidRDefault="009017E7" w14:paraId="707AE874" w14:textId="11DE5B56">
      <w:pPr>
        <w:pStyle w:val="TOCListText-IPR"/>
        <w:spacing w:after="48" w:afterLines="20"/>
        <w:rPr>
          <w:rFonts w:asciiTheme="minorHAnsi" w:hAnsiTheme="minorHAnsi" w:cstheme="minorHAnsi"/>
          <w:sz w:val="22"/>
          <w:szCs w:val="22"/>
        </w:rPr>
      </w:pPr>
      <w:r w:rsidRPr="009C1F57">
        <w:rPr>
          <w:rFonts w:asciiTheme="minorHAnsi" w:hAnsiTheme="minorHAnsi" w:cstheme="minorHAnsi"/>
          <w:sz w:val="22"/>
          <w:szCs w:val="22"/>
        </w:rPr>
        <w:t>F.</w:t>
      </w:r>
      <w:r w:rsidR="002452FC">
        <w:rPr>
          <w:rFonts w:asciiTheme="minorHAnsi" w:hAnsiTheme="minorHAnsi" w:cstheme="minorHAnsi"/>
          <w:sz w:val="22"/>
          <w:szCs w:val="22"/>
        </w:rPr>
        <w:t>9</w:t>
      </w:r>
      <w:r w:rsidRPr="009C1F57">
        <w:rPr>
          <w:rFonts w:asciiTheme="minorHAnsi" w:hAnsiTheme="minorHAnsi" w:cstheme="minorHAnsi"/>
          <w:sz w:val="22"/>
          <w:szCs w:val="22"/>
        </w:rPr>
        <w:t xml:space="preserve">. Advance Material for Second </w:t>
      </w:r>
      <w:r w:rsidRPr="009C1F57" w:rsidR="00AB0809">
        <w:rPr>
          <w:rFonts w:asciiTheme="minorHAnsi" w:hAnsiTheme="minorHAnsi" w:cstheme="minorHAnsi"/>
          <w:sz w:val="22"/>
          <w:szCs w:val="22"/>
        </w:rPr>
        <w:t xml:space="preserve">Concept Mapping </w:t>
      </w:r>
      <w:r w:rsidRPr="009C1F57">
        <w:rPr>
          <w:rFonts w:asciiTheme="minorHAnsi" w:hAnsiTheme="minorHAnsi" w:cstheme="minorHAnsi"/>
          <w:sz w:val="22"/>
          <w:szCs w:val="22"/>
        </w:rPr>
        <w:t>Meeting</w:t>
      </w:r>
    </w:p>
    <w:p w:rsidRPr="009C1F57" w:rsidR="009017E7" w:rsidP="009C1F57" w:rsidRDefault="009017E7" w14:paraId="36348DF2" w14:textId="1A62B89A">
      <w:pPr>
        <w:pStyle w:val="TOCListText-IPR"/>
        <w:spacing w:after="48" w:afterLines="20"/>
        <w:rPr>
          <w:rFonts w:asciiTheme="minorHAnsi" w:hAnsiTheme="minorHAnsi" w:cstheme="minorHAnsi"/>
          <w:sz w:val="22"/>
          <w:szCs w:val="22"/>
        </w:rPr>
      </w:pPr>
      <w:r w:rsidRPr="009C1F57">
        <w:rPr>
          <w:rFonts w:asciiTheme="minorHAnsi" w:hAnsiTheme="minorHAnsi" w:cstheme="minorHAnsi"/>
          <w:sz w:val="22"/>
          <w:szCs w:val="22"/>
        </w:rPr>
        <w:t>F.</w:t>
      </w:r>
      <w:r w:rsidRPr="009C1F57" w:rsidR="00AB0809">
        <w:rPr>
          <w:rFonts w:asciiTheme="minorHAnsi" w:hAnsiTheme="minorHAnsi" w:cstheme="minorHAnsi"/>
          <w:sz w:val="22"/>
          <w:szCs w:val="22"/>
        </w:rPr>
        <w:t>1</w:t>
      </w:r>
      <w:r w:rsidR="002452FC">
        <w:rPr>
          <w:rFonts w:asciiTheme="minorHAnsi" w:hAnsiTheme="minorHAnsi" w:cstheme="minorHAnsi"/>
          <w:sz w:val="22"/>
          <w:szCs w:val="22"/>
        </w:rPr>
        <w:t>0</w:t>
      </w:r>
      <w:r w:rsidRPr="009C1F57">
        <w:rPr>
          <w:rFonts w:asciiTheme="minorHAnsi" w:hAnsiTheme="minorHAnsi" w:cstheme="minorHAnsi"/>
          <w:sz w:val="22"/>
          <w:szCs w:val="22"/>
        </w:rPr>
        <w:t xml:space="preserve">. Second </w:t>
      </w:r>
      <w:r w:rsidRPr="009C1F57" w:rsidR="00AB0809">
        <w:rPr>
          <w:rFonts w:asciiTheme="minorHAnsi" w:hAnsiTheme="minorHAnsi" w:cstheme="minorHAnsi"/>
          <w:sz w:val="22"/>
          <w:szCs w:val="22"/>
        </w:rPr>
        <w:t xml:space="preserve">Concept Mapping </w:t>
      </w:r>
      <w:r w:rsidRPr="009C1F57">
        <w:rPr>
          <w:rFonts w:asciiTheme="minorHAnsi" w:hAnsiTheme="minorHAnsi" w:cstheme="minorHAnsi"/>
          <w:sz w:val="22"/>
          <w:szCs w:val="22"/>
        </w:rPr>
        <w:t>Meeting Facilitator Guide</w:t>
      </w:r>
    </w:p>
    <w:p w:rsidRPr="009C1F57" w:rsidR="009017E7" w:rsidP="009C1F57" w:rsidRDefault="009017E7" w14:paraId="2ED69279" w14:textId="756D696C">
      <w:pPr>
        <w:pStyle w:val="TOCListText-IPR"/>
        <w:spacing w:after="48" w:afterLines="20"/>
        <w:rPr>
          <w:rFonts w:asciiTheme="minorHAnsi" w:hAnsiTheme="minorHAnsi" w:cstheme="minorHAnsi"/>
          <w:sz w:val="22"/>
          <w:szCs w:val="22"/>
        </w:rPr>
      </w:pPr>
      <w:r w:rsidRPr="009C1F57">
        <w:rPr>
          <w:rFonts w:asciiTheme="minorHAnsi" w:hAnsiTheme="minorHAnsi" w:cstheme="minorHAnsi"/>
          <w:sz w:val="22"/>
          <w:szCs w:val="22"/>
        </w:rPr>
        <w:t>G.1. First Survey Invitation Letter for NAP Participant List Sample in English</w:t>
      </w:r>
    </w:p>
    <w:p w:rsidRPr="009C1F57" w:rsidR="009017E7" w:rsidP="009C1F57" w:rsidRDefault="009017E7" w14:paraId="78BDEFB0" w14:textId="017249F3">
      <w:pPr>
        <w:pStyle w:val="TOCListText-IPR"/>
        <w:spacing w:after="48" w:afterLines="20"/>
        <w:rPr>
          <w:rFonts w:asciiTheme="minorHAnsi" w:hAnsiTheme="minorHAnsi" w:cstheme="minorHAnsi"/>
          <w:sz w:val="22"/>
          <w:szCs w:val="22"/>
        </w:rPr>
      </w:pPr>
      <w:r w:rsidRPr="009C1F57">
        <w:rPr>
          <w:rFonts w:asciiTheme="minorHAnsi" w:hAnsiTheme="minorHAnsi" w:cstheme="minorHAnsi"/>
          <w:sz w:val="22"/>
          <w:szCs w:val="22"/>
        </w:rPr>
        <w:t>G.</w:t>
      </w:r>
      <w:r w:rsidRPr="009C1F57" w:rsidR="00AB0809">
        <w:rPr>
          <w:rFonts w:asciiTheme="minorHAnsi" w:hAnsiTheme="minorHAnsi" w:cstheme="minorHAnsi"/>
          <w:sz w:val="22"/>
          <w:szCs w:val="22"/>
        </w:rPr>
        <w:t>2</w:t>
      </w:r>
      <w:r w:rsidRPr="009C1F57">
        <w:rPr>
          <w:rFonts w:asciiTheme="minorHAnsi" w:hAnsiTheme="minorHAnsi" w:cstheme="minorHAnsi"/>
          <w:sz w:val="22"/>
          <w:szCs w:val="22"/>
        </w:rPr>
        <w:t xml:space="preserve"> Reminder Postcard for NAP Participant List Sample in English</w:t>
      </w:r>
    </w:p>
    <w:p w:rsidRPr="009C1F57" w:rsidR="009017E7" w:rsidP="009C1F57" w:rsidRDefault="009017E7" w14:paraId="29A13AEF" w14:textId="188BB08B">
      <w:pPr>
        <w:pStyle w:val="TOCListText-IPR"/>
        <w:spacing w:after="48" w:afterLines="20"/>
        <w:rPr>
          <w:rFonts w:asciiTheme="minorHAnsi" w:hAnsiTheme="minorHAnsi" w:cstheme="minorHAnsi"/>
          <w:sz w:val="22"/>
          <w:szCs w:val="22"/>
        </w:rPr>
      </w:pPr>
      <w:r w:rsidRPr="009C1F57">
        <w:rPr>
          <w:rFonts w:asciiTheme="minorHAnsi" w:hAnsiTheme="minorHAnsi" w:cstheme="minorHAnsi"/>
          <w:sz w:val="22"/>
          <w:szCs w:val="22"/>
        </w:rPr>
        <w:t>G.</w:t>
      </w:r>
      <w:r w:rsidRPr="009C1F57" w:rsidR="00AB0809">
        <w:rPr>
          <w:rFonts w:asciiTheme="minorHAnsi" w:hAnsiTheme="minorHAnsi" w:cstheme="minorHAnsi"/>
          <w:sz w:val="22"/>
          <w:szCs w:val="22"/>
        </w:rPr>
        <w:t>3.</w:t>
      </w:r>
      <w:r w:rsidRPr="009C1F57">
        <w:rPr>
          <w:rFonts w:asciiTheme="minorHAnsi" w:hAnsiTheme="minorHAnsi" w:cstheme="minorHAnsi"/>
          <w:sz w:val="22"/>
          <w:szCs w:val="22"/>
        </w:rPr>
        <w:t xml:space="preserve"> Invitation Letter With Mail Survey for NAP Participant List Sample in English (2 mailings) </w:t>
      </w:r>
    </w:p>
    <w:p w:rsidRPr="009C1F57" w:rsidR="009017E7" w:rsidP="009C1F57" w:rsidRDefault="009017E7" w14:paraId="295EB060" w14:textId="42007FFE">
      <w:pPr>
        <w:pStyle w:val="TOCListText-IPR"/>
        <w:spacing w:after="48" w:afterLines="20"/>
        <w:rPr>
          <w:rFonts w:asciiTheme="minorHAnsi" w:hAnsiTheme="minorHAnsi" w:cstheme="minorHAnsi"/>
          <w:sz w:val="22"/>
          <w:szCs w:val="22"/>
        </w:rPr>
      </w:pPr>
      <w:r w:rsidRPr="009C1F57">
        <w:rPr>
          <w:rFonts w:asciiTheme="minorHAnsi" w:hAnsiTheme="minorHAnsi" w:cstheme="minorHAnsi"/>
          <w:sz w:val="22"/>
          <w:szCs w:val="22"/>
        </w:rPr>
        <w:t>G.</w:t>
      </w:r>
      <w:r w:rsidRPr="009C1F57" w:rsidR="00AB0809">
        <w:rPr>
          <w:rFonts w:asciiTheme="minorHAnsi" w:hAnsiTheme="minorHAnsi" w:cstheme="minorHAnsi"/>
          <w:sz w:val="22"/>
          <w:szCs w:val="22"/>
        </w:rPr>
        <w:t>4.</w:t>
      </w:r>
      <w:r w:rsidRPr="009C1F57">
        <w:rPr>
          <w:rFonts w:asciiTheme="minorHAnsi" w:hAnsiTheme="minorHAnsi" w:cstheme="minorHAnsi"/>
          <w:sz w:val="22"/>
          <w:szCs w:val="22"/>
        </w:rPr>
        <w:t xml:space="preserve"> Recording for Inbound Calls to Schedule Survey in English</w:t>
      </w:r>
    </w:p>
    <w:p w:rsidRPr="009C1F57" w:rsidR="009017E7" w:rsidP="009C1F57" w:rsidRDefault="009017E7" w14:paraId="30A12CA4" w14:textId="283AFACB">
      <w:pPr>
        <w:pStyle w:val="TOCListText-IPR"/>
        <w:spacing w:after="48" w:afterLines="20"/>
        <w:rPr>
          <w:rFonts w:asciiTheme="minorHAnsi" w:hAnsiTheme="minorHAnsi" w:cstheme="minorHAnsi"/>
          <w:sz w:val="22"/>
          <w:szCs w:val="22"/>
        </w:rPr>
      </w:pPr>
      <w:r w:rsidRPr="009C1F57">
        <w:rPr>
          <w:rFonts w:asciiTheme="minorHAnsi" w:hAnsiTheme="minorHAnsi" w:cstheme="minorHAnsi"/>
          <w:sz w:val="22"/>
          <w:szCs w:val="22"/>
        </w:rPr>
        <w:t>G.</w:t>
      </w:r>
      <w:r w:rsidRPr="009C1F57" w:rsidR="00AB0809">
        <w:rPr>
          <w:rFonts w:asciiTheme="minorHAnsi" w:hAnsiTheme="minorHAnsi" w:cstheme="minorHAnsi"/>
          <w:sz w:val="22"/>
          <w:szCs w:val="22"/>
        </w:rPr>
        <w:t>5.</w:t>
      </w:r>
      <w:r w:rsidRPr="009C1F57">
        <w:rPr>
          <w:rFonts w:asciiTheme="minorHAnsi" w:hAnsiTheme="minorHAnsi" w:cstheme="minorHAnsi"/>
          <w:sz w:val="22"/>
          <w:szCs w:val="22"/>
        </w:rPr>
        <w:t xml:space="preserve"> Return Call to Schedule Survey in English</w:t>
      </w:r>
    </w:p>
    <w:p w:rsidRPr="009C1F57" w:rsidR="009017E7" w:rsidP="009C1F57" w:rsidRDefault="009017E7" w14:paraId="323A5A48" w14:textId="79B412DD">
      <w:pPr>
        <w:pStyle w:val="TOCListText-IPR"/>
        <w:spacing w:after="48" w:afterLines="20"/>
        <w:rPr>
          <w:rFonts w:asciiTheme="minorHAnsi" w:hAnsiTheme="minorHAnsi" w:cstheme="minorHAnsi"/>
          <w:sz w:val="22"/>
          <w:szCs w:val="22"/>
        </w:rPr>
      </w:pPr>
      <w:r w:rsidRPr="009C1F57">
        <w:rPr>
          <w:rFonts w:asciiTheme="minorHAnsi" w:hAnsiTheme="minorHAnsi" w:cstheme="minorHAnsi"/>
          <w:sz w:val="22"/>
          <w:szCs w:val="22"/>
        </w:rPr>
        <w:t>G.</w:t>
      </w:r>
      <w:r w:rsidRPr="009C1F57" w:rsidR="00AB0809">
        <w:rPr>
          <w:rFonts w:asciiTheme="minorHAnsi" w:hAnsiTheme="minorHAnsi" w:cstheme="minorHAnsi"/>
          <w:sz w:val="22"/>
          <w:szCs w:val="22"/>
        </w:rPr>
        <w:t>6.</w:t>
      </w:r>
      <w:r w:rsidRPr="009C1F57">
        <w:rPr>
          <w:rFonts w:asciiTheme="minorHAnsi" w:hAnsiTheme="minorHAnsi" w:cstheme="minorHAnsi"/>
          <w:sz w:val="22"/>
          <w:szCs w:val="22"/>
        </w:rPr>
        <w:t xml:space="preserve"> Script for Telephone Nonresponse Follow-Up for NAP Participant List Sample in English</w:t>
      </w:r>
    </w:p>
    <w:p w:rsidRPr="009C1F57" w:rsidR="009017E7" w:rsidP="009C1F57" w:rsidRDefault="009017E7" w14:paraId="03A659AC" w14:textId="0C448F51">
      <w:pPr>
        <w:pStyle w:val="TOCListText-IPR"/>
        <w:spacing w:after="48" w:afterLines="20"/>
        <w:rPr>
          <w:rFonts w:asciiTheme="minorHAnsi" w:hAnsiTheme="minorHAnsi" w:cstheme="minorHAnsi"/>
          <w:sz w:val="22"/>
          <w:szCs w:val="22"/>
        </w:rPr>
      </w:pPr>
      <w:r w:rsidRPr="009C1F57">
        <w:rPr>
          <w:rFonts w:asciiTheme="minorHAnsi" w:hAnsiTheme="minorHAnsi" w:cstheme="minorHAnsi"/>
          <w:sz w:val="22"/>
          <w:szCs w:val="22"/>
        </w:rPr>
        <w:t>G.</w:t>
      </w:r>
      <w:r w:rsidRPr="009C1F57" w:rsidR="00AB0809">
        <w:rPr>
          <w:rFonts w:asciiTheme="minorHAnsi" w:hAnsiTheme="minorHAnsi" w:cstheme="minorHAnsi"/>
          <w:sz w:val="22"/>
          <w:szCs w:val="22"/>
        </w:rPr>
        <w:t>7.</w:t>
      </w:r>
      <w:r w:rsidRPr="009C1F57">
        <w:rPr>
          <w:rFonts w:asciiTheme="minorHAnsi" w:hAnsiTheme="minorHAnsi" w:cstheme="minorHAnsi"/>
          <w:sz w:val="22"/>
          <w:szCs w:val="22"/>
        </w:rPr>
        <w:t xml:space="preserve"> Invitation Letter for Area Probability Sample in English (In-Person Delivery) </w:t>
      </w:r>
    </w:p>
    <w:p w:rsidRPr="009C1F57" w:rsidR="009017E7" w:rsidP="009C1F57" w:rsidRDefault="009017E7" w14:paraId="1FCAC2F9" w14:textId="3D3AC09C">
      <w:pPr>
        <w:pStyle w:val="TOCListText-IPR"/>
        <w:spacing w:after="48" w:afterLines="20"/>
        <w:rPr>
          <w:rFonts w:asciiTheme="minorHAnsi" w:hAnsiTheme="minorHAnsi" w:cstheme="minorHAnsi"/>
          <w:sz w:val="22"/>
          <w:szCs w:val="22"/>
        </w:rPr>
      </w:pPr>
      <w:r w:rsidRPr="009C1F57">
        <w:rPr>
          <w:rFonts w:asciiTheme="minorHAnsi" w:hAnsiTheme="minorHAnsi" w:cstheme="minorHAnsi"/>
          <w:sz w:val="22"/>
          <w:szCs w:val="22"/>
        </w:rPr>
        <w:t>G.</w:t>
      </w:r>
      <w:r w:rsidRPr="009C1F57" w:rsidR="00AB0809">
        <w:rPr>
          <w:rFonts w:asciiTheme="minorHAnsi" w:hAnsiTheme="minorHAnsi" w:cstheme="minorHAnsi"/>
          <w:sz w:val="22"/>
          <w:szCs w:val="22"/>
        </w:rPr>
        <w:t>8.</w:t>
      </w:r>
      <w:r w:rsidRPr="009C1F57">
        <w:rPr>
          <w:rFonts w:asciiTheme="minorHAnsi" w:hAnsiTheme="minorHAnsi" w:cstheme="minorHAnsi"/>
          <w:sz w:val="22"/>
          <w:szCs w:val="22"/>
        </w:rPr>
        <w:t xml:space="preserve"> Script for Data Collectors for Area Probability Sample in English (In-Person Delivery) </w:t>
      </w:r>
    </w:p>
    <w:p w:rsidRPr="009C1F57" w:rsidR="009017E7" w:rsidP="009C1F57" w:rsidRDefault="009017E7" w14:paraId="40A699BB" w14:textId="11FC04A1">
      <w:pPr>
        <w:pStyle w:val="TOCListText-IPR"/>
        <w:spacing w:after="48" w:afterLines="20"/>
        <w:rPr>
          <w:rFonts w:asciiTheme="minorHAnsi" w:hAnsiTheme="minorHAnsi" w:cstheme="minorHAnsi"/>
          <w:sz w:val="22"/>
          <w:szCs w:val="22"/>
        </w:rPr>
      </w:pPr>
      <w:r w:rsidRPr="009C1F57">
        <w:rPr>
          <w:rFonts w:asciiTheme="minorHAnsi" w:hAnsiTheme="minorHAnsi" w:cstheme="minorHAnsi"/>
          <w:sz w:val="22"/>
          <w:szCs w:val="22"/>
        </w:rPr>
        <w:t>G.</w:t>
      </w:r>
      <w:r w:rsidRPr="009C1F57" w:rsidR="00AB0809">
        <w:rPr>
          <w:rFonts w:asciiTheme="minorHAnsi" w:hAnsiTheme="minorHAnsi" w:cstheme="minorHAnsi"/>
          <w:sz w:val="22"/>
          <w:szCs w:val="22"/>
        </w:rPr>
        <w:t>9.</w:t>
      </w:r>
      <w:r w:rsidRPr="009C1F57">
        <w:rPr>
          <w:rFonts w:asciiTheme="minorHAnsi" w:hAnsiTheme="minorHAnsi" w:cstheme="minorHAnsi"/>
          <w:sz w:val="22"/>
          <w:szCs w:val="22"/>
        </w:rPr>
        <w:t xml:space="preserve"> Text for Website (Home Page) in English</w:t>
      </w:r>
    </w:p>
    <w:p w:rsidRPr="009C1F57" w:rsidR="009017E7" w:rsidP="009C1F57" w:rsidRDefault="009017E7" w14:paraId="52647B84" w14:textId="0C4A53CE">
      <w:pPr>
        <w:pStyle w:val="TOCListText-IPR"/>
        <w:spacing w:after="48" w:afterLines="20"/>
        <w:rPr>
          <w:rFonts w:asciiTheme="minorHAnsi" w:hAnsiTheme="minorHAnsi" w:cstheme="minorHAnsi"/>
          <w:sz w:val="22"/>
          <w:szCs w:val="22"/>
        </w:rPr>
      </w:pPr>
      <w:r w:rsidRPr="009C1F57">
        <w:rPr>
          <w:rFonts w:asciiTheme="minorHAnsi" w:hAnsiTheme="minorHAnsi" w:cstheme="minorHAnsi"/>
          <w:sz w:val="22"/>
          <w:szCs w:val="22"/>
        </w:rPr>
        <w:t>G.1</w:t>
      </w:r>
      <w:r w:rsidRPr="009C1F57" w:rsidR="00AB0809">
        <w:rPr>
          <w:rFonts w:asciiTheme="minorHAnsi" w:hAnsiTheme="minorHAnsi" w:cstheme="minorHAnsi"/>
          <w:sz w:val="22"/>
          <w:szCs w:val="22"/>
        </w:rPr>
        <w:t>0.</w:t>
      </w:r>
      <w:r w:rsidRPr="009C1F57">
        <w:rPr>
          <w:rFonts w:asciiTheme="minorHAnsi" w:hAnsiTheme="minorHAnsi" w:cstheme="minorHAnsi"/>
          <w:sz w:val="22"/>
          <w:szCs w:val="22"/>
        </w:rPr>
        <w:t xml:space="preserve"> FAQ Document in English</w:t>
      </w:r>
    </w:p>
    <w:p w:rsidRPr="009C1F57" w:rsidR="009017E7" w:rsidP="009C1F57" w:rsidRDefault="009017E7" w14:paraId="73E355F6" w14:textId="1A7DCBF9">
      <w:pPr>
        <w:pStyle w:val="TOCListText-IPR"/>
        <w:spacing w:after="48" w:afterLines="20"/>
        <w:rPr>
          <w:rFonts w:asciiTheme="minorHAnsi" w:hAnsiTheme="minorHAnsi" w:cstheme="minorHAnsi"/>
          <w:sz w:val="22"/>
          <w:szCs w:val="22"/>
        </w:rPr>
      </w:pPr>
      <w:r w:rsidRPr="009C1F57">
        <w:rPr>
          <w:rFonts w:asciiTheme="minorHAnsi" w:hAnsiTheme="minorHAnsi" w:cstheme="minorHAnsi"/>
          <w:sz w:val="22"/>
          <w:szCs w:val="22"/>
        </w:rPr>
        <w:t>G.1</w:t>
      </w:r>
      <w:r w:rsidRPr="009C1F57" w:rsidR="00AB0809">
        <w:rPr>
          <w:rFonts w:asciiTheme="minorHAnsi" w:hAnsiTheme="minorHAnsi" w:cstheme="minorHAnsi"/>
          <w:sz w:val="22"/>
          <w:szCs w:val="22"/>
        </w:rPr>
        <w:t>1.</w:t>
      </w:r>
      <w:r w:rsidRPr="009C1F57">
        <w:rPr>
          <w:rFonts w:asciiTheme="minorHAnsi" w:hAnsiTheme="minorHAnsi" w:cstheme="minorHAnsi"/>
          <w:sz w:val="22"/>
          <w:szCs w:val="22"/>
        </w:rPr>
        <w:t xml:space="preserve"> Thank You Letter for Survey Participants in English</w:t>
      </w:r>
    </w:p>
    <w:p w:rsidRPr="009C1F57" w:rsidR="009017E7" w:rsidP="009C1F57" w:rsidRDefault="009017E7" w14:paraId="1D6465CB" w14:textId="45925CA7">
      <w:pPr>
        <w:pStyle w:val="TOCListText-IPR"/>
        <w:spacing w:after="48" w:afterLines="20"/>
        <w:rPr>
          <w:rFonts w:asciiTheme="minorHAnsi" w:hAnsiTheme="minorHAnsi" w:cstheme="minorHAnsi"/>
          <w:sz w:val="22"/>
          <w:szCs w:val="22"/>
        </w:rPr>
      </w:pPr>
      <w:bookmarkStart w:name="_Hlk83911371" w:id="3"/>
      <w:r w:rsidRPr="009C1F57">
        <w:rPr>
          <w:rFonts w:asciiTheme="minorHAnsi" w:hAnsiTheme="minorHAnsi" w:cstheme="minorHAnsi"/>
          <w:sz w:val="22"/>
          <w:szCs w:val="22"/>
        </w:rPr>
        <w:t>G.</w:t>
      </w:r>
      <w:r w:rsidRPr="009C1F57" w:rsidR="00AB0809">
        <w:rPr>
          <w:rFonts w:asciiTheme="minorHAnsi" w:hAnsiTheme="minorHAnsi" w:cstheme="minorHAnsi"/>
          <w:sz w:val="22"/>
          <w:szCs w:val="22"/>
        </w:rPr>
        <w:t>12.</w:t>
      </w:r>
      <w:r w:rsidRPr="009C1F57">
        <w:rPr>
          <w:rFonts w:asciiTheme="minorHAnsi" w:hAnsiTheme="minorHAnsi" w:cstheme="minorHAnsi"/>
          <w:sz w:val="22"/>
          <w:szCs w:val="22"/>
        </w:rPr>
        <w:t xml:space="preserve"> First Survey Invitation Letter for NAP Participant List Sample in Spanish</w:t>
      </w:r>
      <w:bookmarkEnd w:id="3"/>
    </w:p>
    <w:p w:rsidRPr="009C1F57" w:rsidR="009017E7" w:rsidP="009C1F57" w:rsidRDefault="009017E7" w14:paraId="2FA1E581" w14:textId="7AA35365">
      <w:pPr>
        <w:pStyle w:val="TOCListText-IPR"/>
        <w:spacing w:after="48" w:afterLines="20"/>
        <w:rPr>
          <w:rFonts w:asciiTheme="minorHAnsi" w:hAnsiTheme="minorHAnsi" w:cstheme="minorHAnsi"/>
          <w:sz w:val="22"/>
          <w:szCs w:val="22"/>
        </w:rPr>
      </w:pPr>
      <w:bookmarkStart w:name="_Hlk83911410" w:id="4"/>
      <w:r w:rsidRPr="009C1F57">
        <w:rPr>
          <w:rFonts w:asciiTheme="minorHAnsi" w:hAnsiTheme="minorHAnsi" w:cstheme="minorHAnsi"/>
          <w:sz w:val="22"/>
          <w:szCs w:val="22"/>
        </w:rPr>
        <w:t>G.</w:t>
      </w:r>
      <w:r w:rsidRPr="009C1F57" w:rsidR="00AB0809">
        <w:rPr>
          <w:rFonts w:asciiTheme="minorHAnsi" w:hAnsiTheme="minorHAnsi" w:cstheme="minorHAnsi"/>
          <w:sz w:val="22"/>
          <w:szCs w:val="22"/>
        </w:rPr>
        <w:t>13.</w:t>
      </w:r>
      <w:r w:rsidRPr="009C1F57">
        <w:rPr>
          <w:rFonts w:asciiTheme="minorHAnsi" w:hAnsiTheme="minorHAnsi" w:cstheme="minorHAnsi"/>
          <w:sz w:val="22"/>
          <w:szCs w:val="22"/>
        </w:rPr>
        <w:t xml:space="preserve"> Reminder Postcard for NAP Participant List Sample in Spanish</w:t>
      </w:r>
      <w:bookmarkEnd w:id="4"/>
    </w:p>
    <w:p w:rsidRPr="009C1F57" w:rsidR="009017E7" w:rsidP="009C1F57" w:rsidRDefault="009017E7" w14:paraId="70EE47A6" w14:textId="63EB55AE">
      <w:pPr>
        <w:pStyle w:val="TOCListText-IPR"/>
        <w:spacing w:after="48" w:afterLines="20"/>
        <w:rPr>
          <w:rFonts w:asciiTheme="minorHAnsi" w:hAnsiTheme="minorHAnsi" w:cstheme="minorHAnsi"/>
          <w:sz w:val="22"/>
          <w:szCs w:val="22"/>
        </w:rPr>
      </w:pPr>
      <w:r w:rsidRPr="009C1F57">
        <w:rPr>
          <w:rFonts w:asciiTheme="minorHAnsi" w:hAnsiTheme="minorHAnsi" w:cstheme="minorHAnsi"/>
          <w:sz w:val="22"/>
          <w:szCs w:val="22"/>
        </w:rPr>
        <w:t>G.</w:t>
      </w:r>
      <w:r w:rsidRPr="009C1F57" w:rsidR="00AB0809">
        <w:rPr>
          <w:rFonts w:asciiTheme="minorHAnsi" w:hAnsiTheme="minorHAnsi" w:cstheme="minorHAnsi"/>
          <w:sz w:val="22"/>
          <w:szCs w:val="22"/>
        </w:rPr>
        <w:t xml:space="preserve">14. </w:t>
      </w:r>
      <w:bookmarkStart w:name="_Hlk83911432" w:id="5"/>
      <w:r w:rsidRPr="009C1F57">
        <w:rPr>
          <w:rFonts w:asciiTheme="minorHAnsi" w:hAnsiTheme="minorHAnsi" w:cstheme="minorHAnsi"/>
          <w:sz w:val="22"/>
          <w:szCs w:val="22"/>
        </w:rPr>
        <w:t>Invitation Letter With Mail Survey for NAP Participant List Sample in Spanish (2 mailings)</w:t>
      </w:r>
      <w:bookmarkEnd w:id="5"/>
    </w:p>
    <w:p w:rsidRPr="009C1F57" w:rsidR="009017E7" w:rsidP="009C1F57" w:rsidRDefault="009017E7" w14:paraId="003F9795" w14:textId="684A76C3">
      <w:pPr>
        <w:pStyle w:val="TOCListText-IPR"/>
        <w:spacing w:after="48" w:afterLines="20"/>
        <w:rPr>
          <w:rFonts w:asciiTheme="minorHAnsi" w:hAnsiTheme="minorHAnsi" w:cstheme="minorHAnsi"/>
          <w:sz w:val="22"/>
          <w:szCs w:val="22"/>
        </w:rPr>
      </w:pPr>
      <w:r w:rsidRPr="009C1F57">
        <w:rPr>
          <w:rFonts w:asciiTheme="minorHAnsi" w:hAnsiTheme="minorHAnsi" w:cstheme="minorHAnsi"/>
          <w:sz w:val="22"/>
          <w:szCs w:val="22"/>
        </w:rPr>
        <w:t>G.</w:t>
      </w:r>
      <w:r w:rsidRPr="009C1F57" w:rsidR="00AB0809">
        <w:rPr>
          <w:rFonts w:asciiTheme="minorHAnsi" w:hAnsiTheme="minorHAnsi" w:cstheme="minorHAnsi"/>
          <w:sz w:val="22"/>
          <w:szCs w:val="22"/>
        </w:rPr>
        <w:t>15.</w:t>
      </w:r>
      <w:r w:rsidRPr="009C1F57">
        <w:rPr>
          <w:rFonts w:asciiTheme="minorHAnsi" w:hAnsiTheme="minorHAnsi" w:cstheme="minorHAnsi"/>
          <w:sz w:val="22"/>
          <w:szCs w:val="22"/>
        </w:rPr>
        <w:t xml:space="preserve"> </w:t>
      </w:r>
      <w:bookmarkStart w:name="_Hlk83911457" w:id="6"/>
      <w:r w:rsidRPr="009C1F57">
        <w:rPr>
          <w:rFonts w:asciiTheme="minorHAnsi" w:hAnsiTheme="minorHAnsi" w:cstheme="minorHAnsi"/>
          <w:sz w:val="22"/>
          <w:szCs w:val="22"/>
        </w:rPr>
        <w:t>Recording for Inbound Calls to Schedule Survey in Spanish</w:t>
      </w:r>
      <w:bookmarkEnd w:id="6"/>
    </w:p>
    <w:p w:rsidRPr="009C1F57" w:rsidR="009017E7" w:rsidP="009C1F57" w:rsidRDefault="009017E7" w14:paraId="22A6CE60" w14:textId="246E52AD">
      <w:pPr>
        <w:pStyle w:val="TOCListText-IPR"/>
        <w:spacing w:after="48" w:afterLines="20"/>
        <w:rPr>
          <w:rFonts w:asciiTheme="minorHAnsi" w:hAnsiTheme="minorHAnsi" w:cstheme="minorHAnsi"/>
          <w:sz w:val="22"/>
          <w:szCs w:val="22"/>
        </w:rPr>
      </w:pPr>
      <w:r w:rsidRPr="009C1F57">
        <w:rPr>
          <w:rFonts w:asciiTheme="minorHAnsi" w:hAnsiTheme="minorHAnsi" w:cstheme="minorHAnsi"/>
          <w:sz w:val="22"/>
          <w:szCs w:val="22"/>
        </w:rPr>
        <w:t>G.</w:t>
      </w:r>
      <w:r w:rsidRPr="009C1F57" w:rsidR="00AB0809">
        <w:rPr>
          <w:rFonts w:asciiTheme="minorHAnsi" w:hAnsiTheme="minorHAnsi" w:cstheme="minorHAnsi"/>
          <w:sz w:val="22"/>
          <w:szCs w:val="22"/>
        </w:rPr>
        <w:t>16.</w:t>
      </w:r>
      <w:r w:rsidRPr="009C1F57">
        <w:rPr>
          <w:rFonts w:asciiTheme="minorHAnsi" w:hAnsiTheme="minorHAnsi" w:cstheme="minorHAnsi"/>
          <w:sz w:val="22"/>
          <w:szCs w:val="22"/>
        </w:rPr>
        <w:t xml:space="preserve"> </w:t>
      </w:r>
      <w:bookmarkStart w:name="_Hlk83911477" w:id="7"/>
      <w:r w:rsidRPr="009C1F57">
        <w:rPr>
          <w:rFonts w:asciiTheme="minorHAnsi" w:hAnsiTheme="minorHAnsi" w:cstheme="minorHAnsi"/>
          <w:sz w:val="22"/>
          <w:szCs w:val="22"/>
        </w:rPr>
        <w:t>Return Call to Schedule Survey in Spanish</w:t>
      </w:r>
      <w:bookmarkEnd w:id="7"/>
    </w:p>
    <w:p w:rsidRPr="009C1F57" w:rsidR="009017E7" w:rsidP="009C1F57" w:rsidRDefault="009017E7" w14:paraId="744808E6" w14:textId="22343CBC">
      <w:pPr>
        <w:pStyle w:val="TOCListText-IPR"/>
        <w:spacing w:after="48" w:afterLines="20"/>
        <w:rPr>
          <w:rFonts w:asciiTheme="minorHAnsi" w:hAnsiTheme="minorHAnsi" w:cstheme="minorHAnsi"/>
          <w:sz w:val="22"/>
          <w:szCs w:val="22"/>
        </w:rPr>
      </w:pPr>
      <w:r w:rsidRPr="009C1F57">
        <w:rPr>
          <w:rFonts w:asciiTheme="minorHAnsi" w:hAnsiTheme="minorHAnsi" w:cstheme="minorHAnsi"/>
          <w:sz w:val="22"/>
          <w:szCs w:val="22"/>
        </w:rPr>
        <w:t>G.</w:t>
      </w:r>
      <w:r w:rsidRPr="009C1F57" w:rsidR="00AB0809">
        <w:rPr>
          <w:rFonts w:asciiTheme="minorHAnsi" w:hAnsiTheme="minorHAnsi" w:cstheme="minorHAnsi"/>
          <w:sz w:val="22"/>
          <w:szCs w:val="22"/>
        </w:rPr>
        <w:t>17.</w:t>
      </w:r>
      <w:r w:rsidRPr="009C1F57">
        <w:rPr>
          <w:rFonts w:asciiTheme="minorHAnsi" w:hAnsiTheme="minorHAnsi" w:cstheme="minorHAnsi"/>
          <w:sz w:val="22"/>
          <w:szCs w:val="22"/>
        </w:rPr>
        <w:t xml:space="preserve"> </w:t>
      </w:r>
      <w:bookmarkStart w:name="_Hlk83911505" w:id="8"/>
      <w:r w:rsidRPr="009C1F57">
        <w:rPr>
          <w:rFonts w:asciiTheme="minorHAnsi" w:hAnsiTheme="minorHAnsi" w:cstheme="minorHAnsi"/>
          <w:sz w:val="22"/>
          <w:szCs w:val="22"/>
        </w:rPr>
        <w:t>Script for Telephone Nonresponse Follow-Up for NAP Participant List Sample in Spanish</w:t>
      </w:r>
      <w:bookmarkEnd w:id="8"/>
    </w:p>
    <w:p w:rsidRPr="009C1F57" w:rsidR="009017E7" w:rsidP="009C1F57" w:rsidRDefault="009017E7" w14:paraId="0A8A477C" w14:textId="0F6E7FDE">
      <w:pPr>
        <w:pStyle w:val="TOCListText-IPR"/>
        <w:spacing w:after="48" w:afterLines="20"/>
        <w:rPr>
          <w:rFonts w:asciiTheme="minorHAnsi" w:hAnsiTheme="minorHAnsi" w:cstheme="minorHAnsi"/>
          <w:sz w:val="22"/>
          <w:szCs w:val="22"/>
        </w:rPr>
      </w:pPr>
      <w:r w:rsidRPr="009C1F57">
        <w:rPr>
          <w:rFonts w:asciiTheme="minorHAnsi" w:hAnsiTheme="minorHAnsi" w:cstheme="minorHAnsi"/>
          <w:sz w:val="22"/>
          <w:szCs w:val="22"/>
        </w:rPr>
        <w:t>G.</w:t>
      </w:r>
      <w:r w:rsidRPr="009C1F57" w:rsidR="00AB0809">
        <w:rPr>
          <w:rFonts w:asciiTheme="minorHAnsi" w:hAnsiTheme="minorHAnsi" w:cstheme="minorHAnsi"/>
          <w:sz w:val="22"/>
          <w:szCs w:val="22"/>
        </w:rPr>
        <w:t>18.</w:t>
      </w:r>
      <w:r w:rsidRPr="009C1F57">
        <w:rPr>
          <w:rFonts w:asciiTheme="minorHAnsi" w:hAnsiTheme="minorHAnsi" w:cstheme="minorHAnsi"/>
          <w:sz w:val="22"/>
          <w:szCs w:val="22"/>
        </w:rPr>
        <w:t xml:space="preserve"> </w:t>
      </w:r>
      <w:bookmarkStart w:name="_Hlk83911531" w:id="9"/>
      <w:r w:rsidRPr="009C1F57">
        <w:rPr>
          <w:rFonts w:asciiTheme="minorHAnsi" w:hAnsiTheme="minorHAnsi" w:cstheme="minorHAnsi"/>
          <w:sz w:val="22"/>
          <w:szCs w:val="22"/>
        </w:rPr>
        <w:t>Invitation Letter for Area Probability Sample in Spanish (In-Person Delivery)</w:t>
      </w:r>
      <w:bookmarkEnd w:id="9"/>
    </w:p>
    <w:p w:rsidRPr="009C1F57" w:rsidR="009017E7" w:rsidP="009C1F57" w:rsidRDefault="009017E7" w14:paraId="75E5111F" w14:textId="31F2CDF7">
      <w:pPr>
        <w:pStyle w:val="TOCListText-IPR"/>
        <w:spacing w:after="48" w:afterLines="20"/>
        <w:rPr>
          <w:rFonts w:asciiTheme="minorHAnsi" w:hAnsiTheme="minorHAnsi" w:cstheme="minorHAnsi"/>
          <w:sz w:val="22"/>
          <w:szCs w:val="22"/>
        </w:rPr>
      </w:pPr>
      <w:r w:rsidRPr="009C1F57">
        <w:rPr>
          <w:rFonts w:asciiTheme="minorHAnsi" w:hAnsiTheme="minorHAnsi" w:cstheme="minorHAnsi"/>
          <w:sz w:val="22"/>
          <w:szCs w:val="22"/>
        </w:rPr>
        <w:t>G.</w:t>
      </w:r>
      <w:r w:rsidRPr="009C1F57" w:rsidR="00AB0809">
        <w:rPr>
          <w:rFonts w:asciiTheme="minorHAnsi" w:hAnsiTheme="minorHAnsi" w:cstheme="minorHAnsi"/>
          <w:sz w:val="22"/>
          <w:szCs w:val="22"/>
        </w:rPr>
        <w:t>19.</w:t>
      </w:r>
      <w:r w:rsidRPr="009C1F57">
        <w:rPr>
          <w:rFonts w:asciiTheme="minorHAnsi" w:hAnsiTheme="minorHAnsi" w:cstheme="minorHAnsi"/>
          <w:sz w:val="22"/>
          <w:szCs w:val="22"/>
        </w:rPr>
        <w:t xml:space="preserve"> </w:t>
      </w:r>
      <w:bookmarkStart w:name="_Hlk83911551" w:id="10"/>
      <w:r w:rsidRPr="009C1F57">
        <w:rPr>
          <w:rFonts w:asciiTheme="minorHAnsi" w:hAnsiTheme="minorHAnsi" w:cstheme="minorHAnsi"/>
          <w:sz w:val="22"/>
          <w:szCs w:val="22"/>
        </w:rPr>
        <w:t>Script for Data Collectors for Area Probability Sample in Spanish (In-Person Delivery)</w:t>
      </w:r>
      <w:bookmarkEnd w:id="10"/>
    </w:p>
    <w:p w:rsidRPr="009C1F57" w:rsidR="009017E7" w:rsidP="009C1F57" w:rsidRDefault="009017E7" w14:paraId="6FCED17D" w14:textId="1988C61C">
      <w:pPr>
        <w:pStyle w:val="TOCListText-IPR"/>
        <w:spacing w:after="48" w:afterLines="20"/>
        <w:rPr>
          <w:rFonts w:asciiTheme="minorHAnsi" w:hAnsiTheme="minorHAnsi" w:cstheme="minorHAnsi"/>
          <w:sz w:val="22"/>
          <w:szCs w:val="22"/>
        </w:rPr>
      </w:pPr>
      <w:r w:rsidRPr="009C1F57">
        <w:rPr>
          <w:rFonts w:asciiTheme="minorHAnsi" w:hAnsiTheme="minorHAnsi" w:cstheme="minorHAnsi"/>
          <w:sz w:val="22"/>
          <w:szCs w:val="22"/>
        </w:rPr>
        <w:t>G.2</w:t>
      </w:r>
      <w:r w:rsidRPr="009C1F57" w:rsidR="00AB0809">
        <w:rPr>
          <w:rFonts w:asciiTheme="minorHAnsi" w:hAnsiTheme="minorHAnsi" w:cstheme="minorHAnsi"/>
          <w:sz w:val="22"/>
          <w:szCs w:val="22"/>
        </w:rPr>
        <w:t>0.</w:t>
      </w:r>
      <w:r w:rsidRPr="009C1F57">
        <w:rPr>
          <w:rFonts w:asciiTheme="minorHAnsi" w:hAnsiTheme="minorHAnsi" w:cstheme="minorHAnsi"/>
          <w:sz w:val="22"/>
          <w:szCs w:val="22"/>
        </w:rPr>
        <w:t xml:space="preserve"> </w:t>
      </w:r>
      <w:bookmarkStart w:name="_Hlk83911579" w:id="11"/>
      <w:r w:rsidRPr="009C1F57">
        <w:rPr>
          <w:rFonts w:asciiTheme="minorHAnsi" w:hAnsiTheme="minorHAnsi" w:cstheme="minorHAnsi"/>
          <w:sz w:val="22"/>
          <w:szCs w:val="22"/>
        </w:rPr>
        <w:t>Text for Website (Home Page) in Spanish</w:t>
      </w:r>
      <w:bookmarkEnd w:id="11"/>
    </w:p>
    <w:p w:rsidRPr="009C1F57" w:rsidR="009017E7" w:rsidP="009C1F57" w:rsidRDefault="009017E7" w14:paraId="6C4792BB" w14:textId="50C0EC30">
      <w:pPr>
        <w:pStyle w:val="TOCListText-IPR"/>
        <w:spacing w:after="48" w:afterLines="20"/>
        <w:rPr>
          <w:rFonts w:asciiTheme="minorHAnsi" w:hAnsiTheme="minorHAnsi" w:cstheme="minorHAnsi"/>
          <w:sz w:val="22"/>
          <w:szCs w:val="22"/>
        </w:rPr>
      </w:pPr>
      <w:r w:rsidRPr="009C1F57">
        <w:rPr>
          <w:rFonts w:asciiTheme="minorHAnsi" w:hAnsiTheme="minorHAnsi" w:cstheme="minorHAnsi"/>
          <w:sz w:val="22"/>
          <w:szCs w:val="22"/>
        </w:rPr>
        <w:t>G.2</w:t>
      </w:r>
      <w:r w:rsidRPr="009C1F57" w:rsidR="00AB0809">
        <w:rPr>
          <w:rFonts w:asciiTheme="minorHAnsi" w:hAnsiTheme="minorHAnsi" w:cstheme="minorHAnsi"/>
          <w:sz w:val="22"/>
          <w:szCs w:val="22"/>
        </w:rPr>
        <w:t>1.</w:t>
      </w:r>
      <w:r w:rsidRPr="009C1F57">
        <w:rPr>
          <w:rFonts w:asciiTheme="minorHAnsi" w:hAnsiTheme="minorHAnsi" w:cstheme="minorHAnsi"/>
          <w:sz w:val="22"/>
          <w:szCs w:val="22"/>
        </w:rPr>
        <w:t xml:space="preserve"> </w:t>
      </w:r>
      <w:bookmarkStart w:name="_Hlk83911603" w:id="12"/>
      <w:r w:rsidRPr="009C1F57">
        <w:rPr>
          <w:rFonts w:asciiTheme="minorHAnsi" w:hAnsiTheme="minorHAnsi" w:cstheme="minorHAnsi"/>
          <w:sz w:val="22"/>
          <w:szCs w:val="22"/>
        </w:rPr>
        <w:t>FAQ Document in Spanish</w:t>
      </w:r>
      <w:bookmarkEnd w:id="12"/>
    </w:p>
    <w:p w:rsidRPr="009C1F57" w:rsidR="009017E7" w:rsidP="009C1F57" w:rsidRDefault="009017E7" w14:paraId="10D5068C" w14:textId="49A758B8">
      <w:pPr>
        <w:pStyle w:val="TOCListText-IPR"/>
        <w:spacing w:after="48" w:afterLines="20"/>
        <w:rPr>
          <w:rFonts w:asciiTheme="minorHAnsi" w:hAnsiTheme="minorHAnsi" w:cstheme="minorHAnsi"/>
          <w:sz w:val="22"/>
          <w:szCs w:val="22"/>
        </w:rPr>
      </w:pPr>
      <w:r w:rsidRPr="009C1F57">
        <w:rPr>
          <w:rFonts w:asciiTheme="minorHAnsi" w:hAnsiTheme="minorHAnsi" w:cstheme="minorHAnsi"/>
          <w:sz w:val="22"/>
          <w:szCs w:val="22"/>
        </w:rPr>
        <w:t>G.2</w:t>
      </w:r>
      <w:r w:rsidRPr="009C1F57" w:rsidR="00AB0809">
        <w:rPr>
          <w:rFonts w:asciiTheme="minorHAnsi" w:hAnsiTheme="minorHAnsi" w:cstheme="minorHAnsi"/>
          <w:sz w:val="22"/>
          <w:szCs w:val="22"/>
        </w:rPr>
        <w:t>2.</w:t>
      </w:r>
      <w:r w:rsidRPr="009C1F57">
        <w:rPr>
          <w:rFonts w:asciiTheme="minorHAnsi" w:hAnsiTheme="minorHAnsi" w:cstheme="minorHAnsi"/>
          <w:sz w:val="22"/>
          <w:szCs w:val="22"/>
        </w:rPr>
        <w:t xml:space="preserve"> </w:t>
      </w:r>
      <w:bookmarkStart w:name="_Hlk83911628" w:id="13"/>
      <w:r w:rsidRPr="009C1F57">
        <w:rPr>
          <w:rFonts w:asciiTheme="minorHAnsi" w:hAnsiTheme="minorHAnsi" w:cstheme="minorHAnsi"/>
          <w:sz w:val="22"/>
          <w:szCs w:val="22"/>
        </w:rPr>
        <w:t>Thank You Letter for Survey Participants in Spanish</w:t>
      </w:r>
      <w:bookmarkEnd w:id="13"/>
    </w:p>
    <w:p w:rsidRPr="009C1F57" w:rsidR="009017E7" w:rsidP="009C1F57" w:rsidRDefault="009017E7" w14:paraId="5768F104" w14:textId="750247E6">
      <w:pPr>
        <w:pStyle w:val="TOCListText-IPR"/>
        <w:spacing w:after="48" w:afterLines="20"/>
        <w:rPr>
          <w:rFonts w:asciiTheme="minorHAnsi" w:hAnsiTheme="minorHAnsi" w:cstheme="minorHAnsi"/>
          <w:sz w:val="22"/>
          <w:szCs w:val="22"/>
        </w:rPr>
      </w:pPr>
      <w:r w:rsidRPr="009C1F57">
        <w:rPr>
          <w:rFonts w:asciiTheme="minorHAnsi" w:hAnsiTheme="minorHAnsi" w:cstheme="minorHAnsi"/>
          <w:sz w:val="22"/>
          <w:szCs w:val="22"/>
        </w:rPr>
        <w:t>H. Use of Incentives</w:t>
      </w:r>
    </w:p>
    <w:p w:rsidRPr="009C1F57" w:rsidR="009017E7" w:rsidP="009C1F57" w:rsidRDefault="009017E7" w14:paraId="28853152" w14:textId="2DA69FCA">
      <w:pPr>
        <w:pStyle w:val="TOCListText-IPR"/>
        <w:spacing w:after="48" w:afterLines="20"/>
        <w:rPr>
          <w:rFonts w:asciiTheme="minorHAnsi" w:hAnsiTheme="minorHAnsi" w:cstheme="minorHAnsi"/>
          <w:sz w:val="22"/>
          <w:szCs w:val="22"/>
        </w:rPr>
      </w:pPr>
      <w:r w:rsidRPr="009C1F57">
        <w:rPr>
          <w:rFonts w:asciiTheme="minorHAnsi" w:hAnsiTheme="minorHAnsi" w:cstheme="minorHAnsi"/>
          <w:sz w:val="22"/>
          <w:szCs w:val="22"/>
        </w:rPr>
        <w:t>I.1. Voicemail Script for In-Depth Interview Recruitment in English</w:t>
      </w:r>
    </w:p>
    <w:p w:rsidRPr="009C1F57" w:rsidR="009017E7" w:rsidP="009C1F57" w:rsidRDefault="009017E7" w14:paraId="18C1DCA0" w14:textId="6C4CDE8C">
      <w:pPr>
        <w:pStyle w:val="TOCListText-IPR"/>
        <w:spacing w:after="48" w:afterLines="20"/>
        <w:rPr>
          <w:rFonts w:asciiTheme="minorHAnsi" w:hAnsiTheme="minorHAnsi" w:cstheme="minorHAnsi"/>
          <w:sz w:val="22"/>
          <w:szCs w:val="22"/>
        </w:rPr>
      </w:pPr>
      <w:r w:rsidRPr="009C1F57">
        <w:rPr>
          <w:rFonts w:asciiTheme="minorHAnsi" w:hAnsiTheme="minorHAnsi" w:cstheme="minorHAnsi"/>
          <w:sz w:val="22"/>
          <w:szCs w:val="22"/>
        </w:rPr>
        <w:t>I.</w:t>
      </w:r>
      <w:r w:rsidRPr="009C1F57" w:rsidR="00AB0809">
        <w:rPr>
          <w:rFonts w:asciiTheme="minorHAnsi" w:hAnsiTheme="minorHAnsi" w:cstheme="minorHAnsi"/>
          <w:sz w:val="22"/>
          <w:szCs w:val="22"/>
        </w:rPr>
        <w:t>2.</w:t>
      </w:r>
      <w:r w:rsidRPr="009C1F57">
        <w:rPr>
          <w:rFonts w:asciiTheme="minorHAnsi" w:hAnsiTheme="minorHAnsi" w:cstheme="minorHAnsi"/>
          <w:sz w:val="22"/>
          <w:szCs w:val="22"/>
        </w:rPr>
        <w:t xml:space="preserve"> Script for Answered Call in English</w:t>
      </w:r>
    </w:p>
    <w:p w:rsidRPr="009C1F57" w:rsidR="009017E7" w:rsidP="009C1F57" w:rsidRDefault="009017E7" w14:paraId="6039A4B0" w14:textId="5C029CB7">
      <w:pPr>
        <w:pStyle w:val="TOCListText-IPR"/>
        <w:spacing w:after="48" w:afterLines="20"/>
        <w:rPr>
          <w:rFonts w:asciiTheme="minorHAnsi" w:hAnsiTheme="minorHAnsi" w:cstheme="minorHAnsi"/>
          <w:sz w:val="22"/>
          <w:szCs w:val="22"/>
        </w:rPr>
      </w:pPr>
      <w:r w:rsidRPr="009C1F57">
        <w:rPr>
          <w:rFonts w:asciiTheme="minorHAnsi" w:hAnsiTheme="minorHAnsi" w:cstheme="minorHAnsi"/>
          <w:sz w:val="22"/>
          <w:szCs w:val="22"/>
        </w:rPr>
        <w:t>I.</w:t>
      </w:r>
      <w:r w:rsidRPr="009C1F57" w:rsidR="00AB0809">
        <w:rPr>
          <w:rFonts w:asciiTheme="minorHAnsi" w:hAnsiTheme="minorHAnsi" w:cstheme="minorHAnsi"/>
          <w:sz w:val="22"/>
          <w:szCs w:val="22"/>
        </w:rPr>
        <w:t>3.</w:t>
      </w:r>
      <w:r w:rsidRPr="009C1F57">
        <w:rPr>
          <w:rFonts w:asciiTheme="minorHAnsi" w:hAnsiTheme="minorHAnsi" w:cstheme="minorHAnsi"/>
          <w:sz w:val="22"/>
          <w:szCs w:val="22"/>
        </w:rPr>
        <w:t xml:space="preserve"> Study Announcement for Local Community Partners in English</w:t>
      </w:r>
    </w:p>
    <w:p w:rsidRPr="009C1F57" w:rsidR="009017E7" w:rsidP="009C1F57" w:rsidRDefault="009017E7" w14:paraId="4610109B" w14:textId="03CCB4A7">
      <w:pPr>
        <w:pStyle w:val="TOCListText-IPR"/>
        <w:spacing w:after="48" w:afterLines="20"/>
        <w:rPr>
          <w:rFonts w:asciiTheme="minorHAnsi" w:hAnsiTheme="minorHAnsi" w:cstheme="minorHAnsi"/>
          <w:sz w:val="22"/>
          <w:szCs w:val="22"/>
        </w:rPr>
      </w:pPr>
      <w:r w:rsidRPr="009C1F57">
        <w:rPr>
          <w:rFonts w:asciiTheme="minorHAnsi" w:hAnsiTheme="minorHAnsi" w:cstheme="minorHAnsi"/>
          <w:sz w:val="22"/>
          <w:szCs w:val="22"/>
        </w:rPr>
        <w:t>I.</w:t>
      </w:r>
      <w:r w:rsidRPr="009C1F57" w:rsidR="00AB0809">
        <w:rPr>
          <w:rFonts w:asciiTheme="minorHAnsi" w:hAnsiTheme="minorHAnsi" w:cstheme="minorHAnsi"/>
          <w:sz w:val="22"/>
          <w:szCs w:val="22"/>
        </w:rPr>
        <w:t>4.</w:t>
      </w:r>
      <w:r w:rsidRPr="009C1F57">
        <w:rPr>
          <w:rFonts w:asciiTheme="minorHAnsi" w:hAnsiTheme="minorHAnsi" w:cstheme="minorHAnsi"/>
          <w:sz w:val="22"/>
          <w:szCs w:val="22"/>
        </w:rPr>
        <w:t xml:space="preserve"> Voicemail Script for In-Depth Interview Recruitment in Spanish</w:t>
      </w:r>
    </w:p>
    <w:p w:rsidRPr="009C1F57" w:rsidR="009017E7" w:rsidP="009C1F57" w:rsidRDefault="009017E7" w14:paraId="7159E99D" w14:textId="5F3B1F0B">
      <w:pPr>
        <w:pStyle w:val="TOCListText-IPR"/>
        <w:spacing w:after="48" w:afterLines="20"/>
        <w:rPr>
          <w:rFonts w:asciiTheme="minorHAnsi" w:hAnsiTheme="minorHAnsi" w:cstheme="minorHAnsi"/>
          <w:sz w:val="22"/>
          <w:szCs w:val="22"/>
        </w:rPr>
      </w:pPr>
      <w:r w:rsidRPr="009C1F57">
        <w:rPr>
          <w:rFonts w:asciiTheme="minorHAnsi" w:hAnsiTheme="minorHAnsi" w:cstheme="minorHAnsi"/>
          <w:sz w:val="22"/>
          <w:szCs w:val="22"/>
        </w:rPr>
        <w:t>I.</w:t>
      </w:r>
      <w:r w:rsidRPr="009C1F57" w:rsidR="00AB0809">
        <w:rPr>
          <w:rFonts w:asciiTheme="minorHAnsi" w:hAnsiTheme="minorHAnsi" w:cstheme="minorHAnsi"/>
          <w:sz w:val="22"/>
          <w:szCs w:val="22"/>
        </w:rPr>
        <w:t>5.</w:t>
      </w:r>
      <w:r w:rsidRPr="009C1F57">
        <w:rPr>
          <w:rFonts w:asciiTheme="minorHAnsi" w:hAnsiTheme="minorHAnsi" w:cstheme="minorHAnsi"/>
          <w:sz w:val="22"/>
          <w:szCs w:val="22"/>
        </w:rPr>
        <w:t xml:space="preserve"> Script for Answered Call in Spanish</w:t>
      </w:r>
    </w:p>
    <w:p w:rsidRPr="009C1F57" w:rsidR="009017E7" w:rsidP="009C1F57" w:rsidRDefault="009017E7" w14:paraId="21642E0A" w14:textId="7A22C18F">
      <w:pPr>
        <w:pStyle w:val="TOCListText-IPR"/>
        <w:spacing w:after="48" w:afterLines="20"/>
        <w:rPr>
          <w:rFonts w:asciiTheme="minorHAnsi" w:hAnsiTheme="minorHAnsi" w:cstheme="minorHAnsi"/>
          <w:sz w:val="22"/>
          <w:szCs w:val="22"/>
        </w:rPr>
      </w:pPr>
      <w:r w:rsidRPr="009C1F57">
        <w:rPr>
          <w:rFonts w:asciiTheme="minorHAnsi" w:hAnsiTheme="minorHAnsi" w:cstheme="minorHAnsi"/>
          <w:sz w:val="22"/>
          <w:szCs w:val="22"/>
        </w:rPr>
        <w:t>I.</w:t>
      </w:r>
      <w:r w:rsidRPr="009C1F57" w:rsidR="00AB0809">
        <w:rPr>
          <w:rFonts w:asciiTheme="minorHAnsi" w:hAnsiTheme="minorHAnsi" w:cstheme="minorHAnsi"/>
          <w:sz w:val="22"/>
          <w:szCs w:val="22"/>
        </w:rPr>
        <w:t>6.</w:t>
      </w:r>
      <w:r w:rsidRPr="009C1F57">
        <w:rPr>
          <w:rFonts w:asciiTheme="minorHAnsi" w:hAnsiTheme="minorHAnsi" w:cstheme="minorHAnsi"/>
          <w:sz w:val="22"/>
          <w:szCs w:val="22"/>
        </w:rPr>
        <w:t xml:space="preserve"> Study Announcement for Local Community Partners in Spanish</w:t>
      </w:r>
    </w:p>
    <w:p w:rsidRPr="009C1F57" w:rsidR="009017E7" w:rsidP="009C1F57" w:rsidRDefault="009017E7" w14:paraId="0B441F05" w14:textId="0D39A6EF">
      <w:pPr>
        <w:pStyle w:val="TOCListText-IPR"/>
        <w:spacing w:after="48" w:afterLines="20"/>
        <w:rPr>
          <w:rFonts w:asciiTheme="minorHAnsi" w:hAnsiTheme="minorHAnsi" w:cstheme="minorHAnsi"/>
          <w:sz w:val="22"/>
          <w:szCs w:val="22"/>
        </w:rPr>
      </w:pPr>
      <w:r w:rsidRPr="009C1F57">
        <w:rPr>
          <w:rFonts w:asciiTheme="minorHAnsi" w:hAnsiTheme="minorHAnsi" w:cstheme="minorHAnsi"/>
          <w:sz w:val="22"/>
          <w:szCs w:val="22"/>
        </w:rPr>
        <w:t>J.1</w:t>
      </w:r>
      <w:r w:rsidRPr="009C1F57" w:rsidR="00AB0809">
        <w:rPr>
          <w:rFonts w:asciiTheme="minorHAnsi" w:hAnsiTheme="minorHAnsi" w:cstheme="minorHAnsi"/>
          <w:sz w:val="22"/>
          <w:szCs w:val="22"/>
        </w:rPr>
        <w:t>.</w:t>
      </w:r>
      <w:r w:rsidRPr="009C1F57">
        <w:rPr>
          <w:rFonts w:asciiTheme="minorHAnsi" w:hAnsiTheme="minorHAnsi" w:cstheme="minorHAnsi"/>
          <w:sz w:val="22"/>
          <w:szCs w:val="22"/>
        </w:rPr>
        <w:t xml:space="preserve"> Email to ADSEF</w:t>
      </w:r>
    </w:p>
    <w:p w:rsidRPr="009C1F57" w:rsidR="009017E7" w:rsidP="009C1F57" w:rsidRDefault="009017E7" w14:paraId="4F66AF8C" w14:textId="4BB6A478">
      <w:pPr>
        <w:pStyle w:val="TOCListText-IPR"/>
        <w:spacing w:after="48" w:afterLines="20"/>
        <w:rPr>
          <w:rFonts w:asciiTheme="minorHAnsi" w:hAnsiTheme="minorHAnsi" w:cstheme="minorHAnsi"/>
          <w:sz w:val="22"/>
          <w:szCs w:val="22"/>
        </w:rPr>
      </w:pPr>
      <w:r w:rsidRPr="009C1F57">
        <w:rPr>
          <w:rFonts w:asciiTheme="minorHAnsi" w:hAnsiTheme="minorHAnsi" w:cstheme="minorHAnsi"/>
          <w:sz w:val="22"/>
          <w:szCs w:val="22"/>
        </w:rPr>
        <w:t>J.2</w:t>
      </w:r>
      <w:r w:rsidRPr="009C1F57" w:rsidR="00AB0809">
        <w:rPr>
          <w:rFonts w:asciiTheme="minorHAnsi" w:hAnsiTheme="minorHAnsi" w:cstheme="minorHAnsi"/>
          <w:sz w:val="22"/>
          <w:szCs w:val="22"/>
        </w:rPr>
        <w:t>.</w:t>
      </w:r>
      <w:r w:rsidRPr="009C1F57">
        <w:rPr>
          <w:rFonts w:asciiTheme="minorHAnsi" w:hAnsiTheme="minorHAnsi" w:cstheme="minorHAnsi"/>
          <w:sz w:val="22"/>
          <w:szCs w:val="22"/>
        </w:rPr>
        <w:t xml:space="preserve"> Agenda for Meeting With ADSEF</w:t>
      </w:r>
    </w:p>
    <w:p w:rsidRPr="009C1F57" w:rsidR="009017E7" w:rsidP="009C1F57" w:rsidRDefault="009017E7" w14:paraId="3169788F" w14:textId="7177FBBF">
      <w:pPr>
        <w:pStyle w:val="TOCListText-IPR"/>
        <w:spacing w:after="48" w:afterLines="20"/>
        <w:rPr>
          <w:rFonts w:asciiTheme="minorHAnsi" w:hAnsiTheme="minorHAnsi" w:cstheme="minorHAnsi"/>
          <w:sz w:val="22"/>
          <w:szCs w:val="22"/>
        </w:rPr>
      </w:pPr>
      <w:r w:rsidRPr="009C1F57">
        <w:rPr>
          <w:rFonts w:asciiTheme="minorHAnsi" w:hAnsiTheme="minorHAnsi" w:cstheme="minorHAnsi"/>
          <w:sz w:val="22"/>
          <w:szCs w:val="22"/>
        </w:rPr>
        <w:lastRenderedPageBreak/>
        <w:t>J.3</w:t>
      </w:r>
      <w:r w:rsidRPr="009C1F57" w:rsidR="00AB0809">
        <w:rPr>
          <w:rFonts w:asciiTheme="minorHAnsi" w:hAnsiTheme="minorHAnsi" w:cstheme="minorHAnsi"/>
          <w:sz w:val="22"/>
          <w:szCs w:val="22"/>
        </w:rPr>
        <w:t>.</w:t>
      </w:r>
      <w:r w:rsidRPr="009C1F57">
        <w:rPr>
          <w:rFonts w:asciiTheme="minorHAnsi" w:hAnsiTheme="minorHAnsi" w:cstheme="minorHAnsi"/>
          <w:sz w:val="22"/>
          <w:szCs w:val="22"/>
        </w:rPr>
        <w:t xml:space="preserve"> Instructions for Using SFTP Site</w:t>
      </w:r>
    </w:p>
    <w:p w:rsidR="002452FC" w:rsidP="002452FC" w:rsidRDefault="009017E7" w14:paraId="3D3BCFC8" w14:textId="5850B4ED">
      <w:pPr>
        <w:pStyle w:val="TOCListText-IPR"/>
        <w:spacing w:after="48" w:afterLines="20"/>
        <w:rPr>
          <w:rFonts w:asciiTheme="minorHAnsi" w:hAnsiTheme="minorHAnsi" w:cstheme="minorHAnsi"/>
          <w:sz w:val="22"/>
          <w:szCs w:val="22"/>
        </w:rPr>
      </w:pPr>
      <w:r w:rsidRPr="009C1F57">
        <w:rPr>
          <w:rFonts w:asciiTheme="minorHAnsi" w:hAnsiTheme="minorHAnsi" w:cstheme="minorHAnsi"/>
          <w:sz w:val="22"/>
          <w:szCs w:val="22"/>
        </w:rPr>
        <w:t>K.</w:t>
      </w:r>
      <w:bookmarkStart w:name="_Hlk83984957" w:id="14"/>
      <w:r w:rsidR="002452FC">
        <w:rPr>
          <w:rFonts w:asciiTheme="minorHAnsi" w:hAnsiTheme="minorHAnsi" w:cstheme="minorHAnsi"/>
          <w:sz w:val="22"/>
          <w:szCs w:val="22"/>
        </w:rPr>
        <w:t>1</w:t>
      </w:r>
      <w:r w:rsidRPr="00916A68" w:rsidR="002452FC">
        <w:rPr>
          <w:rFonts w:asciiTheme="minorHAnsi" w:hAnsiTheme="minorHAnsi" w:cstheme="minorHAnsi"/>
          <w:sz w:val="22"/>
          <w:szCs w:val="22"/>
        </w:rPr>
        <w:t xml:space="preserve"> </w:t>
      </w:r>
      <w:r w:rsidRPr="0079317C" w:rsidR="002452FC">
        <w:rPr>
          <w:rFonts w:asciiTheme="minorHAnsi" w:hAnsiTheme="minorHAnsi" w:cstheme="minorHAnsi"/>
          <w:sz w:val="22"/>
          <w:szCs w:val="22"/>
        </w:rPr>
        <w:t>Recruitment Email for Concept Map Stakeholder Groups</w:t>
      </w:r>
    </w:p>
    <w:p w:rsidRPr="00916A68" w:rsidR="002452FC" w:rsidP="002452FC" w:rsidRDefault="002452FC" w14:paraId="3A9F0C64" w14:textId="77777777">
      <w:pPr>
        <w:pStyle w:val="TOCListText-IPR"/>
        <w:spacing w:after="48" w:afterLines="20"/>
        <w:rPr>
          <w:rFonts w:asciiTheme="minorHAnsi" w:hAnsiTheme="minorHAnsi" w:cstheme="minorHAnsi"/>
          <w:sz w:val="22"/>
          <w:szCs w:val="22"/>
        </w:rPr>
      </w:pPr>
      <w:r>
        <w:rPr>
          <w:rFonts w:asciiTheme="minorHAnsi" w:hAnsiTheme="minorHAnsi" w:cstheme="minorHAnsi"/>
          <w:sz w:val="22"/>
          <w:szCs w:val="22"/>
        </w:rPr>
        <w:t xml:space="preserve">K.2 </w:t>
      </w:r>
      <w:r w:rsidRPr="0079317C">
        <w:rPr>
          <w:rFonts w:asciiTheme="minorHAnsi" w:hAnsiTheme="minorHAnsi" w:cstheme="minorHAnsi"/>
          <w:sz w:val="22"/>
          <w:szCs w:val="22"/>
        </w:rPr>
        <w:t>Concept Mapping Informed Consent Form</w:t>
      </w:r>
    </w:p>
    <w:bookmarkEnd w:id="14"/>
    <w:p w:rsidRPr="009C1F57" w:rsidR="009017E7" w:rsidP="009C1F57" w:rsidRDefault="009017E7" w14:paraId="3C9630D1" w14:textId="1645FA41">
      <w:pPr>
        <w:pStyle w:val="TOCListText-IPR"/>
        <w:spacing w:after="48" w:afterLines="20"/>
        <w:rPr>
          <w:rFonts w:asciiTheme="minorHAnsi" w:hAnsiTheme="minorHAnsi" w:cstheme="minorHAnsi"/>
          <w:sz w:val="22"/>
          <w:szCs w:val="22"/>
        </w:rPr>
      </w:pPr>
      <w:r w:rsidRPr="009C1F57">
        <w:rPr>
          <w:rFonts w:asciiTheme="minorHAnsi" w:hAnsiTheme="minorHAnsi" w:cstheme="minorHAnsi"/>
          <w:sz w:val="22"/>
          <w:szCs w:val="22"/>
        </w:rPr>
        <w:t>L. 60-day Federal Register Notice</w:t>
      </w:r>
    </w:p>
    <w:p w:rsidRPr="009C1F57" w:rsidR="009017E7" w:rsidP="009C1F57" w:rsidRDefault="009017E7" w14:paraId="68DB97B7" w14:textId="159E3A8D">
      <w:pPr>
        <w:pStyle w:val="TOCListText-IPR"/>
        <w:spacing w:after="48" w:afterLines="20"/>
        <w:rPr>
          <w:rFonts w:asciiTheme="minorHAnsi" w:hAnsiTheme="minorHAnsi" w:cstheme="minorHAnsi"/>
          <w:sz w:val="22"/>
          <w:szCs w:val="22"/>
        </w:rPr>
      </w:pPr>
      <w:r w:rsidRPr="009C1F57">
        <w:rPr>
          <w:rFonts w:asciiTheme="minorHAnsi" w:hAnsiTheme="minorHAnsi" w:cstheme="minorHAnsi"/>
          <w:sz w:val="22"/>
          <w:szCs w:val="22"/>
        </w:rPr>
        <w:t>M. Comments from TWG and FNS responses</w:t>
      </w:r>
    </w:p>
    <w:p w:rsidRPr="009C1F57" w:rsidR="009017E7" w:rsidP="009C1F57" w:rsidRDefault="009017E7" w14:paraId="14A337AC" w14:textId="4B7641E6">
      <w:pPr>
        <w:pStyle w:val="TOCListText-IPR"/>
        <w:spacing w:after="48" w:afterLines="20"/>
        <w:rPr>
          <w:rFonts w:asciiTheme="minorHAnsi" w:hAnsiTheme="minorHAnsi" w:cstheme="minorHAnsi"/>
          <w:sz w:val="22"/>
          <w:szCs w:val="22"/>
        </w:rPr>
      </w:pPr>
      <w:r w:rsidRPr="009C1F57">
        <w:rPr>
          <w:rFonts w:asciiTheme="minorHAnsi" w:hAnsiTheme="minorHAnsi" w:cstheme="minorHAnsi"/>
          <w:sz w:val="22"/>
          <w:szCs w:val="22"/>
        </w:rPr>
        <w:t>N. NASS Comments</w:t>
      </w:r>
      <w:r w:rsidR="002D0017">
        <w:rPr>
          <w:rFonts w:asciiTheme="minorHAnsi" w:hAnsiTheme="minorHAnsi" w:cstheme="minorHAnsi"/>
          <w:sz w:val="22"/>
          <w:szCs w:val="22"/>
        </w:rPr>
        <w:t xml:space="preserve"> and FNS Responses</w:t>
      </w:r>
    </w:p>
    <w:p w:rsidRPr="009C1F57" w:rsidR="009017E7" w:rsidP="009C1F57" w:rsidRDefault="009017E7" w14:paraId="6BDCE7C9" w14:textId="0C6D0D66">
      <w:pPr>
        <w:pStyle w:val="TOCListText-IPR"/>
        <w:spacing w:after="48" w:afterLines="20"/>
        <w:rPr>
          <w:rFonts w:asciiTheme="minorHAnsi" w:hAnsiTheme="minorHAnsi" w:cstheme="minorHAnsi"/>
          <w:sz w:val="22"/>
          <w:szCs w:val="22"/>
        </w:rPr>
      </w:pPr>
      <w:r w:rsidRPr="009C1F57">
        <w:rPr>
          <w:rFonts w:asciiTheme="minorHAnsi" w:hAnsiTheme="minorHAnsi" w:cstheme="minorHAnsi"/>
          <w:sz w:val="22"/>
          <w:szCs w:val="22"/>
        </w:rPr>
        <w:t>O. Pretest Methods and Summary of Findings</w:t>
      </w:r>
    </w:p>
    <w:p w:rsidRPr="009C1F57" w:rsidR="009017E7" w:rsidP="009C1F57" w:rsidRDefault="009017E7" w14:paraId="7E47F60B" w14:textId="35954EC7">
      <w:pPr>
        <w:pStyle w:val="TOCListText-IPR"/>
        <w:spacing w:after="48" w:afterLines="20"/>
        <w:rPr>
          <w:rFonts w:asciiTheme="minorHAnsi" w:hAnsiTheme="minorHAnsi" w:cstheme="minorHAnsi"/>
          <w:sz w:val="22"/>
          <w:szCs w:val="22"/>
        </w:rPr>
      </w:pPr>
      <w:r w:rsidRPr="009C1F57">
        <w:rPr>
          <w:rFonts w:asciiTheme="minorHAnsi" w:hAnsiTheme="minorHAnsi" w:cstheme="minorHAnsi"/>
          <w:sz w:val="22"/>
          <w:szCs w:val="22"/>
        </w:rPr>
        <w:t>P.1</w:t>
      </w:r>
      <w:r w:rsidRPr="009C1F57" w:rsidR="00AB0809">
        <w:rPr>
          <w:rFonts w:asciiTheme="minorHAnsi" w:hAnsiTheme="minorHAnsi" w:cstheme="minorHAnsi"/>
          <w:sz w:val="22"/>
          <w:szCs w:val="22"/>
        </w:rPr>
        <w:t>.</w:t>
      </w:r>
      <w:r w:rsidRPr="009C1F57">
        <w:rPr>
          <w:rFonts w:asciiTheme="minorHAnsi" w:hAnsiTheme="minorHAnsi" w:cstheme="minorHAnsi"/>
          <w:sz w:val="22"/>
          <w:szCs w:val="22"/>
        </w:rPr>
        <w:t xml:space="preserve"> </w:t>
      </w:r>
      <w:r w:rsidRPr="009C1F57" w:rsidR="00AB0809">
        <w:rPr>
          <w:rFonts w:asciiTheme="minorHAnsi" w:hAnsiTheme="minorHAnsi" w:cstheme="minorHAnsi"/>
          <w:sz w:val="22"/>
          <w:szCs w:val="22"/>
        </w:rPr>
        <w:t xml:space="preserve">System of Records Notices </w:t>
      </w:r>
      <w:r w:rsidRPr="009C1F57">
        <w:rPr>
          <w:rFonts w:asciiTheme="minorHAnsi" w:hAnsiTheme="minorHAnsi" w:cstheme="minorHAnsi"/>
          <w:sz w:val="22"/>
          <w:szCs w:val="22"/>
        </w:rPr>
        <w:t>FNS-8 USDA Studies and Reports</w:t>
      </w:r>
    </w:p>
    <w:p w:rsidRPr="009C1F57" w:rsidR="009017E7" w:rsidP="009C1F57" w:rsidRDefault="009017E7" w14:paraId="29B6F6A3" w14:textId="7E672811">
      <w:pPr>
        <w:pStyle w:val="TOCListText-IPR"/>
        <w:spacing w:after="48" w:afterLines="20"/>
        <w:rPr>
          <w:rFonts w:asciiTheme="minorHAnsi" w:hAnsiTheme="minorHAnsi" w:cstheme="minorHAnsi"/>
          <w:sz w:val="22"/>
          <w:szCs w:val="22"/>
        </w:rPr>
      </w:pPr>
      <w:r w:rsidRPr="009C1F57">
        <w:rPr>
          <w:rFonts w:asciiTheme="minorHAnsi" w:hAnsiTheme="minorHAnsi" w:cstheme="minorHAnsi"/>
          <w:sz w:val="22"/>
          <w:szCs w:val="22"/>
        </w:rPr>
        <w:t>P.2</w:t>
      </w:r>
      <w:r w:rsidRPr="009C1F57" w:rsidR="00AB0809">
        <w:rPr>
          <w:rFonts w:asciiTheme="minorHAnsi" w:hAnsiTheme="minorHAnsi" w:cstheme="minorHAnsi"/>
          <w:sz w:val="22"/>
          <w:szCs w:val="22"/>
        </w:rPr>
        <w:t>.</w:t>
      </w:r>
      <w:r w:rsidRPr="009C1F57">
        <w:rPr>
          <w:rFonts w:asciiTheme="minorHAnsi" w:hAnsiTheme="minorHAnsi" w:cstheme="minorHAnsi"/>
          <w:sz w:val="22"/>
          <w:szCs w:val="22"/>
        </w:rPr>
        <w:t xml:space="preserve"> </w:t>
      </w:r>
      <w:r w:rsidRPr="009C1F57" w:rsidR="00AB0809">
        <w:rPr>
          <w:rFonts w:asciiTheme="minorHAnsi" w:hAnsiTheme="minorHAnsi" w:cstheme="minorHAnsi"/>
          <w:sz w:val="22"/>
          <w:szCs w:val="22"/>
        </w:rPr>
        <w:t xml:space="preserve">System of Records Notices </w:t>
      </w:r>
      <w:r w:rsidRPr="009C1F57">
        <w:rPr>
          <w:rFonts w:asciiTheme="minorHAnsi" w:hAnsiTheme="minorHAnsi" w:cstheme="minorHAnsi"/>
          <w:sz w:val="22"/>
          <w:szCs w:val="22"/>
        </w:rPr>
        <w:t>FNS-10 Persons Doing Business With the Food and Nutrition Service</w:t>
      </w:r>
    </w:p>
    <w:p w:rsidRPr="009C1F57" w:rsidR="00821AB2" w:rsidP="009C1F57" w:rsidRDefault="00821AB2" w14:paraId="2E30C3F5" w14:textId="1A14A694">
      <w:pPr>
        <w:pStyle w:val="TOCListText-IPR"/>
        <w:spacing w:after="48" w:afterLines="20"/>
        <w:rPr>
          <w:rFonts w:asciiTheme="minorHAnsi" w:hAnsiTheme="minorHAnsi" w:cstheme="minorHAnsi"/>
          <w:szCs w:val="22"/>
        </w:rPr>
      </w:pPr>
      <w:r w:rsidRPr="009C1F57">
        <w:rPr>
          <w:rFonts w:asciiTheme="minorHAnsi" w:hAnsiTheme="minorHAnsi" w:cstheme="minorHAnsi"/>
          <w:sz w:val="22"/>
          <w:szCs w:val="22"/>
        </w:rPr>
        <w:t>Q. Privacy Office Comments</w:t>
      </w:r>
      <w:r w:rsidR="002D0017">
        <w:rPr>
          <w:rFonts w:asciiTheme="minorHAnsi" w:hAnsiTheme="minorHAnsi" w:cstheme="minorHAnsi"/>
          <w:sz w:val="22"/>
          <w:szCs w:val="22"/>
        </w:rPr>
        <w:t xml:space="preserve"> and FNS Responses</w:t>
      </w:r>
    </w:p>
    <w:p w:rsidRPr="009C1F57" w:rsidR="009017E7" w:rsidP="009C1F57" w:rsidRDefault="009017E7" w14:paraId="5DEA6172" w14:textId="41CC0416">
      <w:pPr>
        <w:pStyle w:val="TOCListText-IPR"/>
        <w:spacing w:after="48" w:afterLines="20"/>
        <w:rPr>
          <w:rFonts w:asciiTheme="minorHAnsi" w:hAnsiTheme="minorHAnsi" w:cstheme="minorHAnsi"/>
          <w:sz w:val="22"/>
          <w:szCs w:val="22"/>
        </w:rPr>
      </w:pPr>
      <w:r w:rsidRPr="009C1F57">
        <w:rPr>
          <w:rFonts w:asciiTheme="minorHAnsi" w:hAnsiTheme="minorHAnsi" w:cstheme="minorHAnsi"/>
          <w:sz w:val="22"/>
          <w:szCs w:val="22"/>
        </w:rPr>
        <w:t>R.</w:t>
      </w:r>
      <w:r w:rsidRPr="009C1F57" w:rsidR="00BE09E4">
        <w:rPr>
          <w:rFonts w:asciiTheme="minorHAnsi" w:hAnsiTheme="minorHAnsi" w:cstheme="minorHAnsi"/>
          <w:sz w:val="22"/>
          <w:szCs w:val="22"/>
        </w:rPr>
        <w:t xml:space="preserve"> </w:t>
      </w:r>
      <w:r w:rsidRPr="009C1F57">
        <w:rPr>
          <w:rFonts w:asciiTheme="minorHAnsi" w:hAnsiTheme="minorHAnsi" w:cstheme="minorHAnsi"/>
          <w:sz w:val="22"/>
          <w:szCs w:val="22"/>
        </w:rPr>
        <w:t>Institutional Review Board Approval Letter</w:t>
      </w:r>
    </w:p>
    <w:p w:rsidRPr="009C1F57" w:rsidR="009017E7" w:rsidP="009C1F57" w:rsidRDefault="009017E7" w14:paraId="03A947D5" w14:textId="4AC59D6D">
      <w:pPr>
        <w:pStyle w:val="TOCListText-IPR"/>
        <w:spacing w:after="48" w:afterLines="20"/>
        <w:rPr>
          <w:rFonts w:asciiTheme="minorHAnsi" w:hAnsiTheme="minorHAnsi" w:cstheme="minorHAnsi"/>
          <w:sz w:val="22"/>
          <w:szCs w:val="22"/>
        </w:rPr>
      </w:pPr>
      <w:r w:rsidRPr="009C1F57">
        <w:rPr>
          <w:rFonts w:asciiTheme="minorHAnsi" w:hAnsiTheme="minorHAnsi" w:cstheme="minorHAnsi"/>
          <w:sz w:val="22"/>
          <w:szCs w:val="22"/>
        </w:rPr>
        <w:t>S.</w:t>
      </w:r>
      <w:r w:rsidRPr="009C1F57" w:rsidR="00BE09E4">
        <w:rPr>
          <w:rFonts w:asciiTheme="minorHAnsi" w:hAnsiTheme="minorHAnsi" w:cstheme="minorHAnsi"/>
          <w:sz w:val="22"/>
          <w:szCs w:val="22"/>
        </w:rPr>
        <w:t xml:space="preserve"> </w:t>
      </w:r>
      <w:r w:rsidRPr="009C1F57">
        <w:rPr>
          <w:rFonts w:asciiTheme="minorHAnsi" w:hAnsiTheme="minorHAnsi" w:cstheme="minorHAnsi"/>
          <w:sz w:val="22"/>
          <w:szCs w:val="22"/>
        </w:rPr>
        <w:t>Insight Policy Research Information Security and Confidentiality Pledge</w:t>
      </w:r>
    </w:p>
    <w:p w:rsidRPr="009C1F57" w:rsidR="009017E7" w:rsidP="009C1F57" w:rsidRDefault="009017E7" w14:paraId="10355BB2" w14:textId="1A354BD9">
      <w:pPr>
        <w:pStyle w:val="TOCListText-IPR"/>
        <w:spacing w:after="48" w:afterLines="20"/>
        <w:rPr>
          <w:rFonts w:asciiTheme="minorHAnsi" w:hAnsiTheme="minorHAnsi" w:cstheme="minorHAnsi"/>
          <w:b/>
          <w:caps/>
          <w:sz w:val="22"/>
          <w:szCs w:val="22"/>
        </w:rPr>
      </w:pPr>
      <w:r w:rsidRPr="009C1F57">
        <w:rPr>
          <w:rFonts w:asciiTheme="minorHAnsi" w:hAnsiTheme="minorHAnsi" w:cstheme="minorHAnsi"/>
          <w:sz w:val="22"/>
          <w:szCs w:val="22"/>
        </w:rPr>
        <w:t>T.</w:t>
      </w:r>
      <w:r w:rsidRPr="009C1F57" w:rsidR="00BE09E4">
        <w:rPr>
          <w:rFonts w:asciiTheme="minorHAnsi" w:hAnsiTheme="minorHAnsi" w:cstheme="minorHAnsi"/>
          <w:sz w:val="22"/>
          <w:szCs w:val="22"/>
        </w:rPr>
        <w:t xml:space="preserve"> </w:t>
      </w:r>
      <w:r w:rsidRPr="009C1F57">
        <w:rPr>
          <w:rFonts w:asciiTheme="minorHAnsi" w:hAnsiTheme="minorHAnsi" w:cstheme="minorHAnsi"/>
          <w:sz w:val="22"/>
          <w:szCs w:val="22"/>
        </w:rPr>
        <w:t>Total Public Burden Hours and Cost</w:t>
      </w:r>
    </w:p>
    <w:bookmarkEnd w:id="1"/>
    <w:p w:rsidRPr="009017E7" w:rsidR="009017E7" w:rsidP="009017E7" w:rsidRDefault="009017E7" w14:paraId="6A0B80AC" w14:textId="77777777">
      <w:pPr>
        <w:keepNext/>
        <w:spacing w:after="240" w:line="480" w:lineRule="auto"/>
        <w:ind w:left="720" w:hanging="720"/>
        <w:outlineLvl w:val="1"/>
        <w:rPr>
          <w:rFonts w:ascii="Candara" w:hAnsi="Candara" w:eastAsia="Calibri" w:cs="Arial"/>
          <w:b/>
          <w:color w:val="B32732"/>
          <w:sz w:val="22"/>
          <w:szCs w:val="22"/>
        </w:rPr>
        <w:sectPr w:rsidRPr="009017E7" w:rsidR="009017E7" w:rsidSect="00AE3AA1">
          <w:headerReference w:type="default" r:id="rId10"/>
          <w:footerReference w:type="default" r:id="rId11"/>
          <w:pgSz w:w="12240" w:h="15840" w:code="1"/>
          <w:pgMar w:top="1440" w:right="1440" w:bottom="864" w:left="1440" w:header="720" w:footer="720" w:gutter="0"/>
          <w:pgNumType w:start="1"/>
          <w:cols w:space="720"/>
          <w:docGrid w:linePitch="360"/>
        </w:sectPr>
      </w:pPr>
    </w:p>
    <w:p w:rsidRPr="00960E81" w:rsidR="00641B88" w:rsidP="00960E81" w:rsidRDefault="00641B88" w14:paraId="355A465E" w14:textId="7E96EDD4">
      <w:pPr>
        <w:pStyle w:val="NewHeading10"/>
        <w:rPr>
          <w:caps/>
          <w:sz w:val="32"/>
          <w:szCs w:val="32"/>
        </w:rPr>
      </w:pPr>
      <w:bookmarkStart w:name="_Toc522861135" w:id="16"/>
      <w:bookmarkStart w:name="_Toc14464747" w:id="17"/>
      <w:bookmarkEnd w:id="2"/>
      <w:bookmarkEnd w:id="0"/>
      <w:r w:rsidRPr="00960E81">
        <w:rPr>
          <w:sz w:val="32"/>
          <w:szCs w:val="32"/>
        </w:rPr>
        <w:lastRenderedPageBreak/>
        <w:t xml:space="preserve">Part B. </w:t>
      </w:r>
      <w:bookmarkEnd w:id="16"/>
      <w:r w:rsidRPr="00960E81">
        <w:rPr>
          <w:sz w:val="32"/>
          <w:szCs w:val="32"/>
        </w:rPr>
        <w:t>Collection of Information Employing Statistical Methods</w:t>
      </w:r>
      <w:bookmarkEnd w:id="17"/>
    </w:p>
    <w:p w:rsidRPr="00FB2120" w:rsidR="007433EF" w:rsidP="006C712C" w:rsidRDefault="00500C20" w14:paraId="4E996696" w14:textId="7FE130C3">
      <w:pPr>
        <w:pStyle w:val="Hdng3-IPR"/>
      </w:pPr>
      <w:bookmarkStart w:name="_Toc514142001" w:id="18"/>
      <w:bookmarkStart w:name="_Toc14464748" w:id="19"/>
      <w:r w:rsidRPr="00FB2120">
        <w:t>Respondent Universe and Selection Methods</w:t>
      </w:r>
      <w:bookmarkEnd w:id="18"/>
      <w:bookmarkEnd w:id="19"/>
    </w:p>
    <w:p w:rsidRPr="00B62368" w:rsidR="008B4B1D" w:rsidP="00641B88" w:rsidRDefault="00500C20" w14:paraId="4A350D03" w14:textId="501BE03E">
      <w:pPr>
        <w:pStyle w:val="Qyestion"/>
      </w:pPr>
      <w:r w:rsidRPr="00026ADE">
        <w:t>Describe (including a numerical estimate) the potential respondent universe and any sampling or other respondent selection method to be used</w:t>
      </w:r>
      <w:r w:rsidRPr="00026ADE" w:rsidR="00AC0A3D">
        <w:t xml:space="preserve">. </w:t>
      </w:r>
      <w:r w:rsidRPr="00026ADE">
        <w:t>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w:t>
      </w:r>
      <w:r w:rsidRPr="00026ADE" w:rsidR="00AC0A3D">
        <w:t xml:space="preserve">. </w:t>
      </w:r>
      <w:r w:rsidRPr="00026ADE">
        <w:t>Indicate expected response rates for the collection as a whole.</w:t>
      </w:r>
      <w:r w:rsidRPr="00026ADE" w:rsidR="005B230E">
        <w:t xml:space="preserve"> </w:t>
      </w:r>
      <w:r w:rsidRPr="00026ADE">
        <w:t xml:space="preserve">If the collection had been conducted </w:t>
      </w:r>
      <w:r w:rsidRPr="00B62368">
        <w:t>previously, include the actual response rate achieved during the last collection.</w:t>
      </w:r>
    </w:p>
    <w:p w:rsidRPr="00B62368" w:rsidR="00F20070" w:rsidP="00FB2120" w:rsidRDefault="00F67443" w14:paraId="5686D529" w14:textId="3D3F77DB">
      <w:pPr>
        <w:pStyle w:val="Heading4NoLetter-IPR"/>
        <w:spacing w:before="240" w:after="120"/>
      </w:pPr>
      <w:r>
        <w:t>B.1.1</w:t>
      </w:r>
      <w:r w:rsidR="00122326">
        <w:t>.</w:t>
      </w:r>
      <w:r>
        <w:tab/>
      </w:r>
      <w:r w:rsidRPr="00B62368" w:rsidR="00657EB9">
        <w:t>Respondent Universe</w:t>
      </w:r>
    </w:p>
    <w:p w:rsidR="00FB79D2" w:rsidP="00503F46" w:rsidRDefault="002976DF" w14:paraId="26204FEA" w14:textId="125DC169">
      <w:pPr>
        <w:pStyle w:val="Body11ptCalibri-IPR"/>
        <w:spacing w:after="240"/>
      </w:pPr>
      <w:r>
        <w:t xml:space="preserve">The </w:t>
      </w:r>
      <w:r w:rsidR="00A83732">
        <w:t>objectives o</w:t>
      </w:r>
      <w:r>
        <w:t xml:space="preserve">f this study are to </w:t>
      </w:r>
      <w:r w:rsidR="00A83732">
        <w:t xml:space="preserve">collect representative survey data on household food security in Puerto Rico; conduct in-depth interviews with </w:t>
      </w:r>
      <w:r w:rsidR="00F975D9">
        <w:t>Nutrition Assistance Program (</w:t>
      </w:r>
      <w:r w:rsidR="00A83732">
        <w:t>NAP</w:t>
      </w:r>
      <w:r w:rsidR="00F975D9">
        <w:t>)</w:t>
      </w:r>
      <w:r w:rsidR="00A83732">
        <w:t xml:space="preserve"> participants and low-income nonparticipants; and identify</w:t>
      </w:r>
      <w:r w:rsidRPr="00A83732" w:rsidR="00A83732">
        <w:t xml:space="preserve"> </w:t>
      </w:r>
      <w:r w:rsidR="00A83732">
        <w:t xml:space="preserve">policies that influence the delivery and effectiveness of NAP in reducing food insecurity and gaps in knowledge of </w:t>
      </w:r>
      <w:r w:rsidRPr="00B12287" w:rsidR="00A83732">
        <w:t xml:space="preserve">how NAP </w:t>
      </w:r>
      <w:r w:rsidRPr="00AF3F9C" w:rsidR="00A83732">
        <w:t>protects against</w:t>
      </w:r>
      <w:r w:rsidR="00A83732">
        <w:t xml:space="preserve"> low</w:t>
      </w:r>
      <w:r w:rsidRPr="00AF3F9C" w:rsidR="00A83732">
        <w:t xml:space="preserve"> food security</w:t>
      </w:r>
      <w:r w:rsidR="00A83732">
        <w:t xml:space="preserve">. </w:t>
      </w:r>
      <w:r w:rsidR="00313A22">
        <w:t>T</w:t>
      </w:r>
      <w:r w:rsidR="0015484D">
        <w:t xml:space="preserve">his study is powered for a 2-year follow-up study. </w:t>
      </w:r>
      <w:r w:rsidR="00313A22">
        <w:t>Accordingly</w:t>
      </w:r>
      <w:r w:rsidR="0015484D">
        <w:t>, the sample size is larger than what would be required without follow-up. Th</w:t>
      </w:r>
      <w:r w:rsidR="00090F27">
        <w:t>e</w:t>
      </w:r>
      <w:r w:rsidR="0015484D">
        <w:t xml:space="preserve"> 2-year follow-up study is not part of </w:t>
      </w:r>
      <w:r w:rsidR="00313A22">
        <w:t>this</w:t>
      </w:r>
      <w:r w:rsidR="0015484D">
        <w:t xml:space="preserve"> data collection </w:t>
      </w:r>
      <w:r w:rsidR="00313A22">
        <w:t>request</w:t>
      </w:r>
      <w:r w:rsidR="0015484D">
        <w:t>.</w:t>
      </w:r>
    </w:p>
    <w:p w:rsidR="002976DF" w:rsidP="00040E67" w:rsidRDefault="00FB79D2" w14:paraId="2B51610F" w14:textId="7F5B3C6E">
      <w:pPr>
        <w:pStyle w:val="BulletsRed-IPR"/>
      </w:pPr>
      <w:r w:rsidRPr="00040E67">
        <w:rPr>
          <w:b/>
          <w:bCs/>
        </w:rPr>
        <w:t>Household survey</w:t>
      </w:r>
      <w:r>
        <w:t>:</w:t>
      </w:r>
      <w:r w:rsidR="003E2A98">
        <w:t xml:space="preserve"> </w:t>
      </w:r>
      <w:r w:rsidR="008B4B1D">
        <w:t>The</w:t>
      </w:r>
      <w:r w:rsidR="008B4B1D">
        <w:rPr>
          <w:spacing w:val="-4"/>
        </w:rPr>
        <w:t xml:space="preserve"> </w:t>
      </w:r>
      <w:r w:rsidR="00A83732">
        <w:rPr>
          <w:spacing w:val="-4"/>
        </w:rPr>
        <w:t xml:space="preserve">respondent universe </w:t>
      </w:r>
      <w:r w:rsidR="008B4B1D">
        <w:t>for</w:t>
      </w:r>
      <w:r w:rsidR="008B4B1D">
        <w:rPr>
          <w:spacing w:val="-3"/>
        </w:rPr>
        <w:t xml:space="preserve"> </w:t>
      </w:r>
      <w:r w:rsidR="008B4B1D">
        <w:t>the</w:t>
      </w:r>
      <w:r w:rsidR="008B4B1D">
        <w:rPr>
          <w:spacing w:val="-2"/>
        </w:rPr>
        <w:t xml:space="preserve"> </w:t>
      </w:r>
      <w:r w:rsidR="008B4B1D">
        <w:t>survey</w:t>
      </w:r>
      <w:r w:rsidR="008B4B1D">
        <w:rPr>
          <w:spacing w:val="-3"/>
        </w:rPr>
        <w:t xml:space="preserve"> </w:t>
      </w:r>
      <w:r w:rsidR="008B4B1D">
        <w:t>includes</w:t>
      </w:r>
      <w:r w:rsidR="008B4B1D">
        <w:rPr>
          <w:spacing w:val="-3"/>
        </w:rPr>
        <w:t xml:space="preserve"> </w:t>
      </w:r>
      <w:r w:rsidR="008B4B1D">
        <w:t>all</w:t>
      </w:r>
      <w:r w:rsidR="008B4B1D">
        <w:rPr>
          <w:spacing w:val="-4"/>
        </w:rPr>
        <w:t xml:space="preserve"> </w:t>
      </w:r>
      <w:r w:rsidR="008B4B1D">
        <w:t>households</w:t>
      </w:r>
      <w:r w:rsidR="008B4B1D">
        <w:rPr>
          <w:spacing w:val="-3"/>
        </w:rPr>
        <w:t xml:space="preserve"> </w:t>
      </w:r>
      <w:r w:rsidR="008B4B1D">
        <w:t>in Puerto</w:t>
      </w:r>
      <w:r w:rsidR="008B4B1D">
        <w:rPr>
          <w:spacing w:val="-4"/>
        </w:rPr>
        <w:t xml:space="preserve"> </w:t>
      </w:r>
      <w:r w:rsidR="008B4B1D">
        <w:t>Rico.</w:t>
      </w:r>
      <w:r w:rsidR="008B4B1D">
        <w:rPr>
          <w:spacing w:val="-3"/>
        </w:rPr>
        <w:t xml:space="preserve"> </w:t>
      </w:r>
      <w:r w:rsidR="008B4B1D">
        <w:t>The</w:t>
      </w:r>
      <w:r w:rsidR="008B4B1D">
        <w:rPr>
          <w:spacing w:val="-3"/>
        </w:rPr>
        <w:t xml:space="preserve"> </w:t>
      </w:r>
      <w:r w:rsidR="008B4B1D">
        <w:t>sample</w:t>
      </w:r>
      <w:r w:rsidR="008B4B1D">
        <w:rPr>
          <w:spacing w:val="-2"/>
        </w:rPr>
        <w:t xml:space="preserve"> </w:t>
      </w:r>
      <w:r w:rsidR="008B4B1D">
        <w:t>design</w:t>
      </w:r>
      <w:r w:rsidR="008B4B1D">
        <w:rPr>
          <w:spacing w:val="-4"/>
        </w:rPr>
        <w:t xml:space="preserve"> </w:t>
      </w:r>
      <w:r w:rsidR="005A0F39">
        <w:rPr>
          <w:spacing w:val="-4"/>
        </w:rPr>
        <w:t>will support</w:t>
      </w:r>
      <w:r w:rsidR="008B4B1D">
        <w:rPr>
          <w:spacing w:val="-2"/>
        </w:rPr>
        <w:t xml:space="preserve"> </w:t>
      </w:r>
      <w:r w:rsidR="008B4B1D">
        <w:t>a</w:t>
      </w:r>
      <w:r w:rsidR="008B4B1D">
        <w:rPr>
          <w:spacing w:val="-1"/>
        </w:rPr>
        <w:t xml:space="preserve"> </w:t>
      </w:r>
      <w:r w:rsidR="008B4B1D">
        <w:t>sample</w:t>
      </w:r>
      <w:r w:rsidR="008B4B1D">
        <w:rPr>
          <w:spacing w:val="-2"/>
        </w:rPr>
        <w:t xml:space="preserve"> </w:t>
      </w:r>
      <w:r w:rsidR="008B4B1D">
        <w:t>of</w:t>
      </w:r>
      <w:r w:rsidR="008B4B1D">
        <w:rPr>
          <w:spacing w:val="1"/>
        </w:rPr>
        <w:t xml:space="preserve"> </w:t>
      </w:r>
      <w:r w:rsidR="008B4B1D">
        <w:t>respondents</w:t>
      </w:r>
      <w:r w:rsidR="008B4B1D">
        <w:rPr>
          <w:spacing w:val="-1"/>
        </w:rPr>
        <w:t xml:space="preserve"> </w:t>
      </w:r>
      <w:r w:rsidR="008B4B1D">
        <w:t>to</w:t>
      </w:r>
      <w:r w:rsidR="008B4B1D">
        <w:rPr>
          <w:spacing w:val="1"/>
        </w:rPr>
        <w:t xml:space="preserve"> </w:t>
      </w:r>
      <w:r w:rsidR="008B4B1D">
        <w:t>be analyzed</w:t>
      </w:r>
      <w:r w:rsidR="008B4B1D">
        <w:rPr>
          <w:spacing w:val="-1"/>
        </w:rPr>
        <w:t xml:space="preserve"> </w:t>
      </w:r>
      <w:r w:rsidR="008B4B1D">
        <w:t>at</w:t>
      </w:r>
      <w:r w:rsidR="008B4B1D">
        <w:rPr>
          <w:spacing w:val="-1"/>
        </w:rPr>
        <w:t xml:space="preserve"> </w:t>
      </w:r>
      <w:r w:rsidR="008B4B1D">
        <w:t xml:space="preserve">the household level. </w:t>
      </w:r>
      <w:r w:rsidR="00354705">
        <w:t>It</w:t>
      </w:r>
      <w:r w:rsidR="008B4B1D">
        <w:t xml:space="preserve"> will include households enrolled in </w:t>
      </w:r>
      <w:r w:rsidR="00090F27">
        <w:t xml:space="preserve">NAP, which is sponsored by </w:t>
      </w:r>
      <w:r w:rsidR="008B4B1D">
        <w:t>the U.S. Department of Agriculture</w:t>
      </w:r>
      <w:r w:rsidR="00090F27">
        <w:t xml:space="preserve"> (USDA),</w:t>
      </w:r>
      <w:r w:rsidR="008B4B1D">
        <w:t xml:space="preserve"> and households not enrolled in NAP.</w:t>
      </w:r>
      <w:r w:rsidR="002976DF">
        <w:t xml:space="preserve"> </w:t>
      </w:r>
    </w:p>
    <w:p w:rsidR="00FB79D2" w:rsidP="00040E67" w:rsidRDefault="00FB79D2" w14:paraId="569147DB" w14:textId="794780DD">
      <w:pPr>
        <w:pStyle w:val="BulletsRed-IPR"/>
      </w:pPr>
      <w:r w:rsidRPr="00040E67">
        <w:rPr>
          <w:b/>
          <w:bCs/>
        </w:rPr>
        <w:t>In-depth interviews</w:t>
      </w:r>
      <w:r>
        <w:t xml:space="preserve">: </w:t>
      </w:r>
      <w:r w:rsidR="000853C8">
        <w:t>The respondent universe for the in-depth interviews</w:t>
      </w:r>
      <w:r w:rsidR="00F975D9">
        <w:t xml:space="preserve"> </w:t>
      </w:r>
      <w:r w:rsidR="000853C8">
        <w:t>includes</w:t>
      </w:r>
      <w:r w:rsidR="007A2A20">
        <w:t xml:space="preserve"> individuals in</w:t>
      </w:r>
      <w:r w:rsidR="00355186">
        <w:t xml:space="preserve"> </w:t>
      </w:r>
      <w:r w:rsidR="000853C8">
        <w:t xml:space="preserve">low-income </w:t>
      </w:r>
      <w:r w:rsidR="00460EE2">
        <w:t>households</w:t>
      </w:r>
      <w:r w:rsidR="007A2A20">
        <w:t xml:space="preserve"> </w:t>
      </w:r>
      <w:r w:rsidR="009455B8">
        <w:t>who</w:t>
      </w:r>
      <w:r w:rsidR="007A2A20">
        <w:t xml:space="preserve"> participated in the survey</w:t>
      </w:r>
      <w:r w:rsidR="00090F27">
        <w:t xml:space="preserve">, </w:t>
      </w:r>
      <w:r>
        <w:t>includ</w:t>
      </w:r>
      <w:r w:rsidR="00090F27">
        <w:t>ing</w:t>
      </w:r>
      <w:r>
        <w:t xml:space="preserve"> NAP participants and low-income </w:t>
      </w:r>
      <w:r w:rsidR="008F03F0">
        <w:t>individuals not participating in NAP</w:t>
      </w:r>
      <w:r>
        <w:t>.</w:t>
      </w:r>
    </w:p>
    <w:p w:rsidR="000853C8" w:rsidP="00040E67" w:rsidRDefault="00FB79D2" w14:paraId="52507D7C" w14:textId="39E328CB">
      <w:pPr>
        <w:pStyle w:val="BulletsRed-IPR"/>
      </w:pPr>
      <w:r w:rsidRPr="00040E67">
        <w:rPr>
          <w:b/>
          <w:bCs/>
        </w:rPr>
        <w:t>Concept</w:t>
      </w:r>
      <w:r w:rsidR="00090F27">
        <w:rPr>
          <w:b/>
          <w:bCs/>
        </w:rPr>
        <w:t>-</w:t>
      </w:r>
      <w:r w:rsidRPr="00040E67">
        <w:rPr>
          <w:b/>
          <w:bCs/>
        </w:rPr>
        <w:t>mapping task</w:t>
      </w:r>
      <w:r>
        <w:t xml:space="preserve">: </w:t>
      </w:r>
      <w:r w:rsidR="000853C8">
        <w:t>The respondent universe for the concept</w:t>
      </w:r>
      <w:r w:rsidR="00090F27">
        <w:t>-</w:t>
      </w:r>
      <w:r w:rsidR="000853C8">
        <w:t xml:space="preserve">mapping task </w:t>
      </w:r>
      <w:r w:rsidR="002976DF">
        <w:t xml:space="preserve">includes </w:t>
      </w:r>
      <w:r w:rsidR="00B94502">
        <w:t xml:space="preserve">stakeholders </w:t>
      </w:r>
      <w:r w:rsidRPr="005210BA" w:rsidR="00B94502">
        <w:t>who have technical knowledge of the policies related to Puerto Rico’s food and nutrition system and represent the primary interest groups engaged in food security issues</w:t>
      </w:r>
      <w:r>
        <w:t xml:space="preserve"> (</w:t>
      </w:r>
      <w:r w:rsidR="008F03F0">
        <w:t>e</w:t>
      </w:r>
      <w:r>
        <w:t xml:space="preserve">.g., representatives from public agencies that administer food security and human service </w:t>
      </w:r>
      <w:r>
        <w:lastRenderedPageBreak/>
        <w:t>programs, human service providers, advocacy organizations, private sector representatives, and academics or researchers)</w:t>
      </w:r>
      <w:r w:rsidRPr="005210BA" w:rsidR="00B94502">
        <w:t xml:space="preserve">. </w:t>
      </w:r>
    </w:p>
    <w:p w:rsidRPr="00B62368" w:rsidR="008B4B1D" w:rsidP="008B4B1D" w:rsidRDefault="00F67443" w14:paraId="5608173C" w14:textId="21E73CAE">
      <w:pPr>
        <w:pStyle w:val="Heading4NoLetter-IPR"/>
        <w:spacing w:before="240" w:after="120"/>
      </w:pPr>
      <w:r>
        <w:t>B.1.2</w:t>
      </w:r>
      <w:r w:rsidR="00122326">
        <w:t>.</w:t>
      </w:r>
      <w:r>
        <w:tab/>
      </w:r>
      <w:r w:rsidR="008B4B1D">
        <w:t>Selection Methods</w:t>
      </w:r>
    </w:p>
    <w:p w:rsidRPr="002D3C5E" w:rsidR="002976DF" w:rsidP="00EE06CB" w:rsidRDefault="002976DF" w14:paraId="00E4874E" w14:textId="2752FC46">
      <w:pPr>
        <w:pStyle w:val="Body11ptCalibri-IPR"/>
        <w:rPr>
          <w:b/>
          <w:bCs/>
          <w:i/>
          <w:iCs/>
        </w:rPr>
      </w:pPr>
      <w:r w:rsidRPr="002D3C5E">
        <w:rPr>
          <w:b/>
          <w:bCs/>
          <w:i/>
          <w:iCs/>
        </w:rPr>
        <w:t xml:space="preserve">Household </w:t>
      </w:r>
      <w:r w:rsidR="00122326">
        <w:rPr>
          <w:b/>
          <w:bCs/>
          <w:i/>
          <w:iCs/>
        </w:rPr>
        <w:t>s</w:t>
      </w:r>
      <w:r w:rsidRPr="002D3C5E">
        <w:rPr>
          <w:b/>
          <w:bCs/>
          <w:i/>
          <w:iCs/>
        </w:rPr>
        <w:t>urvey</w:t>
      </w:r>
    </w:p>
    <w:p w:rsidR="008B4B1D" w:rsidP="00503F46" w:rsidRDefault="003E223D" w14:paraId="0F703543" w14:textId="3AB9463D">
      <w:pPr>
        <w:pStyle w:val="Body11ptCalibri-IPR"/>
        <w:spacing w:after="240"/>
      </w:pPr>
      <w:r>
        <w:t xml:space="preserve">A </w:t>
      </w:r>
      <w:r w:rsidR="00313A22">
        <w:t xml:space="preserve">dual-frame </w:t>
      </w:r>
      <w:r>
        <w:t>sampling approach</w:t>
      </w:r>
      <w:r w:rsidR="005B21B1">
        <w:t xml:space="preserve"> </w:t>
      </w:r>
      <w:r>
        <w:t>will be used to identify and sample NAP‐participating and low‐income</w:t>
      </w:r>
      <w:r>
        <w:rPr>
          <w:spacing w:val="1"/>
        </w:rPr>
        <w:t xml:space="preserve"> </w:t>
      </w:r>
      <w:r>
        <w:t>nonparticipating households and collect representative survey data on household food security in</w:t>
      </w:r>
      <w:r>
        <w:rPr>
          <w:spacing w:val="1"/>
        </w:rPr>
        <w:t xml:space="preserve"> </w:t>
      </w:r>
      <w:r>
        <w:t>Puerto Rico</w:t>
      </w:r>
      <w:r w:rsidR="00C146F6">
        <w:t xml:space="preserve"> (see section B.2.1)</w:t>
      </w:r>
      <w:r>
        <w:t xml:space="preserve">. </w:t>
      </w:r>
      <w:r w:rsidR="008D11CB">
        <w:t>The two sources to build the household survey sampling frames are an administrative list of NAP</w:t>
      </w:r>
      <w:r w:rsidR="008D11CB">
        <w:rPr>
          <w:spacing w:val="1"/>
        </w:rPr>
        <w:t xml:space="preserve"> </w:t>
      </w:r>
      <w:r w:rsidR="008D11CB">
        <w:t xml:space="preserve">participants provided by </w:t>
      </w:r>
      <w:r w:rsidRPr="00B871F5" w:rsidR="00090F27">
        <w:t xml:space="preserve">Administración de Desarrollo Socioeconómico de la Familia </w:t>
      </w:r>
      <w:r w:rsidR="00090F27">
        <w:t>(</w:t>
      </w:r>
      <w:r w:rsidR="008D11CB">
        <w:t>ADSEF</w:t>
      </w:r>
      <w:r w:rsidR="00090F27">
        <w:t>)</w:t>
      </w:r>
      <w:r w:rsidR="008D11CB">
        <w:t xml:space="preserve"> and an area probability sample. </w:t>
      </w:r>
      <w:r>
        <w:t>The classic multiple‐frame sampling approach</w:t>
      </w:r>
      <w:r w:rsidR="0092428C">
        <w:rPr>
          <w:rStyle w:val="FootnoteReference"/>
        </w:rPr>
        <w:footnoteReference w:id="2"/>
      </w:r>
      <w:r>
        <w:t xml:space="preserve"> facilitates selecting samples</w:t>
      </w:r>
      <w:r>
        <w:rPr>
          <w:spacing w:val="1"/>
        </w:rPr>
        <w:t xml:space="preserve"> </w:t>
      </w:r>
      <w:r>
        <w:t>from</w:t>
      </w:r>
      <w:r>
        <w:rPr>
          <w:spacing w:val="-3"/>
        </w:rPr>
        <w:t xml:space="preserve"> </w:t>
      </w:r>
      <w:r>
        <w:t>overlapping</w:t>
      </w:r>
      <w:r>
        <w:rPr>
          <w:spacing w:val="-4"/>
        </w:rPr>
        <w:t xml:space="preserve"> </w:t>
      </w:r>
      <w:r>
        <w:t>frames—one</w:t>
      </w:r>
      <w:r>
        <w:rPr>
          <w:spacing w:val="-3"/>
        </w:rPr>
        <w:t xml:space="preserve"> </w:t>
      </w:r>
      <w:r>
        <w:t>with</w:t>
      </w:r>
      <w:r>
        <w:rPr>
          <w:spacing w:val="-3"/>
        </w:rPr>
        <w:t xml:space="preserve"> </w:t>
      </w:r>
      <w:r>
        <w:t>near‐complete</w:t>
      </w:r>
      <w:r>
        <w:rPr>
          <w:spacing w:val="-3"/>
        </w:rPr>
        <w:t xml:space="preserve"> </w:t>
      </w:r>
      <w:r>
        <w:t>population</w:t>
      </w:r>
      <w:r>
        <w:rPr>
          <w:spacing w:val="-3"/>
        </w:rPr>
        <w:t xml:space="preserve"> </w:t>
      </w:r>
      <w:r>
        <w:t>coverage</w:t>
      </w:r>
      <w:r>
        <w:rPr>
          <w:spacing w:val="-3"/>
        </w:rPr>
        <w:t xml:space="preserve"> </w:t>
      </w:r>
      <w:r>
        <w:t>and</w:t>
      </w:r>
      <w:r>
        <w:rPr>
          <w:spacing w:val="-3"/>
        </w:rPr>
        <w:t xml:space="preserve"> </w:t>
      </w:r>
      <w:r>
        <w:t>other(s)</w:t>
      </w:r>
      <w:r>
        <w:rPr>
          <w:spacing w:val="-4"/>
        </w:rPr>
        <w:t xml:space="preserve"> </w:t>
      </w:r>
      <w:r>
        <w:t>with</w:t>
      </w:r>
      <w:r>
        <w:rPr>
          <w:spacing w:val="-3"/>
        </w:rPr>
        <w:t xml:space="preserve"> </w:t>
      </w:r>
      <w:r w:rsidR="004816F1">
        <w:t xml:space="preserve">potentially lower </w:t>
      </w:r>
      <w:r>
        <w:t xml:space="preserve">coverage—to be combined so </w:t>
      </w:r>
      <w:r w:rsidR="00354705">
        <w:t xml:space="preserve">that </w:t>
      </w:r>
      <w:r>
        <w:t>the total aggregated sample has the coverage of the more</w:t>
      </w:r>
      <w:r>
        <w:rPr>
          <w:spacing w:val="1"/>
        </w:rPr>
        <w:t xml:space="preserve"> </w:t>
      </w:r>
      <w:r>
        <w:t>complete frame. The survey instrument will contain questions to identify the overlap across the two</w:t>
      </w:r>
      <w:r>
        <w:rPr>
          <w:spacing w:val="1"/>
        </w:rPr>
        <w:t xml:space="preserve"> </w:t>
      </w:r>
      <w:r>
        <w:t>sample</w:t>
      </w:r>
      <w:r>
        <w:rPr>
          <w:spacing w:val="-3"/>
        </w:rPr>
        <w:t xml:space="preserve"> </w:t>
      </w:r>
      <w:r>
        <w:t>frames</w:t>
      </w:r>
      <w:r w:rsidRPr="004C011F" w:rsidR="008D11CB">
        <w:t>—</w:t>
      </w:r>
      <w:r>
        <w:t>specifically, to ascertain whether the household was participating in NAP at the time the NAP list was extracted</w:t>
      </w:r>
      <w:r w:rsidR="008D11CB">
        <w:rPr>
          <w:spacing w:val="-2"/>
        </w:rPr>
        <w:t xml:space="preserve">; </w:t>
      </w:r>
      <w:r w:rsidR="008D11CB">
        <w:t>this</w:t>
      </w:r>
      <w:r>
        <w:rPr>
          <w:spacing w:val="-2"/>
        </w:rPr>
        <w:t xml:space="preserve"> </w:t>
      </w:r>
      <w:r>
        <w:t>information</w:t>
      </w:r>
      <w:r>
        <w:rPr>
          <w:spacing w:val="-2"/>
        </w:rPr>
        <w:t xml:space="preserve"> </w:t>
      </w:r>
      <w:r>
        <w:t>will</w:t>
      </w:r>
      <w:r>
        <w:rPr>
          <w:spacing w:val="-1"/>
        </w:rPr>
        <w:t xml:space="preserve"> </w:t>
      </w:r>
      <w:r>
        <w:t>be</w:t>
      </w:r>
      <w:r>
        <w:rPr>
          <w:spacing w:val="-1"/>
        </w:rPr>
        <w:t xml:space="preserve"> </w:t>
      </w:r>
      <w:r>
        <w:t>used</w:t>
      </w:r>
      <w:r>
        <w:rPr>
          <w:spacing w:val="-1"/>
        </w:rPr>
        <w:t xml:space="preserve"> </w:t>
      </w:r>
      <w:r>
        <w:t>to</w:t>
      </w:r>
      <w:r>
        <w:rPr>
          <w:spacing w:val="-3"/>
        </w:rPr>
        <w:t xml:space="preserve"> </w:t>
      </w:r>
      <w:r>
        <w:t>adjust</w:t>
      </w:r>
      <w:r>
        <w:rPr>
          <w:spacing w:val="-2"/>
        </w:rPr>
        <w:t xml:space="preserve"> </w:t>
      </w:r>
      <w:r>
        <w:t>the</w:t>
      </w:r>
      <w:r>
        <w:rPr>
          <w:spacing w:val="-2"/>
        </w:rPr>
        <w:t xml:space="preserve"> </w:t>
      </w:r>
      <w:r>
        <w:t>sample</w:t>
      </w:r>
      <w:r>
        <w:rPr>
          <w:spacing w:val="-3"/>
        </w:rPr>
        <w:t xml:space="preserve"> </w:t>
      </w:r>
      <w:r>
        <w:t>weights for</w:t>
      </w:r>
      <w:r>
        <w:rPr>
          <w:spacing w:val="-2"/>
        </w:rPr>
        <w:t xml:space="preserve"> </w:t>
      </w:r>
      <w:r>
        <w:t>the</w:t>
      </w:r>
      <w:r>
        <w:rPr>
          <w:spacing w:val="-2"/>
        </w:rPr>
        <w:t xml:space="preserve"> </w:t>
      </w:r>
      <w:r>
        <w:t>overlap</w:t>
      </w:r>
      <w:r w:rsidR="005B21B1">
        <w:t>.</w:t>
      </w:r>
      <w:r w:rsidR="005A0795">
        <w:rPr>
          <w:rStyle w:val="FootnoteReference"/>
        </w:rPr>
        <w:footnoteReference w:id="3"/>
      </w:r>
    </w:p>
    <w:p w:rsidRPr="00676A5B" w:rsidR="002976DF" w:rsidP="00EE06CB" w:rsidRDefault="002976DF" w14:paraId="2486D3E5" w14:textId="366B3FC9">
      <w:pPr>
        <w:pStyle w:val="Body11ptCalibri-IPR"/>
        <w:rPr>
          <w:b/>
          <w:bCs/>
          <w:i/>
          <w:iCs/>
        </w:rPr>
      </w:pPr>
      <w:r w:rsidRPr="00676A5B">
        <w:rPr>
          <w:b/>
          <w:bCs/>
          <w:i/>
          <w:iCs/>
        </w:rPr>
        <w:t>In-depth interviews</w:t>
      </w:r>
    </w:p>
    <w:p w:rsidR="00071425" w:rsidP="00503F46" w:rsidRDefault="001378ED" w14:paraId="54F89FFC" w14:textId="7B3DBB0E">
      <w:pPr>
        <w:pStyle w:val="Body11ptCalibri-IPR"/>
        <w:spacing w:after="240"/>
      </w:pPr>
      <w:r>
        <w:t xml:space="preserve">The study sample for the </w:t>
      </w:r>
      <w:r w:rsidR="00090F27">
        <w:t>in-depth interviews</w:t>
      </w:r>
      <w:r>
        <w:t xml:space="preserve"> will be drawn from survey respondents who agreed to be contacted for an interview</w:t>
      </w:r>
      <w:r w:rsidRPr="00354705" w:rsidR="00354705">
        <w:t xml:space="preserve"> </w:t>
      </w:r>
      <w:r w:rsidR="00354705">
        <w:t>and provided contact information for follow-up purposes</w:t>
      </w:r>
      <w:r>
        <w:t xml:space="preserve">. </w:t>
      </w:r>
      <w:r w:rsidR="003967B7">
        <w:t xml:space="preserve">Every respondent who indicates interest will be classified </w:t>
      </w:r>
      <w:r w:rsidR="00BA5ABE">
        <w:t xml:space="preserve">into a subgroup </w:t>
      </w:r>
      <w:r w:rsidR="003967B7">
        <w:t xml:space="preserve">based on their NAP participation status and income level, </w:t>
      </w:r>
      <w:r w:rsidR="00520359">
        <w:t>presence of children in the household</w:t>
      </w:r>
      <w:r w:rsidR="00EC63B1">
        <w:t>,</w:t>
      </w:r>
      <w:r w:rsidR="00520359">
        <w:t xml:space="preserve"> and food security status. </w:t>
      </w:r>
      <w:r w:rsidR="00505925">
        <w:t>R</w:t>
      </w:r>
      <w:r w:rsidR="00520359">
        <w:t xml:space="preserve">espondents who fall into </w:t>
      </w:r>
      <w:r w:rsidR="00354705">
        <w:t xml:space="preserve">1 </w:t>
      </w:r>
      <w:r w:rsidR="00520359">
        <w:t xml:space="preserve">of the 12 subgroups shown in </w:t>
      </w:r>
      <w:r w:rsidR="008F03F0">
        <w:t>table B.1.1</w:t>
      </w:r>
      <w:r w:rsidR="00505925">
        <w:t xml:space="preserve"> will be recruited</w:t>
      </w:r>
      <w:r w:rsidR="00520359">
        <w:t xml:space="preserve"> until </w:t>
      </w:r>
      <w:r w:rsidR="00505925">
        <w:t>the study team</w:t>
      </w:r>
      <w:r w:rsidR="00520359">
        <w:t xml:space="preserve"> complete</w:t>
      </w:r>
      <w:r w:rsidR="00505925">
        <w:t>s</w:t>
      </w:r>
      <w:r w:rsidR="00520359">
        <w:t xml:space="preserve"> the desired number of interviews for each subgroup</w:t>
      </w:r>
      <w:r w:rsidR="004B37B7">
        <w:t xml:space="preserve">. </w:t>
      </w:r>
    </w:p>
    <w:p w:rsidR="008F03F0" w:rsidRDefault="008F03F0" w14:paraId="302A2EF8" w14:textId="1BB77750">
      <w:pPr>
        <w:pStyle w:val="TableTitle-IPR"/>
      </w:pPr>
      <w:bookmarkStart w:name="_Toc78365136" w:id="20"/>
      <w:r>
        <w:lastRenderedPageBreak/>
        <w:t>Table B.1.1</w:t>
      </w:r>
      <w:r w:rsidR="00122326">
        <w:t>.</w:t>
      </w:r>
      <w:r>
        <w:t xml:space="preserve"> </w:t>
      </w:r>
      <w:r w:rsidR="00EC63B1">
        <w:t>Target Subgroups for In-</w:t>
      </w:r>
      <w:r w:rsidR="00122326">
        <w:t>D</w:t>
      </w:r>
      <w:r w:rsidR="00EC63B1">
        <w:t>epth Interviews</w:t>
      </w:r>
      <w:bookmarkEnd w:id="20"/>
    </w:p>
    <w:tbl>
      <w:tblPr>
        <w:tblStyle w:val="InsightTable1"/>
        <w:tblW w:w="9302" w:type="dxa"/>
        <w:tblLook w:val="04A0" w:firstRow="1" w:lastRow="0" w:firstColumn="1" w:lastColumn="0" w:noHBand="0" w:noVBand="1"/>
      </w:tblPr>
      <w:tblGrid>
        <w:gridCol w:w="1984"/>
        <w:gridCol w:w="594"/>
        <w:gridCol w:w="599"/>
        <w:gridCol w:w="602"/>
        <w:gridCol w:w="596"/>
        <w:gridCol w:w="598"/>
        <w:gridCol w:w="603"/>
        <w:gridCol w:w="595"/>
        <w:gridCol w:w="599"/>
        <w:gridCol w:w="602"/>
        <w:gridCol w:w="596"/>
        <w:gridCol w:w="598"/>
        <w:gridCol w:w="736"/>
      </w:tblGrid>
      <w:tr w:rsidR="00EC63B1" w:rsidTr="002B0C69" w14:paraId="1C1DCF6F" w14:textId="77777777">
        <w:trPr>
          <w:cnfStyle w:val="100000000000" w:firstRow="1" w:lastRow="0" w:firstColumn="0" w:lastColumn="0" w:oddVBand="0" w:evenVBand="0" w:oddHBand="0" w:evenHBand="0" w:firstRowFirstColumn="0" w:firstRowLastColumn="0" w:lastRowFirstColumn="0" w:lastRowLastColumn="0"/>
          <w:trHeight w:val="360"/>
        </w:trPr>
        <w:tc>
          <w:tcPr>
            <w:tcW w:w="1984" w:type="dxa"/>
          </w:tcPr>
          <w:p w:rsidRPr="004D5354" w:rsidR="00EC63B1" w:rsidP="00CB6433" w:rsidRDefault="00EC63B1" w14:paraId="5F571E2C" w14:textId="77777777">
            <w:pPr>
              <w:pStyle w:val="TableHeaderRow-IPR"/>
              <w:keepNext/>
            </w:pPr>
            <w:r w:rsidRPr="004D5354">
              <w:t xml:space="preserve">Participation </w:t>
            </w:r>
            <w:r>
              <w:t>S</w:t>
            </w:r>
            <w:r w:rsidRPr="004D5354">
              <w:t>tatus</w:t>
            </w:r>
          </w:p>
        </w:tc>
        <w:tc>
          <w:tcPr>
            <w:tcW w:w="3592" w:type="dxa"/>
            <w:gridSpan w:val="6"/>
          </w:tcPr>
          <w:p w:rsidRPr="004D5354" w:rsidR="00EC63B1" w:rsidP="00CB6433" w:rsidRDefault="00EC63B1" w14:paraId="2C2D73FF" w14:textId="77777777">
            <w:pPr>
              <w:pStyle w:val="TableHeaderRow-IPR"/>
              <w:keepNext/>
            </w:pPr>
            <w:r w:rsidRPr="004D5354">
              <w:t>Participating in NAP</w:t>
            </w:r>
          </w:p>
        </w:tc>
        <w:tc>
          <w:tcPr>
            <w:tcW w:w="3726" w:type="dxa"/>
            <w:gridSpan w:val="6"/>
          </w:tcPr>
          <w:p w:rsidRPr="004D5354" w:rsidR="00EC63B1" w:rsidP="00CB6433" w:rsidRDefault="002F6E33" w14:paraId="66C7DAB2" w14:textId="71A37E1B">
            <w:pPr>
              <w:pStyle w:val="TableHeaderRow-IPR"/>
              <w:keepNext/>
            </w:pPr>
            <w:r>
              <w:t>Low</w:t>
            </w:r>
            <w:r w:rsidR="00505925">
              <w:t xml:space="preserve"> I</w:t>
            </w:r>
            <w:r>
              <w:t xml:space="preserve">ncome, </w:t>
            </w:r>
            <w:r w:rsidRPr="004D5354" w:rsidR="00EC63B1">
              <w:t xml:space="preserve">Not </w:t>
            </w:r>
            <w:r w:rsidR="00EC63B1">
              <w:t>P</w:t>
            </w:r>
            <w:r w:rsidRPr="004D5354" w:rsidR="00EC63B1">
              <w:t xml:space="preserve">articipating in NAP </w:t>
            </w:r>
          </w:p>
        </w:tc>
      </w:tr>
      <w:tr w:rsidR="00EC63B1" w:rsidTr="002B0C69" w14:paraId="56758C1B" w14:textId="77777777">
        <w:trPr>
          <w:trHeight w:val="360"/>
        </w:trPr>
        <w:tc>
          <w:tcPr>
            <w:tcW w:w="1984" w:type="dxa"/>
            <w:tcBorders>
              <w:top w:val="single" w:color="B12732" w:sz="8" w:space="0"/>
              <w:left w:val="nil"/>
              <w:bottom w:val="single" w:color="A6A6A6" w:themeColor="background1" w:themeShade="A6" w:sz="4" w:space="0"/>
              <w:right w:val="single" w:color="A6A6A6" w:themeColor="background1" w:themeShade="A6" w:sz="4" w:space="0"/>
            </w:tcBorders>
          </w:tcPr>
          <w:p w:rsidRPr="00503F46" w:rsidR="00EC63B1" w:rsidP="00CB6433" w:rsidRDefault="00EC63B1" w14:paraId="3EAB96F6" w14:textId="77777777">
            <w:pPr>
              <w:pStyle w:val="TableHeaderRow-IPR"/>
              <w:keepNext/>
              <w:jc w:val="left"/>
              <w:rPr>
                <w:rFonts w:asciiTheme="minorHAnsi" w:hAnsiTheme="minorHAnsi" w:cstheme="minorHAnsi"/>
                <w:b w:val="0"/>
                <w:bCs/>
                <w:sz w:val="20"/>
                <w:szCs w:val="20"/>
              </w:rPr>
            </w:pPr>
            <w:r w:rsidRPr="00503F46">
              <w:rPr>
                <w:rFonts w:asciiTheme="minorHAnsi" w:hAnsiTheme="minorHAnsi" w:cstheme="minorHAnsi"/>
                <w:b w:val="0"/>
                <w:bCs/>
                <w:sz w:val="20"/>
                <w:szCs w:val="20"/>
              </w:rPr>
              <w:t>Household status</w:t>
            </w:r>
          </w:p>
        </w:tc>
        <w:tc>
          <w:tcPr>
            <w:tcW w:w="1795" w:type="dxa"/>
            <w:gridSpan w:val="3"/>
            <w:tcBorders>
              <w:top w:val="single" w:color="B12732" w:sz="8" w:space="0"/>
              <w:left w:val="single" w:color="A6A6A6" w:themeColor="background1" w:themeShade="A6" w:sz="4" w:space="0"/>
            </w:tcBorders>
            <w:shd w:val="clear" w:color="auto" w:fill="E9EFF7"/>
          </w:tcPr>
          <w:p w:rsidRPr="00503F46" w:rsidR="00EC63B1" w:rsidP="00CB6433" w:rsidRDefault="00EC63B1" w14:paraId="57CB39B3" w14:textId="77777777">
            <w:pPr>
              <w:pStyle w:val="BodyText-IPR"/>
              <w:keepNext/>
              <w:spacing w:after="0"/>
              <w:jc w:val="center"/>
              <w:rPr>
                <w:rFonts w:asciiTheme="minorHAnsi" w:hAnsiTheme="minorHAnsi" w:cstheme="minorHAnsi"/>
                <w:szCs w:val="20"/>
              </w:rPr>
            </w:pPr>
            <w:r w:rsidRPr="00503F46">
              <w:rPr>
                <w:rFonts w:asciiTheme="minorHAnsi" w:hAnsiTheme="minorHAnsi" w:cstheme="minorHAnsi"/>
                <w:szCs w:val="20"/>
              </w:rPr>
              <w:t>Household with children</w:t>
            </w:r>
          </w:p>
        </w:tc>
        <w:tc>
          <w:tcPr>
            <w:tcW w:w="1797" w:type="dxa"/>
            <w:gridSpan w:val="3"/>
            <w:tcBorders>
              <w:top w:val="single" w:color="B12732" w:sz="8" w:space="0"/>
            </w:tcBorders>
            <w:shd w:val="clear" w:color="auto" w:fill="E9EFF7"/>
          </w:tcPr>
          <w:p w:rsidRPr="00503F46" w:rsidR="00EC63B1" w:rsidP="00CB6433" w:rsidRDefault="00EC63B1" w14:paraId="2A717C2B" w14:textId="77777777">
            <w:pPr>
              <w:pStyle w:val="BodyText-IPR"/>
              <w:keepNext/>
              <w:spacing w:after="0"/>
              <w:jc w:val="center"/>
              <w:rPr>
                <w:rFonts w:asciiTheme="minorHAnsi" w:hAnsiTheme="minorHAnsi" w:cstheme="minorHAnsi"/>
                <w:szCs w:val="20"/>
              </w:rPr>
            </w:pPr>
            <w:r w:rsidRPr="00503F46">
              <w:rPr>
                <w:rFonts w:asciiTheme="minorHAnsi" w:hAnsiTheme="minorHAnsi" w:cstheme="minorHAnsi"/>
                <w:szCs w:val="20"/>
              </w:rPr>
              <w:t>Household without children</w:t>
            </w:r>
          </w:p>
        </w:tc>
        <w:tc>
          <w:tcPr>
            <w:tcW w:w="1796" w:type="dxa"/>
            <w:gridSpan w:val="3"/>
            <w:tcBorders>
              <w:top w:val="single" w:color="B12732" w:sz="8" w:space="0"/>
              <w:bottom w:val="single" w:color="A6A6A6" w:themeColor="background1" w:themeShade="A6" w:sz="4" w:space="0"/>
            </w:tcBorders>
          </w:tcPr>
          <w:p w:rsidRPr="00503F46" w:rsidR="00EC63B1" w:rsidP="00CB6433" w:rsidRDefault="00EC63B1" w14:paraId="5EB545ED" w14:textId="77777777">
            <w:pPr>
              <w:pStyle w:val="BodyText-IPR"/>
              <w:keepNext/>
              <w:spacing w:after="0"/>
              <w:jc w:val="center"/>
              <w:rPr>
                <w:rFonts w:asciiTheme="minorHAnsi" w:hAnsiTheme="minorHAnsi" w:cstheme="minorHAnsi"/>
                <w:szCs w:val="20"/>
              </w:rPr>
            </w:pPr>
            <w:r w:rsidRPr="00503F46">
              <w:rPr>
                <w:rFonts w:asciiTheme="minorHAnsi" w:hAnsiTheme="minorHAnsi" w:cstheme="minorHAnsi"/>
                <w:szCs w:val="20"/>
              </w:rPr>
              <w:t>Household with children</w:t>
            </w:r>
          </w:p>
        </w:tc>
        <w:tc>
          <w:tcPr>
            <w:tcW w:w="1930" w:type="dxa"/>
            <w:gridSpan w:val="3"/>
            <w:tcBorders>
              <w:top w:val="single" w:color="B12732" w:sz="8" w:space="0"/>
            </w:tcBorders>
          </w:tcPr>
          <w:p w:rsidRPr="00503F46" w:rsidR="00EC63B1" w:rsidP="00CB6433" w:rsidRDefault="00EC63B1" w14:paraId="6B4879CD" w14:textId="77777777">
            <w:pPr>
              <w:pStyle w:val="BodyText-IPR"/>
              <w:keepNext/>
              <w:spacing w:after="0"/>
              <w:jc w:val="center"/>
              <w:rPr>
                <w:rFonts w:asciiTheme="minorHAnsi" w:hAnsiTheme="minorHAnsi" w:cstheme="minorHAnsi"/>
                <w:szCs w:val="20"/>
              </w:rPr>
            </w:pPr>
            <w:r w:rsidRPr="00503F46">
              <w:rPr>
                <w:rFonts w:asciiTheme="minorHAnsi" w:hAnsiTheme="minorHAnsi" w:cstheme="minorHAnsi"/>
                <w:szCs w:val="20"/>
              </w:rPr>
              <w:t>Household without children</w:t>
            </w:r>
          </w:p>
        </w:tc>
      </w:tr>
      <w:tr w:rsidR="00EC63B1" w:rsidTr="002B0C69" w14:paraId="42F897C9" w14:textId="77777777">
        <w:trPr>
          <w:trHeight w:val="360"/>
        </w:trPr>
        <w:tc>
          <w:tcPr>
            <w:tcW w:w="1984" w:type="dxa"/>
            <w:tcBorders>
              <w:top w:val="single" w:color="A6A6A6" w:themeColor="background1" w:themeShade="A6" w:sz="4" w:space="0"/>
              <w:left w:val="nil"/>
              <w:bottom w:val="single" w:color="A6A6A6" w:themeColor="background1" w:themeShade="A6" w:sz="4" w:space="0"/>
              <w:right w:val="single" w:color="A6A6A6" w:themeColor="background1" w:themeShade="A6" w:sz="4" w:space="0"/>
            </w:tcBorders>
          </w:tcPr>
          <w:p w:rsidRPr="00503F46" w:rsidR="00EC63B1" w:rsidP="002B0C69" w:rsidRDefault="00EC63B1" w14:paraId="768CD188" w14:textId="77777777">
            <w:pPr>
              <w:pStyle w:val="TableHeaderRow-IPR"/>
              <w:jc w:val="left"/>
              <w:rPr>
                <w:rFonts w:asciiTheme="minorHAnsi" w:hAnsiTheme="minorHAnsi" w:cstheme="minorHAnsi"/>
                <w:b w:val="0"/>
                <w:bCs/>
                <w:sz w:val="20"/>
                <w:szCs w:val="20"/>
              </w:rPr>
            </w:pPr>
            <w:r w:rsidRPr="00503F46">
              <w:rPr>
                <w:rFonts w:asciiTheme="minorHAnsi" w:hAnsiTheme="minorHAnsi" w:cstheme="minorHAnsi"/>
                <w:b w:val="0"/>
                <w:bCs/>
                <w:sz w:val="20"/>
                <w:szCs w:val="20"/>
              </w:rPr>
              <w:t>Food security status</w:t>
            </w:r>
          </w:p>
        </w:tc>
        <w:tc>
          <w:tcPr>
            <w:tcW w:w="594" w:type="dxa"/>
            <w:tcBorders>
              <w:left w:val="single" w:color="A6A6A6" w:themeColor="background1" w:themeShade="A6" w:sz="4" w:space="0"/>
              <w:bottom w:val="single" w:color="A6A6A6" w:themeColor="background1" w:themeShade="A6" w:sz="4" w:space="0"/>
            </w:tcBorders>
            <w:shd w:val="clear" w:color="auto" w:fill="F2F2F2" w:themeFill="background1" w:themeFillShade="F2"/>
          </w:tcPr>
          <w:p w:rsidRPr="00503F46" w:rsidR="00EC63B1" w:rsidP="002B0C69" w:rsidRDefault="00EC63B1" w14:paraId="134F3390" w14:textId="77777777">
            <w:pPr>
              <w:pStyle w:val="BodyText-IPR"/>
              <w:spacing w:after="0"/>
              <w:jc w:val="center"/>
              <w:rPr>
                <w:rFonts w:asciiTheme="minorHAnsi" w:hAnsiTheme="minorHAnsi" w:cstheme="minorHAnsi"/>
                <w:szCs w:val="20"/>
              </w:rPr>
            </w:pPr>
            <w:r w:rsidRPr="00503F46">
              <w:rPr>
                <w:rFonts w:asciiTheme="minorHAnsi" w:hAnsiTheme="minorHAnsi" w:cstheme="minorHAnsi"/>
                <w:szCs w:val="20"/>
              </w:rPr>
              <w:t>FS</w:t>
            </w:r>
          </w:p>
        </w:tc>
        <w:tc>
          <w:tcPr>
            <w:tcW w:w="599" w:type="dxa"/>
            <w:tcBorders>
              <w:bottom w:val="single" w:color="A6A6A6" w:themeColor="background1" w:themeShade="A6" w:sz="4" w:space="0"/>
            </w:tcBorders>
            <w:shd w:val="clear" w:color="auto" w:fill="F2F2F2" w:themeFill="background1" w:themeFillShade="F2"/>
          </w:tcPr>
          <w:p w:rsidRPr="00503F46" w:rsidR="00EC63B1" w:rsidP="002B0C69" w:rsidRDefault="00EC63B1" w14:paraId="6079D72E" w14:textId="77777777">
            <w:pPr>
              <w:pStyle w:val="BodyText-IPR"/>
              <w:spacing w:after="0"/>
              <w:jc w:val="center"/>
              <w:rPr>
                <w:rFonts w:asciiTheme="minorHAnsi" w:hAnsiTheme="minorHAnsi" w:cstheme="minorHAnsi"/>
                <w:szCs w:val="20"/>
              </w:rPr>
            </w:pPr>
            <w:r w:rsidRPr="00503F46">
              <w:rPr>
                <w:rFonts w:asciiTheme="minorHAnsi" w:hAnsiTheme="minorHAnsi" w:cstheme="minorHAnsi"/>
                <w:szCs w:val="20"/>
              </w:rPr>
              <w:t>LFS</w:t>
            </w:r>
          </w:p>
        </w:tc>
        <w:tc>
          <w:tcPr>
            <w:tcW w:w="602" w:type="dxa"/>
            <w:tcBorders>
              <w:bottom w:val="single" w:color="A6A6A6" w:themeColor="background1" w:themeShade="A6" w:sz="4" w:space="0"/>
            </w:tcBorders>
            <w:shd w:val="clear" w:color="auto" w:fill="F2F2F2" w:themeFill="background1" w:themeFillShade="F2"/>
          </w:tcPr>
          <w:p w:rsidRPr="00503F46" w:rsidR="00EC63B1" w:rsidP="002B0C69" w:rsidRDefault="00EC63B1" w14:paraId="3D40DE92" w14:textId="77777777">
            <w:pPr>
              <w:pStyle w:val="BodyText-IPR"/>
              <w:spacing w:after="0"/>
              <w:jc w:val="center"/>
              <w:rPr>
                <w:rFonts w:asciiTheme="minorHAnsi" w:hAnsiTheme="minorHAnsi" w:cstheme="minorHAnsi"/>
                <w:szCs w:val="20"/>
              </w:rPr>
            </w:pPr>
            <w:r w:rsidRPr="00503F46">
              <w:rPr>
                <w:rFonts w:asciiTheme="minorHAnsi" w:hAnsiTheme="minorHAnsi" w:cstheme="minorHAnsi"/>
                <w:szCs w:val="20"/>
              </w:rPr>
              <w:t>VLFS</w:t>
            </w:r>
          </w:p>
        </w:tc>
        <w:tc>
          <w:tcPr>
            <w:tcW w:w="596" w:type="dxa"/>
            <w:tcBorders>
              <w:bottom w:val="single" w:color="A6A6A6" w:themeColor="background1" w:themeShade="A6" w:sz="4" w:space="0"/>
            </w:tcBorders>
            <w:shd w:val="clear" w:color="auto" w:fill="F2F2F2" w:themeFill="background1" w:themeFillShade="F2"/>
          </w:tcPr>
          <w:p w:rsidRPr="00503F46" w:rsidR="00EC63B1" w:rsidP="002B0C69" w:rsidRDefault="00EC63B1" w14:paraId="7CA75F3A" w14:textId="77777777">
            <w:pPr>
              <w:pStyle w:val="BodyText-IPR"/>
              <w:spacing w:after="0"/>
              <w:jc w:val="center"/>
              <w:rPr>
                <w:rFonts w:asciiTheme="minorHAnsi" w:hAnsiTheme="minorHAnsi" w:cstheme="minorHAnsi"/>
                <w:szCs w:val="20"/>
              </w:rPr>
            </w:pPr>
            <w:r w:rsidRPr="00503F46">
              <w:rPr>
                <w:rFonts w:asciiTheme="minorHAnsi" w:hAnsiTheme="minorHAnsi" w:cstheme="minorHAnsi"/>
                <w:szCs w:val="20"/>
              </w:rPr>
              <w:t>FS</w:t>
            </w:r>
          </w:p>
        </w:tc>
        <w:tc>
          <w:tcPr>
            <w:tcW w:w="598" w:type="dxa"/>
            <w:tcBorders>
              <w:bottom w:val="single" w:color="A6A6A6" w:themeColor="background1" w:themeShade="A6" w:sz="4" w:space="0"/>
            </w:tcBorders>
            <w:shd w:val="clear" w:color="auto" w:fill="F2F2F2" w:themeFill="background1" w:themeFillShade="F2"/>
          </w:tcPr>
          <w:p w:rsidRPr="00503F46" w:rsidR="00EC63B1" w:rsidP="002B0C69" w:rsidRDefault="00EC63B1" w14:paraId="3BFD2C42" w14:textId="77777777">
            <w:pPr>
              <w:pStyle w:val="BodyText-IPR"/>
              <w:spacing w:after="0"/>
              <w:jc w:val="center"/>
              <w:rPr>
                <w:rFonts w:asciiTheme="minorHAnsi" w:hAnsiTheme="minorHAnsi" w:cstheme="minorHAnsi"/>
                <w:szCs w:val="20"/>
              </w:rPr>
            </w:pPr>
            <w:r w:rsidRPr="00503F46">
              <w:rPr>
                <w:rFonts w:asciiTheme="minorHAnsi" w:hAnsiTheme="minorHAnsi" w:cstheme="minorHAnsi"/>
                <w:szCs w:val="20"/>
              </w:rPr>
              <w:t>LFS</w:t>
            </w:r>
          </w:p>
        </w:tc>
        <w:tc>
          <w:tcPr>
            <w:tcW w:w="603" w:type="dxa"/>
            <w:tcBorders>
              <w:bottom w:val="single" w:color="A6A6A6" w:themeColor="background1" w:themeShade="A6" w:sz="4" w:space="0"/>
            </w:tcBorders>
            <w:shd w:val="clear" w:color="auto" w:fill="F2F2F2" w:themeFill="background1" w:themeFillShade="F2"/>
          </w:tcPr>
          <w:p w:rsidRPr="00503F46" w:rsidR="00EC63B1" w:rsidP="002B0C69" w:rsidRDefault="00EC63B1" w14:paraId="7A97A0F0" w14:textId="77777777">
            <w:pPr>
              <w:pStyle w:val="BodyText-IPR"/>
              <w:spacing w:after="0"/>
              <w:jc w:val="center"/>
              <w:rPr>
                <w:rFonts w:asciiTheme="minorHAnsi" w:hAnsiTheme="minorHAnsi" w:cstheme="minorHAnsi"/>
                <w:szCs w:val="20"/>
              </w:rPr>
            </w:pPr>
            <w:r w:rsidRPr="00503F46">
              <w:rPr>
                <w:rFonts w:asciiTheme="minorHAnsi" w:hAnsiTheme="minorHAnsi" w:cstheme="minorHAnsi"/>
                <w:szCs w:val="20"/>
              </w:rPr>
              <w:t>VLFS</w:t>
            </w:r>
          </w:p>
        </w:tc>
        <w:tc>
          <w:tcPr>
            <w:tcW w:w="595" w:type="dxa"/>
            <w:tcBorders>
              <w:top w:val="single" w:color="A6A6A6" w:themeColor="background1" w:themeShade="A6" w:sz="4" w:space="0"/>
              <w:bottom w:val="single" w:color="A6A6A6" w:themeColor="background1" w:themeShade="A6" w:sz="4" w:space="0"/>
            </w:tcBorders>
          </w:tcPr>
          <w:p w:rsidRPr="00503F46" w:rsidR="00EC63B1" w:rsidP="002B0C69" w:rsidRDefault="00EC63B1" w14:paraId="26060389" w14:textId="77777777">
            <w:pPr>
              <w:pStyle w:val="BodyText-IPR"/>
              <w:spacing w:after="0"/>
              <w:jc w:val="center"/>
              <w:rPr>
                <w:rFonts w:asciiTheme="minorHAnsi" w:hAnsiTheme="minorHAnsi" w:cstheme="minorHAnsi"/>
                <w:szCs w:val="20"/>
              </w:rPr>
            </w:pPr>
            <w:r w:rsidRPr="00503F46">
              <w:rPr>
                <w:rFonts w:asciiTheme="minorHAnsi" w:hAnsiTheme="minorHAnsi" w:cstheme="minorHAnsi"/>
                <w:szCs w:val="20"/>
              </w:rPr>
              <w:t>FS</w:t>
            </w:r>
          </w:p>
        </w:tc>
        <w:tc>
          <w:tcPr>
            <w:tcW w:w="599" w:type="dxa"/>
            <w:tcBorders>
              <w:top w:val="single" w:color="A6A6A6" w:themeColor="background1" w:themeShade="A6" w:sz="4" w:space="0"/>
              <w:bottom w:val="single" w:color="A6A6A6" w:themeColor="background1" w:themeShade="A6" w:sz="4" w:space="0"/>
            </w:tcBorders>
          </w:tcPr>
          <w:p w:rsidRPr="00503F46" w:rsidR="00EC63B1" w:rsidP="002B0C69" w:rsidRDefault="00EC63B1" w14:paraId="4FC26B6C" w14:textId="77777777">
            <w:pPr>
              <w:pStyle w:val="BodyText-IPR"/>
              <w:spacing w:after="0"/>
              <w:jc w:val="center"/>
              <w:rPr>
                <w:rFonts w:asciiTheme="minorHAnsi" w:hAnsiTheme="minorHAnsi" w:cstheme="minorHAnsi"/>
                <w:szCs w:val="20"/>
              </w:rPr>
            </w:pPr>
            <w:r w:rsidRPr="00503F46">
              <w:rPr>
                <w:rFonts w:asciiTheme="minorHAnsi" w:hAnsiTheme="minorHAnsi" w:cstheme="minorHAnsi"/>
                <w:szCs w:val="20"/>
              </w:rPr>
              <w:t>LFS</w:t>
            </w:r>
          </w:p>
        </w:tc>
        <w:tc>
          <w:tcPr>
            <w:tcW w:w="602" w:type="dxa"/>
            <w:tcBorders>
              <w:top w:val="single" w:color="A6A6A6" w:themeColor="background1" w:themeShade="A6" w:sz="4" w:space="0"/>
              <w:bottom w:val="single" w:color="A6A6A6" w:themeColor="background1" w:themeShade="A6" w:sz="4" w:space="0"/>
            </w:tcBorders>
          </w:tcPr>
          <w:p w:rsidRPr="00503F46" w:rsidR="00EC63B1" w:rsidP="002B0C69" w:rsidRDefault="00EC63B1" w14:paraId="709FE11A" w14:textId="77777777">
            <w:pPr>
              <w:pStyle w:val="BodyText-IPR"/>
              <w:spacing w:after="0"/>
              <w:jc w:val="center"/>
              <w:rPr>
                <w:rFonts w:asciiTheme="minorHAnsi" w:hAnsiTheme="minorHAnsi" w:cstheme="minorHAnsi"/>
                <w:szCs w:val="20"/>
              </w:rPr>
            </w:pPr>
            <w:r w:rsidRPr="00503F46">
              <w:rPr>
                <w:rFonts w:asciiTheme="minorHAnsi" w:hAnsiTheme="minorHAnsi" w:cstheme="minorHAnsi"/>
                <w:szCs w:val="20"/>
              </w:rPr>
              <w:t>VLFS</w:t>
            </w:r>
          </w:p>
        </w:tc>
        <w:tc>
          <w:tcPr>
            <w:tcW w:w="596" w:type="dxa"/>
            <w:tcBorders>
              <w:bottom w:val="single" w:color="A6A6A6" w:themeColor="background1" w:themeShade="A6" w:sz="4" w:space="0"/>
            </w:tcBorders>
          </w:tcPr>
          <w:p w:rsidRPr="00503F46" w:rsidR="00EC63B1" w:rsidP="002B0C69" w:rsidRDefault="00EC63B1" w14:paraId="408B9E9A" w14:textId="77777777">
            <w:pPr>
              <w:pStyle w:val="BodyText-IPR"/>
              <w:spacing w:after="0"/>
              <w:jc w:val="center"/>
              <w:rPr>
                <w:rFonts w:asciiTheme="minorHAnsi" w:hAnsiTheme="minorHAnsi" w:cstheme="minorHAnsi"/>
                <w:szCs w:val="20"/>
              </w:rPr>
            </w:pPr>
            <w:r w:rsidRPr="00503F46">
              <w:rPr>
                <w:rFonts w:asciiTheme="minorHAnsi" w:hAnsiTheme="minorHAnsi" w:cstheme="minorHAnsi"/>
                <w:szCs w:val="20"/>
              </w:rPr>
              <w:t>FS</w:t>
            </w:r>
          </w:p>
        </w:tc>
        <w:tc>
          <w:tcPr>
            <w:tcW w:w="598" w:type="dxa"/>
            <w:tcBorders>
              <w:bottom w:val="single" w:color="A6A6A6" w:themeColor="background1" w:themeShade="A6" w:sz="4" w:space="0"/>
            </w:tcBorders>
          </w:tcPr>
          <w:p w:rsidRPr="00503F46" w:rsidR="00EC63B1" w:rsidP="002B0C69" w:rsidRDefault="00EC63B1" w14:paraId="47505309" w14:textId="77777777">
            <w:pPr>
              <w:pStyle w:val="BodyText-IPR"/>
              <w:spacing w:after="0"/>
              <w:jc w:val="center"/>
              <w:rPr>
                <w:rFonts w:asciiTheme="minorHAnsi" w:hAnsiTheme="minorHAnsi" w:cstheme="minorHAnsi"/>
                <w:szCs w:val="20"/>
              </w:rPr>
            </w:pPr>
            <w:r w:rsidRPr="00503F46">
              <w:rPr>
                <w:rFonts w:asciiTheme="minorHAnsi" w:hAnsiTheme="minorHAnsi" w:cstheme="minorHAnsi"/>
                <w:szCs w:val="20"/>
              </w:rPr>
              <w:t>LFS</w:t>
            </w:r>
          </w:p>
        </w:tc>
        <w:tc>
          <w:tcPr>
            <w:tcW w:w="736" w:type="dxa"/>
            <w:tcBorders>
              <w:bottom w:val="single" w:color="A6A6A6" w:themeColor="background1" w:themeShade="A6" w:sz="4" w:space="0"/>
            </w:tcBorders>
          </w:tcPr>
          <w:p w:rsidRPr="00503F46" w:rsidR="00EC63B1" w:rsidP="002B0C69" w:rsidRDefault="00EC63B1" w14:paraId="6F8E58FB" w14:textId="77777777">
            <w:pPr>
              <w:pStyle w:val="BodyText-IPR"/>
              <w:spacing w:after="0"/>
              <w:jc w:val="center"/>
              <w:rPr>
                <w:rFonts w:asciiTheme="minorHAnsi" w:hAnsiTheme="minorHAnsi" w:cstheme="minorHAnsi"/>
                <w:szCs w:val="20"/>
              </w:rPr>
            </w:pPr>
            <w:r w:rsidRPr="00503F46">
              <w:rPr>
                <w:rFonts w:asciiTheme="minorHAnsi" w:hAnsiTheme="minorHAnsi" w:cstheme="minorHAnsi"/>
                <w:szCs w:val="20"/>
              </w:rPr>
              <w:t>VLFS</w:t>
            </w:r>
          </w:p>
        </w:tc>
      </w:tr>
      <w:tr w:rsidR="00EC63B1" w:rsidTr="002B0C69" w14:paraId="742F7EE9" w14:textId="77777777">
        <w:trPr>
          <w:trHeight w:val="360"/>
        </w:trPr>
        <w:tc>
          <w:tcPr>
            <w:tcW w:w="1984" w:type="dxa"/>
            <w:tcBorders>
              <w:top w:val="single" w:color="A6A6A6" w:themeColor="background1" w:themeShade="A6" w:sz="4" w:space="0"/>
              <w:left w:val="nil"/>
              <w:bottom w:val="single" w:color="7F7F7F" w:themeColor="text1" w:themeTint="80" w:sz="18" w:space="0"/>
              <w:right w:val="single" w:color="A6A6A6" w:themeColor="background1" w:themeShade="A6" w:sz="4" w:space="0"/>
            </w:tcBorders>
          </w:tcPr>
          <w:p w:rsidRPr="00503F46" w:rsidR="00EC63B1" w:rsidP="002B0C69" w:rsidRDefault="00EC63B1" w14:paraId="55E3C492" w14:textId="77777777">
            <w:pPr>
              <w:pStyle w:val="TableHeaderRow-IPR"/>
              <w:jc w:val="left"/>
              <w:rPr>
                <w:rFonts w:asciiTheme="minorHAnsi" w:hAnsiTheme="minorHAnsi" w:cstheme="minorHAnsi"/>
                <w:b w:val="0"/>
                <w:bCs/>
                <w:sz w:val="20"/>
                <w:szCs w:val="20"/>
              </w:rPr>
            </w:pPr>
            <w:r w:rsidRPr="00503F46">
              <w:rPr>
                <w:rFonts w:asciiTheme="minorHAnsi" w:hAnsiTheme="minorHAnsi" w:cstheme="minorHAnsi"/>
                <w:b w:val="0"/>
                <w:bCs/>
                <w:sz w:val="20"/>
                <w:szCs w:val="20"/>
              </w:rPr>
              <w:t>Target number of completed interviews</w:t>
            </w:r>
          </w:p>
        </w:tc>
        <w:tc>
          <w:tcPr>
            <w:tcW w:w="594" w:type="dxa"/>
            <w:tcBorders>
              <w:top w:val="single" w:color="A6A6A6" w:themeColor="background1" w:themeShade="A6" w:sz="4" w:space="0"/>
              <w:left w:val="single" w:color="A6A6A6" w:themeColor="background1" w:themeShade="A6" w:sz="4" w:space="0"/>
              <w:bottom w:val="single" w:color="7F7F7F" w:themeColor="text1" w:themeTint="80" w:sz="18" w:space="0"/>
            </w:tcBorders>
          </w:tcPr>
          <w:p w:rsidRPr="00503F46" w:rsidR="00EC63B1" w:rsidP="002B0C69" w:rsidRDefault="00EC63B1" w14:paraId="1DF90AFB" w14:textId="77777777">
            <w:pPr>
              <w:pStyle w:val="BodyText-IPR"/>
              <w:spacing w:after="0"/>
              <w:jc w:val="center"/>
              <w:rPr>
                <w:rFonts w:asciiTheme="minorHAnsi" w:hAnsiTheme="minorHAnsi" w:cstheme="minorHAnsi"/>
                <w:szCs w:val="20"/>
              </w:rPr>
            </w:pPr>
            <w:r w:rsidRPr="00503F46">
              <w:rPr>
                <w:rFonts w:asciiTheme="minorHAnsi" w:hAnsiTheme="minorHAnsi" w:cstheme="minorHAnsi"/>
                <w:szCs w:val="20"/>
              </w:rPr>
              <w:t>12</w:t>
            </w:r>
          </w:p>
        </w:tc>
        <w:tc>
          <w:tcPr>
            <w:tcW w:w="599" w:type="dxa"/>
            <w:tcBorders>
              <w:top w:val="single" w:color="A6A6A6" w:themeColor="background1" w:themeShade="A6" w:sz="4" w:space="0"/>
              <w:bottom w:val="single" w:color="7F7F7F" w:themeColor="text1" w:themeTint="80" w:sz="18" w:space="0"/>
            </w:tcBorders>
          </w:tcPr>
          <w:p w:rsidRPr="00503F46" w:rsidR="00EC63B1" w:rsidP="002B0C69" w:rsidRDefault="00EC63B1" w14:paraId="7626EEE9" w14:textId="77777777">
            <w:pPr>
              <w:pStyle w:val="BodyText-IPR"/>
              <w:spacing w:after="0"/>
              <w:jc w:val="center"/>
              <w:rPr>
                <w:rFonts w:asciiTheme="minorHAnsi" w:hAnsiTheme="minorHAnsi" w:cstheme="minorHAnsi"/>
                <w:szCs w:val="20"/>
              </w:rPr>
            </w:pPr>
            <w:r w:rsidRPr="00503F46">
              <w:rPr>
                <w:rFonts w:asciiTheme="minorHAnsi" w:hAnsiTheme="minorHAnsi" w:cstheme="minorHAnsi"/>
                <w:szCs w:val="20"/>
              </w:rPr>
              <w:t>12</w:t>
            </w:r>
          </w:p>
        </w:tc>
        <w:tc>
          <w:tcPr>
            <w:tcW w:w="602" w:type="dxa"/>
            <w:tcBorders>
              <w:top w:val="single" w:color="A6A6A6" w:themeColor="background1" w:themeShade="A6" w:sz="4" w:space="0"/>
              <w:bottom w:val="single" w:color="7F7F7F" w:themeColor="text1" w:themeTint="80" w:sz="18" w:space="0"/>
            </w:tcBorders>
          </w:tcPr>
          <w:p w:rsidRPr="00503F46" w:rsidR="00EC63B1" w:rsidP="002B0C69" w:rsidRDefault="00EC63B1" w14:paraId="4EA85588" w14:textId="77777777">
            <w:pPr>
              <w:pStyle w:val="BodyText-IPR"/>
              <w:spacing w:after="0"/>
              <w:jc w:val="center"/>
              <w:rPr>
                <w:rFonts w:asciiTheme="minorHAnsi" w:hAnsiTheme="minorHAnsi" w:cstheme="minorHAnsi"/>
                <w:szCs w:val="20"/>
              </w:rPr>
            </w:pPr>
            <w:r w:rsidRPr="00503F46">
              <w:rPr>
                <w:rFonts w:asciiTheme="minorHAnsi" w:hAnsiTheme="minorHAnsi" w:cstheme="minorHAnsi"/>
                <w:szCs w:val="20"/>
              </w:rPr>
              <w:t>12</w:t>
            </w:r>
          </w:p>
        </w:tc>
        <w:tc>
          <w:tcPr>
            <w:tcW w:w="596" w:type="dxa"/>
            <w:tcBorders>
              <w:top w:val="single" w:color="A6A6A6" w:themeColor="background1" w:themeShade="A6" w:sz="4" w:space="0"/>
              <w:bottom w:val="single" w:color="7F7F7F" w:themeColor="text1" w:themeTint="80" w:sz="18" w:space="0"/>
            </w:tcBorders>
          </w:tcPr>
          <w:p w:rsidRPr="00503F46" w:rsidR="00EC63B1" w:rsidP="002B0C69" w:rsidRDefault="00EC63B1" w14:paraId="2AE62A09" w14:textId="77777777">
            <w:pPr>
              <w:pStyle w:val="BodyText-IPR"/>
              <w:spacing w:after="0"/>
              <w:jc w:val="center"/>
              <w:rPr>
                <w:rFonts w:asciiTheme="minorHAnsi" w:hAnsiTheme="minorHAnsi" w:cstheme="minorHAnsi"/>
                <w:szCs w:val="20"/>
              </w:rPr>
            </w:pPr>
            <w:r w:rsidRPr="00503F46">
              <w:rPr>
                <w:rFonts w:asciiTheme="minorHAnsi" w:hAnsiTheme="minorHAnsi" w:cstheme="minorHAnsi"/>
                <w:szCs w:val="20"/>
              </w:rPr>
              <w:t>12</w:t>
            </w:r>
          </w:p>
        </w:tc>
        <w:tc>
          <w:tcPr>
            <w:tcW w:w="598" w:type="dxa"/>
            <w:tcBorders>
              <w:top w:val="single" w:color="A6A6A6" w:themeColor="background1" w:themeShade="A6" w:sz="4" w:space="0"/>
              <w:bottom w:val="single" w:color="7F7F7F" w:themeColor="text1" w:themeTint="80" w:sz="18" w:space="0"/>
            </w:tcBorders>
          </w:tcPr>
          <w:p w:rsidRPr="00503F46" w:rsidR="00EC63B1" w:rsidP="002B0C69" w:rsidRDefault="00EC63B1" w14:paraId="5AE756C3" w14:textId="77777777">
            <w:pPr>
              <w:pStyle w:val="BodyText-IPR"/>
              <w:spacing w:after="0"/>
              <w:jc w:val="center"/>
              <w:rPr>
                <w:rFonts w:asciiTheme="minorHAnsi" w:hAnsiTheme="minorHAnsi" w:cstheme="minorHAnsi"/>
                <w:szCs w:val="20"/>
              </w:rPr>
            </w:pPr>
            <w:r w:rsidRPr="00503F46">
              <w:rPr>
                <w:rFonts w:asciiTheme="minorHAnsi" w:hAnsiTheme="minorHAnsi" w:cstheme="minorHAnsi"/>
                <w:szCs w:val="20"/>
              </w:rPr>
              <w:t>12</w:t>
            </w:r>
          </w:p>
        </w:tc>
        <w:tc>
          <w:tcPr>
            <w:tcW w:w="603" w:type="dxa"/>
            <w:tcBorders>
              <w:top w:val="single" w:color="A6A6A6" w:themeColor="background1" w:themeShade="A6" w:sz="4" w:space="0"/>
              <w:bottom w:val="single" w:color="7F7F7F" w:themeColor="text1" w:themeTint="80" w:sz="18" w:space="0"/>
            </w:tcBorders>
          </w:tcPr>
          <w:p w:rsidRPr="00503F46" w:rsidR="00EC63B1" w:rsidP="002B0C69" w:rsidRDefault="00EC63B1" w14:paraId="77F85938" w14:textId="77777777">
            <w:pPr>
              <w:pStyle w:val="BodyText-IPR"/>
              <w:spacing w:after="0"/>
              <w:jc w:val="center"/>
              <w:rPr>
                <w:rFonts w:asciiTheme="minorHAnsi" w:hAnsiTheme="minorHAnsi" w:cstheme="minorHAnsi"/>
                <w:szCs w:val="20"/>
              </w:rPr>
            </w:pPr>
            <w:r w:rsidRPr="00503F46">
              <w:rPr>
                <w:rFonts w:asciiTheme="minorHAnsi" w:hAnsiTheme="minorHAnsi" w:cstheme="minorHAnsi"/>
                <w:szCs w:val="20"/>
              </w:rPr>
              <w:t>12</w:t>
            </w:r>
          </w:p>
        </w:tc>
        <w:tc>
          <w:tcPr>
            <w:tcW w:w="595" w:type="dxa"/>
            <w:tcBorders>
              <w:top w:val="single" w:color="A6A6A6" w:themeColor="background1" w:themeShade="A6" w:sz="4" w:space="0"/>
              <w:bottom w:val="single" w:color="7F7F7F" w:themeColor="text1" w:themeTint="80" w:sz="18" w:space="0"/>
            </w:tcBorders>
          </w:tcPr>
          <w:p w:rsidRPr="00503F46" w:rsidR="00EC63B1" w:rsidP="002B0C69" w:rsidRDefault="00EC63B1" w14:paraId="0D83A625" w14:textId="77777777">
            <w:pPr>
              <w:pStyle w:val="BodyText-IPR"/>
              <w:spacing w:after="0"/>
              <w:jc w:val="center"/>
              <w:rPr>
                <w:rFonts w:asciiTheme="minorHAnsi" w:hAnsiTheme="minorHAnsi" w:cstheme="minorHAnsi"/>
                <w:szCs w:val="20"/>
              </w:rPr>
            </w:pPr>
            <w:r w:rsidRPr="00503F46">
              <w:rPr>
                <w:rFonts w:asciiTheme="minorHAnsi" w:hAnsiTheme="minorHAnsi" w:cstheme="minorHAnsi"/>
                <w:szCs w:val="20"/>
              </w:rPr>
              <w:t>12</w:t>
            </w:r>
          </w:p>
        </w:tc>
        <w:tc>
          <w:tcPr>
            <w:tcW w:w="599" w:type="dxa"/>
            <w:tcBorders>
              <w:top w:val="single" w:color="A6A6A6" w:themeColor="background1" w:themeShade="A6" w:sz="4" w:space="0"/>
              <w:bottom w:val="single" w:color="7F7F7F" w:themeColor="text1" w:themeTint="80" w:sz="18" w:space="0"/>
            </w:tcBorders>
          </w:tcPr>
          <w:p w:rsidRPr="00503F46" w:rsidR="00EC63B1" w:rsidP="002B0C69" w:rsidRDefault="00EC63B1" w14:paraId="0E898308" w14:textId="77777777">
            <w:pPr>
              <w:pStyle w:val="BodyText-IPR"/>
              <w:spacing w:after="0"/>
              <w:jc w:val="center"/>
              <w:rPr>
                <w:rFonts w:asciiTheme="minorHAnsi" w:hAnsiTheme="minorHAnsi" w:cstheme="minorHAnsi"/>
                <w:szCs w:val="20"/>
              </w:rPr>
            </w:pPr>
            <w:r w:rsidRPr="00503F46">
              <w:rPr>
                <w:rFonts w:asciiTheme="minorHAnsi" w:hAnsiTheme="minorHAnsi" w:cstheme="minorHAnsi"/>
                <w:szCs w:val="20"/>
              </w:rPr>
              <w:t>12</w:t>
            </w:r>
          </w:p>
        </w:tc>
        <w:tc>
          <w:tcPr>
            <w:tcW w:w="602" w:type="dxa"/>
            <w:tcBorders>
              <w:top w:val="single" w:color="A6A6A6" w:themeColor="background1" w:themeShade="A6" w:sz="4" w:space="0"/>
              <w:bottom w:val="single" w:color="7F7F7F" w:themeColor="text1" w:themeTint="80" w:sz="18" w:space="0"/>
            </w:tcBorders>
          </w:tcPr>
          <w:p w:rsidRPr="00503F46" w:rsidR="00EC63B1" w:rsidP="002B0C69" w:rsidRDefault="00EC63B1" w14:paraId="4C74761D" w14:textId="77777777">
            <w:pPr>
              <w:pStyle w:val="BodyText-IPR"/>
              <w:spacing w:after="0"/>
              <w:jc w:val="center"/>
              <w:rPr>
                <w:rFonts w:asciiTheme="minorHAnsi" w:hAnsiTheme="minorHAnsi" w:cstheme="minorHAnsi"/>
                <w:szCs w:val="20"/>
              </w:rPr>
            </w:pPr>
            <w:r w:rsidRPr="00503F46">
              <w:rPr>
                <w:rFonts w:asciiTheme="minorHAnsi" w:hAnsiTheme="minorHAnsi" w:cstheme="minorHAnsi"/>
                <w:szCs w:val="20"/>
              </w:rPr>
              <w:t>12</w:t>
            </w:r>
          </w:p>
        </w:tc>
        <w:tc>
          <w:tcPr>
            <w:tcW w:w="596" w:type="dxa"/>
            <w:tcBorders>
              <w:top w:val="single" w:color="A6A6A6" w:themeColor="background1" w:themeShade="A6" w:sz="4" w:space="0"/>
              <w:bottom w:val="single" w:color="7F7F7F" w:themeColor="text1" w:themeTint="80" w:sz="18" w:space="0"/>
            </w:tcBorders>
          </w:tcPr>
          <w:p w:rsidRPr="00503F46" w:rsidR="00EC63B1" w:rsidP="002B0C69" w:rsidRDefault="00EC63B1" w14:paraId="2AE416D2" w14:textId="77777777">
            <w:pPr>
              <w:pStyle w:val="BodyText-IPR"/>
              <w:spacing w:after="0"/>
              <w:jc w:val="center"/>
              <w:rPr>
                <w:rFonts w:asciiTheme="minorHAnsi" w:hAnsiTheme="minorHAnsi" w:cstheme="minorHAnsi"/>
                <w:szCs w:val="20"/>
              </w:rPr>
            </w:pPr>
            <w:r w:rsidRPr="00503F46">
              <w:rPr>
                <w:rFonts w:asciiTheme="minorHAnsi" w:hAnsiTheme="minorHAnsi" w:cstheme="minorHAnsi"/>
                <w:szCs w:val="20"/>
              </w:rPr>
              <w:t>12</w:t>
            </w:r>
          </w:p>
        </w:tc>
        <w:tc>
          <w:tcPr>
            <w:tcW w:w="598" w:type="dxa"/>
            <w:tcBorders>
              <w:top w:val="single" w:color="A6A6A6" w:themeColor="background1" w:themeShade="A6" w:sz="4" w:space="0"/>
              <w:bottom w:val="single" w:color="7F7F7F" w:themeColor="text1" w:themeTint="80" w:sz="18" w:space="0"/>
            </w:tcBorders>
          </w:tcPr>
          <w:p w:rsidRPr="00503F46" w:rsidR="00EC63B1" w:rsidP="002B0C69" w:rsidRDefault="00EC63B1" w14:paraId="0B4C396E" w14:textId="77777777">
            <w:pPr>
              <w:pStyle w:val="BodyText-IPR"/>
              <w:spacing w:after="0"/>
              <w:jc w:val="center"/>
              <w:rPr>
                <w:rFonts w:asciiTheme="minorHAnsi" w:hAnsiTheme="minorHAnsi" w:cstheme="minorHAnsi"/>
                <w:szCs w:val="20"/>
              </w:rPr>
            </w:pPr>
            <w:r w:rsidRPr="00503F46">
              <w:rPr>
                <w:rFonts w:asciiTheme="minorHAnsi" w:hAnsiTheme="minorHAnsi" w:cstheme="minorHAnsi"/>
                <w:szCs w:val="20"/>
              </w:rPr>
              <w:t>12</w:t>
            </w:r>
          </w:p>
        </w:tc>
        <w:tc>
          <w:tcPr>
            <w:tcW w:w="736" w:type="dxa"/>
            <w:tcBorders>
              <w:top w:val="single" w:color="A6A6A6" w:themeColor="background1" w:themeShade="A6" w:sz="4" w:space="0"/>
              <w:bottom w:val="single" w:color="7F7F7F" w:themeColor="text1" w:themeTint="80" w:sz="18" w:space="0"/>
            </w:tcBorders>
          </w:tcPr>
          <w:p w:rsidRPr="00503F46" w:rsidR="00EC63B1" w:rsidP="002B0C69" w:rsidRDefault="00EC63B1" w14:paraId="0643DADA" w14:textId="77777777">
            <w:pPr>
              <w:pStyle w:val="BodyText-IPR"/>
              <w:spacing w:after="0"/>
              <w:jc w:val="center"/>
              <w:rPr>
                <w:rFonts w:asciiTheme="minorHAnsi" w:hAnsiTheme="minorHAnsi" w:cstheme="minorHAnsi"/>
                <w:szCs w:val="20"/>
              </w:rPr>
            </w:pPr>
            <w:r w:rsidRPr="00503F46">
              <w:rPr>
                <w:rFonts w:asciiTheme="minorHAnsi" w:hAnsiTheme="minorHAnsi" w:cstheme="minorHAnsi"/>
                <w:szCs w:val="20"/>
              </w:rPr>
              <w:t>12</w:t>
            </w:r>
          </w:p>
        </w:tc>
      </w:tr>
    </w:tbl>
    <w:p w:rsidRPr="00960E81" w:rsidR="004B37B7" w:rsidP="00960E81" w:rsidRDefault="00EC63B1" w14:paraId="4734D455" w14:textId="4950DB66">
      <w:pPr>
        <w:pStyle w:val="FtnteBodyText-IPR"/>
        <w:spacing w:before="60"/>
        <w:rPr>
          <w:sz w:val="18"/>
          <w:szCs w:val="18"/>
        </w:rPr>
      </w:pPr>
      <w:r w:rsidRPr="00960E81">
        <w:rPr>
          <w:sz w:val="18"/>
          <w:szCs w:val="18"/>
        </w:rPr>
        <w:t>Notes: FS = food secure; LFS = low food secure; VLFS = very low food secure</w:t>
      </w:r>
    </w:p>
    <w:p w:rsidR="004B37B7" w:rsidP="00503F46" w:rsidRDefault="00F64691" w14:paraId="720A2C3E" w14:textId="732E3AC4">
      <w:pPr>
        <w:pStyle w:val="BodyText-IPR"/>
        <w:spacing w:line="480" w:lineRule="exact"/>
      </w:pPr>
      <w:r>
        <w:t xml:space="preserve">As recommended by a Technical Working Group member, the study team will allow for some flexibility regarding the number of completed interviews per subgroup. Interviewers will participate in weekly or biweekly meetings to discuss recruitment efforts, information gaps, and commonalities across interviewees and subgroups. </w:t>
      </w:r>
      <w:r w:rsidR="004843E4">
        <w:t xml:space="preserve">These discussions can help inform decisions about how many interviews are sufficient for a particular subgroup. </w:t>
      </w:r>
      <w:r>
        <w:t xml:space="preserve">If data collectors are unable to recruit </w:t>
      </w:r>
      <w:r w:rsidR="004843E4">
        <w:t xml:space="preserve">an acceptable number </w:t>
      </w:r>
      <w:r>
        <w:t>interviewees from the list of survey respondents who express interest, the study team will seek assistance from local community partners that serve the target</w:t>
      </w:r>
      <w:r w:rsidRPr="002608F4">
        <w:t xml:space="preserve"> population</w:t>
      </w:r>
      <w:r>
        <w:t xml:space="preserve">. </w:t>
      </w:r>
      <w:r w:rsidR="004843E4">
        <w:t xml:space="preserve">The team will provide a study announcement (see Appendix </w:t>
      </w:r>
      <w:r w:rsidR="004421E2">
        <w:t>I</w:t>
      </w:r>
      <w:r w:rsidR="004843E4">
        <w:t>.</w:t>
      </w:r>
      <w:r w:rsidR="00D76C2F">
        <w:t>3</w:t>
      </w:r>
      <w:r w:rsidR="004421E2">
        <w:t xml:space="preserve"> and I.</w:t>
      </w:r>
      <w:r w:rsidR="00D76C2F">
        <w:t>6</w:t>
      </w:r>
      <w:r w:rsidR="004843E4">
        <w:t xml:space="preserve">) for local partners to disseminate via social media or display in places where members of the target population are likely to see it. The announcement will include a brief description of the study and a toll-free number. Interviewers residing in Puerto Rico </w:t>
      </w:r>
      <w:r w:rsidR="004B37B7">
        <w:t xml:space="preserve">will answer calls to the toll-free number and use a screening script to determine whether a caller belongs to one of the subgroups </w:t>
      </w:r>
      <w:r w:rsidR="00505925">
        <w:t xml:space="preserve">being </w:t>
      </w:r>
      <w:r w:rsidR="004B37B7">
        <w:t>recruit</w:t>
      </w:r>
      <w:r w:rsidR="00505925">
        <w:t>ed</w:t>
      </w:r>
      <w:r w:rsidR="004816F1">
        <w:t xml:space="preserve"> (see </w:t>
      </w:r>
      <w:r w:rsidR="00505925">
        <w:t>A</w:t>
      </w:r>
      <w:r w:rsidR="004816F1">
        <w:t xml:space="preserve">ppendix </w:t>
      </w:r>
      <w:r w:rsidR="002A0E0D">
        <w:t>I</w:t>
      </w:r>
      <w:r w:rsidR="004843E4">
        <w:t>.</w:t>
      </w:r>
      <w:r w:rsidR="00D76C2F">
        <w:t>2</w:t>
      </w:r>
      <w:r w:rsidR="004421E2">
        <w:t xml:space="preserve"> and </w:t>
      </w:r>
      <w:r w:rsidR="002A0E0D">
        <w:t>I</w:t>
      </w:r>
      <w:r w:rsidR="004843E4">
        <w:t>.</w:t>
      </w:r>
      <w:r w:rsidR="00D76C2F">
        <w:t>5</w:t>
      </w:r>
      <w:r w:rsidR="004843E4">
        <w:t xml:space="preserve">). </w:t>
      </w:r>
      <w:r w:rsidR="004B37B7">
        <w:t xml:space="preserve">Screening questions will ask about NAP participation, presence of children in the household, and household income. </w:t>
      </w:r>
    </w:p>
    <w:p w:rsidR="004B37B7" w:rsidP="00503F46" w:rsidRDefault="004B37B7" w14:paraId="66CE4EEF" w14:textId="072F17BA">
      <w:pPr>
        <w:pStyle w:val="BodyText-IPR"/>
        <w:spacing w:after="120" w:line="480" w:lineRule="exact"/>
        <w:rPr>
          <w:b/>
          <w:bCs/>
          <w:i/>
          <w:iCs/>
        </w:rPr>
      </w:pPr>
      <w:r w:rsidRPr="002D3C5E">
        <w:rPr>
          <w:b/>
          <w:bCs/>
          <w:i/>
          <w:iCs/>
        </w:rPr>
        <w:t xml:space="preserve">Concept </w:t>
      </w:r>
      <w:r w:rsidR="00122326">
        <w:rPr>
          <w:b/>
          <w:bCs/>
          <w:i/>
          <w:iCs/>
        </w:rPr>
        <w:t>m</w:t>
      </w:r>
      <w:r w:rsidRPr="002D3C5E">
        <w:rPr>
          <w:b/>
          <w:bCs/>
          <w:i/>
          <w:iCs/>
        </w:rPr>
        <w:t>apping</w:t>
      </w:r>
    </w:p>
    <w:p w:rsidRPr="002D3C5E" w:rsidR="00A44350" w:rsidP="00503F46" w:rsidRDefault="00505925" w14:paraId="5C2316E7" w14:textId="1315E504">
      <w:pPr>
        <w:pStyle w:val="BodyText-IPR"/>
        <w:spacing w:line="480" w:lineRule="exact"/>
      </w:pPr>
      <w:r>
        <w:t xml:space="preserve">The study team </w:t>
      </w:r>
      <w:r w:rsidR="00A44350">
        <w:t xml:space="preserve">will </w:t>
      </w:r>
      <w:r w:rsidR="00A24669">
        <w:t xml:space="preserve">assemble </w:t>
      </w:r>
      <w:r w:rsidR="00A44350">
        <w:t>a list of stakeholders for the concept</w:t>
      </w:r>
      <w:r>
        <w:t>-</w:t>
      </w:r>
      <w:r w:rsidR="00A44350">
        <w:t>mapping task by asking F</w:t>
      </w:r>
      <w:r w:rsidRPr="005210BA" w:rsidR="00A44350">
        <w:t>NS staff and</w:t>
      </w:r>
      <w:r w:rsidR="00A24669">
        <w:t xml:space="preserve"> the study’s</w:t>
      </w:r>
      <w:r w:rsidRPr="005210BA" w:rsidR="00A44350">
        <w:t xml:space="preserve"> </w:t>
      </w:r>
      <w:r w:rsidR="004816F1">
        <w:t>Technical Working Group (</w:t>
      </w:r>
      <w:r w:rsidRPr="005210BA" w:rsidR="00A44350">
        <w:t>TWG</w:t>
      </w:r>
      <w:r w:rsidR="004816F1">
        <w:t>)</w:t>
      </w:r>
      <w:r w:rsidRPr="005210BA" w:rsidR="00A44350">
        <w:t xml:space="preserve"> members</w:t>
      </w:r>
      <w:r w:rsidR="00A44350">
        <w:t xml:space="preserve"> for recommendations. </w:t>
      </w:r>
      <w:r w:rsidR="0030231D">
        <w:t xml:space="preserve">The study team will send identified stakeholders a recruitment letter that explains the concept-mapping task and requests their participation (see Appendix </w:t>
      </w:r>
      <w:r w:rsidR="004421E2">
        <w:t>K</w:t>
      </w:r>
      <w:r w:rsidR="00767E69">
        <w:t>.1 and K.2</w:t>
      </w:r>
      <w:r w:rsidR="0030231D">
        <w:t>). I</w:t>
      </w:r>
      <w:r w:rsidR="00FF04E7">
        <w:t>nvited stakeholders</w:t>
      </w:r>
      <w:r w:rsidR="0030231D">
        <w:t xml:space="preserve"> will be </w:t>
      </w:r>
      <w:r w:rsidR="00FF04E7">
        <w:t>ask</w:t>
      </w:r>
      <w:r w:rsidR="0030231D">
        <w:t xml:space="preserve">ed </w:t>
      </w:r>
      <w:r w:rsidR="00FF04E7">
        <w:t xml:space="preserve">to recommend additional </w:t>
      </w:r>
      <w:r w:rsidR="0030231D">
        <w:t xml:space="preserve">participants </w:t>
      </w:r>
      <w:r w:rsidR="00FF04E7">
        <w:t xml:space="preserve">until </w:t>
      </w:r>
      <w:r w:rsidR="0030231D">
        <w:t>six</w:t>
      </w:r>
      <w:r w:rsidRPr="005210BA" w:rsidR="0030231D">
        <w:t xml:space="preserve"> stakeholder groups </w:t>
      </w:r>
      <w:r w:rsidR="0030231D">
        <w:t>representing different sectors (e.g., public agencies, human service providers) are formed</w:t>
      </w:r>
      <w:r w:rsidRPr="005210BA" w:rsidR="0030231D">
        <w:t xml:space="preserve">. </w:t>
      </w:r>
      <w:r w:rsidR="0030231D">
        <w:t>Each group will include about seven</w:t>
      </w:r>
      <w:r w:rsidRPr="005210BA" w:rsidR="0030231D">
        <w:t xml:space="preserve"> members</w:t>
      </w:r>
      <w:r w:rsidR="0030231D">
        <w:t xml:space="preserve">. </w:t>
      </w:r>
      <w:r w:rsidRPr="005210BA" w:rsidR="0030231D">
        <w:t>This</w:t>
      </w:r>
      <w:r w:rsidR="0030231D">
        <w:t xml:space="preserve"> number of groups and </w:t>
      </w:r>
      <w:r w:rsidR="0030231D">
        <w:lastRenderedPageBreak/>
        <w:t xml:space="preserve">participating individuals </w:t>
      </w:r>
      <w:r w:rsidRPr="005210BA" w:rsidR="0030231D">
        <w:t xml:space="preserve">will help ensure each </w:t>
      </w:r>
      <w:r w:rsidR="0030231D">
        <w:t>g</w:t>
      </w:r>
      <w:r w:rsidRPr="005210BA" w:rsidR="0030231D">
        <w:t>roup is small enough to engage in the data collection task</w:t>
      </w:r>
      <w:r w:rsidR="0030231D">
        <w:t>, and that stakeholders collectively represent a broad array of knowledge and experience.</w:t>
      </w:r>
    </w:p>
    <w:p w:rsidRPr="00B62368" w:rsidR="00657EB9" w:rsidP="0022020C" w:rsidRDefault="00F67443" w14:paraId="1F9FA17F" w14:textId="788706D3">
      <w:pPr>
        <w:pStyle w:val="Heading4NoLetter-IPR"/>
        <w:spacing w:before="240" w:after="120"/>
      </w:pPr>
      <w:r>
        <w:t>B.1.3</w:t>
      </w:r>
      <w:r w:rsidR="00122326">
        <w:t>.</w:t>
      </w:r>
      <w:r>
        <w:tab/>
      </w:r>
      <w:r w:rsidRPr="00B62368" w:rsidR="00657EB9">
        <w:t>Estimated Number of Respondents</w:t>
      </w:r>
    </w:p>
    <w:p w:rsidR="006F56BF" w:rsidP="00960E81" w:rsidRDefault="00504C03" w14:paraId="2AA8474D" w14:textId="421BF67D">
      <w:pPr>
        <w:pStyle w:val="BodyText-IPR"/>
        <w:spacing w:line="480" w:lineRule="exact"/>
        <w:rPr>
          <w:b/>
          <w:bCs/>
          <w:i/>
          <w:iCs/>
        </w:rPr>
      </w:pPr>
      <w:r>
        <w:t>This study will gather data through a</w:t>
      </w:r>
      <w:r w:rsidR="001730FD">
        <w:t xml:space="preserve"> representative</w:t>
      </w:r>
      <w:r>
        <w:t xml:space="preserve"> household survey, in-depth interviews</w:t>
      </w:r>
      <w:r w:rsidR="001730FD">
        <w:t xml:space="preserve"> with NAP participants and low-income nonparticipants</w:t>
      </w:r>
      <w:r>
        <w:t>, and concept mapping. This new information collection will have 12,</w:t>
      </w:r>
      <w:r w:rsidR="00330660">
        <w:t>504</w:t>
      </w:r>
      <w:r>
        <w:t xml:space="preserve"> respondents (19 </w:t>
      </w:r>
      <w:r w:rsidR="002F6E33">
        <w:t>Puerto Ric</w:t>
      </w:r>
      <w:r w:rsidR="005F44AE">
        <w:t>o</w:t>
      </w:r>
      <w:r w:rsidR="002F6E33">
        <w:t xml:space="preserve"> </w:t>
      </w:r>
      <w:r w:rsidR="005F44AE">
        <w:t>G</w:t>
      </w:r>
      <w:r>
        <w:t>overnment staff; 18 staff from businesses or other for-profit organizations; 18 staff from nonprofit organizations; and 12,4</w:t>
      </w:r>
      <w:r w:rsidR="002F6E33">
        <w:t>4</w:t>
      </w:r>
      <w:r w:rsidR="00330660">
        <w:t>9</w:t>
      </w:r>
      <w:r>
        <w:t xml:space="preserve"> individuals). It is anticipated that of the </w:t>
      </w:r>
      <w:r w:rsidR="00732826">
        <w:t>12,</w:t>
      </w:r>
      <w:r w:rsidR="00330660">
        <w:t>504</w:t>
      </w:r>
      <w:r>
        <w:t xml:space="preserve"> contacted, 3,7</w:t>
      </w:r>
      <w:r w:rsidR="009B69CE">
        <w:t>4</w:t>
      </w:r>
      <w:r w:rsidR="00330660">
        <w:t>5</w:t>
      </w:r>
      <w:r>
        <w:t xml:space="preserve"> will be responsive and 8,7</w:t>
      </w:r>
      <w:r w:rsidR="00732826">
        <w:t>5</w:t>
      </w:r>
      <w:r w:rsidR="00330660">
        <w:t>9</w:t>
      </w:r>
      <w:r>
        <w:t xml:space="preserve"> will be nonresponsive. Table B.1.</w:t>
      </w:r>
      <w:r w:rsidR="00B96425">
        <w:t>2</w:t>
      </w:r>
      <w:r>
        <w:t xml:space="preserve"> provides the breakout of respondents and nonrespondents by respondent type</w:t>
      </w:r>
      <w:r w:rsidR="00124043">
        <w:t xml:space="preserve"> and the expected response rate</w:t>
      </w:r>
      <w:r w:rsidR="00016367">
        <w:t>;</w:t>
      </w:r>
      <w:r w:rsidRPr="00016367" w:rsidR="00016367">
        <w:t xml:space="preserve"> </w:t>
      </w:r>
      <w:r w:rsidR="00016367">
        <w:t xml:space="preserve">see section B.3 for details on efforts to ensure the intended response rates are achieved. Appendix </w:t>
      </w:r>
      <w:r w:rsidR="004421E2">
        <w:t>T</w:t>
      </w:r>
      <w:r w:rsidR="00016367">
        <w:t xml:space="preserve"> provides a full breakdown of respondents.</w:t>
      </w:r>
    </w:p>
    <w:p w:rsidR="000B3AE7" w:rsidP="00960E81" w:rsidRDefault="000B3AE7" w14:paraId="2D52433C" w14:textId="0292B376">
      <w:pPr>
        <w:pStyle w:val="TableTitle-IPR"/>
      </w:pPr>
      <w:bookmarkStart w:name="_Hlk94708893" w:id="21"/>
      <w:bookmarkStart w:name="_Toc511721620" w:id="22"/>
      <w:bookmarkStart w:name="_Toc78365137" w:id="23"/>
      <w:bookmarkStart w:name="_Hlk94708965" w:id="24"/>
      <w:r w:rsidRPr="00960E81">
        <w:t>Table B.1.</w:t>
      </w:r>
      <w:r w:rsidRPr="00960E81" w:rsidR="003D1289">
        <w:t>2</w:t>
      </w:r>
      <w:bookmarkEnd w:id="21"/>
      <w:r w:rsidRPr="00960E81">
        <w:t>. Breakout of Respondents and Nonrespondents by Respondent Type</w:t>
      </w:r>
      <w:bookmarkEnd w:id="22"/>
      <w:bookmarkEnd w:id="23"/>
    </w:p>
    <w:tbl>
      <w:tblPr>
        <w:tblStyle w:val="InsightTable"/>
        <w:tblW w:w="5017" w:type="pct"/>
        <w:tblLayout w:type="fixed"/>
        <w:tblCellMar>
          <w:left w:w="58" w:type="dxa"/>
          <w:right w:w="58" w:type="dxa"/>
        </w:tblCellMar>
        <w:tblLook w:val="04A0" w:firstRow="1" w:lastRow="0" w:firstColumn="1" w:lastColumn="0" w:noHBand="0" w:noVBand="1"/>
      </w:tblPr>
      <w:tblGrid>
        <w:gridCol w:w="1923"/>
        <w:gridCol w:w="2609"/>
        <w:gridCol w:w="1080"/>
        <w:gridCol w:w="1349"/>
        <w:gridCol w:w="1533"/>
        <w:gridCol w:w="898"/>
      </w:tblGrid>
      <w:tr w:rsidRPr="00B62368" w:rsidR="006F56BF" w:rsidTr="006F56BF" w14:paraId="3AC65B99" w14:textId="77777777">
        <w:trPr>
          <w:cnfStyle w:val="100000000000" w:firstRow="1" w:lastRow="0" w:firstColumn="0" w:lastColumn="0" w:oddVBand="0" w:evenVBand="0" w:oddHBand="0" w:evenHBand="0" w:firstRowFirstColumn="0" w:firstRowLastColumn="0" w:lastRowFirstColumn="0" w:lastRowLastColumn="0"/>
          <w:trHeight w:val="360"/>
          <w:tblHeader/>
        </w:trPr>
        <w:tc>
          <w:tcPr>
            <w:tcW w:w="2413" w:type="pct"/>
            <w:gridSpan w:val="2"/>
          </w:tcPr>
          <w:p w:rsidR="00016367" w:rsidP="00960E81" w:rsidRDefault="00016367" w14:paraId="71EC96C9" w14:textId="77777777">
            <w:pPr>
              <w:rPr>
                <w:rFonts w:ascii="Lucida Sans" w:hAnsi="Lucida Sans"/>
                <w:b/>
                <w:bCs/>
                <w:sz w:val="18"/>
                <w:szCs w:val="20"/>
              </w:rPr>
            </w:pPr>
            <w:r w:rsidRPr="00B62368">
              <w:rPr>
                <w:rFonts w:ascii="Lucida Sans" w:hAnsi="Lucida Sans"/>
                <w:b/>
                <w:bCs/>
                <w:sz w:val="18"/>
                <w:szCs w:val="20"/>
              </w:rPr>
              <w:t>Respondent Type</w:t>
            </w:r>
          </w:p>
        </w:tc>
        <w:tc>
          <w:tcPr>
            <w:tcW w:w="575" w:type="pct"/>
          </w:tcPr>
          <w:p w:rsidRPr="00B62368" w:rsidR="00016367" w:rsidRDefault="00016367" w14:paraId="1C61A491" w14:textId="77777777">
            <w:pPr>
              <w:rPr>
                <w:rFonts w:ascii="Lucida Sans" w:hAnsi="Lucida Sans"/>
                <w:b/>
                <w:bCs/>
                <w:sz w:val="18"/>
                <w:szCs w:val="20"/>
              </w:rPr>
            </w:pPr>
            <w:r w:rsidRPr="00B62368">
              <w:rPr>
                <w:rFonts w:ascii="Lucida Sans" w:hAnsi="Lucida Sans"/>
                <w:b/>
                <w:bCs/>
                <w:sz w:val="18"/>
                <w:szCs w:val="20"/>
              </w:rPr>
              <w:t>Total Contacted</w:t>
            </w:r>
          </w:p>
        </w:tc>
        <w:tc>
          <w:tcPr>
            <w:tcW w:w="718" w:type="pct"/>
          </w:tcPr>
          <w:p w:rsidRPr="00B62368" w:rsidR="00016367" w:rsidRDefault="00016367" w14:paraId="68F318C7" w14:textId="77777777">
            <w:pPr>
              <w:rPr>
                <w:rFonts w:ascii="Lucida Sans" w:hAnsi="Lucida Sans"/>
                <w:b/>
                <w:bCs/>
                <w:sz w:val="18"/>
                <w:szCs w:val="20"/>
              </w:rPr>
            </w:pPr>
            <w:r w:rsidRPr="00B62368">
              <w:rPr>
                <w:rFonts w:ascii="Lucida Sans" w:hAnsi="Lucida Sans"/>
                <w:b/>
                <w:bCs/>
                <w:sz w:val="18"/>
                <w:szCs w:val="20"/>
              </w:rPr>
              <w:t>Number of Respondents</w:t>
            </w:r>
          </w:p>
        </w:tc>
        <w:tc>
          <w:tcPr>
            <w:tcW w:w="816" w:type="pct"/>
          </w:tcPr>
          <w:p w:rsidRPr="00B62368" w:rsidR="00016367" w:rsidRDefault="00016367" w14:paraId="510A7CC8" w14:textId="77777777">
            <w:pPr>
              <w:ind w:left="-61" w:right="-57"/>
              <w:rPr>
                <w:rFonts w:ascii="Lucida Sans" w:hAnsi="Lucida Sans"/>
                <w:b/>
                <w:bCs/>
                <w:sz w:val="18"/>
                <w:szCs w:val="20"/>
              </w:rPr>
            </w:pPr>
            <w:r w:rsidRPr="00B62368">
              <w:rPr>
                <w:rFonts w:ascii="Lucida Sans" w:hAnsi="Lucida Sans"/>
                <w:b/>
                <w:bCs/>
                <w:sz w:val="18"/>
                <w:szCs w:val="20"/>
              </w:rPr>
              <w:t>Number of Nonrespondents</w:t>
            </w:r>
          </w:p>
        </w:tc>
        <w:tc>
          <w:tcPr>
            <w:tcW w:w="478" w:type="pct"/>
          </w:tcPr>
          <w:p w:rsidRPr="00B62368" w:rsidR="00016367" w:rsidRDefault="00016367" w14:paraId="1A61F37A" w14:textId="77777777">
            <w:pPr>
              <w:ind w:left="-61" w:right="-57"/>
              <w:rPr>
                <w:rFonts w:ascii="Lucida Sans" w:hAnsi="Lucida Sans"/>
                <w:b/>
                <w:bCs/>
                <w:sz w:val="18"/>
                <w:szCs w:val="20"/>
              </w:rPr>
            </w:pPr>
            <w:r>
              <w:rPr>
                <w:rFonts w:ascii="Lucida Sans" w:hAnsi="Lucida Sans"/>
                <w:b/>
                <w:bCs/>
                <w:sz w:val="18"/>
                <w:szCs w:val="20"/>
              </w:rPr>
              <w:t>Response Rate</w:t>
            </w:r>
          </w:p>
        </w:tc>
      </w:tr>
      <w:tr w:rsidRPr="00124043" w:rsidR="00016367" w:rsidTr="007C531B" w14:paraId="420E84DB" w14:textId="77777777">
        <w:trPr>
          <w:trHeight w:val="288"/>
        </w:trPr>
        <w:tc>
          <w:tcPr>
            <w:tcW w:w="5000" w:type="pct"/>
            <w:gridSpan w:val="6"/>
            <w:shd w:val="clear" w:color="auto" w:fill="F2F2F2" w:themeFill="background1" w:themeFillShade="F2"/>
          </w:tcPr>
          <w:p w:rsidRPr="00960E81" w:rsidR="00016367" w:rsidRDefault="00016367" w14:paraId="66B4D2F9" w14:textId="77777777">
            <w:pPr>
              <w:pStyle w:val="TableText-IPR"/>
              <w:rPr>
                <w:b/>
                <w:bCs/>
              </w:rPr>
            </w:pPr>
            <w:r w:rsidRPr="00960E81">
              <w:rPr>
                <w:b/>
                <w:bCs/>
              </w:rPr>
              <w:t>Concept mapping</w:t>
            </w:r>
          </w:p>
        </w:tc>
      </w:tr>
      <w:tr w:rsidRPr="00B62368" w:rsidR="006F56BF" w:rsidTr="006F56BF" w14:paraId="598B73CB" w14:textId="77777777">
        <w:trPr>
          <w:trHeight w:val="288"/>
        </w:trPr>
        <w:tc>
          <w:tcPr>
            <w:tcW w:w="1024" w:type="pct"/>
          </w:tcPr>
          <w:p w:rsidRPr="00503F46" w:rsidR="00016367" w:rsidRDefault="00016367" w14:paraId="420B9CB3" w14:textId="77777777">
            <w:pPr>
              <w:pStyle w:val="TableText-IPR"/>
            </w:pPr>
            <w:r w:rsidRPr="00503F46">
              <w:t>Puerto Rico Government</w:t>
            </w:r>
          </w:p>
        </w:tc>
        <w:tc>
          <w:tcPr>
            <w:tcW w:w="1389" w:type="pct"/>
          </w:tcPr>
          <w:p w:rsidRPr="00503F46" w:rsidR="00016367" w:rsidRDefault="00016367" w14:paraId="52876262" w14:textId="77777777">
            <w:pPr>
              <w:pStyle w:val="TableText-IPR"/>
              <w:rPr>
                <w:rFonts w:asciiTheme="minorHAnsi" w:hAnsiTheme="minorHAnsi"/>
              </w:rPr>
            </w:pPr>
            <w:r w:rsidRPr="00503F46">
              <w:rPr>
                <w:rFonts w:asciiTheme="minorHAnsi" w:hAnsiTheme="minorHAnsi"/>
              </w:rPr>
              <w:t>Human services, education, and healthcare agency staff</w:t>
            </w:r>
          </w:p>
        </w:tc>
        <w:tc>
          <w:tcPr>
            <w:tcW w:w="575" w:type="pct"/>
            <w:shd w:val="clear" w:color="auto" w:fill="auto"/>
          </w:tcPr>
          <w:p w:rsidRPr="00117B49" w:rsidR="00016367" w:rsidP="001315E2" w:rsidRDefault="00016367" w14:paraId="2ED61DE6" w14:textId="77777777">
            <w:pPr>
              <w:pStyle w:val="TableText-IPR"/>
              <w:jc w:val="right"/>
            </w:pPr>
            <w:r w:rsidRPr="00117B49">
              <w:t>18</w:t>
            </w:r>
          </w:p>
        </w:tc>
        <w:tc>
          <w:tcPr>
            <w:tcW w:w="718" w:type="pct"/>
          </w:tcPr>
          <w:p w:rsidRPr="00503F46" w:rsidR="00016367" w:rsidP="001315E2" w:rsidRDefault="00016367" w14:paraId="6745C14A" w14:textId="77777777">
            <w:pPr>
              <w:pStyle w:val="TableText-IPR"/>
              <w:jc w:val="right"/>
            </w:pPr>
            <w:r w:rsidRPr="00503F46">
              <w:t>14</w:t>
            </w:r>
          </w:p>
        </w:tc>
        <w:tc>
          <w:tcPr>
            <w:tcW w:w="816" w:type="pct"/>
          </w:tcPr>
          <w:p w:rsidRPr="00503F46" w:rsidR="00016367" w:rsidP="001315E2" w:rsidRDefault="00016367" w14:paraId="7A1531AF" w14:textId="77777777">
            <w:pPr>
              <w:pStyle w:val="TableText-IPR"/>
              <w:jc w:val="right"/>
            </w:pPr>
            <w:r w:rsidRPr="00503F46">
              <w:t>4</w:t>
            </w:r>
          </w:p>
        </w:tc>
        <w:tc>
          <w:tcPr>
            <w:tcW w:w="478" w:type="pct"/>
          </w:tcPr>
          <w:p w:rsidRPr="00503F46" w:rsidR="00016367" w:rsidP="001315E2" w:rsidRDefault="00016367" w14:paraId="1A2005CE" w14:textId="77777777">
            <w:pPr>
              <w:pStyle w:val="TableText-IPR"/>
              <w:jc w:val="right"/>
            </w:pPr>
            <w:r>
              <w:t>0.78</w:t>
            </w:r>
          </w:p>
        </w:tc>
      </w:tr>
      <w:tr w:rsidRPr="00B62368" w:rsidR="006F56BF" w:rsidTr="006F56BF" w14:paraId="1DC407F2" w14:textId="77777777">
        <w:trPr>
          <w:trHeight w:val="288"/>
        </w:trPr>
        <w:tc>
          <w:tcPr>
            <w:tcW w:w="1024" w:type="pct"/>
          </w:tcPr>
          <w:p w:rsidRPr="00503F46" w:rsidR="00016367" w:rsidRDefault="00016367" w14:paraId="55E62948" w14:textId="77777777">
            <w:pPr>
              <w:pStyle w:val="TableText-IPR"/>
            </w:pPr>
            <w:r w:rsidRPr="00503F46">
              <w:t>Business or other</w:t>
            </w:r>
            <w:r>
              <w:t xml:space="preserve"> </w:t>
            </w:r>
            <w:r w:rsidRPr="00503F46">
              <w:t>for-profit organizations</w:t>
            </w:r>
          </w:p>
        </w:tc>
        <w:tc>
          <w:tcPr>
            <w:tcW w:w="1389" w:type="pct"/>
          </w:tcPr>
          <w:p w:rsidRPr="00503F46" w:rsidR="00016367" w:rsidRDefault="00016367" w14:paraId="79CA96A1" w14:textId="77777777">
            <w:pPr>
              <w:pStyle w:val="TableText-IPR"/>
            </w:pPr>
            <w:r w:rsidRPr="00503F46">
              <w:t>Private business and academia staff</w:t>
            </w:r>
          </w:p>
        </w:tc>
        <w:tc>
          <w:tcPr>
            <w:tcW w:w="575" w:type="pct"/>
            <w:shd w:val="clear" w:color="auto" w:fill="auto"/>
          </w:tcPr>
          <w:p w:rsidRPr="00117B49" w:rsidR="00016367" w:rsidP="001315E2" w:rsidRDefault="00016367" w14:paraId="6C0198C5" w14:textId="77777777">
            <w:pPr>
              <w:pStyle w:val="TableText-IPR"/>
              <w:jc w:val="right"/>
            </w:pPr>
            <w:r w:rsidRPr="00117B49">
              <w:t>18</w:t>
            </w:r>
          </w:p>
        </w:tc>
        <w:tc>
          <w:tcPr>
            <w:tcW w:w="718" w:type="pct"/>
          </w:tcPr>
          <w:p w:rsidRPr="00503F46" w:rsidR="00016367" w:rsidP="001315E2" w:rsidRDefault="00016367" w14:paraId="144EA831" w14:textId="77777777">
            <w:pPr>
              <w:pStyle w:val="TableText-IPR"/>
              <w:jc w:val="right"/>
            </w:pPr>
            <w:r w:rsidRPr="00503F46">
              <w:t>14</w:t>
            </w:r>
          </w:p>
        </w:tc>
        <w:tc>
          <w:tcPr>
            <w:tcW w:w="816" w:type="pct"/>
          </w:tcPr>
          <w:p w:rsidRPr="00503F46" w:rsidR="00016367" w:rsidP="001315E2" w:rsidRDefault="00016367" w14:paraId="28972590" w14:textId="77777777">
            <w:pPr>
              <w:pStyle w:val="TableText-IPR"/>
              <w:jc w:val="right"/>
            </w:pPr>
            <w:r w:rsidRPr="00503F46">
              <w:t>4</w:t>
            </w:r>
          </w:p>
        </w:tc>
        <w:tc>
          <w:tcPr>
            <w:tcW w:w="478" w:type="pct"/>
          </w:tcPr>
          <w:p w:rsidRPr="00503F46" w:rsidR="00016367" w:rsidP="001315E2" w:rsidRDefault="00016367" w14:paraId="4988BCE9" w14:textId="77777777">
            <w:pPr>
              <w:pStyle w:val="TableText-IPR"/>
              <w:jc w:val="right"/>
            </w:pPr>
            <w:r>
              <w:t>0.78</w:t>
            </w:r>
          </w:p>
        </w:tc>
      </w:tr>
      <w:tr w:rsidRPr="00B62368" w:rsidR="006F56BF" w:rsidTr="007C531B" w14:paraId="7920CA57" w14:textId="77777777">
        <w:trPr>
          <w:trHeight w:val="288"/>
        </w:trPr>
        <w:tc>
          <w:tcPr>
            <w:tcW w:w="1024" w:type="pct"/>
            <w:hideMark/>
          </w:tcPr>
          <w:p w:rsidRPr="00503F46" w:rsidR="00016367" w:rsidRDefault="00016367" w14:paraId="04718577" w14:textId="77777777">
            <w:pPr>
              <w:pStyle w:val="TableText-IPR"/>
            </w:pPr>
            <w:r w:rsidRPr="00503F46">
              <w:t xml:space="preserve">Nonprofit organizations </w:t>
            </w:r>
          </w:p>
        </w:tc>
        <w:tc>
          <w:tcPr>
            <w:tcW w:w="1389" w:type="pct"/>
          </w:tcPr>
          <w:p w:rsidRPr="00503F46" w:rsidR="00016367" w:rsidRDefault="00016367" w14:paraId="1219E2B3" w14:textId="77777777">
            <w:pPr>
              <w:pStyle w:val="TableText-IPR"/>
            </w:pPr>
            <w:r w:rsidRPr="00503F46">
              <w:t>Advocacy organizations, human service</w:t>
            </w:r>
            <w:r>
              <w:t>s</w:t>
            </w:r>
            <w:r w:rsidRPr="00503F46">
              <w:t xml:space="preserve"> provider staff</w:t>
            </w:r>
          </w:p>
        </w:tc>
        <w:tc>
          <w:tcPr>
            <w:tcW w:w="575" w:type="pct"/>
            <w:shd w:val="clear" w:color="auto" w:fill="auto"/>
          </w:tcPr>
          <w:p w:rsidRPr="00117B49" w:rsidR="00016367" w:rsidP="001315E2" w:rsidRDefault="00016367" w14:paraId="061AB6E9" w14:textId="77777777">
            <w:pPr>
              <w:pStyle w:val="TableText-IPR"/>
              <w:jc w:val="right"/>
            </w:pPr>
            <w:r w:rsidRPr="00117B49">
              <w:t>18</w:t>
            </w:r>
          </w:p>
        </w:tc>
        <w:tc>
          <w:tcPr>
            <w:tcW w:w="718" w:type="pct"/>
          </w:tcPr>
          <w:p w:rsidRPr="00503F46" w:rsidR="00016367" w:rsidP="001315E2" w:rsidRDefault="00016367" w14:paraId="49E7BFDE" w14:textId="77777777">
            <w:pPr>
              <w:pStyle w:val="TableText-IPR"/>
              <w:jc w:val="right"/>
            </w:pPr>
            <w:r w:rsidRPr="00503F46">
              <w:t xml:space="preserve">14 </w:t>
            </w:r>
          </w:p>
        </w:tc>
        <w:tc>
          <w:tcPr>
            <w:tcW w:w="816" w:type="pct"/>
          </w:tcPr>
          <w:p w:rsidRPr="00503F46" w:rsidR="00016367" w:rsidP="001315E2" w:rsidRDefault="00016367" w14:paraId="5AB87C77" w14:textId="77777777">
            <w:pPr>
              <w:pStyle w:val="TableText-IPR"/>
              <w:jc w:val="right"/>
            </w:pPr>
            <w:r w:rsidRPr="00503F46">
              <w:t>4</w:t>
            </w:r>
          </w:p>
        </w:tc>
        <w:tc>
          <w:tcPr>
            <w:tcW w:w="478" w:type="pct"/>
          </w:tcPr>
          <w:p w:rsidRPr="00503F46" w:rsidR="00016367" w:rsidP="001315E2" w:rsidRDefault="00016367" w14:paraId="728BD2BE" w14:textId="77777777">
            <w:pPr>
              <w:pStyle w:val="TableText-IPR"/>
              <w:jc w:val="right"/>
            </w:pPr>
            <w:r>
              <w:t>0.78</w:t>
            </w:r>
          </w:p>
        </w:tc>
      </w:tr>
      <w:tr w:rsidRPr="00124043" w:rsidR="00016367" w:rsidTr="007C531B" w14:paraId="571CB2D7" w14:textId="77777777">
        <w:trPr>
          <w:trHeight w:val="301"/>
        </w:trPr>
        <w:tc>
          <w:tcPr>
            <w:tcW w:w="5000" w:type="pct"/>
            <w:gridSpan w:val="6"/>
            <w:shd w:val="clear" w:color="auto" w:fill="F2F2F2" w:themeFill="background1" w:themeFillShade="F2"/>
          </w:tcPr>
          <w:p w:rsidRPr="00960E81" w:rsidR="00016367" w:rsidRDefault="00016367" w14:paraId="79FF6D9A" w14:textId="77777777">
            <w:pPr>
              <w:pStyle w:val="TableText-IPR"/>
              <w:rPr>
                <w:b/>
                <w:bCs/>
              </w:rPr>
            </w:pPr>
            <w:r w:rsidRPr="00960E81">
              <w:rPr>
                <w:b/>
                <w:bCs/>
              </w:rPr>
              <w:t>Survey</w:t>
            </w:r>
          </w:p>
        </w:tc>
      </w:tr>
      <w:tr w:rsidRPr="00B62368" w:rsidR="006F56BF" w:rsidTr="006F56BF" w14:paraId="39F96029" w14:textId="77777777">
        <w:trPr>
          <w:trHeight w:val="288"/>
        </w:trPr>
        <w:tc>
          <w:tcPr>
            <w:tcW w:w="1024" w:type="pct"/>
          </w:tcPr>
          <w:p w:rsidRPr="00503F46" w:rsidR="00016367" w:rsidRDefault="00016367" w14:paraId="0305D2BA" w14:textId="77777777">
            <w:pPr>
              <w:pStyle w:val="TableText-IPR"/>
            </w:pPr>
            <w:r w:rsidRPr="00503F46">
              <w:t>Puerto Rico Government</w:t>
            </w:r>
          </w:p>
        </w:tc>
        <w:tc>
          <w:tcPr>
            <w:tcW w:w="1389" w:type="pct"/>
          </w:tcPr>
          <w:p w:rsidRPr="00503F46" w:rsidR="00016367" w:rsidRDefault="00016367" w14:paraId="1171DD46" w14:textId="77777777">
            <w:pPr>
              <w:pStyle w:val="TableText-IPR"/>
              <w:rPr>
                <w:rFonts w:asciiTheme="minorHAnsi" w:hAnsiTheme="minorHAnsi"/>
              </w:rPr>
            </w:pPr>
            <w:r w:rsidRPr="00503F46">
              <w:rPr>
                <w:rFonts w:asciiTheme="minorHAnsi" w:hAnsiTheme="minorHAnsi"/>
              </w:rPr>
              <w:t>ADSEF staff</w:t>
            </w:r>
          </w:p>
        </w:tc>
        <w:tc>
          <w:tcPr>
            <w:tcW w:w="575" w:type="pct"/>
            <w:shd w:val="clear" w:color="auto" w:fill="auto"/>
          </w:tcPr>
          <w:p w:rsidRPr="00503F46" w:rsidR="00016367" w:rsidP="001315E2" w:rsidRDefault="00016367" w14:paraId="584286A5" w14:textId="77777777">
            <w:pPr>
              <w:pStyle w:val="TableText-IPR"/>
              <w:jc w:val="right"/>
            </w:pPr>
            <w:r w:rsidRPr="00503F46">
              <w:t>1</w:t>
            </w:r>
          </w:p>
        </w:tc>
        <w:tc>
          <w:tcPr>
            <w:tcW w:w="718" w:type="pct"/>
          </w:tcPr>
          <w:p w:rsidRPr="00503F46" w:rsidR="00016367" w:rsidP="001315E2" w:rsidRDefault="00016367" w14:paraId="0B344BF9" w14:textId="77777777">
            <w:pPr>
              <w:pStyle w:val="TableText-IPR"/>
              <w:jc w:val="right"/>
            </w:pPr>
            <w:r w:rsidRPr="00503F46">
              <w:t>1</w:t>
            </w:r>
          </w:p>
        </w:tc>
        <w:tc>
          <w:tcPr>
            <w:tcW w:w="816" w:type="pct"/>
          </w:tcPr>
          <w:p w:rsidRPr="00503F46" w:rsidR="00016367" w:rsidP="001315E2" w:rsidRDefault="00016367" w14:paraId="705355BD" w14:textId="77777777">
            <w:pPr>
              <w:pStyle w:val="TableText-IPR"/>
              <w:jc w:val="right"/>
            </w:pPr>
            <w:r w:rsidRPr="00503F46">
              <w:t>0</w:t>
            </w:r>
          </w:p>
        </w:tc>
        <w:tc>
          <w:tcPr>
            <w:tcW w:w="478" w:type="pct"/>
          </w:tcPr>
          <w:p w:rsidRPr="00503F46" w:rsidR="00016367" w:rsidP="001315E2" w:rsidRDefault="00016367" w14:paraId="480D1C09" w14:textId="77777777">
            <w:pPr>
              <w:pStyle w:val="TableText-IPR"/>
              <w:jc w:val="right"/>
            </w:pPr>
            <w:r>
              <w:t>1.00</w:t>
            </w:r>
          </w:p>
        </w:tc>
      </w:tr>
      <w:tr w:rsidRPr="00B62368" w:rsidR="006F56BF" w:rsidTr="006F56BF" w14:paraId="3B32B408" w14:textId="77777777">
        <w:trPr>
          <w:trHeight w:val="301"/>
        </w:trPr>
        <w:tc>
          <w:tcPr>
            <w:tcW w:w="1024" w:type="pct"/>
            <w:vMerge w:val="restart"/>
          </w:tcPr>
          <w:p w:rsidRPr="00503F46" w:rsidR="00016367" w:rsidRDefault="00016367" w14:paraId="2EEAC509" w14:textId="77777777">
            <w:pPr>
              <w:pStyle w:val="TableText-IPR"/>
            </w:pPr>
            <w:r w:rsidRPr="00503F46">
              <w:t>Individuals</w:t>
            </w:r>
          </w:p>
        </w:tc>
        <w:tc>
          <w:tcPr>
            <w:tcW w:w="1389" w:type="pct"/>
          </w:tcPr>
          <w:p w:rsidRPr="00503F46" w:rsidR="00016367" w:rsidRDefault="00016367" w14:paraId="7F95B053" w14:textId="77777777">
            <w:pPr>
              <w:pStyle w:val="TableText-IPR"/>
            </w:pPr>
            <w:r w:rsidRPr="00503F46">
              <w:t>Pretest participants</w:t>
            </w:r>
          </w:p>
        </w:tc>
        <w:tc>
          <w:tcPr>
            <w:tcW w:w="575" w:type="pct"/>
            <w:shd w:val="clear" w:color="auto" w:fill="auto"/>
          </w:tcPr>
          <w:p w:rsidRPr="00503F46" w:rsidR="00016367" w:rsidP="001315E2" w:rsidRDefault="00016367" w14:paraId="2C9A59FD" w14:textId="77777777">
            <w:pPr>
              <w:pStyle w:val="TableText-IPR"/>
              <w:jc w:val="right"/>
            </w:pPr>
            <w:r>
              <w:t>12</w:t>
            </w:r>
          </w:p>
        </w:tc>
        <w:tc>
          <w:tcPr>
            <w:tcW w:w="718" w:type="pct"/>
          </w:tcPr>
          <w:p w:rsidRPr="00503F46" w:rsidR="00016367" w:rsidP="001315E2" w:rsidRDefault="002D72C0" w14:paraId="387AFFE0" w14:textId="2A813855">
            <w:pPr>
              <w:pStyle w:val="TableText-IPR"/>
              <w:jc w:val="right"/>
            </w:pPr>
            <w:r>
              <w:t>8</w:t>
            </w:r>
          </w:p>
        </w:tc>
        <w:tc>
          <w:tcPr>
            <w:tcW w:w="816" w:type="pct"/>
          </w:tcPr>
          <w:p w:rsidRPr="00503F46" w:rsidR="00016367" w:rsidP="001315E2" w:rsidRDefault="002D72C0" w14:paraId="61B6FA5B" w14:textId="3A5AE50E">
            <w:pPr>
              <w:pStyle w:val="TableText-IPR"/>
              <w:jc w:val="right"/>
            </w:pPr>
            <w:r>
              <w:t>4</w:t>
            </w:r>
          </w:p>
        </w:tc>
        <w:tc>
          <w:tcPr>
            <w:tcW w:w="478" w:type="pct"/>
          </w:tcPr>
          <w:p w:rsidRPr="00503F46" w:rsidR="00016367" w:rsidP="001315E2" w:rsidRDefault="00016367" w14:paraId="43AF67EC" w14:textId="4C120B33">
            <w:pPr>
              <w:pStyle w:val="TableText-IPR"/>
              <w:jc w:val="right"/>
            </w:pPr>
            <w:r>
              <w:t>0.</w:t>
            </w:r>
            <w:r w:rsidR="002D72C0">
              <w:t>67</w:t>
            </w:r>
          </w:p>
        </w:tc>
      </w:tr>
      <w:tr w:rsidRPr="00B62368" w:rsidR="006F56BF" w:rsidTr="006F56BF" w14:paraId="7B07438B" w14:textId="77777777">
        <w:trPr>
          <w:trHeight w:val="346"/>
        </w:trPr>
        <w:tc>
          <w:tcPr>
            <w:tcW w:w="1024" w:type="pct"/>
            <w:vMerge/>
          </w:tcPr>
          <w:p w:rsidRPr="00503F46" w:rsidR="00016367" w:rsidRDefault="00016367" w14:paraId="233174F1" w14:textId="77777777">
            <w:pPr>
              <w:pStyle w:val="TableText-IPR"/>
            </w:pPr>
          </w:p>
        </w:tc>
        <w:tc>
          <w:tcPr>
            <w:tcW w:w="1389" w:type="pct"/>
          </w:tcPr>
          <w:p w:rsidRPr="00503F46" w:rsidR="00016367" w:rsidRDefault="00016367" w14:paraId="3B6019D1" w14:textId="77777777">
            <w:pPr>
              <w:pStyle w:val="TableText-IPR"/>
            </w:pPr>
            <w:r w:rsidRPr="00503F46">
              <w:t xml:space="preserve">NAP sample </w:t>
            </w:r>
          </w:p>
        </w:tc>
        <w:tc>
          <w:tcPr>
            <w:tcW w:w="575" w:type="pct"/>
            <w:shd w:val="clear" w:color="auto" w:fill="auto"/>
          </w:tcPr>
          <w:p w:rsidRPr="00503F46" w:rsidR="00016367" w:rsidP="001315E2" w:rsidRDefault="00016367" w14:paraId="70CB3FB7" w14:textId="77777777">
            <w:pPr>
              <w:pStyle w:val="TableText-IPR"/>
              <w:jc w:val="right"/>
            </w:pPr>
            <w:r w:rsidRPr="00503F46">
              <w:t>3,170</w:t>
            </w:r>
          </w:p>
        </w:tc>
        <w:tc>
          <w:tcPr>
            <w:tcW w:w="718" w:type="pct"/>
          </w:tcPr>
          <w:p w:rsidRPr="00503F46" w:rsidR="00016367" w:rsidP="001315E2" w:rsidRDefault="00016367" w14:paraId="405832B0" w14:textId="77777777">
            <w:pPr>
              <w:pStyle w:val="TableText-IPR"/>
              <w:jc w:val="right"/>
            </w:pPr>
            <w:r w:rsidRPr="00503F46">
              <w:t>922</w:t>
            </w:r>
          </w:p>
        </w:tc>
        <w:tc>
          <w:tcPr>
            <w:tcW w:w="816" w:type="pct"/>
          </w:tcPr>
          <w:p w:rsidRPr="00503F46" w:rsidR="00016367" w:rsidP="001315E2" w:rsidRDefault="00016367" w14:paraId="129D504C" w14:textId="77777777">
            <w:pPr>
              <w:pStyle w:val="TableText-IPR"/>
              <w:jc w:val="right"/>
            </w:pPr>
            <w:r w:rsidRPr="00503F46">
              <w:t>2,248</w:t>
            </w:r>
          </w:p>
        </w:tc>
        <w:tc>
          <w:tcPr>
            <w:tcW w:w="478" w:type="pct"/>
          </w:tcPr>
          <w:p w:rsidRPr="00503F46" w:rsidR="00016367" w:rsidP="001315E2" w:rsidRDefault="00D03F76" w14:paraId="381E3C97" w14:textId="3F031A56">
            <w:pPr>
              <w:pStyle w:val="TableText-IPR"/>
              <w:jc w:val="right"/>
            </w:pPr>
            <w:r w:rsidRPr="00F95BEC">
              <w:t>0.33</w:t>
            </w:r>
            <w:r w:rsidRPr="00F95BEC">
              <w:rPr>
                <w:vertAlign w:val="superscript"/>
              </w:rPr>
              <w:t>a</w:t>
            </w:r>
          </w:p>
        </w:tc>
      </w:tr>
      <w:tr w:rsidRPr="00B62368" w:rsidR="006F56BF" w:rsidTr="006F56BF" w14:paraId="2FA693AF" w14:textId="77777777">
        <w:trPr>
          <w:trHeight w:val="301"/>
        </w:trPr>
        <w:tc>
          <w:tcPr>
            <w:tcW w:w="1024" w:type="pct"/>
            <w:vMerge/>
          </w:tcPr>
          <w:p w:rsidRPr="00503F46" w:rsidR="00016367" w:rsidRDefault="00016367" w14:paraId="60B731C4" w14:textId="77777777">
            <w:pPr>
              <w:pStyle w:val="TableText-IPR"/>
            </w:pPr>
          </w:p>
        </w:tc>
        <w:tc>
          <w:tcPr>
            <w:tcW w:w="1389" w:type="pct"/>
          </w:tcPr>
          <w:p w:rsidRPr="00503F46" w:rsidR="00016367" w:rsidRDefault="00016367" w14:paraId="6EFD1939" w14:textId="77777777">
            <w:pPr>
              <w:pStyle w:val="TableText-IPR"/>
            </w:pPr>
            <w:r w:rsidRPr="00503F46">
              <w:t>Area probability sample</w:t>
            </w:r>
          </w:p>
        </w:tc>
        <w:tc>
          <w:tcPr>
            <w:tcW w:w="575" w:type="pct"/>
          </w:tcPr>
          <w:p w:rsidRPr="00503F46" w:rsidR="00016367" w:rsidP="001315E2" w:rsidRDefault="00016367" w14:paraId="7EBD848F" w14:textId="77777777">
            <w:pPr>
              <w:pStyle w:val="TableText-IPR"/>
              <w:jc w:val="right"/>
            </w:pPr>
            <w:r w:rsidRPr="00503F46">
              <w:t>9,110</w:t>
            </w:r>
          </w:p>
        </w:tc>
        <w:tc>
          <w:tcPr>
            <w:tcW w:w="718" w:type="pct"/>
          </w:tcPr>
          <w:p w:rsidRPr="00503F46" w:rsidR="00016367" w:rsidP="001315E2" w:rsidRDefault="00016367" w14:paraId="47934EAC" w14:textId="77777777">
            <w:pPr>
              <w:pStyle w:val="TableText-IPR"/>
              <w:jc w:val="right"/>
            </w:pPr>
            <w:r w:rsidRPr="00503F46">
              <w:t>2,733</w:t>
            </w:r>
          </w:p>
        </w:tc>
        <w:tc>
          <w:tcPr>
            <w:tcW w:w="816" w:type="pct"/>
          </w:tcPr>
          <w:p w:rsidRPr="00503F46" w:rsidR="00016367" w:rsidP="001315E2" w:rsidRDefault="00016367" w14:paraId="793DE589" w14:textId="77777777">
            <w:pPr>
              <w:pStyle w:val="TableText-IPR"/>
              <w:jc w:val="right"/>
            </w:pPr>
            <w:r w:rsidRPr="00503F46">
              <w:t>6,377</w:t>
            </w:r>
          </w:p>
        </w:tc>
        <w:tc>
          <w:tcPr>
            <w:tcW w:w="478" w:type="pct"/>
          </w:tcPr>
          <w:p w:rsidRPr="00503F46" w:rsidR="00016367" w:rsidP="001315E2" w:rsidRDefault="00016367" w14:paraId="569BBCCB" w14:textId="77777777">
            <w:pPr>
              <w:pStyle w:val="TableText-IPR"/>
              <w:jc w:val="right"/>
            </w:pPr>
            <w:r>
              <w:t>0.30</w:t>
            </w:r>
          </w:p>
        </w:tc>
      </w:tr>
      <w:tr w:rsidRPr="00124043" w:rsidR="00016367" w:rsidTr="007C531B" w14:paraId="55B62E96" w14:textId="77777777">
        <w:trPr>
          <w:trHeight w:val="301"/>
        </w:trPr>
        <w:tc>
          <w:tcPr>
            <w:tcW w:w="5000" w:type="pct"/>
            <w:gridSpan w:val="6"/>
            <w:shd w:val="clear" w:color="auto" w:fill="F2F2F2" w:themeFill="background1" w:themeFillShade="F2"/>
          </w:tcPr>
          <w:p w:rsidRPr="00960E81" w:rsidR="00016367" w:rsidRDefault="00016367" w14:paraId="247C758B" w14:textId="77777777">
            <w:pPr>
              <w:pStyle w:val="TableText-IPR"/>
              <w:rPr>
                <w:b/>
                <w:bCs/>
              </w:rPr>
            </w:pPr>
            <w:r w:rsidRPr="00960E81">
              <w:rPr>
                <w:b/>
                <w:bCs/>
              </w:rPr>
              <w:t>In-depth interviews</w:t>
            </w:r>
          </w:p>
        </w:tc>
      </w:tr>
      <w:tr w:rsidRPr="00B62368" w:rsidR="006F56BF" w:rsidTr="006F56BF" w14:paraId="1CE0D83B" w14:textId="77777777">
        <w:trPr>
          <w:trHeight w:val="301"/>
        </w:trPr>
        <w:tc>
          <w:tcPr>
            <w:tcW w:w="1024" w:type="pct"/>
            <w:vMerge w:val="restart"/>
          </w:tcPr>
          <w:p w:rsidRPr="00503F46" w:rsidR="00016367" w:rsidRDefault="00016367" w14:paraId="49260935" w14:textId="77777777">
            <w:pPr>
              <w:pStyle w:val="TableText-IPR"/>
            </w:pPr>
            <w:r>
              <w:t>Individuals</w:t>
            </w:r>
          </w:p>
        </w:tc>
        <w:tc>
          <w:tcPr>
            <w:tcW w:w="1389" w:type="pct"/>
          </w:tcPr>
          <w:p w:rsidRPr="00503F46" w:rsidR="00016367" w:rsidRDefault="00016367" w14:paraId="533C127D" w14:textId="77777777">
            <w:pPr>
              <w:pStyle w:val="TableText-IPR"/>
            </w:pPr>
            <w:r w:rsidRPr="00503F46">
              <w:t>Pretest participants</w:t>
            </w:r>
          </w:p>
        </w:tc>
        <w:tc>
          <w:tcPr>
            <w:tcW w:w="575" w:type="pct"/>
            <w:shd w:val="clear" w:color="auto" w:fill="auto"/>
          </w:tcPr>
          <w:p w:rsidRPr="00503F46" w:rsidR="00016367" w:rsidP="001315E2" w:rsidRDefault="00016367" w14:paraId="429E3641" w14:textId="77777777">
            <w:pPr>
              <w:pStyle w:val="TableText-IPR"/>
              <w:jc w:val="right"/>
            </w:pPr>
            <w:r w:rsidRPr="00117B49">
              <w:t>12</w:t>
            </w:r>
          </w:p>
        </w:tc>
        <w:tc>
          <w:tcPr>
            <w:tcW w:w="718" w:type="pct"/>
          </w:tcPr>
          <w:p w:rsidRPr="00503F46" w:rsidR="00016367" w:rsidP="001315E2" w:rsidRDefault="00016367" w14:paraId="4A942438" w14:textId="77777777">
            <w:pPr>
              <w:pStyle w:val="TableText-IPR"/>
              <w:jc w:val="right"/>
            </w:pPr>
            <w:r>
              <w:t>9</w:t>
            </w:r>
          </w:p>
        </w:tc>
        <w:tc>
          <w:tcPr>
            <w:tcW w:w="816" w:type="pct"/>
          </w:tcPr>
          <w:p w:rsidRPr="00503F46" w:rsidR="00016367" w:rsidP="001315E2" w:rsidRDefault="00016367" w14:paraId="303E528F" w14:textId="77777777">
            <w:pPr>
              <w:pStyle w:val="TableText-IPR"/>
              <w:jc w:val="right"/>
            </w:pPr>
            <w:r>
              <w:t>3</w:t>
            </w:r>
          </w:p>
        </w:tc>
        <w:tc>
          <w:tcPr>
            <w:tcW w:w="478" w:type="pct"/>
          </w:tcPr>
          <w:p w:rsidRPr="00503F46" w:rsidR="00016367" w:rsidP="001315E2" w:rsidRDefault="00016367" w14:paraId="61F20619" w14:textId="77777777">
            <w:pPr>
              <w:pStyle w:val="TableText-IPR"/>
              <w:jc w:val="right"/>
            </w:pPr>
            <w:r>
              <w:t>0.75</w:t>
            </w:r>
          </w:p>
        </w:tc>
      </w:tr>
      <w:tr w:rsidRPr="00B62368" w:rsidR="006F56BF" w:rsidTr="006F56BF" w14:paraId="185BDB6E" w14:textId="77777777">
        <w:trPr>
          <w:trHeight w:val="301"/>
        </w:trPr>
        <w:tc>
          <w:tcPr>
            <w:tcW w:w="1024" w:type="pct"/>
            <w:vMerge/>
          </w:tcPr>
          <w:p w:rsidRPr="00503F46" w:rsidR="00016367" w:rsidRDefault="00016367" w14:paraId="78D41F87" w14:textId="77777777">
            <w:pPr>
              <w:pStyle w:val="TableText-IPR"/>
            </w:pPr>
          </w:p>
        </w:tc>
        <w:tc>
          <w:tcPr>
            <w:tcW w:w="1389" w:type="pct"/>
          </w:tcPr>
          <w:p w:rsidRPr="00503F46" w:rsidR="00016367" w:rsidRDefault="00016367" w14:paraId="7CCA84E9" w14:textId="75162650">
            <w:pPr>
              <w:pStyle w:val="TableText-IPR"/>
            </w:pPr>
            <w:r w:rsidRPr="00503F46">
              <w:t>NAP sample</w:t>
            </w:r>
            <w:r w:rsidR="00D03F76">
              <w:rPr>
                <w:vertAlign w:val="superscript"/>
              </w:rPr>
              <w:t>b</w:t>
            </w:r>
          </w:p>
        </w:tc>
        <w:tc>
          <w:tcPr>
            <w:tcW w:w="575" w:type="pct"/>
          </w:tcPr>
          <w:p w:rsidRPr="00503F46" w:rsidR="00016367" w:rsidP="001315E2" w:rsidRDefault="00016367" w14:paraId="0059DD0E" w14:textId="77777777">
            <w:pPr>
              <w:pStyle w:val="TableText-IPR"/>
              <w:jc w:val="right"/>
            </w:pPr>
            <w:r>
              <w:t>360</w:t>
            </w:r>
          </w:p>
        </w:tc>
        <w:tc>
          <w:tcPr>
            <w:tcW w:w="718" w:type="pct"/>
          </w:tcPr>
          <w:p w:rsidRPr="00503F46" w:rsidR="00016367" w:rsidP="001315E2" w:rsidRDefault="00016367" w14:paraId="1281FFB0" w14:textId="77777777">
            <w:pPr>
              <w:pStyle w:val="TableText-IPR"/>
              <w:jc w:val="right"/>
            </w:pPr>
            <w:r>
              <w:t>58</w:t>
            </w:r>
          </w:p>
        </w:tc>
        <w:tc>
          <w:tcPr>
            <w:tcW w:w="816" w:type="pct"/>
          </w:tcPr>
          <w:p w:rsidRPr="00503F46" w:rsidR="00016367" w:rsidP="001315E2" w:rsidRDefault="00016367" w14:paraId="203AACC0" w14:textId="77777777">
            <w:pPr>
              <w:pStyle w:val="TableText-IPR"/>
              <w:jc w:val="right"/>
            </w:pPr>
            <w:r>
              <w:t>302</w:t>
            </w:r>
          </w:p>
        </w:tc>
        <w:tc>
          <w:tcPr>
            <w:tcW w:w="478" w:type="pct"/>
          </w:tcPr>
          <w:p w:rsidRPr="00503F46" w:rsidR="00016367" w:rsidP="001315E2" w:rsidRDefault="00016367" w14:paraId="0602113C" w14:textId="77777777">
            <w:pPr>
              <w:pStyle w:val="TableText-IPR"/>
              <w:jc w:val="right"/>
            </w:pPr>
            <w:r>
              <w:t>0.16</w:t>
            </w:r>
          </w:p>
        </w:tc>
      </w:tr>
      <w:tr w:rsidRPr="00B62368" w:rsidR="006F56BF" w:rsidTr="006F56BF" w14:paraId="67BD5825" w14:textId="77777777">
        <w:trPr>
          <w:trHeight w:val="301"/>
        </w:trPr>
        <w:tc>
          <w:tcPr>
            <w:tcW w:w="1024" w:type="pct"/>
            <w:vMerge/>
          </w:tcPr>
          <w:p w:rsidRPr="00503F46" w:rsidR="00016367" w:rsidRDefault="00016367" w14:paraId="16FDBA05" w14:textId="77777777">
            <w:pPr>
              <w:pStyle w:val="TableText-IPR"/>
            </w:pPr>
          </w:p>
        </w:tc>
        <w:tc>
          <w:tcPr>
            <w:tcW w:w="1389" w:type="pct"/>
          </w:tcPr>
          <w:p w:rsidRPr="00503F46" w:rsidR="00016367" w:rsidRDefault="00016367" w14:paraId="1ED607FE" w14:textId="77777777">
            <w:pPr>
              <w:pStyle w:val="TableText-IPR"/>
            </w:pPr>
            <w:r w:rsidRPr="00503F46">
              <w:t>Local organization recruitment</w:t>
            </w:r>
          </w:p>
        </w:tc>
        <w:tc>
          <w:tcPr>
            <w:tcW w:w="575" w:type="pct"/>
          </w:tcPr>
          <w:p w:rsidRPr="00503F46" w:rsidR="00016367" w:rsidP="001315E2" w:rsidRDefault="00016367" w14:paraId="13FD5B44" w14:textId="77777777">
            <w:pPr>
              <w:pStyle w:val="TableText-IPR"/>
              <w:jc w:val="right"/>
            </w:pPr>
            <w:r>
              <w:t>145</w:t>
            </w:r>
          </w:p>
        </w:tc>
        <w:tc>
          <w:tcPr>
            <w:tcW w:w="718" w:type="pct"/>
          </w:tcPr>
          <w:p w:rsidRPr="00503F46" w:rsidR="00016367" w:rsidP="001315E2" w:rsidRDefault="00016367" w14:paraId="79A2F7D2" w14:textId="77777777">
            <w:pPr>
              <w:pStyle w:val="TableText-IPR"/>
              <w:jc w:val="right"/>
            </w:pPr>
            <w:r>
              <w:t>29</w:t>
            </w:r>
          </w:p>
        </w:tc>
        <w:tc>
          <w:tcPr>
            <w:tcW w:w="816" w:type="pct"/>
          </w:tcPr>
          <w:p w:rsidRPr="00503F46" w:rsidR="00016367" w:rsidP="001315E2" w:rsidRDefault="00016367" w14:paraId="7C0A355C" w14:textId="77777777">
            <w:pPr>
              <w:pStyle w:val="TableText-IPR"/>
              <w:jc w:val="right"/>
            </w:pPr>
            <w:r>
              <w:t>116</w:t>
            </w:r>
          </w:p>
        </w:tc>
        <w:tc>
          <w:tcPr>
            <w:tcW w:w="478" w:type="pct"/>
          </w:tcPr>
          <w:p w:rsidRPr="00503F46" w:rsidR="00016367" w:rsidP="001315E2" w:rsidRDefault="00016367" w14:paraId="2EAE1737" w14:textId="77777777">
            <w:pPr>
              <w:pStyle w:val="TableText-IPR"/>
              <w:jc w:val="right"/>
            </w:pPr>
            <w:r>
              <w:t>0.20</w:t>
            </w:r>
          </w:p>
        </w:tc>
      </w:tr>
      <w:tr w:rsidRPr="00B62368" w:rsidR="006F56BF" w:rsidTr="006F56BF" w14:paraId="7C1CEE01" w14:textId="77777777">
        <w:trPr>
          <w:trHeight w:val="301"/>
        </w:trPr>
        <w:tc>
          <w:tcPr>
            <w:tcW w:w="1024" w:type="pct"/>
            <w:vMerge/>
          </w:tcPr>
          <w:p w:rsidRPr="00503F46" w:rsidR="00016367" w:rsidRDefault="00016367" w14:paraId="65EB6200" w14:textId="77777777">
            <w:pPr>
              <w:pStyle w:val="TableText-IPR"/>
            </w:pPr>
          </w:p>
        </w:tc>
        <w:tc>
          <w:tcPr>
            <w:tcW w:w="1389" w:type="pct"/>
          </w:tcPr>
          <w:p w:rsidRPr="00503F46" w:rsidR="00016367" w:rsidRDefault="00016367" w14:paraId="121B7CAF" w14:textId="6DC8B96E">
            <w:pPr>
              <w:pStyle w:val="TableText-IPR"/>
            </w:pPr>
            <w:r w:rsidRPr="00503F46">
              <w:t>Area probability sample</w:t>
            </w:r>
            <w:r w:rsidR="00D03F76">
              <w:rPr>
                <w:vertAlign w:val="superscript"/>
              </w:rPr>
              <w:t>c</w:t>
            </w:r>
          </w:p>
        </w:tc>
        <w:tc>
          <w:tcPr>
            <w:tcW w:w="575" w:type="pct"/>
          </w:tcPr>
          <w:p w:rsidRPr="00503F46" w:rsidR="00016367" w:rsidP="001315E2" w:rsidRDefault="00016367" w14:paraId="438B0184" w14:textId="77777777">
            <w:pPr>
              <w:pStyle w:val="TableText-IPR"/>
              <w:jc w:val="right"/>
            </w:pPr>
            <w:r>
              <w:t>360</w:t>
            </w:r>
          </w:p>
        </w:tc>
        <w:tc>
          <w:tcPr>
            <w:tcW w:w="718" w:type="pct"/>
          </w:tcPr>
          <w:p w:rsidRPr="00503F46" w:rsidR="00016367" w:rsidP="001315E2" w:rsidRDefault="00016367" w14:paraId="46C60AC8" w14:textId="77777777">
            <w:pPr>
              <w:pStyle w:val="TableText-IPR"/>
              <w:jc w:val="right"/>
            </w:pPr>
            <w:r>
              <w:t>57</w:t>
            </w:r>
          </w:p>
        </w:tc>
        <w:tc>
          <w:tcPr>
            <w:tcW w:w="816" w:type="pct"/>
          </w:tcPr>
          <w:p w:rsidRPr="00503F46" w:rsidR="00016367" w:rsidP="001315E2" w:rsidRDefault="00016367" w14:paraId="36986EBA" w14:textId="77777777">
            <w:pPr>
              <w:pStyle w:val="TableText-IPR"/>
              <w:jc w:val="right"/>
            </w:pPr>
            <w:r>
              <w:t>303</w:t>
            </w:r>
          </w:p>
        </w:tc>
        <w:tc>
          <w:tcPr>
            <w:tcW w:w="478" w:type="pct"/>
          </w:tcPr>
          <w:p w:rsidRPr="00503F46" w:rsidR="00016367" w:rsidP="001315E2" w:rsidRDefault="00016367" w14:paraId="10DCA7C5" w14:textId="77777777">
            <w:pPr>
              <w:pStyle w:val="TableText-IPR"/>
              <w:jc w:val="right"/>
            </w:pPr>
            <w:r>
              <w:t>0.16</w:t>
            </w:r>
          </w:p>
        </w:tc>
      </w:tr>
      <w:tr w:rsidRPr="00150EFE" w:rsidR="00150EFE" w:rsidTr="00F75E25" w14:paraId="77101C43" w14:textId="77777777">
        <w:trPr>
          <w:trHeight w:val="301"/>
        </w:trPr>
        <w:tc>
          <w:tcPr>
            <w:tcW w:w="1024" w:type="pct"/>
          </w:tcPr>
          <w:p w:rsidRPr="00150EFE" w:rsidR="00150EFE" w:rsidP="00F75E25" w:rsidRDefault="00150EFE" w14:paraId="50B46114" w14:textId="43132F57">
            <w:pPr>
              <w:pStyle w:val="TableText-IPR"/>
              <w:rPr>
                <w:b/>
                <w:bCs/>
              </w:rPr>
            </w:pPr>
            <w:r w:rsidRPr="00150EFE">
              <w:rPr>
                <w:b/>
                <w:bCs/>
              </w:rPr>
              <w:t>Total (unique)</w:t>
            </w:r>
          </w:p>
        </w:tc>
        <w:tc>
          <w:tcPr>
            <w:tcW w:w="1389" w:type="pct"/>
          </w:tcPr>
          <w:p w:rsidRPr="00150EFE" w:rsidR="00150EFE" w:rsidP="00F75E25" w:rsidRDefault="00150EFE" w14:paraId="32FD2F95" w14:textId="77777777">
            <w:pPr>
              <w:pStyle w:val="TableText-IPR"/>
              <w:jc w:val="right"/>
              <w:rPr>
                <w:b/>
                <w:bCs/>
              </w:rPr>
            </w:pPr>
          </w:p>
        </w:tc>
        <w:tc>
          <w:tcPr>
            <w:tcW w:w="575" w:type="pct"/>
          </w:tcPr>
          <w:p w:rsidRPr="00F75E25" w:rsidR="00150EFE" w:rsidP="00F75E25" w:rsidRDefault="00150EFE" w14:paraId="36172F83" w14:textId="70D9D8C1">
            <w:pPr>
              <w:pStyle w:val="TableText-IPR"/>
              <w:jc w:val="right"/>
              <w:rPr>
                <w:b/>
                <w:bCs/>
              </w:rPr>
            </w:pPr>
            <w:r w:rsidRPr="00F75E25">
              <w:rPr>
                <w:b/>
                <w:bCs/>
              </w:rPr>
              <w:t>12,504</w:t>
            </w:r>
          </w:p>
        </w:tc>
        <w:tc>
          <w:tcPr>
            <w:tcW w:w="718" w:type="pct"/>
          </w:tcPr>
          <w:p w:rsidRPr="00F75E25" w:rsidR="00150EFE" w:rsidP="00F75E25" w:rsidRDefault="00150EFE" w14:paraId="328679E6" w14:textId="3CA73B0A">
            <w:pPr>
              <w:pStyle w:val="TableText-IPR"/>
              <w:jc w:val="right"/>
              <w:rPr>
                <w:b/>
                <w:bCs/>
              </w:rPr>
            </w:pPr>
            <w:r w:rsidRPr="00F75E25">
              <w:rPr>
                <w:b/>
                <w:bCs/>
              </w:rPr>
              <w:t>3,74</w:t>
            </w:r>
            <w:r w:rsidR="002D72C0">
              <w:rPr>
                <w:b/>
                <w:bCs/>
              </w:rPr>
              <w:t>4</w:t>
            </w:r>
          </w:p>
        </w:tc>
        <w:tc>
          <w:tcPr>
            <w:tcW w:w="816" w:type="pct"/>
          </w:tcPr>
          <w:p w:rsidRPr="00F75E25" w:rsidR="00150EFE" w:rsidP="00F75E25" w:rsidRDefault="00150EFE" w14:paraId="6BFF4711" w14:textId="28653E4A">
            <w:pPr>
              <w:pStyle w:val="TableText-IPR"/>
              <w:jc w:val="right"/>
              <w:rPr>
                <w:b/>
                <w:bCs/>
              </w:rPr>
            </w:pPr>
            <w:r w:rsidRPr="00F75E25">
              <w:rPr>
                <w:b/>
                <w:bCs/>
              </w:rPr>
              <w:t>8,7</w:t>
            </w:r>
            <w:r w:rsidR="002D72C0">
              <w:rPr>
                <w:b/>
                <w:bCs/>
              </w:rPr>
              <w:t>60</w:t>
            </w:r>
          </w:p>
        </w:tc>
        <w:tc>
          <w:tcPr>
            <w:tcW w:w="478" w:type="pct"/>
          </w:tcPr>
          <w:p w:rsidRPr="00150EFE" w:rsidR="00150EFE" w:rsidP="00F75E25" w:rsidRDefault="00150EFE" w14:paraId="3B564133" w14:textId="23787598">
            <w:pPr>
              <w:pStyle w:val="TableText-IPR"/>
              <w:jc w:val="right"/>
              <w:rPr>
                <w:b/>
                <w:bCs/>
              </w:rPr>
            </w:pPr>
            <w:r>
              <w:rPr>
                <w:b/>
                <w:bCs/>
              </w:rPr>
              <w:t>0.30</w:t>
            </w:r>
          </w:p>
        </w:tc>
      </w:tr>
    </w:tbl>
    <w:p w:rsidRPr="0038571C" w:rsidR="00D03F76" w:rsidP="00D03F76" w:rsidRDefault="00D03F76" w14:paraId="74DDD3BE" w14:textId="77777777">
      <w:pPr>
        <w:pStyle w:val="FtnteBodyText-IPR"/>
        <w:spacing w:before="60"/>
        <w:rPr>
          <w:sz w:val="18"/>
          <w:szCs w:val="18"/>
        </w:rPr>
      </w:pPr>
      <w:bookmarkStart w:name="_Toc514142002" w:id="25"/>
      <w:bookmarkStart w:name="_Toc14464749" w:id="26"/>
      <w:bookmarkEnd w:id="24"/>
      <w:r>
        <w:rPr>
          <w:sz w:val="18"/>
          <w:szCs w:val="18"/>
          <w:vertAlign w:val="superscript"/>
        </w:rPr>
        <w:t xml:space="preserve">a </w:t>
      </w:r>
      <w:r w:rsidRPr="007F4EF9">
        <w:rPr>
          <w:sz w:val="18"/>
          <w:szCs w:val="18"/>
        </w:rPr>
        <w:t>Because the nonrespondents are subsampled at a rate of 1/3, respondents to the telephone follow up are included with a weight of 3.0 in the response rate computations. Ineligible sampled cases are excluded from both the numerator and denominator of the response rate computation.</w:t>
      </w:r>
    </w:p>
    <w:p w:rsidR="006F56BF" w:rsidP="007C531B" w:rsidRDefault="00D03F76" w14:paraId="32347535" w14:textId="487EA03B">
      <w:pPr>
        <w:pStyle w:val="FtnteBodyText-IPR"/>
        <w:spacing w:before="60"/>
        <w:rPr>
          <w:sz w:val="18"/>
          <w:szCs w:val="18"/>
        </w:rPr>
      </w:pPr>
      <w:r>
        <w:rPr>
          <w:sz w:val="18"/>
          <w:szCs w:val="18"/>
          <w:vertAlign w:val="superscript"/>
        </w:rPr>
        <w:lastRenderedPageBreak/>
        <w:t>b</w:t>
      </w:r>
      <w:r w:rsidRPr="00150EFE" w:rsidR="007C531B">
        <w:rPr>
          <w:sz w:val="18"/>
          <w:szCs w:val="18"/>
        </w:rPr>
        <w:t xml:space="preserve"> </w:t>
      </w:r>
      <w:r w:rsidR="00150EFE">
        <w:rPr>
          <w:sz w:val="18"/>
          <w:szCs w:val="18"/>
        </w:rPr>
        <w:t>Individuals in the</w:t>
      </w:r>
      <w:r w:rsidRPr="00150EFE" w:rsidR="007C531B">
        <w:rPr>
          <w:sz w:val="18"/>
          <w:szCs w:val="18"/>
        </w:rPr>
        <w:t xml:space="preserve"> </w:t>
      </w:r>
      <w:r w:rsidR="007C531B">
        <w:rPr>
          <w:sz w:val="18"/>
          <w:szCs w:val="18"/>
        </w:rPr>
        <w:t>NAP sample</w:t>
      </w:r>
      <w:r w:rsidR="00150EFE">
        <w:rPr>
          <w:sz w:val="18"/>
          <w:szCs w:val="18"/>
        </w:rPr>
        <w:t xml:space="preserve"> who are contacted for</w:t>
      </w:r>
      <w:r w:rsidR="007C531B">
        <w:rPr>
          <w:sz w:val="18"/>
          <w:szCs w:val="18"/>
        </w:rPr>
        <w:t xml:space="preserve"> interview</w:t>
      </w:r>
      <w:r w:rsidR="00150EFE">
        <w:rPr>
          <w:sz w:val="18"/>
          <w:szCs w:val="18"/>
        </w:rPr>
        <w:t>s</w:t>
      </w:r>
      <w:r w:rsidR="007C531B">
        <w:rPr>
          <w:sz w:val="18"/>
          <w:szCs w:val="18"/>
        </w:rPr>
        <w:t xml:space="preserve"> </w:t>
      </w:r>
      <w:r w:rsidRPr="00150EFE" w:rsidR="007C531B">
        <w:rPr>
          <w:sz w:val="18"/>
          <w:szCs w:val="18"/>
        </w:rPr>
        <w:t>are a subset of the</w:t>
      </w:r>
      <w:r w:rsidR="00150EFE">
        <w:rPr>
          <w:sz w:val="18"/>
          <w:szCs w:val="18"/>
        </w:rPr>
        <w:t xml:space="preserve"> individuals</w:t>
      </w:r>
      <w:r w:rsidRPr="00150EFE" w:rsidR="007C531B">
        <w:rPr>
          <w:sz w:val="18"/>
          <w:szCs w:val="18"/>
        </w:rPr>
        <w:t xml:space="preserve"> </w:t>
      </w:r>
      <w:r w:rsidR="007C531B">
        <w:rPr>
          <w:sz w:val="18"/>
          <w:szCs w:val="18"/>
        </w:rPr>
        <w:t xml:space="preserve">in the NAP sample </w:t>
      </w:r>
      <w:r w:rsidR="00150EFE">
        <w:rPr>
          <w:sz w:val="18"/>
          <w:szCs w:val="18"/>
        </w:rPr>
        <w:t>who complete</w:t>
      </w:r>
      <w:r w:rsidRPr="00150EFE" w:rsidR="007C531B">
        <w:rPr>
          <w:sz w:val="18"/>
          <w:szCs w:val="18"/>
        </w:rPr>
        <w:t xml:space="preserve"> the survey</w:t>
      </w:r>
      <w:r w:rsidR="007C531B">
        <w:rPr>
          <w:sz w:val="18"/>
          <w:szCs w:val="18"/>
        </w:rPr>
        <w:t>; thus, they are not included in the totals of unique persons contacte</w:t>
      </w:r>
      <w:r w:rsidR="00150EFE">
        <w:rPr>
          <w:sz w:val="18"/>
          <w:szCs w:val="18"/>
        </w:rPr>
        <w:t>d, respondents, and non-respondents</w:t>
      </w:r>
      <w:r w:rsidRPr="00150EFE" w:rsidR="007C531B">
        <w:rPr>
          <w:sz w:val="18"/>
          <w:szCs w:val="18"/>
        </w:rPr>
        <w:t xml:space="preserve">. </w:t>
      </w:r>
    </w:p>
    <w:p w:rsidRPr="00150EFE" w:rsidR="00150EFE" w:rsidP="00150EFE" w:rsidRDefault="00D03F76" w14:paraId="6688D1C1" w14:textId="3CD5C73C">
      <w:pPr>
        <w:pStyle w:val="FtnteBodyText-IPR"/>
        <w:spacing w:before="60"/>
        <w:rPr>
          <w:sz w:val="18"/>
          <w:szCs w:val="18"/>
        </w:rPr>
      </w:pPr>
      <w:r>
        <w:rPr>
          <w:sz w:val="18"/>
          <w:szCs w:val="18"/>
          <w:vertAlign w:val="superscript"/>
        </w:rPr>
        <w:t>c</w:t>
      </w:r>
      <w:r w:rsidRPr="00F757CD" w:rsidR="00150EFE">
        <w:rPr>
          <w:sz w:val="18"/>
          <w:szCs w:val="18"/>
        </w:rPr>
        <w:t xml:space="preserve"> </w:t>
      </w:r>
      <w:r w:rsidR="00150EFE">
        <w:rPr>
          <w:sz w:val="18"/>
          <w:szCs w:val="18"/>
        </w:rPr>
        <w:t xml:space="preserve">Individuals in the area probability sample who are contacted for interviews </w:t>
      </w:r>
      <w:r w:rsidRPr="00F757CD" w:rsidR="00150EFE">
        <w:rPr>
          <w:sz w:val="18"/>
          <w:szCs w:val="18"/>
        </w:rPr>
        <w:t>are a subset of the</w:t>
      </w:r>
      <w:r w:rsidR="00150EFE">
        <w:rPr>
          <w:sz w:val="18"/>
          <w:szCs w:val="18"/>
        </w:rPr>
        <w:t xml:space="preserve"> individuals</w:t>
      </w:r>
      <w:r w:rsidRPr="00F757CD" w:rsidR="00150EFE">
        <w:rPr>
          <w:sz w:val="18"/>
          <w:szCs w:val="18"/>
        </w:rPr>
        <w:t xml:space="preserve"> </w:t>
      </w:r>
      <w:r w:rsidR="00150EFE">
        <w:rPr>
          <w:sz w:val="18"/>
          <w:szCs w:val="18"/>
        </w:rPr>
        <w:t>in the area probability sample who complete</w:t>
      </w:r>
      <w:r w:rsidRPr="00F757CD" w:rsidR="00150EFE">
        <w:rPr>
          <w:sz w:val="18"/>
          <w:szCs w:val="18"/>
        </w:rPr>
        <w:t xml:space="preserve"> the survey</w:t>
      </w:r>
      <w:r w:rsidR="00150EFE">
        <w:rPr>
          <w:sz w:val="18"/>
          <w:szCs w:val="18"/>
        </w:rPr>
        <w:t>; thus, they are not included in the totals of unique persons contacted, respondents, and non-respondents</w:t>
      </w:r>
      <w:r w:rsidRPr="00F757CD" w:rsidR="00150EFE">
        <w:rPr>
          <w:sz w:val="18"/>
          <w:szCs w:val="18"/>
        </w:rPr>
        <w:t>.</w:t>
      </w:r>
    </w:p>
    <w:p w:rsidRPr="00B62368" w:rsidR="001776C5" w:rsidRDefault="001776C5" w14:paraId="087792AA" w14:textId="3317C6DA">
      <w:pPr>
        <w:pStyle w:val="Hdng3-IPR"/>
        <w:spacing w:before="240"/>
      </w:pPr>
      <w:r w:rsidRPr="00B62368">
        <w:t>P</w:t>
      </w:r>
      <w:r w:rsidRPr="00B62368" w:rsidR="00500C20">
        <w:t xml:space="preserve">rocedures for the </w:t>
      </w:r>
      <w:r w:rsidRPr="00B62368" w:rsidR="003B0C3F">
        <w:t>C</w:t>
      </w:r>
      <w:r w:rsidRPr="00B62368" w:rsidR="00500C20">
        <w:t xml:space="preserve">ollection of </w:t>
      </w:r>
      <w:r w:rsidRPr="00B62368" w:rsidR="003B0C3F">
        <w:t>I</w:t>
      </w:r>
      <w:r w:rsidRPr="00B62368" w:rsidR="00500C20">
        <w:t>nformation</w:t>
      </w:r>
      <w:bookmarkEnd w:id="25"/>
      <w:bookmarkEnd w:id="26"/>
    </w:p>
    <w:p w:rsidRPr="00B62368" w:rsidR="00500C20" w:rsidP="00960E81" w:rsidRDefault="00500C20" w14:paraId="50FF9EBC" w14:textId="77777777">
      <w:pPr>
        <w:pStyle w:val="Hdng4Calibri-IPR"/>
        <w:keepNext w:val="0"/>
        <w:rPr>
          <w:rFonts w:ascii="Candara" w:hAnsi="Candara"/>
          <w:sz w:val="22"/>
          <w:szCs w:val="22"/>
        </w:rPr>
      </w:pPr>
      <w:r w:rsidRPr="00B62368">
        <w:rPr>
          <w:rFonts w:ascii="Candara" w:hAnsi="Candara"/>
          <w:sz w:val="22"/>
          <w:szCs w:val="22"/>
        </w:rPr>
        <w:t>Describe the procedures for the collection of information including:</w:t>
      </w:r>
    </w:p>
    <w:p w:rsidRPr="00B62368" w:rsidR="00500C20" w:rsidP="00960E81" w:rsidRDefault="00500C20" w14:paraId="79796C48" w14:textId="77777777">
      <w:pPr>
        <w:pStyle w:val="BulletsRed-IPR"/>
        <w:numPr>
          <w:ilvl w:val="0"/>
          <w:numId w:val="33"/>
        </w:numPr>
        <w:spacing w:line="240" w:lineRule="auto"/>
        <w:rPr>
          <w:rFonts w:ascii="Candara" w:hAnsi="Candara"/>
          <w:b/>
          <w:szCs w:val="22"/>
        </w:rPr>
      </w:pPr>
      <w:r w:rsidRPr="00B62368">
        <w:rPr>
          <w:rFonts w:ascii="Candara" w:hAnsi="Candara"/>
          <w:b/>
          <w:szCs w:val="22"/>
        </w:rPr>
        <w:t>Statistical methodology for stratification and sample selection</w:t>
      </w:r>
    </w:p>
    <w:p w:rsidRPr="00B62368" w:rsidR="00500C20" w:rsidP="002D3C5E" w:rsidRDefault="00500C20" w14:paraId="423C0C21" w14:textId="77777777">
      <w:pPr>
        <w:pStyle w:val="BulletsRed-IPR"/>
        <w:numPr>
          <w:ilvl w:val="0"/>
          <w:numId w:val="33"/>
        </w:numPr>
        <w:spacing w:line="240" w:lineRule="auto"/>
        <w:rPr>
          <w:rFonts w:ascii="Candara" w:hAnsi="Candara"/>
          <w:b/>
          <w:szCs w:val="22"/>
        </w:rPr>
      </w:pPr>
      <w:r w:rsidRPr="00B62368">
        <w:rPr>
          <w:rFonts w:ascii="Candara" w:hAnsi="Candara"/>
          <w:b/>
          <w:szCs w:val="22"/>
        </w:rPr>
        <w:t>Estimation procedure</w:t>
      </w:r>
    </w:p>
    <w:p w:rsidRPr="00B62368" w:rsidR="00500C20" w:rsidP="002D3C5E" w:rsidRDefault="00500C20" w14:paraId="14AA1F23" w14:textId="77777777">
      <w:pPr>
        <w:pStyle w:val="BulletsRed-IPR"/>
        <w:numPr>
          <w:ilvl w:val="0"/>
          <w:numId w:val="33"/>
        </w:numPr>
        <w:spacing w:line="240" w:lineRule="auto"/>
        <w:rPr>
          <w:rFonts w:ascii="Candara" w:hAnsi="Candara"/>
          <w:b/>
          <w:szCs w:val="22"/>
        </w:rPr>
      </w:pPr>
      <w:r w:rsidRPr="00B62368">
        <w:rPr>
          <w:rFonts w:ascii="Candara" w:hAnsi="Candara"/>
          <w:b/>
          <w:szCs w:val="22"/>
        </w:rPr>
        <w:t>Degree of accuracy needed for the purpose described in the justification</w:t>
      </w:r>
    </w:p>
    <w:p w:rsidRPr="00B62368" w:rsidR="00500C20" w:rsidP="002D3C5E" w:rsidRDefault="00500C20" w14:paraId="5D7950B0" w14:textId="77777777">
      <w:pPr>
        <w:pStyle w:val="BulletsRed-IPR"/>
        <w:numPr>
          <w:ilvl w:val="0"/>
          <w:numId w:val="33"/>
        </w:numPr>
        <w:spacing w:line="240" w:lineRule="auto"/>
        <w:rPr>
          <w:rFonts w:ascii="Candara" w:hAnsi="Candara"/>
          <w:b/>
          <w:szCs w:val="22"/>
        </w:rPr>
      </w:pPr>
      <w:r w:rsidRPr="00B62368">
        <w:rPr>
          <w:rFonts w:ascii="Candara" w:hAnsi="Candara"/>
          <w:b/>
          <w:szCs w:val="22"/>
        </w:rPr>
        <w:t>Unusual problems requiring specialized sampling procedures</w:t>
      </w:r>
    </w:p>
    <w:p w:rsidRPr="002D3C5E" w:rsidR="00A8375E" w:rsidP="00503F46" w:rsidRDefault="00500C20" w14:paraId="64C586EB" w14:textId="4D88A4FF">
      <w:pPr>
        <w:pStyle w:val="BulletsRed-IPR"/>
        <w:numPr>
          <w:ilvl w:val="0"/>
          <w:numId w:val="33"/>
        </w:numPr>
        <w:spacing w:after="240" w:line="240" w:lineRule="auto"/>
        <w:rPr>
          <w:rFonts w:ascii="Candara" w:hAnsi="Candara"/>
          <w:b/>
          <w:szCs w:val="22"/>
        </w:rPr>
      </w:pPr>
      <w:r w:rsidRPr="00B62368">
        <w:rPr>
          <w:rFonts w:ascii="Candara" w:hAnsi="Candara"/>
          <w:b/>
          <w:szCs w:val="22"/>
        </w:rPr>
        <w:t>Any use of periodic (less frequent than annual) data collection cycles to reduce burden</w:t>
      </w:r>
    </w:p>
    <w:p w:rsidR="00C175BE" w:rsidP="00503F46" w:rsidRDefault="00A66D96" w14:paraId="26404BB7" w14:textId="5983BDD9">
      <w:pPr>
        <w:pStyle w:val="Body11ptCalibri-IPR"/>
        <w:spacing w:after="240"/>
      </w:pPr>
      <w:r>
        <w:rPr>
          <w:rFonts w:asciiTheme="minorHAnsi" w:hAnsiTheme="minorHAnsi" w:cstheme="minorHAnsi"/>
          <w:bCs/>
          <w:szCs w:val="22"/>
        </w:rPr>
        <w:t>The in-depth interviews and concept</w:t>
      </w:r>
      <w:r w:rsidR="00E3373B">
        <w:rPr>
          <w:rFonts w:asciiTheme="minorHAnsi" w:hAnsiTheme="minorHAnsi" w:cstheme="minorHAnsi"/>
          <w:bCs/>
          <w:szCs w:val="22"/>
        </w:rPr>
        <w:t>-</w:t>
      </w:r>
      <w:r>
        <w:rPr>
          <w:rFonts w:asciiTheme="minorHAnsi" w:hAnsiTheme="minorHAnsi" w:cstheme="minorHAnsi"/>
          <w:bCs/>
          <w:szCs w:val="22"/>
        </w:rPr>
        <w:t xml:space="preserve">mapping tasks do not </w:t>
      </w:r>
      <w:r w:rsidR="00485D29">
        <w:rPr>
          <w:rFonts w:asciiTheme="minorHAnsi" w:hAnsiTheme="minorHAnsi" w:cstheme="minorHAnsi"/>
          <w:bCs/>
          <w:szCs w:val="22"/>
        </w:rPr>
        <w:t xml:space="preserve">use </w:t>
      </w:r>
      <w:r w:rsidRPr="00B62368" w:rsidR="00C175BE">
        <w:t xml:space="preserve">statistical sampling </w:t>
      </w:r>
      <w:r w:rsidR="00485D29">
        <w:t xml:space="preserve">or estimation </w:t>
      </w:r>
      <w:r w:rsidRPr="00B62368" w:rsidR="00C175BE">
        <w:t>methodolog</w:t>
      </w:r>
      <w:r>
        <w:t>ies</w:t>
      </w:r>
      <w:r w:rsidR="001730FD">
        <w:t xml:space="preserve">. </w:t>
      </w:r>
      <w:r w:rsidR="00E3373B">
        <w:t>T</w:t>
      </w:r>
      <w:r>
        <w:t xml:space="preserve">he </w:t>
      </w:r>
      <w:r w:rsidR="00485D29">
        <w:t xml:space="preserve">information collection </w:t>
      </w:r>
      <w:r>
        <w:t xml:space="preserve">procedures </w:t>
      </w:r>
      <w:r w:rsidR="00485D29">
        <w:t xml:space="preserve">used </w:t>
      </w:r>
      <w:r>
        <w:t xml:space="preserve">for </w:t>
      </w:r>
      <w:r w:rsidR="00485D29">
        <w:t xml:space="preserve">the </w:t>
      </w:r>
      <w:r>
        <w:t>in-depth interviews and concept</w:t>
      </w:r>
      <w:r w:rsidR="0092428C">
        <w:t>-</w:t>
      </w:r>
      <w:r>
        <w:t>mapping tasks</w:t>
      </w:r>
      <w:r w:rsidR="00E3373B">
        <w:t xml:space="preserve"> are described</w:t>
      </w:r>
      <w:r w:rsidR="00485D29">
        <w:t xml:space="preserve"> below, </w:t>
      </w:r>
      <w:r w:rsidR="00E3373B">
        <w:t xml:space="preserve">followed by </w:t>
      </w:r>
      <w:r w:rsidR="00FA01CB">
        <w:t>a review</w:t>
      </w:r>
      <w:r w:rsidR="00E3373B">
        <w:t xml:space="preserve"> of</w:t>
      </w:r>
      <w:r>
        <w:t xml:space="preserve"> statistical </w:t>
      </w:r>
      <w:r w:rsidR="00485D29">
        <w:t xml:space="preserve">methodologies </w:t>
      </w:r>
      <w:r>
        <w:t xml:space="preserve">used </w:t>
      </w:r>
      <w:r w:rsidR="001730FD">
        <w:t xml:space="preserve">for the </w:t>
      </w:r>
      <w:r w:rsidR="00485D29">
        <w:t xml:space="preserve">household survey data </w:t>
      </w:r>
      <w:r w:rsidR="001730FD">
        <w:t>collection</w:t>
      </w:r>
      <w:r w:rsidRPr="00485D29" w:rsidR="00485D29">
        <w:t xml:space="preserve"> </w:t>
      </w:r>
      <w:r w:rsidR="00485D29">
        <w:t xml:space="preserve">in </w:t>
      </w:r>
      <w:r w:rsidR="00354705">
        <w:t>s</w:t>
      </w:r>
      <w:r w:rsidR="00485D29">
        <w:t>ections B.2.1 through B.2.5</w:t>
      </w:r>
      <w:r w:rsidR="001730FD">
        <w:t>.</w:t>
      </w:r>
    </w:p>
    <w:p w:rsidR="00122326" w:rsidP="00CB6433" w:rsidRDefault="00C175BE" w14:paraId="4FA4832B" w14:textId="77777777">
      <w:pPr>
        <w:pStyle w:val="Body11ptCalibri-IPR"/>
        <w:keepNext/>
      </w:pPr>
      <w:r w:rsidRPr="000D610B">
        <w:rPr>
          <w:b/>
          <w:bCs/>
          <w:i/>
          <w:iCs/>
        </w:rPr>
        <w:t>In-depth interview procedures</w:t>
      </w:r>
    </w:p>
    <w:p w:rsidR="00503F46" w:rsidP="00503F46" w:rsidRDefault="000D610B" w14:paraId="67B8002F" w14:textId="77777777">
      <w:pPr>
        <w:pStyle w:val="Body11ptCalibri-IPR"/>
        <w:spacing w:after="240"/>
      </w:pPr>
      <w:r>
        <w:t xml:space="preserve">Every </w:t>
      </w:r>
      <w:r w:rsidR="00E3373B">
        <w:t>3</w:t>
      </w:r>
      <w:r>
        <w:t xml:space="preserve"> weeks during the survey data collection period, </w:t>
      </w:r>
      <w:r w:rsidR="00E3373B">
        <w:t xml:space="preserve">the study team </w:t>
      </w:r>
      <w:r>
        <w:t xml:space="preserve">will generate a list of survey respondents who volunteer to be contacted for an in-depth interview. The list will include the following data elements: respondent name and contact information, NAP participation status, household size and income, presence of children in the household, and food security status. </w:t>
      </w:r>
      <w:r w:rsidR="00E3373B">
        <w:t>T</w:t>
      </w:r>
      <w:r>
        <w:t>hese data elements</w:t>
      </w:r>
      <w:r w:rsidR="00E3373B">
        <w:t xml:space="preserve"> will be used</w:t>
      </w:r>
      <w:r>
        <w:t xml:space="preserve"> to classify each respondent into one of the 12 target subgroups</w:t>
      </w:r>
      <w:r w:rsidR="003D1289">
        <w:t xml:space="preserve"> (see table B.1.1)</w:t>
      </w:r>
      <w:r>
        <w:t xml:space="preserve">. </w:t>
      </w:r>
    </w:p>
    <w:p w:rsidR="00503F46" w:rsidP="00503F46" w:rsidRDefault="00A8375E" w14:paraId="2D2E7BF6" w14:textId="1F094526">
      <w:pPr>
        <w:pStyle w:val="Body11ptCalibri-IPR"/>
        <w:spacing w:after="240"/>
      </w:pPr>
      <w:r>
        <w:t xml:space="preserve">A field supervisor will assign </w:t>
      </w:r>
      <w:r w:rsidR="00581DB9">
        <w:t xml:space="preserve">survey respondent volunteers to </w:t>
      </w:r>
      <w:r>
        <w:t xml:space="preserve">trained interviewers. Interviewers will contact individuals by phone to schedule the interviews, using the script shown in </w:t>
      </w:r>
      <w:r w:rsidR="00581DB9">
        <w:t>A</w:t>
      </w:r>
      <w:r w:rsidRPr="003D6B4C" w:rsidR="00581DB9">
        <w:t xml:space="preserve">ppendix </w:t>
      </w:r>
      <w:r w:rsidR="004421E2">
        <w:t>I</w:t>
      </w:r>
      <w:r w:rsidR="00581DB9">
        <w:t>.1</w:t>
      </w:r>
      <w:r w:rsidR="004421E2">
        <w:t xml:space="preserve"> and I.</w:t>
      </w:r>
      <w:r w:rsidR="00D76C2F">
        <w:t>4</w:t>
      </w:r>
      <w:r w:rsidRPr="003D6B4C" w:rsidR="00581DB9">
        <w:t xml:space="preserve"> </w:t>
      </w:r>
      <w:r>
        <w:t>Upon reaching a potential interviewee by phone, the interviewer will explain the purpose of the call and try to schedule the in-person interview within the next few days</w:t>
      </w:r>
      <w:r w:rsidR="00581DB9">
        <w:t xml:space="preserve"> (see Appendix </w:t>
      </w:r>
      <w:r w:rsidR="004421E2">
        <w:t>I</w:t>
      </w:r>
      <w:r w:rsidR="00581DB9">
        <w:t>.</w:t>
      </w:r>
      <w:r w:rsidR="00D76C2F">
        <w:t>2</w:t>
      </w:r>
      <w:r w:rsidR="004421E2">
        <w:t xml:space="preserve"> and I.</w:t>
      </w:r>
      <w:r w:rsidR="00D76C2F">
        <w:t>5</w:t>
      </w:r>
      <w:r w:rsidR="00581DB9">
        <w:t>).</w:t>
      </w:r>
      <w:r>
        <w:t xml:space="preserve"> Avoiding delays between scheduling and conducting the interview will help minimize the likelihood of no-shows or cancellations.</w:t>
      </w:r>
    </w:p>
    <w:p w:rsidR="00503F46" w:rsidP="00503F46" w:rsidRDefault="00760053" w14:paraId="17178CFC" w14:textId="77777777">
      <w:pPr>
        <w:pStyle w:val="Body11ptCalibri-IPR"/>
        <w:rPr>
          <w:b/>
          <w:bCs/>
          <w:i/>
          <w:iCs/>
        </w:rPr>
      </w:pPr>
      <w:r w:rsidRPr="00040E67">
        <w:rPr>
          <w:b/>
          <w:bCs/>
          <w:i/>
          <w:iCs/>
        </w:rPr>
        <w:lastRenderedPageBreak/>
        <w:t>Concept</w:t>
      </w:r>
      <w:r w:rsidR="00E3373B">
        <w:rPr>
          <w:b/>
          <w:bCs/>
          <w:i/>
          <w:iCs/>
        </w:rPr>
        <w:t>-</w:t>
      </w:r>
      <w:r w:rsidRPr="00040E67" w:rsidR="00C669E6">
        <w:rPr>
          <w:b/>
          <w:bCs/>
          <w:i/>
          <w:iCs/>
        </w:rPr>
        <w:t>m</w:t>
      </w:r>
      <w:r w:rsidRPr="00040E67">
        <w:rPr>
          <w:b/>
          <w:bCs/>
          <w:i/>
          <w:iCs/>
        </w:rPr>
        <w:t>apping</w:t>
      </w:r>
      <w:r w:rsidRPr="00040E67" w:rsidR="00C669E6">
        <w:rPr>
          <w:b/>
          <w:bCs/>
          <w:i/>
          <w:iCs/>
        </w:rPr>
        <w:t xml:space="preserve"> procedures</w:t>
      </w:r>
      <w:bookmarkStart w:name="_Hlk75965636" w:id="27"/>
    </w:p>
    <w:p w:rsidRPr="005210BA" w:rsidR="009E0B57" w:rsidP="00503F46" w:rsidRDefault="00E3373B" w14:paraId="0EE29639" w14:textId="5E5CC738">
      <w:pPr>
        <w:pStyle w:val="Body11ptCalibri-IPR"/>
        <w:spacing w:after="240"/>
      </w:pPr>
      <w:r>
        <w:t>The study team</w:t>
      </w:r>
      <w:r w:rsidR="009E0B57">
        <w:t xml:space="preserve"> </w:t>
      </w:r>
      <w:r w:rsidRPr="005210BA" w:rsidR="009E0B57">
        <w:t xml:space="preserve">will primarily rely on guidance from FNS, TWG members, and a snowball sampling approach to select </w:t>
      </w:r>
      <w:r w:rsidR="009E0B57">
        <w:t xml:space="preserve">stakeholders to </w:t>
      </w:r>
      <w:r w:rsidRPr="005210BA" w:rsidR="009E0B57">
        <w:t>participa</w:t>
      </w:r>
      <w:r w:rsidR="009E0B57">
        <w:t>te</w:t>
      </w:r>
      <w:r w:rsidRPr="005210BA" w:rsidR="009E0B57">
        <w:t xml:space="preserve"> in the concept-mapping process.</w:t>
      </w:r>
      <w:r w:rsidR="009E0B57">
        <w:t xml:space="preserve"> The team will first seek input from FNS staff and TWG members to identify and recruit stakeholders. Selection criteria will include expertise in policy issues related to NAP and food security in Puerto Rico, </w:t>
      </w:r>
      <w:r w:rsidRPr="005210BA" w:rsidR="009E0B57">
        <w:t>familiarity with one or more of the stages of Puerto Rico’s food and nutrition system, and ability to represent the perspectives of key stakeholders in that system</w:t>
      </w:r>
      <w:r w:rsidR="009E0B57">
        <w:t xml:space="preserve">. After </w:t>
      </w:r>
      <w:r>
        <w:t xml:space="preserve">contacting </w:t>
      </w:r>
      <w:r w:rsidR="009E0B57">
        <w:t>potential participants recommended by FNS and the TWG</w:t>
      </w:r>
      <w:r w:rsidRPr="00E3373B">
        <w:t xml:space="preserve"> </w:t>
      </w:r>
      <w:r>
        <w:t>via email</w:t>
      </w:r>
      <w:r w:rsidR="00F9064B">
        <w:t xml:space="preserve"> (see Appendix </w:t>
      </w:r>
      <w:r w:rsidR="00881E9A">
        <w:t>K</w:t>
      </w:r>
      <w:r w:rsidR="00767E69">
        <w:t>.1</w:t>
      </w:r>
      <w:r w:rsidR="00F9064B">
        <w:t>)</w:t>
      </w:r>
      <w:r w:rsidR="009E0B57">
        <w:t xml:space="preserve">, the team will solicit recommendations for additional stakeholders from those contacted and repeat the process until all stakeholder group members are selected. The team anticipates convening </w:t>
      </w:r>
      <w:r>
        <w:t xml:space="preserve">6 </w:t>
      </w:r>
      <w:r w:rsidR="009E0B57">
        <w:t xml:space="preserve">stakeholder groups with </w:t>
      </w:r>
      <w:r>
        <w:t xml:space="preserve">7 </w:t>
      </w:r>
      <w:r w:rsidR="009E0B57">
        <w:t>members each</w:t>
      </w:r>
      <w:r>
        <w:t>,</w:t>
      </w:r>
      <w:r w:rsidR="009E0B57">
        <w:t xml:space="preserve"> for a total of 42 stakeholder group members. </w:t>
      </w:r>
    </w:p>
    <w:bookmarkEnd w:id="27"/>
    <w:p w:rsidR="003E223D" w:rsidP="003E223D" w:rsidRDefault="006E04B2" w14:paraId="649A71DB" w14:textId="63D3101E">
      <w:pPr>
        <w:pStyle w:val="Heading4NoLetter-IPR"/>
        <w:spacing w:before="240" w:after="120"/>
      </w:pPr>
      <w:r>
        <w:t>B.2.1</w:t>
      </w:r>
      <w:r w:rsidR="00122326">
        <w:t>.</w:t>
      </w:r>
      <w:r>
        <w:tab/>
      </w:r>
      <w:r w:rsidR="003E223D">
        <w:t>Statistical Methodology for Stratification and Sample Selection</w:t>
      </w:r>
      <w:r w:rsidR="00C669E6">
        <w:t xml:space="preserve"> for Household Survey</w:t>
      </w:r>
    </w:p>
    <w:p w:rsidR="003D5F5A" w:rsidP="00503F46" w:rsidRDefault="00E3373B" w14:paraId="017DDA55" w14:textId="155C0419">
      <w:pPr>
        <w:pStyle w:val="Body11ptCalibrDBi-IPR"/>
        <w:spacing w:after="240"/>
      </w:pPr>
      <w:r>
        <w:t xml:space="preserve">The study team </w:t>
      </w:r>
      <w:r w:rsidR="003D5F5A">
        <w:t>will use two sourc</w:t>
      </w:r>
      <w:r w:rsidR="002455B1">
        <w:t xml:space="preserve">es to build the household </w:t>
      </w:r>
      <w:r w:rsidR="00C669E6">
        <w:t xml:space="preserve">survey </w:t>
      </w:r>
      <w:r w:rsidR="002455B1">
        <w:t>sampling</w:t>
      </w:r>
      <w:r w:rsidR="003D5F5A">
        <w:t xml:space="preserve"> frames: an administrative list of NAP</w:t>
      </w:r>
      <w:r w:rsidR="003D5F5A">
        <w:rPr>
          <w:spacing w:val="1"/>
        </w:rPr>
        <w:t xml:space="preserve"> </w:t>
      </w:r>
      <w:r w:rsidR="003D5F5A">
        <w:t xml:space="preserve">participants provided by </w:t>
      </w:r>
      <w:r w:rsidR="00607FCF">
        <w:t xml:space="preserve">ADSEF and an area </w:t>
      </w:r>
      <w:r w:rsidR="003D5F5A">
        <w:t>probability sample.</w:t>
      </w:r>
      <w:r>
        <w:rPr>
          <w:rStyle w:val="FootnoteReference"/>
        </w:rPr>
        <w:footnoteReference w:id="4"/>
      </w:r>
      <w:r w:rsidR="003D5F5A">
        <w:t xml:space="preserve"> This </w:t>
      </w:r>
      <w:r w:rsidR="00C146F6">
        <w:t>dual-frame</w:t>
      </w:r>
      <w:r w:rsidR="003D5F5A">
        <w:t xml:space="preserve"> approach is designed to balance the relative efficiencies and coverage of each sampling frame.</w:t>
      </w:r>
      <w:r w:rsidR="00404247">
        <w:t xml:space="preserve"> </w:t>
      </w:r>
      <w:r w:rsidR="003D5F5A">
        <w:t xml:space="preserve">The NAP </w:t>
      </w:r>
      <w:r w:rsidR="0092428C">
        <w:t xml:space="preserve">administrative </w:t>
      </w:r>
      <w:r w:rsidR="003D5F5A">
        <w:t>list provides the most efficient approach for sampling NAP participants, and the area</w:t>
      </w:r>
      <w:r w:rsidR="003D5F5A">
        <w:rPr>
          <w:spacing w:val="1"/>
        </w:rPr>
        <w:t xml:space="preserve"> </w:t>
      </w:r>
      <w:r w:rsidR="003D5F5A">
        <w:t>probability</w:t>
      </w:r>
      <w:r w:rsidR="003D5F5A">
        <w:rPr>
          <w:spacing w:val="-3"/>
        </w:rPr>
        <w:t xml:space="preserve"> </w:t>
      </w:r>
      <w:r w:rsidR="003D5F5A">
        <w:t>sample</w:t>
      </w:r>
      <w:r w:rsidR="003D5F5A">
        <w:rPr>
          <w:spacing w:val="-1"/>
        </w:rPr>
        <w:t xml:space="preserve"> </w:t>
      </w:r>
      <w:r w:rsidR="003D5F5A">
        <w:t>provides</w:t>
      </w:r>
      <w:r w:rsidR="003D5F5A">
        <w:rPr>
          <w:spacing w:val="-2"/>
        </w:rPr>
        <w:t xml:space="preserve"> </w:t>
      </w:r>
      <w:r w:rsidR="003D5F5A">
        <w:t>coverage</w:t>
      </w:r>
      <w:r w:rsidR="003D5F5A">
        <w:rPr>
          <w:spacing w:val="-1"/>
        </w:rPr>
        <w:t xml:space="preserve"> </w:t>
      </w:r>
      <w:r w:rsidR="003D5F5A">
        <w:t>of</w:t>
      </w:r>
      <w:r w:rsidR="003D5F5A">
        <w:rPr>
          <w:spacing w:val="-1"/>
        </w:rPr>
        <w:t xml:space="preserve"> </w:t>
      </w:r>
      <w:r w:rsidR="003D5F5A">
        <w:t>the</w:t>
      </w:r>
      <w:r w:rsidR="003D5F5A">
        <w:rPr>
          <w:spacing w:val="-1"/>
        </w:rPr>
        <w:t xml:space="preserve"> </w:t>
      </w:r>
      <w:r w:rsidR="003D5F5A">
        <w:t>full</w:t>
      </w:r>
      <w:r w:rsidR="003D5F5A">
        <w:rPr>
          <w:spacing w:val="-1"/>
        </w:rPr>
        <w:t xml:space="preserve"> </w:t>
      </w:r>
      <w:r w:rsidR="003D5F5A">
        <w:t>population,</w:t>
      </w:r>
      <w:r w:rsidR="003D5F5A">
        <w:rPr>
          <w:spacing w:val="-2"/>
        </w:rPr>
        <w:t xml:space="preserve"> </w:t>
      </w:r>
      <w:r w:rsidR="003D5F5A">
        <w:t>including</w:t>
      </w:r>
      <w:r w:rsidR="003D5F5A">
        <w:rPr>
          <w:spacing w:val="-2"/>
        </w:rPr>
        <w:t xml:space="preserve"> </w:t>
      </w:r>
      <w:r w:rsidR="003D5F5A">
        <w:t>NAP nonparticipants.</w:t>
      </w:r>
    </w:p>
    <w:p w:rsidR="006E04B2" w:rsidP="00503F46" w:rsidRDefault="00E3373B" w14:paraId="759727B1" w14:textId="02EEE139">
      <w:pPr>
        <w:pStyle w:val="Body11ptCalibrDBi-IPR"/>
        <w:spacing w:after="240"/>
      </w:pPr>
      <w:r>
        <w:t>The study team</w:t>
      </w:r>
      <w:r>
        <w:rPr>
          <w:spacing w:val="-4"/>
        </w:rPr>
        <w:t xml:space="preserve"> </w:t>
      </w:r>
      <w:r w:rsidR="003D5F5A">
        <w:t>will</w:t>
      </w:r>
      <w:r w:rsidR="003D5F5A">
        <w:rPr>
          <w:spacing w:val="-4"/>
        </w:rPr>
        <w:t xml:space="preserve"> </w:t>
      </w:r>
      <w:r w:rsidR="003D5F5A">
        <w:t>use</w:t>
      </w:r>
      <w:r w:rsidR="003D5F5A">
        <w:rPr>
          <w:spacing w:val="-4"/>
        </w:rPr>
        <w:t xml:space="preserve"> </w:t>
      </w:r>
      <w:r w:rsidR="003D5F5A">
        <w:t>the</w:t>
      </w:r>
      <w:r w:rsidR="003D5F5A">
        <w:rPr>
          <w:spacing w:val="-4"/>
        </w:rPr>
        <w:t xml:space="preserve"> </w:t>
      </w:r>
      <w:r w:rsidR="003D5F5A">
        <w:t>NAP</w:t>
      </w:r>
      <w:r w:rsidR="003D5F5A">
        <w:rPr>
          <w:spacing w:val="-2"/>
        </w:rPr>
        <w:t xml:space="preserve"> </w:t>
      </w:r>
      <w:r w:rsidR="003D5F5A">
        <w:t>administrative</w:t>
      </w:r>
      <w:r w:rsidR="003D5F5A">
        <w:rPr>
          <w:spacing w:val="-5"/>
        </w:rPr>
        <w:t xml:space="preserve"> </w:t>
      </w:r>
      <w:r w:rsidR="00607FCF">
        <w:t>list</w:t>
      </w:r>
      <w:r w:rsidR="003D5F5A">
        <w:rPr>
          <w:spacing w:val="-3"/>
        </w:rPr>
        <w:t xml:space="preserve"> </w:t>
      </w:r>
      <w:r w:rsidR="003D5F5A">
        <w:t>to</w:t>
      </w:r>
      <w:r w:rsidR="003D5F5A">
        <w:rPr>
          <w:spacing w:val="-3"/>
        </w:rPr>
        <w:t xml:space="preserve"> </w:t>
      </w:r>
      <w:r w:rsidR="003D5F5A">
        <w:t>identify</w:t>
      </w:r>
      <w:r w:rsidR="003D5F5A">
        <w:rPr>
          <w:spacing w:val="-5"/>
        </w:rPr>
        <w:t xml:space="preserve"> </w:t>
      </w:r>
      <w:r w:rsidR="003D5F5A">
        <w:t>and</w:t>
      </w:r>
      <w:r w:rsidR="003D5F5A">
        <w:rPr>
          <w:spacing w:val="-3"/>
        </w:rPr>
        <w:t xml:space="preserve"> </w:t>
      </w:r>
      <w:r w:rsidR="003D5F5A">
        <w:t>sample NAP</w:t>
      </w:r>
      <w:r w:rsidR="003D5F5A">
        <w:rPr>
          <w:spacing w:val="-4"/>
        </w:rPr>
        <w:t xml:space="preserve"> </w:t>
      </w:r>
      <w:r w:rsidR="003D5F5A">
        <w:t>participa</w:t>
      </w:r>
      <w:r w:rsidR="00F9064B">
        <w:t>ting households</w:t>
      </w:r>
      <w:r w:rsidR="003D5F5A">
        <w:t>.</w:t>
      </w:r>
      <w:r w:rsidR="003D5F5A">
        <w:rPr>
          <w:spacing w:val="-4"/>
        </w:rPr>
        <w:t xml:space="preserve"> </w:t>
      </w:r>
      <w:r w:rsidR="003D5F5A">
        <w:t>The</w:t>
      </w:r>
      <w:r w:rsidR="003D5F5A">
        <w:rPr>
          <w:spacing w:val="-5"/>
        </w:rPr>
        <w:t xml:space="preserve"> </w:t>
      </w:r>
      <w:r w:rsidR="003D5F5A">
        <w:t>area</w:t>
      </w:r>
      <w:r w:rsidR="00607FCF">
        <w:t xml:space="preserve"> </w:t>
      </w:r>
      <w:r w:rsidR="003D5F5A">
        <w:t>probability</w:t>
      </w:r>
      <w:r w:rsidR="00607FCF">
        <w:t xml:space="preserve"> </w:t>
      </w:r>
      <w:r w:rsidR="003D5F5A">
        <w:t xml:space="preserve">sample will be used to identify and sample </w:t>
      </w:r>
      <w:r w:rsidRPr="00F9064B" w:rsidR="00F9064B">
        <w:rPr>
          <w:rFonts w:hint="eastAsia"/>
        </w:rPr>
        <w:t>NAP participating households, low‐income nonparticipating households</w:t>
      </w:r>
      <w:r w:rsidR="003D5F5A">
        <w:t>, and</w:t>
      </w:r>
      <w:r w:rsidR="003D5F5A">
        <w:rPr>
          <w:spacing w:val="1"/>
        </w:rPr>
        <w:t xml:space="preserve"> </w:t>
      </w:r>
      <w:r w:rsidR="003D5F5A">
        <w:t xml:space="preserve">households ineligible for NAP. Table </w:t>
      </w:r>
      <w:r w:rsidR="00607FCF">
        <w:t>B.</w:t>
      </w:r>
      <w:r w:rsidR="003D5F5A">
        <w:t>2.</w:t>
      </w:r>
      <w:r w:rsidR="00607FCF">
        <w:t>1</w:t>
      </w:r>
      <w:r w:rsidR="003D5F5A">
        <w:t xml:space="preserve"> provides an overview of key features of </w:t>
      </w:r>
      <w:r>
        <w:t>the</w:t>
      </w:r>
      <w:r w:rsidR="003D5F5A">
        <w:t xml:space="preserve"> two</w:t>
      </w:r>
      <w:r w:rsidR="003D5F5A">
        <w:rPr>
          <w:spacing w:val="1"/>
        </w:rPr>
        <w:t xml:space="preserve"> </w:t>
      </w:r>
      <w:r w:rsidR="003D5F5A">
        <w:t>sample design</w:t>
      </w:r>
      <w:r>
        <w:t xml:space="preserve"> components</w:t>
      </w:r>
      <w:r w:rsidR="003D5F5A">
        <w:t>, including the sample sizes and expected response rates for each</w:t>
      </w:r>
      <w:r w:rsidR="003D5F5A">
        <w:rPr>
          <w:spacing w:val="1"/>
        </w:rPr>
        <w:t xml:space="preserve"> </w:t>
      </w:r>
      <w:r w:rsidR="003D5F5A">
        <w:t xml:space="preserve">sampling frame. </w:t>
      </w:r>
      <w:r w:rsidR="00417730">
        <w:t>D</w:t>
      </w:r>
      <w:r w:rsidRPr="007A0261" w:rsidR="00417730">
        <w:t xml:space="preserve">ata collection will begin at the same time for the two survey sample frames (i.e., NAP participant list and area probability), but data collection procedures and field </w:t>
      </w:r>
      <w:r w:rsidRPr="007A0261" w:rsidR="00417730">
        <w:lastRenderedPageBreak/>
        <w:t>periods will vary by frame type. The field period for the NAP par</w:t>
      </w:r>
      <w:r w:rsidR="00417730">
        <w:t>ticipant list frame is 10 weeks</w:t>
      </w:r>
      <w:r w:rsidRPr="007A0261" w:rsidR="00417730">
        <w:t xml:space="preserve"> and the area</w:t>
      </w:r>
      <w:r w:rsidR="00417730">
        <w:t xml:space="preserve"> </w:t>
      </w:r>
      <w:r w:rsidRPr="007A0261" w:rsidR="00417730">
        <w:t>probability frame is 20 weeks.</w:t>
      </w:r>
      <w:r w:rsidR="00417730">
        <w:rPr>
          <w:rStyle w:val="FootnoteReference"/>
        </w:rPr>
        <w:footnoteReference w:id="5"/>
      </w:r>
    </w:p>
    <w:p w:rsidRPr="00503F46" w:rsidR="003D5F5A" w:rsidP="00503F46" w:rsidRDefault="003D5F5A" w14:paraId="2D31EDFF" w14:textId="289F12E7">
      <w:pPr>
        <w:pStyle w:val="TableTitle-IPR"/>
      </w:pPr>
      <w:bookmarkStart w:name="_Toc78365138" w:id="28"/>
      <w:r>
        <w:t>Table</w:t>
      </w:r>
      <w:r>
        <w:rPr>
          <w:spacing w:val="-2"/>
        </w:rPr>
        <w:t xml:space="preserve"> </w:t>
      </w:r>
      <w:r w:rsidR="00607FCF">
        <w:rPr>
          <w:spacing w:val="-2"/>
        </w:rPr>
        <w:t>B.</w:t>
      </w:r>
      <w:r>
        <w:t>2.</w:t>
      </w:r>
      <w:r w:rsidR="00607FCF">
        <w:t>1</w:t>
      </w:r>
      <w:r>
        <w:t>.</w:t>
      </w:r>
      <w:r>
        <w:rPr>
          <w:spacing w:val="-1"/>
        </w:rPr>
        <w:t xml:space="preserve"> </w:t>
      </w:r>
      <w:r>
        <w:t>Key</w:t>
      </w:r>
      <w:r>
        <w:rPr>
          <w:spacing w:val="-1"/>
        </w:rPr>
        <w:t xml:space="preserve"> </w:t>
      </w:r>
      <w:r>
        <w:t>Features</w:t>
      </w:r>
      <w:r>
        <w:rPr>
          <w:spacing w:val="-1"/>
        </w:rPr>
        <w:t xml:space="preserve"> </w:t>
      </w:r>
      <w:r>
        <w:t>of</w:t>
      </w:r>
      <w:r>
        <w:rPr>
          <w:spacing w:val="-2"/>
        </w:rPr>
        <w:t xml:space="preserve"> </w:t>
      </w:r>
      <w:r>
        <w:t>the</w:t>
      </w:r>
      <w:r>
        <w:rPr>
          <w:spacing w:val="-1"/>
        </w:rPr>
        <w:t xml:space="preserve"> </w:t>
      </w:r>
      <w:r>
        <w:t>Two</w:t>
      </w:r>
      <w:r>
        <w:rPr>
          <w:spacing w:val="-1"/>
        </w:rPr>
        <w:t xml:space="preserve"> </w:t>
      </w:r>
      <w:r>
        <w:t>Components</w:t>
      </w:r>
      <w:r>
        <w:rPr>
          <w:spacing w:val="-1"/>
        </w:rPr>
        <w:t xml:space="preserve"> </w:t>
      </w:r>
      <w:r>
        <w:t>of</w:t>
      </w:r>
      <w:r>
        <w:rPr>
          <w:spacing w:val="-1"/>
        </w:rPr>
        <w:t xml:space="preserve"> </w:t>
      </w:r>
      <w:r>
        <w:t>the</w:t>
      </w:r>
      <w:r>
        <w:rPr>
          <w:spacing w:val="-1"/>
        </w:rPr>
        <w:t xml:space="preserve"> </w:t>
      </w:r>
      <w:r>
        <w:t>Sample</w:t>
      </w:r>
      <w:r>
        <w:rPr>
          <w:spacing w:val="-1"/>
        </w:rPr>
        <w:t xml:space="preserve"> </w:t>
      </w:r>
      <w:r>
        <w:t>Design</w:t>
      </w:r>
      <w:r>
        <w:rPr>
          <w:spacing w:val="-1"/>
        </w:rPr>
        <w:t xml:space="preserve"> </w:t>
      </w:r>
      <w:r>
        <w:t>for</w:t>
      </w:r>
      <w:r>
        <w:rPr>
          <w:spacing w:val="-1"/>
        </w:rPr>
        <w:t xml:space="preserve"> </w:t>
      </w:r>
      <w:r>
        <w:t>the</w:t>
      </w:r>
      <w:r>
        <w:rPr>
          <w:spacing w:val="-1"/>
        </w:rPr>
        <w:t xml:space="preserve"> </w:t>
      </w:r>
      <w:r>
        <w:t>Household</w:t>
      </w:r>
      <w:r>
        <w:rPr>
          <w:spacing w:val="-1"/>
        </w:rPr>
        <w:t xml:space="preserve"> </w:t>
      </w:r>
      <w:r>
        <w:t>Survey</w:t>
      </w:r>
      <w:bookmarkEnd w:id="28"/>
    </w:p>
    <w:tbl>
      <w:tblPr>
        <w:tblStyle w:val="InsightTable"/>
        <w:tblW w:w="9420" w:type="dxa"/>
        <w:tblLayout w:type="fixed"/>
        <w:tblLook w:val="01E0" w:firstRow="1" w:lastRow="1" w:firstColumn="1" w:lastColumn="1" w:noHBand="0" w:noVBand="0"/>
      </w:tblPr>
      <w:tblGrid>
        <w:gridCol w:w="4892"/>
        <w:gridCol w:w="2070"/>
        <w:gridCol w:w="2458"/>
      </w:tblGrid>
      <w:tr w:rsidR="00503F46" w:rsidTr="00960E81" w14:paraId="6DF77CB0" w14:textId="77777777">
        <w:trPr>
          <w:cnfStyle w:val="100000000000" w:firstRow="1" w:lastRow="0" w:firstColumn="0" w:lastColumn="0" w:oddVBand="0" w:evenVBand="0" w:oddHBand="0" w:evenHBand="0" w:firstRowFirstColumn="0" w:firstRowLastColumn="0" w:lastRowFirstColumn="0" w:lastRowLastColumn="0"/>
          <w:trHeight w:val="360"/>
          <w:tblHeader/>
        </w:trPr>
        <w:tc>
          <w:tcPr>
            <w:tcW w:w="4892" w:type="dxa"/>
          </w:tcPr>
          <w:p w:rsidR="00503F46" w:rsidP="00503F46" w:rsidRDefault="00503F46" w14:paraId="6E56F423" w14:textId="0824D3A2">
            <w:pPr>
              <w:pStyle w:val="TableText-IPR"/>
            </w:pPr>
            <w:r w:rsidRPr="006B016F">
              <w:rPr>
                <w:rFonts w:ascii="Lucida Sans"/>
                <w:b/>
                <w:sz w:val="18"/>
              </w:rPr>
              <w:t>Sample</w:t>
            </w:r>
            <w:r w:rsidRPr="006B016F">
              <w:rPr>
                <w:rFonts w:ascii="Lucida Sans"/>
                <w:b/>
                <w:spacing w:val="-2"/>
                <w:sz w:val="18"/>
              </w:rPr>
              <w:t xml:space="preserve"> </w:t>
            </w:r>
            <w:r w:rsidRPr="006B016F">
              <w:rPr>
                <w:rFonts w:ascii="Lucida Sans"/>
                <w:b/>
                <w:sz w:val="18"/>
              </w:rPr>
              <w:t>Design</w:t>
            </w:r>
            <w:r w:rsidRPr="006B016F">
              <w:rPr>
                <w:rFonts w:ascii="Lucida Sans"/>
                <w:b/>
                <w:spacing w:val="-1"/>
                <w:sz w:val="18"/>
              </w:rPr>
              <w:t xml:space="preserve"> </w:t>
            </w:r>
            <w:r w:rsidRPr="006B016F">
              <w:rPr>
                <w:rFonts w:ascii="Lucida Sans"/>
                <w:b/>
                <w:sz w:val="18"/>
              </w:rPr>
              <w:t>Features</w:t>
            </w:r>
          </w:p>
        </w:tc>
        <w:tc>
          <w:tcPr>
            <w:tcW w:w="2070" w:type="dxa"/>
          </w:tcPr>
          <w:p w:rsidRPr="003A382E" w:rsidR="00503F46" w:rsidP="00503F46" w:rsidRDefault="00503F46" w14:paraId="18E0D908" w14:textId="07D7920C">
            <w:pPr>
              <w:pStyle w:val="TableText-IPR"/>
            </w:pPr>
            <w:r w:rsidRPr="006B016F">
              <w:rPr>
                <w:rFonts w:ascii="Lucida Sans"/>
                <w:b/>
                <w:sz w:val="18"/>
              </w:rPr>
              <w:t>NAP Participants List</w:t>
            </w:r>
          </w:p>
        </w:tc>
        <w:tc>
          <w:tcPr>
            <w:tcW w:w="2458" w:type="dxa"/>
          </w:tcPr>
          <w:p w:rsidRPr="003A382E" w:rsidR="00503F46" w:rsidP="00503F46" w:rsidRDefault="00503F46" w14:paraId="04F2B431" w14:textId="740A7F91">
            <w:pPr>
              <w:pStyle w:val="TableText-IPR"/>
            </w:pPr>
            <w:r w:rsidRPr="006B016F">
              <w:rPr>
                <w:rFonts w:ascii="Lucida Sans"/>
                <w:b/>
                <w:sz w:val="18"/>
              </w:rPr>
              <w:t>Area Probability</w:t>
            </w:r>
            <w:r w:rsidRPr="006B016F">
              <w:rPr>
                <w:rFonts w:ascii="Lucida Sans"/>
                <w:b/>
                <w:spacing w:val="-6"/>
                <w:sz w:val="18"/>
              </w:rPr>
              <w:t xml:space="preserve"> </w:t>
            </w:r>
            <w:r w:rsidRPr="006B016F">
              <w:rPr>
                <w:rFonts w:ascii="Lucida Sans"/>
                <w:b/>
                <w:sz w:val="18"/>
              </w:rPr>
              <w:t>Sample</w:t>
            </w:r>
          </w:p>
        </w:tc>
      </w:tr>
      <w:tr w:rsidR="003D5F5A" w:rsidTr="00960E81" w14:paraId="350B4AF6" w14:textId="77777777">
        <w:trPr>
          <w:trHeight w:val="300"/>
        </w:trPr>
        <w:tc>
          <w:tcPr>
            <w:tcW w:w="4892" w:type="dxa"/>
          </w:tcPr>
          <w:p w:rsidR="003D5F5A" w:rsidP="00960E81" w:rsidRDefault="003D5F5A" w14:paraId="0AC73210" w14:textId="77777777">
            <w:pPr>
              <w:pStyle w:val="TableText-IPR"/>
              <w:keepNext/>
            </w:pPr>
            <w:r>
              <w:t>Original</w:t>
            </w:r>
            <w:r>
              <w:rPr>
                <w:spacing w:val="-5"/>
              </w:rPr>
              <w:t xml:space="preserve"> </w:t>
            </w:r>
            <w:r>
              <w:t>sample</w:t>
            </w:r>
            <w:r>
              <w:rPr>
                <w:spacing w:val="-5"/>
              </w:rPr>
              <w:t xml:space="preserve"> </w:t>
            </w:r>
            <w:r>
              <w:t>size</w:t>
            </w:r>
            <w:r>
              <w:rPr>
                <w:spacing w:val="-5"/>
              </w:rPr>
              <w:t xml:space="preserve"> </w:t>
            </w:r>
            <w:r>
              <w:t>(excluding</w:t>
            </w:r>
            <w:r>
              <w:rPr>
                <w:spacing w:val="-5"/>
              </w:rPr>
              <w:t xml:space="preserve"> </w:t>
            </w:r>
            <w:r>
              <w:t>reserve)</w:t>
            </w:r>
          </w:p>
        </w:tc>
        <w:tc>
          <w:tcPr>
            <w:tcW w:w="2070" w:type="dxa"/>
          </w:tcPr>
          <w:p w:rsidRPr="003A382E" w:rsidR="003D5F5A" w:rsidP="001315E2" w:rsidRDefault="003D5F5A" w14:paraId="16D8429E" w14:textId="77777777">
            <w:pPr>
              <w:pStyle w:val="TableText-IPR"/>
              <w:keepNext/>
              <w:jc w:val="right"/>
            </w:pPr>
            <w:r w:rsidRPr="003A382E">
              <w:t>3,170</w:t>
            </w:r>
          </w:p>
        </w:tc>
        <w:tc>
          <w:tcPr>
            <w:tcW w:w="2458" w:type="dxa"/>
          </w:tcPr>
          <w:p w:rsidRPr="003A382E" w:rsidR="003D5F5A" w:rsidP="001315E2" w:rsidRDefault="003D5F5A" w14:paraId="018060B9" w14:textId="77777777">
            <w:pPr>
              <w:pStyle w:val="TableText-IPR"/>
              <w:keepNext/>
              <w:jc w:val="right"/>
            </w:pPr>
            <w:r w:rsidRPr="003A382E">
              <w:t>9,110</w:t>
            </w:r>
          </w:p>
        </w:tc>
      </w:tr>
      <w:tr w:rsidR="003D5F5A" w:rsidTr="00960E81" w14:paraId="568D774C" w14:textId="77777777">
        <w:trPr>
          <w:trHeight w:val="299"/>
        </w:trPr>
        <w:tc>
          <w:tcPr>
            <w:tcW w:w="4892" w:type="dxa"/>
          </w:tcPr>
          <w:p w:rsidR="003D5F5A" w:rsidP="002D3C5E" w:rsidRDefault="003D5F5A" w14:paraId="0D478A3A" w14:textId="77777777">
            <w:pPr>
              <w:pStyle w:val="TableText-IPR"/>
            </w:pPr>
            <w:r>
              <w:t>Eligibility</w:t>
            </w:r>
            <w:r>
              <w:rPr>
                <w:spacing w:val="-4"/>
              </w:rPr>
              <w:t xml:space="preserve"> </w:t>
            </w:r>
            <w:r>
              <w:t>rate</w:t>
            </w:r>
            <w:r>
              <w:rPr>
                <w:spacing w:val="-4"/>
              </w:rPr>
              <w:t xml:space="preserve"> </w:t>
            </w:r>
            <w:r>
              <w:t>(still</w:t>
            </w:r>
            <w:r>
              <w:rPr>
                <w:spacing w:val="-4"/>
              </w:rPr>
              <w:t xml:space="preserve"> </w:t>
            </w:r>
            <w:r>
              <w:t>residing</w:t>
            </w:r>
            <w:r>
              <w:rPr>
                <w:spacing w:val="-3"/>
              </w:rPr>
              <w:t xml:space="preserve"> </w:t>
            </w:r>
            <w:r>
              <w:t>in</w:t>
            </w:r>
            <w:r>
              <w:rPr>
                <w:spacing w:val="-4"/>
              </w:rPr>
              <w:t xml:space="preserve"> </w:t>
            </w:r>
            <w:r>
              <w:t>Puerto</w:t>
            </w:r>
            <w:r>
              <w:rPr>
                <w:spacing w:val="-3"/>
              </w:rPr>
              <w:t xml:space="preserve"> </w:t>
            </w:r>
            <w:r>
              <w:t>Rico)</w:t>
            </w:r>
          </w:p>
        </w:tc>
        <w:tc>
          <w:tcPr>
            <w:tcW w:w="2070" w:type="dxa"/>
          </w:tcPr>
          <w:p w:rsidRPr="003A382E" w:rsidR="003D5F5A" w:rsidP="001315E2" w:rsidRDefault="003D5F5A" w14:paraId="0C8E7D4C" w14:textId="77777777">
            <w:pPr>
              <w:pStyle w:val="TableText-IPR"/>
              <w:jc w:val="right"/>
            </w:pPr>
            <w:r w:rsidRPr="003A382E">
              <w:t>0.9</w:t>
            </w:r>
          </w:p>
        </w:tc>
        <w:tc>
          <w:tcPr>
            <w:tcW w:w="2458" w:type="dxa"/>
          </w:tcPr>
          <w:p w:rsidRPr="003A382E" w:rsidR="003D5F5A" w:rsidP="001315E2" w:rsidRDefault="003D5F5A" w14:paraId="51697A81" w14:textId="77777777">
            <w:pPr>
              <w:pStyle w:val="TableText-IPR"/>
              <w:jc w:val="right"/>
            </w:pPr>
            <w:r w:rsidRPr="003A382E">
              <w:t>1</w:t>
            </w:r>
          </w:p>
        </w:tc>
      </w:tr>
      <w:tr w:rsidR="00F9064B" w:rsidTr="00960E81" w14:paraId="3A7F373A" w14:textId="77777777">
        <w:trPr>
          <w:trHeight w:val="300"/>
        </w:trPr>
        <w:tc>
          <w:tcPr>
            <w:tcW w:w="4892" w:type="dxa"/>
          </w:tcPr>
          <w:p w:rsidRPr="00960E81" w:rsidR="00F9064B" w:rsidP="00F9064B" w:rsidRDefault="00F9064B" w14:paraId="7B8CF6DE" w14:textId="63BB0930">
            <w:pPr>
              <w:pStyle w:val="TableText-IPR"/>
              <w:rPr>
                <w:sz w:val="22"/>
                <w:szCs w:val="22"/>
              </w:rPr>
            </w:pPr>
            <w:r w:rsidRPr="00ED20FC">
              <w:t>Response rate to mailed web invitation and paper survey</w:t>
            </w:r>
            <w:r w:rsidRPr="00960E81">
              <w:rPr>
                <w:sz w:val="22"/>
                <w:szCs w:val="22"/>
                <w:vertAlign w:val="superscript"/>
              </w:rPr>
              <w:t>a</w:t>
            </w:r>
          </w:p>
        </w:tc>
        <w:tc>
          <w:tcPr>
            <w:tcW w:w="2070" w:type="dxa"/>
          </w:tcPr>
          <w:p w:rsidRPr="003A382E" w:rsidR="00F9064B" w:rsidP="001315E2" w:rsidRDefault="00F9064B" w14:paraId="69E7AB8A" w14:textId="387D02D4">
            <w:pPr>
              <w:pStyle w:val="TableText-IPR"/>
              <w:jc w:val="right"/>
            </w:pPr>
            <w:r w:rsidRPr="00ED20FC">
              <w:t>0.3</w:t>
            </w:r>
          </w:p>
        </w:tc>
        <w:tc>
          <w:tcPr>
            <w:tcW w:w="2458" w:type="dxa"/>
          </w:tcPr>
          <w:p w:rsidRPr="003A382E" w:rsidR="00F9064B" w:rsidP="001315E2" w:rsidRDefault="00F9064B" w14:paraId="77ACC7F0" w14:textId="2EE24779">
            <w:pPr>
              <w:pStyle w:val="TableText-IPR"/>
              <w:jc w:val="right"/>
            </w:pPr>
            <w:r w:rsidRPr="00ED20FC">
              <w:t>N/A</w:t>
            </w:r>
          </w:p>
        </w:tc>
      </w:tr>
      <w:tr w:rsidRPr="004C011F" w:rsidR="00F9064B" w:rsidTr="00960E81" w14:paraId="6AAFF065" w14:textId="77777777">
        <w:trPr>
          <w:trHeight w:val="300"/>
        </w:trPr>
        <w:tc>
          <w:tcPr>
            <w:tcW w:w="4892" w:type="dxa"/>
          </w:tcPr>
          <w:p w:rsidRPr="00F9064B" w:rsidR="00F9064B" w:rsidP="00960E81" w:rsidRDefault="00F9064B" w14:paraId="1D69A64A" w14:textId="77777777">
            <w:pPr>
              <w:pStyle w:val="TableText-IPR"/>
              <w:ind w:left="341"/>
            </w:pPr>
            <w:r w:rsidRPr="00F9064B">
              <w:t>Web/Paper survey completes</w:t>
            </w:r>
          </w:p>
        </w:tc>
        <w:tc>
          <w:tcPr>
            <w:tcW w:w="2070" w:type="dxa"/>
          </w:tcPr>
          <w:p w:rsidRPr="00F9064B" w:rsidR="00F9064B" w:rsidP="001315E2" w:rsidRDefault="00F9064B" w14:paraId="791D2AB6" w14:textId="77777777">
            <w:pPr>
              <w:pStyle w:val="TableText-IPR"/>
              <w:jc w:val="right"/>
            </w:pPr>
            <w:r w:rsidRPr="00F9064B">
              <w:t>856</w:t>
            </w:r>
          </w:p>
        </w:tc>
        <w:tc>
          <w:tcPr>
            <w:tcW w:w="2458" w:type="dxa"/>
          </w:tcPr>
          <w:p w:rsidRPr="00F9064B" w:rsidR="00F9064B" w:rsidP="001315E2" w:rsidRDefault="00F9064B" w14:paraId="6EFC9368" w14:textId="77777777">
            <w:pPr>
              <w:pStyle w:val="TableText-IPR"/>
              <w:jc w:val="right"/>
            </w:pPr>
            <w:r w:rsidRPr="00F9064B">
              <w:t>N/A</w:t>
            </w:r>
          </w:p>
        </w:tc>
      </w:tr>
      <w:tr w:rsidR="003D5F5A" w:rsidTr="00960E81" w14:paraId="4A841B0D" w14:textId="77777777">
        <w:trPr>
          <w:trHeight w:val="299"/>
        </w:trPr>
        <w:tc>
          <w:tcPr>
            <w:tcW w:w="4892" w:type="dxa"/>
          </w:tcPr>
          <w:p w:rsidR="003D5F5A" w:rsidP="002D3C5E" w:rsidRDefault="003D5F5A" w14:paraId="69D2BD66" w14:textId="77777777">
            <w:pPr>
              <w:pStyle w:val="TableText-IPR"/>
            </w:pPr>
            <w:r>
              <w:t>Subsampling</w:t>
            </w:r>
            <w:r>
              <w:rPr>
                <w:spacing w:val="-5"/>
              </w:rPr>
              <w:t xml:space="preserve"> </w:t>
            </w:r>
            <w:r>
              <w:t>rate</w:t>
            </w:r>
            <w:r>
              <w:rPr>
                <w:spacing w:val="-4"/>
              </w:rPr>
              <w:t xml:space="preserve"> </w:t>
            </w:r>
            <w:r>
              <w:t>for</w:t>
            </w:r>
            <w:r>
              <w:rPr>
                <w:spacing w:val="-6"/>
              </w:rPr>
              <w:t xml:space="preserve"> </w:t>
            </w:r>
            <w:r>
              <w:t>phone</w:t>
            </w:r>
            <w:r>
              <w:rPr>
                <w:spacing w:val="-4"/>
              </w:rPr>
              <w:t xml:space="preserve"> </w:t>
            </w:r>
            <w:r>
              <w:t>follow‐up</w:t>
            </w:r>
          </w:p>
        </w:tc>
        <w:tc>
          <w:tcPr>
            <w:tcW w:w="2070" w:type="dxa"/>
          </w:tcPr>
          <w:p w:rsidRPr="003A382E" w:rsidR="003D5F5A" w:rsidP="001315E2" w:rsidRDefault="003D5F5A" w14:paraId="54B8D27D" w14:textId="77777777">
            <w:pPr>
              <w:pStyle w:val="TableText-IPR"/>
              <w:jc w:val="right"/>
            </w:pPr>
            <w:r w:rsidRPr="003A382E">
              <w:t>0.33</w:t>
            </w:r>
          </w:p>
        </w:tc>
        <w:tc>
          <w:tcPr>
            <w:tcW w:w="2458" w:type="dxa"/>
          </w:tcPr>
          <w:p w:rsidRPr="003A382E" w:rsidR="003D5F5A" w:rsidP="001315E2" w:rsidRDefault="003D5F5A" w14:paraId="516FD67B" w14:textId="77777777">
            <w:pPr>
              <w:pStyle w:val="TableText-IPR"/>
              <w:jc w:val="right"/>
            </w:pPr>
            <w:r w:rsidRPr="003A382E">
              <w:t>N/A</w:t>
            </w:r>
          </w:p>
        </w:tc>
      </w:tr>
      <w:tr w:rsidR="003D5F5A" w:rsidTr="00960E81" w14:paraId="50A40F33" w14:textId="77777777">
        <w:trPr>
          <w:trHeight w:val="300"/>
        </w:trPr>
        <w:tc>
          <w:tcPr>
            <w:tcW w:w="4892" w:type="dxa"/>
          </w:tcPr>
          <w:p w:rsidR="003D5F5A" w:rsidP="002D3C5E" w:rsidRDefault="003D5F5A" w14:paraId="490EB0EA" w14:textId="77777777">
            <w:pPr>
              <w:pStyle w:val="TableText-IPR"/>
            </w:pPr>
            <w:r>
              <w:t>Number</w:t>
            </w:r>
            <w:r>
              <w:rPr>
                <w:spacing w:val="-4"/>
              </w:rPr>
              <w:t xml:space="preserve"> </w:t>
            </w:r>
            <w:r>
              <w:t>of</w:t>
            </w:r>
            <w:r>
              <w:rPr>
                <w:spacing w:val="-3"/>
              </w:rPr>
              <w:t xml:space="preserve"> </w:t>
            </w:r>
            <w:r>
              <w:t>cases</w:t>
            </w:r>
            <w:r>
              <w:rPr>
                <w:spacing w:val="-4"/>
              </w:rPr>
              <w:t xml:space="preserve"> </w:t>
            </w:r>
            <w:r>
              <w:t>sent</w:t>
            </w:r>
            <w:r>
              <w:rPr>
                <w:spacing w:val="-3"/>
              </w:rPr>
              <w:t xml:space="preserve"> </w:t>
            </w:r>
            <w:r>
              <w:t>for</w:t>
            </w:r>
            <w:r>
              <w:rPr>
                <w:spacing w:val="-4"/>
              </w:rPr>
              <w:t xml:space="preserve"> </w:t>
            </w:r>
            <w:r>
              <w:t>phone</w:t>
            </w:r>
            <w:r>
              <w:rPr>
                <w:spacing w:val="-4"/>
              </w:rPr>
              <w:t xml:space="preserve"> </w:t>
            </w:r>
            <w:r>
              <w:t>follow‐up</w:t>
            </w:r>
          </w:p>
        </w:tc>
        <w:tc>
          <w:tcPr>
            <w:tcW w:w="2070" w:type="dxa"/>
          </w:tcPr>
          <w:p w:rsidRPr="003A382E" w:rsidR="003D5F5A" w:rsidP="001315E2" w:rsidRDefault="003D5F5A" w14:paraId="53A5F020" w14:textId="77777777">
            <w:pPr>
              <w:pStyle w:val="TableText-IPR"/>
              <w:jc w:val="right"/>
            </w:pPr>
            <w:r w:rsidRPr="003A382E">
              <w:t>666</w:t>
            </w:r>
          </w:p>
        </w:tc>
        <w:tc>
          <w:tcPr>
            <w:tcW w:w="2458" w:type="dxa"/>
          </w:tcPr>
          <w:p w:rsidRPr="003A382E" w:rsidR="003D5F5A" w:rsidP="001315E2" w:rsidRDefault="003D5F5A" w14:paraId="1FF9E3C7" w14:textId="77777777">
            <w:pPr>
              <w:pStyle w:val="TableText-IPR"/>
              <w:jc w:val="right"/>
            </w:pPr>
            <w:r w:rsidRPr="003A382E">
              <w:t>N/A</w:t>
            </w:r>
          </w:p>
        </w:tc>
      </w:tr>
      <w:tr w:rsidR="003D5F5A" w:rsidTr="00960E81" w14:paraId="4297E34E" w14:textId="77777777">
        <w:trPr>
          <w:trHeight w:val="299"/>
        </w:trPr>
        <w:tc>
          <w:tcPr>
            <w:tcW w:w="4892" w:type="dxa"/>
          </w:tcPr>
          <w:p w:rsidR="003D5F5A" w:rsidP="002D3C5E" w:rsidRDefault="003D5F5A" w14:paraId="40E8036D" w14:textId="77777777">
            <w:pPr>
              <w:pStyle w:val="TableText-IPR"/>
            </w:pPr>
            <w:r>
              <w:t>Phone</w:t>
            </w:r>
            <w:r>
              <w:rPr>
                <w:spacing w:val="-4"/>
              </w:rPr>
              <w:t xml:space="preserve"> </w:t>
            </w:r>
            <w:r>
              <w:t>follow‐up</w:t>
            </w:r>
            <w:r>
              <w:rPr>
                <w:spacing w:val="-4"/>
              </w:rPr>
              <w:t xml:space="preserve"> </w:t>
            </w:r>
            <w:r>
              <w:t>response</w:t>
            </w:r>
            <w:r>
              <w:rPr>
                <w:spacing w:val="-3"/>
              </w:rPr>
              <w:t xml:space="preserve"> </w:t>
            </w:r>
            <w:r>
              <w:t>rate</w:t>
            </w:r>
            <w:r>
              <w:rPr>
                <w:spacing w:val="-3"/>
              </w:rPr>
              <w:t xml:space="preserve"> </w:t>
            </w:r>
            <w:r>
              <w:t>(conditional)</w:t>
            </w:r>
          </w:p>
        </w:tc>
        <w:tc>
          <w:tcPr>
            <w:tcW w:w="2070" w:type="dxa"/>
          </w:tcPr>
          <w:p w:rsidRPr="003A382E" w:rsidR="003D5F5A" w:rsidP="001315E2" w:rsidRDefault="003D5F5A" w14:paraId="1FD835A8" w14:textId="77777777">
            <w:pPr>
              <w:pStyle w:val="TableText-IPR"/>
              <w:jc w:val="right"/>
            </w:pPr>
            <w:r w:rsidRPr="003A382E">
              <w:t>0.1</w:t>
            </w:r>
          </w:p>
        </w:tc>
        <w:tc>
          <w:tcPr>
            <w:tcW w:w="2458" w:type="dxa"/>
          </w:tcPr>
          <w:p w:rsidRPr="003A382E" w:rsidR="003D5F5A" w:rsidP="001315E2" w:rsidRDefault="003D5F5A" w14:paraId="448F2554" w14:textId="77777777">
            <w:pPr>
              <w:pStyle w:val="TableText-IPR"/>
              <w:jc w:val="right"/>
            </w:pPr>
            <w:r w:rsidRPr="003A382E">
              <w:t>N/A</w:t>
            </w:r>
          </w:p>
        </w:tc>
      </w:tr>
      <w:tr w:rsidR="003D5F5A" w:rsidTr="00960E81" w14:paraId="2734C696" w14:textId="77777777">
        <w:trPr>
          <w:trHeight w:val="299"/>
        </w:trPr>
        <w:tc>
          <w:tcPr>
            <w:tcW w:w="4892" w:type="dxa"/>
          </w:tcPr>
          <w:p w:rsidR="003D5F5A" w:rsidP="002D3C5E" w:rsidRDefault="003D5F5A" w14:paraId="57F7EE5E" w14:textId="77777777">
            <w:pPr>
              <w:pStyle w:val="TableText-IPR"/>
            </w:pPr>
            <w:r>
              <w:t>Phone</w:t>
            </w:r>
            <w:r>
              <w:rPr>
                <w:spacing w:val="-3"/>
              </w:rPr>
              <w:t xml:space="preserve"> </w:t>
            </w:r>
            <w:r>
              <w:t>completes</w:t>
            </w:r>
          </w:p>
        </w:tc>
        <w:tc>
          <w:tcPr>
            <w:tcW w:w="2070" w:type="dxa"/>
          </w:tcPr>
          <w:p w:rsidRPr="003A382E" w:rsidR="003D5F5A" w:rsidP="001315E2" w:rsidRDefault="003D5F5A" w14:paraId="5D806D7B" w14:textId="77777777">
            <w:pPr>
              <w:pStyle w:val="TableText-IPR"/>
              <w:jc w:val="right"/>
            </w:pPr>
            <w:r w:rsidRPr="003A382E">
              <w:t>66</w:t>
            </w:r>
          </w:p>
        </w:tc>
        <w:tc>
          <w:tcPr>
            <w:tcW w:w="2458" w:type="dxa"/>
          </w:tcPr>
          <w:p w:rsidRPr="003A382E" w:rsidR="003D5F5A" w:rsidP="001315E2" w:rsidRDefault="003D5F5A" w14:paraId="22F4DFA7" w14:textId="77777777">
            <w:pPr>
              <w:pStyle w:val="TableText-IPR"/>
              <w:jc w:val="right"/>
            </w:pPr>
            <w:r w:rsidRPr="003A382E">
              <w:t>N/A</w:t>
            </w:r>
          </w:p>
        </w:tc>
      </w:tr>
      <w:tr w:rsidR="003D5F5A" w:rsidTr="00960E81" w14:paraId="4CC69D66" w14:textId="77777777">
        <w:trPr>
          <w:trHeight w:val="300"/>
        </w:trPr>
        <w:tc>
          <w:tcPr>
            <w:tcW w:w="4892" w:type="dxa"/>
          </w:tcPr>
          <w:p w:rsidR="003D5F5A" w:rsidP="002D3C5E" w:rsidRDefault="003D5F5A" w14:paraId="2EB335D2" w14:textId="77777777">
            <w:pPr>
              <w:pStyle w:val="TableText-IPR"/>
            </w:pPr>
            <w:r>
              <w:t>Overall</w:t>
            </w:r>
            <w:r>
              <w:rPr>
                <w:spacing w:val="-5"/>
              </w:rPr>
              <w:t xml:space="preserve"> </w:t>
            </w:r>
            <w:r>
              <w:t>response</w:t>
            </w:r>
            <w:r>
              <w:rPr>
                <w:spacing w:val="-5"/>
              </w:rPr>
              <w:t xml:space="preserve"> </w:t>
            </w:r>
            <w:r>
              <w:t>rate</w:t>
            </w:r>
          </w:p>
        </w:tc>
        <w:tc>
          <w:tcPr>
            <w:tcW w:w="2070" w:type="dxa"/>
          </w:tcPr>
          <w:p w:rsidRPr="003A382E" w:rsidR="003D5F5A" w:rsidP="001315E2" w:rsidRDefault="003D5F5A" w14:paraId="2C247E26" w14:textId="77777777">
            <w:pPr>
              <w:pStyle w:val="TableText-IPR"/>
              <w:jc w:val="right"/>
            </w:pPr>
            <w:r w:rsidRPr="003A382E">
              <w:t>0.33</w:t>
            </w:r>
          </w:p>
        </w:tc>
        <w:tc>
          <w:tcPr>
            <w:tcW w:w="2458" w:type="dxa"/>
          </w:tcPr>
          <w:p w:rsidRPr="003A382E" w:rsidR="003D5F5A" w:rsidP="001315E2" w:rsidRDefault="003D5F5A" w14:paraId="0F084EE0" w14:textId="77777777">
            <w:pPr>
              <w:pStyle w:val="TableText-IPR"/>
              <w:jc w:val="right"/>
            </w:pPr>
            <w:r w:rsidRPr="003A382E">
              <w:t>0.3</w:t>
            </w:r>
          </w:p>
        </w:tc>
      </w:tr>
      <w:tr w:rsidR="003D5F5A" w:rsidTr="00960E81" w14:paraId="5065EB17" w14:textId="77777777">
        <w:trPr>
          <w:trHeight w:val="299"/>
        </w:trPr>
        <w:tc>
          <w:tcPr>
            <w:tcW w:w="4892" w:type="dxa"/>
          </w:tcPr>
          <w:p w:rsidR="003D5F5A" w:rsidP="002D3C5E" w:rsidRDefault="003D5F5A" w14:paraId="7A912A78" w14:textId="77777777">
            <w:pPr>
              <w:pStyle w:val="TableText-IPR"/>
            </w:pPr>
            <w:r>
              <w:t>Overall</w:t>
            </w:r>
            <w:r>
              <w:rPr>
                <w:spacing w:val="-4"/>
              </w:rPr>
              <w:t xml:space="preserve"> </w:t>
            </w:r>
            <w:r>
              <w:t>yield</w:t>
            </w:r>
            <w:r>
              <w:rPr>
                <w:spacing w:val="-3"/>
              </w:rPr>
              <w:t xml:space="preserve"> </w:t>
            </w:r>
            <w:r>
              <w:t>rate</w:t>
            </w:r>
          </w:p>
        </w:tc>
        <w:tc>
          <w:tcPr>
            <w:tcW w:w="2070" w:type="dxa"/>
          </w:tcPr>
          <w:p w:rsidRPr="003A382E" w:rsidR="003D5F5A" w:rsidP="001315E2" w:rsidRDefault="003D5F5A" w14:paraId="2E172452" w14:textId="77777777">
            <w:pPr>
              <w:pStyle w:val="TableText-IPR"/>
              <w:jc w:val="right"/>
            </w:pPr>
            <w:r w:rsidRPr="003A382E">
              <w:t>0.29</w:t>
            </w:r>
          </w:p>
        </w:tc>
        <w:tc>
          <w:tcPr>
            <w:tcW w:w="2458" w:type="dxa"/>
          </w:tcPr>
          <w:p w:rsidRPr="003A382E" w:rsidR="003D5F5A" w:rsidP="001315E2" w:rsidRDefault="003D5F5A" w14:paraId="48D938D4" w14:textId="77777777">
            <w:pPr>
              <w:pStyle w:val="TableText-IPR"/>
              <w:jc w:val="right"/>
            </w:pPr>
            <w:r w:rsidRPr="003A382E">
              <w:t>0.3</w:t>
            </w:r>
          </w:p>
        </w:tc>
      </w:tr>
      <w:tr w:rsidR="003D5F5A" w:rsidTr="00960E81" w14:paraId="0A20DF90" w14:textId="77777777">
        <w:trPr>
          <w:trHeight w:val="300"/>
        </w:trPr>
        <w:tc>
          <w:tcPr>
            <w:tcW w:w="4892" w:type="dxa"/>
          </w:tcPr>
          <w:p w:rsidR="003D5F5A" w:rsidP="002D3C5E" w:rsidRDefault="003D5F5A" w14:paraId="70F8B588" w14:textId="5338132F">
            <w:pPr>
              <w:pStyle w:val="TableText-IPR"/>
            </w:pPr>
            <w:r>
              <w:t>Completed</w:t>
            </w:r>
            <w:r>
              <w:rPr>
                <w:spacing w:val="-7"/>
              </w:rPr>
              <w:t xml:space="preserve"> </w:t>
            </w:r>
            <w:r>
              <w:t>baseline</w:t>
            </w:r>
            <w:r>
              <w:rPr>
                <w:spacing w:val="-6"/>
              </w:rPr>
              <w:t xml:space="preserve"> </w:t>
            </w:r>
            <w:r>
              <w:t>interviews</w:t>
            </w:r>
            <w:r w:rsidR="00F9064B">
              <w:rPr>
                <w:rFonts w:eastAsia="Times New Roman" w:cs="Calibri"/>
                <w:color w:val="000000"/>
                <w:vertAlign w:val="superscript"/>
              </w:rPr>
              <w:t>b</w:t>
            </w:r>
          </w:p>
        </w:tc>
        <w:tc>
          <w:tcPr>
            <w:tcW w:w="2070" w:type="dxa"/>
          </w:tcPr>
          <w:p w:rsidRPr="003A382E" w:rsidR="003D5F5A" w:rsidP="001315E2" w:rsidRDefault="003D5F5A" w14:paraId="10591CFE" w14:textId="77777777">
            <w:pPr>
              <w:pStyle w:val="TableText-IPR"/>
              <w:jc w:val="right"/>
            </w:pPr>
            <w:r w:rsidRPr="003A382E">
              <w:t>922</w:t>
            </w:r>
          </w:p>
        </w:tc>
        <w:tc>
          <w:tcPr>
            <w:tcW w:w="2458" w:type="dxa"/>
          </w:tcPr>
          <w:p w:rsidRPr="003A382E" w:rsidR="003D5F5A" w:rsidP="001315E2" w:rsidRDefault="003D5F5A" w14:paraId="45B9F60B" w14:textId="77777777">
            <w:pPr>
              <w:pStyle w:val="TableText-IPR"/>
              <w:jc w:val="right"/>
            </w:pPr>
            <w:r w:rsidRPr="003A382E">
              <w:t>2,733</w:t>
            </w:r>
          </w:p>
        </w:tc>
      </w:tr>
    </w:tbl>
    <w:p w:rsidRPr="00960E81" w:rsidR="003D5F5A" w:rsidP="00960E81" w:rsidRDefault="003D5F5A" w14:paraId="2A2D4971" w14:textId="7262EA76">
      <w:pPr>
        <w:pStyle w:val="FtnteBodyText-IPR"/>
        <w:spacing w:before="60"/>
        <w:rPr>
          <w:sz w:val="18"/>
          <w:szCs w:val="18"/>
        </w:rPr>
      </w:pPr>
      <w:r w:rsidRPr="00960E81">
        <w:rPr>
          <w:sz w:val="18"/>
          <w:szCs w:val="18"/>
        </w:rPr>
        <w:t>Note: Response rates experience</w:t>
      </w:r>
      <w:r w:rsidRPr="00960E81" w:rsidR="00CD0350">
        <w:rPr>
          <w:sz w:val="18"/>
          <w:szCs w:val="18"/>
        </w:rPr>
        <w:t>d</w:t>
      </w:r>
      <w:r w:rsidRPr="00960E81">
        <w:rPr>
          <w:sz w:val="18"/>
          <w:szCs w:val="18"/>
        </w:rPr>
        <w:t xml:space="preserve"> in similar studies of SNAP participants: (1) Food Insecurity Nutrition Incentive grant evaluation</w:t>
      </w:r>
      <w:r w:rsidRPr="00960E81" w:rsidR="0092428C">
        <w:rPr>
          <w:sz w:val="18"/>
          <w:szCs w:val="18"/>
        </w:rPr>
        <w:t xml:space="preserve"> (</w:t>
      </w:r>
      <w:r w:rsidRPr="00960E81">
        <w:rPr>
          <w:sz w:val="18"/>
          <w:szCs w:val="18"/>
        </w:rPr>
        <w:t>63</w:t>
      </w:r>
      <w:r w:rsidRPr="00960E81" w:rsidR="00A835CB">
        <w:rPr>
          <w:sz w:val="18"/>
          <w:szCs w:val="18"/>
        </w:rPr>
        <w:t xml:space="preserve"> percent</w:t>
      </w:r>
      <w:r w:rsidRPr="00960E81">
        <w:rPr>
          <w:sz w:val="18"/>
          <w:szCs w:val="18"/>
        </w:rPr>
        <w:t>), (2) Barriers That Constrain the Adequacy of Supplemental Nutrition Assistance Program (SNAP) Allotments (40</w:t>
      </w:r>
      <w:r w:rsidRPr="00960E81" w:rsidR="00A835CB">
        <w:rPr>
          <w:sz w:val="18"/>
          <w:szCs w:val="18"/>
        </w:rPr>
        <w:t xml:space="preserve"> percent</w:t>
      </w:r>
      <w:r w:rsidRPr="00960E81">
        <w:rPr>
          <w:sz w:val="18"/>
          <w:szCs w:val="18"/>
        </w:rPr>
        <w:t>), and (3)</w:t>
      </w:r>
      <w:r w:rsidRPr="00960E81" w:rsidR="00404247">
        <w:rPr>
          <w:sz w:val="18"/>
          <w:szCs w:val="18"/>
        </w:rPr>
        <w:t xml:space="preserve"> </w:t>
      </w:r>
      <w:r w:rsidRPr="00960E81">
        <w:rPr>
          <w:sz w:val="18"/>
          <w:szCs w:val="18"/>
        </w:rPr>
        <w:t>Nutrition</w:t>
      </w:r>
      <w:r w:rsidRPr="00960E81">
        <w:rPr>
          <w:spacing w:val="-1"/>
          <w:sz w:val="18"/>
          <w:szCs w:val="18"/>
        </w:rPr>
        <w:t xml:space="preserve"> </w:t>
      </w:r>
      <w:r w:rsidRPr="00960E81">
        <w:rPr>
          <w:sz w:val="18"/>
          <w:szCs w:val="18"/>
        </w:rPr>
        <w:t>Assistance</w:t>
      </w:r>
      <w:r w:rsidRPr="00960E81">
        <w:rPr>
          <w:spacing w:val="-1"/>
          <w:sz w:val="18"/>
          <w:szCs w:val="18"/>
        </w:rPr>
        <w:t xml:space="preserve"> </w:t>
      </w:r>
      <w:r w:rsidRPr="00960E81">
        <w:rPr>
          <w:sz w:val="18"/>
          <w:szCs w:val="18"/>
        </w:rPr>
        <w:t>in</w:t>
      </w:r>
      <w:r w:rsidRPr="00960E81">
        <w:rPr>
          <w:spacing w:val="-2"/>
          <w:sz w:val="18"/>
          <w:szCs w:val="18"/>
        </w:rPr>
        <w:t xml:space="preserve"> </w:t>
      </w:r>
      <w:r w:rsidRPr="00960E81">
        <w:rPr>
          <w:sz w:val="18"/>
          <w:szCs w:val="18"/>
        </w:rPr>
        <w:t>Farmers</w:t>
      </w:r>
      <w:r w:rsidRPr="00960E81">
        <w:rPr>
          <w:spacing w:val="-3"/>
          <w:sz w:val="18"/>
          <w:szCs w:val="18"/>
        </w:rPr>
        <w:t xml:space="preserve"> </w:t>
      </w:r>
      <w:r w:rsidRPr="00960E81">
        <w:rPr>
          <w:sz w:val="18"/>
          <w:szCs w:val="18"/>
        </w:rPr>
        <w:t>Markets:</w:t>
      </w:r>
      <w:r w:rsidRPr="00960E81">
        <w:rPr>
          <w:spacing w:val="-1"/>
          <w:sz w:val="18"/>
          <w:szCs w:val="18"/>
        </w:rPr>
        <w:t xml:space="preserve"> </w:t>
      </w:r>
      <w:r w:rsidRPr="00960E81">
        <w:rPr>
          <w:sz w:val="18"/>
          <w:szCs w:val="18"/>
        </w:rPr>
        <w:t>Task</w:t>
      </w:r>
      <w:r w:rsidRPr="00960E81">
        <w:rPr>
          <w:spacing w:val="-2"/>
          <w:sz w:val="18"/>
          <w:szCs w:val="18"/>
        </w:rPr>
        <w:t xml:space="preserve"> </w:t>
      </w:r>
      <w:r w:rsidRPr="00960E81">
        <w:rPr>
          <w:sz w:val="18"/>
          <w:szCs w:val="18"/>
        </w:rPr>
        <w:t>2‐Understanding the</w:t>
      </w:r>
      <w:r w:rsidRPr="00960E81">
        <w:rPr>
          <w:spacing w:val="-1"/>
          <w:sz w:val="18"/>
          <w:szCs w:val="18"/>
        </w:rPr>
        <w:t xml:space="preserve"> </w:t>
      </w:r>
      <w:r w:rsidRPr="00960E81">
        <w:rPr>
          <w:sz w:val="18"/>
          <w:szCs w:val="18"/>
        </w:rPr>
        <w:t>Shopping</w:t>
      </w:r>
      <w:r w:rsidRPr="00960E81">
        <w:rPr>
          <w:spacing w:val="-3"/>
          <w:sz w:val="18"/>
          <w:szCs w:val="18"/>
        </w:rPr>
        <w:t xml:space="preserve"> </w:t>
      </w:r>
      <w:r w:rsidRPr="00960E81">
        <w:rPr>
          <w:sz w:val="18"/>
          <w:szCs w:val="18"/>
        </w:rPr>
        <w:t>Patterns of</w:t>
      </w:r>
      <w:r w:rsidRPr="00960E81">
        <w:rPr>
          <w:spacing w:val="-1"/>
          <w:sz w:val="18"/>
          <w:szCs w:val="18"/>
        </w:rPr>
        <w:t xml:space="preserve"> </w:t>
      </w:r>
      <w:r w:rsidRPr="00960E81">
        <w:rPr>
          <w:sz w:val="18"/>
          <w:szCs w:val="18"/>
        </w:rPr>
        <w:t>SNAP</w:t>
      </w:r>
      <w:r w:rsidRPr="00960E81">
        <w:rPr>
          <w:spacing w:val="-1"/>
          <w:sz w:val="18"/>
          <w:szCs w:val="18"/>
        </w:rPr>
        <w:t xml:space="preserve"> </w:t>
      </w:r>
      <w:r w:rsidRPr="00960E81">
        <w:rPr>
          <w:sz w:val="18"/>
          <w:szCs w:val="18"/>
        </w:rPr>
        <w:t>Participants (46</w:t>
      </w:r>
      <w:r w:rsidRPr="00960E81" w:rsidR="00A835CB">
        <w:rPr>
          <w:sz w:val="18"/>
          <w:szCs w:val="18"/>
        </w:rPr>
        <w:t xml:space="preserve"> percent</w:t>
      </w:r>
      <w:r w:rsidRPr="00960E81">
        <w:rPr>
          <w:sz w:val="18"/>
          <w:szCs w:val="18"/>
        </w:rPr>
        <w:t>)</w:t>
      </w:r>
    </w:p>
    <w:p w:rsidRPr="00F9064B" w:rsidR="00F9064B" w:rsidP="00F9064B" w:rsidRDefault="00F9064B" w14:paraId="7A222E29" w14:textId="2142FB09">
      <w:pPr>
        <w:pStyle w:val="CommentText"/>
        <w:rPr>
          <w:rFonts w:asciiTheme="minorHAnsi" w:hAnsiTheme="minorHAnsi" w:cstheme="minorHAnsi"/>
          <w:color w:val="000000"/>
          <w:sz w:val="18"/>
          <w:szCs w:val="18"/>
        </w:rPr>
      </w:pPr>
      <w:r w:rsidRPr="00F9064B">
        <w:rPr>
          <w:rFonts w:asciiTheme="minorHAnsi" w:hAnsiTheme="minorHAnsi" w:cstheme="minorHAnsi"/>
          <w:color w:val="000000"/>
          <w:sz w:val="18"/>
          <w:szCs w:val="18"/>
          <w:vertAlign w:val="superscript"/>
        </w:rPr>
        <w:t xml:space="preserve">a </w:t>
      </w:r>
      <w:r w:rsidRPr="00F9064B">
        <w:rPr>
          <w:rFonts w:asciiTheme="minorHAnsi" w:hAnsiTheme="minorHAnsi" w:cstheme="minorHAnsi"/>
          <w:color w:val="000000"/>
          <w:sz w:val="18"/>
          <w:szCs w:val="18"/>
        </w:rPr>
        <w:t xml:space="preserve">Assumes $5 </w:t>
      </w:r>
      <w:r w:rsidR="00A8431B">
        <w:rPr>
          <w:rFonts w:asciiTheme="minorHAnsi" w:hAnsiTheme="minorHAnsi" w:cstheme="minorHAnsi"/>
          <w:color w:val="000000"/>
          <w:sz w:val="18"/>
          <w:szCs w:val="18"/>
        </w:rPr>
        <w:t>prepaid cash incentive</w:t>
      </w:r>
      <w:r w:rsidRPr="00F9064B">
        <w:rPr>
          <w:rFonts w:asciiTheme="minorHAnsi" w:hAnsiTheme="minorHAnsi" w:cstheme="minorHAnsi"/>
          <w:color w:val="000000"/>
          <w:sz w:val="18"/>
          <w:szCs w:val="18"/>
        </w:rPr>
        <w:t>, initial survey mailing, postcard, second survey mailing</w:t>
      </w:r>
    </w:p>
    <w:p w:rsidRPr="00F9064B" w:rsidR="00F9064B" w:rsidP="00F9064B" w:rsidRDefault="00F9064B" w14:paraId="58B71907" w14:textId="77777777">
      <w:pPr>
        <w:pStyle w:val="CommentText"/>
        <w:rPr>
          <w:rFonts w:asciiTheme="minorHAnsi" w:hAnsiTheme="minorHAnsi" w:cstheme="minorHAnsi"/>
          <w:color w:val="000000"/>
          <w:sz w:val="18"/>
          <w:szCs w:val="18"/>
        </w:rPr>
      </w:pPr>
      <w:r w:rsidRPr="00F9064B">
        <w:rPr>
          <w:rFonts w:asciiTheme="minorHAnsi" w:hAnsiTheme="minorHAnsi" w:cstheme="minorHAnsi"/>
          <w:color w:val="000000"/>
          <w:sz w:val="18"/>
          <w:szCs w:val="18"/>
          <w:vertAlign w:val="superscript"/>
        </w:rPr>
        <w:t>b</w:t>
      </w:r>
      <w:r w:rsidRPr="00F9064B">
        <w:rPr>
          <w:rFonts w:asciiTheme="minorHAnsi" w:hAnsiTheme="minorHAnsi" w:cstheme="minorHAnsi"/>
          <w:color w:val="000000"/>
          <w:sz w:val="18"/>
          <w:szCs w:val="18"/>
        </w:rPr>
        <w:t xml:space="preserve"> Respondents from both the NAP participant list and the area probability sample have three response options: mail back the paper survey, complete the web-based survey online, or schedule a telephone interview</w:t>
      </w:r>
    </w:p>
    <w:p w:rsidRPr="00960E81" w:rsidR="009957A8" w:rsidP="00F9064B" w:rsidRDefault="003D5F5A" w14:paraId="21544AF0" w14:textId="77777777">
      <w:pPr>
        <w:pStyle w:val="Body11ptCalibri-IPR"/>
        <w:rPr>
          <w:b/>
          <w:bCs/>
          <w:i/>
        </w:rPr>
      </w:pPr>
      <w:r w:rsidRPr="00960E81">
        <w:rPr>
          <w:b/>
          <w:bCs/>
          <w:i/>
        </w:rPr>
        <w:t>NAP participant list frame</w:t>
      </w:r>
      <w:r w:rsidRPr="00960E81" w:rsidR="00F9064B">
        <w:rPr>
          <w:b/>
          <w:bCs/>
          <w:i/>
        </w:rPr>
        <w:t xml:space="preserve">. </w:t>
      </w:r>
    </w:p>
    <w:p w:rsidR="00503F46" w:rsidP="00F9064B" w:rsidRDefault="00F9064B" w14:paraId="1BEA4EA3" w14:textId="67D995CA">
      <w:pPr>
        <w:pStyle w:val="Body11ptCalibri-IPR"/>
      </w:pPr>
      <w:r w:rsidRPr="00002867">
        <w:t xml:space="preserve">The Insight team will work with ADSEF to obtain administrative case files of NAP participants, which will be used as the NAP participant list sampling frame. </w:t>
      </w:r>
      <w:r w:rsidR="003D5F5A">
        <w:t>The NAP participant list</w:t>
      </w:r>
      <w:r w:rsidR="003D5F5A">
        <w:rPr>
          <w:spacing w:val="1"/>
        </w:rPr>
        <w:t xml:space="preserve"> </w:t>
      </w:r>
      <w:r w:rsidR="003D5F5A">
        <w:t>includes the household’s address, phone number, and other variables related to NAP participation,</w:t>
      </w:r>
      <w:r w:rsidR="003D5F5A">
        <w:rPr>
          <w:spacing w:val="1"/>
        </w:rPr>
        <w:t xml:space="preserve"> </w:t>
      </w:r>
      <w:r w:rsidR="003D5F5A">
        <w:t>which may include household size, income, NAP start date, and other demographics. This sampling</w:t>
      </w:r>
      <w:r w:rsidR="003D5F5A">
        <w:rPr>
          <w:spacing w:val="1"/>
        </w:rPr>
        <w:t xml:space="preserve"> </w:t>
      </w:r>
      <w:r w:rsidR="003D5F5A">
        <w:t>frame will provide total coverage of NAP participants at the time the list is created. Depending on the</w:t>
      </w:r>
      <w:r w:rsidR="003D5F5A">
        <w:rPr>
          <w:spacing w:val="1"/>
        </w:rPr>
        <w:t xml:space="preserve"> </w:t>
      </w:r>
      <w:r w:rsidR="003D5F5A">
        <w:t>time lag between the list creation date and data collection, there may be newly enrolled NAP</w:t>
      </w:r>
      <w:r w:rsidR="003D5F5A">
        <w:rPr>
          <w:spacing w:val="1"/>
        </w:rPr>
        <w:t xml:space="preserve"> </w:t>
      </w:r>
      <w:r w:rsidR="003D5F5A">
        <w:t>participants</w:t>
      </w:r>
      <w:r w:rsidR="003D5F5A">
        <w:rPr>
          <w:spacing w:val="-4"/>
        </w:rPr>
        <w:t xml:space="preserve"> </w:t>
      </w:r>
      <w:r w:rsidR="003D5F5A">
        <w:t>who</w:t>
      </w:r>
      <w:r w:rsidR="003D5F5A">
        <w:rPr>
          <w:spacing w:val="-4"/>
        </w:rPr>
        <w:t xml:space="preserve"> </w:t>
      </w:r>
      <w:r w:rsidR="003D5F5A">
        <w:t>are</w:t>
      </w:r>
      <w:r w:rsidR="003D5F5A">
        <w:rPr>
          <w:spacing w:val="-3"/>
        </w:rPr>
        <w:t xml:space="preserve"> </w:t>
      </w:r>
      <w:r w:rsidR="003D5F5A">
        <w:t>not</w:t>
      </w:r>
      <w:r w:rsidR="003D5F5A">
        <w:rPr>
          <w:spacing w:val="-4"/>
        </w:rPr>
        <w:t xml:space="preserve"> </w:t>
      </w:r>
      <w:r w:rsidR="003D5F5A">
        <w:t>included</w:t>
      </w:r>
      <w:r w:rsidR="003D5F5A">
        <w:rPr>
          <w:spacing w:val="-3"/>
        </w:rPr>
        <w:t xml:space="preserve"> </w:t>
      </w:r>
      <w:r w:rsidR="003D5F5A">
        <w:t>in</w:t>
      </w:r>
      <w:r w:rsidR="003D5F5A">
        <w:rPr>
          <w:spacing w:val="-4"/>
        </w:rPr>
        <w:t xml:space="preserve"> </w:t>
      </w:r>
      <w:r w:rsidR="003D5F5A">
        <w:t>the</w:t>
      </w:r>
      <w:r w:rsidR="003D5F5A">
        <w:rPr>
          <w:spacing w:val="-3"/>
        </w:rPr>
        <w:t xml:space="preserve"> </w:t>
      </w:r>
      <w:r w:rsidR="003D5F5A">
        <w:t>NAP</w:t>
      </w:r>
      <w:r w:rsidR="003D5F5A">
        <w:rPr>
          <w:spacing w:val="-3"/>
        </w:rPr>
        <w:t xml:space="preserve"> </w:t>
      </w:r>
      <w:r w:rsidR="003D5F5A">
        <w:t>participant</w:t>
      </w:r>
      <w:r w:rsidR="003D5F5A">
        <w:rPr>
          <w:spacing w:val="-3"/>
        </w:rPr>
        <w:t xml:space="preserve"> </w:t>
      </w:r>
      <w:r w:rsidR="003D5F5A">
        <w:t>list.</w:t>
      </w:r>
      <w:r w:rsidR="003D5F5A">
        <w:rPr>
          <w:spacing w:val="-1"/>
        </w:rPr>
        <w:t xml:space="preserve"> </w:t>
      </w:r>
      <w:r w:rsidR="003D5F5A">
        <w:t>These</w:t>
      </w:r>
      <w:r w:rsidR="003D5F5A">
        <w:rPr>
          <w:spacing w:val="-3"/>
        </w:rPr>
        <w:t xml:space="preserve"> </w:t>
      </w:r>
      <w:r w:rsidR="003D5F5A">
        <w:t>households</w:t>
      </w:r>
      <w:r w:rsidR="003D5F5A">
        <w:rPr>
          <w:spacing w:val="-3"/>
        </w:rPr>
        <w:t xml:space="preserve"> </w:t>
      </w:r>
      <w:r w:rsidR="003D5F5A">
        <w:t>will</w:t>
      </w:r>
      <w:r w:rsidR="003D5F5A">
        <w:rPr>
          <w:spacing w:val="-3"/>
        </w:rPr>
        <w:t xml:space="preserve"> </w:t>
      </w:r>
      <w:r w:rsidR="003D5F5A">
        <w:t>not</w:t>
      </w:r>
      <w:r w:rsidR="003D5F5A">
        <w:rPr>
          <w:spacing w:val="-2"/>
        </w:rPr>
        <w:t xml:space="preserve"> </w:t>
      </w:r>
      <w:r w:rsidR="003D5F5A">
        <w:t>have</w:t>
      </w:r>
      <w:r w:rsidR="003D5F5A">
        <w:rPr>
          <w:spacing w:val="-4"/>
        </w:rPr>
        <w:t xml:space="preserve"> </w:t>
      </w:r>
      <w:r w:rsidR="003D5F5A">
        <w:t>a</w:t>
      </w:r>
      <w:r w:rsidR="003D5F5A">
        <w:rPr>
          <w:spacing w:val="-3"/>
        </w:rPr>
        <w:t xml:space="preserve"> </w:t>
      </w:r>
      <w:r w:rsidR="003D5F5A">
        <w:t>chance</w:t>
      </w:r>
      <w:r w:rsidR="003D5F5A">
        <w:rPr>
          <w:spacing w:val="-3"/>
        </w:rPr>
        <w:t xml:space="preserve"> </w:t>
      </w:r>
      <w:r w:rsidR="003D5F5A">
        <w:t>to</w:t>
      </w:r>
      <w:r w:rsidR="003D5F5A">
        <w:rPr>
          <w:spacing w:val="1"/>
        </w:rPr>
        <w:t xml:space="preserve"> </w:t>
      </w:r>
      <w:r w:rsidR="00607FCF">
        <w:t>be selected from</w:t>
      </w:r>
      <w:r w:rsidR="003D5F5A">
        <w:t xml:space="preserve"> the NAP participant list frame, but they will be included on the area</w:t>
      </w:r>
      <w:r w:rsidR="00E3373B">
        <w:t xml:space="preserve"> </w:t>
      </w:r>
      <w:r w:rsidR="003D5F5A">
        <w:t>probability sampling</w:t>
      </w:r>
      <w:r w:rsidR="00CD0350">
        <w:t xml:space="preserve"> </w:t>
      </w:r>
      <w:r w:rsidR="003D5F5A">
        <w:t>frame.</w:t>
      </w:r>
    </w:p>
    <w:p w:rsidR="00503F46" w:rsidP="00503F46" w:rsidRDefault="003D5F5A" w14:paraId="5DB5537C" w14:textId="77D5CDF6">
      <w:pPr>
        <w:pStyle w:val="Body11ptCalibri-IPR"/>
        <w:spacing w:after="240"/>
      </w:pPr>
      <w:r>
        <w:t>The</w:t>
      </w:r>
      <w:r>
        <w:rPr>
          <w:spacing w:val="-4"/>
        </w:rPr>
        <w:t xml:space="preserve"> </w:t>
      </w:r>
      <w:r>
        <w:t>NAP</w:t>
      </w:r>
      <w:r>
        <w:rPr>
          <w:spacing w:val="-3"/>
        </w:rPr>
        <w:t xml:space="preserve"> </w:t>
      </w:r>
      <w:r>
        <w:t>participant</w:t>
      </w:r>
      <w:r>
        <w:rPr>
          <w:spacing w:val="-3"/>
        </w:rPr>
        <w:t xml:space="preserve"> </w:t>
      </w:r>
      <w:r>
        <w:t>list</w:t>
      </w:r>
      <w:r>
        <w:rPr>
          <w:spacing w:val="-4"/>
        </w:rPr>
        <w:t xml:space="preserve"> </w:t>
      </w:r>
      <w:r>
        <w:t>frame</w:t>
      </w:r>
      <w:r>
        <w:rPr>
          <w:spacing w:val="-2"/>
        </w:rPr>
        <w:t xml:space="preserve"> </w:t>
      </w:r>
      <w:r>
        <w:t>may</w:t>
      </w:r>
      <w:r>
        <w:rPr>
          <w:spacing w:val="-3"/>
        </w:rPr>
        <w:t xml:space="preserve"> </w:t>
      </w:r>
      <w:r>
        <w:t>also</w:t>
      </w:r>
      <w:r>
        <w:rPr>
          <w:spacing w:val="-3"/>
        </w:rPr>
        <w:t xml:space="preserve"> </w:t>
      </w:r>
      <w:r>
        <w:t>include</w:t>
      </w:r>
      <w:r>
        <w:rPr>
          <w:spacing w:val="-4"/>
        </w:rPr>
        <w:t xml:space="preserve"> </w:t>
      </w:r>
      <w:r>
        <w:t>sampled</w:t>
      </w:r>
      <w:r>
        <w:rPr>
          <w:spacing w:val="-2"/>
        </w:rPr>
        <w:t xml:space="preserve"> </w:t>
      </w:r>
      <w:r>
        <w:t>households</w:t>
      </w:r>
      <w:r>
        <w:rPr>
          <w:spacing w:val="-4"/>
        </w:rPr>
        <w:t xml:space="preserve"> </w:t>
      </w:r>
      <w:r w:rsidR="00E3373B">
        <w:t>that</w:t>
      </w:r>
      <w:r w:rsidR="00E3373B">
        <w:rPr>
          <w:spacing w:val="-3"/>
        </w:rPr>
        <w:t xml:space="preserve"> </w:t>
      </w:r>
      <w:r>
        <w:t>no</w:t>
      </w:r>
      <w:r>
        <w:rPr>
          <w:spacing w:val="-3"/>
        </w:rPr>
        <w:t xml:space="preserve"> </w:t>
      </w:r>
      <w:r>
        <w:t>longer</w:t>
      </w:r>
      <w:r>
        <w:rPr>
          <w:spacing w:val="-3"/>
        </w:rPr>
        <w:t xml:space="preserve"> </w:t>
      </w:r>
      <w:r>
        <w:t>participate</w:t>
      </w:r>
      <w:r>
        <w:rPr>
          <w:spacing w:val="-1"/>
        </w:rPr>
        <w:t xml:space="preserve"> </w:t>
      </w:r>
      <w:r>
        <w:t>in</w:t>
      </w:r>
      <w:r>
        <w:rPr>
          <w:spacing w:val="-4"/>
        </w:rPr>
        <w:t xml:space="preserve"> </w:t>
      </w:r>
      <w:r>
        <w:t>NAP</w:t>
      </w:r>
      <w:r>
        <w:rPr>
          <w:spacing w:val="-2"/>
        </w:rPr>
        <w:t xml:space="preserve"> </w:t>
      </w:r>
      <w:r>
        <w:t>at</w:t>
      </w:r>
      <w:r w:rsidR="00404247">
        <w:t xml:space="preserve"> </w:t>
      </w:r>
      <w:r>
        <w:t>the time of data collection. These households will be included in the study and analyzed as part of the</w:t>
      </w:r>
      <w:r>
        <w:rPr>
          <w:spacing w:val="1"/>
        </w:rPr>
        <w:t xml:space="preserve"> </w:t>
      </w:r>
      <w:r>
        <w:lastRenderedPageBreak/>
        <w:t xml:space="preserve">non‐NAP subgroup. </w:t>
      </w:r>
      <w:r w:rsidR="00E3373B">
        <w:t xml:space="preserve">The study team </w:t>
      </w:r>
      <w:r>
        <w:t xml:space="preserve">will request the participant list </w:t>
      </w:r>
      <w:r w:rsidR="008830AA">
        <w:t xml:space="preserve">from ADSEF (see Appendix </w:t>
      </w:r>
      <w:r w:rsidR="00B85E4A">
        <w:t>J</w:t>
      </w:r>
      <w:r w:rsidR="008830AA">
        <w:t>.1–</w:t>
      </w:r>
      <w:r w:rsidR="00B85E4A">
        <w:t>J</w:t>
      </w:r>
      <w:r w:rsidR="008830AA">
        <w:t xml:space="preserve">.2) </w:t>
      </w:r>
      <w:r>
        <w:t>as close to data collection as possible to reduce</w:t>
      </w:r>
      <w:r>
        <w:rPr>
          <w:spacing w:val="1"/>
        </w:rPr>
        <w:t xml:space="preserve"> </w:t>
      </w:r>
      <w:r w:rsidR="000B3BDC">
        <w:rPr>
          <w:spacing w:val="1"/>
        </w:rPr>
        <w:t>the number of households that have a change in NAP participation status</w:t>
      </w:r>
      <w:r>
        <w:t xml:space="preserve"> between the </w:t>
      </w:r>
      <w:r w:rsidR="000B3BDC">
        <w:t xml:space="preserve">time the list is created </w:t>
      </w:r>
      <w:r>
        <w:t>and</w:t>
      </w:r>
      <w:r>
        <w:rPr>
          <w:spacing w:val="-1"/>
        </w:rPr>
        <w:t xml:space="preserve"> </w:t>
      </w:r>
      <w:r>
        <w:t>the data collection period.</w:t>
      </w:r>
    </w:p>
    <w:p w:rsidR="00013514" w:rsidP="00013514" w:rsidRDefault="003D5F5A" w14:paraId="6A6BC4B1" w14:textId="77777777">
      <w:pPr>
        <w:pStyle w:val="Body11ptCalibri-IPR"/>
        <w:spacing w:after="240"/>
      </w:pPr>
      <w:r>
        <w:t>A systematic sample of households will be selected from the NAP participant list sampling frame.</w:t>
      </w:r>
      <w:r>
        <w:rPr>
          <w:spacing w:val="-2"/>
        </w:rPr>
        <w:t xml:space="preserve"> </w:t>
      </w:r>
      <w:r>
        <w:t>Variables</w:t>
      </w:r>
      <w:r>
        <w:rPr>
          <w:spacing w:val="-3"/>
        </w:rPr>
        <w:t xml:space="preserve"> </w:t>
      </w:r>
      <w:r>
        <w:t>available</w:t>
      </w:r>
      <w:r>
        <w:rPr>
          <w:spacing w:val="-4"/>
        </w:rPr>
        <w:t xml:space="preserve"> </w:t>
      </w:r>
      <w:r>
        <w:t>on</w:t>
      </w:r>
      <w:r>
        <w:rPr>
          <w:spacing w:val="-3"/>
        </w:rPr>
        <w:t xml:space="preserve"> </w:t>
      </w:r>
      <w:r>
        <w:t>the</w:t>
      </w:r>
      <w:r>
        <w:rPr>
          <w:spacing w:val="-4"/>
        </w:rPr>
        <w:t xml:space="preserve"> </w:t>
      </w:r>
      <w:r>
        <w:t>frame</w:t>
      </w:r>
      <w:r>
        <w:rPr>
          <w:spacing w:val="-3"/>
        </w:rPr>
        <w:t xml:space="preserve"> </w:t>
      </w:r>
      <w:r>
        <w:t>will</w:t>
      </w:r>
      <w:r>
        <w:rPr>
          <w:spacing w:val="-4"/>
        </w:rPr>
        <w:t xml:space="preserve"> </w:t>
      </w:r>
      <w:r>
        <w:t>be</w:t>
      </w:r>
      <w:r>
        <w:rPr>
          <w:spacing w:val="-3"/>
        </w:rPr>
        <w:t xml:space="preserve"> </w:t>
      </w:r>
      <w:r>
        <w:t>reviewed</w:t>
      </w:r>
      <w:r>
        <w:rPr>
          <w:spacing w:val="-4"/>
        </w:rPr>
        <w:t xml:space="preserve"> </w:t>
      </w:r>
      <w:r>
        <w:t>as</w:t>
      </w:r>
      <w:r>
        <w:rPr>
          <w:spacing w:val="-3"/>
        </w:rPr>
        <w:t xml:space="preserve"> </w:t>
      </w:r>
      <w:r>
        <w:t>possible</w:t>
      </w:r>
      <w:r>
        <w:rPr>
          <w:spacing w:val="-3"/>
        </w:rPr>
        <w:t xml:space="preserve"> </w:t>
      </w:r>
      <w:r>
        <w:t>stratification</w:t>
      </w:r>
      <w:r>
        <w:rPr>
          <w:spacing w:val="-3"/>
        </w:rPr>
        <w:t xml:space="preserve"> </w:t>
      </w:r>
      <w:r>
        <w:t>variables. Variables chosen for stratification will be those</w:t>
      </w:r>
      <w:r>
        <w:rPr>
          <w:spacing w:val="1"/>
        </w:rPr>
        <w:t xml:space="preserve"> </w:t>
      </w:r>
      <w:r>
        <w:t>expected to be correlated with food security, including geographic variables, income, household size,</w:t>
      </w:r>
      <w:r>
        <w:rPr>
          <w:spacing w:val="1"/>
        </w:rPr>
        <w:t xml:space="preserve"> </w:t>
      </w:r>
      <w:r>
        <w:t xml:space="preserve">and demographic variables. </w:t>
      </w:r>
      <w:r w:rsidR="0092428C">
        <w:t xml:space="preserve">A total of </w:t>
      </w:r>
      <w:r>
        <w:t xml:space="preserve">3,170 households </w:t>
      </w:r>
      <w:r w:rsidR="0092428C">
        <w:t xml:space="preserve">will be sampled </w:t>
      </w:r>
      <w:r>
        <w:t>from the NAP participant list sampling</w:t>
      </w:r>
      <w:r>
        <w:rPr>
          <w:spacing w:val="1"/>
        </w:rPr>
        <w:t xml:space="preserve"> </w:t>
      </w:r>
      <w:r>
        <w:t>frame.</w:t>
      </w:r>
    </w:p>
    <w:p w:rsidR="008F72D0" w:rsidP="006E55C9" w:rsidRDefault="006E55C9" w14:paraId="0C8A426C" w14:textId="496E5108">
      <w:pPr>
        <w:pStyle w:val="Body11ptCalibri-IPR"/>
        <w:spacing w:before="120" w:after="240"/>
        <w:rPr>
          <w:szCs w:val="22"/>
        </w:rPr>
      </w:pPr>
      <w:r w:rsidRPr="00B36BEB">
        <w:rPr>
          <w:szCs w:val="22"/>
        </w:rPr>
        <w:t>Using the mailing address</w:t>
      </w:r>
      <w:r>
        <w:rPr>
          <w:szCs w:val="22"/>
        </w:rPr>
        <w:t>es</w:t>
      </w:r>
      <w:r w:rsidRPr="00B36BEB">
        <w:rPr>
          <w:szCs w:val="22"/>
        </w:rPr>
        <w:t xml:space="preserve"> </w:t>
      </w:r>
      <w:r>
        <w:rPr>
          <w:szCs w:val="22"/>
        </w:rPr>
        <w:t>provided by ADSEF</w:t>
      </w:r>
      <w:r w:rsidRPr="00B36BEB">
        <w:rPr>
          <w:szCs w:val="22"/>
        </w:rPr>
        <w:t xml:space="preserve">, </w:t>
      </w:r>
      <w:r>
        <w:rPr>
          <w:szCs w:val="22"/>
        </w:rPr>
        <w:t>the study team</w:t>
      </w:r>
      <w:r w:rsidRPr="00B36BEB">
        <w:rPr>
          <w:szCs w:val="22"/>
        </w:rPr>
        <w:t xml:space="preserve"> will mail an</w:t>
      </w:r>
      <w:r>
        <w:rPr>
          <w:szCs w:val="22"/>
        </w:rPr>
        <w:t xml:space="preserve"> initial </w:t>
      </w:r>
      <w:r w:rsidRPr="00B36BEB">
        <w:rPr>
          <w:szCs w:val="22"/>
        </w:rPr>
        <w:t xml:space="preserve">invitation letter </w:t>
      </w:r>
      <w:r w:rsidR="003D2375">
        <w:rPr>
          <w:szCs w:val="22"/>
        </w:rPr>
        <w:t xml:space="preserve">with a $5 prepaid cash incentive </w:t>
      </w:r>
      <w:r>
        <w:rPr>
          <w:szCs w:val="22"/>
        </w:rPr>
        <w:t xml:space="preserve">to households sampled from the NAP participant list. The letter will </w:t>
      </w:r>
      <w:r w:rsidRPr="00B36BEB">
        <w:rPr>
          <w:szCs w:val="22"/>
        </w:rPr>
        <w:t>explain the study</w:t>
      </w:r>
      <w:r w:rsidR="008F72D0">
        <w:rPr>
          <w:szCs w:val="22"/>
        </w:rPr>
        <w:t>, offer a $40 postparticipation incentive</w:t>
      </w:r>
      <w:r w:rsidR="002452FC">
        <w:rPr>
          <w:szCs w:val="22"/>
        </w:rPr>
        <w:t xml:space="preserve"> </w:t>
      </w:r>
      <w:r w:rsidR="002452FC">
        <w:t>(paid by gift card)</w:t>
      </w:r>
      <w:r w:rsidR="002452FC">
        <w:rPr>
          <w:szCs w:val="22"/>
        </w:rPr>
        <w:t>,</w:t>
      </w:r>
      <w:r w:rsidR="008F72D0">
        <w:rPr>
          <w:szCs w:val="22"/>
        </w:rPr>
        <w:t xml:space="preserve"> and</w:t>
      </w:r>
      <w:r w:rsidRPr="00B36BEB">
        <w:rPr>
          <w:szCs w:val="22"/>
        </w:rPr>
        <w:t xml:space="preserve"> invit</w:t>
      </w:r>
      <w:r>
        <w:rPr>
          <w:szCs w:val="22"/>
        </w:rPr>
        <w:t xml:space="preserve">e an adult member of the household </w:t>
      </w:r>
      <w:r w:rsidRPr="00B36BEB">
        <w:rPr>
          <w:szCs w:val="22"/>
        </w:rPr>
        <w:t>to complete the survey</w:t>
      </w:r>
      <w:r>
        <w:rPr>
          <w:szCs w:val="22"/>
        </w:rPr>
        <w:t xml:space="preserve"> via web (see Appendix </w:t>
      </w:r>
      <w:r w:rsidR="00B85E4A">
        <w:rPr>
          <w:szCs w:val="22"/>
        </w:rPr>
        <w:t>G</w:t>
      </w:r>
      <w:r>
        <w:rPr>
          <w:szCs w:val="22"/>
        </w:rPr>
        <w:t>.1</w:t>
      </w:r>
      <w:r w:rsidR="00B85E4A">
        <w:rPr>
          <w:szCs w:val="22"/>
        </w:rPr>
        <w:t xml:space="preserve"> and G.</w:t>
      </w:r>
      <w:r w:rsidR="00D76C2F">
        <w:rPr>
          <w:szCs w:val="22"/>
        </w:rPr>
        <w:t>1</w:t>
      </w:r>
      <w:r w:rsidR="00B85E4A">
        <w:rPr>
          <w:szCs w:val="22"/>
        </w:rPr>
        <w:t>2</w:t>
      </w:r>
      <w:r>
        <w:rPr>
          <w:szCs w:val="22"/>
        </w:rPr>
        <w:t>)</w:t>
      </w:r>
      <w:r w:rsidRPr="00B36BEB">
        <w:rPr>
          <w:szCs w:val="22"/>
        </w:rPr>
        <w:t xml:space="preserve">. </w:t>
      </w:r>
    </w:p>
    <w:p w:rsidR="006E55C9" w:rsidP="006E55C9" w:rsidRDefault="006E55C9" w14:paraId="5E284FE0" w14:textId="4E0CB688">
      <w:pPr>
        <w:pStyle w:val="Body11ptCalibri-IPR"/>
        <w:spacing w:before="120" w:after="240"/>
        <w:rPr>
          <w:szCs w:val="22"/>
        </w:rPr>
      </w:pPr>
      <w:r w:rsidRPr="00B36BEB">
        <w:rPr>
          <w:szCs w:val="22"/>
        </w:rPr>
        <w:t xml:space="preserve">One week after the initial mailing, </w:t>
      </w:r>
      <w:r>
        <w:rPr>
          <w:szCs w:val="22"/>
        </w:rPr>
        <w:t>the study team</w:t>
      </w:r>
      <w:r w:rsidRPr="00B36BEB">
        <w:rPr>
          <w:szCs w:val="22"/>
        </w:rPr>
        <w:t xml:space="preserve"> will send a postcard </w:t>
      </w:r>
      <w:r>
        <w:rPr>
          <w:szCs w:val="22"/>
        </w:rPr>
        <w:t>to nonrespondents</w:t>
      </w:r>
      <w:r w:rsidRPr="00B36BEB">
        <w:rPr>
          <w:szCs w:val="22"/>
        </w:rPr>
        <w:t>, remind</w:t>
      </w:r>
      <w:r>
        <w:rPr>
          <w:szCs w:val="22"/>
        </w:rPr>
        <w:t>ing them to complete the survey</w:t>
      </w:r>
      <w:r w:rsidR="00807FCC">
        <w:rPr>
          <w:szCs w:val="22"/>
        </w:rPr>
        <w:t xml:space="preserve"> (see Appendix </w:t>
      </w:r>
      <w:r w:rsidR="00B85E4A">
        <w:rPr>
          <w:szCs w:val="22"/>
        </w:rPr>
        <w:t>G</w:t>
      </w:r>
      <w:r w:rsidR="00807FCC">
        <w:rPr>
          <w:szCs w:val="22"/>
        </w:rPr>
        <w:t>.</w:t>
      </w:r>
      <w:r w:rsidR="00D76C2F">
        <w:rPr>
          <w:szCs w:val="22"/>
        </w:rPr>
        <w:t>2</w:t>
      </w:r>
      <w:r w:rsidR="00B85E4A">
        <w:rPr>
          <w:szCs w:val="22"/>
        </w:rPr>
        <w:t xml:space="preserve"> and G.</w:t>
      </w:r>
      <w:r w:rsidR="00D76C2F">
        <w:rPr>
          <w:szCs w:val="22"/>
        </w:rPr>
        <w:t>13</w:t>
      </w:r>
      <w:r w:rsidR="00807FCC">
        <w:rPr>
          <w:szCs w:val="22"/>
        </w:rPr>
        <w:t>)</w:t>
      </w:r>
      <w:r>
        <w:rPr>
          <w:szCs w:val="22"/>
        </w:rPr>
        <w:t xml:space="preserve">. </w:t>
      </w:r>
      <w:r w:rsidR="008F72D0">
        <w:rPr>
          <w:szCs w:val="22"/>
        </w:rPr>
        <w:t>Next</w:t>
      </w:r>
      <w:r w:rsidR="00F86A26">
        <w:rPr>
          <w:szCs w:val="22"/>
        </w:rPr>
        <w:t xml:space="preserve">, the study team will mail nonrespondents a paper survey packet, which will include a cover letter with a link to the web survey, a hardcopy version of the survey, and a postage-paid return envelope (see Appendix </w:t>
      </w:r>
      <w:r w:rsidR="00B85E4A">
        <w:rPr>
          <w:szCs w:val="22"/>
        </w:rPr>
        <w:t>G</w:t>
      </w:r>
      <w:r w:rsidR="00F86A26">
        <w:rPr>
          <w:szCs w:val="22"/>
        </w:rPr>
        <w:t>.</w:t>
      </w:r>
      <w:r w:rsidR="00D76C2F">
        <w:rPr>
          <w:szCs w:val="22"/>
        </w:rPr>
        <w:t>3</w:t>
      </w:r>
      <w:r w:rsidR="00B85E4A">
        <w:rPr>
          <w:szCs w:val="22"/>
        </w:rPr>
        <w:t xml:space="preserve"> and G.</w:t>
      </w:r>
      <w:r w:rsidR="00D76C2F">
        <w:rPr>
          <w:szCs w:val="22"/>
        </w:rPr>
        <w:t>14</w:t>
      </w:r>
      <w:r w:rsidR="00F86A26">
        <w:rPr>
          <w:szCs w:val="22"/>
        </w:rPr>
        <w:t>)</w:t>
      </w:r>
      <w:r w:rsidRPr="00DF58CA" w:rsidR="00F86A26">
        <w:rPr>
          <w:szCs w:val="22"/>
        </w:rPr>
        <w:t>.</w:t>
      </w:r>
      <w:r w:rsidR="00F86A26">
        <w:rPr>
          <w:szCs w:val="22"/>
        </w:rPr>
        <w:t xml:space="preserve"> </w:t>
      </w:r>
      <w:r w:rsidRPr="00DF58CA" w:rsidR="00F86A26">
        <w:rPr>
          <w:szCs w:val="22"/>
        </w:rPr>
        <w:t xml:space="preserve">Approximately </w:t>
      </w:r>
      <w:r w:rsidR="00F86A26">
        <w:rPr>
          <w:szCs w:val="22"/>
        </w:rPr>
        <w:t>5</w:t>
      </w:r>
      <w:r w:rsidRPr="00DF58CA" w:rsidR="00F86A26">
        <w:rPr>
          <w:szCs w:val="22"/>
        </w:rPr>
        <w:t xml:space="preserve"> weeks</w:t>
      </w:r>
      <w:r w:rsidR="00F86A26">
        <w:rPr>
          <w:szCs w:val="22"/>
        </w:rPr>
        <w:t xml:space="preserve"> after the initial mailing, remaining nonrespondents will receive a second paper survey packet.</w:t>
      </w:r>
      <w:r w:rsidR="003D2375">
        <w:rPr>
          <w:szCs w:val="22"/>
        </w:rPr>
        <w:t xml:space="preserve"> </w:t>
      </w:r>
      <w:r w:rsidR="008F72D0">
        <w:t>The</w:t>
      </w:r>
      <w:r w:rsidR="008F72D0">
        <w:rPr>
          <w:spacing w:val="-3"/>
        </w:rPr>
        <w:t xml:space="preserve"> </w:t>
      </w:r>
      <w:r w:rsidR="008F72D0">
        <w:t>response</w:t>
      </w:r>
      <w:r w:rsidR="008F72D0">
        <w:rPr>
          <w:spacing w:val="-2"/>
        </w:rPr>
        <w:t xml:space="preserve"> </w:t>
      </w:r>
      <w:r w:rsidR="008F72D0">
        <w:t>rate</w:t>
      </w:r>
      <w:r w:rsidR="008F72D0">
        <w:rPr>
          <w:spacing w:val="-2"/>
        </w:rPr>
        <w:t xml:space="preserve"> </w:t>
      </w:r>
      <w:r w:rsidR="008F72D0">
        <w:t>for</w:t>
      </w:r>
      <w:r w:rsidR="008F72D0">
        <w:rPr>
          <w:spacing w:val="-3"/>
        </w:rPr>
        <w:t xml:space="preserve"> the </w:t>
      </w:r>
      <w:r w:rsidR="008F72D0">
        <w:t>survey</w:t>
      </w:r>
      <w:r w:rsidR="008F72D0">
        <w:rPr>
          <w:spacing w:val="-2"/>
        </w:rPr>
        <w:t xml:space="preserve"> </w:t>
      </w:r>
      <w:r w:rsidR="008F72D0">
        <w:t>will</w:t>
      </w:r>
      <w:r w:rsidR="008F72D0">
        <w:rPr>
          <w:spacing w:val="-2"/>
        </w:rPr>
        <w:t xml:space="preserve"> </w:t>
      </w:r>
      <w:r w:rsidR="008F72D0">
        <w:t>depend</w:t>
      </w:r>
      <w:r w:rsidR="008F72D0">
        <w:rPr>
          <w:spacing w:val="-3"/>
        </w:rPr>
        <w:t xml:space="preserve"> </w:t>
      </w:r>
      <w:r w:rsidR="008F72D0">
        <w:t>on</w:t>
      </w:r>
      <w:r w:rsidR="008F72D0">
        <w:rPr>
          <w:spacing w:val="-3"/>
        </w:rPr>
        <w:t xml:space="preserve"> </w:t>
      </w:r>
      <w:r w:rsidR="008F72D0">
        <w:t>the reliability</w:t>
      </w:r>
      <w:r w:rsidR="008F72D0">
        <w:rPr>
          <w:spacing w:val="-2"/>
        </w:rPr>
        <w:t xml:space="preserve"> </w:t>
      </w:r>
      <w:r w:rsidR="008F72D0">
        <w:t>of addresses</w:t>
      </w:r>
      <w:r w:rsidR="008F72D0">
        <w:rPr>
          <w:spacing w:val="-3"/>
        </w:rPr>
        <w:t xml:space="preserve"> </w:t>
      </w:r>
      <w:r w:rsidR="008F72D0">
        <w:t>on</w:t>
      </w:r>
      <w:r w:rsidR="008F72D0">
        <w:rPr>
          <w:spacing w:val="-2"/>
        </w:rPr>
        <w:t xml:space="preserve"> </w:t>
      </w:r>
      <w:r w:rsidR="008F72D0">
        <w:t>the</w:t>
      </w:r>
      <w:r w:rsidR="008F72D0">
        <w:rPr>
          <w:spacing w:val="-2"/>
        </w:rPr>
        <w:t xml:space="preserve"> </w:t>
      </w:r>
      <w:r w:rsidR="008F72D0">
        <w:t>NAP list and</w:t>
      </w:r>
      <w:r w:rsidR="008F72D0">
        <w:rPr>
          <w:spacing w:val="-2"/>
        </w:rPr>
        <w:t xml:space="preserve"> </w:t>
      </w:r>
      <w:r w:rsidR="008F72D0">
        <w:t>cooperation</w:t>
      </w:r>
      <w:r w:rsidR="008F72D0">
        <w:rPr>
          <w:spacing w:val="-1"/>
        </w:rPr>
        <w:t xml:space="preserve"> </w:t>
      </w:r>
      <w:r w:rsidR="008F72D0">
        <w:t>of</w:t>
      </w:r>
      <w:r w:rsidR="008F72D0">
        <w:rPr>
          <w:spacing w:val="-3"/>
        </w:rPr>
        <w:t xml:space="preserve"> </w:t>
      </w:r>
      <w:r w:rsidR="008F72D0">
        <w:t>selected</w:t>
      </w:r>
      <w:r w:rsidR="008F72D0">
        <w:rPr>
          <w:spacing w:val="-2"/>
        </w:rPr>
        <w:t xml:space="preserve"> </w:t>
      </w:r>
      <w:r w:rsidR="008F72D0">
        <w:t xml:space="preserve">households. </w:t>
      </w:r>
      <w:r w:rsidRPr="00782646" w:rsidR="008F72D0">
        <w:t>The study team will follow up</w:t>
      </w:r>
      <w:r w:rsidR="008F72D0">
        <w:t xml:space="preserve"> with</w:t>
      </w:r>
      <w:r w:rsidR="008F72D0">
        <w:rPr>
          <w:spacing w:val="-3"/>
        </w:rPr>
        <w:t xml:space="preserve"> a </w:t>
      </w:r>
      <w:r w:rsidR="008F72D0">
        <w:t>one‐third</w:t>
      </w:r>
      <w:r w:rsidR="008F72D0">
        <w:rPr>
          <w:spacing w:val="-4"/>
        </w:rPr>
        <w:t xml:space="preserve"> </w:t>
      </w:r>
      <w:r w:rsidR="008F72D0">
        <w:t>subsample</w:t>
      </w:r>
      <w:r w:rsidR="008F72D0">
        <w:rPr>
          <w:spacing w:val="-3"/>
        </w:rPr>
        <w:t xml:space="preserve"> </w:t>
      </w:r>
      <w:r w:rsidR="008F72D0">
        <w:t>of</w:t>
      </w:r>
      <w:r w:rsidR="008F72D0">
        <w:rPr>
          <w:spacing w:val="-4"/>
        </w:rPr>
        <w:t xml:space="preserve"> </w:t>
      </w:r>
      <w:r w:rsidR="008F72D0">
        <w:t>nonrespondents</w:t>
      </w:r>
      <w:r w:rsidR="008F72D0">
        <w:rPr>
          <w:spacing w:val="-4"/>
        </w:rPr>
        <w:t xml:space="preserve"> by </w:t>
      </w:r>
      <w:r w:rsidR="008F72D0">
        <w:t>telephone, using</w:t>
      </w:r>
      <w:r w:rsidR="008F72D0">
        <w:rPr>
          <w:spacing w:val="-2"/>
        </w:rPr>
        <w:t xml:space="preserve"> </w:t>
      </w:r>
      <w:r w:rsidR="008F72D0">
        <w:t>the</w:t>
      </w:r>
      <w:r w:rsidR="008F72D0">
        <w:rPr>
          <w:spacing w:val="-1"/>
        </w:rPr>
        <w:t xml:space="preserve"> </w:t>
      </w:r>
      <w:r w:rsidR="008F72D0">
        <w:t>phone</w:t>
      </w:r>
      <w:r w:rsidR="008F72D0">
        <w:rPr>
          <w:spacing w:val="-2"/>
        </w:rPr>
        <w:t xml:space="preserve"> </w:t>
      </w:r>
      <w:r w:rsidR="008F72D0">
        <w:t>numbers</w:t>
      </w:r>
      <w:r w:rsidR="008F72D0">
        <w:rPr>
          <w:spacing w:val="-2"/>
        </w:rPr>
        <w:t xml:space="preserve"> </w:t>
      </w:r>
      <w:r w:rsidR="008F72D0">
        <w:t>provided</w:t>
      </w:r>
      <w:r w:rsidR="008F72D0">
        <w:rPr>
          <w:spacing w:val="-1"/>
        </w:rPr>
        <w:t xml:space="preserve"> </w:t>
      </w:r>
      <w:r w:rsidR="008F72D0">
        <w:t>on</w:t>
      </w:r>
      <w:r w:rsidR="008F72D0">
        <w:rPr>
          <w:spacing w:val="-2"/>
        </w:rPr>
        <w:t xml:space="preserve"> </w:t>
      </w:r>
      <w:r w:rsidR="008F72D0">
        <w:t>the</w:t>
      </w:r>
      <w:r w:rsidR="008F72D0">
        <w:rPr>
          <w:spacing w:val="-2"/>
        </w:rPr>
        <w:t xml:space="preserve"> </w:t>
      </w:r>
      <w:r w:rsidR="008F72D0">
        <w:t>NAP</w:t>
      </w:r>
      <w:r w:rsidR="008F72D0">
        <w:rPr>
          <w:spacing w:val="-1"/>
        </w:rPr>
        <w:t xml:space="preserve"> </w:t>
      </w:r>
      <w:r w:rsidR="008F72D0">
        <w:t>participant</w:t>
      </w:r>
      <w:r w:rsidR="008F72D0">
        <w:rPr>
          <w:spacing w:val="-2"/>
        </w:rPr>
        <w:t xml:space="preserve"> </w:t>
      </w:r>
      <w:r w:rsidR="008F72D0">
        <w:t>list</w:t>
      </w:r>
      <w:r w:rsidR="00B85E4A">
        <w:t xml:space="preserve"> (Appendix G.</w:t>
      </w:r>
      <w:r w:rsidR="00D76C2F">
        <w:t xml:space="preserve">6 </w:t>
      </w:r>
      <w:r w:rsidR="00B85E4A">
        <w:t>and G.</w:t>
      </w:r>
      <w:r w:rsidR="00D76C2F">
        <w:t>17</w:t>
      </w:r>
      <w:r w:rsidR="008F72D0">
        <w:t xml:space="preserve"> </w:t>
      </w:r>
      <w:r w:rsidR="00F86A26">
        <w:rPr>
          <w:szCs w:val="22"/>
        </w:rPr>
        <w:t xml:space="preserve">Telephone </w:t>
      </w:r>
      <w:r w:rsidR="003D2375">
        <w:rPr>
          <w:szCs w:val="22"/>
        </w:rPr>
        <w:t>interviewers</w:t>
      </w:r>
      <w:r w:rsidR="00F86A26">
        <w:rPr>
          <w:szCs w:val="22"/>
        </w:rPr>
        <w:t xml:space="preserve"> will </w:t>
      </w:r>
      <w:r w:rsidRPr="00ED1441" w:rsidR="00F86A26">
        <w:t>reference prior communications (survey mailings and reminders) sent by the study team</w:t>
      </w:r>
      <w:r w:rsidR="00F86A26">
        <w:t>.</w:t>
      </w:r>
      <w:r w:rsidR="003D2375">
        <w:t xml:space="preserve"> </w:t>
      </w:r>
      <w:r>
        <w:rPr>
          <w:szCs w:val="22"/>
        </w:rPr>
        <w:t xml:space="preserve">See table B.3.2 for a brief overview of the timeline for data collection activities for households sampled from the NAP list. </w:t>
      </w:r>
    </w:p>
    <w:p w:rsidR="0062133C" w:rsidP="006E55C9" w:rsidRDefault="0062133C" w14:paraId="738B6C36" w14:textId="77777777">
      <w:pPr>
        <w:pStyle w:val="Body11ptCalibri-IPR"/>
        <w:spacing w:before="120" w:after="240"/>
        <w:rPr>
          <w:szCs w:val="22"/>
        </w:rPr>
      </w:pPr>
    </w:p>
    <w:p w:rsidRPr="00040E67" w:rsidR="006E55C9" w:rsidP="006E55C9" w:rsidRDefault="006E55C9" w14:paraId="4B8D29E7" w14:textId="77777777">
      <w:pPr>
        <w:pStyle w:val="TableTitle-IPR"/>
      </w:pPr>
      <w:r w:rsidRPr="00040E67">
        <w:lastRenderedPageBreak/>
        <w:t xml:space="preserve">Table B.3.2. Timeline for </w:t>
      </w:r>
      <w:r>
        <w:t>S</w:t>
      </w:r>
      <w:r w:rsidRPr="00040E67">
        <w:t xml:space="preserve">ampled NAP </w:t>
      </w:r>
      <w:r>
        <w:t>P</w:t>
      </w:r>
      <w:r w:rsidRPr="00040E67">
        <w:t xml:space="preserve">articipant </w:t>
      </w:r>
      <w:r>
        <w:t>D</w:t>
      </w:r>
      <w:r w:rsidRPr="00040E67">
        <w:t xml:space="preserve">ata </w:t>
      </w:r>
      <w:r>
        <w:t>C</w:t>
      </w:r>
      <w:r w:rsidRPr="00040E67">
        <w:t xml:space="preserve">ollection </w:t>
      </w:r>
      <w:r>
        <w:t>A</w:t>
      </w:r>
      <w:r w:rsidRPr="00040E67">
        <w:t xml:space="preserve">ctivities </w:t>
      </w:r>
    </w:p>
    <w:tbl>
      <w:tblPr>
        <w:tblStyle w:val="InsightTable"/>
        <w:tblW w:w="0" w:type="auto"/>
        <w:tblLook w:val="04A0" w:firstRow="1" w:lastRow="0" w:firstColumn="1" w:lastColumn="0" w:noHBand="0" w:noVBand="1"/>
      </w:tblPr>
      <w:tblGrid>
        <w:gridCol w:w="1807"/>
        <w:gridCol w:w="5605"/>
        <w:gridCol w:w="1890"/>
      </w:tblGrid>
      <w:tr w:rsidR="006E55C9" w:rsidTr="004421E2" w14:paraId="288AA4C0" w14:textId="77777777">
        <w:trPr>
          <w:cnfStyle w:val="100000000000" w:firstRow="1" w:lastRow="0" w:firstColumn="0" w:lastColumn="0" w:oddVBand="0" w:evenVBand="0" w:oddHBand="0" w:evenHBand="0" w:firstRowFirstColumn="0" w:firstRowLastColumn="0" w:lastRowFirstColumn="0" w:lastRowLastColumn="0"/>
          <w:trHeight w:val="360"/>
        </w:trPr>
        <w:tc>
          <w:tcPr>
            <w:tcW w:w="1807" w:type="dxa"/>
          </w:tcPr>
          <w:p w:rsidR="006E55C9" w:rsidP="004421E2" w:rsidRDefault="006E55C9" w14:paraId="214B4526" w14:textId="77777777">
            <w:pPr>
              <w:pStyle w:val="TableHeaderRow-IPR"/>
              <w:rPr>
                <w:sz w:val="24"/>
              </w:rPr>
            </w:pPr>
            <w:r w:rsidRPr="00FC46F5">
              <w:t>Time Period</w:t>
            </w:r>
          </w:p>
        </w:tc>
        <w:tc>
          <w:tcPr>
            <w:tcW w:w="5605" w:type="dxa"/>
          </w:tcPr>
          <w:p w:rsidR="006E55C9" w:rsidP="004421E2" w:rsidRDefault="006E55C9" w14:paraId="5FA8979F" w14:textId="77777777">
            <w:pPr>
              <w:pStyle w:val="TableHeaderRow-IPR"/>
              <w:rPr>
                <w:sz w:val="24"/>
              </w:rPr>
            </w:pPr>
            <w:r w:rsidRPr="00FC46F5">
              <w:t>Activity</w:t>
            </w:r>
          </w:p>
        </w:tc>
        <w:tc>
          <w:tcPr>
            <w:tcW w:w="1890" w:type="dxa"/>
          </w:tcPr>
          <w:p w:rsidRPr="00FC46F5" w:rsidR="006E55C9" w:rsidP="004421E2" w:rsidRDefault="006E55C9" w14:paraId="61CDA047" w14:textId="77777777">
            <w:pPr>
              <w:pStyle w:val="TableHeaderRow-IPR"/>
            </w:pPr>
            <w:r>
              <w:t>Appendix</w:t>
            </w:r>
          </w:p>
        </w:tc>
      </w:tr>
      <w:tr w:rsidR="006E55C9" w:rsidTr="004421E2" w14:paraId="29DB1A03" w14:textId="77777777">
        <w:trPr>
          <w:trHeight w:val="288"/>
        </w:trPr>
        <w:tc>
          <w:tcPr>
            <w:tcW w:w="1807" w:type="dxa"/>
          </w:tcPr>
          <w:p w:rsidR="006E55C9" w:rsidP="004421E2" w:rsidRDefault="006E55C9" w14:paraId="69DF353C" w14:textId="77777777">
            <w:pPr>
              <w:pStyle w:val="TableText-IPR"/>
              <w:rPr>
                <w:sz w:val="24"/>
              </w:rPr>
            </w:pPr>
            <w:r w:rsidRPr="00DF58CA">
              <w:t>Week 1</w:t>
            </w:r>
          </w:p>
        </w:tc>
        <w:tc>
          <w:tcPr>
            <w:tcW w:w="5605" w:type="dxa"/>
          </w:tcPr>
          <w:p w:rsidR="006E55C9" w:rsidP="004421E2" w:rsidRDefault="006E55C9" w14:paraId="330A36AF" w14:textId="77777777">
            <w:pPr>
              <w:pStyle w:val="TableText-IPR"/>
              <w:rPr>
                <w:sz w:val="24"/>
              </w:rPr>
            </w:pPr>
            <w:r w:rsidRPr="00DF58CA">
              <w:t>Initial survey packet mailing</w:t>
            </w:r>
          </w:p>
        </w:tc>
        <w:tc>
          <w:tcPr>
            <w:tcW w:w="1890" w:type="dxa"/>
          </w:tcPr>
          <w:p w:rsidRPr="00DF58CA" w:rsidR="006E55C9" w:rsidP="001315E2" w:rsidRDefault="00B85E4A" w14:paraId="29E0A307" w14:textId="5AFE43A4">
            <w:pPr>
              <w:pStyle w:val="TableText-IPR"/>
              <w:jc w:val="center"/>
            </w:pPr>
            <w:r>
              <w:t>G</w:t>
            </w:r>
            <w:r w:rsidR="006E55C9">
              <w:t>.1</w:t>
            </w:r>
            <w:r>
              <w:t xml:space="preserve"> and G.</w:t>
            </w:r>
            <w:r w:rsidR="00EE34D0">
              <w:t>1</w:t>
            </w:r>
            <w:r>
              <w:t>2</w:t>
            </w:r>
          </w:p>
        </w:tc>
      </w:tr>
      <w:tr w:rsidR="006E55C9" w:rsidTr="004421E2" w14:paraId="5803DE2D" w14:textId="77777777">
        <w:trPr>
          <w:trHeight w:val="288"/>
        </w:trPr>
        <w:tc>
          <w:tcPr>
            <w:tcW w:w="1807" w:type="dxa"/>
          </w:tcPr>
          <w:p w:rsidR="006E55C9" w:rsidP="004421E2" w:rsidRDefault="006E55C9" w14:paraId="5581B018" w14:textId="77777777">
            <w:pPr>
              <w:pStyle w:val="TableText-IPR"/>
              <w:rPr>
                <w:sz w:val="24"/>
              </w:rPr>
            </w:pPr>
            <w:r w:rsidRPr="00DF58CA">
              <w:t>Week 2</w:t>
            </w:r>
          </w:p>
        </w:tc>
        <w:tc>
          <w:tcPr>
            <w:tcW w:w="5605" w:type="dxa"/>
          </w:tcPr>
          <w:p w:rsidR="006E55C9" w:rsidP="004421E2" w:rsidRDefault="006E55C9" w14:paraId="6B4D5BBD" w14:textId="77777777">
            <w:pPr>
              <w:pStyle w:val="TableText-IPR"/>
              <w:rPr>
                <w:sz w:val="24"/>
              </w:rPr>
            </w:pPr>
            <w:r w:rsidRPr="00DF58CA">
              <w:t>Reminder postcard to nonrespondents</w:t>
            </w:r>
          </w:p>
        </w:tc>
        <w:tc>
          <w:tcPr>
            <w:tcW w:w="1890" w:type="dxa"/>
          </w:tcPr>
          <w:p w:rsidRPr="00DF58CA" w:rsidR="006E55C9" w:rsidP="001315E2" w:rsidRDefault="00B85E4A" w14:paraId="11C54565" w14:textId="2E8C710F">
            <w:pPr>
              <w:pStyle w:val="TableText-IPR"/>
              <w:jc w:val="center"/>
            </w:pPr>
            <w:r>
              <w:t>G</w:t>
            </w:r>
            <w:r w:rsidR="006E55C9">
              <w:t>.</w:t>
            </w:r>
            <w:r w:rsidR="00EE34D0">
              <w:t>2</w:t>
            </w:r>
            <w:r>
              <w:t xml:space="preserve"> and G.</w:t>
            </w:r>
            <w:r w:rsidR="00EE34D0">
              <w:t>13</w:t>
            </w:r>
          </w:p>
        </w:tc>
      </w:tr>
      <w:tr w:rsidR="006E55C9" w:rsidTr="004421E2" w14:paraId="75016185" w14:textId="77777777">
        <w:trPr>
          <w:trHeight w:val="288"/>
        </w:trPr>
        <w:tc>
          <w:tcPr>
            <w:tcW w:w="1807" w:type="dxa"/>
          </w:tcPr>
          <w:p w:rsidR="006E55C9" w:rsidP="004421E2" w:rsidRDefault="006E55C9" w14:paraId="276F3DD0" w14:textId="77777777">
            <w:pPr>
              <w:pStyle w:val="TableText-IPR"/>
              <w:rPr>
                <w:sz w:val="24"/>
              </w:rPr>
            </w:pPr>
            <w:r w:rsidRPr="00DF58CA">
              <w:t>Week 4</w:t>
            </w:r>
          </w:p>
        </w:tc>
        <w:tc>
          <w:tcPr>
            <w:tcW w:w="5605" w:type="dxa"/>
          </w:tcPr>
          <w:p w:rsidR="006E55C9" w:rsidP="004421E2" w:rsidRDefault="006E55C9" w14:paraId="71A329C1" w14:textId="77777777">
            <w:pPr>
              <w:pStyle w:val="TableText-IPR"/>
              <w:rPr>
                <w:sz w:val="24"/>
              </w:rPr>
            </w:pPr>
            <w:r w:rsidRPr="00DF58CA">
              <w:t>First paper survey packet mailing to nonrespondents</w:t>
            </w:r>
          </w:p>
        </w:tc>
        <w:tc>
          <w:tcPr>
            <w:tcW w:w="1890" w:type="dxa"/>
          </w:tcPr>
          <w:p w:rsidRPr="00DF58CA" w:rsidR="006E55C9" w:rsidP="002A0BC3" w:rsidRDefault="00B85E4A" w14:paraId="1B85BF1C" w14:textId="351617EC">
            <w:pPr>
              <w:pStyle w:val="TableText-IPR"/>
              <w:jc w:val="center"/>
            </w:pPr>
            <w:r>
              <w:t>G</w:t>
            </w:r>
            <w:r w:rsidR="006E55C9">
              <w:t>.</w:t>
            </w:r>
            <w:r w:rsidR="00EE34D0">
              <w:t>3</w:t>
            </w:r>
            <w:r>
              <w:t xml:space="preserve"> and G.</w:t>
            </w:r>
            <w:r w:rsidR="00EE34D0">
              <w:t>14</w:t>
            </w:r>
          </w:p>
        </w:tc>
      </w:tr>
      <w:tr w:rsidR="006E55C9" w:rsidTr="004421E2" w14:paraId="177F8A83" w14:textId="77777777">
        <w:trPr>
          <w:trHeight w:val="288"/>
        </w:trPr>
        <w:tc>
          <w:tcPr>
            <w:tcW w:w="1807" w:type="dxa"/>
          </w:tcPr>
          <w:p w:rsidR="006E55C9" w:rsidP="004421E2" w:rsidRDefault="006E55C9" w14:paraId="51072F0A" w14:textId="77777777">
            <w:pPr>
              <w:pStyle w:val="TableText-IPR"/>
              <w:rPr>
                <w:sz w:val="24"/>
              </w:rPr>
            </w:pPr>
            <w:r w:rsidRPr="00DF58CA">
              <w:t>Week 6</w:t>
            </w:r>
          </w:p>
        </w:tc>
        <w:tc>
          <w:tcPr>
            <w:tcW w:w="5605" w:type="dxa"/>
          </w:tcPr>
          <w:p w:rsidR="006E55C9" w:rsidP="004421E2" w:rsidRDefault="006E55C9" w14:paraId="1BA47910" w14:textId="77777777">
            <w:pPr>
              <w:pStyle w:val="TableText-IPR"/>
              <w:rPr>
                <w:sz w:val="24"/>
              </w:rPr>
            </w:pPr>
            <w:r w:rsidRPr="00DF58CA">
              <w:t>Second paper survey mailing to nonrespondents</w:t>
            </w:r>
          </w:p>
        </w:tc>
        <w:tc>
          <w:tcPr>
            <w:tcW w:w="1890" w:type="dxa"/>
          </w:tcPr>
          <w:p w:rsidRPr="00DF58CA" w:rsidR="006E55C9" w:rsidP="001315E2" w:rsidRDefault="00B85E4A" w14:paraId="0FC519E8" w14:textId="486EF6BB">
            <w:pPr>
              <w:pStyle w:val="TableText-IPR"/>
              <w:jc w:val="center"/>
            </w:pPr>
            <w:r>
              <w:t>G</w:t>
            </w:r>
            <w:r w:rsidR="006E55C9">
              <w:t>.</w:t>
            </w:r>
            <w:r w:rsidR="00EE34D0">
              <w:t>4</w:t>
            </w:r>
            <w:r>
              <w:t xml:space="preserve"> and G.</w:t>
            </w:r>
            <w:r w:rsidR="00EE34D0">
              <w:t>15</w:t>
            </w:r>
          </w:p>
        </w:tc>
      </w:tr>
      <w:tr w:rsidR="006E55C9" w:rsidTr="004421E2" w14:paraId="037F0A04" w14:textId="77777777">
        <w:trPr>
          <w:trHeight w:val="288"/>
        </w:trPr>
        <w:tc>
          <w:tcPr>
            <w:tcW w:w="1807" w:type="dxa"/>
          </w:tcPr>
          <w:p w:rsidR="006E55C9" w:rsidP="004421E2" w:rsidRDefault="006E55C9" w14:paraId="12F18408" w14:textId="77777777">
            <w:pPr>
              <w:pStyle w:val="TableText-IPR"/>
              <w:rPr>
                <w:sz w:val="24"/>
              </w:rPr>
            </w:pPr>
            <w:r w:rsidRPr="00DF58CA">
              <w:t>Weeks 8 to 10</w:t>
            </w:r>
          </w:p>
        </w:tc>
        <w:tc>
          <w:tcPr>
            <w:tcW w:w="5605" w:type="dxa"/>
          </w:tcPr>
          <w:p w:rsidR="006E55C9" w:rsidP="004421E2" w:rsidRDefault="006E55C9" w14:paraId="5662E279" w14:textId="77777777">
            <w:pPr>
              <w:pStyle w:val="TableText-IPR"/>
              <w:rPr>
                <w:sz w:val="24"/>
              </w:rPr>
            </w:pPr>
            <w:r w:rsidRPr="00DF58CA">
              <w:t>Telephone follow-up with nonrespondents</w:t>
            </w:r>
          </w:p>
        </w:tc>
        <w:tc>
          <w:tcPr>
            <w:tcW w:w="1890" w:type="dxa"/>
          </w:tcPr>
          <w:p w:rsidRPr="00DF58CA" w:rsidR="006E55C9" w:rsidP="001315E2" w:rsidRDefault="00B85E4A" w14:paraId="2A97254F" w14:textId="60AC51A6">
            <w:pPr>
              <w:pStyle w:val="TableText-IPR"/>
              <w:jc w:val="center"/>
            </w:pPr>
            <w:r>
              <w:t>G</w:t>
            </w:r>
            <w:r w:rsidR="006E55C9">
              <w:t>.</w:t>
            </w:r>
            <w:r w:rsidR="00EE34D0">
              <w:t>5</w:t>
            </w:r>
            <w:r>
              <w:t xml:space="preserve"> and G.</w:t>
            </w:r>
            <w:r w:rsidR="00EE34D0">
              <w:t>16</w:t>
            </w:r>
          </w:p>
        </w:tc>
      </w:tr>
    </w:tbl>
    <w:p w:rsidR="005F44AE" w:rsidP="002A0BC3" w:rsidRDefault="003D5F5A" w14:paraId="22A97068" w14:textId="7A9018CA">
      <w:pPr>
        <w:pStyle w:val="Body11ptCalibri-IPR"/>
        <w:keepNext/>
        <w:rPr>
          <w:i/>
          <w:spacing w:val="-3"/>
        </w:rPr>
      </w:pPr>
      <w:r w:rsidRPr="00EF57BE">
        <w:rPr>
          <w:b/>
          <w:bCs/>
          <w:i/>
        </w:rPr>
        <w:t>Area</w:t>
      </w:r>
      <w:r w:rsidR="00FA01CB">
        <w:rPr>
          <w:b/>
          <w:bCs/>
          <w:i/>
        </w:rPr>
        <w:t xml:space="preserve"> </w:t>
      </w:r>
      <w:r w:rsidRPr="00EF57BE">
        <w:rPr>
          <w:b/>
          <w:bCs/>
          <w:i/>
        </w:rPr>
        <w:t>probability</w:t>
      </w:r>
      <w:r w:rsidRPr="00EF57BE">
        <w:rPr>
          <w:b/>
          <w:bCs/>
          <w:i/>
          <w:spacing w:val="-3"/>
        </w:rPr>
        <w:t xml:space="preserve"> </w:t>
      </w:r>
      <w:r w:rsidRPr="00EF57BE">
        <w:rPr>
          <w:b/>
          <w:bCs/>
          <w:i/>
        </w:rPr>
        <w:t>frame</w:t>
      </w:r>
    </w:p>
    <w:p w:rsidR="00013514" w:rsidP="00013514" w:rsidRDefault="00FA01CB" w14:paraId="42EF3908" w14:textId="77777777">
      <w:pPr>
        <w:pStyle w:val="Body11ptCalibri-IPR"/>
        <w:spacing w:after="240"/>
      </w:pPr>
      <w:r>
        <w:t>The study team</w:t>
      </w:r>
      <w:r>
        <w:rPr>
          <w:spacing w:val="-2"/>
        </w:rPr>
        <w:t xml:space="preserve"> </w:t>
      </w:r>
      <w:r w:rsidR="003D5F5A">
        <w:t>will</w:t>
      </w:r>
      <w:r w:rsidR="003D5F5A">
        <w:rPr>
          <w:spacing w:val="-2"/>
        </w:rPr>
        <w:t xml:space="preserve"> </w:t>
      </w:r>
      <w:r w:rsidR="003D5F5A">
        <w:t>use</w:t>
      </w:r>
      <w:r w:rsidR="003D5F5A">
        <w:rPr>
          <w:spacing w:val="-2"/>
        </w:rPr>
        <w:t xml:space="preserve"> </w:t>
      </w:r>
      <w:r w:rsidR="003D5F5A">
        <w:t>a</w:t>
      </w:r>
      <w:r w:rsidR="003D5F5A">
        <w:rPr>
          <w:spacing w:val="-2"/>
        </w:rPr>
        <w:t xml:space="preserve"> </w:t>
      </w:r>
      <w:r w:rsidR="003D5F5A">
        <w:t>stratified</w:t>
      </w:r>
      <w:r w:rsidR="003D5F5A">
        <w:rPr>
          <w:spacing w:val="-2"/>
        </w:rPr>
        <w:t xml:space="preserve"> </w:t>
      </w:r>
      <w:r w:rsidR="003D5F5A">
        <w:t>multistage</w:t>
      </w:r>
      <w:r w:rsidR="003D5F5A">
        <w:rPr>
          <w:spacing w:val="-2"/>
        </w:rPr>
        <w:t xml:space="preserve"> </w:t>
      </w:r>
      <w:r w:rsidR="003D5F5A">
        <w:t>sampling</w:t>
      </w:r>
      <w:r w:rsidR="003D5F5A">
        <w:rPr>
          <w:spacing w:val="-2"/>
        </w:rPr>
        <w:t xml:space="preserve"> </w:t>
      </w:r>
      <w:r w:rsidR="003D5F5A">
        <w:t>design</w:t>
      </w:r>
      <w:r w:rsidR="003D5F5A">
        <w:rPr>
          <w:spacing w:val="-3"/>
        </w:rPr>
        <w:t xml:space="preserve"> </w:t>
      </w:r>
      <w:r w:rsidR="003D5F5A">
        <w:t>to</w:t>
      </w:r>
      <w:r w:rsidR="003D5F5A">
        <w:rPr>
          <w:spacing w:val="-2"/>
        </w:rPr>
        <w:t xml:space="preserve"> </w:t>
      </w:r>
      <w:r w:rsidR="003D5F5A">
        <w:t>sample</w:t>
      </w:r>
      <w:r w:rsidR="003D5F5A">
        <w:rPr>
          <w:spacing w:val="-3"/>
        </w:rPr>
        <w:t xml:space="preserve"> </w:t>
      </w:r>
      <w:r w:rsidR="00E73281">
        <w:rPr>
          <w:spacing w:val="-3"/>
        </w:rPr>
        <w:t xml:space="preserve">households </w:t>
      </w:r>
      <w:r w:rsidR="003D5F5A">
        <w:t>from</w:t>
      </w:r>
      <w:r w:rsidR="003D5F5A">
        <w:rPr>
          <w:spacing w:val="-2"/>
        </w:rPr>
        <w:t xml:space="preserve"> </w:t>
      </w:r>
      <w:r w:rsidR="003D5F5A">
        <w:t>the</w:t>
      </w:r>
      <w:r w:rsidR="00E73281">
        <w:t xml:space="preserve"> </w:t>
      </w:r>
      <w:r w:rsidR="003D5F5A">
        <w:t>area</w:t>
      </w:r>
      <w:r w:rsidR="00E73281">
        <w:t xml:space="preserve"> </w:t>
      </w:r>
      <w:r w:rsidR="003D5F5A">
        <w:t xml:space="preserve">probability frame. Households will be sampled within geographic areas </w:t>
      </w:r>
      <w:r w:rsidR="0047544F">
        <w:t>(</w:t>
      </w:r>
      <w:r w:rsidR="003D5F5A">
        <w:t>segments</w:t>
      </w:r>
      <w:r w:rsidR="0047544F">
        <w:t>)</w:t>
      </w:r>
      <w:r w:rsidR="003D5F5A">
        <w:t>. Segments</w:t>
      </w:r>
      <w:r w:rsidR="003D5F5A">
        <w:rPr>
          <w:spacing w:val="1"/>
        </w:rPr>
        <w:t xml:space="preserve"> </w:t>
      </w:r>
      <w:r w:rsidR="003D5F5A">
        <w:t>(the primary sampling units) will be formed by grouping neighboring census blocks until the number of</w:t>
      </w:r>
      <w:r w:rsidR="003D5F5A">
        <w:rPr>
          <w:spacing w:val="1"/>
        </w:rPr>
        <w:t xml:space="preserve"> </w:t>
      </w:r>
      <w:r w:rsidR="003D5F5A">
        <w:t>housing units in the census blocks</w:t>
      </w:r>
      <w:r w:rsidR="00E73281">
        <w:t xml:space="preserve"> (based on data from the 2020 </w:t>
      </w:r>
      <w:r w:rsidR="0092428C">
        <w:t>C</w:t>
      </w:r>
      <w:r w:rsidR="00E73281">
        <w:t>ensus)</w:t>
      </w:r>
      <w:r w:rsidR="003D5F5A">
        <w:t xml:space="preserve"> is large enough to support the sample to be selected within the</w:t>
      </w:r>
      <w:r w:rsidR="003D5F5A">
        <w:rPr>
          <w:spacing w:val="1"/>
        </w:rPr>
        <w:t xml:space="preserve"> </w:t>
      </w:r>
      <w:r w:rsidR="003D5F5A">
        <w:t xml:space="preserve">segment. </w:t>
      </w:r>
      <w:r>
        <w:t xml:space="preserve">The study team </w:t>
      </w:r>
      <w:r w:rsidR="003D5F5A">
        <w:t>will select a stratified probability</w:t>
      </w:r>
      <w:r w:rsidR="003D5F5A">
        <w:rPr>
          <w:spacing w:val="1"/>
        </w:rPr>
        <w:t xml:space="preserve"> </w:t>
      </w:r>
      <w:r w:rsidR="003D5F5A">
        <w:t>proportionate to size (PPS) sample of segments with core‐based statistical</w:t>
      </w:r>
      <w:r w:rsidR="0047544F">
        <w:t xml:space="preserve"> areas as the strata.</w:t>
      </w:r>
      <w:r w:rsidR="003D5F5A">
        <w:t xml:space="preserve"> </w:t>
      </w:r>
      <w:r w:rsidR="0092428C">
        <w:t xml:space="preserve">A total of </w:t>
      </w:r>
      <w:r w:rsidR="003D5F5A">
        <w:t xml:space="preserve">100 segments </w:t>
      </w:r>
      <w:r w:rsidR="0092428C">
        <w:t xml:space="preserve">will be selected </w:t>
      </w:r>
      <w:r w:rsidR="003D5F5A">
        <w:t>from the</w:t>
      </w:r>
      <w:r w:rsidR="003D5F5A">
        <w:rPr>
          <w:spacing w:val="1"/>
        </w:rPr>
        <w:t xml:space="preserve"> </w:t>
      </w:r>
      <w:r w:rsidR="003D5F5A">
        <w:t>area</w:t>
      </w:r>
      <w:r>
        <w:t xml:space="preserve"> </w:t>
      </w:r>
      <w:r w:rsidR="003D5F5A">
        <w:t>probability</w:t>
      </w:r>
      <w:r w:rsidR="003D5F5A">
        <w:rPr>
          <w:spacing w:val="-1"/>
        </w:rPr>
        <w:t xml:space="preserve"> </w:t>
      </w:r>
      <w:r w:rsidR="003D5F5A">
        <w:t>frame.</w:t>
      </w:r>
    </w:p>
    <w:p w:rsidR="00013514" w:rsidP="00013514" w:rsidRDefault="003D5F5A" w14:paraId="3B2A2B60" w14:textId="77777777">
      <w:pPr>
        <w:pStyle w:val="Body11ptCalibri-IPR"/>
        <w:spacing w:after="240"/>
      </w:pPr>
      <w:r>
        <w:t>The area</w:t>
      </w:r>
      <w:r w:rsidR="00FA01CB">
        <w:t xml:space="preserve"> </w:t>
      </w:r>
      <w:r>
        <w:t>probability sample will include a sample of 9,110 addresses selected within the 100 sampled</w:t>
      </w:r>
      <w:r>
        <w:rPr>
          <w:spacing w:val="1"/>
        </w:rPr>
        <w:t xml:space="preserve"> </w:t>
      </w:r>
      <w:r>
        <w:t>segments</w:t>
      </w:r>
      <w:r w:rsidR="0047544F">
        <w:t xml:space="preserve"> with equal probabilities within segments</w:t>
      </w:r>
      <w:r>
        <w:t>.</w:t>
      </w:r>
      <w:r w:rsidR="0047544F">
        <w:t xml:space="preserve"> The </w:t>
      </w:r>
      <w:r w:rsidR="00AD05E0">
        <w:t xml:space="preserve">target sampling rate to be applied to addresses within a </w:t>
      </w:r>
      <w:r w:rsidR="0047544F">
        <w:t>given segment will be computed by dividing the overall targ</w:t>
      </w:r>
      <w:r w:rsidR="00AD05E0">
        <w:t xml:space="preserve">et sampling rate (9,110 divided by the total number of housing units in Puerto Rico, based on the 2020 </w:t>
      </w:r>
      <w:r w:rsidR="0092428C">
        <w:t>C</w:t>
      </w:r>
      <w:r w:rsidR="00AD05E0">
        <w:t xml:space="preserve">ensus) by the probability of selection of the segment. </w:t>
      </w:r>
      <w:r w:rsidR="00FA01CB">
        <w:t>T</w:t>
      </w:r>
      <w:r w:rsidR="00AD05E0">
        <w:t xml:space="preserve">he sampling interval for the segment </w:t>
      </w:r>
      <w:r w:rsidR="00FA01CB">
        <w:t xml:space="preserve">will be obtained </w:t>
      </w:r>
      <w:r w:rsidR="00AD05E0">
        <w:t xml:space="preserve">by </w:t>
      </w:r>
      <w:r w:rsidR="00FA01CB">
        <w:t xml:space="preserve">rounding </w:t>
      </w:r>
      <w:r w:rsidR="00AD05E0">
        <w:t xml:space="preserve">the reciprocal of the target sampling rate to the nearest integer, </w:t>
      </w:r>
      <w:r w:rsidR="00AD05E0">
        <w:rPr>
          <w:i/>
        </w:rPr>
        <w:t>k</w:t>
      </w:r>
      <w:r w:rsidR="00AD05E0">
        <w:t xml:space="preserve">. </w:t>
      </w:r>
      <w:r>
        <w:t>Data collectors will have maps of each segment and instructions on how to move about the</w:t>
      </w:r>
      <w:r>
        <w:rPr>
          <w:spacing w:val="1"/>
        </w:rPr>
        <w:t xml:space="preserve"> </w:t>
      </w:r>
      <w:r>
        <w:t>segment,</w:t>
      </w:r>
      <w:r>
        <w:rPr>
          <w:spacing w:val="-3"/>
        </w:rPr>
        <w:t xml:space="preserve"> </w:t>
      </w:r>
      <w:r>
        <w:t>sampling</w:t>
      </w:r>
      <w:r>
        <w:rPr>
          <w:spacing w:val="-3"/>
        </w:rPr>
        <w:t xml:space="preserve"> </w:t>
      </w:r>
      <w:r>
        <w:t>every</w:t>
      </w:r>
      <w:r>
        <w:rPr>
          <w:spacing w:val="1"/>
        </w:rPr>
        <w:t xml:space="preserve"> </w:t>
      </w:r>
      <w:r>
        <w:rPr>
          <w:i/>
        </w:rPr>
        <w:t>k</w:t>
      </w:r>
      <w:r>
        <w:rPr>
          <w:i/>
          <w:vertAlign w:val="superscript"/>
        </w:rPr>
        <w:t>th</w:t>
      </w:r>
      <w:r>
        <w:rPr>
          <w:i/>
          <w:spacing w:val="-2"/>
        </w:rPr>
        <w:t xml:space="preserve"> </w:t>
      </w:r>
      <w:r>
        <w:t>residential</w:t>
      </w:r>
      <w:r>
        <w:rPr>
          <w:spacing w:val="-1"/>
        </w:rPr>
        <w:t xml:space="preserve"> </w:t>
      </w:r>
      <w:r>
        <w:t>unit</w:t>
      </w:r>
      <w:r>
        <w:rPr>
          <w:spacing w:val="-2"/>
        </w:rPr>
        <w:t xml:space="preserve"> </w:t>
      </w:r>
      <w:r>
        <w:t>into</w:t>
      </w:r>
      <w:r>
        <w:rPr>
          <w:spacing w:val="-2"/>
        </w:rPr>
        <w:t xml:space="preserve"> </w:t>
      </w:r>
      <w:r>
        <w:t>the</w:t>
      </w:r>
      <w:r>
        <w:rPr>
          <w:spacing w:val="-2"/>
        </w:rPr>
        <w:t xml:space="preserve"> </w:t>
      </w:r>
      <w:r>
        <w:t>sample.</w:t>
      </w:r>
      <w:r>
        <w:rPr>
          <w:spacing w:val="-2"/>
        </w:rPr>
        <w:t xml:space="preserve"> </w:t>
      </w:r>
    </w:p>
    <w:p w:rsidR="002C515E" w:rsidP="002C515E" w:rsidRDefault="003D5F5A" w14:paraId="7C742EF9" w14:textId="3E88E427">
      <w:pPr>
        <w:pStyle w:val="BodyText-IPR"/>
        <w:spacing w:line="480" w:lineRule="exact"/>
      </w:pPr>
      <w:r>
        <w:t>To achieve cost</w:t>
      </w:r>
      <w:r>
        <w:rPr>
          <w:spacing w:val="1"/>
        </w:rPr>
        <w:t xml:space="preserve"> </w:t>
      </w:r>
      <w:r>
        <w:t xml:space="preserve">efficiencies, </w:t>
      </w:r>
      <w:r w:rsidR="00FA01CB">
        <w:t>the team</w:t>
      </w:r>
      <w:r>
        <w:t xml:space="preserve"> plan</w:t>
      </w:r>
      <w:r w:rsidR="00FA01CB">
        <w:t>s</w:t>
      </w:r>
      <w:r>
        <w:t xml:space="preserve"> to use local data collectors, who will </w:t>
      </w:r>
      <w:r w:rsidR="002C515E">
        <w:t>knock on doors and attempt to talk with an adult member of each sampled household</w:t>
      </w:r>
      <w:r w:rsidRPr="00D229EA" w:rsidR="002C515E">
        <w:t xml:space="preserve"> </w:t>
      </w:r>
      <w:r w:rsidRPr="00ED1441" w:rsidR="002C515E">
        <w:t>about their selection into the study</w:t>
      </w:r>
      <w:r w:rsidR="002C515E">
        <w:t xml:space="preserve"> and the purpose of the study. If a member of the household answers, the data collector will hand that person a packet including a cover letter, paper survey, postage-paid return envelope, and a $5 prepaid </w:t>
      </w:r>
      <w:r w:rsidR="002C515E">
        <w:lastRenderedPageBreak/>
        <w:t xml:space="preserve">cash incentive (see Appendix </w:t>
      </w:r>
      <w:r w:rsidR="00B85E4A">
        <w:t>G</w:t>
      </w:r>
      <w:r w:rsidR="002C515E">
        <w:t>.</w:t>
      </w:r>
      <w:r w:rsidR="00EE34D0">
        <w:t>7</w:t>
      </w:r>
      <w:r w:rsidR="00B85E4A">
        <w:t>, G</w:t>
      </w:r>
      <w:r w:rsidR="002C515E">
        <w:t>.</w:t>
      </w:r>
      <w:r w:rsidR="00EE34D0">
        <w:t>8</w:t>
      </w:r>
      <w:r w:rsidR="00B85E4A">
        <w:t>, G.</w:t>
      </w:r>
      <w:r w:rsidR="00EE34D0">
        <w:t>18</w:t>
      </w:r>
      <w:r w:rsidR="00B85E4A">
        <w:t>, and G.</w:t>
      </w:r>
      <w:r w:rsidR="00EE34D0">
        <w:t>19</w:t>
      </w:r>
      <w:r w:rsidR="002C515E">
        <w:t>). If no one answers the door at a sampled household, the data collector will leave the packet at the doorstep.</w:t>
      </w:r>
    </w:p>
    <w:p w:rsidR="00417730" w:rsidP="002C515E" w:rsidRDefault="002C515E" w14:paraId="6DFE7B06" w14:textId="28277494">
      <w:pPr>
        <w:pStyle w:val="Body11ptCalibri-IPR"/>
        <w:spacing w:after="240"/>
      </w:pPr>
      <w:r>
        <w:t xml:space="preserve">When speaking with an adult household member, the field data collector will explain the four possible options to complete the survey and receive the $40 </w:t>
      </w:r>
      <w:r w:rsidR="00A8431B">
        <w:t xml:space="preserve">postparticipation </w:t>
      </w:r>
      <w:r>
        <w:t>incentive</w:t>
      </w:r>
      <w:r w:rsidR="002452FC">
        <w:t xml:space="preserve"> (paid by gift card)</w:t>
      </w:r>
      <w:r>
        <w:t>: (1) v</w:t>
      </w:r>
      <w:r w:rsidRPr="006B3226">
        <w:t>isit the study website and complete the web survey</w:t>
      </w:r>
      <w:r>
        <w:t>,</w:t>
      </w:r>
      <w:r w:rsidRPr="006B3226">
        <w:t xml:space="preserve"> </w:t>
      </w:r>
      <w:r>
        <w:t>(2) m</w:t>
      </w:r>
      <w:r w:rsidRPr="006B3226">
        <w:t>ail the completed survey t</w:t>
      </w:r>
      <w:r>
        <w:t>o the study team’s home office, (3) s</w:t>
      </w:r>
      <w:r w:rsidRPr="006B3226">
        <w:t>chedule a time for the data collector to return and pick up the survey</w:t>
      </w:r>
      <w:r>
        <w:t>,</w:t>
      </w:r>
      <w:r w:rsidRPr="006B3226">
        <w:t xml:space="preserve"> </w:t>
      </w:r>
      <w:r>
        <w:t>or (4) s</w:t>
      </w:r>
      <w:r w:rsidRPr="006B3226">
        <w:t xml:space="preserve">chedule a time to complete the </w:t>
      </w:r>
      <w:r>
        <w:t>survey</w:t>
      </w:r>
      <w:r w:rsidRPr="006B3226">
        <w:t xml:space="preserve"> by phone</w:t>
      </w:r>
      <w:r w:rsidR="00417730">
        <w:t>.</w:t>
      </w:r>
    </w:p>
    <w:p w:rsidR="005F44AE" w:rsidRDefault="00E06665" w14:paraId="09252589" w14:textId="77777777">
      <w:pPr>
        <w:pStyle w:val="Body11ptCalibri-IPR"/>
        <w:rPr>
          <w:i/>
        </w:rPr>
      </w:pPr>
      <w:r w:rsidRPr="00EF57BE">
        <w:rPr>
          <w:b/>
          <w:bCs/>
          <w:i/>
        </w:rPr>
        <w:t>Reserve sample</w:t>
      </w:r>
    </w:p>
    <w:p w:rsidR="00C175BE" w:rsidP="00013514" w:rsidRDefault="00E06665" w14:paraId="23E65899" w14:textId="07EEBDD8">
      <w:pPr>
        <w:pStyle w:val="Body11ptCalibri-IPR"/>
        <w:spacing w:after="240"/>
      </w:pPr>
      <w:r>
        <w:t xml:space="preserve">In addition to the primary sample described above, </w:t>
      </w:r>
      <w:r w:rsidR="00FA01CB">
        <w:t>the study team</w:t>
      </w:r>
      <w:r>
        <w:t xml:space="preserve"> will select a reserve sample </w:t>
      </w:r>
      <w:r w:rsidR="00AD05E0">
        <w:t xml:space="preserve">that is 5 percent of the primary sample </w:t>
      </w:r>
      <w:r w:rsidR="00EB1239">
        <w:t xml:space="preserve">size </w:t>
      </w:r>
      <w:r>
        <w:t>and will be prepared</w:t>
      </w:r>
      <w:r w:rsidR="00AD05E0">
        <w:t xml:space="preserve"> </w:t>
      </w:r>
      <w:r>
        <w:t xml:space="preserve">to release it </w:t>
      </w:r>
      <w:r w:rsidR="00FA01CB">
        <w:t>if</w:t>
      </w:r>
      <w:r>
        <w:t xml:space="preserve"> the sample yield falls substantially short of expectations. For the area</w:t>
      </w:r>
      <w:r>
        <w:rPr>
          <w:spacing w:val="1"/>
        </w:rPr>
        <w:t xml:space="preserve"> </w:t>
      </w:r>
      <w:r>
        <w:t>probability</w:t>
      </w:r>
      <w:r>
        <w:rPr>
          <w:spacing w:val="-4"/>
        </w:rPr>
        <w:t xml:space="preserve"> </w:t>
      </w:r>
      <w:r>
        <w:t>sample,</w:t>
      </w:r>
      <w:r>
        <w:rPr>
          <w:spacing w:val="-2"/>
        </w:rPr>
        <w:t xml:space="preserve"> </w:t>
      </w:r>
      <w:r>
        <w:t>the</w:t>
      </w:r>
      <w:r>
        <w:rPr>
          <w:spacing w:val="-3"/>
        </w:rPr>
        <w:t xml:space="preserve"> </w:t>
      </w:r>
      <w:r>
        <w:t>reserve</w:t>
      </w:r>
      <w:r>
        <w:rPr>
          <w:spacing w:val="-2"/>
        </w:rPr>
        <w:t xml:space="preserve"> </w:t>
      </w:r>
      <w:r>
        <w:t>sample</w:t>
      </w:r>
      <w:r>
        <w:rPr>
          <w:spacing w:val="-1"/>
        </w:rPr>
        <w:t xml:space="preserve"> </w:t>
      </w:r>
      <w:r>
        <w:t>will</w:t>
      </w:r>
      <w:r>
        <w:rPr>
          <w:spacing w:val="-3"/>
        </w:rPr>
        <w:t xml:space="preserve"> </w:t>
      </w:r>
      <w:r>
        <w:t>be</w:t>
      </w:r>
      <w:r w:rsidR="00AD05E0">
        <w:t xml:space="preserve"> a</w:t>
      </w:r>
      <w:r>
        <w:t>n</w:t>
      </w:r>
      <w:r>
        <w:rPr>
          <w:spacing w:val="-2"/>
        </w:rPr>
        <w:t xml:space="preserve"> </w:t>
      </w:r>
      <w:r>
        <w:t>additional</w:t>
      </w:r>
      <w:r>
        <w:rPr>
          <w:spacing w:val="-4"/>
        </w:rPr>
        <w:t xml:space="preserve"> </w:t>
      </w:r>
      <w:r w:rsidR="00AD05E0">
        <w:t xml:space="preserve">5 </w:t>
      </w:r>
      <w:r>
        <w:t>segments that are expected to yield an additional 456 sampled addresses. For the NAP list sample, the</w:t>
      </w:r>
      <w:r>
        <w:rPr>
          <w:spacing w:val="1"/>
        </w:rPr>
        <w:t xml:space="preserve"> </w:t>
      </w:r>
      <w:r>
        <w:t>reserve sample will be an additional 159 sampled</w:t>
      </w:r>
      <w:r>
        <w:rPr>
          <w:spacing w:val="1"/>
        </w:rPr>
        <w:t xml:space="preserve"> </w:t>
      </w:r>
      <w:r>
        <w:t xml:space="preserve">households. </w:t>
      </w:r>
      <w:r w:rsidR="00FA01CB">
        <w:t>The study team</w:t>
      </w:r>
      <w:r w:rsidR="005A241B">
        <w:t xml:space="preserve"> will monitor t</w:t>
      </w:r>
      <w:r>
        <w:t>he sample and numbers of completed surveys to determine whether</w:t>
      </w:r>
      <w:r>
        <w:rPr>
          <w:spacing w:val="1"/>
        </w:rPr>
        <w:t xml:space="preserve"> </w:t>
      </w:r>
      <w:r>
        <w:t>release</w:t>
      </w:r>
      <w:r>
        <w:rPr>
          <w:spacing w:val="-1"/>
        </w:rPr>
        <w:t xml:space="preserve"> </w:t>
      </w:r>
      <w:r>
        <w:t>of</w:t>
      </w:r>
      <w:r>
        <w:rPr>
          <w:spacing w:val="-1"/>
        </w:rPr>
        <w:t xml:space="preserve"> </w:t>
      </w:r>
      <w:r>
        <w:t>any reserve</w:t>
      </w:r>
      <w:r>
        <w:rPr>
          <w:spacing w:val="-1"/>
        </w:rPr>
        <w:t xml:space="preserve"> </w:t>
      </w:r>
      <w:r>
        <w:t>sample is</w:t>
      </w:r>
      <w:r>
        <w:rPr>
          <w:spacing w:val="-3"/>
        </w:rPr>
        <w:t xml:space="preserve"> </w:t>
      </w:r>
      <w:r>
        <w:t>needed</w:t>
      </w:r>
      <w:r>
        <w:rPr>
          <w:spacing w:val="-1"/>
        </w:rPr>
        <w:t xml:space="preserve"> </w:t>
      </w:r>
      <w:r>
        <w:t>during data</w:t>
      </w:r>
      <w:r>
        <w:rPr>
          <w:spacing w:val="-2"/>
        </w:rPr>
        <w:t xml:space="preserve"> </w:t>
      </w:r>
      <w:r>
        <w:t>collection for</w:t>
      </w:r>
      <w:r>
        <w:rPr>
          <w:spacing w:val="-1"/>
        </w:rPr>
        <w:t xml:space="preserve"> </w:t>
      </w:r>
      <w:r>
        <w:t>the</w:t>
      </w:r>
      <w:r>
        <w:rPr>
          <w:spacing w:val="-1"/>
        </w:rPr>
        <w:t xml:space="preserve"> </w:t>
      </w:r>
      <w:r>
        <w:t>baseline</w:t>
      </w:r>
      <w:r>
        <w:rPr>
          <w:spacing w:val="-1"/>
        </w:rPr>
        <w:t xml:space="preserve"> </w:t>
      </w:r>
      <w:r>
        <w:t>study.</w:t>
      </w:r>
    </w:p>
    <w:p w:rsidR="009957A8" w:rsidP="009957A8" w:rsidRDefault="009957A8" w14:paraId="2B8FF663" w14:textId="77777777">
      <w:pPr>
        <w:pStyle w:val="Body11ptCalibri-IPR"/>
        <w:keepNext/>
      </w:pPr>
      <w:r>
        <w:rPr>
          <w:b/>
          <w:bCs/>
          <w:i/>
          <w:iCs/>
        </w:rPr>
        <w:t>Quality control procedures for survey data collection</w:t>
      </w:r>
    </w:p>
    <w:p w:rsidR="009957A8" w:rsidP="009957A8" w:rsidRDefault="009957A8" w14:paraId="4CEC026A" w14:textId="77777777">
      <w:pPr>
        <w:spacing w:after="240" w:line="480" w:lineRule="exact"/>
        <w:rPr>
          <w:rFonts w:ascii="Calibri" w:hAnsi="Calibri"/>
          <w:sz w:val="22"/>
        </w:rPr>
      </w:pPr>
      <w:r>
        <w:rPr>
          <w:rFonts w:ascii="Calibri" w:hAnsi="Calibri"/>
          <w:sz w:val="22"/>
        </w:rPr>
        <w:t xml:space="preserve">The study team will incorporate quality control (QC) procedures across all survey data collection activities for the duration of the field period. The study team will develop a Study Management System to provide complete data collection and management to support all survey activities and follow a case throughout its lifecycle.  </w:t>
      </w:r>
    </w:p>
    <w:p w:rsidRPr="00781262" w:rsidR="009957A8" w:rsidP="00960E81" w:rsidRDefault="009957A8" w14:paraId="15257D2B" w14:textId="77777777">
      <w:pPr>
        <w:spacing w:after="360" w:line="480" w:lineRule="exact"/>
      </w:pPr>
      <w:r>
        <w:rPr>
          <w:rFonts w:ascii="Calibri" w:hAnsi="Calibri"/>
          <w:sz w:val="22"/>
        </w:rPr>
        <w:t xml:space="preserve">The team responsible for hardcopy surveys will carefully inspect the contents of the survey packages before they are mailed. QC procedures for the field staff will involve tracking their location, verifying the amount of time spent on each block, and assessing the contact attempt recordings. QC procedures for returned paper surveys will involve tracking and comparing counts at all stages of processing to ensure </w:t>
      </w:r>
      <w:r>
        <w:rPr>
          <w:rFonts w:ascii="Calibri" w:hAnsi="Calibri"/>
          <w:sz w:val="22"/>
        </w:rPr>
        <w:lastRenderedPageBreak/>
        <w:t xml:space="preserve">every mailed survey has a status code. The study team will implement standard visual inspection protocols to verify the accuracy of the data-capturing process for the Teleform paper surveys. QC procedures for the telephone surveys will involve listening to 10 percent of the survey administration (real time or recorded) and providing feedback to the interviewers to improve interviewing techniques (if needed) for gaining cooperation, asking questions, or recording responses. The study team will develop a standardized QC checklist for team supervisors to review the telephone administration of the survey. Given the multimode data collection approach, the study team will harmonize the data across the modes prior to analyses. Once harmonized, the team will use descriptive statistics to identify and address outliers and response rates for key survey items. </w:t>
      </w:r>
    </w:p>
    <w:p w:rsidRPr="00B62368" w:rsidR="003E223D" w:rsidP="003E223D" w:rsidRDefault="006E04B2" w14:paraId="285DD66E" w14:textId="331E2DFC">
      <w:pPr>
        <w:pStyle w:val="Heading4NoLetter-IPR"/>
        <w:spacing w:before="240" w:after="120"/>
      </w:pPr>
      <w:r>
        <w:t>B.2.2</w:t>
      </w:r>
      <w:r w:rsidR="00122326">
        <w:t>.</w:t>
      </w:r>
      <w:r>
        <w:tab/>
      </w:r>
      <w:r w:rsidR="003E223D">
        <w:t>Estimation Procedure</w:t>
      </w:r>
      <w:r w:rsidR="00C669E6">
        <w:t xml:space="preserve"> for Household Survey</w:t>
      </w:r>
    </w:p>
    <w:p w:rsidR="005F44AE" w:rsidP="00EE06CB" w:rsidRDefault="008E48B9" w14:paraId="1B4E9416" w14:textId="77777777">
      <w:pPr>
        <w:pStyle w:val="Body11ptCalibri-IPR"/>
        <w:rPr>
          <w:i/>
        </w:rPr>
      </w:pPr>
      <w:r w:rsidRPr="00EF57BE">
        <w:rPr>
          <w:b/>
          <w:bCs/>
          <w:i/>
        </w:rPr>
        <w:t>Overview</w:t>
      </w:r>
    </w:p>
    <w:p w:rsidR="00013514" w:rsidP="00013514" w:rsidRDefault="00FA01CB" w14:paraId="2236639A" w14:textId="77777777">
      <w:pPr>
        <w:pStyle w:val="Body11ptCalibri-IPR"/>
        <w:spacing w:after="240"/>
      </w:pPr>
      <w:r>
        <w:t>The study team</w:t>
      </w:r>
      <w:r w:rsidR="005A241B">
        <w:t xml:space="preserve"> will compute s</w:t>
      </w:r>
      <w:r w:rsidR="002F2551">
        <w:t>urvey weights to account for the differential probabilities of selection of households from the two sampling frames, subsampling for nonresponse follow-up, differential nonresponse, and overlap between the two samples.</w:t>
      </w:r>
    </w:p>
    <w:p w:rsidR="00013514" w:rsidP="00013514" w:rsidRDefault="00FA01CB" w14:paraId="4DC63507" w14:textId="77777777">
      <w:pPr>
        <w:pStyle w:val="Body11ptCalibri-IPR"/>
        <w:spacing w:after="240"/>
      </w:pPr>
      <w:r>
        <w:t xml:space="preserve">The team </w:t>
      </w:r>
      <w:r w:rsidR="00E06665">
        <w:t xml:space="preserve">will use a classical design‐based approach, </w:t>
      </w:r>
      <w:r w:rsidR="006E04B2">
        <w:t xml:space="preserve">beginning </w:t>
      </w:r>
      <w:r w:rsidR="00E06665">
        <w:t xml:space="preserve">with </w:t>
      </w:r>
      <w:r w:rsidR="006E04B2">
        <w:t>b</w:t>
      </w:r>
      <w:r w:rsidR="00E06665">
        <w:t>ase weights</w:t>
      </w:r>
      <w:r w:rsidR="00E06665">
        <w:rPr>
          <w:spacing w:val="1"/>
        </w:rPr>
        <w:t xml:space="preserve"> </w:t>
      </w:r>
      <w:r w:rsidR="00E06665">
        <w:t>constructed as inverses of the probabilities of selection. In the perfect data collection context (e.g., no</w:t>
      </w:r>
      <w:r w:rsidR="00E06665">
        <w:rPr>
          <w:spacing w:val="1"/>
        </w:rPr>
        <w:t xml:space="preserve"> </w:t>
      </w:r>
      <w:r w:rsidR="00E06665">
        <w:t>nonresponse, no undercoverage), this scheme produces unbiased estimates and does not require any</w:t>
      </w:r>
      <w:r w:rsidR="00E06665">
        <w:rPr>
          <w:spacing w:val="1"/>
        </w:rPr>
        <w:t xml:space="preserve"> </w:t>
      </w:r>
      <w:r w:rsidR="00E06665">
        <w:t>model assumptions. However, the base weights must be modified to account for undercoverage and</w:t>
      </w:r>
      <w:r w:rsidR="00E06665">
        <w:rPr>
          <w:spacing w:val="1"/>
        </w:rPr>
        <w:t xml:space="preserve"> </w:t>
      </w:r>
      <w:r w:rsidR="00E06665">
        <w:t>nonresponse to reduce bias. The overlap in the two sampling frames also necessitates compositing of</w:t>
      </w:r>
      <w:r w:rsidR="00E06665">
        <w:rPr>
          <w:spacing w:val="1"/>
        </w:rPr>
        <w:t xml:space="preserve"> </w:t>
      </w:r>
      <w:r w:rsidR="00E06665">
        <w:t xml:space="preserve">their weights to avoid overrepresentation of households in the overlap. </w:t>
      </w:r>
      <w:r>
        <w:t xml:space="preserve">The study team </w:t>
      </w:r>
      <w:r w:rsidR="00E06665">
        <w:t>will calculate</w:t>
      </w:r>
      <w:r w:rsidR="00E06665">
        <w:rPr>
          <w:spacing w:val="1"/>
        </w:rPr>
        <w:t xml:space="preserve"> </w:t>
      </w:r>
      <w:r w:rsidR="00E06665">
        <w:t>the household base weights and associated adjustments (e.g., unknown eligibility adjustments,</w:t>
      </w:r>
      <w:r w:rsidR="00E06665">
        <w:rPr>
          <w:spacing w:val="1"/>
        </w:rPr>
        <w:t xml:space="preserve"> </w:t>
      </w:r>
      <w:r w:rsidR="00E06665">
        <w:t>nonresponse adjustments) separately for the NAP list sample and the area</w:t>
      </w:r>
      <w:r w:rsidR="006E04B2">
        <w:t xml:space="preserve"> </w:t>
      </w:r>
      <w:r w:rsidR="00E06665">
        <w:t>probability sample because</w:t>
      </w:r>
      <w:r w:rsidR="00E06665">
        <w:rPr>
          <w:spacing w:val="1"/>
        </w:rPr>
        <w:t xml:space="preserve"> </w:t>
      </w:r>
      <w:r w:rsidR="00E06665">
        <w:t>the samples will be selected from separate frames with differential sampling rates</w:t>
      </w:r>
      <w:r>
        <w:t>,</w:t>
      </w:r>
      <w:r w:rsidR="00E06665">
        <w:t xml:space="preserve"> and differences in</w:t>
      </w:r>
      <w:r w:rsidR="00E06665">
        <w:rPr>
          <w:spacing w:val="1"/>
        </w:rPr>
        <w:t xml:space="preserve"> </w:t>
      </w:r>
      <w:r w:rsidR="00E06665">
        <w:t>data collection procedures are expected to result in different response propensities among the two</w:t>
      </w:r>
      <w:r w:rsidR="00E06665">
        <w:rPr>
          <w:spacing w:val="1"/>
        </w:rPr>
        <w:t xml:space="preserve"> </w:t>
      </w:r>
      <w:r w:rsidR="00E06665">
        <w:lastRenderedPageBreak/>
        <w:t>samples.</w:t>
      </w:r>
      <w:r w:rsidR="00E06665">
        <w:rPr>
          <w:spacing w:val="-5"/>
        </w:rPr>
        <w:t xml:space="preserve"> </w:t>
      </w:r>
      <w:r w:rsidR="00E06665">
        <w:t>The</w:t>
      </w:r>
      <w:r w:rsidR="00E06665">
        <w:rPr>
          <w:spacing w:val="-4"/>
        </w:rPr>
        <w:t xml:space="preserve"> </w:t>
      </w:r>
      <w:r w:rsidR="00E06665">
        <w:t>weighting</w:t>
      </w:r>
      <w:r w:rsidR="00E06665">
        <w:rPr>
          <w:spacing w:val="-4"/>
        </w:rPr>
        <w:t xml:space="preserve"> </w:t>
      </w:r>
      <w:r w:rsidR="00E06665">
        <w:t>steps</w:t>
      </w:r>
      <w:r w:rsidR="00E06665">
        <w:rPr>
          <w:spacing w:val="-4"/>
        </w:rPr>
        <w:t xml:space="preserve"> </w:t>
      </w:r>
      <w:r w:rsidR="00E06665">
        <w:t>are</w:t>
      </w:r>
      <w:r w:rsidR="00E06665">
        <w:rPr>
          <w:spacing w:val="-4"/>
        </w:rPr>
        <w:t xml:space="preserve"> </w:t>
      </w:r>
      <w:r w:rsidR="00E06665">
        <w:t>discussed</w:t>
      </w:r>
      <w:r w:rsidR="00E06665">
        <w:rPr>
          <w:spacing w:val="-4"/>
        </w:rPr>
        <w:t xml:space="preserve"> </w:t>
      </w:r>
      <w:r w:rsidR="00E06665">
        <w:t>below,</w:t>
      </w:r>
      <w:r w:rsidR="00E06665">
        <w:rPr>
          <w:spacing w:val="-4"/>
        </w:rPr>
        <w:t xml:space="preserve"> </w:t>
      </w:r>
      <w:r w:rsidR="00E06665">
        <w:t>followed</w:t>
      </w:r>
      <w:r w:rsidR="00E06665">
        <w:rPr>
          <w:spacing w:val="-4"/>
        </w:rPr>
        <w:t xml:space="preserve"> </w:t>
      </w:r>
      <w:r w:rsidR="00E06665">
        <w:t>by</w:t>
      </w:r>
      <w:r w:rsidR="00E06665">
        <w:rPr>
          <w:spacing w:val="-5"/>
        </w:rPr>
        <w:t xml:space="preserve"> </w:t>
      </w:r>
      <w:r w:rsidR="00E06665">
        <w:t>a</w:t>
      </w:r>
      <w:r w:rsidR="00E06665">
        <w:rPr>
          <w:spacing w:val="3"/>
        </w:rPr>
        <w:t xml:space="preserve"> </w:t>
      </w:r>
      <w:r w:rsidR="00E06665">
        <w:t>review</w:t>
      </w:r>
      <w:r w:rsidR="00E06665">
        <w:rPr>
          <w:spacing w:val="-4"/>
        </w:rPr>
        <w:t xml:space="preserve"> </w:t>
      </w:r>
      <w:r w:rsidR="00E06665">
        <w:t>of</w:t>
      </w:r>
      <w:r w:rsidR="00E06665">
        <w:rPr>
          <w:spacing w:val="-4"/>
        </w:rPr>
        <w:t xml:space="preserve"> </w:t>
      </w:r>
      <w:r w:rsidR="00E06665">
        <w:t>the</w:t>
      </w:r>
      <w:r w:rsidR="00E06665">
        <w:rPr>
          <w:spacing w:val="-5"/>
        </w:rPr>
        <w:t xml:space="preserve"> </w:t>
      </w:r>
      <w:r w:rsidR="00E06665">
        <w:t>specifics</w:t>
      </w:r>
      <w:r w:rsidR="00E06665">
        <w:rPr>
          <w:spacing w:val="-4"/>
        </w:rPr>
        <w:t xml:space="preserve"> </w:t>
      </w:r>
      <w:r w:rsidR="00E06665">
        <w:t>of</w:t>
      </w:r>
      <w:r w:rsidR="00E06665">
        <w:rPr>
          <w:spacing w:val="-4"/>
        </w:rPr>
        <w:t xml:space="preserve"> </w:t>
      </w:r>
      <w:r w:rsidR="00E06665">
        <w:t>the</w:t>
      </w:r>
      <w:r w:rsidR="00E06665">
        <w:rPr>
          <w:spacing w:val="-4"/>
        </w:rPr>
        <w:t xml:space="preserve"> </w:t>
      </w:r>
      <w:r w:rsidR="00E06665">
        <w:t>weighting</w:t>
      </w:r>
      <w:r w:rsidR="00E06665">
        <w:rPr>
          <w:spacing w:val="1"/>
        </w:rPr>
        <w:t xml:space="preserve"> </w:t>
      </w:r>
      <w:r w:rsidR="00E06665">
        <w:t>steps</w:t>
      </w:r>
      <w:r w:rsidR="00E06665">
        <w:rPr>
          <w:spacing w:val="-2"/>
        </w:rPr>
        <w:t xml:space="preserve"> </w:t>
      </w:r>
      <w:r w:rsidR="00E06665">
        <w:t>as</w:t>
      </w:r>
      <w:r w:rsidR="00E06665">
        <w:rPr>
          <w:spacing w:val="-1"/>
        </w:rPr>
        <w:t xml:space="preserve"> </w:t>
      </w:r>
      <w:r w:rsidR="00E06665">
        <w:t>they relate to</w:t>
      </w:r>
      <w:r w:rsidR="00E06665">
        <w:rPr>
          <w:spacing w:val="1"/>
        </w:rPr>
        <w:t xml:space="preserve"> </w:t>
      </w:r>
      <w:r w:rsidR="00E06665">
        <w:t>each</w:t>
      </w:r>
      <w:r w:rsidR="00E06665">
        <w:rPr>
          <w:spacing w:val="-1"/>
        </w:rPr>
        <w:t xml:space="preserve"> </w:t>
      </w:r>
      <w:r w:rsidR="00E06665">
        <w:t>sampling</w:t>
      </w:r>
      <w:r w:rsidR="00E06665">
        <w:rPr>
          <w:spacing w:val="-1"/>
        </w:rPr>
        <w:t xml:space="preserve"> </w:t>
      </w:r>
      <w:r w:rsidR="00E06665">
        <w:t>frame.</w:t>
      </w:r>
    </w:p>
    <w:p w:rsidR="00013514" w:rsidP="00013514" w:rsidRDefault="00FB3E1E" w14:paraId="5268C3A7" w14:textId="77777777">
      <w:pPr>
        <w:pStyle w:val="Body11ptCalibri-IPR"/>
        <w:spacing w:after="240"/>
      </w:pPr>
      <w:r>
        <w:t>T</w:t>
      </w:r>
      <w:r w:rsidR="00E06665">
        <w:t xml:space="preserve">he base weight </w:t>
      </w:r>
      <w:r>
        <w:t xml:space="preserve">will be adjusted </w:t>
      </w:r>
      <w:r w:rsidR="00E06665">
        <w:t>for unknown eligibility status</w:t>
      </w:r>
      <w:r w:rsidR="006E04B2">
        <w:t xml:space="preserve"> </w:t>
      </w:r>
      <w:r w:rsidR="00E06665">
        <w:t>and</w:t>
      </w:r>
      <w:r w:rsidR="00E06665">
        <w:rPr>
          <w:spacing w:val="-4"/>
        </w:rPr>
        <w:t xml:space="preserve"> </w:t>
      </w:r>
      <w:r w:rsidR="00E06665">
        <w:t>nonresponse.</w:t>
      </w:r>
      <w:r w:rsidR="00E06665">
        <w:rPr>
          <w:spacing w:val="-4"/>
        </w:rPr>
        <w:t xml:space="preserve"> </w:t>
      </w:r>
      <w:r>
        <w:t>The study team</w:t>
      </w:r>
      <w:r w:rsidR="00E06665">
        <w:rPr>
          <w:spacing w:val="-4"/>
        </w:rPr>
        <w:t xml:space="preserve"> </w:t>
      </w:r>
      <w:r w:rsidR="00E06665">
        <w:t>will</w:t>
      </w:r>
      <w:r w:rsidR="00E06665">
        <w:rPr>
          <w:spacing w:val="-1"/>
        </w:rPr>
        <w:t xml:space="preserve"> </w:t>
      </w:r>
      <w:r w:rsidR="00E06665">
        <w:t>use</w:t>
      </w:r>
      <w:r w:rsidR="00E06665">
        <w:rPr>
          <w:spacing w:val="-4"/>
        </w:rPr>
        <w:t xml:space="preserve"> </w:t>
      </w:r>
      <w:r w:rsidR="00E06665">
        <w:t>the</w:t>
      </w:r>
      <w:r w:rsidR="00E06665">
        <w:rPr>
          <w:spacing w:val="-4"/>
        </w:rPr>
        <w:t xml:space="preserve"> </w:t>
      </w:r>
      <w:r w:rsidR="00E06665">
        <w:t>weighting‐class</w:t>
      </w:r>
      <w:r w:rsidR="00E06665">
        <w:rPr>
          <w:spacing w:val="-3"/>
        </w:rPr>
        <w:t xml:space="preserve"> </w:t>
      </w:r>
      <w:r w:rsidR="00E06665">
        <w:t>method</w:t>
      </w:r>
      <w:r>
        <w:rPr>
          <w:rStyle w:val="FootnoteReference"/>
        </w:rPr>
        <w:footnoteReference w:id="6"/>
      </w:r>
      <w:r w:rsidR="005A241B">
        <w:t xml:space="preserve"> for</w:t>
      </w:r>
      <w:r w:rsidR="00E06665">
        <w:t xml:space="preserve"> the unknown</w:t>
      </w:r>
      <w:r w:rsidR="006E04B2">
        <w:t xml:space="preserve"> </w:t>
      </w:r>
      <w:r w:rsidR="00E06665">
        <w:t>eligibility and nonresponse a</w:t>
      </w:r>
      <w:r w:rsidR="006E04B2">
        <w:t xml:space="preserve">djustments. </w:t>
      </w:r>
      <w:r>
        <w:t xml:space="preserve">The team </w:t>
      </w:r>
      <w:r w:rsidR="005A241B">
        <w:t>will form w</w:t>
      </w:r>
      <w:r w:rsidR="00E06665">
        <w:t>eighting classes by</w:t>
      </w:r>
      <w:r w:rsidR="00E06665">
        <w:rPr>
          <w:spacing w:val="1"/>
        </w:rPr>
        <w:t xml:space="preserve"> </w:t>
      </w:r>
      <w:r w:rsidR="00E06665">
        <w:t>identifying variables correlated with the propensity to respond as determined via a classification</w:t>
      </w:r>
      <w:r w:rsidR="006E04B2">
        <w:t xml:space="preserve"> tree</w:t>
      </w:r>
      <w:r w:rsidR="00E06665">
        <w:t xml:space="preserve"> algorithm. Variables used for creating weighting‐class cells must be available for all</w:t>
      </w:r>
      <w:r w:rsidR="00E06665">
        <w:rPr>
          <w:spacing w:val="1"/>
        </w:rPr>
        <w:t xml:space="preserve"> </w:t>
      </w:r>
      <w:r w:rsidR="00E06665">
        <w:t>sampled cases regardless of their response status. Therefore, variables available on the sampling frame</w:t>
      </w:r>
      <w:r w:rsidR="00E06665">
        <w:rPr>
          <w:spacing w:val="1"/>
        </w:rPr>
        <w:t xml:space="preserve"> </w:t>
      </w:r>
      <w:r w:rsidR="00E06665">
        <w:t>are candidates for forming weighting‐class cells.</w:t>
      </w:r>
    </w:p>
    <w:p w:rsidR="00013514" w:rsidP="00013514" w:rsidRDefault="00BB4565" w14:paraId="06B53ED4" w14:textId="77777777">
      <w:pPr>
        <w:pStyle w:val="Body11ptCalibri-IPR"/>
        <w:spacing w:after="240"/>
      </w:pPr>
      <w:r w:rsidRPr="00013514">
        <w:rPr>
          <w:b/>
          <w:bCs/>
          <w:i/>
        </w:rPr>
        <w:t xml:space="preserve">Base weights. </w:t>
      </w:r>
      <w:r>
        <w:t>The</w:t>
      </w:r>
      <w:r>
        <w:rPr>
          <w:spacing w:val="-3"/>
        </w:rPr>
        <w:t xml:space="preserve"> </w:t>
      </w:r>
      <w:r>
        <w:t>base</w:t>
      </w:r>
      <w:r>
        <w:rPr>
          <w:spacing w:val="-3"/>
        </w:rPr>
        <w:t xml:space="preserve"> </w:t>
      </w:r>
      <w:r>
        <w:t>weight</w:t>
      </w:r>
      <w:r>
        <w:rPr>
          <w:spacing w:val="-2"/>
        </w:rPr>
        <w:t xml:space="preserve"> </w:t>
      </w:r>
      <w:r>
        <w:t>is</w:t>
      </w:r>
      <w:r>
        <w:rPr>
          <w:spacing w:val="-3"/>
        </w:rPr>
        <w:t xml:space="preserve"> </w:t>
      </w:r>
      <w:r>
        <w:t>the</w:t>
      </w:r>
      <w:r>
        <w:rPr>
          <w:spacing w:val="-3"/>
        </w:rPr>
        <w:t xml:space="preserve"> </w:t>
      </w:r>
      <w:r>
        <w:t>inverse</w:t>
      </w:r>
      <w:r>
        <w:rPr>
          <w:spacing w:val="-2"/>
        </w:rPr>
        <w:t xml:space="preserve"> </w:t>
      </w:r>
      <w:r>
        <w:t>of</w:t>
      </w:r>
      <w:r>
        <w:rPr>
          <w:spacing w:val="-3"/>
        </w:rPr>
        <w:t xml:space="preserve"> </w:t>
      </w:r>
      <w:r>
        <w:t>the</w:t>
      </w:r>
      <w:r>
        <w:rPr>
          <w:spacing w:val="-2"/>
        </w:rPr>
        <w:t xml:space="preserve"> </w:t>
      </w:r>
      <w:r>
        <w:t>probability</w:t>
      </w:r>
      <w:r>
        <w:rPr>
          <w:spacing w:val="-3"/>
        </w:rPr>
        <w:t xml:space="preserve"> </w:t>
      </w:r>
      <w:r>
        <w:t>of</w:t>
      </w:r>
      <w:r>
        <w:rPr>
          <w:spacing w:val="-2"/>
        </w:rPr>
        <w:t xml:space="preserve"> </w:t>
      </w:r>
      <w:r>
        <w:t>selection. For</w:t>
      </w:r>
      <w:r>
        <w:rPr>
          <w:spacing w:val="-4"/>
        </w:rPr>
        <w:t xml:space="preserve"> </w:t>
      </w:r>
      <w:r w:rsidRPr="00BA0DAC">
        <w:t>households</w:t>
      </w:r>
      <w:r w:rsidRPr="00BA0DAC">
        <w:rPr>
          <w:spacing w:val="-4"/>
        </w:rPr>
        <w:t xml:space="preserve"> </w:t>
      </w:r>
      <w:r w:rsidRPr="00BA0DAC">
        <w:t>sampled</w:t>
      </w:r>
      <w:r w:rsidRPr="00BA0DAC">
        <w:rPr>
          <w:spacing w:val="-4"/>
        </w:rPr>
        <w:t xml:space="preserve"> </w:t>
      </w:r>
      <w:r w:rsidRPr="00BA0DAC">
        <w:t>in</w:t>
      </w:r>
      <w:r w:rsidRPr="00BA0DAC">
        <w:rPr>
          <w:spacing w:val="-4"/>
        </w:rPr>
        <w:t xml:space="preserve"> </w:t>
      </w:r>
      <w:r w:rsidRPr="00BA0DAC">
        <w:t>the</w:t>
      </w:r>
      <w:r w:rsidRPr="00BA0DAC">
        <w:rPr>
          <w:spacing w:val="-3"/>
        </w:rPr>
        <w:t xml:space="preserve"> </w:t>
      </w:r>
      <w:r w:rsidRPr="00BA0DAC">
        <w:t>area</w:t>
      </w:r>
      <w:r w:rsidR="00FB3E1E">
        <w:t xml:space="preserve"> </w:t>
      </w:r>
      <w:r w:rsidRPr="00BA0DAC">
        <w:t>probability</w:t>
      </w:r>
      <w:r w:rsidRPr="00BA0DAC">
        <w:rPr>
          <w:spacing w:val="-4"/>
        </w:rPr>
        <w:t xml:space="preserve"> </w:t>
      </w:r>
      <w:r w:rsidRPr="00BA0DAC">
        <w:t>frame,</w:t>
      </w:r>
      <w:r w:rsidRPr="00BA0DAC">
        <w:rPr>
          <w:spacing w:val="-3"/>
        </w:rPr>
        <w:t xml:space="preserve"> </w:t>
      </w:r>
      <w:r w:rsidRPr="00BA0DAC">
        <w:t>the</w:t>
      </w:r>
      <w:r w:rsidRPr="00BA0DAC">
        <w:rPr>
          <w:spacing w:val="-4"/>
        </w:rPr>
        <w:t xml:space="preserve"> </w:t>
      </w:r>
      <w:r w:rsidRPr="00BA0DAC">
        <w:t>base</w:t>
      </w:r>
      <w:r w:rsidRPr="00BA0DAC">
        <w:rPr>
          <w:spacing w:val="-3"/>
        </w:rPr>
        <w:t xml:space="preserve"> </w:t>
      </w:r>
      <w:r w:rsidRPr="00BA0DAC">
        <w:t>weight</w:t>
      </w:r>
      <w:r w:rsidRPr="00BA0DAC">
        <w:rPr>
          <w:spacing w:val="-3"/>
        </w:rPr>
        <w:t xml:space="preserve"> </w:t>
      </w:r>
      <w:r w:rsidRPr="00BA0DAC">
        <w:t>must</w:t>
      </w:r>
      <w:r w:rsidRPr="00BA0DAC">
        <w:rPr>
          <w:spacing w:val="-4"/>
        </w:rPr>
        <w:t xml:space="preserve"> </w:t>
      </w:r>
      <w:r w:rsidRPr="00BA0DAC">
        <w:t>account</w:t>
      </w:r>
      <w:r w:rsidRPr="00BA0DAC">
        <w:rPr>
          <w:spacing w:val="-3"/>
        </w:rPr>
        <w:t xml:space="preserve"> </w:t>
      </w:r>
      <w:r w:rsidRPr="00BA0DAC">
        <w:t>for the two stages</w:t>
      </w:r>
      <w:r>
        <w:t xml:space="preserve"> of sampling, so the base weight is the reciprocal of the product of the probability of selection of the segment and</w:t>
      </w:r>
      <w:r>
        <w:rPr>
          <w:spacing w:val="1"/>
        </w:rPr>
        <w:t xml:space="preserve"> </w:t>
      </w:r>
      <w:r>
        <w:t xml:space="preserve">the within‐segment sampling fraction. For households on the NAP list, </w:t>
      </w:r>
      <w:r w:rsidR="00FB3E1E">
        <w:t>the study team</w:t>
      </w:r>
      <w:r>
        <w:t xml:space="preserve"> will adjust the base weight to take into account the subsampling of nonrespondents with available phone numbers for nonresponse follow-up by phone.</w:t>
      </w:r>
    </w:p>
    <w:p w:rsidRPr="00013514" w:rsidR="00BB4565" w:rsidP="00013514" w:rsidRDefault="00BB4565" w14:paraId="42C23966" w14:textId="21B3B862">
      <w:pPr>
        <w:pStyle w:val="Body11ptCalibri-IPR"/>
        <w:spacing w:after="240"/>
      </w:pPr>
      <w:r w:rsidRPr="00013514">
        <w:rPr>
          <w:b/>
          <w:bCs/>
          <w:i/>
        </w:rPr>
        <w:t>Adjustments for unknown eligibility and nonresponse.</w:t>
      </w:r>
      <w:r>
        <w:rPr>
          <w:i/>
        </w:rPr>
        <w:t xml:space="preserve"> </w:t>
      </w:r>
      <w:r>
        <w:t xml:space="preserve">Next, </w:t>
      </w:r>
      <w:r w:rsidR="00FB3E1E">
        <w:t>the team</w:t>
      </w:r>
      <w:r>
        <w:t xml:space="preserve"> will adjust the weights for unknown eligibility and nonresponse as follows:</w:t>
      </w:r>
      <w:r>
        <w:rPr>
          <w:i/>
        </w:rPr>
        <w:t xml:space="preserve"> </w:t>
      </w:r>
    </w:p>
    <w:p w:rsidR="00BB4565" w:rsidP="00BB4565" w:rsidRDefault="00BB4565" w14:paraId="3020E096" w14:textId="046D7F00">
      <w:pPr>
        <w:pStyle w:val="BulletsRed-IPR"/>
      </w:pPr>
      <w:r>
        <w:rPr>
          <w:b/>
        </w:rPr>
        <w:t xml:space="preserve">Unknown eligibility. </w:t>
      </w:r>
      <w:r w:rsidR="00FB3E1E">
        <w:t>E</w:t>
      </w:r>
      <w:r>
        <w:t xml:space="preserve">ach sampled household </w:t>
      </w:r>
      <w:r w:rsidR="00FB3E1E">
        <w:t xml:space="preserve">will be classified </w:t>
      </w:r>
      <w:r>
        <w:t>into four response categories: respondent, eligible nonrespondent, ineligible, and unknown eligibility (cases for which eligibility cannot be</w:t>
      </w:r>
      <w:r>
        <w:rPr>
          <w:spacing w:val="1"/>
        </w:rPr>
        <w:t xml:space="preserve"> </w:t>
      </w:r>
      <w:r>
        <w:t>determined). To be considered eligible for this study, a household must reside in Puerto Rico.</w:t>
      </w:r>
      <w:r>
        <w:rPr>
          <w:spacing w:val="1"/>
        </w:rPr>
        <w:t xml:space="preserve"> </w:t>
      </w:r>
      <w:r>
        <w:t>The determination of eligibility differs among sampling frames. For the unknown eligibility</w:t>
      </w:r>
      <w:r>
        <w:rPr>
          <w:spacing w:val="1"/>
        </w:rPr>
        <w:t xml:space="preserve"> </w:t>
      </w:r>
      <w:r>
        <w:t xml:space="preserve">adjustment, </w:t>
      </w:r>
      <w:r w:rsidR="00FB3E1E">
        <w:t>the study team</w:t>
      </w:r>
      <w:r>
        <w:t xml:space="preserve"> will adjust the weights for sampled households in which eligibility can be</w:t>
      </w:r>
      <w:r>
        <w:rPr>
          <w:spacing w:val="1"/>
        </w:rPr>
        <w:t xml:space="preserve"> </w:t>
      </w:r>
      <w:r>
        <w:t>determined</w:t>
      </w:r>
      <w:r>
        <w:rPr>
          <w:spacing w:val="-5"/>
        </w:rPr>
        <w:t xml:space="preserve"> </w:t>
      </w:r>
      <w:r>
        <w:t>to</w:t>
      </w:r>
      <w:r>
        <w:rPr>
          <w:spacing w:val="-4"/>
        </w:rPr>
        <w:t xml:space="preserve"> </w:t>
      </w:r>
      <w:r>
        <w:t>account</w:t>
      </w:r>
      <w:r>
        <w:rPr>
          <w:spacing w:val="-3"/>
        </w:rPr>
        <w:t xml:space="preserve"> </w:t>
      </w:r>
      <w:r>
        <w:t>for</w:t>
      </w:r>
      <w:r>
        <w:rPr>
          <w:spacing w:val="-4"/>
        </w:rPr>
        <w:t xml:space="preserve"> </w:t>
      </w:r>
      <w:r>
        <w:t>households</w:t>
      </w:r>
      <w:r>
        <w:rPr>
          <w:spacing w:val="-4"/>
        </w:rPr>
        <w:t xml:space="preserve"> </w:t>
      </w:r>
      <w:r>
        <w:t>with</w:t>
      </w:r>
      <w:r>
        <w:rPr>
          <w:spacing w:val="-3"/>
        </w:rPr>
        <w:t xml:space="preserve"> </w:t>
      </w:r>
      <w:r>
        <w:t>unknown</w:t>
      </w:r>
      <w:r>
        <w:rPr>
          <w:spacing w:val="-4"/>
        </w:rPr>
        <w:t xml:space="preserve"> </w:t>
      </w:r>
      <w:r>
        <w:t>eligibility</w:t>
      </w:r>
      <w:r>
        <w:rPr>
          <w:spacing w:val="-4"/>
        </w:rPr>
        <w:t xml:space="preserve"> </w:t>
      </w:r>
      <w:r>
        <w:t>within</w:t>
      </w:r>
      <w:r>
        <w:rPr>
          <w:spacing w:val="-4"/>
        </w:rPr>
        <w:t xml:space="preserve"> </w:t>
      </w:r>
      <w:r>
        <w:t>the</w:t>
      </w:r>
      <w:r>
        <w:rPr>
          <w:spacing w:val="-3"/>
        </w:rPr>
        <w:t xml:space="preserve"> </w:t>
      </w:r>
      <w:r>
        <w:t>same</w:t>
      </w:r>
      <w:r>
        <w:rPr>
          <w:spacing w:val="-3"/>
        </w:rPr>
        <w:t xml:space="preserve"> </w:t>
      </w:r>
      <w:r>
        <w:t>weighting</w:t>
      </w:r>
      <w:r>
        <w:rPr>
          <w:spacing w:val="-4"/>
        </w:rPr>
        <w:t xml:space="preserve"> </w:t>
      </w:r>
      <w:r>
        <w:t>class.</w:t>
      </w:r>
    </w:p>
    <w:p w:rsidR="00BB4565" w:rsidP="00013514" w:rsidRDefault="00BB4565" w14:paraId="269CA24A" w14:textId="3263FC3C">
      <w:pPr>
        <w:pStyle w:val="BulletsRed-IPR"/>
        <w:spacing w:after="240"/>
      </w:pPr>
      <w:r>
        <w:rPr>
          <w:b/>
        </w:rPr>
        <w:lastRenderedPageBreak/>
        <w:t xml:space="preserve">Nonresponse. </w:t>
      </w:r>
      <w:r>
        <w:t xml:space="preserve">For the nonresponse adjustment, </w:t>
      </w:r>
      <w:r w:rsidR="00FB3E1E">
        <w:t xml:space="preserve">the study team </w:t>
      </w:r>
      <w:r>
        <w:t>will adjust weights for respondents to</w:t>
      </w:r>
      <w:r>
        <w:rPr>
          <w:spacing w:val="1"/>
        </w:rPr>
        <w:t xml:space="preserve"> </w:t>
      </w:r>
      <w:r>
        <w:t xml:space="preserve">account for nonrespondents within the same weighting class. Within each weighting class, </w:t>
      </w:r>
      <w:r w:rsidR="00FB3E1E">
        <w:t>the team</w:t>
      </w:r>
      <w:r>
        <w:t xml:space="preserve"> will calculate the</w:t>
      </w:r>
      <w:r>
        <w:rPr>
          <w:spacing w:val="1"/>
        </w:rPr>
        <w:t xml:space="preserve"> </w:t>
      </w:r>
      <w:r>
        <w:t>weighting</w:t>
      </w:r>
      <w:r>
        <w:rPr>
          <w:spacing w:val="-4"/>
        </w:rPr>
        <w:t xml:space="preserve"> </w:t>
      </w:r>
      <w:r>
        <w:t>adjustment</w:t>
      </w:r>
      <w:r>
        <w:rPr>
          <w:spacing w:val="-4"/>
        </w:rPr>
        <w:t xml:space="preserve"> </w:t>
      </w:r>
      <w:r>
        <w:t>factor</w:t>
      </w:r>
      <w:r>
        <w:rPr>
          <w:spacing w:val="-3"/>
        </w:rPr>
        <w:t xml:space="preserve"> </w:t>
      </w:r>
      <w:r>
        <w:t>by</w:t>
      </w:r>
      <w:r>
        <w:rPr>
          <w:spacing w:val="-2"/>
        </w:rPr>
        <w:t xml:space="preserve"> </w:t>
      </w:r>
      <w:r>
        <w:t>the</w:t>
      </w:r>
      <w:r>
        <w:rPr>
          <w:spacing w:val="-2"/>
        </w:rPr>
        <w:t xml:space="preserve"> </w:t>
      </w:r>
      <w:r>
        <w:t>ratio</w:t>
      </w:r>
      <w:r>
        <w:rPr>
          <w:spacing w:val="-2"/>
        </w:rPr>
        <w:t xml:space="preserve"> </w:t>
      </w:r>
      <w:r>
        <w:t>of</w:t>
      </w:r>
      <w:r>
        <w:rPr>
          <w:spacing w:val="-3"/>
        </w:rPr>
        <w:t xml:space="preserve"> </w:t>
      </w:r>
      <w:r>
        <w:t>the</w:t>
      </w:r>
      <w:r>
        <w:rPr>
          <w:spacing w:val="-3"/>
        </w:rPr>
        <w:t xml:space="preserve"> </w:t>
      </w:r>
      <w:r>
        <w:t>sum</w:t>
      </w:r>
      <w:r>
        <w:rPr>
          <w:spacing w:val="-2"/>
        </w:rPr>
        <w:t xml:space="preserve"> </w:t>
      </w:r>
      <w:r>
        <w:t>of</w:t>
      </w:r>
      <w:r>
        <w:rPr>
          <w:spacing w:val="-4"/>
        </w:rPr>
        <w:t xml:space="preserve"> </w:t>
      </w:r>
      <w:r>
        <w:t>base</w:t>
      </w:r>
      <w:r>
        <w:rPr>
          <w:spacing w:val="-3"/>
        </w:rPr>
        <w:t xml:space="preserve"> </w:t>
      </w:r>
      <w:r>
        <w:t>weights</w:t>
      </w:r>
      <w:r>
        <w:rPr>
          <w:spacing w:val="-3"/>
        </w:rPr>
        <w:t xml:space="preserve"> </w:t>
      </w:r>
      <w:r>
        <w:t>of</w:t>
      </w:r>
      <w:r>
        <w:rPr>
          <w:spacing w:val="-3"/>
        </w:rPr>
        <w:t xml:space="preserve"> </w:t>
      </w:r>
      <w:r>
        <w:t>all</w:t>
      </w:r>
      <w:r>
        <w:rPr>
          <w:spacing w:val="-4"/>
        </w:rPr>
        <w:t xml:space="preserve"> </w:t>
      </w:r>
      <w:r>
        <w:t>sampled households (including respondents and nonrespondents but excluding ineligibles) in that</w:t>
      </w:r>
      <w:r>
        <w:rPr>
          <w:spacing w:val="1"/>
        </w:rPr>
        <w:t xml:space="preserve"> </w:t>
      </w:r>
      <w:r>
        <w:t>weighting class to the sum of the household base weights of respondents in that weighting</w:t>
      </w:r>
      <w:r>
        <w:rPr>
          <w:spacing w:val="1"/>
        </w:rPr>
        <w:t xml:space="preserve"> </w:t>
      </w:r>
      <w:r>
        <w:t xml:space="preserve">class. </w:t>
      </w:r>
      <w:r w:rsidR="00FB3E1E">
        <w:t>The study team</w:t>
      </w:r>
      <w:r>
        <w:t xml:space="preserve"> will create weighting class cells with a minimum of 30 respondents in each cell.</w:t>
      </w:r>
      <w:r>
        <w:rPr>
          <w:spacing w:val="1"/>
        </w:rPr>
        <w:t xml:space="preserve"> </w:t>
      </w:r>
      <w:r w:rsidR="00FB3E1E">
        <w:rPr>
          <w:spacing w:val="1"/>
        </w:rPr>
        <w:t xml:space="preserve">The team </w:t>
      </w:r>
      <w:r>
        <w:rPr>
          <w:spacing w:val="1"/>
        </w:rPr>
        <w:t xml:space="preserve">will collapse </w:t>
      </w:r>
      <w:r>
        <w:t>weighting class cells with larger adjustment factors, as determined by reviewing the data, with similar cells to reduce variations in weights. Extreme weights may be</w:t>
      </w:r>
      <w:r>
        <w:rPr>
          <w:spacing w:val="1"/>
        </w:rPr>
        <w:t xml:space="preserve"> </w:t>
      </w:r>
      <w:r>
        <w:t>influential, and large weight variation will decrease the precision of the estimates.</w:t>
      </w:r>
      <w:r w:rsidR="00FB3E1E">
        <w:rPr>
          <w:rStyle w:val="FootnoteReference"/>
        </w:rPr>
        <w:footnoteReference w:id="7"/>
      </w:r>
      <w:r>
        <w:t xml:space="preserve"> Collapsing weighting class cells with large adjustment factors will pool</w:t>
      </w:r>
      <w:r>
        <w:rPr>
          <w:spacing w:val="1"/>
        </w:rPr>
        <w:t xml:space="preserve"> </w:t>
      </w:r>
      <w:r>
        <w:t>the</w:t>
      </w:r>
      <w:r>
        <w:rPr>
          <w:spacing w:val="-1"/>
        </w:rPr>
        <w:t xml:space="preserve"> </w:t>
      </w:r>
      <w:r>
        <w:t>sampled cases, smoothing the</w:t>
      </w:r>
      <w:r>
        <w:rPr>
          <w:spacing w:val="-2"/>
        </w:rPr>
        <w:t xml:space="preserve"> </w:t>
      </w:r>
      <w:r>
        <w:t>size</w:t>
      </w:r>
      <w:r>
        <w:rPr>
          <w:spacing w:val="1"/>
        </w:rPr>
        <w:t xml:space="preserve"> </w:t>
      </w:r>
      <w:r>
        <w:t>of</w:t>
      </w:r>
      <w:r>
        <w:rPr>
          <w:spacing w:val="-2"/>
        </w:rPr>
        <w:t xml:space="preserve"> </w:t>
      </w:r>
      <w:r>
        <w:t>the adjustment factor, thereby limiting variation in the weights and the potential for very influential observations.</w:t>
      </w:r>
    </w:p>
    <w:p w:rsidR="00013514" w:rsidP="00013514" w:rsidRDefault="00F67443" w14:paraId="16AA0086" w14:textId="77777777">
      <w:pPr>
        <w:pStyle w:val="Body11ptCalibri-IPR"/>
        <w:spacing w:after="240"/>
      </w:pPr>
      <w:r>
        <w:t>For</w:t>
      </w:r>
      <w:r>
        <w:rPr>
          <w:spacing w:val="2"/>
        </w:rPr>
        <w:t xml:space="preserve"> </w:t>
      </w:r>
      <w:r>
        <w:t>the</w:t>
      </w:r>
      <w:r>
        <w:rPr>
          <w:spacing w:val="2"/>
        </w:rPr>
        <w:t xml:space="preserve"> </w:t>
      </w:r>
      <w:r>
        <w:t>area</w:t>
      </w:r>
      <w:r w:rsidR="00A30B37">
        <w:t xml:space="preserve"> </w:t>
      </w:r>
      <w:r>
        <w:t>probability</w:t>
      </w:r>
      <w:r>
        <w:rPr>
          <w:spacing w:val="3"/>
        </w:rPr>
        <w:t xml:space="preserve"> </w:t>
      </w:r>
      <w:r>
        <w:t>sample,</w:t>
      </w:r>
      <w:r>
        <w:rPr>
          <w:spacing w:val="3"/>
        </w:rPr>
        <w:t xml:space="preserve"> </w:t>
      </w:r>
      <w:r>
        <w:t>geographic</w:t>
      </w:r>
      <w:r>
        <w:rPr>
          <w:spacing w:val="3"/>
        </w:rPr>
        <w:t xml:space="preserve"> </w:t>
      </w:r>
      <w:r>
        <w:t>variables,</w:t>
      </w:r>
      <w:r>
        <w:rPr>
          <w:spacing w:val="3"/>
        </w:rPr>
        <w:t xml:space="preserve"> </w:t>
      </w:r>
      <w:r>
        <w:t>such</w:t>
      </w:r>
      <w:r>
        <w:rPr>
          <w:spacing w:val="3"/>
        </w:rPr>
        <w:t xml:space="preserve"> </w:t>
      </w:r>
      <w:r>
        <w:t>as</w:t>
      </w:r>
      <w:r>
        <w:rPr>
          <w:spacing w:val="1"/>
        </w:rPr>
        <w:t xml:space="preserve"> </w:t>
      </w:r>
      <w:r>
        <w:t xml:space="preserve">urban or rural status and aggregate census tract‐level estimates from the most current </w:t>
      </w:r>
      <w:r w:rsidR="00FB3E1E">
        <w:t>American Community Survey (</w:t>
      </w:r>
      <w:r>
        <w:t>ACS</w:t>
      </w:r>
      <w:r w:rsidR="00FB3E1E">
        <w:t>)</w:t>
      </w:r>
      <w:r>
        <w:t>, can be used</w:t>
      </w:r>
      <w:r>
        <w:rPr>
          <w:spacing w:val="1"/>
        </w:rPr>
        <w:t xml:space="preserve"> </w:t>
      </w:r>
      <w:r>
        <w:t>to</w:t>
      </w:r>
      <w:r>
        <w:rPr>
          <w:spacing w:val="1"/>
        </w:rPr>
        <w:t xml:space="preserve"> </w:t>
      </w:r>
      <w:r>
        <w:t>adjust</w:t>
      </w:r>
      <w:r>
        <w:rPr>
          <w:spacing w:val="2"/>
        </w:rPr>
        <w:t xml:space="preserve"> </w:t>
      </w:r>
      <w:r>
        <w:t>for</w:t>
      </w:r>
      <w:r>
        <w:rPr>
          <w:spacing w:val="1"/>
        </w:rPr>
        <w:t xml:space="preserve"> </w:t>
      </w:r>
      <w:r>
        <w:t>unknown</w:t>
      </w:r>
      <w:r w:rsidR="00A30B37">
        <w:t xml:space="preserve"> </w:t>
      </w:r>
      <w:r>
        <w:t>eligibility</w:t>
      </w:r>
      <w:r>
        <w:rPr>
          <w:spacing w:val="4"/>
        </w:rPr>
        <w:t xml:space="preserve"> </w:t>
      </w:r>
      <w:r>
        <w:t>status</w:t>
      </w:r>
      <w:r>
        <w:rPr>
          <w:spacing w:val="2"/>
        </w:rPr>
        <w:t xml:space="preserve"> </w:t>
      </w:r>
      <w:r>
        <w:t>and</w:t>
      </w:r>
      <w:r>
        <w:rPr>
          <w:spacing w:val="1"/>
        </w:rPr>
        <w:t xml:space="preserve"> </w:t>
      </w:r>
      <w:r>
        <w:t>nonresponse.</w:t>
      </w:r>
      <w:r>
        <w:rPr>
          <w:spacing w:val="1"/>
        </w:rPr>
        <w:t xml:space="preserve"> </w:t>
      </w:r>
      <w:r>
        <w:t>An</w:t>
      </w:r>
      <w:r>
        <w:rPr>
          <w:spacing w:val="2"/>
        </w:rPr>
        <w:t xml:space="preserve"> </w:t>
      </w:r>
      <w:r>
        <w:t>example</w:t>
      </w:r>
      <w:r>
        <w:rPr>
          <w:spacing w:val="1"/>
        </w:rPr>
        <w:t xml:space="preserve"> </w:t>
      </w:r>
      <w:r>
        <w:t>of</w:t>
      </w:r>
      <w:r>
        <w:rPr>
          <w:spacing w:val="2"/>
        </w:rPr>
        <w:t xml:space="preserve"> </w:t>
      </w:r>
      <w:r>
        <w:t>a</w:t>
      </w:r>
      <w:r>
        <w:rPr>
          <w:spacing w:val="1"/>
        </w:rPr>
        <w:t xml:space="preserve"> </w:t>
      </w:r>
      <w:r>
        <w:t>census‐tract</w:t>
      </w:r>
      <w:r>
        <w:rPr>
          <w:spacing w:val="2"/>
        </w:rPr>
        <w:t xml:space="preserve"> </w:t>
      </w:r>
      <w:r>
        <w:t>level</w:t>
      </w:r>
      <w:r>
        <w:rPr>
          <w:spacing w:val="1"/>
        </w:rPr>
        <w:t xml:space="preserve"> </w:t>
      </w:r>
      <w:r>
        <w:t>variable</w:t>
      </w:r>
      <w:r>
        <w:rPr>
          <w:spacing w:val="1"/>
        </w:rPr>
        <w:t xml:space="preserve"> </w:t>
      </w:r>
      <w:r>
        <w:t>that might be considered in defining weighting classes is a categorized version of the percentage of</w:t>
      </w:r>
      <w:r>
        <w:rPr>
          <w:spacing w:val="1"/>
        </w:rPr>
        <w:t xml:space="preserve"> </w:t>
      </w:r>
      <w:r>
        <w:t>households</w:t>
      </w:r>
      <w:r>
        <w:rPr>
          <w:spacing w:val="1"/>
        </w:rPr>
        <w:t xml:space="preserve"> </w:t>
      </w:r>
      <w:r>
        <w:t>in</w:t>
      </w:r>
      <w:r>
        <w:rPr>
          <w:spacing w:val="1"/>
        </w:rPr>
        <w:t xml:space="preserve"> </w:t>
      </w:r>
      <w:r>
        <w:t>the</w:t>
      </w:r>
      <w:r>
        <w:rPr>
          <w:spacing w:val="2"/>
        </w:rPr>
        <w:t xml:space="preserve"> </w:t>
      </w:r>
      <w:r>
        <w:t>tract</w:t>
      </w:r>
      <w:r>
        <w:rPr>
          <w:spacing w:val="1"/>
        </w:rPr>
        <w:t xml:space="preserve"> </w:t>
      </w:r>
      <w:r>
        <w:t>with</w:t>
      </w:r>
      <w:r>
        <w:rPr>
          <w:spacing w:val="1"/>
        </w:rPr>
        <w:t xml:space="preserve"> </w:t>
      </w:r>
      <w:r>
        <w:t>incomes</w:t>
      </w:r>
      <w:r>
        <w:rPr>
          <w:spacing w:val="3"/>
        </w:rPr>
        <w:t xml:space="preserve"> </w:t>
      </w:r>
      <w:r>
        <w:t>below</w:t>
      </w:r>
      <w:r>
        <w:rPr>
          <w:spacing w:val="3"/>
        </w:rPr>
        <w:t xml:space="preserve"> </w:t>
      </w:r>
      <w:r>
        <w:t>the</w:t>
      </w:r>
      <w:r>
        <w:rPr>
          <w:spacing w:val="3"/>
        </w:rPr>
        <w:t xml:space="preserve"> </w:t>
      </w:r>
      <w:r>
        <w:t>poverty</w:t>
      </w:r>
      <w:r>
        <w:rPr>
          <w:spacing w:val="2"/>
        </w:rPr>
        <w:t xml:space="preserve"> </w:t>
      </w:r>
      <w:r>
        <w:t>threshold</w:t>
      </w:r>
      <w:r w:rsidR="00A30B37">
        <w:t>.</w:t>
      </w:r>
    </w:p>
    <w:p w:rsidR="00A01FB5" w:rsidP="00013514" w:rsidRDefault="00FB3E1E" w14:paraId="0FF15D9F" w14:textId="6796939E">
      <w:pPr>
        <w:pStyle w:val="Body11ptCalibri-IPR"/>
        <w:spacing w:after="240"/>
      </w:pPr>
      <w:r>
        <w:t xml:space="preserve">The study team </w:t>
      </w:r>
      <w:r w:rsidR="00AE09ED">
        <w:t xml:space="preserve">will </w:t>
      </w:r>
      <w:r w:rsidR="00A01FB5">
        <w:t>include</w:t>
      </w:r>
      <w:r w:rsidR="00AE09ED">
        <w:t xml:space="preserve"> v</w:t>
      </w:r>
      <w:r w:rsidR="00E06665">
        <w:t>ariables</w:t>
      </w:r>
      <w:r w:rsidR="00E06665">
        <w:rPr>
          <w:spacing w:val="1"/>
        </w:rPr>
        <w:t xml:space="preserve"> </w:t>
      </w:r>
      <w:r w:rsidR="00E06665">
        <w:t>available on the NAP participant list</w:t>
      </w:r>
      <w:r w:rsidR="00A30B37">
        <w:t xml:space="preserve">, such as </w:t>
      </w:r>
      <w:r w:rsidR="00E06665">
        <w:t>demographics, the number of people in the household,</w:t>
      </w:r>
      <w:r w:rsidR="00E06665">
        <w:rPr>
          <w:spacing w:val="1"/>
        </w:rPr>
        <w:t xml:space="preserve"> </w:t>
      </w:r>
      <w:r w:rsidR="00E06665">
        <w:t>NAP start date, and inco</w:t>
      </w:r>
      <w:r w:rsidR="00A30B37">
        <w:t xml:space="preserve">me, into the </w:t>
      </w:r>
      <w:r w:rsidR="00E06665">
        <w:t xml:space="preserve">classification </w:t>
      </w:r>
      <w:r w:rsidR="00A30B37">
        <w:t xml:space="preserve">tree </w:t>
      </w:r>
      <w:r w:rsidR="00E06665">
        <w:t>algorithm to form weighting classes</w:t>
      </w:r>
      <w:r w:rsidR="00A30B37">
        <w:t xml:space="preserve"> for </w:t>
      </w:r>
      <w:r w:rsidR="00EE06CB">
        <w:t>nonresponse adjustment.</w:t>
      </w:r>
    </w:p>
    <w:p w:rsidR="005F44AE" w:rsidP="00EE06CB" w:rsidRDefault="006A7398" w14:paraId="31681120" w14:textId="77777777">
      <w:pPr>
        <w:pStyle w:val="Body11ptCalibri-IPR"/>
        <w:rPr>
          <w:i/>
        </w:rPr>
      </w:pPr>
      <w:r w:rsidRPr="00EF57BE">
        <w:rPr>
          <w:b/>
          <w:bCs/>
          <w:i/>
        </w:rPr>
        <w:t>Compositing adjustment</w:t>
      </w:r>
    </w:p>
    <w:p w:rsidR="00013514" w:rsidP="00013514" w:rsidRDefault="00A174C2" w14:paraId="3BC7B0EE" w14:textId="77777777">
      <w:pPr>
        <w:pStyle w:val="Body11ptCalibri-IPR"/>
        <w:spacing w:after="240"/>
      </w:pPr>
      <w:r>
        <w:t xml:space="preserve">The study team </w:t>
      </w:r>
      <w:r w:rsidR="008F69D7">
        <w:t>will composite together t</w:t>
      </w:r>
      <w:r w:rsidR="009360C8">
        <w:t xml:space="preserve">he nonresponse </w:t>
      </w:r>
      <w:r w:rsidR="00E06665">
        <w:t xml:space="preserve">adjusted weights of </w:t>
      </w:r>
      <w:r w:rsidR="006A7398">
        <w:t>households</w:t>
      </w:r>
      <w:r w:rsidR="00E06665">
        <w:t xml:space="preserve"> with completed surveys </w:t>
      </w:r>
      <w:r w:rsidR="006A7398">
        <w:t>to account for</w:t>
      </w:r>
      <w:r w:rsidR="00E06665">
        <w:t xml:space="preserve"> overlap</w:t>
      </w:r>
      <w:r w:rsidR="006A7398">
        <w:t xml:space="preserve"> in the sampling frames</w:t>
      </w:r>
      <w:r w:rsidR="00E06665">
        <w:t xml:space="preserve">. Compositing is a weighting approach </w:t>
      </w:r>
      <w:r w:rsidR="00E06665">
        <w:lastRenderedPageBreak/>
        <w:t>that essentially</w:t>
      </w:r>
      <w:r w:rsidR="009360C8">
        <w:t xml:space="preserve"> </w:t>
      </w:r>
      <w:r w:rsidR="008B5D14">
        <w:t xml:space="preserve">creates a new weight by applying a weighted average adjustment to </w:t>
      </w:r>
      <w:r w:rsidR="00E06665">
        <w:t>the weights of</w:t>
      </w:r>
      <w:r w:rsidR="00E06665">
        <w:rPr>
          <w:spacing w:val="-2"/>
        </w:rPr>
        <w:t xml:space="preserve"> </w:t>
      </w:r>
      <w:r w:rsidR="00E06665">
        <w:t>two</w:t>
      </w:r>
      <w:r w:rsidR="00E06665">
        <w:rPr>
          <w:spacing w:val="-1"/>
        </w:rPr>
        <w:t xml:space="preserve"> </w:t>
      </w:r>
      <w:r w:rsidR="00E06665">
        <w:t>or</w:t>
      </w:r>
      <w:r w:rsidR="00E06665">
        <w:rPr>
          <w:spacing w:val="-3"/>
        </w:rPr>
        <w:t xml:space="preserve"> </w:t>
      </w:r>
      <w:r w:rsidR="00E06665">
        <w:t>more</w:t>
      </w:r>
      <w:r w:rsidR="00E06665">
        <w:rPr>
          <w:spacing w:val="-1"/>
        </w:rPr>
        <w:t xml:space="preserve"> </w:t>
      </w:r>
      <w:r w:rsidR="00E06665">
        <w:t>samples</w:t>
      </w:r>
      <w:r w:rsidR="00E06665">
        <w:rPr>
          <w:spacing w:val="-1"/>
        </w:rPr>
        <w:t xml:space="preserve"> </w:t>
      </w:r>
      <w:r w:rsidR="00E06665">
        <w:t>that</w:t>
      </w:r>
      <w:r w:rsidR="00E06665">
        <w:rPr>
          <w:spacing w:val="-1"/>
        </w:rPr>
        <w:t xml:space="preserve"> </w:t>
      </w:r>
      <w:r w:rsidR="00E06665">
        <w:t>represent</w:t>
      </w:r>
      <w:r w:rsidR="00E06665">
        <w:rPr>
          <w:spacing w:val="-2"/>
        </w:rPr>
        <w:t xml:space="preserve"> </w:t>
      </w:r>
      <w:r w:rsidR="00E06665">
        <w:t>the same</w:t>
      </w:r>
      <w:r w:rsidR="00E06665">
        <w:rPr>
          <w:spacing w:val="-2"/>
        </w:rPr>
        <w:t xml:space="preserve"> </w:t>
      </w:r>
      <w:r w:rsidR="00E06665">
        <w:t>population.</w:t>
      </w:r>
      <w:r>
        <w:rPr>
          <w:rStyle w:val="FootnoteReference"/>
        </w:rPr>
        <w:footnoteReference w:id="8"/>
      </w:r>
    </w:p>
    <w:p w:rsidRPr="00013514" w:rsidR="00E50329" w:rsidP="00013514" w:rsidRDefault="00E06665" w14:paraId="48BD8197" w14:textId="447E491D">
      <w:pPr>
        <w:pStyle w:val="Body11ptCalibri-IPR"/>
        <w:spacing w:after="240"/>
      </w:pPr>
      <w:r>
        <w:t xml:space="preserve">The </w:t>
      </w:r>
      <w:r w:rsidR="00F67443">
        <w:t xml:space="preserve">questionnaire contains questions </w:t>
      </w:r>
      <w:r>
        <w:t xml:space="preserve">to </w:t>
      </w:r>
      <w:r w:rsidR="00F67443">
        <w:t>ascertain th</w:t>
      </w:r>
      <w:r>
        <w:t>e overlap of the two sample frames.</w:t>
      </w:r>
      <w:r w:rsidR="00404247">
        <w:t xml:space="preserve"> </w:t>
      </w:r>
      <w:r>
        <w:t>All</w:t>
      </w:r>
      <w:r>
        <w:rPr>
          <w:spacing w:val="-3"/>
        </w:rPr>
        <w:t xml:space="preserve"> </w:t>
      </w:r>
      <w:r>
        <w:t>households</w:t>
      </w:r>
      <w:r>
        <w:rPr>
          <w:spacing w:val="-3"/>
        </w:rPr>
        <w:t xml:space="preserve"> </w:t>
      </w:r>
      <w:r>
        <w:t>in</w:t>
      </w:r>
      <w:r>
        <w:rPr>
          <w:spacing w:val="-4"/>
        </w:rPr>
        <w:t xml:space="preserve"> </w:t>
      </w:r>
      <w:r>
        <w:t>Puerto</w:t>
      </w:r>
      <w:r>
        <w:rPr>
          <w:spacing w:val="-4"/>
        </w:rPr>
        <w:t xml:space="preserve"> </w:t>
      </w:r>
      <w:r>
        <w:t>Rico</w:t>
      </w:r>
      <w:r>
        <w:rPr>
          <w:spacing w:val="-3"/>
        </w:rPr>
        <w:t xml:space="preserve"> </w:t>
      </w:r>
      <w:r>
        <w:t>are</w:t>
      </w:r>
      <w:r>
        <w:rPr>
          <w:spacing w:val="-3"/>
        </w:rPr>
        <w:t xml:space="preserve"> </w:t>
      </w:r>
      <w:r>
        <w:t>represented</w:t>
      </w:r>
      <w:r>
        <w:rPr>
          <w:spacing w:val="-4"/>
        </w:rPr>
        <w:t xml:space="preserve"> </w:t>
      </w:r>
      <w:r>
        <w:t>on</w:t>
      </w:r>
      <w:r>
        <w:rPr>
          <w:spacing w:val="-4"/>
        </w:rPr>
        <w:t xml:space="preserve"> </w:t>
      </w:r>
      <w:r>
        <w:t>the</w:t>
      </w:r>
      <w:r>
        <w:rPr>
          <w:spacing w:val="-2"/>
        </w:rPr>
        <w:t xml:space="preserve"> </w:t>
      </w:r>
      <w:r>
        <w:t>area</w:t>
      </w:r>
      <w:r w:rsidR="009360C8">
        <w:t xml:space="preserve"> </w:t>
      </w:r>
      <w:r>
        <w:t>probability</w:t>
      </w:r>
      <w:r>
        <w:rPr>
          <w:spacing w:val="-3"/>
        </w:rPr>
        <w:t xml:space="preserve"> </w:t>
      </w:r>
      <w:r>
        <w:t>frame.</w:t>
      </w:r>
      <w:r>
        <w:rPr>
          <w:spacing w:val="-4"/>
        </w:rPr>
        <w:t xml:space="preserve"> </w:t>
      </w:r>
      <w:r>
        <w:t>Therefore,</w:t>
      </w:r>
      <w:r>
        <w:rPr>
          <w:spacing w:val="-3"/>
        </w:rPr>
        <w:t xml:space="preserve"> </w:t>
      </w:r>
      <w:r>
        <w:t>all</w:t>
      </w:r>
      <w:r>
        <w:rPr>
          <w:spacing w:val="-3"/>
        </w:rPr>
        <w:t xml:space="preserve"> </w:t>
      </w:r>
      <w:r>
        <w:t>households</w:t>
      </w:r>
      <w:r w:rsidR="009360C8">
        <w:t xml:space="preserve"> sam</w:t>
      </w:r>
      <w:r>
        <w:t>pled from the NAP participan</w:t>
      </w:r>
      <w:r w:rsidR="008B5D14">
        <w:t xml:space="preserve">t list will also be on the area </w:t>
      </w:r>
      <w:r>
        <w:t>probabil</w:t>
      </w:r>
      <w:r w:rsidR="009360C8">
        <w:t xml:space="preserve">ity frame. Questions included in </w:t>
      </w:r>
      <w:r>
        <w:t xml:space="preserve">the survey will determine </w:t>
      </w:r>
      <w:r w:rsidR="008B5D14">
        <w:t>whether</w:t>
      </w:r>
      <w:r>
        <w:t xml:space="preserve"> those h</w:t>
      </w:r>
      <w:r w:rsidR="008B5D14">
        <w:t xml:space="preserve">ouseholds sampled from the area </w:t>
      </w:r>
      <w:r>
        <w:t>probability frame are also on th</w:t>
      </w:r>
      <w:r w:rsidR="008F69D7">
        <w:t>e</w:t>
      </w:r>
      <w:r w:rsidR="00404247">
        <w:t xml:space="preserve"> </w:t>
      </w:r>
      <w:r>
        <w:t>NAP participant list frame</w:t>
      </w:r>
      <w:r w:rsidR="008B5D14">
        <w:t xml:space="preserve"> (by ascertaining whether the households </w:t>
      </w:r>
      <w:r w:rsidR="008F69D7">
        <w:t xml:space="preserve">were </w:t>
      </w:r>
      <w:r w:rsidR="008B5D14">
        <w:t>receiving NAP benefits at the reference date corresponding to the timing of the NAP list extracted for sampling purposes)</w:t>
      </w:r>
      <w:r>
        <w:t>. Based on the responses to these survey questions,</w:t>
      </w:r>
      <w:r w:rsidR="008F69D7">
        <w:t xml:space="preserve"> </w:t>
      </w:r>
      <w:r>
        <w:t>responding households</w:t>
      </w:r>
      <w:r w:rsidR="00A174C2">
        <w:t xml:space="preserve"> will be classified</w:t>
      </w:r>
      <w:r>
        <w:rPr>
          <w:spacing w:val="1"/>
        </w:rPr>
        <w:t xml:space="preserve"> </w:t>
      </w:r>
      <w:r>
        <w:t xml:space="preserve">as shown in table </w:t>
      </w:r>
      <w:r w:rsidR="00CA00FC">
        <w:t>B.2.2.</w:t>
      </w:r>
      <w:r>
        <w:t xml:space="preserve"> The compositing factor (</w:t>
      </w:r>
      <w:r>
        <w:rPr>
          <w:i/>
        </w:rPr>
        <w:t>λ</w:t>
      </w:r>
      <w:r>
        <w:t>) for each group is shown in the last</w:t>
      </w:r>
      <w:r>
        <w:rPr>
          <w:spacing w:val="1"/>
        </w:rPr>
        <w:t xml:space="preserve"> </w:t>
      </w:r>
      <w:r>
        <w:t>column.</w:t>
      </w:r>
      <w:r w:rsidR="008B5D14">
        <w:t xml:space="preserve"> The composited weight is the product of the nonresponse adjusted weight and the compositing factor.</w:t>
      </w:r>
    </w:p>
    <w:p w:rsidRPr="00EF57BE" w:rsidR="00E06665" w:rsidP="00960E81" w:rsidRDefault="00C02316" w14:paraId="20486119" w14:textId="5A34B2E4">
      <w:pPr>
        <w:pStyle w:val="TableTitle-IPR"/>
        <w:spacing w:before="360"/>
      </w:pPr>
      <w:bookmarkStart w:name="_Toc78365139" w:id="29"/>
      <w:r w:rsidRPr="00C02316">
        <w:t>Table</w:t>
      </w:r>
      <w:r w:rsidR="00CA00FC">
        <w:t xml:space="preserve"> B.2.2</w:t>
      </w:r>
      <w:r w:rsidR="009937F6">
        <w:t>.</w:t>
      </w:r>
      <w:r w:rsidRPr="00C02316">
        <w:t xml:space="preserve"> Computation of the Compositing Factor</w:t>
      </w:r>
      <w:bookmarkEnd w:id="29"/>
    </w:p>
    <w:tbl>
      <w:tblPr>
        <w:tblStyle w:val="InsightTable"/>
        <w:tblW w:w="4888" w:type="pct"/>
        <w:tblLayout w:type="fixed"/>
        <w:tblLook w:val="04A0" w:firstRow="1" w:lastRow="0" w:firstColumn="1" w:lastColumn="0" w:noHBand="0" w:noVBand="1"/>
      </w:tblPr>
      <w:tblGrid>
        <w:gridCol w:w="1247"/>
        <w:gridCol w:w="2116"/>
        <w:gridCol w:w="1010"/>
        <w:gridCol w:w="1563"/>
        <w:gridCol w:w="1649"/>
        <w:gridCol w:w="1565"/>
      </w:tblGrid>
      <w:tr w:rsidRPr="00A75B9B" w:rsidR="002B1B42" w:rsidTr="00013514" w14:paraId="5ACEB860" w14:textId="77777777">
        <w:trPr>
          <w:cnfStyle w:val="100000000000" w:firstRow="1" w:lastRow="0" w:firstColumn="0" w:lastColumn="0" w:oddVBand="0" w:evenVBand="0" w:oddHBand="0" w:evenHBand="0" w:firstRowFirstColumn="0" w:firstRowLastColumn="0" w:lastRowFirstColumn="0" w:lastRowLastColumn="0"/>
          <w:trHeight w:val="360"/>
          <w:tblHeader/>
        </w:trPr>
        <w:tc>
          <w:tcPr>
            <w:tcW w:w="681" w:type="pct"/>
            <w:vMerge w:val="restart"/>
            <w:hideMark/>
          </w:tcPr>
          <w:p w:rsidRPr="009621C5" w:rsidR="002B1B42" w:rsidP="005C401C" w:rsidRDefault="002B1B42" w14:paraId="7FAF9B90" w14:textId="77777777">
            <w:pPr>
              <w:pStyle w:val="TableHeaderRow-IPR"/>
            </w:pPr>
            <w:r w:rsidRPr="009621C5">
              <w:t>Group</w:t>
            </w:r>
          </w:p>
        </w:tc>
        <w:tc>
          <w:tcPr>
            <w:tcW w:w="1708" w:type="pct"/>
            <w:gridSpan w:val="2"/>
            <w:tcBorders>
              <w:bottom w:val="dotted" w:color="B12732" w:sz="4" w:space="0"/>
            </w:tcBorders>
            <w:hideMark/>
          </w:tcPr>
          <w:p w:rsidRPr="009621C5" w:rsidR="002B1B42" w:rsidP="005C401C" w:rsidRDefault="002B1B42" w14:paraId="0EEFD4C2" w14:textId="78545515">
            <w:pPr>
              <w:pStyle w:val="TableHeaderRow-IPR"/>
            </w:pPr>
            <w:r w:rsidRPr="009621C5">
              <w:t>Sampled From</w:t>
            </w:r>
          </w:p>
        </w:tc>
        <w:tc>
          <w:tcPr>
            <w:tcW w:w="854" w:type="pct"/>
            <w:vMerge w:val="restart"/>
            <w:hideMark/>
          </w:tcPr>
          <w:p w:rsidRPr="009621C5" w:rsidR="002B1B42" w:rsidP="005C401C" w:rsidRDefault="002B1B42" w14:paraId="21C1CA41" w14:textId="77777777">
            <w:pPr>
              <w:pStyle w:val="TableHeaderRow-IPR"/>
            </w:pPr>
            <w:r w:rsidRPr="009621C5">
              <w:t>Household Participates in NAP</w:t>
            </w:r>
          </w:p>
        </w:tc>
        <w:tc>
          <w:tcPr>
            <w:tcW w:w="901" w:type="pct"/>
            <w:vMerge w:val="restart"/>
            <w:hideMark/>
          </w:tcPr>
          <w:p w:rsidRPr="009621C5" w:rsidR="002B1B42" w:rsidP="005C401C" w:rsidRDefault="002B1B42" w14:paraId="133AE905" w14:textId="77777777">
            <w:pPr>
              <w:pStyle w:val="TableHeaderRow-IPR"/>
            </w:pPr>
            <w:r w:rsidRPr="009621C5">
              <w:t>Effective Sample Size*</w:t>
            </w:r>
          </w:p>
        </w:tc>
        <w:tc>
          <w:tcPr>
            <w:tcW w:w="855" w:type="pct"/>
            <w:vMerge w:val="restart"/>
            <w:hideMark/>
          </w:tcPr>
          <w:p w:rsidRPr="009621C5" w:rsidR="002B1B42" w:rsidP="005C401C" w:rsidRDefault="002B1B42" w14:paraId="560A0E2D" w14:textId="77777777">
            <w:pPr>
              <w:pStyle w:val="TableHeaderRow-IPR"/>
            </w:pPr>
            <w:r w:rsidRPr="009621C5">
              <w:t>Compositing Factor (</w:t>
            </w:r>
            <w:r w:rsidRPr="009621C5">
              <w:rPr>
                <w:rFonts w:ascii="Calibri" w:hAnsi="Calibri" w:cs="Calibri"/>
              </w:rPr>
              <w:t>λ</w:t>
            </w:r>
            <w:r w:rsidRPr="009621C5">
              <w:t>)</w:t>
            </w:r>
          </w:p>
        </w:tc>
      </w:tr>
      <w:tr w:rsidRPr="00A75B9B" w:rsidR="002B1B42" w:rsidTr="00CB6433" w14:paraId="194A82C6" w14:textId="77777777">
        <w:trPr>
          <w:cnfStyle w:val="100000000000" w:firstRow="1" w:lastRow="0" w:firstColumn="0" w:lastColumn="0" w:oddVBand="0" w:evenVBand="0" w:oddHBand="0" w:evenHBand="0" w:firstRowFirstColumn="0" w:firstRowLastColumn="0" w:lastRowFirstColumn="0" w:lastRowLastColumn="0"/>
          <w:trHeight w:val="360"/>
          <w:tblHeader/>
        </w:trPr>
        <w:tc>
          <w:tcPr>
            <w:tcW w:w="681" w:type="pct"/>
            <w:vMerge/>
            <w:hideMark/>
          </w:tcPr>
          <w:p w:rsidRPr="00A75B9B" w:rsidR="002B1B42" w:rsidP="005C401C" w:rsidRDefault="002B1B42" w14:paraId="47842785" w14:textId="77777777">
            <w:pPr>
              <w:pStyle w:val="TableText-IPR"/>
            </w:pPr>
          </w:p>
        </w:tc>
        <w:tc>
          <w:tcPr>
            <w:tcW w:w="1156" w:type="pct"/>
            <w:tcBorders>
              <w:top w:val="dotted" w:color="B12732" w:sz="4" w:space="0"/>
            </w:tcBorders>
            <w:hideMark/>
          </w:tcPr>
          <w:p w:rsidRPr="00640FB7" w:rsidR="002B1B42" w:rsidP="002B1B42" w:rsidRDefault="002B1B42" w14:paraId="33ED01B1" w14:textId="77B87C53">
            <w:pPr>
              <w:pStyle w:val="TableHeaderRow-IPR"/>
              <w:rPr>
                <w:sz w:val="17"/>
                <w:szCs w:val="17"/>
              </w:rPr>
            </w:pPr>
            <w:r>
              <w:rPr>
                <w:sz w:val="17"/>
                <w:szCs w:val="17"/>
              </w:rPr>
              <w:t xml:space="preserve">Area </w:t>
            </w:r>
            <w:r w:rsidR="00A174C2">
              <w:rPr>
                <w:sz w:val="17"/>
                <w:szCs w:val="17"/>
              </w:rPr>
              <w:t>P</w:t>
            </w:r>
            <w:r>
              <w:rPr>
                <w:sz w:val="17"/>
                <w:szCs w:val="17"/>
              </w:rPr>
              <w:t xml:space="preserve">robability </w:t>
            </w:r>
            <w:r w:rsidR="00A174C2">
              <w:rPr>
                <w:sz w:val="17"/>
                <w:szCs w:val="17"/>
              </w:rPr>
              <w:t>F</w:t>
            </w:r>
            <w:r>
              <w:rPr>
                <w:sz w:val="17"/>
                <w:szCs w:val="17"/>
              </w:rPr>
              <w:t>rame</w:t>
            </w:r>
          </w:p>
        </w:tc>
        <w:tc>
          <w:tcPr>
            <w:tcW w:w="552" w:type="pct"/>
            <w:tcBorders>
              <w:top w:val="dotted" w:color="B12732" w:sz="4" w:space="0"/>
            </w:tcBorders>
            <w:hideMark/>
          </w:tcPr>
          <w:p w:rsidRPr="00640FB7" w:rsidR="002B1B42" w:rsidP="005C401C" w:rsidRDefault="002B1B42" w14:paraId="4E983E11" w14:textId="671EC4BE">
            <w:pPr>
              <w:pStyle w:val="TableHeaderRow-IPR"/>
              <w:rPr>
                <w:sz w:val="17"/>
                <w:szCs w:val="17"/>
              </w:rPr>
            </w:pPr>
            <w:r>
              <w:rPr>
                <w:sz w:val="17"/>
                <w:szCs w:val="17"/>
              </w:rPr>
              <w:t xml:space="preserve">NAP </w:t>
            </w:r>
            <w:r w:rsidR="00A174C2">
              <w:rPr>
                <w:sz w:val="17"/>
                <w:szCs w:val="17"/>
              </w:rPr>
              <w:t>L</w:t>
            </w:r>
            <w:r>
              <w:rPr>
                <w:sz w:val="17"/>
                <w:szCs w:val="17"/>
              </w:rPr>
              <w:t>ist</w:t>
            </w:r>
          </w:p>
        </w:tc>
        <w:tc>
          <w:tcPr>
            <w:tcW w:w="854" w:type="pct"/>
            <w:vMerge/>
            <w:hideMark/>
          </w:tcPr>
          <w:p w:rsidRPr="00A75B9B" w:rsidR="002B1B42" w:rsidP="005C401C" w:rsidRDefault="002B1B42" w14:paraId="419202B8" w14:textId="77777777">
            <w:pPr>
              <w:pStyle w:val="TableText-IPR"/>
            </w:pPr>
          </w:p>
        </w:tc>
        <w:tc>
          <w:tcPr>
            <w:tcW w:w="901" w:type="pct"/>
            <w:vMerge/>
            <w:hideMark/>
          </w:tcPr>
          <w:p w:rsidRPr="00A75B9B" w:rsidR="002B1B42" w:rsidP="005C401C" w:rsidRDefault="002B1B42" w14:paraId="3CF924E3" w14:textId="77777777">
            <w:pPr>
              <w:pStyle w:val="TableText-IPR"/>
            </w:pPr>
          </w:p>
        </w:tc>
        <w:tc>
          <w:tcPr>
            <w:tcW w:w="855" w:type="pct"/>
            <w:vMerge/>
            <w:hideMark/>
          </w:tcPr>
          <w:p w:rsidRPr="00A75B9B" w:rsidR="002B1B42" w:rsidP="005C401C" w:rsidRDefault="002B1B42" w14:paraId="3D08E51E" w14:textId="77777777">
            <w:pPr>
              <w:pStyle w:val="TableText-IPR"/>
            </w:pPr>
          </w:p>
        </w:tc>
      </w:tr>
      <w:tr w:rsidRPr="00A75B9B" w:rsidR="002B1B42" w:rsidTr="00CB6433" w14:paraId="38F5E998" w14:textId="77777777">
        <w:trPr>
          <w:trHeight w:val="288"/>
        </w:trPr>
        <w:tc>
          <w:tcPr>
            <w:tcW w:w="681" w:type="pct"/>
            <w:hideMark/>
          </w:tcPr>
          <w:p w:rsidRPr="00A75B9B" w:rsidR="002B1B42" w:rsidP="005C401C" w:rsidRDefault="002B1B42" w14:paraId="2BC218CA" w14:textId="6C10460D">
            <w:pPr>
              <w:pStyle w:val="TableText-IPR"/>
            </w:pPr>
            <w:r>
              <w:t>a</w:t>
            </w:r>
          </w:p>
        </w:tc>
        <w:tc>
          <w:tcPr>
            <w:tcW w:w="1156" w:type="pct"/>
            <w:hideMark/>
          </w:tcPr>
          <w:p w:rsidRPr="00A75B9B" w:rsidR="002B1B42" w:rsidP="002B1B42" w:rsidRDefault="002B1B42" w14:paraId="503DB7E7" w14:textId="683A3D63">
            <w:pPr>
              <w:pStyle w:val="TableText-IPR"/>
              <w:jc w:val="center"/>
            </w:pPr>
            <w:r>
              <w:t>X</w:t>
            </w:r>
          </w:p>
        </w:tc>
        <w:tc>
          <w:tcPr>
            <w:tcW w:w="552" w:type="pct"/>
            <w:hideMark/>
          </w:tcPr>
          <w:p w:rsidRPr="00A75B9B" w:rsidR="002B1B42" w:rsidP="002B1B42" w:rsidRDefault="002B1B42" w14:paraId="1FD5B755" w14:textId="1D51DC07">
            <w:pPr>
              <w:pStyle w:val="TableText-IPR"/>
              <w:jc w:val="center"/>
            </w:pPr>
          </w:p>
        </w:tc>
        <w:tc>
          <w:tcPr>
            <w:tcW w:w="854" w:type="pct"/>
            <w:hideMark/>
          </w:tcPr>
          <w:p w:rsidRPr="00A75B9B" w:rsidR="002B1B42" w:rsidP="002B1B42" w:rsidRDefault="002B1B42" w14:paraId="64E70308" w14:textId="4252161B">
            <w:pPr>
              <w:pStyle w:val="TableText-IPR"/>
              <w:jc w:val="center"/>
            </w:pPr>
          </w:p>
        </w:tc>
        <w:tc>
          <w:tcPr>
            <w:tcW w:w="901" w:type="pct"/>
            <w:hideMark/>
          </w:tcPr>
          <w:p w:rsidRPr="002B1B42" w:rsidR="002B1B42" w:rsidP="002B1B42" w:rsidRDefault="002B1B42" w14:paraId="09B53BC7" w14:textId="56C0E1DB">
            <w:pPr>
              <w:pStyle w:val="TableText-IPR"/>
              <w:jc w:val="center"/>
              <w:rPr>
                <w:i/>
              </w:rPr>
            </w:pPr>
            <w:r>
              <w:rPr>
                <w:i/>
              </w:rPr>
              <w:t>na</w:t>
            </w:r>
          </w:p>
        </w:tc>
        <w:tc>
          <w:tcPr>
            <w:tcW w:w="855" w:type="pct"/>
            <w:hideMark/>
          </w:tcPr>
          <w:p w:rsidRPr="002B1B42" w:rsidR="002B1B42" w:rsidP="002B1B42" w:rsidRDefault="002B1B42" w14:paraId="08C2EC75" w14:textId="5FE8AEF0">
            <w:pPr>
              <w:pStyle w:val="TableText-IPR"/>
              <w:jc w:val="center"/>
              <w:rPr>
                <w:i/>
              </w:rPr>
            </w:pPr>
            <w:r>
              <w:rPr>
                <w:i/>
              </w:rPr>
              <w:t>1</w:t>
            </w:r>
          </w:p>
        </w:tc>
      </w:tr>
      <w:tr w:rsidRPr="00A75B9B" w:rsidR="002B1B42" w:rsidTr="00CB6433" w14:paraId="2BA516F5" w14:textId="77777777">
        <w:trPr>
          <w:trHeight w:val="288"/>
        </w:trPr>
        <w:tc>
          <w:tcPr>
            <w:tcW w:w="681" w:type="pct"/>
            <w:hideMark/>
          </w:tcPr>
          <w:p w:rsidRPr="00A75B9B" w:rsidR="002B1B42" w:rsidP="005C401C" w:rsidRDefault="002B1B42" w14:paraId="4D0F42AF" w14:textId="4A4649AB">
            <w:pPr>
              <w:pStyle w:val="TableText-IPR"/>
            </w:pPr>
            <w:r>
              <w:t>b</w:t>
            </w:r>
          </w:p>
        </w:tc>
        <w:tc>
          <w:tcPr>
            <w:tcW w:w="1156" w:type="pct"/>
            <w:noWrap/>
            <w:hideMark/>
          </w:tcPr>
          <w:p w:rsidRPr="00A75B9B" w:rsidR="002B1B42" w:rsidP="002B1B42" w:rsidRDefault="002B1B42" w14:paraId="5D7E24F0" w14:textId="6872C2F2">
            <w:pPr>
              <w:pStyle w:val="TableText-IPR"/>
              <w:jc w:val="center"/>
            </w:pPr>
            <w:r>
              <w:t>X</w:t>
            </w:r>
          </w:p>
        </w:tc>
        <w:tc>
          <w:tcPr>
            <w:tcW w:w="552" w:type="pct"/>
            <w:noWrap/>
            <w:hideMark/>
          </w:tcPr>
          <w:p w:rsidRPr="00A75B9B" w:rsidR="002B1B42" w:rsidP="002B1B42" w:rsidRDefault="002B1B42" w14:paraId="242838C5" w14:textId="15ADA5EB">
            <w:pPr>
              <w:pStyle w:val="TableText-IPR"/>
              <w:jc w:val="center"/>
            </w:pPr>
          </w:p>
        </w:tc>
        <w:tc>
          <w:tcPr>
            <w:tcW w:w="854" w:type="pct"/>
            <w:hideMark/>
          </w:tcPr>
          <w:p w:rsidRPr="00A75B9B" w:rsidR="002B1B42" w:rsidP="002B1B42" w:rsidRDefault="002B1B42" w14:paraId="3616AE57" w14:textId="1975343A">
            <w:pPr>
              <w:pStyle w:val="TableText-IPR"/>
              <w:jc w:val="center"/>
            </w:pPr>
            <w:r>
              <w:t>X</w:t>
            </w:r>
          </w:p>
        </w:tc>
        <w:tc>
          <w:tcPr>
            <w:tcW w:w="901" w:type="pct"/>
            <w:hideMark/>
          </w:tcPr>
          <w:p w:rsidRPr="002B1B42" w:rsidR="002B1B42" w:rsidP="002B1B42" w:rsidRDefault="002B1B42" w14:paraId="526248C2" w14:textId="09E5019E">
            <w:pPr>
              <w:pStyle w:val="TableText-IPR"/>
              <w:jc w:val="center"/>
              <w:rPr>
                <w:i/>
              </w:rPr>
            </w:pPr>
            <w:r>
              <w:rPr>
                <w:i/>
              </w:rPr>
              <w:t>nb</w:t>
            </w:r>
          </w:p>
        </w:tc>
        <w:tc>
          <w:tcPr>
            <w:tcW w:w="855" w:type="pct"/>
            <w:noWrap/>
            <w:hideMark/>
          </w:tcPr>
          <w:p w:rsidRPr="002B1B42" w:rsidR="002B1B42" w:rsidP="002B1B42" w:rsidRDefault="002B1B42" w14:paraId="1F8E2819" w14:textId="7ED2120E">
            <w:pPr>
              <w:pStyle w:val="TableText-IPR"/>
              <w:jc w:val="center"/>
              <w:rPr>
                <w:i/>
              </w:rPr>
            </w:pPr>
            <w:r w:rsidRPr="002B1B42">
              <w:rPr>
                <w:i/>
              </w:rPr>
              <w:t>n</w:t>
            </w:r>
            <w:r>
              <w:rPr>
                <w:i/>
              </w:rPr>
              <w:t>b</w:t>
            </w:r>
            <w:r w:rsidRPr="002B1B42">
              <w:rPr>
                <w:i/>
              </w:rPr>
              <w:t>/(</w:t>
            </w:r>
            <w:r>
              <w:rPr>
                <w:i/>
              </w:rPr>
              <w:t>nb</w:t>
            </w:r>
            <w:r w:rsidRPr="002B1B42">
              <w:rPr>
                <w:i/>
              </w:rPr>
              <w:t>+n</w:t>
            </w:r>
            <w:r>
              <w:rPr>
                <w:i/>
              </w:rPr>
              <w:t>c</w:t>
            </w:r>
            <w:r w:rsidRPr="002B1B42">
              <w:rPr>
                <w:i/>
              </w:rPr>
              <w:t>)</w:t>
            </w:r>
          </w:p>
        </w:tc>
      </w:tr>
      <w:tr w:rsidRPr="00A75B9B" w:rsidR="002B1B42" w:rsidTr="00CB6433" w14:paraId="2F25526B" w14:textId="77777777">
        <w:trPr>
          <w:trHeight w:val="288"/>
        </w:trPr>
        <w:tc>
          <w:tcPr>
            <w:tcW w:w="681" w:type="pct"/>
            <w:hideMark/>
          </w:tcPr>
          <w:p w:rsidRPr="00A75B9B" w:rsidR="002B1B42" w:rsidP="002B1B42" w:rsidRDefault="002B1B42" w14:paraId="6AB1692F" w14:textId="54FB6EEF">
            <w:pPr>
              <w:pStyle w:val="TableText-IPR"/>
            </w:pPr>
            <w:r>
              <w:t>c</w:t>
            </w:r>
          </w:p>
        </w:tc>
        <w:tc>
          <w:tcPr>
            <w:tcW w:w="1156" w:type="pct"/>
            <w:noWrap/>
            <w:hideMark/>
          </w:tcPr>
          <w:p w:rsidRPr="00A75B9B" w:rsidR="002B1B42" w:rsidP="002B1B42" w:rsidRDefault="002B1B42" w14:paraId="331D28AC" w14:textId="708A30B1">
            <w:pPr>
              <w:pStyle w:val="TableText-IPR"/>
              <w:jc w:val="center"/>
            </w:pPr>
          </w:p>
        </w:tc>
        <w:tc>
          <w:tcPr>
            <w:tcW w:w="552" w:type="pct"/>
            <w:hideMark/>
          </w:tcPr>
          <w:p w:rsidRPr="00A75B9B" w:rsidR="002B1B42" w:rsidP="002B1B42" w:rsidRDefault="002B1B42" w14:paraId="337073C9" w14:textId="77777777">
            <w:pPr>
              <w:pStyle w:val="TableText-IPR"/>
              <w:jc w:val="center"/>
            </w:pPr>
            <w:r w:rsidRPr="00A75B9B">
              <w:t>X</w:t>
            </w:r>
          </w:p>
        </w:tc>
        <w:tc>
          <w:tcPr>
            <w:tcW w:w="854" w:type="pct"/>
            <w:noWrap/>
            <w:hideMark/>
          </w:tcPr>
          <w:p w:rsidRPr="00A75B9B" w:rsidR="002B1B42" w:rsidP="002B1B42" w:rsidRDefault="002B1B42" w14:paraId="7C16A375" w14:textId="6D0CB7D5">
            <w:pPr>
              <w:pStyle w:val="TableText-IPR"/>
              <w:jc w:val="center"/>
            </w:pPr>
            <w:r>
              <w:t>N/A</w:t>
            </w:r>
          </w:p>
        </w:tc>
        <w:tc>
          <w:tcPr>
            <w:tcW w:w="901" w:type="pct"/>
            <w:hideMark/>
          </w:tcPr>
          <w:p w:rsidRPr="002B1B42" w:rsidR="002B1B42" w:rsidP="002B1B42" w:rsidRDefault="002B1B42" w14:paraId="3FF5144F" w14:textId="3550E2C2">
            <w:pPr>
              <w:pStyle w:val="TableText-IPR"/>
              <w:jc w:val="center"/>
              <w:rPr>
                <w:i/>
              </w:rPr>
            </w:pPr>
            <w:r>
              <w:rPr>
                <w:i/>
              </w:rPr>
              <w:t>nc</w:t>
            </w:r>
          </w:p>
        </w:tc>
        <w:tc>
          <w:tcPr>
            <w:tcW w:w="855" w:type="pct"/>
            <w:noWrap/>
            <w:hideMark/>
          </w:tcPr>
          <w:p w:rsidRPr="002B1B42" w:rsidR="002B1B42" w:rsidP="002B1B42" w:rsidRDefault="002B1B42" w14:paraId="3818EC12" w14:textId="67AB0EBE">
            <w:pPr>
              <w:pStyle w:val="TableText-IPR"/>
              <w:jc w:val="center"/>
              <w:rPr>
                <w:i/>
              </w:rPr>
            </w:pPr>
            <w:r w:rsidRPr="002B1B42">
              <w:rPr>
                <w:i/>
              </w:rPr>
              <w:t>n</w:t>
            </w:r>
            <w:r>
              <w:rPr>
                <w:i/>
              </w:rPr>
              <w:t>c</w:t>
            </w:r>
            <w:r w:rsidRPr="002B1B42">
              <w:rPr>
                <w:i/>
              </w:rPr>
              <w:t>/(n</w:t>
            </w:r>
            <w:r>
              <w:rPr>
                <w:i/>
              </w:rPr>
              <w:t>b</w:t>
            </w:r>
            <w:r w:rsidRPr="002B1B42">
              <w:rPr>
                <w:i/>
              </w:rPr>
              <w:t>+n</w:t>
            </w:r>
            <w:r>
              <w:rPr>
                <w:i/>
              </w:rPr>
              <w:t>c</w:t>
            </w:r>
            <w:r w:rsidRPr="002B1B42">
              <w:rPr>
                <w:i/>
              </w:rPr>
              <w:t>)</w:t>
            </w:r>
          </w:p>
        </w:tc>
      </w:tr>
    </w:tbl>
    <w:p w:rsidR="002B1B42" w:rsidP="002B1B42" w:rsidRDefault="002B1B42" w14:paraId="45D7B195" w14:textId="77777777">
      <w:pPr>
        <w:pStyle w:val="FtnteTable-IPR"/>
      </w:pPr>
      <w:r w:rsidRPr="00A75B9B">
        <w:t xml:space="preserve">*Computed as the number of respondents divided by the unequal weighting design effect. The unequal weighting design effect is estimated as </w:t>
      </w:r>
      <m:oMath>
        <m:r>
          <w:rPr>
            <w:rFonts w:ascii="Cambria Math" w:hAnsi="Cambria Math"/>
          </w:rPr>
          <m:t>1+</m:t>
        </m:r>
        <m:sSubSup>
          <m:sSubSupPr>
            <m:ctrlPr>
              <w:rPr>
                <w:rFonts w:ascii="Cambria Math" w:hAnsi="Cambria Math"/>
                <w:i/>
              </w:rPr>
            </m:ctrlPr>
          </m:sSubSupPr>
          <m:e>
            <m:r>
              <w:rPr>
                <w:rFonts w:ascii="Cambria Math" w:hAnsi="Cambria Math"/>
              </w:rPr>
              <m:t>cv</m:t>
            </m:r>
          </m:e>
          <m:sub>
            <m:r>
              <w:rPr>
                <w:rFonts w:ascii="Cambria Math" w:hAnsi="Cambria Math"/>
              </w:rPr>
              <m:t>w</m:t>
            </m:r>
          </m:sub>
          <m:sup>
            <m:r>
              <w:rPr>
                <w:rFonts w:ascii="Cambria Math" w:hAnsi="Cambria Math"/>
              </w:rPr>
              <m:t>2</m:t>
            </m:r>
          </m:sup>
        </m:sSubSup>
      </m:oMath>
      <w:r w:rsidRPr="00A75B9B">
        <w:t xml:space="preserve">, where </w:t>
      </w:r>
      <m:oMath>
        <m:sSubSup>
          <m:sSubSupPr>
            <m:ctrlPr>
              <w:rPr>
                <w:rFonts w:ascii="Cambria Math" w:hAnsi="Cambria Math"/>
                <w:i/>
              </w:rPr>
            </m:ctrlPr>
          </m:sSubSupPr>
          <m:e>
            <m:r>
              <w:rPr>
                <w:rFonts w:ascii="Cambria Math" w:hAnsi="Cambria Math"/>
              </w:rPr>
              <m:t>cv</m:t>
            </m:r>
          </m:e>
          <m:sub>
            <m:r>
              <w:rPr>
                <w:rFonts w:ascii="Cambria Math" w:hAnsi="Cambria Math"/>
              </w:rPr>
              <m:t>w</m:t>
            </m:r>
          </m:sub>
          <m:sup>
            <m:r>
              <w:rPr>
                <w:rFonts w:ascii="Cambria Math" w:hAnsi="Cambria Math"/>
              </w:rPr>
              <m:t>2</m:t>
            </m:r>
          </m:sup>
        </m:sSubSup>
        <m:r>
          <w:rPr>
            <w:rFonts w:ascii="Cambria Math" w:hAnsi="Cambria Math"/>
          </w:rPr>
          <m:t xml:space="preserve"> </m:t>
        </m:r>
      </m:oMath>
      <w:r w:rsidRPr="00A75B9B">
        <w:t xml:space="preserve">is the coefficient of variation of the nonresponse adjusted weights of the respondents in the group. </w:t>
      </w:r>
    </w:p>
    <w:p w:rsidR="005F44AE" w:rsidP="004C4E17" w:rsidRDefault="008B5D14" w14:paraId="5DCC2AF4" w14:textId="77777777">
      <w:pPr>
        <w:pStyle w:val="Body11ptCalibri-IPR"/>
      </w:pPr>
      <w:r w:rsidRPr="00EF57BE">
        <w:rPr>
          <w:b/>
          <w:bCs/>
          <w:i/>
        </w:rPr>
        <w:t>Calibration adjustment</w:t>
      </w:r>
    </w:p>
    <w:p w:rsidR="00013514" w:rsidP="00013514" w:rsidRDefault="00E06665" w14:paraId="463379A3" w14:textId="77777777">
      <w:pPr>
        <w:pStyle w:val="Body11ptCalibri-IPR"/>
        <w:spacing w:after="240"/>
      </w:pPr>
      <w:r>
        <w:t xml:space="preserve">To compute the </w:t>
      </w:r>
      <w:r w:rsidR="008B5D14">
        <w:t xml:space="preserve">final household </w:t>
      </w:r>
      <w:r>
        <w:t xml:space="preserve">weight, </w:t>
      </w:r>
      <w:r w:rsidR="00A174C2">
        <w:t xml:space="preserve">the study team </w:t>
      </w:r>
      <w:r w:rsidR="003507F8">
        <w:t>will calibrate the composite</w:t>
      </w:r>
      <w:r>
        <w:t xml:space="preserve"> weights to external</w:t>
      </w:r>
      <w:r>
        <w:rPr>
          <w:spacing w:val="1"/>
        </w:rPr>
        <w:t xml:space="preserve"> </w:t>
      </w:r>
      <w:r>
        <w:t xml:space="preserve">household totals so </w:t>
      </w:r>
      <w:r w:rsidR="007B5641">
        <w:t xml:space="preserve">that </w:t>
      </w:r>
      <w:r>
        <w:t xml:space="preserve">the sum of weights of the respondent sample </w:t>
      </w:r>
      <w:r w:rsidR="007B5641">
        <w:t>matches the</w:t>
      </w:r>
      <w:r>
        <w:t xml:space="preserve"> total number of</w:t>
      </w:r>
      <w:r>
        <w:rPr>
          <w:spacing w:val="1"/>
        </w:rPr>
        <w:t xml:space="preserve"> </w:t>
      </w:r>
      <w:r>
        <w:t xml:space="preserve">households </w:t>
      </w:r>
      <w:r w:rsidR="007B5641">
        <w:t xml:space="preserve">in Puerto Rico from external sources, overall and for categories of variables used in the calibration adjustment. </w:t>
      </w:r>
      <w:r>
        <w:t>To facilitate the use of multiple</w:t>
      </w:r>
      <w:r>
        <w:rPr>
          <w:spacing w:val="1"/>
        </w:rPr>
        <w:t xml:space="preserve"> </w:t>
      </w:r>
      <w:r>
        <w:t>characteristics in this calibration adjustment, raking</w:t>
      </w:r>
      <w:r w:rsidR="00A174C2">
        <w:rPr>
          <w:rStyle w:val="FootnoteReference"/>
        </w:rPr>
        <w:footnoteReference w:id="9"/>
      </w:r>
      <w:r>
        <w:t xml:space="preserve"> </w:t>
      </w:r>
      <w:r w:rsidR="0092428C">
        <w:t xml:space="preserve">will be used </w:t>
      </w:r>
      <w:r>
        <w:t>as the</w:t>
      </w:r>
      <w:r>
        <w:rPr>
          <w:spacing w:val="1"/>
        </w:rPr>
        <w:t xml:space="preserve"> </w:t>
      </w:r>
      <w:r>
        <w:t xml:space="preserve">calibration method. To the extent possible, the respondent sample </w:t>
      </w:r>
      <w:r w:rsidR="00172CA6">
        <w:t xml:space="preserve">will be </w:t>
      </w:r>
      <w:r w:rsidR="00172CA6">
        <w:lastRenderedPageBreak/>
        <w:t xml:space="preserve">calibrated </w:t>
      </w:r>
      <w:r>
        <w:t>to external totals</w:t>
      </w:r>
      <w:r>
        <w:rPr>
          <w:spacing w:val="1"/>
        </w:rPr>
        <w:t xml:space="preserve"> </w:t>
      </w:r>
      <w:r>
        <w:t>based on the key subgroups of interest: (1) NAP participation, (2) presence of children in household, (3)</w:t>
      </w:r>
      <w:r>
        <w:rPr>
          <w:spacing w:val="1"/>
        </w:rPr>
        <w:t xml:space="preserve"> </w:t>
      </w:r>
      <w:r>
        <w:t>presence of older individuals</w:t>
      </w:r>
      <w:r w:rsidR="000812CC">
        <w:t xml:space="preserve"> (60 and older)</w:t>
      </w:r>
      <w:r>
        <w:t xml:space="preserve"> in household, (4) presence of adults with</w:t>
      </w:r>
      <w:r>
        <w:rPr>
          <w:spacing w:val="1"/>
        </w:rPr>
        <w:t xml:space="preserve"> </w:t>
      </w:r>
      <w:r>
        <w:t>disabilities in</w:t>
      </w:r>
      <w:r w:rsidR="007B5641">
        <w:t xml:space="preserve"> </w:t>
      </w:r>
      <w:r>
        <w:t>household, and (5) the low‐income nonparticipant subgroup membership. Because of</w:t>
      </w:r>
      <w:r>
        <w:rPr>
          <w:spacing w:val="1"/>
        </w:rPr>
        <w:t xml:space="preserve"> </w:t>
      </w:r>
      <w:r>
        <w:t>associations among these dimensions, it is expected not all dimensions will be retained in the raking</w:t>
      </w:r>
      <w:r>
        <w:rPr>
          <w:spacing w:val="1"/>
        </w:rPr>
        <w:t xml:space="preserve"> </w:t>
      </w:r>
      <w:r>
        <w:t>adjustment. The team will give priority to NAP participation status and collapse or eliminate other</w:t>
      </w:r>
      <w:r>
        <w:rPr>
          <w:spacing w:val="1"/>
        </w:rPr>
        <w:t xml:space="preserve"> </w:t>
      </w:r>
      <w:r>
        <w:t xml:space="preserve">dimensions as necessary. For all dimensions other than NAP participation, </w:t>
      </w:r>
      <w:r w:rsidR="00172CA6">
        <w:t xml:space="preserve">the study team </w:t>
      </w:r>
      <w:r w:rsidR="000812CC">
        <w:t xml:space="preserve">will obtain </w:t>
      </w:r>
      <w:r>
        <w:t xml:space="preserve">the external totals </w:t>
      </w:r>
      <w:r w:rsidR="006834E2">
        <w:t xml:space="preserve">from the most recent </w:t>
      </w:r>
      <w:r w:rsidR="00A174C2">
        <w:t>5</w:t>
      </w:r>
      <w:r>
        <w:t xml:space="preserve">‐year ACS. </w:t>
      </w:r>
      <w:r w:rsidR="00172CA6">
        <w:t xml:space="preserve">The team </w:t>
      </w:r>
      <w:r w:rsidR="000812CC">
        <w:t>will obtain t</w:t>
      </w:r>
      <w:r>
        <w:t>he NAP participation external total from</w:t>
      </w:r>
      <w:r>
        <w:rPr>
          <w:spacing w:val="1"/>
        </w:rPr>
        <w:t xml:space="preserve"> </w:t>
      </w:r>
      <w:r>
        <w:t>administrative</w:t>
      </w:r>
      <w:r>
        <w:rPr>
          <w:spacing w:val="-4"/>
        </w:rPr>
        <w:t xml:space="preserve"> </w:t>
      </w:r>
      <w:r>
        <w:t>counts.</w:t>
      </w:r>
      <w:r>
        <w:rPr>
          <w:spacing w:val="-3"/>
        </w:rPr>
        <w:t xml:space="preserve"> </w:t>
      </w:r>
    </w:p>
    <w:p w:rsidR="00E06665" w:rsidP="00013514" w:rsidRDefault="00E06665" w14:paraId="359064A0" w14:textId="687E0931">
      <w:pPr>
        <w:pStyle w:val="Body11ptCalibri-IPR"/>
        <w:spacing w:after="240"/>
      </w:pPr>
      <w:r>
        <w:t>Because of the inherent differences in the two sampling frames, there may be large variations in the</w:t>
      </w:r>
      <w:r>
        <w:rPr>
          <w:spacing w:val="1"/>
        </w:rPr>
        <w:t xml:space="preserve"> </w:t>
      </w:r>
      <w:r>
        <w:t>weights. Extreme weights may be influential, and large weight variation will decrease the precision of</w:t>
      </w:r>
      <w:r>
        <w:rPr>
          <w:spacing w:val="1"/>
        </w:rPr>
        <w:t xml:space="preserve"> </w:t>
      </w:r>
      <w:r>
        <w:t>the</w:t>
      </w:r>
      <w:r>
        <w:rPr>
          <w:spacing w:val="-3"/>
        </w:rPr>
        <w:t xml:space="preserve"> </w:t>
      </w:r>
      <w:r>
        <w:t>estimates.</w:t>
      </w:r>
      <w:r w:rsidR="00172CA6">
        <w:rPr>
          <w:rStyle w:val="FootnoteReference"/>
        </w:rPr>
        <w:footnoteReference w:id="10"/>
      </w:r>
      <w:r>
        <w:rPr>
          <w:spacing w:val="-2"/>
        </w:rPr>
        <w:t xml:space="preserve"> </w:t>
      </w:r>
      <w:r>
        <w:t>The</w:t>
      </w:r>
      <w:r>
        <w:rPr>
          <w:spacing w:val="-2"/>
        </w:rPr>
        <w:t xml:space="preserve"> </w:t>
      </w:r>
      <w:r>
        <w:t>team</w:t>
      </w:r>
      <w:r>
        <w:rPr>
          <w:spacing w:val="-3"/>
        </w:rPr>
        <w:t xml:space="preserve"> </w:t>
      </w:r>
      <w:r>
        <w:t>will</w:t>
      </w:r>
      <w:r>
        <w:rPr>
          <w:spacing w:val="-2"/>
        </w:rPr>
        <w:t xml:space="preserve"> </w:t>
      </w:r>
      <w:r>
        <w:t>consider</w:t>
      </w:r>
      <w:r>
        <w:rPr>
          <w:spacing w:val="-2"/>
        </w:rPr>
        <w:t xml:space="preserve"> </w:t>
      </w:r>
      <w:r>
        <w:t>trimming</w:t>
      </w:r>
      <w:r>
        <w:rPr>
          <w:spacing w:val="-2"/>
        </w:rPr>
        <w:t xml:space="preserve"> </w:t>
      </w:r>
      <w:r>
        <w:t>extreme</w:t>
      </w:r>
      <w:r>
        <w:rPr>
          <w:spacing w:val="-3"/>
        </w:rPr>
        <w:t xml:space="preserve"> </w:t>
      </w:r>
      <w:r>
        <w:t>outliers</w:t>
      </w:r>
      <w:r>
        <w:rPr>
          <w:spacing w:val="-3"/>
        </w:rPr>
        <w:t xml:space="preserve"> </w:t>
      </w:r>
      <w:r>
        <w:t>to</w:t>
      </w:r>
      <w:r>
        <w:rPr>
          <w:spacing w:val="-3"/>
        </w:rPr>
        <w:t xml:space="preserve"> </w:t>
      </w:r>
      <w:r>
        <w:t>mitigate</w:t>
      </w:r>
      <w:r>
        <w:rPr>
          <w:spacing w:val="-3"/>
        </w:rPr>
        <w:t xml:space="preserve"> </w:t>
      </w:r>
      <w:r>
        <w:t>their</w:t>
      </w:r>
      <w:r w:rsidR="00D24948">
        <w:t xml:space="preserve"> </w:t>
      </w:r>
      <w:r>
        <w:t>impact</w:t>
      </w:r>
      <w:r>
        <w:rPr>
          <w:spacing w:val="-2"/>
        </w:rPr>
        <w:t xml:space="preserve"> </w:t>
      </w:r>
      <w:r>
        <w:t>on</w:t>
      </w:r>
      <w:r>
        <w:rPr>
          <w:spacing w:val="-2"/>
        </w:rPr>
        <w:t xml:space="preserve"> </w:t>
      </w:r>
      <w:r>
        <w:t>analysis</w:t>
      </w:r>
      <w:r>
        <w:rPr>
          <w:spacing w:val="-1"/>
        </w:rPr>
        <w:t xml:space="preserve"> </w:t>
      </w:r>
      <w:r>
        <w:t>results</w:t>
      </w:r>
      <w:r w:rsidR="00172CA6">
        <w:t xml:space="preserve"> and </w:t>
      </w:r>
      <w:r w:rsidR="00D24948">
        <w:rPr>
          <w:spacing w:val="-1"/>
        </w:rPr>
        <w:t xml:space="preserve">will again rake </w:t>
      </w:r>
      <w:r w:rsidR="00D24948">
        <w:t>t</w:t>
      </w:r>
      <w:r>
        <w:t>he</w:t>
      </w:r>
      <w:r>
        <w:rPr>
          <w:spacing w:val="-1"/>
        </w:rPr>
        <w:t xml:space="preserve"> </w:t>
      </w:r>
      <w:r>
        <w:t>trimmed</w:t>
      </w:r>
      <w:r>
        <w:rPr>
          <w:spacing w:val="-1"/>
        </w:rPr>
        <w:t xml:space="preserve"> </w:t>
      </w:r>
      <w:r>
        <w:t>weights</w:t>
      </w:r>
      <w:r>
        <w:rPr>
          <w:spacing w:val="-1"/>
        </w:rPr>
        <w:t xml:space="preserve"> </w:t>
      </w:r>
      <w:r>
        <w:t>to the external</w:t>
      </w:r>
      <w:r>
        <w:rPr>
          <w:spacing w:val="-1"/>
        </w:rPr>
        <w:t xml:space="preserve"> </w:t>
      </w:r>
      <w:r>
        <w:t>totals.</w:t>
      </w:r>
    </w:p>
    <w:p w:rsidR="005F44AE" w:rsidP="004C4E17" w:rsidRDefault="002455B1" w14:paraId="0862C7A4" w14:textId="77777777">
      <w:pPr>
        <w:pStyle w:val="Body11ptCalibri-IPR"/>
      </w:pPr>
      <w:r w:rsidRPr="00EF57BE">
        <w:rPr>
          <w:b/>
          <w:bCs/>
          <w:i/>
        </w:rPr>
        <w:t>Variance estimation</w:t>
      </w:r>
    </w:p>
    <w:p w:rsidR="00013514" w:rsidP="00013514" w:rsidRDefault="00172CA6" w14:paraId="01485E03" w14:textId="77777777">
      <w:pPr>
        <w:pStyle w:val="Body11ptCalibri-IPR"/>
        <w:spacing w:after="240"/>
      </w:pPr>
      <w:r>
        <w:t>The study team</w:t>
      </w:r>
      <w:r w:rsidR="00244CF7">
        <w:t xml:space="preserve"> can compute e</w:t>
      </w:r>
      <w:r w:rsidR="0069773E">
        <w:t>stimates of the precision of the estimates using replication methods, such as the</w:t>
      </w:r>
      <w:r w:rsidR="0069773E">
        <w:rPr>
          <w:spacing w:val="1"/>
        </w:rPr>
        <w:t xml:space="preserve"> </w:t>
      </w:r>
      <w:r w:rsidR="0069773E">
        <w:t>jackknife method, or the linearization approach based on Taylor Series approximations.</w:t>
      </w:r>
      <w:r>
        <w:rPr>
          <w:rStyle w:val="FootnoteReference"/>
        </w:rPr>
        <w:footnoteReference w:id="11"/>
      </w:r>
      <w:r w:rsidR="0069773E">
        <w:rPr>
          <w:spacing w:val="1"/>
        </w:rPr>
        <w:t xml:space="preserve"> </w:t>
      </w:r>
      <w:r w:rsidR="0069773E">
        <w:t xml:space="preserve">The replication </w:t>
      </w:r>
      <w:r w:rsidR="002455B1">
        <w:t>approach</w:t>
      </w:r>
      <w:r w:rsidR="0069773E">
        <w:t xml:space="preserve"> is implemented by defining subsamples (replicates) and applying weighting</w:t>
      </w:r>
      <w:r w:rsidR="0069773E">
        <w:rPr>
          <w:spacing w:val="1"/>
        </w:rPr>
        <w:t xml:space="preserve"> </w:t>
      </w:r>
      <w:r w:rsidR="0069773E">
        <w:t>adjustments for each replicate separately. In addition to the weights described above (the “full‐sample</w:t>
      </w:r>
      <w:r w:rsidR="0069773E">
        <w:rPr>
          <w:spacing w:val="1"/>
        </w:rPr>
        <w:t xml:space="preserve"> </w:t>
      </w:r>
      <w:r w:rsidR="0069773E">
        <w:t xml:space="preserve">weight”), </w:t>
      </w:r>
      <w:r>
        <w:t>the study team</w:t>
      </w:r>
      <w:r w:rsidR="0069773E">
        <w:t xml:space="preserve"> </w:t>
      </w:r>
      <w:r w:rsidR="00244CF7">
        <w:t xml:space="preserve">will </w:t>
      </w:r>
      <w:r w:rsidR="0069773E">
        <w:t>compute and provide replicate weights on the analysis files. With the replicate</w:t>
      </w:r>
      <w:r w:rsidR="0069773E">
        <w:rPr>
          <w:spacing w:val="1"/>
        </w:rPr>
        <w:t xml:space="preserve"> </w:t>
      </w:r>
      <w:r w:rsidR="0069773E">
        <w:t>weights, standard software, such as R, Stata, SAS (Survey procs), and SUDAAN, can be used for analyses</w:t>
      </w:r>
      <w:r w:rsidR="0069773E">
        <w:rPr>
          <w:spacing w:val="1"/>
        </w:rPr>
        <w:t xml:space="preserve"> </w:t>
      </w:r>
      <w:r w:rsidR="0069773E">
        <w:t>to appropriately reflect the precision, accounting for the complex sample design and estimation scheme</w:t>
      </w:r>
      <w:r w:rsidR="00244CF7">
        <w:t>.</w:t>
      </w:r>
      <w:r w:rsidR="00404247">
        <w:t xml:space="preserve"> </w:t>
      </w:r>
      <w:r>
        <w:t>The team</w:t>
      </w:r>
      <w:r w:rsidR="002455B1">
        <w:t xml:space="preserve"> w</w:t>
      </w:r>
      <w:r w:rsidR="0069773E">
        <w:t>ill also include variance stratum and variance unit identifiers on each record in the analysis</w:t>
      </w:r>
      <w:r w:rsidR="0069773E">
        <w:rPr>
          <w:spacing w:val="1"/>
        </w:rPr>
        <w:t xml:space="preserve"> </w:t>
      </w:r>
      <w:r w:rsidR="0069773E">
        <w:t xml:space="preserve">files </w:t>
      </w:r>
      <w:r w:rsidR="0092428C">
        <w:t xml:space="preserve">to ensure </w:t>
      </w:r>
      <w:r w:rsidR="0069773E">
        <w:t>the Taylor Series linearization approach can be used (as an alternative to replication) by analysts</w:t>
      </w:r>
      <w:r w:rsidR="0069773E">
        <w:rPr>
          <w:spacing w:val="1"/>
        </w:rPr>
        <w:t xml:space="preserve"> </w:t>
      </w:r>
      <w:r w:rsidR="0069773E">
        <w:t>who prefer that method. The two methods often give very similar estimates of standard errors, although</w:t>
      </w:r>
      <w:r w:rsidR="004304E5">
        <w:t xml:space="preserve"> </w:t>
      </w:r>
      <w:r w:rsidR="00244CF7">
        <w:t>r</w:t>
      </w:r>
      <w:r w:rsidR="0069773E">
        <w:t xml:space="preserve">eplication methods are more effective in accounting for the </w:t>
      </w:r>
      <w:r w:rsidR="0069773E">
        <w:lastRenderedPageBreak/>
        <w:t>precision effects of several adjustments to</w:t>
      </w:r>
      <w:r w:rsidR="0069773E">
        <w:rPr>
          <w:spacing w:val="1"/>
        </w:rPr>
        <w:t xml:space="preserve"> </w:t>
      </w:r>
      <w:r w:rsidR="0069773E">
        <w:t>the weights. The differences in the standard errors obtained by the two methods are likely to be more</w:t>
      </w:r>
      <w:r w:rsidR="0069773E">
        <w:rPr>
          <w:spacing w:val="1"/>
        </w:rPr>
        <w:t xml:space="preserve"> </w:t>
      </w:r>
      <w:r w:rsidR="0069773E">
        <w:t>substantial for estimates of totals compared with estimates of means and proportions</w:t>
      </w:r>
      <w:r>
        <w:t>.</w:t>
      </w:r>
      <w:r>
        <w:rPr>
          <w:rStyle w:val="FootnoteReference"/>
        </w:rPr>
        <w:footnoteReference w:id="12"/>
      </w:r>
    </w:p>
    <w:p w:rsidR="00013514" w:rsidP="00013514" w:rsidRDefault="00172CA6" w14:paraId="16D19B99" w14:textId="5C6DA74F">
      <w:pPr>
        <w:pStyle w:val="Body11ptCalibri-IPR"/>
        <w:spacing w:after="240"/>
      </w:pPr>
      <w:r>
        <w:t xml:space="preserve">The study team </w:t>
      </w:r>
      <w:r w:rsidR="00244CF7">
        <w:t>will base t</w:t>
      </w:r>
      <w:r w:rsidR="0069773E">
        <w:t>he formation of replicates and the definitions of variance strata on how the sample was</w:t>
      </w:r>
      <w:r w:rsidR="0069773E">
        <w:rPr>
          <w:spacing w:val="1"/>
        </w:rPr>
        <w:t xml:space="preserve"> </w:t>
      </w:r>
      <w:r w:rsidR="0069773E">
        <w:t>selected and will vary</w:t>
      </w:r>
      <w:r w:rsidR="00244CF7">
        <w:t xml:space="preserve"> the formation and definitions</w:t>
      </w:r>
      <w:r w:rsidR="0069773E">
        <w:t xml:space="preserve"> by sampling frame. </w:t>
      </w:r>
      <w:r>
        <w:t xml:space="preserve">The team </w:t>
      </w:r>
      <w:r w:rsidR="00244CF7">
        <w:t>will create r</w:t>
      </w:r>
      <w:r w:rsidR="0069773E">
        <w:t>eplicates and variance strata within each</w:t>
      </w:r>
      <w:r w:rsidR="0069773E">
        <w:rPr>
          <w:spacing w:val="1"/>
        </w:rPr>
        <w:t xml:space="preserve"> </w:t>
      </w:r>
      <w:r w:rsidR="0069773E">
        <w:t xml:space="preserve">sampling frame. </w:t>
      </w:r>
      <w:r>
        <w:t>V</w:t>
      </w:r>
      <w:r w:rsidR="0069773E">
        <w:t>ariance strata</w:t>
      </w:r>
      <w:r>
        <w:t xml:space="preserve"> will be defined</w:t>
      </w:r>
      <w:r w:rsidR="0069773E">
        <w:t xml:space="preserve"> as sampling strata nested within a sampling frame. To</w:t>
      </w:r>
      <w:r w:rsidR="0069773E">
        <w:rPr>
          <w:spacing w:val="1"/>
        </w:rPr>
        <w:t xml:space="preserve"> </w:t>
      </w:r>
      <w:r w:rsidR="0069773E">
        <w:t>create</w:t>
      </w:r>
      <w:r w:rsidR="0069773E">
        <w:rPr>
          <w:spacing w:val="-1"/>
        </w:rPr>
        <w:t xml:space="preserve"> </w:t>
      </w:r>
      <w:r w:rsidR="0069773E">
        <w:t>balance</w:t>
      </w:r>
      <w:r w:rsidR="0069773E">
        <w:rPr>
          <w:spacing w:val="-3"/>
        </w:rPr>
        <w:t xml:space="preserve"> </w:t>
      </w:r>
      <w:r w:rsidR="0069773E">
        <w:t>across</w:t>
      </w:r>
      <w:r w:rsidR="0069773E">
        <w:rPr>
          <w:spacing w:val="-2"/>
        </w:rPr>
        <w:t xml:space="preserve"> </w:t>
      </w:r>
      <w:r w:rsidR="0069773E">
        <w:t>the</w:t>
      </w:r>
      <w:r w:rsidR="0069773E">
        <w:rPr>
          <w:spacing w:val="-2"/>
        </w:rPr>
        <w:t xml:space="preserve"> </w:t>
      </w:r>
      <w:r w:rsidR="0069773E">
        <w:t>samples,</w:t>
      </w:r>
      <w:r w:rsidR="0069773E">
        <w:rPr>
          <w:spacing w:val="-2"/>
        </w:rPr>
        <w:t xml:space="preserve"> </w:t>
      </w:r>
      <w:r>
        <w:rPr>
          <w:spacing w:val="-2"/>
        </w:rPr>
        <w:t>the team</w:t>
      </w:r>
      <w:r w:rsidR="00244CF7">
        <w:rPr>
          <w:spacing w:val="-2"/>
        </w:rPr>
        <w:t xml:space="preserve"> will create </w:t>
      </w:r>
      <w:r w:rsidR="0069773E">
        <w:t>50</w:t>
      </w:r>
      <w:r w:rsidR="0069773E">
        <w:rPr>
          <w:spacing w:val="-2"/>
        </w:rPr>
        <w:t xml:space="preserve"> </w:t>
      </w:r>
      <w:r w:rsidR="0069773E">
        <w:t>replicates</w:t>
      </w:r>
      <w:r w:rsidR="0069773E">
        <w:rPr>
          <w:spacing w:val="-2"/>
        </w:rPr>
        <w:t xml:space="preserve"> </w:t>
      </w:r>
      <w:r w:rsidR="0069773E">
        <w:t>for</w:t>
      </w:r>
      <w:r w:rsidR="0069773E">
        <w:rPr>
          <w:spacing w:val="-3"/>
        </w:rPr>
        <w:t xml:space="preserve"> </w:t>
      </w:r>
      <w:r w:rsidR="0069773E">
        <w:t>each</w:t>
      </w:r>
      <w:r w:rsidR="0069773E">
        <w:rPr>
          <w:spacing w:val="-1"/>
        </w:rPr>
        <w:t xml:space="preserve"> </w:t>
      </w:r>
      <w:r w:rsidR="0069773E">
        <w:t>sampling</w:t>
      </w:r>
      <w:r w:rsidR="0069773E">
        <w:rPr>
          <w:spacing w:val="-3"/>
        </w:rPr>
        <w:t xml:space="preserve"> </w:t>
      </w:r>
      <w:r w:rsidR="0069773E">
        <w:t>frame</w:t>
      </w:r>
      <w:r w:rsidR="008830AA">
        <w:t>,</w:t>
      </w:r>
      <w:r w:rsidR="0069773E">
        <w:rPr>
          <w:spacing w:val="-2"/>
        </w:rPr>
        <w:t xml:space="preserve"> </w:t>
      </w:r>
      <w:r w:rsidR="0069773E">
        <w:t>for</w:t>
      </w:r>
      <w:r w:rsidR="0069773E">
        <w:rPr>
          <w:spacing w:val="-2"/>
        </w:rPr>
        <w:t xml:space="preserve"> </w:t>
      </w:r>
      <w:r w:rsidR="0069773E">
        <w:t>a</w:t>
      </w:r>
      <w:r w:rsidR="0069773E">
        <w:rPr>
          <w:spacing w:val="-3"/>
        </w:rPr>
        <w:t xml:space="preserve"> </w:t>
      </w:r>
      <w:r w:rsidR="0069773E">
        <w:t>total</w:t>
      </w:r>
      <w:r w:rsidR="00F67443">
        <w:t xml:space="preserve"> </w:t>
      </w:r>
      <w:r w:rsidR="0069773E">
        <w:t>of</w:t>
      </w:r>
      <w:r w:rsidR="0069773E">
        <w:rPr>
          <w:spacing w:val="-4"/>
        </w:rPr>
        <w:t xml:space="preserve"> </w:t>
      </w:r>
      <w:r w:rsidR="0069773E">
        <w:t>100</w:t>
      </w:r>
      <w:r w:rsidR="0069773E">
        <w:rPr>
          <w:spacing w:val="-2"/>
        </w:rPr>
        <w:t xml:space="preserve"> </w:t>
      </w:r>
      <w:r w:rsidR="0069773E">
        <w:t>replicates</w:t>
      </w:r>
      <w:r>
        <w:rPr>
          <w:spacing w:val="-3"/>
        </w:rPr>
        <w:t xml:space="preserve"> to </w:t>
      </w:r>
      <w:r w:rsidR="0069773E">
        <w:t>provide</w:t>
      </w:r>
      <w:r w:rsidR="0069773E">
        <w:rPr>
          <w:spacing w:val="-2"/>
        </w:rPr>
        <w:t xml:space="preserve"> </w:t>
      </w:r>
      <w:r w:rsidR="0069773E">
        <w:t>sufficient</w:t>
      </w:r>
      <w:r w:rsidR="0069773E">
        <w:rPr>
          <w:spacing w:val="-4"/>
        </w:rPr>
        <w:t xml:space="preserve"> </w:t>
      </w:r>
      <w:r w:rsidR="0069773E">
        <w:t>degrees</w:t>
      </w:r>
      <w:r w:rsidR="0069773E">
        <w:rPr>
          <w:spacing w:val="-2"/>
        </w:rPr>
        <w:t xml:space="preserve"> </w:t>
      </w:r>
      <w:r w:rsidR="0069773E">
        <w:t>of</w:t>
      </w:r>
      <w:r w:rsidR="0069773E">
        <w:rPr>
          <w:spacing w:val="-2"/>
        </w:rPr>
        <w:t xml:space="preserve"> </w:t>
      </w:r>
      <w:r w:rsidR="0069773E">
        <w:t>freedom</w:t>
      </w:r>
      <w:r w:rsidR="0069773E">
        <w:rPr>
          <w:spacing w:val="-3"/>
        </w:rPr>
        <w:t xml:space="preserve"> </w:t>
      </w:r>
      <w:r w:rsidR="0069773E">
        <w:t>and</w:t>
      </w:r>
      <w:r w:rsidR="0069773E">
        <w:rPr>
          <w:spacing w:val="-2"/>
        </w:rPr>
        <w:t xml:space="preserve"> </w:t>
      </w:r>
      <w:r w:rsidR="0069773E">
        <w:t>limit</w:t>
      </w:r>
      <w:r w:rsidR="0069773E">
        <w:rPr>
          <w:spacing w:val="-4"/>
        </w:rPr>
        <w:t xml:space="preserve"> </w:t>
      </w:r>
      <w:r w:rsidR="0069773E">
        <w:t>the</w:t>
      </w:r>
      <w:r w:rsidR="0069773E">
        <w:rPr>
          <w:spacing w:val="-2"/>
        </w:rPr>
        <w:t xml:space="preserve"> </w:t>
      </w:r>
      <w:r w:rsidR="0069773E">
        <w:t>number</w:t>
      </w:r>
      <w:r w:rsidR="0069773E">
        <w:rPr>
          <w:spacing w:val="-3"/>
        </w:rPr>
        <w:t xml:space="preserve"> </w:t>
      </w:r>
      <w:r w:rsidR="0069773E">
        <w:t>of</w:t>
      </w:r>
      <w:r w:rsidR="004304E5">
        <w:t xml:space="preserve"> </w:t>
      </w:r>
      <w:r w:rsidR="00244CF7">
        <w:t>w</w:t>
      </w:r>
      <w:r w:rsidR="0069773E">
        <w:t>eight</w:t>
      </w:r>
      <w:r w:rsidR="0069773E">
        <w:rPr>
          <w:spacing w:val="-1"/>
        </w:rPr>
        <w:t xml:space="preserve"> </w:t>
      </w:r>
      <w:r w:rsidR="0069773E">
        <w:t>variables, keeping</w:t>
      </w:r>
      <w:r w:rsidR="0069773E">
        <w:rPr>
          <w:spacing w:val="-1"/>
        </w:rPr>
        <w:t xml:space="preserve"> </w:t>
      </w:r>
      <w:r w:rsidR="0069773E">
        <w:t>the dataset</w:t>
      </w:r>
      <w:r w:rsidR="0069773E">
        <w:rPr>
          <w:spacing w:val="-2"/>
        </w:rPr>
        <w:t xml:space="preserve"> </w:t>
      </w:r>
      <w:r w:rsidR="0069773E">
        <w:t>manageable for data</w:t>
      </w:r>
      <w:r w:rsidR="0069773E">
        <w:rPr>
          <w:spacing w:val="-1"/>
        </w:rPr>
        <w:t xml:space="preserve"> </w:t>
      </w:r>
      <w:r w:rsidR="0069773E">
        <w:t>analysis.</w:t>
      </w:r>
    </w:p>
    <w:p w:rsidR="00013514" w:rsidP="00013514" w:rsidRDefault="002455B1" w14:paraId="4DCDF65A" w14:textId="77777777">
      <w:pPr>
        <w:pStyle w:val="Body11ptCalibri-IPR"/>
        <w:spacing w:after="240"/>
      </w:pPr>
      <w:r>
        <w:t>For the NAP list sample, the sampling unit is the household</w:t>
      </w:r>
      <w:r w:rsidR="00CA00FC">
        <w:t xml:space="preserve">, and </w:t>
      </w:r>
      <w:r w:rsidR="0069773E">
        <w:t>households will serve as the variance</w:t>
      </w:r>
      <w:r w:rsidR="0069773E">
        <w:rPr>
          <w:spacing w:val="1"/>
        </w:rPr>
        <w:t xml:space="preserve"> </w:t>
      </w:r>
      <w:r w:rsidR="0069773E">
        <w:t xml:space="preserve">units for this sample. </w:t>
      </w:r>
      <w:r w:rsidR="00CA00FC">
        <w:t>For the area probability sample, there are two stages of selection, with households sampled within</w:t>
      </w:r>
      <w:r w:rsidR="00CA00FC">
        <w:rPr>
          <w:spacing w:val="1"/>
        </w:rPr>
        <w:t xml:space="preserve"> </w:t>
      </w:r>
      <w:r w:rsidR="00CA00FC">
        <w:t>sampled</w:t>
      </w:r>
      <w:r w:rsidR="00CA00FC">
        <w:rPr>
          <w:spacing w:val="-3"/>
        </w:rPr>
        <w:t xml:space="preserve"> </w:t>
      </w:r>
      <w:r w:rsidR="00CA00FC">
        <w:t xml:space="preserve">segments. </w:t>
      </w:r>
      <w:r w:rsidR="0069773E">
        <w:t>The variance strata definition will mirror the definition of the strata defined for</w:t>
      </w:r>
      <w:r w:rsidR="0069773E">
        <w:rPr>
          <w:spacing w:val="1"/>
        </w:rPr>
        <w:t xml:space="preserve"> </w:t>
      </w:r>
      <w:r w:rsidR="0069773E">
        <w:t>sampling</w:t>
      </w:r>
      <w:r w:rsidR="00CA00FC">
        <w:t>, with combining of strata as needed to obtain 50 replicates associated with each of the two samples</w:t>
      </w:r>
      <w:r w:rsidR="0069773E">
        <w:t xml:space="preserve">. </w:t>
      </w:r>
      <w:r w:rsidR="00172CA6">
        <w:t xml:space="preserve">The study team </w:t>
      </w:r>
      <w:r w:rsidR="00244CF7">
        <w:t>will use t</w:t>
      </w:r>
      <w:r w:rsidR="0069773E">
        <w:t xml:space="preserve">he </w:t>
      </w:r>
      <w:r w:rsidR="0071635E">
        <w:t>stratified</w:t>
      </w:r>
      <w:r w:rsidR="0069773E">
        <w:t xml:space="preserve"> jackknife</w:t>
      </w:r>
      <w:r w:rsidR="0071635E">
        <w:t xml:space="preserve"> </w:t>
      </w:r>
      <w:r w:rsidR="0069773E">
        <w:t>replication method (</w:t>
      </w:r>
      <w:r w:rsidR="0071635E">
        <w:t xml:space="preserve">JKn) </w:t>
      </w:r>
      <w:r w:rsidR="00CA00FC">
        <w:t>to create replicates. For the NAP list sample, w</w:t>
      </w:r>
      <w:r w:rsidR="0069773E">
        <w:t>ithin</w:t>
      </w:r>
      <w:r w:rsidR="0069773E">
        <w:rPr>
          <w:spacing w:val="-2"/>
        </w:rPr>
        <w:t xml:space="preserve"> </w:t>
      </w:r>
      <w:r w:rsidR="0069773E">
        <w:t>each</w:t>
      </w:r>
      <w:r w:rsidR="0069773E">
        <w:rPr>
          <w:spacing w:val="-2"/>
        </w:rPr>
        <w:t xml:space="preserve"> </w:t>
      </w:r>
      <w:r w:rsidR="0069773E">
        <w:t>variance</w:t>
      </w:r>
      <w:r w:rsidR="0069773E">
        <w:rPr>
          <w:spacing w:val="-1"/>
        </w:rPr>
        <w:t xml:space="preserve"> </w:t>
      </w:r>
      <w:r w:rsidR="0069773E">
        <w:t>stratum,</w:t>
      </w:r>
      <w:r w:rsidR="0069773E">
        <w:rPr>
          <w:spacing w:val="-2"/>
        </w:rPr>
        <w:t xml:space="preserve"> </w:t>
      </w:r>
      <w:r w:rsidR="00172CA6">
        <w:t>the team</w:t>
      </w:r>
      <w:r w:rsidR="0069773E">
        <w:rPr>
          <w:spacing w:val="-1"/>
        </w:rPr>
        <w:t xml:space="preserve"> </w:t>
      </w:r>
      <w:r w:rsidR="0069773E">
        <w:t>will</w:t>
      </w:r>
      <w:r w:rsidR="0069773E">
        <w:rPr>
          <w:spacing w:val="-2"/>
        </w:rPr>
        <w:t xml:space="preserve"> </w:t>
      </w:r>
      <w:r w:rsidR="0069773E">
        <w:t>form</w:t>
      </w:r>
      <w:r w:rsidR="0069773E">
        <w:rPr>
          <w:spacing w:val="-2"/>
        </w:rPr>
        <w:t xml:space="preserve"> </w:t>
      </w:r>
      <w:r w:rsidR="0069773E">
        <w:t>equal‐sized</w:t>
      </w:r>
      <w:r w:rsidR="0069773E">
        <w:rPr>
          <w:spacing w:val="-2"/>
        </w:rPr>
        <w:t xml:space="preserve"> </w:t>
      </w:r>
      <w:r w:rsidR="0069773E">
        <w:t>clusters</w:t>
      </w:r>
      <w:r w:rsidR="0069773E">
        <w:rPr>
          <w:spacing w:val="-1"/>
        </w:rPr>
        <w:t xml:space="preserve"> </w:t>
      </w:r>
      <w:r w:rsidR="0069773E">
        <w:t>(groups)</w:t>
      </w:r>
      <w:r w:rsidR="0069773E">
        <w:rPr>
          <w:spacing w:val="-2"/>
        </w:rPr>
        <w:t xml:space="preserve"> </w:t>
      </w:r>
      <w:r w:rsidR="0069773E">
        <w:t>of</w:t>
      </w:r>
      <w:r w:rsidR="0069773E">
        <w:rPr>
          <w:spacing w:val="-2"/>
        </w:rPr>
        <w:t xml:space="preserve"> </w:t>
      </w:r>
      <w:r w:rsidR="0069773E">
        <w:t>sampled</w:t>
      </w:r>
      <w:r w:rsidR="0069773E">
        <w:rPr>
          <w:spacing w:val="-1"/>
        </w:rPr>
        <w:t xml:space="preserve"> </w:t>
      </w:r>
      <w:r w:rsidR="0071635E">
        <w:t xml:space="preserve">households </w:t>
      </w:r>
      <w:r w:rsidR="0069773E">
        <w:t>by</w:t>
      </w:r>
      <w:r w:rsidR="0069773E">
        <w:rPr>
          <w:spacing w:val="-2"/>
        </w:rPr>
        <w:t xml:space="preserve"> </w:t>
      </w:r>
      <w:r w:rsidR="0069773E">
        <w:t>randomly</w:t>
      </w:r>
      <w:r w:rsidR="0069773E">
        <w:rPr>
          <w:spacing w:val="2"/>
        </w:rPr>
        <w:t xml:space="preserve"> </w:t>
      </w:r>
      <w:r w:rsidR="0069773E">
        <w:t>grouping</w:t>
      </w:r>
      <w:r w:rsidR="0069773E">
        <w:rPr>
          <w:spacing w:val="1"/>
        </w:rPr>
        <w:t xml:space="preserve"> </w:t>
      </w:r>
      <w:r w:rsidR="0069773E">
        <w:t>them</w:t>
      </w:r>
      <w:r w:rsidR="0069773E">
        <w:rPr>
          <w:spacing w:val="-1"/>
        </w:rPr>
        <w:t xml:space="preserve"> </w:t>
      </w:r>
      <w:r w:rsidR="0069773E">
        <w:t>to</w:t>
      </w:r>
      <w:r w:rsidR="0069773E">
        <w:rPr>
          <w:spacing w:val="-1"/>
        </w:rPr>
        <w:t xml:space="preserve"> </w:t>
      </w:r>
      <w:r w:rsidR="0069773E">
        <w:t>create</w:t>
      </w:r>
      <w:r w:rsidR="0069773E">
        <w:rPr>
          <w:spacing w:val="-2"/>
        </w:rPr>
        <w:t xml:space="preserve"> </w:t>
      </w:r>
      <w:r w:rsidR="0071635E">
        <w:t>50 replicates</w:t>
      </w:r>
      <w:r w:rsidR="0069773E">
        <w:t>.</w:t>
      </w:r>
    </w:p>
    <w:p w:rsidR="00013514" w:rsidP="00013514" w:rsidRDefault="00172CA6" w14:paraId="07B83E68" w14:textId="77777777">
      <w:pPr>
        <w:pStyle w:val="Body11ptCalibri-IPR"/>
        <w:spacing w:after="240"/>
      </w:pPr>
      <w:r>
        <w:t xml:space="preserve">The study team </w:t>
      </w:r>
      <w:r w:rsidR="00244CF7">
        <w:t>will also use t</w:t>
      </w:r>
      <w:r w:rsidR="0069773E">
        <w:t>he</w:t>
      </w:r>
      <w:r w:rsidR="0069773E">
        <w:rPr>
          <w:spacing w:val="-3"/>
        </w:rPr>
        <w:t xml:space="preserve"> </w:t>
      </w:r>
      <w:r w:rsidR="0069773E">
        <w:t>adjustments</w:t>
      </w:r>
      <w:r w:rsidR="0069773E">
        <w:rPr>
          <w:spacing w:val="-2"/>
        </w:rPr>
        <w:t xml:space="preserve"> </w:t>
      </w:r>
      <w:r w:rsidR="0069773E">
        <w:t>that</w:t>
      </w:r>
      <w:r w:rsidR="0069773E">
        <w:rPr>
          <w:spacing w:val="-1"/>
        </w:rPr>
        <w:t xml:space="preserve"> </w:t>
      </w:r>
      <w:r w:rsidR="0069773E">
        <w:t>produce</w:t>
      </w:r>
      <w:r w:rsidR="0069773E">
        <w:rPr>
          <w:spacing w:val="-2"/>
        </w:rPr>
        <w:t xml:space="preserve"> </w:t>
      </w:r>
      <w:r w:rsidR="0069773E">
        <w:t>the</w:t>
      </w:r>
      <w:r w:rsidR="0069773E">
        <w:rPr>
          <w:spacing w:val="-2"/>
        </w:rPr>
        <w:t xml:space="preserve"> </w:t>
      </w:r>
      <w:r w:rsidR="0069773E">
        <w:t>full sample</w:t>
      </w:r>
      <w:r w:rsidR="0069773E">
        <w:rPr>
          <w:spacing w:val="-2"/>
        </w:rPr>
        <w:t xml:space="preserve"> </w:t>
      </w:r>
      <w:r w:rsidR="0069773E">
        <w:t>weight</w:t>
      </w:r>
      <w:r w:rsidR="0069773E">
        <w:rPr>
          <w:spacing w:val="-2"/>
        </w:rPr>
        <w:t xml:space="preserve"> </w:t>
      </w:r>
      <w:r w:rsidR="0069773E">
        <w:t>in computing the replicate weights, with the adjustment factors computed separately</w:t>
      </w:r>
      <w:r w:rsidR="0069773E">
        <w:rPr>
          <w:spacing w:val="1"/>
        </w:rPr>
        <w:t xml:space="preserve"> </w:t>
      </w:r>
      <w:r w:rsidR="0069773E">
        <w:t>within</w:t>
      </w:r>
      <w:r w:rsidR="0069773E">
        <w:rPr>
          <w:spacing w:val="-1"/>
        </w:rPr>
        <w:t xml:space="preserve"> </w:t>
      </w:r>
      <w:r w:rsidR="0069773E">
        <w:t>each replicate.</w:t>
      </w:r>
    </w:p>
    <w:p w:rsidR="007B5641" w:rsidP="00013514" w:rsidRDefault="007B5641" w14:paraId="7BB9AC14" w14:textId="0B4C4323">
      <w:pPr>
        <w:pStyle w:val="Body11ptCalibri-IPR"/>
        <w:spacing w:after="240"/>
      </w:pPr>
      <w:r>
        <w:t>The</w:t>
      </w:r>
      <w:r>
        <w:rPr>
          <w:spacing w:val="-5"/>
        </w:rPr>
        <w:t xml:space="preserve"> </w:t>
      </w:r>
      <w:r>
        <w:t>final</w:t>
      </w:r>
      <w:r>
        <w:rPr>
          <w:spacing w:val="-4"/>
        </w:rPr>
        <w:t xml:space="preserve"> </w:t>
      </w:r>
      <w:r>
        <w:t>weighted</w:t>
      </w:r>
      <w:r>
        <w:rPr>
          <w:spacing w:val="-4"/>
        </w:rPr>
        <w:t xml:space="preserve"> </w:t>
      </w:r>
      <w:r>
        <w:t>sample</w:t>
      </w:r>
      <w:r>
        <w:rPr>
          <w:spacing w:val="-3"/>
        </w:rPr>
        <w:t xml:space="preserve"> </w:t>
      </w:r>
      <w:r>
        <w:t>of</w:t>
      </w:r>
      <w:r>
        <w:rPr>
          <w:spacing w:val="-4"/>
        </w:rPr>
        <w:t xml:space="preserve"> </w:t>
      </w:r>
      <w:r>
        <w:t>responding</w:t>
      </w:r>
      <w:r>
        <w:rPr>
          <w:spacing w:val="-4"/>
        </w:rPr>
        <w:t xml:space="preserve"> </w:t>
      </w:r>
      <w:r>
        <w:t>households</w:t>
      </w:r>
      <w:r>
        <w:rPr>
          <w:spacing w:val="-2"/>
        </w:rPr>
        <w:t xml:space="preserve"> </w:t>
      </w:r>
      <w:r>
        <w:t>will</w:t>
      </w:r>
      <w:r>
        <w:rPr>
          <w:spacing w:val="-3"/>
        </w:rPr>
        <w:t xml:space="preserve"> </w:t>
      </w:r>
      <w:r>
        <w:t>represent</w:t>
      </w:r>
      <w:r>
        <w:rPr>
          <w:spacing w:val="-4"/>
        </w:rPr>
        <w:t xml:space="preserve"> </w:t>
      </w:r>
      <w:r>
        <w:t>the</w:t>
      </w:r>
      <w:r>
        <w:rPr>
          <w:spacing w:val="-4"/>
        </w:rPr>
        <w:t xml:space="preserve"> </w:t>
      </w:r>
      <w:r>
        <w:t>population</w:t>
      </w:r>
      <w:r>
        <w:rPr>
          <w:spacing w:val="-4"/>
        </w:rPr>
        <w:t xml:space="preserve"> </w:t>
      </w:r>
      <w:r>
        <w:t>of</w:t>
      </w:r>
      <w:r>
        <w:rPr>
          <w:spacing w:val="-4"/>
        </w:rPr>
        <w:t xml:space="preserve"> </w:t>
      </w:r>
      <w:r>
        <w:t>households</w:t>
      </w:r>
      <w:r>
        <w:rPr>
          <w:spacing w:val="-4"/>
        </w:rPr>
        <w:t xml:space="preserve"> </w:t>
      </w:r>
      <w:r w:rsidR="00CA00FC">
        <w:t>in P</w:t>
      </w:r>
      <w:r>
        <w:t>uerto</w:t>
      </w:r>
      <w:r>
        <w:rPr>
          <w:spacing w:val="-2"/>
        </w:rPr>
        <w:t xml:space="preserve"> </w:t>
      </w:r>
      <w:r>
        <w:t>Rico.</w:t>
      </w:r>
      <w:r w:rsidR="00244CF7">
        <w:t xml:space="preserve"> </w:t>
      </w:r>
      <w:r w:rsidR="00172CA6">
        <w:t>The study team</w:t>
      </w:r>
      <w:r w:rsidR="00244CF7">
        <w:t xml:space="preserve"> will attach t</w:t>
      </w:r>
      <w:r>
        <w:t>he final</w:t>
      </w:r>
      <w:r w:rsidR="00CA00FC">
        <w:t xml:space="preserve"> full-sample</w:t>
      </w:r>
      <w:r>
        <w:t xml:space="preserve"> weight and corresponding replicate</w:t>
      </w:r>
      <w:r>
        <w:rPr>
          <w:spacing w:val="1"/>
        </w:rPr>
        <w:t xml:space="preserve"> </w:t>
      </w:r>
      <w:r>
        <w:t>weights</w:t>
      </w:r>
      <w:r>
        <w:rPr>
          <w:spacing w:val="-1"/>
        </w:rPr>
        <w:t xml:space="preserve"> </w:t>
      </w:r>
      <w:r>
        <w:t>to the</w:t>
      </w:r>
      <w:r>
        <w:rPr>
          <w:spacing w:val="-1"/>
        </w:rPr>
        <w:t xml:space="preserve"> </w:t>
      </w:r>
      <w:r>
        <w:t>respondents’</w:t>
      </w:r>
      <w:r>
        <w:rPr>
          <w:spacing w:val="-1"/>
        </w:rPr>
        <w:t xml:space="preserve"> </w:t>
      </w:r>
      <w:r>
        <w:t>survey</w:t>
      </w:r>
      <w:r>
        <w:rPr>
          <w:spacing w:val="-2"/>
        </w:rPr>
        <w:t xml:space="preserve"> </w:t>
      </w:r>
      <w:r>
        <w:t>records</w:t>
      </w:r>
      <w:r>
        <w:rPr>
          <w:spacing w:val="-2"/>
        </w:rPr>
        <w:t xml:space="preserve"> </w:t>
      </w:r>
      <w:r>
        <w:t>(as</w:t>
      </w:r>
      <w:r>
        <w:rPr>
          <w:spacing w:val="-4"/>
        </w:rPr>
        <w:t xml:space="preserve"> </w:t>
      </w:r>
      <w:r>
        <w:t>variables</w:t>
      </w:r>
      <w:r>
        <w:rPr>
          <w:spacing w:val="-1"/>
        </w:rPr>
        <w:t xml:space="preserve"> </w:t>
      </w:r>
      <w:r>
        <w:t>in</w:t>
      </w:r>
      <w:r>
        <w:rPr>
          <w:spacing w:val="-2"/>
        </w:rPr>
        <w:t xml:space="preserve"> </w:t>
      </w:r>
      <w:r>
        <w:t>the dataset)</w:t>
      </w:r>
      <w:r>
        <w:rPr>
          <w:spacing w:val="-1"/>
        </w:rPr>
        <w:t xml:space="preserve"> </w:t>
      </w:r>
      <w:r>
        <w:t>for</w:t>
      </w:r>
      <w:r>
        <w:rPr>
          <w:spacing w:val="-1"/>
        </w:rPr>
        <w:t xml:space="preserve"> </w:t>
      </w:r>
      <w:r>
        <w:t>use</w:t>
      </w:r>
      <w:r>
        <w:rPr>
          <w:spacing w:val="-2"/>
        </w:rPr>
        <w:t xml:space="preserve"> </w:t>
      </w:r>
      <w:r w:rsidR="00CA00FC">
        <w:t>in a</w:t>
      </w:r>
      <w:r>
        <w:t>nalyses. The dataset will contain one record for each responde</w:t>
      </w:r>
      <w:r w:rsidR="00CA00FC">
        <w:t>nt, with corresponding household w</w:t>
      </w:r>
      <w:r>
        <w:t>eights.</w:t>
      </w:r>
    </w:p>
    <w:p w:rsidRPr="00B62368" w:rsidR="003E223D" w:rsidP="00960E81" w:rsidRDefault="006E04B2" w14:paraId="2DDE8AF1" w14:textId="50919D24">
      <w:pPr>
        <w:pStyle w:val="Heading4NoLetter-IPR"/>
        <w:spacing w:before="360" w:after="120"/>
      </w:pPr>
      <w:r>
        <w:lastRenderedPageBreak/>
        <w:t>B.2.3</w:t>
      </w:r>
      <w:r w:rsidR="005F44AE">
        <w:t>.</w:t>
      </w:r>
      <w:r>
        <w:tab/>
      </w:r>
      <w:r w:rsidR="003E223D">
        <w:t>Degree of Accuracy Needed for the Purpose Described in the Justification</w:t>
      </w:r>
    </w:p>
    <w:p w:rsidRPr="00EF57BE" w:rsidR="003D5F5A" w:rsidP="00960E81" w:rsidRDefault="00172CA6" w14:paraId="67EE6975" w14:textId="76014CBD">
      <w:pPr>
        <w:pStyle w:val="Body11ptCalibri-IPR"/>
      </w:pPr>
      <w:r>
        <w:t>T</w:t>
      </w:r>
      <w:r w:rsidR="003D5F5A">
        <w:t>he</w:t>
      </w:r>
      <w:r w:rsidR="003D5F5A">
        <w:rPr>
          <w:spacing w:val="-4"/>
        </w:rPr>
        <w:t xml:space="preserve"> </w:t>
      </w:r>
      <w:r w:rsidR="003D5F5A">
        <w:t>sample</w:t>
      </w:r>
      <w:r>
        <w:t xml:space="preserve"> was designed</w:t>
      </w:r>
      <w:r w:rsidR="003D5F5A">
        <w:rPr>
          <w:spacing w:val="-4"/>
        </w:rPr>
        <w:t xml:space="preserve"> </w:t>
      </w:r>
      <w:r w:rsidR="003D5F5A">
        <w:t>to</w:t>
      </w:r>
      <w:r w:rsidR="003D5F5A">
        <w:rPr>
          <w:spacing w:val="-3"/>
        </w:rPr>
        <w:t xml:space="preserve"> </w:t>
      </w:r>
      <w:r w:rsidR="003D5F5A">
        <w:t>support</w:t>
      </w:r>
      <w:r w:rsidR="003D5F5A">
        <w:rPr>
          <w:spacing w:val="-2"/>
        </w:rPr>
        <w:t xml:space="preserve"> </w:t>
      </w:r>
      <w:r w:rsidR="003D5F5A">
        <w:t>estimates</w:t>
      </w:r>
      <w:r w:rsidR="003D5F5A">
        <w:rPr>
          <w:spacing w:val="-3"/>
        </w:rPr>
        <w:t xml:space="preserve"> </w:t>
      </w:r>
      <w:r w:rsidR="003D5F5A">
        <w:t>for</w:t>
      </w:r>
      <w:r w:rsidR="003D5F5A">
        <w:rPr>
          <w:spacing w:val="-3"/>
        </w:rPr>
        <w:t xml:space="preserve"> </w:t>
      </w:r>
      <w:r w:rsidR="003D5F5A">
        <w:t>the</w:t>
      </w:r>
      <w:r w:rsidR="003D5F5A">
        <w:rPr>
          <w:spacing w:val="-2"/>
        </w:rPr>
        <w:t xml:space="preserve"> </w:t>
      </w:r>
      <w:r w:rsidR="003D5F5A">
        <w:t>overall</w:t>
      </w:r>
      <w:r w:rsidR="003D5F5A">
        <w:rPr>
          <w:spacing w:val="-4"/>
        </w:rPr>
        <w:t xml:space="preserve"> </w:t>
      </w:r>
      <w:r w:rsidR="007D24AD">
        <w:rPr>
          <w:spacing w:val="-4"/>
        </w:rPr>
        <w:t xml:space="preserve">household </w:t>
      </w:r>
      <w:r w:rsidR="003D5F5A">
        <w:t>population</w:t>
      </w:r>
      <w:r w:rsidR="003D5F5A">
        <w:rPr>
          <w:spacing w:val="-4"/>
        </w:rPr>
        <w:t xml:space="preserve"> </w:t>
      </w:r>
      <w:r w:rsidR="003D5F5A">
        <w:t>of</w:t>
      </w:r>
      <w:r w:rsidR="003D5F5A">
        <w:rPr>
          <w:spacing w:val="-4"/>
        </w:rPr>
        <w:t xml:space="preserve"> </w:t>
      </w:r>
      <w:r w:rsidR="003D5F5A">
        <w:t>Puerto</w:t>
      </w:r>
      <w:r w:rsidR="003D5F5A">
        <w:rPr>
          <w:spacing w:val="-3"/>
        </w:rPr>
        <w:t xml:space="preserve"> </w:t>
      </w:r>
      <w:r w:rsidR="003D5F5A">
        <w:t>Rico</w:t>
      </w:r>
      <w:r w:rsidR="003D5F5A">
        <w:rPr>
          <w:spacing w:val="-4"/>
        </w:rPr>
        <w:t xml:space="preserve"> </w:t>
      </w:r>
      <w:r w:rsidR="003D5F5A">
        <w:t>and</w:t>
      </w:r>
      <w:r w:rsidR="003D5F5A">
        <w:rPr>
          <w:spacing w:val="-3"/>
        </w:rPr>
        <w:t xml:space="preserve"> </w:t>
      </w:r>
      <w:r w:rsidR="003D5F5A">
        <w:t>key</w:t>
      </w:r>
      <w:r w:rsidR="003D5F5A">
        <w:rPr>
          <w:spacing w:val="-4"/>
        </w:rPr>
        <w:t xml:space="preserve"> </w:t>
      </w:r>
      <w:r w:rsidR="007D24AD">
        <w:rPr>
          <w:spacing w:val="-4"/>
        </w:rPr>
        <w:t xml:space="preserve">household </w:t>
      </w:r>
      <w:r w:rsidR="003D5F5A">
        <w:t>subgroups</w:t>
      </w:r>
      <w:r w:rsidR="003D5F5A">
        <w:rPr>
          <w:spacing w:val="1"/>
        </w:rPr>
        <w:t xml:space="preserve"> </w:t>
      </w:r>
      <w:r w:rsidR="003D5F5A">
        <w:t xml:space="preserve">for the baseline study and a </w:t>
      </w:r>
      <w:r w:rsidR="005911CB">
        <w:t>2</w:t>
      </w:r>
      <w:r w:rsidR="003D5F5A">
        <w:t>‐year follow‐up with a margin of error of ±5 percent</w:t>
      </w:r>
      <w:r w:rsidR="007D24AD">
        <w:t xml:space="preserve"> for</w:t>
      </w:r>
      <w:r w:rsidR="003D5F5A">
        <w:t xml:space="preserve"> a 95</w:t>
      </w:r>
      <w:r w:rsidR="005911CB">
        <w:t xml:space="preserve"> </w:t>
      </w:r>
      <w:r w:rsidR="003D5F5A">
        <w:t>percent</w:t>
      </w:r>
      <w:r w:rsidR="003D5F5A">
        <w:rPr>
          <w:spacing w:val="1"/>
        </w:rPr>
        <w:t xml:space="preserve"> </w:t>
      </w:r>
      <w:r w:rsidR="003D5F5A">
        <w:t xml:space="preserve">confidence interval for a binary statistic with a response of 50 percent in each category. This means for </w:t>
      </w:r>
      <w:r w:rsidR="007D24AD">
        <w:t>a b</w:t>
      </w:r>
      <w:r w:rsidR="003D5F5A">
        <w:t xml:space="preserve">inary characteristic possessed by 50 percent of the population, the margin of error of </w:t>
      </w:r>
      <w:r w:rsidR="007D24AD">
        <w:t xml:space="preserve">a 95 percent confidence interval on </w:t>
      </w:r>
      <w:r w:rsidR="003D5F5A">
        <w:t>the estimate</w:t>
      </w:r>
      <w:r w:rsidR="003D5F5A">
        <w:rPr>
          <w:spacing w:val="1"/>
        </w:rPr>
        <w:t xml:space="preserve"> </w:t>
      </w:r>
      <w:r w:rsidR="003D5F5A">
        <w:t>would be expected to be 5 percentage points. For example, if 50 percent of households in Puerto Rico</w:t>
      </w:r>
      <w:r w:rsidR="003D5F5A">
        <w:rPr>
          <w:spacing w:val="1"/>
        </w:rPr>
        <w:t xml:space="preserve"> </w:t>
      </w:r>
      <w:r w:rsidR="003D5F5A">
        <w:t>are food insecure, a 95</w:t>
      </w:r>
      <w:r w:rsidR="0092428C">
        <w:t xml:space="preserve"> </w:t>
      </w:r>
      <w:r w:rsidR="003D5F5A">
        <w:t>percent confidence interval for that estimate would be expected to go from 45</w:t>
      </w:r>
      <w:r w:rsidR="003D5F5A">
        <w:rPr>
          <w:spacing w:val="1"/>
        </w:rPr>
        <w:t xml:space="preserve"> </w:t>
      </w:r>
      <w:r w:rsidR="003D5F5A">
        <w:t>percent to 55 percent.</w:t>
      </w:r>
      <w:r w:rsidR="007D24AD">
        <w:t xml:space="preserve"> </w:t>
      </w:r>
      <w:r w:rsidR="003D5F5A">
        <w:t>To</w:t>
      </w:r>
      <w:r w:rsidR="003D5F5A">
        <w:rPr>
          <w:spacing w:val="1"/>
        </w:rPr>
        <w:t xml:space="preserve"> </w:t>
      </w:r>
      <w:r w:rsidR="003D5F5A">
        <w:t>achieve the target level of precision, the required effective sample size (i.e., the nominal sample size</w:t>
      </w:r>
      <w:r w:rsidR="003D5F5A">
        <w:rPr>
          <w:spacing w:val="1"/>
        </w:rPr>
        <w:t xml:space="preserve"> </w:t>
      </w:r>
      <w:r w:rsidR="003D5F5A">
        <w:t>divided</w:t>
      </w:r>
      <w:r w:rsidR="003D5F5A">
        <w:rPr>
          <w:spacing w:val="-1"/>
        </w:rPr>
        <w:t xml:space="preserve"> </w:t>
      </w:r>
      <w:r w:rsidR="003D5F5A">
        <w:t>by</w:t>
      </w:r>
      <w:r w:rsidR="003D5F5A">
        <w:rPr>
          <w:spacing w:val="-2"/>
        </w:rPr>
        <w:t xml:space="preserve"> </w:t>
      </w:r>
      <w:r w:rsidR="003D5F5A">
        <w:t>the</w:t>
      </w:r>
      <w:r w:rsidR="003D5F5A">
        <w:rPr>
          <w:spacing w:val="-2"/>
        </w:rPr>
        <w:t xml:space="preserve"> </w:t>
      </w:r>
      <w:r w:rsidR="003D5F5A">
        <w:t>expected</w:t>
      </w:r>
      <w:r w:rsidR="003D5F5A">
        <w:rPr>
          <w:spacing w:val="-1"/>
        </w:rPr>
        <w:t xml:space="preserve"> </w:t>
      </w:r>
      <w:r w:rsidR="003D5F5A">
        <w:t>design</w:t>
      </w:r>
      <w:r w:rsidR="003D5F5A">
        <w:rPr>
          <w:spacing w:val="-2"/>
        </w:rPr>
        <w:t xml:space="preserve"> </w:t>
      </w:r>
      <w:r w:rsidR="003D5F5A">
        <w:t>effect) can</w:t>
      </w:r>
      <w:r w:rsidR="003D5F5A">
        <w:rPr>
          <w:spacing w:val="-2"/>
        </w:rPr>
        <w:t xml:space="preserve"> </w:t>
      </w:r>
      <w:r w:rsidR="003D5F5A">
        <w:t>be computed</w:t>
      </w:r>
      <w:r w:rsidR="003D5F5A">
        <w:rPr>
          <w:spacing w:val="-2"/>
        </w:rPr>
        <w:t xml:space="preserve"> </w:t>
      </w:r>
      <w:r w:rsidR="003D5F5A">
        <w:t>by</w:t>
      </w:r>
      <w:r w:rsidR="003D5F5A">
        <w:rPr>
          <w:spacing w:val="-2"/>
        </w:rPr>
        <w:t xml:space="preserve"> </w:t>
      </w:r>
      <w:r w:rsidR="003D5F5A">
        <w:t>solving</w:t>
      </w:r>
      <w:r w:rsidR="003D5F5A">
        <w:rPr>
          <w:spacing w:val="-2"/>
        </w:rPr>
        <w:t xml:space="preserve"> </w:t>
      </w:r>
      <w:r w:rsidR="003D5F5A">
        <w:t>for</w:t>
      </w:r>
      <w:r w:rsidR="003D5F5A">
        <w:rPr>
          <w:spacing w:val="-2"/>
        </w:rPr>
        <w:t xml:space="preserve"> </w:t>
      </w:r>
      <w:r w:rsidRPr="00D31EC9" w:rsidR="003D5F5A">
        <w:rPr>
          <w:i/>
          <w:iCs/>
        </w:rPr>
        <w:t>n</w:t>
      </w:r>
      <w:r w:rsidR="003D5F5A">
        <w:rPr>
          <w:spacing w:val="-1"/>
        </w:rPr>
        <w:t xml:space="preserve"> </w:t>
      </w:r>
      <w:r w:rsidR="003D5F5A">
        <w:t>in</w:t>
      </w:r>
      <w:r w:rsidR="003D5F5A">
        <w:rPr>
          <w:spacing w:val="-1"/>
        </w:rPr>
        <w:t xml:space="preserve"> </w:t>
      </w:r>
      <w:r w:rsidR="003D5F5A">
        <w:t>the following:</w:t>
      </w:r>
    </w:p>
    <w:p w:rsidRPr="00DE11DF" w:rsidR="003D5F5A" w:rsidP="00DE11DF" w:rsidRDefault="003D5F5A" w14:paraId="6F9847C8" w14:textId="12EDAE8F">
      <w:pPr>
        <w:pStyle w:val="Body11ptCalibri-IPR"/>
        <w:jc w:val="center"/>
      </w:pPr>
      <w:r>
        <w:t>1.96*sqrt(</w:t>
      </w:r>
      <w:r>
        <w:rPr>
          <w:i/>
        </w:rPr>
        <w:t>p</w:t>
      </w:r>
      <w:r>
        <w:t>*(1‐</w:t>
      </w:r>
      <w:r>
        <w:rPr>
          <w:i/>
        </w:rPr>
        <w:t>p</w:t>
      </w:r>
      <w:r>
        <w:t>)/</w:t>
      </w:r>
      <w:r>
        <w:rPr>
          <w:i/>
        </w:rPr>
        <w:t>n</w:t>
      </w:r>
      <w:r>
        <w:t>)</w:t>
      </w:r>
      <w:r>
        <w:rPr>
          <w:spacing w:val="-4"/>
        </w:rPr>
        <w:t xml:space="preserve"> </w:t>
      </w:r>
      <w:r>
        <w:t>≤</w:t>
      </w:r>
      <w:r>
        <w:rPr>
          <w:spacing w:val="-3"/>
        </w:rPr>
        <w:t xml:space="preserve"> </w:t>
      </w:r>
      <w:r>
        <w:t>0.05</w:t>
      </w:r>
    </w:p>
    <w:p w:rsidR="00013514" w:rsidP="00013514" w:rsidRDefault="003D5F5A" w14:paraId="680B194F" w14:textId="77777777">
      <w:pPr>
        <w:pStyle w:val="Body11ptCalibri-IPR"/>
        <w:spacing w:after="240"/>
      </w:pPr>
      <w:r>
        <w:t xml:space="preserve">where </w:t>
      </w:r>
      <w:r>
        <w:rPr>
          <w:i/>
        </w:rPr>
        <w:t xml:space="preserve">p </w:t>
      </w:r>
      <w:r>
        <w:t xml:space="preserve">= 0.5 and </w:t>
      </w:r>
      <w:r>
        <w:rPr>
          <w:i/>
        </w:rPr>
        <w:t xml:space="preserve">n </w:t>
      </w:r>
      <w:r>
        <w:t>= the effective sample size. Based on this com</w:t>
      </w:r>
      <w:r w:rsidR="007D24AD">
        <w:t>putation, at least 400 effective c</w:t>
      </w:r>
      <w:r>
        <w:t>ompleted</w:t>
      </w:r>
      <w:r>
        <w:rPr>
          <w:spacing w:val="-2"/>
        </w:rPr>
        <w:t xml:space="preserve"> </w:t>
      </w:r>
      <w:r>
        <w:t>surveys</w:t>
      </w:r>
      <w:r>
        <w:rPr>
          <w:spacing w:val="-2"/>
        </w:rPr>
        <w:t xml:space="preserve"> </w:t>
      </w:r>
      <w:r>
        <w:t>are</w:t>
      </w:r>
      <w:r>
        <w:rPr>
          <w:spacing w:val="-2"/>
        </w:rPr>
        <w:t xml:space="preserve"> </w:t>
      </w:r>
      <w:r>
        <w:t>required</w:t>
      </w:r>
      <w:r>
        <w:rPr>
          <w:spacing w:val="-3"/>
        </w:rPr>
        <w:t xml:space="preserve"> </w:t>
      </w:r>
      <w:r>
        <w:t>for</w:t>
      </w:r>
      <w:r>
        <w:rPr>
          <w:spacing w:val="-2"/>
        </w:rPr>
        <w:t xml:space="preserve"> </w:t>
      </w:r>
      <w:r>
        <w:t>each</w:t>
      </w:r>
      <w:r>
        <w:rPr>
          <w:spacing w:val="-3"/>
        </w:rPr>
        <w:t xml:space="preserve"> </w:t>
      </w:r>
      <w:r>
        <w:t>key</w:t>
      </w:r>
      <w:r>
        <w:rPr>
          <w:spacing w:val="-1"/>
        </w:rPr>
        <w:t xml:space="preserve"> </w:t>
      </w:r>
      <w:r>
        <w:t>subgroup</w:t>
      </w:r>
      <w:r>
        <w:rPr>
          <w:spacing w:val="-3"/>
        </w:rPr>
        <w:t xml:space="preserve"> </w:t>
      </w:r>
      <w:r>
        <w:t>to meet</w:t>
      </w:r>
      <w:r>
        <w:rPr>
          <w:spacing w:val="-3"/>
        </w:rPr>
        <w:t xml:space="preserve"> </w:t>
      </w:r>
      <w:r>
        <w:t>the</w:t>
      </w:r>
      <w:r>
        <w:rPr>
          <w:spacing w:val="-1"/>
        </w:rPr>
        <w:t xml:space="preserve"> </w:t>
      </w:r>
      <w:r>
        <w:t>precision</w:t>
      </w:r>
      <w:r>
        <w:rPr>
          <w:spacing w:val="-3"/>
        </w:rPr>
        <w:t xml:space="preserve"> </w:t>
      </w:r>
      <w:r>
        <w:t>requirements.</w:t>
      </w:r>
      <w:bookmarkStart w:name="_Hlk78282395" w:id="30"/>
    </w:p>
    <w:p w:rsidR="00145E55" w:rsidP="00960E81" w:rsidRDefault="003D5F5A" w14:paraId="676577FF" w14:textId="6D1F624D">
      <w:pPr>
        <w:pStyle w:val="Body11ptCalibri-IPR"/>
        <w:spacing w:after="360"/>
      </w:pPr>
      <w:r>
        <w:t>The</w:t>
      </w:r>
      <w:r>
        <w:rPr>
          <w:spacing w:val="-3"/>
        </w:rPr>
        <w:t xml:space="preserve"> </w:t>
      </w:r>
      <w:r>
        <w:t>key</w:t>
      </w:r>
      <w:r>
        <w:rPr>
          <w:spacing w:val="-3"/>
        </w:rPr>
        <w:t xml:space="preserve"> </w:t>
      </w:r>
      <w:r>
        <w:t>subgroups</w:t>
      </w:r>
      <w:r>
        <w:rPr>
          <w:spacing w:val="-2"/>
        </w:rPr>
        <w:t xml:space="preserve"> </w:t>
      </w:r>
      <w:r>
        <w:t>of</w:t>
      </w:r>
      <w:r>
        <w:rPr>
          <w:spacing w:val="-3"/>
        </w:rPr>
        <w:t xml:space="preserve"> </w:t>
      </w:r>
      <w:r>
        <w:t>interest</w:t>
      </w:r>
      <w:r>
        <w:rPr>
          <w:spacing w:val="-2"/>
        </w:rPr>
        <w:t xml:space="preserve"> </w:t>
      </w:r>
      <w:r>
        <w:t>and</w:t>
      </w:r>
      <w:r>
        <w:rPr>
          <w:spacing w:val="-2"/>
        </w:rPr>
        <w:t xml:space="preserve"> </w:t>
      </w:r>
      <w:r>
        <w:t>their</w:t>
      </w:r>
      <w:r>
        <w:rPr>
          <w:spacing w:val="-2"/>
        </w:rPr>
        <w:t xml:space="preserve"> </w:t>
      </w:r>
      <w:r>
        <w:t>expected</w:t>
      </w:r>
      <w:r>
        <w:rPr>
          <w:spacing w:val="-3"/>
        </w:rPr>
        <w:t xml:space="preserve"> </w:t>
      </w:r>
      <w:r>
        <w:t>prevalence</w:t>
      </w:r>
      <w:r>
        <w:rPr>
          <w:spacing w:val="-3"/>
        </w:rPr>
        <w:t xml:space="preserve"> </w:t>
      </w:r>
      <w:r>
        <w:t>in</w:t>
      </w:r>
      <w:r>
        <w:rPr>
          <w:spacing w:val="-1"/>
        </w:rPr>
        <w:t xml:space="preserve"> </w:t>
      </w:r>
      <w:r>
        <w:t>the</w:t>
      </w:r>
      <w:r>
        <w:rPr>
          <w:spacing w:val="-2"/>
        </w:rPr>
        <w:t xml:space="preserve"> </w:t>
      </w:r>
      <w:r>
        <w:t>target</w:t>
      </w:r>
      <w:r>
        <w:rPr>
          <w:spacing w:val="-2"/>
        </w:rPr>
        <w:t xml:space="preserve"> </w:t>
      </w:r>
      <w:r>
        <w:t>population</w:t>
      </w:r>
      <w:r>
        <w:rPr>
          <w:spacing w:val="-3"/>
        </w:rPr>
        <w:t xml:space="preserve"> </w:t>
      </w:r>
      <w:r>
        <w:t>appear</w:t>
      </w:r>
      <w:r>
        <w:rPr>
          <w:spacing w:val="-1"/>
        </w:rPr>
        <w:t xml:space="preserve"> </w:t>
      </w:r>
      <w:r>
        <w:t>in</w:t>
      </w:r>
      <w:r>
        <w:rPr>
          <w:spacing w:val="-2"/>
        </w:rPr>
        <w:t xml:space="preserve"> </w:t>
      </w:r>
      <w:r>
        <w:t>table</w:t>
      </w:r>
      <w:r w:rsidR="004304E5">
        <w:t xml:space="preserve"> </w:t>
      </w:r>
      <w:r w:rsidR="00CA00FC">
        <w:t>B.</w:t>
      </w:r>
      <w:r>
        <w:t>2.</w:t>
      </w:r>
      <w:r w:rsidR="00CA00FC">
        <w:t>3</w:t>
      </w:r>
      <w:r>
        <w:t>.</w:t>
      </w:r>
      <w:r>
        <w:rPr>
          <w:spacing w:val="-3"/>
        </w:rPr>
        <w:t xml:space="preserve"> </w:t>
      </w:r>
      <w:r w:rsidR="00172CA6">
        <w:t>P</w:t>
      </w:r>
      <w:r>
        <w:t>opulation</w:t>
      </w:r>
      <w:r>
        <w:rPr>
          <w:spacing w:val="-3"/>
        </w:rPr>
        <w:t xml:space="preserve"> </w:t>
      </w:r>
      <w:r>
        <w:t>percentages</w:t>
      </w:r>
      <w:r>
        <w:rPr>
          <w:spacing w:val="-3"/>
        </w:rPr>
        <w:t xml:space="preserve"> </w:t>
      </w:r>
      <w:r>
        <w:t>of</w:t>
      </w:r>
      <w:r>
        <w:rPr>
          <w:spacing w:val="-3"/>
        </w:rPr>
        <w:t xml:space="preserve"> </w:t>
      </w:r>
      <w:r>
        <w:t>NAP</w:t>
      </w:r>
      <w:r>
        <w:rPr>
          <w:spacing w:val="-2"/>
        </w:rPr>
        <w:t xml:space="preserve"> </w:t>
      </w:r>
      <w:r>
        <w:t>participants</w:t>
      </w:r>
      <w:r>
        <w:rPr>
          <w:spacing w:val="-3"/>
        </w:rPr>
        <w:t xml:space="preserve"> </w:t>
      </w:r>
      <w:r w:rsidR="00172CA6">
        <w:rPr>
          <w:spacing w:val="-3"/>
        </w:rPr>
        <w:t xml:space="preserve">were derived </w:t>
      </w:r>
      <w:r>
        <w:t>from</w:t>
      </w:r>
      <w:r>
        <w:rPr>
          <w:spacing w:val="-3"/>
        </w:rPr>
        <w:t xml:space="preserve"> </w:t>
      </w:r>
      <w:r>
        <w:t>FNS</w:t>
      </w:r>
      <w:r>
        <w:rPr>
          <w:spacing w:val="-3"/>
        </w:rPr>
        <w:t xml:space="preserve"> </w:t>
      </w:r>
      <w:r>
        <w:t>key</w:t>
      </w:r>
      <w:r>
        <w:rPr>
          <w:spacing w:val="-2"/>
        </w:rPr>
        <w:t xml:space="preserve"> </w:t>
      </w:r>
      <w:r>
        <w:t>data</w:t>
      </w:r>
      <w:r>
        <w:rPr>
          <w:spacing w:val="-2"/>
        </w:rPr>
        <w:t xml:space="preserve"> </w:t>
      </w:r>
      <w:r>
        <w:t>reports</w:t>
      </w:r>
      <w:r>
        <w:rPr>
          <w:spacing w:val="-2"/>
        </w:rPr>
        <w:t xml:space="preserve"> </w:t>
      </w:r>
      <w:r>
        <w:t>from</w:t>
      </w:r>
      <w:r>
        <w:rPr>
          <w:spacing w:val="-3"/>
        </w:rPr>
        <w:t xml:space="preserve"> </w:t>
      </w:r>
      <w:r>
        <w:t>2019</w:t>
      </w:r>
      <w:r w:rsidR="006109E2">
        <w:rPr>
          <w:rStyle w:val="FootnoteReference"/>
        </w:rPr>
        <w:footnoteReference w:id="13"/>
      </w:r>
      <w:r w:rsidR="006109E2">
        <w:t xml:space="preserve"> </w:t>
      </w:r>
      <w:r>
        <w:t>and the estimated population totals from ACS 5‐year (2014–2018)</w:t>
      </w:r>
      <w:r>
        <w:rPr>
          <w:spacing w:val="1"/>
        </w:rPr>
        <w:t xml:space="preserve"> </w:t>
      </w:r>
      <w:r>
        <w:t>Public</w:t>
      </w:r>
      <w:r>
        <w:rPr>
          <w:spacing w:val="2"/>
        </w:rPr>
        <w:t xml:space="preserve"> </w:t>
      </w:r>
      <w:r>
        <w:t>Use</w:t>
      </w:r>
      <w:r>
        <w:rPr>
          <w:spacing w:val="2"/>
        </w:rPr>
        <w:t xml:space="preserve"> </w:t>
      </w:r>
      <w:r>
        <w:t>Microdata</w:t>
      </w:r>
      <w:r>
        <w:rPr>
          <w:spacing w:val="2"/>
        </w:rPr>
        <w:t xml:space="preserve"> </w:t>
      </w:r>
      <w:r>
        <w:t>Sample</w:t>
      </w:r>
      <w:r>
        <w:rPr>
          <w:spacing w:val="-1"/>
        </w:rPr>
        <w:t xml:space="preserve"> </w:t>
      </w:r>
      <w:r>
        <w:t>(PUMS)</w:t>
      </w:r>
      <w:r>
        <w:rPr>
          <w:spacing w:val="2"/>
        </w:rPr>
        <w:t xml:space="preserve"> </w:t>
      </w:r>
      <w:r>
        <w:t>datafile.</w:t>
      </w:r>
      <w:r>
        <w:rPr>
          <w:spacing w:val="2"/>
        </w:rPr>
        <w:t xml:space="preserve"> </w:t>
      </w:r>
      <w:r w:rsidR="00172CA6">
        <w:t>A</w:t>
      </w:r>
      <w:r>
        <w:t>ll</w:t>
      </w:r>
      <w:r>
        <w:rPr>
          <w:spacing w:val="2"/>
        </w:rPr>
        <w:t xml:space="preserve"> </w:t>
      </w:r>
      <w:r>
        <w:t>other</w:t>
      </w:r>
      <w:r>
        <w:rPr>
          <w:spacing w:val="2"/>
        </w:rPr>
        <w:t xml:space="preserve"> </w:t>
      </w:r>
      <w:r>
        <w:t>proportions</w:t>
      </w:r>
      <w:r>
        <w:rPr>
          <w:spacing w:val="1"/>
        </w:rPr>
        <w:t xml:space="preserve"> </w:t>
      </w:r>
      <w:r w:rsidR="00172CA6">
        <w:rPr>
          <w:spacing w:val="1"/>
        </w:rPr>
        <w:t xml:space="preserve">were estimated </w:t>
      </w:r>
      <w:r>
        <w:t>using</w:t>
      </w:r>
      <w:r>
        <w:rPr>
          <w:spacing w:val="1"/>
        </w:rPr>
        <w:t xml:space="preserve"> </w:t>
      </w:r>
      <w:r>
        <w:t>the</w:t>
      </w:r>
      <w:r>
        <w:rPr>
          <w:spacing w:val="1"/>
        </w:rPr>
        <w:t xml:space="preserve"> </w:t>
      </w:r>
      <w:r>
        <w:t>ACS</w:t>
      </w:r>
      <w:r>
        <w:rPr>
          <w:spacing w:val="-1"/>
        </w:rPr>
        <w:t xml:space="preserve"> </w:t>
      </w:r>
      <w:r>
        <w:t>5‐year (2014–2018) PUMS</w:t>
      </w:r>
      <w:bookmarkEnd w:id="30"/>
      <w:r w:rsidR="00D078E3">
        <w:t>.</w:t>
      </w:r>
      <w:r w:rsidR="00755F14">
        <w:rPr>
          <w:rStyle w:val="FootnoteReference"/>
        </w:rPr>
        <w:footnoteReference w:id="14"/>
      </w:r>
    </w:p>
    <w:p w:rsidR="003D5F5A" w:rsidP="00EF57BE" w:rsidRDefault="003D5F5A" w14:paraId="5C04A172" w14:textId="7B64F86B">
      <w:pPr>
        <w:pStyle w:val="TableTitle-IPR"/>
      </w:pPr>
      <w:bookmarkStart w:name="_Toc78365140" w:id="31"/>
      <w:r>
        <w:t>Table</w:t>
      </w:r>
      <w:r>
        <w:rPr>
          <w:spacing w:val="-1"/>
        </w:rPr>
        <w:t xml:space="preserve"> </w:t>
      </w:r>
      <w:r w:rsidR="00CA00FC">
        <w:rPr>
          <w:spacing w:val="-1"/>
        </w:rPr>
        <w:t>B.</w:t>
      </w:r>
      <w:r>
        <w:t>2.</w:t>
      </w:r>
      <w:r w:rsidR="00CA00FC">
        <w:t>3</w:t>
      </w:r>
      <w:r>
        <w:t>.</w:t>
      </w:r>
      <w:r>
        <w:rPr>
          <w:spacing w:val="-1"/>
        </w:rPr>
        <w:t xml:space="preserve"> </w:t>
      </w:r>
      <w:r>
        <w:t>Population</w:t>
      </w:r>
      <w:r>
        <w:rPr>
          <w:spacing w:val="-1"/>
        </w:rPr>
        <w:t xml:space="preserve"> </w:t>
      </w:r>
      <w:r>
        <w:t>Prevalence</w:t>
      </w:r>
      <w:r>
        <w:rPr>
          <w:spacing w:val="-1"/>
        </w:rPr>
        <w:t xml:space="preserve"> </w:t>
      </w:r>
      <w:r>
        <w:t>of Key</w:t>
      </w:r>
      <w:r>
        <w:rPr>
          <w:spacing w:val="-1"/>
        </w:rPr>
        <w:t xml:space="preserve"> </w:t>
      </w:r>
      <w:r>
        <w:t>Subgroups</w:t>
      </w:r>
      <w:bookmarkEnd w:id="31"/>
    </w:p>
    <w:tbl>
      <w:tblPr>
        <w:tblStyle w:val="InsightTable"/>
        <w:tblW w:w="0" w:type="auto"/>
        <w:tblLook w:val="04A0" w:firstRow="1" w:lastRow="0" w:firstColumn="1" w:lastColumn="0" w:noHBand="0" w:noVBand="1"/>
      </w:tblPr>
      <w:tblGrid>
        <w:gridCol w:w="5058"/>
        <w:gridCol w:w="4244"/>
      </w:tblGrid>
      <w:tr w:rsidR="00145E55" w:rsidTr="00CB6433" w14:paraId="0D4EA990" w14:textId="77777777">
        <w:trPr>
          <w:cnfStyle w:val="100000000000" w:firstRow="1" w:lastRow="0" w:firstColumn="0" w:lastColumn="0" w:oddVBand="0" w:evenVBand="0" w:oddHBand="0" w:evenHBand="0" w:firstRowFirstColumn="0" w:firstRowLastColumn="0" w:lastRowFirstColumn="0" w:lastRowLastColumn="0"/>
          <w:trHeight w:val="360"/>
        </w:trPr>
        <w:tc>
          <w:tcPr>
            <w:tcW w:w="5252" w:type="dxa"/>
          </w:tcPr>
          <w:p w:rsidR="00145E55" w:rsidP="00040E67" w:rsidRDefault="00145E55" w14:paraId="5F34F2C0" w14:textId="7F333137">
            <w:pPr>
              <w:pStyle w:val="TableHeaderRow-IPR"/>
            </w:pPr>
            <w:r>
              <w:t>Household-Level Subgroups</w:t>
            </w:r>
          </w:p>
        </w:tc>
        <w:tc>
          <w:tcPr>
            <w:tcW w:w="4390" w:type="dxa"/>
          </w:tcPr>
          <w:p w:rsidR="00145E55" w:rsidP="00040E67" w:rsidRDefault="00145E55" w14:paraId="0D5191AF" w14:textId="4A2AE4BD">
            <w:pPr>
              <w:pStyle w:val="TableHeaderRow-IPR"/>
            </w:pPr>
            <w:r>
              <w:t>P</w:t>
            </w:r>
            <w:r w:rsidR="004304E5">
              <w:t>e</w:t>
            </w:r>
            <w:r>
              <w:t>rcent of Population (Households)</w:t>
            </w:r>
          </w:p>
        </w:tc>
      </w:tr>
      <w:tr w:rsidR="00145E55" w:rsidTr="00CB6433" w14:paraId="407C3FD4" w14:textId="77777777">
        <w:trPr>
          <w:trHeight w:val="288"/>
        </w:trPr>
        <w:tc>
          <w:tcPr>
            <w:tcW w:w="5252" w:type="dxa"/>
            <w:vAlign w:val="top"/>
          </w:tcPr>
          <w:p w:rsidR="00145E55" w:rsidP="00040E67" w:rsidRDefault="00145E55" w14:paraId="1DCBBBA0" w14:textId="4830E0AD">
            <w:pPr>
              <w:pStyle w:val="TableText-IPR"/>
            </w:pPr>
            <w:r w:rsidRPr="00296A6C">
              <w:t>NAP participating households</w:t>
            </w:r>
          </w:p>
        </w:tc>
        <w:tc>
          <w:tcPr>
            <w:tcW w:w="4390" w:type="dxa"/>
            <w:vAlign w:val="top"/>
          </w:tcPr>
          <w:p w:rsidR="00145E55" w:rsidP="001315E2" w:rsidRDefault="00145E55" w14:paraId="2BE9B973" w14:textId="162836B9">
            <w:pPr>
              <w:pStyle w:val="TableText-IPR"/>
              <w:jc w:val="center"/>
            </w:pPr>
            <w:r w:rsidRPr="00296A6C">
              <w:t>46.7</w:t>
            </w:r>
          </w:p>
        </w:tc>
      </w:tr>
      <w:tr w:rsidR="00145E55" w:rsidTr="00CB6433" w14:paraId="40330390" w14:textId="77777777">
        <w:trPr>
          <w:trHeight w:val="288"/>
        </w:trPr>
        <w:tc>
          <w:tcPr>
            <w:tcW w:w="5252" w:type="dxa"/>
            <w:vAlign w:val="top"/>
          </w:tcPr>
          <w:p w:rsidR="00145E55" w:rsidP="00040E67" w:rsidRDefault="00145E55" w14:paraId="79A973B1" w14:textId="1FC823F0">
            <w:pPr>
              <w:pStyle w:val="TableText-IPR"/>
            </w:pPr>
            <w:r w:rsidRPr="00296A6C">
              <w:t>Households with children</w:t>
            </w:r>
          </w:p>
        </w:tc>
        <w:tc>
          <w:tcPr>
            <w:tcW w:w="4390" w:type="dxa"/>
            <w:vAlign w:val="top"/>
          </w:tcPr>
          <w:p w:rsidR="00145E55" w:rsidP="001315E2" w:rsidRDefault="00145E55" w14:paraId="74C838AC" w14:textId="5C1761A9">
            <w:pPr>
              <w:pStyle w:val="TableText-IPR"/>
              <w:jc w:val="center"/>
            </w:pPr>
            <w:r w:rsidRPr="00296A6C">
              <w:t>29.2</w:t>
            </w:r>
          </w:p>
        </w:tc>
      </w:tr>
      <w:tr w:rsidR="00145E55" w:rsidTr="00CB6433" w14:paraId="56935587" w14:textId="77777777">
        <w:trPr>
          <w:trHeight w:val="288"/>
        </w:trPr>
        <w:tc>
          <w:tcPr>
            <w:tcW w:w="5252" w:type="dxa"/>
            <w:vAlign w:val="top"/>
          </w:tcPr>
          <w:p w:rsidR="00145E55" w:rsidP="00040E67" w:rsidRDefault="00145E55" w14:paraId="001C8681" w14:textId="080A886F">
            <w:pPr>
              <w:pStyle w:val="TableText-IPR"/>
            </w:pPr>
            <w:r w:rsidRPr="00296A6C">
              <w:t>Households with older members (60 and older)</w:t>
            </w:r>
          </w:p>
        </w:tc>
        <w:tc>
          <w:tcPr>
            <w:tcW w:w="4390" w:type="dxa"/>
            <w:vAlign w:val="top"/>
          </w:tcPr>
          <w:p w:rsidR="00145E55" w:rsidP="001315E2" w:rsidRDefault="00145E55" w14:paraId="6160B883" w14:textId="1720BD5A">
            <w:pPr>
              <w:pStyle w:val="TableText-IPR"/>
              <w:jc w:val="center"/>
            </w:pPr>
            <w:r w:rsidRPr="00296A6C">
              <w:t>47.7</w:t>
            </w:r>
          </w:p>
        </w:tc>
      </w:tr>
      <w:tr w:rsidR="00145E55" w:rsidTr="00CB6433" w14:paraId="1D0DFD83" w14:textId="77777777">
        <w:trPr>
          <w:trHeight w:val="288"/>
        </w:trPr>
        <w:tc>
          <w:tcPr>
            <w:tcW w:w="5252" w:type="dxa"/>
            <w:vAlign w:val="top"/>
          </w:tcPr>
          <w:p w:rsidR="00145E55" w:rsidP="00040E67" w:rsidRDefault="00145E55" w14:paraId="6D44FF65" w14:textId="5E0CF3EB">
            <w:pPr>
              <w:pStyle w:val="TableText-IPR"/>
            </w:pPr>
            <w:r w:rsidRPr="00296A6C">
              <w:t>Households with at least one person with a disability</w:t>
            </w:r>
          </w:p>
        </w:tc>
        <w:tc>
          <w:tcPr>
            <w:tcW w:w="4390" w:type="dxa"/>
            <w:vAlign w:val="top"/>
          </w:tcPr>
          <w:p w:rsidR="00145E55" w:rsidP="001315E2" w:rsidRDefault="00145E55" w14:paraId="0B06C05A" w14:textId="31F6707D">
            <w:pPr>
              <w:pStyle w:val="TableText-IPR"/>
              <w:jc w:val="center"/>
            </w:pPr>
            <w:r w:rsidRPr="00296A6C">
              <w:t>40.5</w:t>
            </w:r>
          </w:p>
        </w:tc>
      </w:tr>
    </w:tbl>
    <w:p w:rsidRPr="008830AA" w:rsidR="003D5F5A" w:rsidP="00960E81" w:rsidRDefault="003D5F5A" w14:paraId="529C6467" w14:textId="77777777">
      <w:pPr>
        <w:pStyle w:val="FtnteBodyText-IPR"/>
        <w:spacing w:before="60"/>
      </w:pPr>
      <w:r w:rsidRPr="008830AA">
        <w:t>Note:</w:t>
      </w:r>
      <w:r w:rsidRPr="008830AA">
        <w:rPr>
          <w:spacing w:val="-4"/>
        </w:rPr>
        <w:t xml:space="preserve"> </w:t>
      </w:r>
      <w:r w:rsidRPr="008830AA">
        <w:t>Disability</w:t>
      </w:r>
      <w:r w:rsidRPr="008830AA">
        <w:rPr>
          <w:spacing w:val="-3"/>
        </w:rPr>
        <w:t xml:space="preserve"> </w:t>
      </w:r>
      <w:r w:rsidRPr="008830AA">
        <w:t>status</w:t>
      </w:r>
      <w:r w:rsidRPr="008830AA">
        <w:rPr>
          <w:spacing w:val="-4"/>
        </w:rPr>
        <w:t xml:space="preserve"> </w:t>
      </w:r>
      <w:r w:rsidRPr="008830AA">
        <w:t>is</w:t>
      </w:r>
      <w:r w:rsidRPr="008830AA">
        <w:rPr>
          <w:spacing w:val="-5"/>
        </w:rPr>
        <w:t xml:space="preserve"> </w:t>
      </w:r>
      <w:r w:rsidRPr="008830AA">
        <w:t>based</w:t>
      </w:r>
      <w:r w:rsidRPr="008830AA">
        <w:rPr>
          <w:spacing w:val="-2"/>
        </w:rPr>
        <w:t xml:space="preserve"> </w:t>
      </w:r>
      <w:r w:rsidRPr="008830AA">
        <w:t>on</w:t>
      </w:r>
      <w:r w:rsidRPr="008830AA">
        <w:rPr>
          <w:spacing w:val="-5"/>
        </w:rPr>
        <w:t xml:space="preserve"> </w:t>
      </w:r>
      <w:r w:rsidRPr="008830AA">
        <w:t>the</w:t>
      </w:r>
      <w:r w:rsidRPr="008830AA">
        <w:rPr>
          <w:spacing w:val="-4"/>
        </w:rPr>
        <w:t xml:space="preserve"> </w:t>
      </w:r>
      <w:r w:rsidRPr="008830AA">
        <w:t>American</w:t>
      </w:r>
      <w:r w:rsidRPr="008830AA">
        <w:rPr>
          <w:spacing w:val="-4"/>
        </w:rPr>
        <w:t xml:space="preserve"> </w:t>
      </w:r>
      <w:r w:rsidRPr="008830AA">
        <w:t>Community</w:t>
      </w:r>
      <w:r w:rsidRPr="008830AA">
        <w:rPr>
          <w:spacing w:val="-5"/>
        </w:rPr>
        <w:t xml:space="preserve"> </w:t>
      </w:r>
      <w:r w:rsidRPr="008830AA">
        <w:t>Survey</w:t>
      </w:r>
      <w:r w:rsidRPr="008830AA">
        <w:rPr>
          <w:spacing w:val="-3"/>
        </w:rPr>
        <w:t xml:space="preserve"> </w:t>
      </w:r>
      <w:r w:rsidRPr="008830AA">
        <w:t>definition.</w:t>
      </w:r>
    </w:p>
    <w:p w:rsidRPr="008830AA" w:rsidR="003D5F5A" w:rsidP="00013514" w:rsidRDefault="003D5F5A" w14:paraId="54C4B263" w14:textId="77777777">
      <w:pPr>
        <w:pStyle w:val="FtnteBodyText-IPR"/>
        <w:spacing w:after="120"/>
      </w:pPr>
      <w:r w:rsidRPr="008830AA">
        <w:t>Sources: FNS Key Data Reports (2019) for NAP participation estimates; 2014–2018 American Community Survey 5‐year Public</w:t>
      </w:r>
      <w:r w:rsidRPr="008830AA">
        <w:rPr>
          <w:spacing w:val="-39"/>
        </w:rPr>
        <w:t xml:space="preserve"> </w:t>
      </w:r>
      <w:r w:rsidRPr="008830AA">
        <w:t>Use</w:t>
      </w:r>
      <w:r w:rsidRPr="008830AA">
        <w:rPr>
          <w:spacing w:val="-1"/>
        </w:rPr>
        <w:t xml:space="preserve"> </w:t>
      </w:r>
      <w:r w:rsidRPr="008830AA">
        <w:t>Microdata Sample</w:t>
      </w:r>
      <w:r w:rsidRPr="008830AA">
        <w:rPr>
          <w:spacing w:val="-1"/>
        </w:rPr>
        <w:t xml:space="preserve"> </w:t>
      </w:r>
      <w:r w:rsidRPr="008830AA">
        <w:t>for</w:t>
      </w:r>
      <w:r w:rsidRPr="008830AA">
        <w:rPr>
          <w:spacing w:val="-1"/>
        </w:rPr>
        <w:t xml:space="preserve"> </w:t>
      </w:r>
      <w:r w:rsidRPr="008830AA">
        <w:t>all</w:t>
      </w:r>
      <w:r w:rsidRPr="008830AA">
        <w:rPr>
          <w:spacing w:val="-1"/>
        </w:rPr>
        <w:t xml:space="preserve"> </w:t>
      </w:r>
      <w:r w:rsidRPr="008830AA">
        <w:t>other</w:t>
      </w:r>
      <w:r w:rsidRPr="008830AA">
        <w:rPr>
          <w:spacing w:val="-1"/>
        </w:rPr>
        <w:t xml:space="preserve"> </w:t>
      </w:r>
      <w:r w:rsidRPr="008830AA">
        <w:t>estimates</w:t>
      </w:r>
    </w:p>
    <w:p w:rsidR="003D5F5A" w:rsidP="00013514" w:rsidRDefault="00FA7DE7" w14:paraId="70800666" w14:textId="6FA3F4DA">
      <w:pPr>
        <w:pStyle w:val="Body11ptCalibri-IPR"/>
        <w:spacing w:after="240"/>
      </w:pPr>
      <w:r>
        <w:lastRenderedPageBreak/>
        <w:t>T</w:t>
      </w:r>
      <w:r w:rsidR="003D5F5A">
        <w:t xml:space="preserve">he sample size </w:t>
      </w:r>
      <w:r>
        <w:t xml:space="preserve">was designed </w:t>
      </w:r>
      <w:r w:rsidR="003D5F5A">
        <w:t>to be la</w:t>
      </w:r>
      <w:r w:rsidR="007D24AD">
        <w:t>rge enough to meet the precision r</w:t>
      </w:r>
      <w:r w:rsidR="003D5F5A">
        <w:t xml:space="preserve">equirement for the subgroup with the lowest </w:t>
      </w:r>
      <w:r w:rsidR="007D24AD">
        <w:t xml:space="preserve">expected population prevalence, </w:t>
      </w:r>
      <w:r w:rsidR="003D5F5A">
        <w:t>households with</w:t>
      </w:r>
      <w:r w:rsidR="003D5F5A">
        <w:rPr>
          <w:spacing w:val="1"/>
        </w:rPr>
        <w:t xml:space="preserve"> </w:t>
      </w:r>
      <w:r w:rsidR="007D24AD">
        <w:t>children</w:t>
      </w:r>
      <w:r w:rsidR="003D5F5A">
        <w:t>.</w:t>
      </w:r>
      <w:r w:rsidR="007D24AD">
        <w:t xml:space="preserve"> </w:t>
      </w:r>
    </w:p>
    <w:p w:rsidR="005F44AE" w:rsidP="004C4E17" w:rsidRDefault="003D5F5A" w14:paraId="101BC7B0" w14:textId="77777777">
      <w:pPr>
        <w:pStyle w:val="Body11ptCalibri-IPR"/>
        <w:rPr>
          <w:i/>
        </w:rPr>
      </w:pPr>
      <w:r w:rsidRPr="00EF57BE">
        <w:rPr>
          <w:b/>
          <w:bCs/>
          <w:i/>
        </w:rPr>
        <w:t>Design effects</w:t>
      </w:r>
    </w:p>
    <w:p w:rsidR="003D5F5A" w:rsidP="00013514" w:rsidRDefault="00FA7DE7" w14:paraId="58665B47" w14:textId="16FFD277">
      <w:pPr>
        <w:pStyle w:val="Body11ptCalibri-IPR"/>
        <w:spacing w:after="240"/>
      </w:pPr>
      <w:r>
        <w:t>T</w:t>
      </w:r>
      <w:r w:rsidR="003D5F5A">
        <w:t>his study</w:t>
      </w:r>
      <w:r>
        <w:t xml:space="preserve"> has</w:t>
      </w:r>
      <w:r w:rsidR="003D5F5A">
        <w:t xml:space="preserve"> three potential sources of design</w:t>
      </w:r>
      <w:r w:rsidR="007D24AD">
        <w:t xml:space="preserve"> effects (increase</w:t>
      </w:r>
      <w:r w:rsidR="00D67CDF">
        <w:t>s</w:t>
      </w:r>
      <w:r w:rsidR="007D24AD">
        <w:t xml:space="preserve"> in variance)</w:t>
      </w:r>
      <w:r w:rsidR="003D5F5A">
        <w:t>: (1) the differential sampling of</w:t>
      </w:r>
      <w:r w:rsidR="003D5F5A">
        <w:rPr>
          <w:spacing w:val="1"/>
        </w:rPr>
        <w:t xml:space="preserve"> </w:t>
      </w:r>
      <w:r w:rsidR="003D5F5A">
        <w:t>households across sampling frames and the need to composite the samples, (2) the effect of the</w:t>
      </w:r>
      <w:r w:rsidR="003D5F5A">
        <w:rPr>
          <w:spacing w:val="1"/>
        </w:rPr>
        <w:t xml:space="preserve"> </w:t>
      </w:r>
      <w:r w:rsidR="003D5F5A">
        <w:t>clustering of the area‐pro</w:t>
      </w:r>
      <w:r w:rsidR="00BB549B">
        <w:t xml:space="preserve">bability sample within segments, </w:t>
      </w:r>
      <w:r w:rsidR="003D5F5A">
        <w:t>and (3) the weighting adjustments to</w:t>
      </w:r>
      <w:r w:rsidR="003D5F5A">
        <w:rPr>
          <w:spacing w:val="1"/>
        </w:rPr>
        <w:t xml:space="preserve"> </w:t>
      </w:r>
      <w:r w:rsidR="003D5F5A">
        <w:t>account for different</w:t>
      </w:r>
      <w:r w:rsidR="00BB549B">
        <w:t>ial nonresponse and coverage. A</w:t>
      </w:r>
      <w:r w:rsidR="003D5F5A">
        <w:t>ccounting for these aspects, the sample design</w:t>
      </w:r>
      <w:r w:rsidR="003D5F5A">
        <w:rPr>
          <w:spacing w:val="1"/>
        </w:rPr>
        <w:t xml:space="preserve"> </w:t>
      </w:r>
      <w:r w:rsidR="003D5F5A">
        <w:t>and</w:t>
      </w:r>
      <w:r w:rsidR="003D5F5A">
        <w:rPr>
          <w:spacing w:val="-2"/>
        </w:rPr>
        <w:t xml:space="preserve"> </w:t>
      </w:r>
      <w:r w:rsidR="003D5F5A">
        <w:t>weighting adjustments</w:t>
      </w:r>
      <w:r w:rsidR="003D5F5A">
        <w:rPr>
          <w:spacing w:val="-1"/>
        </w:rPr>
        <w:t xml:space="preserve"> </w:t>
      </w:r>
      <w:r w:rsidR="003D5F5A">
        <w:t>are</w:t>
      </w:r>
      <w:r w:rsidR="003D5F5A">
        <w:rPr>
          <w:spacing w:val="-1"/>
        </w:rPr>
        <w:t xml:space="preserve"> </w:t>
      </w:r>
      <w:r w:rsidR="003D5F5A">
        <w:t>expected</w:t>
      </w:r>
      <w:r w:rsidR="003D5F5A">
        <w:rPr>
          <w:spacing w:val="-1"/>
        </w:rPr>
        <w:t xml:space="preserve"> </w:t>
      </w:r>
      <w:r w:rsidR="003D5F5A">
        <w:t>to</w:t>
      </w:r>
      <w:r w:rsidR="003D5F5A">
        <w:rPr>
          <w:spacing w:val="-1"/>
        </w:rPr>
        <w:t xml:space="preserve"> </w:t>
      </w:r>
      <w:r w:rsidR="003D5F5A">
        <w:t>yield</w:t>
      </w:r>
      <w:r w:rsidR="003D5F5A">
        <w:rPr>
          <w:spacing w:val="-1"/>
        </w:rPr>
        <w:t xml:space="preserve"> </w:t>
      </w:r>
      <w:r w:rsidR="003D5F5A">
        <w:t>an</w:t>
      </w:r>
      <w:r w:rsidR="003D5F5A">
        <w:rPr>
          <w:spacing w:val="-1"/>
        </w:rPr>
        <w:t xml:space="preserve"> </w:t>
      </w:r>
      <w:r w:rsidR="003D5F5A">
        <w:t>overall</w:t>
      </w:r>
      <w:r w:rsidR="003D5F5A">
        <w:rPr>
          <w:spacing w:val="-1"/>
        </w:rPr>
        <w:t xml:space="preserve"> </w:t>
      </w:r>
      <w:r w:rsidR="003D5F5A">
        <w:t>design</w:t>
      </w:r>
      <w:r w:rsidR="003D5F5A">
        <w:rPr>
          <w:spacing w:val="-1"/>
        </w:rPr>
        <w:t xml:space="preserve"> </w:t>
      </w:r>
      <w:r w:rsidR="003D5F5A">
        <w:t>effect</w:t>
      </w:r>
      <w:r w:rsidR="003D5F5A">
        <w:rPr>
          <w:spacing w:val="-1"/>
        </w:rPr>
        <w:t xml:space="preserve"> </w:t>
      </w:r>
      <w:r w:rsidR="003D5F5A">
        <w:t>of 1.5.</w:t>
      </w:r>
    </w:p>
    <w:p w:rsidR="005F44AE" w:rsidP="004C4E17" w:rsidRDefault="003D5F5A" w14:paraId="66AF909C" w14:textId="77777777">
      <w:pPr>
        <w:pStyle w:val="Body11ptCalibri-IPR"/>
        <w:rPr>
          <w:i/>
        </w:rPr>
      </w:pPr>
      <w:r w:rsidRPr="00EF57BE">
        <w:rPr>
          <w:b/>
          <w:bCs/>
          <w:i/>
        </w:rPr>
        <w:t>Yield rates</w:t>
      </w:r>
    </w:p>
    <w:p w:rsidR="00013514" w:rsidP="00013514" w:rsidRDefault="003D5F5A" w14:paraId="4B81DC7F" w14:textId="77777777">
      <w:pPr>
        <w:pStyle w:val="Body11ptCalibri-IPR"/>
        <w:spacing w:after="240"/>
      </w:pPr>
      <w:r>
        <w:t>The yield rate is the expected number of respondents achieved from</w:t>
      </w:r>
      <w:r w:rsidR="007D24AD">
        <w:t xml:space="preserve"> a fielded sample divided by the n</w:t>
      </w:r>
      <w:r>
        <w:t>umber of cases in the fielded sample. The yield rate is different from the response rate because it</w:t>
      </w:r>
      <w:r>
        <w:rPr>
          <w:spacing w:val="1"/>
        </w:rPr>
        <w:t xml:space="preserve"> </w:t>
      </w:r>
      <w:r>
        <w:t>includes</w:t>
      </w:r>
      <w:r>
        <w:rPr>
          <w:spacing w:val="-3"/>
        </w:rPr>
        <w:t xml:space="preserve"> </w:t>
      </w:r>
      <w:r>
        <w:t>ineligibles</w:t>
      </w:r>
      <w:r>
        <w:rPr>
          <w:spacing w:val="-4"/>
        </w:rPr>
        <w:t xml:space="preserve"> </w:t>
      </w:r>
      <w:r>
        <w:t>in</w:t>
      </w:r>
      <w:r>
        <w:rPr>
          <w:spacing w:val="-4"/>
        </w:rPr>
        <w:t xml:space="preserve"> </w:t>
      </w:r>
      <w:r>
        <w:t>the</w:t>
      </w:r>
      <w:r>
        <w:rPr>
          <w:spacing w:val="-3"/>
        </w:rPr>
        <w:t xml:space="preserve"> </w:t>
      </w:r>
      <w:r>
        <w:t>denominator.</w:t>
      </w:r>
      <w:r>
        <w:rPr>
          <w:spacing w:val="-4"/>
        </w:rPr>
        <w:t xml:space="preserve"> </w:t>
      </w:r>
      <w:r>
        <w:t>The</w:t>
      </w:r>
      <w:r>
        <w:rPr>
          <w:spacing w:val="-2"/>
        </w:rPr>
        <w:t xml:space="preserve"> </w:t>
      </w:r>
      <w:r>
        <w:t>yield</w:t>
      </w:r>
      <w:r>
        <w:rPr>
          <w:spacing w:val="-2"/>
        </w:rPr>
        <w:t xml:space="preserve"> </w:t>
      </w:r>
      <w:r>
        <w:t>rate</w:t>
      </w:r>
      <w:r>
        <w:rPr>
          <w:spacing w:val="-3"/>
        </w:rPr>
        <w:t xml:space="preserve"> </w:t>
      </w:r>
      <w:r>
        <w:t>provides</w:t>
      </w:r>
      <w:r>
        <w:rPr>
          <w:spacing w:val="-4"/>
        </w:rPr>
        <w:t xml:space="preserve"> </w:t>
      </w:r>
      <w:r>
        <w:t>information</w:t>
      </w:r>
      <w:r>
        <w:rPr>
          <w:spacing w:val="-3"/>
        </w:rPr>
        <w:t xml:space="preserve"> </w:t>
      </w:r>
      <w:r>
        <w:t>on</w:t>
      </w:r>
      <w:r>
        <w:rPr>
          <w:spacing w:val="-4"/>
        </w:rPr>
        <w:t xml:space="preserve"> </w:t>
      </w:r>
      <w:r>
        <w:t>the</w:t>
      </w:r>
      <w:r>
        <w:rPr>
          <w:spacing w:val="-4"/>
        </w:rPr>
        <w:t xml:space="preserve"> </w:t>
      </w:r>
      <w:r>
        <w:t>level</w:t>
      </w:r>
      <w:r>
        <w:rPr>
          <w:spacing w:val="-2"/>
        </w:rPr>
        <w:t xml:space="preserve"> </w:t>
      </w:r>
      <w:r>
        <w:t>of</w:t>
      </w:r>
      <w:r>
        <w:rPr>
          <w:spacing w:val="-4"/>
        </w:rPr>
        <w:t xml:space="preserve"> </w:t>
      </w:r>
      <w:r>
        <w:t>effort</w:t>
      </w:r>
      <w:r>
        <w:rPr>
          <w:spacing w:val="-4"/>
        </w:rPr>
        <w:t xml:space="preserve"> </w:t>
      </w:r>
      <w:r w:rsidR="007D24AD">
        <w:t>and s</w:t>
      </w:r>
      <w:r>
        <w:t>ample sizes required for a study design, while the response rate provides information on the</w:t>
      </w:r>
      <w:r>
        <w:rPr>
          <w:spacing w:val="1"/>
        </w:rPr>
        <w:t xml:space="preserve"> </w:t>
      </w:r>
      <w:r>
        <w:t>representativeness</w:t>
      </w:r>
      <w:r>
        <w:rPr>
          <w:spacing w:val="-1"/>
        </w:rPr>
        <w:t xml:space="preserve"> </w:t>
      </w:r>
      <w:r>
        <w:t>of</w:t>
      </w:r>
      <w:r>
        <w:rPr>
          <w:spacing w:val="-2"/>
        </w:rPr>
        <w:t xml:space="preserve"> </w:t>
      </w:r>
      <w:r>
        <w:t>the</w:t>
      </w:r>
      <w:r>
        <w:rPr>
          <w:spacing w:val="-1"/>
        </w:rPr>
        <w:t xml:space="preserve"> </w:t>
      </w:r>
      <w:r>
        <w:t>survey</w:t>
      </w:r>
      <w:r>
        <w:rPr>
          <w:spacing w:val="-2"/>
        </w:rPr>
        <w:t xml:space="preserve"> </w:t>
      </w:r>
      <w:r>
        <w:t>respondents.</w:t>
      </w:r>
      <w:r>
        <w:rPr>
          <w:spacing w:val="-1"/>
        </w:rPr>
        <w:t xml:space="preserve"> </w:t>
      </w:r>
      <w:r>
        <w:t>Yield</w:t>
      </w:r>
      <w:r>
        <w:rPr>
          <w:spacing w:val="-2"/>
        </w:rPr>
        <w:t xml:space="preserve"> </w:t>
      </w:r>
      <w:r>
        <w:t>rates</w:t>
      </w:r>
      <w:r>
        <w:rPr>
          <w:spacing w:val="-1"/>
        </w:rPr>
        <w:t xml:space="preserve"> </w:t>
      </w:r>
      <w:r>
        <w:t>will</w:t>
      </w:r>
      <w:r>
        <w:rPr>
          <w:spacing w:val="-5"/>
        </w:rPr>
        <w:t xml:space="preserve"> </w:t>
      </w:r>
      <w:r>
        <w:t>vary</w:t>
      </w:r>
      <w:r>
        <w:rPr>
          <w:spacing w:val="-1"/>
        </w:rPr>
        <w:t xml:space="preserve"> </w:t>
      </w:r>
      <w:r>
        <w:t>by</w:t>
      </w:r>
      <w:r>
        <w:rPr>
          <w:spacing w:val="-2"/>
        </w:rPr>
        <w:t xml:space="preserve"> </w:t>
      </w:r>
      <w:r>
        <w:t>sampling</w:t>
      </w:r>
      <w:r>
        <w:rPr>
          <w:spacing w:val="-1"/>
        </w:rPr>
        <w:t xml:space="preserve"> </w:t>
      </w:r>
      <w:r>
        <w:t>frame</w:t>
      </w:r>
      <w:r>
        <w:rPr>
          <w:spacing w:val="-1"/>
        </w:rPr>
        <w:t xml:space="preserve"> </w:t>
      </w:r>
      <w:r>
        <w:t>and</w:t>
      </w:r>
      <w:r>
        <w:rPr>
          <w:spacing w:val="-1"/>
        </w:rPr>
        <w:t xml:space="preserve"> </w:t>
      </w:r>
      <w:r>
        <w:t>mode.</w:t>
      </w:r>
    </w:p>
    <w:p w:rsidR="00013514" w:rsidP="00013514" w:rsidRDefault="00C274DD" w14:paraId="177E5CC5" w14:textId="7F02843F">
      <w:pPr>
        <w:pStyle w:val="Body11ptCalibri-IPR"/>
        <w:spacing w:after="240"/>
      </w:pPr>
      <w:r>
        <w:t xml:space="preserve">The sample size and yield rate for the study are driven by the precision requirements for a potential 2-year follow-up study in addition to the current study. </w:t>
      </w:r>
      <w:r w:rsidR="00C8400D">
        <w:t>Eligibility</w:t>
      </w:r>
      <w:r w:rsidR="00C8400D">
        <w:rPr>
          <w:spacing w:val="-2"/>
        </w:rPr>
        <w:t xml:space="preserve"> </w:t>
      </w:r>
      <w:r w:rsidR="00C8400D">
        <w:t>for</w:t>
      </w:r>
      <w:r w:rsidR="00C8400D">
        <w:rPr>
          <w:spacing w:val="-3"/>
        </w:rPr>
        <w:t xml:space="preserve"> </w:t>
      </w:r>
      <w:r w:rsidR="00EE7100">
        <w:t>the</w:t>
      </w:r>
      <w:r w:rsidR="009B0821">
        <w:rPr>
          <w:spacing w:val="-4"/>
        </w:rPr>
        <w:t xml:space="preserve"> </w:t>
      </w:r>
      <w:r w:rsidR="00FA7DE7">
        <w:t>2</w:t>
      </w:r>
      <w:r w:rsidR="00C8400D">
        <w:t>‐year</w:t>
      </w:r>
      <w:r w:rsidR="00C8400D">
        <w:rPr>
          <w:spacing w:val="-2"/>
        </w:rPr>
        <w:t xml:space="preserve"> </w:t>
      </w:r>
      <w:r w:rsidR="00C8400D">
        <w:t>follow‐up</w:t>
      </w:r>
      <w:r w:rsidR="00C8400D">
        <w:rPr>
          <w:spacing w:val="-3"/>
        </w:rPr>
        <w:t xml:space="preserve"> </w:t>
      </w:r>
      <w:r w:rsidR="00C8400D">
        <w:t>is</w:t>
      </w:r>
      <w:r w:rsidR="00C8400D">
        <w:rPr>
          <w:spacing w:val="-3"/>
        </w:rPr>
        <w:t xml:space="preserve"> </w:t>
      </w:r>
      <w:r w:rsidR="00C8400D">
        <w:t>based</w:t>
      </w:r>
      <w:r w:rsidR="00C8400D">
        <w:rPr>
          <w:spacing w:val="-4"/>
        </w:rPr>
        <w:t xml:space="preserve"> </w:t>
      </w:r>
      <w:r w:rsidR="00C8400D">
        <w:t>on</w:t>
      </w:r>
      <w:r w:rsidR="00C8400D">
        <w:rPr>
          <w:spacing w:val="-3"/>
        </w:rPr>
        <w:t xml:space="preserve"> </w:t>
      </w:r>
      <w:r w:rsidR="00C8400D">
        <w:t>at</w:t>
      </w:r>
      <w:r w:rsidR="00C8400D">
        <w:rPr>
          <w:spacing w:val="-2"/>
        </w:rPr>
        <w:t xml:space="preserve"> </w:t>
      </w:r>
      <w:r w:rsidR="00C8400D">
        <w:t>least</w:t>
      </w:r>
      <w:r w:rsidR="00C8400D">
        <w:rPr>
          <w:spacing w:val="-2"/>
        </w:rPr>
        <w:t xml:space="preserve"> </w:t>
      </w:r>
      <w:r w:rsidR="00C8400D">
        <w:t>one</w:t>
      </w:r>
      <w:r w:rsidR="00C8400D">
        <w:rPr>
          <w:spacing w:val="-4"/>
        </w:rPr>
        <w:t xml:space="preserve"> </w:t>
      </w:r>
      <w:r w:rsidR="00C8400D">
        <w:t>member</w:t>
      </w:r>
      <w:r w:rsidR="00C8400D">
        <w:rPr>
          <w:spacing w:val="-3"/>
        </w:rPr>
        <w:t xml:space="preserve"> </w:t>
      </w:r>
      <w:r w:rsidR="00C8400D">
        <w:t>of</w:t>
      </w:r>
      <w:r w:rsidR="00C8400D">
        <w:rPr>
          <w:spacing w:val="-3"/>
        </w:rPr>
        <w:t xml:space="preserve"> </w:t>
      </w:r>
      <w:r w:rsidR="00C8400D">
        <w:t>the</w:t>
      </w:r>
      <w:r w:rsidR="00C8400D">
        <w:rPr>
          <w:spacing w:val="1"/>
        </w:rPr>
        <w:t xml:space="preserve"> </w:t>
      </w:r>
      <w:r w:rsidR="00C8400D">
        <w:t xml:space="preserve">responding household being alive and living in Puerto Rico. Thus, </w:t>
      </w:r>
      <w:r>
        <w:t>the estimation of</w:t>
      </w:r>
      <w:r w:rsidDel="00C274DD">
        <w:t xml:space="preserve"> </w:t>
      </w:r>
      <w:r w:rsidR="003D5F5A">
        <w:t xml:space="preserve">eligibility rates for the </w:t>
      </w:r>
      <w:r w:rsidR="00FA7DE7">
        <w:t>2</w:t>
      </w:r>
      <w:r w:rsidR="003D5F5A">
        <w:t xml:space="preserve">‐year follow‐up study </w:t>
      </w:r>
      <w:r w:rsidR="00C8400D">
        <w:t>requires consideration of</w:t>
      </w:r>
      <w:r w:rsidR="003D5F5A">
        <w:t xml:space="preserve"> the possibility of a natural</w:t>
      </w:r>
      <w:r w:rsidR="003D5F5A">
        <w:rPr>
          <w:spacing w:val="1"/>
        </w:rPr>
        <w:t xml:space="preserve"> </w:t>
      </w:r>
      <w:r w:rsidR="003D5F5A">
        <w:t>disaster</w:t>
      </w:r>
      <w:r w:rsidR="003D5F5A">
        <w:rPr>
          <w:spacing w:val="-4"/>
        </w:rPr>
        <w:t xml:space="preserve"> </w:t>
      </w:r>
      <w:r w:rsidR="003D5F5A">
        <w:t>in</w:t>
      </w:r>
      <w:r w:rsidR="003D5F5A">
        <w:rPr>
          <w:spacing w:val="-2"/>
        </w:rPr>
        <w:t xml:space="preserve"> </w:t>
      </w:r>
      <w:r w:rsidR="003D5F5A">
        <w:t>that</w:t>
      </w:r>
      <w:r w:rsidR="003D5F5A">
        <w:rPr>
          <w:spacing w:val="-3"/>
        </w:rPr>
        <w:t xml:space="preserve"> </w:t>
      </w:r>
      <w:r w:rsidR="00FA7DE7">
        <w:t>2</w:t>
      </w:r>
      <w:r w:rsidR="003D5F5A">
        <w:t>‐year</w:t>
      </w:r>
      <w:r w:rsidR="003D5F5A">
        <w:rPr>
          <w:spacing w:val="-4"/>
        </w:rPr>
        <w:t xml:space="preserve"> </w:t>
      </w:r>
      <w:r w:rsidR="003D5F5A">
        <w:t>period. Migration patterns following Hurricane</w:t>
      </w:r>
      <w:r w:rsidR="003D5F5A">
        <w:rPr>
          <w:spacing w:val="1"/>
        </w:rPr>
        <w:t xml:space="preserve"> </w:t>
      </w:r>
      <w:r w:rsidR="003D5F5A">
        <w:t xml:space="preserve">Maria can be used to </w:t>
      </w:r>
      <w:r w:rsidR="00C8400D">
        <w:t>inform</w:t>
      </w:r>
      <w:r w:rsidR="003D5F5A">
        <w:t xml:space="preserve"> eligibility rate</w:t>
      </w:r>
      <w:r w:rsidR="00C8400D">
        <w:t xml:space="preserve"> assumption</w:t>
      </w:r>
      <w:r w:rsidR="003D5F5A">
        <w:t>s</w:t>
      </w:r>
      <w:r w:rsidR="00C8400D">
        <w:t xml:space="preserve"> for the </w:t>
      </w:r>
      <w:r w:rsidR="00FA7DE7">
        <w:t>2</w:t>
      </w:r>
      <w:r w:rsidR="00C8400D">
        <w:t>-year follow-up</w:t>
      </w:r>
      <w:r w:rsidR="003D5F5A">
        <w:t xml:space="preserve">, though each natural disaster is unique. </w:t>
      </w:r>
      <w:bookmarkStart w:name="_Hlk78192052" w:id="32"/>
      <w:r w:rsidR="003D5F5A">
        <w:t>Acosta</w:t>
      </w:r>
      <w:r w:rsidR="00FA7DE7">
        <w:t xml:space="preserve"> et al.</w:t>
      </w:r>
      <w:bookmarkEnd w:id="32"/>
      <w:r w:rsidR="00FA7DE7">
        <w:t xml:space="preserve"> </w:t>
      </w:r>
      <w:r w:rsidR="003D5F5A">
        <w:t>estimated outmigration following Hurricane Maria to be between 4 and 17 percent.</w:t>
      </w:r>
      <w:r w:rsidR="00FA7DE7">
        <w:rPr>
          <w:rStyle w:val="FootnoteReference"/>
        </w:rPr>
        <w:footnoteReference w:id="15"/>
      </w:r>
      <w:r w:rsidR="003D5F5A">
        <w:rPr>
          <w:spacing w:val="1"/>
        </w:rPr>
        <w:t xml:space="preserve"> </w:t>
      </w:r>
      <w:r w:rsidR="00FA7DE7">
        <w:t>E</w:t>
      </w:r>
      <w:r w:rsidR="003D5F5A">
        <w:t>ligibility</w:t>
      </w:r>
      <w:r w:rsidR="003D5F5A">
        <w:rPr>
          <w:spacing w:val="-3"/>
        </w:rPr>
        <w:t xml:space="preserve"> </w:t>
      </w:r>
      <w:r w:rsidR="003D5F5A">
        <w:t>for</w:t>
      </w:r>
      <w:r w:rsidR="003D5F5A">
        <w:rPr>
          <w:spacing w:val="-3"/>
        </w:rPr>
        <w:t xml:space="preserve"> </w:t>
      </w:r>
      <w:r w:rsidR="003D5F5A">
        <w:t>the</w:t>
      </w:r>
      <w:r w:rsidR="003D5F5A">
        <w:rPr>
          <w:spacing w:val="-1"/>
        </w:rPr>
        <w:t xml:space="preserve"> </w:t>
      </w:r>
      <w:r w:rsidR="00FA7DE7">
        <w:t>2</w:t>
      </w:r>
      <w:r w:rsidR="003D5F5A">
        <w:t>‐year</w:t>
      </w:r>
      <w:r w:rsidR="003D5F5A">
        <w:rPr>
          <w:spacing w:val="-3"/>
        </w:rPr>
        <w:t xml:space="preserve"> </w:t>
      </w:r>
      <w:r w:rsidR="003D5F5A">
        <w:t>follow‐up</w:t>
      </w:r>
      <w:r w:rsidR="003D5F5A">
        <w:rPr>
          <w:spacing w:val="-2"/>
        </w:rPr>
        <w:t xml:space="preserve"> </w:t>
      </w:r>
      <w:r w:rsidR="003D5F5A">
        <w:t xml:space="preserve">study </w:t>
      </w:r>
      <w:r w:rsidR="00FA7DE7">
        <w:t xml:space="preserve">is not expected </w:t>
      </w:r>
      <w:r w:rsidR="003D5F5A">
        <w:t>to</w:t>
      </w:r>
      <w:r w:rsidR="003D5F5A">
        <w:rPr>
          <w:spacing w:val="-2"/>
        </w:rPr>
        <w:t xml:space="preserve"> </w:t>
      </w:r>
      <w:r w:rsidR="003D5F5A">
        <w:t>vary</w:t>
      </w:r>
      <w:r w:rsidR="003D5F5A">
        <w:rPr>
          <w:spacing w:val="-2"/>
        </w:rPr>
        <w:t xml:space="preserve"> </w:t>
      </w:r>
      <w:r w:rsidR="003D5F5A">
        <w:t>by</w:t>
      </w:r>
      <w:r w:rsidR="003D5F5A">
        <w:rPr>
          <w:spacing w:val="-2"/>
        </w:rPr>
        <w:t xml:space="preserve"> </w:t>
      </w:r>
      <w:r w:rsidR="003D5F5A">
        <w:t>sampling</w:t>
      </w:r>
      <w:r w:rsidR="003D5F5A">
        <w:rPr>
          <w:spacing w:val="-1"/>
        </w:rPr>
        <w:t xml:space="preserve"> </w:t>
      </w:r>
      <w:r w:rsidR="003D5F5A">
        <w:t>frame.</w:t>
      </w:r>
    </w:p>
    <w:p w:rsidR="00013514" w:rsidP="00013514" w:rsidRDefault="00FA7DE7" w14:paraId="17F09552" w14:textId="3B2A2FB0">
      <w:pPr>
        <w:pStyle w:val="Body11ptCalibri-IPR"/>
        <w:spacing w:after="240"/>
      </w:pPr>
      <w:r>
        <w:lastRenderedPageBreak/>
        <w:t xml:space="preserve">The study team </w:t>
      </w:r>
      <w:r w:rsidR="004C4E17">
        <w:t>ha</w:t>
      </w:r>
      <w:r>
        <w:t>s</w:t>
      </w:r>
      <w:r w:rsidR="004C4E17">
        <w:t xml:space="preserve"> conducted a sensitivity analysis to explore the variation in </w:t>
      </w:r>
      <w:r w:rsidR="008830AA">
        <w:t xml:space="preserve">the </w:t>
      </w:r>
      <w:r w:rsidR="004C4E17">
        <w:t xml:space="preserve">yield </w:t>
      </w:r>
      <w:r w:rsidR="008830AA">
        <w:t xml:space="preserve">rate </w:t>
      </w:r>
      <w:r w:rsidR="004C4E17">
        <w:t xml:space="preserve">under a </w:t>
      </w:r>
      <w:r w:rsidR="00DE11DF">
        <w:t>best</w:t>
      </w:r>
      <w:r>
        <w:t xml:space="preserve"> </w:t>
      </w:r>
      <w:r w:rsidR="00DE11DF">
        <w:t>case</w:t>
      </w:r>
      <w:r w:rsidR="004C4E17">
        <w:t xml:space="preserve"> scenario of 95 percent eligible, a </w:t>
      </w:r>
      <w:r w:rsidR="00DE11DF">
        <w:t>worst</w:t>
      </w:r>
      <w:r>
        <w:t xml:space="preserve"> </w:t>
      </w:r>
      <w:r w:rsidR="00DE11DF">
        <w:t>case</w:t>
      </w:r>
      <w:r w:rsidR="004C4E17">
        <w:t xml:space="preserve"> scenario of 80 percent eligible, and a middle scenario of 90 percent</w:t>
      </w:r>
      <w:r w:rsidR="004C4E17">
        <w:rPr>
          <w:spacing w:val="1"/>
        </w:rPr>
        <w:t xml:space="preserve"> </w:t>
      </w:r>
      <w:r w:rsidR="004C4E17">
        <w:t>eligible. These estimates are based on past experiences of similar studies, including studies in Puerto</w:t>
      </w:r>
      <w:r w:rsidR="004C4E17">
        <w:rPr>
          <w:spacing w:val="1"/>
        </w:rPr>
        <w:t xml:space="preserve"> </w:t>
      </w:r>
      <w:r w:rsidR="004C4E17">
        <w:t>Rico.</w:t>
      </w:r>
      <w:r w:rsidR="004C4E17">
        <w:rPr>
          <w:spacing w:val="1"/>
        </w:rPr>
        <w:t xml:space="preserve"> </w:t>
      </w:r>
      <w:r w:rsidR="004C4E17">
        <w:t>Table</w:t>
      </w:r>
      <w:r w:rsidR="004C4E17">
        <w:rPr>
          <w:spacing w:val="1"/>
        </w:rPr>
        <w:t xml:space="preserve"> B.</w:t>
      </w:r>
      <w:r w:rsidR="004C4E17">
        <w:t>2.4</w:t>
      </w:r>
      <w:r w:rsidR="004C4E17">
        <w:rPr>
          <w:spacing w:val="1"/>
        </w:rPr>
        <w:t xml:space="preserve"> </w:t>
      </w:r>
      <w:r w:rsidR="004C4E17">
        <w:t>provides expected response rates</w:t>
      </w:r>
      <w:r w:rsidR="004C4E17">
        <w:rPr>
          <w:spacing w:val="2"/>
        </w:rPr>
        <w:t xml:space="preserve"> </w:t>
      </w:r>
      <w:r w:rsidR="004C4E17">
        <w:t>for</w:t>
      </w:r>
      <w:r w:rsidR="004C4E17">
        <w:rPr>
          <w:spacing w:val="1"/>
        </w:rPr>
        <w:t xml:space="preserve"> </w:t>
      </w:r>
      <w:r w:rsidR="004C4E17">
        <w:t>each</w:t>
      </w:r>
      <w:r w:rsidR="004C4E17">
        <w:rPr>
          <w:spacing w:val="1"/>
        </w:rPr>
        <w:t xml:space="preserve"> </w:t>
      </w:r>
      <w:r w:rsidR="004C4E17">
        <w:t>sampling</w:t>
      </w:r>
      <w:r w:rsidR="004C4E17">
        <w:rPr>
          <w:spacing w:val="1"/>
        </w:rPr>
        <w:t xml:space="preserve"> </w:t>
      </w:r>
      <w:r w:rsidR="004C4E17">
        <w:t>frame</w:t>
      </w:r>
      <w:r w:rsidR="004C4E17">
        <w:rPr>
          <w:spacing w:val="1"/>
        </w:rPr>
        <w:t xml:space="preserve"> </w:t>
      </w:r>
      <w:r w:rsidR="004C4E17">
        <w:t>for</w:t>
      </w:r>
      <w:r w:rsidR="004C4E17">
        <w:rPr>
          <w:spacing w:val="2"/>
        </w:rPr>
        <w:t xml:space="preserve"> </w:t>
      </w:r>
      <w:r w:rsidR="004C4E17">
        <w:t>the</w:t>
      </w:r>
      <w:r w:rsidR="004C4E17">
        <w:rPr>
          <w:spacing w:val="1"/>
        </w:rPr>
        <w:t xml:space="preserve"> </w:t>
      </w:r>
      <w:r w:rsidR="004C4E17">
        <w:t>three scenarios for the baseline study. Table B.2.5 provides the corresponding yield‐rate scenarios</w:t>
      </w:r>
      <w:r w:rsidR="004C4E17">
        <w:rPr>
          <w:spacing w:val="1"/>
        </w:rPr>
        <w:t xml:space="preserve"> </w:t>
      </w:r>
      <w:r w:rsidR="004C4E17">
        <w:t>explored based on the expected response and eligibility rates and the resulting expected number of</w:t>
      </w:r>
      <w:r w:rsidR="004C4E17">
        <w:rPr>
          <w:spacing w:val="1"/>
        </w:rPr>
        <w:t xml:space="preserve"> </w:t>
      </w:r>
      <w:r w:rsidR="004C4E17">
        <w:t>respondents</w:t>
      </w:r>
      <w:r w:rsidR="004C4E17">
        <w:rPr>
          <w:spacing w:val="1"/>
        </w:rPr>
        <w:t xml:space="preserve"> </w:t>
      </w:r>
      <w:r w:rsidR="004C4E17">
        <w:t>for</w:t>
      </w:r>
      <w:r w:rsidR="004C4E17">
        <w:rPr>
          <w:spacing w:val="-1"/>
        </w:rPr>
        <w:t xml:space="preserve"> </w:t>
      </w:r>
      <w:r w:rsidR="004C4E17">
        <w:t>each scenario for the</w:t>
      </w:r>
      <w:r w:rsidR="004C4E17">
        <w:rPr>
          <w:spacing w:val="-1"/>
        </w:rPr>
        <w:t xml:space="preserve"> </w:t>
      </w:r>
      <w:r w:rsidR="004C4E17">
        <w:t>baseline</w:t>
      </w:r>
      <w:r w:rsidR="004C4E17">
        <w:rPr>
          <w:spacing w:val="-1"/>
        </w:rPr>
        <w:t xml:space="preserve"> </w:t>
      </w:r>
      <w:r w:rsidR="004C4E17">
        <w:t>study.</w:t>
      </w:r>
    </w:p>
    <w:p w:rsidR="00DE11DF" w:rsidP="00013514" w:rsidRDefault="004C4E17" w14:paraId="035078A3" w14:textId="70FC7BF1">
      <w:pPr>
        <w:pStyle w:val="Body11ptCalibri-IPR"/>
        <w:spacing w:after="240"/>
      </w:pPr>
      <w:r>
        <w:t xml:space="preserve">For the </w:t>
      </w:r>
      <w:r w:rsidR="00FA7DE7">
        <w:t>2</w:t>
      </w:r>
      <w:r>
        <w:t xml:space="preserve">‐year follow‐up, </w:t>
      </w:r>
      <w:r w:rsidR="00FA7DE7">
        <w:t>the study team</w:t>
      </w:r>
      <w:r w:rsidR="003239ED">
        <w:t xml:space="preserve"> anticipate</w:t>
      </w:r>
      <w:r w:rsidR="00FA7DE7">
        <w:t>s</w:t>
      </w:r>
      <w:r w:rsidR="003239ED">
        <w:t xml:space="preserve"> </w:t>
      </w:r>
      <w:r>
        <w:t xml:space="preserve">the following response rates: a </w:t>
      </w:r>
      <w:r w:rsidR="00DE11DF">
        <w:t>best</w:t>
      </w:r>
      <w:r w:rsidR="00FA7DE7">
        <w:t xml:space="preserve"> </w:t>
      </w:r>
      <w:r w:rsidR="00DE11DF">
        <w:t>case</w:t>
      </w:r>
      <w:r>
        <w:t xml:space="preserve"> scenario of 90</w:t>
      </w:r>
      <w:r>
        <w:rPr>
          <w:spacing w:val="1"/>
        </w:rPr>
        <w:t xml:space="preserve"> </w:t>
      </w:r>
      <w:r>
        <w:t>percent,</w:t>
      </w:r>
      <w:r>
        <w:rPr>
          <w:spacing w:val="-2"/>
        </w:rPr>
        <w:t xml:space="preserve"> </w:t>
      </w:r>
      <w:r>
        <w:t>a</w:t>
      </w:r>
      <w:r>
        <w:rPr>
          <w:spacing w:val="-2"/>
        </w:rPr>
        <w:t xml:space="preserve"> </w:t>
      </w:r>
      <w:r w:rsidR="00DE11DF">
        <w:t>worst</w:t>
      </w:r>
      <w:r w:rsidR="00FA7DE7">
        <w:rPr>
          <w:spacing w:val="-1"/>
        </w:rPr>
        <w:t xml:space="preserve"> </w:t>
      </w:r>
      <w:r w:rsidR="00DE11DF">
        <w:rPr>
          <w:spacing w:val="-1"/>
        </w:rPr>
        <w:t>case</w:t>
      </w:r>
      <w:r>
        <w:rPr>
          <w:spacing w:val="-2"/>
        </w:rPr>
        <w:t xml:space="preserve"> </w:t>
      </w:r>
      <w:r>
        <w:t>scenario</w:t>
      </w:r>
      <w:r>
        <w:rPr>
          <w:spacing w:val="-3"/>
        </w:rPr>
        <w:t xml:space="preserve"> </w:t>
      </w:r>
      <w:r>
        <w:t>of</w:t>
      </w:r>
      <w:r>
        <w:rPr>
          <w:spacing w:val="-2"/>
        </w:rPr>
        <w:t xml:space="preserve"> </w:t>
      </w:r>
      <w:r>
        <w:t>60</w:t>
      </w:r>
      <w:r>
        <w:rPr>
          <w:spacing w:val="-2"/>
        </w:rPr>
        <w:t xml:space="preserve"> </w:t>
      </w:r>
      <w:r>
        <w:t>percent,</w:t>
      </w:r>
      <w:r>
        <w:rPr>
          <w:spacing w:val="-3"/>
        </w:rPr>
        <w:t xml:space="preserve"> </w:t>
      </w:r>
      <w:r>
        <w:t>and</w:t>
      </w:r>
      <w:r w:rsidR="00FA7DE7">
        <w:rPr>
          <w:spacing w:val="-2"/>
        </w:rPr>
        <w:t xml:space="preserve"> </w:t>
      </w:r>
      <w:r>
        <w:t>a</w:t>
      </w:r>
      <w:r>
        <w:rPr>
          <w:spacing w:val="-1"/>
        </w:rPr>
        <w:t xml:space="preserve"> </w:t>
      </w:r>
      <w:r>
        <w:t>middle</w:t>
      </w:r>
      <w:r>
        <w:rPr>
          <w:spacing w:val="-2"/>
        </w:rPr>
        <w:t xml:space="preserve"> </w:t>
      </w:r>
      <w:r>
        <w:t>scenario</w:t>
      </w:r>
      <w:r>
        <w:rPr>
          <w:spacing w:val="-2"/>
        </w:rPr>
        <w:t xml:space="preserve"> </w:t>
      </w:r>
      <w:r>
        <w:t>of</w:t>
      </w:r>
      <w:r>
        <w:rPr>
          <w:spacing w:val="-2"/>
        </w:rPr>
        <w:t xml:space="preserve"> </w:t>
      </w:r>
      <w:r>
        <w:t>80</w:t>
      </w:r>
      <w:r>
        <w:rPr>
          <w:spacing w:val="-1"/>
        </w:rPr>
        <w:t xml:space="preserve"> </w:t>
      </w:r>
      <w:r>
        <w:t>percent.</w:t>
      </w:r>
      <w:r>
        <w:rPr>
          <w:spacing w:val="-2"/>
        </w:rPr>
        <w:t xml:space="preserve"> </w:t>
      </w:r>
      <w:r>
        <w:t>Eligibility</w:t>
      </w:r>
      <w:r>
        <w:rPr>
          <w:spacing w:val="-3"/>
        </w:rPr>
        <w:t xml:space="preserve"> </w:t>
      </w:r>
      <w:r>
        <w:t>rates</w:t>
      </w:r>
      <w:r>
        <w:rPr>
          <w:spacing w:val="-1"/>
        </w:rPr>
        <w:t xml:space="preserve"> </w:t>
      </w:r>
      <w:r w:rsidR="00DE11DF">
        <w:t xml:space="preserve">for </w:t>
      </w:r>
      <w:r w:rsidR="00FA7DE7">
        <w:t>the 2</w:t>
      </w:r>
      <w:r>
        <w:t>‐year follow‐up study should not vary by sampling frame. Assuming the middle response rate for</w:t>
      </w:r>
      <w:r>
        <w:rPr>
          <w:spacing w:val="1"/>
        </w:rPr>
        <w:t xml:space="preserve"> </w:t>
      </w:r>
      <w:r>
        <w:t xml:space="preserve">the baseline study and the eligibility rates discussed previously, </w:t>
      </w:r>
      <w:r w:rsidR="00FA7DE7">
        <w:t>t</w:t>
      </w:r>
      <w:r>
        <w:t>able B.2.6 provides expected yield rates</w:t>
      </w:r>
      <w:r>
        <w:rPr>
          <w:spacing w:val="1"/>
        </w:rPr>
        <w:t xml:space="preserve"> </w:t>
      </w:r>
      <w:r>
        <w:t>for</w:t>
      </w:r>
      <w:r>
        <w:rPr>
          <w:spacing w:val="-1"/>
        </w:rPr>
        <w:t xml:space="preserve"> </w:t>
      </w:r>
      <w:r>
        <w:t xml:space="preserve">the </w:t>
      </w:r>
      <w:r w:rsidR="00FA7DE7">
        <w:t>2</w:t>
      </w:r>
      <w:r>
        <w:t>‐year follow‐up survey.</w:t>
      </w:r>
    </w:p>
    <w:p w:rsidR="00DE11DF" w:rsidP="00DE11DF" w:rsidRDefault="00DE11DF" w14:paraId="61C7458C" w14:textId="69DF6EEE">
      <w:pPr>
        <w:pStyle w:val="TableTitle-IPR"/>
      </w:pPr>
      <w:bookmarkStart w:name="_Toc78365141" w:id="33"/>
      <w:r>
        <w:t>Table</w:t>
      </w:r>
      <w:r>
        <w:rPr>
          <w:spacing w:val="-2"/>
        </w:rPr>
        <w:t xml:space="preserve"> B.</w:t>
      </w:r>
      <w:r>
        <w:t>2.4.</w:t>
      </w:r>
      <w:r>
        <w:rPr>
          <w:spacing w:val="-1"/>
        </w:rPr>
        <w:t xml:space="preserve"> </w:t>
      </w:r>
      <w:r>
        <w:t>Expected</w:t>
      </w:r>
      <w:r>
        <w:rPr>
          <w:spacing w:val="-1"/>
        </w:rPr>
        <w:t xml:space="preserve"> </w:t>
      </w:r>
      <w:r>
        <w:t>Response</w:t>
      </w:r>
      <w:r>
        <w:rPr>
          <w:spacing w:val="-2"/>
        </w:rPr>
        <w:t xml:space="preserve"> </w:t>
      </w:r>
      <w:r>
        <w:t>Rates</w:t>
      </w:r>
      <w:r>
        <w:rPr>
          <w:spacing w:val="-1"/>
        </w:rPr>
        <w:t xml:space="preserve"> </w:t>
      </w:r>
      <w:r>
        <w:t>by</w:t>
      </w:r>
      <w:r>
        <w:rPr>
          <w:spacing w:val="-2"/>
        </w:rPr>
        <w:t xml:space="preserve"> </w:t>
      </w:r>
      <w:r>
        <w:t>Sampling</w:t>
      </w:r>
      <w:r>
        <w:rPr>
          <w:spacing w:val="-1"/>
        </w:rPr>
        <w:t xml:space="preserve"> </w:t>
      </w:r>
      <w:r>
        <w:t>Frame</w:t>
      </w:r>
      <w:r>
        <w:rPr>
          <w:spacing w:val="-2"/>
        </w:rPr>
        <w:t xml:space="preserve"> </w:t>
      </w:r>
      <w:r>
        <w:t>for</w:t>
      </w:r>
      <w:r>
        <w:rPr>
          <w:spacing w:val="-1"/>
        </w:rPr>
        <w:t xml:space="preserve"> </w:t>
      </w:r>
      <w:r>
        <w:t>Baseline</w:t>
      </w:r>
      <w:r>
        <w:rPr>
          <w:spacing w:val="-1"/>
        </w:rPr>
        <w:t xml:space="preserve"> </w:t>
      </w:r>
      <w:r>
        <w:t>Study</w:t>
      </w:r>
      <w:bookmarkEnd w:id="33"/>
    </w:p>
    <w:tbl>
      <w:tblPr>
        <w:tblStyle w:val="InsightTable"/>
        <w:tblW w:w="0" w:type="auto"/>
        <w:tblLook w:val="04A0" w:firstRow="1" w:lastRow="0" w:firstColumn="1" w:lastColumn="0" w:noHBand="0" w:noVBand="1"/>
      </w:tblPr>
      <w:tblGrid>
        <w:gridCol w:w="3243"/>
        <w:gridCol w:w="2013"/>
        <w:gridCol w:w="2025"/>
        <w:gridCol w:w="2021"/>
      </w:tblGrid>
      <w:tr w:rsidR="00DE11DF" w:rsidTr="00013514" w14:paraId="1DFDB2EC" w14:textId="77777777">
        <w:trPr>
          <w:cnfStyle w:val="100000000000" w:firstRow="1" w:lastRow="0" w:firstColumn="0" w:lastColumn="0" w:oddVBand="0" w:evenVBand="0" w:oddHBand="0" w:evenHBand="0" w:firstRowFirstColumn="0" w:firstRowLastColumn="0" w:lastRowFirstColumn="0" w:lastRowLastColumn="0"/>
          <w:trHeight w:val="360"/>
          <w:tblHeader/>
        </w:trPr>
        <w:tc>
          <w:tcPr>
            <w:tcW w:w="3362" w:type="dxa"/>
            <w:vMerge w:val="restart"/>
          </w:tcPr>
          <w:p w:rsidR="00DE11DF" w:rsidP="00DE11DF" w:rsidRDefault="00DE11DF" w14:paraId="6BDF0AB0" w14:textId="68D613C9">
            <w:pPr>
              <w:pStyle w:val="TableHeaderRow-IPR"/>
            </w:pPr>
            <w:r>
              <w:t>Sampling Frame</w:t>
            </w:r>
          </w:p>
        </w:tc>
        <w:tc>
          <w:tcPr>
            <w:tcW w:w="6280" w:type="dxa"/>
            <w:gridSpan w:val="3"/>
            <w:tcBorders>
              <w:bottom w:val="dotted" w:color="B12732" w:sz="4" w:space="0"/>
            </w:tcBorders>
          </w:tcPr>
          <w:p w:rsidR="00DE11DF" w:rsidP="00DE11DF" w:rsidRDefault="00DE11DF" w14:paraId="1B3D694F" w14:textId="753EDE86">
            <w:pPr>
              <w:pStyle w:val="TableHeaderRow-IPR"/>
            </w:pPr>
            <w:r>
              <w:t>Response Rate (Percent)</w:t>
            </w:r>
          </w:p>
        </w:tc>
      </w:tr>
      <w:tr w:rsidR="00DE11DF" w:rsidTr="00013514" w14:paraId="0F6B3EFD" w14:textId="77777777">
        <w:trPr>
          <w:cnfStyle w:val="100000000000" w:firstRow="1" w:lastRow="0" w:firstColumn="0" w:lastColumn="0" w:oddVBand="0" w:evenVBand="0" w:oddHBand="0" w:evenHBand="0" w:firstRowFirstColumn="0" w:firstRowLastColumn="0" w:lastRowFirstColumn="0" w:lastRowLastColumn="0"/>
          <w:trHeight w:val="360"/>
          <w:tblHeader/>
        </w:trPr>
        <w:tc>
          <w:tcPr>
            <w:tcW w:w="3362" w:type="dxa"/>
            <w:vMerge/>
          </w:tcPr>
          <w:p w:rsidR="00DE11DF" w:rsidP="00DE11DF" w:rsidRDefault="00DE11DF" w14:paraId="28C5DC8E" w14:textId="77777777">
            <w:pPr>
              <w:pStyle w:val="TableHeaderRow-IPR"/>
            </w:pPr>
          </w:p>
        </w:tc>
        <w:tc>
          <w:tcPr>
            <w:tcW w:w="2093" w:type="dxa"/>
            <w:tcBorders>
              <w:top w:val="dotted" w:color="B12732" w:sz="4" w:space="0"/>
            </w:tcBorders>
          </w:tcPr>
          <w:p w:rsidR="00DE11DF" w:rsidP="00DE11DF" w:rsidRDefault="00DE11DF" w14:paraId="49AAFEBD" w14:textId="4081777C">
            <w:pPr>
              <w:pStyle w:val="TableHeaderRow-IPR"/>
            </w:pPr>
            <w:r>
              <w:t>Best</w:t>
            </w:r>
          </w:p>
        </w:tc>
        <w:tc>
          <w:tcPr>
            <w:tcW w:w="2093" w:type="dxa"/>
            <w:tcBorders>
              <w:top w:val="dotted" w:color="B12732" w:sz="4" w:space="0"/>
            </w:tcBorders>
          </w:tcPr>
          <w:p w:rsidR="00DE11DF" w:rsidP="00DE11DF" w:rsidRDefault="00DE11DF" w14:paraId="3FFB799E" w14:textId="547675BC">
            <w:pPr>
              <w:pStyle w:val="TableHeaderRow-IPR"/>
            </w:pPr>
            <w:r>
              <w:t>Middle</w:t>
            </w:r>
          </w:p>
        </w:tc>
        <w:tc>
          <w:tcPr>
            <w:tcW w:w="2094" w:type="dxa"/>
            <w:tcBorders>
              <w:top w:val="dotted" w:color="B12732" w:sz="4" w:space="0"/>
            </w:tcBorders>
          </w:tcPr>
          <w:p w:rsidR="00DE11DF" w:rsidP="00DE11DF" w:rsidRDefault="00DE11DF" w14:paraId="2D757DE3" w14:textId="403DEABF">
            <w:pPr>
              <w:pStyle w:val="TableHeaderRow-IPR"/>
            </w:pPr>
            <w:r>
              <w:t>Worst</w:t>
            </w:r>
          </w:p>
        </w:tc>
      </w:tr>
      <w:tr w:rsidR="00DE11DF" w:rsidTr="00013514" w14:paraId="4CB73D9A" w14:textId="77777777">
        <w:trPr>
          <w:trHeight w:val="288"/>
        </w:trPr>
        <w:tc>
          <w:tcPr>
            <w:tcW w:w="3362" w:type="dxa"/>
          </w:tcPr>
          <w:p w:rsidR="00DE11DF" w:rsidP="00DE11DF" w:rsidRDefault="00DE11DF" w14:paraId="205C3B5D" w14:textId="51E1AEE8">
            <w:pPr>
              <w:pStyle w:val="TableText-IPR"/>
            </w:pPr>
            <w:r w:rsidRPr="00AD04FB">
              <w:t>NAP participant list (mail)</w:t>
            </w:r>
          </w:p>
        </w:tc>
        <w:tc>
          <w:tcPr>
            <w:tcW w:w="2093" w:type="dxa"/>
          </w:tcPr>
          <w:p w:rsidR="00DE11DF" w:rsidP="003F6B3B" w:rsidRDefault="00DE11DF" w14:paraId="0D5E3541" w14:textId="28DC85CB">
            <w:pPr>
              <w:pStyle w:val="TableText-IPR"/>
              <w:jc w:val="right"/>
            </w:pPr>
            <w:r>
              <w:t>40</w:t>
            </w:r>
          </w:p>
        </w:tc>
        <w:tc>
          <w:tcPr>
            <w:tcW w:w="2093" w:type="dxa"/>
          </w:tcPr>
          <w:p w:rsidR="00DE11DF" w:rsidP="003F6B3B" w:rsidRDefault="00DE11DF" w14:paraId="722DC99D" w14:textId="2F058919">
            <w:pPr>
              <w:pStyle w:val="TableText-IPR"/>
              <w:jc w:val="right"/>
            </w:pPr>
            <w:r>
              <w:t>30</w:t>
            </w:r>
          </w:p>
        </w:tc>
        <w:tc>
          <w:tcPr>
            <w:tcW w:w="2094" w:type="dxa"/>
          </w:tcPr>
          <w:p w:rsidR="00DE11DF" w:rsidP="003F6B3B" w:rsidRDefault="00DE11DF" w14:paraId="619C856B" w14:textId="02696172">
            <w:pPr>
              <w:pStyle w:val="TableText-IPR"/>
              <w:jc w:val="right"/>
            </w:pPr>
            <w:r>
              <w:t>20</w:t>
            </w:r>
          </w:p>
        </w:tc>
      </w:tr>
      <w:tr w:rsidR="00DE11DF" w:rsidTr="00013514" w14:paraId="1D5EFC26" w14:textId="77777777">
        <w:trPr>
          <w:trHeight w:val="288"/>
        </w:trPr>
        <w:tc>
          <w:tcPr>
            <w:tcW w:w="3362" w:type="dxa"/>
          </w:tcPr>
          <w:p w:rsidR="00DE11DF" w:rsidP="00DE11DF" w:rsidRDefault="00DE11DF" w14:paraId="2CC30DB8" w14:textId="59FFD0BF">
            <w:pPr>
              <w:pStyle w:val="TableText-IPR"/>
            </w:pPr>
            <w:r w:rsidRPr="00AD04FB">
              <w:t>NAP participant list (phone follow‐up)</w:t>
            </w:r>
          </w:p>
        </w:tc>
        <w:tc>
          <w:tcPr>
            <w:tcW w:w="2093" w:type="dxa"/>
          </w:tcPr>
          <w:p w:rsidR="00DE11DF" w:rsidP="003F6B3B" w:rsidRDefault="00DE11DF" w14:paraId="51F21E57" w14:textId="1FCC1255">
            <w:pPr>
              <w:pStyle w:val="TableText-IPR"/>
              <w:jc w:val="right"/>
            </w:pPr>
            <w:r>
              <w:t>15</w:t>
            </w:r>
          </w:p>
        </w:tc>
        <w:tc>
          <w:tcPr>
            <w:tcW w:w="2093" w:type="dxa"/>
          </w:tcPr>
          <w:p w:rsidR="00DE11DF" w:rsidP="003F6B3B" w:rsidRDefault="00DE11DF" w14:paraId="5082C8EB" w14:textId="72E7F808">
            <w:pPr>
              <w:pStyle w:val="TableText-IPR"/>
              <w:jc w:val="right"/>
            </w:pPr>
            <w:r>
              <w:t>10</w:t>
            </w:r>
          </w:p>
        </w:tc>
        <w:tc>
          <w:tcPr>
            <w:tcW w:w="2094" w:type="dxa"/>
          </w:tcPr>
          <w:p w:rsidR="00DE11DF" w:rsidP="003F6B3B" w:rsidRDefault="00DE11DF" w14:paraId="4462CCFE" w14:textId="482341BE">
            <w:pPr>
              <w:pStyle w:val="TableText-IPR"/>
              <w:jc w:val="right"/>
            </w:pPr>
            <w:r>
              <w:t>5</w:t>
            </w:r>
          </w:p>
        </w:tc>
      </w:tr>
      <w:tr w:rsidR="00DE11DF" w:rsidTr="00013514" w14:paraId="3E67274C" w14:textId="77777777">
        <w:trPr>
          <w:trHeight w:val="288"/>
        </w:trPr>
        <w:tc>
          <w:tcPr>
            <w:tcW w:w="3362" w:type="dxa"/>
          </w:tcPr>
          <w:p w:rsidR="00DE11DF" w:rsidP="00DE11DF" w:rsidRDefault="00DE11DF" w14:paraId="5FFC0968" w14:textId="45F820C1">
            <w:pPr>
              <w:pStyle w:val="TableText-IPR"/>
            </w:pPr>
            <w:r w:rsidRPr="00AD04FB">
              <w:t>Area probability</w:t>
            </w:r>
          </w:p>
        </w:tc>
        <w:tc>
          <w:tcPr>
            <w:tcW w:w="2093" w:type="dxa"/>
          </w:tcPr>
          <w:p w:rsidR="00DE11DF" w:rsidP="003F6B3B" w:rsidRDefault="00DE11DF" w14:paraId="6301BF2F" w14:textId="0B9DF32A">
            <w:pPr>
              <w:pStyle w:val="TableText-IPR"/>
              <w:jc w:val="right"/>
            </w:pPr>
            <w:r>
              <w:t>40</w:t>
            </w:r>
          </w:p>
        </w:tc>
        <w:tc>
          <w:tcPr>
            <w:tcW w:w="2093" w:type="dxa"/>
          </w:tcPr>
          <w:p w:rsidR="00DE11DF" w:rsidP="003F6B3B" w:rsidRDefault="00DE11DF" w14:paraId="55105733" w14:textId="45863D44">
            <w:pPr>
              <w:pStyle w:val="TableText-IPR"/>
              <w:jc w:val="right"/>
            </w:pPr>
            <w:r>
              <w:t>30</w:t>
            </w:r>
          </w:p>
        </w:tc>
        <w:tc>
          <w:tcPr>
            <w:tcW w:w="2094" w:type="dxa"/>
          </w:tcPr>
          <w:p w:rsidR="00DE11DF" w:rsidP="003F6B3B" w:rsidRDefault="00DE11DF" w14:paraId="6EEE134B" w14:textId="49E93D95">
            <w:pPr>
              <w:pStyle w:val="TableText-IPR"/>
              <w:jc w:val="right"/>
            </w:pPr>
            <w:r>
              <w:t>20</w:t>
            </w:r>
          </w:p>
        </w:tc>
      </w:tr>
    </w:tbl>
    <w:p w:rsidR="00DE11DF" w:rsidP="00013514" w:rsidRDefault="00DE11DF" w14:paraId="7A27E68B" w14:textId="7AA1838F">
      <w:pPr>
        <w:pStyle w:val="TableTitle-IPR"/>
        <w:spacing w:before="240"/>
      </w:pPr>
      <w:bookmarkStart w:name="_Toc78365142" w:id="34"/>
      <w:r>
        <w:t>Table B.2.5. Expected Yield Rates and Number of Respondents for Each Sampling Frame for the Baseline Study</w:t>
      </w:r>
      <w:bookmarkEnd w:id="34"/>
    </w:p>
    <w:tbl>
      <w:tblPr>
        <w:tblStyle w:val="InsightTable"/>
        <w:tblW w:w="0" w:type="auto"/>
        <w:tblLook w:val="04A0" w:firstRow="1" w:lastRow="0" w:firstColumn="1" w:lastColumn="0" w:noHBand="0" w:noVBand="1"/>
      </w:tblPr>
      <w:tblGrid>
        <w:gridCol w:w="2552"/>
        <w:gridCol w:w="1125"/>
        <w:gridCol w:w="1125"/>
        <w:gridCol w:w="1125"/>
        <w:gridCol w:w="1125"/>
        <w:gridCol w:w="1125"/>
        <w:gridCol w:w="1125"/>
      </w:tblGrid>
      <w:tr w:rsidR="00DE11DF" w:rsidTr="002A0BC3" w14:paraId="4BB4729F" w14:textId="77777777">
        <w:trPr>
          <w:cnfStyle w:val="100000000000" w:firstRow="1" w:lastRow="0" w:firstColumn="0" w:lastColumn="0" w:oddVBand="0" w:evenVBand="0" w:oddHBand="0" w:evenHBand="0" w:firstRowFirstColumn="0" w:firstRowLastColumn="0" w:lastRowFirstColumn="0" w:lastRowLastColumn="0"/>
          <w:trHeight w:val="360"/>
          <w:tblHeader/>
        </w:trPr>
        <w:tc>
          <w:tcPr>
            <w:tcW w:w="2552" w:type="dxa"/>
            <w:vMerge w:val="restart"/>
            <w:tcBorders>
              <w:bottom w:val="dotted" w:color="B12732" w:sz="4" w:space="0"/>
            </w:tcBorders>
          </w:tcPr>
          <w:p w:rsidR="00DE11DF" w:rsidP="00F975D9" w:rsidRDefault="003F6B3B" w14:paraId="79273530" w14:textId="6EDDA138">
            <w:pPr>
              <w:pStyle w:val="TableHeaderRow-IPR"/>
            </w:pPr>
            <w:r>
              <w:t>Sampling Frame</w:t>
            </w:r>
          </w:p>
        </w:tc>
        <w:tc>
          <w:tcPr>
            <w:tcW w:w="3375" w:type="dxa"/>
            <w:gridSpan w:val="3"/>
            <w:tcBorders>
              <w:bottom w:val="dotted" w:color="B12732" w:sz="4" w:space="0"/>
            </w:tcBorders>
          </w:tcPr>
          <w:p w:rsidR="00DE11DF" w:rsidP="00F975D9" w:rsidRDefault="00DE11DF" w14:paraId="703066E0" w14:textId="77777777">
            <w:pPr>
              <w:pStyle w:val="TableHeaderRow-IPR"/>
            </w:pPr>
            <w:r>
              <w:t>Yield Rate (Percent)</w:t>
            </w:r>
          </w:p>
        </w:tc>
        <w:tc>
          <w:tcPr>
            <w:tcW w:w="3375" w:type="dxa"/>
            <w:gridSpan w:val="3"/>
            <w:tcBorders>
              <w:bottom w:val="dotted" w:color="B12732" w:sz="4" w:space="0"/>
            </w:tcBorders>
          </w:tcPr>
          <w:p w:rsidR="00DE11DF" w:rsidP="00F975D9" w:rsidRDefault="00DE11DF" w14:paraId="0BE783B5" w14:textId="77777777">
            <w:pPr>
              <w:pStyle w:val="TableHeaderRow-IPR"/>
            </w:pPr>
            <w:r>
              <w:t>Expected Number of Respondents</w:t>
            </w:r>
          </w:p>
        </w:tc>
      </w:tr>
      <w:tr w:rsidR="00227FB1" w:rsidTr="002A0BC3" w14:paraId="004AE4E4" w14:textId="77777777">
        <w:trPr>
          <w:cnfStyle w:val="100000000000" w:firstRow="1" w:lastRow="0" w:firstColumn="0" w:lastColumn="0" w:oddVBand="0" w:evenVBand="0" w:oddHBand="0" w:evenHBand="0" w:firstRowFirstColumn="0" w:firstRowLastColumn="0" w:lastRowFirstColumn="0" w:lastRowLastColumn="0"/>
          <w:trHeight w:val="360"/>
          <w:tblHeader/>
        </w:trPr>
        <w:tc>
          <w:tcPr>
            <w:tcW w:w="2552" w:type="dxa"/>
            <w:vMerge/>
            <w:tcBorders>
              <w:top w:val="dotted" w:color="B12732" w:sz="4" w:space="0"/>
            </w:tcBorders>
          </w:tcPr>
          <w:p w:rsidR="00DE11DF" w:rsidP="00F975D9" w:rsidRDefault="00DE11DF" w14:paraId="649E1C9E" w14:textId="77777777">
            <w:pPr>
              <w:pStyle w:val="TableHeaderRow-IPR"/>
            </w:pPr>
          </w:p>
        </w:tc>
        <w:tc>
          <w:tcPr>
            <w:tcW w:w="1125" w:type="dxa"/>
            <w:tcBorders>
              <w:top w:val="dotted" w:color="B12732" w:sz="4" w:space="0"/>
            </w:tcBorders>
          </w:tcPr>
          <w:p w:rsidR="00DE11DF" w:rsidP="00F975D9" w:rsidRDefault="00DE11DF" w14:paraId="20BCD7F4" w14:textId="77777777">
            <w:pPr>
              <w:pStyle w:val="TableHeaderRow-IPR"/>
            </w:pPr>
            <w:r>
              <w:t>Best</w:t>
            </w:r>
          </w:p>
        </w:tc>
        <w:tc>
          <w:tcPr>
            <w:tcW w:w="1125" w:type="dxa"/>
            <w:tcBorders>
              <w:top w:val="dotted" w:color="B12732" w:sz="4" w:space="0"/>
            </w:tcBorders>
          </w:tcPr>
          <w:p w:rsidR="00DE11DF" w:rsidP="00F975D9" w:rsidRDefault="00DE11DF" w14:paraId="07B57D77" w14:textId="77777777">
            <w:pPr>
              <w:pStyle w:val="TableHeaderRow-IPR"/>
            </w:pPr>
            <w:r>
              <w:t>Middle</w:t>
            </w:r>
          </w:p>
        </w:tc>
        <w:tc>
          <w:tcPr>
            <w:tcW w:w="1125" w:type="dxa"/>
            <w:tcBorders>
              <w:top w:val="dotted" w:color="B12732" w:sz="4" w:space="0"/>
            </w:tcBorders>
          </w:tcPr>
          <w:p w:rsidR="00DE11DF" w:rsidP="00F975D9" w:rsidRDefault="00DE11DF" w14:paraId="589AFF31" w14:textId="77777777">
            <w:pPr>
              <w:pStyle w:val="TableHeaderRow-IPR"/>
            </w:pPr>
            <w:r>
              <w:t>Worst</w:t>
            </w:r>
          </w:p>
        </w:tc>
        <w:tc>
          <w:tcPr>
            <w:tcW w:w="1125" w:type="dxa"/>
            <w:tcBorders>
              <w:top w:val="dotted" w:color="B12732" w:sz="4" w:space="0"/>
            </w:tcBorders>
          </w:tcPr>
          <w:p w:rsidR="00DE11DF" w:rsidP="00F975D9" w:rsidRDefault="00DE11DF" w14:paraId="4D3CE726" w14:textId="77777777">
            <w:pPr>
              <w:pStyle w:val="TableHeaderRow-IPR"/>
            </w:pPr>
            <w:r>
              <w:t>Best</w:t>
            </w:r>
          </w:p>
        </w:tc>
        <w:tc>
          <w:tcPr>
            <w:tcW w:w="1125" w:type="dxa"/>
            <w:tcBorders>
              <w:top w:val="dotted" w:color="B12732" w:sz="4" w:space="0"/>
            </w:tcBorders>
          </w:tcPr>
          <w:p w:rsidR="00DE11DF" w:rsidP="00F975D9" w:rsidRDefault="00DE11DF" w14:paraId="347C694F" w14:textId="77777777">
            <w:pPr>
              <w:pStyle w:val="TableHeaderRow-IPR"/>
            </w:pPr>
            <w:r>
              <w:t xml:space="preserve">Middle </w:t>
            </w:r>
          </w:p>
        </w:tc>
        <w:tc>
          <w:tcPr>
            <w:tcW w:w="1125" w:type="dxa"/>
            <w:tcBorders>
              <w:top w:val="dotted" w:color="B12732" w:sz="4" w:space="0"/>
            </w:tcBorders>
          </w:tcPr>
          <w:p w:rsidR="00DE11DF" w:rsidP="00F975D9" w:rsidRDefault="00DE11DF" w14:paraId="23E0C0A3" w14:textId="77777777">
            <w:pPr>
              <w:pStyle w:val="TableHeaderRow-IPR"/>
            </w:pPr>
            <w:r>
              <w:t>Worst</w:t>
            </w:r>
          </w:p>
        </w:tc>
      </w:tr>
      <w:tr w:rsidR="00227FB1" w:rsidTr="002A0BC3" w14:paraId="54D1B23C" w14:textId="77777777">
        <w:trPr>
          <w:trHeight w:val="288"/>
        </w:trPr>
        <w:tc>
          <w:tcPr>
            <w:tcW w:w="2552" w:type="dxa"/>
          </w:tcPr>
          <w:p w:rsidRPr="00DE11DF" w:rsidR="003F6B3B" w:rsidP="00C45902" w:rsidRDefault="003F6B3B" w14:paraId="543BB0BB" w14:textId="5AC0BA75">
            <w:pPr>
              <w:pStyle w:val="TableText-IPR"/>
            </w:pPr>
            <w:r w:rsidRPr="009532D4">
              <w:t xml:space="preserve">NAP participant list (overall) </w:t>
            </w:r>
          </w:p>
        </w:tc>
        <w:tc>
          <w:tcPr>
            <w:tcW w:w="1125" w:type="dxa"/>
          </w:tcPr>
          <w:p w:rsidRPr="00DE11DF" w:rsidR="003F6B3B" w:rsidP="003F6B3B" w:rsidRDefault="003F6B3B" w14:paraId="10F7CEBA" w14:textId="3579FDB9">
            <w:pPr>
              <w:pStyle w:val="TableText-IPR"/>
              <w:jc w:val="right"/>
            </w:pPr>
            <w:r w:rsidRPr="00BD4ECD">
              <w:t>39</w:t>
            </w:r>
          </w:p>
        </w:tc>
        <w:tc>
          <w:tcPr>
            <w:tcW w:w="1125" w:type="dxa"/>
          </w:tcPr>
          <w:p w:rsidRPr="00DE11DF" w:rsidR="003F6B3B" w:rsidP="003F6B3B" w:rsidRDefault="003F6B3B" w14:paraId="0DC280CD" w14:textId="240776E1">
            <w:pPr>
              <w:pStyle w:val="TableText-IPR"/>
              <w:jc w:val="right"/>
            </w:pPr>
            <w:r w:rsidRPr="00BD4ECD">
              <w:t>29</w:t>
            </w:r>
          </w:p>
        </w:tc>
        <w:tc>
          <w:tcPr>
            <w:tcW w:w="1125" w:type="dxa"/>
          </w:tcPr>
          <w:p w:rsidRPr="00DE11DF" w:rsidR="003F6B3B" w:rsidP="003F6B3B" w:rsidRDefault="003F6B3B" w14:paraId="79D3FA08" w14:textId="4D6852F4">
            <w:pPr>
              <w:pStyle w:val="TableText-IPR"/>
              <w:jc w:val="right"/>
            </w:pPr>
            <w:r w:rsidRPr="00BD4ECD">
              <w:t>19</w:t>
            </w:r>
          </w:p>
        </w:tc>
        <w:tc>
          <w:tcPr>
            <w:tcW w:w="1125" w:type="dxa"/>
          </w:tcPr>
          <w:p w:rsidRPr="00DE11DF" w:rsidR="003F6B3B" w:rsidP="003F6B3B" w:rsidRDefault="003F6B3B" w14:paraId="542C02A3" w14:textId="364343D7">
            <w:pPr>
              <w:pStyle w:val="TableText-IPR"/>
              <w:jc w:val="right"/>
            </w:pPr>
            <w:r w:rsidRPr="00BD4ECD">
              <w:t>1,227</w:t>
            </w:r>
          </w:p>
        </w:tc>
        <w:tc>
          <w:tcPr>
            <w:tcW w:w="1125" w:type="dxa"/>
          </w:tcPr>
          <w:p w:rsidRPr="00DE11DF" w:rsidR="003F6B3B" w:rsidP="003F6B3B" w:rsidRDefault="003F6B3B" w14:paraId="376DF943" w14:textId="4D8E69D8">
            <w:pPr>
              <w:pStyle w:val="TableText-IPR"/>
              <w:jc w:val="right"/>
            </w:pPr>
            <w:r w:rsidRPr="00BD4ECD">
              <w:t>922</w:t>
            </w:r>
          </w:p>
        </w:tc>
        <w:tc>
          <w:tcPr>
            <w:tcW w:w="1125" w:type="dxa"/>
          </w:tcPr>
          <w:p w:rsidRPr="00DE11DF" w:rsidR="003F6B3B" w:rsidP="003F6B3B" w:rsidRDefault="003F6B3B" w14:paraId="11005536" w14:textId="6B7F5C08">
            <w:pPr>
              <w:pStyle w:val="TableText-IPR"/>
              <w:jc w:val="right"/>
            </w:pPr>
            <w:r w:rsidRPr="00BD4ECD">
              <w:t>609</w:t>
            </w:r>
          </w:p>
        </w:tc>
      </w:tr>
      <w:tr w:rsidR="00227FB1" w:rsidTr="002A0BC3" w14:paraId="7D2A87A7" w14:textId="77777777">
        <w:trPr>
          <w:trHeight w:val="288"/>
        </w:trPr>
        <w:tc>
          <w:tcPr>
            <w:tcW w:w="2552" w:type="dxa"/>
          </w:tcPr>
          <w:p w:rsidRPr="00DE11DF" w:rsidR="003F6B3B" w:rsidP="00C45902" w:rsidRDefault="003F6B3B" w14:paraId="467789AE" w14:textId="2EBDF6AB">
            <w:pPr>
              <w:pStyle w:val="TableText-IPR"/>
            </w:pPr>
            <w:r w:rsidRPr="009532D4">
              <w:t>Area probability</w:t>
            </w:r>
          </w:p>
        </w:tc>
        <w:tc>
          <w:tcPr>
            <w:tcW w:w="1125" w:type="dxa"/>
          </w:tcPr>
          <w:p w:rsidRPr="00DE11DF" w:rsidR="003F6B3B" w:rsidP="003F6B3B" w:rsidRDefault="003F6B3B" w14:paraId="72E9A143" w14:textId="0FFA9393">
            <w:pPr>
              <w:pStyle w:val="TableText-IPR"/>
              <w:jc w:val="right"/>
            </w:pPr>
            <w:r w:rsidRPr="00BD4ECD">
              <w:t>40</w:t>
            </w:r>
          </w:p>
        </w:tc>
        <w:tc>
          <w:tcPr>
            <w:tcW w:w="1125" w:type="dxa"/>
          </w:tcPr>
          <w:p w:rsidRPr="00DE11DF" w:rsidR="003F6B3B" w:rsidP="003F6B3B" w:rsidRDefault="003F6B3B" w14:paraId="07DC8B5E" w14:textId="1AFC1AD6">
            <w:pPr>
              <w:pStyle w:val="TableText-IPR"/>
              <w:jc w:val="right"/>
            </w:pPr>
            <w:r w:rsidRPr="00BD4ECD">
              <w:t>30</w:t>
            </w:r>
          </w:p>
        </w:tc>
        <w:tc>
          <w:tcPr>
            <w:tcW w:w="1125" w:type="dxa"/>
          </w:tcPr>
          <w:p w:rsidRPr="00DE11DF" w:rsidR="003F6B3B" w:rsidP="003F6B3B" w:rsidRDefault="003F6B3B" w14:paraId="32DB4AB9" w14:textId="549E5291">
            <w:pPr>
              <w:pStyle w:val="TableText-IPR"/>
              <w:jc w:val="right"/>
            </w:pPr>
            <w:r w:rsidRPr="00BD4ECD">
              <w:t>20</w:t>
            </w:r>
          </w:p>
        </w:tc>
        <w:tc>
          <w:tcPr>
            <w:tcW w:w="1125" w:type="dxa"/>
          </w:tcPr>
          <w:p w:rsidRPr="00DE11DF" w:rsidR="003F6B3B" w:rsidP="003F6B3B" w:rsidRDefault="003F6B3B" w14:paraId="21CE702E" w14:textId="58D261CF">
            <w:pPr>
              <w:pStyle w:val="TableText-IPR"/>
              <w:jc w:val="right"/>
            </w:pPr>
            <w:r w:rsidRPr="00BD4ECD">
              <w:t>3,644</w:t>
            </w:r>
          </w:p>
        </w:tc>
        <w:tc>
          <w:tcPr>
            <w:tcW w:w="1125" w:type="dxa"/>
          </w:tcPr>
          <w:p w:rsidRPr="00DE11DF" w:rsidR="003F6B3B" w:rsidP="003F6B3B" w:rsidRDefault="003F6B3B" w14:paraId="07B24771" w14:textId="19FF39F0">
            <w:pPr>
              <w:pStyle w:val="TableText-IPR"/>
              <w:jc w:val="right"/>
            </w:pPr>
            <w:r w:rsidRPr="00BD4ECD">
              <w:t>2,733</w:t>
            </w:r>
          </w:p>
        </w:tc>
        <w:tc>
          <w:tcPr>
            <w:tcW w:w="1125" w:type="dxa"/>
          </w:tcPr>
          <w:p w:rsidRPr="00DE11DF" w:rsidR="003F6B3B" w:rsidP="003F6B3B" w:rsidRDefault="003F6B3B" w14:paraId="5D6B6C67" w14:textId="6F5E69B3">
            <w:pPr>
              <w:pStyle w:val="TableText-IPR"/>
              <w:jc w:val="right"/>
            </w:pPr>
            <w:r w:rsidRPr="00BD4ECD">
              <w:t>1,822</w:t>
            </w:r>
          </w:p>
        </w:tc>
      </w:tr>
      <w:tr w:rsidR="005B0F4F" w:rsidTr="002A0BC3" w14:paraId="7E64106C" w14:textId="77777777">
        <w:trPr>
          <w:trHeight w:val="288"/>
        </w:trPr>
        <w:tc>
          <w:tcPr>
            <w:tcW w:w="0" w:type="dxa"/>
            <w:gridSpan w:val="4"/>
            <w:vAlign w:val="bottom"/>
          </w:tcPr>
          <w:p w:rsidRPr="00DE11DF" w:rsidR="005B0F4F" w:rsidP="002A0BC3" w:rsidRDefault="005B0F4F" w14:paraId="039CF8D8" w14:textId="17CEB04D">
            <w:pPr>
              <w:pStyle w:val="TableText-IPR"/>
            </w:pPr>
            <w:r>
              <w:t>Total</w:t>
            </w:r>
          </w:p>
        </w:tc>
        <w:tc>
          <w:tcPr>
            <w:tcW w:w="0" w:type="dxa"/>
          </w:tcPr>
          <w:p w:rsidRPr="00DE11DF" w:rsidR="005B0F4F" w:rsidP="003F6B3B" w:rsidRDefault="005B0F4F" w14:paraId="38032526" w14:textId="618839C2">
            <w:pPr>
              <w:pStyle w:val="TableText-IPR"/>
              <w:jc w:val="right"/>
            </w:pPr>
            <w:r w:rsidRPr="00D70110">
              <w:t>4,871</w:t>
            </w:r>
          </w:p>
        </w:tc>
        <w:tc>
          <w:tcPr>
            <w:tcW w:w="0" w:type="dxa"/>
          </w:tcPr>
          <w:p w:rsidRPr="00DE11DF" w:rsidR="005B0F4F" w:rsidP="003F6B3B" w:rsidRDefault="005B0F4F" w14:paraId="6BB502DC" w14:textId="421CB7DF">
            <w:pPr>
              <w:pStyle w:val="TableText-IPR"/>
              <w:jc w:val="right"/>
            </w:pPr>
            <w:r w:rsidRPr="00D70110">
              <w:t>3,655</w:t>
            </w:r>
          </w:p>
        </w:tc>
        <w:tc>
          <w:tcPr>
            <w:tcW w:w="0" w:type="dxa"/>
          </w:tcPr>
          <w:p w:rsidRPr="00DE11DF" w:rsidR="005B0F4F" w:rsidP="003F6B3B" w:rsidRDefault="005B0F4F" w14:paraId="1A3BACE2" w14:textId="62C6AB2B">
            <w:pPr>
              <w:pStyle w:val="TableText-IPR"/>
              <w:jc w:val="right"/>
            </w:pPr>
            <w:r w:rsidRPr="00D70110">
              <w:t>2,431</w:t>
            </w:r>
          </w:p>
        </w:tc>
      </w:tr>
    </w:tbl>
    <w:p w:rsidR="00DE11DF" w:rsidP="00CB6433" w:rsidRDefault="00DE11DF" w14:paraId="09DBE791" w14:textId="59D7A613">
      <w:pPr>
        <w:pStyle w:val="TableTitle-IPR"/>
        <w:spacing w:before="240"/>
      </w:pPr>
      <w:bookmarkStart w:name="_Toc78365143" w:id="35"/>
      <w:r>
        <w:t>Table</w:t>
      </w:r>
      <w:r>
        <w:rPr>
          <w:spacing w:val="-2"/>
        </w:rPr>
        <w:t xml:space="preserve"> B.</w:t>
      </w:r>
      <w:r>
        <w:t>2.6.</w:t>
      </w:r>
      <w:r>
        <w:rPr>
          <w:spacing w:val="-1"/>
        </w:rPr>
        <w:t xml:space="preserve"> </w:t>
      </w:r>
      <w:r>
        <w:t>Expected</w:t>
      </w:r>
      <w:r>
        <w:rPr>
          <w:spacing w:val="-2"/>
        </w:rPr>
        <w:t xml:space="preserve"> </w:t>
      </w:r>
      <w:r>
        <w:t>Yield</w:t>
      </w:r>
      <w:r>
        <w:rPr>
          <w:spacing w:val="1"/>
        </w:rPr>
        <w:t xml:space="preserve"> </w:t>
      </w:r>
      <w:r>
        <w:t>Rates</w:t>
      </w:r>
      <w:r>
        <w:rPr>
          <w:spacing w:val="-3"/>
        </w:rPr>
        <w:t xml:space="preserve"> </w:t>
      </w:r>
      <w:r>
        <w:t>and</w:t>
      </w:r>
      <w:r>
        <w:rPr>
          <w:spacing w:val="-2"/>
        </w:rPr>
        <w:t xml:space="preserve"> </w:t>
      </w:r>
      <w:r>
        <w:t>Number</w:t>
      </w:r>
      <w:r>
        <w:rPr>
          <w:spacing w:val="-1"/>
        </w:rPr>
        <w:t xml:space="preserve"> </w:t>
      </w:r>
      <w:r>
        <w:t>of</w:t>
      </w:r>
      <w:r>
        <w:rPr>
          <w:spacing w:val="-2"/>
        </w:rPr>
        <w:t xml:space="preserve"> </w:t>
      </w:r>
      <w:r>
        <w:t>Respondents</w:t>
      </w:r>
      <w:r>
        <w:rPr>
          <w:spacing w:val="-3"/>
        </w:rPr>
        <w:t xml:space="preserve"> </w:t>
      </w:r>
      <w:r>
        <w:t>for</w:t>
      </w:r>
      <w:r>
        <w:rPr>
          <w:spacing w:val="-2"/>
        </w:rPr>
        <w:t xml:space="preserve"> </w:t>
      </w:r>
      <w:r>
        <w:t>the</w:t>
      </w:r>
      <w:r>
        <w:rPr>
          <w:spacing w:val="-1"/>
        </w:rPr>
        <w:t xml:space="preserve"> </w:t>
      </w:r>
      <w:r>
        <w:t>2‐Year</w:t>
      </w:r>
      <w:r>
        <w:rPr>
          <w:spacing w:val="-2"/>
        </w:rPr>
        <w:t xml:space="preserve"> </w:t>
      </w:r>
      <w:r>
        <w:t>Follow‐Up</w:t>
      </w:r>
      <w:bookmarkEnd w:id="35"/>
    </w:p>
    <w:tbl>
      <w:tblPr>
        <w:tblStyle w:val="InsightTable"/>
        <w:tblW w:w="0" w:type="auto"/>
        <w:tblLook w:val="04A0" w:firstRow="1" w:lastRow="0" w:firstColumn="1" w:lastColumn="0" w:noHBand="0" w:noVBand="1"/>
      </w:tblPr>
      <w:tblGrid>
        <w:gridCol w:w="1886"/>
        <w:gridCol w:w="1226"/>
        <w:gridCol w:w="1243"/>
        <w:gridCol w:w="1237"/>
        <w:gridCol w:w="1230"/>
        <w:gridCol w:w="1243"/>
        <w:gridCol w:w="1237"/>
      </w:tblGrid>
      <w:tr w:rsidR="00DE11DF" w:rsidTr="00013514" w14:paraId="7B333B57" w14:textId="77777777">
        <w:trPr>
          <w:cnfStyle w:val="100000000000" w:firstRow="1" w:lastRow="0" w:firstColumn="0" w:lastColumn="0" w:oddVBand="0" w:evenVBand="0" w:oddHBand="0" w:evenHBand="0" w:firstRowFirstColumn="0" w:firstRowLastColumn="0" w:lastRowFirstColumn="0" w:lastRowLastColumn="0"/>
          <w:trHeight w:val="360"/>
          <w:tblHeader/>
        </w:trPr>
        <w:tc>
          <w:tcPr>
            <w:tcW w:w="1964" w:type="dxa"/>
            <w:vMerge w:val="restart"/>
            <w:tcBorders>
              <w:bottom w:val="dotted" w:color="B12732" w:sz="4" w:space="0"/>
            </w:tcBorders>
          </w:tcPr>
          <w:p w:rsidR="00DE11DF" w:rsidP="00DE11DF" w:rsidRDefault="00DE11DF" w14:paraId="591C9FF0" w14:textId="333F7B71">
            <w:pPr>
              <w:pStyle w:val="TableHeaderRow-IPR"/>
            </w:pPr>
            <w:r>
              <w:t>Overall Yield at 2-Year Follow-Up</w:t>
            </w:r>
          </w:p>
        </w:tc>
        <w:tc>
          <w:tcPr>
            <w:tcW w:w="3839" w:type="dxa"/>
            <w:gridSpan w:val="3"/>
            <w:tcBorders>
              <w:bottom w:val="dotted" w:color="B12732" w:sz="4" w:space="0"/>
            </w:tcBorders>
          </w:tcPr>
          <w:p w:rsidR="00DE11DF" w:rsidP="00DE11DF" w:rsidRDefault="00DE11DF" w14:paraId="639C3CFB" w14:textId="7104423E">
            <w:pPr>
              <w:pStyle w:val="TableHeaderRow-IPR"/>
            </w:pPr>
            <w:r>
              <w:t>Yield Rate (Percent)</w:t>
            </w:r>
          </w:p>
        </w:tc>
        <w:tc>
          <w:tcPr>
            <w:tcW w:w="3839" w:type="dxa"/>
            <w:gridSpan w:val="3"/>
            <w:tcBorders>
              <w:bottom w:val="dotted" w:color="B12732" w:sz="4" w:space="0"/>
            </w:tcBorders>
          </w:tcPr>
          <w:p w:rsidR="00DE11DF" w:rsidP="00DE11DF" w:rsidRDefault="00DE11DF" w14:paraId="2ABEF7C0" w14:textId="215AF02C">
            <w:pPr>
              <w:pStyle w:val="TableHeaderRow-IPR"/>
            </w:pPr>
            <w:r>
              <w:t>Expected Number of Respondents</w:t>
            </w:r>
          </w:p>
        </w:tc>
      </w:tr>
      <w:tr w:rsidR="00DE11DF" w:rsidTr="00013514" w14:paraId="196DD6C2" w14:textId="77777777">
        <w:trPr>
          <w:cnfStyle w:val="100000000000" w:firstRow="1" w:lastRow="0" w:firstColumn="0" w:lastColumn="0" w:oddVBand="0" w:evenVBand="0" w:oddHBand="0" w:evenHBand="0" w:firstRowFirstColumn="0" w:firstRowLastColumn="0" w:lastRowFirstColumn="0" w:lastRowLastColumn="0"/>
          <w:trHeight w:val="360"/>
          <w:tblHeader/>
        </w:trPr>
        <w:tc>
          <w:tcPr>
            <w:tcW w:w="1964" w:type="dxa"/>
            <w:vMerge/>
            <w:tcBorders>
              <w:top w:val="dotted" w:color="B12732" w:sz="4" w:space="0"/>
            </w:tcBorders>
          </w:tcPr>
          <w:p w:rsidR="00DE11DF" w:rsidP="00DE11DF" w:rsidRDefault="00DE11DF" w14:paraId="77787A74" w14:textId="77777777">
            <w:pPr>
              <w:pStyle w:val="TableHeaderRow-IPR"/>
            </w:pPr>
          </w:p>
        </w:tc>
        <w:tc>
          <w:tcPr>
            <w:tcW w:w="1279" w:type="dxa"/>
            <w:tcBorders>
              <w:top w:val="dotted" w:color="B12732" w:sz="4" w:space="0"/>
            </w:tcBorders>
          </w:tcPr>
          <w:p w:rsidR="00DE11DF" w:rsidP="00DE11DF" w:rsidRDefault="00DE11DF" w14:paraId="63FEAC19" w14:textId="4DE1FAFE">
            <w:pPr>
              <w:pStyle w:val="TableHeaderRow-IPR"/>
            </w:pPr>
            <w:r>
              <w:t>Best</w:t>
            </w:r>
          </w:p>
        </w:tc>
        <w:tc>
          <w:tcPr>
            <w:tcW w:w="1280" w:type="dxa"/>
            <w:tcBorders>
              <w:top w:val="dotted" w:color="B12732" w:sz="4" w:space="0"/>
            </w:tcBorders>
          </w:tcPr>
          <w:p w:rsidR="00DE11DF" w:rsidP="00DE11DF" w:rsidRDefault="00DE11DF" w14:paraId="3C1D33F1" w14:textId="026B8C67">
            <w:pPr>
              <w:pStyle w:val="TableHeaderRow-IPR"/>
            </w:pPr>
            <w:r>
              <w:t>Middle</w:t>
            </w:r>
          </w:p>
        </w:tc>
        <w:tc>
          <w:tcPr>
            <w:tcW w:w="1280" w:type="dxa"/>
            <w:tcBorders>
              <w:top w:val="dotted" w:color="B12732" w:sz="4" w:space="0"/>
            </w:tcBorders>
          </w:tcPr>
          <w:p w:rsidR="00DE11DF" w:rsidP="00DE11DF" w:rsidRDefault="00DE11DF" w14:paraId="475E7DDD" w14:textId="354B63A3">
            <w:pPr>
              <w:pStyle w:val="TableHeaderRow-IPR"/>
            </w:pPr>
            <w:r>
              <w:t>Worst</w:t>
            </w:r>
          </w:p>
        </w:tc>
        <w:tc>
          <w:tcPr>
            <w:tcW w:w="1279" w:type="dxa"/>
            <w:tcBorders>
              <w:top w:val="dotted" w:color="B12732" w:sz="4" w:space="0"/>
            </w:tcBorders>
          </w:tcPr>
          <w:p w:rsidR="00DE11DF" w:rsidP="00DE11DF" w:rsidRDefault="00DE11DF" w14:paraId="0F0F74E9" w14:textId="0BFADCF0">
            <w:pPr>
              <w:pStyle w:val="TableHeaderRow-IPR"/>
            </w:pPr>
            <w:r>
              <w:t>Best</w:t>
            </w:r>
          </w:p>
        </w:tc>
        <w:tc>
          <w:tcPr>
            <w:tcW w:w="1280" w:type="dxa"/>
            <w:tcBorders>
              <w:top w:val="dotted" w:color="B12732" w:sz="4" w:space="0"/>
            </w:tcBorders>
          </w:tcPr>
          <w:p w:rsidR="00DE11DF" w:rsidP="00DE11DF" w:rsidRDefault="00DE11DF" w14:paraId="5F04B827" w14:textId="1F1EC62F">
            <w:pPr>
              <w:pStyle w:val="TableHeaderRow-IPR"/>
            </w:pPr>
            <w:r>
              <w:t xml:space="preserve">Middle </w:t>
            </w:r>
          </w:p>
        </w:tc>
        <w:tc>
          <w:tcPr>
            <w:tcW w:w="1280" w:type="dxa"/>
            <w:tcBorders>
              <w:top w:val="dotted" w:color="B12732" w:sz="4" w:space="0"/>
            </w:tcBorders>
          </w:tcPr>
          <w:p w:rsidR="00DE11DF" w:rsidP="00DE11DF" w:rsidRDefault="00DE11DF" w14:paraId="5319A222" w14:textId="5E2447EA">
            <w:pPr>
              <w:pStyle w:val="TableHeaderRow-IPR"/>
            </w:pPr>
            <w:r>
              <w:t>Worst</w:t>
            </w:r>
          </w:p>
        </w:tc>
      </w:tr>
      <w:tr w:rsidR="00DE11DF" w:rsidTr="00013514" w14:paraId="55DB82A0" w14:textId="77777777">
        <w:trPr>
          <w:trHeight w:val="288"/>
        </w:trPr>
        <w:tc>
          <w:tcPr>
            <w:tcW w:w="1964" w:type="dxa"/>
          </w:tcPr>
          <w:p w:rsidRPr="00DE11DF" w:rsidR="00DE11DF" w:rsidP="00DE11DF" w:rsidRDefault="00DE11DF" w14:paraId="25D4933D" w14:textId="09750149">
            <w:pPr>
              <w:pStyle w:val="TableText-IPR"/>
            </w:pPr>
            <w:r w:rsidRPr="00DE11DF">
              <w:t>Total</w:t>
            </w:r>
          </w:p>
        </w:tc>
        <w:tc>
          <w:tcPr>
            <w:tcW w:w="1279" w:type="dxa"/>
          </w:tcPr>
          <w:p w:rsidRPr="00DE11DF" w:rsidR="00DE11DF" w:rsidP="003F6B3B" w:rsidRDefault="00DE11DF" w14:paraId="67215EEE" w14:textId="20A75593">
            <w:pPr>
              <w:pStyle w:val="TableText-IPR"/>
              <w:jc w:val="right"/>
            </w:pPr>
            <w:r w:rsidRPr="00DE11DF">
              <w:t>86</w:t>
            </w:r>
          </w:p>
        </w:tc>
        <w:tc>
          <w:tcPr>
            <w:tcW w:w="1280" w:type="dxa"/>
          </w:tcPr>
          <w:p w:rsidRPr="00DE11DF" w:rsidR="00DE11DF" w:rsidP="003F6B3B" w:rsidRDefault="00DE11DF" w14:paraId="0643AD27" w14:textId="4E8AB953">
            <w:pPr>
              <w:pStyle w:val="TableText-IPR"/>
              <w:jc w:val="right"/>
            </w:pPr>
            <w:r w:rsidRPr="00DE11DF">
              <w:t>72</w:t>
            </w:r>
          </w:p>
        </w:tc>
        <w:tc>
          <w:tcPr>
            <w:tcW w:w="1280" w:type="dxa"/>
          </w:tcPr>
          <w:p w:rsidRPr="00DE11DF" w:rsidR="00DE11DF" w:rsidP="003F6B3B" w:rsidRDefault="00DE11DF" w14:paraId="6D5658BA" w14:textId="3AF48596">
            <w:pPr>
              <w:pStyle w:val="TableText-IPR"/>
              <w:jc w:val="right"/>
            </w:pPr>
            <w:r w:rsidRPr="00DE11DF">
              <w:t>48</w:t>
            </w:r>
          </w:p>
        </w:tc>
        <w:tc>
          <w:tcPr>
            <w:tcW w:w="1279" w:type="dxa"/>
          </w:tcPr>
          <w:p w:rsidRPr="00DE11DF" w:rsidR="00DE11DF" w:rsidP="003F6B3B" w:rsidRDefault="00DE11DF" w14:paraId="2496D42E" w14:textId="51B59C90">
            <w:pPr>
              <w:pStyle w:val="TableText-IPR"/>
              <w:jc w:val="right"/>
            </w:pPr>
            <w:r w:rsidRPr="00DE11DF">
              <w:t>3,125</w:t>
            </w:r>
          </w:p>
        </w:tc>
        <w:tc>
          <w:tcPr>
            <w:tcW w:w="1280" w:type="dxa"/>
          </w:tcPr>
          <w:p w:rsidRPr="00DE11DF" w:rsidR="00DE11DF" w:rsidP="003F6B3B" w:rsidRDefault="00DE11DF" w14:paraId="49569EE2" w14:textId="3F442EAF">
            <w:pPr>
              <w:pStyle w:val="TableText-IPR"/>
              <w:jc w:val="right"/>
            </w:pPr>
            <w:r w:rsidRPr="00DE11DF">
              <w:t>2,632</w:t>
            </w:r>
          </w:p>
        </w:tc>
        <w:tc>
          <w:tcPr>
            <w:tcW w:w="1280" w:type="dxa"/>
          </w:tcPr>
          <w:p w:rsidRPr="00DE11DF" w:rsidR="00DE11DF" w:rsidP="003F6B3B" w:rsidRDefault="00DE11DF" w14:paraId="1B1A2A75" w14:textId="1D926B7A">
            <w:pPr>
              <w:pStyle w:val="TableText-IPR"/>
              <w:jc w:val="right"/>
            </w:pPr>
            <w:r w:rsidRPr="00DE11DF">
              <w:t>1,755</w:t>
            </w:r>
          </w:p>
        </w:tc>
      </w:tr>
    </w:tbl>
    <w:p w:rsidR="005F44AE" w:rsidP="00960E81" w:rsidRDefault="00E06665" w14:paraId="054712AE" w14:textId="77777777">
      <w:pPr>
        <w:pStyle w:val="Body11ptCalibri-IPR"/>
        <w:keepNext/>
        <w:spacing w:before="240"/>
        <w:rPr>
          <w:i/>
        </w:rPr>
      </w:pPr>
      <w:r w:rsidRPr="00A3222D">
        <w:rPr>
          <w:b/>
          <w:bCs/>
          <w:i/>
        </w:rPr>
        <w:lastRenderedPageBreak/>
        <w:t>Expected levels of precision</w:t>
      </w:r>
    </w:p>
    <w:p w:rsidR="003D5F5A" w:rsidP="005B0F4F" w:rsidRDefault="003D5F5A" w14:paraId="4AA43FD5" w14:textId="0C6DF955">
      <w:pPr>
        <w:pStyle w:val="Body11ptCalibri-IPR"/>
        <w:spacing w:after="240"/>
      </w:pPr>
      <w:r>
        <w:t xml:space="preserve">Based on the estimated design effect and yield rates, table </w:t>
      </w:r>
      <w:r w:rsidR="004930BA">
        <w:t>B.</w:t>
      </w:r>
      <w:r>
        <w:t>2.7 provides the resulting estimates of the</w:t>
      </w:r>
      <w:r>
        <w:rPr>
          <w:spacing w:val="1"/>
        </w:rPr>
        <w:t xml:space="preserve"> </w:t>
      </w:r>
      <w:r>
        <w:t xml:space="preserve">margin of error for the baseline study when estimating a binary </w:t>
      </w:r>
      <w:r w:rsidR="004930BA">
        <w:t>characteristic</w:t>
      </w:r>
      <w:r>
        <w:t xml:space="preserve"> with 50 percent </w:t>
      </w:r>
      <w:r w:rsidR="004930BA">
        <w:t>having the characteristic</w:t>
      </w:r>
      <w:r>
        <w:t>. Even in the worst</w:t>
      </w:r>
      <w:r w:rsidR="00FA7DE7">
        <w:t xml:space="preserve"> </w:t>
      </w:r>
      <w:r>
        <w:t>case scenario, there are enough respo</w:t>
      </w:r>
      <w:r w:rsidR="004930BA">
        <w:t>ndents to the survey to meet the p</w:t>
      </w:r>
      <w:r>
        <w:t>recision</w:t>
      </w:r>
      <w:r>
        <w:rPr>
          <w:spacing w:val="-2"/>
        </w:rPr>
        <w:t xml:space="preserve"> </w:t>
      </w:r>
      <w:r>
        <w:t>requirements</w:t>
      </w:r>
      <w:r>
        <w:rPr>
          <w:spacing w:val="-1"/>
        </w:rPr>
        <w:t xml:space="preserve"> </w:t>
      </w:r>
      <w:r>
        <w:t>for the</w:t>
      </w:r>
      <w:r>
        <w:rPr>
          <w:spacing w:val="4"/>
        </w:rPr>
        <w:t xml:space="preserve"> </w:t>
      </w:r>
      <w:r w:rsidR="004930BA">
        <w:t xml:space="preserve">household </w:t>
      </w:r>
      <w:r>
        <w:t>subgroups.</w:t>
      </w:r>
    </w:p>
    <w:p w:rsidR="00E06665" w:rsidP="00EF57BE" w:rsidRDefault="00E06665" w14:paraId="00975907" w14:textId="32E45B6B">
      <w:pPr>
        <w:pStyle w:val="TableTitle-IPR"/>
        <w:rPr>
          <w:spacing w:val="-2"/>
        </w:rPr>
      </w:pPr>
      <w:bookmarkStart w:name="_Toc78365144" w:id="36"/>
      <w:r>
        <w:t>Table</w:t>
      </w:r>
      <w:r>
        <w:rPr>
          <w:spacing w:val="-3"/>
        </w:rPr>
        <w:t xml:space="preserve"> </w:t>
      </w:r>
      <w:r w:rsidR="004930BA">
        <w:rPr>
          <w:spacing w:val="-3"/>
        </w:rPr>
        <w:t>B.</w:t>
      </w:r>
      <w:r>
        <w:t>2.7.</w:t>
      </w:r>
      <w:r>
        <w:rPr>
          <w:spacing w:val="-2"/>
        </w:rPr>
        <w:t xml:space="preserve"> </w:t>
      </w:r>
      <w:r>
        <w:t>Expected</w:t>
      </w:r>
      <w:r>
        <w:rPr>
          <w:spacing w:val="-2"/>
        </w:rPr>
        <w:t xml:space="preserve"> </w:t>
      </w:r>
      <w:r>
        <w:t>Margin</w:t>
      </w:r>
      <w:r>
        <w:rPr>
          <w:spacing w:val="-1"/>
        </w:rPr>
        <w:t xml:space="preserve"> </w:t>
      </w:r>
      <w:r>
        <w:t>of</w:t>
      </w:r>
      <w:r>
        <w:rPr>
          <w:spacing w:val="-3"/>
        </w:rPr>
        <w:t xml:space="preserve"> </w:t>
      </w:r>
      <w:r>
        <w:t>Error</w:t>
      </w:r>
      <w:r>
        <w:rPr>
          <w:spacing w:val="-2"/>
        </w:rPr>
        <w:t xml:space="preserve"> </w:t>
      </w:r>
      <w:r>
        <w:t>for</w:t>
      </w:r>
      <w:r>
        <w:rPr>
          <w:spacing w:val="-1"/>
        </w:rPr>
        <w:t xml:space="preserve"> </w:t>
      </w:r>
      <w:r>
        <w:t>Best,</w:t>
      </w:r>
      <w:r>
        <w:rPr>
          <w:spacing w:val="-2"/>
        </w:rPr>
        <w:t xml:space="preserve"> </w:t>
      </w:r>
      <w:r>
        <w:t>Worst,</w:t>
      </w:r>
      <w:r>
        <w:rPr>
          <w:spacing w:val="-2"/>
        </w:rPr>
        <w:t xml:space="preserve"> </w:t>
      </w:r>
      <w:r>
        <w:t>and</w:t>
      </w:r>
      <w:r>
        <w:rPr>
          <w:spacing w:val="-2"/>
        </w:rPr>
        <w:t xml:space="preserve"> </w:t>
      </w:r>
      <w:r>
        <w:t>Middle</w:t>
      </w:r>
      <w:r>
        <w:rPr>
          <w:spacing w:val="-3"/>
        </w:rPr>
        <w:t xml:space="preserve"> </w:t>
      </w:r>
      <w:r>
        <w:t>Yield‐Rate</w:t>
      </w:r>
      <w:r>
        <w:rPr>
          <w:spacing w:val="-2"/>
        </w:rPr>
        <w:t xml:space="preserve"> </w:t>
      </w:r>
      <w:r>
        <w:t>Scenarios</w:t>
      </w:r>
      <w:r>
        <w:rPr>
          <w:spacing w:val="-3"/>
        </w:rPr>
        <w:t xml:space="preserve"> </w:t>
      </w:r>
      <w:r>
        <w:t>for</w:t>
      </w:r>
      <w:r>
        <w:rPr>
          <w:spacing w:val="-2"/>
        </w:rPr>
        <w:t xml:space="preserve"> </w:t>
      </w:r>
      <w:r>
        <w:t>Estimates</w:t>
      </w:r>
      <w:r>
        <w:rPr>
          <w:spacing w:val="-3"/>
        </w:rPr>
        <w:t xml:space="preserve"> </w:t>
      </w:r>
      <w:r>
        <w:t>of</w:t>
      </w:r>
      <w:r>
        <w:rPr>
          <w:spacing w:val="-2"/>
        </w:rPr>
        <w:t xml:space="preserve"> </w:t>
      </w:r>
      <w:r w:rsidR="004930BA">
        <w:rPr>
          <w:spacing w:val="-2"/>
        </w:rPr>
        <w:t>a 50-Percent Characteristic: Baseline Study</w:t>
      </w:r>
      <w:bookmarkEnd w:id="36"/>
    </w:p>
    <w:tbl>
      <w:tblPr>
        <w:tblStyle w:val="InsightTable"/>
        <w:tblW w:w="0" w:type="auto"/>
        <w:tblLook w:val="04A0" w:firstRow="1" w:lastRow="0" w:firstColumn="1" w:lastColumn="0" w:noHBand="0" w:noVBand="1"/>
      </w:tblPr>
      <w:tblGrid>
        <w:gridCol w:w="4790"/>
        <w:gridCol w:w="1497"/>
        <w:gridCol w:w="1509"/>
        <w:gridCol w:w="1506"/>
      </w:tblGrid>
      <w:tr w:rsidR="00C45902" w:rsidTr="00013514" w14:paraId="6AE474FD" w14:textId="77777777">
        <w:trPr>
          <w:cnfStyle w:val="100000000000" w:firstRow="1" w:lastRow="0" w:firstColumn="0" w:lastColumn="0" w:oddVBand="0" w:evenVBand="0" w:oddHBand="0" w:evenHBand="0" w:firstRowFirstColumn="0" w:firstRowLastColumn="0" w:lastRowFirstColumn="0" w:lastRowLastColumn="0"/>
          <w:trHeight w:val="360"/>
          <w:tblHeader/>
        </w:trPr>
        <w:tc>
          <w:tcPr>
            <w:tcW w:w="4982" w:type="dxa"/>
            <w:vMerge w:val="restart"/>
            <w:tcBorders>
              <w:bottom w:val="dotted" w:color="B12732" w:sz="4" w:space="0"/>
            </w:tcBorders>
          </w:tcPr>
          <w:p w:rsidR="00C45902" w:rsidP="00C45902" w:rsidRDefault="00C45902" w14:paraId="1EE0E135" w14:textId="2587A4D5">
            <w:pPr>
              <w:pStyle w:val="TableHeaderRow-IPR"/>
            </w:pPr>
            <w:r>
              <w:t>Subgroup</w:t>
            </w:r>
          </w:p>
        </w:tc>
        <w:tc>
          <w:tcPr>
            <w:tcW w:w="4660" w:type="dxa"/>
            <w:gridSpan w:val="3"/>
            <w:tcBorders>
              <w:bottom w:val="dotted" w:color="B12732" w:sz="4" w:space="0"/>
            </w:tcBorders>
          </w:tcPr>
          <w:p w:rsidR="00C45902" w:rsidP="00C45902" w:rsidRDefault="00C45902" w14:paraId="2FE7CE5C" w14:textId="59E903F8">
            <w:pPr>
              <w:pStyle w:val="TableHeaderRow-IPR"/>
            </w:pPr>
            <w:r>
              <w:t>Expected Margin of Error by Scenario (Percent)</w:t>
            </w:r>
          </w:p>
        </w:tc>
      </w:tr>
      <w:tr w:rsidR="00C45902" w:rsidTr="00013514" w14:paraId="6EFED691" w14:textId="77777777">
        <w:trPr>
          <w:cnfStyle w:val="100000000000" w:firstRow="1" w:lastRow="0" w:firstColumn="0" w:lastColumn="0" w:oddVBand="0" w:evenVBand="0" w:oddHBand="0" w:evenHBand="0" w:firstRowFirstColumn="0" w:firstRowLastColumn="0" w:lastRowFirstColumn="0" w:lastRowLastColumn="0"/>
          <w:trHeight w:val="360"/>
          <w:tblHeader/>
        </w:trPr>
        <w:tc>
          <w:tcPr>
            <w:tcW w:w="4982" w:type="dxa"/>
            <w:vMerge/>
            <w:tcBorders>
              <w:top w:val="dotted" w:color="B12732" w:sz="4" w:space="0"/>
            </w:tcBorders>
          </w:tcPr>
          <w:p w:rsidR="00C45902" w:rsidP="00C45902" w:rsidRDefault="00C45902" w14:paraId="5968F862" w14:textId="77777777">
            <w:pPr>
              <w:pStyle w:val="TableHeaderRow-IPR"/>
            </w:pPr>
          </w:p>
        </w:tc>
        <w:tc>
          <w:tcPr>
            <w:tcW w:w="1553" w:type="dxa"/>
            <w:tcBorders>
              <w:top w:val="dotted" w:color="B12732" w:sz="4" w:space="0"/>
            </w:tcBorders>
          </w:tcPr>
          <w:p w:rsidR="00C45902" w:rsidP="00C45902" w:rsidRDefault="00C45902" w14:paraId="2B0DA5CA" w14:textId="63ED7AF1">
            <w:pPr>
              <w:pStyle w:val="TableHeaderRow-IPR"/>
            </w:pPr>
            <w:r>
              <w:t>Best</w:t>
            </w:r>
          </w:p>
        </w:tc>
        <w:tc>
          <w:tcPr>
            <w:tcW w:w="1553" w:type="dxa"/>
            <w:tcBorders>
              <w:top w:val="dotted" w:color="B12732" w:sz="4" w:space="0"/>
            </w:tcBorders>
          </w:tcPr>
          <w:p w:rsidR="00C45902" w:rsidP="00C45902" w:rsidRDefault="00C45902" w14:paraId="459DF639" w14:textId="49D7736E">
            <w:pPr>
              <w:pStyle w:val="TableHeaderRow-IPR"/>
            </w:pPr>
            <w:r>
              <w:t>Middle</w:t>
            </w:r>
          </w:p>
        </w:tc>
        <w:tc>
          <w:tcPr>
            <w:tcW w:w="1554" w:type="dxa"/>
            <w:tcBorders>
              <w:top w:val="dotted" w:color="B12732" w:sz="4" w:space="0"/>
            </w:tcBorders>
          </w:tcPr>
          <w:p w:rsidR="00C45902" w:rsidP="00C45902" w:rsidRDefault="00C45902" w14:paraId="57FBB941" w14:textId="44743754">
            <w:pPr>
              <w:pStyle w:val="TableHeaderRow-IPR"/>
            </w:pPr>
            <w:r>
              <w:t>Worst</w:t>
            </w:r>
          </w:p>
        </w:tc>
      </w:tr>
      <w:tr w:rsidR="00C45902" w:rsidTr="00013514" w14:paraId="597604F7" w14:textId="77777777">
        <w:trPr>
          <w:trHeight w:val="288"/>
        </w:trPr>
        <w:tc>
          <w:tcPr>
            <w:tcW w:w="4982" w:type="dxa"/>
          </w:tcPr>
          <w:p w:rsidR="00C45902" w:rsidP="00C45902" w:rsidRDefault="00C45902" w14:paraId="417A5E5B" w14:textId="05EC937A">
            <w:pPr>
              <w:pStyle w:val="TableText-IPR"/>
            </w:pPr>
            <w:r w:rsidRPr="00737E25">
              <w:t>NAP participants</w:t>
            </w:r>
          </w:p>
        </w:tc>
        <w:tc>
          <w:tcPr>
            <w:tcW w:w="1553" w:type="dxa"/>
          </w:tcPr>
          <w:p w:rsidR="00C45902" w:rsidP="00C45902" w:rsidRDefault="00C45902" w14:paraId="0E828F45" w14:textId="45847BFC">
            <w:pPr>
              <w:pStyle w:val="TableText-IPR"/>
            </w:pPr>
            <w:r w:rsidRPr="00F62098">
              <w:t>2.25</w:t>
            </w:r>
          </w:p>
        </w:tc>
        <w:tc>
          <w:tcPr>
            <w:tcW w:w="1553" w:type="dxa"/>
          </w:tcPr>
          <w:p w:rsidR="00C45902" w:rsidP="00C45902" w:rsidRDefault="00C45902" w14:paraId="41BF051C" w14:textId="069539A8">
            <w:pPr>
              <w:pStyle w:val="TableText-IPR"/>
            </w:pPr>
            <w:r w:rsidRPr="00F62098">
              <w:t>2.59</w:t>
            </w:r>
          </w:p>
        </w:tc>
        <w:tc>
          <w:tcPr>
            <w:tcW w:w="1554" w:type="dxa"/>
          </w:tcPr>
          <w:p w:rsidR="00C45902" w:rsidP="00C45902" w:rsidRDefault="00C45902" w14:paraId="5833E21B" w14:textId="25D1A3F8">
            <w:pPr>
              <w:pStyle w:val="TableText-IPR"/>
            </w:pPr>
            <w:r w:rsidRPr="00F62098">
              <w:t>3.18</w:t>
            </w:r>
          </w:p>
        </w:tc>
      </w:tr>
      <w:tr w:rsidR="00C45902" w:rsidTr="00013514" w14:paraId="5488180A" w14:textId="77777777">
        <w:trPr>
          <w:trHeight w:val="288"/>
        </w:trPr>
        <w:tc>
          <w:tcPr>
            <w:tcW w:w="4982" w:type="dxa"/>
          </w:tcPr>
          <w:p w:rsidR="00C45902" w:rsidP="00C45902" w:rsidRDefault="00C45902" w14:paraId="1FA96BCC" w14:textId="5FE253CF">
            <w:pPr>
              <w:pStyle w:val="TableText-IPR"/>
            </w:pPr>
            <w:r w:rsidRPr="00737E25">
              <w:t>NAP nonparticipants</w:t>
            </w:r>
          </w:p>
        </w:tc>
        <w:tc>
          <w:tcPr>
            <w:tcW w:w="1553" w:type="dxa"/>
          </w:tcPr>
          <w:p w:rsidR="00C45902" w:rsidP="00C45902" w:rsidRDefault="00C45902" w14:paraId="41993272" w14:textId="768C34EF">
            <w:pPr>
              <w:pStyle w:val="TableText-IPR"/>
            </w:pPr>
            <w:r w:rsidRPr="00F62098">
              <w:t>2.62</w:t>
            </w:r>
          </w:p>
        </w:tc>
        <w:tc>
          <w:tcPr>
            <w:tcW w:w="1553" w:type="dxa"/>
          </w:tcPr>
          <w:p w:rsidR="00C45902" w:rsidP="00C45902" w:rsidRDefault="00C45902" w14:paraId="2D31283D" w14:textId="7BD7BED7">
            <w:pPr>
              <w:pStyle w:val="TableText-IPR"/>
            </w:pPr>
            <w:r w:rsidRPr="00F62098">
              <w:t>3.09</w:t>
            </w:r>
          </w:p>
        </w:tc>
        <w:tc>
          <w:tcPr>
            <w:tcW w:w="1554" w:type="dxa"/>
          </w:tcPr>
          <w:p w:rsidR="00C45902" w:rsidP="00C45902" w:rsidRDefault="00C45902" w14:paraId="51E18A6B" w14:textId="1EC12E6D">
            <w:pPr>
              <w:pStyle w:val="TableText-IPR"/>
            </w:pPr>
            <w:r w:rsidRPr="00F62098">
              <w:t>3.78</w:t>
            </w:r>
          </w:p>
        </w:tc>
      </w:tr>
      <w:tr w:rsidR="00C45902" w:rsidTr="00013514" w14:paraId="6381676E" w14:textId="77777777">
        <w:trPr>
          <w:trHeight w:val="288"/>
        </w:trPr>
        <w:tc>
          <w:tcPr>
            <w:tcW w:w="4982" w:type="dxa"/>
          </w:tcPr>
          <w:p w:rsidR="00C45902" w:rsidP="00C45902" w:rsidRDefault="00C45902" w14:paraId="040F2A6D" w14:textId="08B617A6">
            <w:pPr>
              <w:pStyle w:val="TableText-IPR"/>
            </w:pPr>
            <w:r w:rsidRPr="00737E25">
              <w:t>Households with children</w:t>
            </w:r>
          </w:p>
        </w:tc>
        <w:tc>
          <w:tcPr>
            <w:tcW w:w="1553" w:type="dxa"/>
          </w:tcPr>
          <w:p w:rsidR="00C45902" w:rsidP="00C45902" w:rsidRDefault="00C45902" w14:paraId="54DB5590" w14:textId="741EC9DC">
            <w:pPr>
              <w:pStyle w:val="TableText-IPR"/>
            </w:pPr>
            <w:r w:rsidRPr="00F62098">
              <w:t>3.18</w:t>
            </w:r>
          </w:p>
        </w:tc>
        <w:tc>
          <w:tcPr>
            <w:tcW w:w="1553" w:type="dxa"/>
          </w:tcPr>
          <w:p w:rsidR="00C45902" w:rsidP="00C45902" w:rsidRDefault="00C45902" w14:paraId="7D6E5777" w14:textId="5C32FAF3">
            <w:pPr>
              <w:pStyle w:val="TableText-IPR"/>
            </w:pPr>
            <w:r w:rsidRPr="00F62098">
              <w:t>3.67</w:t>
            </w:r>
          </w:p>
        </w:tc>
        <w:tc>
          <w:tcPr>
            <w:tcW w:w="1554" w:type="dxa"/>
          </w:tcPr>
          <w:p w:rsidR="00C45902" w:rsidP="00C45902" w:rsidRDefault="00C45902" w14:paraId="0D1E6E7D" w14:textId="2AD22A33">
            <w:pPr>
              <w:pStyle w:val="TableText-IPR"/>
            </w:pPr>
            <w:r w:rsidRPr="00F62098">
              <w:t>4.51</w:t>
            </w:r>
          </w:p>
        </w:tc>
      </w:tr>
      <w:tr w:rsidR="00C45902" w:rsidTr="00013514" w14:paraId="43625BDE" w14:textId="77777777">
        <w:trPr>
          <w:trHeight w:val="288"/>
        </w:trPr>
        <w:tc>
          <w:tcPr>
            <w:tcW w:w="4982" w:type="dxa"/>
          </w:tcPr>
          <w:p w:rsidR="00C45902" w:rsidP="00C45902" w:rsidRDefault="00C45902" w14:paraId="7669E5BD" w14:textId="4CB600EA">
            <w:pPr>
              <w:pStyle w:val="TableText-IPR"/>
            </w:pPr>
            <w:r w:rsidRPr="00737E25">
              <w:t>Households with at least one older person (60 and older)</w:t>
            </w:r>
          </w:p>
        </w:tc>
        <w:tc>
          <w:tcPr>
            <w:tcW w:w="1553" w:type="dxa"/>
          </w:tcPr>
          <w:p w:rsidR="00C45902" w:rsidP="00C45902" w:rsidRDefault="00C45902" w14:paraId="579F6A63" w14:textId="5BA9ABE9">
            <w:pPr>
              <w:pStyle w:val="TableText-IPR"/>
            </w:pPr>
            <w:r w:rsidRPr="00F62098">
              <w:t>2.49</w:t>
            </w:r>
          </w:p>
        </w:tc>
        <w:tc>
          <w:tcPr>
            <w:tcW w:w="1553" w:type="dxa"/>
          </w:tcPr>
          <w:p w:rsidR="00C45902" w:rsidP="00C45902" w:rsidRDefault="00C45902" w14:paraId="19C13301" w14:textId="1734EB21">
            <w:pPr>
              <w:pStyle w:val="TableText-IPR"/>
            </w:pPr>
            <w:r w:rsidRPr="00F62098">
              <w:t>2.87</w:t>
            </w:r>
          </w:p>
        </w:tc>
        <w:tc>
          <w:tcPr>
            <w:tcW w:w="1554" w:type="dxa"/>
          </w:tcPr>
          <w:p w:rsidR="00C45902" w:rsidP="00C45902" w:rsidRDefault="00C45902" w14:paraId="23CE7B71" w14:textId="642D1087">
            <w:pPr>
              <w:pStyle w:val="TableText-IPR"/>
            </w:pPr>
            <w:r w:rsidRPr="00F62098">
              <w:t>3.52</w:t>
            </w:r>
          </w:p>
        </w:tc>
      </w:tr>
      <w:tr w:rsidR="00C45902" w:rsidTr="00013514" w14:paraId="60A88642" w14:textId="77777777">
        <w:trPr>
          <w:trHeight w:val="288"/>
        </w:trPr>
        <w:tc>
          <w:tcPr>
            <w:tcW w:w="4982" w:type="dxa"/>
            <w:vAlign w:val="top"/>
          </w:tcPr>
          <w:p w:rsidRPr="00737E25" w:rsidR="00C45902" w:rsidP="00C45902" w:rsidRDefault="00C45902" w14:paraId="342A78CD" w14:textId="1B08607B">
            <w:pPr>
              <w:pStyle w:val="TableText-IPR"/>
            </w:pPr>
            <w:r w:rsidRPr="00125600">
              <w:t>Households with at least one person with a disability</w:t>
            </w:r>
          </w:p>
        </w:tc>
        <w:tc>
          <w:tcPr>
            <w:tcW w:w="1553" w:type="dxa"/>
            <w:vAlign w:val="top"/>
          </w:tcPr>
          <w:p w:rsidRPr="00F62098" w:rsidR="00C45902" w:rsidP="00C45902" w:rsidRDefault="00C45902" w14:paraId="5C692CEF" w14:textId="2B6A168B">
            <w:pPr>
              <w:pStyle w:val="TableText-IPR"/>
            </w:pPr>
            <w:r w:rsidRPr="00125600">
              <w:t>2.70</w:t>
            </w:r>
          </w:p>
        </w:tc>
        <w:tc>
          <w:tcPr>
            <w:tcW w:w="1553" w:type="dxa"/>
            <w:vAlign w:val="top"/>
          </w:tcPr>
          <w:p w:rsidRPr="00F62098" w:rsidR="00C45902" w:rsidP="00C45902" w:rsidRDefault="00C45902" w14:paraId="49EDAC35" w14:textId="1FEF8D64">
            <w:pPr>
              <w:pStyle w:val="TableText-IPR"/>
            </w:pPr>
            <w:r w:rsidRPr="00125600">
              <w:t>3.12</w:t>
            </w:r>
          </w:p>
        </w:tc>
        <w:tc>
          <w:tcPr>
            <w:tcW w:w="1554" w:type="dxa"/>
            <w:vAlign w:val="top"/>
          </w:tcPr>
          <w:p w:rsidRPr="00F62098" w:rsidR="00C45902" w:rsidP="00C45902" w:rsidRDefault="00C45902" w14:paraId="3DF44FDC" w14:textId="44100653">
            <w:pPr>
              <w:pStyle w:val="TableText-IPR"/>
            </w:pPr>
            <w:r w:rsidRPr="00125600">
              <w:t>3.83</w:t>
            </w:r>
          </w:p>
        </w:tc>
      </w:tr>
    </w:tbl>
    <w:p w:rsidRPr="00C45902" w:rsidR="00E06665" w:rsidP="00960E81" w:rsidRDefault="00E06665" w14:paraId="53A8BDA8" w14:textId="40CB997D">
      <w:pPr>
        <w:pStyle w:val="Body11ptCalibri-IPR"/>
        <w:spacing w:after="360"/>
      </w:pPr>
      <w:r>
        <w:t>Considering the middle response</w:t>
      </w:r>
      <w:r w:rsidR="00393BDF">
        <w:t xml:space="preserve"> </w:t>
      </w:r>
      <w:r>
        <w:t xml:space="preserve">rate scenario and a design effect of 1.5, table </w:t>
      </w:r>
      <w:r w:rsidR="004930BA">
        <w:t>B.</w:t>
      </w:r>
      <w:r>
        <w:t>2.8 provides the</w:t>
      </w:r>
      <w:r>
        <w:rPr>
          <w:spacing w:val="1"/>
        </w:rPr>
        <w:t xml:space="preserve"> </w:t>
      </w:r>
      <w:r>
        <w:t>resulting</w:t>
      </w:r>
      <w:r>
        <w:rPr>
          <w:spacing w:val="-2"/>
        </w:rPr>
        <w:t xml:space="preserve"> </w:t>
      </w:r>
      <w:r>
        <w:t>estimates</w:t>
      </w:r>
      <w:r>
        <w:rPr>
          <w:spacing w:val="-2"/>
        </w:rPr>
        <w:t xml:space="preserve"> </w:t>
      </w:r>
      <w:r>
        <w:t>of</w:t>
      </w:r>
      <w:r>
        <w:rPr>
          <w:spacing w:val="-3"/>
        </w:rPr>
        <w:t xml:space="preserve"> </w:t>
      </w:r>
      <w:r>
        <w:t>the</w:t>
      </w:r>
      <w:r>
        <w:rPr>
          <w:spacing w:val="-1"/>
        </w:rPr>
        <w:t xml:space="preserve"> </w:t>
      </w:r>
      <w:r>
        <w:t>margin</w:t>
      </w:r>
      <w:r>
        <w:rPr>
          <w:spacing w:val="-2"/>
        </w:rPr>
        <w:t xml:space="preserve"> </w:t>
      </w:r>
      <w:r>
        <w:t>of</w:t>
      </w:r>
      <w:r>
        <w:rPr>
          <w:spacing w:val="-2"/>
        </w:rPr>
        <w:t xml:space="preserve"> </w:t>
      </w:r>
      <w:r>
        <w:t>error</w:t>
      </w:r>
      <w:r>
        <w:rPr>
          <w:spacing w:val="-1"/>
        </w:rPr>
        <w:t xml:space="preserve"> </w:t>
      </w:r>
      <w:r>
        <w:t>when</w:t>
      </w:r>
      <w:r>
        <w:rPr>
          <w:spacing w:val="-2"/>
        </w:rPr>
        <w:t xml:space="preserve"> </w:t>
      </w:r>
      <w:r>
        <w:t>estimating</w:t>
      </w:r>
      <w:r>
        <w:rPr>
          <w:spacing w:val="-2"/>
        </w:rPr>
        <w:t xml:space="preserve"> </w:t>
      </w:r>
      <w:r>
        <w:t>a</w:t>
      </w:r>
      <w:r>
        <w:rPr>
          <w:spacing w:val="-1"/>
        </w:rPr>
        <w:t xml:space="preserve"> </w:t>
      </w:r>
      <w:r>
        <w:t>binary</w:t>
      </w:r>
      <w:r>
        <w:rPr>
          <w:spacing w:val="-2"/>
        </w:rPr>
        <w:t xml:space="preserve"> </w:t>
      </w:r>
      <w:r w:rsidR="004930BA">
        <w:t>characteristic</w:t>
      </w:r>
      <w:r>
        <w:rPr>
          <w:spacing w:val="-2"/>
        </w:rPr>
        <w:t xml:space="preserve"> </w:t>
      </w:r>
      <w:r>
        <w:t>with</w:t>
      </w:r>
      <w:r>
        <w:rPr>
          <w:spacing w:val="-1"/>
        </w:rPr>
        <w:t xml:space="preserve"> </w:t>
      </w:r>
      <w:r>
        <w:t>20,</w:t>
      </w:r>
      <w:r>
        <w:rPr>
          <w:spacing w:val="-2"/>
        </w:rPr>
        <w:t xml:space="preserve"> </w:t>
      </w:r>
      <w:r>
        <w:t>30,</w:t>
      </w:r>
      <w:r>
        <w:rPr>
          <w:spacing w:val="-2"/>
        </w:rPr>
        <w:t xml:space="preserve"> </w:t>
      </w:r>
      <w:r w:rsidR="004930BA">
        <w:t xml:space="preserve">and </w:t>
      </w:r>
      <w:r>
        <w:t>40</w:t>
      </w:r>
      <w:r>
        <w:rPr>
          <w:spacing w:val="-1"/>
        </w:rPr>
        <w:t xml:space="preserve"> </w:t>
      </w:r>
      <w:r>
        <w:t xml:space="preserve">percent </w:t>
      </w:r>
      <w:r w:rsidR="004930BA">
        <w:t>having the characteristic</w:t>
      </w:r>
      <w:r>
        <w:t>.</w:t>
      </w:r>
    </w:p>
    <w:p w:rsidR="00E06665" w:rsidP="00EF57BE" w:rsidRDefault="00E06665" w14:paraId="0B80B891" w14:textId="668E16CE">
      <w:pPr>
        <w:pStyle w:val="TableTitle-IPR"/>
      </w:pPr>
      <w:bookmarkStart w:name="_Toc78365145" w:id="37"/>
      <w:r>
        <w:t xml:space="preserve">Table </w:t>
      </w:r>
      <w:r w:rsidR="004930BA">
        <w:t>B.</w:t>
      </w:r>
      <w:r>
        <w:t xml:space="preserve">2.8. Expected Margin of Error for Middle Yield‐Rate Scenario </w:t>
      </w:r>
      <w:r w:rsidR="004930BA">
        <w:t>for Estimates of 20, 30, and 40 Percent Characteristics: Baseline Study</w:t>
      </w:r>
      <w:bookmarkEnd w:id="37"/>
    </w:p>
    <w:tbl>
      <w:tblPr>
        <w:tblStyle w:val="InsightTable"/>
        <w:tblW w:w="0" w:type="auto"/>
        <w:tblLook w:val="04A0" w:firstRow="1" w:lastRow="0" w:firstColumn="1" w:lastColumn="0" w:noHBand="0" w:noVBand="1"/>
      </w:tblPr>
      <w:tblGrid>
        <w:gridCol w:w="4774"/>
        <w:gridCol w:w="1509"/>
        <w:gridCol w:w="1509"/>
        <w:gridCol w:w="1510"/>
      </w:tblGrid>
      <w:tr w:rsidR="00C45902" w:rsidTr="00013514" w14:paraId="339FEF1E" w14:textId="77777777">
        <w:trPr>
          <w:cnfStyle w:val="100000000000" w:firstRow="1" w:lastRow="0" w:firstColumn="0" w:lastColumn="0" w:oddVBand="0" w:evenVBand="0" w:oddHBand="0" w:evenHBand="0" w:firstRowFirstColumn="0" w:firstRowLastColumn="0" w:lastRowFirstColumn="0" w:lastRowLastColumn="0"/>
          <w:trHeight w:val="360"/>
          <w:tblHeader/>
        </w:trPr>
        <w:tc>
          <w:tcPr>
            <w:tcW w:w="4982" w:type="dxa"/>
            <w:vMerge w:val="restart"/>
            <w:tcBorders>
              <w:bottom w:val="dotted" w:color="B12732" w:sz="4" w:space="0"/>
            </w:tcBorders>
          </w:tcPr>
          <w:p w:rsidR="00C45902" w:rsidP="00013514" w:rsidRDefault="00C45902" w14:paraId="5061B746" w14:textId="77777777">
            <w:pPr>
              <w:pStyle w:val="TableHeaderRow-IPR"/>
            </w:pPr>
            <w:r>
              <w:t>Subgroup</w:t>
            </w:r>
          </w:p>
        </w:tc>
        <w:tc>
          <w:tcPr>
            <w:tcW w:w="4660" w:type="dxa"/>
            <w:gridSpan w:val="3"/>
            <w:tcBorders>
              <w:bottom w:val="dotted" w:color="B12732" w:sz="4" w:space="0"/>
            </w:tcBorders>
          </w:tcPr>
          <w:p w:rsidR="00C45902" w:rsidP="00013514" w:rsidRDefault="00C45902" w14:paraId="4FC0D45E" w14:textId="48756795">
            <w:pPr>
              <w:pStyle w:val="TableHeaderRow-IPR"/>
            </w:pPr>
            <w:r>
              <w:t>Expected Margin of Error (Percent)</w:t>
            </w:r>
          </w:p>
        </w:tc>
      </w:tr>
      <w:tr w:rsidR="00C45902" w:rsidTr="00013514" w14:paraId="50A08541" w14:textId="77777777">
        <w:trPr>
          <w:cnfStyle w:val="100000000000" w:firstRow="1" w:lastRow="0" w:firstColumn="0" w:lastColumn="0" w:oddVBand="0" w:evenVBand="0" w:oddHBand="0" w:evenHBand="0" w:firstRowFirstColumn="0" w:firstRowLastColumn="0" w:lastRowFirstColumn="0" w:lastRowLastColumn="0"/>
          <w:trHeight w:val="360"/>
          <w:tblHeader/>
        </w:trPr>
        <w:tc>
          <w:tcPr>
            <w:tcW w:w="4982" w:type="dxa"/>
            <w:vMerge/>
            <w:tcBorders>
              <w:top w:val="dotted" w:color="B12732" w:sz="4" w:space="0"/>
            </w:tcBorders>
          </w:tcPr>
          <w:p w:rsidR="00C45902" w:rsidP="00013514" w:rsidRDefault="00C45902" w14:paraId="19A52AFE" w14:textId="77777777">
            <w:pPr>
              <w:pStyle w:val="TableHeaderRow-IPR"/>
            </w:pPr>
          </w:p>
        </w:tc>
        <w:tc>
          <w:tcPr>
            <w:tcW w:w="1553" w:type="dxa"/>
            <w:tcBorders>
              <w:top w:val="dotted" w:color="B12732" w:sz="4" w:space="0"/>
            </w:tcBorders>
          </w:tcPr>
          <w:p w:rsidR="00C45902" w:rsidP="00013514" w:rsidRDefault="00C45902" w14:paraId="706F049F" w14:textId="43C22EDA">
            <w:pPr>
              <w:pStyle w:val="TableHeaderRow-IPR"/>
            </w:pPr>
            <w:r w:rsidRPr="00D31EC9">
              <w:rPr>
                <w:i/>
                <w:iCs/>
              </w:rPr>
              <w:t>P</w:t>
            </w:r>
            <w:r w:rsidRPr="007E7ADD">
              <w:t xml:space="preserve"> = 20 Percent</w:t>
            </w:r>
          </w:p>
        </w:tc>
        <w:tc>
          <w:tcPr>
            <w:tcW w:w="1553" w:type="dxa"/>
            <w:tcBorders>
              <w:top w:val="dotted" w:color="B12732" w:sz="4" w:space="0"/>
            </w:tcBorders>
          </w:tcPr>
          <w:p w:rsidR="00C45902" w:rsidP="00013514" w:rsidRDefault="00C45902" w14:paraId="6E114A5C" w14:textId="7DD4A7EC">
            <w:pPr>
              <w:pStyle w:val="TableHeaderRow-IPR"/>
              <w:tabs>
                <w:tab w:val="center" w:pos="718"/>
              </w:tabs>
            </w:pPr>
            <w:r w:rsidRPr="00D31EC9">
              <w:rPr>
                <w:i/>
                <w:iCs/>
              </w:rPr>
              <w:t>P</w:t>
            </w:r>
            <w:r w:rsidRPr="007E7ADD">
              <w:t xml:space="preserve"> = 30 Percent</w:t>
            </w:r>
          </w:p>
        </w:tc>
        <w:tc>
          <w:tcPr>
            <w:tcW w:w="1554" w:type="dxa"/>
            <w:tcBorders>
              <w:top w:val="dotted" w:color="B12732" w:sz="4" w:space="0"/>
            </w:tcBorders>
          </w:tcPr>
          <w:p w:rsidR="00C45902" w:rsidP="00013514" w:rsidRDefault="00C45902" w14:paraId="285E9C57" w14:textId="6D5D0F2E">
            <w:pPr>
              <w:pStyle w:val="TableHeaderRow-IPR"/>
            </w:pPr>
            <w:r w:rsidRPr="00D31EC9">
              <w:rPr>
                <w:i/>
                <w:iCs/>
              </w:rPr>
              <w:t>P</w:t>
            </w:r>
            <w:r w:rsidRPr="007E7ADD">
              <w:t xml:space="preserve"> = 40 Percent</w:t>
            </w:r>
          </w:p>
        </w:tc>
      </w:tr>
      <w:tr w:rsidR="00DC07C3" w:rsidTr="00013514" w14:paraId="6680EE44" w14:textId="77777777">
        <w:trPr>
          <w:trHeight w:val="288"/>
        </w:trPr>
        <w:tc>
          <w:tcPr>
            <w:tcW w:w="4982" w:type="dxa"/>
          </w:tcPr>
          <w:p w:rsidR="00DC07C3" w:rsidP="00DC07C3" w:rsidRDefault="00DC07C3" w14:paraId="3924EBAD" w14:textId="77777777">
            <w:pPr>
              <w:pStyle w:val="TableText-IPR"/>
            </w:pPr>
            <w:r w:rsidRPr="00737E25">
              <w:t>NAP participants</w:t>
            </w:r>
          </w:p>
        </w:tc>
        <w:tc>
          <w:tcPr>
            <w:tcW w:w="1553" w:type="dxa"/>
            <w:vAlign w:val="top"/>
          </w:tcPr>
          <w:p w:rsidR="00DC07C3" w:rsidP="00DC07C3" w:rsidRDefault="00DC07C3" w14:paraId="58721640" w14:textId="3B38CEEA">
            <w:pPr>
              <w:pStyle w:val="TableText-IPR"/>
            </w:pPr>
            <w:r w:rsidRPr="00534F78">
              <w:t>2.07</w:t>
            </w:r>
          </w:p>
        </w:tc>
        <w:tc>
          <w:tcPr>
            <w:tcW w:w="1553" w:type="dxa"/>
            <w:vAlign w:val="top"/>
          </w:tcPr>
          <w:p w:rsidR="00DC07C3" w:rsidP="00DC07C3" w:rsidRDefault="00DC07C3" w14:paraId="2BCC7D41" w14:textId="38B9653F">
            <w:pPr>
              <w:pStyle w:val="TableText-IPR"/>
            </w:pPr>
            <w:r w:rsidRPr="00534F78">
              <w:t>2.38</w:t>
            </w:r>
          </w:p>
        </w:tc>
        <w:tc>
          <w:tcPr>
            <w:tcW w:w="1554" w:type="dxa"/>
            <w:vAlign w:val="top"/>
          </w:tcPr>
          <w:p w:rsidR="00DC07C3" w:rsidP="00DC07C3" w:rsidRDefault="00DC07C3" w14:paraId="5EEDDE95" w14:textId="06B7D0BA">
            <w:pPr>
              <w:pStyle w:val="TableText-IPR"/>
            </w:pPr>
            <w:r w:rsidRPr="00534F78">
              <w:t>2.54</w:t>
            </w:r>
          </w:p>
        </w:tc>
      </w:tr>
      <w:tr w:rsidR="00DC07C3" w:rsidTr="00013514" w14:paraId="2D100DC3" w14:textId="77777777">
        <w:trPr>
          <w:trHeight w:val="288"/>
        </w:trPr>
        <w:tc>
          <w:tcPr>
            <w:tcW w:w="4982" w:type="dxa"/>
          </w:tcPr>
          <w:p w:rsidR="00DC07C3" w:rsidP="00DC07C3" w:rsidRDefault="00DC07C3" w14:paraId="7B41955E" w14:textId="77777777">
            <w:pPr>
              <w:pStyle w:val="TableText-IPR"/>
            </w:pPr>
            <w:r w:rsidRPr="00737E25">
              <w:t>NAP nonparticipants</w:t>
            </w:r>
          </w:p>
        </w:tc>
        <w:tc>
          <w:tcPr>
            <w:tcW w:w="1553" w:type="dxa"/>
            <w:vAlign w:val="top"/>
          </w:tcPr>
          <w:p w:rsidR="00DC07C3" w:rsidP="00DC07C3" w:rsidRDefault="00DC07C3" w14:paraId="1E0C4238" w14:textId="2A100E91">
            <w:pPr>
              <w:pStyle w:val="TableText-IPR"/>
            </w:pPr>
            <w:r w:rsidRPr="00534F78">
              <w:t>2.47</w:t>
            </w:r>
          </w:p>
        </w:tc>
        <w:tc>
          <w:tcPr>
            <w:tcW w:w="1553" w:type="dxa"/>
            <w:vAlign w:val="top"/>
          </w:tcPr>
          <w:p w:rsidR="00DC07C3" w:rsidP="00DC07C3" w:rsidRDefault="00DC07C3" w14:paraId="5755169D" w14:textId="6965F4F8">
            <w:pPr>
              <w:pStyle w:val="TableText-IPR"/>
            </w:pPr>
            <w:r w:rsidRPr="00534F78">
              <w:t>2.83</w:t>
            </w:r>
          </w:p>
        </w:tc>
        <w:tc>
          <w:tcPr>
            <w:tcW w:w="1554" w:type="dxa"/>
            <w:vAlign w:val="top"/>
          </w:tcPr>
          <w:p w:rsidR="00DC07C3" w:rsidP="00DC07C3" w:rsidRDefault="00DC07C3" w14:paraId="76516EAE" w14:textId="00FD4871">
            <w:pPr>
              <w:pStyle w:val="TableText-IPR"/>
            </w:pPr>
            <w:r w:rsidRPr="00534F78">
              <w:t>3.02</w:t>
            </w:r>
          </w:p>
        </w:tc>
      </w:tr>
      <w:tr w:rsidR="00DC07C3" w:rsidTr="00013514" w14:paraId="19F68415" w14:textId="77777777">
        <w:trPr>
          <w:trHeight w:val="288"/>
        </w:trPr>
        <w:tc>
          <w:tcPr>
            <w:tcW w:w="4982" w:type="dxa"/>
          </w:tcPr>
          <w:p w:rsidR="00DC07C3" w:rsidP="00DC07C3" w:rsidRDefault="00DC07C3" w14:paraId="5BECB1C1" w14:textId="77777777">
            <w:pPr>
              <w:pStyle w:val="TableText-IPR"/>
            </w:pPr>
            <w:r w:rsidRPr="00737E25">
              <w:t>Households with children</w:t>
            </w:r>
          </w:p>
        </w:tc>
        <w:tc>
          <w:tcPr>
            <w:tcW w:w="1553" w:type="dxa"/>
            <w:vAlign w:val="top"/>
          </w:tcPr>
          <w:p w:rsidR="00DC07C3" w:rsidP="00DC07C3" w:rsidRDefault="00DC07C3" w14:paraId="226C10A2" w14:textId="55CE878C">
            <w:pPr>
              <w:pStyle w:val="TableText-IPR"/>
            </w:pPr>
            <w:r w:rsidRPr="00534F78">
              <w:t>2.94</w:t>
            </w:r>
          </w:p>
        </w:tc>
        <w:tc>
          <w:tcPr>
            <w:tcW w:w="1553" w:type="dxa"/>
            <w:vAlign w:val="top"/>
          </w:tcPr>
          <w:p w:rsidR="00DC07C3" w:rsidP="00DC07C3" w:rsidRDefault="00DC07C3" w14:paraId="26C6D053" w14:textId="0D3CBD7F">
            <w:pPr>
              <w:pStyle w:val="TableText-IPR"/>
            </w:pPr>
            <w:r w:rsidRPr="00534F78">
              <w:t>3.37</w:t>
            </w:r>
          </w:p>
        </w:tc>
        <w:tc>
          <w:tcPr>
            <w:tcW w:w="1554" w:type="dxa"/>
            <w:vAlign w:val="top"/>
          </w:tcPr>
          <w:p w:rsidR="00DC07C3" w:rsidP="00DC07C3" w:rsidRDefault="00DC07C3" w14:paraId="3432BFD8" w14:textId="69D7B604">
            <w:pPr>
              <w:pStyle w:val="TableText-IPR"/>
            </w:pPr>
            <w:r w:rsidRPr="00534F78">
              <w:t>3.60</w:t>
            </w:r>
          </w:p>
        </w:tc>
      </w:tr>
      <w:tr w:rsidR="00DC07C3" w:rsidTr="00013514" w14:paraId="7394BC24" w14:textId="77777777">
        <w:trPr>
          <w:trHeight w:val="288"/>
        </w:trPr>
        <w:tc>
          <w:tcPr>
            <w:tcW w:w="4982" w:type="dxa"/>
          </w:tcPr>
          <w:p w:rsidR="00DC07C3" w:rsidP="00DC07C3" w:rsidRDefault="00DC07C3" w14:paraId="2135DF77" w14:textId="77777777">
            <w:pPr>
              <w:pStyle w:val="TableText-IPR"/>
            </w:pPr>
            <w:r w:rsidRPr="00737E25">
              <w:t>Households with at least one older person (60 and older)</w:t>
            </w:r>
          </w:p>
        </w:tc>
        <w:tc>
          <w:tcPr>
            <w:tcW w:w="1553" w:type="dxa"/>
            <w:vAlign w:val="top"/>
          </w:tcPr>
          <w:p w:rsidR="00DC07C3" w:rsidP="00DC07C3" w:rsidRDefault="00DC07C3" w14:paraId="2ACA96CC" w14:textId="17F60BD0">
            <w:pPr>
              <w:pStyle w:val="TableText-IPR"/>
            </w:pPr>
            <w:r w:rsidRPr="00534F78">
              <w:t>2.30</w:t>
            </w:r>
          </w:p>
        </w:tc>
        <w:tc>
          <w:tcPr>
            <w:tcW w:w="1553" w:type="dxa"/>
            <w:vAlign w:val="top"/>
          </w:tcPr>
          <w:p w:rsidR="00DC07C3" w:rsidP="00DC07C3" w:rsidRDefault="00DC07C3" w14:paraId="3907DD49" w14:textId="288E357F">
            <w:pPr>
              <w:pStyle w:val="TableText-IPR"/>
            </w:pPr>
            <w:r w:rsidRPr="00534F78">
              <w:t>2.63</w:t>
            </w:r>
          </w:p>
        </w:tc>
        <w:tc>
          <w:tcPr>
            <w:tcW w:w="1554" w:type="dxa"/>
            <w:vAlign w:val="top"/>
          </w:tcPr>
          <w:p w:rsidR="00DC07C3" w:rsidP="00DC07C3" w:rsidRDefault="00DC07C3" w14:paraId="7DC116CD" w14:textId="0DFEC4A3">
            <w:pPr>
              <w:pStyle w:val="TableText-IPR"/>
            </w:pPr>
            <w:r w:rsidRPr="00534F78">
              <w:t>2.82</w:t>
            </w:r>
          </w:p>
        </w:tc>
      </w:tr>
      <w:tr w:rsidR="00DC07C3" w:rsidTr="00013514" w14:paraId="53414347" w14:textId="77777777">
        <w:trPr>
          <w:trHeight w:val="288"/>
        </w:trPr>
        <w:tc>
          <w:tcPr>
            <w:tcW w:w="4982" w:type="dxa"/>
            <w:vAlign w:val="top"/>
          </w:tcPr>
          <w:p w:rsidRPr="00737E25" w:rsidR="00DC07C3" w:rsidP="00DC07C3" w:rsidRDefault="00DC07C3" w14:paraId="2C02B315" w14:textId="77777777">
            <w:pPr>
              <w:pStyle w:val="TableText-IPR"/>
            </w:pPr>
            <w:r w:rsidRPr="00125600">
              <w:t>Households with at least one person with a disability</w:t>
            </w:r>
          </w:p>
        </w:tc>
        <w:tc>
          <w:tcPr>
            <w:tcW w:w="1553" w:type="dxa"/>
            <w:vAlign w:val="top"/>
          </w:tcPr>
          <w:p w:rsidRPr="00F62098" w:rsidR="00DC07C3" w:rsidP="00DC07C3" w:rsidRDefault="00DC07C3" w14:paraId="7E9CE5CC" w14:textId="4C2544B2">
            <w:pPr>
              <w:pStyle w:val="TableText-IPR"/>
            </w:pPr>
            <w:r w:rsidRPr="00534F78">
              <w:t>2.50</w:t>
            </w:r>
          </w:p>
        </w:tc>
        <w:tc>
          <w:tcPr>
            <w:tcW w:w="1553" w:type="dxa"/>
            <w:vAlign w:val="top"/>
          </w:tcPr>
          <w:p w:rsidRPr="00F62098" w:rsidR="00DC07C3" w:rsidP="00DC07C3" w:rsidRDefault="00DC07C3" w14:paraId="6428B3A6" w14:textId="5CD6A68F">
            <w:pPr>
              <w:pStyle w:val="TableText-IPR"/>
            </w:pPr>
            <w:r w:rsidRPr="00534F78">
              <w:t>2.86</w:t>
            </w:r>
          </w:p>
        </w:tc>
        <w:tc>
          <w:tcPr>
            <w:tcW w:w="1554" w:type="dxa"/>
            <w:vAlign w:val="top"/>
          </w:tcPr>
          <w:p w:rsidRPr="00F62098" w:rsidR="00DC07C3" w:rsidP="00DC07C3" w:rsidRDefault="00DC07C3" w14:paraId="0880E0EB" w14:textId="43846076">
            <w:pPr>
              <w:pStyle w:val="TableText-IPR"/>
            </w:pPr>
            <w:r w:rsidRPr="00534F78">
              <w:t>3.06</w:t>
            </w:r>
          </w:p>
        </w:tc>
      </w:tr>
    </w:tbl>
    <w:p w:rsidRPr="002A0BC3" w:rsidR="00E06665" w:rsidP="00960E81" w:rsidRDefault="00DC07C3" w14:paraId="6F9D0DFB" w14:textId="00B26910">
      <w:pPr>
        <w:pStyle w:val="FtnteBodyText-IPR"/>
        <w:spacing w:before="60"/>
      </w:pPr>
      <w:r w:rsidRPr="002A0BC3">
        <w:t xml:space="preserve">Note: </w:t>
      </w:r>
      <w:r w:rsidRPr="002A0BC3">
        <w:rPr>
          <w:i/>
          <w:iCs/>
        </w:rPr>
        <w:t>P</w:t>
      </w:r>
      <w:r w:rsidRPr="002A0BC3">
        <w:t xml:space="preserve"> is the population prevalence of the characteristic of interest.</w:t>
      </w:r>
    </w:p>
    <w:p w:rsidR="00DC07C3" w:rsidP="00960E81" w:rsidRDefault="00E06665" w14:paraId="060DD821" w14:textId="002BFCA1">
      <w:pPr>
        <w:pStyle w:val="Body11ptCalibri-IPR"/>
        <w:spacing w:before="240" w:after="240"/>
        <w:rPr>
          <w:sz w:val="19"/>
        </w:rPr>
      </w:pPr>
      <w:r>
        <w:t xml:space="preserve">Based on the estimated design effect and yield rates, table </w:t>
      </w:r>
      <w:r w:rsidR="004930BA">
        <w:t>B.</w:t>
      </w:r>
      <w:r>
        <w:t>2.9 provides the resulting estimates of the</w:t>
      </w:r>
      <w:r>
        <w:rPr>
          <w:spacing w:val="1"/>
        </w:rPr>
        <w:t xml:space="preserve"> </w:t>
      </w:r>
      <w:r>
        <w:t xml:space="preserve">margin of error for the </w:t>
      </w:r>
      <w:r w:rsidR="00FA7DE7">
        <w:t>2</w:t>
      </w:r>
      <w:r>
        <w:t xml:space="preserve">‐year follow‐up study when estimating a binary item with 50 percent </w:t>
      </w:r>
      <w:r w:rsidR="004930BA">
        <w:t>having the characteristic</w:t>
      </w:r>
      <w:r>
        <w:t xml:space="preserve">. </w:t>
      </w:r>
      <w:r w:rsidR="00FA7DE7">
        <w:t>T</w:t>
      </w:r>
      <w:r>
        <w:t xml:space="preserve">he sample </w:t>
      </w:r>
      <w:r w:rsidR="00FA7DE7">
        <w:t xml:space="preserve">was designed </w:t>
      </w:r>
      <w:r>
        <w:t>to meet the 5</w:t>
      </w:r>
      <w:r w:rsidR="000C3205">
        <w:t xml:space="preserve"> </w:t>
      </w:r>
      <w:r>
        <w:t>percent precision requirement</w:t>
      </w:r>
      <w:r>
        <w:rPr>
          <w:spacing w:val="1"/>
        </w:rPr>
        <w:t xml:space="preserve"> </w:t>
      </w:r>
      <w:r>
        <w:t xml:space="preserve">for the least prevalent household subgroup for the middle yield‐rate scenario at the </w:t>
      </w:r>
      <w:r w:rsidR="00FA7DE7">
        <w:t>2</w:t>
      </w:r>
      <w:r>
        <w:t>‐year follow‐up.</w:t>
      </w:r>
      <w:r>
        <w:rPr>
          <w:spacing w:val="1"/>
        </w:rPr>
        <w:t xml:space="preserve"> </w:t>
      </w:r>
      <w:r>
        <w:t>Thus,</w:t>
      </w:r>
      <w:r>
        <w:rPr>
          <w:spacing w:val="-4"/>
        </w:rPr>
        <w:t xml:space="preserve"> </w:t>
      </w:r>
      <w:r>
        <w:t>the</w:t>
      </w:r>
      <w:r>
        <w:rPr>
          <w:spacing w:val="-2"/>
        </w:rPr>
        <w:t xml:space="preserve"> </w:t>
      </w:r>
      <w:r>
        <w:lastRenderedPageBreak/>
        <w:t>expected</w:t>
      </w:r>
      <w:r>
        <w:rPr>
          <w:spacing w:val="-3"/>
        </w:rPr>
        <w:t xml:space="preserve"> </w:t>
      </w:r>
      <w:r>
        <w:t>margin</w:t>
      </w:r>
      <w:r>
        <w:rPr>
          <w:spacing w:val="-2"/>
        </w:rPr>
        <w:t xml:space="preserve"> </w:t>
      </w:r>
      <w:r>
        <w:t>of</w:t>
      </w:r>
      <w:r>
        <w:rPr>
          <w:spacing w:val="-3"/>
        </w:rPr>
        <w:t xml:space="preserve"> </w:t>
      </w:r>
      <w:r>
        <w:t>error</w:t>
      </w:r>
      <w:r>
        <w:rPr>
          <w:spacing w:val="-2"/>
        </w:rPr>
        <w:t xml:space="preserve"> </w:t>
      </w:r>
      <w:r>
        <w:t>for</w:t>
      </w:r>
      <w:r>
        <w:rPr>
          <w:spacing w:val="-3"/>
        </w:rPr>
        <w:t xml:space="preserve"> </w:t>
      </w:r>
      <w:r>
        <w:t>the</w:t>
      </w:r>
      <w:r>
        <w:rPr>
          <w:spacing w:val="-2"/>
        </w:rPr>
        <w:t xml:space="preserve"> </w:t>
      </w:r>
      <w:r>
        <w:t>households</w:t>
      </w:r>
      <w:r>
        <w:rPr>
          <w:spacing w:val="-2"/>
        </w:rPr>
        <w:t xml:space="preserve"> </w:t>
      </w:r>
      <w:r>
        <w:t>with</w:t>
      </w:r>
      <w:r>
        <w:rPr>
          <w:spacing w:val="-2"/>
        </w:rPr>
        <w:t xml:space="preserve"> </w:t>
      </w:r>
      <w:r>
        <w:t>children</w:t>
      </w:r>
      <w:r>
        <w:rPr>
          <w:spacing w:val="-4"/>
        </w:rPr>
        <w:t xml:space="preserve"> </w:t>
      </w:r>
      <w:r>
        <w:t>subgroup</w:t>
      </w:r>
      <w:r>
        <w:rPr>
          <w:spacing w:val="-3"/>
        </w:rPr>
        <w:t xml:space="preserve"> </w:t>
      </w:r>
      <w:r>
        <w:t>for</w:t>
      </w:r>
      <w:r>
        <w:rPr>
          <w:spacing w:val="-2"/>
        </w:rPr>
        <w:t xml:space="preserve"> </w:t>
      </w:r>
      <w:r>
        <w:t>the</w:t>
      </w:r>
      <w:r>
        <w:rPr>
          <w:spacing w:val="-3"/>
        </w:rPr>
        <w:t xml:space="preserve"> </w:t>
      </w:r>
      <w:r>
        <w:t>middle</w:t>
      </w:r>
      <w:r>
        <w:rPr>
          <w:spacing w:val="-2"/>
        </w:rPr>
        <w:t xml:space="preserve"> </w:t>
      </w:r>
      <w:r>
        <w:t>scenario</w:t>
      </w:r>
      <w:r>
        <w:rPr>
          <w:spacing w:val="-3"/>
        </w:rPr>
        <w:t xml:space="preserve"> </w:t>
      </w:r>
      <w:r w:rsidR="004930BA">
        <w:t>is 5</w:t>
      </w:r>
      <w:r>
        <w:t xml:space="preserve"> percent. If the yield rates are low (as in the worst‐case scenario), the study will be unable to meet the</w:t>
      </w:r>
      <w:r>
        <w:rPr>
          <w:spacing w:val="1"/>
        </w:rPr>
        <w:t xml:space="preserve"> </w:t>
      </w:r>
      <w:r>
        <w:t>precision requirements for most of the subgroups of interest at the 2‐year follow‐up; however, the</w:t>
      </w:r>
      <w:r>
        <w:rPr>
          <w:spacing w:val="1"/>
        </w:rPr>
        <w:t xml:space="preserve"> </w:t>
      </w:r>
      <w:r>
        <w:t>margins</w:t>
      </w:r>
      <w:r>
        <w:rPr>
          <w:spacing w:val="-2"/>
        </w:rPr>
        <w:t xml:space="preserve"> </w:t>
      </w:r>
      <w:r>
        <w:t>of</w:t>
      </w:r>
      <w:r>
        <w:rPr>
          <w:spacing w:val="-2"/>
        </w:rPr>
        <w:t xml:space="preserve"> </w:t>
      </w:r>
      <w:r>
        <w:t>error</w:t>
      </w:r>
      <w:r>
        <w:rPr>
          <w:spacing w:val="-2"/>
        </w:rPr>
        <w:t xml:space="preserve"> </w:t>
      </w:r>
      <w:r w:rsidR="00FA7DE7">
        <w:rPr>
          <w:spacing w:val="-2"/>
        </w:rPr>
        <w:t xml:space="preserve">are still expected </w:t>
      </w:r>
      <w:r>
        <w:t>to</w:t>
      </w:r>
      <w:r>
        <w:rPr>
          <w:spacing w:val="-2"/>
        </w:rPr>
        <w:t xml:space="preserve"> </w:t>
      </w:r>
      <w:r>
        <w:t>be</w:t>
      </w:r>
      <w:r>
        <w:rPr>
          <w:spacing w:val="-2"/>
        </w:rPr>
        <w:t xml:space="preserve"> </w:t>
      </w:r>
      <w:r>
        <w:t>under 10</w:t>
      </w:r>
      <w:r>
        <w:rPr>
          <w:spacing w:val="-2"/>
        </w:rPr>
        <w:t xml:space="preserve"> </w:t>
      </w:r>
      <w:r>
        <w:t>percent for</w:t>
      </w:r>
      <w:r>
        <w:rPr>
          <w:spacing w:val="-1"/>
        </w:rPr>
        <w:t xml:space="preserve"> </w:t>
      </w:r>
      <w:r>
        <w:t>these subgroups</w:t>
      </w:r>
      <w:r w:rsidR="004930BA">
        <w:t xml:space="preserve"> under the worst</w:t>
      </w:r>
      <w:r w:rsidR="00FA7DE7">
        <w:t xml:space="preserve"> </w:t>
      </w:r>
      <w:r w:rsidR="004930BA">
        <w:t>case scenario</w:t>
      </w:r>
      <w:r>
        <w:t>.</w:t>
      </w:r>
    </w:p>
    <w:p w:rsidR="00E06665" w:rsidP="00DC07C3" w:rsidRDefault="00E06665" w14:paraId="52B74F71" w14:textId="74AD02F8">
      <w:pPr>
        <w:pStyle w:val="TableTitle-IPR"/>
      </w:pPr>
      <w:bookmarkStart w:name="_Toc78365146" w:id="38"/>
      <w:r>
        <w:t>Table</w:t>
      </w:r>
      <w:r>
        <w:rPr>
          <w:spacing w:val="-3"/>
        </w:rPr>
        <w:t xml:space="preserve"> </w:t>
      </w:r>
      <w:r w:rsidR="004930BA">
        <w:rPr>
          <w:spacing w:val="-3"/>
        </w:rPr>
        <w:t>B.</w:t>
      </w:r>
      <w:r>
        <w:t>2.9.</w:t>
      </w:r>
      <w:r>
        <w:rPr>
          <w:spacing w:val="-2"/>
        </w:rPr>
        <w:t xml:space="preserve"> </w:t>
      </w:r>
      <w:r>
        <w:t>Expected</w:t>
      </w:r>
      <w:r>
        <w:rPr>
          <w:spacing w:val="-2"/>
        </w:rPr>
        <w:t xml:space="preserve"> </w:t>
      </w:r>
      <w:r>
        <w:t>Margin</w:t>
      </w:r>
      <w:r>
        <w:rPr>
          <w:spacing w:val="-1"/>
        </w:rPr>
        <w:t xml:space="preserve"> </w:t>
      </w:r>
      <w:r>
        <w:t>of</w:t>
      </w:r>
      <w:r>
        <w:rPr>
          <w:spacing w:val="-3"/>
        </w:rPr>
        <w:t xml:space="preserve"> </w:t>
      </w:r>
      <w:r>
        <w:t>Error</w:t>
      </w:r>
      <w:r>
        <w:rPr>
          <w:spacing w:val="-2"/>
        </w:rPr>
        <w:t xml:space="preserve"> </w:t>
      </w:r>
      <w:r>
        <w:t>for</w:t>
      </w:r>
      <w:r>
        <w:rPr>
          <w:spacing w:val="-1"/>
        </w:rPr>
        <w:t xml:space="preserve"> </w:t>
      </w:r>
      <w:r>
        <w:t>Best,</w:t>
      </w:r>
      <w:r>
        <w:rPr>
          <w:spacing w:val="-2"/>
        </w:rPr>
        <w:t xml:space="preserve"> </w:t>
      </w:r>
      <w:r>
        <w:t>Worst,</w:t>
      </w:r>
      <w:r>
        <w:rPr>
          <w:spacing w:val="-2"/>
        </w:rPr>
        <w:t xml:space="preserve"> </w:t>
      </w:r>
      <w:r>
        <w:t>and</w:t>
      </w:r>
      <w:r>
        <w:rPr>
          <w:spacing w:val="-2"/>
        </w:rPr>
        <w:t xml:space="preserve"> </w:t>
      </w:r>
      <w:r>
        <w:t>Middle</w:t>
      </w:r>
      <w:r>
        <w:rPr>
          <w:spacing w:val="-3"/>
        </w:rPr>
        <w:t xml:space="preserve"> </w:t>
      </w:r>
      <w:r>
        <w:t>Yield‐Rate</w:t>
      </w:r>
      <w:r>
        <w:rPr>
          <w:spacing w:val="-2"/>
        </w:rPr>
        <w:t xml:space="preserve"> </w:t>
      </w:r>
      <w:r>
        <w:t>Scenarios</w:t>
      </w:r>
      <w:r>
        <w:rPr>
          <w:spacing w:val="-3"/>
        </w:rPr>
        <w:t xml:space="preserve"> </w:t>
      </w:r>
      <w:r>
        <w:t>for</w:t>
      </w:r>
      <w:r>
        <w:rPr>
          <w:spacing w:val="-2"/>
        </w:rPr>
        <w:t xml:space="preserve"> </w:t>
      </w:r>
      <w:r>
        <w:t>Estimates</w:t>
      </w:r>
      <w:r>
        <w:rPr>
          <w:spacing w:val="-3"/>
        </w:rPr>
        <w:t xml:space="preserve"> </w:t>
      </w:r>
      <w:r>
        <w:t>of</w:t>
      </w:r>
      <w:r w:rsidR="004930BA">
        <w:t xml:space="preserve"> a 50-Percent Characteristic: 2-Year Follow-up Study</w:t>
      </w:r>
      <w:bookmarkEnd w:id="38"/>
    </w:p>
    <w:tbl>
      <w:tblPr>
        <w:tblStyle w:val="InsightTable"/>
        <w:tblW w:w="0" w:type="auto"/>
        <w:tblLook w:val="04A0" w:firstRow="1" w:lastRow="0" w:firstColumn="1" w:lastColumn="0" w:noHBand="0" w:noVBand="1"/>
      </w:tblPr>
      <w:tblGrid>
        <w:gridCol w:w="4790"/>
        <w:gridCol w:w="1497"/>
        <w:gridCol w:w="1509"/>
        <w:gridCol w:w="1506"/>
      </w:tblGrid>
      <w:tr w:rsidR="00DC07C3" w:rsidTr="009942CC" w14:paraId="7B18FA47" w14:textId="77777777">
        <w:trPr>
          <w:cnfStyle w:val="100000000000" w:firstRow="1" w:lastRow="0" w:firstColumn="0" w:lastColumn="0" w:oddVBand="0" w:evenVBand="0" w:oddHBand="0" w:evenHBand="0" w:firstRowFirstColumn="0" w:firstRowLastColumn="0" w:lastRowFirstColumn="0" w:lastRowLastColumn="0"/>
          <w:trHeight w:val="360"/>
          <w:tblHeader/>
        </w:trPr>
        <w:tc>
          <w:tcPr>
            <w:tcW w:w="4982" w:type="dxa"/>
            <w:vMerge w:val="restart"/>
            <w:tcBorders>
              <w:bottom w:val="dotted" w:color="B12732" w:sz="4" w:space="0"/>
            </w:tcBorders>
          </w:tcPr>
          <w:p w:rsidR="00DC07C3" w:rsidP="00F975D9" w:rsidRDefault="00DC07C3" w14:paraId="1CFB9290" w14:textId="77777777">
            <w:pPr>
              <w:pStyle w:val="TableHeaderRow-IPR"/>
            </w:pPr>
            <w:r>
              <w:t>Subgroup</w:t>
            </w:r>
          </w:p>
        </w:tc>
        <w:tc>
          <w:tcPr>
            <w:tcW w:w="4660" w:type="dxa"/>
            <w:gridSpan w:val="3"/>
            <w:tcBorders>
              <w:bottom w:val="dotted" w:color="B12732" w:sz="4" w:space="0"/>
            </w:tcBorders>
          </w:tcPr>
          <w:p w:rsidR="00DC07C3" w:rsidP="00F975D9" w:rsidRDefault="00DC07C3" w14:paraId="7A3269FD" w14:textId="77777777">
            <w:pPr>
              <w:pStyle w:val="TableHeaderRow-IPR"/>
            </w:pPr>
            <w:r>
              <w:t>Expected Margin of Error by Scenario (Percent)</w:t>
            </w:r>
          </w:p>
        </w:tc>
      </w:tr>
      <w:tr w:rsidR="00DC07C3" w:rsidTr="009942CC" w14:paraId="483EBE82" w14:textId="77777777">
        <w:trPr>
          <w:cnfStyle w:val="100000000000" w:firstRow="1" w:lastRow="0" w:firstColumn="0" w:lastColumn="0" w:oddVBand="0" w:evenVBand="0" w:oddHBand="0" w:evenHBand="0" w:firstRowFirstColumn="0" w:firstRowLastColumn="0" w:lastRowFirstColumn="0" w:lastRowLastColumn="0"/>
          <w:trHeight w:val="360"/>
          <w:tblHeader/>
        </w:trPr>
        <w:tc>
          <w:tcPr>
            <w:tcW w:w="4982" w:type="dxa"/>
            <w:vMerge/>
            <w:tcBorders>
              <w:top w:val="dotted" w:color="B12732" w:sz="4" w:space="0"/>
            </w:tcBorders>
          </w:tcPr>
          <w:p w:rsidR="00DC07C3" w:rsidP="00F975D9" w:rsidRDefault="00DC07C3" w14:paraId="0846813D" w14:textId="77777777">
            <w:pPr>
              <w:pStyle w:val="TableHeaderRow-IPR"/>
            </w:pPr>
          </w:p>
        </w:tc>
        <w:tc>
          <w:tcPr>
            <w:tcW w:w="1553" w:type="dxa"/>
            <w:tcBorders>
              <w:top w:val="dotted" w:color="B12732" w:sz="4" w:space="0"/>
            </w:tcBorders>
          </w:tcPr>
          <w:p w:rsidR="00DC07C3" w:rsidP="00F975D9" w:rsidRDefault="00DC07C3" w14:paraId="13D8B5FD" w14:textId="77777777">
            <w:pPr>
              <w:pStyle w:val="TableHeaderRow-IPR"/>
            </w:pPr>
            <w:r>
              <w:t>Best</w:t>
            </w:r>
          </w:p>
        </w:tc>
        <w:tc>
          <w:tcPr>
            <w:tcW w:w="1553" w:type="dxa"/>
            <w:tcBorders>
              <w:top w:val="dotted" w:color="B12732" w:sz="4" w:space="0"/>
            </w:tcBorders>
          </w:tcPr>
          <w:p w:rsidR="00DC07C3" w:rsidP="00F975D9" w:rsidRDefault="00DC07C3" w14:paraId="7BCA608E" w14:textId="77777777">
            <w:pPr>
              <w:pStyle w:val="TableHeaderRow-IPR"/>
            </w:pPr>
            <w:r>
              <w:t>Middle</w:t>
            </w:r>
          </w:p>
        </w:tc>
        <w:tc>
          <w:tcPr>
            <w:tcW w:w="1554" w:type="dxa"/>
            <w:tcBorders>
              <w:top w:val="dotted" w:color="B12732" w:sz="4" w:space="0"/>
            </w:tcBorders>
          </w:tcPr>
          <w:p w:rsidR="00DC07C3" w:rsidP="00F975D9" w:rsidRDefault="00DC07C3" w14:paraId="1DE729E3" w14:textId="77777777">
            <w:pPr>
              <w:pStyle w:val="TableHeaderRow-IPR"/>
            </w:pPr>
            <w:r>
              <w:t>Worst</w:t>
            </w:r>
          </w:p>
        </w:tc>
      </w:tr>
      <w:tr w:rsidR="00DC07C3" w:rsidTr="009942CC" w14:paraId="4A575234" w14:textId="77777777">
        <w:trPr>
          <w:trHeight w:val="288"/>
        </w:trPr>
        <w:tc>
          <w:tcPr>
            <w:tcW w:w="4982" w:type="dxa"/>
          </w:tcPr>
          <w:p w:rsidR="00DC07C3" w:rsidP="00DC07C3" w:rsidRDefault="00DC07C3" w14:paraId="2A1F6149" w14:textId="77777777">
            <w:pPr>
              <w:pStyle w:val="TableText-IPR"/>
            </w:pPr>
            <w:r w:rsidRPr="00737E25">
              <w:t>NAP participants</w:t>
            </w:r>
          </w:p>
        </w:tc>
        <w:tc>
          <w:tcPr>
            <w:tcW w:w="1553" w:type="dxa"/>
            <w:vAlign w:val="top"/>
          </w:tcPr>
          <w:p w:rsidR="00DC07C3" w:rsidP="00DC07C3" w:rsidRDefault="00DC07C3" w14:paraId="10E4021E" w14:textId="66E71ECD">
            <w:pPr>
              <w:pStyle w:val="TableText-IPR"/>
            </w:pPr>
            <w:r>
              <w:t>2.81</w:t>
            </w:r>
          </w:p>
        </w:tc>
        <w:tc>
          <w:tcPr>
            <w:tcW w:w="1553" w:type="dxa"/>
            <w:vAlign w:val="top"/>
          </w:tcPr>
          <w:p w:rsidR="00DC07C3" w:rsidP="00DC07C3" w:rsidRDefault="00DC07C3" w14:paraId="1631EF26" w14:textId="41A5562E">
            <w:pPr>
              <w:pStyle w:val="TableText-IPR"/>
            </w:pPr>
            <w:r>
              <w:t>3.53</w:t>
            </w:r>
          </w:p>
        </w:tc>
        <w:tc>
          <w:tcPr>
            <w:tcW w:w="1554" w:type="dxa"/>
            <w:vAlign w:val="top"/>
          </w:tcPr>
          <w:p w:rsidR="00DC07C3" w:rsidP="00DC07C3" w:rsidRDefault="00DC07C3" w14:paraId="14B04BC4" w14:textId="262F2F1E">
            <w:pPr>
              <w:pStyle w:val="TableText-IPR"/>
            </w:pPr>
            <w:r>
              <w:t>5.30</w:t>
            </w:r>
          </w:p>
        </w:tc>
      </w:tr>
      <w:tr w:rsidR="00DC07C3" w:rsidTr="009942CC" w14:paraId="7D3E2F6F" w14:textId="77777777">
        <w:trPr>
          <w:trHeight w:val="288"/>
        </w:trPr>
        <w:tc>
          <w:tcPr>
            <w:tcW w:w="4982" w:type="dxa"/>
          </w:tcPr>
          <w:p w:rsidR="00DC07C3" w:rsidP="00DC07C3" w:rsidRDefault="00DC07C3" w14:paraId="12F970FB" w14:textId="77777777">
            <w:pPr>
              <w:pStyle w:val="TableText-IPR"/>
            </w:pPr>
            <w:r w:rsidRPr="00737E25">
              <w:t>NAP nonparticipants</w:t>
            </w:r>
          </w:p>
        </w:tc>
        <w:tc>
          <w:tcPr>
            <w:tcW w:w="1553" w:type="dxa"/>
            <w:vAlign w:val="top"/>
          </w:tcPr>
          <w:p w:rsidR="00DC07C3" w:rsidP="00DC07C3" w:rsidRDefault="00DC07C3" w14:paraId="067009BB" w14:textId="64988B17">
            <w:pPr>
              <w:pStyle w:val="TableText-IPR"/>
            </w:pPr>
            <w:r>
              <w:t>3.27</w:t>
            </w:r>
          </w:p>
        </w:tc>
        <w:tc>
          <w:tcPr>
            <w:tcW w:w="1553" w:type="dxa"/>
            <w:vAlign w:val="top"/>
          </w:tcPr>
          <w:p w:rsidR="00DC07C3" w:rsidP="00DC07C3" w:rsidRDefault="00DC07C3" w14:paraId="1331F56C" w14:textId="2D2FF1DE">
            <w:pPr>
              <w:pStyle w:val="TableText-IPR"/>
            </w:pPr>
            <w:r>
              <w:t>4.20</w:t>
            </w:r>
          </w:p>
        </w:tc>
        <w:tc>
          <w:tcPr>
            <w:tcW w:w="1554" w:type="dxa"/>
            <w:vAlign w:val="top"/>
          </w:tcPr>
          <w:p w:rsidR="00DC07C3" w:rsidP="00DC07C3" w:rsidRDefault="00DC07C3" w14:paraId="7EA0E355" w14:textId="01787100">
            <w:pPr>
              <w:pStyle w:val="TableText-IPR"/>
            </w:pPr>
            <w:r>
              <w:t>6.30</w:t>
            </w:r>
          </w:p>
        </w:tc>
      </w:tr>
      <w:tr w:rsidR="00DC07C3" w:rsidTr="009942CC" w14:paraId="3AA08BE5" w14:textId="77777777">
        <w:trPr>
          <w:trHeight w:val="288"/>
        </w:trPr>
        <w:tc>
          <w:tcPr>
            <w:tcW w:w="4982" w:type="dxa"/>
          </w:tcPr>
          <w:p w:rsidR="00DC07C3" w:rsidP="00DC07C3" w:rsidRDefault="00DC07C3" w14:paraId="55AEA365" w14:textId="77777777">
            <w:pPr>
              <w:pStyle w:val="TableText-IPR"/>
            </w:pPr>
            <w:r w:rsidRPr="00737E25">
              <w:t>Households with children</w:t>
            </w:r>
          </w:p>
        </w:tc>
        <w:tc>
          <w:tcPr>
            <w:tcW w:w="1553" w:type="dxa"/>
            <w:vAlign w:val="top"/>
          </w:tcPr>
          <w:p w:rsidR="00DC07C3" w:rsidP="00DC07C3" w:rsidRDefault="00DC07C3" w14:paraId="27BF2D17" w14:textId="33B35557">
            <w:pPr>
              <w:pStyle w:val="TableText-IPR"/>
            </w:pPr>
            <w:r>
              <w:t>3.97</w:t>
            </w:r>
          </w:p>
        </w:tc>
        <w:tc>
          <w:tcPr>
            <w:tcW w:w="1553" w:type="dxa"/>
            <w:vAlign w:val="top"/>
          </w:tcPr>
          <w:p w:rsidR="00DC07C3" w:rsidP="00DC07C3" w:rsidRDefault="00DC07C3" w14:paraId="6C318533" w14:textId="3071A36D">
            <w:pPr>
              <w:pStyle w:val="TableText-IPR"/>
            </w:pPr>
            <w:r>
              <w:t>5.00</w:t>
            </w:r>
          </w:p>
        </w:tc>
        <w:tc>
          <w:tcPr>
            <w:tcW w:w="1554" w:type="dxa"/>
            <w:vAlign w:val="top"/>
          </w:tcPr>
          <w:p w:rsidR="00DC07C3" w:rsidP="00DC07C3" w:rsidRDefault="00DC07C3" w14:paraId="42CFD80F" w14:textId="542C5BD7">
            <w:pPr>
              <w:pStyle w:val="TableText-IPR"/>
            </w:pPr>
            <w:r>
              <w:t>7.51</w:t>
            </w:r>
          </w:p>
        </w:tc>
      </w:tr>
      <w:tr w:rsidR="00DC07C3" w:rsidTr="009942CC" w14:paraId="3C3DFD40" w14:textId="77777777">
        <w:trPr>
          <w:trHeight w:val="288"/>
        </w:trPr>
        <w:tc>
          <w:tcPr>
            <w:tcW w:w="4982" w:type="dxa"/>
          </w:tcPr>
          <w:p w:rsidR="00DC07C3" w:rsidP="00DC07C3" w:rsidRDefault="00DC07C3" w14:paraId="3C239EDE" w14:textId="77777777">
            <w:pPr>
              <w:pStyle w:val="TableText-IPR"/>
            </w:pPr>
            <w:r w:rsidRPr="00737E25">
              <w:t>Households with at least one older person (60 and older)</w:t>
            </w:r>
          </w:p>
        </w:tc>
        <w:tc>
          <w:tcPr>
            <w:tcW w:w="1553" w:type="dxa"/>
            <w:vAlign w:val="top"/>
          </w:tcPr>
          <w:p w:rsidR="00DC07C3" w:rsidP="00DC07C3" w:rsidRDefault="00DC07C3" w14:paraId="3D9279D9" w14:textId="69A67C9D">
            <w:pPr>
              <w:pStyle w:val="TableText-IPR"/>
            </w:pPr>
            <w:r>
              <w:t>3.11</w:t>
            </w:r>
          </w:p>
        </w:tc>
        <w:tc>
          <w:tcPr>
            <w:tcW w:w="1553" w:type="dxa"/>
            <w:vAlign w:val="top"/>
          </w:tcPr>
          <w:p w:rsidR="00DC07C3" w:rsidP="00DC07C3" w:rsidRDefault="00DC07C3" w14:paraId="37595372" w14:textId="4412E38F">
            <w:pPr>
              <w:pStyle w:val="TableText-IPR"/>
            </w:pPr>
            <w:r>
              <w:t>3.91</w:t>
            </w:r>
          </w:p>
        </w:tc>
        <w:tc>
          <w:tcPr>
            <w:tcW w:w="1554" w:type="dxa"/>
            <w:vAlign w:val="top"/>
          </w:tcPr>
          <w:p w:rsidR="00DC07C3" w:rsidP="00DC07C3" w:rsidRDefault="00DC07C3" w14:paraId="78E31F8B" w14:textId="4C21793F">
            <w:pPr>
              <w:pStyle w:val="TableText-IPR"/>
            </w:pPr>
            <w:r>
              <w:t>5.87</w:t>
            </w:r>
          </w:p>
        </w:tc>
      </w:tr>
      <w:tr w:rsidR="00DC07C3" w:rsidTr="009942CC" w14:paraId="0328C67D" w14:textId="77777777">
        <w:trPr>
          <w:trHeight w:val="288"/>
        </w:trPr>
        <w:tc>
          <w:tcPr>
            <w:tcW w:w="4982" w:type="dxa"/>
            <w:vAlign w:val="top"/>
          </w:tcPr>
          <w:p w:rsidRPr="00737E25" w:rsidR="00DC07C3" w:rsidP="00DC07C3" w:rsidRDefault="00DC07C3" w14:paraId="31294D81" w14:textId="77777777">
            <w:pPr>
              <w:pStyle w:val="TableText-IPR"/>
            </w:pPr>
            <w:r w:rsidRPr="00125600">
              <w:t>Households with at least one person with a disability</w:t>
            </w:r>
          </w:p>
        </w:tc>
        <w:tc>
          <w:tcPr>
            <w:tcW w:w="1553" w:type="dxa"/>
            <w:vAlign w:val="top"/>
          </w:tcPr>
          <w:p w:rsidRPr="00F62098" w:rsidR="00DC07C3" w:rsidP="00DC07C3" w:rsidRDefault="00DC07C3" w14:paraId="188F0BC2" w14:textId="07307959">
            <w:pPr>
              <w:pStyle w:val="TableText-IPR"/>
            </w:pPr>
            <w:r>
              <w:t>3.37</w:t>
            </w:r>
          </w:p>
        </w:tc>
        <w:tc>
          <w:tcPr>
            <w:tcW w:w="1553" w:type="dxa"/>
            <w:vAlign w:val="top"/>
          </w:tcPr>
          <w:p w:rsidRPr="00F62098" w:rsidR="00DC07C3" w:rsidP="00DC07C3" w:rsidRDefault="00DC07C3" w14:paraId="42C2C64D" w14:textId="044FF46A">
            <w:pPr>
              <w:pStyle w:val="TableText-IPR"/>
            </w:pPr>
            <w:r>
              <w:t>4.24</w:t>
            </w:r>
          </w:p>
        </w:tc>
        <w:tc>
          <w:tcPr>
            <w:tcW w:w="1554" w:type="dxa"/>
            <w:vAlign w:val="top"/>
          </w:tcPr>
          <w:p w:rsidRPr="00F62098" w:rsidR="00DC07C3" w:rsidP="00DC07C3" w:rsidRDefault="00DC07C3" w14:paraId="453E53FC" w14:textId="25F6E8BE">
            <w:pPr>
              <w:pStyle w:val="TableText-IPR"/>
            </w:pPr>
            <w:r>
              <w:t>6.38</w:t>
            </w:r>
          </w:p>
        </w:tc>
      </w:tr>
    </w:tbl>
    <w:p w:rsidRPr="00B62368" w:rsidR="00694A49" w:rsidP="00694A49" w:rsidRDefault="00694A49" w14:paraId="7713DF27" w14:textId="12A44AB2">
      <w:pPr>
        <w:pStyle w:val="Heading4NoLetter-IPR"/>
        <w:spacing w:before="240" w:after="120"/>
      </w:pPr>
      <w:r>
        <w:t>B.2.4</w:t>
      </w:r>
      <w:r w:rsidR="005F44AE">
        <w:t>.</w:t>
      </w:r>
      <w:r>
        <w:tab/>
        <w:t>Unusual Problems Requiring Specialized Sampling Procedures</w:t>
      </w:r>
    </w:p>
    <w:p w:rsidR="00694A49" w:rsidP="00694A49" w:rsidRDefault="00694A49" w14:paraId="5064C75D" w14:textId="5DDA5E8F">
      <w:pPr>
        <w:pStyle w:val="Body11ptCalibri-IPR"/>
      </w:pPr>
      <w:r>
        <w:t>T</w:t>
      </w:r>
      <w:r w:rsidRPr="005E0EB7">
        <w:t>here are no unusual problems that require specialized sampling procedures.</w:t>
      </w:r>
    </w:p>
    <w:p w:rsidRPr="00B62368" w:rsidR="00694A49" w:rsidP="00960E81" w:rsidRDefault="00694A49" w14:paraId="45411FB7" w14:textId="43D24BF5">
      <w:pPr>
        <w:pStyle w:val="Heading4NoLetter-IPR"/>
        <w:spacing w:before="360" w:after="120"/>
      </w:pPr>
      <w:r>
        <w:t>B.2.5</w:t>
      </w:r>
      <w:r w:rsidR="005F44AE">
        <w:t>.</w:t>
      </w:r>
      <w:r>
        <w:tab/>
        <w:t>Any Use of Periodic (Less Frequent than Annual) Data Collection Cycles to Reduce Burden</w:t>
      </w:r>
    </w:p>
    <w:p w:rsidR="009937F6" w:rsidP="009942CC" w:rsidRDefault="00E60D08" w14:paraId="61C5FD86" w14:textId="74C21F58">
      <w:pPr>
        <w:pStyle w:val="Body11ptCalibri-IPR"/>
        <w:spacing w:after="240"/>
      </w:pPr>
      <w:bookmarkStart w:name="_Hlk77342316" w:id="39"/>
      <w:r>
        <w:t>This is a one-time study</w:t>
      </w:r>
      <w:r w:rsidR="006553C9">
        <w:t xml:space="preserve">. </w:t>
      </w:r>
      <w:bookmarkEnd w:id="39"/>
      <w:r>
        <w:t>C</w:t>
      </w:r>
      <w:r w:rsidRPr="00E60D08">
        <w:t xml:space="preserve">oncern </w:t>
      </w:r>
      <w:r>
        <w:t>about</w:t>
      </w:r>
      <w:r w:rsidRPr="00E60D08">
        <w:t xml:space="preserve"> the periodicity of data collection cycles is not applicable.</w:t>
      </w:r>
    </w:p>
    <w:p w:rsidRPr="00B62368" w:rsidR="00694A49" w:rsidP="00960E81" w:rsidRDefault="00694A49" w14:paraId="420A902D" w14:textId="77777777">
      <w:pPr>
        <w:pStyle w:val="Hdng3-IPR"/>
        <w:spacing w:before="360"/>
      </w:pPr>
      <w:bookmarkStart w:name="_Toc514142003" w:id="40"/>
      <w:bookmarkStart w:name="_Toc14464750" w:id="41"/>
      <w:r w:rsidRPr="00B62368">
        <w:t>Methods to Maximize Response Rates and the Issue of Nonresponse</w:t>
      </w:r>
      <w:bookmarkEnd w:id="40"/>
      <w:bookmarkEnd w:id="41"/>
    </w:p>
    <w:p w:rsidR="00694A49" w:rsidP="009942CC" w:rsidRDefault="00694A49" w14:paraId="0D96F5A6" w14:textId="08FDDA8A">
      <w:pPr>
        <w:pStyle w:val="Hdng4Calibri-IPR"/>
        <w:rPr>
          <w:rFonts w:ascii="Candara" w:hAnsi="Candara"/>
          <w:sz w:val="22"/>
        </w:rPr>
      </w:pPr>
      <w:r w:rsidRPr="00B62368">
        <w:rPr>
          <w:rFonts w:ascii="Candara" w:hAnsi="Candara"/>
          <w:sz w:val="22"/>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Pr="009B1E75" w:rsidR="00694A49" w:rsidP="00960E81" w:rsidRDefault="00694A49" w14:paraId="7A2D99CC" w14:textId="77777777">
      <w:pPr>
        <w:pStyle w:val="Heading4NoLetter-IPR"/>
        <w:spacing w:before="360" w:after="120"/>
      </w:pPr>
      <w:bookmarkStart w:name="_Toc511721621" w:id="42"/>
      <w:r>
        <w:t>B.3.1</w:t>
      </w:r>
      <w:r>
        <w:tab/>
        <w:t>Methods to Maximize Response Rates</w:t>
      </w:r>
    </w:p>
    <w:p w:rsidR="00F86A26" w:rsidP="00F86A26" w:rsidRDefault="00F86A26" w14:paraId="18D6D566" w14:textId="77777777">
      <w:pPr>
        <w:pStyle w:val="BodyText-IPR"/>
        <w:spacing w:after="120" w:line="480" w:lineRule="exact"/>
        <w:rPr>
          <w:i/>
          <w:iCs/>
        </w:rPr>
      </w:pPr>
      <w:r w:rsidRPr="00D31EC9">
        <w:rPr>
          <w:b/>
          <w:bCs/>
          <w:i/>
          <w:iCs/>
        </w:rPr>
        <w:t>Household survey</w:t>
      </w:r>
    </w:p>
    <w:p w:rsidR="00F86A26" w:rsidP="00960E81" w:rsidRDefault="00F86A26" w14:paraId="04C56062" w14:textId="4291E649">
      <w:pPr>
        <w:pStyle w:val="Body11ptCalibri-IPR"/>
        <w:spacing w:before="120" w:after="240"/>
      </w:pPr>
      <w:r>
        <w:t xml:space="preserve">The data collection plan for the household survey includes multiple strategies intended to maximize response rates and address issues of nonresponse. </w:t>
      </w:r>
      <w:r w:rsidR="00B760AB">
        <w:t xml:space="preserve">All sampled households will receive a $5 prepaid cash incentive to encourage participation. </w:t>
      </w:r>
      <w:r w:rsidRPr="00B36BEB" w:rsidR="00B760AB">
        <w:rPr>
          <w:szCs w:val="22"/>
        </w:rPr>
        <w:t xml:space="preserve">Previous studies, including the Farmers’ Market Client Survey </w:t>
      </w:r>
      <w:r w:rsidRPr="00B36BEB" w:rsidR="00B760AB">
        <w:rPr>
          <w:szCs w:val="22"/>
        </w:rPr>
        <w:lastRenderedPageBreak/>
        <w:t>incentive experiment, have shown that a small noncontingent incentive has a positive effect on response rates</w:t>
      </w:r>
      <w:r w:rsidR="00B760AB">
        <w:rPr>
          <w:rStyle w:val="FootnoteReference"/>
          <w:szCs w:val="22"/>
        </w:rPr>
        <w:footnoteReference w:id="16"/>
      </w:r>
      <w:r w:rsidR="00B760AB">
        <w:rPr>
          <w:szCs w:val="22"/>
          <w:vertAlign w:val="superscript"/>
        </w:rPr>
        <w:t xml:space="preserve">, </w:t>
      </w:r>
      <w:r w:rsidR="00B760AB">
        <w:rPr>
          <w:rStyle w:val="FootnoteReference"/>
          <w:szCs w:val="22"/>
        </w:rPr>
        <w:footnoteReference w:id="17"/>
      </w:r>
      <w:r w:rsidRPr="00B36BEB" w:rsidR="00B760AB">
        <w:rPr>
          <w:szCs w:val="22"/>
        </w:rPr>
        <w:t xml:space="preserve"> </w:t>
      </w:r>
      <w:r w:rsidR="00B760AB">
        <w:t>(</w:t>
      </w:r>
      <w:r w:rsidRPr="00184F91" w:rsidR="00B760AB">
        <w:t xml:space="preserve">see </w:t>
      </w:r>
      <w:r w:rsidR="00B760AB">
        <w:t>A</w:t>
      </w:r>
      <w:r w:rsidRPr="00040E67" w:rsidR="00B760AB">
        <w:t xml:space="preserve">ppendix </w:t>
      </w:r>
      <w:r w:rsidR="002A0E0D">
        <w:t>H</w:t>
      </w:r>
      <w:r w:rsidR="00B760AB">
        <w:t>)</w:t>
      </w:r>
      <w:r w:rsidRPr="00B36BEB" w:rsidR="00B760AB">
        <w:rPr>
          <w:szCs w:val="22"/>
        </w:rPr>
        <w:t xml:space="preserve">. </w:t>
      </w:r>
      <w:r w:rsidR="00B760AB">
        <w:t xml:space="preserve"> All responding households will </w:t>
      </w:r>
      <w:r w:rsidR="00417730">
        <w:t xml:space="preserve">also </w:t>
      </w:r>
      <w:r w:rsidR="00B760AB">
        <w:t xml:space="preserve">receive </w:t>
      </w:r>
      <w:r w:rsidR="00B760AB">
        <w:rPr>
          <w:szCs w:val="22"/>
        </w:rPr>
        <w:t xml:space="preserve">a </w:t>
      </w:r>
      <w:r w:rsidRPr="00B36BEB" w:rsidR="00B760AB">
        <w:rPr>
          <w:szCs w:val="22"/>
        </w:rPr>
        <w:t>$</w:t>
      </w:r>
      <w:r w:rsidR="00B760AB">
        <w:rPr>
          <w:szCs w:val="22"/>
        </w:rPr>
        <w:t xml:space="preserve">40 </w:t>
      </w:r>
      <w:r w:rsidR="00A8431B">
        <w:rPr>
          <w:szCs w:val="22"/>
        </w:rPr>
        <w:t xml:space="preserve">postparticipation </w:t>
      </w:r>
      <w:r w:rsidR="00B760AB">
        <w:rPr>
          <w:szCs w:val="22"/>
        </w:rPr>
        <w:t>incentive (</w:t>
      </w:r>
      <w:r w:rsidR="006963F1">
        <w:rPr>
          <w:szCs w:val="22"/>
        </w:rPr>
        <w:t>paid by</w:t>
      </w:r>
      <w:r w:rsidR="00B760AB">
        <w:rPr>
          <w:szCs w:val="22"/>
        </w:rPr>
        <w:t xml:space="preserve"> </w:t>
      </w:r>
      <w:r w:rsidRPr="00B36BEB" w:rsidR="00B760AB">
        <w:rPr>
          <w:szCs w:val="22"/>
        </w:rPr>
        <w:t>gift card</w:t>
      </w:r>
      <w:r w:rsidR="00B760AB">
        <w:rPr>
          <w:rStyle w:val="FootnoteReference"/>
          <w:szCs w:val="22"/>
        </w:rPr>
        <w:footnoteReference w:id="18"/>
      </w:r>
      <w:r w:rsidR="00B760AB">
        <w:rPr>
          <w:szCs w:val="22"/>
        </w:rPr>
        <w:t>)</w:t>
      </w:r>
      <w:r w:rsidRPr="00B36BEB" w:rsidR="00B760AB">
        <w:rPr>
          <w:szCs w:val="22"/>
        </w:rPr>
        <w:t xml:space="preserve"> for completing the survey</w:t>
      </w:r>
      <w:r w:rsidR="00B760AB">
        <w:rPr>
          <w:szCs w:val="22"/>
        </w:rPr>
        <w:t>.</w:t>
      </w:r>
      <w:r w:rsidR="00417730">
        <w:rPr>
          <w:szCs w:val="22"/>
        </w:rPr>
        <w:t xml:space="preserve"> Households will have the option of completing the survey by </w:t>
      </w:r>
      <w:r w:rsidRPr="007A0261">
        <w:t xml:space="preserve">web, </w:t>
      </w:r>
      <w:r w:rsidR="00417730">
        <w:t xml:space="preserve">mail, or </w:t>
      </w:r>
      <w:r w:rsidRPr="007A0261">
        <w:t>telephone)</w:t>
      </w:r>
      <w:r w:rsidR="00417730">
        <w:t>. Using this approach effectively addresses the preferences and needs of different respondents that are part of the household sample.</w:t>
      </w:r>
    </w:p>
    <w:p w:rsidR="001B7ADD" w:rsidP="00F86A26" w:rsidRDefault="00417730" w14:paraId="408ABB30" w14:textId="5639568C">
      <w:pPr>
        <w:pStyle w:val="BodyText-IPR"/>
        <w:spacing w:line="480" w:lineRule="exact"/>
      </w:pPr>
      <w:r>
        <w:t>T</w:t>
      </w:r>
      <w:r w:rsidR="00F86A26">
        <w:t>he study team</w:t>
      </w:r>
      <w:r w:rsidRPr="007A0261" w:rsidR="00F86A26">
        <w:t xml:space="preserve"> will </w:t>
      </w:r>
      <w:r>
        <w:t xml:space="preserve">make several attempts to reach </w:t>
      </w:r>
      <w:r w:rsidR="001B7ADD">
        <w:t>households sampled</w:t>
      </w:r>
      <w:r w:rsidRPr="007A0261" w:rsidR="001B7ADD">
        <w:t xml:space="preserve"> from </w:t>
      </w:r>
      <w:r w:rsidR="001B7ADD">
        <w:t xml:space="preserve">the </w:t>
      </w:r>
      <w:r w:rsidRPr="007A0261" w:rsidR="001B7ADD">
        <w:t>NAP participant list</w:t>
      </w:r>
      <w:r w:rsidR="001B7ADD">
        <w:t xml:space="preserve">. Specifically, these households will receive an initial invitation letter with a $5 prepaid </w:t>
      </w:r>
      <w:r w:rsidR="00A8431B">
        <w:t xml:space="preserve">cash </w:t>
      </w:r>
      <w:r w:rsidR="001B7ADD">
        <w:t xml:space="preserve">incentive, a reminder postcard, and up to two mail surveys. </w:t>
      </w:r>
      <w:r w:rsidR="00F86A26">
        <w:t>Among nonrespondents with available telephone numbers, a one-third subsample will be randomly selected and contact</w:t>
      </w:r>
      <w:r w:rsidR="001B7ADD">
        <w:t xml:space="preserve">ed by </w:t>
      </w:r>
      <w:r w:rsidRPr="002B452F" w:rsidR="001B7ADD">
        <w:t>certified telephone data collector</w:t>
      </w:r>
      <w:r w:rsidR="001B7ADD">
        <w:t xml:space="preserve">s </w:t>
      </w:r>
      <w:r w:rsidRPr="002B452F" w:rsidR="00F86A26">
        <w:t xml:space="preserve">to complete a </w:t>
      </w:r>
      <w:r w:rsidR="00F86A26">
        <w:t>c</w:t>
      </w:r>
      <w:r w:rsidRPr="002B452F" w:rsidR="00F86A26">
        <w:t>omputer</w:t>
      </w:r>
      <w:r w:rsidR="00F86A26">
        <w:t>-a</w:t>
      </w:r>
      <w:r w:rsidRPr="002B452F" w:rsidR="00F86A26">
        <w:t xml:space="preserve">ssisted </w:t>
      </w:r>
      <w:r w:rsidR="00F86A26">
        <w:t>t</w:t>
      </w:r>
      <w:r w:rsidRPr="002B452F" w:rsidR="00F86A26">
        <w:t xml:space="preserve">elephone </w:t>
      </w:r>
      <w:r w:rsidR="00F86A26">
        <w:t>i</w:t>
      </w:r>
      <w:r w:rsidRPr="002B452F" w:rsidR="00F86A26">
        <w:t>nterview (CATI)</w:t>
      </w:r>
      <w:r w:rsidR="00F86A26">
        <w:t xml:space="preserve">. </w:t>
      </w:r>
    </w:p>
    <w:p w:rsidR="001B7ADD" w:rsidP="001B7ADD" w:rsidRDefault="001B7ADD" w14:paraId="625AB1A7" w14:textId="70BA2222">
      <w:pPr>
        <w:pStyle w:val="Body11ptCalibri-IPR"/>
        <w:spacing w:after="240"/>
        <w:rPr>
          <w:szCs w:val="22"/>
        </w:rPr>
      </w:pPr>
      <w:r>
        <w:t xml:space="preserve">To encourage participation among </w:t>
      </w:r>
      <w:r w:rsidR="00F86A26">
        <w:t>eligible households selected from the area probability frame, field data collectors</w:t>
      </w:r>
      <w:r w:rsidR="00974B84">
        <w:t xml:space="preserve"> will</w:t>
      </w:r>
      <w:r w:rsidR="00F86A26">
        <w:t xml:space="preserve"> </w:t>
      </w:r>
      <w:r>
        <w:t xml:space="preserve">hand deliver </w:t>
      </w:r>
      <w:r>
        <w:rPr>
          <w:szCs w:val="22"/>
        </w:rPr>
        <w:t xml:space="preserve">a survey packet including a $5 prepaid </w:t>
      </w:r>
      <w:r w:rsidR="00A8431B">
        <w:rPr>
          <w:szCs w:val="22"/>
        </w:rPr>
        <w:t xml:space="preserve">cash </w:t>
      </w:r>
      <w:r>
        <w:rPr>
          <w:szCs w:val="22"/>
        </w:rPr>
        <w:t>incentive</w:t>
      </w:r>
      <w:r w:rsidR="00E24C33">
        <w:rPr>
          <w:szCs w:val="22"/>
        </w:rPr>
        <w:t xml:space="preserve">, </w:t>
      </w:r>
      <w:r>
        <w:rPr>
          <w:szCs w:val="22"/>
        </w:rPr>
        <w:t xml:space="preserve">a hardcopy version of the survey </w:t>
      </w:r>
      <w:r>
        <w:t>and</w:t>
      </w:r>
      <w:r>
        <w:rPr>
          <w:spacing w:val="-5"/>
        </w:rPr>
        <w:t xml:space="preserve"> </w:t>
      </w:r>
      <w:r>
        <w:t>a</w:t>
      </w:r>
      <w:r>
        <w:rPr>
          <w:spacing w:val="-4"/>
        </w:rPr>
        <w:t xml:space="preserve"> </w:t>
      </w:r>
      <w:r>
        <w:t>postage‐paid</w:t>
      </w:r>
      <w:r>
        <w:rPr>
          <w:spacing w:val="-2"/>
        </w:rPr>
        <w:t xml:space="preserve"> </w:t>
      </w:r>
      <w:r>
        <w:t>return</w:t>
      </w:r>
      <w:r>
        <w:rPr>
          <w:spacing w:val="-1"/>
        </w:rPr>
        <w:t xml:space="preserve"> </w:t>
      </w:r>
      <w:r>
        <w:t>envelope</w:t>
      </w:r>
      <w:r>
        <w:rPr>
          <w:szCs w:val="22"/>
        </w:rPr>
        <w:t xml:space="preserve">. </w:t>
      </w:r>
      <w:r w:rsidR="00E24C33">
        <w:rPr>
          <w:szCs w:val="22"/>
        </w:rPr>
        <w:t>When speaking with an adult household member, f</w:t>
      </w:r>
      <w:r>
        <w:rPr>
          <w:szCs w:val="22"/>
        </w:rPr>
        <w:t xml:space="preserve">ield data collectors will </w:t>
      </w:r>
      <w:r w:rsidR="00E24C33">
        <w:rPr>
          <w:szCs w:val="22"/>
        </w:rPr>
        <w:t>offer several</w:t>
      </w:r>
      <w:r>
        <w:rPr>
          <w:szCs w:val="22"/>
        </w:rPr>
        <w:t xml:space="preserve"> options </w:t>
      </w:r>
      <w:r w:rsidR="00E24C33">
        <w:rPr>
          <w:szCs w:val="22"/>
        </w:rPr>
        <w:t xml:space="preserve">for </w:t>
      </w:r>
      <w:r>
        <w:rPr>
          <w:szCs w:val="22"/>
        </w:rPr>
        <w:t>complet</w:t>
      </w:r>
      <w:r w:rsidR="00E24C33">
        <w:rPr>
          <w:szCs w:val="22"/>
        </w:rPr>
        <w:t>ing</w:t>
      </w:r>
      <w:r>
        <w:rPr>
          <w:szCs w:val="22"/>
        </w:rPr>
        <w:t xml:space="preserve"> the survey</w:t>
      </w:r>
      <w:r w:rsidR="00E24C33">
        <w:rPr>
          <w:szCs w:val="22"/>
        </w:rPr>
        <w:t>, such as</w:t>
      </w:r>
      <w:r>
        <w:rPr>
          <w:szCs w:val="22"/>
        </w:rPr>
        <w:t xml:space="preserve"> v</w:t>
      </w:r>
      <w:r w:rsidRPr="006B3226">
        <w:rPr>
          <w:szCs w:val="22"/>
        </w:rPr>
        <w:t>isit</w:t>
      </w:r>
      <w:r w:rsidR="00E24C33">
        <w:rPr>
          <w:szCs w:val="22"/>
        </w:rPr>
        <w:t>ing</w:t>
      </w:r>
      <w:r w:rsidRPr="006B3226">
        <w:rPr>
          <w:szCs w:val="22"/>
        </w:rPr>
        <w:t xml:space="preserve"> the study website and comple</w:t>
      </w:r>
      <w:r w:rsidR="00E24C33">
        <w:rPr>
          <w:szCs w:val="22"/>
        </w:rPr>
        <w:t>ting</w:t>
      </w:r>
      <w:r w:rsidRPr="006B3226">
        <w:rPr>
          <w:szCs w:val="22"/>
        </w:rPr>
        <w:t xml:space="preserve"> the web survey</w:t>
      </w:r>
      <w:r>
        <w:rPr>
          <w:szCs w:val="22"/>
        </w:rPr>
        <w:t>,</w:t>
      </w:r>
      <w:r w:rsidRPr="006B3226">
        <w:rPr>
          <w:szCs w:val="22"/>
        </w:rPr>
        <w:t xml:space="preserve"> </w:t>
      </w:r>
      <w:r>
        <w:rPr>
          <w:szCs w:val="22"/>
        </w:rPr>
        <w:t>m</w:t>
      </w:r>
      <w:r w:rsidRPr="006B3226">
        <w:rPr>
          <w:szCs w:val="22"/>
        </w:rPr>
        <w:t>ail</w:t>
      </w:r>
      <w:r w:rsidR="00E24C33">
        <w:rPr>
          <w:szCs w:val="22"/>
        </w:rPr>
        <w:t>ing</w:t>
      </w:r>
      <w:r w:rsidRPr="006B3226">
        <w:rPr>
          <w:szCs w:val="22"/>
        </w:rPr>
        <w:t xml:space="preserve"> the completed </w:t>
      </w:r>
      <w:r w:rsidR="00E24C33">
        <w:rPr>
          <w:szCs w:val="22"/>
        </w:rPr>
        <w:t xml:space="preserve">paper </w:t>
      </w:r>
      <w:r w:rsidRPr="006B3226">
        <w:rPr>
          <w:szCs w:val="22"/>
        </w:rPr>
        <w:t>survey t</w:t>
      </w:r>
      <w:r>
        <w:rPr>
          <w:szCs w:val="22"/>
        </w:rPr>
        <w:t>o the study team’s home office, s</w:t>
      </w:r>
      <w:r w:rsidRPr="006B3226">
        <w:rPr>
          <w:szCs w:val="22"/>
        </w:rPr>
        <w:t>chedul</w:t>
      </w:r>
      <w:r w:rsidR="00E24C33">
        <w:rPr>
          <w:szCs w:val="22"/>
        </w:rPr>
        <w:t>ing</w:t>
      </w:r>
      <w:r w:rsidRPr="006B3226">
        <w:rPr>
          <w:szCs w:val="22"/>
        </w:rPr>
        <w:t xml:space="preserve"> a time for the data collector to return and pick up the survey</w:t>
      </w:r>
      <w:r>
        <w:rPr>
          <w:szCs w:val="22"/>
        </w:rPr>
        <w:t>,</w:t>
      </w:r>
      <w:r w:rsidRPr="006B3226">
        <w:rPr>
          <w:szCs w:val="22"/>
        </w:rPr>
        <w:t xml:space="preserve"> </w:t>
      </w:r>
      <w:r w:rsidR="00974B84">
        <w:rPr>
          <w:szCs w:val="22"/>
        </w:rPr>
        <w:t xml:space="preserve">or </w:t>
      </w:r>
      <w:r>
        <w:rPr>
          <w:szCs w:val="22"/>
        </w:rPr>
        <w:t>s</w:t>
      </w:r>
      <w:r w:rsidRPr="006B3226">
        <w:rPr>
          <w:szCs w:val="22"/>
        </w:rPr>
        <w:t>chedul</w:t>
      </w:r>
      <w:r w:rsidR="00E24C33">
        <w:rPr>
          <w:szCs w:val="22"/>
        </w:rPr>
        <w:t>ing</w:t>
      </w:r>
      <w:r w:rsidRPr="006B3226">
        <w:rPr>
          <w:szCs w:val="22"/>
        </w:rPr>
        <w:t xml:space="preserve"> a time to complete the </w:t>
      </w:r>
      <w:r>
        <w:rPr>
          <w:szCs w:val="22"/>
        </w:rPr>
        <w:t>survey</w:t>
      </w:r>
      <w:r w:rsidRPr="006B3226">
        <w:rPr>
          <w:szCs w:val="22"/>
        </w:rPr>
        <w:t xml:space="preserve"> by phone</w:t>
      </w:r>
      <w:r>
        <w:rPr>
          <w:szCs w:val="22"/>
        </w:rPr>
        <w:t>.</w:t>
      </w:r>
    </w:p>
    <w:p w:rsidR="00E24C33" w:rsidP="00E24C33" w:rsidRDefault="00E24C33" w14:paraId="447E0D2D" w14:textId="080F7373">
      <w:pPr>
        <w:pStyle w:val="Body11ptCalibri-IPR"/>
        <w:spacing w:after="240"/>
        <w:rPr>
          <w:szCs w:val="22"/>
        </w:rPr>
      </w:pPr>
      <w:r>
        <w:rPr>
          <w:szCs w:val="22"/>
        </w:rPr>
        <w:t xml:space="preserve">To </w:t>
      </w:r>
      <w:r w:rsidRPr="006F668B">
        <w:rPr>
          <w:szCs w:val="22"/>
        </w:rPr>
        <w:t xml:space="preserve">ensure participants view the study as legitimate, </w:t>
      </w:r>
      <w:r>
        <w:rPr>
          <w:szCs w:val="22"/>
        </w:rPr>
        <w:t>the study team</w:t>
      </w:r>
      <w:r w:rsidRPr="006F668B">
        <w:rPr>
          <w:szCs w:val="22"/>
        </w:rPr>
        <w:t xml:space="preserve"> will develop and host a study website</w:t>
      </w:r>
      <w:r>
        <w:rPr>
          <w:szCs w:val="22"/>
        </w:rPr>
        <w:t xml:space="preserve"> (see Appendix </w:t>
      </w:r>
      <w:r w:rsidR="002A0E0D">
        <w:rPr>
          <w:szCs w:val="22"/>
        </w:rPr>
        <w:t>G</w:t>
      </w:r>
      <w:r>
        <w:rPr>
          <w:szCs w:val="22"/>
        </w:rPr>
        <w:t>.</w:t>
      </w:r>
      <w:r w:rsidR="00EE34D0">
        <w:rPr>
          <w:szCs w:val="22"/>
        </w:rPr>
        <w:t>9</w:t>
      </w:r>
      <w:r w:rsidR="002A0E0D">
        <w:rPr>
          <w:szCs w:val="22"/>
        </w:rPr>
        <w:t>, G</w:t>
      </w:r>
      <w:r>
        <w:rPr>
          <w:szCs w:val="22"/>
        </w:rPr>
        <w:t>.</w:t>
      </w:r>
      <w:r w:rsidR="00EE34D0">
        <w:rPr>
          <w:szCs w:val="22"/>
        </w:rPr>
        <w:t>10</w:t>
      </w:r>
      <w:r w:rsidR="002A0E0D">
        <w:rPr>
          <w:szCs w:val="22"/>
        </w:rPr>
        <w:t>, G.2</w:t>
      </w:r>
      <w:r w:rsidR="00EE34D0">
        <w:rPr>
          <w:szCs w:val="22"/>
        </w:rPr>
        <w:t>0</w:t>
      </w:r>
      <w:r w:rsidR="002A0E0D">
        <w:rPr>
          <w:szCs w:val="22"/>
        </w:rPr>
        <w:t>, and G.</w:t>
      </w:r>
      <w:r w:rsidR="00EE34D0">
        <w:rPr>
          <w:szCs w:val="22"/>
        </w:rPr>
        <w:t>21</w:t>
      </w:r>
      <w:r w:rsidR="002A0E0D">
        <w:rPr>
          <w:szCs w:val="22"/>
        </w:rPr>
        <w:t xml:space="preserve"> for website text</w:t>
      </w:r>
      <w:r>
        <w:rPr>
          <w:szCs w:val="22"/>
        </w:rPr>
        <w:t>)</w:t>
      </w:r>
      <w:r w:rsidRPr="006F668B">
        <w:rPr>
          <w:szCs w:val="22"/>
        </w:rPr>
        <w:t xml:space="preserve">. The website will provide an overview </w:t>
      </w:r>
      <w:r w:rsidRPr="006F668B">
        <w:rPr>
          <w:szCs w:val="22"/>
        </w:rPr>
        <w:lastRenderedPageBreak/>
        <w:t xml:space="preserve">of the study, responses to </w:t>
      </w:r>
      <w:r>
        <w:rPr>
          <w:szCs w:val="22"/>
        </w:rPr>
        <w:t>frequently asked questions</w:t>
      </w:r>
      <w:r w:rsidRPr="006F668B">
        <w:rPr>
          <w:szCs w:val="22"/>
        </w:rPr>
        <w:t xml:space="preserve">, and contact information for the study team (USDA FNS, Insight, Westat, and Estudios Técnicos). </w:t>
      </w:r>
    </w:p>
    <w:p w:rsidR="00F86A26" w:rsidP="00F86A26" w:rsidRDefault="00F86A26" w14:paraId="19C41C81" w14:textId="723C513D">
      <w:pPr>
        <w:pStyle w:val="Body11ptCalibri-IPR"/>
        <w:spacing w:after="240"/>
        <w:rPr>
          <w:szCs w:val="22"/>
        </w:rPr>
      </w:pPr>
      <w:bookmarkStart w:name="_Hlk94708838" w:id="43"/>
      <w:r w:rsidRPr="007A0261">
        <w:rPr>
          <w:szCs w:val="22"/>
        </w:rPr>
        <w:t>Based on the expected response rate</w:t>
      </w:r>
      <w:r w:rsidR="00E24C33">
        <w:rPr>
          <w:szCs w:val="22"/>
        </w:rPr>
        <w:t xml:space="preserve"> of 3</w:t>
      </w:r>
      <w:r w:rsidR="00D03F76">
        <w:rPr>
          <w:szCs w:val="22"/>
        </w:rPr>
        <w:t>3</w:t>
      </w:r>
      <w:r w:rsidR="00E24C33">
        <w:rPr>
          <w:szCs w:val="22"/>
        </w:rPr>
        <w:t xml:space="preserve"> percent</w:t>
      </w:r>
      <w:bookmarkEnd w:id="43"/>
      <w:r w:rsidR="00E24C33">
        <w:rPr>
          <w:szCs w:val="22"/>
        </w:rPr>
        <w:t xml:space="preserve">, </w:t>
      </w:r>
      <w:r>
        <w:rPr>
          <w:szCs w:val="22"/>
        </w:rPr>
        <w:t>it is</w:t>
      </w:r>
      <w:r w:rsidRPr="007A0261">
        <w:rPr>
          <w:szCs w:val="22"/>
        </w:rPr>
        <w:t xml:space="preserve"> anticipate</w:t>
      </w:r>
      <w:r>
        <w:rPr>
          <w:szCs w:val="22"/>
        </w:rPr>
        <w:t>d</w:t>
      </w:r>
      <w:r w:rsidRPr="007A0261">
        <w:rPr>
          <w:szCs w:val="22"/>
        </w:rPr>
        <w:t xml:space="preserve"> that among the </w:t>
      </w:r>
      <w:r w:rsidRPr="00252973">
        <w:rPr>
          <w:szCs w:val="22"/>
        </w:rPr>
        <w:t xml:space="preserve">922 completed surveys from </w:t>
      </w:r>
      <w:r>
        <w:rPr>
          <w:szCs w:val="22"/>
        </w:rPr>
        <w:t xml:space="preserve">households sampled from the </w:t>
      </w:r>
      <w:r w:rsidRPr="00252973">
        <w:rPr>
          <w:szCs w:val="22"/>
        </w:rPr>
        <w:t xml:space="preserve">NAP </w:t>
      </w:r>
      <w:r>
        <w:rPr>
          <w:szCs w:val="22"/>
        </w:rPr>
        <w:t>list</w:t>
      </w:r>
      <w:r w:rsidRPr="00252973">
        <w:rPr>
          <w:szCs w:val="22"/>
        </w:rPr>
        <w:t xml:space="preserve">, approximately </w:t>
      </w:r>
      <w:r w:rsidR="00E24C33">
        <w:rPr>
          <w:szCs w:val="22"/>
        </w:rPr>
        <w:t xml:space="preserve">871 households </w:t>
      </w:r>
      <w:r w:rsidRPr="00252973">
        <w:rPr>
          <w:szCs w:val="22"/>
        </w:rPr>
        <w:t xml:space="preserve">will complete by web or mail prior to </w:t>
      </w:r>
      <w:r>
        <w:rPr>
          <w:szCs w:val="22"/>
        </w:rPr>
        <w:t xml:space="preserve">phone </w:t>
      </w:r>
      <w:r w:rsidRPr="00252973">
        <w:rPr>
          <w:szCs w:val="22"/>
        </w:rPr>
        <w:t>follow</w:t>
      </w:r>
      <w:r>
        <w:rPr>
          <w:szCs w:val="22"/>
        </w:rPr>
        <w:t>-</w:t>
      </w:r>
      <w:r w:rsidRPr="00252973">
        <w:rPr>
          <w:szCs w:val="22"/>
        </w:rPr>
        <w:t xml:space="preserve">up of nonrespondents and </w:t>
      </w:r>
      <w:r w:rsidR="00E24C33">
        <w:rPr>
          <w:szCs w:val="22"/>
        </w:rPr>
        <w:t>51</w:t>
      </w:r>
      <w:r w:rsidRPr="00252973">
        <w:rPr>
          <w:szCs w:val="22"/>
        </w:rPr>
        <w:t xml:space="preserve"> will complete by </w:t>
      </w:r>
      <w:r w:rsidR="005B0F4F">
        <w:rPr>
          <w:szCs w:val="22"/>
        </w:rPr>
        <w:t>CATI</w:t>
      </w:r>
      <w:r w:rsidRPr="00252973">
        <w:rPr>
          <w:szCs w:val="22"/>
        </w:rPr>
        <w:t xml:space="preserve"> after follow</w:t>
      </w:r>
      <w:r>
        <w:rPr>
          <w:szCs w:val="22"/>
        </w:rPr>
        <w:t>-</w:t>
      </w:r>
      <w:r w:rsidRPr="00252973">
        <w:rPr>
          <w:szCs w:val="22"/>
        </w:rPr>
        <w:t xml:space="preserve">up. </w:t>
      </w:r>
      <w:r>
        <w:rPr>
          <w:szCs w:val="22"/>
        </w:rPr>
        <w:t>The team</w:t>
      </w:r>
      <w:r w:rsidRPr="00252973">
        <w:rPr>
          <w:szCs w:val="22"/>
        </w:rPr>
        <w:t xml:space="preserve"> anticipate</w:t>
      </w:r>
      <w:r>
        <w:rPr>
          <w:szCs w:val="22"/>
        </w:rPr>
        <w:t>s</w:t>
      </w:r>
      <w:r w:rsidRPr="00252973">
        <w:rPr>
          <w:szCs w:val="22"/>
        </w:rPr>
        <w:t xml:space="preserve"> having 2,733 completed surveys from eligible households from the area</w:t>
      </w:r>
      <w:r>
        <w:rPr>
          <w:szCs w:val="22"/>
        </w:rPr>
        <w:t xml:space="preserve"> </w:t>
      </w:r>
      <w:r w:rsidRPr="00252973">
        <w:rPr>
          <w:szCs w:val="22"/>
        </w:rPr>
        <w:t>probability frame, with approximately 91 households completing the survey by phone and the remaining 2,642</w:t>
      </w:r>
      <w:r>
        <w:rPr>
          <w:szCs w:val="22"/>
        </w:rPr>
        <w:t xml:space="preserve"> households completing the survey by web, mail, or data collector pickup. Each</w:t>
      </w:r>
      <w:r w:rsidRPr="007A0261">
        <w:rPr>
          <w:szCs w:val="22"/>
        </w:rPr>
        <w:t xml:space="preserve"> sample member </w:t>
      </w:r>
      <w:r>
        <w:rPr>
          <w:szCs w:val="22"/>
        </w:rPr>
        <w:t xml:space="preserve">will be assigned a unique study identifier </w:t>
      </w:r>
      <w:r w:rsidRPr="007A0261">
        <w:rPr>
          <w:szCs w:val="22"/>
        </w:rPr>
        <w:t>to track them across survey modes to ensure respondents complete the survey only once.</w:t>
      </w:r>
    </w:p>
    <w:p w:rsidR="009942CC" w:rsidP="009942CC" w:rsidRDefault="00ED66A2" w14:paraId="77C8A3E5" w14:textId="521AFB8A">
      <w:pPr>
        <w:pStyle w:val="BodyText-IPR"/>
        <w:spacing w:after="120" w:line="480" w:lineRule="exact"/>
        <w:rPr>
          <w:i/>
          <w:iCs/>
        </w:rPr>
      </w:pPr>
      <w:r w:rsidRPr="00D31EC9">
        <w:rPr>
          <w:b/>
          <w:bCs/>
          <w:i/>
          <w:iCs/>
        </w:rPr>
        <w:t>In-depth interviews</w:t>
      </w:r>
    </w:p>
    <w:p w:rsidR="009942CC" w:rsidP="009942CC" w:rsidRDefault="00940F21" w14:paraId="2A4BD3EB" w14:textId="4FBA8FBD">
      <w:pPr>
        <w:pStyle w:val="BodyText-IPR"/>
        <w:spacing w:line="480" w:lineRule="exact"/>
        <w:rPr>
          <w:i/>
          <w:iCs/>
        </w:rPr>
      </w:pPr>
      <w:r>
        <w:t>T</w:t>
      </w:r>
      <w:r w:rsidR="00122F77">
        <w:t xml:space="preserve">he last page of the </w:t>
      </w:r>
      <w:r w:rsidR="00F47642">
        <w:t xml:space="preserve">household </w:t>
      </w:r>
      <w:r w:rsidR="00122F77">
        <w:t xml:space="preserve">survey will invite respondents to provide their name </w:t>
      </w:r>
      <w:r w:rsidR="00FA7DE7">
        <w:t>and</w:t>
      </w:r>
      <w:r w:rsidR="00E82840">
        <w:t xml:space="preserve"> </w:t>
      </w:r>
      <w:r w:rsidR="006217FB">
        <w:t xml:space="preserve">a primary and secondary telephone number </w:t>
      </w:r>
      <w:r w:rsidR="00122F77">
        <w:t xml:space="preserve">if they are interested in participating in a one-on-one interview. </w:t>
      </w:r>
      <w:r>
        <w:t xml:space="preserve">The data collection plan for the in-depth interviews includes several strategies intended to maximize participation, starting with </w:t>
      </w:r>
      <w:r w:rsidR="00DB2221">
        <w:t>offering an incentive. If approved, t</w:t>
      </w:r>
      <w:r w:rsidR="00122F77">
        <w:t xml:space="preserve">he survey will inform respondents that </w:t>
      </w:r>
      <w:r w:rsidR="003D1289">
        <w:t xml:space="preserve">in-depth </w:t>
      </w:r>
      <w:r w:rsidR="00122F77">
        <w:t>interview</w:t>
      </w:r>
      <w:r w:rsidR="003D1289">
        <w:t xml:space="preserve"> participants</w:t>
      </w:r>
      <w:r w:rsidR="00122F77">
        <w:t xml:space="preserve"> will receive $50 </w:t>
      </w:r>
      <w:r w:rsidR="00A8431B">
        <w:t>postparticipation incentive</w:t>
      </w:r>
      <w:r w:rsidR="00CB4436">
        <w:t xml:space="preserve"> (by gift card or cash app)</w:t>
      </w:r>
      <w:r w:rsidR="00A8431B">
        <w:t xml:space="preserve"> </w:t>
      </w:r>
      <w:r w:rsidR="00122F77">
        <w:t xml:space="preserve">as a </w:t>
      </w:r>
      <w:r w:rsidR="003D1289">
        <w:t>t</w:t>
      </w:r>
      <w:r w:rsidR="00DB2221">
        <w:t>hank you for their time</w:t>
      </w:r>
      <w:r w:rsidR="00122F77">
        <w:t>.</w:t>
      </w:r>
      <w:r w:rsidR="006217FB">
        <w:t xml:space="preserve"> </w:t>
      </w:r>
      <w:r w:rsidR="00DB2221">
        <w:t>The incentive will be distributed via cash app or gift card. T</w:t>
      </w:r>
      <w:r w:rsidR="00EB1239">
        <w:t>o</w:t>
      </w:r>
      <w:r w:rsidR="006217FB">
        <w:t xml:space="preserve"> minimiz</w:t>
      </w:r>
      <w:r w:rsidR="00EB1239">
        <w:t>e</w:t>
      </w:r>
      <w:r w:rsidR="006217FB">
        <w:t xml:space="preserve"> delays between survey completion and interviewer follow-up</w:t>
      </w:r>
      <w:r w:rsidR="00DB2221">
        <w:t>, the field manager will assign cases to interviewers on a rolling basis</w:t>
      </w:r>
      <w:r w:rsidR="006217FB">
        <w:t>. All interviewers will be local Puerto Rico residents</w:t>
      </w:r>
      <w:r w:rsidR="00FA7DE7">
        <w:t>,</w:t>
      </w:r>
      <w:r w:rsidR="006217FB">
        <w:t xml:space="preserve"> and they will contact respondents using a local phone number. </w:t>
      </w:r>
      <w:r w:rsidR="0082582A">
        <w:t>When trying to schedule an interview, they</w:t>
      </w:r>
      <w:r w:rsidR="00DB2221">
        <w:t xml:space="preserve"> will </w:t>
      </w:r>
      <w:r w:rsidR="0082582A">
        <w:t xml:space="preserve">ask potential participants to suggest a convenient time and location. </w:t>
      </w:r>
      <w:r w:rsidR="00E82840">
        <w:t xml:space="preserve">If recruitment from the survey respondent sample does not yield 144 completed interviews, </w:t>
      </w:r>
      <w:r w:rsidR="00FA7DE7">
        <w:t xml:space="preserve">the study team </w:t>
      </w:r>
      <w:r w:rsidR="00E82840">
        <w:t xml:space="preserve">will implement a </w:t>
      </w:r>
      <w:r w:rsidR="006217FB">
        <w:t xml:space="preserve">backup </w:t>
      </w:r>
      <w:r w:rsidR="00E82840">
        <w:t xml:space="preserve">recruitment </w:t>
      </w:r>
      <w:r w:rsidR="006217FB">
        <w:t>plan</w:t>
      </w:r>
      <w:r w:rsidR="00E82840">
        <w:t xml:space="preserve">. Specifically, </w:t>
      </w:r>
      <w:r w:rsidR="00FA7DE7">
        <w:t xml:space="preserve">the team </w:t>
      </w:r>
      <w:r w:rsidR="006217FB">
        <w:t xml:space="preserve">will develop a study announcement </w:t>
      </w:r>
      <w:r w:rsidR="00E82840">
        <w:t xml:space="preserve">for dissemination by </w:t>
      </w:r>
      <w:r w:rsidR="00FA7DE7">
        <w:t xml:space="preserve">the team’s </w:t>
      </w:r>
      <w:r w:rsidR="00E82840">
        <w:t>data collection partner in Puerto Rico or by trusted local community partners that serve the target population</w:t>
      </w:r>
      <w:r w:rsidR="00C274DD">
        <w:t xml:space="preserve"> (see Appendix </w:t>
      </w:r>
      <w:r w:rsidR="002A0E0D">
        <w:t>I</w:t>
      </w:r>
      <w:r w:rsidR="00C274DD">
        <w:t>.</w:t>
      </w:r>
      <w:r w:rsidR="00EE34D0">
        <w:t>3</w:t>
      </w:r>
      <w:r w:rsidR="002A0E0D">
        <w:t xml:space="preserve"> and I.</w:t>
      </w:r>
      <w:r w:rsidR="00EE34D0">
        <w:t>6</w:t>
      </w:r>
      <w:r w:rsidR="00C274DD">
        <w:t>)</w:t>
      </w:r>
      <w:r w:rsidR="00E82840">
        <w:t xml:space="preserve">. </w:t>
      </w:r>
      <w:r w:rsidR="006217FB">
        <w:t xml:space="preserve">The announcement will provide general information about the interview </w:t>
      </w:r>
      <w:r w:rsidR="006217FB">
        <w:lastRenderedPageBreak/>
        <w:t xml:space="preserve">topics and the participants </w:t>
      </w:r>
      <w:r w:rsidR="00FA7DE7">
        <w:t>the study is</w:t>
      </w:r>
      <w:r w:rsidR="006217FB">
        <w:t xml:space="preserve"> seeking, plus a toll-free number individuals can call if they are interested in participating. Interviewers will answer calls to the toll-free number and use a screening script to determine whether a caller belongs to one of the subgroups </w:t>
      </w:r>
      <w:r w:rsidR="00FA7DE7">
        <w:t>being</w:t>
      </w:r>
      <w:r w:rsidR="006217FB">
        <w:t xml:space="preserve"> recruit</w:t>
      </w:r>
      <w:r w:rsidR="00FA7DE7">
        <w:t>ed</w:t>
      </w:r>
      <w:r>
        <w:t xml:space="preserve"> (see Appendix </w:t>
      </w:r>
      <w:r w:rsidR="002A0E0D">
        <w:t>I</w:t>
      </w:r>
      <w:r>
        <w:t>.</w:t>
      </w:r>
      <w:r w:rsidR="00EE34D0">
        <w:t>2</w:t>
      </w:r>
      <w:r w:rsidR="002A0E0D">
        <w:t xml:space="preserve"> and I.</w:t>
      </w:r>
      <w:r w:rsidR="00EE34D0">
        <w:t>5</w:t>
      </w:r>
      <w:r>
        <w:t>)</w:t>
      </w:r>
      <w:r w:rsidR="006217FB">
        <w:t xml:space="preserve">. </w:t>
      </w:r>
    </w:p>
    <w:p w:rsidR="009942CC" w:rsidP="00960E81" w:rsidRDefault="00ED66A2" w14:paraId="35EBB29A" w14:textId="77777777">
      <w:pPr>
        <w:pStyle w:val="BodyText-IPR"/>
        <w:keepNext/>
        <w:spacing w:after="120" w:line="480" w:lineRule="exact"/>
        <w:rPr>
          <w:i/>
          <w:iCs/>
        </w:rPr>
      </w:pPr>
      <w:r w:rsidRPr="00D31EC9">
        <w:rPr>
          <w:b/>
          <w:bCs/>
          <w:i/>
          <w:iCs/>
        </w:rPr>
        <w:t>Concept</w:t>
      </w:r>
      <w:r w:rsidRPr="00D31EC9" w:rsidR="00286321">
        <w:rPr>
          <w:b/>
          <w:bCs/>
          <w:i/>
          <w:iCs/>
        </w:rPr>
        <w:t>-</w:t>
      </w:r>
      <w:r w:rsidRPr="00D31EC9">
        <w:rPr>
          <w:b/>
          <w:bCs/>
          <w:i/>
          <w:iCs/>
        </w:rPr>
        <w:t>mapping task</w:t>
      </w:r>
    </w:p>
    <w:p w:rsidR="009942CC" w:rsidP="00960E81" w:rsidRDefault="00FA7DE7" w14:paraId="330C5C5D" w14:textId="11769176">
      <w:pPr>
        <w:pStyle w:val="BodyText-IPR"/>
        <w:spacing w:after="360" w:line="480" w:lineRule="exact"/>
        <w:rPr>
          <w:i/>
          <w:iCs/>
        </w:rPr>
      </w:pPr>
      <w:r>
        <w:t>The study team does</w:t>
      </w:r>
      <w:r w:rsidR="00E82840">
        <w:t xml:space="preserve"> not anticipate any challenges related to recruiting stakeholders for the concept</w:t>
      </w:r>
      <w:r>
        <w:t>-</w:t>
      </w:r>
      <w:r w:rsidR="00E82840">
        <w:t xml:space="preserve">mapping </w:t>
      </w:r>
      <w:r w:rsidR="00B258BC">
        <w:t>task</w:t>
      </w:r>
      <w:r>
        <w:t xml:space="preserve"> because the team</w:t>
      </w:r>
      <w:r w:rsidR="00B258BC">
        <w:t xml:space="preserve"> plan</w:t>
      </w:r>
      <w:r>
        <w:t>s</w:t>
      </w:r>
      <w:r w:rsidR="00B258BC">
        <w:t xml:space="preserve"> to invite participants who are invested in the issues and have been </w:t>
      </w:r>
      <w:r w:rsidRPr="00C146F6" w:rsidR="00B258BC">
        <w:t xml:space="preserve">recommended by </w:t>
      </w:r>
      <w:r w:rsidR="00974B84">
        <w:t xml:space="preserve">FNS or </w:t>
      </w:r>
      <w:r w:rsidRPr="00C146F6" w:rsidR="00B258BC">
        <w:t xml:space="preserve">members of the </w:t>
      </w:r>
      <w:r w:rsidRPr="00C146F6" w:rsidR="00ED66A2">
        <w:t>TWG</w:t>
      </w:r>
      <w:r w:rsidRPr="00C146F6" w:rsidR="00B258BC">
        <w:t>.</w:t>
      </w:r>
      <w:r w:rsidRPr="00C146F6" w:rsidR="00B8382B">
        <w:t xml:space="preserve"> A $50 honorarium</w:t>
      </w:r>
      <w:r w:rsidR="006963F1">
        <w:t xml:space="preserve"> (paid by check)</w:t>
      </w:r>
      <w:r w:rsidRPr="00C146F6" w:rsidR="00B8382B">
        <w:t xml:space="preserve"> per meeting will be offered to concept</w:t>
      </w:r>
      <w:r w:rsidR="00286321">
        <w:t>-</w:t>
      </w:r>
      <w:r w:rsidRPr="00C146F6" w:rsidR="00B8382B">
        <w:t>mapping participants</w:t>
      </w:r>
      <w:r w:rsidR="00974B84">
        <w:t>.</w:t>
      </w:r>
      <w:r w:rsidR="003A1F81">
        <w:t xml:space="preserve"> </w:t>
      </w:r>
      <w:r w:rsidR="00B8382B">
        <w:t xml:space="preserve"> </w:t>
      </w:r>
    </w:p>
    <w:p w:rsidRPr="00145F19" w:rsidR="00694A49" w:rsidP="008B3A10" w:rsidRDefault="00694A49" w14:paraId="62E01FF1" w14:textId="7FCD13D5">
      <w:pPr>
        <w:pStyle w:val="Heading4NoLetter-IPR"/>
      </w:pPr>
      <w:r>
        <w:t>B.3.2</w:t>
      </w:r>
      <w:r w:rsidR="005F44AE">
        <w:t>.</w:t>
      </w:r>
      <w:r>
        <w:tab/>
        <w:t>Nonresponse Bias Analysis</w:t>
      </w:r>
    </w:p>
    <w:p w:rsidRPr="009D77E0" w:rsidR="00694A49" w:rsidP="00694A49" w:rsidRDefault="00083D7F" w14:paraId="4B365C42" w14:textId="207FC6E7">
      <w:pPr>
        <w:pStyle w:val="Body11ptCalibri-IPR"/>
        <w:spacing w:after="240"/>
        <w:rPr>
          <w:szCs w:val="22"/>
        </w:rPr>
      </w:pPr>
      <w:r>
        <w:rPr>
          <w:szCs w:val="22"/>
        </w:rPr>
        <w:t xml:space="preserve">The study team </w:t>
      </w:r>
      <w:r w:rsidRPr="009D77E0" w:rsidR="00694A49">
        <w:rPr>
          <w:szCs w:val="22"/>
        </w:rPr>
        <w:t>will conduct a nonresponse</w:t>
      </w:r>
      <w:r w:rsidR="00694A49">
        <w:rPr>
          <w:szCs w:val="22"/>
        </w:rPr>
        <w:t xml:space="preserve"> </w:t>
      </w:r>
      <w:r w:rsidRPr="009D77E0" w:rsidR="00694A49">
        <w:rPr>
          <w:szCs w:val="22"/>
        </w:rPr>
        <w:t xml:space="preserve">bias analysis to evaluate the potential impact of nonresponse on the survey estimates and the effectiveness of the weight adjustments in </w:t>
      </w:r>
      <w:r w:rsidR="00ED0309">
        <w:rPr>
          <w:szCs w:val="22"/>
        </w:rPr>
        <w:t>reducing</w:t>
      </w:r>
      <w:r w:rsidRPr="009D77E0" w:rsidR="00ED0309">
        <w:rPr>
          <w:szCs w:val="22"/>
        </w:rPr>
        <w:t xml:space="preserve"> </w:t>
      </w:r>
      <w:r w:rsidRPr="009D77E0" w:rsidR="00694A49">
        <w:rPr>
          <w:szCs w:val="22"/>
        </w:rPr>
        <w:t xml:space="preserve">potential nonresponse biases. </w:t>
      </w:r>
    </w:p>
    <w:p w:rsidRPr="009D77E0" w:rsidR="00694A49" w:rsidP="00694A49" w:rsidRDefault="00083D7F" w14:paraId="7F7E258B" w14:textId="555C5BA5">
      <w:pPr>
        <w:pStyle w:val="Body11ptCalibri-IPR"/>
        <w:spacing w:after="240"/>
        <w:rPr>
          <w:szCs w:val="22"/>
        </w:rPr>
      </w:pPr>
      <w:r>
        <w:rPr>
          <w:szCs w:val="22"/>
        </w:rPr>
        <w:t xml:space="preserve">The team </w:t>
      </w:r>
      <w:r w:rsidRPr="009D77E0" w:rsidR="00694A49">
        <w:rPr>
          <w:szCs w:val="22"/>
        </w:rPr>
        <w:t xml:space="preserve">will benchmark the survey estimates to external totals </w:t>
      </w:r>
      <w:r w:rsidR="00694A49">
        <w:rPr>
          <w:szCs w:val="22"/>
        </w:rPr>
        <w:t xml:space="preserve">for demographics </w:t>
      </w:r>
      <w:r w:rsidRPr="009D77E0" w:rsidR="00694A49">
        <w:rPr>
          <w:szCs w:val="22"/>
        </w:rPr>
        <w:t>and other key variables of interest, such as measures of poverty</w:t>
      </w:r>
      <w:r w:rsidR="00694A49">
        <w:rPr>
          <w:szCs w:val="22"/>
        </w:rPr>
        <w:t xml:space="preserve">. </w:t>
      </w:r>
      <w:r>
        <w:rPr>
          <w:szCs w:val="22"/>
        </w:rPr>
        <w:t>T</w:t>
      </w:r>
      <w:r w:rsidRPr="009D77E0" w:rsidR="00694A49">
        <w:rPr>
          <w:szCs w:val="22"/>
        </w:rPr>
        <w:t xml:space="preserve">he most recent ACS 5-year </w:t>
      </w:r>
      <w:r w:rsidR="00694A49">
        <w:rPr>
          <w:szCs w:val="22"/>
        </w:rPr>
        <w:t xml:space="preserve">estimates </w:t>
      </w:r>
      <w:r>
        <w:rPr>
          <w:szCs w:val="22"/>
        </w:rPr>
        <w:t xml:space="preserve">will be used </w:t>
      </w:r>
      <w:r w:rsidR="00694A49">
        <w:rPr>
          <w:szCs w:val="22"/>
        </w:rPr>
        <w:t>as the external source</w:t>
      </w:r>
      <w:r w:rsidRPr="009D77E0" w:rsidR="00694A49">
        <w:rPr>
          <w:szCs w:val="22"/>
        </w:rPr>
        <w:t xml:space="preserve">. </w:t>
      </w:r>
      <w:r>
        <w:rPr>
          <w:szCs w:val="22"/>
        </w:rPr>
        <w:t>The study team</w:t>
      </w:r>
      <w:r w:rsidR="00694A49">
        <w:rPr>
          <w:szCs w:val="22"/>
        </w:rPr>
        <w:t xml:space="preserve"> will compare w</w:t>
      </w:r>
      <w:r w:rsidRPr="009D77E0" w:rsidR="00694A49">
        <w:rPr>
          <w:szCs w:val="22"/>
        </w:rPr>
        <w:t>eighted survey estimates</w:t>
      </w:r>
      <w:r w:rsidR="00694A49">
        <w:rPr>
          <w:szCs w:val="22"/>
        </w:rPr>
        <w:t xml:space="preserve"> (based on the final raked weights)</w:t>
      </w:r>
      <w:r w:rsidRPr="009D77E0" w:rsidR="00694A49">
        <w:rPr>
          <w:szCs w:val="22"/>
        </w:rPr>
        <w:t xml:space="preserve"> with estimates from the ACS</w:t>
      </w:r>
      <w:r w:rsidR="00694A49">
        <w:rPr>
          <w:szCs w:val="22"/>
        </w:rPr>
        <w:t xml:space="preserve">. </w:t>
      </w:r>
      <w:r w:rsidRPr="009D77E0" w:rsidR="00694A49">
        <w:rPr>
          <w:szCs w:val="22"/>
        </w:rPr>
        <w:t xml:space="preserve">For characteristics used in raking, </w:t>
      </w:r>
      <w:r>
        <w:rPr>
          <w:szCs w:val="22"/>
        </w:rPr>
        <w:t xml:space="preserve">the team </w:t>
      </w:r>
      <w:r w:rsidR="00694A49">
        <w:rPr>
          <w:szCs w:val="22"/>
        </w:rPr>
        <w:t xml:space="preserve">will use </w:t>
      </w:r>
      <w:r w:rsidRPr="009D77E0" w:rsidR="00694A49">
        <w:rPr>
          <w:szCs w:val="22"/>
        </w:rPr>
        <w:t xml:space="preserve">the adjusted weights without the raking adjustment in this comparison. For </w:t>
      </w:r>
      <w:r w:rsidR="00694A49">
        <w:rPr>
          <w:szCs w:val="22"/>
        </w:rPr>
        <w:t>this benchmarking analysis</w:t>
      </w:r>
      <w:r w:rsidRPr="009D77E0" w:rsidR="00694A49">
        <w:rPr>
          <w:szCs w:val="22"/>
        </w:rPr>
        <w:t xml:space="preserve">, </w:t>
      </w:r>
      <w:r>
        <w:rPr>
          <w:szCs w:val="22"/>
        </w:rPr>
        <w:t>the team</w:t>
      </w:r>
      <w:r w:rsidRPr="009D77E0" w:rsidR="00694A49">
        <w:rPr>
          <w:szCs w:val="22"/>
        </w:rPr>
        <w:t xml:space="preserve"> will produce tables that include the weighted estimates, standard errors, 95</w:t>
      </w:r>
      <w:r>
        <w:rPr>
          <w:szCs w:val="22"/>
        </w:rPr>
        <w:t xml:space="preserve"> </w:t>
      </w:r>
      <w:r w:rsidRPr="009D77E0" w:rsidR="00694A49">
        <w:rPr>
          <w:szCs w:val="22"/>
        </w:rPr>
        <w:t>percent confidence intervals, and the estimates from the ACS.</w:t>
      </w:r>
    </w:p>
    <w:p w:rsidRPr="009D77E0" w:rsidR="00694A49" w:rsidP="00694A49" w:rsidRDefault="00694A49" w14:paraId="25732FF9" w14:textId="3221E300">
      <w:pPr>
        <w:pStyle w:val="Body11ptCalibri-IPR"/>
        <w:spacing w:after="240"/>
        <w:rPr>
          <w:szCs w:val="22"/>
        </w:rPr>
      </w:pPr>
      <w:r w:rsidRPr="009D77E0">
        <w:rPr>
          <w:szCs w:val="22"/>
        </w:rPr>
        <w:t xml:space="preserve">Next, </w:t>
      </w:r>
      <w:r w:rsidR="00083D7F">
        <w:rPr>
          <w:szCs w:val="22"/>
        </w:rPr>
        <w:t>the study team</w:t>
      </w:r>
      <w:r w:rsidRPr="009D77E0">
        <w:rPr>
          <w:szCs w:val="22"/>
        </w:rPr>
        <w:t xml:space="preserve"> will evaluate differences found in comparisons between weighted estimates (using the final survey weight) of responding NAP participants (from both samples, combined) and totals from the full NAP participant list for frame characteristics of interest, chosen in consultation with FNS (e.g., presence of </w:t>
      </w:r>
      <w:r w:rsidR="00083D7F">
        <w:rPr>
          <w:szCs w:val="22"/>
        </w:rPr>
        <w:t>an older</w:t>
      </w:r>
      <w:r w:rsidRPr="009D77E0">
        <w:rPr>
          <w:szCs w:val="22"/>
        </w:rPr>
        <w:t xml:space="preserve"> person in household, highest educational attainment in household, whether </w:t>
      </w:r>
      <w:r w:rsidRPr="009D77E0">
        <w:rPr>
          <w:szCs w:val="22"/>
        </w:rPr>
        <w:lastRenderedPageBreak/>
        <w:t>anyone in househol</w:t>
      </w:r>
      <w:r>
        <w:rPr>
          <w:szCs w:val="22"/>
        </w:rPr>
        <w:t>d is employed, household income),</w:t>
      </w:r>
      <w:r w:rsidRPr="009D77E0">
        <w:rPr>
          <w:szCs w:val="22"/>
        </w:rPr>
        <w:t xml:space="preserve"> depending on the availability of such characterist</w:t>
      </w:r>
      <w:r>
        <w:rPr>
          <w:szCs w:val="22"/>
        </w:rPr>
        <w:t>ics on the NAP participant list</w:t>
      </w:r>
      <w:r w:rsidRPr="009D77E0">
        <w:rPr>
          <w:szCs w:val="22"/>
        </w:rPr>
        <w:t xml:space="preserve">. For each comparison, </w:t>
      </w:r>
      <w:r w:rsidR="00083D7F">
        <w:rPr>
          <w:szCs w:val="22"/>
        </w:rPr>
        <w:t>the study team</w:t>
      </w:r>
      <w:r w:rsidRPr="009D77E0">
        <w:rPr>
          <w:szCs w:val="22"/>
        </w:rPr>
        <w:t xml:space="preserve"> will produce </w:t>
      </w:r>
      <w:r w:rsidRPr="00040E67">
        <w:rPr>
          <w:i/>
          <w:iCs/>
          <w:szCs w:val="22"/>
        </w:rPr>
        <w:t>t</w:t>
      </w:r>
      <w:r w:rsidRPr="009D77E0">
        <w:rPr>
          <w:szCs w:val="22"/>
        </w:rPr>
        <w:t xml:space="preserve">-tests and resulting </w:t>
      </w:r>
      <w:r w:rsidRPr="00040E67">
        <w:rPr>
          <w:i/>
          <w:iCs/>
          <w:szCs w:val="22"/>
        </w:rPr>
        <w:t>p</w:t>
      </w:r>
      <w:r w:rsidRPr="009D77E0">
        <w:rPr>
          <w:szCs w:val="22"/>
        </w:rPr>
        <w:t>-values.</w:t>
      </w:r>
    </w:p>
    <w:p w:rsidR="00694A49" w:rsidP="00694A49" w:rsidRDefault="00694A49" w14:paraId="4F041B47" w14:textId="6ABE40A5">
      <w:pPr>
        <w:pStyle w:val="Body11ptCalibri-IPR"/>
        <w:spacing w:after="240"/>
        <w:rPr>
          <w:szCs w:val="22"/>
        </w:rPr>
      </w:pPr>
      <w:r w:rsidRPr="009D77E0">
        <w:rPr>
          <w:szCs w:val="22"/>
        </w:rPr>
        <w:t xml:space="preserve">Last, </w:t>
      </w:r>
      <w:r w:rsidR="00083D7F">
        <w:rPr>
          <w:szCs w:val="22"/>
        </w:rPr>
        <w:t>the team will</w:t>
      </w:r>
      <w:r w:rsidRPr="009D77E0">
        <w:rPr>
          <w:szCs w:val="22"/>
        </w:rPr>
        <w:t xml:space="preserve"> compare estimates of survey outcomes of respondents (e.g., food insecurity) using the base weight with the compositing adjustment </w:t>
      </w:r>
      <w:r w:rsidR="00393BDF">
        <w:rPr>
          <w:szCs w:val="22"/>
        </w:rPr>
        <w:t>and</w:t>
      </w:r>
      <w:r w:rsidRPr="009D77E0" w:rsidR="00393BDF">
        <w:rPr>
          <w:szCs w:val="22"/>
        </w:rPr>
        <w:t xml:space="preserve"> </w:t>
      </w:r>
      <w:r w:rsidRPr="009D77E0">
        <w:rPr>
          <w:szCs w:val="22"/>
        </w:rPr>
        <w:t xml:space="preserve">fully weighted estimates of those same survey outcomes. This </w:t>
      </w:r>
      <w:r w:rsidR="00083D7F">
        <w:rPr>
          <w:szCs w:val="22"/>
        </w:rPr>
        <w:t xml:space="preserve">process </w:t>
      </w:r>
      <w:r w:rsidRPr="009D77E0">
        <w:rPr>
          <w:szCs w:val="22"/>
        </w:rPr>
        <w:t xml:space="preserve">provides an alternative way of assessing how nonresponse may have affected the distribution of the respondent sample and, therefore, may potentially affect the sample-based estimates. </w:t>
      </w:r>
      <w:r w:rsidR="00083D7F">
        <w:rPr>
          <w:szCs w:val="22"/>
        </w:rPr>
        <w:t xml:space="preserve">The team </w:t>
      </w:r>
      <w:r w:rsidRPr="009D77E0">
        <w:rPr>
          <w:szCs w:val="22"/>
        </w:rPr>
        <w:t xml:space="preserve">will produce </w:t>
      </w:r>
      <w:r w:rsidRPr="008B3A10">
        <w:rPr>
          <w:i/>
          <w:iCs/>
          <w:szCs w:val="22"/>
        </w:rPr>
        <w:t>t</w:t>
      </w:r>
      <w:r w:rsidRPr="009D77E0">
        <w:rPr>
          <w:szCs w:val="22"/>
        </w:rPr>
        <w:t xml:space="preserve">-test statistics and associated </w:t>
      </w:r>
      <w:r w:rsidRPr="008B3A10">
        <w:rPr>
          <w:i/>
          <w:iCs/>
          <w:szCs w:val="22"/>
        </w:rPr>
        <w:t>p</w:t>
      </w:r>
      <w:r w:rsidRPr="009D77E0">
        <w:rPr>
          <w:szCs w:val="22"/>
        </w:rPr>
        <w:t xml:space="preserve">-values for differences in estimates before and after weighting adjustments. </w:t>
      </w:r>
    </w:p>
    <w:p w:rsidR="00714F7A" w:rsidP="00694A49" w:rsidRDefault="00694A49" w14:paraId="3E471FF7" w14:textId="663D3F6C">
      <w:pPr>
        <w:pStyle w:val="Body11ptCalibri-IPR"/>
        <w:spacing w:after="240"/>
        <w:rPr>
          <w:szCs w:val="22"/>
        </w:rPr>
      </w:pPr>
      <w:r>
        <w:rPr>
          <w:szCs w:val="22"/>
        </w:rPr>
        <w:t>In addition to nonresponse bias analysis,</w:t>
      </w:r>
      <w:r w:rsidR="00083D7F">
        <w:rPr>
          <w:szCs w:val="22"/>
        </w:rPr>
        <w:t xml:space="preserve"> the study team</w:t>
      </w:r>
      <w:r w:rsidRPr="006F668B">
        <w:rPr>
          <w:szCs w:val="22"/>
        </w:rPr>
        <w:t xml:space="preserve"> will </w:t>
      </w:r>
      <w:r>
        <w:rPr>
          <w:szCs w:val="22"/>
        </w:rPr>
        <w:t>consider using imputation techniques</w:t>
      </w:r>
      <w:r w:rsidRPr="006F668B">
        <w:rPr>
          <w:szCs w:val="22"/>
        </w:rPr>
        <w:t xml:space="preserve"> to</w:t>
      </w:r>
      <w:r>
        <w:rPr>
          <w:szCs w:val="22"/>
        </w:rPr>
        <w:t xml:space="preserve"> possibly reduce nonresponse bias by</w:t>
      </w:r>
      <w:r w:rsidRPr="006F668B">
        <w:rPr>
          <w:szCs w:val="22"/>
        </w:rPr>
        <w:t xml:space="preserve"> fill</w:t>
      </w:r>
      <w:r>
        <w:rPr>
          <w:szCs w:val="22"/>
        </w:rPr>
        <w:t>ing</w:t>
      </w:r>
      <w:r w:rsidRPr="006F668B">
        <w:rPr>
          <w:szCs w:val="22"/>
        </w:rPr>
        <w:t xml:space="preserve"> in missing data</w:t>
      </w:r>
      <w:r>
        <w:rPr>
          <w:szCs w:val="22"/>
        </w:rPr>
        <w:t xml:space="preserve"> </w:t>
      </w:r>
      <w:r w:rsidRPr="006F668B">
        <w:rPr>
          <w:szCs w:val="22"/>
        </w:rPr>
        <w:t>for secondary variables</w:t>
      </w:r>
      <w:r>
        <w:rPr>
          <w:szCs w:val="22"/>
        </w:rPr>
        <w:t xml:space="preserve">. </w:t>
      </w:r>
      <w:r w:rsidR="00083D7F">
        <w:rPr>
          <w:szCs w:val="22"/>
        </w:rPr>
        <w:t>M</w:t>
      </w:r>
      <w:r w:rsidRPr="006F668B">
        <w:rPr>
          <w:szCs w:val="22"/>
        </w:rPr>
        <w:t>issing data on outcome variables</w:t>
      </w:r>
      <w:r>
        <w:rPr>
          <w:szCs w:val="22"/>
        </w:rPr>
        <w:t xml:space="preserve"> and key variables of interest</w:t>
      </w:r>
      <w:r w:rsidR="00083D7F">
        <w:rPr>
          <w:szCs w:val="22"/>
        </w:rPr>
        <w:t xml:space="preserve"> will not be imputed</w:t>
      </w:r>
      <w:r>
        <w:rPr>
          <w:szCs w:val="22"/>
        </w:rPr>
        <w:t>.</w:t>
      </w:r>
      <w:r w:rsidRPr="006F668B">
        <w:rPr>
          <w:szCs w:val="22"/>
        </w:rPr>
        <w:t xml:space="preserve"> Imputation is widely used to fill in item nonresponse in survey datasets because it makes analysis more consistent, avoids large biases in estimates of totals, and can reduce nonresponse bias in other types of estimates in some circumstances. Eliminating missing data by imputation also </w:t>
      </w:r>
      <w:r w:rsidR="00083D7F">
        <w:rPr>
          <w:szCs w:val="22"/>
        </w:rPr>
        <w:t>enables</w:t>
      </w:r>
      <w:r w:rsidRPr="006F668B" w:rsidR="00083D7F">
        <w:rPr>
          <w:szCs w:val="22"/>
        </w:rPr>
        <w:t xml:space="preserve"> </w:t>
      </w:r>
      <w:r w:rsidRPr="006F668B">
        <w:rPr>
          <w:szCs w:val="22"/>
        </w:rPr>
        <w:t>analysts to include all cases when conducting multivariate analyses.</w:t>
      </w:r>
      <w:r>
        <w:rPr>
          <w:szCs w:val="22"/>
        </w:rPr>
        <w:t xml:space="preserve"> </w:t>
      </w:r>
      <w:r w:rsidRPr="006F668B">
        <w:rPr>
          <w:szCs w:val="22"/>
        </w:rPr>
        <w:t xml:space="preserve">The general approach involved in imputation is to use the information available for a record to assign values for the record’s missing items. </w:t>
      </w:r>
    </w:p>
    <w:p w:rsidRPr="00B62368" w:rsidR="00694A49" w:rsidP="00960E81" w:rsidRDefault="00694A49" w14:paraId="199CD315" w14:textId="77777777">
      <w:pPr>
        <w:pStyle w:val="Hdng3-IPR"/>
        <w:spacing w:before="360"/>
      </w:pPr>
      <w:bookmarkStart w:name="_Toc514142004" w:id="44"/>
      <w:bookmarkStart w:name="_Toc14464751" w:id="45"/>
      <w:bookmarkEnd w:id="42"/>
      <w:r w:rsidRPr="00B62368">
        <w:t>Tests of Procedures</w:t>
      </w:r>
      <w:bookmarkEnd w:id="44"/>
      <w:bookmarkEnd w:id="45"/>
    </w:p>
    <w:p w:rsidRPr="00B62368" w:rsidR="00694A49" w:rsidP="00694A49" w:rsidRDefault="00694A49" w14:paraId="305A880C" w14:textId="77777777">
      <w:pPr>
        <w:pStyle w:val="Hdng4Calibri-IPR"/>
        <w:spacing w:after="120"/>
        <w:rPr>
          <w:rFonts w:ascii="Candara" w:hAnsi="Candara"/>
          <w:sz w:val="22"/>
        </w:rPr>
      </w:pPr>
      <w:r w:rsidRPr="00B62368">
        <w:rPr>
          <w:rFonts w:ascii="Candara" w:hAnsi="Candara"/>
          <w:sz w:val="22"/>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E24C33" w:rsidP="00694A49" w:rsidRDefault="00DA49F9" w14:paraId="3F54DD4A" w14:textId="36364C13">
      <w:pPr>
        <w:pStyle w:val="Body11ptCalibri-IPR"/>
        <w:spacing w:after="240"/>
      </w:pPr>
      <w:bookmarkStart w:name="_Toc430003427" w:id="46"/>
      <w:r>
        <w:t>The household survey</w:t>
      </w:r>
      <w:r w:rsidR="00166B83">
        <w:t xml:space="preserve"> was </w:t>
      </w:r>
      <w:r w:rsidRPr="00166B83" w:rsidR="00166B83">
        <w:t xml:space="preserve">pretested with 8 </w:t>
      </w:r>
      <w:r w:rsidR="00166B83">
        <w:t xml:space="preserve">low-income </w:t>
      </w:r>
      <w:r w:rsidR="00166B83">
        <w:t>respondents</w:t>
      </w:r>
      <w:r w:rsidR="00166B83">
        <w:t xml:space="preserve"> in Puerto Rico</w:t>
      </w:r>
      <w:r w:rsidRPr="00166B83" w:rsidR="00166B83">
        <w:t xml:space="preserve"> </w:t>
      </w:r>
      <w:r w:rsidRPr="00166B83" w:rsidR="00166B83">
        <w:t xml:space="preserve">(Appendix O, </w:t>
      </w:r>
      <w:r w:rsidR="00166B83">
        <w:t>T</w:t>
      </w:r>
      <w:r w:rsidRPr="00166B83" w:rsidR="00166B83">
        <w:t>able 2)</w:t>
      </w:r>
      <w:r w:rsidR="00166B83">
        <w:t xml:space="preserve">, and the </w:t>
      </w:r>
      <w:r w:rsidRPr="00166B83" w:rsidR="00166B83">
        <w:t>interview guide</w:t>
      </w:r>
      <w:r w:rsidR="00166B83">
        <w:t>,</w:t>
      </w:r>
      <w:r w:rsidRPr="00166B83" w:rsidR="00166B83">
        <w:t xml:space="preserve"> using completely different questions</w:t>
      </w:r>
      <w:r w:rsidR="00166B83">
        <w:t>,</w:t>
      </w:r>
      <w:r w:rsidRPr="00166B83" w:rsidR="00166B83">
        <w:t xml:space="preserve"> </w:t>
      </w:r>
      <w:r w:rsidR="00166B83">
        <w:t xml:space="preserve">was </w:t>
      </w:r>
      <w:r w:rsidRPr="00166B83" w:rsidR="00166B83">
        <w:t>pretested</w:t>
      </w:r>
      <w:r w:rsidR="00166B83">
        <w:t xml:space="preserve"> with</w:t>
      </w:r>
      <w:r w:rsidRPr="00166B83" w:rsidR="00166B83">
        <w:t xml:space="preserve"> 9 </w:t>
      </w:r>
      <w:r w:rsidR="00166B83">
        <w:t>respondents</w:t>
      </w:r>
      <w:r w:rsidRPr="00166B83" w:rsidR="00166B83">
        <w:t xml:space="preserve"> (Appendix O, </w:t>
      </w:r>
      <w:r w:rsidR="00166B83">
        <w:t>T</w:t>
      </w:r>
      <w:r w:rsidRPr="00166B83" w:rsidR="00166B83">
        <w:t xml:space="preserve">able 3). This is consistent with OIRA guidance on this topic. </w:t>
      </w:r>
      <w:r w:rsidR="00E24C33">
        <w:t xml:space="preserve">The overarching objective of the pretest was </w:t>
      </w:r>
      <w:r w:rsidRPr="00B62368" w:rsidR="00694A49">
        <w:t>to</w:t>
      </w:r>
      <w:r w:rsidR="00E24C33">
        <w:t xml:space="preserve"> ensure</w:t>
      </w:r>
      <w:r w:rsidRPr="00B62368" w:rsidR="00694A49">
        <w:t xml:space="preserve"> </w:t>
      </w:r>
      <w:r w:rsidR="00E24C33">
        <w:t xml:space="preserve">the instruments were clear and understandable to respondents. Specific </w:t>
      </w:r>
      <w:r w:rsidR="00E24C33">
        <w:lastRenderedPageBreak/>
        <w:t>pretest objectives for both instruments were to (1) identify problems related to communicating the intent or meaning of questions; (2) ensure the Spanish translation conveys the intended meaning; (3) determine whether respondents can accurately provide the information requested; and (4) evaluate the flow, question order, and respondent burden in terms of the number of questions and recall of difficult events such as natural disasters. The survey pretest also sought to assess the response options for relevance and adequate range of response options; identify problems with introductions, instructions, or explanations; and assess the cultural relevance of the questions.</w:t>
      </w:r>
    </w:p>
    <w:p w:rsidRPr="00140DA6" w:rsidR="00694A49" w:rsidP="002A0BC3" w:rsidRDefault="00DC1EEB" w14:paraId="33E1099F" w14:textId="19B89F78">
      <w:pPr>
        <w:pStyle w:val="Body11ptCalibri-IPR"/>
        <w:spacing w:after="240"/>
      </w:pPr>
      <w:bookmarkStart w:name="_Hlk59621240" w:id="47"/>
      <w:r w:rsidRPr="00585F68">
        <w:t>As a result of the</w:t>
      </w:r>
      <w:r>
        <w:t xml:space="preserve"> survey</w:t>
      </w:r>
      <w:r w:rsidRPr="00585F68">
        <w:t xml:space="preserve"> pretest, </w:t>
      </w:r>
      <w:r>
        <w:t xml:space="preserve">the team made several revisions to the </w:t>
      </w:r>
      <w:r w:rsidR="00FB1529">
        <w:t xml:space="preserve">survey including </w:t>
      </w:r>
      <w:r w:rsidR="00140DA6">
        <w:t xml:space="preserve">adjusting examples and clarifying skip patterns or instructions. </w:t>
      </w:r>
      <w:r w:rsidRPr="00585F68" w:rsidR="00000B9B">
        <w:t xml:space="preserve">The </w:t>
      </w:r>
      <w:r w:rsidR="00000B9B">
        <w:t xml:space="preserve">survey </w:t>
      </w:r>
      <w:r w:rsidRPr="00585F68" w:rsidR="00000B9B">
        <w:t xml:space="preserve">pretest confirmed that </w:t>
      </w:r>
      <w:r w:rsidR="00000B9B">
        <w:t>initial</w:t>
      </w:r>
      <w:r w:rsidRPr="00585F68" w:rsidR="00000B9B">
        <w:t xml:space="preserve"> burden estimates for the </w:t>
      </w:r>
      <w:r w:rsidR="00000B9B">
        <w:t>survey</w:t>
      </w:r>
      <w:r w:rsidRPr="00585F68" w:rsidR="00000B9B">
        <w:t xml:space="preserve"> </w:t>
      </w:r>
      <w:r w:rsidR="00000B9B">
        <w:t>were</w:t>
      </w:r>
      <w:r w:rsidRPr="00585F68" w:rsidR="00000B9B">
        <w:t xml:space="preserve"> accurate.</w:t>
      </w:r>
      <w:r w:rsidR="00000B9B">
        <w:t xml:space="preserve"> </w:t>
      </w:r>
      <w:r w:rsidR="00140DA6">
        <w:t xml:space="preserve">As a result of the in-depth interview pretest, the team made minor revisions to the protocol and identified a few items to address in the data collector training. </w:t>
      </w:r>
      <w:bookmarkEnd w:id="47"/>
      <w:r w:rsidRPr="00585F68" w:rsidR="00767E69">
        <w:t xml:space="preserve">The </w:t>
      </w:r>
      <w:r w:rsidR="00767E69">
        <w:t xml:space="preserve">in-depth interview protocol </w:t>
      </w:r>
      <w:r w:rsidRPr="00585F68" w:rsidR="00767E69">
        <w:t xml:space="preserve">pretest confirmed that </w:t>
      </w:r>
      <w:r w:rsidR="00767E69">
        <w:t>initial</w:t>
      </w:r>
      <w:r w:rsidRPr="00585F68" w:rsidR="00767E69">
        <w:t xml:space="preserve"> burden estimates </w:t>
      </w:r>
      <w:r w:rsidR="00767E69">
        <w:t>were</w:t>
      </w:r>
      <w:r w:rsidRPr="00585F68" w:rsidR="00767E69">
        <w:t xml:space="preserve"> accurate.</w:t>
      </w:r>
      <w:r w:rsidR="00767E69">
        <w:t xml:space="preserve"> </w:t>
      </w:r>
      <w:r w:rsidRPr="00140DA6" w:rsidR="00140DA6">
        <w:rPr>
          <w:rFonts w:asciiTheme="minorHAnsi" w:hAnsiTheme="minorHAnsi" w:cstheme="minorHAnsi"/>
        </w:rPr>
        <w:t>Appendix O details the pretest methods and findings.</w:t>
      </w:r>
      <w:r w:rsidRPr="00140DA6" w:rsidR="002D3C5E">
        <w:t xml:space="preserve"> </w:t>
      </w:r>
    </w:p>
    <w:p w:rsidRPr="00B62368" w:rsidR="00694A49" w:rsidP="00694A49" w:rsidRDefault="00694A49" w14:paraId="38EE1AC1" w14:textId="77777777">
      <w:pPr>
        <w:pStyle w:val="Hdng3-IPR"/>
        <w:spacing w:before="240"/>
      </w:pPr>
      <w:bookmarkStart w:name="_Toc514142005" w:id="48"/>
      <w:bookmarkStart w:name="_Toc14464752" w:id="49"/>
      <w:r w:rsidRPr="00B62368">
        <w:t>Consultants</w:t>
      </w:r>
      <w:bookmarkEnd w:id="46"/>
      <w:bookmarkEnd w:id="48"/>
      <w:bookmarkEnd w:id="49"/>
    </w:p>
    <w:p w:rsidRPr="00B62368" w:rsidR="00694A49" w:rsidP="00694A49" w:rsidRDefault="00694A49" w14:paraId="21853E06" w14:textId="77777777">
      <w:pPr>
        <w:pStyle w:val="Hdng4Calibri-IPR"/>
        <w:spacing w:after="120"/>
        <w:rPr>
          <w:rFonts w:ascii="Candara" w:hAnsi="Candara"/>
          <w:sz w:val="22"/>
        </w:rPr>
      </w:pPr>
      <w:r w:rsidRPr="00B62368">
        <w:rPr>
          <w:rFonts w:ascii="Candara" w:hAnsi="Candara"/>
          <w:sz w:val="22"/>
        </w:rPr>
        <w:t>Provide the name and telephone number of individuals consulted on statistical aspects of the design and the name of the agency unit, contractor(s), grantee(s), or other person(s) who will actually collect and/or analyze the information for the agency.</w:t>
      </w:r>
    </w:p>
    <w:p w:rsidRPr="00694A49" w:rsidR="0078157F" w:rsidP="002A0BC3" w:rsidRDefault="00694A49" w14:paraId="3F1A7457" w14:textId="263CF29A">
      <w:pPr>
        <w:pStyle w:val="Body11ptCalibrDBi-IPR"/>
        <w:spacing w:after="240"/>
      </w:pPr>
      <w:r w:rsidRPr="00683BA4">
        <w:t>FNS consulted with</w:t>
      </w:r>
      <w:r w:rsidR="00466276">
        <w:t xml:space="preserve"> a mathematical statistician</w:t>
      </w:r>
      <w:r w:rsidRPr="00683BA4">
        <w:t xml:space="preserve"> </w:t>
      </w:r>
      <w:r w:rsidR="00466276">
        <w:t xml:space="preserve">from USDA’s National Agricultural Statistics Service (NASS), who reviewed the study methodology and procedures </w:t>
      </w:r>
      <w:r w:rsidRPr="00683BA4">
        <w:t>(see table B.5.1).</w:t>
      </w:r>
      <w:r w:rsidRPr="00B62368" w:rsidDel="00E701C8">
        <w:t xml:space="preserve"> </w:t>
      </w:r>
      <w:r w:rsidRPr="00DE0301" w:rsidR="00DE0301">
        <w:t xml:space="preserve">The review from NASS and </w:t>
      </w:r>
      <w:r w:rsidR="00083D7F">
        <w:t>the study team’s</w:t>
      </w:r>
      <w:r w:rsidRPr="00DE0301" w:rsidR="00083D7F">
        <w:t xml:space="preserve"> </w:t>
      </w:r>
      <w:r w:rsidRPr="00DE0301" w:rsidR="00DE0301">
        <w:t xml:space="preserve">response to NASS’s comments appear </w:t>
      </w:r>
      <w:r w:rsidRPr="00D6240E" w:rsidR="00DE0301">
        <w:t xml:space="preserve">in </w:t>
      </w:r>
      <w:r w:rsidR="002A0E0D">
        <w:t>Appendix N</w:t>
      </w:r>
      <w:r w:rsidR="00767E69">
        <w:t>.</w:t>
      </w:r>
      <w:r w:rsidRPr="00DE0301" w:rsidR="00DE0301">
        <w:t xml:space="preserve"> </w:t>
      </w:r>
      <w:r w:rsidRPr="00B62368" w:rsidR="00DE0301">
        <w:t xml:space="preserve">FNS has contracted with Insight Policy Research to </w:t>
      </w:r>
      <w:r w:rsidR="00DE0301">
        <w:t xml:space="preserve">assist in </w:t>
      </w:r>
      <w:r w:rsidRPr="00B62368" w:rsidR="00DE0301">
        <w:t>conduct</w:t>
      </w:r>
      <w:r w:rsidR="00DE0301">
        <w:t>ing</w:t>
      </w:r>
      <w:r w:rsidRPr="00B62368" w:rsidR="00DE0301">
        <w:t xml:space="preserve"> this study.</w:t>
      </w:r>
      <w:r w:rsidRPr="00DE0301" w:rsidR="00DE0301">
        <w:t xml:space="preserve"> </w:t>
      </w:r>
      <w:r w:rsidRPr="003E5356" w:rsidR="00DE0301">
        <w:t xml:space="preserve">Table B.5.1 lists </w:t>
      </w:r>
      <w:r w:rsidR="004C7A36">
        <w:t xml:space="preserve">the names and contact information of individuals consulted on statistical aspects of the design and </w:t>
      </w:r>
      <w:r w:rsidR="00DE0301">
        <w:t xml:space="preserve">the Insight </w:t>
      </w:r>
      <w:r w:rsidR="004C7A36">
        <w:t>team</w:t>
      </w:r>
      <w:r w:rsidRPr="003E5356" w:rsidR="00DE0301">
        <w:t xml:space="preserve"> members responsible for the collection and analysis of the study data.</w:t>
      </w:r>
      <w:r w:rsidRPr="0078157F" w:rsidR="0078157F">
        <w:t xml:space="preserve"> </w:t>
      </w:r>
      <w:r w:rsidRPr="00B62368" w:rsidR="0078157F">
        <w:t xml:space="preserve">The Project Officer for the contract providing funding for the evaluation, </w:t>
      </w:r>
      <w:r w:rsidR="0078157F">
        <w:t>Dr</w:t>
      </w:r>
      <w:r w:rsidRPr="00B62368" w:rsidR="0078157F">
        <w:t xml:space="preserve">. </w:t>
      </w:r>
      <w:r w:rsidR="0078157F">
        <w:t>Kristen</w:t>
      </w:r>
      <w:r w:rsidRPr="00B62368" w:rsidR="0078157F">
        <w:t xml:space="preserve"> </w:t>
      </w:r>
      <w:r w:rsidR="0078157F">
        <w:t>Corey</w:t>
      </w:r>
      <w:r w:rsidRPr="00B62368" w:rsidR="0078157F">
        <w:t>, will be responsible for receiving and approving all contract deliverables.</w:t>
      </w:r>
    </w:p>
    <w:p w:rsidR="00694A49" w:rsidP="00694A49" w:rsidRDefault="00694A49" w14:paraId="69102098" w14:textId="00BA027E">
      <w:pPr>
        <w:pStyle w:val="TableTitle-IPR"/>
      </w:pPr>
      <w:bookmarkStart w:name="_Toc78365150" w:id="50"/>
      <w:r>
        <w:lastRenderedPageBreak/>
        <w:t>Table B.5.1</w:t>
      </w:r>
      <w:r w:rsidR="005F44AE">
        <w:t>.</w:t>
      </w:r>
      <w:r>
        <w:t xml:space="preserve"> </w:t>
      </w:r>
      <w:r w:rsidR="009E014F">
        <w:t>Consultants</w:t>
      </w:r>
      <w:bookmarkEnd w:id="50"/>
    </w:p>
    <w:tbl>
      <w:tblPr>
        <w:tblStyle w:val="InsightTable"/>
        <w:tblW w:w="4933" w:type="pct"/>
        <w:tblLook w:val="04A0" w:firstRow="1" w:lastRow="0" w:firstColumn="1" w:lastColumn="0" w:noHBand="0" w:noVBand="1"/>
      </w:tblPr>
      <w:tblGrid>
        <w:gridCol w:w="1337"/>
        <w:gridCol w:w="2835"/>
        <w:gridCol w:w="2015"/>
        <w:gridCol w:w="3048"/>
      </w:tblGrid>
      <w:tr w:rsidR="00694A49" w:rsidTr="00960E81" w14:paraId="0417C732" w14:textId="77777777">
        <w:trPr>
          <w:cnfStyle w:val="100000000000" w:firstRow="1" w:lastRow="0" w:firstColumn="0" w:lastColumn="0" w:oddVBand="0" w:evenVBand="0" w:oddHBand="0" w:evenHBand="0" w:firstRowFirstColumn="0" w:firstRowLastColumn="0" w:lastRowFirstColumn="0" w:lastRowLastColumn="0"/>
          <w:trHeight w:val="360"/>
          <w:tblHeader/>
        </w:trPr>
        <w:tc>
          <w:tcPr>
            <w:tcW w:w="724" w:type="pct"/>
            <w:hideMark/>
          </w:tcPr>
          <w:p w:rsidRPr="004847F3" w:rsidR="00694A49" w:rsidP="00F975D9" w:rsidRDefault="00694A49" w14:paraId="2ABF53CB" w14:textId="77777777">
            <w:pPr>
              <w:rPr>
                <w:rFonts w:ascii="Lucida Sans" w:hAnsi="Lucida Sans" w:cs="Calibri" w:eastAsiaTheme="minorHAnsi"/>
                <w:b/>
                <w:bCs/>
                <w:sz w:val="18"/>
                <w:szCs w:val="20"/>
              </w:rPr>
            </w:pPr>
            <w:r w:rsidRPr="004847F3">
              <w:rPr>
                <w:rFonts w:ascii="Lucida Sans" w:hAnsi="Lucida Sans"/>
                <w:b/>
                <w:bCs/>
                <w:sz w:val="18"/>
                <w:szCs w:val="20"/>
              </w:rPr>
              <w:t>Name</w:t>
            </w:r>
          </w:p>
        </w:tc>
        <w:tc>
          <w:tcPr>
            <w:tcW w:w="1535" w:type="pct"/>
            <w:hideMark/>
          </w:tcPr>
          <w:p w:rsidRPr="004847F3" w:rsidR="00694A49" w:rsidP="00F975D9" w:rsidRDefault="00694A49" w14:paraId="08FE4DCB" w14:textId="77777777">
            <w:pPr>
              <w:rPr>
                <w:rFonts w:ascii="Lucida Sans" w:hAnsi="Lucida Sans" w:cs="Calibri" w:eastAsiaTheme="minorHAnsi"/>
                <w:b/>
                <w:bCs/>
                <w:sz w:val="18"/>
                <w:szCs w:val="20"/>
              </w:rPr>
            </w:pPr>
            <w:r w:rsidRPr="004847F3">
              <w:rPr>
                <w:rFonts w:ascii="Lucida Sans" w:hAnsi="Lucida Sans"/>
                <w:b/>
                <w:bCs/>
                <w:sz w:val="18"/>
                <w:szCs w:val="20"/>
              </w:rPr>
              <w:t xml:space="preserve">Title </w:t>
            </w:r>
          </w:p>
        </w:tc>
        <w:tc>
          <w:tcPr>
            <w:tcW w:w="1091" w:type="pct"/>
            <w:hideMark/>
          </w:tcPr>
          <w:p w:rsidRPr="004847F3" w:rsidR="00694A49" w:rsidP="00F975D9" w:rsidRDefault="00694A49" w14:paraId="1EFB1D52" w14:textId="77777777">
            <w:pPr>
              <w:rPr>
                <w:rFonts w:ascii="Lucida Sans" w:hAnsi="Lucida Sans" w:cs="Calibri" w:eastAsiaTheme="minorHAnsi"/>
                <w:b/>
                <w:bCs/>
                <w:sz w:val="18"/>
                <w:szCs w:val="20"/>
              </w:rPr>
            </w:pPr>
            <w:r w:rsidRPr="004847F3">
              <w:rPr>
                <w:rFonts w:ascii="Lucida Sans" w:hAnsi="Lucida Sans"/>
                <w:b/>
                <w:bCs/>
                <w:sz w:val="18"/>
                <w:szCs w:val="20"/>
              </w:rPr>
              <w:t>Organizational Affiliation</w:t>
            </w:r>
          </w:p>
        </w:tc>
        <w:tc>
          <w:tcPr>
            <w:tcW w:w="1650" w:type="pct"/>
            <w:hideMark/>
          </w:tcPr>
          <w:p w:rsidRPr="004847F3" w:rsidR="00694A49" w:rsidP="00F975D9" w:rsidRDefault="00694A49" w14:paraId="22A08B96" w14:textId="77777777">
            <w:pPr>
              <w:rPr>
                <w:rFonts w:ascii="Lucida Sans" w:hAnsi="Lucida Sans" w:cs="Calibri" w:eastAsiaTheme="minorHAnsi"/>
                <w:b/>
                <w:bCs/>
                <w:sz w:val="18"/>
                <w:szCs w:val="20"/>
              </w:rPr>
            </w:pPr>
            <w:r w:rsidRPr="0072296C">
              <w:rPr>
                <w:rFonts w:ascii="Lucida Sans" w:hAnsi="Lucida Sans"/>
                <w:b/>
                <w:bCs/>
                <w:sz w:val="18"/>
                <w:szCs w:val="20"/>
              </w:rPr>
              <w:t>Contact Information</w:t>
            </w:r>
            <w:r>
              <w:rPr>
                <w:rStyle w:val="CommentReference"/>
                <w:sz w:val="18"/>
                <w:szCs w:val="20"/>
              </w:rPr>
              <w:t xml:space="preserve"> </w:t>
            </w:r>
          </w:p>
        </w:tc>
      </w:tr>
      <w:tr w:rsidR="00694A49" w:rsidTr="00960E81" w14:paraId="0EACAFDB" w14:textId="77777777">
        <w:trPr>
          <w:trHeight w:val="288"/>
        </w:trPr>
        <w:tc>
          <w:tcPr>
            <w:tcW w:w="724" w:type="pct"/>
            <w:hideMark/>
          </w:tcPr>
          <w:p w:rsidR="00694A49" w:rsidP="00F975D9" w:rsidRDefault="00BA70A3" w14:paraId="1F418A81" w14:textId="24EF755F">
            <w:pPr>
              <w:pStyle w:val="TableText-IPR"/>
            </w:pPr>
            <w:r w:rsidRPr="00BA70A3">
              <w:t>Brent Farley</w:t>
            </w:r>
          </w:p>
        </w:tc>
        <w:tc>
          <w:tcPr>
            <w:tcW w:w="1535" w:type="pct"/>
            <w:hideMark/>
          </w:tcPr>
          <w:p w:rsidRPr="0044434E" w:rsidR="00694A49" w:rsidP="00F975D9" w:rsidRDefault="00466276" w14:paraId="306B3953" w14:textId="3D52BD57">
            <w:pPr>
              <w:pStyle w:val="TableText-IPR"/>
            </w:pPr>
            <w:r w:rsidRPr="0044434E">
              <w:t>Mathematical Statistician</w:t>
            </w:r>
          </w:p>
        </w:tc>
        <w:tc>
          <w:tcPr>
            <w:tcW w:w="1091" w:type="pct"/>
            <w:hideMark/>
          </w:tcPr>
          <w:p w:rsidRPr="0044434E" w:rsidR="00694A49" w:rsidP="00F975D9" w:rsidRDefault="00466276" w14:paraId="1C83036A" w14:textId="363CC63E">
            <w:pPr>
              <w:pStyle w:val="TableText-IPR"/>
            </w:pPr>
            <w:r w:rsidRPr="0044434E">
              <w:t>National Agricultural Statistics Service</w:t>
            </w:r>
          </w:p>
        </w:tc>
        <w:tc>
          <w:tcPr>
            <w:tcW w:w="1650" w:type="pct"/>
            <w:hideMark/>
          </w:tcPr>
          <w:p w:rsidRPr="0044434E" w:rsidR="00694A49" w:rsidP="00F975D9" w:rsidRDefault="00BA70A3" w14:paraId="6926C050" w14:textId="117671F7">
            <w:pPr>
              <w:pStyle w:val="TableText-IPR"/>
            </w:pPr>
            <w:r w:rsidRPr="00BA70A3">
              <w:t>Brent.farley@usda.gov</w:t>
            </w:r>
          </w:p>
        </w:tc>
      </w:tr>
      <w:tr w:rsidR="00AD737A" w:rsidTr="00960E81" w14:paraId="79958655" w14:textId="77777777">
        <w:trPr>
          <w:trHeight w:val="288"/>
        </w:trPr>
        <w:tc>
          <w:tcPr>
            <w:tcW w:w="724" w:type="pct"/>
          </w:tcPr>
          <w:p w:rsidRPr="00040E67" w:rsidR="00AD737A" w:rsidP="00F975D9" w:rsidRDefault="00AD737A" w14:paraId="6C46D2E3" w14:textId="6CE4CB3A">
            <w:pPr>
              <w:pStyle w:val="TableText-IPR"/>
            </w:pPr>
            <w:r w:rsidRPr="00040E67">
              <w:t>Kristen Corey</w:t>
            </w:r>
          </w:p>
        </w:tc>
        <w:tc>
          <w:tcPr>
            <w:tcW w:w="1535" w:type="pct"/>
          </w:tcPr>
          <w:p w:rsidRPr="0044434E" w:rsidR="00AD737A" w:rsidP="00F975D9" w:rsidRDefault="006553C9" w14:paraId="741542AD" w14:textId="4E47A299">
            <w:pPr>
              <w:pStyle w:val="TableText-IPR"/>
            </w:pPr>
            <w:r>
              <w:t>Social Science Research Analyst</w:t>
            </w:r>
          </w:p>
        </w:tc>
        <w:tc>
          <w:tcPr>
            <w:tcW w:w="1091" w:type="pct"/>
          </w:tcPr>
          <w:p w:rsidRPr="0044434E" w:rsidR="00AD737A" w:rsidP="00F975D9" w:rsidRDefault="00C146F6" w14:paraId="6EABDC8F" w14:textId="3232431B">
            <w:pPr>
              <w:pStyle w:val="TableText-IPR"/>
            </w:pPr>
            <w:r>
              <w:t>USDA FNS</w:t>
            </w:r>
          </w:p>
        </w:tc>
        <w:tc>
          <w:tcPr>
            <w:tcW w:w="1650" w:type="pct"/>
          </w:tcPr>
          <w:p w:rsidRPr="00466276" w:rsidR="00AD737A" w:rsidP="00F975D9" w:rsidRDefault="001F6B1A" w14:paraId="52394193" w14:textId="02107EF1">
            <w:pPr>
              <w:pStyle w:val="TableText-IPR"/>
              <w:rPr>
                <w:highlight w:val="yellow"/>
              </w:rPr>
            </w:pPr>
            <w:r w:rsidRPr="001F6B1A">
              <w:t>Kristen.Corey@usda.gov</w:t>
            </w:r>
          </w:p>
        </w:tc>
      </w:tr>
      <w:tr w:rsidR="00466276" w:rsidTr="00960E81" w14:paraId="377D1FA9" w14:textId="77777777">
        <w:trPr>
          <w:trHeight w:val="288"/>
        </w:trPr>
        <w:tc>
          <w:tcPr>
            <w:tcW w:w="724" w:type="pct"/>
          </w:tcPr>
          <w:p w:rsidR="00466276" w:rsidP="00F975D9" w:rsidRDefault="00555CFD" w14:paraId="0415965A" w14:textId="0B70EB2E">
            <w:pPr>
              <w:pStyle w:val="TableText-IPR"/>
            </w:pPr>
            <w:r>
              <w:t>Claire Wilson</w:t>
            </w:r>
          </w:p>
        </w:tc>
        <w:tc>
          <w:tcPr>
            <w:tcW w:w="1535" w:type="pct"/>
          </w:tcPr>
          <w:p w:rsidRPr="0044434E" w:rsidR="00466276" w:rsidP="00F975D9" w:rsidRDefault="001F6B1A" w14:paraId="4B35B8F6" w14:textId="207D0660">
            <w:pPr>
              <w:pStyle w:val="TableText-IPR"/>
            </w:pPr>
            <w:r>
              <w:t>Director, Human Services</w:t>
            </w:r>
          </w:p>
        </w:tc>
        <w:tc>
          <w:tcPr>
            <w:tcW w:w="1091" w:type="pct"/>
          </w:tcPr>
          <w:p w:rsidRPr="0044434E" w:rsidR="00466276" w:rsidP="00F975D9" w:rsidRDefault="001F6B1A" w14:paraId="67058D08" w14:textId="5259FB9A">
            <w:pPr>
              <w:pStyle w:val="TableText-IPR"/>
            </w:pPr>
            <w:r>
              <w:t>Insight Policy Research</w:t>
            </w:r>
          </w:p>
        </w:tc>
        <w:tc>
          <w:tcPr>
            <w:tcW w:w="1650" w:type="pct"/>
          </w:tcPr>
          <w:p w:rsidRPr="0044434E" w:rsidR="00466276" w:rsidP="00F975D9" w:rsidRDefault="001F6B1A" w14:paraId="5B0059AD" w14:textId="4B985916">
            <w:pPr>
              <w:pStyle w:val="TableText-IPR"/>
            </w:pPr>
            <w:r>
              <w:t>Cwilson@insightpolicyresearch.com</w:t>
            </w:r>
          </w:p>
        </w:tc>
      </w:tr>
      <w:tr w:rsidR="00466276" w:rsidTr="00960E81" w14:paraId="2302FF04" w14:textId="77777777">
        <w:trPr>
          <w:trHeight w:val="288"/>
        </w:trPr>
        <w:tc>
          <w:tcPr>
            <w:tcW w:w="724" w:type="pct"/>
          </w:tcPr>
          <w:p w:rsidR="00466276" w:rsidP="00F975D9" w:rsidRDefault="00AD737A" w14:paraId="1B4FB0FC" w14:textId="2349CABF">
            <w:pPr>
              <w:pStyle w:val="TableText-IPR"/>
            </w:pPr>
            <w:r>
              <w:t>Tracy Vericker</w:t>
            </w:r>
          </w:p>
        </w:tc>
        <w:tc>
          <w:tcPr>
            <w:tcW w:w="1535" w:type="pct"/>
          </w:tcPr>
          <w:p w:rsidRPr="0044434E" w:rsidR="00466276" w:rsidP="00F975D9" w:rsidRDefault="001F6B1A" w14:paraId="5B4584B1" w14:textId="6E47076C">
            <w:pPr>
              <w:pStyle w:val="TableText-IPR"/>
            </w:pPr>
            <w:r w:rsidRPr="001F6B1A">
              <w:t>Associate Director</w:t>
            </w:r>
            <w:r>
              <w:t xml:space="preserve">, </w:t>
            </w:r>
            <w:r w:rsidRPr="001F6B1A">
              <w:t>Social Policy and Economics Research</w:t>
            </w:r>
          </w:p>
        </w:tc>
        <w:tc>
          <w:tcPr>
            <w:tcW w:w="1091" w:type="pct"/>
          </w:tcPr>
          <w:p w:rsidRPr="0044434E" w:rsidR="00466276" w:rsidP="00F975D9" w:rsidRDefault="001F6B1A" w14:paraId="15006FA4" w14:textId="62F0D5E5">
            <w:pPr>
              <w:pStyle w:val="TableText-IPR"/>
            </w:pPr>
            <w:r>
              <w:t>Westat</w:t>
            </w:r>
          </w:p>
        </w:tc>
        <w:tc>
          <w:tcPr>
            <w:tcW w:w="1650" w:type="pct"/>
          </w:tcPr>
          <w:p w:rsidRPr="0044434E" w:rsidR="00466276" w:rsidP="00F975D9" w:rsidRDefault="00C146F6" w14:paraId="4CC7AB49" w14:textId="0B38F215">
            <w:pPr>
              <w:pStyle w:val="TableText-IPR"/>
            </w:pPr>
            <w:r w:rsidRPr="00040E67">
              <w:t>TracyVericker@westat.com</w:t>
            </w:r>
          </w:p>
        </w:tc>
      </w:tr>
      <w:tr w:rsidR="00466276" w:rsidTr="00960E81" w14:paraId="04319BDE" w14:textId="77777777">
        <w:trPr>
          <w:trHeight w:val="288"/>
        </w:trPr>
        <w:tc>
          <w:tcPr>
            <w:tcW w:w="724" w:type="pct"/>
          </w:tcPr>
          <w:p w:rsidR="00466276" w:rsidP="00F975D9" w:rsidRDefault="001F6B1A" w14:paraId="1E671724" w14:textId="3F4864F6">
            <w:pPr>
              <w:pStyle w:val="TableText-IPR"/>
            </w:pPr>
            <w:r>
              <w:t>Jill DeMatteis</w:t>
            </w:r>
          </w:p>
        </w:tc>
        <w:tc>
          <w:tcPr>
            <w:tcW w:w="1535" w:type="pct"/>
          </w:tcPr>
          <w:p w:rsidRPr="0044434E" w:rsidR="00466276" w:rsidP="00F975D9" w:rsidRDefault="001F6B1A" w14:paraId="73EF7EDD" w14:textId="55D95946">
            <w:pPr>
              <w:pStyle w:val="TableText-IPR"/>
            </w:pPr>
            <w:r>
              <w:t>Vice President</w:t>
            </w:r>
          </w:p>
        </w:tc>
        <w:tc>
          <w:tcPr>
            <w:tcW w:w="1091" w:type="pct"/>
          </w:tcPr>
          <w:p w:rsidRPr="0044434E" w:rsidR="00466276" w:rsidP="00F975D9" w:rsidRDefault="001F6B1A" w14:paraId="45E2ECBB" w14:textId="1B967330">
            <w:pPr>
              <w:pStyle w:val="TableText-IPR"/>
            </w:pPr>
            <w:r>
              <w:t>Westat</w:t>
            </w:r>
          </w:p>
        </w:tc>
        <w:tc>
          <w:tcPr>
            <w:tcW w:w="1650" w:type="pct"/>
          </w:tcPr>
          <w:p w:rsidRPr="0044434E" w:rsidR="00466276" w:rsidP="00F975D9" w:rsidRDefault="001F6B1A" w14:paraId="2DA092EF" w14:textId="352F7FF9">
            <w:pPr>
              <w:pStyle w:val="TableText-IPR"/>
            </w:pPr>
            <w:r w:rsidRPr="001F6B1A">
              <w:t>JillDematteis@</w:t>
            </w:r>
            <w:r>
              <w:t>w</w:t>
            </w:r>
            <w:r w:rsidRPr="001F6B1A">
              <w:t>estat.com</w:t>
            </w:r>
          </w:p>
        </w:tc>
      </w:tr>
      <w:tr w:rsidR="00AD737A" w:rsidTr="00960E81" w14:paraId="15378F68" w14:textId="77777777">
        <w:trPr>
          <w:trHeight w:val="288"/>
        </w:trPr>
        <w:tc>
          <w:tcPr>
            <w:tcW w:w="724" w:type="pct"/>
          </w:tcPr>
          <w:p w:rsidR="00AD737A" w:rsidP="00F975D9" w:rsidRDefault="001F6B1A" w14:paraId="5E9F1CE7" w14:textId="54B9AA04">
            <w:pPr>
              <w:pStyle w:val="TableText-IPR"/>
            </w:pPr>
            <w:r>
              <w:t>Jennifer Kali</w:t>
            </w:r>
          </w:p>
        </w:tc>
        <w:tc>
          <w:tcPr>
            <w:tcW w:w="1535" w:type="pct"/>
          </w:tcPr>
          <w:p w:rsidRPr="0044434E" w:rsidR="00AD737A" w:rsidP="00F975D9" w:rsidRDefault="001F6B1A" w14:paraId="1924A422" w14:textId="7F904616">
            <w:pPr>
              <w:pStyle w:val="TableText-IPR"/>
            </w:pPr>
            <w:r>
              <w:t>Statistician</w:t>
            </w:r>
          </w:p>
        </w:tc>
        <w:tc>
          <w:tcPr>
            <w:tcW w:w="1091" w:type="pct"/>
          </w:tcPr>
          <w:p w:rsidRPr="0044434E" w:rsidR="00AD737A" w:rsidP="00F975D9" w:rsidRDefault="001F6B1A" w14:paraId="2DB97A81" w14:textId="0367A002">
            <w:pPr>
              <w:pStyle w:val="TableText-IPR"/>
            </w:pPr>
            <w:r>
              <w:t>Westat</w:t>
            </w:r>
          </w:p>
        </w:tc>
        <w:tc>
          <w:tcPr>
            <w:tcW w:w="1650" w:type="pct"/>
          </w:tcPr>
          <w:p w:rsidRPr="0044434E" w:rsidR="00AD737A" w:rsidP="00F975D9" w:rsidRDefault="001F6B1A" w14:paraId="3F9D6BA6" w14:textId="1D5DA4E0">
            <w:pPr>
              <w:pStyle w:val="TableText-IPR"/>
            </w:pPr>
            <w:r>
              <w:t>JenniferKali@westat.com</w:t>
            </w:r>
          </w:p>
        </w:tc>
      </w:tr>
      <w:tr w:rsidR="00AD737A" w:rsidTr="00960E81" w14:paraId="660B37CA" w14:textId="77777777">
        <w:trPr>
          <w:trHeight w:val="288"/>
        </w:trPr>
        <w:tc>
          <w:tcPr>
            <w:tcW w:w="724" w:type="pct"/>
          </w:tcPr>
          <w:p w:rsidR="00AD737A" w:rsidP="00F975D9" w:rsidRDefault="001E66FB" w14:paraId="06B338A0" w14:textId="653232FA">
            <w:pPr>
              <w:pStyle w:val="TableText-IPR"/>
            </w:pPr>
            <w:r>
              <w:t>Anitza Cox</w:t>
            </w:r>
          </w:p>
        </w:tc>
        <w:tc>
          <w:tcPr>
            <w:tcW w:w="1535" w:type="pct"/>
          </w:tcPr>
          <w:p w:rsidRPr="0044434E" w:rsidR="00AD737A" w:rsidP="00F975D9" w:rsidRDefault="001E66FB" w14:paraId="248FFFC2" w14:textId="29E5BB57">
            <w:pPr>
              <w:pStyle w:val="TableText-IPR"/>
            </w:pPr>
            <w:r>
              <w:t>Director, Analysis and Social Policy</w:t>
            </w:r>
          </w:p>
        </w:tc>
        <w:tc>
          <w:tcPr>
            <w:tcW w:w="1091" w:type="pct"/>
          </w:tcPr>
          <w:p w:rsidRPr="0044434E" w:rsidR="00AD737A" w:rsidP="00F975D9" w:rsidRDefault="001E66FB" w14:paraId="435380B4" w14:textId="0DA409CB">
            <w:pPr>
              <w:pStyle w:val="TableText-IPR"/>
            </w:pPr>
            <w:r>
              <w:t>Estudios T</w:t>
            </w:r>
            <w:r w:rsidRPr="002B452F" w:rsidR="0092428C">
              <w:rPr>
                <w:szCs w:val="22"/>
              </w:rPr>
              <w:t>é</w:t>
            </w:r>
            <w:r>
              <w:t>cnicos</w:t>
            </w:r>
          </w:p>
        </w:tc>
        <w:tc>
          <w:tcPr>
            <w:tcW w:w="1650" w:type="pct"/>
          </w:tcPr>
          <w:p w:rsidRPr="0044434E" w:rsidR="00AD737A" w:rsidP="00F975D9" w:rsidRDefault="001E66FB" w14:paraId="757D6150" w14:textId="78C51E87">
            <w:pPr>
              <w:pStyle w:val="TableText-IPR"/>
            </w:pPr>
            <w:r w:rsidRPr="001E66FB">
              <w:t>acox@estudiostecnicos.com</w:t>
            </w:r>
          </w:p>
        </w:tc>
      </w:tr>
    </w:tbl>
    <w:p w:rsidR="00694A49" w:rsidP="0078157F" w:rsidRDefault="00694A49" w14:paraId="11E32287" w14:textId="4485CD62">
      <w:pPr>
        <w:pStyle w:val="Body11ptCalibri-IPR"/>
        <w:spacing w:after="240"/>
      </w:pPr>
    </w:p>
    <w:p w:rsidRPr="00694A49" w:rsidR="0078157F" w:rsidP="0078157F" w:rsidRDefault="0078157F" w14:paraId="11DED7E1" w14:textId="77777777">
      <w:pPr>
        <w:pStyle w:val="Body11ptCalibri-IPR"/>
        <w:spacing w:after="240"/>
      </w:pPr>
    </w:p>
    <w:sectPr w:rsidRPr="00694A49" w:rsidR="0078157F" w:rsidSect="00960E81">
      <w:headerReference w:type="default" r:id="rId12"/>
      <w:footerReference w:type="default" r:id="rId13"/>
      <w:pgSz w:w="12240" w:h="15840" w:code="1"/>
      <w:pgMar w:top="1440" w:right="1440" w:bottom="1440" w:left="1440" w:header="0" w:footer="893"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7645A" w14:textId="77777777" w:rsidR="00AE3AA1" w:rsidRDefault="00AE3AA1" w:rsidP="00CF5E31">
      <w:r>
        <w:separator/>
      </w:r>
    </w:p>
    <w:p w14:paraId="5461A5F6" w14:textId="77777777" w:rsidR="00AE3AA1" w:rsidRDefault="00AE3AA1"/>
    <w:p w14:paraId="4128C355" w14:textId="77777777" w:rsidR="00AE3AA1" w:rsidRDefault="00AE3AA1"/>
    <w:p w14:paraId="53DA5C1C" w14:textId="77777777" w:rsidR="00AE3AA1" w:rsidRDefault="00AE3AA1"/>
    <w:p w14:paraId="7B0C7BE7" w14:textId="77777777" w:rsidR="00AE3AA1" w:rsidRDefault="00AE3AA1"/>
  </w:endnote>
  <w:endnote w:type="continuationSeparator" w:id="0">
    <w:p w14:paraId="26C380B2" w14:textId="77777777" w:rsidR="00AE3AA1" w:rsidRDefault="00AE3AA1" w:rsidP="00CF5E31">
      <w:r>
        <w:continuationSeparator/>
      </w:r>
    </w:p>
    <w:p w14:paraId="352CF5F2" w14:textId="77777777" w:rsidR="00AE3AA1" w:rsidRDefault="00AE3AA1"/>
    <w:p w14:paraId="18E4111E" w14:textId="77777777" w:rsidR="00AE3AA1" w:rsidRDefault="00AE3AA1"/>
    <w:p w14:paraId="00717B54" w14:textId="77777777" w:rsidR="00AE3AA1" w:rsidRDefault="00AE3AA1"/>
    <w:p w14:paraId="1C94E750" w14:textId="77777777" w:rsidR="00AE3AA1" w:rsidRDefault="00AE3AA1"/>
  </w:endnote>
  <w:endnote w:type="continuationNotice" w:id="1">
    <w:p w14:paraId="5537FF9C" w14:textId="77777777" w:rsidR="00AE3AA1" w:rsidRDefault="00AE3A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Sans">
    <w:panose1 w:val="020B0602040502020204"/>
    <w:charset w:val="00"/>
    <w:family w:val="swiss"/>
    <w:pitch w:val="variable"/>
    <w:sig w:usb0="8100AAF7" w:usb1="0000807B" w:usb2="00000008" w:usb3="00000000" w:csb0="000100F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3DC48" w14:textId="77777777" w:rsidR="00AE3AA1" w:rsidRPr="00FF2359" w:rsidRDefault="00AE3AA1" w:rsidP="00960E81">
    <w:pPr>
      <w:pStyle w:val="Footer"/>
      <w:pBdr>
        <w:top w:val="none" w:sz="0" w:space="0"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256671190"/>
      <w:docPartObj>
        <w:docPartGallery w:val="Page Numbers (Bottom of Page)"/>
        <w:docPartUnique/>
      </w:docPartObj>
    </w:sdtPr>
    <w:sdtEndPr>
      <w:rPr>
        <w:noProof/>
      </w:rPr>
    </w:sdtEndPr>
    <w:sdtContent>
      <w:bookmarkStart w:id="15" w:name="_Hlk71889229" w:displacedByCustomXml="prev"/>
      <w:p w14:paraId="25A7D6C1" w14:textId="77777777" w:rsidR="00AE3AA1" w:rsidRPr="00951ACB" w:rsidRDefault="00AB5681" w:rsidP="00AE3AA1">
        <w:pPr>
          <w:pBdr>
            <w:top w:val="single" w:sz="8" w:space="1" w:color="B12732"/>
          </w:pBdr>
          <w:tabs>
            <w:tab w:val="right" w:pos="9360"/>
          </w:tabs>
          <w:rPr>
            <w:sz w:val="20"/>
            <w:szCs w:val="20"/>
          </w:rPr>
        </w:pPr>
        <w:sdt>
          <w:sdtPr>
            <w:rPr>
              <w:rStyle w:val="FooterTitle-IPRChar"/>
              <w:rFonts w:eastAsiaTheme="minorHAnsi"/>
              <w:szCs w:val="20"/>
            </w:rPr>
            <w:id w:val="-529493131"/>
            <w:docPartObj>
              <w:docPartGallery w:val="Page Numbers (Bottom of Page)"/>
              <w:docPartUnique/>
            </w:docPartObj>
          </w:sdtPr>
          <w:sdtEndPr>
            <w:rPr>
              <w:rStyle w:val="FooterTitle-IPRChar"/>
            </w:rPr>
          </w:sdtEndPr>
          <w:sdtContent>
            <w:r w:rsidR="00AE3AA1" w:rsidRPr="001340A1">
              <w:rPr>
                <w:rStyle w:val="FooterTitle-IPRChar"/>
                <w:rFonts w:eastAsiaTheme="minorHAnsi"/>
                <w:szCs w:val="20"/>
              </w:rPr>
              <w:t>Food Security Status and Well-Being of NAP Participants in Puerto Rico</w:t>
            </w:r>
            <w:bookmarkEnd w:id="15"/>
            <w:r w:rsidR="00AE3AA1">
              <w:rPr>
                <w:rStyle w:val="FooterTitle-IPRChar"/>
                <w:rFonts w:eastAsiaTheme="minorHAnsi"/>
                <w:szCs w:val="20"/>
              </w:rPr>
              <w:t>, Supporting Statement Part A</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8311168"/>
      <w:docPartObj>
        <w:docPartGallery w:val="Page Numbers (Bottom of Page)"/>
        <w:docPartUnique/>
      </w:docPartObj>
    </w:sdtPr>
    <w:sdtEndPr>
      <w:rPr>
        <w:noProof/>
      </w:rPr>
    </w:sdtEndPr>
    <w:sdtContent>
      <w:p w14:paraId="3A511DE2" w14:textId="763DECC2" w:rsidR="00AE3AA1" w:rsidRPr="00267BFC" w:rsidRDefault="00AB5681" w:rsidP="00267BFC">
        <w:pPr>
          <w:pBdr>
            <w:top w:val="single" w:sz="8" w:space="1" w:color="B12732"/>
          </w:pBdr>
          <w:tabs>
            <w:tab w:val="right" w:pos="9360"/>
          </w:tabs>
        </w:pPr>
        <w:sdt>
          <w:sdtPr>
            <w:rPr>
              <w:rStyle w:val="FooterTitle-IPRChar"/>
              <w:rFonts w:eastAsiaTheme="minorHAnsi"/>
            </w:rPr>
            <w:id w:val="96065462"/>
            <w:docPartObj>
              <w:docPartGallery w:val="Page Numbers (Bottom of Page)"/>
              <w:docPartUnique/>
            </w:docPartObj>
          </w:sdtPr>
          <w:sdtEndPr>
            <w:rPr>
              <w:rStyle w:val="FooterTitle-IPRChar"/>
            </w:rPr>
          </w:sdtEndPr>
          <w:sdtContent>
            <w:r w:rsidR="00AE3AA1" w:rsidRPr="003A33E8">
              <w:rPr>
                <w:rStyle w:val="FooterTitle-IPRChar"/>
                <w:rFonts w:eastAsiaTheme="minorHAnsi"/>
              </w:rPr>
              <w:t>Food Security Status and Well-Being of NA</w:t>
            </w:r>
            <w:r w:rsidR="00AE3AA1">
              <w:rPr>
                <w:rStyle w:val="FooterTitle-IPRChar"/>
                <w:rFonts w:eastAsiaTheme="minorHAnsi"/>
              </w:rPr>
              <w:t>P</w:t>
            </w:r>
            <w:r w:rsidR="00AE3AA1" w:rsidRPr="003A33E8">
              <w:rPr>
                <w:rStyle w:val="FooterTitle-IPRChar"/>
                <w:rFonts w:eastAsiaTheme="minorHAnsi"/>
              </w:rPr>
              <w:t xml:space="preserve"> Participants in Puerto Rico</w:t>
            </w:r>
            <w:r w:rsidR="00AE3AA1">
              <w:rPr>
                <w:rStyle w:val="FooterTitle-IPRChar"/>
                <w:rFonts w:eastAsiaTheme="minorHAnsi"/>
              </w:rPr>
              <w:t>, Supporting Statement Part B</w:t>
            </w:r>
            <w:r w:rsidR="00AE3AA1" w:rsidRPr="00B65CD4" w:rsidDel="00751F29">
              <w:rPr>
                <w:rStyle w:val="FooterTitle-IPRChar"/>
                <w:rFonts w:eastAsiaTheme="minorHAnsi"/>
              </w:rPr>
              <w:t xml:space="preserve"> </w:t>
            </w:r>
            <w:r w:rsidR="00AE3AA1" w:rsidRPr="00EA44E0">
              <w:rPr>
                <w:rStyle w:val="FooterTitle-IPRChar"/>
                <w:rFonts w:eastAsiaTheme="minorHAnsi"/>
              </w:rPr>
              <w:tab/>
            </w:r>
            <w:r w:rsidR="00AE3AA1" w:rsidRPr="00EA44E0">
              <w:rPr>
                <w:rStyle w:val="FooterTitle-IPRChar"/>
                <w:rFonts w:eastAsiaTheme="minorHAnsi"/>
              </w:rPr>
              <w:fldChar w:fldCharType="begin"/>
            </w:r>
            <w:r w:rsidR="00AE3AA1" w:rsidRPr="00EA44E0">
              <w:rPr>
                <w:rStyle w:val="FooterTitle-IPRChar"/>
                <w:rFonts w:eastAsiaTheme="minorHAnsi"/>
              </w:rPr>
              <w:instrText xml:space="preserve"> PAGE   \* MERGEFORMAT </w:instrText>
            </w:r>
            <w:r w:rsidR="00AE3AA1" w:rsidRPr="00EA44E0">
              <w:rPr>
                <w:rStyle w:val="FooterTitle-IPRChar"/>
                <w:rFonts w:eastAsiaTheme="minorHAnsi"/>
              </w:rPr>
              <w:fldChar w:fldCharType="separate"/>
            </w:r>
            <w:r w:rsidR="00AE3AA1">
              <w:rPr>
                <w:rStyle w:val="FooterTitle-IPRChar"/>
                <w:rFonts w:eastAsiaTheme="minorHAnsi"/>
                <w:noProof/>
              </w:rPr>
              <w:t>29</w:t>
            </w:r>
            <w:r w:rsidR="00AE3AA1" w:rsidRPr="00EA44E0">
              <w:rPr>
                <w:rStyle w:val="FooterTitle-IPRChar"/>
                <w:rFonts w:eastAsiaTheme="minorHAnsi"/>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A7B0F" w14:textId="77777777" w:rsidR="00AE3AA1" w:rsidRDefault="00AE3AA1" w:rsidP="00942AE2">
      <w:pPr>
        <w:pStyle w:val="FtnteBodyText-IPR"/>
      </w:pPr>
      <w:r>
        <w:separator/>
      </w:r>
    </w:p>
  </w:footnote>
  <w:footnote w:type="continuationSeparator" w:id="0">
    <w:p w14:paraId="0E14C9A2" w14:textId="77777777" w:rsidR="00AE3AA1" w:rsidRDefault="00AE3AA1" w:rsidP="00942AE2">
      <w:pPr>
        <w:pStyle w:val="FtnteBodyText-IPR"/>
      </w:pPr>
      <w:r>
        <w:continuationSeparator/>
      </w:r>
    </w:p>
  </w:footnote>
  <w:footnote w:type="continuationNotice" w:id="1">
    <w:p w14:paraId="505E4214" w14:textId="77777777" w:rsidR="00AE3AA1" w:rsidRDefault="00AE3AA1" w:rsidP="00942AE2">
      <w:pPr>
        <w:pStyle w:val="FtnteBodyText-IPR"/>
      </w:pPr>
    </w:p>
  </w:footnote>
  <w:footnote w:id="2">
    <w:p w14:paraId="389C61BE" w14:textId="019A422C" w:rsidR="00AE3AA1" w:rsidRDefault="00AE3AA1" w:rsidP="00503F46">
      <w:pPr>
        <w:pStyle w:val="FtnteBodyText-IPR"/>
      </w:pPr>
      <w:r>
        <w:rPr>
          <w:rStyle w:val="FootnoteReference"/>
        </w:rPr>
        <w:footnoteRef/>
      </w:r>
      <w:r>
        <w:t xml:space="preserve"> </w:t>
      </w:r>
      <w:r w:rsidRPr="0092428C">
        <w:t xml:space="preserve">Lohr, S. L. (2009). Multiple-frame surveys. </w:t>
      </w:r>
      <w:r w:rsidRPr="008B3A10">
        <w:rPr>
          <w:i/>
          <w:iCs/>
        </w:rPr>
        <w:t xml:space="preserve">Handbook of Statistics, 29, </w:t>
      </w:r>
      <w:r w:rsidRPr="0092428C">
        <w:t>71–88. Elsevier.</w:t>
      </w:r>
    </w:p>
  </w:footnote>
  <w:footnote w:id="3">
    <w:p w14:paraId="15B18AF1" w14:textId="67EBC4A9" w:rsidR="00AE3AA1" w:rsidRDefault="00AE3AA1" w:rsidP="00503F46">
      <w:pPr>
        <w:pStyle w:val="FtnteBodyText-IPR"/>
      </w:pPr>
      <w:r>
        <w:rPr>
          <w:rStyle w:val="FootnoteReference"/>
        </w:rPr>
        <w:footnoteRef/>
      </w:r>
      <w:r>
        <w:t xml:space="preserve"> It is not possible to identify overlap prior to selection because the addresses in the area probability sample will be determined as interviewers are in the field collecting data.</w:t>
      </w:r>
    </w:p>
  </w:footnote>
  <w:footnote w:id="4">
    <w:p w14:paraId="2C39BCD0" w14:textId="51E95E57" w:rsidR="00AE3AA1" w:rsidRDefault="00AE3AA1" w:rsidP="00503F46">
      <w:pPr>
        <w:pStyle w:val="FtnteBodyText-IPR"/>
      </w:pPr>
      <w:r>
        <w:rPr>
          <w:rStyle w:val="FootnoteReference"/>
        </w:rPr>
        <w:footnoteRef/>
      </w:r>
      <w:r>
        <w:t xml:space="preserve"> </w:t>
      </w:r>
      <w:r w:rsidRPr="00E3373B">
        <w:t xml:space="preserve">Hansen, M. H., &amp; Hauser, P. M. (1945). Area sampling—some principles of sample design. </w:t>
      </w:r>
      <w:r w:rsidRPr="008B3A10">
        <w:rPr>
          <w:i/>
          <w:iCs/>
        </w:rPr>
        <w:t>Public Opinion Quarterly, 9</w:t>
      </w:r>
      <w:r w:rsidRPr="00E3373B">
        <w:t>, 183–193</w:t>
      </w:r>
      <w:r>
        <w:t>.</w:t>
      </w:r>
    </w:p>
  </w:footnote>
  <w:footnote w:id="5">
    <w:p w14:paraId="075E586C" w14:textId="77777777" w:rsidR="00AE3AA1" w:rsidRPr="00FB18B5" w:rsidRDefault="00AE3AA1" w:rsidP="00417730">
      <w:pPr>
        <w:pStyle w:val="FootnoteText"/>
        <w:rPr>
          <w:rFonts w:ascii="Calibri" w:hAnsi="Calibri" w:cs="Calibri"/>
        </w:rPr>
      </w:pPr>
      <w:r w:rsidRPr="00FB18B5">
        <w:rPr>
          <w:rStyle w:val="FootnoteReference"/>
          <w:rFonts w:ascii="Calibri" w:hAnsi="Calibri" w:cs="Calibri"/>
        </w:rPr>
        <w:footnoteRef/>
      </w:r>
      <w:r w:rsidRPr="00FB18B5">
        <w:rPr>
          <w:rFonts w:ascii="Calibri" w:hAnsi="Calibri" w:cs="Calibri"/>
        </w:rPr>
        <w:t xml:space="preserve"> A longer field period is required for the area</w:t>
      </w:r>
      <w:r>
        <w:rPr>
          <w:rFonts w:ascii="Calibri" w:hAnsi="Calibri" w:cs="Calibri"/>
        </w:rPr>
        <w:t xml:space="preserve"> </w:t>
      </w:r>
      <w:r w:rsidRPr="00FB18B5">
        <w:rPr>
          <w:rFonts w:ascii="Calibri" w:hAnsi="Calibri" w:cs="Calibri"/>
        </w:rPr>
        <w:t>probability frame to balance sample size with the number of required data collectors.</w:t>
      </w:r>
    </w:p>
  </w:footnote>
  <w:footnote w:id="6">
    <w:p w14:paraId="3E1BB8DF" w14:textId="6EC77141" w:rsidR="00AE3AA1" w:rsidRDefault="00AE3AA1" w:rsidP="00013514">
      <w:pPr>
        <w:pStyle w:val="FtnteBodyText-IPR"/>
      </w:pPr>
      <w:r>
        <w:rPr>
          <w:rStyle w:val="FootnoteReference"/>
        </w:rPr>
        <w:footnoteRef/>
      </w:r>
      <w:r>
        <w:t xml:space="preserve"> </w:t>
      </w:r>
      <w:r w:rsidRPr="00FB3E1E">
        <w:t>Kalton, G.</w:t>
      </w:r>
      <w:r>
        <w:t>,</w:t>
      </w:r>
      <w:r w:rsidRPr="00FB3E1E">
        <w:t xml:space="preserve"> </w:t>
      </w:r>
      <w:r>
        <w:t>&amp;</w:t>
      </w:r>
      <w:r w:rsidRPr="00FB3E1E">
        <w:t xml:space="preserve"> Flores-Cervantes, I. (2003) Weighting </w:t>
      </w:r>
      <w:r>
        <w:t>m</w:t>
      </w:r>
      <w:r w:rsidRPr="00FB3E1E">
        <w:t>ethods.</w:t>
      </w:r>
      <w:r w:rsidRPr="008B3A10">
        <w:rPr>
          <w:i/>
          <w:iCs/>
        </w:rPr>
        <w:t xml:space="preserve"> Journal of Official Statistics, 19,</w:t>
      </w:r>
      <w:r w:rsidRPr="00FB3E1E">
        <w:t xml:space="preserve"> 81</w:t>
      </w:r>
      <w:r>
        <w:t>–</w:t>
      </w:r>
      <w:r w:rsidRPr="00FB3E1E">
        <w:t>97.</w:t>
      </w:r>
    </w:p>
  </w:footnote>
  <w:footnote w:id="7">
    <w:p w14:paraId="018AD355" w14:textId="720F0535" w:rsidR="00AE3AA1" w:rsidRDefault="00AE3AA1" w:rsidP="00013514">
      <w:pPr>
        <w:pStyle w:val="FtnteBodyText-IPR"/>
      </w:pPr>
      <w:r>
        <w:rPr>
          <w:rStyle w:val="FootnoteReference"/>
        </w:rPr>
        <w:footnoteRef/>
      </w:r>
      <w:r>
        <w:t xml:space="preserve"> </w:t>
      </w:r>
      <w:r w:rsidRPr="00FB3E1E">
        <w:t>Kalton, G.</w:t>
      </w:r>
      <w:r>
        <w:t>,</w:t>
      </w:r>
      <w:r w:rsidRPr="00FB3E1E">
        <w:t xml:space="preserve"> </w:t>
      </w:r>
      <w:r>
        <w:t>&amp;</w:t>
      </w:r>
      <w:r w:rsidRPr="00FB3E1E">
        <w:t xml:space="preserve"> Flores-Cervantes, I. (2003) Weighting </w:t>
      </w:r>
      <w:r>
        <w:t>m</w:t>
      </w:r>
      <w:r w:rsidRPr="00FB3E1E">
        <w:t>ethods.</w:t>
      </w:r>
      <w:r w:rsidRPr="00474259">
        <w:rPr>
          <w:i/>
          <w:iCs/>
        </w:rPr>
        <w:t xml:space="preserve"> Journal of Official Statistics, 19,</w:t>
      </w:r>
      <w:r w:rsidRPr="00FB3E1E">
        <w:t xml:space="preserve"> 81</w:t>
      </w:r>
      <w:r>
        <w:t>–</w:t>
      </w:r>
      <w:r w:rsidRPr="00FB3E1E">
        <w:t>97.</w:t>
      </w:r>
    </w:p>
  </w:footnote>
  <w:footnote w:id="8">
    <w:p w14:paraId="4A2CF24F" w14:textId="70E7FFB0" w:rsidR="00AE3AA1" w:rsidRDefault="00AE3AA1" w:rsidP="00013514">
      <w:pPr>
        <w:pStyle w:val="FtnteBodyText-IPR"/>
      </w:pPr>
      <w:r>
        <w:rPr>
          <w:rStyle w:val="FootnoteReference"/>
        </w:rPr>
        <w:footnoteRef/>
      </w:r>
      <w:r>
        <w:t xml:space="preserve"> </w:t>
      </w:r>
      <w:r w:rsidRPr="0092428C">
        <w:t xml:space="preserve">Lohr, S. (2014). When should a multiple frame survey be used? </w:t>
      </w:r>
      <w:r w:rsidRPr="008B3A10">
        <w:rPr>
          <w:i/>
          <w:iCs/>
        </w:rPr>
        <w:t xml:space="preserve">The Survey Statistician, 69, </w:t>
      </w:r>
      <w:r w:rsidRPr="0092428C">
        <w:t>17–21.</w:t>
      </w:r>
    </w:p>
  </w:footnote>
  <w:footnote w:id="9">
    <w:p w14:paraId="78CA4E13" w14:textId="61A08145" w:rsidR="00AE3AA1" w:rsidRDefault="00AE3AA1" w:rsidP="00013514">
      <w:pPr>
        <w:pStyle w:val="FtnteBodyText-IPR"/>
      </w:pPr>
      <w:r>
        <w:rPr>
          <w:rStyle w:val="FootnoteReference"/>
        </w:rPr>
        <w:footnoteRef/>
      </w:r>
      <w:r>
        <w:t xml:space="preserve"> Deming, W. E., &amp; Stephan, F. F. (1940). On a least squares adjustment of a sampled frequency table when the expected marginal tables are known. </w:t>
      </w:r>
      <w:r w:rsidRPr="008B3A10">
        <w:rPr>
          <w:i/>
          <w:iCs/>
        </w:rPr>
        <w:t>Annals</w:t>
      </w:r>
      <w:r>
        <w:rPr>
          <w:i/>
          <w:iCs/>
        </w:rPr>
        <w:t xml:space="preserve"> of</w:t>
      </w:r>
      <w:r w:rsidRPr="008B3A10">
        <w:rPr>
          <w:i/>
          <w:iCs/>
        </w:rPr>
        <w:t xml:space="preserve"> Math</w:t>
      </w:r>
      <w:r>
        <w:rPr>
          <w:i/>
          <w:iCs/>
        </w:rPr>
        <w:t>ematical</w:t>
      </w:r>
      <w:r w:rsidRPr="008B3A10">
        <w:rPr>
          <w:i/>
          <w:iCs/>
        </w:rPr>
        <w:t xml:space="preserve"> Stat</w:t>
      </w:r>
      <w:r>
        <w:rPr>
          <w:i/>
          <w:iCs/>
        </w:rPr>
        <w:t>istics</w:t>
      </w:r>
      <w:r w:rsidRPr="008B3A10">
        <w:rPr>
          <w:i/>
          <w:iCs/>
        </w:rPr>
        <w:t>.,</w:t>
      </w:r>
      <w:r>
        <w:rPr>
          <w:i/>
          <w:iCs/>
        </w:rPr>
        <w:t xml:space="preserve"> II</w:t>
      </w:r>
      <w:r>
        <w:t>, 427–444.</w:t>
      </w:r>
    </w:p>
  </w:footnote>
  <w:footnote w:id="10">
    <w:p w14:paraId="1C6C44CE" w14:textId="58CB4FF6" w:rsidR="00AE3AA1" w:rsidRDefault="00AE3AA1" w:rsidP="00013514">
      <w:pPr>
        <w:pStyle w:val="FtnteBodyText-IPR"/>
      </w:pPr>
      <w:r>
        <w:rPr>
          <w:rStyle w:val="FootnoteReference"/>
        </w:rPr>
        <w:footnoteRef/>
      </w:r>
      <w:r>
        <w:t xml:space="preserve"> Potter, F., &amp; Zheng, Y. (2015). Methods and issues in trimming extreme weights in sample surveys. </w:t>
      </w:r>
      <w:r w:rsidRPr="008B3A10">
        <w:rPr>
          <w:i/>
          <w:iCs/>
        </w:rPr>
        <w:t>Proceedings of the Joint Statistical Meetings.</w:t>
      </w:r>
      <w:r>
        <w:t xml:space="preserve"> http://www.asasrms.org/Proceedings/y2015/files/234115.pdf</w:t>
      </w:r>
    </w:p>
  </w:footnote>
  <w:footnote w:id="11">
    <w:p w14:paraId="2936358A" w14:textId="4FF97EBF" w:rsidR="00AE3AA1" w:rsidRDefault="00AE3AA1" w:rsidP="00013514">
      <w:pPr>
        <w:pStyle w:val="FtnteBodyText-IPR"/>
      </w:pPr>
      <w:r>
        <w:rPr>
          <w:rStyle w:val="FootnoteReference"/>
        </w:rPr>
        <w:footnoteRef/>
      </w:r>
      <w:r>
        <w:t xml:space="preserve"> </w:t>
      </w:r>
      <w:r w:rsidRPr="0092428C">
        <w:t xml:space="preserve">Wolter, K. (2007). </w:t>
      </w:r>
      <w:r w:rsidRPr="00013514">
        <w:rPr>
          <w:i/>
          <w:iCs/>
        </w:rPr>
        <w:t>Introduction to variance estimation</w:t>
      </w:r>
      <w:r w:rsidRPr="008B3A10">
        <w:t>.</w:t>
      </w:r>
      <w:r w:rsidRPr="0092428C">
        <w:t xml:space="preserve"> Springer.</w:t>
      </w:r>
    </w:p>
  </w:footnote>
  <w:footnote w:id="12">
    <w:p w14:paraId="607A8D95" w14:textId="0F139AEB" w:rsidR="00AE3AA1" w:rsidRDefault="00AE3AA1" w:rsidP="00013514">
      <w:pPr>
        <w:pStyle w:val="FtnteBodyText-IPR"/>
      </w:pPr>
      <w:r>
        <w:rPr>
          <w:rStyle w:val="FootnoteReference"/>
        </w:rPr>
        <w:footnoteRef/>
      </w:r>
      <w:r>
        <w:t xml:space="preserve"> </w:t>
      </w:r>
      <w:r w:rsidRPr="0092428C">
        <w:t xml:space="preserve">Brick, J. M., Valliant, R., &amp; Morganstein, D. (2000). </w:t>
      </w:r>
      <w:r w:rsidRPr="008B3A10">
        <w:rPr>
          <w:i/>
          <w:iCs/>
        </w:rPr>
        <w:t>Analysis of complex sample data using replication.</w:t>
      </w:r>
      <w:r w:rsidRPr="0092428C">
        <w:t xml:space="preserve"> https://www.researchgate.net/profile/David_Morganstein/publication/252297575_Analysis_of_Complex_Sample_Data_Using_Replication/links/55562a2e08ae6fd2d8235fbf/Analysis-of-Complex-Sample-Data-Using-Replication.pdf</w:t>
      </w:r>
    </w:p>
  </w:footnote>
  <w:footnote w:id="13">
    <w:p w14:paraId="3627FD81" w14:textId="45284427" w:rsidR="00AE3AA1" w:rsidRDefault="00AE3AA1" w:rsidP="00013514">
      <w:pPr>
        <w:pStyle w:val="FtnteBodyText-IPR"/>
      </w:pPr>
      <w:r>
        <w:rPr>
          <w:rStyle w:val="FootnoteReference"/>
        </w:rPr>
        <w:footnoteRef/>
      </w:r>
      <w:r>
        <w:t xml:space="preserve"> FNS. (2020).</w:t>
      </w:r>
      <w:r w:rsidRPr="006109E2">
        <w:rPr>
          <w:i/>
          <w:iCs/>
        </w:rPr>
        <w:t xml:space="preserve"> SNAP web tables: Puerto Rico Nutrition Assistance Program</w:t>
      </w:r>
      <w:r>
        <w:t xml:space="preserve">. </w:t>
      </w:r>
      <w:r w:rsidRPr="006109E2">
        <w:t>https://fns-prod.azureedge.net/sites/default/files/resource-files/PR%24Ben%23Part-7.pdf</w:t>
      </w:r>
    </w:p>
  </w:footnote>
  <w:footnote w:id="14">
    <w:p w14:paraId="0E45F94B" w14:textId="0AC7101A" w:rsidR="00AE3AA1" w:rsidRDefault="00AE3AA1" w:rsidP="00013514">
      <w:pPr>
        <w:pStyle w:val="FtnteBodyText-IPR"/>
      </w:pPr>
      <w:r>
        <w:rPr>
          <w:rStyle w:val="FootnoteReference"/>
        </w:rPr>
        <w:footnoteRef/>
      </w:r>
      <w:r>
        <w:t xml:space="preserve"> Although the 2015–2019 ACS PUMS data are available as of the time of submission of this supporting statement, the 2014–2018 PUMS data were the most recent available at the time the sample design was finalized.</w:t>
      </w:r>
    </w:p>
  </w:footnote>
  <w:footnote w:id="15">
    <w:p w14:paraId="0229569E" w14:textId="29A70FCC" w:rsidR="00AE3AA1" w:rsidRDefault="00AE3AA1" w:rsidP="00CB6433">
      <w:pPr>
        <w:pStyle w:val="FtnteBodyText-IPR"/>
      </w:pPr>
      <w:r>
        <w:rPr>
          <w:rStyle w:val="FootnoteReference"/>
        </w:rPr>
        <w:footnoteRef/>
      </w:r>
      <w:r>
        <w:t xml:space="preserve"> </w:t>
      </w:r>
      <w:r w:rsidRPr="0092428C">
        <w:t xml:space="preserve">Acosta, R. J., Kishore, N., Irizarry, R. A., &amp; Buckee, C. O. (2020). Quantifying the dynamics of migration after Hurricane Maria in Puerto Rico. </w:t>
      </w:r>
      <w:r w:rsidRPr="008B3A10">
        <w:rPr>
          <w:i/>
          <w:iCs/>
        </w:rPr>
        <w:t>Proceedings of the National Academy of Sciences of the United States of America, 117</w:t>
      </w:r>
      <w:r w:rsidRPr="0092428C">
        <w:t>(51), 32772–32778.</w:t>
      </w:r>
    </w:p>
  </w:footnote>
  <w:footnote w:id="16">
    <w:p w14:paraId="5D3FAF08" w14:textId="77777777" w:rsidR="00AE3AA1" w:rsidRPr="009942CC" w:rsidRDefault="00AE3AA1" w:rsidP="00B760AB">
      <w:pPr>
        <w:pStyle w:val="FootnoteText"/>
        <w:rPr>
          <w:rFonts w:ascii="Calibri" w:hAnsi="Calibri" w:cs="Calibri"/>
        </w:rPr>
      </w:pPr>
      <w:r w:rsidRPr="009942CC">
        <w:rPr>
          <w:rStyle w:val="FootnoteReference"/>
          <w:rFonts w:ascii="Calibri" w:hAnsi="Calibri" w:cs="Calibri"/>
        </w:rPr>
        <w:footnoteRef/>
      </w:r>
      <w:r w:rsidRPr="009942CC">
        <w:rPr>
          <w:rFonts w:ascii="Calibri" w:hAnsi="Calibri" w:cs="Calibri"/>
        </w:rPr>
        <w:t xml:space="preserve"> Karakus, M., MacAllum, K., Milfort, R., &amp; Hao, H. (2014). </w:t>
      </w:r>
      <w:r w:rsidRPr="009942CC">
        <w:rPr>
          <w:rFonts w:ascii="Calibri" w:hAnsi="Calibri" w:cs="Calibri"/>
          <w:i/>
          <w:iCs/>
        </w:rPr>
        <w:t>Nutrition assistance in farmers markets: Understanding the shopping patterns of SNAP participants.</w:t>
      </w:r>
      <w:r w:rsidRPr="009942CC">
        <w:rPr>
          <w:rFonts w:ascii="Calibri" w:hAnsi="Calibri" w:cs="Calibri"/>
        </w:rPr>
        <w:t xml:space="preserve"> Westat. </w:t>
      </w:r>
      <w:hyperlink r:id="rId1" w:history="1">
        <w:r w:rsidRPr="009942CC">
          <w:rPr>
            <w:rStyle w:val="Hyperlink"/>
            <w:rFonts w:ascii="Calibri" w:hAnsi="Calibri" w:cs="Calibri"/>
            <w:color w:val="auto"/>
            <w:u w:val="none"/>
          </w:rPr>
          <w:t>https://www.fns.usda.gov/sites/default/files/FarmersMarkets-Shopping-Patterns.pdf</w:t>
        </w:r>
      </w:hyperlink>
    </w:p>
  </w:footnote>
  <w:footnote w:id="17">
    <w:p w14:paraId="6F2AA4B0" w14:textId="77777777" w:rsidR="00AE3AA1" w:rsidRPr="00FB18B5" w:rsidRDefault="00AE3AA1" w:rsidP="00B760AB">
      <w:pPr>
        <w:pStyle w:val="FootnoteText"/>
        <w:rPr>
          <w:rFonts w:ascii="Calibri" w:hAnsi="Calibri" w:cs="Calibri"/>
        </w:rPr>
      </w:pPr>
      <w:r w:rsidRPr="00FB18B5">
        <w:rPr>
          <w:rStyle w:val="FootnoteReference"/>
          <w:rFonts w:ascii="Calibri" w:hAnsi="Calibri" w:cs="Calibri"/>
        </w:rPr>
        <w:footnoteRef/>
      </w:r>
      <w:r w:rsidRPr="00A279B3">
        <w:rPr>
          <w:rFonts w:ascii="Calibri" w:hAnsi="Calibri" w:cs="Calibri"/>
          <w:lang w:val="es-PR"/>
        </w:rPr>
        <w:t xml:space="preserve"> Mercer, A., Caporaso, A., Cantor, D., &amp; Townsend R. (2015). </w:t>
      </w:r>
      <w:r w:rsidRPr="00FB18B5">
        <w:rPr>
          <w:rFonts w:ascii="Calibri" w:hAnsi="Calibri" w:cs="Calibri"/>
        </w:rPr>
        <w:t xml:space="preserve">How much gets you how much? Monetary incentives and response rates in household surveys. </w:t>
      </w:r>
      <w:r w:rsidRPr="00FB18B5">
        <w:rPr>
          <w:rFonts w:ascii="Calibri" w:hAnsi="Calibri" w:cs="Calibri"/>
          <w:i/>
        </w:rPr>
        <w:t xml:space="preserve">Public Opinion Quarterly, </w:t>
      </w:r>
      <w:r w:rsidRPr="008B3A10">
        <w:rPr>
          <w:rFonts w:ascii="Calibri" w:hAnsi="Calibri" w:cs="Calibri"/>
          <w:i/>
          <w:iCs/>
        </w:rPr>
        <w:t>79</w:t>
      </w:r>
      <w:r>
        <w:rPr>
          <w:rFonts w:ascii="Calibri" w:hAnsi="Calibri" w:cs="Calibri"/>
        </w:rPr>
        <w:t>(</w:t>
      </w:r>
      <w:r w:rsidRPr="00FB18B5">
        <w:rPr>
          <w:rFonts w:ascii="Calibri" w:hAnsi="Calibri" w:cs="Calibri"/>
        </w:rPr>
        <w:t>1</w:t>
      </w:r>
      <w:r>
        <w:rPr>
          <w:rFonts w:ascii="Calibri" w:hAnsi="Calibri" w:cs="Calibri"/>
        </w:rPr>
        <w:t>),</w:t>
      </w:r>
      <w:r w:rsidRPr="00FB18B5">
        <w:rPr>
          <w:rFonts w:ascii="Calibri" w:hAnsi="Calibri" w:cs="Calibri"/>
        </w:rPr>
        <w:t xml:space="preserve"> 102</w:t>
      </w:r>
      <w:r>
        <w:rPr>
          <w:rFonts w:ascii="Calibri" w:hAnsi="Calibri" w:cs="Calibri"/>
        </w:rPr>
        <w:t>–</w:t>
      </w:r>
      <w:r w:rsidRPr="00FB18B5">
        <w:rPr>
          <w:rFonts w:ascii="Calibri" w:hAnsi="Calibri" w:cs="Calibri"/>
        </w:rPr>
        <w:t>129.</w:t>
      </w:r>
    </w:p>
  </w:footnote>
  <w:footnote w:id="18">
    <w:p w14:paraId="527BB567" w14:textId="77777777" w:rsidR="00AE3AA1" w:rsidRDefault="00AE3AA1" w:rsidP="00B760AB">
      <w:pPr>
        <w:pStyle w:val="FtnteBodyText-IPR"/>
      </w:pPr>
      <w:r>
        <w:rPr>
          <w:rStyle w:val="FootnoteReference"/>
        </w:rPr>
        <w:footnoteRef/>
      </w:r>
      <w:r>
        <w:t xml:space="preserve"> </w:t>
      </w:r>
      <w:r w:rsidRPr="00890037">
        <w:t xml:space="preserve">The study team has not predetermined what type of gift card will be used. As has been approved for previous FNS studies, the team typically asks a local </w:t>
      </w:r>
      <w:r>
        <w:t>contact</w:t>
      </w:r>
      <w:r w:rsidRPr="00890037">
        <w:t xml:space="preserve"> (e.g., Estudios Técnicos</w:t>
      </w:r>
      <w:r>
        <w:t>)</w:t>
      </w:r>
      <w:r w:rsidRPr="00890037">
        <w:t xml:space="preserve"> during the planning phase </w:t>
      </w:r>
      <w:r>
        <w:t xml:space="preserve">about </w:t>
      </w:r>
      <w:r w:rsidRPr="00890037">
        <w:t>the most useful type of gift card for respondents in that particular community. For example, in some communities</w:t>
      </w:r>
      <w:r>
        <w:t>,</w:t>
      </w:r>
      <w:r w:rsidRPr="00890037">
        <w:t xml:space="preserve"> it might be a local grocery store, whereas in other communit</w:t>
      </w:r>
      <w:r>
        <w:t>ies,</w:t>
      </w:r>
      <w:r w:rsidRPr="00890037">
        <w:t xml:space="preserve"> it might be a national chain store. Generic credit card gift cards, such as Visa and MasterCard, include an activation fee above and beyond the value of the card, which means participants would not receive the full benefit of the token of appreciation.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563D0" w14:textId="21A985B7" w:rsidR="00AE3AA1" w:rsidRDefault="00AE3AA1" w:rsidP="003D5F5A">
    <w:pPr>
      <w:pStyle w:val="Header"/>
      <w:ind w:left="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42B7D" w14:textId="77777777" w:rsidR="00AE3AA1" w:rsidRPr="0075442C" w:rsidRDefault="00AE3AA1" w:rsidP="008348FA">
    <w:pPr>
      <w:pStyle w:val="BlankHeaderFooter-I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752E9" w14:textId="7497B572" w:rsidR="00AE3AA1" w:rsidRPr="0075442C" w:rsidRDefault="00AE3AA1" w:rsidP="008348FA">
    <w:pPr>
      <w:pStyle w:val="BlankHeaderFooter-I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3266F"/>
    <w:multiLevelType w:val="hybridMultilevel"/>
    <w:tmpl w:val="5E7C3A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6F5520"/>
    <w:multiLevelType w:val="multilevel"/>
    <w:tmpl w:val="C51AF388"/>
    <w:styleLink w:val="Numbers12ptCalibriList"/>
    <w:lvl w:ilvl="0">
      <w:start w:val="1"/>
      <w:numFmt w:val="decimal"/>
      <w:pStyle w:val="Numbers12ptCalibri-IPR"/>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2" w15:restartNumberingAfterBreak="0">
    <w:nsid w:val="018167BF"/>
    <w:multiLevelType w:val="multilevel"/>
    <w:tmpl w:val="C51AF388"/>
    <w:numStyleLink w:val="Numbers12ptCalibriList"/>
  </w:abstractNum>
  <w:abstractNum w:abstractNumId="3" w15:restartNumberingAfterBreak="0">
    <w:nsid w:val="026B7E20"/>
    <w:multiLevelType w:val="multilevel"/>
    <w:tmpl w:val="749643F6"/>
    <w:styleLink w:val="Bullets11ptTNRList"/>
    <w:lvl w:ilvl="0">
      <w:start w:val="1"/>
      <w:numFmt w:val="bullet"/>
      <w:lvlText w:val=""/>
      <w:lvlJc w:val="left"/>
      <w:pPr>
        <w:ind w:left="3600" w:hanging="360"/>
      </w:pPr>
      <w:rPr>
        <w:rFonts w:ascii="Symbol" w:hAnsi="Symbol" w:hint="default"/>
        <w:b w:val="0"/>
        <w:i w:val="0"/>
        <w:color w:val="auto"/>
        <w:sz w:val="22"/>
      </w:rPr>
    </w:lvl>
    <w:lvl w:ilvl="1">
      <w:start w:val="1"/>
      <w:numFmt w:val="bullet"/>
      <w:lvlText w:val="o"/>
      <w:lvlJc w:val="left"/>
      <w:pPr>
        <w:ind w:left="3960" w:hanging="360"/>
      </w:pPr>
      <w:rPr>
        <w:rFonts w:ascii="Symbol" w:hAnsi="Symbol" w:hint="default"/>
        <w:b w:val="0"/>
        <w:i w:val="0"/>
        <w:color w:val="auto"/>
        <w:sz w:val="22"/>
      </w:rPr>
    </w:lvl>
    <w:lvl w:ilvl="2">
      <w:start w:val="1"/>
      <w:numFmt w:val="bullet"/>
      <w:lvlText w:val=""/>
      <w:lvlJc w:val="left"/>
      <w:pPr>
        <w:ind w:left="4320" w:hanging="360"/>
      </w:pPr>
      <w:rPr>
        <w:rFonts w:ascii="Wingdings" w:hAnsi="Wingdings" w:hint="default"/>
        <w:b w:val="0"/>
        <w:i w:val="0"/>
        <w:color w:val="auto"/>
        <w:sz w:val="22"/>
      </w:rPr>
    </w:lvl>
    <w:lvl w:ilvl="3">
      <w:start w:val="1"/>
      <w:numFmt w:val="bullet"/>
      <w:lvlText w:val="o"/>
      <w:lvlJc w:val="left"/>
      <w:pPr>
        <w:ind w:left="4680" w:hanging="360"/>
      </w:pPr>
      <w:rPr>
        <w:rFonts w:ascii="Symbol" w:hAnsi="Symbol" w:hint="default"/>
        <w:b w:val="0"/>
        <w:i w:val="0"/>
        <w:color w:val="auto"/>
        <w:sz w:val="22"/>
      </w:rPr>
    </w:lvl>
    <w:lvl w:ilvl="4">
      <w:start w:val="1"/>
      <w:numFmt w:val="bullet"/>
      <w:lvlText w:val=""/>
      <w:lvlJc w:val="left"/>
      <w:pPr>
        <w:ind w:left="5040" w:hanging="360"/>
      </w:pPr>
      <w:rPr>
        <w:rFonts w:ascii="Wingdings" w:hAnsi="Wingdings" w:hint="default"/>
        <w:b w:val="0"/>
        <w:i w:val="0"/>
        <w:color w:val="auto"/>
        <w:sz w:val="22"/>
      </w:rPr>
    </w:lvl>
    <w:lvl w:ilvl="5">
      <w:start w:val="1"/>
      <w:numFmt w:val="bullet"/>
      <w:lvlText w:val=""/>
      <w:lvlJc w:val="left"/>
      <w:pPr>
        <w:ind w:left="5400" w:hanging="360"/>
      </w:pPr>
      <w:rPr>
        <w:rFonts w:ascii="Symbol" w:hAnsi="Symbol" w:hint="default"/>
        <w:b w:val="0"/>
        <w:i w:val="0"/>
        <w:color w:val="auto"/>
        <w:sz w:val="22"/>
      </w:rPr>
    </w:lvl>
    <w:lvl w:ilvl="6">
      <w:start w:val="1"/>
      <w:numFmt w:val="bullet"/>
      <w:lvlText w:val=""/>
      <w:lvlJc w:val="left"/>
      <w:pPr>
        <w:ind w:left="5760" w:hanging="360"/>
      </w:pPr>
      <w:rPr>
        <w:rFonts w:ascii="Symbol" w:hAnsi="Symbol" w:hint="default"/>
        <w:b w:val="0"/>
        <w:i w:val="0"/>
        <w:color w:val="auto"/>
        <w:sz w:val="22"/>
      </w:rPr>
    </w:lvl>
    <w:lvl w:ilvl="7">
      <w:start w:val="1"/>
      <w:numFmt w:val="bullet"/>
      <w:lvlText w:val=""/>
      <w:lvlJc w:val="left"/>
      <w:pPr>
        <w:ind w:left="6120" w:hanging="360"/>
      </w:pPr>
      <w:rPr>
        <w:rFonts w:ascii="Wingdings" w:hAnsi="Wingdings" w:hint="default"/>
        <w:b w:val="0"/>
        <w:i w:val="0"/>
        <w:color w:val="auto"/>
        <w:sz w:val="22"/>
      </w:rPr>
    </w:lvl>
    <w:lvl w:ilvl="8">
      <w:start w:val="1"/>
      <w:numFmt w:val="bullet"/>
      <w:lvlText w:val=""/>
      <w:lvlJc w:val="left"/>
      <w:pPr>
        <w:ind w:left="6480" w:hanging="360"/>
      </w:pPr>
      <w:rPr>
        <w:rFonts w:ascii="Symbol" w:hAnsi="Symbol" w:hint="default"/>
        <w:b w:val="0"/>
        <w:i w:val="0"/>
        <w:color w:val="auto"/>
        <w:sz w:val="22"/>
      </w:rPr>
    </w:lvl>
  </w:abstractNum>
  <w:abstractNum w:abstractNumId="4" w15:restartNumberingAfterBreak="0">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5" w15:restartNumberingAfterBreak="0">
    <w:nsid w:val="063E1D2B"/>
    <w:multiLevelType w:val="multilevel"/>
    <w:tmpl w:val="0F5A555C"/>
    <w:styleLink w:val="BulletListStyleRed-IPR"/>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Courier New" w:hAnsi="Courier New" w:hint="default"/>
        <w:color w:val="DD223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 w15:restartNumberingAfterBreak="0">
    <w:nsid w:val="068E2BF8"/>
    <w:multiLevelType w:val="multilevel"/>
    <w:tmpl w:val="F6DE30B6"/>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79767A8"/>
    <w:multiLevelType w:val="multilevel"/>
    <w:tmpl w:val="F6DE30B6"/>
    <w:numStyleLink w:val="NumbersListStyleRed-IPR"/>
  </w:abstractNum>
  <w:abstractNum w:abstractNumId="8"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D692962"/>
    <w:multiLevelType w:val="multilevel"/>
    <w:tmpl w:val="EA4C04F6"/>
    <w:styleLink w:val="TableBlackNumbersList-IPR"/>
    <w:lvl w:ilvl="0">
      <w:start w:val="1"/>
      <w:numFmt w:val="decimal"/>
      <w:pStyle w:val="TableNumbers-IPR"/>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Text w:val=""/>
      <w:lvlJc w:val="righ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10" w15:restartNumberingAfterBreak="0">
    <w:nsid w:val="14036FA4"/>
    <w:multiLevelType w:val="hybridMultilevel"/>
    <w:tmpl w:val="2834BFEC"/>
    <w:lvl w:ilvl="0" w:tplc="1024793E">
      <w:start w:val="1"/>
      <w:numFmt w:val="decimal"/>
      <w:pStyle w:val="Hdng3-IPR"/>
      <w:lvlText w:val="B.%1."/>
      <w:lvlJc w:val="left"/>
      <w:pPr>
        <w:ind w:left="135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F40C8B"/>
    <w:multiLevelType w:val="multilevel"/>
    <w:tmpl w:val="FEDA94D8"/>
    <w:numStyleLink w:val="Bullets12ptCalibriList"/>
  </w:abstractNum>
  <w:abstractNum w:abstractNumId="12" w15:restartNumberingAfterBreak="0">
    <w:nsid w:val="15115E88"/>
    <w:multiLevelType w:val="multilevel"/>
    <w:tmpl w:val="D778BBDE"/>
    <w:numStyleLink w:val="TableBlackBulletsList-IPR"/>
  </w:abstractNum>
  <w:abstractNum w:abstractNumId="13" w15:restartNumberingAfterBreak="0">
    <w:nsid w:val="15520F3F"/>
    <w:multiLevelType w:val="multilevel"/>
    <w:tmpl w:val="808E5508"/>
    <w:numStyleLink w:val="Bullets11ptCalibriList"/>
  </w:abstractNum>
  <w:abstractNum w:abstractNumId="14" w15:restartNumberingAfterBreak="0">
    <w:nsid w:val="1A492560"/>
    <w:multiLevelType w:val="multilevel"/>
    <w:tmpl w:val="E0FE1110"/>
    <w:styleLink w:val="TableRedBulletsList-IPR"/>
    <w:lvl w:ilvl="0">
      <w:start w:val="1"/>
      <w:numFmt w:val="bullet"/>
      <w:pStyle w:val="TableRedBullets-IPR"/>
      <w:lvlText w:val=""/>
      <w:lvlJc w:val="left"/>
      <w:pPr>
        <w:ind w:left="720" w:hanging="360"/>
      </w:pPr>
      <w:rPr>
        <w:rFonts w:ascii="Symbol" w:hAnsi="Symbol" w:hint="default"/>
        <w:b/>
        <w:i w:val="0"/>
        <w:color w:val="C00000"/>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5" w15:restartNumberingAfterBreak="0">
    <w:nsid w:val="1DE87F10"/>
    <w:multiLevelType w:val="multilevel"/>
    <w:tmpl w:val="B71660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1E444319"/>
    <w:multiLevelType w:val="multilevel"/>
    <w:tmpl w:val="0B40D75C"/>
    <w:styleLink w:val="Numbers12ptTNRList"/>
    <w:lvl w:ilvl="0">
      <w:start w:val="1"/>
      <w:numFmt w:val="decimal"/>
      <w:lvlText w:val="%1."/>
      <w:lvlJc w:val="left"/>
      <w:pPr>
        <w:ind w:left="720" w:hanging="360"/>
      </w:pPr>
      <w:rPr>
        <w:rFonts w:ascii="Times New Roman" w:hAnsi="Times New Roman" w:hint="default"/>
        <w:b w:val="0"/>
        <w:i w:val="0"/>
        <w:color w:val="auto"/>
        <w:sz w:val="24"/>
      </w:rPr>
    </w:lvl>
    <w:lvl w:ilvl="1">
      <w:start w:val="1"/>
      <w:numFmt w:val="lowerLetter"/>
      <w:lvlText w:val="%2."/>
      <w:lvlJc w:val="left"/>
      <w:pPr>
        <w:ind w:left="1080" w:hanging="360"/>
      </w:pPr>
      <w:rPr>
        <w:rFonts w:ascii="Times New Roman" w:hAnsi="Times New Roman" w:hint="default"/>
        <w:b w:val="0"/>
        <w:i w:val="0"/>
        <w:color w:val="auto"/>
        <w:sz w:val="24"/>
      </w:rPr>
    </w:lvl>
    <w:lvl w:ilvl="2">
      <w:start w:val="1"/>
      <w:numFmt w:val="lowerRoman"/>
      <w:lvlText w:val="%3."/>
      <w:lvlJc w:val="left"/>
      <w:pPr>
        <w:ind w:left="1440" w:hanging="360"/>
      </w:pPr>
      <w:rPr>
        <w:rFonts w:ascii="Times New Roman" w:hAnsi="Times New Roman" w:hint="default"/>
        <w:b w:val="0"/>
        <w:i w:val="0"/>
        <w:color w:val="auto"/>
        <w:sz w:val="24"/>
      </w:rPr>
    </w:lvl>
    <w:lvl w:ilvl="3">
      <w:start w:val="1"/>
      <w:numFmt w:val="decimal"/>
      <w:lvlText w:val="%4."/>
      <w:lvlJc w:val="left"/>
      <w:pPr>
        <w:ind w:left="1800" w:hanging="360"/>
      </w:pPr>
      <w:rPr>
        <w:rFonts w:ascii="Times New Roman" w:hAnsi="Times New Roman" w:hint="default"/>
        <w:b w:val="0"/>
        <w:i w:val="0"/>
        <w:color w:val="auto"/>
        <w:sz w:val="24"/>
      </w:rPr>
    </w:lvl>
    <w:lvl w:ilvl="4">
      <w:start w:val="1"/>
      <w:numFmt w:val="none"/>
      <w:lvlText w:val="a."/>
      <w:lvlJc w:val="left"/>
      <w:pPr>
        <w:ind w:left="2160" w:hanging="360"/>
      </w:pPr>
      <w:rPr>
        <w:rFonts w:ascii="Times New Roman" w:hAnsi="Times New Roman" w:hint="default"/>
        <w:b w:val="0"/>
        <w:i w:val="0"/>
        <w:color w:val="auto"/>
        <w:sz w:val="24"/>
      </w:rPr>
    </w:lvl>
    <w:lvl w:ilvl="5">
      <w:start w:val="1"/>
      <w:numFmt w:val="lowerRoman"/>
      <w:lvlText w:val="%6."/>
      <w:lvlJc w:val="right"/>
      <w:pPr>
        <w:ind w:left="2520" w:hanging="360"/>
      </w:pPr>
      <w:rPr>
        <w:rFonts w:ascii="Times New Roman" w:hAnsi="Times New Roman" w:hint="default"/>
        <w:b w:val="0"/>
        <w:i w:val="0"/>
        <w:color w:val="auto"/>
        <w:sz w:val="24"/>
      </w:rPr>
    </w:lvl>
    <w:lvl w:ilvl="6">
      <w:start w:val="1"/>
      <w:numFmt w:val="decimal"/>
      <w:lvlText w:val="%7."/>
      <w:lvlJc w:val="left"/>
      <w:pPr>
        <w:ind w:left="2880" w:hanging="360"/>
      </w:pPr>
      <w:rPr>
        <w:rFonts w:ascii="Times New Roman" w:hAnsi="Times New Roman" w:hint="default"/>
        <w:b w:val="0"/>
        <w:i w:val="0"/>
        <w:color w:val="auto"/>
        <w:sz w:val="24"/>
      </w:rPr>
    </w:lvl>
    <w:lvl w:ilvl="7">
      <w:start w:val="1"/>
      <w:numFmt w:val="lowerLetter"/>
      <w:lvlText w:val="%8."/>
      <w:lvlJc w:val="left"/>
      <w:pPr>
        <w:ind w:left="3240" w:hanging="360"/>
      </w:pPr>
      <w:rPr>
        <w:rFonts w:ascii="Times New Roman" w:hAnsi="Times New Roman" w:hint="default"/>
        <w:b w:val="0"/>
        <w:i w:val="0"/>
        <w:color w:val="auto"/>
        <w:sz w:val="24"/>
      </w:rPr>
    </w:lvl>
    <w:lvl w:ilvl="8">
      <w:start w:val="1"/>
      <w:numFmt w:val="lowerRoman"/>
      <w:lvlText w:val="%9."/>
      <w:lvlJc w:val="right"/>
      <w:pPr>
        <w:ind w:left="3600" w:hanging="360"/>
      </w:pPr>
      <w:rPr>
        <w:rFonts w:ascii="Times New Roman" w:hAnsi="Times New Roman" w:hint="default"/>
        <w:b w:val="0"/>
        <w:i w:val="0"/>
        <w:color w:val="auto"/>
        <w:sz w:val="24"/>
      </w:rPr>
    </w:lvl>
  </w:abstractNum>
  <w:abstractNum w:abstractNumId="17" w15:restartNumberingAfterBreak="0">
    <w:nsid w:val="1E5B4E92"/>
    <w:multiLevelType w:val="hybridMultilevel"/>
    <w:tmpl w:val="D3B445C0"/>
    <w:lvl w:ilvl="0" w:tplc="23328E9E">
      <w:start w:val="1"/>
      <w:numFmt w:val="upperRoman"/>
      <w:pStyle w:val="Hdng1Report-IP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0162B45"/>
    <w:multiLevelType w:val="hybridMultilevel"/>
    <w:tmpl w:val="BB86B47A"/>
    <w:lvl w:ilvl="0" w:tplc="4F00259E">
      <w:start w:val="1"/>
      <w:numFmt w:val="upperLetter"/>
      <w:pStyle w:val="Heading2-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2734D58"/>
    <w:multiLevelType w:val="multilevel"/>
    <w:tmpl w:val="0F5A555C"/>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Courier New" w:hAnsi="Courier New" w:hint="default"/>
        <w:color w:val="DD223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0" w15:restartNumberingAfterBreak="0">
    <w:nsid w:val="25FF6889"/>
    <w:multiLevelType w:val="singleLevel"/>
    <w:tmpl w:val="0C3EF25E"/>
    <w:lvl w:ilvl="0">
      <w:start w:val="1"/>
      <w:numFmt w:val="bullet"/>
      <w:pStyle w:val="BulletsRed-IPR"/>
      <w:lvlText w:val="}"/>
      <w:lvlJc w:val="left"/>
      <w:pPr>
        <w:ind w:left="720" w:hanging="360"/>
      </w:pPr>
      <w:rPr>
        <w:rFonts w:ascii="Wingdings 3" w:hAnsi="Wingdings 3" w:hint="default"/>
        <w:color w:val="C0504D"/>
      </w:rPr>
    </w:lvl>
  </w:abstractNum>
  <w:abstractNum w:abstractNumId="21" w15:restartNumberingAfterBreak="0">
    <w:nsid w:val="2D416409"/>
    <w:multiLevelType w:val="multilevel"/>
    <w:tmpl w:val="4E9888C6"/>
    <w:lvl w:ilvl="0">
      <w:start w:val="1"/>
      <w:numFmt w:val="upperRoman"/>
      <w:pStyle w:val="List"/>
      <w:lvlText w:val="%1."/>
      <w:lvlJc w:val="left"/>
      <w:pPr>
        <w:ind w:left="360" w:hanging="360"/>
      </w:pPr>
      <w:rPr>
        <w:rFonts w:hint="default"/>
        <w:b/>
        <w:i w:val="0"/>
      </w:rPr>
    </w:lvl>
    <w:lvl w:ilvl="1">
      <w:start w:val="1"/>
      <w:numFmt w:val="upperLetter"/>
      <w:pStyle w:val="List2"/>
      <w:lvlText w:val="%2."/>
      <w:lvlJc w:val="left"/>
      <w:pPr>
        <w:tabs>
          <w:tab w:val="num" w:pos="720"/>
        </w:tabs>
        <w:ind w:left="720" w:hanging="360"/>
      </w:pPr>
      <w:rPr>
        <w:rFonts w:hint="default"/>
      </w:rPr>
    </w:lvl>
    <w:lvl w:ilvl="2">
      <w:start w:val="1"/>
      <w:numFmt w:val="decimal"/>
      <w:pStyle w:val="List3"/>
      <w:lvlText w:val="%3."/>
      <w:lvlJc w:val="left"/>
      <w:pPr>
        <w:tabs>
          <w:tab w:val="num" w:pos="1080"/>
        </w:tabs>
        <w:ind w:left="1080" w:hanging="360"/>
      </w:pPr>
      <w:rPr>
        <w:rFonts w:hint="default"/>
      </w:rPr>
    </w:lvl>
    <w:lvl w:ilvl="3">
      <w:start w:val="1"/>
      <w:numFmt w:val="lowerLetter"/>
      <w:pStyle w:val="List4"/>
      <w:lvlText w:val="%4."/>
      <w:lvlJc w:val="left"/>
      <w:pPr>
        <w:tabs>
          <w:tab w:val="num" w:pos="1440"/>
        </w:tabs>
        <w:ind w:left="1440" w:hanging="360"/>
      </w:pPr>
      <w:rPr>
        <w:rFonts w:hint="default"/>
      </w:rPr>
    </w:lvl>
    <w:lvl w:ilvl="4">
      <w:start w:val="1"/>
      <w:numFmt w:val="lowerRoman"/>
      <w:pStyle w:val="List5"/>
      <w:lvlText w:val="%5."/>
      <w:lvlJc w:val="left"/>
      <w:pPr>
        <w:tabs>
          <w:tab w:val="num" w:pos="1800"/>
        </w:tabs>
        <w:ind w:left="1800" w:hanging="360"/>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2" w15:restartNumberingAfterBreak="0">
    <w:nsid w:val="302F4513"/>
    <w:multiLevelType w:val="multilevel"/>
    <w:tmpl w:val="808E5508"/>
    <w:styleLink w:val="Bullets11ptCalibriList"/>
    <w:lvl w:ilvl="0">
      <w:start w:val="1"/>
      <w:numFmt w:val="bullet"/>
      <w:pStyle w:val="Bullets11ptCalibri-IPR"/>
      <w:lvlText w:val=""/>
      <w:lvlJc w:val="left"/>
      <w:pPr>
        <w:ind w:left="720" w:hanging="360"/>
      </w:pPr>
      <w:rPr>
        <w:rFonts w:ascii="Symbol" w:hAnsi="Symbol" w:hint="default"/>
        <w:b w:val="0"/>
        <w:i w:val="0"/>
        <w:color w:val="auto"/>
        <w:sz w:val="22"/>
      </w:rPr>
    </w:lvl>
    <w:lvl w:ilvl="1">
      <w:start w:val="1"/>
      <w:numFmt w:val="bullet"/>
      <w:lvlText w:val=""/>
      <w:lvlJc w:val="left"/>
      <w:pPr>
        <w:ind w:left="1080" w:hanging="360"/>
      </w:pPr>
      <w:rPr>
        <w:rFonts w:ascii="Wingdings 3" w:hAnsi="Wingdings 3" w:hint="default"/>
        <w:b w:val="0"/>
        <w:i w:val="0"/>
        <w:color w:val="auto"/>
        <w:sz w:val="22"/>
      </w:rPr>
    </w:lvl>
    <w:lvl w:ilvl="2">
      <w:start w:val="1"/>
      <w:numFmt w:val="bullet"/>
      <w:lvlText w:val=""/>
      <w:lvlJc w:val="left"/>
      <w:pPr>
        <w:ind w:left="1440" w:hanging="360"/>
      </w:pPr>
      <w:rPr>
        <w:rFonts w:ascii="Wingdings" w:hAnsi="Wingdings" w:hint="default"/>
        <w:b w:val="0"/>
        <w:i w:val="0"/>
        <w:color w:val="auto"/>
        <w:sz w:val="22"/>
      </w:rPr>
    </w:lvl>
    <w:lvl w:ilvl="3">
      <w:start w:val="1"/>
      <w:numFmt w:val="bullet"/>
      <w:lvlText w:val=""/>
      <w:lvlJc w:val="left"/>
      <w:pPr>
        <w:ind w:left="1800" w:hanging="360"/>
      </w:pPr>
      <w:rPr>
        <w:rFonts w:ascii="Symbol" w:hAnsi="Symbol" w:hint="default"/>
        <w:b w:val="0"/>
        <w:i w:val="0"/>
        <w:color w:val="auto"/>
        <w:sz w:val="22"/>
      </w:rPr>
    </w:lvl>
    <w:lvl w:ilvl="4">
      <w:start w:val="1"/>
      <w:numFmt w:val="bullet"/>
      <w:lvlText w:val="o"/>
      <w:lvlJc w:val="left"/>
      <w:pPr>
        <w:ind w:left="2160" w:hanging="360"/>
      </w:pPr>
      <w:rPr>
        <w:rFonts w:ascii="Symbol" w:hAnsi="Symbol" w:hint="default"/>
        <w:b w:val="0"/>
        <w:i w:val="0"/>
        <w:color w:val="auto"/>
        <w:sz w:val="22"/>
      </w:rPr>
    </w:lvl>
    <w:lvl w:ilvl="5">
      <w:start w:val="1"/>
      <w:numFmt w:val="bullet"/>
      <w:lvlText w:val=""/>
      <w:lvlJc w:val="left"/>
      <w:pPr>
        <w:ind w:left="2520" w:hanging="360"/>
      </w:pPr>
      <w:rPr>
        <w:rFonts w:ascii="Wingdings" w:hAnsi="Wingdings" w:hint="default"/>
        <w:b w:val="0"/>
        <w:i w:val="0"/>
        <w:color w:val="auto"/>
        <w:sz w:val="22"/>
      </w:rPr>
    </w:lvl>
    <w:lvl w:ilvl="6">
      <w:start w:val="1"/>
      <w:numFmt w:val="bullet"/>
      <w:lvlText w:val=""/>
      <w:lvlJc w:val="left"/>
      <w:pPr>
        <w:ind w:left="2880" w:hanging="360"/>
      </w:pPr>
      <w:rPr>
        <w:rFonts w:ascii="Symbol" w:hAnsi="Symbol" w:hint="default"/>
        <w:b w:val="0"/>
        <w:i w:val="0"/>
        <w:color w:val="auto"/>
        <w:sz w:val="22"/>
      </w:rPr>
    </w:lvl>
    <w:lvl w:ilvl="7">
      <w:start w:val="1"/>
      <w:numFmt w:val="bullet"/>
      <w:lvlText w:val="o"/>
      <w:lvlJc w:val="left"/>
      <w:pPr>
        <w:ind w:left="3240" w:hanging="360"/>
      </w:pPr>
      <w:rPr>
        <w:rFonts w:ascii="Symbol" w:hAnsi="Symbol" w:hint="default"/>
        <w:b w:val="0"/>
        <w:i w:val="0"/>
        <w:color w:val="auto"/>
        <w:sz w:val="22"/>
      </w:rPr>
    </w:lvl>
    <w:lvl w:ilvl="8">
      <w:start w:val="1"/>
      <w:numFmt w:val="bullet"/>
      <w:lvlText w:val=""/>
      <w:lvlJc w:val="left"/>
      <w:pPr>
        <w:ind w:left="3600" w:hanging="360"/>
      </w:pPr>
      <w:rPr>
        <w:rFonts w:ascii="Wingdings" w:hAnsi="Wingdings" w:hint="default"/>
        <w:b w:val="0"/>
        <w:i w:val="0"/>
        <w:color w:val="auto"/>
        <w:sz w:val="22"/>
      </w:rPr>
    </w:lvl>
  </w:abstractNum>
  <w:abstractNum w:abstractNumId="23" w15:restartNumberingAfterBreak="0">
    <w:nsid w:val="302F45AC"/>
    <w:multiLevelType w:val="multilevel"/>
    <w:tmpl w:val="FEDA94D8"/>
    <w:styleLink w:val="Bullets12ptCalibriList"/>
    <w:lvl w:ilvl="0">
      <w:start w:val="1"/>
      <w:numFmt w:val="bullet"/>
      <w:pStyle w:val="Bullets12ptCalibri-IPR"/>
      <w:lvlText w:val=""/>
      <w:lvlJc w:val="left"/>
      <w:pPr>
        <w:ind w:left="720" w:hanging="360"/>
      </w:pPr>
      <w:rPr>
        <w:rFonts w:ascii="Symbol" w:hAnsi="Symbol" w:hint="default"/>
        <w:color w:val="auto"/>
        <w:sz w:val="24"/>
      </w:rPr>
    </w:lvl>
    <w:lvl w:ilvl="1">
      <w:start w:val="1"/>
      <w:numFmt w:val="bullet"/>
      <w:lvlText w:val=""/>
      <w:lvlJc w:val="left"/>
      <w:pPr>
        <w:ind w:left="1080" w:hanging="360"/>
      </w:pPr>
      <w:rPr>
        <w:rFonts w:ascii="Wingdings 3" w:hAnsi="Wingdings 3"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o"/>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o"/>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24" w15:restartNumberingAfterBreak="0">
    <w:nsid w:val="316E14A6"/>
    <w:multiLevelType w:val="multilevel"/>
    <w:tmpl w:val="D778BBDE"/>
    <w:styleLink w:val="TableBlackBulletsList-IPR"/>
    <w:lvl w:ilvl="0">
      <w:start w:val="1"/>
      <w:numFmt w:val="bullet"/>
      <w:pStyle w:val="TableBullets-IPR"/>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25" w15:restartNumberingAfterBreak="0">
    <w:nsid w:val="37D512D0"/>
    <w:multiLevelType w:val="hybridMultilevel"/>
    <w:tmpl w:val="CE9A9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B375A99"/>
    <w:multiLevelType w:val="multilevel"/>
    <w:tmpl w:val="4F76BF4C"/>
    <w:styleLink w:val="Numbers11ptTNRList"/>
    <w:lvl w:ilvl="0">
      <w:start w:val="1"/>
      <w:numFmt w:val="decimal"/>
      <w:lvlText w:val="%1."/>
      <w:lvlJc w:val="left"/>
      <w:pPr>
        <w:ind w:left="360" w:hanging="360"/>
      </w:pPr>
      <w:rPr>
        <w:rFonts w:ascii="Times New Roman" w:hAnsi="Times New Roman" w:hint="default"/>
        <w:b w:val="0"/>
        <w:i w:val="0"/>
        <w:color w:val="auto"/>
        <w:sz w:val="22"/>
      </w:rPr>
    </w:lvl>
    <w:lvl w:ilvl="1">
      <w:start w:val="1"/>
      <w:numFmt w:val="lowerLetter"/>
      <w:lvlText w:val="%2."/>
      <w:lvlJc w:val="left"/>
      <w:pPr>
        <w:ind w:left="720" w:hanging="360"/>
      </w:pPr>
      <w:rPr>
        <w:rFonts w:ascii="Times New Roman" w:hAnsi="Times New Roman" w:hint="default"/>
        <w:b w:val="0"/>
        <w:i w:val="0"/>
        <w:color w:val="auto"/>
        <w:sz w:val="22"/>
      </w:rPr>
    </w:lvl>
    <w:lvl w:ilvl="2">
      <w:start w:val="1"/>
      <w:numFmt w:val="lowerRoman"/>
      <w:lvlText w:val="%3."/>
      <w:lvlJc w:val="left"/>
      <w:pPr>
        <w:ind w:left="1080" w:hanging="360"/>
      </w:pPr>
      <w:rPr>
        <w:rFonts w:ascii="Times New Roman" w:hAnsi="Times New Roman" w:hint="default"/>
        <w:b w:val="0"/>
        <w:i w:val="0"/>
        <w:color w:val="auto"/>
        <w:sz w:val="22"/>
      </w:rPr>
    </w:lvl>
    <w:lvl w:ilvl="3">
      <w:start w:val="1"/>
      <w:numFmt w:val="none"/>
      <w:lvlText w:val="1."/>
      <w:lvlJc w:val="left"/>
      <w:pPr>
        <w:ind w:left="1440" w:hanging="360"/>
      </w:pPr>
      <w:rPr>
        <w:rFonts w:ascii="Times New Roman" w:hAnsi="Times New Roman" w:hint="default"/>
        <w:b w:val="0"/>
        <w:i w:val="0"/>
        <w:color w:val="auto"/>
        <w:sz w:val="22"/>
      </w:rPr>
    </w:lvl>
    <w:lvl w:ilvl="4">
      <w:start w:val="1"/>
      <w:numFmt w:val="none"/>
      <w:lvlText w:val="a."/>
      <w:lvlJc w:val="left"/>
      <w:pPr>
        <w:ind w:left="1800" w:hanging="360"/>
      </w:pPr>
      <w:rPr>
        <w:rFonts w:ascii="Times New Roman" w:hAnsi="Times New Roman" w:hint="default"/>
        <w:b w:val="0"/>
        <w:i w:val="0"/>
        <w:color w:val="auto"/>
        <w:sz w:val="22"/>
      </w:rPr>
    </w:lvl>
    <w:lvl w:ilvl="5">
      <w:start w:val="1"/>
      <w:numFmt w:val="none"/>
      <w:lvlText w:val="i."/>
      <w:lvlJc w:val="left"/>
      <w:pPr>
        <w:ind w:left="2160" w:hanging="360"/>
      </w:pPr>
      <w:rPr>
        <w:rFonts w:ascii="Times New Roman" w:hAnsi="Times New Roman" w:hint="default"/>
        <w:b w:val="0"/>
        <w:i w:val="0"/>
        <w:color w:val="auto"/>
        <w:sz w:val="22"/>
      </w:rPr>
    </w:lvl>
    <w:lvl w:ilvl="6">
      <w:start w:val="1"/>
      <w:numFmt w:val="decimal"/>
      <w:lvlText w:val="%7."/>
      <w:lvlJc w:val="left"/>
      <w:pPr>
        <w:ind w:left="2520" w:hanging="360"/>
      </w:pPr>
      <w:rPr>
        <w:rFonts w:ascii="Times New Roman" w:hAnsi="Times New Roman" w:hint="default"/>
        <w:b w:val="0"/>
        <w:i w:val="0"/>
        <w:color w:val="auto"/>
        <w:sz w:val="22"/>
      </w:rPr>
    </w:lvl>
    <w:lvl w:ilvl="7">
      <w:start w:val="1"/>
      <w:numFmt w:val="lowerLetter"/>
      <w:lvlText w:val="%8."/>
      <w:lvlJc w:val="left"/>
      <w:pPr>
        <w:ind w:left="2880" w:hanging="360"/>
      </w:pPr>
      <w:rPr>
        <w:rFonts w:ascii="Times New Roman" w:hAnsi="Times New Roman" w:hint="default"/>
        <w:b w:val="0"/>
        <w:i w:val="0"/>
        <w:color w:val="auto"/>
        <w:sz w:val="22"/>
      </w:rPr>
    </w:lvl>
    <w:lvl w:ilvl="8">
      <w:start w:val="1"/>
      <w:numFmt w:val="lowerRoman"/>
      <w:lvlText w:val="%9."/>
      <w:lvlJc w:val="left"/>
      <w:pPr>
        <w:ind w:left="3240" w:hanging="360"/>
      </w:pPr>
      <w:rPr>
        <w:rFonts w:ascii="Times New Roman" w:hAnsi="Times New Roman" w:hint="default"/>
        <w:b w:val="0"/>
        <w:i w:val="0"/>
        <w:color w:val="auto"/>
        <w:sz w:val="22"/>
      </w:rPr>
    </w:lvl>
  </w:abstractNum>
  <w:abstractNum w:abstractNumId="27" w15:restartNumberingAfterBreak="0">
    <w:nsid w:val="3B4E5F13"/>
    <w:multiLevelType w:val="hybridMultilevel"/>
    <w:tmpl w:val="B0EE18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27D0993"/>
    <w:multiLevelType w:val="multilevel"/>
    <w:tmpl w:val="FBC4119C"/>
    <w:styleLink w:val="Bullets12ptTNRList"/>
    <w:lvl w:ilvl="0">
      <w:start w:val="1"/>
      <w:numFmt w:val="bullet"/>
      <w:lvlText w:val=""/>
      <w:lvlJc w:val="left"/>
      <w:pPr>
        <w:ind w:left="720" w:hanging="360"/>
      </w:pPr>
      <w:rPr>
        <w:rFonts w:ascii="Symbol" w:hAnsi="Symbol" w:hint="default"/>
        <w:b w:val="0"/>
        <w:i w:val="0"/>
        <w:color w:val="auto"/>
        <w:sz w:val="24"/>
      </w:rPr>
    </w:lvl>
    <w:lvl w:ilvl="1">
      <w:start w:val="1"/>
      <w:numFmt w:val="bullet"/>
      <w:lvlText w:val=""/>
      <w:lvlJc w:val="left"/>
      <w:pPr>
        <w:ind w:left="1080" w:hanging="360"/>
      </w:pPr>
      <w:rPr>
        <w:rFonts w:ascii="Symbol" w:hAnsi="Symbol"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29" w15:restartNumberingAfterBreak="0">
    <w:nsid w:val="510D1D2B"/>
    <w:multiLevelType w:val="hybridMultilevel"/>
    <w:tmpl w:val="8836F004"/>
    <w:lvl w:ilvl="0" w:tplc="57664AD8">
      <w:numFmt w:val="bullet"/>
      <w:lvlText w:val=""/>
      <w:lvlJc w:val="left"/>
      <w:pPr>
        <w:ind w:left="880" w:hanging="361"/>
      </w:pPr>
      <w:rPr>
        <w:rFonts w:ascii="Wingdings 3" w:eastAsia="Wingdings 3" w:hAnsi="Wingdings 3" w:cs="Wingdings 3" w:hint="default"/>
        <w:b w:val="0"/>
        <w:bCs w:val="0"/>
        <w:i w:val="0"/>
        <w:iCs w:val="0"/>
        <w:color w:val="B12732"/>
        <w:w w:val="99"/>
        <w:sz w:val="22"/>
        <w:szCs w:val="22"/>
      </w:rPr>
    </w:lvl>
    <w:lvl w:ilvl="1" w:tplc="BDA4EE48">
      <w:numFmt w:val="bullet"/>
      <w:lvlText w:val="•"/>
      <w:lvlJc w:val="left"/>
      <w:pPr>
        <w:ind w:left="1762" w:hanging="361"/>
      </w:pPr>
      <w:rPr>
        <w:rFonts w:hint="default"/>
      </w:rPr>
    </w:lvl>
    <w:lvl w:ilvl="2" w:tplc="C8F29772">
      <w:numFmt w:val="bullet"/>
      <w:lvlText w:val="•"/>
      <w:lvlJc w:val="left"/>
      <w:pPr>
        <w:ind w:left="2644" w:hanging="361"/>
      </w:pPr>
      <w:rPr>
        <w:rFonts w:hint="default"/>
      </w:rPr>
    </w:lvl>
    <w:lvl w:ilvl="3" w:tplc="92D0CADE">
      <w:numFmt w:val="bullet"/>
      <w:lvlText w:val="•"/>
      <w:lvlJc w:val="left"/>
      <w:pPr>
        <w:ind w:left="3526" w:hanging="361"/>
      </w:pPr>
      <w:rPr>
        <w:rFonts w:hint="default"/>
      </w:rPr>
    </w:lvl>
    <w:lvl w:ilvl="4" w:tplc="1DE40A0A">
      <w:numFmt w:val="bullet"/>
      <w:lvlText w:val="•"/>
      <w:lvlJc w:val="left"/>
      <w:pPr>
        <w:ind w:left="4408" w:hanging="361"/>
      </w:pPr>
      <w:rPr>
        <w:rFonts w:hint="default"/>
      </w:rPr>
    </w:lvl>
    <w:lvl w:ilvl="5" w:tplc="77B021D6">
      <w:numFmt w:val="bullet"/>
      <w:lvlText w:val="•"/>
      <w:lvlJc w:val="left"/>
      <w:pPr>
        <w:ind w:left="5290" w:hanging="361"/>
      </w:pPr>
      <w:rPr>
        <w:rFonts w:hint="default"/>
      </w:rPr>
    </w:lvl>
    <w:lvl w:ilvl="6" w:tplc="992E0D90">
      <w:numFmt w:val="bullet"/>
      <w:lvlText w:val="•"/>
      <w:lvlJc w:val="left"/>
      <w:pPr>
        <w:ind w:left="6172" w:hanging="361"/>
      </w:pPr>
      <w:rPr>
        <w:rFonts w:hint="default"/>
      </w:rPr>
    </w:lvl>
    <w:lvl w:ilvl="7" w:tplc="BDACE770">
      <w:numFmt w:val="bullet"/>
      <w:lvlText w:val="•"/>
      <w:lvlJc w:val="left"/>
      <w:pPr>
        <w:ind w:left="7054" w:hanging="361"/>
      </w:pPr>
      <w:rPr>
        <w:rFonts w:hint="default"/>
      </w:rPr>
    </w:lvl>
    <w:lvl w:ilvl="8" w:tplc="5D946D94">
      <w:numFmt w:val="bullet"/>
      <w:lvlText w:val="•"/>
      <w:lvlJc w:val="left"/>
      <w:pPr>
        <w:ind w:left="7936" w:hanging="361"/>
      </w:pPr>
      <w:rPr>
        <w:rFonts w:hint="default"/>
      </w:rPr>
    </w:lvl>
  </w:abstractNum>
  <w:abstractNum w:abstractNumId="30" w15:restartNumberingAfterBreak="0">
    <w:nsid w:val="516A04F3"/>
    <w:multiLevelType w:val="multilevel"/>
    <w:tmpl w:val="0F64D042"/>
    <w:styleLink w:val="Numbers11ptCalibriList"/>
    <w:lvl w:ilvl="0">
      <w:start w:val="1"/>
      <w:numFmt w:val="decimal"/>
      <w:pStyle w:val="Numbers11ptCalibri-IPR"/>
      <w:lvlText w:val="%1."/>
      <w:lvlJc w:val="left"/>
      <w:pPr>
        <w:ind w:left="720" w:hanging="360"/>
      </w:pPr>
      <w:rPr>
        <w:rFonts w:ascii="Calibri" w:hAnsi="Calibri" w:hint="default"/>
        <w:b w:val="0"/>
        <w:i w:val="0"/>
        <w:color w:val="auto"/>
        <w:sz w:val="22"/>
      </w:rPr>
    </w:lvl>
    <w:lvl w:ilvl="1">
      <w:start w:val="1"/>
      <w:numFmt w:val="lowerLetter"/>
      <w:lvlText w:val="%2."/>
      <w:lvlJc w:val="left"/>
      <w:pPr>
        <w:ind w:left="1080" w:hanging="360"/>
      </w:pPr>
      <w:rPr>
        <w:rFonts w:ascii="Calibri" w:hAnsi="Calibri" w:hint="default"/>
        <w:b w:val="0"/>
        <w:i w:val="0"/>
        <w:color w:val="auto"/>
        <w:sz w:val="22"/>
      </w:rPr>
    </w:lvl>
    <w:lvl w:ilvl="2">
      <w:start w:val="1"/>
      <w:numFmt w:val="lowerRoman"/>
      <w:lvlText w:val="%3."/>
      <w:lvlJc w:val="left"/>
      <w:pPr>
        <w:ind w:left="1440" w:hanging="360"/>
      </w:pPr>
      <w:rPr>
        <w:rFonts w:ascii="Calibri" w:hAnsi="Calibri" w:hint="default"/>
        <w:b w:val="0"/>
        <w:i w:val="0"/>
        <w:color w:val="auto"/>
        <w:sz w:val="22"/>
      </w:rPr>
    </w:lvl>
    <w:lvl w:ilvl="3">
      <w:start w:val="1"/>
      <w:numFmt w:val="decimal"/>
      <w:lvlText w:val="%4."/>
      <w:lvlJc w:val="left"/>
      <w:pPr>
        <w:ind w:left="1800" w:hanging="360"/>
      </w:pPr>
      <w:rPr>
        <w:rFonts w:ascii="Calibri" w:hAnsi="Calibri" w:hint="default"/>
        <w:b w:val="0"/>
        <w:i w:val="0"/>
        <w:color w:val="auto"/>
        <w:sz w:val="22"/>
      </w:rPr>
    </w:lvl>
    <w:lvl w:ilvl="4">
      <w:start w:val="1"/>
      <w:numFmt w:val="lowerLetter"/>
      <w:lvlText w:val="%5."/>
      <w:lvlJc w:val="left"/>
      <w:pPr>
        <w:ind w:left="2160" w:hanging="360"/>
      </w:pPr>
      <w:rPr>
        <w:rFonts w:ascii="Calibri" w:hAnsi="Calibri" w:hint="default"/>
        <w:b w:val="0"/>
        <w:i w:val="0"/>
        <w:color w:val="auto"/>
        <w:sz w:val="22"/>
      </w:rPr>
    </w:lvl>
    <w:lvl w:ilvl="5">
      <w:start w:val="1"/>
      <w:numFmt w:val="lowerRoman"/>
      <w:lvlText w:val="%6."/>
      <w:lvlJc w:val="left"/>
      <w:pPr>
        <w:ind w:left="2520" w:hanging="360"/>
      </w:pPr>
      <w:rPr>
        <w:rFonts w:ascii="Calibri" w:hAnsi="Calibri" w:hint="default"/>
        <w:b w:val="0"/>
        <w:i w:val="0"/>
        <w:color w:val="auto"/>
        <w:sz w:val="22"/>
      </w:rPr>
    </w:lvl>
    <w:lvl w:ilvl="6">
      <w:start w:val="1"/>
      <w:numFmt w:val="decimal"/>
      <w:lvlText w:val="%7."/>
      <w:lvlJc w:val="left"/>
      <w:pPr>
        <w:ind w:left="2880" w:hanging="360"/>
      </w:pPr>
      <w:rPr>
        <w:rFonts w:ascii="Calibri" w:hAnsi="Calibri" w:hint="default"/>
        <w:b w:val="0"/>
        <w:i w:val="0"/>
        <w:color w:val="auto"/>
        <w:sz w:val="22"/>
      </w:rPr>
    </w:lvl>
    <w:lvl w:ilvl="7">
      <w:start w:val="1"/>
      <w:numFmt w:val="lowerLetter"/>
      <w:lvlText w:val="%8."/>
      <w:lvlJc w:val="left"/>
      <w:pPr>
        <w:ind w:left="3240" w:hanging="360"/>
      </w:pPr>
      <w:rPr>
        <w:rFonts w:ascii="Calibri" w:hAnsi="Calibri" w:hint="default"/>
        <w:b w:val="0"/>
        <w:i w:val="0"/>
        <w:color w:val="auto"/>
        <w:sz w:val="22"/>
      </w:rPr>
    </w:lvl>
    <w:lvl w:ilvl="8">
      <w:start w:val="1"/>
      <w:numFmt w:val="lowerRoman"/>
      <w:lvlText w:val="%9."/>
      <w:lvlJc w:val="left"/>
      <w:pPr>
        <w:ind w:left="3600" w:hanging="360"/>
      </w:pPr>
      <w:rPr>
        <w:rFonts w:ascii="Calibri" w:hAnsi="Calibri" w:hint="default"/>
        <w:b w:val="0"/>
        <w:i w:val="0"/>
        <w:color w:val="auto"/>
        <w:sz w:val="22"/>
      </w:rPr>
    </w:lvl>
  </w:abstractNum>
  <w:abstractNum w:abstractNumId="31" w15:restartNumberingAfterBreak="0">
    <w:nsid w:val="54BC6EB8"/>
    <w:multiLevelType w:val="multilevel"/>
    <w:tmpl w:val="B84CE8A6"/>
    <w:numStyleLink w:val="TableRedNumbersList-IPR"/>
  </w:abstractNum>
  <w:abstractNum w:abstractNumId="32" w15:restartNumberingAfterBreak="0">
    <w:nsid w:val="56D01F5B"/>
    <w:multiLevelType w:val="hybridMultilevel"/>
    <w:tmpl w:val="B77822CE"/>
    <w:lvl w:ilvl="0" w:tplc="BE08F434">
      <w:start w:val="1"/>
      <w:numFmt w:val="upperLetter"/>
      <w:pStyle w:val="Hdng2-IPR"/>
      <w:lvlText w:val="%1."/>
      <w:lvlJc w:val="left"/>
      <w:pPr>
        <w:ind w:left="720" w:hanging="720"/>
      </w:pPr>
      <w:rPr>
        <w:rFonts w:ascii="Arial Bold" w:hAnsi="Arial Bold" w:hint="default"/>
        <w:b/>
        <w:bCs w:val="0"/>
        <w:i w:val="0"/>
        <w:iCs w:val="0"/>
        <w:caps/>
        <w:strike w:val="0"/>
        <w:dstrike w:val="0"/>
        <w:vanish w:val="0"/>
        <w:color w:val="1F497D" w:themeColor="text2"/>
        <w:spacing w:val="0"/>
        <w:kern w:val="0"/>
        <w:position w:val="0"/>
        <w:sz w:val="24"/>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333561"/>
    <w:multiLevelType w:val="multilevel"/>
    <w:tmpl w:val="0F64D042"/>
    <w:numStyleLink w:val="Numbers11ptCalibriList"/>
  </w:abstractNum>
  <w:abstractNum w:abstractNumId="34" w15:restartNumberingAfterBreak="0">
    <w:nsid w:val="679A4D49"/>
    <w:multiLevelType w:val="multilevel"/>
    <w:tmpl w:val="E0FE1110"/>
    <w:numStyleLink w:val="TableRedBulletsList-IPR"/>
  </w:abstractNum>
  <w:abstractNum w:abstractNumId="35" w15:restartNumberingAfterBreak="0">
    <w:nsid w:val="6DB92FF7"/>
    <w:multiLevelType w:val="hybridMultilevel"/>
    <w:tmpl w:val="87EA8E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2"/>
  </w:num>
  <w:num w:numId="3">
    <w:abstractNumId w:val="16"/>
  </w:num>
  <w:num w:numId="4">
    <w:abstractNumId w:val="4"/>
  </w:num>
  <w:num w:numId="5">
    <w:abstractNumId w:val="14"/>
  </w:num>
  <w:num w:numId="6">
    <w:abstractNumId w:val="24"/>
  </w:num>
  <w:num w:numId="7">
    <w:abstractNumId w:val="3"/>
  </w:num>
  <w:num w:numId="8">
    <w:abstractNumId w:val="9"/>
  </w:num>
  <w:num w:numId="9">
    <w:abstractNumId w:val="31"/>
  </w:num>
  <w:num w:numId="10">
    <w:abstractNumId w:val="17"/>
  </w:num>
  <w:num w:numId="11">
    <w:abstractNumId w:val="30"/>
  </w:num>
  <w:num w:numId="12">
    <w:abstractNumId w:val="1"/>
  </w:num>
  <w:num w:numId="13">
    <w:abstractNumId w:val="22"/>
  </w:num>
  <w:num w:numId="14">
    <w:abstractNumId w:val="23"/>
  </w:num>
  <w:num w:numId="15">
    <w:abstractNumId w:val="28"/>
  </w:num>
  <w:num w:numId="16">
    <w:abstractNumId w:val="33"/>
  </w:num>
  <w:num w:numId="17">
    <w:abstractNumId w:val="2"/>
  </w:num>
  <w:num w:numId="18">
    <w:abstractNumId w:val="34"/>
  </w:num>
  <w:num w:numId="19">
    <w:abstractNumId w:val="26"/>
  </w:num>
  <w:num w:numId="20">
    <w:abstractNumId w:val="12"/>
  </w:num>
  <w:num w:numId="21">
    <w:abstractNumId w:val="11"/>
  </w:num>
  <w:num w:numId="22">
    <w:abstractNumId w:val="13"/>
  </w:num>
  <w:num w:numId="23">
    <w:abstractNumId w:val="20"/>
  </w:num>
  <w:num w:numId="24">
    <w:abstractNumId w:val="5"/>
  </w:num>
  <w:num w:numId="25">
    <w:abstractNumId w:val="19"/>
    <w:lvlOverride w:ilvl="0">
      <w:lvl w:ilvl="0">
        <w:start w:val="1"/>
        <w:numFmt w:val="bullet"/>
        <w:lvlText w:val=""/>
        <w:lvlJc w:val="left"/>
        <w:pPr>
          <w:ind w:left="720" w:hanging="360"/>
        </w:pPr>
        <w:rPr>
          <w:rFonts w:ascii="Wingdings 3" w:hAnsi="Wingdings 3" w:hint="default"/>
          <w:color w:val="B12732"/>
        </w:rPr>
      </w:lvl>
    </w:lvlOverride>
    <w:lvlOverride w:ilvl="1">
      <w:lvl w:ilvl="1">
        <w:start w:val="1"/>
        <w:numFmt w:val="bullet"/>
        <w:lvlText w:val="▪"/>
        <w:lvlJc w:val="left"/>
        <w:pPr>
          <w:ind w:left="1080" w:hanging="360"/>
        </w:pPr>
        <w:rPr>
          <w:rFonts w:ascii="Courier New" w:hAnsi="Courier New" w:hint="default"/>
          <w:color w:val="B12732"/>
        </w:rPr>
      </w:lvl>
    </w:lvlOverride>
    <w:lvlOverride w:ilvl="2">
      <w:lvl w:ilvl="2">
        <w:start w:val="1"/>
        <w:numFmt w:val="bullet"/>
        <w:lvlText w:val=""/>
        <w:lvlJc w:val="left"/>
        <w:pPr>
          <w:ind w:left="1440" w:hanging="360"/>
        </w:pPr>
        <w:rPr>
          <w:rFonts w:ascii="Symbol" w:hAnsi="Symbol" w:hint="default"/>
          <w:color w:val="B12732"/>
        </w:rPr>
      </w:lvl>
    </w:lvlOverride>
  </w:num>
  <w:num w:numId="26">
    <w:abstractNumId w:val="6"/>
  </w:num>
  <w:num w:numId="27">
    <w:abstractNumId w:val="7"/>
    <w:lvlOverride w:ilvl="0">
      <w:lvl w:ilvl="0">
        <w:start w:val="1"/>
        <w:numFmt w:val="decimal"/>
        <w:pStyle w:val="NumbersRed-IPR"/>
        <w:lvlText w:val="%1."/>
        <w:lvlJc w:val="left"/>
        <w:pPr>
          <w:ind w:left="720" w:hanging="360"/>
        </w:pPr>
        <w:rPr>
          <w:rFonts w:hint="default"/>
          <w:b w:val="0"/>
          <w:color w:val="B12732"/>
          <w:sz w:val="24"/>
          <w:szCs w:val="24"/>
        </w:rPr>
      </w:lvl>
    </w:lvlOverride>
    <w:lvlOverride w:ilvl="1">
      <w:lvl w:ilvl="1">
        <w:start w:val="1"/>
        <w:numFmt w:val="lowerLetter"/>
        <w:lvlText w:val="%2."/>
        <w:lvlJc w:val="left"/>
        <w:pPr>
          <w:ind w:left="1080" w:hanging="360"/>
        </w:pPr>
        <w:rPr>
          <w:rFonts w:hint="default"/>
          <w:color w:val="B12732"/>
        </w:rPr>
      </w:lvl>
    </w:lvlOverride>
    <w:lvlOverride w:ilvl="2">
      <w:lvl w:ilvl="2">
        <w:start w:val="1"/>
        <w:numFmt w:val="lowerRoman"/>
        <w:lvlText w:val="%3."/>
        <w:lvlJc w:val="right"/>
        <w:pPr>
          <w:ind w:left="1440" w:hanging="360"/>
        </w:pPr>
        <w:rPr>
          <w:rFonts w:hint="default"/>
          <w:color w:val="B12732"/>
        </w:rPr>
      </w:lvl>
    </w:lvlOverride>
  </w:num>
  <w:num w:numId="28">
    <w:abstractNumId w:val="18"/>
  </w:num>
  <w:num w:numId="29">
    <w:abstractNumId w:val="15"/>
  </w:num>
  <w:num w:numId="30">
    <w:abstractNumId w:val="7"/>
  </w:num>
  <w:num w:numId="31">
    <w:abstractNumId w:val="29"/>
  </w:num>
  <w:num w:numId="32">
    <w:abstractNumId w:val="27"/>
  </w:num>
  <w:num w:numId="33">
    <w:abstractNumId w:val="0"/>
  </w:num>
  <w:num w:numId="34">
    <w:abstractNumId w:val="25"/>
  </w:num>
  <w:num w:numId="35">
    <w:abstractNumId w:val="35"/>
  </w:num>
  <w:num w:numId="36">
    <w:abstractNumId w:val="8"/>
  </w:num>
  <w:num w:numId="37">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en-US" w:vendorID="64" w:dllVersion="6" w:nlCheck="1" w:checkStyle="1"/>
  <w:activeWritingStyle w:appName="MSWord" w:lang="es-PR" w:vendorID="64" w:dllVersion="6" w:nlCheck="1" w:checkStyle="1"/>
  <w:activeWritingStyle w:appName="MSWord" w:lang="en-US" w:vendorID="64" w:dllVersion="0" w:nlCheck="1" w:checkStyle="0"/>
  <w:activeWritingStyle w:appName="MSWord" w:lang="es-AR" w:vendorID="64" w:dllVersion="6" w:nlCheck="1" w:checkStyle="1"/>
  <w:activeWritingStyle w:appName="MSWord" w:lang="es-AR" w:vendorID="64" w:dllVersion="0" w:nlCheck="1" w:checkStyle="0"/>
  <w:activeWritingStyle w:appName="MSWord" w:lang="es-PR" w:vendorID="64" w:dllVersion="0" w:nlCheck="1" w:checkStyle="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trackRevisions/>
  <w:defaultTabStop w:val="720"/>
  <w:drawingGridHorizontalSpacing w:val="120"/>
  <w:displayHorizontalDrawingGridEvery w:val="2"/>
  <w:characterSpacingControl w:val="doNotCompress"/>
  <w:hdrShapeDefaults>
    <o:shapedefaults v:ext="edit" spidmax="90113" style="mso-position-horizontal:center;mso-position-horizontal-relative:margin;mso-width-relative:margin;mso-height-relative:margin;v-text-anchor:middle" fillcolor="none [3212]" strokecolor="none [671]">
      <v:fill color="none [3212]"/>
      <v:stroke color="none [671]" weight="2pt"/>
      <v:textbox style="mso-fit-shape-to-text:t" inset=",7.2pt,,7.2pt"/>
      <o:colormru v:ext="edit" colors="#f9f9f9"/>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677"/>
    <w:rsid w:val="00000381"/>
    <w:rsid w:val="000008D7"/>
    <w:rsid w:val="00000B9B"/>
    <w:rsid w:val="00000D72"/>
    <w:rsid w:val="0000164D"/>
    <w:rsid w:val="0000167D"/>
    <w:rsid w:val="000020D7"/>
    <w:rsid w:val="000028B3"/>
    <w:rsid w:val="00002FEA"/>
    <w:rsid w:val="000035E7"/>
    <w:rsid w:val="00003715"/>
    <w:rsid w:val="00003C72"/>
    <w:rsid w:val="00004316"/>
    <w:rsid w:val="00004C72"/>
    <w:rsid w:val="00004DA9"/>
    <w:rsid w:val="00004FA1"/>
    <w:rsid w:val="00005A75"/>
    <w:rsid w:val="00006749"/>
    <w:rsid w:val="000105FD"/>
    <w:rsid w:val="00010818"/>
    <w:rsid w:val="000109B3"/>
    <w:rsid w:val="00010FBC"/>
    <w:rsid w:val="00011199"/>
    <w:rsid w:val="00011367"/>
    <w:rsid w:val="000117EE"/>
    <w:rsid w:val="00011FA0"/>
    <w:rsid w:val="00012663"/>
    <w:rsid w:val="00012994"/>
    <w:rsid w:val="00013040"/>
    <w:rsid w:val="0001308A"/>
    <w:rsid w:val="00013514"/>
    <w:rsid w:val="00013DE2"/>
    <w:rsid w:val="00014015"/>
    <w:rsid w:val="00014294"/>
    <w:rsid w:val="00014451"/>
    <w:rsid w:val="00015D8D"/>
    <w:rsid w:val="000162E6"/>
    <w:rsid w:val="00016367"/>
    <w:rsid w:val="000164D5"/>
    <w:rsid w:val="0001673E"/>
    <w:rsid w:val="00016B98"/>
    <w:rsid w:val="00016C61"/>
    <w:rsid w:val="00017136"/>
    <w:rsid w:val="00017CEE"/>
    <w:rsid w:val="000208D1"/>
    <w:rsid w:val="00021CFC"/>
    <w:rsid w:val="000225DE"/>
    <w:rsid w:val="0002359A"/>
    <w:rsid w:val="0002385E"/>
    <w:rsid w:val="0002495F"/>
    <w:rsid w:val="0002497B"/>
    <w:rsid w:val="00024A86"/>
    <w:rsid w:val="00025B1C"/>
    <w:rsid w:val="00025C27"/>
    <w:rsid w:val="0002600B"/>
    <w:rsid w:val="00026813"/>
    <w:rsid w:val="00026ADE"/>
    <w:rsid w:val="00027680"/>
    <w:rsid w:val="000277F2"/>
    <w:rsid w:val="00027C26"/>
    <w:rsid w:val="00027C57"/>
    <w:rsid w:val="00027FC3"/>
    <w:rsid w:val="00032BB8"/>
    <w:rsid w:val="000333BF"/>
    <w:rsid w:val="00033F7E"/>
    <w:rsid w:val="00034184"/>
    <w:rsid w:val="00034442"/>
    <w:rsid w:val="00035110"/>
    <w:rsid w:val="00035825"/>
    <w:rsid w:val="000364BC"/>
    <w:rsid w:val="0003654E"/>
    <w:rsid w:val="0003701E"/>
    <w:rsid w:val="000371C3"/>
    <w:rsid w:val="000373FB"/>
    <w:rsid w:val="00037DD9"/>
    <w:rsid w:val="00040B87"/>
    <w:rsid w:val="00040E67"/>
    <w:rsid w:val="000418DB"/>
    <w:rsid w:val="00041AA2"/>
    <w:rsid w:val="00041AAD"/>
    <w:rsid w:val="00042240"/>
    <w:rsid w:val="00043375"/>
    <w:rsid w:val="0004375B"/>
    <w:rsid w:val="00043ECE"/>
    <w:rsid w:val="00044635"/>
    <w:rsid w:val="00044F90"/>
    <w:rsid w:val="000451CB"/>
    <w:rsid w:val="00045355"/>
    <w:rsid w:val="00045F22"/>
    <w:rsid w:val="00046A23"/>
    <w:rsid w:val="00047ECD"/>
    <w:rsid w:val="00050050"/>
    <w:rsid w:val="00050760"/>
    <w:rsid w:val="000510B6"/>
    <w:rsid w:val="00051C42"/>
    <w:rsid w:val="00051E16"/>
    <w:rsid w:val="00052584"/>
    <w:rsid w:val="000529E1"/>
    <w:rsid w:val="000537C6"/>
    <w:rsid w:val="00053EED"/>
    <w:rsid w:val="00054805"/>
    <w:rsid w:val="00054E2A"/>
    <w:rsid w:val="000550B6"/>
    <w:rsid w:val="00057F37"/>
    <w:rsid w:val="000608D2"/>
    <w:rsid w:val="00061425"/>
    <w:rsid w:val="00061518"/>
    <w:rsid w:val="000615D5"/>
    <w:rsid w:val="00061B2E"/>
    <w:rsid w:val="00062078"/>
    <w:rsid w:val="00062547"/>
    <w:rsid w:val="00062FBA"/>
    <w:rsid w:val="000644D1"/>
    <w:rsid w:val="00064E28"/>
    <w:rsid w:val="00066010"/>
    <w:rsid w:val="0006706F"/>
    <w:rsid w:val="00067757"/>
    <w:rsid w:val="0006788E"/>
    <w:rsid w:val="00067D28"/>
    <w:rsid w:val="00067E89"/>
    <w:rsid w:val="00067EB6"/>
    <w:rsid w:val="00067F19"/>
    <w:rsid w:val="000706EA"/>
    <w:rsid w:val="00070880"/>
    <w:rsid w:val="00070EB9"/>
    <w:rsid w:val="00071425"/>
    <w:rsid w:val="0007162B"/>
    <w:rsid w:val="000726F1"/>
    <w:rsid w:val="000730E7"/>
    <w:rsid w:val="00073D29"/>
    <w:rsid w:val="00074A0C"/>
    <w:rsid w:val="000752C5"/>
    <w:rsid w:val="0007730B"/>
    <w:rsid w:val="000778F2"/>
    <w:rsid w:val="00077DD8"/>
    <w:rsid w:val="00077F51"/>
    <w:rsid w:val="00077F8D"/>
    <w:rsid w:val="00080DC1"/>
    <w:rsid w:val="000812CC"/>
    <w:rsid w:val="00081793"/>
    <w:rsid w:val="00082314"/>
    <w:rsid w:val="00082618"/>
    <w:rsid w:val="00082902"/>
    <w:rsid w:val="00083D7F"/>
    <w:rsid w:val="00083F26"/>
    <w:rsid w:val="00084255"/>
    <w:rsid w:val="000853C8"/>
    <w:rsid w:val="000858AB"/>
    <w:rsid w:val="00086137"/>
    <w:rsid w:val="00086441"/>
    <w:rsid w:val="00087F61"/>
    <w:rsid w:val="000901B1"/>
    <w:rsid w:val="00090F03"/>
    <w:rsid w:val="00090F27"/>
    <w:rsid w:val="00091321"/>
    <w:rsid w:val="0009218A"/>
    <w:rsid w:val="00092AC7"/>
    <w:rsid w:val="0009352C"/>
    <w:rsid w:val="00093614"/>
    <w:rsid w:val="00093878"/>
    <w:rsid w:val="00093F41"/>
    <w:rsid w:val="00094A94"/>
    <w:rsid w:val="00094B9B"/>
    <w:rsid w:val="0009551A"/>
    <w:rsid w:val="00095899"/>
    <w:rsid w:val="00095A30"/>
    <w:rsid w:val="0009702F"/>
    <w:rsid w:val="0009743C"/>
    <w:rsid w:val="000A10B2"/>
    <w:rsid w:val="000A134A"/>
    <w:rsid w:val="000A1E3B"/>
    <w:rsid w:val="000A2606"/>
    <w:rsid w:val="000A2880"/>
    <w:rsid w:val="000A35B4"/>
    <w:rsid w:val="000A4461"/>
    <w:rsid w:val="000A4844"/>
    <w:rsid w:val="000A4B3F"/>
    <w:rsid w:val="000A6774"/>
    <w:rsid w:val="000A6AF8"/>
    <w:rsid w:val="000B09A1"/>
    <w:rsid w:val="000B0A72"/>
    <w:rsid w:val="000B0C79"/>
    <w:rsid w:val="000B1B77"/>
    <w:rsid w:val="000B1EDC"/>
    <w:rsid w:val="000B2D5D"/>
    <w:rsid w:val="000B3462"/>
    <w:rsid w:val="000B3575"/>
    <w:rsid w:val="000B3AE7"/>
    <w:rsid w:val="000B3BDC"/>
    <w:rsid w:val="000B4DAD"/>
    <w:rsid w:val="000B50B3"/>
    <w:rsid w:val="000B50C4"/>
    <w:rsid w:val="000B5407"/>
    <w:rsid w:val="000B6214"/>
    <w:rsid w:val="000B72CA"/>
    <w:rsid w:val="000B7407"/>
    <w:rsid w:val="000C11E5"/>
    <w:rsid w:val="000C1572"/>
    <w:rsid w:val="000C2197"/>
    <w:rsid w:val="000C2294"/>
    <w:rsid w:val="000C2702"/>
    <w:rsid w:val="000C2B57"/>
    <w:rsid w:val="000C2C63"/>
    <w:rsid w:val="000C3205"/>
    <w:rsid w:val="000C3A2D"/>
    <w:rsid w:val="000C3A59"/>
    <w:rsid w:val="000C3BD3"/>
    <w:rsid w:val="000C44B7"/>
    <w:rsid w:val="000C4B5D"/>
    <w:rsid w:val="000C5DD4"/>
    <w:rsid w:val="000C62A4"/>
    <w:rsid w:val="000C688D"/>
    <w:rsid w:val="000C692F"/>
    <w:rsid w:val="000C6A5B"/>
    <w:rsid w:val="000C6B41"/>
    <w:rsid w:val="000C7FC6"/>
    <w:rsid w:val="000C7FF1"/>
    <w:rsid w:val="000D10A0"/>
    <w:rsid w:val="000D11C2"/>
    <w:rsid w:val="000D1542"/>
    <w:rsid w:val="000D2BDC"/>
    <w:rsid w:val="000D31CD"/>
    <w:rsid w:val="000D3407"/>
    <w:rsid w:val="000D400A"/>
    <w:rsid w:val="000D5FBB"/>
    <w:rsid w:val="000D610B"/>
    <w:rsid w:val="000D62CD"/>
    <w:rsid w:val="000D64A5"/>
    <w:rsid w:val="000D7756"/>
    <w:rsid w:val="000D7E6F"/>
    <w:rsid w:val="000E0279"/>
    <w:rsid w:val="000E02F0"/>
    <w:rsid w:val="000E0A3E"/>
    <w:rsid w:val="000E1621"/>
    <w:rsid w:val="000E25B3"/>
    <w:rsid w:val="000E2693"/>
    <w:rsid w:val="000E38E4"/>
    <w:rsid w:val="000E3C70"/>
    <w:rsid w:val="000E3CDA"/>
    <w:rsid w:val="000E4AA4"/>
    <w:rsid w:val="000E523D"/>
    <w:rsid w:val="000E5AD4"/>
    <w:rsid w:val="000E62A9"/>
    <w:rsid w:val="000E668C"/>
    <w:rsid w:val="000E6934"/>
    <w:rsid w:val="000E6E72"/>
    <w:rsid w:val="000E7677"/>
    <w:rsid w:val="000E7CC2"/>
    <w:rsid w:val="000F1D52"/>
    <w:rsid w:val="000F1F29"/>
    <w:rsid w:val="000F2986"/>
    <w:rsid w:val="000F31F3"/>
    <w:rsid w:val="000F377E"/>
    <w:rsid w:val="000F3885"/>
    <w:rsid w:val="000F3ABA"/>
    <w:rsid w:val="000F43A9"/>
    <w:rsid w:val="000F49AE"/>
    <w:rsid w:val="000F4AC3"/>
    <w:rsid w:val="000F4C86"/>
    <w:rsid w:val="000F6037"/>
    <w:rsid w:val="000F6303"/>
    <w:rsid w:val="000F6A34"/>
    <w:rsid w:val="000F7769"/>
    <w:rsid w:val="000F779B"/>
    <w:rsid w:val="000F78A7"/>
    <w:rsid w:val="0010069D"/>
    <w:rsid w:val="001011EE"/>
    <w:rsid w:val="00101E56"/>
    <w:rsid w:val="00101EDF"/>
    <w:rsid w:val="001024D3"/>
    <w:rsid w:val="0010302A"/>
    <w:rsid w:val="0010396B"/>
    <w:rsid w:val="00103F11"/>
    <w:rsid w:val="0010578D"/>
    <w:rsid w:val="00106273"/>
    <w:rsid w:val="00106710"/>
    <w:rsid w:val="0010716A"/>
    <w:rsid w:val="001071A4"/>
    <w:rsid w:val="00107F80"/>
    <w:rsid w:val="00110119"/>
    <w:rsid w:val="001106D1"/>
    <w:rsid w:val="00110E72"/>
    <w:rsid w:val="001112E5"/>
    <w:rsid w:val="001118A2"/>
    <w:rsid w:val="0011259F"/>
    <w:rsid w:val="00112C47"/>
    <w:rsid w:val="00112D8E"/>
    <w:rsid w:val="001132F4"/>
    <w:rsid w:val="001141D4"/>
    <w:rsid w:val="00115302"/>
    <w:rsid w:val="00115339"/>
    <w:rsid w:val="001158AC"/>
    <w:rsid w:val="00115B01"/>
    <w:rsid w:val="00116422"/>
    <w:rsid w:val="00116ACD"/>
    <w:rsid w:val="001171BC"/>
    <w:rsid w:val="001171DE"/>
    <w:rsid w:val="00117F30"/>
    <w:rsid w:val="001200A5"/>
    <w:rsid w:val="00120268"/>
    <w:rsid w:val="001202DE"/>
    <w:rsid w:val="00120931"/>
    <w:rsid w:val="00121135"/>
    <w:rsid w:val="0012128D"/>
    <w:rsid w:val="00121C76"/>
    <w:rsid w:val="00121D09"/>
    <w:rsid w:val="00122326"/>
    <w:rsid w:val="00122C14"/>
    <w:rsid w:val="00122F77"/>
    <w:rsid w:val="001230FE"/>
    <w:rsid w:val="00123454"/>
    <w:rsid w:val="001234B5"/>
    <w:rsid w:val="001239F4"/>
    <w:rsid w:val="00124043"/>
    <w:rsid w:val="00124128"/>
    <w:rsid w:val="00124459"/>
    <w:rsid w:val="00124BB3"/>
    <w:rsid w:val="00124FDA"/>
    <w:rsid w:val="001253B5"/>
    <w:rsid w:val="001257B8"/>
    <w:rsid w:val="00125EF7"/>
    <w:rsid w:val="00126C04"/>
    <w:rsid w:val="001278EB"/>
    <w:rsid w:val="00127ADC"/>
    <w:rsid w:val="00127B6B"/>
    <w:rsid w:val="00130755"/>
    <w:rsid w:val="0013148E"/>
    <w:rsid w:val="001315E2"/>
    <w:rsid w:val="00132CDF"/>
    <w:rsid w:val="00132EB8"/>
    <w:rsid w:val="001335FC"/>
    <w:rsid w:val="00133C2C"/>
    <w:rsid w:val="00133CE8"/>
    <w:rsid w:val="001342DD"/>
    <w:rsid w:val="00134FD1"/>
    <w:rsid w:val="0013500C"/>
    <w:rsid w:val="0013567F"/>
    <w:rsid w:val="00136438"/>
    <w:rsid w:val="00136A4D"/>
    <w:rsid w:val="00136EBE"/>
    <w:rsid w:val="001378ED"/>
    <w:rsid w:val="00137AAA"/>
    <w:rsid w:val="00137D01"/>
    <w:rsid w:val="00137D83"/>
    <w:rsid w:val="00140CC1"/>
    <w:rsid w:val="00140DA6"/>
    <w:rsid w:val="00141B1D"/>
    <w:rsid w:val="001421A5"/>
    <w:rsid w:val="001434FA"/>
    <w:rsid w:val="00144062"/>
    <w:rsid w:val="001441BB"/>
    <w:rsid w:val="00144379"/>
    <w:rsid w:val="00144711"/>
    <w:rsid w:val="00144E21"/>
    <w:rsid w:val="00145E55"/>
    <w:rsid w:val="00145F19"/>
    <w:rsid w:val="00146AE9"/>
    <w:rsid w:val="00147500"/>
    <w:rsid w:val="001475C1"/>
    <w:rsid w:val="001500C9"/>
    <w:rsid w:val="00150DE8"/>
    <w:rsid w:val="00150E92"/>
    <w:rsid w:val="00150EFE"/>
    <w:rsid w:val="001520AE"/>
    <w:rsid w:val="0015212B"/>
    <w:rsid w:val="00152160"/>
    <w:rsid w:val="00152990"/>
    <w:rsid w:val="001529F2"/>
    <w:rsid w:val="00153708"/>
    <w:rsid w:val="001540AB"/>
    <w:rsid w:val="0015448A"/>
    <w:rsid w:val="0015484D"/>
    <w:rsid w:val="0015558D"/>
    <w:rsid w:val="0015608C"/>
    <w:rsid w:val="00157054"/>
    <w:rsid w:val="00157154"/>
    <w:rsid w:val="00157B91"/>
    <w:rsid w:val="001604B3"/>
    <w:rsid w:val="00160BE5"/>
    <w:rsid w:val="0016150D"/>
    <w:rsid w:val="0016159F"/>
    <w:rsid w:val="00161BA3"/>
    <w:rsid w:val="00161FD9"/>
    <w:rsid w:val="00162309"/>
    <w:rsid w:val="001625A2"/>
    <w:rsid w:val="00162710"/>
    <w:rsid w:val="001630C4"/>
    <w:rsid w:val="001631FB"/>
    <w:rsid w:val="0016394D"/>
    <w:rsid w:val="00163F73"/>
    <w:rsid w:val="00165021"/>
    <w:rsid w:val="00165090"/>
    <w:rsid w:val="00165521"/>
    <w:rsid w:val="00165B87"/>
    <w:rsid w:val="00165E5C"/>
    <w:rsid w:val="00166B83"/>
    <w:rsid w:val="00167287"/>
    <w:rsid w:val="00167483"/>
    <w:rsid w:val="00167E92"/>
    <w:rsid w:val="0017199F"/>
    <w:rsid w:val="00171F6B"/>
    <w:rsid w:val="00172CA6"/>
    <w:rsid w:val="00172CCD"/>
    <w:rsid w:val="00172E98"/>
    <w:rsid w:val="00172F9C"/>
    <w:rsid w:val="001730C0"/>
    <w:rsid w:val="001730FD"/>
    <w:rsid w:val="001731A7"/>
    <w:rsid w:val="0017356D"/>
    <w:rsid w:val="0017418D"/>
    <w:rsid w:val="001743EA"/>
    <w:rsid w:val="00175091"/>
    <w:rsid w:val="0017567B"/>
    <w:rsid w:val="00175E2D"/>
    <w:rsid w:val="001768E4"/>
    <w:rsid w:val="00176ABC"/>
    <w:rsid w:val="00176F4F"/>
    <w:rsid w:val="001776C5"/>
    <w:rsid w:val="00177CFB"/>
    <w:rsid w:val="00180941"/>
    <w:rsid w:val="0018094C"/>
    <w:rsid w:val="0018143D"/>
    <w:rsid w:val="001815CB"/>
    <w:rsid w:val="001816F3"/>
    <w:rsid w:val="00181932"/>
    <w:rsid w:val="00181DC7"/>
    <w:rsid w:val="00182600"/>
    <w:rsid w:val="00182776"/>
    <w:rsid w:val="0018280E"/>
    <w:rsid w:val="00182C37"/>
    <w:rsid w:val="00183B3B"/>
    <w:rsid w:val="0018411B"/>
    <w:rsid w:val="00184F91"/>
    <w:rsid w:val="001853E0"/>
    <w:rsid w:val="0018553A"/>
    <w:rsid w:val="0018558F"/>
    <w:rsid w:val="001856D5"/>
    <w:rsid w:val="00185CA1"/>
    <w:rsid w:val="00187EDD"/>
    <w:rsid w:val="0019110E"/>
    <w:rsid w:val="001924A3"/>
    <w:rsid w:val="00192684"/>
    <w:rsid w:val="00193847"/>
    <w:rsid w:val="0019436B"/>
    <w:rsid w:val="001949D4"/>
    <w:rsid w:val="001956CF"/>
    <w:rsid w:val="00195B28"/>
    <w:rsid w:val="00195C3D"/>
    <w:rsid w:val="00195C95"/>
    <w:rsid w:val="001973C7"/>
    <w:rsid w:val="00197B07"/>
    <w:rsid w:val="001A01E6"/>
    <w:rsid w:val="001A06F6"/>
    <w:rsid w:val="001A0D04"/>
    <w:rsid w:val="001A0FAC"/>
    <w:rsid w:val="001A1CB1"/>
    <w:rsid w:val="001A1F55"/>
    <w:rsid w:val="001A22B7"/>
    <w:rsid w:val="001A23D3"/>
    <w:rsid w:val="001A2C75"/>
    <w:rsid w:val="001A335E"/>
    <w:rsid w:val="001A347B"/>
    <w:rsid w:val="001A3CF4"/>
    <w:rsid w:val="001A41B2"/>
    <w:rsid w:val="001A4A21"/>
    <w:rsid w:val="001A6203"/>
    <w:rsid w:val="001A681A"/>
    <w:rsid w:val="001A74E4"/>
    <w:rsid w:val="001A7550"/>
    <w:rsid w:val="001B0070"/>
    <w:rsid w:val="001B0EAF"/>
    <w:rsid w:val="001B1237"/>
    <w:rsid w:val="001B18C7"/>
    <w:rsid w:val="001B2979"/>
    <w:rsid w:val="001B33A1"/>
    <w:rsid w:val="001B3595"/>
    <w:rsid w:val="001B4732"/>
    <w:rsid w:val="001B487D"/>
    <w:rsid w:val="001B4998"/>
    <w:rsid w:val="001B551C"/>
    <w:rsid w:val="001B5932"/>
    <w:rsid w:val="001B5D8E"/>
    <w:rsid w:val="001B6727"/>
    <w:rsid w:val="001B6730"/>
    <w:rsid w:val="001B70D7"/>
    <w:rsid w:val="001B78B8"/>
    <w:rsid w:val="001B7ADD"/>
    <w:rsid w:val="001C113F"/>
    <w:rsid w:val="001C191A"/>
    <w:rsid w:val="001C2A25"/>
    <w:rsid w:val="001C2C1A"/>
    <w:rsid w:val="001C3208"/>
    <w:rsid w:val="001C34FF"/>
    <w:rsid w:val="001C4272"/>
    <w:rsid w:val="001C4306"/>
    <w:rsid w:val="001C47B1"/>
    <w:rsid w:val="001C4C96"/>
    <w:rsid w:val="001C7131"/>
    <w:rsid w:val="001C7539"/>
    <w:rsid w:val="001C77AD"/>
    <w:rsid w:val="001C7CF0"/>
    <w:rsid w:val="001D03CB"/>
    <w:rsid w:val="001D03FD"/>
    <w:rsid w:val="001D0A6E"/>
    <w:rsid w:val="001D112D"/>
    <w:rsid w:val="001D12C0"/>
    <w:rsid w:val="001D190D"/>
    <w:rsid w:val="001D1C2C"/>
    <w:rsid w:val="001D2BA6"/>
    <w:rsid w:val="001D2E5B"/>
    <w:rsid w:val="001D3D2D"/>
    <w:rsid w:val="001D429F"/>
    <w:rsid w:val="001D4A26"/>
    <w:rsid w:val="001D4D2B"/>
    <w:rsid w:val="001D515E"/>
    <w:rsid w:val="001D54C8"/>
    <w:rsid w:val="001D62CE"/>
    <w:rsid w:val="001D637C"/>
    <w:rsid w:val="001D66BF"/>
    <w:rsid w:val="001D6B84"/>
    <w:rsid w:val="001D6F3D"/>
    <w:rsid w:val="001D6F71"/>
    <w:rsid w:val="001D7414"/>
    <w:rsid w:val="001D78E4"/>
    <w:rsid w:val="001E0262"/>
    <w:rsid w:val="001E1125"/>
    <w:rsid w:val="001E1294"/>
    <w:rsid w:val="001E1CBC"/>
    <w:rsid w:val="001E1E38"/>
    <w:rsid w:val="001E22E7"/>
    <w:rsid w:val="001E2605"/>
    <w:rsid w:val="001E2896"/>
    <w:rsid w:val="001E2C44"/>
    <w:rsid w:val="001E3311"/>
    <w:rsid w:val="001E3E9D"/>
    <w:rsid w:val="001E545F"/>
    <w:rsid w:val="001E61F4"/>
    <w:rsid w:val="001E62C5"/>
    <w:rsid w:val="001E66FB"/>
    <w:rsid w:val="001E68E9"/>
    <w:rsid w:val="001E77A5"/>
    <w:rsid w:val="001F0F49"/>
    <w:rsid w:val="001F10F3"/>
    <w:rsid w:val="001F12E9"/>
    <w:rsid w:val="001F1853"/>
    <w:rsid w:val="001F1CE5"/>
    <w:rsid w:val="001F1DD5"/>
    <w:rsid w:val="001F1F38"/>
    <w:rsid w:val="001F23DE"/>
    <w:rsid w:val="001F2693"/>
    <w:rsid w:val="001F2E63"/>
    <w:rsid w:val="001F3D81"/>
    <w:rsid w:val="001F40D1"/>
    <w:rsid w:val="001F413B"/>
    <w:rsid w:val="001F4C37"/>
    <w:rsid w:val="001F4FC2"/>
    <w:rsid w:val="001F5255"/>
    <w:rsid w:val="001F5E01"/>
    <w:rsid w:val="001F5E88"/>
    <w:rsid w:val="001F5EDE"/>
    <w:rsid w:val="001F6B1A"/>
    <w:rsid w:val="001F6C25"/>
    <w:rsid w:val="001F6CEF"/>
    <w:rsid w:val="001F73AD"/>
    <w:rsid w:val="001F7DC4"/>
    <w:rsid w:val="001F7EA0"/>
    <w:rsid w:val="002002B8"/>
    <w:rsid w:val="0020088E"/>
    <w:rsid w:val="00200BB9"/>
    <w:rsid w:val="00201036"/>
    <w:rsid w:val="002012E6"/>
    <w:rsid w:val="00201BE0"/>
    <w:rsid w:val="002020C4"/>
    <w:rsid w:val="00203AD9"/>
    <w:rsid w:val="002052FA"/>
    <w:rsid w:val="0020530B"/>
    <w:rsid w:val="002054DF"/>
    <w:rsid w:val="00205541"/>
    <w:rsid w:val="00206163"/>
    <w:rsid w:val="00206172"/>
    <w:rsid w:val="00206267"/>
    <w:rsid w:val="00206BA5"/>
    <w:rsid w:val="0020757D"/>
    <w:rsid w:val="002077B1"/>
    <w:rsid w:val="002077FC"/>
    <w:rsid w:val="00207FB2"/>
    <w:rsid w:val="0021062A"/>
    <w:rsid w:val="00210DD9"/>
    <w:rsid w:val="00211B23"/>
    <w:rsid w:val="00211C97"/>
    <w:rsid w:val="00211EA5"/>
    <w:rsid w:val="00212609"/>
    <w:rsid w:val="00213790"/>
    <w:rsid w:val="00213F7D"/>
    <w:rsid w:val="00214536"/>
    <w:rsid w:val="00214CC0"/>
    <w:rsid w:val="00214DDB"/>
    <w:rsid w:val="00214F41"/>
    <w:rsid w:val="0021657E"/>
    <w:rsid w:val="00217029"/>
    <w:rsid w:val="0021707D"/>
    <w:rsid w:val="00220070"/>
    <w:rsid w:val="0022020C"/>
    <w:rsid w:val="002218F2"/>
    <w:rsid w:val="00222D66"/>
    <w:rsid w:val="00223267"/>
    <w:rsid w:val="00223F4F"/>
    <w:rsid w:val="0022497C"/>
    <w:rsid w:val="00224ADF"/>
    <w:rsid w:val="00224FBB"/>
    <w:rsid w:val="00225968"/>
    <w:rsid w:val="00225E7E"/>
    <w:rsid w:val="00226631"/>
    <w:rsid w:val="0022664D"/>
    <w:rsid w:val="00226DAB"/>
    <w:rsid w:val="00227663"/>
    <w:rsid w:val="00227FB1"/>
    <w:rsid w:val="0023102C"/>
    <w:rsid w:val="0023152F"/>
    <w:rsid w:val="00231ED2"/>
    <w:rsid w:val="0023243B"/>
    <w:rsid w:val="002325B4"/>
    <w:rsid w:val="002329B7"/>
    <w:rsid w:val="00232BB0"/>
    <w:rsid w:val="0023324C"/>
    <w:rsid w:val="00233DE3"/>
    <w:rsid w:val="00234E97"/>
    <w:rsid w:val="00234F2E"/>
    <w:rsid w:val="002355D5"/>
    <w:rsid w:val="00235A05"/>
    <w:rsid w:val="0023642D"/>
    <w:rsid w:val="002372E8"/>
    <w:rsid w:val="002373E3"/>
    <w:rsid w:val="00237C18"/>
    <w:rsid w:val="00240484"/>
    <w:rsid w:val="00241031"/>
    <w:rsid w:val="002410D2"/>
    <w:rsid w:val="00241668"/>
    <w:rsid w:val="0024173C"/>
    <w:rsid w:val="002429E0"/>
    <w:rsid w:val="002449B9"/>
    <w:rsid w:val="00244B86"/>
    <w:rsid w:val="00244CF7"/>
    <w:rsid w:val="00245075"/>
    <w:rsid w:val="002452FC"/>
    <w:rsid w:val="002455B1"/>
    <w:rsid w:val="00245896"/>
    <w:rsid w:val="00245EDE"/>
    <w:rsid w:val="002475C7"/>
    <w:rsid w:val="002477A0"/>
    <w:rsid w:val="002511C3"/>
    <w:rsid w:val="00251E53"/>
    <w:rsid w:val="00252314"/>
    <w:rsid w:val="00252973"/>
    <w:rsid w:val="00252D12"/>
    <w:rsid w:val="0025344D"/>
    <w:rsid w:val="00253B7C"/>
    <w:rsid w:val="00254713"/>
    <w:rsid w:val="00255464"/>
    <w:rsid w:val="00256206"/>
    <w:rsid w:val="00256D23"/>
    <w:rsid w:val="00257732"/>
    <w:rsid w:val="0026025E"/>
    <w:rsid w:val="002624FF"/>
    <w:rsid w:val="00262BA7"/>
    <w:rsid w:val="002636BF"/>
    <w:rsid w:val="00263988"/>
    <w:rsid w:val="00263FAA"/>
    <w:rsid w:val="00266A71"/>
    <w:rsid w:val="00267BFC"/>
    <w:rsid w:val="00267E26"/>
    <w:rsid w:val="0027096A"/>
    <w:rsid w:val="0027211E"/>
    <w:rsid w:val="002721E1"/>
    <w:rsid w:val="0027221C"/>
    <w:rsid w:val="002728FC"/>
    <w:rsid w:val="00272C74"/>
    <w:rsid w:val="002746B4"/>
    <w:rsid w:val="0027487D"/>
    <w:rsid w:val="00274BC6"/>
    <w:rsid w:val="00274ECD"/>
    <w:rsid w:val="00274F47"/>
    <w:rsid w:val="0027515E"/>
    <w:rsid w:val="002757C0"/>
    <w:rsid w:val="00276DA0"/>
    <w:rsid w:val="00277EC6"/>
    <w:rsid w:val="00277EFB"/>
    <w:rsid w:val="0028027F"/>
    <w:rsid w:val="00280A14"/>
    <w:rsid w:val="0028109D"/>
    <w:rsid w:val="00282139"/>
    <w:rsid w:val="00282F65"/>
    <w:rsid w:val="0028492D"/>
    <w:rsid w:val="00284BA9"/>
    <w:rsid w:val="002850A6"/>
    <w:rsid w:val="00286321"/>
    <w:rsid w:val="0028663C"/>
    <w:rsid w:val="00286AA9"/>
    <w:rsid w:val="00286DBB"/>
    <w:rsid w:val="0028705B"/>
    <w:rsid w:val="00287490"/>
    <w:rsid w:val="00287561"/>
    <w:rsid w:val="002875E5"/>
    <w:rsid w:val="0028761D"/>
    <w:rsid w:val="00287A2B"/>
    <w:rsid w:val="00287D14"/>
    <w:rsid w:val="002902B4"/>
    <w:rsid w:val="0029061A"/>
    <w:rsid w:val="00290952"/>
    <w:rsid w:val="00290E4A"/>
    <w:rsid w:val="00290EBB"/>
    <w:rsid w:val="00291311"/>
    <w:rsid w:val="00291362"/>
    <w:rsid w:val="002914D0"/>
    <w:rsid w:val="00293245"/>
    <w:rsid w:val="00293E60"/>
    <w:rsid w:val="00294029"/>
    <w:rsid w:val="0029427C"/>
    <w:rsid w:val="00294339"/>
    <w:rsid w:val="0029461A"/>
    <w:rsid w:val="00294935"/>
    <w:rsid w:val="00294C4A"/>
    <w:rsid w:val="00295397"/>
    <w:rsid w:val="002957FF"/>
    <w:rsid w:val="002965CB"/>
    <w:rsid w:val="00296F6D"/>
    <w:rsid w:val="00297377"/>
    <w:rsid w:val="002976DF"/>
    <w:rsid w:val="002978FA"/>
    <w:rsid w:val="00297F75"/>
    <w:rsid w:val="002A0BC3"/>
    <w:rsid w:val="002A0E0D"/>
    <w:rsid w:val="002A1151"/>
    <w:rsid w:val="002A162D"/>
    <w:rsid w:val="002A1737"/>
    <w:rsid w:val="002A19AA"/>
    <w:rsid w:val="002A1B19"/>
    <w:rsid w:val="002A26CA"/>
    <w:rsid w:val="002A2A95"/>
    <w:rsid w:val="002A3109"/>
    <w:rsid w:val="002A32D7"/>
    <w:rsid w:val="002A3763"/>
    <w:rsid w:val="002A4714"/>
    <w:rsid w:val="002A5734"/>
    <w:rsid w:val="002A5EAA"/>
    <w:rsid w:val="002A630E"/>
    <w:rsid w:val="002A7F99"/>
    <w:rsid w:val="002B0510"/>
    <w:rsid w:val="002B07A3"/>
    <w:rsid w:val="002B0C69"/>
    <w:rsid w:val="002B1B42"/>
    <w:rsid w:val="002B1E26"/>
    <w:rsid w:val="002B22F5"/>
    <w:rsid w:val="002B29CA"/>
    <w:rsid w:val="002B3E8C"/>
    <w:rsid w:val="002B452F"/>
    <w:rsid w:val="002B45D3"/>
    <w:rsid w:val="002B466D"/>
    <w:rsid w:val="002B5104"/>
    <w:rsid w:val="002B5C0A"/>
    <w:rsid w:val="002C0FFB"/>
    <w:rsid w:val="002C175A"/>
    <w:rsid w:val="002C2062"/>
    <w:rsid w:val="002C3EE6"/>
    <w:rsid w:val="002C4120"/>
    <w:rsid w:val="002C43FA"/>
    <w:rsid w:val="002C4AA7"/>
    <w:rsid w:val="002C515E"/>
    <w:rsid w:val="002C68E9"/>
    <w:rsid w:val="002C7B9B"/>
    <w:rsid w:val="002D0017"/>
    <w:rsid w:val="002D0559"/>
    <w:rsid w:val="002D09DA"/>
    <w:rsid w:val="002D0F0C"/>
    <w:rsid w:val="002D0FBC"/>
    <w:rsid w:val="002D1123"/>
    <w:rsid w:val="002D3C5E"/>
    <w:rsid w:val="002D3FEF"/>
    <w:rsid w:val="002D41F1"/>
    <w:rsid w:val="002D4735"/>
    <w:rsid w:val="002D481E"/>
    <w:rsid w:val="002D5C3B"/>
    <w:rsid w:val="002D64BC"/>
    <w:rsid w:val="002D6DF6"/>
    <w:rsid w:val="002D71AA"/>
    <w:rsid w:val="002D72C0"/>
    <w:rsid w:val="002D7740"/>
    <w:rsid w:val="002E022D"/>
    <w:rsid w:val="002E26FE"/>
    <w:rsid w:val="002E2AF9"/>
    <w:rsid w:val="002E3629"/>
    <w:rsid w:val="002E3B8C"/>
    <w:rsid w:val="002E44E8"/>
    <w:rsid w:val="002E4576"/>
    <w:rsid w:val="002E54DB"/>
    <w:rsid w:val="002E5812"/>
    <w:rsid w:val="002E611B"/>
    <w:rsid w:val="002E665D"/>
    <w:rsid w:val="002E7DAC"/>
    <w:rsid w:val="002F0CA4"/>
    <w:rsid w:val="002F0ECF"/>
    <w:rsid w:val="002F189C"/>
    <w:rsid w:val="002F1D3A"/>
    <w:rsid w:val="002F251A"/>
    <w:rsid w:val="002F2551"/>
    <w:rsid w:val="002F295D"/>
    <w:rsid w:val="002F320B"/>
    <w:rsid w:val="002F3DD3"/>
    <w:rsid w:val="002F43F7"/>
    <w:rsid w:val="002F4561"/>
    <w:rsid w:val="002F482B"/>
    <w:rsid w:val="002F48C8"/>
    <w:rsid w:val="002F5466"/>
    <w:rsid w:val="002F5AB3"/>
    <w:rsid w:val="002F5DF2"/>
    <w:rsid w:val="002F65B9"/>
    <w:rsid w:val="002F66AD"/>
    <w:rsid w:val="002F685F"/>
    <w:rsid w:val="002F6E33"/>
    <w:rsid w:val="002F73AE"/>
    <w:rsid w:val="002F7DC3"/>
    <w:rsid w:val="003004A1"/>
    <w:rsid w:val="0030231D"/>
    <w:rsid w:val="003027A3"/>
    <w:rsid w:val="00302820"/>
    <w:rsid w:val="003045CC"/>
    <w:rsid w:val="00304859"/>
    <w:rsid w:val="003049C8"/>
    <w:rsid w:val="00304A09"/>
    <w:rsid w:val="00304E90"/>
    <w:rsid w:val="00304EC8"/>
    <w:rsid w:val="003053F4"/>
    <w:rsid w:val="00305BEB"/>
    <w:rsid w:val="0031042E"/>
    <w:rsid w:val="003107E9"/>
    <w:rsid w:val="00311A37"/>
    <w:rsid w:val="00311DAA"/>
    <w:rsid w:val="00312BF9"/>
    <w:rsid w:val="003130B6"/>
    <w:rsid w:val="00313316"/>
    <w:rsid w:val="00313A22"/>
    <w:rsid w:val="003168F9"/>
    <w:rsid w:val="00316951"/>
    <w:rsid w:val="00317DD1"/>
    <w:rsid w:val="00320A95"/>
    <w:rsid w:val="00321026"/>
    <w:rsid w:val="00321A1B"/>
    <w:rsid w:val="003224D5"/>
    <w:rsid w:val="0032262F"/>
    <w:rsid w:val="00322660"/>
    <w:rsid w:val="00322C60"/>
    <w:rsid w:val="003238E5"/>
    <w:rsid w:val="003239ED"/>
    <w:rsid w:val="00323BE2"/>
    <w:rsid w:val="00324408"/>
    <w:rsid w:val="00325927"/>
    <w:rsid w:val="003264EB"/>
    <w:rsid w:val="00326C01"/>
    <w:rsid w:val="00326D1A"/>
    <w:rsid w:val="00326E01"/>
    <w:rsid w:val="00326F1D"/>
    <w:rsid w:val="00327FD3"/>
    <w:rsid w:val="00330132"/>
    <w:rsid w:val="00330660"/>
    <w:rsid w:val="00330F22"/>
    <w:rsid w:val="0033172C"/>
    <w:rsid w:val="00332029"/>
    <w:rsid w:val="003321BF"/>
    <w:rsid w:val="00333457"/>
    <w:rsid w:val="00333CCB"/>
    <w:rsid w:val="00333DB0"/>
    <w:rsid w:val="00333E41"/>
    <w:rsid w:val="00334228"/>
    <w:rsid w:val="00334CAA"/>
    <w:rsid w:val="00335043"/>
    <w:rsid w:val="0033544F"/>
    <w:rsid w:val="00335D22"/>
    <w:rsid w:val="00336385"/>
    <w:rsid w:val="00336722"/>
    <w:rsid w:val="00336CC7"/>
    <w:rsid w:val="00336FA8"/>
    <w:rsid w:val="0033707F"/>
    <w:rsid w:val="003416E0"/>
    <w:rsid w:val="003420D6"/>
    <w:rsid w:val="00342309"/>
    <w:rsid w:val="00342DE0"/>
    <w:rsid w:val="00343694"/>
    <w:rsid w:val="0034394D"/>
    <w:rsid w:val="00343B6E"/>
    <w:rsid w:val="003440CE"/>
    <w:rsid w:val="00344448"/>
    <w:rsid w:val="00345B69"/>
    <w:rsid w:val="003463D5"/>
    <w:rsid w:val="00347708"/>
    <w:rsid w:val="003478C6"/>
    <w:rsid w:val="00347F51"/>
    <w:rsid w:val="003507F8"/>
    <w:rsid w:val="0035108F"/>
    <w:rsid w:val="00351BFA"/>
    <w:rsid w:val="00351C25"/>
    <w:rsid w:val="00351E03"/>
    <w:rsid w:val="0035229C"/>
    <w:rsid w:val="00352938"/>
    <w:rsid w:val="00352E29"/>
    <w:rsid w:val="00354705"/>
    <w:rsid w:val="00354AF4"/>
    <w:rsid w:val="00354B9E"/>
    <w:rsid w:val="003550B6"/>
    <w:rsid w:val="00355186"/>
    <w:rsid w:val="00355537"/>
    <w:rsid w:val="003560C0"/>
    <w:rsid w:val="003561DC"/>
    <w:rsid w:val="003564B9"/>
    <w:rsid w:val="00356B90"/>
    <w:rsid w:val="00356C43"/>
    <w:rsid w:val="0036012F"/>
    <w:rsid w:val="003604E8"/>
    <w:rsid w:val="0036233F"/>
    <w:rsid w:val="003632B4"/>
    <w:rsid w:val="00363B4A"/>
    <w:rsid w:val="00364C61"/>
    <w:rsid w:val="00366996"/>
    <w:rsid w:val="00367439"/>
    <w:rsid w:val="00367A3A"/>
    <w:rsid w:val="00370473"/>
    <w:rsid w:val="0037203A"/>
    <w:rsid w:val="00372833"/>
    <w:rsid w:val="00372A03"/>
    <w:rsid w:val="00372C71"/>
    <w:rsid w:val="00372D5A"/>
    <w:rsid w:val="00372F9D"/>
    <w:rsid w:val="00373822"/>
    <w:rsid w:val="00373C7D"/>
    <w:rsid w:val="0037427A"/>
    <w:rsid w:val="00375107"/>
    <w:rsid w:val="00375321"/>
    <w:rsid w:val="00375870"/>
    <w:rsid w:val="003758E4"/>
    <w:rsid w:val="003759F4"/>
    <w:rsid w:val="00375C70"/>
    <w:rsid w:val="003762AC"/>
    <w:rsid w:val="003763C5"/>
    <w:rsid w:val="003765F9"/>
    <w:rsid w:val="00376946"/>
    <w:rsid w:val="003774C7"/>
    <w:rsid w:val="0037771A"/>
    <w:rsid w:val="00377B71"/>
    <w:rsid w:val="00377D54"/>
    <w:rsid w:val="00377DD4"/>
    <w:rsid w:val="00380276"/>
    <w:rsid w:val="00380A00"/>
    <w:rsid w:val="00380E2D"/>
    <w:rsid w:val="00381476"/>
    <w:rsid w:val="00381766"/>
    <w:rsid w:val="0038188B"/>
    <w:rsid w:val="00382849"/>
    <w:rsid w:val="00383EF2"/>
    <w:rsid w:val="00386048"/>
    <w:rsid w:val="00391B1A"/>
    <w:rsid w:val="003920F7"/>
    <w:rsid w:val="00392B8C"/>
    <w:rsid w:val="00392FE7"/>
    <w:rsid w:val="00393BDF"/>
    <w:rsid w:val="00393C1E"/>
    <w:rsid w:val="003958E5"/>
    <w:rsid w:val="00395E9C"/>
    <w:rsid w:val="003963A0"/>
    <w:rsid w:val="003967B7"/>
    <w:rsid w:val="0039704D"/>
    <w:rsid w:val="003977A2"/>
    <w:rsid w:val="003978C3"/>
    <w:rsid w:val="003A01C7"/>
    <w:rsid w:val="003A03E8"/>
    <w:rsid w:val="003A06D4"/>
    <w:rsid w:val="003A07CE"/>
    <w:rsid w:val="003A0A6A"/>
    <w:rsid w:val="003A0C21"/>
    <w:rsid w:val="003A1426"/>
    <w:rsid w:val="003A145B"/>
    <w:rsid w:val="003A18C7"/>
    <w:rsid w:val="003A1D4E"/>
    <w:rsid w:val="003A1F81"/>
    <w:rsid w:val="003A33E8"/>
    <w:rsid w:val="003A344D"/>
    <w:rsid w:val="003A3623"/>
    <w:rsid w:val="003A382E"/>
    <w:rsid w:val="003A3A45"/>
    <w:rsid w:val="003A3AFB"/>
    <w:rsid w:val="003A4ACE"/>
    <w:rsid w:val="003A4BEE"/>
    <w:rsid w:val="003A4EBF"/>
    <w:rsid w:val="003A5A51"/>
    <w:rsid w:val="003A6611"/>
    <w:rsid w:val="003A6EF0"/>
    <w:rsid w:val="003B0447"/>
    <w:rsid w:val="003B08C2"/>
    <w:rsid w:val="003B0C3F"/>
    <w:rsid w:val="003B117A"/>
    <w:rsid w:val="003B13A3"/>
    <w:rsid w:val="003B189B"/>
    <w:rsid w:val="003B1F14"/>
    <w:rsid w:val="003B2399"/>
    <w:rsid w:val="003B24EF"/>
    <w:rsid w:val="003B3030"/>
    <w:rsid w:val="003B41C3"/>
    <w:rsid w:val="003B4B2C"/>
    <w:rsid w:val="003B5EDB"/>
    <w:rsid w:val="003B67DA"/>
    <w:rsid w:val="003B6C3B"/>
    <w:rsid w:val="003C2FC7"/>
    <w:rsid w:val="003C425F"/>
    <w:rsid w:val="003C49AF"/>
    <w:rsid w:val="003C4A4A"/>
    <w:rsid w:val="003C4DBD"/>
    <w:rsid w:val="003C4F45"/>
    <w:rsid w:val="003C6F80"/>
    <w:rsid w:val="003C756E"/>
    <w:rsid w:val="003D0A36"/>
    <w:rsid w:val="003D0CE5"/>
    <w:rsid w:val="003D1289"/>
    <w:rsid w:val="003D19FF"/>
    <w:rsid w:val="003D2375"/>
    <w:rsid w:val="003D243C"/>
    <w:rsid w:val="003D2D13"/>
    <w:rsid w:val="003D3714"/>
    <w:rsid w:val="003D3AB5"/>
    <w:rsid w:val="003D3BCB"/>
    <w:rsid w:val="003D4385"/>
    <w:rsid w:val="003D5BA9"/>
    <w:rsid w:val="003D5F5A"/>
    <w:rsid w:val="003D6B4C"/>
    <w:rsid w:val="003D7D5E"/>
    <w:rsid w:val="003E1110"/>
    <w:rsid w:val="003E20D2"/>
    <w:rsid w:val="003E223D"/>
    <w:rsid w:val="003E23D0"/>
    <w:rsid w:val="003E2A98"/>
    <w:rsid w:val="003E3A3D"/>
    <w:rsid w:val="003E3B28"/>
    <w:rsid w:val="003E3C1B"/>
    <w:rsid w:val="003E44E3"/>
    <w:rsid w:val="003E4D98"/>
    <w:rsid w:val="003E5356"/>
    <w:rsid w:val="003E5A61"/>
    <w:rsid w:val="003E612F"/>
    <w:rsid w:val="003E6618"/>
    <w:rsid w:val="003E69CB"/>
    <w:rsid w:val="003E7087"/>
    <w:rsid w:val="003E71E5"/>
    <w:rsid w:val="003E76FF"/>
    <w:rsid w:val="003E7B35"/>
    <w:rsid w:val="003F1ABA"/>
    <w:rsid w:val="003F1DA6"/>
    <w:rsid w:val="003F23E6"/>
    <w:rsid w:val="003F2DE5"/>
    <w:rsid w:val="003F3A03"/>
    <w:rsid w:val="003F3C56"/>
    <w:rsid w:val="003F3D44"/>
    <w:rsid w:val="003F400F"/>
    <w:rsid w:val="003F41E3"/>
    <w:rsid w:val="003F46E3"/>
    <w:rsid w:val="003F4B9E"/>
    <w:rsid w:val="003F5C92"/>
    <w:rsid w:val="003F5F2B"/>
    <w:rsid w:val="003F5FED"/>
    <w:rsid w:val="003F6125"/>
    <w:rsid w:val="003F6B3B"/>
    <w:rsid w:val="003F768C"/>
    <w:rsid w:val="0040088A"/>
    <w:rsid w:val="00400A33"/>
    <w:rsid w:val="00401E69"/>
    <w:rsid w:val="00402195"/>
    <w:rsid w:val="00403785"/>
    <w:rsid w:val="00404247"/>
    <w:rsid w:val="00404F7C"/>
    <w:rsid w:val="00405606"/>
    <w:rsid w:val="00405F70"/>
    <w:rsid w:val="00406796"/>
    <w:rsid w:val="004106EE"/>
    <w:rsid w:val="00410CFC"/>
    <w:rsid w:val="00411142"/>
    <w:rsid w:val="00411150"/>
    <w:rsid w:val="004118FF"/>
    <w:rsid w:val="004131AB"/>
    <w:rsid w:val="004131F9"/>
    <w:rsid w:val="00413B66"/>
    <w:rsid w:val="004140B8"/>
    <w:rsid w:val="004142A3"/>
    <w:rsid w:val="004147A9"/>
    <w:rsid w:val="004147F2"/>
    <w:rsid w:val="0041552A"/>
    <w:rsid w:val="00415639"/>
    <w:rsid w:val="00415F49"/>
    <w:rsid w:val="00417405"/>
    <w:rsid w:val="00417730"/>
    <w:rsid w:val="004215EB"/>
    <w:rsid w:val="004218AE"/>
    <w:rsid w:val="004227E9"/>
    <w:rsid w:val="00423485"/>
    <w:rsid w:val="004236E1"/>
    <w:rsid w:val="004238E3"/>
    <w:rsid w:val="00423B63"/>
    <w:rsid w:val="00423C5E"/>
    <w:rsid w:val="004241CF"/>
    <w:rsid w:val="004251DE"/>
    <w:rsid w:val="004252D6"/>
    <w:rsid w:val="00425488"/>
    <w:rsid w:val="004303CB"/>
    <w:rsid w:val="004304E5"/>
    <w:rsid w:val="00430A6F"/>
    <w:rsid w:val="00431284"/>
    <w:rsid w:val="004331CA"/>
    <w:rsid w:val="00433A0B"/>
    <w:rsid w:val="00436393"/>
    <w:rsid w:val="004365AA"/>
    <w:rsid w:val="00437A43"/>
    <w:rsid w:val="00437C77"/>
    <w:rsid w:val="00440170"/>
    <w:rsid w:val="00440259"/>
    <w:rsid w:val="00440882"/>
    <w:rsid w:val="00440B72"/>
    <w:rsid w:val="00441937"/>
    <w:rsid w:val="00441A06"/>
    <w:rsid w:val="00441ACF"/>
    <w:rsid w:val="00441E14"/>
    <w:rsid w:val="004421E2"/>
    <w:rsid w:val="004427AB"/>
    <w:rsid w:val="0044300B"/>
    <w:rsid w:val="00443F1A"/>
    <w:rsid w:val="00443F7D"/>
    <w:rsid w:val="004441E0"/>
    <w:rsid w:val="0044434E"/>
    <w:rsid w:val="004444B0"/>
    <w:rsid w:val="00445367"/>
    <w:rsid w:val="00446219"/>
    <w:rsid w:val="004469B2"/>
    <w:rsid w:val="00446D4E"/>
    <w:rsid w:val="00446EB6"/>
    <w:rsid w:val="0044785A"/>
    <w:rsid w:val="00447DCC"/>
    <w:rsid w:val="004514CE"/>
    <w:rsid w:val="0045152F"/>
    <w:rsid w:val="004518F9"/>
    <w:rsid w:val="00451D9E"/>
    <w:rsid w:val="00451E92"/>
    <w:rsid w:val="00453955"/>
    <w:rsid w:val="00454A5F"/>
    <w:rsid w:val="00454AFA"/>
    <w:rsid w:val="00455399"/>
    <w:rsid w:val="00455584"/>
    <w:rsid w:val="004558A3"/>
    <w:rsid w:val="00455CAE"/>
    <w:rsid w:val="00455CE2"/>
    <w:rsid w:val="00456733"/>
    <w:rsid w:val="0045673F"/>
    <w:rsid w:val="00456B47"/>
    <w:rsid w:val="00456E4A"/>
    <w:rsid w:val="0045715A"/>
    <w:rsid w:val="004573D4"/>
    <w:rsid w:val="00457BD1"/>
    <w:rsid w:val="00460876"/>
    <w:rsid w:val="00460EE2"/>
    <w:rsid w:val="00462002"/>
    <w:rsid w:val="00462500"/>
    <w:rsid w:val="00463B72"/>
    <w:rsid w:val="004659E2"/>
    <w:rsid w:val="00465E92"/>
    <w:rsid w:val="00466276"/>
    <w:rsid w:val="00466FD8"/>
    <w:rsid w:val="004704CA"/>
    <w:rsid w:val="00471153"/>
    <w:rsid w:val="004711E6"/>
    <w:rsid w:val="004718AD"/>
    <w:rsid w:val="0047225A"/>
    <w:rsid w:val="004728C7"/>
    <w:rsid w:val="00473636"/>
    <w:rsid w:val="0047365C"/>
    <w:rsid w:val="00473718"/>
    <w:rsid w:val="00474204"/>
    <w:rsid w:val="00474830"/>
    <w:rsid w:val="00475029"/>
    <w:rsid w:val="0047544F"/>
    <w:rsid w:val="00475E7E"/>
    <w:rsid w:val="00476B80"/>
    <w:rsid w:val="00476EC6"/>
    <w:rsid w:val="00476EFF"/>
    <w:rsid w:val="00477A39"/>
    <w:rsid w:val="00477F24"/>
    <w:rsid w:val="00480420"/>
    <w:rsid w:val="004816F1"/>
    <w:rsid w:val="00481999"/>
    <w:rsid w:val="00481F1B"/>
    <w:rsid w:val="00482562"/>
    <w:rsid w:val="0048300B"/>
    <w:rsid w:val="00483119"/>
    <w:rsid w:val="00483303"/>
    <w:rsid w:val="00483E83"/>
    <w:rsid w:val="004843E4"/>
    <w:rsid w:val="0048456A"/>
    <w:rsid w:val="00484662"/>
    <w:rsid w:val="004854A7"/>
    <w:rsid w:val="00485D29"/>
    <w:rsid w:val="00485D40"/>
    <w:rsid w:val="0048698B"/>
    <w:rsid w:val="00486DF7"/>
    <w:rsid w:val="004875FB"/>
    <w:rsid w:val="00487663"/>
    <w:rsid w:val="00487CB4"/>
    <w:rsid w:val="00487D04"/>
    <w:rsid w:val="00487E08"/>
    <w:rsid w:val="0049029C"/>
    <w:rsid w:val="00490414"/>
    <w:rsid w:val="00490659"/>
    <w:rsid w:val="00491292"/>
    <w:rsid w:val="00491B79"/>
    <w:rsid w:val="00492570"/>
    <w:rsid w:val="0049281A"/>
    <w:rsid w:val="0049282D"/>
    <w:rsid w:val="004930BA"/>
    <w:rsid w:val="00494014"/>
    <w:rsid w:val="00494457"/>
    <w:rsid w:val="0049446A"/>
    <w:rsid w:val="00494477"/>
    <w:rsid w:val="004949FC"/>
    <w:rsid w:val="00494B4B"/>
    <w:rsid w:val="00495FAF"/>
    <w:rsid w:val="00496935"/>
    <w:rsid w:val="004971C8"/>
    <w:rsid w:val="0049750C"/>
    <w:rsid w:val="00497546"/>
    <w:rsid w:val="0049763C"/>
    <w:rsid w:val="00497731"/>
    <w:rsid w:val="00497AE8"/>
    <w:rsid w:val="00497AF6"/>
    <w:rsid w:val="004A0559"/>
    <w:rsid w:val="004A07FE"/>
    <w:rsid w:val="004A096C"/>
    <w:rsid w:val="004A0BAA"/>
    <w:rsid w:val="004A177A"/>
    <w:rsid w:val="004A18B4"/>
    <w:rsid w:val="004A1C3C"/>
    <w:rsid w:val="004A206D"/>
    <w:rsid w:val="004A2097"/>
    <w:rsid w:val="004A21A5"/>
    <w:rsid w:val="004A2DE7"/>
    <w:rsid w:val="004A309C"/>
    <w:rsid w:val="004A3764"/>
    <w:rsid w:val="004A396E"/>
    <w:rsid w:val="004A4809"/>
    <w:rsid w:val="004A5256"/>
    <w:rsid w:val="004A5DB4"/>
    <w:rsid w:val="004A7EA1"/>
    <w:rsid w:val="004B241A"/>
    <w:rsid w:val="004B2665"/>
    <w:rsid w:val="004B329E"/>
    <w:rsid w:val="004B37B7"/>
    <w:rsid w:val="004B3E47"/>
    <w:rsid w:val="004B4147"/>
    <w:rsid w:val="004B57C0"/>
    <w:rsid w:val="004B5969"/>
    <w:rsid w:val="004B5F9A"/>
    <w:rsid w:val="004B6761"/>
    <w:rsid w:val="004B72A4"/>
    <w:rsid w:val="004B7B1C"/>
    <w:rsid w:val="004C05BF"/>
    <w:rsid w:val="004C093A"/>
    <w:rsid w:val="004C0F66"/>
    <w:rsid w:val="004C12B0"/>
    <w:rsid w:val="004C1319"/>
    <w:rsid w:val="004C28CE"/>
    <w:rsid w:val="004C2BA8"/>
    <w:rsid w:val="004C41DB"/>
    <w:rsid w:val="004C4549"/>
    <w:rsid w:val="004C4B3E"/>
    <w:rsid w:val="004C4E17"/>
    <w:rsid w:val="004C4E7B"/>
    <w:rsid w:val="004C51A8"/>
    <w:rsid w:val="004C543F"/>
    <w:rsid w:val="004C59B4"/>
    <w:rsid w:val="004C5AD1"/>
    <w:rsid w:val="004C653E"/>
    <w:rsid w:val="004C7A36"/>
    <w:rsid w:val="004D16F1"/>
    <w:rsid w:val="004D172C"/>
    <w:rsid w:val="004D1FD0"/>
    <w:rsid w:val="004D2D05"/>
    <w:rsid w:val="004D57CE"/>
    <w:rsid w:val="004D6774"/>
    <w:rsid w:val="004D6E1B"/>
    <w:rsid w:val="004D70A2"/>
    <w:rsid w:val="004D77DC"/>
    <w:rsid w:val="004D7815"/>
    <w:rsid w:val="004D7A81"/>
    <w:rsid w:val="004E0408"/>
    <w:rsid w:val="004E1006"/>
    <w:rsid w:val="004E1075"/>
    <w:rsid w:val="004E1BA5"/>
    <w:rsid w:val="004E320E"/>
    <w:rsid w:val="004E3578"/>
    <w:rsid w:val="004E3985"/>
    <w:rsid w:val="004E3A9A"/>
    <w:rsid w:val="004E3FC2"/>
    <w:rsid w:val="004E4426"/>
    <w:rsid w:val="004E4EA4"/>
    <w:rsid w:val="004E54FA"/>
    <w:rsid w:val="004E5827"/>
    <w:rsid w:val="004E7256"/>
    <w:rsid w:val="004F01A2"/>
    <w:rsid w:val="004F022B"/>
    <w:rsid w:val="004F137A"/>
    <w:rsid w:val="004F1C8B"/>
    <w:rsid w:val="004F2FCF"/>
    <w:rsid w:val="004F4300"/>
    <w:rsid w:val="004F4A50"/>
    <w:rsid w:val="004F4F01"/>
    <w:rsid w:val="004F5E34"/>
    <w:rsid w:val="004F7BB7"/>
    <w:rsid w:val="004F7E9C"/>
    <w:rsid w:val="0050076D"/>
    <w:rsid w:val="00500B54"/>
    <w:rsid w:val="00500C20"/>
    <w:rsid w:val="005017EE"/>
    <w:rsid w:val="005018C1"/>
    <w:rsid w:val="00502982"/>
    <w:rsid w:val="00502E2C"/>
    <w:rsid w:val="00502F1C"/>
    <w:rsid w:val="0050362B"/>
    <w:rsid w:val="00503979"/>
    <w:rsid w:val="00503B44"/>
    <w:rsid w:val="00503F46"/>
    <w:rsid w:val="00504001"/>
    <w:rsid w:val="00504C03"/>
    <w:rsid w:val="00504FA2"/>
    <w:rsid w:val="005053A5"/>
    <w:rsid w:val="005053D5"/>
    <w:rsid w:val="00505925"/>
    <w:rsid w:val="00506E0F"/>
    <w:rsid w:val="0050771A"/>
    <w:rsid w:val="00507F9E"/>
    <w:rsid w:val="005103D3"/>
    <w:rsid w:val="00511660"/>
    <w:rsid w:val="00511DE9"/>
    <w:rsid w:val="0051216F"/>
    <w:rsid w:val="005132E7"/>
    <w:rsid w:val="005141A6"/>
    <w:rsid w:val="0051453C"/>
    <w:rsid w:val="0051515D"/>
    <w:rsid w:val="005156C4"/>
    <w:rsid w:val="00515EC4"/>
    <w:rsid w:val="00516FDB"/>
    <w:rsid w:val="00517949"/>
    <w:rsid w:val="00517C59"/>
    <w:rsid w:val="00520359"/>
    <w:rsid w:val="0052058C"/>
    <w:rsid w:val="00520A3D"/>
    <w:rsid w:val="005210C7"/>
    <w:rsid w:val="005214A1"/>
    <w:rsid w:val="00522D58"/>
    <w:rsid w:val="0052312D"/>
    <w:rsid w:val="005237A6"/>
    <w:rsid w:val="00523D6A"/>
    <w:rsid w:val="00523F6F"/>
    <w:rsid w:val="00523FC8"/>
    <w:rsid w:val="00525AAC"/>
    <w:rsid w:val="005267AC"/>
    <w:rsid w:val="00526D69"/>
    <w:rsid w:val="005271E4"/>
    <w:rsid w:val="00527A6E"/>
    <w:rsid w:val="005305FA"/>
    <w:rsid w:val="0053096F"/>
    <w:rsid w:val="00531513"/>
    <w:rsid w:val="00531D8C"/>
    <w:rsid w:val="00534F98"/>
    <w:rsid w:val="005359E7"/>
    <w:rsid w:val="005367EE"/>
    <w:rsid w:val="00537E0B"/>
    <w:rsid w:val="00540F3B"/>
    <w:rsid w:val="005411E4"/>
    <w:rsid w:val="00541370"/>
    <w:rsid w:val="0054190A"/>
    <w:rsid w:val="00542208"/>
    <w:rsid w:val="00542A9A"/>
    <w:rsid w:val="00543242"/>
    <w:rsid w:val="0054385D"/>
    <w:rsid w:val="00543BB4"/>
    <w:rsid w:val="00544382"/>
    <w:rsid w:val="00544786"/>
    <w:rsid w:val="00544D7B"/>
    <w:rsid w:val="00544E19"/>
    <w:rsid w:val="005469CC"/>
    <w:rsid w:val="00546DBF"/>
    <w:rsid w:val="00547097"/>
    <w:rsid w:val="00547119"/>
    <w:rsid w:val="00550157"/>
    <w:rsid w:val="0055074C"/>
    <w:rsid w:val="005513AC"/>
    <w:rsid w:val="00552167"/>
    <w:rsid w:val="005524A4"/>
    <w:rsid w:val="00552563"/>
    <w:rsid w:val="00552AA3"/>
    <w:rsid w:val="0055326E"/>
    <w:rsid w:val="005538C2"/>
    <w:rsid w:val="00554464"/>
    <w:rsid w:val="005556BE"/>
    <w:rsid w:val="00555B7F"/>
    <w:rsid w:val="00555CFD"/>
    <w:rsid w:val="00556B2A"/>
    <w:rsid w:val="00556CFF"/>
    <w:rsid w:val="00560E77"/>
    <w:rsid w:val="005623CA"/>
    <w:rsid w:val="0056247E"/>
    <w:rsid w:val="005633DA"/>
    <w:rsid w:val="00563AAA"/>
    <w:rsid w:val="00563EB7"/>
    <w:rsid w:val="005646B1"/>
    <w:rsid w:val="00565B6C"/>
    <w:rsid w:val="00565B92"/>
    <w:rsid w:val="00566287"/>
    <w:rsid w:val="0056635B"/>
    <w:rsid w:val="00567303"/>
    <w:rsid w:val="00567445"/>
    <w:rsid w:val="00567E10"/>
    <w:rsid w:val="005700A6"/>
    <w:rsid w:val="00570255"/>
    <w:rsid w:val="005707D3"/>
    <w:rsid w:val="00571013"/>
    <w:rsid w:val="005710CC"/>
    <w:rsid w:val="00571838"/>
    <w:rsid w:val="00571C6A"/>
    <w:rsid w:val="00572373"/>
    <w:rsid w:val="005726B6"/>
    <w:rsid w:val="00573E33"/>
    <w:rsid w:val="00573FAA"/>
    <w:rsid w:val="005749C6"/>
    <w:rsid w:val="00574E9D"/>
    <w:rsid w:val="00575734"/>
    <w:rsid w:val="00575CCA"/>
    <w:rsid w:val="00576359"/>
    <w:rsid w:val="00577258"/>
    <w:rsid w:val="0057736E"/>
    <w:rsid w:val="00577D8C"/>
    <w:rsid w:val="0058060E"/>
    <w:rsid w:val="0058064C"/>
    <w:rsid w:val="005807E2"/>
    <w:rsid w:val="005816F9"/>
    <w:rsid w:val="00581DB9"/>
    <w:rsid w:val="005827BA"/>
    <w:rsid w:val="00583B3E"/>
    <w:rsid w:val="005842F2"/>
    <w:rsid w:val="005855BB"/>
    <w:rsid w:val="00585F26"/>
    <w:rsid w:val="0058652D"/>
    <w:rsid w:val="0058666E"/>
    <w:rsid w:val="00586CF0"/>
    <w:rsid w:val="00587402"/>
    <w:rsid w:val="0058796C"/>
    <w:rsid w:val="00587AED"/>
    <w:rsid w:val="00590773"/>
    <w:rsid w:val="00590D55"/>
    <w:rsid w:val="00590DCC"/>
    <w:rsid w:val="00590E9F"/>
    <w:rsid w:val="00591043"/>
    <w:rsid w:val="005911CB"/>
    <w:rsid w:val="00591AE5"/>
    <w:rsid w:val="00594407"/>
    <w:rsid w:val="00594617"/>
    <w:rsid w:val="00594B9E"/>
    <w:rsid w:val="00594BEF"/>
    <w:rsid w:val="005979C9"/>
    <w:rsid w:val="005A0795"/>
    <w:rsid w:val="005A0F39"/>
    <w:rsid w:val="005A2002"/>
    <w:rsid w:val="005A241B"/>
    <w:rsid w:val="005A30F0"/>
    <w:rsid w:val="005A320F"/>
    <w:rsid w:val="005A37CF"/>
    <w:rsid w:val="005A3EC1"/>
    <w:rsid w:val="005A42F9"/>
    <w:rsid w:val="005A52F5"/>
    <w:rsid w:val="005A571B"/>
    <w:rsid w:val="005A6261"/>
    <w:rsid w:val="005A64F3"/>
    <w:rsid w:val="005A669F"/>
    <w:rsid w:val="005A7340"/>
    <w:rsid w:val="005A74F3"/>
    <w:rsid w:val="005A7F70"/>
    <w:rsid w:val="005B0D6B"/>
    <w:rsid w:val="005B0F4F"/>
    <w:rsid w:val="005B102C"/>
    <w:rsid w:val="005B1833"/>
    <w:rsid w:val="005B21B1"/>
    <w:rsid w:val="005B2213"/>
    <w:rsid w:val="005B225F"/>
    <w:rsid w:val="005B230E"/>
    <w:rsid w:val="005B30DD"/>
    <w:rsid w:val="005B3509"/>
    <w:rsid w:val="005B4BD3"/>
    <w:rsid w:val="005B59D8"/>
    <w:rsid w:val="005B5A4A"/>
    <w:rsid w:val="005B60E9"/>
    <w:rsid w:val="005B659E"/>
    <w:rsid w:val="005B69CF"/>
    <w:rsid w:val="005B6A26"/>
    <w:rsid w:val="005B6C2B"/>
    <w:rsid w:val="005B6CBA"/>
    <w:rsid w:val="005C0A37"/>
    <w:rsid w:val="005C0ED0"/>
    <w:rsid w:val="005C12C5"/>
    <w:rsid w:val="005C1704"/>
    <w:rsid w:val="005C1BD3"/>
    <w:rsid w:val="005C1BD9"/>
    <w:rsid w:val="005C1D98"/>
    <w:rsid w:val="005C1E36"/>
    <w:rsid w:val="005C2A1E"/>
    <w:rsid w:val="005C2D7D"/>
    <w:rsid w:val="005C2F3D"/>
    <w:rsid w:val="005C30E0"/>
    <w:rsid w:val="005C31F2"/>
    <w:rsid w:val="005C3696"/>
    <w:rsid w:val="005C401C"/>
    <w:rsid w:val="005C50E2"/>
    <w:rsid w:val="005C5900"/>
    <w:rsid w:val="005C5EA5"/>
    <w:rsid w:val="005C66B0"/>
    <w:rsid w:val="005C6A02"/>
    <w:rsid w:val="005C6B1F"/>
    <w:rsid w:val="005D1888"/>
    <w:rsid w:val="005D1BF4"/>
    <w:rsid w:val="005D233E"/>
    <w:rsid w:val="005D3145"/>
    <w:rsid w:val="005D3510"/>
    <w:rsid w:val="005D3D4E"/>
    <w:rsid w:val="005D3F4F"/>
    <w:rsid w:val="005D3FB9"/>
    <w:rsid w:val="005D4CBD"/>
    <w:rsid w:val="005D51A2"/>
    <w:rsid w:val="005D52B9"/>
    <w:rsid w:val="005D6387"/>
    <w:rsid w:val="005D67C5"/>
    <w:rsid w:val="005D69FD"/>
    <w:rsid w:val="005D7692"/>
    <w:rsid w:val="005D7ACF"/>
    <w:rsid w:val="005D7DD5"/>
    <w:rsid w:val="005E056B"/>
    <w:rsid w:val="005E073D"/>
    <w:rsid w:val="005E07E8"/>
    <w:rsid w:val="005E0E88"/>
    <w:rsid w:val="005E118E"/>
    <w:rsid w:val="005E1746"/>
    <w:rsid w:val="005E70BD"/>
    <w:rsid w:val="005E732A"/>
    <w:rsid w:val="005E7954"/>
    <w:rsid w:val="005E7E49"/>
    <w:rsid w:val="005F0040"/>
    <w:rsid w:val="005F120B"/>
    <w:rsid w:val="005F3690"/>
    <w:rsid w:val="005F39A0"/>
    <w:rsid w:val="005F3D79"/>
    <w:rsid w:val="005F4341"/>
    <w:rsid w:val="005F44AE"/>
    <w:rsid w:val="005F603B"/>
    <w:rsid w:val="005F66C9"/>
    <w:rsid w:val="0060243F"/>
    <w:rsid w:val="00602C6D"/>
    <w:rsid w:val="0060507B"/>
    <w:rsid w:val="00605602"/>
    <w:rsid w:val="006065A9"/>
    <w:rsid w:val="00606C4A"/>
    <w:rsid w:val="00606FAF"/>
    <w:rsid w:val="00607529"/>
    <w:rsid w:val="006076AB"/>
    <w:rsid w:val="00607B2E"/>
    <w:rsid w:val="00607FCF"/>
    <w:rsid w:val="006100B6"/>
    <w:rsid w:val="00610315"/>
    <w:rsid w:val="00610837"/>
    <w:rsid w:val="00610958"/>
    <w:rsid w:val="006109E2"/>
    <w:rsid w:val="00610C7C"/>
    <w:rsid w:val="00610E2E"/>
    <w:rsid w:val="0061182D"/>
    <w:rsid w:val="00611A0A"/>
    <w:rsid w:val="00612008"/>
    <w:rsid w:val="0061219B"/>
    <w:rsid w:val="00612635"/>
    <w:rsid w:val="00612B4A"/>
    <w:rsid w:val="00613450"/>
    <w:rsid w:val="006137EC"/>
    <w:rsid w:val="00613D53"/>
    <w:rsid w:val="00614280"/>
    <w:rsid w:val="00614308"/>
    <w:rsid w:val="00614CAE"/>
    <w:rsid w:val="00614FCF"/>
    <w:rsid w:val="0061569E"/>
    <w:rsid w:val="00615915"/>
    <w:rsid w:val="00615990"/>
    <w:rsid w:val="00615C44"/>
    <w:rsid w:val="00615CF5"/>
    <w:rsid w:val="00615EF9"/>
    <w:rsid w:val="00616163"/>
    <w:rsid w:val="00616486"/>
    <w:rsid w:val="00616488"/>
    <w:rsid w:val="00616607"/>
    <w:rsid w:val="00617004"/>
    <w:rsid w:val="0061751C"/>
    <w:rsid w:val="0062027B"/>
    <w:rsid w:val="0062133C"/>
    <w:rsid w:val="0062149E"/>
    <w:rsid w:val="006216F6"/>
    <w:rsid w:val="006217FB"/>
    <w:rsid w:val="006218EF"/>
    <w:rsid w:val="0062257D"/>
    <w:rsid w:val="00623F88"/>
    <w:rsid w:val="00624317"/>
    <w:rsid w:val="00624433"/>
    <w:rsid w:val="006246DA"/>
    <w:rsid w:val="00625DE0"/>
    <w:rsid w:val="00625EFB"/>
    <w:rsid w:val="00627932"/>
    <w:rsid w:val="00627E47"/>
    <w:rsid w:val="00627EDE"/>
    <w:rsid w:val="006316B5"/>
    <w:rsid w:val="00631D4B"/>
    <w:rsid w:val="00632637"/>
    <w:rsid w:val="00632704"/>
    <w:rsid w:val="0063357A"/>
    <w:rsid w:val="00634020"/>
    <w:rsid w:val="00634394"/>
    <w:rsid w:val="006345C1"/>
    <w:rsid w:val="00634C75"/>
    <w:rsid w:val="0063529D"/>
    <w:rsid w:val="00636623"/>
    <w:rsid w:val="006378C1"/>
    <w:rsid w:val="00640D3C"/>
    <w:rsid w:val="006413CE"/>
    <w:rsid w:val="00641821"/>
    <w:rsid w:val="00641AA8"/>
    <w:rsid w:val="00641B3F"/>
    <w:rsid w:val="00641B88"/>
    <w:rsid w:val="00642719"/>
    <w:rsid w:val="00642B83"/>
    <w:rsid w:val="006430DA"/>
    <w:rsid w:val="00643875"/>
    <w:rsid w:val="00644253"/>
    <w:rsid w:val="0064468A"/>
    <w:rsid w:val="0064496D"/>
    <w:rsid w:val="006449D8"/>
    <w:rsid w:val="006451FC"/>
    <w:rsid w:val="00645C90"/>
    <w:rsid w:val="006465EF"/>
    <w:rsid w:val="0064751B"/>
    <w:rsid w:val="006476E3"/>
    <w:rsid w:val="00653293"/>
    <w:rsid w:val="00653FB1"/>
    <w:rsid w:val="00654868"/>
    <w:rsid w:val="00655288"/>
    <w:rsid w:val="006553A4"/>
    <w:rsid w:val="006553C9"/>
    <w:rsid w:val="006557D6"/>
    <w:rsid w:val="00655C7A"/>
    <w:rsid w:val="00656631"/>
    <w:rsid w:val="0065702B"/>
    <w:rsid w:val="00657A6C"/>
    <w:rsid w:val="00657C80"/>
    <w:rsid w:val="00657E41"/>
    <w:rsid w:val="00657EB9"/>
    <w:rsid w:val="00660210"/>
    <w:rsid w:val="00660303"/>
    <w:rsid w:val="006612C7"/>
    <w:rsid w:val="0066147B"/>
    <w:rsid w:val="00661552"/>
    <w:rsid w:val="00661CC4"/>
    <w:rsid w:val="0066206F"/>
    <w:rsid w:val="006620C9"/>
    <w:rsid w:val="006627B7"/>
    <w:rsid w:val="00662E5E"/>
    <w:rsid w:val="006631B5"/>
    <w:rsid w:val="00665253"/>
    <w:rsid w:val="00665BF8"/>
    <w:rsid w:val="0066727F"/>
    <w:rsid w:val="00667F44"/>
    <w:rsid w:val="006707E0"/>
    <w:rsid w:val="00670A88"/>
    <w:rsid w:val="006722CF"/>
    <w:rsid w:val="006722D2"/>
    <w:rsid w:val="00672604"/>
    <w:rsid w:val="00672658"/>
    <w:rsid w:val="00672CF2"/>
    <w:rsid w:val="00672E7D"/>
    <w:rsid w:val="00674756"/>
    <w:rsid w:val="00676296"/>
    <w:rsid w:val="00676A5B"/>
    <w:rsid w:val="00676EE8"/>
    <w:rsid w:val="00677E33"/>
    <w:rsid w:val="0068007B"/>
    <w:rsid w:val="0068011C"/>
    <w:rsid w:val="00680A9D"/>
    <w:rsid w:val="00680BEF"/>
    <w:rsid w:val="00680E5B"/>
    <w:rsid w:val="006814E7"/>
    <w:rsid w:val="006815C7"/>
    <w:rsid w:val="006817C3"/>
    <w:rsid w:val="0068264C"/>
    <w:rsid w:val="006834E2"/>
    <w:rsid w:val="00683AFE"/>
    <w:rsid w:val="00683BA4"/>
    <w:rsid w:val="00683BB3"/>
    <w:rsid w:val="00683BC4"/>
    <w:rsid w:val="00683BF2"/>
    <w:rsid w:val="00684230"/>
    <w:rsid w:val="006863D9"/>
    <w:rsid w:val="006864E6"/>
    <w:rsid w:val="006868DC"/>
    <w:rsid w:val="00686E9F"/>
    <w:rsid w:val="0068784B"/>
    <w:rsid w:val="00687ABE"/>
    <w:rsid w:val="00687C26"/>
    <w:rsid w:val="00687D6A"/>
    <w:rsid w:val="00690D03"/>
    <w:rsid w:val="006913A5"/>
    <w:rsid w:val="006918E1"/>
    <w:rsid w:val="006921B7"/>
    <w:rsid w:val="006921F3"/>
    <w:rsid w:val="0069296A"/>
    <w:rsid w:val="00692A48"/>
    <w:rsid w:val="00692F7C"/>
    <w:rsid w:val="006932AA"/>
    <w:rsid w:val="00693387"/>
    <w:rsid w:val="0069366E"/>
    <w:rsid w:val="00693CEF"/>
    <w:rsid w:val="00694352"/>
    <w:rsid w:val="006948B2"/>
    <w:rsid w:val="00694A49"/>
    <w:rsid w:val="00695193"/>
    <w:rsid w:val="006951D2"/>
    <w:rsid w:val="0069566B"/>
    <w:rsid w:val="00696183"/>
    <w:rsid w:val="0069637C"/>
    <w:rsid w:val="006963F1"/>
    <w:rsid w:val="0069773E"/>
    <w:rsid w:val="006A03A3"/>
    <w:rsid w:val="006A043E"/>
    <w:rsid w:val="006A15F4"/>
    <w:rsid w:val="006A2F84"/>
    <w:rsid w:val="006A37FF"/>
    <w:rsid w:val="006A46AB"/>
    <w:rsid w:val="006A4823"/>
    <w:rsid w:val="006A4EF7"/>
    <w:rsid w:val="006A5A87"/>
    <w:rsid w:val="006A5B49"/>
    <w:rsid w:val="006A6367"/>
    <w:rsid w:val="006A6BE4"/>
    <w:rsid w:val="006A7398"/>
    <w:rsid w:val="006A73B6"/>
    <w:rsid w:val="006A74D2"/>
    <w:rsid w:val="006B088C"/>
    <w:rsid w:val="006B0C4C"/>
    <w:rsid w:val="006B1266"/>
    <w:rsid w:val="006B16D4"/>
    <w:rsid w:val="006B24AB"/>
    <w:rsid w:val="006B2905"/>
    <w:rsid w:val="006B2F89"/>
    <w:rsid w:val="006B3226"/>
    <w:rsid w:val="006B36DC"/>
    <w:rsid w:val="006B426B"/>
    <w:rsid w:val="006B5421"/>
    <w:rsid w:val="006B670C"/>
    <w:rsid w:val="006C1569"/>
    <w:rsid w:val="006C2956"/>
    <w:rsid w:val="006C2AC7"/>
    <w:rsid w:val="006C37FB"/>
    <w:rsid w:val="006C49B7"/>
    <w:rsid w:val="006C4E3C"/>
    <w:rsid w:val="006C4E4D"/>
    <w:rsid w:val="006C535D"/>
    <w:rsid w:val="006C53A0"/>
    <w:rsid w:val="006C5E5E"/>
    <w:rsid w:val="006C6336"/>
    <w:rsid w:val="006C63AF"/>
    <w:rsid w:val="006C6C66"/>
    <w:rsid w:val="006C712C"/>
    <w:rsid w:val="006C75E4"/>
    <w:rsid w:val="006D09EB"/>
    <w:rsid w:val="006D11AF"/>
    <w:rsid w:val="006D3696"/>
    <w:rsid w:val="006D4920"/>
    <w:rsid w:val="006D4933"/>
    <w:rsid w:val="006D4BCA"/>
    <w:rsid w:val="006D4D25"/>
    <w:rsid w:val="006D5EE2"/>
    <w:rsid w:val="006D6F9B"/>
    <w:rsid w:val="006D749E"/>
    <w:rsid w:val="006D785F"/>
    <w:rsid w:val="006D7E89"/>
    <w:rsid w:val="006E0374"/>
    <w:rsid w:val="006E04B2"/>
    <w:rsid w:val="006E09A4"/>
    <w:rsid w:val="006E1131"/>
    <w:rsid w:val="006E14EB"/>
    <w:rsid w:val="006E210E"/>
    <w:rsid w:val="006E34C5"/>
    <w:rsid w:val="006E3B2F"/>
    <w:rsid w:val="006E4A84"/>
    <w:rsid w:val="006E4CC4"/>
    <w:rsid w:val="006E55C9"/>
    <w:rsid w:val="006E70F8"/>
    <w:rsid w:val="006E7555"/>
    <w:rsid w:val="006F1229"/>
    <w:rsid w:val="006F151B"/>
    <w:rsid w:val="006F2C8A"/>
    <w:rsid w:val="006F3620"/>
    <w:rsid w:val="006F36D4"/>
    <w:rsid w:val="006F3B05"/>
    <w:rsid w:val="006F3C9A"/>
    <w:rsid w:val="006F4261"/>
    <w:rsid w:val="006F4449"/>
    <w:rsid w:val="006F4F7D"/>
    <w:rsid w:val="006F56BF"/>
    <w:rsid w:val="006F5B4D"/>
    <w:rsid w:val="006F5B6C"/>
    <w:rsid w:val="006F661D"/>
    <w:rsid w:val="006F668B"/>
    <w:rsid w:val="00700B66"/>
    <w:rsid w:val="007010A7"/>
    <w:rsid w:val="007029CE"/>
    <w:rsid w:val="00702B24"/>
    <w:rsid w:val="0070340B"/>
    <w:rsid w:val="007039C8"/>
    <w:rsid w:val="00706A08"/>
    <w:rsid w:val="0070781F"/>
    <w:rsid w:val="00710543"/>
    <w:rsid w:val="007108E3"/>
    <w:rsid w:val="00710DE6"/>
    <w:rsid w:val="00711145"/>
    <w:rsid w:val="0071238B"/>
    <w:rsid w:val="007123B4"/>
    <w:rsid w:val="007131F3"/>
    <w:rsid w:val="00713453"/>
    <w:rsid w:val="0071375F"/>
    <w:rsid w:val="00714930"/>
    <w:rsid w:val="00714F7A"/>
    <w:rsid w:val="007155E1"/>
    <w:rsid w:val="00716156"/>
    <w:rsid w:val="0071621D"/>
    <w:rsid w:val="0071635E"/>
    <w:rsid w:val="0071645F"/>
    <w:rsid w:val="00716A21"/>
    <w:rsid w:val="00717A75"/>
    <w:rsid w:val="00717BD6"/>
    <w:rsid w:val="00717CA7"/>
    <w:rsid w:val="00720BBD"/>
    <w:rsid w:val="007215CF"/>
    <w:rsid w:val="00721D4B"/>
    <w:rsid w:val="0072281C"/>
    <w:rsid w:val="00722BD6"/>
    <w:rsid w:val="00723855"/>
    <w:rsid w:val="00723B6C"/>
    <w:rsid w:val="0072491B"/>
    <w:rsid w:val="00725A35"/>
    <w:rsid w:val="007267EE"/>
    <w:rsid w:val="007274DB"/>
    <w:rsid w:val="00727D48"/>
    <w:rsid w:val="0073027C"/>
    <w:rsid w:val="00730E12"/>
    <w:rsid w:val="00731A25"/>
    <w:rsid w:val="00732055"/>
    <w:rsid w:val="00732206"/>
    <w:rsid w:val="0073261E"/>
    <w:rsid w:val="00732826"/>
    <w:rsid w:val="007331DA"/>
    <w:rsid w:val="0073410B"/>
    <w:rsid w:val="00734E6F"/>
    <w:rsid w:val="0073562B"/>
    <w:rsid w:val="00735845"/>
    <w:rsid w:val="007364C2"/>
    <w:rsid w:val="00737241"/>
    <w:rsid w:val="007408AE"/>
    <w:rsid w:val="00740D89"/>
    <w:rsid w:val="00740E7C"/>
    <w:rsid w:val="007413CC"/>
    <w:rsid w:val="00741F06"/>
    <w:rsid w:val="007423DA"/>
    <w:rsid w:val="00742BA3"/>
    <w:rsid w:val="00742F80"/>
    <w:rsid w:val="0074328C"/>
    <w:rsid w:val="00743359"/>
    <w:rsid w:val="007433EF"/>
    <w:rsid w:val="0074388A"/>
    <w:rsid w:val="007442BB"/>
    <w:rsid w:val="00744ADC"/>
    <w:rsid w:val="00745148"/>
    <w:rsid w:val="007469C6"/>
    <w:rsid w:val="00746F37"/>
    <w:rsid w:val="007474A4"/>
    <w:rsid w:val="00750E41"/>
    <w:rsid w:val="00751F29"/>
    <w:rsid w:val="0075244C"/>
    <w:rsid w:val="007527A4"/>
    <w:rsid w:val="00752810"/>
    <w:rsid w:val="007528F4"/>
    <w:rsid w:val="00752CBB"/>
    <w:rsid w:val="00753D22"/>
    <w:rsid w:val="00754990"/>
    <w:rsid w:val="007552E4"/>
    <w:rsid w:val="007554E3"/>
    <w:rsid w:val="00755B8B"/>
    <w:rsid w:val="00755F14"/>
    <w:rsid w:val="00755FB9"/>
    <w:rsid w:val="00756943"/>
    <w:rsid w:val="00756ABA"/>
    <w:rsid w:val="00757A2A"/>
    <w:rsid w:val="00760053"/>
    <w:rsid w:val="0076015B"/>
    <w:rsid w:val="007604D5"/>
    <w:rsid w:val="00761090"/>
    <w:rsid w:val="0076151A"/>
    <w:rsid w:val="00762D60"/>
    <w:rsid w:val="00763420"/>
    <w:rsid w:val="00763F04"/>
    <w:rsid w:val="00763FCE"/>
    <w:rsid w:val="00764046"/>
    <w:rsid w:val="00764F47"/>
    <w:rsid w:val="0076627A"/>
    <w:rsid w:val="007664FB"/>
    <w:rsid w:val="00767622"/>
    <w:rsid w:val="00767E69"/>
    <w:rsid w:val="007714F3"/>
    <w:rsid w:val="00771C05"/>
    <w:rsid w:val="00771C40"/>
    <w:rsid w:val="007727E6"/>
    <w:rsid w:val="00774058"/>
    <w:rsid w:val="007748BA"/>
    <w:rsid w:val="00777207"/>
    <w:rsid w:val="00780207"/>
    <w:rsid w:val="00780A89"/>
    <w:rsid w:val="0078148A"/>
    <w:rsid w:val="0078157F"/>
    <w:rsid w:val="0078229B"/>
    <w:rsid w:val="0078233F"/>
    <w:rsid w:val="00782BD3"/>
    <w:rsid w:val="00782BD5"/>
    <w:rsid w:val="00782C39"/>
    <w:rsid w:val="00783263"/>
    <w:rsid w:val="007836C2"/>
    <w:rsid w:val="00783EA2"/>
    <w:rsid w:val="00783FA7"/>
    <w:rsid w:val="0078421A"/>
    <w:rsid w:val="00784800"/>
    <w:rsid w:val="00784EAB"/>
    <w:rsid w:val="00784F82"/>
    <w:rsid w:val="00785803"/>
    <w:rsid w:val="00785AF0"/>
    <w:rsid w:val="00785FEC"/>
    <w:rsid w:val="00786241"/>
    <w:rsid w:val="0078689E"/>
    <w:rsid w:val="007868F9"/>
    <w:rsid w:val="00786A13"/>
    <w:rsid w:val="007878F9"/>
    <w:rsid w:val="00787F36"/>
    <w:rsid w:val="00790142"/>
    <w:rsid w:val="007907C4"/>
    <w:rsid w:val="0079121F"/>
    <w:rsid w:val="00791635"/>
    <w:rsid w:val="007916B8"/>
    <w:rsid w:val="007919B3"/>
    <w:rsid w:val="00791C18"/>
    <w:rsid w:val="00791DEA"/>
    <w:rsid w:val="007923C1"/>
    <w:rsid w:val="0079333D"/>
    <w:rsid w:val="00793B5D"/>
    <w:rsid w:val="00794498"/>
    <w:rsid w:val="00794F12"/>
    <w:rsid w:val="00795065"/>
    <w:rsid w:val="0079574D"/>
    <w:rsid w:val="00795870"/>
    <w:rsid w:val="00795C2E"/>
    <w:rsid w:val="00795E3E"/>
    <w:rsid w:val="00795EE6"/>
    <w:rsid w:val="007960BF"/>
    <w:rsid w:val="0079689B"/>
    <w:rsid w:val="007A0261"/>
    <w:rsid w:val="007A12E6"/>
    <w:rsid w:val="007A1954"/>
    <w:rsid w:val="007A2A20"/>
    <w:rsid w:val="007A4670"/>
    <w:rsid w:val="007A4EF7"/>
    <w:rsid w:val="007A51BB"/>
    <w:rsid w:val="007A6A78"/>
    <w:rsid w:val="007A7541"/>
    <w:rsid w:val="007A7949"/>
    <w:rsid w:val="007A7BC8"/>
    <w:rsid w:val="007B002B"/>
    <w:rsid w:val="007B1199"/>
    <w:rsid w:val="007B1508"/>
    <w:rsid w:val="007B17D9"/>
    <w:rsid w:val="007B2EF6"/>
    <w:rsid w:val="007B31D4"/>
    <w:rsid w:val="007B3836"/>
    <w:rsid w:val="007B406D"/>
    <w:rsid w:val="007B4B3E"/>
    <w:rsid w:val="007B5641"/>
    <w:rsid w:val="007B5892"/>
    <w:rsid w:val="007B59B5"/>
    <w:rsid w:val="007B6189"/>
    <w:rsid w:val="007B6F08"/>
    <w:rsid w:val="007B7623"/>
    <w:rsid w:val="007B7A02"/>
    <w:rsid w:val="007B7DAF"/>
    <w:rsid w:val="007C0E38"/>
    <w:rsid w:val="007C18F7"/>
    <w:rsid w:val="007C1BDF"/>
    <w:rsid w:val="007C393C"/>
    <w:rsid w:val="007C3E1E"/>
    <w:rsid w:val="007C4F29"/>
    <w:rsid w:val="007C531B"/>
    <w:rsid w:val="007C560F"/>
    <w:rsid w:val="007C5DC3"/>
    <w:rsid w:val="007C63A5"/>
    <w:rsid w:val="007C6647"/>
    <w:rsid w:val="007C6A88"/>
    <w:rsid w:val="007C6D6B"/>
    <w:rsid w:val="007C793B"/>
    <w:rsid w:val="007D062A"/>
    <w:rsid w:val="007D0C2F"/>
    <w:rsid w:val="007D19D0"/>
    <w:rsid w:val="007D2382"/>
    <w:rsid w:val="007D24AD"/>
    <w:rsid w:val="007D2959"/>
    <w:rsid w:val="007D3205"/>
    <w:rsid w:val="007D3477"/>
    <w:rsid w:val="007D3D41"/>
    <w:rsid w:val="007D3E6D"/>
    <w:rsid w:val="007D4F6E"/>
    <w:rsid w:val="007D6A29"/>
    <w:rsid w:val="007D7BC1"/>
    <w:rsid w:val="007E0A22"/>
    <w:rsid w:val="007E0AD2"/>
    <w:rsid w:val="007E0D89"/>
    <w:rsid w:val="007E11DB"/>
    <w:rsid w:val="007E14F2"/>
    <w:rsid w:val="007E2581"/>
    <w:rsid w:val="007E38D2"/>
    <w:rsid w:val="007E4F67"/>
    <w:rsid w:val="007E6E09"/>
    <w:rsid w:val="007F0B92"/>
    <w:rsid w:val="007F1D9C"/>
    <w:rsid w:val="007F2276"/>
    <w:rsid w:val="007F29FE"/>
    <w:rsid w:val="007F3614"/>
    <w:rsid w:val="007F3C6D"/>
    <w:rsid w:val="007F3FAB"/>
    <w:rsid w:val="007F4174"/>
    <w:rsid w:val="007F4B96"/>
    <w:rsid w:val="007F4D99"/>
    <w:rsid w:val="007F5CDE"/>
    <w:rsid w:val="007F70FC"/>
    <w:rsid w:val="007F776A"/>
    <w:rsid w:val="008000D3"/>
    <w:rsid w:val="008015DA"/>
    <w:rsid w:val="00801CDA"/>
    <w:rsid w:val="0080217B"/>
    <w:rsid w:val="00803002"/>
    <w:rsid w:val="008036B9"/>
    <w:rsid w:val="00803AD8"/>
    <w:rsid w:val="0080409C"/>
    <w:rsid w:val="00804127"/>
    <w:rsid w:val="00804475"/>
    <w:rsid w:val="0080495D"/>
    <w:rsid w:val="008049DB"/>
    <w:rsid w:val="008069A2"/>
    <w:rsid w:val="00807698"/>
    <w:rsid w:val="008077CF"/>
    <w:rsid w:val="0080788D"/>
    <w:rsid w:val="00807FCC"/>
    <w:rsid w:val="00810702"/>
    <w:rsid w:val="008133A3"/>
    <w:rsid w:val="00813E02"/>
    <w:rsid w:val="00814E8C"/>
    <w:rsid w:val="00815C20"/>
    <w:rsid w:val="00815DEF"/>
    <w:rsid w:val="0081655D"/>
    <w:rsid w:val="008204B7"/>
    <w:rsid w:val="00821069"/>
    <w:rsid w:val="0082184B"/>
    <w:rsid w:val="00821AB2"/>
    <w:rsid w:val="00822374"/>
    <w:rsid w:val="00822B2A"/>
    <w:rsid w:val="00822C3D"/>
    <w:rsid w:val="00822F36"/>
    <w:rsid w:val="008235C0"/>
    <w:rsid w:val="00823CBB"/>
    <w:rsid w:val="0082427E"/>
    <w:rsid w:val="008243D5"/>
    <w:rsid w:val="008244B8"/>
    <w:rsid w:val="00824B7D"/>
    <w:rsid w:val="00824CDF"/>
    <w:rsid w:val="00824DC8"/>
    <w:rsid w:val="00824DD8"/>
    <w:rsid w:val="00825443"/>
    <w:rsid w:val="0082582A"/>
    <w:rsid w:val="00825BC8"/>
    <w:rsid w:val="00825C85"/>
    <w:rsid w:val="00826474"/>
    <w:rsid w:val="0082653C"/>
    <w:rsid w:val="00826A3E"/>
    <w:rsid w:val="00827144"/>
    <w:rsid w:val="00827A8F"/>
    <w:rsid w:val="00827B98"/>
    <w:rsid w:val="00831DA2"/>
    <w:rsid w:val="008324B7"/>
    <w:rsid w:val="00832DAF"/>
    <w:rsid w:val="0083397F"/>
    <w:rsid w:val="0083399D"/>
    <w:rsid w:val="008347D1"/>
    <w:rsid w:val="008348FA"/>
    <w:rsid w:val="008355B2"/>
    <w:rsid w:val="00835A85"/>
    <w:rsid w:val="00837A41"/>
    <w:rsid w:val="00840712"/>
    <w:rsid w:val="00840E21"/>
    <w:rsid w:val="00841DF1"/>
    <w:rsid w:val="008439B9"/>
    <w:rsid w:val="00843F38"/>
    <w:rsid w:val="00844250"/>
    <w:rsid w:val="008444A2"/>
    <w:rsid w:val="00845B98"/>
    <w:rsid w:val="00846124"/>
    <w:rsid w:val="00847A1C"/>
    <w:rsid w:val="008500A6"/>
    <w:rsid w:val="00850206"/>
    <w:rsid w:val="00850576"/>
    <w:rsid w:val="0085219C"/>
    <w:rsid w:val="00853720"/>
    <w:rsid w:val="00853CDF"/>
    <w:rsid w:val="00854400"/>
    <w:rsid w:val="00855048"/>
    <w:rsid w:val="0085548E"/>
    <w:rsid w:val="0085606D"/>
    <w:rsid w:val="0085631E"/>
    <w:rsid w:val="008567BA"/>
    <w:rsid w:val="0085734B"/>
    <w:rsid w:val="00857B1D"/>
    <w:rsid w:val="008606FE"/>
    <w:rsid w:val="00860840"/>
    <w:rsid w:val="00861183"/>
    <w:rsid w:val="00862855"/>
    <w:rsid w:val="00862CE1"/>
    <w:rsid w:val="00863033"/>
    <w:rsid w:val="008635DB"/>
    <w:rsid w:val="0086397C"/>
    <w:rsid w:val="00864AB2"/>
    <w:rsid w:val="0086540B"/>
    <w:rsid w:val="008666B1"/>
    <w:rsid w:val="008675E4"/>
    <w:rsid w:val="00867672"/>
    <w:rsid w:val="00867FFD"/>
    <w:rsid w:val="00870786"/>
    <w:rsid w:val="00870A7E"/>
    <w:rsid w:val="00870E3C"/>
    <w:rsid w:val="008715BA"/>
    <w:rsid w:val="008720D8"/>
    <w:rsid w:val="00872D0F"/>
    <w:rsid w:val="00872D70"/>
    <w:rsid w:val="00872F0B"/>
    <w:rsid w:val="008733F4"/>
    <w:rsid w:val="008741EE"/>
    <w:rsid w:val="00874638"/>
    <w:rsid w:val="00875009"/>
    <w:rsid w:val="00875783"/>
    <w:rsid w:val="00875B6C"/>
    <w:rsid w:val="00876F9B"/>
    <w:rsid w:val="0088025D"/>
    <w:rsid w:val="008805F3"/>
    <w:rsid w:val="00881763"/>
    <w:rsid w:val="00881AAF"/>
    <w:rsid w:val="00881E9A"/>
    <w:rsid w:val="008830AA"/>
    <w:rsid w:val="008853E6"/>
    <w:rsid w:val="00885804"/>
    <w:rsid w:val="00885F95"/>
    <w:rsid w:val="0088639F"/>
    <w:rsid w:val="0088668E"/>
    <w:rsid w:val="00887724"/>
    <w:rsid w:val="00887833"/>
    <w:rsid w:val="00890C26"/>
    <w:rsid w:val="00890CE7"/>
    <w:rsid w:val="00891239"/>
    <w:rsid w:val="00892326"/>
    <w:rsid w:val="0089232E"/>
    <w:rsid w:val="008923EE"/>
    <w:rsid w:val="00893185"/>
    <w:rsid w:val="00893E05"/>
    <w:rsid w:val="00893F66"/>
    <w:rsid w:val="008946C4"/>
    <w:rsid w:val="00894C83"/>
    <w:rsid w:val="00895BE2"/>
    <w:rsid w:val="008973C4"/>
    <w:rsid w:val="0089775E"/>
    <w:rsid w:val="008A0381"/>
    <w:rsid w:val="008A0A2C"/>
    <w:rsid w:val="008A1E1B"/>
    <w:rsid w:val="008A27BE"/>
    <w:rsid w:val="008A5137"/>
    <w:rsid w:val="008A571F"/>
    <w:rsid w:val="008A65EC"/>
    <w:rsid w:val="008A6F5A"/>
    <w:rsid w:val="008A6FCF"/>
    <w:rsid w:val="008A730F"/>
    <w:rsid w:val="008B0F6E"/>
    <w:rsid w:val="008B20D5"/>
    <w:rsid w:val="008B3318"/>
    <w:rsid w:val="008B3813"/>
    <w:rsid w:val="008B3A10"/>
    <w:rsid w:val="008B3FA6"/>
    <w:rsid w:val="008B4033"/>
    <w:rsid w:val="008B40CB"/>
    <w:rsid w:val="008B4B1D"/>
    <w:rsid w:val="008B50F0"/>
    <w:rsid w:val="008B5A7B"/>
    <w:rsid w:val="008B5C4E"/>
    <w:rsid w:val="008B5D14"/>
    <w:rsid w:val="008B6C0E"/>
    <w:rsid w:val="008B6EA6"/>
    <w:rsid w:val="008B7717"/>
    <w:rsid w:val="008B7B54"/>
    <w:rsid w:val="008C0F8F"/>
    <w:rsid w:val="008C1189"/>
    <w:rsid w:val="008C13CD"/>
    <w:rsid w:val="008C20C0"/>
    <w:rsid w:val="008C2618"/>
    <w:rsid w:val="008C2D18"/>
    <w:rsid w:val="008C3135"/>
    <w:rsid w:val="008C3168"/>
    <w:rsid w:val="008C4B69"/>
    <w:rsid w:val="008C5B24"/>
    <w:rsid w:val="008C5BA7"/>
    <w:rsid w:val="008C6457"/>
    <w:rsid w:val="008C6BB1"/>
    <w:rsid w:val="008C7ECF"/>
    <w:rsid w:val="008D11CB"/>
    <w:rsid w:val="008D17AD"/>
    <w:rsid w:val="008D215D"/>
    <w:rsid w:val="008D215F"/>
    <w:rsid w:val="008D290B"/>
    <w:rsid w:val="008D2DEF"/>
    <w:rsid w:val="008D305E"/>
    <w:rsid w:val="008D3FD9"/>
    <w:rsid w:val="008D4AD5"/>
    <w:rsid w:val="008D526C"/>
    <w:rsid w:val="008D54A7"/>
    <w:rsid w:val="008D67F8"/>
    <w:rsid w:val="008D6A18"/>
    <w:rsid w:val="008D7253"/>
    <w:rsid w:val="008D7C3D"/>
    <w:rsid w:val="008D7DD8"/>
    <w:rsid w:val="008E0756"/>
    <w:rsid w:val="008E093A"/>
    <w:rsid w:val="008E0BB4"/>
    <w:rsid w:val="008E0EF1"/>
    <w:rsid w:val="008E0F89"/>
    <w:rsid w:val="008E16D1"/>
    <w:rsid w:val="008E212E"/>
    <w:rsid w:val="008E26AA"/>
    <w:rsid w:val="008E3599"/>
    <w:rsid w:val="008E37C2"/>
    <w:rsid w:val="008E48B9"/>
    <w:rsid w:val="008E48E7"/>
    <w:rsid w:val="008E4F37"/>
    <w:rsid w:val="008E4FC5"/>
    <w:rsid w:val="008E5446"/>
    <w:rsid w:val="008E734B"/>
    <w:rsid w:val="008E73B6"/>
    <w:rsid w:val="008E7A05"/>
    <w:rsid w:val="008F00DA"/>
    <w:rsid w:val="008F03F0"/>
    <w:rsid w:val="008F0ABD"/>
    <w:rsid w:val="008F12C8"/>
    <w:rsid w:val="008F2663"/>
    <w:rsid w:val="008F2B5D"/>
    <w:rsid w:val="008F30BC"/>
    <w:rsid w:val="008F3E74"/>
    <w:rsid w:val="008F41ED"/>
    <w:rsid w:val="008F5335"/>
    <w:rsid w:val="008F5D13"/>
    <w:rsid w:val="008F69D7"/>
    <w:rsid w:val="008F72D0"/>
    <w:rsid w:val="008F74D6"/>
    <w:rsid w:val="008F78A7"/>
    <w:rsid w:val="008F7CEE"/>
    <w:rsid w:val="00900743"/>
    <w:rsid w:val="009008AF"/>
    <w:rsid w:val="00900B09"/>
    <w:rsid w:val="009017E7"/>
    <w:rsid w:val="00901A0B"/>
    <w:rsid w:val="00901B2D"/>
    <w:rsid w:val="0090259A"/>
    <w:rsid w:val="00902A35"/>
    <w:rsid w:val="00902BAE"/>
    <w:rsid w:val="0090333E"/>
    <w:rsid w:val="00904063"/>
    <w:rsid w:val="00904B4D"/>
    <w:rsid w:val="00904B93"/>
    <w:rsid w:val="00904EC6"/>
    <w:rsid w:val="00905D6D"/>
    <w:rsid w:val="00907179"/>
    <w:rsid w:val="009101DD"/>
    <w:rsid w:val="00911F76"/>
    <w:rsid w:val="0091240B"/>
    <w:rsid w:val="009125CC"/>
    <w:rsid w:val="009136B0"/>
    <w:rsid w:val="00913F8C"/>
    <w:rsid w:val="009146E8"/>
    <w:rsid w:val="00914786"/>
    <w:rsid w:val="00914D7E"/>
    <w:rsid w:val="00915369"/>
    <w:rsid w:val="00915C5C"/>
    <w:rsid w:val="0091657A"/>
    <w:rsid w:val="00916AC3"/>
    <w:rsid w:val="00916E17"/>
    <w:rsid w:val="00917BB5"/>
    <w:rsid w:val="0092020A"/>
    <w:rsid w:val="00920315"/>
    <w:rsid w:val="009216DA"/>
    <w:rsid w:val="00922106"/>
    <w:rsid w:val="009229C8"/>
    <w:rsid w:val="00922F1C"/>
    <w:rsid w:val="00923633"/>
    <w:rsid w:val="00923964"/>
    <w:rsid w:val="0092428C"/>
    <w:rsid w:val="00925063"/>
    <w:rsid w:val="00926060"/>
    <w:rsid w:val="009269F6"/>
    <w:rsid w:val="00926C98"/>
    <w:rsid w:val="00926E60"/>
    <w:rsid w:val="00926FE6"/>
    <w:rsid w:val="0092703D"/>
    <w:rsid w:val="00927794"/>
    <w:rsid w:val="00927957"/>
    <w:rsid w:val="00930184"/>
    <w:rsid w:val="00930362"/>
    <w:rsid w:val="0093050D"/>
    <w:rsid w:val="00930FE9"/>
    <w:rsid w:val="00932457"/>
    <w:rsid w:val="009334F7"/>
    <w:rsid w:val="00933D73"/>
    <w:rsid w:val="00934002"/>
    <w:rsid w:val="00935B81"/>
    <w:rsid w:val="009360C8"/>
    <w:rsid w:val="009371AE"/>
    <w:rsid w:val="009377AF"/>
    <w:rsid w:val="00940126"/>
    <w:rsid w:val="009404A5"/>
    <w:rsid w:val="00940F21"/>
    <w:rsid w:val="0094222B"/>
    <w:rsid w:val="00942AE2"/>
    <w:rsid w:val="00942F74"/>
    <w:rsid w:val="009436A1"/>
    <w:rsid w:val="009442B9"/>
    <w:rsid w:val="00944976"/>
    <w:rsid w:val="009455B8"/>
    <w:rsid w:val="009456C5"/>
    <w:rsid w:val="009467ED"/>
    <w:rsid w:val="00946E6E"/>
    <w:rsid w:val="00947440"/>
    <w:rsid w:val="0095044F"/>
    <w:rsid w:val="00950D4D"/>
    <w:rsid w:val="0095101E"/>
    <w:rsid w:val="00951431"/>
    <w:rsid w:val="009517D1"/>
    <w:rsid w:val="00951888"/>
    <w:rsid w:val="00952264"/>
    <w:rsid w:val="0095293C"/>
    <w:rsid w:val="00952944"/>
    <w:rsid w:val="00953285"/>
    <w:rsid w:val="009533CE"/>
    <w:rsid w:val="00955399"/>
    <w:rsid w:val="00956034"/>
    <w:rsid w:val="0095641B"/>
    <w:rsid w:val="00956B00"/>
    <w:rsid w:val="009607AC"/>
    <w:rsid w:val="00960E81"/>
    <w:rsid w:val="00961863"/>
    <w:rsid w:val="00961E9F"/>
    <w:rsid w:val="009638BD"/>
    <w:rsid w:val="009646A6"/>
    <w:rsid w:val="00964DE0"/>
    <w:rsid w:val="009652A8"/>
    <w:rsid w:val="00965D52"/>
    <w:rsid w:val="00965E46"/>
    <w:rsid w:val="00966E2E"/>
    <w:rsid w:val="00971929"/>
    <w:rsid w:val="00971ABA"/>
    <w:rsid w:val="009723B2"/>
    <w:rsid w:val="0097244F"/>
    <w:rsid w:val="009730DD"/>
    <w:rsid w:val="00973202"/>
    <w:rsid w:val="00973B9E"/>
    <w:rsid w:val="00974B84"/>
    <w:rsid w:val="00974CB5"/>
    <w:rsid w:val="009754AB"/>
    <w:rsid w:val="0097561E"/>
    <w:rsid w:val="0097613B"/>
    <w:rsid w:val="0097613C"/>
    <w:rsid w:val="009762B0"/>
    <w:rsid w:val="0097643F"/>
    <w:rsid w:val="0097740E"/>
    <w:rsid w:val="0098016B"/>
    <w:rsid w:val="00980F0A"/>
    <w:rsid w:val="00981C1D"/>
    <w:rsid w:val="00984490"/>
    <w:rsid w:val="00984A9C"/>
    <w:rsid w:val="009854D8"/>
    <w:rsid w:val="00986107"/>
    <w:rsid w:val="009861CA"/>
    <w:rsid w:val="00987054"/>
    <w:rsid w:val="0099001B"/>
    <w:rsid w:val="00990282"/>
    <w:rsid w:val="009906DF"/>
    <w:rsid w:val="00993448"/>
    <w:rsid w:val="009937F6"/>
    <w:rsid w:val="00993A49"/>
    <w:rsid w:val="009942CC"/>
    <w:rsid w:val="00994303"/>
    <w:rsid w:val="009943DD"/>
    <w:rsid w:val="00994A01"/>
    <w:rsid w:val="00994D23"/>
    <w:rsid w:val="00995294"/>
    <w:rsid w:val="0099534B"/>
    <w:rsid w:val="009957A8"/>
    <w:rsid w:val="0099682D"/>
    <w:rsid w:val="009A0250"/>
    <w:rsid w:val="009A1C2D"/>
    <w:rsid w:val="009A283B"/>
    <w:rsid w:val="009A3071"/>
    <w:rsid w:val="009A41F0"/>
    <w:rsid w:val="009A56BD"/>
    <w:rsid w:val="009A6B5F"/>
    <w:rsid w:val="009A6C85"/>
    <w:rsid w:val="009A7089"/>
    <w:rsid w:val="009B03D8"/>
    <w:rsid w:val="009B0821"/>
    <w:rsid w:val="009B0C78"/>
    <w:rsid w:val="009B0C8A"/>
    <w:rsid w:val="009B0FF7"/>
    <w:rsid w:val="009B11CF"/>
    <w:rsid w:val="009B124E"/>
    <w:rsid w:val="009B151F"/>
    <w:rsid w:val="009B1BDD"/>
    <w:rsid w:val="009B1CE3"/>
    <w:rsid w:val="009B1E75"/>
    <w:rsid w:val="009B20E5"/>
    <w:rsid w:val="009B31E7"/>
    <w:rsid w:val="009B400F"/>
    <w:rsid w:val="009B5CB0"/>
    <w:rsid w:val="009B5D30"/>
    <w:rsid w:val="009B69CE"/>
    <w:rsid w:val="009B74CD"/>
    <w:rsid w:val="009B7EF6"/>
    <w:rsid w:val="009C0878"/>
    <w:rsid w:val="009C11A6"/>
    <w:rsid w:val="009C13F8"/>
    <w:rsid w:val="009C1F57"/>
    <w:rsid w:val="009C4783"/>
    <w:rsid w:val="009C4C26"/>
    <w:rsid w:val="009C4DCF"/>
    <w:rsid w:val="009C504D"/>
    <w:rsid w:val="009C50B3"/>
    <w:rsid w:val="009C5DC7"/>
    <w:rsid w:val="009C5FEF"/>
    <w:rsid w:val="009C677B"/>
    <w:rsid w:val="009C685A"/>
    <w:rsid w:val="009C76E7"/>
    <w:rsid w:val="009D0141"/>
    <w:rsid w:val="009D0E95"/>
    <w:rsid w:val="009D2E96"/>
    <w:rsid w:val="009D30CB"/>
    <w:rsid w:val="009D34EC"/>
    <w:rsid w:val="009D37B0"/>
    <w:rsid w:val="009D38A3"/>
    <w:rsid w:val="009D4589"/>
    <w:rsid w:val="009D4FB5"/>
    <w:rsid w:val="009D50E7"/>
    <w:rsid w:val="009D54D4"/>
    <w:rsid w:val="009D5650"/>
    <w:rsid w:val="009D61BB"/>
    <w:rsid w:val="009D64F3"/>
    <w:rsid w:val="009D6699"/>
    <w:rsid w:val="009D6D78"/>
    <w:rsid w:val="009D73A5"/>
    <w:rsid w:val="009D73B8"/>
    <w:rsid w:val="009D77E0"/>
    <w:rsid w:val="009D7BC1"/>
    <w:rsid w:val="009E014F"/>
    <w:rsid w:val="009E0B57"/>
    <w:rsid w:val="009E0FCB"/>
    <w:rsid w:val="009E1677"/>
    <w:rsid w:val="009E1A09"/>
    <w:rsid w:val="009E1AD6"/>
    <w:rsid w:val="009E1F3B"/>
    <w:rsid w:val="009E30F5"/>
    <w:rsid w:val="009E3CDF"/>
    <w:rsid w:val="009E3FA4"/>
    <w:rsid w:val="009E4145"/>
    <w:rsid w:val="009E430B"/>
    <w:rsid w:val="009E4E32"/>
    <w:rsid w:val="009E5209"/>
    <w:rsid w:val="009E5889"/>
    <w:rsid w:val="009E5B9D"/>
    <w:rsid w:val="009F023B"/>
    <w:rsid w:val="009F0582"/>
    <w:rsid w:val="009F06B3"/>
    <w:rsid w:val="009F0874"/>
    <w:rsid w:val="009F1B5F"/>
    <w:rsid w:val="009F1D05"/>
    <w:rsid w:val="009F1F3B"/>
    <w:rsid w:val="009F20D3"/>
    <w:rsid w:val="009F5121"/>
    <w:rsid w:val="009F6446"/>
    <w:rsid w:val="009F68A4"/>
    <w:rsid w:val="009F7047"/>
    <w:rsid w:val="009F70EF"/>
    <w:rsid w:val="00A000CB"/>
    <w:rsid w:val="00A002A4"/>
    <w:rsid w:val="00A00327"/>
    <w:rsid w:val="00A007E8"/>
    <w:rsid w:val="00A00C13"/>
    <w:rsid w:val="00A013A9"/>
    <w:rsid w:val="00A014B2"/>
    <w:rsid w:val="00A01FB5"/>
    <w:rsid w:val="00A0255C"/>
    <w:rsid w:val="00A03929"/>
    <w:rsid w:val="00A0407A"/>
    <w:rsid w:val="00A04134"/>
    <w:rsid w:val="00A048A0"/>
    <w:rsid w:val="00A05D0A"/>
    <w:rsid w:val="00A06291"/>
    <w:rsid w:val="00A06B9A"/>
    <w:rsid w:val="00A06DA9"/>
    <w:rsid w:val="00A073A7"/>
    <w:rsid w:val="00A07C83"/>
    <w:rsid w:val="00A10310"/>
    <w:rsid w:val="00A103F4"/>
    <w:rsid w:val="00A10431"/>
    <w:rsid w:val="00A105A1"/>
    <w:rsid w:val="00A10676"/>
    <w:rsid w:val="00A109A1"/>
    <w:rsid w:val="00A10CF1"/>
    <w:rsid w:val="00A10D6E"/>
    <w:rsid w:val="00A1153A"/>
    <w:rsid w:val="00A11654"/>
    <w:rsid w:val="00A12C40"/>
    <w:rsid w:val="00A12E5E"/>
    <w:rsid w:val="00A13469"/>
    <w:rsid w:val="00A13783"/>
    <w:rsid w:val="00A13C73"/>
    <w:rsid w:val="00A13EE4"/>
    <w:rsid w:val="00A15237"/>
    <w:rsid w:val="00A15403"/>
    <w:rsid w:val="00A1691C"/>
    <w:rsid w:val="00A16D17"/>
    <w:rsid w:val="00A174C2"/>
    <w:rsid w:val="00A17645"/>
    <w:rsid w:val="00A176A2"/>
    <w:rsid w:val="00A2028C"/>
    <w:rsid w:val="00A20990"/>
    <w:rsid w:val="00A211BF"/>
    <w:rsid w:val="00A216CF"/>
    <w:rsid w:val="00A222E3"/>
    <w:rsid w:val="00A22AC8"/>
    <w:rsid w:val="00A22ED7"/>
    <w:rsid w:val="00A23354"/>
    <w:rsid w:val="00A24083"/>
    <w:rsid w:val="00A24669"/>
    <w:rsid w:val="00A256E0"/>
    <w:rsid w:val="00A25730"/>
    <w:rsid w:val="00A259C0"/>
    <w:rsid w:val="00A25DEC"/>
    <w:rsid w:val="00A2649E"/>
    <w:rsid w:val="00A26CC4"/>
    <w:rsid w:val="00A27180"/>
    <w:rsid w:val="00A27DAC"/>
    <w:rsid w:val="00A27EC1"/>
    <w:rsid w:val="00A303D7"/>
    <w:rsid w:val="00A30511"/>
    <w:rsid w:val="00A30B37"/>
    <w:rsid w:val="00A3108D"/>
    <w:rsid w:val="00A310BD"/>
    <w:rsid w:val="00A3222D"/>
    <w:rsid w:val="00A3287E"/>
    <w:rsid w:val="00A33804"/>
    <w:rsid w:val="00A338C6"/>
    <w:rsid w:val="00A3499C"/>
    <w:rsid w:val="00A34F35"/>
    <w:rsid w:val="00A357CA"/>
    <w:rsid w:val="00A35C48"/>
    <w:rsid w:val="00A3644A"/>
    <w:rsid w:val="00A37284"/>
    <w:rsid w:val="00A40C8D"/>
    <w:rsid w:val="00A40CB8"/>
    <w:rsid w:val="00A4122D"/>
    <w:rsid w:val="00A41F3B"/>
    <w:rsid w:val="00A42B27"/>
    <w:rsid w:val="00A4347B"/>
    <w:rsid w:val="00A44350"/>
    <w:rsid w:val="00A449C1"/>
    <w:rsid w:val="00A4515E"/>
    <w:rsid w:val="00A4567C"/>
    <w:rsid w:val="00A46333"/>
    <w:rsid w:val="00A50640"/>
    <w:rsid w:val="00A5095C"/>
    <w:rsid w:val="00A51EE2"/>
    <w:rsid w:val="00A52C6A"/>
    <w:rsid w:val="00A53734"/>
    <w:rsid w:val="00A53A1B"/>
    <w:rsid w:val="00A54020"/>
    <w:rsid w:val="00A546CB"/>
    <w:rsid w:val="00A54A3D"/>
    <w:rsid w:val="00A551B2"/>
    <w:rsid w:val="00A554E4"/>
    <w:rsid w:val="00A55640"/>
    <w:rsid w:val="00A56417"/>
    <w:rsid w:val="00A5752F"/>
    <w:rsid w:val="00A5785C"/>
    <w:rsid w:val="00A57E50"/>
    <w:rsid w:val="00A57FA6"/>
    <w:rsid w:val="00A61059"/>
    <w:rsid w:val="00A611A0"/>
    <w:rsid w:val="00A612F9"/>
    <w:rsid w:val="00A61D64"/>
    <w:rsid w:val="00A62077"/>
    <w:rsid w:val="00A6330C"/>
    <w:rsid w:val="00A63418"/>
    <w:rsid w:val="00A6367E"/>
    <w:rsid w:val="00A636D8"/>
    <w:rsid w:val="00A64D10"/>
    <w:rsid w:val="00A659CC"/>
    <w:rsid w:val="00A65A92"/>
    <w:rsid w:val="00A65D53"/>
    <w:rsid w:val="00A661EB"/>
    <w:rsid w:val="00A66D96"/>
    <w:rsid w:val="00A6755F"/>
    <w:rsid w:val="00A6761C"/>
    <w:rsid w:val="00A701A2"/>
    <w:rsid w:val="00A714A3"/>
    <w:rsid w:val="00A71AC7"/>
    <w:rsid w:val="00A721E4"/>
    <w:rsid w:val="00A7253A"/>
    <w:rsid w:val="00A727FD"/>
    <w:rsid w:val="00A729F9"/>
    <w:rsid w:val="00A7421E"/>
    <w:rsid w:val="00A748AE"/>
    <w:rsid w:val="00A748B2"/>
    <w:rsid w:val="00A7587B"/>
    <w:rsid w:val="00A758C2"/>
    <w:rsid w:val="00A759A8"/>
    <w:rsid w:val="00A75B36"/>
    <w:rsid w:val="00A76EC0"/>
    <w:rsid w:val="00A7749A"/>
    <w:rsid w:val="00A77A82"/>
    <w:rsid w:val="00A80CD6"/>
    <w:rsid w:val="00A81946"/>
    <w:rsid w:val="00A8307D"/>
    <w:rsid w:val="00A835CB"/>
    <w:rsid w:val="00A83732"/>
    <w:rsid w:val="00A8375E"/>
    <w:rsid w:val="00A83B42"/>
    <w:rsid w:val="00A8431B"/>
    <w:rsid w:val="00A84E00"/>
    <w:rsid w:val="00A85A79"/>
    <w:rsid w:val="00A860C6"/>
    <w:rsid w:val="00A861DD"/>
    <w:rsid w:val="00A8692E"/>
    <w:rsid w:val="00A86CD5"/>
    <w:rsid w:val="00A87001"/>
    <w:rsid w:val="00A87216"/>
    <w:rsid w:val="00A90684"/>
    <w:rsid w:val="00A90883"/>
    <w:rsid w:val="00A92C2F"/>
    <w:rsid w:val="00A941C8"/>
    <w:rsid w:val="00A94670"/>
    <w:rsid w:val="00A94680"/>
    <w:rsid w:val="00A95128"/>
    <w:rsid w:val="00A95C03"/>
    <w:rsid w:val="00A96342"/>
    <w:rsid w:val="00A96B75"/>
    <w:rsid w:val="00A96E21"/>
    <w:rsid w:val="00A96F3D"/>
    <w:rsid w:val="00A978C8"/>
    <w:rsid w:val="00A97D16"/>
    <w:rsid w:val="00AA1B1A"/>
    <w:rsid w:val="00AA3972"/>
    <w:rsid w:val="00AA3BDB"/>
    <w:rsid w:val="00AA49F6"/>
    <w:rsid w:val="00AA4CE5"/>
    <w:rsid w:val="00AA5E1F"/>
    <w:rsid w:val="00AA61C2"/>
    <w:rsid w:val="00AA6C13"/>
    <w:rsid w:val="00AA7180"/>
    <w:rsid w:val="00AA765A"/>
    <w:rsid w:val="00AB048F"/>
    <w:rsid w:val="00AB0809"/>
    <w:rsid w:val="00AB147C"/>
    <w:rsid w:val="00AB18B9"/>
    <w:rsid w:val="00AB1BF9"/>
    <w:rsid w:val="00AB2DA7"/>
    <w:rsid w:val="00AB400A"/>
    <w:rsid w:val="00AB5579"/>
    <w:rsid w:val="00AB55AA"/>
    <w:rsid w:val="00AB5681"/>
    <w:rsid w:val="00AB71F5"/>
    <w:rsid w:val="00AB75DF"/>
    <w:rsid w:val="00AC009A"/>
    <w:rsid w:val="00AC01ED"/>
    <w:rsid w:val="00AC0241"/>
    <w:rsid w:val="00AC0330"/>
    <w:rsid w:val="00AC05B3"/>
    <w:rsid w:val="00AC0A3D"/>
    <w:rsid w:val="00AC0BAC"/>
    <w:rsid w:val="00AC10B7"/>
    <w:rsid w:val="00AC11BB"/>
    <w:rsid w:val="00AC1E95"/>
    <w:rsid w:val="00AC440B"/>
    <w:rsid w:val="00AC4423"/>
    <w:rsid w:val="00AC44D8"/>
    <w:rsid w:val="00AC4ECA"/>
    <w:rsid w:val="00AC5D9F"/>
    <w:rsid w:val="00AC60F1"/>
    <w:rsid w:val="00AC755E"/>
    <w:rsid w:val="00AC76CA"/>
    <w:rsid w:val="00AC7A6F"/>
    <w:rsid w:val="00AC7D85"/>
    <w:rsid w:val="00AC7FE2"/>
    <w:rsid w:val="00AD05E0"/>
    <w:rsid w:val="00AD0EF0"/>
    <w:rsid w:val="00AD37DD"/>
    <w:rsid w:val="00AD3998"/>
    <w:rsid w:val="00AD42A7"/>
    <w:rsid w:val="00AD485E"/>
    <w:rsid w:val="00AD48EA"/>
    <w:rsid w:val="00AD5BF4"/>
    <w:rsid w:val="00AD6206"/>
    <w:rsid w:val="00AD660F"/>
    <w:rsid w:val="00AD6A5A"/>
    <w:rsid w:val="00AD6B90"/>
    <w:rsid w:val="00AD7081"/>
    <w:rsid w:val="00AD737A"/>
    <w:rsid w:val="00AD757A"/>
    <w:rsid w:val="00AD7686"/>
    <w:rsid w:val="00AD7CC2"/>
    <w:rsid w:val="00AE04A7"/>
    <w:rsid w:val="00AE0524"/>
    <w:rsid w:val="00AE09ED"/>
    <w:rsid w:val="00AE0FCD"/>
    <w:rsid w:val="00AE1096"/>
    <w:rsid w:val="00AE1601"/>
    <w:rsid w:val="00AE1BFD"/>
    <w:rsid w:val="00AE1D9F"/>
    <w:rsid w:val="00AE20C3"/>
    <w:rsid w:val="00AE2356"/>
    <w:rsid w:val="00AE2F04"/>
    <w:rsid w:val="00AE39CE"/>
    <w:rsid w:val="00AE3AA1"/>
    <w:rsid w:val="00AE417A"/>
    <w:rsid w:val="00AE49BE"/>
    <w:rsid w:val="00AE516E"/>
    <w:rsid w:val="00AE624F"/>
    <w:rsid w:val="00AE6C84"/>
    <w:rsid w:val="00AF130E"/>
    <w:rsid w:val="00AF1EE4"/>
    <w:rsid w:val="00AF2144"/>
    <w:rsid w:val="00AF27E4"/>
    <w:rsid w:val="00AF4A81"/>
    <w:rsid w:val="00AF4DD6"/>
    <w:rsid w:val="00AF5050"/>
    <w:rsid w:val="00AF51B3"/>
    <w:rsid w:val="00AF5962"/>
    <w:rsid w:val="00AF5C58"/>
    <w:rsid w:val="00AF5F78"/>
    <w:rsid w:val="00AF6720"/>
    <w:rsid w:val="00AF677D"/>
    <w:rsid w:val="00B00098"/>
    <w:rsid w:val="00B00F29"/>
    <w:rsid w:val="00B00FCC"/>
    <w:rsid w:val="00B01330"/>
    <w:rsid w:val="00B01509"/>
    <w:rsid w:val="00B019AA"/>
    <w:rsid w:val="00B0253C"/>
    <w:rsid w:val="00B025CC"/>
    <w:rsid w:val="00B02FA0"/>
    <w:rsid w:val="00B03072"/>
    <w:rsid w:val="00B03676"/>
    <w:rsid w:val="00B03863"/>
    <w:rsid w:val="00B05064"/>
    <w:rsid w:val="00B052FE"/>
    <w:rsid w:val="00B05454"/>
    <w:rsid w:val="00B058E5"/>
    <w:rsid w:val="00B06870"/>
    <w:rsid w:val="00B06912"/>
    <w:rsid w:val="00B06960"/>
    <w:rsid w:val="00B0702F"/>
    <w:rsid w:val="00B10131"/>
    <w:rsid w:val="00B113FF"/>
    <w:rsid w:val="00B12824"/>
    <w:rsid w:val="00B12A38"/>
    <w:rsid w:val="00B13C20"/>
    <w:rsid w:val="00B1443F"/>
    <w:rsid w:val="00B15153"/>
    <w:rsid w:val="00B16A20"/>
    <w:rsid w:val="00B17834"/>
    <w:rsid w:val="00B17C7F"/>
    <w:rsid w:val="00B213A1"/>
    <w:rsid w:val="00B21F85"/>
    <w:rsid w:val="00B22F26"/>
    <w:rsid w:val="00B23D32"/>
    <w:rsid w:val="00B240AC"/>
    <w:rsid w:val="00B245D6"/>
    <w:rsid w:val="00B24845"/>
    <w:rsid w:val="00B25003"/>
    <w:rsid w:val="00B258BC"/>
    <w:rsid w:val="00B26792"/>
    <w:rsid w:val="00B27430"/>
    <w:rsid w:val="00B2760D"/>
    <w:rsid w:val="00B2777D"/>
    <w:rsid w:val="00B279E3"/>
    <w:rsid w:val="00B27AFC"/>
    <w:rsid w:val="00B27C95"/>
    <w:rsid w:val="00B301E1"/>
    <w:rsid w:val="00B30212"/>
    <w:rsid w:val="00B302A2"/>
    <w:rsid w:val="00B30C17"/>
    <w:rsid w:val="00B31719"/>
    <w:rsid w:val="00B31C1A"/>
    <w:rsid w:val="00B32434"/>
    <w:rsid w:val="00B327C4"/>
    <w:rsid w:val="00B3370C"/>
    <w:rsid w:val="00B346C5"/>
    <w:rsid w:val="00B34A5A"/>
    <w:rsid w:val="00B34C26"/>
    <w:rsid w:val="00B34DBB"/>
    <w:rsid w:val="00B34E24"/>
    <w:rsid w:val="00B36174"/>
    <w:rsid w:val="00B36BEB"/>
    <w:rsid w:val="00B3783D"/>
    <w:rsid w:val="00B37F70"/>
    <w:rsid w:val="00B40555"/>
    <w:rsid w:val="00B40B47"/>
    <w:rsid w:val="00B42FEA"/>
    <w:rsid w:val="00B435C9"/>
    <w:rsid w:val="00B43676"/>
    <w:rsid w:val="00B438BC"/>
    <w:rsid w:val="00B441A6"/>
    <w:rsid w:val="00B44BE5"/>
    <w:rsid w:val="00B450AC"/>
    <w:rsid w:val="00B456A3"/>
    <w:rsid w:val="00B467E9"/>
    <w:rsid w:val="00B46A84"/>
    <w:rsid w:val="00B50E03"/>
    <w:rsid w:val="00B51E1B"/>
    <w:rsid w:val="00B51E48"/>
    <w:rsid w:val="00B52487"/>
    <w:rsid w:val="00B52655"/>
    <w:rsid w:val="00B53329"/>
    <w:rsid w:val="00B539AC"/>
    <w:rsid w:val="00B53A12"/>
    <w:rsid w:val="00B53DB1"/>
    <w:rsid w:val="00B53EF1"/>
    <w:rsid w:val="00B54C4A"/>
    <w:rsid w:val="00B55462"/>
    <w:rsid w:val="00B55C4E"/>
    <w:rsid w:val="00B56812"/>
    <w:rsid w:val="00B57793"/>
    <w:rsid w:val="00B579B3"/>
    <w:rsid w:val="00B603A6"/>
    <w:rsid w:val="00B60536"/>
    <w:rsid w:val="00B615F4"/>
    <w:rsid w:val="00B61AAA"/>
    <w:rsid w:val="00B62368"/>
    <w:rsid w:val="00B633DA"/>
    <w:rsid w:val="00B649E3"/>
    <w:rsid w:val="00B64CF6"/>
    <w:rsid w:val="00B65143"/>
    <w:rsid w:val="00B6530A"/>
    <w:rsid w:val="00B65CD4"/>
    <w:rsid w:val="00B67FD9"/>
    <w:rsid w:val="00B70B66"/>
    <w:rsid w:val="00B72882"/>
    <w:rsid w:val="00B72D01"/>
    <w:rsid w:val="00B7365B"/>
    <w:rsid w:val="00B73AF4"/>
    <w:rsid w:val="00B75763"/>
    <w:rsid w:val="00B759B6"/>
    <w:rsid w:val="00B75B96"/>
    <w:rsid w:val="00B7608E"/>
    <w:rsid w:val="00B760AB"/>
    <w:rsid w:val="00B76852"/>
    <w:rsid w:val="00B76A94"/>
    <w:rsid w:val="00B76D51"/>
    <w:rsid w:val="00B76E46"/>
    <w:rsid w:val="00B77258"/>
    <w:rsid w:val="00B776F6"/>
    <w:rsid w:val="00B77881"/>
    <w:rsid w:val="00B8046F"/>
    <w:rsid w:val="00B80A31"/>
    <w:rsid w:val="00B80B2D"/>
    <w:rsid w:val="00B80DD7"/>
    <w:rsid w:val="00B814B5"/>
    <w:rsid w:val="00B829E2"/>
    <w:rsid w:val="00B82B14"/>
    <w:rsid w:val="00B83463"/>
    <w:rsid w:val="00B8382B"/>
    <w:rsid w:val="00B83CCA"/>
    <w:rsid w:val="00B84455"/>
    <w:rsid w:val="00B84CA0"/>
    <w:rsid w:val="00B852B7"/>
    <w:rsid w:val="00B8574C"/>
    <w:rsid w:val="00B85A21"/>
    <w:rsid w:val="00B85B92"/>
    <w:rsid w:val="00B85E4A"/>
    <w:rsid w:val="00B86178"/>
    <w:rsid w:val="00B861BC"/>
    <w:rsid w:val="00B86644"/>
    <w:rsid w:val="00B86D2D"/>
    <w:rsid w:val="00B86DE9"/>
    <w:rsid w:val="00B875B8"/>
    <w:rsid w:val="00B903EC"/>
    <w:rsid w:val="00B916FC"/>
    <w:rsid w:val="00B91A3F"/>
    <w:rsid w:val="00B91CEA"/>
    <w:rsid w:val="00B92C48"/>
    <w:rsid w:val="00B93CA4"/>
    <w:rsid w:val="00B94502"/>
    <w:rsid w:val="00B945FF"/>
    <w:rsid w:val="00B94E27"/>
    <w:rsid w:val="00B95B56"/>
    <w:rsid w:val="00B95C66"/>
    <w:rsid w:val="00B95CBE"/>
    <w:rsid w:val="00B96425"/>
    <w:rsid w:val="00B96AAC"/>
    <w:rsid w:val="00B96AD9"/>
    <w:rsid w:val="00B96D79"/>
    <w:rsid w:val="00B9785F"/>
    <w:rsid w:val="00B97916"/>
    <w:rsid w:val="00B97925"/>
    <w:rsid w:val="00B9792A"/>
    <w:rsid w:val="00B97FAD"/>
    <w:rsid w:val="00BA000F"/>
    <w:rsid w:val="00BA0D54"/>
    <w:rsid w:val="00BA0DAC"/>
    <w:rsid w:val="00BA115A"/>
    <w:rsid w:val="00BA1C56"/>
    <w:rsid w:val="00BA2352"/>
    <w:rsid w:val="00BA26AD"/>
    <w:rsid w:val="00BA2FE3"/>
    <w:rsid w:val="00BA38D6"/>
    <w:rsid w:val="00BA49DD"/>
    <w:rsid w:val="00BA4CF3"/>
    <w:rsid w:val="00BA5ABE"/>
    <w:rsid w:val="00BA66D1"/>
    <w:rsid w:val="00BA6804"/>
    <w:rsid w:val="00BA697D"/>
    <w:rsid w:val="00BA70A3"/>
    <w:rsid w:val="00BA7478"/>
    <w:rsid w:val="00BB0045"/>
    <w:rsid w:val="00BB00C3"/>
    <w:rsid w:val="00BB0E1E"/>
    <w:rsid w:val="00BB111A"/>
    <w:rsid w:val="00BB1D4E"/>
    <w:rsid w:val="00BB221D"/>
    <w:rsid w:val="00BB259F"/>
    <w:rsid w:val="00BB2B0D"/>
    <w:rsid w:val="00BB2B4E"/>
    <w:rsid w:val="00BB325F"/>
    <w:rsid w:val="00BB3997"/>
    <w:rsid w:val="00BB39AC"/>
    <w:rsid w:val="00BB3BCA"/>
    <w:rsid w:val="00BB4322"/>
    <w:rsid w:val="00BB432A"/>
    <w:rsid w:val="00BB4565"/>
    <w:rsid w:val="00BB4774"/>
    <w:rsid w:val="00BB4D89"/>
    <w:rsid w:val="00BB549B"/>
    <w:rsid w:val="00BB56A2"/>
    <w:rsid w:val="00BB5ECA"/>
    <w:rsid w:val="00BB62B0"/>
    <w:rsid w:val="00BB63B2"/>
    <w:rsid w:val="00BB68EC"/>
    <w:rsid w:val="00BB6FC5"/>
    <w:rsid w:val="00BB7F21"/>
    <w:rsid w:val="00BC03FB"/>
    <w:rsid w:val="00BC0EA4"/>
    <w:rsid w:val="00BC15FF"/>
    <w:rsid w:val="00BC219A"/>
    <w:rsid w:val="00BC321C"/>
    <w:rsid w:val="00BC41DD"/>
    <w:rsid w:val="00BC48E6"/>
    <w:rsid w:val="00BC4F7F"/>
    <w:rsid w:val="00BC54EC"/>
    <w:rsid w:val="00BC6674"/>
    <w:rsid w:val="00BC74EE"/>
    <w:rsid w:val="00BC7C93"/>
    <w:rsid w:val="00BC7FDC"/>
    <w:rsid w:val="00BD0408"/>
    <w:rsid w:val="00BD0E86"/>
    <w:rsid w:val="00BD11C0"/>
    <w:rsid w:val="00BD167C"/>
    <w:rsid w:val="00BD27A2"/>
    <w:rsid w:val="00BD36B1"/>
    <w:rsid w:val="00BD560D"/>
    <w:rsid w:val="00BD5CC2"/>
    <w:rsid w:val="00BD640A"/>
    <w:rsid w:val="00BD642E"/>
    <w:rsid w:val="00BD66F5"/>
    <w:rsid w:val="00BD76F1"/>
    <w:rsid w:val="00BE07E2"/>
    <w:rsid w:val="00BE0887"/>
    <w:rsid w:val="00BE09E4"/>
    <w:rsid w:val="00BE44DF"/>
    <w:rsid w:val="00BE505D"/>
    <w:rsid w:val="00BE51D7"/>
    <w:rsid w:val="00BE5C65"/>
    <w:rsid w:val="00BE5F3A"/>
    <w:rsid w:val="00BE5FFB"/>
    <w:rsid w:val="00BE626C"/>
    <w:rsid w:val="00BE649C"/>
    <w:rsid w:val="00BE6A76"/>
    <w:rsid w:val="00BE6B0F"/>
    <w:rsid w:val="00BF10CB"/>
    <w:rsid w:val="00BF1573"/>
    <w:rsid w:val="00BF170D"/>
    <w:rsid w:val="00BF184D"/>
    <w:rsid w:val="00BF1BFD"/>
    <w:rsid w:val="00BF1CD5"/>
    <w:rsid w:val="00BF372D"/>
    <w:rsid w:val="00BF4C93"/>
    <w:rsid w:val="00BF537C"/>
    <w:rsid w:val="00BF5E9E"/>
    <w:rsid w:val="00C0090C"/>
    <w:rsid w:val="00C01D1E"/>
    <w:rsid w:val="00C02179"/>
    <w:rsid w:val="00C02316"/>
    <w:rsid w:val="00C0315F"/>
    <w:rsid w:val="00C0320E"/>
    <w:rsid w:val="00C03230"/>
    <w:rsid w:val="00C0370B"/>
    <w:rsid w:val="00C03CF3"/>
    <w:rsid w:val="00C04D4D"/>
    <w:rsid w:val="00C04ED4"/>
    <w:rsid w:val="00C054C3"/>
    <w:rsid w:val="00C05912"/>
    <w:rsid w:val="00C05EA3"/>
    <w:rsid w:val="00C060C5"/>
    <w:rsid w:val="00C06753"/>
    <w:rsid w:val="00C06B2C"/>
    <w:rsid w:val="00C073BE"/>
    <w:rsid w:val="00C079C5"/>
    <w:rsid w:val="00C07F16"/>
    <w:rsid w:val="00C10045"/>
    <w:rsid w:val="00C10368"/>
    <w:rsid w:val="00C111F0"/>
    <w:rsid w:val="00C11C4B"/>
    <w:rsid w:val="00C11D77"/>
    <w:rsid w:val="00C12320"/>
    <w:rsid w:val="00C1251B"/>
    <w:rsid w:val="00C12CE9"/>
    <w:rsid w:val="00C12DE4"/>
    <w:rsid w:val="00C13206"/>
    <w:rsid w:val="00C146F6"/>
    <w:rsid w:val="00C14952"/>
    <w:rsid w:val="00C15CCE"/>
    <w:rsid w:val="00C16CD9"/>
    <w:rsid w:val="00C175BE"/>
    <w:rsid w:val="00C17617"/>
    <w:rsid w:val="00C17A64"/>
    <w:rsid w:val="00C17D97"/>
    <w:rsid w:val="00C17FE6"/>
    <w:rsid w:val="00C20CDB"/>
    <w:rsid w:val="00C2166E"/>
    <w:rsid w:val="00C22418"/>
    <w:rsid w:val="00C22F78"/>
    <w:rsid w:val="00C22FFB"/>
    <w:rsid w:val="00C2386C"/>
    <w:rsid w:val="00C23B59"/>
    <w:rsid w:val="00C244EA"/>
    <w:rsid w:val="00C259FA"/>
    <w:rsid w:val="00C25DC5"/>
    <w:rsid w:val="00C26426"/>
    <w:rsid w:val="00C267D8"/>
    <w:rsid w:val="00C27235"/>
    <w:rsid w:val="00C273FA"/>
    <w:rsid w:val="00C27451"/>
    <w:rsid w:val="00C274DD"/>
    <w:rsid w:val="00C27E8E"/>
    <w:rsid w:val="00C30708"/>
    <w:rsid w:val="00C30E42"/>
    <w:rsid w:val="00C317BA"/>
    <w:rsid w:val="00C31F87"/>
    <w:rsid w:val="00C31FE7"/>
    <w:rsid w:val="00C326E3"/>
    <w:rsid w:val="00C34283"/>
    <w:rsid w:val="00C356A9"/>
    <w:rsid w:val="00C35797"/>
    <w:rsid w:val="00C35912"/>
    <w:rsid w:val="00C360EC"/>
    <w:rsid w:val="00C362EE"/>
    <w:rsid w:val="00C3675D"/>
    <w:rsid w:val="00C3682F"/>
    <w:rsid w:val="00C36C35"/>
    <w:rsid w:val="00C374B4"/>
    <w:rsid w:val="00C405E1"/>
    <w:rsid w:val="00C40E25"/>
    <w:rsid w:val="00C42FA3"/>
    <w:rsid w:val="00C43326"/>
    <w:rsid w:val="00C438F1"/>
    <w:rsid w:val="00C43B10"/>
    <w:rsid w:val="00C43B76"/>
    <w:rsid w:val="00C441C5"/>
    <w:rsid w:val="00C44771"/>
    <w:rsid w:val="00C45902"/>
    <w:rsid w:val="00C45CD2"/>
    <w:rsid w:val="00C476C6"/>
    <w:rsid w:val="00C50091"/>
    <w:rsid w:val="00C512A6"/>
    <w:rsid w:val="00C5148A"/>
    <w:rsid w:val="00C5149F"/>
    <w:rsid w:val="00C51750"/>
    <w:rsid w:val="00C521B1"/>
    <w:rsid w:val="00C52572"/>
    <w:rsid w:val="00C527F4"/>
    <w:rsid w:val="00C53233"/>
    <w:rsid w:val="00C5333E"/>
    <w:rsid w:val="00C548DC"/>
    <w:rsid w:val="00C55600"/>
    <w:rsid w:val="00C5649D"/>
    <w:rsid w:val="00C60622"/>
    <w:rsid w:val="00C60A15"/>
    <w:rsid w:val="00C62379"/>
    <w:rsid w:val="00C623FA"/>
    <w:rsid w:val="00C625A3"/>
    <w:rsid w:val="00C630CD"/>
    <w:rsid w:val="00C63176"/>
    <w:rsid w:val="00C645C3"/>
    <w:rsid w:val="00C65692"/>
    <w:rsid w:val="00C6626A"/>
    <w:rsid w:val="00C669E6"/>
    <w:rsid w:val="00C67730"/>
    <w:rsid w:val="00C67CD7"/>
    <w:rsid w:val="00C70398"/>
    <w:rsid w:val="00C70406"/>
    <w:rsid w:val="00C70867"/>
    <w:rsid w:val="00C709E3"/>
    <w:rsid w:val="00C70ACA"/>
    <w:rsid w:val="00C711C0"/>
    <w:rsid w:val="00C71BDA"/>
    <w:rsid w:val="00C72704"/>
    <w:rsid w:val="00C73B2E"/>
    <w:rsid w:val="00C7403B"/>
    <w:rsid w:val="00C742BE"/>
    <w:rsid w:val="00C745DE"/>
    <w:rsid w:val="00C74A7A"/>
    <w:rsid w:val="00C754CA"/>
    <w:rsid w:val="00C75A86"/>
    <w:rsid w:val="00C763C9"/>
    <w:rsid w:val="00C76DF9"/>
    <w:rsid w:val="00C76F29"/>
    <w:rsid w:val="00C77325"/>
    <w:rsid w:val="00C775E5"/>
    <w:rsid w:val="00C8007D"/>
    <w:rsid w:val="00C80BD5"/>
    <w:rsid w:val="00C80FE6"/>
    <w:rsid w:val="00C822A9"/>
    <w:rsid w:val="00C825D9"/>
    <w:rsid w:val="00C83CBA"/>
    <w:rsid w:val="00C83E8B"/>
    <w:rsid w:val="00C8400D"/>
    <w:rsid w:val="00C8422A"/>
    <w:rsid w:val="00C8468A"/>
    <w:rsid w:val="00C8636F"/>
    <w:rsid w:val="00C86799"/>
    <w:rsid w:val="00C869FA"/>
    <w:rsid w:val="00C87A21"/>
    <w:rsid w:val="00C87D69"/>
    <w:rsid w:val="00C87FA9"/>
    <w:rsid w:val="00C90490"/>
    <w:rsid w:val="00C90D71"/>
    <w:rsid w:val="00C91C7F"/>
    <w:rsid w:val="00C92592"/>
    <w:rsid w:val="00C9372A"/>
    <w:rsid w:val="00C94888"/>
    <w:rsid w:val="00C94CD3"/>
    <w:rsid w:val="00C952AD"/>
    <w:rsid w:val="00C962A7"/>
    <w:rsid w:val="00C97931"/>
    <w:rsid w:val="00C97BD4"/>
    <w:rsid w:val="00CA00FC"/>
    <w:rsid w:val="00CA0916"/>
    <w:rsid w:val="00CA0B21"/>
    <w:rsid w:val="00CA0CEF"/>
    <w:rsid w:val="00CA10BD"/>
    <w:rsid w:val="00CA15AF"/>
    <w:rsid w:val="00CA1678"/>
    <w:rsid w:val="00CA2057"/>
    <w:rsid w:val="00CA2944"/>
    <w:rsid w:val="00CA2976"/>
    <w:rsid w:val="00CA3717"/>
    <w:rsid w:val="00CA38BD"/>
    <w:rsid w:val="00CA5162"/>
    <w:rsid w:val="00CA5284"/>
    <w:rsid w:val="00CA5C28"/>
    <w:rsid w:val="00CA5E31"/>
    <w:rsid w:val="00CA5EB1"/>
    <w:rsid w:val="00CA6CCD"/>
    <w:rsid w:val="00CA6D9B"/>
    <w:rsid w:val="00CA6E92"/>
    <w:rsid w:val="00CA7C72"/>
    <w:rsid w:val="00CA7D47"/>
    <w:rsid w:val="00CB01E8"/>
    <w:rsid w:val="00CB085A"/>
    <w:rsid w:val="00CB0F1D"/>
    <w:rsid w:val="00CB1BD7"/>
    <w:rsid w:val="00CB20CB"/>
    <w:rsid w:val="00CB2A5B"/>
    <w:rsid w:val="00CB3284"/>
    <w:rsid w:val="00CB351B"/>
    <w:rsid w:val="00CB366C"/>
    <w:rsid w:val="00CB4436"/>
    <w:rsid w:val="00CB5291"/>
    <w:rsid w:val="00CB52B5"/>
    <w:rsid w:val="00CB6011"/>
    <w:rsid w:val="00CB6433"/>
    <w:rsid w:val="00CB66DA"/>
    <w:rsid w:val="00CB67D0"/>
    <w:rsid w:val="00CB6A0B"/>
    <w:rsid w:val="00CC066A"/>
    <w:rsid w:val="00CC0715"/>
    <w:rsid w:val="00CC1C66"/>
    <w:rsid w:val="00CC21CB"/>
    <w:rsid w:val="00CC2211"/>
    <w:rsid w:val="00CC2DD3"/>
    <w:rsid w:val="00CC45AE"/>
    <w:rsid w:val="00CC4BAB"/>
    <w:rsid w:val="00CC52AF"/>
    <w:rsid w:val="00CC5479"/>
    <w:rsid w:val="00CC5E63"/>
    <w:rsid w:val="00CC67B2"/>
    <w:rsid w:val="00CC68C2"/>
    <w:rsid w:val="00CC7BDD"/>
    <w:rsid w:val="00CD0350"/>
    <w:rsid w:val="00CD0A60"/>
    <w:rsid w:val="00CD0C0B"/>
    <w:rsid w:val="00CD12B7"/>
    <w:rsid w:val="00CD20A5"/>
    <w:rsid w:val="00CD20F5"/>
    <w:rsid w:val="00CD214E"/>
    <w:rsid w:val="00CD252A"/>
    <w:rsid w:val="00CD3853"/>
    <w:rsid w:val="00CD3A2E"/>
    <w:rsid w:val="00CD3F9E"/>
    <w:rsid w:val="00CD417B"/>
    <w:rsid w:val="00CD59C4"/>
    <w:rsid w:val="00CD6DA2"/>
    <w:rsid w:val="00CD7D23"/>
    <w:rsid w:val="00CE0475"/>
    <w:rsid w:val="00CE13F9"/>
    <w:rsid w:val="00CE153F"/>
    <w:rsid w:val="00CE1596"/>
    <w:rsid w:val="00CE2794"/>
    <w:rsid w:val="00CE2C8F"/>
    <w:rsid w:val="00CE2D66"/>
    <w:rsid w:val="00CE2EBA"/>
    <w:rsid w:val="00CE3B48"/>
    <w:rsid w:val="00CE475C"/>
    <w:rsid w:val="00CE53BD"/>
    <w:rsid w:val="00CE5E02"/>
    <w:rsid w:val="00CE6159"/>
    <w:rsid w:val="00CE6160"/>
    <w:rsid w:val="00CE6FD2"/>
    <w:rsid w:val="00CE7B0C"/>
    <w:rsid w:val="00CF00BA"/>
    <w:rsid w:val="00CF04BC"/>
    <w:rsid w:val="00CF14AA"/>
    <w:rsid w:val="00CF19A5"/>
    <w:rsid w:val="00CF1CBB"/>
    <w:rsid w:val="00CF1E32"/>
    <w:rsid w:val="00CF28C7"/>
    <w:rsid w:val="00CF37C3"/>
    <w:rsid w:val="00CF3A71"/>
    <w:rsid w:val="00CF4378"/>
    <w:rsid w:val="00CF49AA"/>
    <w:rsid w:val="00CF5DC1"/>
    <w:rsid w:val="00CF5E31"/>
    <w:rsid w:val="00CF616E"/>
    <w:rsid w:val="00CF6B00"/>
    <w:rsid w:val="00CF6EBD"/>
    <w:rsid w:val="00CF780B"/>
    <w:rsid w:val="00D00603"/>
    <w:rsid w:val="00D00F92"/>
    <w:rsid w:val="00D01013"/>
    <w:rsid w:val="00D01A49"/>
    <w:rsid w:val="00D01B07"/>
    <w:rsid w:val="00D01ED3"/>
    <w:rsid w:val="00D02237"/>
    <w:rsid w:val="00D02686"/>
    <w:rsid w:val="00D02E17"/>
    <w:rsid w:val="00D03099"/>
    <w:rsid w:val="00D034C6"/>
    <w:rsid w:val="00D03968"/>
    <w:rsid w:val="00D03F76"/>
    <w:rsid w:val="00D043BC"/>
    <w:rsid w:val="00D046A8"/>
    <w:rsid w:val="00D04F14"/>
    <w:rsid w:val="00D04FBF"/>
    <w:rsid w:val="00D050A2"/>
    <w:rsid w:val="00D054FB"/>
    <w:rsid w:val="00D05C5C"/>
    <w:rsid w:val="00D0659C"/>
    <w:rsid w:val="00D06954"/>
    <w:rsid w:val="00D06D4F"/>
    <w:rsid w:val="00D078E3"/>
    <w:rsid w:val="00D1257B"/>
    <w:rsid w:val="00D1293D"/>
    <w:rsid w:val="00D12E51"/>
    <w:rsid w:val="00D130B2"/>
    <w:rsid w:val="00D1408F"/>
    <w:rsid w:val="00D1477B"/>
    <w:rsid w:val="00D1551D"/>
    <w:rsid w:val="00D15B9A"/>
    <w:rsid w:val="00D15C18"/>
    <w:rsid w:val="00D15EE0"/>
    <w:rsid w:val="00D171FE"/>
    <w:rsid w:val="00D17443"/>
    <w:rsid w:val="00D175DA"/>
    <w:rsid w:val="00D20C62"/>
    <w:rsid w:val="00D20EB1"/>
    <w:rsid w:val="00D21A38"/>
    <w:rsid w:val="00D229EA"/>
    <w:rsid w:val="00D22AC3"/>
    <w:rsid w:val="00D22AC9"/>
    <w:rsid w:val="00D22F6D"/>
    <w:rsid w:val="00D2301F"/>
    <w:rsid w:val="00D2332B"/>
    <w:rsid w:val="00D24587"/>
    <w:rsid w:val="00D2473A"/>
    <w:rsid w:val="00D24948"/>
    <w:rsid w:val="00D24D0E"/>
    <w:rsid w:val="00D24D98"/>
    <w:rsid w:val="00D264B8"/>
    <w:rsid w:val="00D26573"/>
    <w:rsid w:val="00D27050"/>
    <w:rsid w:val="00D279D0"/>
    <w:rsid w:val="00D310A4"/>
    <w:rsid w:val="00D311C1"/>
    <w:rsid w:val="00D3146D"/>
    <w:rsid w:val="00D31A89"/>
    <w:rsid w:val="00D31EC9"/>
    <w:rsid w:val="00D31F29"/>
    <w:rsid w:val="00D33533"/>
    <w:rsid w:val="00D34469"/>
    <w:rsid w:val="00D34AA3"/>
    <w:rsid w:val="00D35817"/>
    <w:rsid w:val="00D36039"/>
    <w:rsid w:val="00D36044"/>
    <w:rsid w:val="00D36823"/>
    <w:rsid w:val="00D371EC"/>
    <w:rsid w:val="00D373DF"/>
    <w:rsid w:val="00D3770A"/>
    <w:rsid w:val="00D37C28"/>
    <w:rsid w:val="00D37DC9"/>
    <w:rsid w:val="00D4054B"/>
    <w:rsid w:val="00D40C28"/>
    <w:rsid w:val="00D414E6"/>
    <w:rsid w:val="00D41A29"/>
    <w:rsid w:val="00D4251B"/>
    <w:rsid w:val="00D4293D"/>
    <w:rsid w:val="00D4295F"/>
    <w:rsid w:val="00D43B86"/>
    <w:rsid w:val="00D43F7E"/>
    <w:rsid w:val="00D4431E"/>
    <w:rsid w:val="00D44882"/>
    <w:rsid w:val="00D458AB"/>
    <w:rsid w:val="00D45DAC"/>
    <w:rsid w:val="00D46368"/>
    <w:rsid w:val="00D46636"/>
    <w:rsid w:val="00D46650"/>
    <w:rsid w:val="00D46BA4"/>
    <w:rsid w:val="00D47200"/>
    <w:rsid w:val="00D47709"/>
    <w:rsid w:val="00D50405"/>
    <w:rsid w:val="00D51510"/>
    <w:rsid w:val="00D52500"/>
    <w:rsid w:val="00D52516"/>
    <w:rsid w:val="00D5341B"/>
    <w:rsid w:val="00D536FB"/>
    <w:rsid w:val="00D53BEE"/>
    <w:rsid w:val="00D53DD1"/>
    <w:rsid w:val="00D548C2"/>
    <w:rsid w:val="00D559B2"/>
    <w:rsid w:val="00D55D5C"/>
    <w:rsid w:val="00D561D3"/>
    <w:rsid w:val="00D56A67"/>
    <w:rsid w:val="00D5717E"/>
    <w:rsid w:val="00D57D2C"/>
    <w:rsid w:val="00D57D67"/>
    <w:rsid w:val="00D60000"/>
    <w:rsid w:val="00D6240E"/>
    <w:rsid w:val="00D62589"/>
    <w:rsid w:val="00D6341A"/>
    <w:rsid w:val="00D6378E"/>
    <w:rsid w:val="00D64E0C"/>
    <w:rsid w:val="00D64E86"/>
    <w:rsid w:val="00D652C1"/>
    <w:rsid w:val="00D653E9"/>
    <w:rsid w:val="00D654CD"/>
    <w:rsid w:val="00D65AAC"/>
    <w:rsid w:val="00D65C58"/>
    <w:rsid w:val="00D66339"/>
    <w:rsid w:val="00D66B72"/>
    <w:rsid w:val="00D66E95"/>
    <w:rsid w:val="00D671AB"/>
    <w:rsid w:val="00D672F3"/>
    <w:rsid w:val="00D6798F"/>
    <w:rsid w:val="00D67CDF"/>
    <w:rsid w:val="00D67E9F"/>
    <w:rsid w:val="00D701DA"/>
    <w:rsid w:val="00D704AD"/>
    <w:rsid w:val="00D707B0"/>
    <w:rsid w:val="00D715C5"/>
    <w:rsid w:val="00D71969"/>
    <w:rsid w:val="00D71C41"/>
    <w:rsid w:val="00D722AD"/>
    <w:rsid w:val="00D72366"/>
    <w:rsid w:val="00D7257B"/>
    <w:rsid w:val="00D72B2C"/>
    <w:rsid w:val="00D74571"/>
    <w:rsid w:val="00D74873"/>
    <w:rsid w:val="00D7513C"/>
    <w:rsid w:val="00D757B1"/>
    <w:rsid w:val="00D76C2F"/>
    <w:rsid w:val="00D76E81"/>
    <w:rsid w:val="00D77662"/>
    <w:rsid w:val="00D77670"/>
    <w:rsid w:val="00D817BF"/>
    <w:rsid w:val="00D81A00"/>
    <w:rsid w:val="00D81B50"/>
    <w:rsid w:val="00D81E51"/>
    <w:rsid w:val="00D828D1"/>
    <w:rsid w:val="00D82D4A"/>
    <w:rsid w:val="00D83D95"/>
    <w:rsid w:val="00D84C6F"/>
    <w:rsid w:val="00D8569B"/>
    <w:rsid w:val="00D8639F"/>
    <w:rsid w:val="00D870B4"/>
    <w:rsid w:val="00D8726A"/>
    <w:rsid w:val="00D87A5D"/>
    <w:rsid w:val="00D87E4E"/>
    <w:rsid w:val="00D87F88"/>
    <w:rsid w:val="00D87FC4"/>
    <w:rsid w:val="00D9050E"/>
    <w:rsid w:val="00D90757"/>
    <w:rsid w:val="00D90CB9"/>
    <w:rsid w:val="00D90FCC"/>
    <w:rsid w:val="00D912CF"/>
    <w:rsid w:val="00D91A1C"/>
    <w:rsid w:val="00D91BF8"/>
    <w:rsid w:val="00D92DAF"/>
    <w:rsid w:val="00D93115"/>
    <w:rsid w:val="00D93C19"/>
    <w:rsid w:val="00D94961"/>
    <w:rsid w:val="00D94B37"/>
    <w:rsid w:val="00D94C83"/>
    <w:rsid w:val="00D94C9F"/>
    <w:rsid w:val="00D97DA7"/>
    <w:rsid w:val="00DA0AAF"/>
    <w:rsid w:val="00DA0DE9"/>
    <w:rsid w:val="00DA1034"/>
    <w:rsid w:val="00DA1341"/>
    <w:rsid w:val="00DA1BFA"/>
    <w:rsid w:val="00DA1D8B"/>
    <w:rsid w:val="00DA2078"/>
    <w:rsid w:val="00DA2A59"/>
    <w:rsid w:val="00DA2B3C"/>
    <w:rsid w:val="00DA3226"/>
    <w:rsid w:val="00DA3AA5"/>
    <w:rsid w:val="00DA49F9"/>
    <w:rsid w:val="00DA4FBA"/>
    <w:rsid w:val="00DA510C"/>
    <w:rsid w:val="00DA58FB"/>
    <w:rsid w:val="00DA5E70"/>
    <w:rsid w:val="00DA6058"/>
    <w:rsid w:val="00DA6164"/>
    <w:rsid w:val="00DA7620"/>
    <w:rsid w:val="00DA7C06"/>
    <w:rsid w:val="00DA7FD0"/>
    <w:rsid w:val="00DB0219"/>
    <w:rsid w:val="00DB04B2"/>
    <w:rsid w:val="00DB0DFD"/>
    <w:rsid w:val="00DB0FEB"/>
    <w:rsid w:val="00DB13AD"/>
    <w:rsid w:val="00DB17E3"/>
    <w:rsid w:val="00DB1DC2"/>
    <w:rsid w:val="00DB2221"/>
    <w:rsid w:val="00DB398E"/>
    <w:rsid w:val="00DB41B0"/>
    <w:rsid w:val="00DB43BA"/>
    <w:rsid w:val="00DB677E"/>
    <w:rsid w:val="00DB68ED"/>
    <w:rsid w:val="00DB76DA"/>
    <w:rsid w:val="00DB7AE9"/>
    <w:rsid w:val="00DB7F58"/>
    <w:rsid w:val="00DC07C3"/>
    <w:rsid w:val="00DC0BD7"/>
    <w:rsid w:val="00DC0E52"/>
    <w:rsid w:val="00DC1EEB"/>
    <w:rsid w:val="00DC23B9"/>
    <w:rsid w:val="00DC2641"/>
    <w:rsid w:val="00DC2F2B"/>
    <w:rsid w:val="00DC3029"/>
    <w:rsid w:val="00DC394E"/>
    <w:rsid w:val="00DC3FEE"/>
    <w:rsid w:val="00DC4798"/>
    <w:rsid w:val="00DC4F39"/>
    <w:rsid w:val="00DC5849"/>
    <w:rsid w:val="00DC5C84"/>
    <w:rsid w:val="00DC5DFE"/>
    <w:rsid w:val="00DC664E"/>
    <w:rsid w:val="00DC67D8"/>
    <w:rsid w:val="00DC6D42"/>
    <w:rsid w:val="00DC6FEB"/>
    <w:rsid w:val="00DC7069"/>
    <w:rsid w:val="00DC7586"/>
    <w:rsid w:val="00DC7729"/>
    <w:rsid w:val="00DC7F34"/>
    <w:rsid w:val="00DD03DE"/>
    <w:rsid w:val="00DD0626"/>
    <w:rsid w:val="00DD23BC"/>
    <w:rsid w:val="00DD2419"/>
    <w:rsid w:val="00DD291F"/>
    <w:rsid w:val="00DD2F2A"/>
    <w:rsid w:val="00DD30F0"/>
    <w:rsid w:val="00DD32F1"/>
    <w:rsid w:val="00DD41F9"/>
    <w:rsid w:val="00DD4491"/>
    <w:rsid w:val="00DD4D20"/>
    <w:rsid w:val="00DD5E42"/>
    <w:rsid w:val="00DD6498"/>
    <w:rsid w:val="00DD78C2"/>
    <w:rsid w:val="00DE0301"/>
    <w:rsid w:val="00DE0611"/>
    <w:rsid w:val="00DE0707"/>
    <w:rsid w:val="00DE11DF"/>
    <w:rsid w:val="00DE1CEE"/>
    <w:rsid w:val="00DE3AF9"/>
    <w:rsid w:val="00DE3B01"/>
    <w:rsid w:val="00DE3C1D"/>
    <w:rsid w:val="00DE4D8B"/>
    <w:rsid w:val="00DE5F43"/>
    <w:rsid w:val="00DE6975"/>
    <w:rsid w:val="00DE76D6"/>
    <w:rsid w:val="00DF0624"/>
    <w:rsid w:val="00DF0876"/>
    <w:rsid w:val="00DF0DDD"/>
    <w:rsid w:val="00DF17C6"/>
    <w:rsid w:val="00DF192B"/>
    <w:rsid w:val="00DF1A69"/>
    <w:rsid w:val="00DF20A6"/>
    <w:rsid w:val="00DF3143"/>
    <w:rsid w:val="00DF35CE"/>
    <w:rsid w:val="00DF3926"/>
    <w:rsid w:val="00DF3A67"/>
    <w:rsid w:val="00DF4378"/>
    <w:rsid w:val="00DF51AC"/>
    <w:rsid w:val="00DF575B"/>
    <w:rsid w:val="00DF58CA"/>
    <w:rsid w:val="00DF58D8"/>
    <w:rsid w:val="00DF5E9A"/>
    <w:rsid w:val="00DF699D"/>
    <w:rsid w:val="00DF731C"/>
    <w:rsid w:val="00DF7809"/>
    <w:rsid w:val="00DF797E"/>
    <w:rsid w:val="00DF7DA4"/>
    <w:rsid w:val="00E00257"/>
    <w:rsid w:val="00E00EE9"/>
    <w:rsid w:val="00E02563"/>
    <w:rsid w:val="00E03297"/>
    <w:rsid w:val="00E04E60"/>
    <w:rsid w:val="00E05B76"/>
    <w:rsid w:val="00E05EF6"/>
    <w:rsid w:val="00E05F63"/>
    <w:rsid w:val="00E06111"/>
    <w:rsid w:val="00E06665"/>
    <w:rsid w:val="00E06741"/>
    <w:rsid w:val="00E06BBB"/>
    <w:rsid w:val="00E06F14"/>
    <w:rsid w:val="00E10520"/>
    <w:rsid w:val="00E111BF"/>
    <w:rsid w:val="00E1124E"/>
    <w:rsid w:val="00E11319"/>
    <w:rsid w:val="00E11632"/>
    <w:rsid w:val="00E119B1"/>
    <w:rsid w:val="00E11D18"/>
    <w:rsid w:val="00E12A7D"/>
    <w:rsid w:val="00E12E55"/>
    <w:rsid w:val="00E14A8E"/>
    <w:rsid w:val="00E14B5E"/>
    <w:rsid w:val="00E14C8E"/>
    <w:rsid w:val="00E1695F"/>
    <w:rsid w:val="00E16BCA"/>
    <w:rsid w:val="00E16E70"/>
    <w:rsid w:val="00E16F45"/>
    <w:rsid w:val="00E17347"/>
    <w:rsid w:val="00E17C6F"/>
    <w:rsid w:val="00E17FBF"/>
    <w:rsid w:val="00E208B5"/>
    <w:rsid w:val="00E20CE9"/>
    <w:rsid w:val="00E215E4"/>
    <w:rsid w:val="00E22D18"/>
    <w:rsid w:val="00E23457"/>
    <w:rsid w:val="00E24C33"/>
    <w:rsid w:val="00E251FA"/>
    <w:rsid w:val="00E2658A"/>
    <w:rsid w:val="00E268EE"/>
    <w:rsid w:val="00E27773"/>
    <w:rsid w:val="00E27862"/>
    <w:rsid w:val="00E278A4"/>
    <w:rsid w:val="00E27D69"/>
    <w:rsid w:val="00E317D2"/>
    <w:rsid w:val="00E318CD"/>
    <w:rsid w:val="00E319D6"/>
    <w:rsid w:val="00E319EE"/>
    <w:rsid w:val="00E31FA9"/>
    <w:rsid w:val="00E32422"/>
    <w:rsid w:val="00E324C2"/>
    <w:rsid w:val="00E3373B"/>
    <w:rsid w:val="00E33A30"/>
    <w:rsid w:val="00E345D0"/>
    <w:rsid w:val="00E347DB"/>
    <w:rsid w:val="00E351F2"/>
    <w:rsid w:val="00E35888"/>
    <w:rsid w:val="00E36265"/>
    <w:rsid w:val="00E404E4"/>
    <w:rsid w:val="00E4099C"/>
    <w:rsid w:val="00E40FCD"/>
    <w:rsid w:val="00E4100B"/>
    <w:rsid w:val="00E41C04"/>
    <w:rsid w:val="00E43652"/>
    <w:rsid w:val="00E43963"/>
    <w:rsid w:val="00E442CE"/>
    <w:rsid w:val="00E454C8"/>
    <w:rsid w:val="00E4559D"/>
    <w:rsid w:val="00E469B6"/>
    <w:rsid w:val="00E47C90"/>
    <w:rsid w:val="00E47F8E"/>
    <w:rsid w:val="00E50329"/>
    <w:rsid w:val="00E50864"/>
    <w:rsid w:val="00E50EA7"/>
    <w:rsid w:val="00E50FEA"/>
    <w:rsid w:val="00E51135"/>
    <w:rsid w:val="00E51F2E"/>
    <w:rsid w:val="00E52BDE"/>
    <w:rsid w:val="00E52E58"/>
    <w:rsid w:val="00E53307"/>
    <w:rsid w:val="00E54226"/>
    <w:rsid w:val="00E548D0"/>
    <w:rsid w:val="00E54CCE"/>
    <w:rsid w:val="00E55071"/>
    <w:rsid w:val="00E550AA"/>
    <w:rsid w:val="00E5538E"/>
    <w:rsid w:val="00E55536"/>
    <w:rsid w:val="00E55EFE"/>
    <w:rsid w:val="00E56444"/>
    <w:rsid w:val="00E56AF6"/>
    <w:rsid w:val="00E57566"/>
    <w:rsid w:val="00E57A2F"/>
    <w:rsid w:val="00E6000E"/>
    <w:rsid w:val="00E60D08"/>
    <w:rsid w:val="00E610C1"/>
    <w:rsid w:val="00E61579"/>
    <w:rsid w:val="00E61A74"/>
    <w:rsid w:val="00E61C69"/>
    <w:rsid w:val="00E62A5E"/>
    <w:rsid w:val="00E62E76"/>
    <w:rsid w:val="00E62EBB"/>
    <w:rsid w:val="00E6585C"/>
    <w:rsid w:val="00E65CB9"/>
    <w:rsid w:val="00E65E7A"/>
    <w:rsid w:val="00E67614"/>
    <w:rsid w:val="00E67C94"/>
    <w:rsid w:val="00E701C8"/>
    <w:rsid w:val="00E7036E"/>
    <w:rsid w:val="00E71009"/>
    <w:rsid w:val="00E72586"/>
    <w:rsid w:val="00E72E77"/>
    <w:rsid w:val="00E72F1E"/>
    <w:rsid w:val="00E73281"/>
    <w:rsid w:val="00E736F2"/>
    <w:rsid w:val="00E73CC5"/>
    <w:rsid w:val="00E746DE"/>
    <w:rsid w:val="00E74B69"/>
    <w:rsid w:val="00E74BBB"/>
    <w:rsid w:val="00E75BAB"/>
    <w:rsid w:val="00E75E48"/>
    <w:rsid w:val="00E76CA6"/>
    <w:rsid w:val="00E80171"/>
    <w:rsid w:val="00E8139E"/>
    <w:rsid w:val="00E81EBB"/>
    <w:rsid w:val="00E82840"/>
    <w:rsid w:val="00E8284E"/>
    <w:rsid w:val="00E841F4"/>
    <w:rsid w:val="00E846E6"/>
    <w:rsid w:val="00E84832"/>
    <w:rsid w:val="00E84BD3"/>
    <w:rsid w:val="00E85004"/>
    <w:rsid w:val="00E85FE0"/>
    <w:rsid w:val="00E874A8"/>
    <w:rsid w:val="00E874D2"/>
    <w:rsid w:val="00E874D3"/>
    <w:rsid w:val="00E876AD"/>
    <w:rsid w:val="00E87AF2"/>
    <w:rsid w:val="00E901BB"/>
    <w:rsid w:val="00E908EB"/>
    <w:rsid w:val="00E90B83"/>
    <w:rsid w:val="00E90F39"/>
    <w:rsid w:val="00E91B33"/>
    <w:rsid w:val="00E91DE1"/>
    <w:rsid w:val="00E920F7"/>
    <w:rsid w:val="00E9223F"/>
    <w:rsid w:val="00E92DD2"/>
    <w:rsid w:val="00E92EEF"/>
    <w:rsid w:val="00E93012"/>
    <w:rsid w:val="00E9432C"/>
    <w:rsid w:val="00E945E7"/>
    <w:rsid w:val="00E94F3C"/>
    <w:rsid w:val="00E952FE"/>
    <w:rsid w:val="00E95981"/>
    <w:rsid w:val="00E95C42"/>
    <w:rsid w:val="00E963FD"/>
    <w:rsid w:val="00EA068A"/>
    <w:rsid w:val="00EA0C7D"/>
    <w:rsid w:val="00EA1BA5"/>
    <w:rsid w:val="00EA1D6C"/>
    <w:rsid w:val="00EA59CD"/>
    <w:rsid w:val="00EA5AA4"/>
    <w:rsid w:val="00EA60D6"/>
    <w:rsid w:val="00EA6130"/>
    <w:rsid w:val="00EA64ED"/>
    <w:rsid w:val="00EA6C2A"/>
    <w:rsid w:val="00EA6DBF"/>
    <w:rsid w:val="00EA785F"/>
    <w:rsid w:val="00EA7CEF"/>
    <w:rsid w:val="00EB0056"/>
    <w:rsid w:val="00EB036A"/>
    <w:rsid w:val="00EB04C1"/>
    <w:rsid w:val="00EB05D7"/>
    <w:rsid w:val="00EB0AE9"/>
    <w:rsid w:val="00EB0CF6"/>
    <w:rsid w:val="00EB107E"/>
    <w:rsid w:val="00EB1239"/>
    <w:rsid w:val="00EB1590"/>
    <w:rsid w:val="00EB2223"/>
    <w:rsid w:val="00EB3755"/>
    <w:rsid w:val="00EB41EC"/>
    <w:rsid w:val="00EB4E6B"/>
    <w:rsid w:val="00EB51B9"/>
    <w:rsid w:val="00EB590D"/>
    <w:rsid w:val="00EB5CCB"/>
    <w:rsid w:val="00EB6407"/>
    <w:rsid w:val="00EB6D6D"/>
    <w:rsid w:val="00EB6EB0"/>
    <w:rsid w:val="00EB75DC"/>
    <w:rsid w:val="00EB770A"/>
    <w:rsid w:val="00EB7A2B"/>
    <w:rsid w:val="00EC0CAB"/>
    <w:rsid w:val="00EC1FA4"/>
    <w:rsid w:val="00EC209D"/>
    <w:rsid w:val="00EC2A42"/>
    <w:rsid w:val="00EC2D8D"/>
    <w:rsid w:val="00EC2EA9"/>
    <w:rsid w:val="00EC300D"/>
    <w:rsid w:val="00EC3304"/>
    <w:rsid w:val="00EC3460"/>
    <w:rsid w:val="00EC421F"/>
    <w:rsid w:val="00EC4488"/>
    <w:rsid w:val="00EC533F"/>
    <w:rsid w:val="00EC5697"/>
    <w:rsid w:val="00EC5B7C"/>
    <w:rsid w:val="00EC5E4B"/>
    <w:rsid w:val="00EC63B1"/>
    <w:rsid w:val="00EC67BA"/>
    <w:rsid w:val="00EC7034"/>
    <w:rsid w:val="00EC7592"/>
    <w:rsid w:val="00ED003D"/>
    <w:rsid w:val="00ED0309"/>
    <w:rsid w:val="00ED03CC"/>
    <w:rsid w:val="00ED0E5F"/>
    <w:rsid w:val="00ED1654"/>
    <w:rsid w:val="00ED20D1"/>
    <w:rsid w:val="00ED22D6"/>
    <w:rsid w:val="00ED22E1"/>
    <w:rsid w:val="00ED2599"/>
    <w:rsid w:val="00ED288B"/>
    <w:rsid w:val="00ED2981"/>
    <w:rsid w:val="00ED2CA0"/>
    <w:rsid w:val="00ED3126"/>
    <w:rsid w:val="00ED3153"/>
    <w:rsid w:val="00ED3BC2"/>
    <w:rsid w:val="00ED43CE"/>
    <w:rsid w:val="00ED43EA"/>
    <w:rsid w:val="00ED5643"/>
    <w:rsid w:val="00ED5AA3"/>
    <w:rsid w:val="00ED668C"/>
    <w:rsid w:val="00ED66A2"/>
    <w:rsid w:val="00ED6FF0"/>
    <w:rsid w:val="00ED73C0"/>
    <w:rsid w:val="00ED7952"/>
    <w:rsid w:val="00EE023E"/>
    <w:rsid w:val="00EE06CB"/>
    <w:rsid w:val="00EE124F"/>
    <w:rsid w:val="00EE1BDE"/>
    <w:rsid w:val="00EE1BEB"/>
    <w:rsid w:val="00EE3335"/>
    <w:rsid w:val="00EE34D0"/>
    <w:rsid w:val="00EE3F18"/>
    <w:rsid w:val="00EE4957"/>
    <w:rsid w:val="00EE55BB"/>
    <w:rsid w:val="00EE573D"/>
    <w:rsid w:val="00EE5D98"/>
    <w:rsid w:val="00EE5FEF"/>
    <w:rsid w:val="00EE631E"/>
    <w:rsid w:val="00EE7100"/>
    <w:rsid w:val="00EF035B"/>
    <w:rsid w:val="00EF0968"/>
    <w:rsid w:val="00EF15C8"/>
    <w:rsid w:val="00EF2301"/>
    <w:rsid w:val="00EF2362"/>
    <w:rsid w:val="00EF2E52"/>
    <w:rsid w:val="00EF2F32"/>
    <w:rsid w:val="00EF35A8"/>
    <w:rsid w:val="00EF4D8F"/>
    <w:rsid w:val="00EF4DDC"/>
    <w:rsid w:val="00EF56E4"/>
    <w:rsid w:val="00EF57BE"/>
    <w:rsid w:val="00EF5A8F"/>
    <w:rsid w:val="00EF7A8C"/>
    <w:rsid w:val="00EF7D74"/>
    <w:rsid w:val="00F001EA"/>
    <w:rsid w:val="00F00318"/>
    <w:rsid w:val="00F00D8F"/>
    <w:rsid w:val="00F0145C"/>
    <w:rsid w:val="00F0186C"/>
    <w:rsid w:val="00F018EA"/>
    <w:rsid w:val="00F01DB2"/>
    <w:rsid w:val="00F0383D"/>
    <w:rsid w:val="00F03C35"/>
    <w:rsid w:val="00F042BF"/>
    <w:rsid w:val="00F04AB0"/>
    <w:rsid w:val="00F04CA6"/>
    <w:rsid w:val="00F0610B"/>
    <w:rsid w:val="00F064FC"/>
    <w:rsid w:val="00F071ED"/>
    <w:rsid w:val="00F10C6D"/>
    <w:rsid w:val="00F1108B"/>
    <w:rsid w:val="00F114D5"/>
    <w:rsid w:val="00F11739"/>
    <w:rsid w:val="00F11E27"/>
    <w:rsid w:val="00F11F31"/>
    <w:rsid w:val="00F12BA5"/>
    <w:rsid w:val="00F13042"/>
    <w:rsid w:val="00F13792"/>
    <w:rsid w:val="00F13C8A"/>
    <w:rsid w:val="00F13F89"/>
    <w:rsid w:val="00F14293"/>
    <w:rsid w:val="00F14840"/>
    <w:rsid w:val="00F149ED"/>
    <w:rsid w:val="00F16AFD"/>
    <w:rsid w:val="00F172B5"/>
    <w:rsid w:val="00F177C6"/>
    <w:rsid w:val="00F20070"/>
    <w:rsid w:val="00F20F33"/>
    <w:rsid w:val="00F21428"/>
    <w:rsid w:val="00F218D5"/>
    <w:rsid w:val="00F21A80"/>
    <w:rsid w:val="00F22781"/>
    <w:rsid w:val="00F239F3"/>
    <w:rsid w:val="00F244CC"/>
    <w:rsid w:val="00F258C8"/>
    <w:rsid w:val="00F26680"/>
    <w:rsid w:val="00F26955"/>
    <w:rsid w:val="00F2762C"/>
    <w:rsid w:val="00F27FBF"/>
    <w:rsid w:val="00F30216"/>
    <w:rsid w:val="00F318B9"/>
    <w:rsid w:val="00F3272B"/>
    <w:rsid w:val="00F33710"/>
    <w:rsid w:val="00F34129"/>
    <w:rsid w:val="00F3423C"/>
    <w:rsid w:val="00F34675"/>
    <w:rsid w:val="00F357FC"/>
    <w:rsid w:val="00F3629E"/>
    <w:rsid w:val="00F37268"/>
    <w:rsid w:val="00F374C8"/>
    <w:rsid w:val="00F37A36"/>
    <w:rsid w:val="00F37FB0"/>
    <w:rsid w:val="00F40A74"/>
    <w:rsid w:val="00F41FB8"/>
    <w:rsid w:val="00F42683"/>
    <w:rsid w:val="00F42E58"/>
    <w:rsid w:val="00F43205"/>
    <w:rsid w:val="00F44374"/>
    <w:rsid w:val="00F447E6"/>
    <w:rsid w:val="00F45173"/>
    <w:rsid w:val="00F46415"/>
    <w:rsid w:val="00F4739B"/>
    <w:rsid w:val="00F47642"/>
    <w:rsid w:val="00F47BB0"/>
    <w:rsid w:val="00F5092D"/>
    <w:rsid w:val="00F50D31"/>
    <w:rsid w:val="00F51112"/>
    <w:rsid w:val="00F51954"/>
    <w:rsid w:val="00F5200B"/>
    <w:rsid w:val="00F529B1"/>
    <w:rsid w:val="00F52C58"/>
    <w:rsid w:val="00F52FCB"/>
    <w:rsid w:val="00F54E69"/>
    <w:rsid w:val="00F550E0"/>
    <w:rsid w:val="00F55E67"/>
    <w:rsid w:val="00F56341"/>
    <w:rsid w:val="00F57239"/>
    <w:rsid w:val="00F574D3"/>
    <w:rsid w:val="00F57D57"/>
    <w:rsid w:val="00F57E51"/>
    <w:rsid w:val="00F57F60"/>
    <w:rsid w:val="00F601D8"/>
    <w:rsid w:val="00F609E0"/>
    <w:rsid w:val="00F610C1"/>
    <w:rsid w:val="00F616C5"/>
    <w:rsid w:val="00F616C9"/>
    <w:rsid w:val="00F62474"/>
    <w:rsid w:val="00F62DC5"/>
    <w:rsid w:val="00F62E81"/>
    <w:rsid w:val="00F63592"/>
    <w:rsid w:val="00F63C1D"/>
    <w:rsid w:val="00F63D28"/>
    <w:rsid w:val="00F641D4"/>
    <w:rsid w:val="00F6444B"/>
    <w:rsid w:val="00F64691"/>
    <w:rsid w:val="00F65B74"/>
    <w:rsid w:val="00F6645F"/>
    <w:rsid w:val="00F665D1"/>
    <w:rsid w:val="00F66E98"/>
    <w:rsid w:val="00F67443"/>
    <w:rsid w:val="00F702EF"/>
    <w:rsid w:val="00F71A45"/>
    <w:rsid w:val="00F71DF7"/>
    <w:rsid w:val="00F71F16"/>
    <w:rsid w:val="00F72068"/>
    <w:rsid w:val="00F72399"/>
    <w:rsid w:val="00F72516"/>
    <w:rsid w:val="00F73ADE"/>
    <w:rsid w:val="00F751B7"/>
    <w:rsid w:val="00F7520D"/>
    <w:rsid w:val="00F75C9F"/>
    <w:rsid w:val="00F75E25"/>
    <w:rsid w:val="00F76A02"/>
    <w:rsid w:val="00F76B48"/>
    <w:rsid w:val="00F770D6"/>
    <w:rsid w:val="00F7726B"/>
    <w:rsid w:val="00F7781F"/>
    <w:rsid w:val="00F77B6F"/>
    <w:rsid w:val="00F80FF8"/>
    <w:rsid w:val="00F810C4"/>
    <w:rsid w:val="00F81157"/>
    <w:rsid w:val="00F8133D"/>
    <w:rsid w:val="00F817A2"/>
    <w:rsid w:val="00F81AC1"/>
    <w:rsid w:val="00F83387"/>
    <w:rsid w:val="00F834D5"/>
    <w:rsid w:val="00F8354B"/>
    <w:rsid w:val="00F8428A"/>
    <w:rsid w:val="00F84D26"/>
    <w:rsid w:val="00F858C1"/>
    <w:rsid w:val="00F8604F"/>
    <w:rsid w:val="00F86A26"/>
    <w:rsid w:val="00F86DDF"/>
    <w:rsid w:val="00F86E6E"/>
    <w:rsid w:val="00F8768F"/>
    <w:rsid w:val="00F9064B"/>
    <w:rsid w:val="00F90C01"/>
    <w:rsid w:val="00F918CC"/>
    <w:rsid w:val="00F91C9A"/>
    <w:rsid w:val="00F91D67"/>
    <w:rsid w:val="00F921D2"/>
    <w:rsid w:val="00F9236D"/>
    <w:rsid w:val="00F93506"/>
    <w:rsid w:val="00F94583"/>
    <w:rsid w:val="00F94C4F"/>
    <w:rsid w:val="00F94EF3"/>
    <w:rsid w:val="00F9516C"/>
    <w:rsid w:val="00F95239"/>
    <w:rsid w:val="00F95376"/>
    <w:rsid w:val="00F95B04"/>
    <w:rsid w:val="00F95BEC"/>
    <w:rsid w:val="00F9684F"/>
    <w:rsid w:val="00F975D9"/>
    <w:rsid w:val="00F97A3D"/>
    <w:rsid w:val="00FA016B"/>
    <w:rsid w:val="00FA01CB"/>
    <w:rsid w:val="00FA08BE"/>
    <w:rsid w:val="00FA1CD1"/>
    <w:rsid w:val="00FA1F9B"/>
    <w:rsid w:val="00FA25F9"/>
    <w:rsid w:val="00FA28A2"/>
    <w:rsid w:val="00FA36E5"/>
    <w:rsid w:val="00FA46DB"/>
    <w:rsid w:val="00FA4E20"/>
    <w:rsid w:val="00FA4E23"/>
    <w:rsid w:val="00FA4FB4"/>
    <w:rsid w:val="00FA5885"/>
    <w:rsid w:val="00FA5DA4"/>
    <w:rsid w:val="00FA75C5"/>
    <w:rsid w:val="00FA76CB"/>
    <w:rsid w:val="00FA7DE7"/>
    <w:rsid w:val="00FB1529"/>
    <w:rsid w:val="00FB18B5"/>
    <w:rsid w:val="00FB1949"/>
    <w:rsid w:val="00FB2120"/>
    <w:rsid w:val="00FB213F"/>
    <w:rsid w:val="00FB27B2"/>
    <w:rsid w:val="00FB3E1E"/>
    <w:rsid w:val="00FB40BB"/>
    <w:rsid w:val="00FB4193"/>
    <w:rsid w:val="00FB4515"/>
    <w:rsid w:val="00FB5FB3"/>
    <w:rsid w:val="00FB64D3"/>
    <w:rsid w:val="00FB65CF"/>
    <w:rsid w:val="00FB6D68"/>
    <w:rsid w:val="00FB79D2"/>
    <w:rsid w:val="00FC0766"/>
    <w:rsid w:val="00FC0FFD"/>
    <w:rsid w:val="00FC23F0"/>
    <w:rsid w:val="00FC282F"/>
    <w:rsid w:val="00FC28B8"/>
    <w:rsid w:val="00FC3147"/>
    <w:rsid w:val="00FC3665"/>
    <w:rsid w:val="00FC49DD"/>
    <w:rsid w:val="00FC4A0D"/>
    <w:rsid w:val="00FC4B8F"/>
    <w:rsid w:val="00FC5595"/>
    <w:rsid w:val="00FC5FC2"/>
    <w:rsid w:val="00FC653D"/>
    <w:rsid w:val="00FC698B"/>
    <w:rsid w:val="00FC69C8"/>
    <w:rsid w:val="00FC737A"/>
    <w:rsid w:val="00FC7667"/>
    <w:rsid w:val="00FC7868"/>
    <w:rsid w:val="00FD0BB5"/>
    <w:rsid w:val="00FD12DF"/>
    <w:rsid w:val="00FD1E39"/>
    <w:rsid w:val="00FD2186"/>
    <w:rsid w:val="00FD2479"/>
    <w:rsid w:val="00FD3DD5"/>
    <w:rsid w:val="00FD46E7"/>
    <w:rsid w:val="00FD4C2C"/>
    <w:rsid w:val="00FD6C12"/>
    <w:rsid w:val="00FD75DE"/>
    <w:rsid w:val="00FD7730"/>
    <w:rsid w:val="00FD7B21"/>
    <w:rsid w:val="00FE0371"/>
    <w:rsid w:val="00FE05B2"/>
    <w:rsid w:val="00FE08BE"/>
    <w:rsid w:val="00FE2606"/>
    <w:rsid w:val="00FE3CC1"/>
    <w:rsid w:val="00FE42CF"/>
    <w:rsid w:val="00FE4346"/>
    <w:rsid w:val="00FE48F1"/>
    <w:rsid w:val="00FE4D16"/>
    <w:rsid w:val="00FE50E3"/>
    <w:rsid w:val="00FE57D5"/>
    <w:rsid w:val="00FE5A32"/>
    <w:rsid w:val="00FE5F13"/>
    <w:rsid w:val="00FE65E5"/>
    <w:rsid w:val="00FE6EFA"/>
    <w:rsid w:val="00FE7729"/>
    <w:rsid w:val="00FF0218"/>
    <w:rsid w:val="00FF04E7"/>
    <w:rsid w:val="00FF0A7B"/>
    <w:rsid w:val="00FF0BFE"/>
    <w:rsid w:val="00FF1451"/>
    <w:rsid w:val="00FF224A"/>
    <w:rsid w:val="00FF2359"/>
    <w:rsid w:val="00FF2E08"/>
    <w:rsid w:val="00FF335F"/>
    <w:rsid w:val="00FF360B"/>
    <w:rsid w:val="00FF3A04"/>
    <w:rsid w:val="00FF3B90"/>
    <w:rsid w:val="00FF475D"/>
    <w:rsid w:val="00FF47BC"/>
    <w:rsid w:val="00FF4B90"/>
    <w:rsid w:val="00FF5C4B"/>
    <w:rsid w:val="00FF63B3"/>
    <w:rsid w:val="00FF6492"/>
    <w:rsid w:val="00FF67A4"/>
    <w:rsid w:val="00FF7021"/>
    <w:rsid w:val="00FF7B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0113" style="mso-position-horizontal:center;mso-position-horizontal-relative:margin;mso-width-relative:margin;mso-height-relative:margin;v-text-anchor:middle" fillcolor="none [3212]" strokecolor="none [671]">
      <v:fill color="none [3212]"/>
      <v:stroke color="none [671]" weight="2pt"/>
      <v:textbox style="mso-fit-shape-to-text:t" inset=",7.2pt,,7.2pt"/>
      <o:colormru v:ext="edit" colors="#f9f9f9"/>
    </o:shapedefaults>
    <o:shapelayout v:ext="edit">
      <o:idmap v:ext="edit" data="1"/>
    </o:shapelayout>
  </w:shapeDefaults>
  <w:decimalSymbol w:val="."/>
  <w:listSeparator w:val=","/>
  <w14:docId w14:val="03599B18"/>
  <w15:docId w15:val="{69E456F7-0257-456F-9DD3-4841DDAFB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iPriority="0"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E7E"/>
    <w:rPr>
      <w:rFonts w:eastAsia="Times New Roman"/>
      <w:sz w:val="24"/>
      <w:szCs w:val="24"/>
    </w:rPr>
  </w:style>
  <w:style w:type="paragraph" w:styleId="Heading1">
    <w:name w:val="heading 1"/>
    <w:link w:val="Heading1Char"/>
    <w:uiPriority w:val="99"/>
    <w:rsid w:val="00E31FA9"/>
    <w:pPr>
      <w:outlineLvl w:val="0"/>
    </w:pPr>
    <w:rPr>
      <w:rFonts w:ascii="Arial" w:eastAsia="Calibri" w:hAnsi="Arial" w:cs="Arial"/>
      <w:b/>
      <w:bCs/>
      <w:caps/>
      <w:color w:val="B80000"/>
      <w:sz w:val="28"/>
      <w:szCs w:val="28"/>
    </w:rPr>
  </w:style>
  <w:style w:type="paragraph" w:styleId="Heading2">
    <w:name w:val="heading 2"/>
    <w:link w:val="Heading2Char"/>
    <w:uiPriority w:val="99"/>
    <w:rsid w:val="00E31FA9"/>
    <w:pPr>
      <w:outlineLvl w:val="1"/>
    </w:pPr>
    <w:rPr>
      <w:rFonts w:ascii="Arial" w:eastAsia="Calibri" w:hAnsi="Arial" w:cs="Arial"/>
      <w:b/>
      <w:caps/>
      <w:color w:val="1F497D" w:themeColor="text2"/>
      <w:sz w:val="24"/>
      <w:szCs w:val="24"/>
    </w:rPr>
  </w:style>
  <w:style w:type="paragraph" w:styleId="Heading3">
    <w:name w:val="heading 3"/>
    <w:link w:val="Heading3Char"/>
    <w:unhideWhenUsed/>
    <w:rsid w:val="00E31FA9"/>
    <w:pPr>
      <w:outlineLvl w:val="2"/>
    </w:pPr>
    <w:rPr>
      <w:rFonts w:ascii="Arial" w:eastAsia="Times New Roman" w:hAnsi="Arial" w:cs="Arial"/>
      <w:b/>
      <w:sz w:val="24"/>
      <w:szCs w:val="24"/>
    </w:rPr>
  </w:style>
  <w:style w:type="paragraph" w:styleId="Heading4">
    <w:name w:val="heading 4"/>
    <w:link w:val="Heading4Char"/>
    <w:uiPriority w:val="9"/>
    <w:unhideWhenUsed/>
    <w:rsid w:val="00E31FA9"/>
    <w:pPr>
      <w:outlineLvl w:val="3"/>
    </w:pPr>
    <w:rPr>
      <w:rFonts w:eastAsia="Calibri"/>
      <w:b/>
      <w:sz w:val="24"/>
    </w:rPr>
  </w:style>
  <w:style w:type="paragraph" w:styleId="Heading5">
    <w:name w:val="heading 5"/>
    <w:basedOn w:val="Normal"/>
    <w:next w:val="Normal"/>
    <w:link w:val="Heading5Char"/>
    <w:uiPriority w:val="9"/>
    <w:semiHidden/>
    <w:unhideWhenUsed/>
    <w:rsid w:val="00B95CBE"/>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31FA9"/>
    <w:rPr>
      <w:rFonts w:ascii="Arial" w:eastAsia="Calibri" w:hAnsi="Arial" w:cs="Arial"/>
      <w:b/>
      <w:bCs/>
      <w:caps/>
      <w:color w:val="B80000"/>
      <w:sz w:val="28"/>
      <w:szCs w:val="28"/>
    </w:rPr>
  </w:style>
  <w:style w:type="character" w:customStyle="1" w:styleId="Heading2Char">
    <w:name w:val="Heading 2 Char"/>
    <w:basedOn w:val="DefaultParagraphFont"/>
    <w:link w:val="Heading2"/>
    <w:uiPriority w:val="99"/>
    <w:rsid w:val="00E31FA9"/>
    <w:rPr>
      <w:rFonts w:ascii="Arial" w:eastAsia="Calibri" w:hAnsi="Arial" w:cs="Arial"/>
      <w:b/>
      <w:caps/>
      <w:color w:val="1F497D" w:themeColor="text2"/>
      <w:sz w:val="24"/>
      <w:szCs w:val="24"/>
    </w:rPr>
  </w:style>
  <w:style w:type="numbering" w:customStyle="1" w:styleId="Numbers11ptTNRList">
    <w:name w:val="Numbers11ptTNRList"/>
    <w:uiPriority w:val="99"/>
    <w:rsid w:val="00A048A0"/>
    <w:pPr>
      <w:numPr>
        <w:numId w:val="19"/>
      </w:numPr>
    </w:pPr>
  </w:style>
  <w:style w:type="paragraph" w:styleId="ListParagraph">
    <w:name w:val="List Paragraph"/>
    <w:link w:val="ListParagraphChar"/>
    <w:uiPriority w:val="1"/>
    <w:qFormat/>
    <w:rsid w:val="00D828D1"/>
    <w:pPr>
      <w:ind w:firstLine="720"/>
      <w:jc w:val="both"/>
    </w:pPr>
    <w:rPr>
      <w:rFonts w:eastAsia="Times New Roman"/>
      <w:sz w:val="24"/>
      <w:szCs w:val="24"/>
    </w:rPr>
  </w:style>
  <w:style w:type="paragraph" w:customStyle="1" w:styleId="AppxHeadingRed-IPR">
    <w:name w:val="AppxHeadingRed-IPR"/>
    <w:link w:val="AppxHeadingRed-IPRChar"/>
    <w:qFormat/>
    <w:rsid w:val="00C11C4B"/>
    <w:pPr>
      <w:spacing w:after="240"/>
      <w:jc w:val="center"/>
    </w:pPr>
    <w:rPr>
      <w:rFonts w:ascii="Arial" w:eastAsia="Calibri" w:hAnsi="Arial" w:cs="Arial"/>
      <w:b/>
      <w:bCs/>
      <w:caps/>
      <w:color w:val="B80000"/>
      <w:sz w:val="28"/>
      <w:szCs w:val="28"/>
    </w:rPr>
  </w:style>
  <w:style w:type="character" w:customStyle="1" w:styleId="TOC1Char">
    <w:name w:val="TOC 1 Char"/>
    <w:basedOn w:val="DefaultParagraphFont"/>
    <w:link w:val="TOC1"/>
    <w:uiPriority w:val="39"/>
    <w:rsid w:val="00500B54"/>
    <w:rPr>
      <w:rFonts w:ascii="Calibri" w:eastAsia="Times New Roman" w:hAnsi="Calibri"/>
      <w:bCs/>
      <w:sz w:val="24"/>
      <w:szCs w:val="20"/>
    </w:rPr>
  </w:style>
  <w:style w:type="character" w:styleId="FootnoteReference">
    <w:name w:val="footnote reference"/>
    <w:basedOn w:val="DefaultParagraphFont"/>
    <w:uiPriority w:val="99"/>
    <w:qFormat/>
    <w:rsid w:val="009136B0"/>
    <w:rPr>
      <w:b w:val="0"/>
      <w:i w:val="0"/>
      <w:color w:val="auto"/>
      <w:vertAlign w:val="superscript"/>
    </w:rPr>
  </w:style>
  <w:style w:type="character" w:styleId="Hyperlink">
    <w:name w:val="Hyperlink"/>
    <w:basedOn w:val="DefaultParagraphFont"/>
    <w:uiPriority w:val="99"/>
    <w:rsid w:val="00B13C20"/>
    <w:rPr>
      <w:color w:val="0000FF"/>
      <w:u w:val="single"/>
    </w:rPr>
  </w:style>
  <w:style w:type="character" w:styleId="Strong">
    <w:name w:val="Strong"/>
    <w:basedOn w:val="DefaultParagraphFont"/>
    <w:uiPriority w:val="22"/>
    <w:rsid w:val="00B13C20"/>
    <w:rPr>
      <w:b/>
      <w:bCs/>
    </w:rPr>
  </w:style>
  <w:style w:type="character" w:customStyle="1" w:styleId="italic">
    <w:name w:val="italic"/>
    <w:basedOn w:val="DefaultParagraphFont"/>
    <w:uiPriority w:val="99"/>
    <w:rsid w:val="00B13C20"/>
    <w:rPr>
      <w:i/>
      <w:iCs/>
    </w:rPr>
  </w:style>
  <w:style w:type="character" w:styleId="Emphasis">
    <w:name w:val="Emphasis"/>
    <w:basedOn w:val="DefaultParagraphFont"/>
    <w:uiPriority w:val="20"/>
    <w:rsid w:val="00B13C20"/>
    <w:rPr>
      <w:i/>
      <w:iCs/>
    </w:rPr>
  </w:style>
  <w:style w:type="paragraph" w:styleId="BalloonText">
    <w:name w:val="Balloon Text"/>
    <w:basedOn w:val="Normal"/>
    <w:link w:val="BalloonTextChar"/>
    <w:uiPriority w:val="99"/>
    <w:semiHidden/>
    <w:rsid w:val="00B13C20"/>
    <w:rPr>
      <w:rFonts w:ascii="Tahoma" w:hAnsi="Tahoma" w:cs="Tahoma"/>
      <w:sz w:val="16"/>
      <w:szCs w:val="16"/>
    </w:rPr>
  </w:style>
  <w:style w:type="character" w:customStyle="1" w:styleId="BalloonTextChar">
    <w:name w:val="Balloon Text Char"/>
    <w:basedOn w:val="DefaultParagraphFont"/>
    <w:link w:val="BalloonText"/>
    <w:uiPriority w:val="99"/>
    <w:semiHidden/>
    <w:rsid w:val="00B13C20"/>
    <w:rPr>
      <w:rFonts w:ascii="Tahoma" w:eastAsia="Times New Roman" w:hAnsi="Tahoma" w:cs="Tahoma"/>
      <w:sz w:val="16"/>
      <w:szCs w:val="16"/>
    </w:rPr>
  </w:style>
  <w:style w:type="character" w:customStyle="1" w:styleId="AppxHeadingRed-IPRChar">
    <w:name w:val="AppxHeadingRed-IPR Char"/>
    <w:basedOn w:val="DefaultParagraphFont"/>
    <w:link w:val="AppxHeadingRed-IPR"/>
    <w:rsid w:val="00C11C4B"/>
    <w:rPr>
      <w:rFonts w:ascii="Arial" w:eastAsia="Calibri" w:hAnsi="Arial" w:cs="Arial"/>
      <w:b/>
      <w:bCs/>
      <w:caps/>
      <w:color w:val="B80000"/>
      <w:sz w:val="28"/>
      <w:szCs w:val="28"/>
    </w:rPr>
  </w:style>
  <w:style w:type="paragraph" w:styleId="CommentText">
    <w:name w:val="annotation text"/>
    <w:basedOn w:val="Normal"/>
    <w:link w:val="CommentTextChar"/>
    <w:uiPriority w:val="99"/>
    <w:rsid w:val="00B13C20"/>
    <w:rPr>
      <w:sz w:val="20"/>
      <w:szCs w:val="20"/>
    </w:rPr>
  </w:style>
  <w:style w:type="character" w:customStyle="1" w:styleId="CommentTextChar">
    <w:name w:val="Comment Text Char"/>
    <w:basedOn w:val="DefaultParagraphFont"/>
    <w:link w:val="CommentText"/>
    <w:uiPriority w:val="99"/>
    <w:rsid w:val="00B13C20"/>
    <w:rPr>
      <w:rFonts w:eastAsia="Times New Roman"/>
      <w:sz w:val="20"/>
      <w:szCs w:val="20"/>
    </w:rPr>
  </w:style>
  <w:style w:type="paragraph" w:styleId="CommentSubject">
    <w:name w:val="annotation subject"/>
    <w:basedOn w:val="CommentText"/>
    <w:next w:val="CommentText"/>
    <w:link w:val="CommentSubjectChar"/>
    <w:uiPriority w:val="99"/>
    <w:semiHidden/>
    <w:rsid w:val="00B13C20"/>
    <w:rPr>
      <w:b/>
      <w:bCs/>
    </w:rPr>
  </w:style>
  <w:style w:type="character" w:customStyle="1" w:styleId="CommentSubjectChar">
    <w:name w:val="Comment Subject Char"/>
    <w:basedOn w:val="CommentTextChar"/>
    <w:link w:val="CommentSubject"/>
    <w:uiPriority w:val="99"/>
    <w:semiHidden/>
    <w:rsid w:val="00B13C20"/>
    <w:rPr>
      <w:rFonts w:eastAsia="Times New Roman"/>
      <w:b/>
      <w:bCs/>
      <w:sz w:val="20"/>
      <w:szCs w:val="20"/>
    </w:rPr>
  </w:style>
  <w:style w:type="paragraph" w:styleId="BodyText">
    <w:name w:val="Body Text"/>
    <w:basedOn w:val="Normal"/>
    <w:link w:val="BodyTextChar"/>
    <w:uiPriority w:val="99"/>
    <w:unhideWhenUsed/>
    <w:qFormat/>
    <w:rsid w:val="00C11C4B"/>
    <w:pPr>
      <w:spacing w:after="120"/>
    </w:pPr>
  </w:style>
  <w:style w:type="character" w:customStyle="1" w:styleId="TOC2Char">
    <w:name w:val="TOC 2 Char"/>
    <w:basedOn w:val="DefaultParagraphFont"/>
    <w:link w:val="TOC2"/>
    <w:uiPriority w:val="39"/>
    <w:rsid w:val="00500B54"/>
    <w:rPr>
      <w:rFonts w:ascii="Calibri" w:eastAsia="Times New Roman" w:hAnsi="Calibri"/>
      <w:sz w:val="24"/>
      <w:szCs w:val="20"/>
    </w:rPr>
  </w:style>
  <w:style w:type="character" w:customStyle="1" w:styleId="BodyTextChar">
    <w:name w:val="Body Text Char"/>
    <w:basedOn w:val="DefaultParagraphFont"/>
    <w:link w:val="BodyText"/>
    <w:uiPriority w:val="99"/>
    <w:rsid w:val="00C11C4B"/>
    <w:rPr>
      <w:rFonts w:eastAsia="Times New Roman"/>
      <w:sz w:val="24"/>
      <w:szCs w:val="24"/>
    </w:rPr>
  </w:style>
  <w:style w:type="paragraph" w:styleId="TOC1">
    <w:name w:val="toc 1"/>
    <w:next w:val="Normal"/>
    <w:link w:val="TOC1Char"/>
    <w:uiPriority w:val="39"/>
    <w:unhideWhenUsed/>
    <w:rsid w:val="00500B54"/>
    <w:pPr>
      <w:spacing w:before="120" w:after="120"/>
      <w:ind w:left="360" w:hanging="360"/>
    </w:pPr>
    <w:rPr>
      <w:rFonts w:ascii="Calibri" w:eastAsia="Times New Roman" w:hAnsi="Calibri"/>
      <w:bCs/>
      <w:sz w:val="24"/>
      <w:szCs w:val="20"/>
    </w:rPr>
  </w:style>
  <w:style w:type="paragraph" w:styleId="TOC2">
    <w:name w:val="toc 2"/>
    <w:next w:val="Normal"/>
    <w:link w:val="TOC2Char"/>
    <w:uiPriority w:val="39"/>
    <w:rsid w:val="00500B54"/>
    <w:pPr>
      <w:ind w:left="720" w:hanging="360"/>
    </w:pPr>
    <w:rPr>
      <w:rFonts w:ascii="Calibri" w:eastAsia="Times New Roman" w:hAnsi="Calibri"/>
      <w:sz w:val="24"/>
      <w:szCs w:val="20"/>
    </w:rPr>
  </w:style>
  <w:style w:type="paragraph" w:styleId="EndnoteText">
    <w:name w:val="endnote text"/>
    <w:basedOn w:val="Normal"/>
    <w:link w:val="EndnoteTextChar"/>
    <w:uiPriority w:val="99"/>
    <w:semiHidden/>
    <w:rsid w:val="00B13C20"/>
    <w:rPr>
      <w:sz w:val="20"/>
      <w:szCs w:val="20"/>
    </w:rPr>
  </w:style>
  <w:style w:type="character" w:customStyle="1" w:styleId="EndnoteTextChar">
    <w:name w:val="Endnote Text Char"/>
    <w:basedOn w:val="DefaultParagraphFont"/>
    <w:link w:val="EndnoteText"/>
    <w:uiPriority w:val="99"/>
    <w:semiHidden/>
    <w:rsid w:val="00B13C20"/>
    <w:rPr>
      <w:rFonts w:eastAsia="Times New Roman"/>
      <w:sz w:val="20"/>
      <w:szCs w:val="20"/>
    </w:rPr>
  </w:style>
  <w:style w:type="character" w:styleId="EndnoteReference">
    <w:name w:val="endnote reference"/>
    <w:basedOn w:val="DefaultParagraphFont"/>
    <w:uiPriority w:val="99"/>
    <w:semiHidden/>
    <w:rsid w:val="00B13C20"/>
    <w:rPr>
      <w:vertAlign w:val="superscript"/>
    </w:rPr>
  </w:style>
  <w:style w:type="paragraph" w:styleId="NormalWeb">
    <w:name w:val="Normal (Web)"/>
    <w:basedOn w:val="Normal"/>
    <w:uiPriority w:val="99"/>
    <w:rsid w:val="00B13C20"/>
    <w:pPr>
      <w:spacing w:before="100" w:beforeAutospacing="1" w:after="100" w:afterAutospacing="1"/>
    </w:pPr>
    <w:rPr>
      <w:color w:val="000000"/>
    </w:rPr>
  </w:style>
  <w:style w:type="paragraph" w:styleId="Header">
    <w:name w:val="header"/>
    <w:basedOn w:val="Normal"/>
    <w:link w:val="HeaderChar"/>
    <w:uiPriority w:val="99"/>
    <w:rsid w:val="00B13C20"/>
    <w:pPr>
      <w:tabs>
        <w:tab w:val="center" w:pos="4320"/>
        <w:tab w:val="right" w:pos="8640"/>
      </w:tabs>
    </w:pPr>
    <w:rPr>
      <w:sz w:val="20"/>
      <w:szCs w:val="20"/>
    </w:rPr>
  </w:style>
  <w:style w:type="character" w:customStyle="1" w:styleId="HeaderChar">
    <w:name w:val="Header Char"/>
    <w:basedOn w:val="DefaultParagraphFont"/>
    <w:link w:val="Header"/>
    <w:uiPriority w:val="99"/>
    <w:rsid w:val="00B13C20"/>
    <w:rPr>
      <w:rFonts w:eastAsia="Times New Roman"/>
      <w:sz w:val="20"/>
      <w:szCs w:val="20"/>
    </w:rPr>
  </w:style>
  <w:style w:type="paragraph" w:styleId="Revision">
    <w:name w:val="Revision"/>
    <w:hidden/>
    <w:uiPriority w:val="99"/>
    <w:semiHidden/>
    <w:rsid w:val="00B13C20"/>
    <w:rPr>
      <w:rFonts w:eastAsia="Times New Roman"/>
      <w:sz w:val="24"/>
      <w:szCs w:val="24"/>
    </w:rPr>
  </w:style>
  <w:style w:type="paragraph" w:styleId="Footer">
    <w:name w:val="footer"/>
    <w:link w:val="FooterChar"/>
    <w:autoRedefine/>
    <w:uiPriority w:val="99"/>
    <w:rsid w:val="00FA4E23"/>
    <w:pPr>
      <w:pBdr>
        <w:top w:val="thinThickSmallGap" w:sz="24" w:space="1" w:color="D20000"/>
      </w:pBdr>
      <w:tabs>
        <w:tab w:val="center" w:pos="4680"/>
        <w:tab w:val="right" w:pos="9360"/>
      </w:tabs>
      <w:jc w:val="right"/>
    </w:pPr>
    <w:rPr>
      <w:rFonts w:ascii="Arial" w:eastAsia="Times New Roman" w:hAnsi="Arial" w:cs="Arial"/>
      <w:sz w:val="18"/>
      <w:szCs w:val="18"/>
    </w:rPr>
  </w:style>
  <w:style w:type="character" w:customStyle="1" w:styleId="FooterChar">
    <w:name w:val="Footer Char"/>
    <w:basedOn w:val="DefaultParagraphFont"/>
    <w:link w:val="Footer"/>
    <w:uiPriority w:val="99"/>
    <w:rsid w:val="00FA4E23"/>
    <w:rPr>
      <w:rFonts w:ascii="Arial" w:eastAsia="Times New Roman" w:hAnsi="Arial" w:cs="Arial"/>
      <w:sz w:val="18"/>
      <w:szCs w:val="18"/>
    </w:rPr>
  </w:style>
  <w:style w:type="paragraph" w:customStyle="1" w:styleId="TableTitle-IPR">
    <w:name w:val="TableTitle-IPR"/>
    <w:link w:val="TableTitle-IPRChar"/>
    <w:qFormat/>
    <w:rsid w:val="008805F3"/>
    <w:pPr>
      <w:keepNext/>
      <w:keepLines/>
      <w:spacing w:after="120"/>
    </w:pPr>
    <w:rPr>
      <w:rFonts w:ascii="Calibri" w:eastAsia="Times New Roman" w:hAnsi="Calibri" w:cs="Calibri"/>
      <w:b/>
      <w:bCs/>
      <w:i/>
      <w:szCs w:val="24"/>
    </w:rPr>
  </w:style>
  <w:style w:type="table" w:styleId="TableGrid">
    <w:name w:val="Table Grid"/>
    <w:basedOn w:val="TableNormal"/>
    <w:uiPriority w:val="59"/>
    <w:rsid w:val="00B13C20"/>
    <w:rPr>
      <w:rFonts w:eastAsia="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basedOn w:val="DefaultParagraphFont"/>
    <w:link w:val="Heading3"/>
    <w:rsid w:val="00E31FA9"/>
    <w:rPr>
      <w:rFonts w:ascii="Arial" w:eastAsia="Times New Roman" w:hAnsi="Arial" w:cs="Arial"/>
      <w:b/>
      <w:sz w:val="24"/>
      <w:szCs w:val="24"/>
    </w:rPr>
  </w:style>
  <w:style w:type="paragraph" w:styleId="Caption">
    <w:name w:val="caption"/>
    <w:basedOn w:val="Heading1"/>
    <w:next w:val="Normal"/>
    <w:uiPriority w:val="35"/>
    <w:unhideWhenUsed/>
    <w:rsid w:val="00B13C20"/>
    <w:pPr>
      <w:ind w:left="840"/>
    </w:pPr>
    <w:rPr>
      <w:rFonts w:ascii="Calibri" w:hAnsi="Calibri" w:cs="Times New Roman"/>
      <w:color w:val="auto"/>
      <w:sz w:val="16"/>
      <w:szCs w:val="16"/>
    </w:rPr>
  </w:style>
  <w:style w:type="numbering" w:customStyle="1" w:styleId="NoList1">
    <w:name w:val="No List1"/>
    <w:next w:val="NoList"/>
    <w:uiPriority w:val="99"/>
    <w:semiHidden/>
    <w:unhideWhenUsed/>
    <w:rsid w:val="00B13C20"/>
  </w:style>
  <w:style w:type="numbering" w:customStyle="1" w:styleId="NoList11">
    <w:name w:val="No List11"/>
    <w:next w:val="NoList"/>
    <w:uiPriority w:val="99"/>
    <w:semiHidden/>
    <w:unhideWhenUsed/>
    <w:rsid w:val="00B13C20"/>
  </w:style>
  <w:style w:type="table" w:customStyle="1" w:styleId="TableGrid1">
    <w:name w:val="Table Grid1"/>
    <w:basedOn w:val="TableNormal"/>
    <w:next w:val="TableGrid"/>
    <w:uiPriority w:val="59"/>
    <w:rsid w:val="00B13C20"/>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13C20"/>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TableNormal"/>
    <w:uiPriority w:val="61"/>
    <w:rsid w:val="00B13C20"/>
    <w:rPr>
      <w:rFonts w:ascii="Calibri" w:eastAsia="Calibri" w:hAnsi="Calibri"/>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FollowedHyperlink">
    <w:name w:val="FollowedHyperlink"/>
    <w:basedOn w:val="DefaultParagraphFont"/>
    <w:uiPriority w:val="99"/>
    <w:semiHidden/>
    <w:unhideWhenUsed/>
    <w:rsid w:val="00B13C20"/>
    <w:rPr>
      <w:color w:val="800080"/>
      <w:u w:val="single"/>
    </w:rPr>
  </w:style>
  <w:style w:type="paragraph" w:styleId="TOC3">
    <w:name w:val="toc 3"/>
    <w:next w:val="Normal"/>
    <w:link w:val="TOC3Char"/>
    <w:uiPriority w:val="39"/>
    <w:unhideWhenUsed/>
    <w:rsid w:val="00500B54"/>
    <w:pPr>
      <w:ind w:left="1080" w:hanging="360"/>
    </w:pPr>
    <w:rPr>
      <w:rFonts w:ascii="Calibri" w:eastAsia="Times New Roman" w:hAnsi="Calibri"/>
      <w:iCs/>
      <w:sz w:val="24"/>
      <w:szCs w:val="20"/>
    </w:rPr>
  </w:style>
  <w:style w:type="paragraph" w:styleId="TOC4">
    <w:name w:val="toc 4"/>
    <w:basedOn w:val="Normal"/>
    <w:next w:val="Normal"/>
    <w:autoRedefine/>
    <w:uiPriority w:val="39"/>
    <w:unhideWhenUsed/>
    <w:rsid w:val="00B13C20"/>
    <w:pPr>
      <w:ind w:left="720"/>
    </w:pPr>
    <w:rPr>
      <w:rFonts w:asciiTheme="minorHAnsi" w:hAnsiTheme="minorHAnsi"/>
      <w:sz w:val="18"/>
      <w:szCs w:val="18"/>
    </w:rPr>
  </w:style>
  <w:style w:type="paragraph" w:styleId="TOC5">
    <w:name w:val="toc 5"/>
    <w:basedOn w:val="Normal"/>
    <w:next w:val="Normal"/>
    <w:autoRedefine/>
    <w:uiPriority w:val="39"/>
    <w:unhideWhenUsed/>
    <w:rsid w:val="00B13C20"/>
    <w:pPr>
      <w:ind w:left="960"/>
    </w:pPr>
    <w:rPr>
      <w:rFonts w:asciiTheme="minorHAnsi" w:hAnsiTheme="minorHAnsi"/>
      <w:sz w:val="18"/>
      <w:szCs w:val="18"/>
    </w:rPr>
  </w:style>
  <w:style w:type="paragraph" w:styleId="TOC6">
    <w:name w:val="toc 6"/>
    <w:basedOn w:val="Normal"/>
    <w:next w:val="Normal"/>
    <w:autoRedefine/>
    <w:uiPriority w:val="39"/>
    <w:unhideWhenUsed/>
    <w:rsid w:val="00B13C20"/>
    <w:pPr>
      <w:ind w:left="1200"/>
    </w:pPr>
    <w:rPr>
      <w:rFonts w:asciiTheme="minorHAnsi" w:hAnsiTheme="minorHAnsi"/>
      <w:sz w:val="18"/>
      <w:szCs w:val="18"/>
    </w:rPr>
  </w:style>
  <w:style w:type="paragraph" w:styleId="TOC7">
    <w:name w:val="toc 7"/>
    <w:basedOn w:val="Normal"/>
    <w:next w:val="Normal"/>
    <w:autoRedefine/>
    <w:uiPriority w:val="39"/>
    <w:unhideWhenUsed/>
    <w:rsid w:val="00B13C20"/>
    <w:pPr>
      <w:ind w:left="1440"/>
    </w:pPr>
    <w:rPr>
      <w:rFonts w:asciiTheme="minorHAnsi" w:hAnsiTheme="minorHAnsi"/>
      <w:sz w:val="18"/>
      <w:szCs w:val="18"/>
    </w:rPr>
  </w:style>
  <w:style w:type="paragraph" w:styleId="TOC8">
    <w:name w:val="toc 8"/>
    <w:basedOn w:val="Normal"/>
    <w:next w:val="Normal"/>
    <w:autoRedefine/>
    <w:uiPriority w:val="39"/>
    <w:unhideWhenUsed/>
    <w:rsid w:val="00B13C20"/>
    <w:pPr>
      <w:ind w:left="1680"/>
    </w:pPr>
    <w:rPr>
      <w:rFonts w:asciiTheme="minorHAnsi" w:hAnsiTheme="minorHAnsi"/>
      <w:sz w:val="18"/>
      <w:szCs w:val="18"/>
    </w:rPr>
  </w:style>
  <w:style w:type="paragraph" w:styleId="TOC9">
    <w:name w:val="toc 9"/>
    <w:basedOn w:val="Normal"/>
    <w:next w:val="Normal"/>
    <w:autoRedefine/>
    <w:uiPriority w:val="39"/>
    <w:unhideWhenUsed/>
    <w:rsid w:val="00B13C20"/>
    <w:pPr>
      <w:ind w:left="1920"/>
    </w:pPr>
    <w:rPr>
      <w:rFonts w:asciiTheme="minorHAnsi" w:hAnsiTheme="minorHAnsi"/>
      <w:sz w:val="18"/>
      <w:szCs w:val="18"/>
    </w:rPr>
  </w:style>
  <w:style w:type="table" w:customStyle="1" w:styleId="TableGrid3">
    <w:name w:val="Table Grid3"/>
    <w:basedOn w:val="TableNormal"/>
    <w:next w:val="TableGrid"/>
    <w:uiPriority w:val="59"/>
    <w:rsid w:val="00B12A38"/>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E31FA9"/>
    <w:rPr>
      <w:rFonts w:eastAsia="Calibri"/>
      <w:b/>
      <w:sz w:val="24"/>
    </w:rPr>
  </w:style>
  <w:style w:type="table" w:customStyle="1" w:styleId="MediumShading1-Accent12">
    <w:name w:val="Medium Shading 1 - Accent 12"/>
    <w:basedOn w:val="TableNormal"/>
    <w:uiPriority w:val="63"/>
    <w:rsid w:val="00631D4B"/>
    <w:rPr>
      <w:rFonts w:asciiTheme="minorHAnsi" w:hAnsiTheme="minorHAnsi" w:cstheme="minorBidi"/>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Lines="0" w:beforeAutospacing="0" w:afterLines="0" w:afterAutospacing="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Lines="0" w:beforeAutospacing="0" w:afterLines="0" w:afterAutospacing="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121">
    <w:name w:val="Medium Shading 1 - Accent 121"/>
    <w:basedOn w:val="TableNormal"/>
    <w:uiPriority w:val="63"/>
    <w:rsid w:val="00782C39"/>
    <w:rPr>
      <w:rFonts w:asciiTheme="minorHAnsi" w:hAnsiTheme="minorHAnsi" w:cstheme="minorBidi"/>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numbering" w:customStyle="1" w:styleId="NoList2">
    <w:name w:val="No List2"/>
    <w:next w:val="NoList"/>
    <w:uiPriority w:val="99"/>
    <w:semiHidden/>
    <w:unhideWhenUsed/>
    <w:rsid w:val="00B80B2D"/>
  </w:style>
  <w:style w:type="numbering" w:customStyle="1" w:styleId="NoList12">
    <w:name w:val="No List12"/>
    <w:next w:val="NoList"/>
    <w:uiPriority w:val="99"/>
    <w:semiHidden/>
    <w:unhideWhenUsed/>
    <w:rsid w:val="00B80B2D"/>
  </w:style>
  <w:style w:type="numbering" w:customStyle="1" w:styleId="NoList111">
    <w:name w:val="No List111"/>
    <w:next w:val="NoList"/>
    <w:uiPriority w:val="99"/>
    <w:semiHidden/>
    <w:unhideWhenUsed/>
    <w:rsid w:val="00B80B2D"/>
  </w:style>
  <w:style w:type="numbering" w:customStyle="1" w:styleId="NoList1111">
    <w:name w:val="No List1111"/>
    <w:next w:val="NoList"/>
    <w:uiPriority w:val="99"/>
    <w:semiHidden/>
    <w:unhideWhenUsed/>
    <w:rsid w:val="00B80B2D"/>
  </w:style>
  <w:style w:type="table" w:customStyle="1" w:styleId="LightList-Accent111">
    <w:name w:val="Light List - Accent 111"/>
    <w:basedOn w:val="TableNormal"/>
    <w:uiPriority w:val="61"/>
    <w:rsid w:val="00B80B2D"/>
    <w:rPr>
      <w:rFonts w:ascii="Calibri" w:eastAsia="Calibri" w:hAnsi="Calibri"/>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22">
    <w:name w:val="Medium Shading 1 - Accent 122"/>
    <w:basedOn w:val="TableNormal"/>
    <w:uiPriority w:val="63"/>
    <w:rsid w:val="00B80B2D"/>
    <w:rPr>
      <w:rFonts w:asciiTheme="minorHAnsi" w:hAnsiTheme="minorHAnsi" w:cstheme="minorBidi"/>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Lines="0" w:beforeAutospacing="0" w:afterLines="0" w:afterAutospacing="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Lines="0" w:beforeAutospacing="0" w:afterLines="0" w:afterAutospacing="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Body12ptCalibri-IPR">
    <w:name w:val="Body12ptCalibri-IPR"/>
    <w:link w:val="Body12ptCalibri-IPRChar"/>
    <w:rsid w:val="00742BA3"/>
    <w:pPr>
      <w:spacing w:after="240"/>
    </w:pPr>
    <w:rPr>
      <w:rFonts w:ascii="Calibri" w:eastAsia="Times New Roman" w:hAnsi="Calibri"/>
      <w:szCs w:val="24"/>
    </w:rPr>
  </w:style>
  <w:style w:type="character" w:styleId="HTMLCite">
    <w:name w:val="HTML Cite"/>
    <w:basedOn w:val="DefaultParagraphFont"/>
    <w:uiPriority w:val="99"/>
    <w:semiHidden/>
    <w:unhideWhenUsed/>
    <w:rsid w:val="00926060"/>
    <w:rPr>
      <w:i/>
      <w:iCs/>
    </w:rPr>
  </w:style>
  <w:style w:type="paragraph" w:customStyle="1" w:styleId="BlueAllCapsHdng-IPR">
    <w:name w:val="BlueAllCapsHdng-IPR"/>
    <w:link w:val="BlueAllCapsHdng-IPRChar"/>
    <w:rsid w:val="00BC219A"/>
    <w:pPr>
      <w:keepNext/>
      <w:spacing w:after="240"/>
      <w:contextualSpacing/>
    </w:pPr>
    <w:rPr>
      <w:rFonts w:ascii="Calibri" w:eastAsia="Times New Roman" w:hAnsi="Calibri"/>
      <w:b/>
      <w:caps/>
      <w:color w:val="1F497D" w:themeColor="text2"/>
      <w:sz w:val="24"/>
    </w:rPr>
  </w:style>
  <w:style w:type="paragraph" w:customStyle="1" w:styleId="TOCListHeader-IPR">
    <w:name w:val="TOCListHeader-IPR"/>
    <w:link w:val="TOCListHeader-IPRChar"/>
    <w:qFormat/>
    <w:rsid w:val="00423B63"/>
    <w:pPr>
      <w:spacing w:after="560"/>
      <w:jc w:val="center"/>
    </w:pPr>
    <w:rPr>
      <w:rFonts w:ascii="Arial" w:eastAsia="Times New Roman" w:hAnsi="Arial" w:cs="Arial"/>
      <w:b/>
      <w:caps/>
      <w:sz w:val="28"/>
      <w:szCs w:val="28"/>
    </w:rPr>
  </w:style>
  <w:style w:type="character" w:customStyle="1" w:styleId="BlueAllCapsHdng-IPRChar">
    <w:name w:val="BlueAllCapsHdng-IPR Char"/>
    <w:basedOn w:val="DefaultParagraphFont"/>
    <w:link w:val="BlueAllCapsHdng-IPR"/>
    <w:rsid w:val="00BC219A"/>
    <w:rPr>
      <w:rFonts w:ascii="Calibri" w:eastAsia="Times New Roman" w:hAnsi="Calibri"/>
      <w:b/>
      <w:caps/>
      <w:color w:val="1F497D" w:themeColor="text2"/>
      <w:sz w:val="24"/>
    </w:rPr>
  </w:style>
  <w:style w:type="paragraph" w:customStyle="1" w:styleId="FtnteBodyText-IPR">
    <w:name w:val="FtnteBodyText-IPR"/>
    <w:link w:val="FtnteBodyText-IPRChar"/>
    <w:qFormat/>
    <w:rsid w:val="00324408"/>
    <w:rPr>
      <w:rFonts w:ascii="Calibri" w:eastAsia="Calibri" w:hAnsi="Calibri"/>
      <w:sz w:val="16"/>
      <w:szCs w:val="16"/>
    </w:rPr>
  </w:style>
  <w:style w:type="character" w:customStyle="1" w:styleId="FtnteBodyText-IPRChar">
    <w:name w:val="FtnteBodyText-IPR Char"/>
    <w:basedOn w:val="DefaultParagraphFont"/>
    <w:link w:val="FtnteBodyText-IPR"/>
    <w:rsid w:val="00324408"/>
    <w:rPr>
      <w:rFonts w:ascii="Calibri" w:eastAsia="Calibri" w:hAnsi="Calibri"/>
      <w:sz w:val="16"/>
      <w:szCs w:val="16"/>
    </w:rPr>
  </w:style>
  <w:style w:type="paragraph" w:customStyle="1" w:styleId="FtnteTableFigure-IPR">
    <w:name w:val="FtnteTableFigure-IPR"/>
    <w:link w:val="FtnteTableFigure-IPRChar"/>
    <w:qFormat/>
    <w:rsid w:val="00485D40"/>
    <w:pPr>
      <w:spacing w:after="240"/>
      <w:contextualSpacing/>
    </w:pPr>
    <w:rPr>
      <w:rFonts w:ascii="Calibri" w:eastAsia="Calibri" w:hAnsi="Calibri" w:cs="Calibri"/>
      <w:i/>
      <w:sz w:val="16"/>
      <w:szCs w:val="16"/>
    </w:rPr>
  </w:style>
  <w:style w:type="character" w:customStyle="1" w:styleId="ListParagraphChar">
    <w:name w:val="List Paragraph Char"/>
    <w:basedOn w:val="DefaultParagraphFont"/>
    <w:link w:val="ListParagraph"/>
    <w:uiPriority w:val="34"/>
    <w:rsid w:val="00D828D1"/>
    <w:rPr>
      <w:rFonts w:eastAsia="Times New Roman"/>
      <w:sz w:val="24"/>
      <w:szCs w:val="24"/>
    </w:rPr>
  </w:style>
  <w:style w:type="character" w:customStyle="1" w:styleId="TOCListHeader-IPRChar">
    <w:name w:val="TOCListHeader-IPR Char"/>
    <w:basedOn w:val="ListParagraphChar"/>
    <w:link w:val="TOCListHeader-IPR"/>
    <w:rsid w:val="00423B63"/>
    <w:rPr>
      <w:rFonts w:ascii="Arial" w:eastAsia="Times New Roman" w:hAnsi="Arial" w:cs="Arial"/>
      <w:b/>
      <w:caps/>
      <w:sz w:val="28"/>
      <w:szCs w:val="28"/>
    </w:rPr>
  </w:style>
  <w:style w:type="paragraph" w:customStyle="1" w:styleId="Refs11ptCalibri-IPR">
    <w:name w:val="Refs11ptCalibri-IPR"/>
    <w:link w:val="Refs11ptCalibri-IPRChar"/>
    <w:qFormat/>
    <w:rsid w:val="00E32422"/>
    <w:pPr>
      <w:spacing w:after="240"/>
      <w:ind w:left="720" w:hanging="720"/>
    </w:pPr>
    <w:rPr>
      <w:rFonts w:ascii="Calibri" w:eastAsia="Times New Roman" w:hAnsi="Calibri"/>
    </w:rPr>
  </w:style>
  <w:style w:type="character" w:customStyle="1" w:styleId="FtnteTableFigure-IPRChar">
    <w:name w:val="FtnteTableFigure-IPR Char"/>
    <w:basedOn w:val="DefaultParagraphFont"/>
    <w:link w:val="FtnteTableFigure-IPR"/>
    <w:rsid w:val="00C11C4B"/>
    <w:rPr>
      <w:rFonts w:ascii="Calibri" w:eastAsia="Calibri" w:hAnsi="Calibri" w:cs="Calibri"/>
      <w:i/>
      <w:sz w:val="16"/>
      <w:szCs w:val="16"/>
      <w:lang w:val="es-PR"/>
    </w:rPr>
  </w:style>
  <w:style w:type="paragraph" w:customStyle="1" w:styleId="TOCListText-IPR">
    <w:name w:val="TOCListText-IPR"/>
    <w:link w:val="TOCListText-IPRChar"/>
    <w:qFormat/>
    <w:rsid w:val="0029461A"/>
    <w:pPr>
      <w:tabs>
        <w:tab w:val="right" w:leader="dot" w:pos="9360"/>
      </w:tabs>
      <w:ind w:left="1440" w:hanging="1440"/>
    </w:pPr>
    <w:rPr>
      <w:rFonts w:ascii="Calibri" w:eastAsia="Times New Roman" w:hAnsi="Calibri"/>
      <w:bCs/>
      <w:sz w:val="24"/>
      <w:szCs w:val="24"/>
    </w:rPr>
  </w:style>
  <w:style w:type="paragraph" w:customStyle="1" w:styleId="HeaderReport-IPR">
    <w:name w:val="HeaderReport-IPR"/>
    <w:link w:val="HeaderReport-IPRChar"/>
    <w:qFormat/>
    <w:rsid w:val="00E12A7D"/>
    <w:pPr>
      <w:pBdr>
        <w:bottom w:val="thickThinSmallGap" w:sz="24" w:space="1" w:color="D20000"/>
      </w:pBdr>
      <w:tabs>
        <w:tab w:val="center" w:pos="4680"/>
        <w:tab w:val="right" w:pos="9360"/>
      </w:tabs>
      <w:spacing w:before="240" w:after="60"/>
      <w:jc w:val="right"/>
    </w:pPr>
    <w:rPr>
      <w:rFonts w:ascii="Arial" w:eastAsia="Times New Roman" w:hAnsi="Arial" w:cs="Arial"/>
      <w:i/>
      <w:sz w:val="18"/>
      <w:szCs w:val="18"/>
    </w:rPr>
  </w:style>
  <w:style w:type="character" w:customStyle="1" w:styleId="TOCListText-IPRChar">
    <w:name w:val="TOCListText-IPR Char"/>
    <w:basedOn w:val="ListParagraphChar"/>
    <w:link w:val="TOCListText-IPR"/>
    <w:rsid w:val="0029461A"/>
    <w:rPr>
      <w:rFonts w:ascii="Calibri" w:eastAsia="Times New Roman" w:hAnsi="Calibri"/>
      <w:bCs/>
      <w:sz w:val="24"/>
      <w:szCs w:val="24"/>
    </w:rPr>
  </w:style>
  <w:style w:type="paragraph" w:styleId="Quote">
    <w:name w:val="Quote"/>
    <w:next w:val="Normal"/>
    <w:link w:val="QuoteChar"/>
    <w:autoRedefine/>
    <w:uiPriority w:val="29"/>
    <w:rsid w:val="00DF699D"/>
    <w:pPr>
      <w:jc w:val="both"/>
    </w:pPr>
    <w:rPr>
      <w:rFonts w:eastAsia="Calibri"/>
      <w:i/>
      <w:sz w:val="24"/>
      <w:szCs w:val="24"/>
    </w:rPr>
  </w:style>
  <w:style w:type="character" w:customStyle="1" w:styleId="HeaderReport-IPRChar">
    <w:name w:val="HeaderReport-IPR Char"/>
    <w:basedOn w:val="DefaultParagraphFont"/>
    <w:link w:val="HeaderReport-IPR"/>
    <w:rsid w:val="00E12A7D"/>
    <w:rPr>
      <w:rFonts w:ascii="Arial" w:eastAsia="Times New Roman" w:hAnsi="Arial" w:cs="Arial"/>
      <w:i/>
      <w:sz w:val="18"/>
      <w:szCs w:val="18"/>
    </w:rPr>
  </w:style>
  <w:style w:type="character" w:customStyle="1" w:styleId="QuoteChar">
    <w:name w:val="Quote Char"/>
    <w:basedOn w:val="DefaultParagraphFont"/>
    <w:link w:val="Quote"/>
    <w:uiPriority w:val="29"/>
    <w:rsid w:val="00DF699D"/>
    <w:rPr>
      <w:rFonts w:eastAsia="Calibri"/>
      <w:i/>
      <w:sz w:val="24"/>
      <w:szCs w:val="24"/>
    </w:rPr>
  </w:style>
  <w:style w:type="character" w:customStyle="1" w:styleId="Heading5Char">
    <w:name w:val="Heading 5 Char"/>
    <w:basedOn w:val="DefaultParagraphFont"/>
    <w:link w:val="Heading5"/>
    <w:uiPriority w:val="9"/>
    <w:semiHidden/>
    <w:rsid w:val="00B95CBE"/>
    <w:rPr>
      <w:rFonts w:asciiTheme="majorHAnsi" w:eastAsiaTheme="majorEastAsia" w:hAnsiTheme="majorHAnsi" w:cstheme="majorBidi"/>
      <w:color w:val="243F60" w:themeColor="accent1" w:themeShade="7F"/>
      <w:sz w:val="24"/>
      <w:szCs w:val="24"/>
    </w:rPr>
  </w:style>
  <w:style w:type="character" w:customStyle="1" w:styleId="Body12ptCalibri-IPRChar">
    <w:name w:val="Body12ptCalibri-IPR Char"/>
    <w:basedOn w:val="DefaultParagraphFont"/>
    <w:link w:val="Body12ptCalibri-IPR"/>
    <w:rsid w:val="00742BA3"/>
    <w:rPr>
      <w:rFonts w:ascii="Calibri" w:eastAsia="Times New Roman" w:hAnsi="Calibri"/>
      <w:szCs w:val="24"/>
    </w:rPr>
  </w:style>
  <w:style w:type="character" w:customStyle="1" w:styleId="TableTitle-IPRChar">
    <w:name w:val="TableTitle-IPR Char"/>
    <w:basedOn w:val="DefaultParagraphFont"/>
    <w:link w:val="TableTitle-IPR"/>
    <w:rsid w:val="008805F3"/>
    <w:rPr>
      <w:rFonts w:ascii="Calibri" w:eastAsia="Times New Roman" w:hAnsi="Calibri" w:cs="Calibri"/>
      <w:b/>
      <w:bCs/>
      <w:i/>
      <w:szCs w:val="24"/>
    </w:rPr>
  </w:style>
  <w:style w:type="paragraph" w:customStyle="1" w:styleId="Hdng3-IPR">
    <w:name w:val="Hdng3-IPR"/>
    <w:link w:val="Hdng3-IPRChar"/>
    <w:qFormat/>
    <w:rsid w:val="006C712C"/>
    <w:pPr>
      <w:keepNext/>
      <w:numPr>
        <w:numId w:val="1"/>
      </w:numPr>
      <w:spacing w:after="240"/>
      <w:ind w:left="720"/>
      <w:outlineLvl w:val="2"/>
    </w:pPr>
    <w:rPr>
      <w:rFonts w:ascii="Candara" w:eastAsia="Times New Roman" w:hAnsi="Candara" w:cs="Arial"/>
      <w:b/>
      <w:color w:val="B32732"/>
      <w:sz w:val="24"/>
      <w:szCs w:val="24"/>
    </w:rPr>
  </w:style>
  <w:style w:type="paragraph" w:customStyle="1" w:styleId="FooterReport-IPR">
    <w:name w:val="FooterReport-IPR"/>
    <w:link w:val="FooterReport-IPRChar"/>
    <w:qFormat/>
    <w:rsid w:val="00E12A7D"/>
    <w:pPr>
      <w:pBdr>
        <w:top w:val="thinThickSmallGap" w:sz="24" w:space="1" w:color="C00000"/>
      </w:pBdr>
      <w:spacing w:before="60" w:after="240"/>
      <w:jc w:val="right"/>
    </w:pPr>
    <w:rPr>
      <w:rFonts w:ascii="Arial" w:eastAsia="Times New Roman" w:hAnsi="Arial" w:cs="Arial"/>
      <w:sz w:val="18"/>
      <w:szCs w:val="18"/>
    </w:rPr>
  </w:style>
  <w:style w:type="character" w:customStyle="1" w:styleId="Hdng3-IPRChar">
    <w:name w:val="Hdng3-IPR Char"/>
    <w:basedOn w:val="DefaultParagraphFont"/>
    <w:link w:val="Hdng3-IPR"/>
    <w:rsid w:val="006C712C"/>
    <w:rPr>
      <w:rFonts w:ascii="Candara" w:eastAsia="Times New Roman" w:hAnsi="Candara" w:cs="Arial"/>
      <w:b/>
      <w:color w:val="B32732"/>
      <w:sz w:val="24"/>
      <w:szCs w:val="24"/>
    </w:rPr>
  </w:style>
  <w:style w:type="paragraph" w:customStyle="1" w:styleId="Hdng1Report-IPR">
    <w:name w:val="Hdng1Report-IPR"/>
    <w:link w:val="Hdng1Report-IPRChar"/>
    <w:qFormat/>
    <w:rsid w:val="004D6774"/>
    <w:pPr>
      <w:keepNext/>
      <w:numPr>
        <w:numId w:val="10"/>
      </w:numPr>
      <w:spacing w:after="240"/>
      <w:ind w:left="0" w:firstLine="0"/>
      <w:jc w:val="center"/>
      <w:outlineLvl w:val="0"/>
    </w:pPr>
    <w:rPr>
      <w:rFonts w:ascii="Arial" w:eastAsia="Calibri" w:hAnsi="Arial" w:cs="Arial"/>
      <w:b/>
      <w:bCs/>
      <w:caps/>
      <w:color w:val="B80000"/>
      <w:sz w:val="28"/>
      <w:szCs w:val="28"/>
    </w:rPr>
  </w:style>
  <w:style w:type="character" w:customStyle="1" w:styleId="FooterReport-IPRChar">
    <w:name w:val="FooterReport-IPR Char"/>
    <w:basedOn w:val="DefaultParagraphFont"/>
    <w:link w:val="FooterReport-IPR"/>
    <w:rsid w:val="00E12A7D"/>
    <w:rPr>
      <w:rFonts w:ascii="Arial" w:eastAsia="Times New Roman" w:hAnsi="Arial" w:cs="Arial"/>
      <w:sz w:val="18"/>
      <w:szCs w:val="18"/>
    </w:rPr>
  </w:style>
  <w:style w:type="paragraph" w:customStyle="1" w:styleId="Hdng2-IPR">
    <w:name w:val="Hdng2-IPR"/>
    <w:link w:val="Hdng2-IPRChar"/>
    <w:qFormat/>
    <w:rsid w:val="004D6774"/>
    <w:pPr>
      <w:keepNext/>
      <w:numPr>
        <w:numId w:val="2"/>
      </w:numPr>
      <w:spacing w:after="240"/>
      <w:outlineLvl w:val="1"/>
    </w:pPr>
    <w:rPr>
      <w:rFonts w:ascii="Arial Bold" w:eastAsia="Calibri" w:hAnsi="Arial Bold" w:cs="Arial"/>
      <w:b/>
      <w:caps/>
      <w:color w:val="1F497D" w:themeColor="text2"/>
      <w:sz w:val="24"/>
      <w:szCs w:val="24"/>
    </w:rPr>
  </w:style>
  <w:style w:type="character" w:customStyle="1" w:styleId="Hdng1Report-IPRChar">
    <w:name w:val="Hdng1Report-IPR Char"/>
    <w:basedOn w:val="DefaultParagraphFont"/>
    <w:link w:val="Hdng1Report-IPR"/>
    <w:rsid w:val="004D6774"/>
    <w:rPr>
      <w:rFonts w:ascii="Arial" w:eastAsia="Calibri" w:hAnsi="Arial" w:cs="Arial"/>
      <w:b/>
      <w:bCs/>
      <w:caps/>
      <w:color w:val="B80000"/>
      <w:sz w:val="28"/>
      <w:szCs w:val="28"/>
    </w:rPr>
  </w:style>
  <w:style w:type="character" w:customStyle="1" w:styleId="Hdng2-IPRChar">
    <w:name w:val="Hdng2-IPR Char"/>
    <w:basedOn w:val="DefaultParagraphFont"/>
    <w:link w:val="Hdng2-IPR"/>
    <w:rsid w:val="004D6774"/>
    <w:rPr>
      <w:rFonts w:ascii="Arial Bold" w:eastAsia="Calibri" w:hAnsi="Arial Bold" w:cs="Arial"/>
      <w:b/>
      <w:caps/>
      <w:color w:val="1F497D" w:themeColor="text2"/>
      <w:sz w:val="24"/>
      <w:szCs w:val="24"/>
    </w:rPr>
  </w:style>
  <w:style w:type="paragraph" w:customStyle="1" w:styleId="FigureTitle-IPR">
    <w:name w:val="FigureTitle-IPR"/>
    <w:link w:val="FigureTitle-IPRChar"/>
    <w:qFormat/>
    <w:rsid w:val="00870786"/>
    <w:pPr>
      <w:keepNext/>
      <w:jc w:val="center"/>
    </w:pPr>
    <w:rPr>
      <w:rFonts w:ascii="Calibri" w:eastAsia="Times New Roman" w:hAnsi="Calibri" w:cs="Calibri"/>
      <w:b/>
      <w:bCs/>
      <w:sz w:val="24"/>
      <w:szCs w:val="24"/>
    </w:rPr>
  </w:style>
  <w:style w:type="character" w:customStyle="1" w:styleId="FigureTitle-IPRChar">
    <w:name w:val="FigureTitle-IPR Char"/>
    <w:basedOn w:val="TableTitle-IPRChar"/>
    <w:link w:val="FigureTitle-IPR"/>
    <w:rsid w:val="00870786"/>
    <w:rPr>
      <w:rFonts w:ascii="Calibri" w:eastAsia="Times New Roman" w:hAnsi="Calibri" w:cs="Calibri"/>
      <w:b/>
      <w:bCs/>
      <w:i/>
      <w:sz w:val="24"/>
      <w:szCs w:val="24"/>
    </w:rPr>
  </w:style>
  <w:style w:type="paragraph" w:customStyle="1" w:styleId="Acknowlegments-IPR">
    <w:name w:val="Acknowlegments-IPR"/>
    <w:link w:val="Acknowlegments-IPRChar"/>
    <w:qFormat/>
    <w:rsid w:val="00F63C1D"/>
    <w:rPr>
      <w:rFonts w:asciiTheme="minorHAnsi" w:eastAsia="Calibri" w:hAnsiTheme="minorHAnsi"/>
      <w:sz w:val="24"/>
      <w:szCs w:val="24"/>
    </w:rPr>
  </w:style>
  <w:style w:type="character" w:customStyle="1" w:styleId="Acknowlegments-IPRChar">
    <w:name w:val="Acknowlegments-IPR Char"/>
    <w:basedOn w:val="DefaultParagraphFont"/>
    <w:link w:val="Acknowlegments-IPR"/>
    <w:rsid w:val="00F63C1D"/>
    <w:rPr>
      <w:rFonts w:asciiTheme="minorHAnsi" w:eastAsia="Calibri" w:hAnsiTheme="minorHAnsi"/>
      <w:sz w:val="24"/>
      <w:szCs w:val="24"/>
    </w:rPr>
  </w:style>
  <w:style w:type="paragraph" w:customStyle="1" w:styleId="TableText-IPR">
    <w:name w:val="TableText-IPR"/>
    <w:link w:val="TableText-IPRChar"/>
    <w:qFormat/>
    <w:rsid w:val="007F4174"/>
    <w:rPr>
      <w:rFonts w:ascii="Calibri" w:eastAsiaTheme="minorEastAsia" w:hAnsi="Calibri"/>
      <w:sz w:val="20"/>
      <w:szCs w:val="20"/>
    </w:rPr>
  </w:style>
  <w:style w:type="character" w:customStyle="1" w:styleId="TableText-IPRChar">
    <w:name w:val="TableText-IPR Char"/>
    <w:basedOn w:val="DefaultParagraphFont"/>
    <w:link w:val="TableText-IPR"/>
    <w:rsid w:val="007F4174"/>
    <w:rPr>
      <w:rFonts w:ascii="Calibri" w:eastAsiaTheme="minorEastAsia" w:hAnsi="Calibri"/>
      <w:sz w:val="20"/>
      <w:szCs w:val="20"/>
    </w:rPr>
  </w:style>
  <w:style w:type="paragraph" w:customStyle="1" w:styleId="Quote-IPR">
    <w:name w:val="Quote-IPR"/>
    <w:link w:val="Quote-IPRChar"/>
    <w:qFormat/>
    <w:rsid w:val="00324408"/>
    <w:pPr>
      <w:spacing w:after="240"/>
      <w:ind w:left="720" w:right="720"/>
      <w:jc w:val="both"/>
    </w:pPr>
    <w:rPr>
      <w:rFonts w:ascii="Calibri" w:eastAsia="Times New Roman" w:hAnsi="Calibri"/>
      <w:i/>
      <w:sz w:val="24"/>
      <w:szCs w:val="24"/>
    </w:rPr>
  </w:style>
  <w:style w:type="paragraph" w:customStyle="1" w:styleId="DocTitle-IPR">
    <w:name w:val="DocTitle-IPR"/>
    <w:link w:val="DocTitle-IPRChar"/>
    <w:qFormat/>
    <w:rsid w:val="002A3109"/>
    <w:pPr>
      <w:jc w:val="center"/>
    </w:pPr>
    <w:rPr>
      <w:rFonts w:ascii="Calibri" w:eastAsia="Times New Roman" w:hAnsi="Calibri" w:cs="Calibri"/>
      <w:b/>
      <w:sz w:val="52"/>
      <w:szCs w:val="52"/>
    </w:rPr>
  </w:style>
  <w:style w:type="character" w:customStyle="1" w:styleId="Quote-IPRChar">
    <w:name w:val="Quote-IPR Char"/>
    <w:basedOn w:val="DefaultParagraphFont"/>
    <w:link w:val="Quote-IPR"/>
    <w:rsid w:val="00324408"/>
    <w:rPr>
      <w:rFonts w:ascii="Calibri" w:eastAsia="Times New Roman" w:hAnsi="Calibri"/>
      <w:i/>
      <w:sz w:val="24"/>
      <w:szCs w:val="24"/>
    </w:rPr>
  </w:style>
  <w:style w:type="paragraph" w:customStyle="1" w:styleId="DocSubtitle-IPR">
    <w:name w:val="DocSubtitle-IPR"/>
    <w:link w:val="DocSubtitle-IPRChar"/>
    <w:qFormat/>
    <w:rsid w:val="002A3109"/>
    <w:pPr>
      <w:jc w:val="center"/>
    </w:pPr>
    <w:rPr>
      <w:rFonts w:ascii="Calibri" w:eastAsia="Times New Roman" w:hAnsi="Calibri" w:cs="Calibri"/>
      <w:b/>
      <w:sz w:val="36"/>
      <w:szCs w:val="36"/>
    </w:rPr>
  </w:style>
  <w:style w:type="character" w:customStyle="1" w:styleId="DocTitle-IPRChar">
    <w:name w:val="DocTitle-IPR Char"/>
    <w:basedOn w:val="DefaultParagraphFont"/>
    <w:link w:val="DocTitle-IPR"/>
    <w:rsid w:val="002A3109"/>
    <w:rPr>
      <w:rFonts w:ascii="Calibri" w:eastAsia="Times New Roman" w:hAnsi="Calibri" w:cs="Calibri"/>
      <w:b/>
      <w:sz w:val="52"/>
      <w:szCs w:val="52"/>
    </w:rPr>
  </w:style>
  <w:style w:type="paragraph" w:customStyle="1" w:styleId="DocDate-IPR">
    <w:name w:val="DocDate-IPR"/>
    <w:link w:val="DocDate-IPRChar"/>
    <w:qFormat/>
    <w:rsid w:val="00FF7021"/>
    <w:pPr>
      <w:jc w:val="center"/>
    </w:pPr>
    <w:rPr>
      <w:rFonts w:ascii="Calibri" w:eastAsia="Times New Roman" w:hAnsi="Calibri" w:cs="Calibri"/>
      <w:b/>
      <w:sz w:val="24"/>
      <w:szCs w:val="24"/>
    </w:rPr>
  </w:style>
  <w:style w:type="character" w:customStyle="1" w:styleId="DocSubtitle-IPRChar">
    <w:name w:val="DocSubtitle-IPR Char"/>
    <w:basedOn w:val="DefaultParagraphFont"/>
    <w:link w:val="DocSubtitle-IPR"/>
    <w:rsid w:val="002A3109"/>
    <w:rPr>
      <w:rFonts w:ascii="Calibri" w:eastAsia="Times New Roman" w:hAnsi="Calibri" w:cs="Calibri"/>
      <w:b/>
      <w:sz w:val="36"/>
      <w:szCs w:val="36"/>
    </w:rPr>
  </w:style>
  <w:style w:type="character" w:customStyle="1" w:styleId="DocDate-IPRChar">
    <w:name w:val="DocDate-IPR Char"/>
    <w:basedOn w:val="DefaultParagraphFont"/>
    <w:link w:val="DocDate-IPR"/>
    <w:rsid w:val="00FF7021"/>
    <w:rPr>
      <w:rFonts w:ascii="Calibri" w:eastAsia="Times New Roman" w:hAnsi="Calibri" w:cs="Calibri"/>
      <w:b/>
      <w:sz w:val="24"/>
      <w:szCs w:val="24"/>
    </w:rPr>
  </w:style>
  <w:style w:type="paragraph" w:customStyle="1" w:styleId="Authors-IPR">
    <w:name w:val="Authors-IPR"/>
    <w:link w:val="Authors-IPRChar"/>
    <w:qFormat/>
    <w:rsid w:val="00FF7021"/>
    <w:pPr>
      <w:jc w:val="center"/>
    </w:pPr>
    <w:rPr>
      <w:rFonts w:ascii="Calibri" w:eastAsia="Times New Roman" w:hAnsi="Calibri" w:cs="Calibri"/>
      <w:sz w:val="20"/>
      <w:szCs w:val="20"/>
    </w:rPr>
  </w:style>
  <w:style w:type="character" w:customStyle="1" w:styleId="Authors-IPRChar">
    <w:name w:val="Authors-IPR Char"/>
    <w:basedOn w:val="DefaultParagraphFont"/>
    <w:link w:val="Authors-IPR"/>
    <w:rsid w:val="00FF7021"/>
    <w:rPr>
      <w:rFonts w:ascii="Calibri" w:eastAsia="Times New Roman" w:hAnsi="Calibri" w:cs="Calibri"/>
      <w:sz w:val="20"/>
      <w:szCs w:val="20"/>
    </w:rPr>
  </w:style>
  <w:style w:type="paragraph" w:customStyle="1" w:styleId="Body11ptCalibri-IPR">
    <w:name w:val="Body11ptCalibri-IPR"/>
    <w:link w:val="Body11ptCalibri-IPRChar"/>
    <w:qFormat/>
    <w:rsid w:val="00641B88"/>
    <w:pPr>
      <w:spacing w:after="120" w:line="480" w:lineRule="exact"/>
    </w:pPr>
    <w:rPr>
      <w:rFonts w:ascii="Calibri" w:eastAsia="Times New Roman" w:hAnsi="Calibri"/>
      <w:szCs w:val="24"/>
    </w:rPr>
  </w:style>
  <w:style w:type="character" w:customStyle="1" w:styleId="Body11ptCalibri-IPRChar">
    <w:name w:val="Body11ptCalibri-IPR Char"/>
    <w:basedOn w:val="DefaultParagraphFont"/>
    <w:link w:val="Body11ptCalibri-IPR"/>
    <w:rsid w:val="00641B88"/>
    <w:rPr>
      <w:rFonts w:ascii="Calibri" w:eastAsia="Times New Roman" w:hAnsi="Calibri"/>
      <w:szCs w:val="24"/>
    </w:rPr>
  </w:style>
  <w:style w:type="paragraph" w:customStyle="1" w:styleId="BodyCenteredNoSpaceAfter-IPR">
    <w:name w:val="BodyCenteredNoSpaceAfter-IPR"/>
    <w:link w:val="BodyCenteredNoSpaceAfter-IPRChar"/>
    <w:rsid w:val="009D6699"/>
    <w:pPr>
      <w:jc w:val="center"/>
    </w:pPr>
    <w:rPr>
      <w:rFonts w:ascii="Calibri" w:eastAsia="Times New Roman" w:hAnsi="Calibri"/>
      <w:sz w:val="24"/>
      <w:szCs w:val="24"/>
    </w:rPr>
  </w:style>
  <w:style w:type="paragraph" w:customStyle="1" w:styleId="AcronymsList-IPR">
    <w:name w:val="AcronymsList-IPR"/>
    <w:link w:val="AcronymsList-IPRChar"/>
    <w:qFormat/>
    <w:rsid w:val="007B2EF6"/>
    <w:rPr>
      <w:rFonts w:ascii="Calibri" w:eastAsia="Times New Roman" w:hAnsi="Calibri" w:cs="Calibri"/>
      <w:sz w:val="20"/>
      <w:szCs w:val="20"/>
    </w:rPr>
  </w:style>
  <w:style w:type="character" w:customStyle="1" w:styleId="BodyCenteredNoSpaceAfter-IPRChar">
    <w:name w:val="BodyCenteredNoSpaceAfter-IPR Char"/>
    <w:basedOn w:val="DefaultParagraphFont"/>
    <w:link w:val="BodyCenteredNoSpaceAfter-IPR"/>
    <w:rsid w:val="00324408"/>
    <w:rPr>
      <w:rFonts w:ascii="Calibri" w:eastAsia="Times New Roman" w:hAnsi="Calibri"/>
      <w:sz w:val="24"/>
      <w:szCs w:val="24"/>
    </w:rPr>
  </w:style>
  <w:style w:type="character" w:customStyle="1" w:styleId="AcronymsList-IPRChar">
    <w:name w:val="AcronymsList-IPR Char"/>
    <w:basedOn w:val="DefaultParagraphFont"/>
    <w:link w:val="AcronymsList-IPR"/>
    <w:rsid w:val="007B2EF6"/>
    <w:rPr>
      <w:rFonts w:ascii="Calibri" w:eastAsia="Times New Roman" w:hAnsi="Calibri" w:cs="Calibri"/>
      <w:sz w:val="20"/>
      <w:szCs w:val="20"/>
    </w:rPr>
  </w:style>
  <w:style w:type="paragraph" w:customStyle="1" w:styleId="TextBox-IPR">
    <w:name w:val="TextBox-IPR"/>
    <w:link w:val="TextBox-IPRChar"/>
    <w:qFormat/>
    <w:rsid w:val="00342309"/>
    <w:rPr>
      <w:rFonts w:ascii="Calibri" w:eastAsiaTheme="minorEastAsia" w:hAnsi="Calibri"/>
      <w:i/>
      <w:sz w:val="20"/>
      <w:szCs w:val="20"/>
    </w:rPr>
  </w:style>
  <w:style w:type="character" w:customStyle="1" w:styleId="TextBox-IPRChar">
    <w:name w:val="TextBox-IPR Char"/>
    <w:basedOn w:val="DefaultParagraphFont"/>
    <w:link w:val="TextBox-IPR"/>
    <w:rsid w:val="00342309"/>
    <w:rPr>
      <w:rFonts w:ascii="Calibri" w:eastAsiaTheme="minorEastAsia" w:hAnsi="Calibri"/>
      <w:i/>
      <w:sz w:val="20"/>
      <w:szCs w:val="20"/>
    </w:rPr>
  </w:style>
  <w:style w:type="numbering" w:customStyle="1" w:styleId="Numbers12ptTNRList">
    <w:name w:val="Numbers12ptTNRList"/>
    <w:uiPriority w:val="99"/>
    <w:rsid w:val="00A048A0"/>
    <w:pPr>
      <w:numPr>
        <w:numId w:val="3"/>
      </w:numPr>
    </w:pPr>
  </w:style>
  <w:style w:type="paragraph" w:customStyle="1" w:styleId="TableRedNumbers-IPR">
    <w:name w:val="TableRedNumbers-IPR"/>
    <w:link w:val="TableRedNumbers-IPRChar"/>
    <w:qFormat/>
    <w:rsid w:val="00E17C6F"/>
    <w:pPr>
      <w:numPr>
        <w:numId w:val="9"/>
      </w:numPr>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E17C6F"/>
    <w:rPr>
      <w:rFonts w:ascii="Calibri" w:hAnsi="Calibri" w:cstheme="minorHAnsi"/>
      <w:sz w:val="20"/>
      <w:szCs w:val="20"/>
    </w:rPr>
  </w:style>
  <w:style w:type="paragraph" w:customStyle="1" w:styleId="TableRedBullets-IPR">
    <w:name w:val="TableRedBullets-IPR"/>
    <w:link w:val="TableRedBullets-IPRChar"/>
    <w:qFormat/>
    <w:rsid w:val="00187EDD"/>
    <w:pPr>
      <w:numPr>
        <w:numId w:val="18"/>
      </w:numPr>
    </w:pPr>
    <w:rPr>
      <w:rFonts w:ascii="Calibri" w:hAnsi="Calibri" w:cstheme="minorHAnsi"/>
      <w:sz w:val="20"/>
      <w:szCs w:val="20"/>
    </w:rPr>
  </w:style>
  <w:style w:type="character" w:customStyle="1" w:styleId="TableRedBullets-IPRChar">
    <w:name w:val="TableRedBullets-IPR Char"/>
    <w:basedOn w:val="DefaultParagraphFont"/>
    <w:link w:val="TableRedBullets-IPR"/>
    <w:rsid w:val="00187EDD"/>
    <w:rPr>
      <w:rFonts w:ascii="Calibri" w:hAnsi="Calibri" w:cstheme="minorHAnsi"/>
      <w:sz w:val="20"/>
      <w:szCs w:val="20"/>
    </w:rPr>
  </w:style>
  <w:style w:type="numbering" w:customStyle="1" w:styleId="TableRedNumbersList-IPR">
    <w:name w:val="TableRedNumbersList-IPR"/>
    <w:uiPriority w:val="99"/>
    <w:rsid w:val="00E17C6F"/>
    <w:pPr>
      <w:numPr>
        <w:numId w:val="4"/>
      </w:numPr>
    </w:pPr>
  </w:style>
  <w:style w:type="numbering" w:customStyle="1" w:styleId="TableRedBulletsList-IPR">
    <w:name w:val="TableRedBulletsList-IPR"/>
    <w:uiPriority w:val="99"/>
    <w:rsid w:val="00187EDD"/>
    <w:pPr>
      <w:numPr>
        <w:numId w:val="5"/>
      </w:numPr>
    </w:pPr>
  </w:style>
  <w:style w:type="numbering" w:customStyle="1" w:styleId="TableBlackBulletsList-IPR">
    <w:name w:val="TableBlackBulletsList-IPR"/>
    <w:uiPriority w:val="99"/>
    <w:rsid w:val="00CB366C"/>
    <w:pPr>
      <w:numPr>
        <w:numId w:val="6"/>
      </w:numPr>
    </w:pPr>
  </w:style>
  <w:style w:type="numbering" w:customStyle="1" w:styleId="Bullets11ptTNRList">
    <w:name w:val="Bullets11ptTNRList"/>
    <w:uiPriority w:val="99"/>
    <w:rsid w:val="001731A7"/>
    <w:pPr>
      <w:numPr>
        <w:numId w:val="7"/>
      </w:numPr>
    </w:pPr>
  </w:style>
  <w:style w:type="numbering" w:customStyle="1" w:styleId="TableBlackNumbersList-IPR">
    <w:name w:val="TableBlackNumbersList-IPR"/>
    <w:uiPriority w:val="99"/>
    <w:rsid w:val="00411150"/>
    <w:pPr>
      <w:numPr>
        <w:numId w:val="8"/>
      </w:numPr>
    </w:pPr>
  </w:style>
  <w:style w:type="paragraph" w:customStyle="1" w:styleId="Refs12ptCalibri-IPR">
    <w:name w:val="Refs12ptCalibri-IPR"/>
    <w:link w:val="Refs12ptCalibri-IPRChar"/>
    <w:qFormat/>
    <w:rsid w:val="007D3D41"/>
    <w:pPr>
      <w:spacing w:after="240"/>
      <w:ind w:left="720" w:hanging="720"/>
    </w:pPr>
    <w:rPr>
      <w:rFonts w:ascii="Calibri" w:eastAsia="Times New Roman" w:hAnsi="Calibri"/>
      <w:sz w:val="24"/>
    </w:rPr>
  </w:style>
  <w:style w:type="character" w:customStyle="1" w:styleId="Refs12ptCalibri-IPRChar">
    <w:name w:val="Refs12ptCalibri-IPR Char"/>
    <w:basedOn w:val="DefaultParagraphFont"/>
    <w:link w:val="Refs12ptCalibri-IPR"/>
    <w:rsid w:val="007D3D41"/>
    <w:rPr>
      <w:rFonts w:ascii="Calibri" w:eastAsia="Times New Roman" w:hAnsi="Calibri"/>
      <w:sz w:val="24"/>
    </w:rPr>
  </w:style>
  <w:style w:type="character" w:styleId="CommentReference">
    <w:name w:val="annotation reference"/>
    <w:basedOn w:val="DefaultParagraphFont"/>
    <w:uiPriority w:val="99"/>
    <w:unhideWhenUsed/>
    <w:rsid w:val="00752810"/>
    <w:rPr>
      <w:sz w:val="16"/>
      <w:szCs w:val="16"/>
    </w:rPr>
  </w:style>
  <w:style w:type="paragraph" w:styleId="FootnoteText">
    <w:name w:val="footnote text"/>
    <w:link w:val="FootnoteTextChar"/>
    <w:uiPriority w:val="99"/>
    <w:unhideWhenUsed/>
    <w:rsid w:val="00753D22"/>
    <w:rPr>
      <w:rFonts w:eastAsia="Times New Roman"/>
      <w:sz w:val="16"/>
      <w:szCs w:val="20"/>
    </w:rPr>
  </w:style>
  <w:style w:type="character" w:customStyle="1" w:styleId="FootnoteTextChar">
    <w:name w:val="Footnote Text Char"/>
    <w:basedOn w:val="DefaultParagraphFont"/>
    <w:link w:val="FootnoteText"/>
    <w:uiPriority w:val="99"/>
    <w:rsid w:val="00753D22"/>
    <w:rPr>
      <w:rFonts w:eastAsia="Times New Roman"/>
      <w:sz w:val="16"/>
      <w:szCs w:val="20"/>
    </w:rPr>
  </w:style>
  <w:style w:type="paragraph" w:styleId="TOCHeading">
    <w:name w:val="TOC Heading"/>
    <w:basedOn w:val="Heading1"/>
    <w:next w:val="Normal"/>
    <w:uiPriority w:val="39"/>
    <w:unhideWhenUsed/>
    <w:rsid w:val="00D034C6"/>
    <w:pPr>
      <w:keepNext/>
      <w:keepLines/>
      <w:spacing w:before="480" w:line="276" w:lineRule="auto"/>
      <w:outlineLvl w:val="9"/>
    </w:pPr>
    <w:rPr>
      <w:rFonts w:asciiTheme="majorHAnsi" w:eastAsiaTheme="majorEastAsia" w:hAnsiTheme="majorHAnsi" w:cstheme="majorBidi"/>
      <w:caps w:val="0"/>
      <w:color w:val="365F91" w:themeColor="accent1" w:themeShade="BF"/>
      <w:lang w:eastAsia="ja-JP"/>
    </w:rPr>
  </w:style>
  <w:style w:type="paragraph" w:customStyle="1" w:styleId="TableBullets-IPR">
    <w:name w:val="TableBullets-IPR"/>
    <w:next w:val="TableText-IPR"/>
    <w:link w:val="TableBullets-IPRChar"/>
    <w:qFormat/>
    <w:rsid w:val="00CB366C"/>
    <w:pPr>
      <w:numPr>
        <w:numId w:val="20"/>
      </w:numPr>
      <w:outlineLvl w:val="0"/>
    </w:pPr>
    <w:rPr>
      <w:rFonts w:ascii="Calibri" w:hAnsi="Calibri" w:cstheme="minorHAnsi"/>
      <w:sz w:val="20"/>
      <w:szCs w:val="20"/>
    </w:rPr>
  </w:style>
  <w:style w:type="paragraph" w:customStyle="1" w:styleId="TableNumbers-IPR">
    <w:name w:val="TableNumbers-IPR"/>
    <w:next w:val="TableText-IPR"/>
    <w:link w:val="TableNumbers-IPRChar"/>
    <w:qFormat/>
    <w:rsid w:val="00411150"/>
    <w:pPr>
      <w:numPr>
        <w:numId w:val="8"/>
      </w:numPr>
      <w:outlineLvl w:val="0"/>
    </w:pPr>
    <w:rPr>
      <w:rFonts w:ascii="Calibri" w:hAnsi="Calibri" w:cstheme="minorHAnsi"/>
      <w:sz w:val="20"/>
      <w:szCs w:val="20"/>
    </w:rPr>
  </w:style>
  <w:style w:type="character" w:customStyle="1" w:styleId="TableBullets-IPRChar">
    <w:name w:val="TableBullets-IPR Char"/>
    <w:basedOn w:val="DefaultParagraphFont"/>
    <w:link w:val="TableBullets-IPR"/>
    <w:rsid w:val="00CB366C"/>
    <w:rPr>
      <w:rFonts w:ascii="Calibri" w:hAnsi="Calibri" w:cstheme="minorHAnsi"/>
      <w:sz w:val="20"/>
      <w:szCs w:val="20"/>
    </w:rPr>
  </w:style>
  <w:style w:type="character" w:customStyle="1" w:styleId="TableNumbers-IPRChar">
    <w:name w:val="TableNumbers-IPR Char"/>
    <w:basedOn w:val="DefaultParagraphFont"/>
    <w:link w:val="TableNumbers-IPR"/>
    <w:rsid w:val="00411150"/>
    <w:rPr>
      <w:rFonts w:ascii="Calibri" w:hAnsi="Calibri" w:cstheme="minorHAnsi"/>
      <w:sz w:val="20"/>
      <w:szCs w:val="20"/>
    </w:rPr>
  </w:style>
  <w:style w:type="paragraph" w:customStyle="1" w:styleId="Numbers11ptCalibri-IPR">
    <w:name w:val="Numbers11ptCalibri-IPR"/>
    <w:link w:val="Numbers11ptCalibri-IPRChar"/>
    <w:qFormat/>
    <w:rsid w:val="00E4559D"/>
    <w:pPr>
      <w:numPr>
        <w:numId w:val="16"/>
      </w:numPr>
      <w:spacing w:after="120"/>
    </w:pPr>
    <w:rPr>
      <w:rFonts w:asciiTheme="minorHAnsi" w:hAnsiTheme="minorHAnsi" w:cstheme="minorBidi"/>
    </w:rPr>
  </w:style>
  <w:style w:type="numbering" w:customStyle="1" w:styleId="Numbers11ptCalibriList">
    <w:name w:val="Numbers11ptCalibriList"/>
    <w:uiPriority w:val="99"/>
    <w:rsid w:val="008E0756"/>
    <w:pPr>
      <w:numPr>
        <w:numId w:val="11"/>
      </w:numPr>
    </w:pPr>
  </w:style>
  <w:style w:type="character" w:customStyle="1" w:styleId="Numbers11ptCalibri-IPRChar">
    <w:name w:val="Numbers11ptCalibri-IPR Char"/>
    <w:basedOn w:val="DefaultParagraphFont"/>
    <w:link w:val="Numbers11ptCalibri-IPR"/>
    <w:rsid w:val="00E4559D"/>
    <w:rPr>
      <w:rFonts w:asciiTheme="minorHAnsi" w:hAnsiTheme="minorHAnsi" w:cstheme="minorBidi"/>
    </w:rPr>
  </w:style>
  <w:style w:type="paragraph" w:customStyle="1" w:styleId="Numbers12ptCalibri-IPR">
    <w:name w:val="Numbers12ptCalibri-IPR"/>
    <w:link w:val="Numbers12ptCalibri-IPRChar"/>
    <w:qFormat/>
    <w:rsid w:val="00E4559D"/>
    <w:pPr>
      <w:numPr>
        <w:numId w:val="17"/>
      </w:numPr>
      <w:spacing w:after="120"/>
    </w:pPr>
    <w:rPr>
      <w:rFonts w:ascii="Calibri" w:hAnsi="Calibri" w:cstheme="minorBidi"/>
      <w:sz w:val="24"/>
    </w:rPr>
  </w:style>
  <w:style w:type="numbering" w:customStyle="1" w:styleId="Numbers12ptCalibriList">
    <w:name w:val="Numbers12ptCalibriList"/>
    <w:uiPriority w:val="99"/>
    <w:rsid w:val="008E0756"/>
    <w:pPr>
      <w:numPr>
        <w:numId w:val="12"/>
      </w:numPr>
    </w:pPr>
  </w:style>
  <w:style w:type="character" w:customStyle="1" w:styleId="Numbers12ptCalibri-IPRChar">
    <w:name w:val="Numbers12ptCalibri-IPR Char"/>
    <w:basedOn w:val="DefaultParagraphFont"/>
    <w:link w:val="Numbers12ptCalibri-IPR"/>
    <w:rsid w:val="00E4559D"/>
    <w:rPr>
      <w:rFonts w:ascii="Calibri" w:hAnsi="Calibri" w:cstheme="minorBidi"/>
      <w:sz w:val="24"/>
    </w:rPr>
  </w:style>
  <w:style w:type="paragraph" w:customStyle="1" w:styleId="Bullets11ptCalibri-IPR">
    <w:name w:val="Bullets11ptCalibri-IPR"/>
    <w:link w:val="Bullets11ptCalibri-IPRChar"/>
    <w:rsid w:val="00E4559D"/>
    <w:pPr>
      <w:numPr>
        <w:numId w:val="22"/>
      </w:numPr>
      <w:spacing w:after="120"/>
    </w:pPr>
    <w:rPr>
      <w:rFonts w:ascii="Calibri" w:hAnsi="Calibri" w:cstheme="minorBidi"/>
    </w:rPr>
  </w:style>
  <w:style w:type="numbering" w:customStyle="1" w:styleId="Bullets11ptCalibriList">
    <w:name w:val="Bullets11ptCalibriList"/>
    <w:uiPriority w:val="99"/>
    <w:rsid w:val="008E0756"/>
    <w:pPr>
      <w:numPr>
        <w:numId w:val="13"/>
      </w:numPr>
    </w:pPr>
  </w:style>
  <w:style w:type="character" w:customStyle="1" w:styleId="Bullets11ptCalibri-IPRChar">
    <w:name w:val="Bullets11ptCalibri-IPR Char"/>
    <w:basedOn w:val="DefaultParagraphFont"/>
    <w:link w:val="Bullets11ptCalibri-IPR"/>
    <w:rsid w:val="00E4559D"/>
    <w:rPr>
      <w:rFonts w:ascii="Calibri" w:hAnsi="Calibri" w:cstheme="minorBidi"/>
    </w:rPr>
  </w:style>
  <w:style w:type="paragraph" w:customStyle="1" w:styleId="Bullets12ptCalibri-IPR">
    <w:name w:val="Bullets12ptCalibri-IPR"/>
    <w:link w:val="Bullets12ptCalibri-IPRChar"/>
    <w:rsid w:val="00E4559D"/>
    <w:pPr>
      <w:numPr>
        <w:numId w:val="21"/>
      </w:numPr>
      <w:spacing w:after="120"/>
    </w:pPr>
    <w:rPr>
      <w:rFonts w:ascii="Calibri" w:hAnsi="Calibri" w:cstheme="minorBidi"/>
      <w:sz w:val="24"/>
      <w:szCs w:val="24"/>
    </w:rPr>
  </w:style>
  <w:style w:type="numbering" w:customStyle="1" w:styleId="Bullets12ptCalibriList">
    <w:name w:val="Bullets12ptCalibriList"/>
    <w:uiPriority w:val="99"/>
    <w:rsid w:val="008E0756"/>
    <w:pPr>
      <w:numPr>
        <w:numId w:val="14"/>
      </w:numPr>
    </w:pPr>
  </w:style>
  <w:style w:type="character" w:customStyle="1" w:styleId="Bullets12ptCalibri-IPRChar">
    <w:name w:val="Bullets12ptCalibri-IPR Char"/>
    <w:basedOn w:val="DefaultParagraphFont"/>
    <w:link w:val="Bullets12ptCalibri-IPR"/>
    <w:rsid w:val="00E4559D"/>
    <w:rPr>
      <w:rFonts w:ascii="Calibri" w:hAnsi="Calibri" w:cstheme="minorBidi"/>
      <w:sz w:val="24"/>
      <w:szCs w:val="24"/>
    </w:rPr>
  </w:style>
  <w:style w:type="numbering" w:customStyle="1" w:styleId="Bullets12ptTNRList">
    <w:name w:val="Bullets12ptTNRList"/>
    <w:uiPriority w:val="99"/>
    <w:rsid w:val="008E0756"/>
    <w:pPr>
      <w:numPr>
        <w:numId w:val="15"/>
      </w:numPr>
    </w:pPr>
  </w:style>
  <w:style w:type="character" w:customStyle="1" w:styleId="TableofFiguresChar">
    <w:name w:val="Table of Figures Char"/>
    <w:basedOn w:val="DefaultParagraphFont"/>
    <w:link w:val="TableofFigures"/>
    <w:uiPriority w:val="99"/>
    <w:rsid w:val="00500B54"/>
    <w:rPr>
      <w:rFonts w:ascii="Calibri" w:eastAsia="Times New Roman" w:hAnsi="Calibri"/>
      <w:sz w:val="24"/>
      <w:szCs w:val="20"/>
    </w:rPr>
  </w:style>
  <w:style w:type="character" w:customStyle="1" w:styleId="Refs11ptCalibri-IPRChar">
    <w:name w:val="Refs11ptCalibri-IPR Char"/>
    <w:basedOn w:val="DefaultParagraphFont"/>
    <w:link w:val="Refs11ptCalibri-IPR"/>
    <w:rsid w:val="00E32422"/>
    <w:rPr>
      <w:rFonts w:ascii="Calibri" w:eastAsia="Times New Roman" w:hAnsi="Calibri"/>
    </w:rPr>
  </w:style>
  <w:style w:type="paragraph" w:customStyle="1" w:styleId="TOCChapterPage-IPR">
    <w:name w:val="TOCChapterPage-IPR"/>
    <w:link w:val="TOCChapterPage-IPRChar"/>
    <w:qFormat/>
    <w:rsid w:val="006F36D4"/>
    <w:pPr>
      <w:tabs>
        <w:tab w:val="right" w:pos="9360"/>
      </w:tabs>
    </w:pPr>
    <w:rPr>
      <w:rFonts w:ascii="Calibri" w:eastAsia="Times New Roman" w:hAnsi="Calibri" w:cs="Arial"/>
      <w:b/>
      <w:caps/>
      <w:sz w:val="24"/>
      <w:szCs w:val="24"/>
    </w:rPr>
  </w:style>
  <w:style w:type="character" w:customStyle="1" w:styleId="TOC3Char">
    <w:name w:val="TOC 3 Char"/>
    <w:basedOn w:val="DefaultParagraphFont"/>
    <w:link w:val="TOC3"/>
    <w:uiPriority w:val="39"/>
    <w:rsid w:val="00500B54"/>
    <w:rPr>
      <w:rFonts w:ascii="Calibri" w:eastAsia="Times New Roman" w:hAnsi="Calibri"/>
      <w:iCs/>
      <w:sz w:val="24"/>
      <w:szCs w:val="20"/>
    </w:rPr>
  </w:style>
  <w:style w:type="character" w:customStyle="1" w:styleId="TOCChapterPage-IPRChar">
    <w:name w:val="TOCChapterPage-IPR Char"/>
    <w:basedOn w:val="DefaultParagraphFont"/>
    <w:link w:val="TOCChapterPage-IPR"/>
    <w:rsid w:val="006F36D4"/>
    <w:rPr>
      <w:rFonts w:ascii="Calibri" w:eastAsia="Times New Roman" w:hAnsi="Calibri" w:cs="Arial"/>
      <w:b/>
      <w:caps/>
      <w:sz w:val="24"/>
      <w:szCs w:val="24"/>
    </w:rPr>
  </w:style>
  <w:style w:type="paragraph" w:styleId="TableofFigures">
    <w:name w:val="table of figures"/>
    <w:link w:val="TableofFiguresChar"/>
    <w:uiPriority w:val="99"/>
    <w:unhideWhenUsed/>
    <w:rsid w:val="00500B54"/>
    <w:pPr>
      <w:ind w:left="480" w:hanging="480"/>
    </w:pPr>
    <w:rPr>
      <w:rFonts w:ascii="Calibri" w:eastAsia="Times New Roman" w:hAnsi="Calibri"/>
      <w:sz w:val="24"/>
      <w:szCs w:val="20"/>
    </w:rPr>
  </w:style>
  <w:style w:type="paragraph" w:customStyle="1" w:styleId="BlankHeaderFooter-IPR">
    <w:name w:val="BlankHeaderFooter-IPR"/>
    <w:link w:val="BlankHeaderFooter-IPRChar"/>
    <w:qFormat/>
    <w:rsid w:val="008348FA"/>
    <w:rPr>
      <w:rFonts w:ascii="Arial" w:eastAsia="Times New Roman" w:hAnsi="Arial" w:cs="Arial"/>
      <w:sz w:val="18"/>
      <w:szCs w:val="18"/>
    </w:rPr>
  </w:style>
  <w:style w:type="character" w:customStyle="1" w:styleId="BlankHeaderFooter-IPRChar">
    <w:name w:val="BlankHeaderFooter-IPR Char"/>
    <w:basedOn w:val="DefaultParagraphFont"/>
    <w:link w:val="BlankHeaderFooter-IPR"/>
    <w:rsid w:val="008348FA"/>
    <w:rPr>
      <w:rFonts w:ascii="Arial" w:eastAsia="Times New Roman" w:hAnsi="Arial" w:cs="Arial"/>
      <w:sz w:val="18"/>
      <w:szCs w:val="18"/>
    </w:rPr>
  </w:style>
  <w:style w:type="paragraph" w:customStyle="1" w:styleId="Hdng4Calibri-IPR">
    <w:name w:val="Hdng4Calibri-IPR"/>
    <w:link w:val="Hdng4Calibri-IPRChar"/>
    <w:qFormat/>
    <w:rsid w:val="00C51750"/>
    <w:pPr>
      <w:keepNext/>
      <w:spacing w:after="240"/>
    </w:pPr>
    <w:rPr>
      <w:rFonts w:ascii="Calibri" w:eastAsia="Times New Roman" w:hAnsi="Calibri"/>
      <w:b/>
      <w:sz w:val="24"/>
      <w:szCs w:val="24"/>
    </w:rPr>
  </w:style>
  <w:style w:type="paragraph" w:customStyle="1" w:styleId="Hdng5Calibri-IPR">
    <w:name w:val="Hdng5Calibri-IPR"/>
    <w:link w:val="Hdng5Calibri-IPRChar"/>
    <w:qFormat/>
    <w:rsid w:val="0028027F"/>
    <w:pPr>
      <w:keepNext/>
      <w:spacing w:after="240"/>
    </w:pPr>
    <w:rPr>
      <w:rFonts w:ascii="Calibri" w:eastAsia="Times New Roman" w:hAnsi="Calibri"/>
      <w:b/>
      <w:i/>
      <w:sz w:val="24"/>
      <w:szCs w:val="24"/>
    </w:rPr>
  </w:style>
  <w:style w:type="character" w:customStyle="1" w:styleId="Hdng4Calibri-IPRChar">
    <w:name w:val="Hdng4Calibri-IPR Char"/>
    <w:basedOn w:val="DefaultParagraphFont"/>
    <w:link w:val="Hdng4Calibri-IPR"/>
    <w:rsid w:val="00C51750"/>
    <w:rPr>
      <w:rFonts w:ascii="Calibri" w:eastAsia="Times New Roman" w:hAnsi="Calibri"/>
      <w:b/>
      <w:sz w:val="24"/>
      <w:szCs w:val="24"/>
    </w:rPr>
  </w:style>
  <w:style w:type="character" w:customStyle="1" w:styleId="Hdng5Calibri-IPRChar">
    <w:name w:val="Hdng5Calibri-IPR Char"/>
    <w:basedOn w:val="DefaultParagraphFont"/>
    <w:link w:val="Hdng5Calibri-IPR"/>
    <w:rsid w:val="0028027F"/>
    <w:rPr>
      <w:rFonts w:ascii="Calibri" w:eastAsia="Times New Roman" w:hAnsi="Calibri"/>
      <w:b/>
      <w:i/>
      <w:sz w:val="24"/>
      <w:szCs w:val="24"/>
    </w:rPr>
  </w:style>
  <w:style w:type="paragraph" w:customStyle="1" w:styleId="Hdng6Calibri-IPR">
    <w:name w:val="Hdng6Calibri-IPR"/>
    <w:link w:val="Hdng6Calibri-IPRChar"/>
    <w:qFormat/>
    <w:rsid w:val="0028027F"/>
    <w:pPr>
      <w:keepNext/>
      <w:spacing w:after="240"/>
    </w:pPr>
    <w:rPr>
      <w:rFonts w:ascii="Calibri" w:eastAsia="Times New Roman" w:hAnsi="Calibri"/>
      <w:i/>
      <w:sz w:val="24"/>
      <w:szCs w:val="24"/>
    </w:rPr>
  </w:style>
  <w:style w:type="character" w:customStyle="1" w:styleId="Hdng6Calibri-IPRChar">
    <w:name w:val="Hdng6Calibri-IPR Char"/>
    <w:basedOn w:val="DefaultParagraphFont"/>
    <w:link w:val="Hdng6Calibri-IPR"/>
    <w:rsid w:val="0028027F"/>
    <w:rPr>
      <w:rFonts w:ascii="Calibri" w:eastAsia="Times New Roman" w:hAnsi="Calibri"/>
      <w:i/>
      <w:sz w:val="24"/>
      <w:szCs w:val="24"/>
    </w:rPr>
  </w:style>
  <w:style w:type="paragraph" w:customStyle="1" w:styleId="TableHeaderCenter">
    <w:name w:val="Table Header Center"/>
    <w:basedOn w:val="Normal"/>
    <w:qFormat/>
    <w:rsid w:val="00F71F16"/>
    <w:pPr>
      <w:tabs>
        <w:tab w:val="left" w:pos="432"/>
      </w:tabs>
      <w:spacing w:before="120" w:after="60"/>
      <w:jc w:val="center"/>
    </w:pPr>
    <w:rPr>
      <w:rFonts w:ascii="Lucida Sans" w:hAnsi="Lucida Sans"/>
      <w:sz w:val="18"/>
    </w:rPr>
  </w:style>
  <w:style w:type="paragraph" w:customStyle="1" w:styleId="CalibriText-noindent">
    <w:name w:val="CalibriText-no indent"/>
    <w:rsid w:val="00500C20"/>
    <w:pPr>
      <w:keepNext/>
      <w:keepLines/>
      <w:spacing w:after="240"/>
    </w:pPr>
    <w:rPr>
      <w:rFonts w:ascii="Calibri" w:eastAsia="Times New Roman" w:hAnsi="Calibri" w:cs="Calibri"/>
      <w:sz w:val="24"/>
      <w:szCs w:val="24"/>
    </w:rPr>
  </w:style>
  <w:style w:type="paragraph" w:customStyle="1" w:styleId="BulletsRed-IPR">
    <w:name w:val="BulletsRed-IPR"/>
    <w:link w:val="BulletsRed-IPRChar"/>
    <w:qFormat/>
    <w:rsid w:val="00641B88"/>
    <w:pPr>
      <w:numPr>
        <w:numId w:val="23"/>
      </w:numPr>
      <w:spacing w:line="480" w:lineRule="exact"/>
    </w:pPr>
    <w:rPr>
      <w:rFonts w:ascii="Calibri" w:hAnsi="Calibri"/>
      <w:szCs w:val="24"/>
    </w:rPr>
  </w:style>
  <w:style w:type="character" w:customStyle="1" w:styleId="BulletsRed-IPRChar">
    <w:name w:val="BulletsRed-IPR Char"/>
    <w:basedOn w:val="DefaultParagraphFont"/>
    <w:link w:val="BulletsRed-IPR"/>
    <w:rsid w:val="00641B88"/>
    <w:rPr>
      <w:rFonts w:ascii="Calibri" w:hAnsi="Calibri"/>
      <w:szCs w:val="24"/>
    </w:rPr>
  </w:style>
  <w:style w:type="paragraph" w:customStyle="1" w:styleId="Instructions">
    <w:name w:val="Instructions"/>
    <w:basedOn w:val="Hdng4Calibri-IPR"/>
    <w:link w:val="InstructionsChar"/>
    <w:qFormat/>
    <w:rsid w:val="00742BA3"/>
    <w:pPr>
      <w:spacing w:line="480" w:lineRule="auto"/>
    </w:pPr>
    <w:rPr>
      <w:rFonts w:ascii="Candara" w:hAnsi="Candara"/>
      <w:sz w:val="22"/>
    </w:rPr>
  </w:style>
  <w:style w:type="paragraph" w:customStyle="1" w:styleId="NewHeading1">
    <w:name w:val="New Heading 1"/>
    <w:basedOn w:val="Hdng2-IPR"/>
    <w:link w:val="NewHeading1Char"/>
    <w:qFormat/>
    <w:rsid w:val="00742BA3"/>
    <w:pPr>
      <w:numPr>
        <w:numId w:val="0"/>
      </w:numPr>
      <w:spacing w:line="480" w:lineRule="auto"/>
      <w:ind w:left="720" w:hanging="720"/>
    </w:pPr>
    <w:rPr>
      <w:rFonts w:ascii="Candara" w:hAnsi="Candara"/>
      <w:caps w:val="0"/>
      <w:color w:val="B32732"/>
      <w:sz w:val="28"/>
    </w:rPr>
  </w:style>
  <w:style w:type="character" w:customStyle="1" w:styleId="InstructionsChar">
    <w:name w:val="Instructions Char"/>
    <w:basedOn w:val="Hdng4Calibri-IPRChar"/>
    <w:link w:val="Instructions"/>
    <w:rsid w:val="00742BA3"/>
    <w:rPr>
      <w:rFonts w:ascii="Candara" w:eastAsia="Times New Roman" w:hAnsi="Candara"/>
      <w:b/>
      <w:sz w:val="24"/>
      <w:szCs w:val="24"/>
    </w:rPr>
  </w:style>
  <w:style w:type="paragraph" w:customStyle="1" w:styleId="NewHeading2">
    <w:name w:val="New Heading 2"/>
    <w:basedOn w:val="Hdng3-IPR"/>
    <w:link w:val="NewHeading2Char"/>
    <w:qFormat/>
    <w:rsid w:val="00D672F3"/>
    <w:pPr>
      <w:spacing w:line="480" w:lineRule="auto"/>
    </w:pPr>
    <w:rPr>
      <w:color w:val="B12732"/>
      <w:sz w:val="28"/>
    </w:rPr>
  </w:style>
  <w:style w:type="character" w:customStyle="1" w:styleId="NewHeading1Char">
    <w:name w:val="New Heading 1 Char"/>
    <w:basedOn w:val="Hdng2-IPRChar"/>
    <w:link w:val="NewHeading1"/>
    <w:rsid w:val="00742BA3"/>
    <w:rPr>
      <w:rFonts w:ascii="Candara" w:eastAsia="Calibri" w:hAnsi="Candara" w:cs="Arial"/>
      <w:b/>
      <w:caps w:val="0"/>
      <w:color w:val="B32732"/>
      <w:sz w:val="28"/>
      <w:szCs w:val="24"/>
    </w:rPr>
  </w:style>
  <w:style w:type="character" w:customStyle="1" w:styleId="NewHeading2Char">
    <w:name w:val="New Heading 2 Char"/>
    <w:basedOn w:val="Hdng3-IPRChar"/>
    <w:link w:val="NewHeading2"/>
    <w:rsid w:val="00D672F3"/>
    <w:rPr>
      <w:rFonts w:ascii="Candara" w:eastAsia="Times New Roman" w:hAnsi="Candara" w:cs="Arial"/>
      <w:b/>
      <w:color w:val="B12732"/>
      <w:sz w:val="28"/>
      <w:szCs w:val="24"/>
    </w:rPr>
  </w:style>
  <w:style w:type="character" w:customStyle="1" w:styleId="NewHeading1Char0">
    <w:name w:val="NewHeading1 Char"/>
    <w:basedOn w:val="DefaultParagraphFont"/>
    <w:link w:val="NewHeading10"/>
    <w:locked/>
    <w:rsid w:val="00D672F3"/>
    <w:rPr>
      <w:rFonts w:ascii="Candara" w:eastAsiaTheme="majorEastAsia" w:hAnsi="Candara" w:cstheme="majorBidi"/>
      <w:b/>
      <w:bCs/>
      <w:color w:val="B12732"/>
      <w:sz w:val="36"/>
      <w:szCs w:val="36"/>
    </w:rPr>
  </w:style>
  <w:style w:type="paragraph" w:customStyle="1" w:styleId="NewHeading10">
    <w:name w:val="NewHeading1"/>
    <w:basedOn w:val="Normal"/>
    <w:link w:val="NewHeading1Char0"/>
    <w:qFormat/>
    <w:rsid w:val="00D672F3"/>
    <w:pPr>
      <w:keepNext/>
      <w:keepLines/>
      <w:pBdr>
        <w:bottom w:val="single" w:sz="12" w:space="1" w:color="6C7066"/>
      </w:pBdr>
      <w:spacing w:after="240"/>
      <w:jc w:val="center"/>
    </w:pPr>
    <w:rPr>
      <w:rFonts w:ascii="Candara" w:eastAsiaTheme="majorEastAsia" w:hAnsi="Candara" w:cstheme="majorBidi"/>
      <w:b/>
      <w:bCs/>
      <w:color w:val="B12732"/>
      <w:sz w:val="36"/>
      <w:szCs w:val="36"/>
    </w:rPr>
  </w:style>
  <w:style w:type="paragraph" w:customStyle="1" w:styleId="Newheading3">
    <w:name w:val="New heading3"/>
    <w:basedOn w:val="Body12ptCalibri-IPR"/>
    <w:link w:val="Newheading3Char"/>
    <w:qFormat/>
    <w:rsid w:val="00D672F3"/>
    <w:pPr>
      <w:spacing w:line="480" w:lineRule="auto"/>
    </w:pPr>
    <w:rPr>
      <w:rFonts w:ascii="Candara" w:hAnsi="Candara"/>
      <w:b/>
      <w:color w:val="B12732"/>
      <w:sz w:val="24"/>
    </w:rPr>
  </w:style>
  <w:style w:type="character" w:customStyle="1" w:styleId="Newheading3Char">
    <w:name w:val="New heading3 Char"/>
    <w:basedOn w:val="Body12ptCalibri-IPRChar"/>
    <w:link w:val="Newheading3"/>
    <w:rsid w:val="00D672F3"/>
    <w:rPr>
      <w:rFonts w:ascii="Candara" w:eastAsia="Times New Roman" w:hAnsi="Candara"/>
      <w:b/>
      <w:color w:val="B12732"/>
      <w:sz w:val="24"/>
      <w:szCs w:val="24"/>
    </w:rPr>
  </w:style>
  <w:style w:type="character" w:styleId="LineNumber">
    <w:name w:val="line number"/>
    <w:basedOn w:val="DefaultParagraphFont"/>
    <w:uiPriority w:val="99"/>
    <w:semiHidden/>
    <w:unhideWhenUsed/>
    <w:rsid w:val="00B27AFC"/>
  </w:style>
  <w:style w:type="paragraph" w:customStyle="1" w:styleId="Heading4NoLetter-IPR">
    <w:name w:val="Heading4NoLetter-IPR"/>
    <w:link w:val="Heading4NoLetter-IPRChar"/>
    <w:qFormat/>
    <w:rsid w:val="007433EF"/>
    <w:pPr>
      <w:keepNext/>
      <w:spacing w:after="240"/>
    </w:pPr>
    <w:rPr>
      <w:rFonts w:ascii="Candara" w:hAnsi="Candara" w:cstheme="minorBidi"/>
      <w:b/>
      <w:i/>
      <w:color w:val="B12732"/>
      <w:sz w:val="24"/>
    </w:rPr>
  </w:style>
  <w:style w:type="numbering" w:customStyle="1" w:styleId="BulletListStyleRed-IPR">
    <w:name w:val="BulletListStyleRed-IPR"/>
    <w:uiPriority w:val="99"/>
    <w:rsid w:val="00C35912"/>
    <w:pPr>
      <w:numPr>
        <w:numId w:val="24"/>
      </w:numPr>
    </w:pPr>
  </w:style>
  <w:style w:type="character" w:customStyle="1" w:styleId="Heading4NoLetter-IPRChar">
    <w:name w:val="Heading4NoLetter-IPR Char"/>
    <w:basedOn w:val="DefaultParagraphFont"/>
    <w:link w:val="Heading4NoLetter-IPR"/>
    <w:rsid w:val="007433EF"/>
    <w:rPr>
      <w:rFonts w:ascii="Candara" w:hAnsi="Candara" w:cstheme="minorBidi"/>
      <w:b/>
      <w:i/>
      <w:color w:val="B12732"/>
      <w:sz w:val="24"/>
    </w:rPr>
  </w:style>
  <w:style w:type="paragraph" w:customStyle="1" w:styleId="SubbulletRedLevelTwo">
    <w:name w:val="SubbulletRedLevelTwo"/>
    <w:basedOn w:val="BulletsRed-IPR"/>
    <w:qFormat/>
    <w:rsid w:val="00C35912"/>
    <w:pPr>
      <w:numPr>
        <w:numId w:val="0"/>
      </w:numPr>
      <w:tabs>
        <w:tab w:val="num" w:pos="360"/>
      </w:tabs>
      <w:spacing w:line="240" w:lineRule="auto"/>
      <w:ind w:left="1080" w:hanging="360"/>
    </w:pPr>
  </w:style>
  <w:style w:type="paragraph" w:customStyle="1" w:styleId="SubbulletRedLevelThree">
    <w:name w:val="SubbulletRedLevelThree"/>
    <w:basedOn w:val="SubbulletRedLevelTwo"/>
    <w:qFormat/>
    <w:rsid w:val="00C35912"/>
    <w:pPr>
      <w:ind w:left="1440"/>
    </w:pPr>
  </w:style>
  <w:style w:type="numbering" w:customStyle="1" w:styleId="NumbersListStyleRed-IPR">
    <w:name w:val="NumbersListStyleRed-IPR"/>
    <w:uiPriority w:val="99"/>
    <w:rsid w:val="00EC5697"/>
    <w:pPr>
      <w:numPr>
        <w:numId w:val="26"/>
      </w:numPr>
    </w:pPr>
  </w:style>
  <w:style w:type="paragraph" w:customStyle="1" w:styleId="NumbersRed-IPR">
    <w:name w:val="NumbersRed-IPR"/>
    <w:link w:val="NumbersRed-IPRChar"/>
    <w:qFormat/>
    <w:rsid w:val="00641B88"/>
    <w:pPr>
      <w:numPr>
        <w:numId w:val="27"/>
      </w:numPr>
      <w:spacing w:line="480" w:lineRule="exact"/>
    </w:pPr>
    <w:rPr>
      <w:rFonts w:ascii="Calibri" w:hAnsi="Calibri" w:cstheme="minorBidi"/>
    </w:rPr>
  </w:style>
  <w:style w:type="character" w:customStyle="1" w:styleId="NumbersRed-IPRChar">
    <w:name w:val="NumbersRed-IPR Char"/>
    <w:basedOn w:val="DefaultParagraphFont"/>
    <w:link w:val="NumbersRed-IPR"/>
    <w:rsid w:val="00641B88"/>
    <w:rPr>
      <w:rFonts w:ascii="Calibri" w:hAnsi="Calibri" w:cstheme="minorBidi"/>
    </w:rPr>
  </w:style>
  <w:style w:type="paragraph" w:customStyle="1" w:styleId="BodyText-IPR">
    <w:name w:val="BodyText-IPR"/>
    <w:link w:val="BodyText-IPRChar"/>
    <w:qFormat/>
    <w:rsid w:val="00EC5697"/>
    <w:pPr>
      <w:spacing w:after="240"/>
    </w:pPr>
    <w:rPr>
      <w:rFonts w:ascii="Calibri" w:hAnsi="Calibri" w:cstheme="minorBidi"/>
    </w:rPr>
  </w:style>
  <w:style w:type="character" w:customStyle="1" w:styleId="BodyText-IPRChar">
    <w:name w:val="BodyText-IPR Char"/>
    <w:basedOn w:val="DefaultParagraphFont"/>
    <w:link w:val="BodyText-IPR"/>
    <w:rsid w:val="00EC5697"/>
    <w:rPr>
      <w:rFonts w:ascii="Calibri" w:hAnsi="Calibri" w:cstheme="minorBidi"/>
    </w:rPr>
  </w:style>
  <w:style w:type="paragraph" w:customStyle="1" w:styleId="Heading2-IPR">
    <w:name w:val="Heading2-IPR"/>
    <w:link w:val="Heading2-IPRChar"/>
    <w:qFormat/>
    <w:rsid w:val="007433EF"/>
    <w:pPr>
      <w:keepNext/>
      <w:numPr>
        <w:numId w:val="28"/>
      </w:numPr>
      <w:pBdr>
        <w:bottom w:val="dotted" w:sz="4" w:space="1" w:color="auto"/>
      </w:pBdr>
      <w:tabs>
        <w:tab w:val="left" w:pos="360"/>
      </w:tabs>
      <w:spacing w:after="240"/>
      <w:outlineLvl w:val="1"/>
    </w:pPr>
    <w:rPr>
      <w:rFonts w:ascii="Candara" w:eastAsiaTheme="majorEastAsia" w:hAnsi="Candara" w:cstheme="majorBidi"/>
      <w:b/>
      <w:bCs/>
      <w:color w:val="B12732"/>
      <w:sz w:val="28"/>
      <w:szCs w:val="26"/>
    </w:rPr>
  </w:style>
  <w:style w:type="character" w:customStyle="1" w:styleId="Heading2-IPRChar">
    <w:name w:val="Heading2-IPR Char"/>
    <w:basedOn w:val="Heading2Char"/>
    <w:link w:val="Heading2-IPR"/>
    <w:rsid w:val="007433EF"/>
    <w:rPr>
      <w:rFonts w:ascii="Candara" w:eastAsiaTheme="majorEastAsia" w:hAnsi="Candara" w:cstheme="majorBidi"/>
      <w:b/>
      <w:bCs/>
      <w:caps w:val="0"/>
      <w:color w:val="B12732"/>
      <w:sz w:val="28"/>
      <w:szCs w:val="26"/>
    </w:rPr>
  </w:style>
  <w:style w:type="table" w:customStyle="1" w:styleId="InsightTable">
    <w:name w:val="Insight Table"/>
    <w:basedOn w:val="TableNormal"/>
    <w:uiPriority w:val="99"/>
    <w:rsid w:val="00AC44D8"/>
    <w:rPr>
      <w:rFonts w:ascii="Calibri" w:hAnsi="Calibri"/>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FooterRedInsight-IPR">
    <w:name w:val="FooterRedInsight-IPR"/>
    <w:link w:val="FooterRedInsight-IPRChar"/>
    <w:qFormat/>
    <w:rsid w:val="00267BFC"/>
    <w:pPr>
      <w:pBdr>
        <w:top w:val="single" w:sz="8" w:space="1" w:color="B12732"/>
      </w:pBdr>
    </w:pPr>
    <w:rPr>
      <w:rFonts w:ascii="Calibri" w:hAnsi="Calibri" w:cstheme="minorBidi"/>
      <w:i/>
      <w:color w:val="B12732"/>
      <w:sz w:val="20"/>
    </w:rPr>
  </w:style>
  <w:style w:type="character" w:customStyle="1" w:styleId="FooterRedInsight-IPRChar">
    <w:name w:val="FooterRedInsight-IPR Char"/>
    <w:basedOn w:val="DefaultParagraphFont"/>
    <w:link w:val="FooterRedInsight-IPR"/>
    <w:rsid w:val="00267BFC"/>
    <w:rPr>
      <w:rFonts w:ascii="Calibri" w:hAnsi="Calibri" w:cstheme="minorBidi"/>
      <w:i/>
      <w:color w:val="B12732"/>
      <w:sz w:val="20"/>
    </w:rPr>
  </w:style>
  <w:style w:type="paragraph" w:customStyle="1" w:styleId="FooterTitle-IPR">
    <w:name w:val="FooterTitle-IPR"/>
    <w:link w:val="FooterTitle-IPRChar"/>
    <w:qFormat/>
    <w:rsid w:val="00267BFC"/>
    <w:pPr>
      <w:pBdr>
        <w:top w:val="single" w:sz="8" w:space="1" w:color="B12732"/>
      </w:pBdr>
      <w:jc w:val="right"/>
    </w:pPr>
    <w:rPr>
      <w:rFonts w:ascii="Calibri" w:eastAsia="Times New Roman" w:hAnsi="Calibri" w:cs="Arial"/>
      <w:i/>
      <w:sz w:val="20"/>
      <w:szCs w:val="18"/>
    </w:rPr>
  </w:style>
  <w:style w:type="character" w:customStyle="1" w:styleId="FooterTitle-IPRChar">
    <w:name w:val="FooterTitle-IPR Char"/>
    <w:basedOn w:val="DefaultParagraphFont"/>
    <w:link w:val="FooterTitle-IPR"/>
    <w:rsid w:val="00267BFC"/>
    <w:rPr>
      <w:rFonts w:ascii="Calibri" w:eastAsia="Times New Roman" w:hAnsi="Calibri" w:cs="Arial"/>
      <w:i/>
      <w:sz w:val="20"/>
      <w:szCs w:val="18"/>
    </w:rPr>
  </w:style>
  <w:style w:type="paragraph" w:customStyle="1" w:styleId="Qyestion">
    <w:name w:val="Qyestion"/>
    <w:link w:val="QyestionChar"/>
    <w:qFormat/>
    <w:rsid w:val="00641B88"/>
    <w:rPr>
      <w:rFonts w:ascii="Candara" w:eastAsia="Times New Roman" w:hAnsi="Candara"/>
      <w:b/>
      <w:szCs w:val="24"/>
    </w:rPr>
  </w:style>
  <w:style w:type="paragraph" w:customStyle="1" w:styleId="TOCHeading2">
    <w:name w:val="TOCHeading2"/>
    <w:basedOn w:val="TOCChapterPage-IPR"/>
    <w:link w:val="TOCHeading2Char"/>
    <w:qFormat/>
    <w:rsid w:val="00641B88"/>
    <w:pPr>
      <w:pBdr>
        <w:bottom w:val="dotted" w:sz="4" w:space="1" w:color="auto"/>
      </w:pBdr>
      <w:tabs>
        <w:tab w:val="left" w:pos="720"/>
      </w:tabs>
      <w:spacing w:before="360" w:after="120"/>
    </w:pPr>
    <w:rPr>
      <w:rFonts w:ascii="Candara" w:hAnsi="Candara"/>
      <w:caps w:val="0"/>
      <w:color w:val="B12732"/>
      <w:sz w:val="28"/>
      <w:szCs w:val="28"/>
    </w:rPr>
  </w:style>
  <w:style w:type="character" w:customStyle="1" w:styleId="QyestionChar">
    <w:name w:val="Qyestion Char"/>
    <w:basedOn w:val="DefaultParagraphFont"/>
    <w:link w:val="Qyestion"/>
    <w:rsid w:val="00641B88"/>
    <w:rPr>
      <w:rFonts w:ascii="Candara" w:eastAsia="Times New Roman" w:hAnsi="Candara"/>
      <w:b/>
      <w:szCs w:val="24"/>
    </w:rPr>
  </w:style>
  <w:style w:type="character" w:customStyle="1" w:styleId="TOCHeading2Char">
    <w:name w:val="TOCHeading2 Char"/>
    <w:basedOn w:val="TOCChapterPage-IPRChar"/>
    <w:link w:val="TOCHeading2"/>
    <w:rsid w:val="00641B88"/>
    <w:rPr>
      <w:rFonts w:ascii="Candara" w:eastAsia="Times New Roman" w:hAnsi="Candara" w:cs="Arial"/>
      <w:b/>
      <w:caps w:val="0"/>
      <w:color w:val="B12732"/>
      <w:sz w:val="28"/>
      <w:szCs w:val="28"/>
    </w:rPr>
  </w:style>
  <w:style w:type="paragraph" w:customStyle="1" w:styleId="BodyTextMemo">
    <w:name w:val="Body Text Memo"/>
    <w:link w:val="BodyTextMemoChar"/>
    <w:qFormat/>
    <w:rsid w:val="00CA2057"/>
    <w:pPr>
      <w:spacing w:line="480" w:lineRule="auto"/>
      <w:jc w:val="both"/>
    </w:pPr>
    <w:rPr>
      <w:rFonts w:eastAsia="Calibri"/>
    </w:rPr>
  </w:style>
  <w:style w:type="character" w:customStyle="1" w:styleId="BodyTextMemoChar">
    <w:name w:val="Body Text Memo Char"/>
    <w:link w:val="BodyTextMemo"/>
    <w:rsid w:val="00CA2057"/>
    <w:rPr>
      <w:rFonts w:eastAsia="Calibri"/>
    </w:rPr>
  </w:style>
  <w:style w:type="paragraph" w:customStyle="1" w:styleId="TableParagraph">
    <w:name w:val="Table Paragraph"/>
    <w:basedOn w:val="Normal"/>
    <w:uiPriority w:val="1"/>
    <w:qFormat/>
    <w:rsid w:val="003D5F5A"/>
    <w:pPr>
      <w:widowControl w:val="0"/>
      <w:autoSpaceDE w:val="0"/>
      <w:autoSpaceDN w:val="0"/>
    </w:pPr>
    <w:rPr>
      <w:rFonts w:ascii="Calibri" w:eastAsia="Calibri" w:hAnsi="Calibri" w:cs="Calibri"/>
      <w:sz w:val="22"/>
      <w:szCs w:val="22"/>
    </w:rPr>
  </w:style>
  <w:style w:type="paragraph" w:customStyle="1" w:styleId="TableHeaderRow-IPR">
    <w:name w:val="TableHeaderRow-IPR"/>
    <w:link w:val="TableHeaderRow-IPRChar"/>
    <w:qFormat/>
    <w:rsid w:val="002B1B42"/>
    <w:pPr>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2B1B42"/>
    <w:rPr>
      <w:rFonts w:ascii="Lucida Sans" w:eastAsia="Times New Roman" w:hAnsi="Lucida Sans" w:cs="Lucida Sans Unicode"/>
      <w:b/>
      <w:sz w:val="18"/>
      <w:szCs w:val="24"/>
    </w:rPr>
  </w:style>
  <w:style w:type="paragraph" w:customStyle="1" w:styleId="FtnteTable-IPR">
    <w:name w:val="FtnteTable-IPR"/>
    <w:link w:val="FtnteTable-IPRChar"/>
    <w:qFormat/>
    <w:rsid w:val="002B1B42"/>
    <w:pPr>
      <w:spacing w:before="60" w:after="240"/>
      <w:contextualSpacing/>
    </w:pPr>
    <w:rPr>
      <w:rFonts w:ascii="Calibri" w:eastAsia="Calibri" w:hAnsi="Calibri" w:cs="Calibri"/>
      <w:sz w:val="18"/>
      <w:szCs w:val="20"/>
    </w:rPr>
  </w:style>
  <w:style w:type="character" w:customStyle="1" w:styleId="FtnteTable-IPRChar">
    <w:name w:val="FtnteTable-IPR Char"/>
    <w:basedOn w:val="DefaultParagraphFont"/>
    <w:link w:val="FtnteTable-IPR"/>
    <w:rsid w:val="002B1B42"/>
    <w:rPr>
      <w:rFonts w:ascii="Calibri" w:eastAsia="Calibri" w:hAnsi="Calibri" w:cs="Calibri"/>
      <w:sz w:val="18"/>
      <w:szCs w:val="20"/>
    </w:rPr>
  </w:style>
  <w:style w:type="character" w:customStyle="1" w:styleId="Body11ptCalibrDBi-IPRChar">
    <w:name w:val="Body11ptCalibrDBi-IPR Char"/>
    <w:basedOn w:val="DefaultParagraphFont"/>
    <w:link w:val="Body11ptCalibrDBi-IPR"/>
    <w:locked/>
    <w:rsid w:val="00760053"/>
    <w:rPr>
      <w:rFonts w:ascii="Calibri" w:eastAsia="Times New Roman" w:hAnsi="Calibri" w:cs="Calibri"/>
      <w:szCs w:val="24"/>
    </w:rPr>
  </w:style>
  <w:style w:type="paragraph" w:customStyle="1" w:styleId="Body11ptCalibrDBi-IPR">
    <w:name w:val="Body11ptCalibrDBi-IPR"/>
    <w:link w:val="Body11ptCalibrDBi-IPRChar"/>
    <w:qFormat/>
    <w:rsid w:val="00760053"/>
    <w:pPr>
      <w:spacing w:after="120" w:line="480" w:lineRule="exact"/>
    </w:pPr>
    <w:rPr>
      <w:rFonts w:ascii="Calibri" w:eastAsia="Times New Roman" w:hAnsi="Calibri" w:cs="Calibri"/>
      <w:szCs w:val="24"/>
    </w:rPr>
  </w:style>
  <w:style w:type="paragraph" w:styleId="NoSpacing">
    <w:name w:val="No Spacing"/>
    <w:uiPriority w:val="1"/>
    <w:qFormat/>
    <w:rsid w:val="00A77A82"/>
    <w:rPr>
      <w:rFonts w:asciiTheme="minorHAnsi" w:hAnsiTheme="minorHAnsi" w:cstheme="minorBidi"/>
    </w:rPr>
  </w:style>
  <w:style w:type="table" w:styleId="PlainTable1">
    <w:name w:val="Plain Table 1"/>
    <w:basedOn w:val="TableNormal"/>
    <w:uiPriority w:val="99"/>
    <w:rsid w:val="002D3C5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InsightTable1">
    <w:name w:val="Insight Table1"/>
    <w:basedOn w:val="TableNormal"/>
    <w:uiPriority w:val="99"/>
    <w:rsid w:val="00EC63B1"/>
    <w:rPr>
      <w:rFonts w:ascii="Calibri" w:hAnsi="Calibri"/>
      <w:sz w:val="20"/>
    </w:rPr>
    <w:tblPr>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CellMar>
        <w:left w:w="58" w:type="dxa"/>
        <w:right w:w="58" w:type="dxa"/>
      </w:tblCellMar>
    </w:tblPr>
    <w:tcPr>
      <w:tcMar>
        <w:left w:w="58" w:type="dxa"/>
        <w:right w:w="58" w:type="dxa"/>
      </w:tcMar>
      <w:vAlign w:val="center"/>
    </w:tcPr>
    <w:tblStylePr w:type="firstRow">
      <w:pPr>
        <w:jc w:val="center"/>
      </w:pPr>
      <w:rPr>
        <w:rFonts w:ascii="Century Gothic" w:hAnsi="Century Gothic"/>
        <w:sz w:val="20"/>
      </w:rPr>
      <w:tblPr/>
      <w:tcPr>
        <w:tcBorders>
          <w:top w:val="single" w:sz="8" w:space="0" w:color="B12732"/>
          <w:left w:val="nil"/>
          <w:bottom w:val="single" w:sz="8" w:space="0" w:color="B12732"/>
          <w:right w:val="nil"/>
          <w:insideH w:val="nil"/>
          <w:insideV w:val="nil"/>
          <w:tl2br w:val="nil"/>
          <w:tr2bl w:val="nil"/>
        </w:tcBorders>
      </w:tcPr>
    </w:tblStylePr>
  </w:style>
  <w:style w:type="character" w:styleId="UnresolvedMention">
    <w:name w:val="Unresolved Mention"/>
    <w:basedOn w:val="DefaultParagraphFont"/>
    <w:uiPriority w:val="99"/>
    <w:semiHidden/>
    <w:unhideWhenUsed/>
    <w:rsid w:val="001F6B1A"/>
    <w:rPr>
      <w:color w:val="605E5C"/>
      <w:shd w:val="clear" w:color="auto" w:fill="E1DFDD"/>
    </w:rPr>
  </w:style>
  <w:style w:type="paragraph" w:customStyle="1" w:styleId="TableTextLeft">
    <w:name w:val="Table Text Left"/>
    <w:qFormat/>
    <w:rsid w:val="002B0C69"/>
    <w:pPr>
      <w:spacing w:before="40" w:after="20" w:line="264" w:lineRule="auto"/>
    </w:pPr>
    <w:rPr>
      <w:rFonts w:asciiTheme="majorHAnsi" w:hAnsiTheme="majorHAnsi" w:cstheme="minorBidi"/>
      <w:color w:val="000000" w:themeColor="text1"/>
      <w:sz w:val="18"/>
    </w:rPr>
  </w:style>
  <w:style w:type="paragraph" w:customStyle="1" w:styleId="ParagraphContinued">
    <w:name w:val="Paragraph Continued"/>
    <w:basedOn w:val="Normal"/>
    <w:next w:val="Normal"/>
    <w:qFormat/>
    <w:rsid w:val="002B0C69"/>
    <w:pPr>
      <w:spacing w:before="160" w:after="160" w:line="264" w:lineRule="auto"/>
    </w:pPr>
    <w:rPr>
      <w:rFonts w:asciiTheme="minorHAnsi" w:eastAsiaTheme="minorHAnsi" w:hAnsiTheme="minorHAnsi" w:cstheme="minorBidi"/>
      <w:sz w:val="22"/>
      <w:szCs w:val="22"/>
    </w:rPr>
  </w:style>
  <w:style w:type="paragraph" w:styleId="List">
    <w:name w:val="List"/>
    <w:basedOn w:val="Normal"/>
    <w:uiPriority w:val="99"/>
    <w:rsid w:val="002B0C69"/>
    <w:pPr>
      <w:numPr>
        <w:numId w:val="37"/>
      </w:numPr>
      <w:spacing w:after="80" w:line="264" w:lineRule="auto"/>
    </w:pPr>
    <w:rPr>
      <w:rFonts w:asciiTheme="minorHAnsi" w:eastAsiaTheme="minorHAnsi" w:hAnsiTheme="minorHAnsi" w:cstheme="minorBidi"/>
      <w:sz w:val="22"/>
      <w:szCs w:val="22"/>
    </w:rPr>
  </w:style>
  <w:style w:type="paragraph" w:customStyle="1" w:styleId="TableTitle">
    <w:name w:val="Table Title"/>
    <w:basedOn w:val="Normal"/>
    <w:uiPriority w:val="1"/>
    <w:qFormat/>
    <w:rsid w:val="002B0C69"/>
    <w:pPr>
      <w:keepNext/>
      <w:keepLines/>
      <w:spacing w:before="40" w:after="40" w:line="264" w:lineRule="auto"/>
    </w:pPr>
    <w:rPr>
      <w:rFonts w:asciiTheme="majorHAnsi" w:eastAsiaTheme="minorHAnsi" w:hAnsiTheme="majorHAnsi" w:cstheme="minorBidi"/>
      <w:b/>
      <w:color w:val="000000" w:themeColor="text1"/>
      <w:sz w:val="20"/>
      <w:szCs w:val="22"/>
    </w:rPr>
  </w:style>
  <w:style w:type="paragraph" w:styleId="List2">
    <w:name w:val="List 2"/>
    <w:basedOn w:val="Normal"/>
    <w:uiPriority w:val="99"/>
    <w:rsid w:val="002B0C69"/>
    <w:pPr>
      <w:numPr>
        <w:ilvl w:val="1"/>
        <w:numId w:val="37"/>
      </w:numPr>
      <w:spacing w:after="160" w:line="264" w:lineRule="auto"/>
      <w:contextualSpacing/>
    </w:pPr>
    <w:rPr>
      <w:rFonts w:asciiTheme="minorHAnsi" w:eastAsiaTheme="minorHAnsi" w:hAnsiTheme="minorHAnsi" w:cstheme="minorBidi"/>
      <w:sz w:val="22"/>
      <w:szCs w:val="22"/>
    </w:rPr>
  </w:style>
  <w:style w:type="paragraph" w:styleId="List3">
    <w:name w:val="List 3"/>
    <w:basedOn w:val="Normal"/>
    <w:uiPriority w:val="99"/>
    <w:rsid w:val="002B0C69"/>
    <w:pPr>
      <w:numPr>
        <w:ilvl w:val="2"/>
        <w:numId w:val="37"/>
      </w:numPr>
      <w:spacing w:after="160" w:line="264" w:lineRule="auto"/>
      <w:contextualSpacing/>
    </w:pPr>
    <w:rPr>
      <w:rFonts w:asciiTheme="minorHAnsi" w:eastAsiaTheme="minorHAnsi" w:hAnsiTheme="minorHAnsi" w:cstheme="minorBidi"/>
      <w:sz w:val="22"/>
      <w:szCs w:val="22"/>
    </w:rPr>
  </w:style>
  <w:style w:type="paragraph" w:customStyle="1" w:styleId="ListAlpha3">
    <w:name w:val="List Alpha 3"/>
    <w:basedOn w:val="List3"/>
    <w:uiPriority w:val="1"/>
    <w:qFormat/>
    <w:rsid w:val="002B0C69"/>
    <w:pPr>
      <w:numPr>
        <w:ilvl w:val="0"/>
        <w:numId w:val="36"/>
      </w:numPr>
      <w:spacing w:after="80"/>
      <w:contextualSpacing w:val="0"/>
    </w:pPr>
  </w:style>
  <w:style w:type="paragraph" w:styleId="List4">
    <w:name w:val="List 4"/>
    <w:basedOn w:val="Normal"/>
    <w:uiPriority w:val="99"/>
    <w:rsid w:val="002B0C69"/>
    <w:pPr>
      <w:numPr>
        <w:ilvl w:val="3"/>
        <w:numId w:val="37"/>
      </w:numPr>
      <w:spacing w:after="160" w:line="264" w:lineRule="auto"/>
      <w:contextualSpacing/>
    </w:pPr>
    <w:rPr>
      <w:rFonts w:asciiTheme="minorHAnsi" w:eastAsiaTheme="minorHAnsi" w:hAnsiTheme="minorHAnsi" w:cstheme="minorBidi"/>
      <w:sz w:val="22"/>
      <w:szCs w:val="22"/>
    </w:rPr>
  </w:style>
  <w:style w:type="paragraph" w:styleId="List5">
    <w:name w:val="List 5"/>
    <w:basedOn w:val="Normal"/>
    <w:uiPriority w:val="99"/>
    <w:rsid w:val="002B0C69"/>
    <w:pPr>
      <w:numPr>
        <w:ilvl w:val="4"/>
        <w:numId w:val="37"/>
      </w:numPr>
      <w:spacing w:after="160" w:line="264" w:lineRule="auto"/>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366577">
      <w:bodyDiv w:val="1"/>
      <w:marLeft w:val="0"/>
      <w:marRight w:val="0"/>
      <w:marTop w:val="0"/>
      <w:marBottom w:val="0"/>
      <w:divBdr>
        <w:top w:val="none" w:sz="0" w:space="0" w:color="auto"/>
        <w:left w:val="none" w:sz="0" w:space="0" w:color="auto"/>
        <w:bottom w:val="none" w:sz="0" w:space="0" w:color="auto"/>
        <w:right w:val="none" w:sz="0" w:space="0" w:color="auto"/>
      </w:divBdr>
    </w:div>
    <w:div w:id="128666921">
      <w:bodyDiv w:val="1"/>
      <w:marLeft w:val="0"/>
      <w:marRight w:val="0"/>
      <w:marTop w:val="0"/>
      <w:marBottom w:val="0"/>
      <w:divBdr>
        <w:top w:val="none" w:sz="0" w:space="0" w:color="auto"/>
        <w:left w:val="none" w:sz="0" w:space="0" w:color="auto"/>
        <w:bottom w:val="none" w:sz="0" w:space="0" w:color="auto"/>
        <w:right w:val="none" w:sz="0" w:space="0" w:color="auto"/>
      </w:divBdr>
    </w:div>
    <w:div w:id="128863156">
      <w:bodyDiv w:val="1"/>
      <w:marLeft w:val="0"/>
      <w:marRight w:val="0"/>
      <w:marTop w:val="0"/>
      <w:marBottom w:val="0"/>
      <w:divBdr>
        <w:top w:val="none" w:sz="0" w:space="0" w:color="auto"/>
        <w:left w:val="none" w:sz="0" w:space="0" w:color="auto"/>
        <w:bottom w:val="none" w:sz="0" w:space="0" w:color="auto"/>
        <w:right w:val="none" w:sz="0" w:space="0" w:color="auto"/>
      </w:divBdr>
    </w:div>
    <w:div w:id="155265532">
      <w:bodyDiv w:val="1"/>
      <w:marLeft w:val="0"/>
      <w:marRight w:val="0"/>
      <w:marTop w:val="0"/>
      <w:marBottom w:val="0"/>
      <w:divBdr>
        <w:top w:val="none" w:sz="0" w:space="0" w:color="auto"/>
        <w:left w:val="none" w:sz="0" w:space="0" w:color="auto"/>
        <w:bottom w:val="none" w:sz="0" w:space="0" w:color="auto"/>
        <w:right w:val="none" w:sz="0" w:space="0" w:color="auto"/>
      </w:divBdr>
    </w:div>
    <w:div w:id="175310503">
      <w:bodyDiv w:val="1"/>
      <w:marLeft w:val="0"/>
      <w:marRight w:val="0"/>
      <w:marTop w:val="0"/>
      <w:marBottom w:val="0"/>
      <w:divBdr>
        <w:top w:val="none" w:sz="0" w:space="0" w:color="auto"/>
        <w:left w:val="none" w:sz="0" w:space="0" w:color="auto"/>
        <w:bottom w:val="none" w:sz="0" w:space="0" w:color="auto"/>
        <w:right w:val="none" w:sz="0" w:space="0" w:color="auto"/>
      </w:divBdr>
    </w:div>
    <w:div w:id="376589725">
      <w:bodyDiv w:val="1"/>
      <w:marLeft w:val="0"/>
      <w:marRight w:val="0"/>
      <w:marTop w:val="0"/>
      <w:marBottom w:val="0"/>
      <w:divBdr>
        <w:top w:val="none" w:sz="0" w:space="0" w:color="auto"/>
        <w:left w:val="none" w:sz="0" w:space="0" w:color="auto"/>
        <w:bottom w:val="none" w:sz="0" w:space="0" w:color="auto"/>
        <w:right w:val="none" w:sz="0" w:space="0" w:color="auto"/>
      </w:divBdr>
    </w:div>
    <w:div w:id="431708084">
      <w:bodyDiv w:val="1"/>
      <w:marLeft w:val="0"/>
      <w:marRight w:val="0"/>
      <w:marTop w:val="0"/>
      <w:marBottom w:val="0"/>
      <w:divBdr>
        <w:top w:val="none" w:sz="0" w:space="0" w:color="auto"/>
        <w:left w:val="none" w:sz="0" w:space="0" w:color="auto"/>
        <w:bottom w:val="none" w:sz="0" w:space="0" w:color="auto"/>
        <w:right w:val="none" w:sz="0" w:space="0" w:color="auto"/>
      </w:divBdr>
    </w:div>
    <w:div w:id="506988080">
      <w:bodyDiv w:val="1"/>
      <w:marLeft w:val="0"/>
      <w:marRight w:val="0"/>
      <w:marTop w:val="0"/>
      <w:marBottom w:val="0"/>
      <w:divBdr>
        <w:top w:val="none" w:sz="0" w:space="0" w:color="auto"/>
        <w:left w:val="none" w:sz="0" w:space="0" w:color="auto"/>
        <w:bottom w:val="none" w:sz="0" w:space="0" w:color="auto"/>
        <w:right w:val="none" w:sz="0" w:space="0" w:color="auto"/>
      </w:divBdr>
    </w:div>
    <w:div w:id="543953767">
      <w:bodyDiv w:val="1"/>
      <w:marLeft w:val="0"/>
      <w:marRight w:val="0"/>
      <w:marTop w:val="0"/>
      <w:marBottom w:val="0"/>
      <w:divBdr>
        <w:top w:val="none" w:sz="0" w:space="0" w:color="auto"/>
        <w:left w:val="none" w:sz="0" w:space="0" w:color="auto"/>
        <w:bottom w:val="none" w:sz="0" w:space="0" w:color="auto"/>
        <w:right w:val="none" w:sz="0" w:space="0" w:color="auto"/>
      </w:divBdr>
    </w:div>
    <w:div w:id="548494562">
      <w:bodyDiv w:val="1"/>
      <w:marLeft w:val="0"/>
      <w:marRight w:val="0"/>
      <w:marTop w:val="0"/>
      <w:marBottom w:val="0"/>
      <w:divBdr>
        <w:top w:val="none" w:sz="0" w:space="0" w:color="auto"/>
        <w:left w:val="none" w:sz="0" w:space="0" w:color="auto"/>
        <w:bottom w:val="none" w:sz="0" w:space="0" w:color="auto"/>
        <w:right w:val="none" w:sz="0" w:space="0" w:color="auto"/>
      </w:divBdr>
    </w:div>
    <w:div w:id="702899197">
      <w:bodyDiv w:val="1"/>
      <w:marLeft w:val="0"/>
      <w:marRight w:val="0"/>
      <w:marTop w:val="0"/>
      <w:marBottom w:val="0"/>
      <w:divBdr>
        <w:top w:val="none" w:sz="0" w:space="0" w:color="auto"/>
        <w:left w:val="none" w:sz="0" w:space="0" w:color="auto"/>
        <w:bottom w:val="none" w:sz="0" w:space="0" w:color="auto"/>
        <w:right w:val="none" w:sz="0" w:space="0" w:color="auto"/>
      </w:divBdr>
    </w:div>
    <w:div w:id="705562579">
      <w:bodyDiv w:val="1"/>
      <w:marLeft w:val="0"/>
      <w:marRight w:val="0"/>
      <w:marTop w:val="0"/>
      <w:marBottom w:val="0"/>
      <w:divBdr>
        <w:top w:val="none" w:sz="0" w:space="0" w:color="auto"/>
        <w:left w:val="none" w:sz="0" w:space="0" w:color="auto"/>
        <w:bottom w:val="none" w:sz="0" w:space="0" w:color="auto"/>
        <w:right w:val="none" w:sz="0" w:space="0" w:color="auto"/>
      </w:divBdr>
    </w:div>
    <w:div w:id="708994940">
      <w:bodyDiv w:val="1"/>
      <w:marLeft w:val="0"/>
      <w:marRight w:val="0"/>
      <w:marTop w:val="0"/>
      <w:marBottom w:val="0"/>
      <w:divBdr>
        <w:top w:val="none" w:sz="0" w:space="0" w:color="auto"/>
        <w:left w:val="none" w:sz="0" w:space="0" w:color="auto"/>
        <w:bottom w:val="none" w:sz="0" w:space="0" w:color="auto"/>
        <w:right w:val="none" w:sz="0" w:space="0" w:color="auto"/>
      </w:divBdr>
    </w:div>
    <w:div w:id="754547490">
      <w:bodyDiv w:val="1"/>
      <w:marLeft w:val="0"/>
      <w:marRight w:val="0"/>
      <w:marTop w:val="0"/>
      <w:marBottom w:val="0"/>
      <w:divBdr>
        <w:top w:val="none" w:sz="0" w:space="0" w:color="auto"/>
        <w:left w:val="none" w:sz="0" w:space="0" w:color="auto"/>
        <w:bottom w:val="none" w:sz="0" w:space="0" w:color="auto"/>
        <w:right w:val="none" w:sz="0" w:space="0" w:color="auto"/>
      </w:divBdr>
    </w:div>
    <w:div w:id="918253556">
      <w:bodyDiv w:val="1"/>
      <w:marLeft w:val="0"/>
      <w:marRight w:val="0"/>
      <w:marTop w:val="0"/>
      <w:marBottom w:val="0"/>
      <w:divBdr>
        <w:top w:val="none" w:sz="0" w:space="0" w:color="auto"/>
        <w:left w:val="none" w:sz="0" w:space="0" w:color="auto"/>
        <w:bottom w:val="none" w:sz="0" w:space="0" w:color="auto"/>
        <w:right w:val="none" w:sz="0" w:space="0" w:color="auto"/>
      </w:divBdr>
    </w:div>
    <w:div w:id="929659810">
      <w:bodyDiv w:val="1"/>
      <w:marLeft w:val="0"/>
      <w:marRight w:val="0"/>
      <w:marTop w:val="0"/>
      <w:marBottom w:val="0"/>
      <w:divBdr>
        <w:top w:val="none" w:sz="0" w:space="0" w:color="auto"/>
        <w:left w:val="none" w:sz="0" w:space="0" w:color="auto"/>
        <w:bottom w:val="none" w:sz="0" w:space="0" w:color="auto"/>
        <w:right w:val="none" w:sz="0" w:space="0" w:color="auto"/>
      </w:divBdr>
    </w:div>
    <w:div w:id="955332381">
      <w:bodyDiv w:val="1"/>
      <w:marLeft w:val="0"/>
      <w:marRight w:val="0"/>
      <w:marTop w:val="0"/>
      <w:marBottom w:val="0"/>
      <w:divBdr>
        <w:top w:val="none" w:sz="0" w:space="0" w:color="auto"/>
        <w:left w:val="none" w:sz="0" w:space="0" w:color="auto"/>
        <w:bottom w:val="none" w:sz="0" w:space="0" w:color="auto"/>
        <w:right w:val="none" w:sz="0" w:space="0" w:color="auto"/>
      </w:divBdr>
    </w:div>
    <w:div w:id="1022441913">
      <w:bodyDiv w:val="1"/>
      <w:marLeft w:val="0"/>
      <w:marRight w:val="0"/>
      <w:marTop w:val="0"/>
      <w:marBottom w:val="0"/>
      <w:divBdr>
        <w:top w:val="none" w:sz="0" w:space="0" w:color="auto"/>
        <w:left w:val="none" w:sz="0" w:space="0" w:color="auto"/>
        <w:bottom w:val="none" w:sz="0" w:space="0" w:color="auto"/>
        <w:right w:val="none" w:sz="0" w:space="0" w:color="auto"/>
      </w:divBdr>
    </w:div>
    <w:div w:id="1068531000">
      <w:bodyDiv w:val="1"/>
      <w:marLeft w:val="0"/>
      <w:marRight w:val="0"/>
      <w:marTop w:val="0"/>
      <w:marBottom w:val="0"/>
      <w:divBdr>
        <w:top w:val="none" w:sz="0" w:space="0" w:color="auto"/>
        <w:left w:val="none" w:sz="0" w:space="0" w:color="auto"/>
        <w:bottom w:val="none" w:sz="0" w:space="0" w:color="auto"/>
        <w:right w:val="none" w:sz="0" w:space="0" w:color="auto"/>
      </w:divBdr>
    </w:div>
    <w:div w:id="1130397446">
      <w:bodyDiv w:val="1"/>
      <w:marLeft w:val="0"/>
      <w:marRight w:val="0"/>
      <w:marTop w:val="0"/>
      <w:marBottom w:val="0"/>
      <w:divBdr>
        <w:top w:val="none" w:sz="0" w:space="0" w:color="auto"/>
        <w:left w:val="none" w:sz="0" w:space="0" w:color="auto"/>
        <w:bottom w:val="none" w:sz="0" w:space="0" w:color="auto"/>
        <w:right w:val="none" w:sz="0" w:space="0" w:color="auto"/>
      </w:divBdr>
    </w:div>
    <w:div w:id="1157040978">
      <w:bodyDiv w:val="1"/>
      <w:marLeft w:val="0"/>
      <w:marRight w:val="0"/>
      <w:marTop w:val="0"/>
      <w:marBottom w:val="0"/>
      <w:divBdr>
        <w:top w:val="none" w:sz="0" w:space="0" w:color="auto"/>
        <w:left w:val="none" w:sz="0" w:space="0" w:color="auto"/>
        <w:bottom w:val="none" w:sz="0" w:space="0" w:color="auto"/>
        <w:right w:val="none" w:sz="0" w:space="0" w:color="auto"/>
      </w:divBdr>
    </w:div>
    <w:div w:id="1303467654">
      <w:bodyDiv w:val="1"/>
      <w:marLeft w:val="0"/>
      <w:marRight w:val="0"/>
      <w:marTop w:val="0"/>
      <w:marBottom w:val="0"/>
      <w:divBdr>
        <w:top w:val="none" w:sz="0" w:space="0" w:color="auto"/>
        <w:left w:val="none" w:sz="0" w:space="0" w:color="auto"/>
        <w:bottom w:val="none" w:sz="0" w:space="0" w:color="auto"/>
        <w:right w:val="none" w:sz="0" w:space="0" w:color="auto"/>
      </w:divBdr>
    </w:div>
    <w:div w:id="1351761592">
      <w:bodyDiv w:val="1"/>
      <w:marLeft w:val="0"/>
      <w:marRight w:val="0"/>
      <w:marTop w:val="0"/>
      <w:marBottom w:val="0"/>
      <w:divBdr>
        <w:top w:val="none" w:sz="0" w:space="0" w:color="auto"/>
        <w:left w:val="none" w:sz="0" w:space="0" w:color="auto"/>
        <w:bottom w:val="none" w:sz="0" w:space="0" w:color="auto"/>
        <w:right w:val="none" w:sz="0" w:space="0" w:color="auto"/>
      </w:divBdr>
    </w:div>
    <w:div w:id="1378816257">
      <w:bodyDiv w:val="1"/>
      <w:marLeft w:val="0"/>
      <w:marRight w:val="0"/>
      <w:marTop w:val="0"/>
      <w:marBottom w:val="0"/>
      <w:divBdr>
        <w:top w:val="none" w:sz="0" w:space="0" w:color="auto"/>
        <w:left w:val="none" w:sz="0" w:space="0" w:color="auto"/>
        <w:bottom w:val="none" w:sz="0" w:space="0" w:color="auto"/>
        <w:right w:val="none" w:sz="0" w:space="0" w:color="auto"/>
      </w:divBdr>
    </w:div>
    <w:div w:id="1431664227">
      <w:bodyDiv w:val="1"/>
      <w:marLeft w:val="0"/>
      <w:marRight w:val="0"/>
      <w:marTop w:val="0"/>
      <w:marBottom w:val="0"/>
      <w:divBdr>
        <w:top w:val="none" w:sz="0" w:space="0" w:color="auto"/>
        <w:left w:val="none" w:sz="0" w:space="0" w:color="auto"/>
        <w:bottom w:val="none" w:sz="0" w:space="0" w:color="auto"/>
        <w:right w:val="none" w:sz="0" w:space="0" w:color="auto"/>
      </w:divBdr>
    </w:div>
    <w:div w:id="1440107141">
      <w:bodyDiv w:val="1"/>
      <w:marLeft w:val="0"/>
      <w:marRight w:val="0"/>
      <w:marTop w:val="0"/>
      <w:marBottom w:val="0"/>
      <w:divBdr>
        <w:top w:val="none" w:sz="0" w:space="0" w:color="auto"/>
        <w:left w:val="none" w:sz="0" w:space="0" w:color="auto"/>
        <w:bottom w:val="none" w:sz="0" w:space="0" w:color="auto"/>
        <w:right w:val="none" w:sz="0" w:space="0" w:color="auto"/>
      </w:divBdr>
    </w:div>
    <w:div w:id="1460028315">
      <w:bodyDiv w:val="1"/>
      <w:marLeft w:val="0"/>
      <w:marRight w:val="0"/>
      <w:marTop w:val="0"/>
      <w:marBottom w:val="0"/>
      <w:divBdr>
        <w:top w:val="none" w:sz="0" w:space="0" w:color="auto"/>
        <w:left w:val="none" w:sz="0" w:space="0" w:color="auto"/>
        <w:bottom w:val="none" w:sz="0" w:space="0" w:color="auto"/>
        <w:right w:val="none" w:sz="0" w:space="0" w:color="auto"/>
      </w:divBdr>
    </w:div>
    <w:div w:id="1463965302">
      <w:bodyDiv w:val="1"/>
      <w:marLeft w:val="0"/>
      <w:marRight w:val="0"/>
      <w:marTop w:val="0"/>
      <w:marBottom w:val="0"/>
      <w:divBdr>
        <w:top w:val="none" w:sz="0" w:space="0" w:color="auto"/>
        <w:left w:val="none" w:sz="0" w:space="0" w:color="auto"/>
        <w:bottom w:val="none" w:sz="0" w:space="0" w:color="auto"/>
        <w:right w:val="none" w:sz="0" w:space="0" w:color="auto"/>
      </w:divBdr>
    </w:div>
    <w:div w:id="1511026015">
      <w:bodyDiv w:val="1"/>
      <w:marLeft w:val="0"/>
      <w:marRight w:val="0"/>
      <w:marTop w:val="0"/>
      <w:marBottom w:val="0"/>
      <w:divBdr>
        <w:top w:val="none" w:sz="0" w:space="0" w:color="auto"/>
        <w:left w:val="none" w:sz="0" w:space="0" w:color="auto"/>
        <w:bottom w:val="none" w:sz="0" w:space="0" w:color="auto"/>
        <w:right w:val="none" w:sz="0" w:space="0" w:color="auto"/>
      </w:divBdr>
    </w:div>
    <w:div w:id="1518352797">
      <w:bodyDiv w:val="1"/>
      <w:marLeft w:val="0"/>
      <w:marRight w:val="0"/>
      <w:marTop w:val="0"/>
      <w:marBottom w:val="0"/>
      <w:divBdr>
        <w:top w:val="none" w:sz="0" w:space="0" w:color="auto"/>
        <w:left w:val="none" w:sz="0" w:space="0" w:color="auto"/>
        <w:bottom w:val="none" w:sz="0" w:space="0" w:color="auto"/>
        <w:right w:val="none" w:sz="0" w:space="0" w:color="auto"/>
      </w:divBdr>
    </w:div>
    <w:div w:id="1521044965">
      <w:bodyDiv w:val="1"/>
      <w:marLeft w:val="0"/>
      <w:marRight w:val="0"/>
      <w:marTop w:val="0"/>
      <w:marBottom w:val="0"/>
      <w:divBdr>
        <w:top w:val="none" w:sz="0" w:space="0" w:color="auto"/>
        <w:left w:val="none" w:sz="0" w:space="0" w:color="auto"/>
        <w:bottom w:val="none" w:sz="0" w:space="0" w:color="auto"/>
        <w:right w:val="none" w:sz="0" w:space="0" w:color="auto"/>
      </w:divBdr>
    </w:div>
    <w:div w:id="1594975503">
      <w:bodyDiv w:val="1"/>
      <w:marLeft w:val="0"/>
      <w:marRight w:val="0"/>
      <w:marTop w:val="0"/>
      <w:marBottom w:val="0"/>
      <w:divBdr>
        <w:top w:val="none" w:sz="0" w:space="0" w:color="auto"/>
        <w:left w:val="none" w:sz="0" w:space="0" w:color="auto"/>
        <w:bottom w:val="none" w:sz="0" w:space="0" w:color="auto"/>
        <w:right w:val="none" w:sz="0" w:space="0" w:color="auto"/>
      </w:divBdr>
    </w:div>
    <w:div w:id="1685859676">
      <w:bodyDiv w:val="1"/>
      <w:marLeft w:val="0"/>
      <w:marRight w:val="0"/>
      <w:marTop w:val="0"/>
      <w:marBottom w:val="0"/>
      <w:divBdr>
        <w:top w:val="none" w:sz="0" w:space="0" w:color="auto"/>
        <w:left w:val="none" w:sz="0" w:space="0" w:color="auto"/>
        <w:bottom w:val="none" w:sz="0" w:space="0" w:color="auto"/>
        <w:right w:val="none" w:sz="0" w:space="0" w:color="auto"/>
      </w:divBdr>
    </w:div>
    <w:div w:id="1691032758">
      <w:bodyDiv w:val="1"/>
      <w:marLeft w:val="0"/>
      <w:marRight w:val="0"/>
      <w:marTop w:val="0"/>
      <w:marBottom w:val="0"/>
      <w:divBdr>
        <w:top w:val="none" w:sz="0" w:space="0" w:color="auto"/>
        <w:left w:val="none" w:sz="0" w:space="0" w:color="auto"/>
        <w:bottom w:val="none" w:sz="0" w:space="0" w:color="auto"/>
        <w:right w:val="none" w:sz="0" w:space="0" w:color="auto"/>
      </w:divBdr>
    </w:div>
    <w:div w:id="1726026723">
      <w:bodyDiv w:val="1"/>
      <w:marLeft w:val="0"/>
      <w:marRight w:val="0"/>
      <w:marTop w:val="0"/>
      <w:marBottom w:val="0"/>
      <w:divBdr>
        <w:top w:val="none" w:sz="0" w:space="0" w:color="auto"/>
        <w:left w:val="none" w:sz="0" w:space="0" w:color="auto"/>
        <w:bottom w:val="none" w:sz="0" w:space="0" w:color="auto"/>
        <w:right w:val="none" w:sz="0" w:space="0" w:color="auto"/>
      </w:divBdr>
    </w:div>
    <w:div w:id="1781340137">
      <w:bodyDiv w:val="1"/>
      <w:marLeft w:val="0"/>
      <w:marRight w:val="0"/>
      <w:marTop w:val="0"/>
      <w:marBottom w:val="0"/>
      <w:divBdr>
        <w:top w:val="none" w:sz="0" w:space="0" w:color="auto"/>
        <w:left w:val="none" w:sz="0" w:space="0" w:color="auto"/>
        <w:bottom w:val="none" w:sz="0" w:space="0" w:color="auto"/>
        <w:right w:val="none" w:sz="0" w:space="0" w:color="auto"/>
      </w:divBdr>
    </w:div>
    <w:div w:id="1811360469">
      <w:bodyDiv w:val="1"/>
      <w:marLeft w:val="0"/>
      <w:marRight w:val="0"/>
      <w:marTop w:val="0"/>
      <w:marBottom w:val="0"/>
      <w:divBdr>
        <w:top w:val="none" w:sz="0" w:space="0" w:color="auto"/>
        <w:left w:val="none" w:sz="0" w:space="0" w:color="auto"/>
        <w:bottom w:val="none" w:sz="0" w:space="0" w:color="auto"/>
        <w:right w:val="none" w:sz="0" w:space="0" w:color="auto"/>
      </w:divBdr>
    </w:div>
    <w:div w:id="1875188437">
      <w:bodyDiv w:val="1"/>
      <w:marLeft w:val="0"/>
      <w:marRight w:val="0"/>
      <w:marTop w:val="0"/>
      <w:marBottom w:val="0"/>
      <w:divBdr>
        <w:top w:val="none" w:sz="0" w:space="0" w:color="auto"/>
        <w:left w:val="none" w:sz="0" w:space="0" w:color="auto"/>
        <w:bottom w:val="none" w:sz="0" w:space="0" w:color="auto"/>
        <w:right w:val="none" w:sz="0" w:space="0" w:color="auto"/>
      </w:divBdr>
    </w:div>
    <w:div w:id="1906646582">
      <w:bodyDiv w:val="1"/>
      <w:marLeft w:val="0"/>
      <w:marRight w:val="0"/>
      <w:marTop w:val="0"/>
      <w:marBottom w:val="0"/>
      <w:divBdr>
        <w:top w:val="none" w:sz="0" w:space="0" w:color="auto"/>
        <w:left w:val="none" w:sz="0" w:space="0" w:color="auto"/>
        <w:bottom w:val="none" w:sz="0" w:space="0" w:color="auto"/>
        <w:right w:val="none" w:sz="0" w:space="0" w:color="auto"/>
      </w:divBdr>
    </w:div>
    <w:div w:id="1907714636">
      <w:bodyDiv w:val="1"/>
      <w:marLeft w:val="0"/>
      <w:marRight w:val="0"/>
      <w:marTop w:val="0"/>
      <w:marBottom w:val="0"/>
      <w:divBdr>
        <w:top w:val="none" w:sz="0" w:space="0" w:color="auto"/>
        <w:left w:val="none" w:sz="0" w:space="0" w:color="auto"/>
        <w:bottom w:val="none" w:sz="0" w:space="0" w:color="auto"/>
        <w:right w:val="none" w:sz="0" w:space="0" w:color="auto"/>
      </w:divBdr>
    </w:div>
    <w:div w:id="1938978787">
      <w:bodyDiv w:val="1"/>
      <w:marLeft w:val="0"/>
      <w:marRight w:val="0"/>
      <w:marTop w:val="0"/>
      <w:marBottom w:val="0"/>
      <w:divBdr>
        <w:top w:val="none" w:sz="0" w:space="0" w:color="auto"/>
        <w:left w:val="none" w:sz="0" w:space="0" w:color="auto"/>
        <w:bottom w:val="none" w:sz="0" w:space="0" w:color="auto"/>
        <w:right w:val="none" w:sz="0" w:space="0" w:color="auto"/>
      </w:divBdr>
    </w:div>
    <w:div w:id="1985155915">
      <w:bodyDiv w:val="1"/>
      <w:marLeft w:val="0"/>
      <w:marRight w:val="0"/>
      <w:marTop w:val="0"/>
      <w:marBottom w:val="0"/>
      <w:divBdr>
        <w:top w:val="none" w:sz="0" w:space="0" w:color="auto"/>
        <w:left w:val="none" w:sz="0" w:space="0" w:color="auto"/>
        <w:bottom w:val="none" w:sz="0" w:space="0" w:color="auto"/>
        <w:right w:val="none" w:sz="0" w:space="0" w:color="auto"/>
      </w:divBdr>
    </w:div>
    <w:div w:id="2004963267">
      <w:bodyDiv w:val="1"/>
      <w:marLeft w:val="0"/>
      <w:marRight w:val="0"/>
      <w:marTop w:val="0"/>
      <w:marBottom w:val="0"/>
      <w:divBdr>
        <w:top w:val="none" w:sz="0" w:space="0" w:color="auto"/>
        <w:left w:val="none" w:sz="0" w:space="0" w:color="auto"/>
        <w:bottom w:val="none" w:sz="0" w:space="0" w:color="auto"/>
        <w:right w:val="none" w:sz="0" w:space="0" w:color="auto"/>
      </w:divBdr>
    </w:div>
    <w:div w:id="2069650208">
      <w:bodyDiv w:val="1"/>
      <w:marLeft w:val="0"/>
      <w:marRight w:val="0"/>
      <w:marTop w:val="0"/>
      <w:marBottom w:val="0"/>
      <w:divBdr>
        <w:top w:val="none" w:sz="0" w:space="0" w:color="auto"/>
        <w:left w:val="none" w:sz="0" w:space="0" w:color="auto"/>
        <w:bottom w:val="none" w:sz="0" w:space="0" w:color="auto"/>
        <w:right w:val="none" w:sz="0" w:space="0" w:color="auto"/>
      </w:divBdr>
    </w:div>
    <w:div w:id="2077971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fns.usda.gov/sites/default/files/FarmersMarkets-Shopping-Patter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F2AA28-9343-4BD2-8781-E892E0C97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9439</Words>
  <Characters>53805</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Elaine Ayo</dc:creator>
  <cp:lastModifiedBy>Corey, Kristen - FNS</cp:lastModifiedBy>
  <cp:revision>3</cp:revision>
  <cp:lastPrinted>2021-07-27T12:26:00Z</cp:lastPrinted>
  <dcterms:created xsi:type="dcterms:W3CDTF">2022-05-04T18:35:00Z</dcterms:created>
  <dcterms:modified xsi:type="dcterms:W3CDTF">2022-05-04T18:35:00Z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