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154E" w14:paraId="491D7589" w14:textId="77777777">
      <w:pPr>
        <w:pStyle w:val="Heading1"/>
        <w:ind w:left="0"/>
        <w:jc w:val="center"/>
      </w:pPr>
      <w:r>
        <w:t>SUPPORTING STATEMENT</w:t>
      </w:r>
    </w:p>
    <w:p w:rsidR="0087154E" w14:paraId="0A32E682" w14:textId="77777777">
      <w:pPr>
        <w:spacing w:before="22" w:line="259" w:lineRule="auto"/>
        <w:ind w:firstLine="14"/>
        <w:jc w:val="center"/>
        <w:rPr>
          <w:b/>
        </w:rPr>
      </w:pPr>
      <w:r>
        <w:rPr>
          <w:b/>
        </w:rPr>
        <w:t>U.S. Department of Commerce</w:t>
      </w:r>
    </w:p>
    <w:p w:rsidR="0087154E" w14:paraId="5DC1C59E" w14:textId="77777777">
      <w:pPr>
        <w:spacing w:before="22" w:line="259" w:lineRule="auto"/>
        <w:ind w:firstLine="14"/>
        <w:jc w:val="center"/>
        <w:rPr>
          <w:b/>
        </w:rPr>
      </w:pPr>
      <w:r>
        <w:rPr>
          <w:b/>
        </w:rPr>
        <w:t>National Oceanic &amp; Atmospheric Administration</w:t>
      </w:r>
    </w:p>
    <w:p w:rsidR="0087154E" w14:paraId="6DC727AC" w14:textId="39B70C0D">
      <w:pPr>
        <w:spacing w:line="259" w:lineRule="auto"/>
        <w:ind w:hanging="6"/>
        <w:jc w:val="center"/>
        <w:rPr>
          <w:b/>
        </w:rPr>
      </w:pPr>
      <w:r>
        <w:rPr>
          <w:b/>
        </w:rPr>
        <w:t>Green Sturgeon ESA 4(d) Rule Take Exceptions and Exemptions</w:t>
      </w:r>
    </w:p>
    <w:p w:rsidR="0087154E" w14:paraId="0C49D332" w14:textId="4F2BFD16">
      <w:pPr>
        <w:spacing w:line="259" w:lineRule="auto"/>
        <w:ind w:hanging="6"/>
        <w:jc w:val="center"/>
        <w:rPr>
          <w:b/>
        </w:rPr>
      </w:pPr>
      <w:r>
        <w:rPr>
          <w:b/>
        </w:rPr>
        <w:t>OMB Control No. 0648-0613</w:t>
      </w:r>
    </w:p>
    <w:p w:rsidR="0087154E" w14:paraId="6D3A0834" w14:textId="77777777">
      <w:pPr>
        <w:pStyle w:val="Heading1"/>
        <w:spacing w:before="199"/>
        <w:ind w:left="0"/>
      </w:pPr>
      <w:r>
        <w:t>Abstract</w:t>
      </w:r>
    </w:p>
    <w:p w:rsidR="00D73616" w:rsidP="00D73616" w14:paraId="5FAD4502" w14:textId="6366BF22">
      <w:pPr>
        <w:spacing w:before="144" w:line="259" w:lineRule="auto"/>
      </w:pPr>
      <w:r>
        <w:t>This is a request for extension of a currently approved collection</w:t>
      </w:r>
      <w:r w:rsidR="00DC0CF7">
        <w:t xml:space="preserve">. </w:t>
      </w:r>
      <w:r>
        <w:t>In April 2006, the National Marine Fisheries Service (NMFS) listed the Southern Distinct Population Segment of North American green sturgeon (</w:t>
      </w:r>
      <w:r w:rsidRPr="00D73616">
        <w:rPr>
          <w:i/>
        </w:rPr>
        <w:t>Acipenser medirostris</w:t>
      </w:r>
      <w:r>
        <w:t>; hereafter, ‘‘Southern DPS’’) as a threatened species under the Endangered Species Act (ESA). NMFS subsequently established protective regulations</w:t>
      </w:r>
      <w:r w:rsidR="00DC0CF7">
        <w:t xml:space="preserve"> for the Southern DPS</w:t>
      </w:r>
      <w:r>
        <w:t xml:space="preserve"> under section 4(d) of the ESA</w:t>
      </w:r>
      <w:r w:rsidR="00DC0CF7">
        <w:t xml:space="preserve"> (ESA 4(d) Rule) on June 2, 2010</w:t>
      </w:r>
      <w:r>
        <w:t xml:space="preserve"> </w:t>
      </w:r>
      <w:r w:rsidR="00DC0CF7">
        <w:t xml:space="preserve">(75 FR 30714; </w:t>
      </w:r>
      <w:r>
        <w:t>codified at 50 CFR 223.210</w:t>
      </w:r>
      <w:r w:rsidR="00DC0CF7">
        <w:t>)</w:t>
      </w:r>
      <w:r>
        <w:t xml:space="preserve">. </w:t>
      </w:r>
      <w:r w:rsidR="00DC0CF7">
        <w:t>The ESA 4(d) rule prohibits “take” of Southern DPS fish, unless the take is covered by an exception or exemption. The ESA defines “take”</w:t>
      </w:r>
      <w:r>
        <w:t xml:space="preserve"> as to harass, harm, pursue, hunt, shoot, wound, kill, trap, capture or collect, or to attempt to engage in any such conduct.</w:t>
      </w:r>
      <w:r w:rsidR="00DC0CF7">
        <w:t xml:space="preserve"> The ESA 4(d) rule established several exceptions and exemptions for </w:t>
      </w:r>
      <w:r w:rsidR="00B5027D">
        <w:t>activities including fish rescue and salvage, scientific research, habitat restoration, fisheries, and Tribal resource management.</w:t>
      </w:r>
      <w:r>
        <w:t xml:space="preserve"> </w:t>
      </w:r>
      <w:r w:rsidRPr="00DC0CF7" w:rsidR="00DC0CF7">
        <w:t>To qualify for a 4(d) exception or exemption, entities prepare and submit information to NMFS to show that the proposed activity or activities meet the criteria</w:t>
      </w:r>
      <w:r w:rsidR="00DC0CF7">
        <w:t xml:space="preserve"> established in the ESA 4(d) Rule</w:t>
      </w:r>
      <w:r w:rsidRPr="00DC0CF7" w:rsidR="00DC0CF7">
        <w:t>.</w:t>
      </w:r>
      <w:r w:rsidR="00DC0CF7">
        <w:t xml:space="preserve"> </w:t>
      </w:r>
      <w:r w:rsidR="00B5027D">
        <w:t xml:space="preserve">NMFS uses this </w:t>
      </w:r>
      <w:r>
        <w:t>information to (1) track the number of Southern DPS fish taken as a result of each action; (2) understand and evaluate the cumulative effects of each action on the Southern DPS; and (3) determine whether additional protections</w:t>
      </w:r>
      <w:r w:rsidR="00B5027D">
        <w:t>, exceptions, or exemptions are needed</w:t>
      </w:r>
      <w:r>
        <w:t xml:space="preserve">. </w:t>
      </w:r>
      <w:r w:rsidR="00B5027D">
        <w:t xml:space="preserve">The information collection is necessary for NMFS to evaluate and minimize effects on the Southern DPS, while still allowing activities to occur. </w:t>
      </w:r>
    </w:p>
    <w:p w:rsidR="0034088C" w:rsidRPr="00D73616" w:rsidP="00D73616" w14:paraId="0A844C4F" w14:textId="77777777">
      <w:pPr>
        <w:spacing w:before="144" w:line="259" w:lineRule="auto"/>
      </w:pPr>
    </w:p>
    <w:p w:rsidR="0087154E" w14:paraId="153D564A" w14:textId="77777777">
      <w:pPr>
        <w:pStyle w:val="Heading1"/>
        <w:spacing w:before="124"/>
        <w:ind w:left="0"/>
      </w:pPr>
      <w:r>
        <w:t>Justification</w:t>
      </w:r>
    </w:p>
    <w:p w:rsidR="0087154E" w14:paraId="6D241252"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D053A" w:rsidP="00FD053A" w14:paraId="74840CA3" w14:textId="77777777"/>
    <w:p w:rsidR="00533825" w:rsidP="00FD053A" w14:paraId="08E5D03D" w14:textId="77777777">
      <w:r>
        <w:t xml:space="preserve">In April 2006, NMFS listed the </w:t>
      </w:r>
      <w:r w:rsidRPr="00EA3213">
        <w:t>South</w:t>
      </w:r>
      <w:r>
        <w:t>ern Distinct Population Segment</w:t>
      </w:r>
      <w:r w:rsidRPr="00EA3213">
        <w:t xml:space="preserve"> o</w:t>
      </w:r>
      <w:r>
        <w:t xml:space="preserve">f North American green sturgeon </w:t>
      </w:r>
      <w:r w:rsidRPr="00EA3213">
        <w:t>(</w:t>
      </w:r>
      <w:r w:rsidRPr="001B20AD">
        <w:rPr>
          <w:i/>
        </w:rPr>
        <w:t>Acipenser medirostris</w:t>
      </w:r>
      <w:r w:rsidRPr="00EA3213">
        <w:t xml:space="preserve">; hereafter, “Southern DPS”) as a threatened species </w:t>
      </w:r>
      <w:r>
        <w:t>under the</w:t>
      </w:r>
      <w:r w:rsidRPr="00EA3213">
        <w:t xml:space="preserve"> </w:t>
      </w:r>
      <w:hyperlink r:id="rId5" w:history="1">
        <w:r w:rsidRPr="00725BAA">
          <w:rPr>
            <w:rStyle w:val="Hyperlink"/>
          </w:rPr>
          <w:t xml:space="preserve">Endangered Species Act </w:t>
        </w:r>
      </w:hyperlink>
      <w:r w:rsidRPr="00EA3213">
        <w:t xml:space="preserve"> (ESA)</w:t>
      </w:r>
      <w:r>
        <w:t xml:space="preserve">. NMFS subsequently established protective regulations for the Southern DPS under section 4(d) of the ESA (ESA 4(d) Rule) on June 2, 2010 (75 FR 30714; codified in </w:t>
      </w:r>
      <w:hyperlink r:id="rId6" w:history="1">
        <w:r>
          <w:rPr>
            <w:rStyle w:val="Hyperlink"/>
          </w:rPr>
          <w:t>50 CF</w:t>
        </w:r>
        <w:r w:rsidRPr="001A4465">
          <w:rPr>
            <w:rStyle w:val="Hyperlink"/>
          </w:rPr>
          <w:t>R 223.210</w:t>
        </w:r>
      </w:hyperlink>
      <w:r>
        <w:t>). The ESA 4(d) Rule</w:t>
      </w:r>
      <w:r w:rsidRPr="00EA3213">
        <w:t xml:space="preserve"> </w:t>
      </w:r>
      <w:r>
        <w:t>prohibits</w:t>
      </w:r>
      <w:r w:rsidRPr="00EA3213">
        <w:t xml:space="preserve"> the import, export, possession,</w:t>
      </w:r>
      <w:r>
        <w:t xml:space="preserve"> </w:t>
      </w:r>
      <w:r w:rsidRPr="00EA3213">
        <w:t>sale, delivery, carrying, transport, shipment, and receipt in interstate or foreign commerce, or for</w:t>
      </w:r>
      <w:r>
        <w:t xml:space="preserve"> </w:t>
      </w:r>
      <w:r w:rsidRPr="00EA3213">
        <w:t xml:space="preserve">commercial activity, of Southern DPS fish. </w:t>
      </w:r>
      <w:r>
        <w:t xml:space="preserve">It </w:t>
      </w:r>
      <w:r w:rsidRPr="00EA3213">
        <w:t>also prohibit</w:t>
      </w:r>
      <w:r>
        <w:t>s</w:t>
      </w:r>
      <w:r w:rsidRPr="00EA3213">
        <w:t xml:space="preserve"> the </w:t>
      </w:r>
      <w:r>
        <w:t>“</w:t>
      </w:r>
      <w:r w:rsidRPr="00EA3213">
        <w:t>take</w:t>
      </w:r>
      <w:r>
        <w:t>”</w:t>
      </w:r>
      <w:r w:rsidRPr="00EA3213">
        <w:t xml:space="preserve"> of</w:t>
      </w:r>
      <w:r>
        <w:t xml:space="preserve"> </w:t>
      </w:r>
      <w:r w:rsidRPr="00EA3213">
        <w:t>Southern DP</w:t>
      </w:r>
      <w:r>
        <w:t>S fish</w:t>
      </w:r>
      <w:r>
        <w:t xml:space="preserve">, which the ESA defines as </w:t>
      </w:r>
      <w:r w:rsidRPr="00EA3213">
        <w:t>to harass, harm, pursue, hunt, shoot, wound, kill, trap, capture, or collect, or to</w:t>
      </w:r>
      <w:r>
        <w:t xml:space="preserve"> </w:t>
      </w:r>
      <w:r w:rsidRPr="00EA3213">
        <w:t>attempt</w:t>
      </w:r>
      <w:r>
        <w:t xml:space="preserve"> to engage in any such conduct</w:t>
      </w:r>
      <w:r w:rsidRPr="00EA3213">
        <w:t>.</w:t>
      </w:r>
      <w:r>
        <w:t xml:space="preserve"> </w:t>
      </w:r>
    </w:p>
    <w:p w:rsidR="00FD053A" w:rsidRPr="00EA3213" w:rsidP="00FD053A" w14:paraId="737273EC" w14:textId="77777777"/>
    <w:p w:rsidR="00E67BF9" w:rsidP="00FD053A" w14:paraId="08D614AE" w14:textId="77777777">
      <w:r w:rsidRPr="00EA3213">
        <w:t xml:space="preserve">The </w:t>
      </w:r>
      <w:r w:rsidR="00533825">
        <w:t>ESA</w:t>
      </w:r>
      <w:r>
        <w:t xml:space="preserve"> 4(d)</w:t>
      </w:r>
      <w:r w:rsidRPr="00EA3213">
        <w:t xml:space="preserve"> rule </w:t>
      </w:r>
      <w:r>
        <w:t xml:space="preserve">also </w:t>
      </w:r>
      <w:r w:rsidRPr="00EA3213">
        <w:t>establish</w:t>
      </w:r>
      <w:r>
        <w:t>es</w:t>
      </w:r>
      <w:r w:rsidRPr="00EA3213">
        <w:t xml:space="preserve"> </w:t>
      </w:r>
      <w:r w:rsidR="00533825">
        <w:t xml:space="preserve">several </w:t>
      </w:r>
      <w:r w:rsidRPr="00EA3213">
        <w:t xml:space="preserve">exceptions and exemptions </w:t>
      </w:r>
      <w:r w:rsidR="00533825">
        <w:t>for activities that can be conducted in a way that provides adeq</w:t>
      </w:r>
      <w:r>
        <w:t>uate protection for the Southern</w:t>
      </w:r>
      <w:r w:rsidR="00533825">
        <w:t xml:space="preserve"> DPS. </w:t>
      </w:r>
    </w:p>
    <w:p w:rsidR="00E67BF9" w:rsidRPr="00E67BF9" w:rsidP="00E67BF9" w14:paraId="17E41913" w14:textId="77777777">
      <w:pPr>
        <w:pStyle w:val="ListParagraph"/>
        <w:numPr>
          <w:ilvl w:val="0"/>
          <w:numId w:val="12"/>
        </w:numPr>
      </w:pPr>
      <w:r w:rsidRPr="00E67BF9">
        <w:rPr>
          <w:b/>
        </w:rPr>
        <w:t>Under the 4(d) exceptions</w:t>
      </w:r>
      <w:r w:rsidRPr="00E67BF9">
        <w:t xml:space="preserve">, NMFS allows take of Southern DPS fish for </w:t>
      </w:r>
      <w:r w:rsidRPr="00E67BF9">
        <w:t xml:space="preserve">a </w:t>
      </w:r>
      <w:r w:rsidRPr="00E67BF9">
        <w:t xml:space="preserve">specific list of activities through a relatively informal coordination process. </w:t>
      </w:r>
    </w:p>
    <w:p w:rsidR="00533825" w:rsidRPr="00E67BF9" w:rsidP="00E67BF9" w14:paraId="24A2BAC8" w14:textId="77777777">
      <w:pPr>
        <w:pStyle w:val="ListParagraph"/>
        <w:numPr>
          <w:ilvl w:val="0"/>
          <w:numId w:val="12"/>
        </w:numPr>
      </w:pPr>
      <w:r w:rsidRPr="00E67BF9">
        <w:rPr>
          <w:b/>
        </w:rPr>
        <w:t>Under the 4(d) exemptions</w:t>
      </w:r>
      <w:r w:rsidRPr="00E67BF9">
        <w:t>, NMFS allows take of Southern DPS fish for activities covered under an ESA 4(d) program established and approved by NMFS through a formal process.</w:t>
      </w:r>
      <w:r w:rsidRPr="00E67BF9" w:rsidR="00FD053A">
        <w:t xml:space="preserve"> </w:t>
      </w:r>
    </w:p>
    <w:p w:rsidR="00533825" w:rsidP="00FD053A" w14:paraId="11E44C12" w14:textId="77777777"/>
    <w:p w:rsidR="00FD053A" w:rsidP="00FD053A" w14:paraId="7E4717F7" w14:textId="77777777">
      <w:r>
        <w:t xml:space="preserve">The information collections described in this extension request are those associated with these 4(d) exceptions and exemptions. Typically, entities obtain take coverage through ESA section 7 consultations or ESA section 10 permits. The 4(d) exceptions and exemptions provide another way, in addition to the ESA section 7 and 10 processes, for entities to obtain ESA coverage for activities that may involve take of Southern DPS green sturgeon. </w:t>
      </w:r>
    </w:p>
    <w:p w:rsidR="00FD053A" w:rsidP="00FD053A" w14:paraId="086F5F3C" w14:textId="77777777"/>
    <w:p w:rsidR="00FD053A" w:rsidP="00FD053A" w14:paraId="33A5480E" w14:textId="77777777">
      <w:r>
        <w:t xml:space="preserve">To qualify for a 4(d) exception or exemption, entities prepare and submit information to NMFS to show that the proposed activity or activities meet the 4(d) exception or exemption criteria. </w:t>
      </w:r>
      <w:r w:rsidRPr="00EA3213">
        <w:t xml:space="preserve">NMFS </w:t>
      </w:r>
      <w:r>
        <w:t>uses this information to</w:t>
      </w:r>
      <w:r w:rsidRPr="00EA3213">
        <w:t>: 1)</w:t>
      </w:r>
      <w:r>
        <w:t xml:space="preserve"> assess the effects of the take on the Southern DPS</w:t>
      </w:r>
      <w:r w:rsidRPr="00EA3213">
        <w:t>; 2) determine what category those takes fall under (i.e., excepted,</w:t>
      </w:r>
      <w:r>
        <w:t xml:space="preserve"> </w:t>
      </w:r>
      <w:r w:rsidRPr="00EA3213">
        <w:t xml:space="preserve">exempted, prohibited); 3) </w:t>
      </w:r>
      <w:r>
        <w:t xml:space="preserve">confirm 4(d) exceptions or </w:t>
      </w:r>
      <w:r w:rsidRPr="00EA3213">
        <w:t xml:space="preserve">approve 4(d) </w:t>
      </w:r>
      <w:r>
        <w:t xml:space="preserve">exemption </w:t>
      </w:r>
      <w:r w:rsidRPr="00EA3213">
        <w:t>program</w:t>
      </w:r>
      <w:r>
        <w:t>s; and 4) monitor the take of Southern DPS fish through reporting</w:t>
      </w:r>
      <w:r w:rsidRPr="00EA3213">
        <w:t>.</w:t>
      </w:r>
      <w:r>
        <w:t xml:space="preserve"> Thus, the information collections described in this extension request are necessary for NMFS to evaluate requests for 4(d) exceptions and exemptions, as well as for NMFS to monitor the effects on Southern DPS green sturgeon from activities being carried out under the 4(d) exceptions and exemptions.</w:t>
      </w:r>
    </w:p>
    <w:p w:rsidR="0087154E" w14:paraId="66CA10F5"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A71E82" w:rsidP="00E67BF9" w14:paraId="3D28440D" w14:textId="77777777"/>
    <w:p w:rsidR="00E67BF9" w:rsidP="00E67BF9" w14:paraId="5A261548" w14:textId="65991785">
      <w:r w:rsidRPr="002672E7">
        <w:t xml:space="preserve">To comply with the ESA and the </w:t>
      </w:r>
      <w:r>
        <w:t>4(d) rule for Southern DPS green sturgeon</w:t>
      </w:r>
      <w:r w:rsidRPr="002672E7">
        <w:t xml:space="preserve">, entities must obtain take </w:t>
      </w:r>
      <w:r>
        <w:t>coverage</w:t>
      </w:r>
      <w:r w:rsidRPr="002672E7">
        <w:t xml:space="preserve"> prior to</w:t>
      </w:r>
      <w:r>
        <w:t xml:space="preserve"> </w:t>
      </w:r>
      <w:r w:rsidRPr="002672E7">
        <w:t>engaging in activities involving take of Southern DPS fish</w:t>
      </w:r>
      <w:r>
        <w:t>. T</w:t>
      </w:r>
      <w:r w:rsidRPr="002672E7">
        <w:t>ake</w:t>
      </w:r>
      <w:r>
        <w:t xml:space="preserve"> of Southern DPS fish may be covered under a 4(d) exception, a 4(d)</w:t>
      </w:r>
      <w:r w:rsidRPr="002672E7">
        <w:t xml:space="preserve"> exemption, an ESA section 7 incidental take statement</w:t>
      </w:r>
      <w:r>
        <w:t xml:space="preserve"> (for Federal agency actions)</w:t>
      </w:r>
      <w:r w:rsidRPr="002672E7">
        <w:t>, or an ESA section 10</w:t>
      </w:r>
      <w:r>
        <w:t xml:space="preserve"> permit (for non-Federal actions). This information collection focuses on the information collections associated with the 4(d) exceptions and exemptions. </w:t>
      </w:r>
    </w:p>
    <w:p w:rsidR="00E67BF9" w:rsidP="00E67BF9" w14:paraId="020B5569" w14:textId="77777777"/>
    <w:p w:rsidR="00E67BF9" w:rsidP="00E67BF9" w14:paraId="07D83FFD" w14:textId="77777777">
      <w:r>
        <w:t>To be covered under a 4(d) exception or exemption, entities must adhere</w:t>
      </w:r>
      <w:r w:rsidRPr="002672E7">
        <w:t xml:space="preserve"> to specific criteria and reporting requirements</w:t>
      </w:r>
      <w:r>
        <w:t xml:space="preserve"> as specified in the 4(d) rule. Affected entities include local, state, and federal agencies; tribes; non-governmental organizations; academic researchers; and private organizations. T</w:t>
      </w:r>
      <w:r w:rsidRPr="002672E7">
        <w:t xml:space="preserve">o ensure that activities qualify under the </w:t>
      </w:r>
      <w:r>
        <w:t xml:space="preserve">4(d) </w:t>
      </w:r>
      <w:r w:rsidRPr="002672E7">
        <w:t xml:space="preserve">exceptions or exemptions, </w:t>
      </w:r>
      <w:r>
        <w:t>NMFS requests specific information from these entities (described in detail below). T</w:t>
      </w:r>
      <w:r w:rsidRPr="002672E7">
        <w:t xml:space="preserve">his information </w:t>
      </w:r>
      <w:r>
        <w:t xml:space="preserve">is </w:t>
      </w:r>
      <w:r w:rsidRPr="002672E7">
        <w:t>used by NMFS to</w:t>
      </w:r>
      <w:r>
        <w:t>:</w:t>
      </w:r>
      <w:r w:rsidRPr="002672E7">
        <w:t xml:space="preserve"> (1) </w:t>
      </w:r>
      <w:r>
        <w:t xml:space="preserve">evaluate the effects of each action on the Southern DPS; (2) confirm or approve requests for exceptions and exemptions; (3) </w:t>
      </w:r>
      <w:r w:rsidRPr="002672E7">
        <w:t xml:space="preserve">track the number of Southern DPS fish taken as a result of each action; </w:t>
      </w:r>
      <w:r>
        <w:t>and (4</w:t>
      </w:r>
      <w:r w:rsidRPr="002672E7">
        <w:t>)</w:t>
      </w:r>
      <w:r>
        <w:t xml:space="preserve"> evaluate the effectiveness of protective measures and </w:t>
      </w:r>
      <w:r w:rsidRPr="002672E7">
        <w:t>determine whether additional protections are needed for the species, or whether additional</w:t>
      </w:r>
      <w:r>
        <w:t xml:space="preserve"> </w:t>
      </w:r>
      <w:r w:rsidRPr="002672E7">
        <w:t xml:space="preserve">exceptions may be warranted. NMFS designed the criteria to ensure that </w:t>
      </w:r>
      <w:r>
        <w:t xml:space="preserve">activities and </w:t>
      </w:r>
      <w:r w:rsidRPr="002672E7">
        <w:t>p</w:t>
      </w:r>
      <w:r>
        <w:t>rograms</w:t>
      </w:r>
      <w:r w:rsidRPr="002672E7">
        <w:t xml:space="preserve"> meeting the</w:t>
      </w:r>
      <w:r>
        <w:t xml:space="preserve"> 4(d) exception or exemption </w:t>
      </w:r>
      <w:r w:rsidRPr="002672E7">
        <w:t>criteria would adequately limit impacts on threatened Southern DPS fish</w:t>
      </w:r>
      <w:r>
        <w:t>, and would not appreciably reduce the likelihood of survival and recovery of the Southern DPS</w:t>
      </w:r>
      <w:r w:rsidRPr="002672E7">
        <w:t>.</w:t>
      </w:r>
    </w:p>
    <w:p w:rsidR="00E67BF9" w:rsidRPr="002672E7" w:rsidP="00E67BF9" w14:paraId="0E1B9226" w14:textId="77777777"/>
    <w:p w:rsidR="00E67BF9" w:rsidP="00E67BF9" w14:paraId="52C27FFB" w14:textId="77777777">
      <w:r>
        <w:t xml:space="preserve">The following describes the </w:t>
      </w:r>
      <w:r w:rsidRPr="002672E7">
        <w:t>information collection</w:t>
      </w:r>
      <w:r>
        <w:t>s</w:t>
      </w:r>
      <w:r w:rsidRPr="002672E7">
        <w:t xml:space="preserve"> for</w:t>
      </w:r>
      <w:r>
        <w:t xml:space="preserve"> the three types of</w:t>
      </w:r>
      <w:r w:rsidRPr="002672E7">
        <w:t xml:space="preserve"> </w:t>
      </w:r>
      <w:r>
        <w:t>4(d) exceptions</w:t>
      </w:r>
      <w:r w:rsidRPr="002672E7">
        <w:t>:</w:t>
      </w:r>
    </w:p>
    <w:p w:rsidR="00E67BF9" w:rsidRPr="002672E7" w:rsidP="00E67BF9" w14:paraId="0AB49604" w14:textId="77777777"/>
    <w:p w:rsidR="00E67BF9" w:rsidP="00E67BF9" w14:paraId="4CEBE0BC" w14:textId="77777777">
      <w:pPr>
        <w:numPr>
          <w:ilvl w:val="0"/>
          <w:numId w:val="13"/>
        </w:numPr>
        <w:autoSpaceDE w:val="0"/>
        <w:autoSpaceDN w:val="0"/>
        <w:adjustRightInd w:val="0"/>
      </w:pPr>
      <w:r w:rsidRPr="00E81C0A">
        <w:rPr>
          <w:b/>
        </w:rPr>
        <w:t>Exception for Federal, state, or private-sponsored research or monitoring activities</w:t>
      </w:r>
      <w:r>
        <w:t xml:space="preserve">: The take prohibitions do not apply to certain research and monitoring activities that </w:t>
      </w:r>
      <w:r w:rsidRPr="005261CD">
        <w:t>comply with required state reviews or permits and ESA section 7 requirements (if funded, permitted, or carried out by a Federal agency); are directed at the Southern DPS and not incidental to research or monitoring of another species; do not involve lethal take of Southern DPS fish; do not involve take of live mature adults within the California Central Valley during the spawning season (from March through June); do not involve the removal of any life stage of the Southern DPS from the wild for more than 60 minutes; and do not involve take associated with artificial spawning or enhancement a</w:t>
      </w:r>
      <w:r>
        <w:t>ctivities for the Southern DPS.</w:t>
      </w:r>
    </w:p>
    <w:p w:rsidR="00E67BF9" w:rsidP="00E67BF9" w14:paraId="10195881" w14:textId="77777777"/>
    <w:p w:rsidR="00E67BF9" w:rsidP="00E81C0A" w14:paraId="3764F5ED" w14:textId="77777777">
      <w:pPr>
        <w:numPr>
          <w:ilvl w:val="1"/>
          <w:numId w:val="13"/>
        </w:numPr>
        <w:autoSpaceDE w:val="0"/>
        <w:autoSpaceDN w:val="0"/>
        <w:adjustRightInd w:val="0"/>
        <w:spacing w:after="120"/>
      </w:pPr>
      <w:r>
        <w:t>Entities are asked to p</w:t>
      </w:r>
      <w:r w:rsidRPr="002672E7">
        <w:t xml:space="preserve">rovide </w:t>
      </w:r>
      <w:r>
        <w:t xml:space="preserve">the following to NMFS at least 60 days prior to the start of the research or monitoring activities: </w:t>
      </w:r>
      <w:r w:rsidRPr="002672E7">
        <w:t>a description of the stu</w:t>
      </w:r>
      <w:r>
        <w:t>dy objectives and justification;</w:t>
      </w:r>
      <w:r w:rsidRPr="002672E7">
        <w:t xml:space="preserve"> a summary of the study</w:t>
      </w:r>
      <w:r>
        <w:t xml:space="preserve"> design and methodology;</w:t>
      </w:r>
      <w:r w:rsidRPr="002672E7">
        <w:t xml:space="preserve"> estimates of the total non-lethal take of Southern DPS fish</w:t>
      </w:r>
      <w:r>
        <w:t xml:space="preserve"> anticipated;</w:t>
      </w:r>
      <w:r w:rsidRPr="002672E7">
        <w:t xml:space="preserve"> estimates of incidental take of other ESA listed species anticipated and proof</w:t>
      </w:r>
      <w:r>
        <w:t xml:space="preserve"> of ESA coverage for</w:t>
      </w:r>
      <w:r w:rsidRPr="002672E7">
        <w:t xml:space="preserve"> those takes </w:t>
      </w:r>
      <w:r>
        <w:t>from</w:t>
      </w:r>
      <w:r w:rsidRPr="002672E7">
        <w:t xml:space="preserve"> NMFS or the U.S. Fish and Wildlife Service</w:t>
      </w:r>
      <w:r>
        <w:t xml:space="preserve"> (USFWS);</w:t>
      </w:r>
      <w:r w:rsidRPr="002672E7">
        <w:t xml:space="preserve"> ide</w:t>
      </w:r>
      <w:r>
        <w:t xml:space="preserve">ntification of funding sources; </w:t>
      </w:r>
      <w:r w:rsidRPr="002672E7">
        <w:t>and a point of contact</w:t>
      </w:r>
      <w:r>
        <w:t xml:space="preserve">. </w:t>
      </w:r>
    </w:p>
    <w:p w:rsidR="00E67BF9" w:rsidP="00E81C0A" w14:paraId="373B4D41" w14:textId="77777777">
      <w:pPr>
        <w:numPr>
          <w:ilvl w:val="1"/>
          <w:numId w:val="13"/>
        </w:numPr>
        <w:autoSpaceDE w:val="0"/>
        <w:autoSpaceDN w:val="0"/>
        <w:adjustRightInd w:val="0"/>
        <w:spacing w:after="120"/>
      </w:pPr>
      <w:r>
        <w:t xml:space="preserve">Reporting requirements: If NMFS confirms that the activities meet the exception criteria, then the entity is to submit reports to NMFS (on a schedule to be determined by NMFS staff) including </w:t>
      </w:r>
      <w:r w:rsidRPr="005261CD">
        <w:t>the total number of Southern DPS</w:t>
      </w:r>
      <w:r>
        <w:t xml:space="preserve"> fish and any other ESA-</w:t>
      </w:r>
      <w:r w:rsidRPr="005261CD">
        <w:t>listed species taken, information that supports that take was non-lethal</w:t>
      </w:r>
      <w:r w:rsidR="00E81C0A">
        <w:t xml:space="preserve"> (see below)</w:t>
      </w:r>
      <w:r w:rsidRPr="005261CD">
        <w:t xml:space="preserve">, and a summary of the </w:t>
      </w:r>
      <w:r>
        <w:t>project results.</w:t>
      </w:r>
    </w:p>
    <w:p w:rsidR="00E81C0A" w:rsidRPr="005261CD" w:rsidP="00E81C0A" w14:paraId="790F8D61" w14:textId="77777777">
      <w:pPr>
        <w:numPr>
          <w:ilvl w:val="1"/>
          <w:numId w:val="13"/>
        </w:numPr>
        <w:autoSpaceDE w:val="0"/>
        <w:autoSpaceDN w:val="0"/>
        <w:adjustRightInd w:val="0"/>
        <w:spacing w:after="120"/>
      </w:pPr>
      <w:r w:rsidRPr="00E81C0A">
        <w:rPr>
          <w:color w:val="222222"/>
        </w:rPr>
        <w:t>An example of non-lethal take would be capturing and tagging green sturgeon with PIT tags, external spaghetti tags, or internal and/or external acoustic tags, for tracking of fish migrations. Evidence to support the claim that the take is non-lethal would include describing the methods to be used and the effects of those methods on green sturgeon (citing mortality rates from other studies using those methods), measures that would be implemented to reduce the effects on green sturgeon, and the expertise and experience of the researchers in implementing the proposed methods and measures.</w:t>
      </w:r>
      <w:r w:rsidRPr="00E81C0A">
        <w:rPr>
          <w:rStyle w:val="apple-converted-space"/>
          <w:color w:val="222222"/>
        </w:rPr>
        <w:t> </w:t>
      </w:r>
    </w:p>
    <w:p w:rsidR="00E67BF9" w:rsidRPr="006672D4" w:rsidP="00E67BF9" w14:paraId="64AFA91D" w14:textId="77777777">
      <w:pPr>
        <w:ind w:left="1440"/>
      </w:pPr>
    </w:p>
    <w:p w:rsidR="00E67BF9" w:rsidP="00E67BF9" w14:paraId="41F7A683" w14:textId="77777777">
      <w:pPr>
        <w:numPr>
          <w:ilvl w:val="0"/>
          <w:numId w:val="13"/>
        </w:numPr>
        <w:autoSpaceDE w:val="0"/>
        <w:autoSpaceDN w:val="0"/>
        <w:adjustRightInd w:val="0"/>
      </w:pPr>
      <w:r w:rsidRPr="00E81C0A">
        <w:rPr>
          <w:b/>
        </w:rPr>
        <w:t>Exception for emergency fish rescue and salvage activities</w:t>
      </w:r>
      <w:r>
        <w:t xml:space="preserve">: The take prohibitions do not apply to emergency fish rescue and salvage activities that benefit the Southern DPS, comply with required state or other Federal reviews or permits, and are carried out by </w:t>
      </w:r>
      <w:r w:rsidRPr="005017FC">
        <w:t>an employee or designee of NMFS or the</w:t>
      </w:r>
      <w:r>
        <w:t xml:space="preserve"> </w:t>
      </w:r>
      <w:r w:rsidRPr="005017FC">
        <w:t>USFWS, any Federal land management agency, or California Department of Fish and</w:t>
      </w:r>
      <w:r>
        <w:t xml:space="preserve"> Wildlife (CDFW</w:t>
      </w:r>
      <w:r w:rsidRPr="005017FC">
        <w:t>), Oregon Department of Fish and Wildlife (ODFW), Washington</w:t>
      </w:r>
      <w:r>
        <w:t xml:space="preserve"> </w:t>
      </w:r>
      <w:r w:rsidRPr="005017FC">
        <w:t>Department of Fish and Wildlife (WDFW), or Alaska Department of Fish and Game</w:t>
      </w:r>
      <w:r>
        <w:t xml:space="preserve"> </w:t>
      </w:r>
      <w:r w:rsidRPr="005017FC">
        <w:t>(ADFG)</w:t>
      </w:r>
      <w:r>
        <w:t xml:space="preserve">. Within 10 days after conducting the emergency rescue and/or salvage activities, those carrying out the activity are to submit a report to NMFS that includes, at a minimum: </w:t>
      </w:r>
    </w:p>
    <w:p w:rsidR="00E67BF9" w:rsidP="00E67BF9" w14:paraId="54BBB56C" w14:textId="77777777"/>
    <w:p w:rsidR="00E67BF9" w:rsidP="00E67BF9" w14:paraId="402BD52A" w14:textId="77777777">
      <w:pPr>
        <w:numPr>
          <w:ilvl w:val="1"/>
          <w:numId w:val="13"/>
        </w:numPr>
        <w:autoSpaceDE w:val="0"/>
        <w:autoSpaceDN w:val="0"/>
        <w:adjustRightInd w:val="0"/>
      </w:pPr>
      <w:r>
        <w:t>The number and status of green sturgeon handled;</w:t>
      </w:r>
    </w:p>
    <w:p w:rsidR="00E67BF9" w:rsidP="00E67BF9" w14:paraId="6C9D796E" w14:textId="77777777">
      <w:pPr>
        <w:numPr>
          <w:ilvl w:val="1"/>
          <w:numId w:val="13"/>
        </w:numPr>
        <w:autoSpaceDE w:val="0"/>
        <w:autoSpaceDN w:val="0"/>
        <w:adjustRightInd w:val="0"/>
      </w:pPr>
      <w:r>
        <w:t>The location of the rescue and/or salvage operations; and</w:t>
      </w:r>
    </w:p>
    <w:p w:rsidR="00E67BF9" w:rsidRPr="005017FC" w:rsidP="00E67BF9" w14:paraId="7048749B" w14:textId="77777777">
      <w:pPr>
        <w:numPr>
          <w:ilvl w:val="1"/>
          <w:numId w:val="13"/>
        </w:numPr>
        <w:autoSpaceDE w:val="0"/>
        <w:autoSpaceDN w:val="0"/>
        <w:adjustRightInd w:val="0"/>
      </w:pPr>
      <w:r>
        <w:t>The potential cause(s) of the emergency situation.</w:t>
      </w:r>
    </w:p>
    <w:p w:rsidR="00E67BF9" w:rsidP="00E67BF9" w14:paraId="26AE640F" w14:textId="77777777">
      <w:pPr>
        <w:ind w:left="720"/>
      </w:pPr>
    </w:p>
    <w:p w:rsidR="00E67BF9" w:rsidP="00E67BF9" w14:paraId="0B414FC5" w14:textId="77777777">
      <w:pPr>
        <w:numPr>
          <w:ilvl w:val="0"/>
          <w:numId w:val="13"/>
        </w:numPr>
        <w:autoSpaceDE w:val="0"/>
        <w:autoSpaceDN w:val="0"/>
        <w:adjustRightInd w:val="0"/>
      </w:pPr>
      <w:r w:rsidRPr="00E81C0A">
        <w:rPr>
          <w:b/>
        </w:rPr>
        <w:t>Exception for habitat restoration activities</w:t>
      </w:r>
      <w:r>
        <w:t xml:space="preserve">: The take prohibitions do not apply to certain habitat restoration activities that aim to re-establish self-sustaining habitats for the Southern DPS and that comply with required state and Federal reviews and permits, including ESA section 7 requirements where applicable. </w:t>
      </w:r>
    </w:p>
    <w:p w:rsidR="00E67BF9" w:rsidP="00E67BF9" w14:paraId="639DF482" w14:textId="77777777"/>
    <w:p w:rsidR="00E67BF9" w:rsidP="00E81C0A" w14:paraId="3DBA050E" w14:textId="77777777">
      <w:pPr>
        <w:numPr>
          <w:ilvl w:val="1"/>
          <w:numId w:val="13"/>
        </w:numPr>
        <w:autoSpaceDE w:val="0"/>
        <w:autoSpaceDN w:val="0"/>
        <w:adjustRightInd w:val="0"/>
        <w:spacing w:after="120"/>
      </w:pPr>
      <w:r>
        <w:t xml:space="preserve">At least 60 days prior to the start of the restoration project, entities are to provide a detailed description of the restoration activity to NMFS including: the geographic area affected; </w:t>
      </w:r>
      <w:r w:rsidRPr="005B3106">
        <w:t>when</w:t>
      </w:r>
      <w:r>
        <w:t xml:space="preserve"> </w:t>
      </w:r>
      <w:r w:rsidRPr="005B3106">
        <w:t xml:space="preserve">activities will occur; </w:t>
      </w:r>
      <w:r>
        <w:t>how they will be conducted; an estimate of the level of take of Southern DPS fish that may occur and how that estimate was made; the severity of direct,</w:t>
      </w:r>
      <w:r w:rsidRPr="005B3106">
        <w:t xml:space="preserve"> indirect, and</w:t>
      </w:r>
      <w:r>
        <w:t xml:space="preserve"> </w:t>
      </w:r>
      <w:r w:rsidRPr="005B3106">
        <w:t xml:space="preserve">cumulative impacts of </w:t>
      </w:r>
      <w:r>
        <w:t xml:space="preserve">the </w:t>
      </w:r>
      <w:r w:rsidRPr="005B3106">
        <w:t>activities on th</w:t>
      </w:r>
      <w:r>
        <w:t>e Southern DPS;</w:t>
      </w:r>
      <w:r w:rsidRPr="005B3106">
        <w:t xml:space="preserve"> methods </w:t>
      </w:r>
      <w:r>
        <w:t xml:space="preserve">to be </w:t>
      </w:r>
      <w:r w:rsidRPr="005B3106">
        <w:t>used to ensure that the likelihood of survival or recovery of the</w:t>
      </w:r>
      <w:r>
        <w:t xml:space="preserve"> Southern DPS</w:t>
      </w:r>
      <w:r w:rsidRPr="005B3106">
        <w:t xml:space="preserve"> is not reduced; a plan for minimizing and mitigating any adverse impacts to</w:t>
      </w:r>
      <w:r>
        <w:t xml:space="preserve"> </w:t>
      </w:r>
      <w:r w:rsidRPr="005B3106">
        <w:t>Southern DPS spawning or rearing habitat; a</w:t>
      </w:r>
      <w:r>
        <w:t xml:space="preserve"> </w:t>
      </w:r>
      <w:r w:rsidRPr="005261CD">
        <w:t>plan for effective monitoring and adaptive management; identification of funding sources; evidence that all state and federal regulatory requirements have been met;</w:t>
      </w:r>
      <w:r>
        <w:t xml:space="preserve"> </w:t>
      </w:r>
      <w:r w:rsidRPr="005261CD">
        <w:t>a pledge to use best available</w:t>
      </w:r>
      <w:r>
        <w:t xml:space="preserve"> </w:t>
      </w:r>
      <w:r w:rsidRPr="005261CD">
        <w:t>science and technology when conducting restoration act</w:t>
      </w:r>
      <w:r>
        <w:t xml:space="preserve">ivities; and a point of contact. </w:t>
      </w:r>
    </w:p>
    <w:p w:rsidR="00E67BF9" w:rsidRPr="005261CD" w:rsidP="00E81C0A" w14:paraId="2460BE28" w14:textId="77777777">
      <w:pPr>
        <w:numPr>
          <w:ilvl w:val="1"/>
          <w:numId w:val="13"/>
        </w:numPr>
        <w:autoSpaceDE w:val="0"/>
        <w:autoSpaceDN w:val="0"/>
        <w:adjustRightInd w:val="0"/>
        <w:spacing w:after="120"/>
      </w:pPr>
      <w:r>
        <w:t xml:space="preserve">Reporting requirements: If NMFS confirms that the activities meet the exception criteria, then the entity is to submit progress reports (on a schedule to be determined by NMFS staff) including the total number of Southern DPS fish taken, whether the take was lethal or non-lethal, a summary of the project status, and a description of any changes in the methods being used. </w:t>
      </w:r>
    </w:p>
    <w:p w:rsidR="00E67BF9" w:rsidP="00E67BF9" w14:paraId="2E6BD6BB" w14:textId="77777777">
      <w:pPr>
        <w:ind w:left="1440"/>
      </w:pPr>
    </w:p>
    <w:p w:rsidR="00E67BF9" w:rsidP="00E67BF9" w14:paraId="7A19815F" w14:textId="77777777">
      <w:r>
        <w:t>The</w:t>
      </w:r>
      <w:r w:rsidRPr="002672E7">
        <w:t xml:space="preserve"> </w:t>
      </w:r>
      <w:r>
        <w:t xml:space="preserve">following describes the </w:t>
      </w:r>
      <w:r w:rsidRPr="002672E7">
        <w:t>information collection</w:t>
      </w:r>
      <w:r>
        <w:t>s</w:t>
      </w:r>
      <w:r w:rsidRPr="002672E7">
        <w:t xml:space="preserve"> for</w:t>
      </w:r>
      <w:r>
        <w:t xml:space="preserve"> the three types of</w:t>
      </w:r>
      <w:r w:rsidRPr="002672E7">
        <w:t xml:space="preserve"> 4(d) </w:t>
      </w:r>
      <w:r>
        <w:t>exemptions</w:t>
      </w:r>
      <w:r w:rsidRPr="002672E7">
        <w:t>:</w:t>
      </w:r>
    </w:p>
    <w:p w:rsidR="00E67BF9" w:rsidRPr="002672E7" w:rsidP="00E67BF9" w14:paraId="3F85179E" w14:textId="77777777"/>
    <w:p w:rsidR="00E67BF9" w:rsidP="00E67BF9" w14:paraId="6FE7D6D9" w14:textId="77777777">
      <w:pPr>
        <w:numPr>
          <w:ilvl w:val="0"/>
          <w:numId w:val="14"/>
        </w:numPr>
        <w:autoSpaceDE w:val="0"/>
        <w:autoSpaceDN w:val="0"/>
        <w:adjustRightInd w:val="0"/>
      </w:pPr>
      <w:r w:rsidRPr="00E81C0A">
        <w:rPr>
          <w:b/>
        </w:rPr>
        <w:t>Exemption for Fishery Management and Evaluation Plans (FMEP)</w:t>
      </w:r>
      <w:r w:rsidRPr="002672E7">
        <w:t>: Commercial and recreational</w:t>
      </w:r>
      <w:r>
        <w:t xml:space="preserve"> </w:t>
      </w:r>
      <w:r w:rsidRPr="00312573">
        <w:t>fisheries activities would not be subject to the take pr</w:t>
      </w:r>
      <w:r>
        <w:t>ohibitions if conducted under a NMFS-</w:t>
      </w:r>
      <w:r w:rsidRPr="00312573">
        <w:t xml:space="preserve">approved FMEP. Green sturgeon are </w:t>
      </w:r>
      <w:r>
        <w:t>caught</w:t>
      </w:r>
      <w:r w:rsidRPr="00312573">
        <w:t xml:space="preserve"> as bycatch in fisheries</w:t>
      </w:r>
      <w:r>
        <w:t xml:space="preserve"> </w:t>
      </w:r>
      <w:r w:rsidRPr="00312573">
        <w:t>for other species, such as white sturgeon, salmon, and groundfish. To qualify for the</w:t>
      </w:r>
      <w:r>
        <w:t xml:space="preserve"> </w:t>
      </w:r>
      <w:r w:rsidRPr="00312573">
        <w:t>exemption, fishery management agencies would prepare an FMEP and submit the plan to</w:t>
      </w:r>
      <w:r>
        <w:t xml:space="preserve"> </w:t>
      </w:r>
      <w:r w:rsidRPr="00312573">
        <w:t>NMFS. NMFS would evaluate the plan based on its completeness and potential impact</w:t>
      </w:r>
      <w:r>
        <w:t xml:space="preserve"> </w:t>
      </w:r>
      <w:r w:rsidRPr="00312573">
        <w:t>on the Southern DPS. NMFS may approve the plan or return the plan to the agency for</w:t>
      </w:r>
      <w:r>
        <w:t xml:space="preserve"> </w:t>
      </w:r>
      <w:r w:rsidRPr="00312573">
        <w:t>revision. New or amended FMEPs would be published in the Federal Register for public</w:t>
      </w:r>
      <w:r>
        <w:t xml:space="preserve"> </w:t>
      </w:r>
      <w:r w:rsidRPr="00312573">
        <w:t>comment prior to approval by NMFS. Decisions to withdraw approval for an FMEP</w:t>
      </w:r>
      <w:r>
        <w:t xml:space="preserve"> </w:t>
      </w:r>
      <w:r w:rsidRPr="00312573">
        <w:t>would also be published in the Federal Register and subject to public comment.</w:t>
      </w:r>
      <w:r>
        <w:t xml:space="preserve"> </w:t>
      </w:r>
      <w:r w:rsidRPr="00312573">
        <w:t xml:space="preserve">Fishery management agencies seeking take </w:t>
      </w:r>
      <w:r>
        <w:t>coverage</w:t>
      </w:r>
      <w:r w:rsidRPr="00312573">
        <w:t xml:space="preserve"> under an FMEP would be</w:t>
      </w:r>
      <w:r>
        <w:t xml:space="preserve"> </w:t>
      </w:r>
      <w:r w:rsidRPr="00312573">
        <w:t>required to submit in writing to NMFS:</w:t>
      </w:r>
    </w:p>
    <w:p w:rsidR="00E67BF9" w:rsidP="00E67BF9" w14:paraId="2C2A237E" w14:textId="77777777"/>
    <w:p w:rsidR="00E67BF9" w:rsidP="00E81C0A" w14:paraId="67A05889" w14:textId="77777777">
      <w:pPr>
        <w:numPr>
          <w:ilvl w:val="1"/>
          <w:numId w:val="14"/>
        </w:numPr>
        <w:autoSpaceDE w:val="0"/>
        <w:autoSpaceDN w:val="0"/>
        <w:adjustRightInd w:val="0"/>
        <w:spacing w:after="120"/>
      </w:pPr>
      <w:r>
        <w:t>An</w:t>
      </w:r>
      <w:r w:rsidRPr="00312573">
        <w:t xml:space="preserve"> FMEP </w:t>
      </w:r>
      <w:r>
        <w:t xml:space="preserve">that </w:t>
      </w:r>
      <w:r w:rsidRPr="00312573">
        <w:t>prohibits the retention of green sturgeon</w:t>
      </w:r>
      <w:r>
        <w:t xml:space="preserve">; sets </w:t>
      </w:r>
      <w:r w:rsidRPr="00312573">
        <w:t>maximum bycatch levels for green sturgeon</w:t>
      </w:r>
      <w:r>
        <w:t xml:space="preserve">; provides a </w:t>
      </w:r>
      <w:r w:rsidRPr="00312573">
        <w:t>biologically-based rational</w:t>
      </w:r>
      <w:r>
        <w:t>e demonstrating how the plan</w:t>
      </w:r>
      <w:r w:rsidRPr="00312573">
        <w:t xml:space="preserve"> will protect the Southern</w:t>
      </w:r>
      <w:r>
        <w:t xml:space="preserve"> DPS; establishes plans for monitoring and </w:t>
      </w:r>
      <w:r w:rsidRPr="00312573">
        <w:t>evaluat</w:t>
      </w:r>
      <w:r>
        <w:t>ion, enforcement, and education; and provides a timeframe for FMEP implementation.</w:t>
      </w:r>
      <w:r w:rsidRPr="00312573">
        <w:t xml:space="preserve"> NMFS</w:t>
      </w:r>
      <w:r w:rsidRPr="00C855B4">
        <w:t xml:space="preserve"> </w:t>
      </w:r>
      <w:r>
        <w:t xml:space="preserve">will </w:t>
      </w:r>
      <w:r w:rsidRPr="00C855B4">
        <w:t>use this information to evaluate the potential impacts of the plan on the</w:t>
      </w:r>
      <w:r>
        <w:t xml:space="preserve"> </w:t>
      </w:r>
      <w:r w:rsidRPr="00C855B4">
        <w:t>Southern DPS.</w:t>
      </w:r>
    </w:p>
    <w:p w:rsidR="00E67BF9" w:rsidP="00E81C0A" w14:paraId="0D716FB7" w14:textId="77777777">
      <w:pPr>
        <w:numPr>
          <w:ilvl w:val="1"/>
          <w:numId w:val="14"/>
        </w:numPr>
        <w:autoSpaceDE w:val="0"/>
        <w:autoSpaceDN w:val="0"/>
        <w:adjustRightInd w:val="0"/>
        <w:spacing w:after="120"/>
      </w:pPr>
      <w:r>
        <w:t>If NMFS approves the FMEP, the entity must submit b</w:t>
      </w:r>
      <w:r w:rsidRPr="00C855B4">
        <w:t>ian</w:t>
      </w:r>
      <w:r>
        <w:t>nual reports to NMFS, including</w:t>
      </w:r>
      <w:r w:rsidRPr="00C855B4">
        <w:t xml:space="preserve"> the number of green sturgeon taken in the</w:t>
      </w:r>
      <w:r>
        <w:t xml:space="preserve"> </w:t>
      </w:r>
      <w:r w:rsidRPr="00C855B4">
        <w:t>fishery and an evaluation and summary of the effectiveness of the FMEP. NMFS</w:t>
      </w:r>
      <w:r>
        <w:t xml:space="preserve"> will</w:t>
      </w:r>
      <w:r w:rsidRPr="00C855B4">
        <w:t xml:space="preserve"> use the reports to evaluate the FMEPs and </w:t>
      </w:r>
      <w:r>
        <w:t xml:space="preserve">recommend changes to improve their </w:t>
      </w:r>
      <w:r w:rsidRPr="00C855B4">
        <w:t>effectiveness.</w:t>
      </w:r>
    </w:p>
    <w:p w:rsidR="00E67BF9" w:rsidP="00E67BF9" w14:paraId="53D78131" w14:textId="77777777">
      <w:pPr>
        <w:ind w:left="1440"/>
      </w:pPr>
    </w:p>
    <w:p w:rsidR="00E67BF9" w:rsidP="00E67BF9" w14:paraId="0D841A1B" w14:textId="77777777">
      <w:pPr>
        <w:numPr>
          <w:ilvl w:val="0"/>
          <w:numId w:val="14"/>
        </w:numPr>
        <w:autoSpaceDE w:val="0"/>
        <w:autoSpaceDN w:val="0"/>
        <w:adjustRightInd w:val="0"/>
      </w:pPr>
      <w:r w:rsidRPr="00E81C0A">
        <w:rPr>
          <w:b/>
        </w:rPr>
        <w:t>Exemption for Tribal Resource Management Plans (Tribal Plan)</w:t>
      </w:r>
      <w:r w:rsidRPr="007D5000">
        <w:t xml:space="preserve">: Fishery harvest </w:t>
      </w:r>
      <w:r>
        <w:t xml:space="preserve">or other </w:t>
      </w:r>
      <w:r w:rsidRPr="007D5000">
        <w:t>activities conducted by a</w:t>
      </w:r>
      <w:r>
        <w:t xml:space="preserve"> </w:t>
      </w:r>
      <w:r w:rsidRPr="007D5000">
        <w:t>tribe, tribal member, tribal permittee, tribal employee, or tribal agent would not be</w:t>
      </w:r>
      <w:r>
        <w:t xml:space="preserve"> </w:t>
      </w:r>
      <w:r w:rsidRPr="007D5000">
        <w:t>subject to the take prohibitions if conducted in compliance with an approved T</w:t>
      </w:r>
      <w:r>
        <w:t xml:space="preserve">ribal </w:t>
      </w:r>
      <w:r w:rsidRPr="007D5000">
        <w:t>P</w:t>
      </w:r>
      <w:r>
        <w:t>lan</w:t>
      </w:r>
      <w:r w:rsidRPr="007D5000">
        <w:t>. A</w:t>
      </w:r>
      <w:r>
        <w:t xml:space="preserve"> </w:t>
      </w:r>
      <w:r w:rsidRPr="007D5000">
        <w:t>T</w:t>
      </w:r>
      <w:r>
        <w:t xml:space="preserve">ribal </w:t>
      </w:r>
      <w:r w:rsidRPr="007D5000">
        <w:t>P</w:t>
      </w:r>
      <w:r>
        <w:t>lan</w:t>
      </w:r>
      <w:r w:rsidRPr="007D5000">
        <w:t xml:space="preserve"> may be developed by one tribe or jointly with other tribes and may vary in</w:t>
      </w:r>
      <w:r>
        <w:t xml:space="preserve"> </w:t>
      </w:r>
      <w:r w:rsidRPr="007D5000">
        <w:t>content. The Secretary of Commerce would consult with the tribe(s) on a government-to</w:t>
      </w:r>
      <w:r>
        <w:t>-</w:t>
      </w:r>
      <w:r w:rsidRPr="007D5000">
        <w:t>government</w:t>
      </w:r>
      <w:r>
        <w:t xml:space="preserve"> </w:t>
      </w:r>
      <w:r w:rsidRPr="007D5000">
        <w:t>basis to provide technical assistance during development of a T</w:t>
      </w:r>
      <w:r>
        <w:t>ribal Plan</w:t>
      </w:r>
      <w:r w:rsidRPr="007D5000">
        <w:t>. The</w:t>
      </w:r>
      <w:r>
        <w:t xml:space="preserve"> </w:t>
      </w:r>
      <w:r w:rsidRPr="007D5000">
        <w:t>tribe</w:t>
      </w:r>
      <w:r>
        <w:t>(s)</w:t>
      </w:r>
      <w:r w:rsidRPr="007D5000">
        <w:t xml:space="preserve"> would prepare a plan addressing fishery harvest</w:t>
      </w:r>
      <w:r>
        <w:t xml:space="preserve"> or other</w:t>
      </w:r>
      <w:r w:rsidRPr="007D5000">
        <w:t xml:space="preserve"> activities and submit it to</w:t>
      </w:r>
      <w:r>
        <w:t xml:space="preserve"> </w:t>
      </w:r>
      <w:r w:rsidRPr="00732AAB">
        <w:t>NMFS. NMFS would evaluate the plan based on its completeness and potential impact</w:t>
      </w:r>
      <w:r>
        <w:t xml:space="preserve"> </w:t>
      </w:r>
      <w:r w:rsidRPr="00732AAB">
        <w:t>on the Southern DPS. Approval would also be contingent on a determination by the</w:t>
      </w:r>
      <w:r>
        <w:t xml:space="preserve"> </w:t>
      </w:r>
      <w:r w:rsidRPr="00732AAB">
        <w:t>Secretary of Commerce that the T</w:t>
      </w:r>
      <w:r>
        <w:t xml:space="preserve">ribal </w:t>
      </w:r>
      <w:r w:rsidRPr="00732AAB">
        <w:t>P</w:t>
      </w:r>
      <w:r>
        <w:t>lan</w:t>
      </w:r>
      <w:r w:rsidRPr="00732AAB">
        <w:t xml:space="preserve"> would not appreciably reduce the likelihood of</w:t>
      </w:r>
      <w:r>
        <w:t xml:space="preserve"> </w:t>
      </w:r>
      <w:r w:rsidRPr="00732AAB">
        <w:t>survival or recovery of the Southern DPS. NMFS ma</w:t>
      </w:r>
      <w:r>
        <w:t xml:space="preserve">y approve the plan or return the </w:t>
      </w:r>
      <w:r w:rsidRPr="00732AAB">
        <w:t>plan to the tribe</w:t>
      </w:r>
      <w:r>
        <w:t>(s)</w:t>
      </w:r>
      <w:r w:rsidRPr="00732AAB">
        <w:t xml:space="preserve"> for revision. New or amended T</w:t>
      </w:r>
      <w:r>
        <w:t>ribal Plans</w:t>
      </w:r>
      <w:r w:rsidRPr="00732AAB">
        <w:t xml:space="preserve"> and the Secretary’s determination</w:t>
      </w:r>
      <w:r>
        <w:t xml:space="preserve"> </w:t>
      </w:r>
      <w:r w:rsidRPr="00732AAB">
        <w:t xml:space="preserve">on the </w:t>
      </w:r>
      <w:r>
        <w:t>plans</w:t>
      </w:r>
      <w:r w:rsidRPr="00732AAB">
        <w:t xml:space="preserve"> would be published in the Federal Register for public comment prior to</w:t>
      </w:r>
      <w:r>
        <w:t xml:space="preserve"> </w:t>
      </w:r>
      <w:r w:rsidRPr="00732AAB">
        <w:t>approval.</w:t>
      </w:r>
    </w:p>
    <w:p w:rsidR="00E67BF9" w:rsidP="00E67BF9" w14:paraId="1FEA4777" w14:textId="77777777">
      <w:pPr>
        <w:ind w:left="720"/>
      </w:pPr>
    </w:p>
    <w:p w:rsidR="00E67BF9" w:rsidRPr="008B5EA3" w:rsidP="00E67BF9" w14:paraId="79C468E8" w14:textId="77777777">
      <w:pPr>
        <w:numPr>
          <w:ilvl w:val="0"/>
          <w:numId w:val="14"/>
        </w:numPr>
        <w:autoSpaceDE w:val="0"/>
        <w:autoSpaceDN w:val="0"/>
        <w:adjustRightInd w:val="0"/>
      </w:pPr>
      <w:r w:rsidRPr="00E81C0A">
        <w:rPr>
          <w:b/>
        </w:rPr>
        <w:t>Exemption for State-sponsored scientific research or monitoring programs:</w:t>
      </w:r>
      <w:r w:rsidRPr="008B5EA3">
        <w:t xml:space="preserve"> Scientific research or monitoring activities involving incidental or direct take of listed species are typically authorized under ESA section 7 or 10. Establishment of state-sponsored scientific research programs between state fishery management agencies and NMFS provides an additional method for researchers to obtain take authorization. The programs cover research and monitoring </w:t>
      </w:r>
      <w:r w:rsidRPr="008B5EA3">
        <w:t>projects involving Southern DPS fish that are conducted, overseen, or coordinated by the state fishery management agency (i.e., CDFW, ODFW, WDFW, or ADFG). Such programs help streamline the process for researchers, state agencies, and NMFS by allowing the state agencies to maintain primary responsibility for coordination and oversight of research activities. Each year, researchers are required to submit research applications to the state fishery management agency. These agencies evaluate and determine which projects are eligible for inclusion under the program and then transmit approved applications to NMFS for review and approval. Researchers are not required to apply for a separate permit from NMFS. NMFS works with the state agencies to ensure authorized research involving listed Southern DPS fish is both coordinated and conducted in a manner that is adequately protective of the Southern DPS.</w:t>
      </w:r>
    </w:p>
    <w:p w:rsidR="00E67BF9" w:rsidP="00E67BF9" w14:paraId="7EF993D3" w14:textId="77777777">
      <w:pPr>
        <w:ind w:left="720"/>
      </w:pPr>
    </w:p>
    <w:p w:rsidR="00E67BF9" w:rsidP="00E67BF9" w14:paraId="47A8F61F" w14:textId="77777777">
      <w:pPr>
        <w:numPr>
          <w:ilvl w:val="1"/>
          <w:numId w:val="14"/>
        </w:numPr>
        <w:autoSpaceDE w:val="0"/>
        <w:autoSpaceDN w:val="0"/>
        <w:adjustRightInd w:val="0"/>
      </w:pPr>
      <w:r>
        <w:t xml:space="preserve">Under </w:t>
      </w:r>
      <w:r w:rsidRPr="00732AAB">
        <w:t>state-sponsored scientific research program</w:t>
      </w:r>
      <w:r>
        <w:t>s</w:t>
      </w:r>
      <w:r w:rsidRPr="00732AAB">
        <w:t xml:space="preserve">, the state agency </w:t>
      </w:r>
      <w:r>
        <w:t xml:space="preserve">is </w:t>
      </w:r>
      <w:r w:rsidRPr="00732AAB">
        <w:t>required to provide for NMFS’ review and approval a list of all scientific research</w:t>
      </w:r>
      <w:r>
        <w:t xml:space="preserve"> </w:t>
      </w:r>
      <w:r w:rsidRPr="00732AAB">
        <w:t>activities involving Southern DPS fish for the coming year, including for each project:</w:t>
      </w:r>
      <w:r>
        <w:t xml:space="preserve"> </w:t>
      </w:r>
      <w:r w:rsidRPr="00135F19">
        <w:t>an estimate of the total direct or indirect take of Southern DPS fish</w:t>
      </w:r>
      <w:r>
        <w:t xml:space="preserve"> anticipated</w:t>
      </w:r>
      <w:r w:rsidRPr="00135F19">
        <w:t xml:space="preserve">; </w:t>
      </w:r>
      <w:r>
        <w:t>a</w:t>
      </w:r>
      <w:r w:rsidRPr="00135F19">
        <w:t xml:space="preserve"> description of the study design and methodology;</w:t>
      </w:r>
      <w:r>
        <w:t xml:space="preserve"> </w:t>
      </w:r>
      <w:r w:rsidRPr="00135F19">
        <w:t>justification for take of Southern DPS fish and the techniques to be employed;</w:t>
      </w:r>
      <w:r>
        <w:t xml:space="preserve"> and a</w:t>
      </w:r>
      <w:r w:rsidRPr="00135F19">
        <w:t xml:space="preserve"> point of contact.</w:t>
      </w:r>
    </w:p>
    <w:p w:rsidR="00E67BF9" w:rsidP="00E67BF9" w14:paraId="37F6CF77" w14:textId="77777777">
      <w:pPr>
        <w:ind w:left="1080"/>
      </w:pPr>
    </w:p>
    <w:p w:rsidR="00E67BF9" w:rsidRPr="00135F19" w:rsidP="00E67BF9" w14:paraId="1281D7A8" w14:textId="77777777">
      <w:pPr>
        <w:numPr>
          <w:ilvl w:val="1"/>
          <w:numId w:val="14"/>
        </w:numPr>
        <w:autoSpaceDE w:val="0"/>
        <w:autoSpaceDN w:val="0"/>
        <w:adjustRightInd w:val="0"/>
      </w:pPr>
      <w:r>
        <w:t>Reporting requirements: Under approved state-sponsored scientific research programs, the responsible state agency must submit to NMFS an annual report that includes, for each project, a</w:t>
      </w:r>
      <w:r w:rsidRPr="002672E7">
        <w:t xml:space="preserve"> summary of the number of green sturgeon tak</w:t>
      </w:r>
      <w:r>
        <w:t>en directly or incidentally and a</w:t>
      </w:r>
      <w:r w:rsidRPr="00135F19">
        <w:t xml:space="preserve"> summary of the results of the project</w:t>
      </w:r>
      <w:r>
        <w:t xml:space="preserve">. </w:t>
      </w:r>
      <w:r w:rsidRPr="00135F19">
        <w:t>NMFS</w:t>
      </w:r>
      <w:r>
        <w:t xml:space="preserve"> uses this information</w:t>
      </w:r>
      <w:r w:rsidRPr="00135F19">
        <w:t xml:space="preserve"> to evaluate the effects of</w:t>
      </w:r>
      <w:r>
        <w:t xml:space="preserve"> the research program</w:t>
      </w:r>
      <w:r w:rsidRPr="00135F19">
        <w:t xml:space="preserve"> on the Southern DPS.</w:t>
      </w:r>
    </w:p>
    <w:p w:rsidR="00E67BF9" w:rsidRPr="002672E7" w:rsidP="00E67BF9" w14:paraId="1A3B1031" w14:textId="77777777"/>
    <w:p w:rsidR="00E67BF9" w:rsidRPr="0034088C" w:rsidP="0034088C" w14:paraId="0DBB29C5" w14:textId="529F052B">
      <w:pPr>
        <w:spacing w:after="240"/>
      </w:pPr>
      <w:r w:rsidRPr="00221434">
        <w:rPr>
          <w:color w:val="222222"/>
        </w:rPr>
        <w:t>We anticipate that the FMEPs, Tribal Plans, and reports will be disseminated to the public or used to support publicly disseminated information.</w:t>
      </w:r>
      <w:r>
        <w:t xml:space="preserve"> </w:t>
      </w:r>
      <w:r w:rsidRPr="002672E7">
        <w:t>NMFS will retain control over the information and</w:t>
      </w:r>
      <w:r>
        <w:t xml:space="preserve"> </w:t>
      </w:r>
      <w:r w:rsidRPr="002672E7">
        <w:t>safeguard it from improper access, modification, and destruction, consistent with NOAA</w:t>
      </w:r>
      <w:r>
        <w:t xml:space="preserve"> </w:t>
      </w:r>
      <w:r w:rsidRPr="002672E7">
        <w:t xml:space="preserve">standards for confidentiality, privacy, and electronic information. See response to </w:t>
      </w:r>
      <w:r w:rsidRPr="0034088C">
        <w:t>Question 10</w:t>
      </w:r>
      <w:r w:rsidRPr="00C57024">
        <w:t xml:space="preserve"> of this Supporting Statement for mor</w:t>
      </w:r>
      <w:r w:rsidRPr="002672E7">
        <w:t>e information on confidentiality and privacy. The</w:t>
      </w:r>
      <w:r>
        <w:t xml:space="preserve"> </w:t>
      </w:r>
      <w:r w:rsidRPr="002672E7">
        <w:t>information collection is designed to yield data that meet all applicable information quality</w:t>
      </w:r>
      <w:r>
        <w:t xml:space="preserve"> </w:t>
      </w:r>
      <w:r w:rsidRPr="002672E7">
        <w:t>guidelines. Prior to dissemination, the information will be subjected to quality control measures</w:t>
      </w:r>
      <w:r>
        <w:t xml:space="preserve"> </w:t>
      </w:r>
      <w:r w:rsidRPr="002672E7">
        <w:t xml:space="preserve">and a pre-dissemination review pursuant to </w:t>
      </w:r>
      <w:hyperlink r:id="rId7" w:history="1">
        <w:r w:rsidRPr="00725BAA">
          <w:rPr>
            <w:rStyle w:val="Hyperlink"/>
          </w:rPr>
          <w:t>Section 515 of Public Law 106-554</w:t>
        </w:r>
      </w:hyperlink>
      <w:r w:rsidRPr="002672E7">
        <w:t>.</w:t>
      </w:r>
    </w:p>
    <w:p w:rsidR="00A47F12" w:rsidRPr="00A71E82" w:rsidP="00A71E82" w14:paraId="344A5BEC" w14:textId="74F5F0ED">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1E82" w:rsidP="00A47F12" w14:paraId="263DC3DC" w14:textId="77777777"/>
    <w:p w:rsidR="00A47F12" w:rsidP="00A47F12" w14:paraId="23B54141" w14:textId="1A28B1E8">
      <w:r w:rsidRPr="008B5EA3">
        <w:t xml:space="preserve">The 4(d) rule does not require any particular method of submission of materials, plans, or reports. For state 4(d) research programs in California, Oregon, and Washington, a NMFS web-based system called </w:t>
      </w:r>
      <w:hyperlink r:id="rId8" w:history="1">
        <w:r w:rsidRPr="00477323">
          <w:rPr>
            <w:rStyle w:val="Hyperlink"/>
          </w:rPr>
          <w:t xml:space="preserve">APPS </w:t>
        </w:r>
      </w:hyperlink>
      <w:r>
        <w:t>(</w:t>
      </w:r>
      <w:r w:rsidRPr="005F311B">
        <w:rPr>
          <w:color w:val="222222"/>
        </w:rPr>
        <w:t>Authorizations and Permits for Protected Species)</w:t>
      </w:r>
      <w:r w:rsidRPr="008B5EA3">
        <w:t xml:space="preserve"> is available for use. Researchers may submit their research applications online through APPS. This system is used by the NMFS Regional staff and state agencies on the U.S. West Coast, as well as NMFS HQ, and has helped streamline and standardize the application and authorization process for researchers, as well as the review process for state and NOAA biologists.</w:t>
      </w:r>
    </w:p>
    <w:p w:rsidR="00A47F12" w:rsidP="00A47F12" w14:paraId="7B953041" w14:textId="77777777"/>
    <w:p w:rsidR="00A47F12" w:rsidRPr="0034088C" w:rsidP="0034088C" w14:paraId="4CD93639" w14:textId="4FC8C149">
      <w:pPr>
        <w:spacing w:after="240"/>
      </w:pPr>
      <w:r w:rsidRPr="0015291F">
        <w:t>Web-based systems have not been developed for the other exceptions or exemptions</w:t>
      </w:r>
      <w:r>
        <w:t>, but electronic submissions are allowed and encouraged</w:t>
      </w:r>
      <w:r w:rsidRPr="0015291F">
        <w:t xml:space="preserve">. </w:t>
      </w:r>
      <w:r>
        <w:t>A</w:t>
      </w:r>
      <w:r w:rsidRPr="0015291F">
        <w:t xml:space="preserve"> summary of the criteria and instructions on how to apply</w:t>
      </w:r>
      <w:r>
        <w:t xml:space="preserve"> </w:t>
      </w:r>
      <w:r w:rsidRPr="0015291F">
        <w:t>for each exception</w:t>
      </w:r>
      <w:r>
        <w:t xml:space="preserve"> or exemption is available in the final 4(d) rule, posted on the NMFS web site</w:t>
      </w:r>
      <w:r w:rsidRPr="0015291F">
        <w:t xml:space="preserve">. In </w:t>
      </w:r>
      <w:r w:rsidRPr="0015291F">
        <w:t>addition, NMFS-approved plans</w:t>
      </w:r>
      <w:r>
        <w:t xml:space="preserve"> </w:t>
      </w:r>
      <w:r w:rsidRPr="0015291F">
        <w:t xml:space="preserve">and programs and reports submitted under the exceptions </w:t>
      </w:r>
      <w:r>
        <w:t xml:space="preserve">and exemptions will be </w:t>
      </w:r>
      <w:r w:rsidRPr="0015291F">
        <w:t>made available to the public</w:t>
      </w:r>
      <w:r>
        <w:t xml:space="preserve"> </w:t>
      </w:r>
      <w:r w:rsidRPr="0015291F">
        <w:t>on the NMFS web</w:t>
      </w:r>
      <w:r>
        <w:t xml:space="preserve"> site. Certain plans and </w:t>
      </w:r>
      <w:r w:rsidRPr="0015291F">
        <w:t xml:space="preserve">programs </w:t>
      </w:r>
      <w:r>
        <w:t>will</w:t>
      </w:r>
      <w:r w:rsidRPr="0015291F">
        <w:t xml:space="preserve"> be published in the Federal Register</w:t>
      </w:r>
      <w:r>
        <w:t xml:space="preserve"> </w:t>
      </w:r>
      <w:r w:rsidRPr="0015291F">
        <w:t>and subject to public comment</w:t>
      </w:r>
      <w:r>
        <w:t xml:space="preserve"> prior to approval</w:t>
      </w:r>
      <w:r w:rsidRPr="0015291F">
        <w:t>.</w:t>
      </w:r>
    </w:p>
    <w:p w:rsidR="005F311B" w:rsidRPr="00A71E82" w:rsidP="00A71E82" w14:paraId="2414B20B" w14:textId="69437E2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71E82" w:rsidP="005F311B" w14:paraId="1743D912" w14:textId="77777777"/>
    <w:p w:rsidR="005F311B" w:rsidRPr="008B5EA3" w:rsidP="005F311B" w14:paraId="48FF0DA9" w14:textId="5D4ABD0F">
      <w:r w:rsidRPr="008B5EA3">
        <w:t xml:space="preserve">The information collections for the 4(d) exceptions are unique to the 4(d) rule for the Southern DPS. The exemptions for FMEPs, Tribal Plans, and state-sponsored scientific research programs under the 4(d) rule for the Southern DPS were modeled after “limits” established in a 4(d) rule for listed West Coast salmon and steelhead. Thus, the information collections for these exemptions are similar to those required under the 4(d) rule for listed salmon and steelhead. Separate collections are necessary for the Southern DPS, however, because the plans and reports collected for listed salmon and steelhead do not address Southern DPS green sturgeon and the specific criteria for the plans and reports differ from those under the </w:t>
      </w:r>
      <w:r>
        <w:t>4(d) rule</w:t>
      </w:r>
      <w:r w:rsidRPr="008B5EA3">
        <w:t xml:space="preserve"> for listed salmon and steelhead. </w:t>
      </w:r>
    </w:p>
    <w:p w:rsidR="005F311B" w:rsidRPr="008B5EA3" w:rsidP="005F311B" w14:paraId="7BBBF90A" w14:textId="77777777"/>
    <w:p w:rsidR="005F311B" w:rsidP="005F311B" w14:paraId="754DDD01" w14:textId="77777777">
      <w:r w:rsidRPr="008B5EA3">
        <w:t xml:space="preserve">In some cases, </w:t>
      </w:r>
      <w:r>
        <w:t>Southern DPS green sturgeon have</w:t>
      </w:r>
      <w:r w:rsidRPr="008B5EA3">
        <w:t xml:space="preserve"> been or may be incorporated into existing programs. For example, NMFS has incorporated Southern DPS green sturgeon into existing state-sponsored scientific research programs developed for listed salmon and steelhead in California, Oregon, and Washington. This reduces the number of additional burden hours required by state fishery management agencies to implement the program for green sturgeon. Researchers with projects under the state research programs may also choose to submit one annual report covering green sturgeon and listed salmon and steelhead, rather than separate reports for each species.</w:t>
      </w:r>
    </w:p>
    <w:p w:rsidR="005F311B" w:rsidP="005F311B" w14:paraId="4724709D" w14:textId="77777777"/>
    <w:p w:rsidR="005F311B" w:rsidRPr="0034088C" w:rsidP="0034088C" w14:paraId="31D9DD10" w14:textId="0FB95069">
      <w:pPr>
        <w:spacing w:after="240"/>
      </w:pPr>
      <w:r w:rsidRPr="000D1562">
        <w:t xml:space="preserve">In the absence of </w:t>
      </w:r>
      <w:r>
        <w:t xml:space="preserve">the 4(d) </w:t>
      </w:r>
      <w:r w:rsidRPr="000D1562">
        <w:t>exceptions and exemptions, NMFS provides ESA coverage</w:t>
      </w:r>
      <w:r>
        <w:t xml:space="preserve"> for the take of Southern DPS green sturgeon </w:t>
      </w:r>
      <w:r w:rsidRPr="000D1562">
        <w:t xml:space="preserve">through </w:t>
      </w:r>
      <w:r>
        <w:t xml:space="preserve">ESA </w:t>
      </w:r>
      <w:r w:rsidRPr="000D1562">
        <w:t xml:space="preserve">section </w:t>
      </w:r>
      <w:r>
        <w:t>7 consultations or ESA section 10 permits</w:t>
      </w:r>
      <w:r w:rsidRPr="000D1562">
        <w:t>. The ESA section 7 and section 10</w:t>
      </w:r>
      <w:r>
        <w:t xml:space="preserve"> </w:t>
      </w:r>
      <w:r w:rsidRPr="000D1562">
        <w:t>processes have their own specific reporting requirements associated with them.</w:t>
      </w:r>
    </w:p>
    <w:p w:rsidR="0087154E" w14:paraId="0E027E2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5F311B" w:rsidP="005F311B" w14:paraId="10AED273" w14:textId="77777777">
      <w:pPr>
        <w:rPr>
          <w:color w:val="2F5496"/>
        </w:rPr>
      </w:pPr>
    </w:p>
    <w:p w:rsidR="005F311B" w:rsidRPr="005F311B" w:rsidP="0034088C" w14:paraId="3EE5827A" w14:textId="0C3D4AEC">
      <w:pPr>
        <w:spacing w:after="240"/>
      </w:pPr>
      <w:r>
        <w:t>None of these collections would have a significant impact on small entities</w:t>
      </w:r>
      <w:r>
        <w:rPr>
          <w:b/>
          <w:bCs/>
        </w:rPr>
        <w:t xml:space="preserve">. </w:t>
      </w:r>
      <w:r>
        <w:t xml:space="preserve">Most of the affected entities are state, local, tribal </w:t>
      </w:r>
      <w:r w:rsidR="0034088C">
        <w:t>or Federal government entities.</w:t>
      </w:r>
    </w:p>
    <w:p w:rsidR="005F311B" w:rsidRPr="0034088C" w:rsidP="0034088C" w14:paraId="5C83FAEE" w14:textId="5947E670">
      <w:pPr>
        <w:numPr>
          <w:ilvl w:val="0"/>
          <w:numId w:val="3"/>
        </w:numPr>
        <w:pBdr>
          <w:top w:val="nil"/>
          <w:left w:val="nil"/>
          <w:bottom w:val="nil"/>
          <w:right w:val="nil"/>
          <w:between w:val="nil"/>
        </w:pBdr>
        <w:tabs>
          <w:tab w:val="left" w:pos="360"/>
        </w:tabs>
        <w:spacing w:after="12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5F311B" w:rsidP="005F311B" w14:paraId="4E3E5ADF" w14:textId="77777777">
      <w:r w:rsidRPr="00EE5975">
        <w:t>If NMFS</w:t>
      </w:r>
      <w:r>
        <w:t xml:space="preserve"> did not conduct the information collection, then NMFS would not be able to </w:t>
      </w:r>
      <w:r w:rsidRPr="00EE5975">
        <w:t>provide exceptions or exemptions to the take prohibitions</w:t>
      </w:r>
      <w:r>
        <w:t>. E</w:t>
      </w:r>
      <w:r w:rsidRPr="00EE5975">
        <w:t>ntities</w:t>
      </w:r>
      <w:r>
        <w:t xml:space="preserve"> would need</w:t>
      </w:r>
      <w:r w:rsidRPr="00EE5975">
        <w:t xml:space="preserve"> to obtain take </w:t>
      </w:r>
      <w:r>
        <w:t>coverage</w:t>
      </w:r>
      <w:r w:rsidRPr="00EE5975">
        <w:t xml:space="preserve"> under an ESA section 10 permit </w:t>
      </w:r>
      <w:r>
        <w:t>(</w:t>
      </w:r>
      <w:r w:rsidRPr="00EE5975">
        <w:t>for non-Federal</w:t>
      </w:r>
      <w:r>
        <w:t xml:space="preserve"> agency </w:t>
      </w:r>
      <w:r w:rsidRPr="00EE5975">
        <w:t>actions</w:t>
      </w:r>
      <w:r>
        <w:t>)</w:t>
      </w:r>
      <w:r w:rsidRPr="00EE5975">
        <w:t xml:space="preserve"> or an ESA section 7 consultation </w:t>
      </w:r>
      <w:r>
        <w:t>(</w:t>
      </w:r>
      <w:r w:rsidRPr="00EE5975">
        <w:t>for Federal agency actions</w:t>
      </w:r>
      <w:r>
        <w:t>)</w:t>
      </w:r>
      <w:r w:rsidRPr="00EE5975">
        <w:t xml:space="preserve">. In some cases, the </w:t>
      </w:r>
      <w:r>
        <w:t xml:space="preserve">4(d) </w:t>
      </w:r>
      <w:r w:rsidRPr="00EE5975">
        <w:t>exceptions</w:t>
      </w:r>
      <w:r>
        <w:t xml:space="preserve"> and exemptions </w:t>
      </w:r>
      <w:r w:rsidRPr="00EE5975">
        <w:t>would</w:t>
      </w:r>
      <w:r>
        <w:t xml:space="preserve"> </w:t>
      </w:r>
      <w:r w:rsidRPr="00EE5975">
        <w:t>provide a more stream-lined process and facilitate coordination among the entities, the States,</w:t>
      </w:r>
      <w:r>
        <w:t xml:space="preserve"> </w:t>
      </w:r>
      <w:r w:rsidRPr="00EE5975">
        <w:t xml:space="preserve">and NMFS. In addition, the protective measures implemented under the </w:t>
      </w:r>
      <w:r>
        <w:t xml:space="preserve">4(d) </w:t>
      </w:r>
      <w:r w:rsidRPr="00EE5975">
        <w:t>programs may</w:t>
      </w:r>
      <w:r>
        <w:t xml:space="preserve"> </w:t>
      </w:r>
      <w:r w:rsidRPr="00EE5975">
        <w:t>benefit other species.</w:t>
      </w:r>
    </w:p>
    <w:p w:rsidR="005F311B" w:rsidRPr="00EE5975" w:rsidP="005F311B" w14:paraId="4930F1C1" w14:textId="77777777"/>
    <w:p w:rsidR="005F311B" w:rsidRPr="0034088C" w:rsidP="0034088C" w14:paraId="17772F7A" w14:textId="0700FC47">
      <w:pPr>
        <w:spacing w:after="240"/>
      </w:pPr>
      <w:r w:rsidRPr="00EE5975">
        <w:t xml:space="preserve">The information collections under the exceptions and exemptions </w:t>
      </w:r>
      <w:r>
        <w:t xml:space="preserve">serve several purposes, </w:t>
      </w:r>
      <w:r w:rsidRPr="00EE5975">
        <w:t>each</w:t>
      </w:r>
      <w:r>
        <w:t xml:space="preserve"> of which is</w:t>
      </w:r>
      <w:r w:rsidRPr="00EE5975">
        <w:t xml:space="preserve"> vital to NMFS’ ability to protect and conserve the Southern DPS. The information</w:t>
      </w:r>
      <w:r>
        <w:t xml:space="preserve"> </w:t>
      </w:r>
      <w:r w:rsidRPr="00EE5975">
        <w:t>collections: (1) inform NMFS of proposed actions</w:t>
      </w:r>
      <w:r>
        <w:t xml:space="preserve"> </w:t>
      </w:r>
      <w:r w:rsidRPr="00EE5975">
        <w:t>that may result in take of Southern DPS fish; (2) allow NMFS to evaluate and provide feedback</w:t>
      </w:r>
      <w:r>
        <w:t xml:space="preserve"> </w:t>
      </w:r>
      <w:r w:rsidRPr="00EE5975">
        <w:t>on the potential effects of actions on the Southern DPS and to determine whether the actions</w:t>
      </w:r>
      <w:r>
        <w:t xml:space="preserve"> </w:t>
      </w:r>
      <w:r w:rsidRPr="00EE5975">
        <w:t>meet criteria under the exceptions</w:t>
      </w:r>
      <w:r>
        <w:t xml:space="preserve"> or exemptions</w:t>
      </w:r>
      <w:r w:rsidRPr="00EE5975">
        <w:t>; and (3) provide NMFS with data and regular updates on the</w:t>
      </w:r>
      <w:r>
        <w:t xml:space="preserve"> actions. C</w:t>
      </w:r>
      <w:r w:rsidRPr="00EE5975">
        <w:t>ollecting</w:t>
      </w:r>
      <w:r>
        <w:t xml:space="preserve"> program information or</w:t>
      </w:r>
      <w:r w:rsidRPr="00EE5975">
        <w:t xml:space="preserve"> reports less freq</w:t>
      </w:r>
      <w:r>
        <w:t>uently</w:t>
      </w:r>
      <w:r w:rsidRPr="00EE5975">
        <w:t xml:space="preserve"> </w:t>
      </w:r>
      <w:r>
        <w:t xml:space="preserve">than </w:t>
      </w:r>
      <w:r>
        <w:t xml:space="preserve">described above </w:t>
      </w:r>
      <w:r w:rsidRPr="00EE5975">
        <w:t>would hinder</w:t>
      </w:r>
      <w:r>
        <w:t xml:space="preserve"> </w:t>
      </w:r>
      <w:r w:rsidRPr="00EE5975">
        <w:t xml:space="preserve">NMFS’ ability to </w:t>
      </w:r>
      <w:r>
        <w:t>evaluate the effects of the activities and programs on the Southern DPS and to respond in a timely matter, should changes be needed to provide additional protection for the species</w:t>
      </w:r>
      <w:r w:rsidRPr="00EE5975">
        <w:t>.</w:t>
      </w:r>
    </w:p>
    <w:p w:rsidR="005F311B" w:rsidRPr="0034088C" w:rsidP="0034088C" w14:paraId="6A413913" w14:textId="70CD3313">
      <w:pPr>
        <w:numPr>
          <w:ilvl w:val="0"/>
          <w:numId w:val="3"/>
        </w:numPr>
        <w:pBdr>
          <w:top w:val="nil"/>
          <w:left w:val="nil"/>
          <w:bottom w:val="nil"/>
          <w:right w:val="nil"/>
          <w:between w:val="nil"/>
        </w:pBdr>
        <w:tabs>
          <w:tab w:val="left" w:pos="360"/>
        </w:tabs>
        <w:spacing w:before="80" w:after="120"/>
        <w:ind w:left="0" w:firstLine="0"/>
        <w:rPr>
          <w:b/>
          <w:color w:val="000000"/>
        </w:rPr>
      </w:pPr>
      <w:r>
        <w:rPr>
          <w:b/>
          <w:color w:val="000000"/>
        </w:rPr>
        <w:t>Explain any special circumstances that would cause an information collection to be conducted in a manner inconsistent with OMB guidelines.</w:t>
      </w:r>
    </w:p>
    <w:p w:rsidR="005F311B" w:rsidP="005F311B" w14:paraId="6337893C" w14:textId="16C74CC7">
      <w:r>
        <w:t>This information collection is consistent with OMB guidelines</w:t>
      </w:r>
      <w:r w:rsidR="005D283C">
        <w:t>.</w:t>
      </w:r>
    </w:p>
    <w:p w:rsidR="005F311B" w14:paraId="03545B42" w14:textId="3BF8C098">
      <w:pPr>
        <w:pBdr>
          <w:top w:val="nil"/>
          <w:left w:val="nil"/>
          <w:bottom w:val="nil"/>
          <w:right w:val="nil"/>
          <w:between w:val="nil"/>
        </w:pBdr>
        <w:spacing w:before="80"/>
        <w:rPr>
          <w:color w:val="000000"/>
        </w:rPr>
      </w:pPr>
    </w:p>
    <w:p w:rsidR="00BB3D38" w:rsidRPr="0034088C" w:rsidP="0034088C" w14:paraId="2081672F" w14:textId="70EC3459">
      <w:pPr>
        <w:numPr>
          <w:ilvl w:val="0"/>
          <w:numId w:val="3"/>
        </w:numPr>
        <w:pBdr>
          <w:top w:val="nil"/>
          <w:left w:val="nil"/>
          <w:bottom w:val="nil"/>
          <w:right w:val="nil"/>
          <w:between w:val="nil"/>
        </w:pBdr>
        <w:tabs>
          <w:tab w:val="left" w:pos="360"/>
        </w:tabs>
        <w:spacing w:before="80" w:after="12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B3D38" w:rsidP="00BB3D38" w14:paraId="1F603B29" w14:textId="77777777">
      <w:r>
        <w:t xml:space="preserve">A </w:t>
      </w:r>
      <w:r w:rsidRPr="001E6F72">
        <w:rPr>
          <w:u w:val="single"/>
        </w:rPr>
        <w:t>Federal Register</w:t>
      </w:r>
      <w:r>
        <w:t xml:space="preserve"> Notice published on July 19, 2022 (87 FR 43004) solicited public comments. No comments were received. </w:t>
      </w:r>
    </w:p>
    <w:p w:rsidR="00BB3D38" w:rsidP="00BB3D38" w14:paraId="49CA5981" w14:textId="77777777"/>
    <w:p w:rsidR="00BB3D38" w:rsidRPr="00A71E82" w:rsidP="0034088C" w14:paraId="2A592486" w14:textId="103336A6">
      <w:pPr>
        <w:spacing w:after="240"/>
      </w:pPr>
      <w:r w:rsidRPr="00D163B0">
        <w:t>NMFS solicited comments from State and Federal agencies that have submitted information for 4(d) rule exceptions and exemptions</w:t>
      </w:r>
      <w:r w:rsidR="00A71E82">
        <w:t>, but did not receive any comments</w:t>
      </w:r>
      <w:r w:rsidRPr="00D163B0">
        <w:t>.</w:t>
      </w:r>
      <w:r w:rsidR="00A71E82">
        <w:t xml:space="preserve"> </w:t>
      </w:r>
    </w:p>
    <w:p w:rsidR="0087154E" w14:paraId="38DAE42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87154E" w14:paraId="40704E5E" w14:textId="77777777">
      <w:pPr>
        <w:pBdr>
          <w:top w:val="nil"/>
          <w:left w:val="nil"/>
          <w:bottom w:val="nil"/>
          <w:right w:val="nil"/>
          <w:between w:val="nil"/>
        </w:pBdr>
        <w:spacing w:before="161"/>
        <w:rPr>
          <w:color w:val="000000"/>
        </w:rPr>
      </w:pPr>
      <w:r>
        <w:rPr>
          <w:color w:val="000000"/>
        </w:rPr>
        <w:t xml:space="preserve">No payments or gifts are associated with the information collections. </w:t>
      </w:r>
    </w:p>
    <w:p w:rsidR="00146FBE" w14:paraId="2F7B3295" w14:textId="77777777">
      <w:pPr>
        <w:pBdr>
          <w:top w:val="nil"/>
          <w:left w:val="nil"/>
          <w:bottom w:val="nil"/>
          <w:right w:val="nil"/>
          <w:between w:val="nil"/>
        </w:pBdr>
        <w:spacing w:before="161"/>
        <w:rPr>
          <w:color w:val="000000"/>
        </w:rPr>
      </w:pPr>
    </w:p>
    <w:p w:rsidR="0087154E" w14:paraId="24504E1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46FBE" w:rsidP="0034088C" w14:paraId="47951D06" w14:textId="09992A0D">
      <w:pPr>
        <w:pBdr>
          <w:top w:val="nil"/>
          <w:left w:val="nil"/>
          <w:bottom w:val="nil"/>
          <w:right w:val="nil"/>
          <w:between w:val="nil"/>
        </w:pBdr>
        <w:spacing w:before="120" w:after="240"/>
        <w:rPr>
          <w:color w:val="000000"/>
        </w:rPr>
      </w:pPr>
      <w:r w:rsidRPr="00146FBE">
        <w:rPr>
          <w:color w:val="000000"/>
        </w:rPr>
        <w:t>There are no assurances of confidentiality associated with these information collections. The information supplied would be a matter of public record.</w:t>
      </w:r>
    </w:p>
    <w:p w:rsidR="00146FBE" w:rsidRPr="0034088C" w:rsidP="0034088C" w14:paraId="6961DB75" w14:textId="04246ADE">
      <w:pPr>
        <w:numPr>
          <w:ilvl w:val="0"/>
          <w:numId w:val="3"/>
        </w:numPr>
        <w:pBdr>
          <w:top w:val="nil"/>
          <w:left w:val="nil"/>
          <w:bottom w:val="nil"/>
          <w:right w:val="nil"/>
          <w:between w:val="nil"/>
        </w:pBdr>
        <w:tabs>
          <w:tab w:val="left" w:pos="360"/>
        </w:tabs>
        <w:spacing w:before="80" w:after="12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6FBE" w:rsidRPr="00146FBE" w:rsidP="00146FBE" w14:paraId="6A2D05F2" w14:textId="77777777">
      <w:pPr>
        <w:pBdr>
          <w:top w:val="nil"/>
          <w:left w:val="nil"/>
          <w:bottom w:val="nil"/>
          <w:right w:val="nil"/>
          <w:between w:val="nil"/>
        </w:pBdr>
        <w:tabs>
          <w:tab w:val="left" w:pos="360"/>
        </w:tabs>
        <w:spacing w:before="80"/>
        <w:rPr>
          <w:color w:val="000000"/>
        </w:rPr>
        <w:sectPr>
          <w:footerReference w:type="default" r:id="rId9"/>
          <w:pgSz w:w="12240" w:h="15840"/>
          <w:pgMar w:top="640" w:right="1080" w:bottom="1200" w:left="1080" w:header="0" w:footer="1014" w:gutter="0"/>
          <w:cols w:space="720"/>
        </w:sectPr>
      </w:pPr>
      <w:r>
        <w:rPr>
          <w:color w:val="000000"/>
        </w:rPr>
        <w:t>No questions of a sensitive nature are included in the information collections.</w:t>
      </w:r>
    </w:p>
    <w:p w:rsidR="0087154E" w14:paraId="5C4A0B13" w14:textId="77777777">
      <w:pPr>
        <w:spacing w:line="259" w:lineRule="auto"/>
      </w:pPr>
    </w:p>
    <w:p w:rsidR="0087154E" w14:paraId="1F97C2E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87154E" w14:paraId="1C1CDA15" w14:textId="77777777">
      <w:pPr>
        <w:spacing w:line="259" w:lineRule="auto"/>
        <w:ind w:hanging="43"/>
        <w:jc w:val="center"/>
        <w:rPr>
          <w:b/>
          <w:color w:val="FF0000"/>
        </w:rPr>
      </w:pPr>
    </w:p>
    <w:tbl>
      <w:tblPr>
        <w:tblStyle w:val="a0"/>
        <w:tblW w:w="13065" w:type="dxa"/>
        <w:tblInd w:w="-25" w:type="dxa"/>
        <w:tblLayout w:type="fixed"/>
        <w:tblLook w:val="0400"/>
      </w:tblPr>
      <w:tblGrid>
        <w:gridCol w:w="2355"/>
        <w:gridCol w:w="1620"/>
        <w:gridCol w:w="1260"/>
        <w:gridCol w:w="1170"/>
        <w:gridCol w:w="1440"/>
        <w:gridCol w:w="1080"/>
        <w:gridCol w:w="1350"/>
        <w:gridCol w:w="1440"/>
        <w:gridCol w:w="1350"/>
      </w:tblGrid>
      <w:tr w14:paraId="33CBBB78" w14:textId="77777777" w:rsidTr="00C70356">
        <w:tblPrEx>
          <w:tblW w:w="13065" w:type="dxa"/>
          <w:tblInd w:w="-25" w:type="dxa"/>
          <w:tblLayout w:type="fixed"/>
          <w:tblLook w:val="0400"/>
        </w:tblPrEx>
        <w:trPr>
          <w:trHeight w:val="1365"/>
        </w:trPr>
        <w:tc>
          <w:tcPr>
            <w:tcW w:w="235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87154E" w14:paraId="19E71A0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87154E" w14:paraId="51DDE2B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87154E" w14:paraId="4850845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sidR="00712366">
              <w:rPr>
                <w:rFonts w:ascii="Calibri" w:eastAsia="Calibri" w:hAnsi="Calibri" w:cs="Calibri"/>
                <w:b/>
                <w:color w:val="000000"/>
                <w:sz w:val="16"/>
                <w:szCs w:val="16"/>
              </w:rPr>
              <w:t xml:space="preserve"> </w:t>
            </w:r>
            <w:r>
              <w:rPr>
                <w:rFonts w:ascii="Calibri" w:eastAsia="Calibri" w:hAnsi="Calibri" w:cs="Calibri"/>
                <w:b/>
                <w:color w:val="000000"/>
                <w:sz w:val="16"/>
                <w:szCs w:val="16"/>
              </w:rPr>
              <w:t>year</w:t>
            </w:r>
            <w:r>
              <w:rPr>
                <w:rFonts w:ascii="Calibri" w:eastAsia="Calibri" w:hAnsi="Calibri" w:cs="Calibri"/>
                <w:b/>
                <w:color w:val="000000"/>
                <w:sz w:val="16"/>
                <w:szCs w:val="16"/>
              </w:rPr>
              <w:br/>
              <w:t>(a)</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87154E" w14:paraId="53F0E37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87154E" w14:paraId="5B53A72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87154E" w14:paraId="3341136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87154E" w14:paraId="62916C9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87154E" w14:paraId="0000D75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87154E" w:rsidP="00C70356" w14:paraId="3B512A2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7599C37B" w14:textId="77777777" w:rsidTr="00455D01">
        <w:tblPrEx>
          <w:tblW w:w="1306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center"/>
          </w:tcPr>
          <w:p w:rsidR="0087154E" w:rsidP="00455D01" w14:paraId="29E3B7EC" w14:textId="50AEDFD1">
            <w:pPr>
              <w:widowControl/>
              <w:rPr>
                <w:rFonts w:ascii="Calibri" w:eastAsia="Calibri" w:hAnsi="Calibri" w:cs="Calibri"/>
                <w:color w:val="000000"/>
                <w:sz w:val="16"/>
                <w:szCs w:val="16"/>
              </w:rPr>
            </w:pPr>
            <w:r>
              <w:rPr>
                <w:rFonts w:ascii="Calibri" w:eastAsia="Calibri" w:hAnsi="Calibri" w:cs="Calibri"/>
                <w:color w:val="000000"/>
                <w:sz w:val="16"/>
                <w:szCs w:val="16"/>
              </w:rPr>
              <w:t>Scientific research or monitoring exception</w:t>
            </w:r>
          </w:p>
        </w:tc>
        <w:tc>
          <w:tcPr>
            <w:tcW w:w="1620" w:type="dxa"/>
            <w:tcBorders>
              <w:top w:val="nil"/>
              <w:left w:val="nil"/>
              <w:bottom w:val="single" w:sz="4" w:space="0" w:color="000000"/>
              <w:right w:val="single" w:sz="4" w:space="0" w:color="000000"/>
            </w:tcBorders>
            <w:shd w:val="clear" w:color="auto" w:fill="auto"/>
            <w:vAlign w:val="center"/>
          </w:tcPr>
          <w:p w:rsidR="0087154E" w:rsidP="00455D01" w14:paraId="20139D9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Researcher / Biologist</w:t>
            </w:r>
            <w:r w:rsidR="00D73616">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center"/>
          </w:tcPr>
          <w:p w:rsidR="0087154E" w:rsidP="00455D01" w14:paraId="2B91A74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170" w:type="dxa"/>
            <w:tcBorders>
              <w:top w:val="nil"/>
              <w:left w:val="nil"/>
              <w:bottom w:val="single" w:sz="4" w:space="0" w:color="000000"/>
              <w:right w:val="single" w:sz="4" w:space="0" w:color="000000"/>
            </w:tcBorders>
            <w:shd w:val="clear" w:color="auto" w:fill="auto"/>
            <w:vAlign w:val="center"/>
          </w:tcPr>
          <w:p w:rsidR="0087154E" w:rsidP="00455D01" w14:paraId="0DCB77E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rsidR="0087154E" w:rsidP="00455D01" w14:paraId="51C3D7B2" w14:textId="069F8245">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080" w:type="dxa"/>
            <w:tcBorders>
              <w:top w:val="nil"/>
              <w:left w:val="nil"/>
              <w:bottom w:val="single" w:sz="4" w:space="0" w:color="000000"/>
              <w:right w:val="single" w:sz="4" w:space="0" w:color="000000"/>
            </w:tcBorders>
            <w:shd w:val="clear" w:color="auto" w:fill="auto"/>
            <w:vAlign w:val="center"/>
          </w:tcPr>
          <w:p w:rsidR="0087154E" w:rsidP="00455D01" w14:paraId="6136AE64" w14:textId="30553B7A">
            <w:pPr>
              <w:widowControl/>
              <w:jc w:val="center"/>
              <w:rPr>
                <w:rFonts w:ascii="Calibri" w:eastAsia="Calibri" w:hAnsi="Calibri" w:cs="Calibri"/>
                <w:color w:val="000000"/>
                <w:sz w:val="16"/>
                <w:szCs w:val="16"/>
              </w:rPr>
            </w:pPr>
            <w:r>
              <w:rPr>
                <w:rFonts w:ascii="Calibri" w:eastAsia="Calibri" w:hAnsi="Calibri" w:cs="Calibri"/>
                <w:color w:val="000000"/>
                <w:sz w:val="16"/>
                <w:szCs w:val="16"/>
              </w:rPr>
              <w:t>40</w:t>
            </w:r>
          </w:p>
        </w:tc>
        <w:tc>
          <w:tcPr>
            <w:tcW w:w="1350" w:type="dxa"/>
            <w:tcBorders>
              <w:top w:val="nil"/>
              <w:left w:val="nil"/>
              <w:bottom w:val="single" w:sz="4" w:space="0" w:color="000000"/>
              <w:right w:val="single" w:sz="4" w:space="0" w:color="000000"/>
            </w:tcBorders>
            <w:shd w:val="clear" w:color="auto" w:fill="auto"/>
            <w:vAlign w:val="center"/>
          </w:tcPr>
          <w:p w:rsidR="0087154E" w:rsidP="00455D01" w14:paraId="09CD0D4B" w14:textId="50D789D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200</w:t>
            </w:r>
          </w:p>
        </w:tc>
        <w:tc>
          <w:tcPr>
            <w:tcW w:w="1440" w:type="dxa"/>
            <w:tcBorders>
              <w:top w:val="nil"/>
              <w:left w:val="nil"/>
              <w:bottom w:val="single" w:sz="4" w:space="0" w:color="000000"/>
              <w:right w:val="single" w:sz="4" w:space="0" w:color="000000"/>
            </w:tcBorders>
            <w:shd w:val="clear" w:color="auto" w:fill="auto"/>
            <w:vAlign w:val="center"/>
          </w:tcPr>
          <w:p w:rsidR="0087154E" w:rsidP="00455D01" w14:paraId="1A83BD5B" w14:textId="77CEF03D">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4" w:space="0" w:color="000000"/>
              <w:right w:val="single" w:sz="8" w:space="0" w:color="000000"/>
            </w:tcBorders>
            <w:shd w:val="clear" w:color="auto" w:fill="auto"/>
            <w:vAlign w:val="center"/>
          </w:tcPr>
          <w:p w:rsidR="0087154E" w:rsidP="00455D01" w14:paraId="4B040DFF" w14:textId="58E341C7">
            <w:pPr>
              <w:widowControl/>
              <w:jc w:val="center"/>
              <w:rPr>
                <w:rFonts w:ascii="Calibri" w:eastAsia="Calibri" w:hAnsi="Calibri" w:cs="Calibri"/>
                <w:color w:val="000000"/>
                <w:sz w:val="16"/>
                <w:szCs w:val="16"/>
              </w:rPr>
            </w:pPr>
            <w:r>
              <w:rPr>
                <w:rFonts w:ascii="Calibri" w:eastAsia="Calibri" w:hAnsi="Calibri" w:cs="Calibri"/>
                <w:color w:val="000000"/>
                <w:sz w:val="16"/>
                <w:szCs w:val="16"/>
              </w:rPr>
              <w:t>7,400</w:t>
            </w:r>
          </w:p>
        </w:tc>
      </w:tr>
      <w:tr w14:paraId="41CFF162" w14:textId="77777777" w:rsidTr="00455D01">
        <w:tblPrEx>
          <w:tblW w:w="1306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center"/>
          </w:tcPr>
          <w:p w:rsidR="0087154E" w:rsidP="00455D01" w14:paraId="26ED2957" w14:textId="5C20970A">
            <w:pPr>
              <w:widowControl/>
              <w:rPr>
                <w:rFonts w:ascii="Calibri" w:eastAsia="Calibri" w:hAnsi="Calibri" w:cs="Calibri"/>
                <w:color w:val="000000"/>
                <w:sz w:val="16"/>
                <w:szCs w:val="16"/>
              </w:rPr>
            </w:pPr>
            <w:r>
              <w:rPr>
                <w:rFonts w:ascii="Calibri" w:eastAsia="Calibri" w:hAnsi="Calibri" w:cs="Calibri"/>
                <w:color w:val="000000"/>
                <w:sz w:val="16"/>
                <w:szCs w:val="16"/>
              </w:rPr>
              <w:t>Scientific research or monitoring exception report</w:t>
            </w:r>
          </w:p>
        </w:tc>
        <w:tc>
          <w:tcPr>
            <w:tcW w:w="1620" w:type="dxa"/>
            <w:tcBorders>
              <w:top w:val="nil"/>
              <w:left w:val="nil"/>
              <w:bottom w:val="single" w:sz="4" w:space="0" w:color="000000"/>
              <w:right w:val="single" w:sz="4" w:space="0" w:color="000000"/>
            </w:tcBorders>
            <w:shd w:val="clear" w:color="auto" w:fill="auto"/>
            <w:vAlign w:val="center"/>
          </w:tcPr>
          <w:p w:rsidR="0087154E" w:rsidP="00455D01" w14:paraId="7357B88F" w14:textId="74CBF3C3">
            <w:pPr>
              <w:widowControl/>
              <w:rPr>
                <w:rFonts w:ascii="Calibri" w:eastAsia="Calibri" w:hAnsi="Calibri" w:cs="Calibri"/>
                <w:color w:val="000000"/>
                <w:sz w:val="16"/>
                <w:szCs w:val="16"/>
              </w:rPr>
            </w:pPr>
            <w:r>
              <w:rPr>
                <w:rFonts w:ascii="Calibri" w:eastAsia="Calibri" w:hAnsi="Calibri" w:cs="Calibri"/>
                <w:color w:val="000000"/>
                <w:sz w:val="16"/>
                <w:szCs w:val="16"/>
              </w:rPr>
              <w:t>Researcher / Biologist</w:t>
            </w:r>
          </w:p>
        </w:tc>
        <w:tc>
          <w:tcPr>
            <w:tcW w:w="1260" w:type="dxa"/>
            <w:tcBorders>
              <w:top w:val="nil"/>
              <w:left w:val="nil"/>
              <w:bottom w:val="single" w:sz="4" w:space="0" w:color="000000"/>
              <w:right w:val="single" w:sz="4" w:space="0" w:color="000000"/>
            </w:tcBorders>
            <w:shd w:val="clear" w:color="auto" w:fill="auto"/>
            <w:vAlign w:val="center"/>
          </w:tcPr>
          <w:p w:rsidR="0087154E" w:rsidP="00455D01" w14:paraId="07502A8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170" w:type="dxa"/>
            <w:tcBorders>
              <w:top w:val="nil"/>
              <w:left w:val="nil"/>
              <w:bottom w:val="single" w:sz="4" w:space="0" w:color="000000"/>
              <w:right w:val="single" w:sz="4" w:space="0" w:color="000000"/>
            </w:tcBorders>
            <w:shd w:val="clear" w:color="auto" w:fill="auto"/>
            <w:vAlign w:val="center"/>
          </w:tcPr>
          <w:p w:rsidR="0087154E" w:rsidP="00455D01" w14:paraId="297B67B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rsidR="0087154E" w:rsidP="00455D01" w14:paraId="7E468A94" w14:textId="215F659B">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080" w:type="dxa"/>
            <w:tcBorders>
              <w:top w:val="nil"/>
              <w:left w:val="nil"/>
              <w:bottom w:val="single" w:sz="4" w:space="0" w:color="000000"/>
              <w:right w:val="single" w:sz="4" w:space="0" w:color="000000"/>
            </w:tcBorders>
            <w:shd w:val="clear" w:color="auto" w:fill="auto"/>
            <w:vAlign w:val="center"/>
          </w:tcPr>
          <w:p w:rsidR="0087154E" w:rsidP="00455D01" w14:paraId="733F4B52" w14:textId="63C9BDE1">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350" w:type="dxa"/>
            <w:tcBorders>
              <w:top w:val="nil"/>
              <w:left w:val="nil"/>
              <w:bottom w:val="single" w:sz="4" w:space="0" w:color="000000"/>
              <w:right w:val="single" w:sz="4" w:space="0" w:color="000000"/>
            </w:tcBorders>
            <w:shd w:val="clear" w:color="auto" w:fill="auto"/>
            <w:vAlign w:val="center"/>
          </w:tcPr>
          <w:p w:rsidR="0087154E" w:rsidP="00455D01" w14:paraId="5E3976DB" w14:textId="4D864105">
            <w:pPr>
              <w:widowControl/>
              <w:jc w:val="center"/>
              <w:rPr>
                <w:rFonts w:ascii="Calibri" w:eastAsia="Calibri" w:hAnsi="Calibri" w:cs="Calibri"/>
                <w:color w:val="000000"/>
                <w:sz w:val="16"/>
                <w:szCs w:val="16"/>
              </w:rPr>
            </w:pPr>
            <w:r>
              <w:rPr>
                <w:rFonts w:ascii="Calibri" w:eastAsia="Calibri" w:hAnsi="Calibri" w:cs="Calibri"/>
                <w:color w:val="000000"/>
                <w:sz w:val="16"/>
                <w:szCs w:val="16"/>
              </w:rPr>
              <w:t>25</w:t>
            </w:r>
          </w:p>
        </w:tc>
        <w:tc>
          <w:tcPr>
            <w:tcW w:w="1440" w:type="dxa"/>
            <w:tcBorders>
              <w:top w:val="nil"/>
              <w:left w:val="nil"/>
              <w:bottom w:val="single" w:sz="4" w:space="0" w:color="000000"/>
              <w:right w:val="single" w:sz="4" w:space="0" w:color="000000"/>
            </w:tcBorders>
            <w:shd w:val="clear" w:color="auto" w:fill="auto"/>
            <w:vAlign w:val="center"/>
          </w:tcPr>
          <w:p w:rsidR="0087154E" w:rsidP="00455D01" w14:paraId="5D91A951" w14:textId="32794651">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4" w:space="0" w:color="000000"/>
              <w:right w:val="single" w:sz="8" w:space="0" w:color="000000"/>
            </w:tcBorders>
            <w:shd w:val="clear" w:color="auto" w:fill="auto"/>
            <w:vAlign w:val="center"/>
          </w:tcPr>
          <w:p w:rsidR="0087154E" w:rsidP="00455D01" w14:paraId="381968A2" w14:textId="718B61AC">
            <w:pPr>
              <w:widowControl/>
              <w:jc w:val="center"/>
              <w:rPr>
                <w:rFonts w:ascii="Calibri" w:eastAsia="Calibri" w:hAnsi="Calibri" w:cs="Calibri"/>
                <w:color w:val="000000"/>
                <w:sz w:val="16"/>
                <w:szCs w:val="16"/>
              </w:rPr>
            </w:pPr>
            <w:r>
              <w:rPr>
                <w:rFonts w:ascii="Calibri" w:eastAsia="Calibri" w:hAnsi="Calibri" w:cs="Calibri"/>
                <w:color w:val="000000"/>
                <w:sz w:val="16"/>
                <w:szCs w:val="16"/>
              </w:rPr>
              <w:t>925</w:t>
            </w:r>
          </w:p>
        </w:tc>
      </w:tr>
      <w:tr w14:paraId="28261326" w14:textId="77777777" w:rsidTr="00455D01">
        <w:tblPrEx>
          <w:tblW w:w="1306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center"/>
          </w:tcPr>
          <w:p w:rsidR="0087154E" w:rsidP="00455D01" w14:paraId="616C10F8" w14:textId="6FF18526">
            <w:pPr>
              <w:widowControl/>
              <w:rPr>
                <w:rFonts w:ascii="Calibri" w:eastAsia="Calibri" w:hAnsi="Calibri" w:cs="Calibri"/>
                <w:color w:val="000000"/>
                <w:sz w:val="16"/>
                <w:szCs w:val="16"/>
              </w:rPr>
            </w:pPr>
            <w:r>
              <w:rPr>
                <w:rFonts w:ascii="Calibri" w:eastAsia="Calibri" w:hAnsi="Calibri" w:cs="Calibri"/>
                <w:color w:val="000000"/>
                <w:sz w:val="16"/>
                <w:szCs w:val="16"/>
              </w:rPr>
              <w:t>Emergency fish rescue reports</w:t>
            </w:r>
          </w:p>
        </w:tc>
        <w:tc>
          <w:tcPr>
            <w:tcW w:w="1620" w:type="dxa"/>
            <w:tcBorders>
              <w:top w:val="nil"/>
              <w:left w:val="nil"/>
              <w:bottom w:val="single" w:sz="4" w:space="0" w:color="000000"/>
              <w:right w:val="single" w:sz="4" w:space="0" w:color="000000"/>
            </w:tcBorders>
            <w:shd w:val="clear" w:color="auto" w:fill="auto"/>
            <w:vAlign w:val="center"/>
          </w:tcPr>
          <w:p w:rsidR="0087154E" w:rsidP="00455D01" w14:paraId="09D3E82B" w14:textId="28B8A842">
            <w:pPr>
              <w:widowControl/>
              <w:rPr>
                <w:rFonts w:ascii="Calibri" w:eastAsia="Calibri" w:hAnsi="Calibri" w:cs="Calibri"/>
                <w:color w:val="000000"/>
                <w:sz w:val="16"/>
                <w:szCs w:val="16"/>
              </w:rPr>
            </w:pPr>
            <w:r>
              <w:rPr>
                <w:rFonts w:ascii="Calibri" w:eastAsia="Calibri" w:hAnsi="Calibri" w:cs="Calibri"/>
                <w:color w:val="000000"/>
                <w:sz w:val="16"/>
                <w:szCs w:val="16"/>
              </w:rPr>
              <w:t>Biologist</w:t>
            </w:r>
          </w:p>
        </w:tc>
        <w:tc>
          <w:tcPr>
            <w:tcW w:w="1260" w:type="dxa"/>
            <w:tcBorders>
              <w:top w:val="nil"/>
              <w:left w:val="nil"/>
              <w:bottom w:val="single" w:sz="4" w:space="0" w:color="000000"/>
              <w:right w:val="single" w:sz="4" w:space="0" w:color="000000"/>
            </w:tcBorders>
            <w:shd w:val="clear" w:color="auto" w:fill="auto"/>
            <w:vAlign w:val="center"/>
          </w:tcPr>
          <w:p w:rsidR="0087154E" w:rsidP="00455D01" w14:paraId="217E669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center"/>
          </w:tcPr>
          <w:p w:rsidR="0087154E" w:rsidP="00455D01" w14:paraId="0932150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rsidR="0087154E" w:rsidP="00455D01" w14:paraId="615CAE03" w14:textId="0B2EF1EF">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80" w:type="dxa"/>
            <w:tcBorders>
              <w:top w:val="nil"/>
              <w:left w:val="nil"/>
              <w:bottom w:val="single" w:sz="4" w:space="0" w:color="000000"/>
              <w:right w:val="single" w:sz="4" w:space="0" w:color="000000"/>
            </w:tcBorders>
            <w:shd w:val="clear" w:color="auto" w:fill="auto"/>
            <w:vAlign w:val="center"/>
          </w:tcPr>
          <w:p w:rsidR="0087154E" w:rsidP="00455D01" w14:paraId="3B8CA373" w14:textId="23040769">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350" w:type="dxa"/>
            <w:tcBorders>
              <w:top w:val="nil"/>
              <w:left w:val="nil"/>
              <w:bottom w:val="single" w:sz="4" w:space="0" w:color="000000"/>
              <w:right w:val="single" w:sz="4" w:space="0" w:color="000000"/>
            </w:tcBorders>
            <w:shd w:val="clear" w:color="auto" w:fill="auto"/>
            <w:vAlign w:val="center"/>
          </w:tcPr>
          <w:p w:rsidR="0087154E" w:rsidP="00455D01" w14:paraId="1D673E02" w14:textId="6C9D19B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440" w:type="dxa"/>
            <w:tcBorders>
              <w:top w:val="nil"/>
              <w:left w:val="nil"/>
              <w:bottom w:val="single" w:sz="4" w:space="0" w:color="000000"/>
              <w:right w:val="single" w:sz="4" w:space="0" w:color="000000"/>
            </w:tcBorders>
            <w:shd w:val="clear" w:color="auto" w:fill="auto"/>
            <w:vAlign w:val="center"/>
          </w:tcPr>
          <w:p w:rsidR="0087154E" w:rsidP="00455D01" w14:paraId="1CC2944B" w14:textId="61F061C3">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4" w:space="0" w:color="000000"/>
              <w:right w:val="single" w:sz="8" w:space="0" w:color="000000"/>
            </w:tcBorders>
            <w:shd w:val="clear" w:color="auto" w:fill="auto"/>
            <w:vAlign w:val="center"/>
          </w:tcPr>
          <w:p w:rsidR="0087154E" w:rsidP="00455D01" w14:paraId="6FBFB23F" w14:textId="5DE35F6A">
            <w:pPr>
              <w:widowControl/>
              <w:jc w:val="center"/>
              <w:rPr>
                <w:rFonts w:ascii="Calibri" w:eastAsia="Calibri" w:hAnsi="Calibri" w:cs="Calibri"/>
                <w:color w:val="000000"/>
                <w:sz w:val="16"/>
                <w:szCs w:val="16"/>
              </w:rPr>
            </w:pPr>
            <w:r>
              <w:rPr>
                <w:rFonts w:ascii="Calibri" w:eastAsia="Calibri" w:hAnsi="Calibri" w:cs="Calibri"/>
                <w:color w:val="000000"/>
                <w:sz w:val="16"/>
                <w:szCs w:val="16"/>
              </w:rPr>
              <w:t>740</w:t>
            </w:r>
          </w:p>
        </w:tc>
      </w:tr>
      <w:tr w14:paraId="6A50EE3F" w14:textId="77777777" w:rsidTr="00455D01">
        <w:tblPrEx>
          <w:tblW w:w="1306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center"/>
          </w:tcPr>
          <w:p w:rsidR="00712366" w:rsidP="00455D01" w14:paraId="57B960CF" w14:textId="21011C16">
            <w:pPr>
              <w:widowControl/>
              <w:rPr>
                <w:rFonts w:ascii="Calibri" w:eastAsia="Calibri" w:hAnsi="Calibri" w:cs="Calibri"/>
                <w:color w:val="000000"/>
                <w:sz w:val="16"/>
                <w:szCs w:val="16"/>
              </w:rPr>
            </w:pPr>
            <w:r>
              <w:rPr>
                <w:rFonts w:ascii="Calibri" w:eastAsia="Calibri" w:hAnsi="Calibri" w:cs="Calibri"/>
                <w:color w:val="000000"/>
                <w:sz w:val="16"/>
                <w:szCs w:val="16"/>
              </w:rPr>
              <w:t>Habitat restoration exception</w:t>
            </w:r>
          </w:p>
        </w:tc>
        <w:tc>
          <w:tcPr>
            <w:tcW w:w="1620" w:type="dxa"/>
            <w:tcBorders>
              <w:top w:val="nil"/>
              <w:left w:val="nil"/>
              <w:bottom w:val="single" w:sz="4" w:space="0" w:color="000000"/>
              <w:right w:val="single" w:sz="4" w:space="0" w:color="000000"/>
            </w:tcBorders>
            <w:shd w:val="clear" w:color="auto" w:fill="auto"/>
            <w:vAlign w:val="center"/>
          </w:tcPr>
          <w:p w:rsidR="00712366" w:rsidP="00455D01" w14:paraId="7DC3D464" w14:textId="77777777">
            <w:r w:rsidRPr="009312EC">
              <w:rPr>
                <w:rFonts w:ascii="Calibri" w:eastAsia="Calibri" w:hAnsi="Calibri" w:cs="Calibri"/>
                <w:color w:val="000000"/>
                <w:sz w:val="16"/>
                <w:szCs w:val="16"/>
              </w:rPr>
              <w:t>Biologist</w:t>
            </w:r>
          </w:p>
        </w:tc>
        <w:tc>
          <w:tcPr>
            <w:tcW w:w="1260" w:type="dxa"/>
            <w:tcBorders>
              <w:top w:val="nil"/>
              <w:left w:val="nil"/>
              <w:bottom w:val="single" w:sz="4" w:space="0" w:color="000000"/>
              <w:right w:val="single" w:sz="4" w:space="0" w:color="000000"/>
            </w:tcBorders>
            <w:shd w:val="clear" w:color="auto" w:fill="auto"/>
            <w:vAlign w:val="center"/>
          </w:tcPr>
          <w:p w:rsidR="00712366" w:rsidP="00455D01" w14:paraId="5CB7EF7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1170" w:type="dxa"/>
            <w:tcBorders>
              <w:top w:val="nil"/>
              <w:left w:val="nil"/>
              <w:bottom w:val="single" w:sz="4" w:space="0" w:color="000000"/>
              <w:right w:val="single" w:sz="4" w:space="0" w:color="000000"/>
            </w:tcBorders>
            <w:shd w:val="clear" w:color="auto" w:fill="auto"/>
            <w:vAlign w:val="center"/>
          </w:tcPr>
          <w:p w:rsidR="00712366" w:rsidP="00455D01" w14:paraId="1769D0A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rsidR="00712366" w:rsidP="00455D01" w14:paraId="5175F074" w14:textId="76D03CB9">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1080" w:type="dxa"/>
            <w:tcBorders>
              <w:top w:val="nil"/>
              <w:left w:val="nil"/>
              <w:bottom w:val="single" w:sz="4" w:space="0" w:color="000000"/>
              <w:right w:val="single" w:sz="4" w:space="0" w:color="000000"/>
            </w:tcBorders>
            <w:shd w:val="clear" w:color="auto" w:fill="auto"/>
            <w:vAlign w:val="center"/>
          </w:tcPr>
          <w:p w:rsidR="00712366" w:rsidP="00455D01" w14:paraId="349679EB" w14:textId="2DB66F88">
            <w:pPr>
              <w:widowControl/>
              <w:jc w:val="center"/>
              <w:rPr>
                <w:rFonts w:ascii="Calibri" w:eastAsia="Calibri" w:hAnsi="Calibri" w:cs="Calibri"/>
                <w:color w:val="000000"/>
                <w:sz w:val="16"/>
                <w:szCs w:val="16"/>
              </w:rPr>
            </w:pPr>
            <w:r>
              <w:rPr>
                <w:rFonts w:ascii="Calibri" w:eastAsia="Calibri" w:hAnsi="Calibri" w:cs="Calibri"/>
                <w:color w:val="000000"/>
                <w:sz w:val="16"/>
                <w:szCs w:val="16"/>
              </w:rPr>
              <w:t>40</w:t>
            </w:r>
          </w:p>
        </w:tc>
        <w:tc>
          <w:tcPr>
            <w:tcW w:w="1350" w:type="dxa"/>
            <w:tcBorders>
              <w:top w:val="nil"/>
              <w:left w:val="nil"/>
              <w:bottom w:val="single" w:sz="4" w:space="0" w:color="000000"/>
              <w:right w:val="single" w:sz="4" w:space="0" w:color="000000"/>
            </w:tcBorders>
            <w:shd w:val="clear" w:color="auto" w:fill="auto"/>
            <w:vAlign w:val="center"/>
          </w:tcPr>
          <w:p w:rsidR="00712366" w:rsidP="00455D01" w14:paraId="0BCFF5CE" w14:textId="4AE184A7">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440" w:type="dxa"/>
            <w:tcBorders>
              <w:top w:val="nil"/>
              <w:left w:val="nil"/>
              <w:bottom w:val="single" w:sz="4" w:space="0" w:color="000000"/>
              <w:right w:val="single" w:sz="4" w:space="0" w:color="000000"/>
            </w:tcBorders>
            <w:shd w:val="clear" w:color="auto" w:fill="auto"/>
            <w:vAlign w:val="center"/>
          </w:tcPr>
          <w:p w:rsidR="00712366" w:rsidP="00455D01" w14:paraId="4415939D" w14:textId="48AAE91D">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4" w:space="0" w:color="000000"/>
              <w:right w:val="single" w:sz="8" w:space="0" w:color="000000"/>
            </w:tcBorders>
            <w:shd w:val="clear" w:color="auto" w:fill="auto"/>
            <w:vAlign w:val="center"/>
          </w:tcPr>
          <w:p w:rsidR="00712366" w:rsidP="00455D01" w14:paraId="0ACCB538" w14:textId="5FBDCD55">
            <w:pPr>
              <w:widowControl/>
              <w:jc w:val="center"/>
              <w:rPr>
                <w:rFonts w:ascii="Calibri" w:eastAsia="Calibri" w:hAnsi="Calibri" w:cs="Calibri"/>
                <w:color w:val="000000"/>
                <w:sz w:val="16"/>
                <w:szCs w:val="16"/>
              </w:rPr>
            </w:pPr>
            <w:r>
              <w:rPr>
                <w:rFonts w:ascii="Calibri" w:eastAsia="Calibri" w:hAnsi="Calibri" w:cs="Calibri"/>
                <w:color w:val="000000"/>
                <w:sz w:val="16"/>
                <w:szCs w:val="16"/>
              </w:rPr>
              <w:t>4,440</w:t>
            </w:r>
          </w:p>
        </w:tc>
      </w:tr>
      <w:tr w14:paraId="5BABDE98" w14:textId="77777777" w:rsidTr="00455D01">
        <w:tblPrEx>
          <w:tblW w:w="13065" w:type="dxa"/>
          <w:tblInd w:w="-25" w:type="dxa"/>
          <w:tblLayout w:type="fixed"/>
          <w:tblLook w:val="0400"/>
        </w:tblPrEx>
        <w:trPr>
          <w:trHeight w:val="300"/>
        </w:trPr>
        <w:tc>
          <w:tcPr>
            <w:tcW w:w="2355" w:type="dxa"/>
            <w:tcBorders>
              <w:top w:val="nil"/>
              <w:left w:val="single" w:sz="8" w:space="0" w:color="000000"/>
              <w:bottom w:val="single" w:sz="4" w:space="0" w:color="000000"/>
              <w:right w:val="single" w:sz="4" w:space="0" w:color="000000"/>
            </w:tcBorders>
            <w:shd w:val="clear" w:color="auto" w:fill="auto"/>
            <w:vAlign w:val="center"/>
          </w:tcPr>
          <w:p w:rsidR="00712366" w:rsidP="00455D01" w14:paraId="3DD0DCF9" w14:textId="268C1019">
            <w:pPr>
              <w:widowControl/>
              <w:rPr>
                <w:rFonts w:ascii="Calibri" w:eastAsia="Calibri" w:hAnsi="Calibri" w:cs="Calibri"/>
                <w:color w:val="000000"/>
                <w:sz w:val="16"/>
                <w:szCs w:val="16"/>
              </w:rPr>
            </w:pPr>
            <w:r>
              <w:rPr>
                <w:rFonts w:ascii="Calibri" w:eastAsia="Calibri" w:hAnsi="Calibri" w:cs="Calibri"/>
                <w:color w:val="000000"/>
                <w:sz w:val="16"/>
                <w:szCs w:val="16"/>
              </w:rPr>
              <w:t>Habitat restoration exception report</w:t>
            </w:r>
          </w:p>
        </w:tc>
        <w:tc>
          <w:tcPr>
            <w:tcW w:w="1620" w:type="dxa"/>
            <w:tcBorders>
              <w:top w:val="nil"/>
              <w:left w:val="nil"/>
              <w:bottom w:val="single" w:sz="4" w:space="0" w:color="000000"/>
              <w:right w:val="single" w:sz="4" w:space="0" w:color="000000"/>
            </w:tcBorders>
            <w:shd w:val="clear" w:color="auto" w:fill="auto"/>
            <w:vAlign w:val="center"/>
          </w:tcPr>
          <w:p w:rsidR="00712366" w:rsidP="00455D01" w14:paraId="10BA207D" w14:textId="77777777">
            <w:r w:rsidRPr="009312EC">
              <w:rPr>
                <w:rFonts w:ascii="Calibri" w:eastAsia="Calibri" w:hAnsi="Calibri" w:cs="Calibri"/>
                <w:color w:val="000000"/>
                <w:sz w:val="16"/>
                <w:szCs w:val="16"/>
              </w:rPr>
              <w:t>Biologist</w:t>
            </w:r>
          </w:p>
        </w:tc>
        <w:tc>
          <w:tcPr>
            <w:tcW w:w="1260" w:type="dxa"/>
            <w:tcBorders>
              <w:top w:val="nil"/>
              <w:left w:val="nil"/>
              <w:bottom w:val="single" w:sz="4" w:space="0" w:color="000000"/>
              <w:right w:val="single" w:sz="4" w:space="0" w:color="000000"/>
            </w:tcBorders>
            <w:shd w:val="clear" w:color="auto" w:fill="auto"/>
            <w:vAlign w:val="center"/>
          </w:tcPr>
          <w:p w:rsidR="00712366" w:rsidP="00455D01" w14:paraId="4F7D21B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1170" w:type="dxa"/>
            <w:tcBorders>
              <w:top w:val="nil"/>
              <w:left w:val="nil"/>
              <w:bottom w:val="single" w:sz="4" w:space="0" w:color="000000"/>
              <w:right w:val="single" w:sz="4" w:space="0" w:color="000000"/>
            </w:tcBorders>
            <w:shd w:val="clear" w:color="auto" w:fill="auto"/>
            <w:vAlign w:val="center"/>
          </w:tcPr>
          <w:p w:rsidR="00712366" w:rsidP="00455D01" w14:paraId="0E826BA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4" w:space="0" w:color="000000"/>
              <w:right w:val="single" w:sz="4" w:space="0" w:color="000000"/>
            </w:tcBorders>
            <w:shd w:val="clear" w:color="auto" w:fill="auto"/>
            <w:vAlign w:val="center"/>
          </w:tcPr>
          <w:p w:rsidR="00712366" w:rsidP="00455D01" w14:paraId="3C69A6A9" w14:textId="0F7B20E1">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1080" w:type="dxa"/>
            <w:tcBorders>
              <w:top w:val="nil"/>
              <w:left w:val="nil"/>
              <w:bottom w:val="single" w:sz="4" w:space="0" w:color="000000"/>
              <w:right w:val="single" w:sz="4" w:space="0" w:color="000000"/>
            </w:tcBorders>
            <w:shd w:val="clear" w:color="auto" w:fill="auto"/>
            <w:vAlign w:val="center"/>
          </w:tcPr>
          <w:p w:rsidR="00712366" w:rsidP="00455D01" w14:paraId="3C2B80EE" w14:textId="01A919E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350" w:type="dxa"/>
            <w:tcBorders>
              <w:top w:val="nil"/>
              <w:left w:val="nil"/>
              <w:bottom w:val="single" w:sz="4" w:space="0" w:color="000000"/>
              <w:right w:val="single" w:sz="4" w:space="0" w:color="000000"/>
            </w:tcBorders>
            <w:shd w:val="clear" w:color="auto" w:fill="auto"/>
            <w:vAlign w:val="center"/>
          </w:tcPr>
          <w:p w:rsidR="00712366" w:rsidP="00455D01" w14:paraId="6BFDF4A3" w14:textId="4F53754E">
            <w:pPr>
              <w:widowControl/>
              <w:jc w:val="center"/>
              <w:rPr>
                <w:rFonts w:ascii="Calibri" w:eastAsia="Calibri" w:hAnsi="Calibri" w:cs="Calibri"/>
                <w:color w:val="000000"/>
                <w:sz w:val="16"/>
                <w:szCs w:val="16"/>
              </w:rPr>
            </w:pPr>
            <w:r>
              <w:rPr>
                <w:rFonts w:ascii="Calibri" w:eastAsia="Calibri" w:hAnsi="Calibri" w:cs="Calibri"/>
                <w:color w:val="000000"/>
                <w:sz w:val="16"/>
                <w:szCs w:val="16"/>
              </w:rPr>
              <w:t>15</w:t>
            </w:r>
          </w:p>
        </w:tc>
        <w:tc>
          <w:tcPr>
            <w:tcW w:w="1440" w:type="dxa"/>
            <w:tcBorders>
              <w:top w:val="nil"/>
              <w:left w:val="nil"/>
              <w:bottom w:val="single" w:sz="4" w:space="0" w:color="000000"/>
              <w:right w:val="single" w:sz="4" w:space="0" w:color="000000"/>
            </w:tcBorders>
            <w:shd w:val="clear" w:color="auto" w:fill="auto"/>
            <w:vAlign w:val="center"/>
          </w:tcPr>
          <w:p w:rsidR="00712366" w:rsidP="00455D01" w14:paraId="089F0AAD" w14:textId="4FC808A1">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4" w:space="0" w:color="000000"/>
              <w:right w:val="single" w:sz="8" w:space="0" w:color="000000"/>
            </w:tcBorders>
            <w:shd w:val="clear" w:color="auto" w:fill="auto"/>
            <w:vAlign w:val="center"/>
          </w:tcPr>
          <w:p w:rsidR="00712366" w:rsidP="00455D01" w14:paraId="58695342" w14:textId="47FFDEE1">
            <w:pPr>
              <w:widowControl/>
              <w:jc w:val="center"/>
              <w:rPr>
                <w:rFonts w:ascii="Calibri" w:eastAsia="Calibri" w:hAnsi="Calibri" w:cs="Calibri"/>
                <w:color w:val="000000"/>
                <w:sz w:val="16"/>
                <w:szCs w:val="16"/>
              </w:rPr>
            </w:pPr>
            <w:r>
              <w:rPr>
                <w:rFonts w:ascii="Calibri" w:eastAsia="Calibri" w:hAnsi="Calibri" w:cs="Calibri"/>
                <w:color w:val="000000"/>
                <w:sz w:val="16"/>
                <w:szCs w:val="16"/>
              </w:rPr>
              <w:t>555</w:t>
            </w:r>
          </w:p>
        </w:tc>
      </w:tr>
      <w:tr w14:paraId="43E81CE6" w14:textId="77777777" w:rsidTr="00455D01">
        <w:tblPrEx>
          <w:tblW w:w="13065" w:type="dxa"/>
          <w:tblInd w:w="-25" w:type="dxa"/>
          <w:tblLayout w:type="fixed"/>
          <w:tblLook w:val="0400"/>
        </w:tblPrEx>
        <w:trPr>
          <w:trHeight w:val="315"/>
        </w:trPr>
        <w:tc>
          <w:tcPr>
            <w:tcW w:w="2355" w:type="dxa"/>
            <w:tcBorders>
              <w:top w:val="nil"/>
              <w:left w:val="single" w:sz="8" w:space="0" w:color="000000"/>
              <w:bottom w:val="single" w:sz="8" w:space="0" w:color="000000"/>
              <w:right w:val="single" w:sz="4" w:space="0" w:color="000000"/>
            </w:tcBorders>
            <w:shd w:val="clear" w:color="auto" w:fill="auto"/>
            <w:vAlign w:val="center"/>
          </w:tcPr>
          <w:p w:rsidR="00712366" w:rsidP="00455D01" w14:paraId="6B876254" w14:textId="002BB2F5">
            <w:pPr>
              <w:widowControl/>
              <w:rPr>
                <w:rFonts w:ascii="Calibri" w:eastAsia="Calibri" w:hAnsi="Calibri" w:cs="Calibri"/>
                <w:color w:val="000000"/>
                <w:sz w:val="16"/>
                <w:szCs w:val="16"/>
              </w:rPr>
            </w:pPr>
            <w:r>
              <w:rPr>
                <w:rFonts w:ascii="Calibri" w:eastAsia="Calibri" w:hAnsi="Calibri" w:cs="Calibri"/>
                <w:color w:val="000000"/>
                <w:sz w:val="16"/>
                <w:szCs w:val="16"/>
              </w:rPr>
              <w:t>FMEP</w:t>
            </w:r>
          </w:p>
        </w:tc>
        <w:tc>
          <w:tcPr>
            <w:tcW w:w="1620" w:type="dxa"/>
            <w:tcBorders>
              <w:top w:val="nil"/>
              <w:left w:val="nil"/>
              <w:bottom w:val="single" w:sz="8" w:space="0" w:color="000000"/>
              <w:right w:val="single" w:sz="4" w:space="0" w:color="000000"/>
            </w:tcBorders>
            <w:shd w:val="clear" w:color="auto" w:fill="auto"/>
            <w:vAlign w:val="center"/>
          </w:tcPr>
          <w:p w:rsidR="00712366" w:rsidP="00455D01" w14:paraId="43D42D0C" w14:textId="77777777">
            <w:r w:rsidRPr="009312EC">
              <w:rPr>
                <w:rFonts w:ascii="Calibri" w:eastAsia="Calibri" w:hAnsi="Calibri" w:cs="Calibri"/>
                <w:color w:val="000000"/>
                <w:sz w:val="16"/>
                <w:szCs w:val="16"/>
              </w:rPr>
              <w:t>Biologist</w:t>
            </w:r>
          </w:p>
        </w:tc>
        <w:tc>
          <w:tcPr>
            <w:tcW w:w="1260" w:type="dxa"/>
            <w:tcBorders>
              <w:top w:val="nil"/>
              <w:left w:val="nil"/>
              <w:bottom w:val="single" w:sz="8" w:space="0" w:color="000000"/>
              <w:right w:val="single" w:sz="4" w:space="0" w:color="000000"/>
            </w:tcBorders>
            <w:shd w:val="clear" w:color="auto" w:fill="auto"/>
            <w:vAlign w:val="center"/>
          </w:tcPr>
          <w:p w:rsidR="00712366" w:rsidP="00455D01" w14:paraId="3DD0FB0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170" w:type="dxa"/>
            <w:tcBorders>
              <w:top w:val="nil"/>
              <w:left w:val="nil"/>
              <w:bottom w:val="single" w:sz="8" w:space="0" w:color="000000"/>
              <w:right w:val="single" w:sz="4" w:space="0" w:color="000000"/>
            </w:tcBorders>
            <w:shd w:val="clear" w:color="auto" w:fill="auto"/>
            <w:vAlign w:val="center"/>
          </w:tcPr>
          <w:p w:rsidR="00712366" w:rsidP="00455D01" w14:paraId="153A207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71FB6909" w14:textId="3E164823">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080" w:type="dxa"/>
            <w:tcBorders>
              <w:top w:val="nil"/>
              <w:left w:val="nil"/>
              <w:bottom w:val="single" w:sz="8" w:space="0" w:color="000000"/>
              <w:right w:val="single" w:sz="4" w:space="0" w:color="000000"/>
            </w:tcBorders>
            <w:shd w:val="clear" w:color="auto" w:fill="auto"/>
            <w:vAlign w:val="center"/>
          </w:tcPr>
          <w:p w:rsidR="00712366" w:rsidP="00455D01" w14:paraId="54F9843E" w14:textId="77DA3DDA">
            <w:pPr>
              <w:widowControl/>
              <w:jc w:val="center"/>
              <w:rPr>
                <w:rFonts w:ascii="Calibri" w:eastAsia="Calibri" w:hAnsi="Calibri" w:cs="Calibri"/>
                <w:color w:val="000000"/>
                <w:sz w:val="16"/>
                <w:szCs w:val="16"/>
              </w:rPr>
            </w:pPr>
            <w:r>
              <w:rPr>
                <w:rFonts w:ascii="Calibri" w:eastAsia="Calibri" w:hAnsi="Calibri" w:cs="Calibri"/>
                <w:color w:val="000000"/>
                <w:sz w:val="16"/>
                <w:szCs w:val="16"/>
              </w:rPr>
              <w:t>160</w:t>
            </w:r>
          </w:p>
        </w:tc>
        <w:tc>
          <w:tcPr>
            <w:tcW w:w="1350" w:type="dxa"/>
            <w:tcBorders>
              <w:top w:val="nil"/>
              <w:left w:val="nil"/>
              <w:bottom w:val="single" w:sz="8" w:space="0" w:color="000000"/>
              <w:right w:val="single" w:sz="4" w:space="0" w:color="000000"/>
            </w:tcBorders>
            <w:shd w:val="clear" w:color="auto" w:fill="auto"/>
            <w:vAlign w:val="center"/>
          </w:tcPr>
          <w:p w:rsidR="00712366" w:rsidP="00455D01" w14:paraId="03530FAD" w14:textId="0A83DDEB">
            <w:pPr>
              <w:widowControl/>
              <w:jc w:val="center"/>
              <w:rPr>
                <w:rFonts w:ascii="Calibri" w:eastAsia="Calibri" w:hAnsi="Calibri" w:cs="Calibri"/>
                <w:color w:val="000000"/>
                <w:sz w:val="16"/>
                <w:szCs w:val="16"/>
              </w:rPr>
            </w:pPr>
            <w:r>
              <w:rPr>
                <w:rFonts w:ascii="Calibri" w:eastAsia="Calibri" w:hAnsi="Calibri" w:cs="Calibri"/>
                <w:color w:val="000000"/>
                <w:sz w:val="16"/>
                <w:szCs w:val="16"/>
              </w:rPr>
              <w:t>320</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248D0876" w14:textId="7FE52E73">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8" w:space="0" w:color="000000"/>
              <w:right w:val="single" w:sz="8" w:space="0" w:color="000000"/>
            </w:tcBorders>
            <w:shd w:val="clear" w:color="auto" w:fill="auto"/>
            <w:vAlign w:val="center"/>
          </w:tcPr>
          <w:p w:rsidR="00712366" w:rsidP="00455D01" w14:paraId="518A5B94" w14:textId="1633E6D1">
            <w:pPr>
              <w:widowControl/>
              <w:jc w:val="center"/>
              <w:rPr>
                <w:rFonts w:ascii="Calibri" w:eastAsia="Calibri" w:hAnsi="Calibri" w:cs="Calibri"/>
                <w:color w:val="000000"/>
                <w:sz w:val="16"/>
                <w:szCs w:val="16"/>
              </w:rPr>
            </w:pPr>
            <w:r>
              <w:rPr>
                <w:rFonts w:ascii="Calibri" w:eastAsia="Calibri" w:hAnsi="Calibri" w:cs="Calibri"/>
                <w:color w:val="000000"/>
                <w:sz w:val="16"/>
                <w:szCs w:val="16"/>
              </w:rPr>
              <w:t>11,840</w:t>
            </w:r>
          </w:p>
        </w:tc>
      </w:tr>
      <w:tr w14:paraId="629128D5" w14:textId="77777777" w:rsidTr="00455D01">
        <w:tblPrEx>
          <w:tblW w:w="13065" w:type="dxa"/>
          <w:tblInd w:w="-25" w:type="dxa"/>
          <w:tblLayout w:type="fixed"/>
          <w:tblLook w:val="0400"/>
        </w:tblPrEx>
        <w:trPr>
          <w:trHeight w:val="315"/>
        </w:trPr>
        <w:tc>
          <w:tcPr>
            <w:tcW w:w="2355" w:type="dxa"/>
            <w:tcBorders>
              <w:top w:val="nil"/>
              <w:left w:val="single" w:sz="8" w:space="0" w:color="000000"/>
              <w:bottom w:val="single" w:sz="8" w:space="0" w:color="000000"/>
              <w:right w:val="single" w:sz="4" w:space="0" w:color="000000"/>
            </w:tcBorders>
            <w:shd w:val="clear" w:color="auto" w:fill="auto"/>
            <w:vAlign w:val="center"/>
          </w:tcPr>
          <w:p w:rsidR="00712366" w:rsidP="00455D01" w14:paraId="3AA97F1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FMEP report (biannual)</w:t>
            </w:r>
          </w:p>
        </w:tc>
        <w:tc>
          <w:tcPr>
            <w:tcW w:w="1620" w:type="dxa"/>
            <w:tcBorders>
              <w:top w:val="nil"/>
              <w:left w:val="nil"/>
              <w:bottom w:val="single" w:sz="8" w:space="0" w:color="000000"/>
              <w:right w:val="single" w:sz="4" w:space="0" w:color="000000"/>
            </w:tcBorders>
            <w:shd w:val="clear" w:color="auto" w:fill="auto"/>
            <w:vAlign w:val="center"/>
          </w:tcPr>
          <w:p w:rsidR="00712366" w:rsidP="00455D01" w14:paraId="137E7A64" w14:textId="77777777">
            <w:r w:rsidRPr="009312EC">
              <w:rPr>
                <w:rFonts w:ascii="Calibri" w:eastAsia="Calibri" w:hAnsi="Calibri" w:cs="Calibri"/>
                <w:color w:val="000000"/>
                <w:sz w:val="16"/>
                <w:szCs w:val="16"/>
              </w:rPr>
              <w:t>Biologist</w:t>
            </w:r>
          </w:p>
        </w:tc>
        <w:tc>
          <w:tcPr>
            <w:tcW w:w="1260" w:type="dxa"/>
            <w:tcBorders>
              <w:top w:val="nil"/>
              <w:left w:val="nil"/>
              <w:bottom w:val="single" w:sz="8" w:space="0" w:color="000000"/>
              <w:right w:val="single" w:sz="4" w:space="0" w:color="000000"/>
            </w:tcBorders>
            <w:shd w:val="clear" w:color="auto" w:fill="auto"/>
            <w:vAlign w:val="center"/>
          </w:tcPr>
          <w:p w:rsidR="00712366" w:rsidP="00455D01" w14:paraId="762A15A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170" w:type="dxa"/>
            <w:tcBorders>
              <w:top w:val="nil"/>
              <w:left w:val="nil"/>
              <w:bottom w:val="single" w:sz="8" w:space="0" w:color="000000"/>
              <w:right w:val="single" w:sz="4" w:space="0" w:color="000000"/>
            </w:tcBorders>
            <w:shd w:val="clear" w:color="auto" w:fill="auto"/>
            <w:vAlign w:val="center"/>
          </w:tcPr>
          <w:p w:rsidR="00712366" w:rsidP="00455D01" w14:paraId="478DCB3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25BAAAB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w:t>
            </w:r>
          </w:p>
        </w:tc>
        <w:tc>
          <w:tcPr>
            <w:tcW w:w="1080" w:type="dxa"/>
            <w:tcBorders>
              <w:top w:val="nil"/>
              <w:left w:val="nil"/>
              <w:bottom w:val="single" w:sz="8" w:space="0" w:color="000000"/>
              <w:right w:val="single" w:sz="4" w:space="0" w:color="000000"/>
            </w:tcBorders>
            <w:shd w:val="clear" w:color="auto" w:fill="auto"/>
            <w:vAlign w:val="center"/>
          </w:tcPr>
          <w:p w:rsidR="00712366" w:rsidP="00455D01" w14:paraId="05341A3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350" w:type="dxa"/>
            <w:tcBorders>
              <w:top w:val="nil"/>
              <w:left w:val="nil"/>
              <w:bottom w:val="single" w:sz="8" w:space="0" w:color="000000"/>
              <w:right w:val="single" w:sz="4" w:space="0" w:color="000000"/>
            </w:tcBorders>
            <w:shd w:val="clear" w:color="auto" w:fill="auto"/>
            <w:vAlign w:val="center"/>
          </w:tcPr>
          <w:p w:rsidR="00712366" w:rsidP="00455D01" w14:paraId="3ADF048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80</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18BE7B2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8" w:space="0" w:color="000000"/>
              <w:right w:val="single" w:sz="8" w:space="0" w:color="000000"/>
            </w:tcBorders>
            <w:shd w:val="clear" w:color="auto" w:fill="auto"/>
            <w:vAlign w:val="center"/>
          </w:tcPr>
          <w:p w:rsidR="00712366" w:rsidP="00455D01" w14:paraId="5E8655A9" w14:textId="69E59BA2">
            <w:pPr>
              <w:widowControl/>
              <w:jc w:val="center"/>
              <w:rPr>
                <w:rFonts w:ascii="Calibri" w:eastAsia="Calibri" w:hAnsi="Calibri" w:cs="Calibri"/>
                <w:color w:val="000000"/>
                <w:sz w:val="16"/>
                <w:szCs w:val="16"/>
              </w:rPr>
            </w:pPr>
            <w:r>
              <w:rPr>
                <w:rFonts w:ascii="Calibri" w:eastAsia="Calibri" w:hAnsi="Calibri" w:cs="Calibri"/>
                <w:color w:val="000000"/>
                <w:sz w:val="16"/>
                <w:szCs w:val="16"/>
              </w:rPr>
              <w:t>2,960</w:t>
            </w:r>
          </w:p>
        </w:tc>
      </w:tr>
      <w:tr w14:paraId="2E7982A1" w14:textId="77777777" w:rsidTr="00455D01">
        <w:tblPrEx>
          <w:tblW w:w="13065" w:type="dxa"/>
          <w:tblInd w:w="-25" w:type="dxa"/>
          <w:tblLayout w:type="fixed"/>
          <w:tblLook w:val="0400"/>
        </w:tblPrEx>
        <w:trPr>
          <w:trHeight w:val="315"/>
        </w:trPr>
        <w:tc>
          <w:tcPr>
            <w:tcW w:w="2355" w:type="dxa"/>
            <w:tcBorders>
              <w:top w:val="nil"/>
              <w:left w:val="single" w:sz="8" w:space="0" w:color="000000"/>
              <w:bottom w:val="single" w:sz="8" w:space="0" w:color="000000"/>
              <w:right w:val="single" w:sz="4" w:space="0" w:color="000000"/>
            </w:tcBorders>
            <w:shd w:val="clear" w:color="auto" w:fill="auto"/>
            <w:vAlign w:val="center"/>
          </w:tcPr>
          <w:p w:rsidR="00712366" w:rsidP="00455D01" w14:paraId="75D8578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Tribal Plan</w:t>
            </w:r>
          </w:p>
        </w:tc>
        <w:tc>
          <w:tcPr>
            <w:tcW w:w="1620" w:type="dxa"/>
            <w:tcBorders>
              <w:top w:val="nil"/>
              <w:left w:val="nil"/>
              <w:bottom w:val="single" w:sz="8" w:space="0" w:color="000000"/>
              <w:right w:val="single" w:sz="4" w:space="0" w:color="000000"/>
            </w:tcBorders>
            <w:shd w:val="clear" w:color="auto" w:fill="auto"/>
            <w:vAlign w:val="center"/>
          </w:tcPr>
          <w:p w:rsidR="00712366" w:rsidP="00455D01" w14:paraId="07A3DD2C" w14:textId="77777777">
            <w:r w:rsidRPr="009312EC">
              <w:rPr>
                <w:rFonts w:ascii="Calibri" w:eastAsia="Calibri" w:hAnsi="Calibri" w:cs="Calibri"/>
                <w:color w:val="000000"/>
                <w:sz w:val="16"/>
                <w:szCs w:val="16"/>
              </w:rPr>
              <w:t>Biologist</w:t>
            </w:r>
          </w:p>
        </w:tc>
        <w:tc>
          <w:tcPr>
            <w:tcW w:w="1260" w:type="dxa"/>
            <w:tcBorders>
              <w:top w:val="nil"/>
              <w:left w:val="nil"/>
              <w:bottom w:val="single" w:sz="8" w:space="0" w:color="000000"/>
              <w:right w:val="single" w:sz="4" w:space="0" w:color="000000"/>
            </w:tcBorders>
            <w:shd w:val="clear" w:color="auto" w:fill="auto"/>
            <w:vAlign w:val="center"/>
          </w:tcPr>
          <w:p w:rsidR="00712366" w:rsidP="00455D01" w14:paraId="34689AC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8" w:space="0" w:color="000000"/>
              <w:right w:val="single" w:sz="4" w:space="0" w:color="000000"/>
            </w:tcBorders>
            <w:shd w:val="clear" w:color="auto" w:fill="auto"/>
            <w:vAlign w:val="center"/>
          </w:tcPr>
          <w:p w:rsidR="00712366" w:rsidP="00455D01" w14:paraId="2C05B9A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72B0FA5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80" w:type="dxa"/>
            <w:tcBorders>
              <w:top w:val="nil"/>
              <w:left w:val="nil"/>
              <w:bottom w:val="single" w:sz="8" w:space="0" w:color="000000"/>
              <w:right w:val="single" w:sz="4" w:space="0" w:color="000000"/>
            </w:tcBorders>
            <w:shd w:val="clear" w:color="auto" w:fill="auto"/>
            <w:vAlign w:val="center"/>
          </w:tcPr>
          <w:p w:rsidR="00712366" w:rsidP="00455D01" w14:paraId="0A80A2F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160</w:t>
            </w:r>
          </w:p>
        </w:tc>
        <w:tc>
          <w:tcPr>
            <w:tcW w:w="1350" w:type="dxa"/>
            <w:tcBorders>
              <w:top w:val="nil"/>
              <w:left w:val="nil"/>
              <w:bottom w:val="single" w:sz="8" w:space="0" w:color="000000"/>
              <w:right w:val="single" w:sz="4" w:space="0" w:color="000000"/>
            </w:tcBorders>
            <w:shd w:val="clear" w:color="auto" w:fill="auto"/>
            <w:vAlign w:val="center"/>
          </w:tcPr>
          <w:p w:rsidR="00712366" w:rsidP="00455D01" w14:paraId="03F7A80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160</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4EF6026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8" w:space="0" w:color="000000"/>
              <w:right w:val="single" w:sz="8" w:space="0" w:color="000000"/>
            </w:tcBorders>
            <w:shd w:val="clear" w:color="auto" w:fill="auto"/>
            <w:vAlign w:val="center"/>
          </w:tcPr>
          <w:p w:rsidR="00712366" w:rsidP="00455D01" w14:paraId="4EC674BE" w14:textId="3D62D6D8">
            <w:pPr>
              <w:widowControl/>
              <w:jc w:val="center"/>
              <w:rPr>
                <w:rFonts w:ascii="Calibri" w:eastAsia="Calibri" w:hAnsi="Calibri" w:cs="Calibri"/>
                <w:color w:val="000000"/>
                <w:sz w:val="16"/>
                <w:szCs w:val="16"/>
              </w:rPr>
            </w:pPr>
            <w:r>
              <w:rPr>
                <w:rFonts w:ascii="Calibri" w:eastAsia="Calibri" w:hAnsi="Calibri" w:cs="Calibri"/>
                <w:color w:val="000000"/>
                <w:sz w:val="16"/>
                <w:szCs w:val="16"/>
              </w:rPr>
              <w:t>5,920</w:t>
            </w:r>
          </w:p>
        </w:tc>
      </w:tr>
      <w:tr w14:paraId="4582ADB3" w14:textId="77777777" w:rsidTr="00455D01">
        <w:tblPrEx>
          <w:tblW w:w="13065" w:type="dxa"/>
          <w:tblInd w:w="-25" w:type="dxa"/>
          <w:tblLayout w:type="fixed"/>
          <w:tblLook w:val="0400"/>
        </w:tblPrEx>
        <w:trPr>
          <w:trHeight w:val="315"/>
        </w:trPr>
        <w:tc>
          <w:tcPr>
            <w:tcW w:w="2355" w:type="dxa"/>
            <w:tcBorders>
              <w:top w:val="nil"/>
              <w:left w:val="single" w:sz="8" w:space="0" w:color="000000"/>
              <w:bottom w:val="single" w:sz="8" w:space="0" w:color="000000"/>
              <w:right w:val="single" w:sz="4" w:space="0" w:color="000000"/>
            </w:tcBorders>
            <w:shd w:val="clear" w:color="auto" w:fill="auto"/>
            <w:vAlign w:val="center"/>
          </w:tcPr>
          <w:p w:rsidR="00712366" w:rsidP="00455D01" w14:paraId="069519A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State research program</w:t>
            </w:r>
          </w:p>
        </w:tc>
        <w:tc>
          <w:tcPr>
            <w:tcW w:w="1620" w:type="dxa"/>
            <w:tcBorders>
              <w:top w:val="nil"/>
              <w:left w:val="nil"/>
              <w:bottom w:val="single" w:sz="8" w:space="0" w:color="000000"/>
              <w:right w:val="single" w:sz="4" w:space="0" w:color="000000"/>
            </w:tcBorders>
            <w:shd w:val="clear" w:color="auto" w:fill="auto"/>
            <w:vAlign w:val="center"/>
          </w:tcPr>
          <w:p w:rsidR="00712366" w:rsidP="00455D01" w14:paraId="2105FA3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Researcher / Biologist</w:t>
            </w:r>
          </w:p>
        </w:tc>
        <w:tc>
          <w:tcPr>
            <w:tcW w:w="1260" w:type="dxa"/>
            <w:tcBorders>
              <w:top w:val="nil"/>
              <w:left w:val="nil"/>
              <w:bottom w:val="single" w:sz="8" w:space="0" w:color="000000"/>
              <w:right w:val="single" w:sz="4" w:space="0" w:color="000000"/>
            </w:tcBorders>
            <w:shd w:val="clear" w:color="auto" w:fill="auto"/>
            <w:vAlign w:val="center"/>
          </w:tcPr>
          <w:p w:rsidR="00712366" w:rsidP="00455D01" w14:paraId="7D5D65B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1170" w:type="dxa"/>
            <w:tcBorders>
              <w:top w:val="nil"/>
              <w:left w:val="nil"/>
              <w:bottom w:val="single" w:sz="8" w:space="0" w:color="000000"/>
              <w:right w:val="single" w:sz="4" w:space="0" w:color="000000"/>
            </w:tcBorders>
            <w:shd w:val="clear" w:color="auto" w:fill="auto"/>
            <w:vAlign w:val="center"/>
          </w:tcPr>
          <w:p w:rsidR="00712366" w:rsidP="00455D01" w14:paraId="0315590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650653E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1080" w:type="dxa"/>
            <w:tcBorders>
              <w:top w:val="nil"/>
              <w:left w:val="nil"/>
              <w:bottom w:val="single" w:sz="8" w:space="0" w:color="000000"/>
              <w:right w:val="single" w:sz="4" w:space="0" w:color="000000"/>
            </w:tcBorders>
            <w:shd w:val="clear" w:color="auto" w:fill="auto"/>
            <w:vAlign w:val="center"/>
          </w:tcPr>
          <w:p w:rsidR="00712366" w:rsidP="00455D01" w14:paraId="3ECE0C1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40</w:t>
            </w:r>
          </w:p>
        </w:tc>
        <w:tc>
          <w:tcPr>
            <w:tcW w:w="1350" w:type="dxa"/>
            <w:tcBorders>
              <w:top w:val="nil"/>
              <w:left w:val="nil"/>
              <w:bottom w:val="single" w:sz="8" w:space="0" w:color="000000"/>
              <w:right w:val="single" w:sz="4" w:space="0" w:color="000000"/>
            </w:tcBorders>
            <w:shd w:val="clear" w:color="auto" w:fill="auto"/>
            <w:vAlign w:val="center"/>
          </w:tcPr>
          <w:p w:rsidR="00712366" w:rsidP="00455D01" w14:paraId="01B2447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2EF963F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8" w:space="0" w:color="000000"/>
              <w:right w:val="single" w:sz="8" w:space="0" w:color="000000"/>
            </w:tcBorders>
            <w:shd w:val="clear" w:color="auto" w:fill="auto"/>
            <w:vAlign w:val="center"/>
          </w:tcPr>
          <w:p w:rsidR="00712366" w:rsidP="00455D01" w14:paraId="307CF9AA" w14:textId="3472E280">
            <w:pPr>
              <w:widowControl/>
              <w:jc w:val="center"/>
              <w:rPr>
                <w:rFonts w:ascii="Calibri" w:eastAsia="Calibri" w:hAnsi="Calibri" w:cs="Calibri"/>
                <w:color w:val="000000"/>
                <w:sz w:val="16"/>
                <w:szCs w:val="16"/>
              </w:rPr>
            </w:pPr>
            <w:r>
              <w:rPr>
                <w:rFonts w:ascii="Calibri" w:eastAsia="Calibri" w:hAnsi="Calibri" w:cs="Calibri"/>
                <w:color w:val="000000"/>
                <w:sz w:val="16"/>
                <w:szCs w:val="16"/>
              </w:rPr>
              <w:t>4,440</w:t>
            </w:r>
          </w:p>
        </w:tc>
      </w:tr>
      <w:tr w14:paraId="02EDCB7D" w14:textId="77777777" w:rsidTr="00455D01">
        <w:tblPrEx>
          <w:tblW w:w="13065" w:type="dxa"/>
          <w:tblInd w:w="-25" w:type="dxa"/>
          <w:tblLayout w:type="fixed"/>
          <w:tblLook w:val="0400"/>
        </w:tblPrEx>
        <w:trPr>
          <w:trHeight w:val="315"/>
        </w:trPr>
        <w:tc>
          <w:tcPr>
            <w:tcW w:w="2355" w:type="dxa"/>
            <w:tcBorders>
              <w:top w:val="nil"/>
              <w:left w:val="single" w:sz="8" w:space="0" w:color="000000"/>
              <w:bottom w:val="single" w:sz="8" w:space="0" w:color="000000"/>
              <w:right w:val="single" w:sz="4" w:space="0" w:color="000000"/>
            </w:tcBorders>
            <w:shd w:val="clear" w:color="auto" w:fill="auto"/>
            <w:vAlign w:val="center"/>
          </w:tcPr>
          <w:p w:rsidR="00712366" w:rsidP="00455D01" w14:paraId="414E75A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Research applications</w:t>
            </w:r>
          </w:p>
        </w:tc>
        <w:tc>
          <w:tcPr>
            <w:tcW w:w="1620" w:type="dxa"/>
            <w:tcBorders>
              <w:top w:val="nil"/>
              <w:left w:val="nil"/>
              <w:bottom w:val="single" w:sz="8" w:space="0" w:color="000000"/>
              <w:right w:val="single" w:sz="4" w:space="0" w:color="000000"/>
            </w:tcBorders>
            <w:shd w:val="clear" w:color="auto" w:fill="auto"/>
            <w:vAlign w:val="center"/>
          </w:tcPr>
          <w:p w:rsidR="00712366" w:rsidP="00455D01" w14:paraId="7A05834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Researcher / Biologist</w:t>
            </w:r>
          </w:p>
        </w:tc>
        <w:tc>
          <w:tcPr>
            <w:tcW w:w="1260" w:type="dxa"/>
            <w:tcBorders>
              <w:top w:val="nil"/>
              <w:left w:val="nil"/>
              <w:bottom w:val="single" w:sz="8" w:space="0" w:color="000000"/>
              <w:right w:val="single" w:sz="4" w:space="0" w:color="000000"/>
            </w:tcBorders>
            <w:shd w:val="clear" w:color="auto" w:fill="auto"/>
            <w:vAlign w:val="center"/>
          </w:tcPr>
          <w:p w:rsidR="00712366" w:rsidP="00455D01" w14:paraId="408935C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1170" w:type="dxa"/>
            <w:tcBorders>
              <w:top w:val="nil"/>
              <w:left w:val="nil"/>
              <w:bottom w:val="single" w:sz="8" w:space="0" w:color="000000"/>
              <w:right w:val="single" w:sz="4" w:space="0" w:color="000000"/>
            </w:tcBorders>
            <w:shd w:val="clear" w:color="auto" w:fill="auto"/>
            <w:vAlign w:val="center"/>
          </w:tcPr>
          <w:p w:rsidR="00712366" w:rsidP="00455D01" w14:paraId="6AE19D3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6C59131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1080" w:type="dxa"/>
            <w:tcBorders>
              <w:top w:val="nil"/>
              <w:left w:val="nil"/>
              <w:bottom w:val="single" w:sz="8" w:space="0" w:color="000000"/>
              <w:right w:val="single" w:sz="4" w:space="0" w:color="000000"/>
            </w:tcBorders>
            <w:shd w:val="clear" w:color="auto" w:fill="auto"/>
            <w:vAlign w:val="center"/>
          </w:tcPr>
          <w:p w:rsidR="00712366" w:rsidP="00455D01" w14:paraId="303EE1A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40</w:t>
            </w:r>
          </w:p>
        </w:tc>
        <w:tc>
          <w:tcPr>
            <w:tcW w:w="1350" w:type="dxa"/>
            <w:tcBorders>
              <w:top w:val="nil"/>
              <w:left w:val="nil"/>
              <w:bottom w:val="single" w:sz="8" w:space="0" w:color="000000"/>
              <w:right w:val="single" w:sz="4" w:space="0" w:color="000000"/>
            </w:tcBorders>
            <w:shd w:val="clear" w:color="auto" w:fill="auto"/>
            <w:vAlign w:val="center"/>
          </w:tcPr>
          <w:p w:rsidR="00712366" w:rsidP="00455D01" w14:paraId="7762A9D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400</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1F1A7A7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8" w:space="0" w:color="000000"/>
              <w:right w:val="single" w:sz="8" w:space="0" w:color="000000"/>
            </w:tcBorders>
            <w:shd w:val="clear" w:color="auto" w:fill="auto"/>
            <w:vAlign w:val="center"/>
          </w:tcPr>
          <w:p w:rsidR="00712366" w:rsidP="00455D01" w14:paraId="55D90DA8" w14:textId="540B6FD0">
            <w:pPr>
              <w:widowControl/>
              <w:jc w:val="center"/>
              <w:rPr>
                <w:rFonts w:ascii="Calibri" w:eastAsia="Calibri" w:hAnsi="Calibri" w:cs="Calibri"/>
                <w:color w:val="000000"/>
                <w:sz w:val="16"/>
                <w:szCs w:val="16"/>
              </w:rPr>
            </w:pPr>
            <w:r>
              <w:rPr>
                <w:rFonts w:ascii="Calibri" w:eastAsia="Calibri" w:hAnsi="Calibri" w:cs="Calibri"/>
                <w:color w:val="000000"/>
                <w:sz w:val="16"/>
                <w:szCs w:val="16"/>
              </w:rPr>
              <w:t>14,800</w:t>
            </w:r>
          </w:p>
        </w:tc>
      </w:tr>
      <w:tr w14:paraId="18B75AE0" w14:textId="77777777" w:rsidTr="00455D01">
        <w:tblPrEx>
          <w:tblW w:w="13065" w:type="dxa"/>
          <w:tblInd w:w="-25" w:type="dxa"/>
          <w:tblLayout w:type="fixed"/>
          <w:tblLook w:val="0400"/>
        </w:tblPrEx>
        <w:trPr>
          <w:trHeight w:val="315"/>
        </w:trPr>
        <w:tc>
          <w:tcPr>
            <w:tcW w:w="2355" w:type="dxa"/>
            <w:tcBorders>
              <w:top w:val="nil"/>
              <w:left w:val="single" w:sz="8" w:space="0" w:color="000000"/>
              <w:bottom w:val="single" w:sz="8" w:space="0" w:color="000000"/>
              <w:right w:val="single" w:sz="4" w:space="0" w:color="000000"/>
            </w:tcBorders>
            <w:shd w:val="clear" w:color="auto" w:fill="auto"/>
            <w:vAlign w:val="center"/>
          </w:tcPr>
          <w:p w:rsidR="00712366" w:rsidP="00455D01" w14:paraId="77A42BA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Research reports</w:t>
            </w:r>
          </w:p>
        </w:tc>
        <w:tc>
          <w:tcPr>
            <w:tcW w:w="1620" w:type="dxa"/>
            <w:tcBorders>
              <w:top w:val="nil"/>
              <w:left w:val="nil"/>
              <w:bottom w:val="single" w:sz="8" w:space="0" w:color="000000"/>
              <w:right w:val="single" w:sz="4" w:space="0" w:color="000000"/>
            </w:tcBorders>
            <w:shd w:val="clear" w:color="auto" w:fill="auto"/>
            <w:vAlign w:val="center"/>
          </w:tcPr>
          <w:p w:rsidR="00712366" w:rsidP="00455D01" w14:paraId="702AF30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Researcher / Biologist</w:t>
            </w:r>
          </w:p>
        </w:tc>
        <w:tc>
          <w:tcPr>
            <w:tcW w:w="1260" w:type="dxa"/>
            <w:tcBorders>
              <w:top w:val="nil"/>
              <w:left w:val="nil"/>
              <w:bottom w:val="single" w:sz="8" w:space="0" w:color="000000"/>
              <w:right w:val="single" w:sz="4" w:space="0" w:color="000000"/>
            </w:tcBorders>
            <w:shd w:val="clear" w:color="auto" w:fill="auto"/>
            <w:vAlign w:val="center"/>
          </w:tcPr>
          <w:p w:rsidR="00712366" w:rsidP="00455D01" w14:paraId="3AB9D97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1170" w:type="dxa"/>
            <w:tcBorders>
              <w:top w:val="nil"/>
              <w:left w:val="nil"/>
              <w:bottom w:val="single" w:sz="8" w:space="0" w:color="000000"/>
              <w:right w:val="single" w:sz="4" w:space="0" w:color="000000"/>
            </w:tcBorders>
            <w:shd w:val="clear" w:color="auto" w:fill="auto"/>
            <w:vAlign w:val="center"/>
          </w:tcPr>
          <w:p w:rsidR="00712366" w:rsidP="00455D01" w14:paraId="06D86B3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3795232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1080" w:type="dxa"/>
            <w:tcBorders>
              <w:top w:val="nil"/>
              <w:left w:val="nil"/>
              <w:bottom w:val="single" w:sz="8" w:space="0" w:color="000000"/>
              <w:right w:val="single" w:sz="4" w:space="0" w:color="000000"/>
            </w:tcBorders>
            <w:shd w:val="clear" w:color="auto" w:fill="auto"/>
            <w:vAlign w:val="center"/>
          </w:tcPr>
          <w:p w:rsidR="00712366" w:rsidP="00455D01" w14:paraId="6F72354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350" w:type="dxa"/>
            <w:tcBorders>
              <w:top w:val="nil"/>
              <w:left w:val="nil"/>
              <w:bottom w:val="single" w:sz="8" w:space="0" w:color="000000"/>
              <w:right w:val="single" w:sz="4" w:space="0" w:color="000000"/>
            </w:tcBorders>
            <w:shd w:val="clear" w:color="auto" w:fill="auto"/>
            <w:vAlign w:val="center"/>
          </w:tcPr>
          <w:p w:rsidR="00712366" w:rsidP="00455D01" w14:paraId="0B73DCA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1440" w:type="dxa"/>
            <w:tcBorders>
              <w:top w:val="nil"/>
              <w:left w:val="nil"/>
              <w:bottom w:val="single" w:sz="8" w:space="0" w:color="000000"/>
              <w:right w:val="single" w:sz="4" w:space="0" w:color="000000"/>
            </w:tcBorders>
            <w:shd w:val="clear" w:color="auto" w:fill="auto"/>
            <w:vAlign w:val="center"/>
          </w:tcPr>
          <w:p w:rsidR="00712366" w:rsidP="00455D01" w14:paraId="76E410E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37</w:t>
            </w:r>
          </w:p>
        </w:tc>
        <w:tc>
          <w:tcPr>
            <w:tcW w:w="1350" w:type="dxa"/>
            <w:tcBorders>
              <w:top w:val="nil"/>
              <w:left w:val="nil"/>
              <w:bottom w:val="single" w:sz="8" w:space="0" w:color="000000"/>
              <w:right w:val="single" w:sz="8" w:space="0" w:color="000000"/>
            </w:tcBorders>
            <w:shd w:val="clear" w:color="auto" w:fill="auto"/>
            <w:vAlign w:val="center"/>
          </w:tcPr>
          <w:p w:rsidR="00712366" w:rsidP="00455D01" w14:paraId="2668ACBB" w14:textId="28DD360F">
            <w:pPr>
              <w:widowControl/>
              <w:jc w:val="center"/>
              <w:rPr>
                <w:rFonts w:ascii="Calibri" w:eastAsia="Calibri" w:hAnsi="Calibri" w:cs="Calibri"/>
                <w:color w:val="000000"/>
                <w:sz w:val="16"/>
                <w:szCs w:val="16"/>
              </w:rPr>
            </w:pPr>
            <w:r>
              <w:rPr>
                <w:rFonts w:ascii="Calibri" w:eastAsia="Calibri" w:hAnsi="Calibri" w:cs="Calibri"/>
                <w:color w:val="000000"/>
                <w:sz w:val="16"/>
                <w:szCs w:val="16"/>
              </w:rPr>
              <w:t>1,850</w:t>
            </w:r>
          </w:p>
        </w:tc>
      </w:tr>
      <w:tr w14:paraId="3D1CB520" w14:textId="77777777" w:rsidTr="00455D01">
        <w:tblPrEx>
          <w:tblW w:w="13065" w:type="dxa"/>
          <w:tblInd w:w="-25" w:type="dxa"/>
          <w:tblLayout w:type="fixed"/>
          <w:tblLook w:val="0400"/>
        </w:tblPrEx>
        <w:trPr>
          <w:trHeight w:val="615"/>
        </w:trPr>
        <w:tc>
          <w:tcPr>
            <w:tcW w:w="2355" w:type="dxa"/>
            <w:tcBorders>
              <w:top w:val="nil"/>
              <w:left w:val="single" w:sz="8" w:space="0" w:color="000000"/>
              <w:bottom w:val="single" w:sz="8" w:space="0" w:color="000000"/>
              <w:right w:val="single" w:sz="8" w:space="0" w:color="000000"/>
            </w:tcBorders>
            <w:shd w:val="clear" w:color="auto" w:fill="DDEBF7"/>
            <w:vAlign w:val="center"/>
          </w:tcPr>
          <w:p w:rsidR="0087154E" w:rsidP="00455D01" w14:paraId="4D260E27" w14:textId="77777777">
            <w:pPr>
              <w:widowControl/>
              <w:rPr>
                <w:rFonts w:ascii="Calibri" w:eastAsia="Calibri" w:hAnsi="Calibri" w:cs="Calibri"/>
                <w:b/>
                <w:color w:val="000000"/>
              </w:rPr>
            </w:pPr>
            <w:r>
              <w:rPr>
                <w:rFonts w:ascii="Calibri" w:eastAsia="Calibri" w:hAnsi="Calibri" w:cs="Calibri"/>
                <w:b/>
                <w:color w:val="000000"/>
              </w:rPr>
              <w:t>Totals</w:t>
            </w:r>
          </w:p>
        </w:tc>
        <w:tc>
          <w:tcPr>
            <w:tcW w:w="1620" w:type="dxa"/>
            <w:tcBorders>
              <w:top w:val="nil"/>
              <w:left w:val="nil"/>
              <w:bottom w:val="single" w:sz="8" w:space="0" w:color="000000"/>
              <w:right w:val="single" w:sz="8" w:space="0" w:color="000000"/>
            </w:tcBorders>
            <w:shd w:val="clear" w:color="auto" w:fill="000000"/>
            <w:vAlign w:val="bottom"/>
          </w:tcPr>
          <w:p w:rsidR="0087154E" w14:paraId="47F9D2A6" w14:textId="77777777">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000000"/>
            <w:vAlign w:val="center"/>
          </w:tcPr>
          <w:p w:rsidR="0087154E" w:rsidP="00455D01" w14:paraId="5612F408" w14:textId="34A1540F">
            <w:pPr>
              <w:widowControl/>
              <w:jc w:val="center"/>
              <w:rPr>
                <w:rFonts w:ascii="Calibri" w:eastAsia="Calibri" w:hAnsi="Calibri" w:cs="Calibri"/>
                <w:b/>
                <w:color w:val="000000"/>
              </w:rPr>
            </w:pPr>
          </w:p>
        </w:tc>
        <w:tc>
          <w:tcPr>
            <w:tcW w:w="1170" w:type="dxa"/>
            <w:tcBorders>
              <w:top w:val="nil"/>
              <w:left w:val="nil"/>
              <w:bottom w:val="single" w:sz="8" w:space="0" w:color="000000"/>
              <w:right w:val="single" w:sz="8" w:space="0" w:color="000000"/>
            </w:tcBorders>
            <w:shd w:val="clear" w:color="auto" w:fill="000000"/>
            <w:vAlign w:val="center"/>
          </w:tcPr>
          <w:p w:rsidR="0087154E" w:rsidP="00455D01" w14:paraId="3028CCEB" w14:textId="2C2292EA">
            <w:pPr>
              <w:widowControl/>
              <w:jc w:val="center"/>
              <w:rPr>
                <w:rFonts w:ascii="Calibri" w:eastAsia="Calibri" w:hAnsi="Calibri" w:cs="Calibri"/>
                <w:b/>
                <w:color w:val="000000"/>
              </w:rPr>
            </w:pPr>
          </w:p>
        </w:tc>
        <w:tc>
          <w:tcPr>
            <w:tcW w:w="1440" w:type="dxa"/>
            <w:tcBorders>
              <w:top w:val="nil"/>
              <w:left w:val="nil"/>
              <w:bottom w:val="single" w:sz="8" w:space="0" w:color="000000"/>
              <w:right w:val="single" w:sz="8" w:space="0" w:color="000000"/>
            </w:tcBorders>
            <w:shd w:val="clear" w:color="auto" w:fill="DDEBF7"/>
            <w:vAlign w:val="center"/>
          </w:tcPr>
          <w:p w:rsidR="0087154E" w:rsidP="00455D01" w14:paraId="284A306F" w14:textId="602AAF46">
            <w:pPr>
              <w:widowControl/>
              <w:jc w:val="center"/>
              <w:rPr>
                <w:rFonts w:ascii="Calibri" w:eastAsia="Calibri" w:hAnsi="Calibri" w:cs="Calibri"/>
                <w:b/>
                <w:color w:val="000000"/>
              </w:rPr>
            </w:pPr>
            <w:r>
              <w:rPr>
                <w:rFonts w:ascii="Calibri" w:eastAsia="Calibri" w:hAnsi="Calibri" w:cs="Calibri"/>
                <w:b/>
                <w:color w:val="000000"/>
              </w:rPr>
              <w:t>47</w:t>
            </w:r>
          </w:p>
        </w:tc>
        <w:tc>
          <w:tcPr>
            <w:tcW w:w="1080" w:type="dxa"/>
            <w:tcBorders>
              <w:top w:val="nil"/>
              <w:left w:val="nil"/>
              <w:bottom w:val="single" w:sz="8" w:space="0" w:color="000000"/>
              <w:right w:val="single" w:sz="8" w:space="0" w:color="000000"/>
            </w:tcBorders>
            <w:shd w:val="clear" w:color="auto" w:fill="000000"/>
            <w:vAlign w:val="center"/>
          </w:tcPr>
          <w:p w:rsidR="0087154E" w:rsidP="00455D01" w14:paraId="4130DCBA" w14:textId="6092F7FB">
            <w:pPr>
              <w:widowControl/>
              <w:jc w:val="center"/>
              <w:rPr>
                <w:rFonts w:ascii="Calibri" w:eastAsia="Calibri" w:hAnsi="Calibri" w:cs="Calibri"/>
                <w:b/>
                <w:color w:val="000000"/>
              </w:rPr>
            </w:pPr>
          </w:p>
        </w:tc>
        <w:tc>
          <w:tcPr>
            <w:tcW w:w="1350" w:type="dxa"/>
            <w:tcBorders>
              <w:top w:val="nil"/>
              <w:left w:val="nil"/>
              <w:bottom w:val="single" w:sz="8" w:space="0" w:color="000000"/>
              <w:right w:val="single" w:sz="8" w:space="0" w:color="000000"/>
            </w:tcBorders>
            <w:shd w:val="clear" w:color="auto" w:fill="DDEBF7"/>
            <w:vAlign w:val="center"/>
          </w:tcPr>
          <w:p w:rsidR="0087154E" w:rsidP="00455D01" w14:paraId="0A90B393" w14:textId="01403313">
            <w:pPr>
              <w:widowControl/>
              <w:jc w:val="center"/>
              <w:rPr>
                <w:rFonts w:ascii="Calibri" w:eastAsia="Calibri" w:hAnsi="Calibri" w:cs="Calibri"/>
                <w:b/>
                <w:color w:val="000000"/>
              </w:rPr>
            </w:pPr>
            <w:r>
              <w:rPr>
                <w:rFonts w:ascii="Calibri" w:eastAsia="Calibri" w:hAnsi="Calibri" w:cs="Calibri"/>
                <w:b/>
                <w:color w:val="000000"/>
              </w:rPr>
              <w:t>1510</w:t>
            </w:r>
          </w:p>
        </w:tc>
        <w:tc>
          <w:tcPr>
            <w:tcW w:w="1440" w:type="dxa"/>
            <w:tcBorders>
              <w:top w:val="nil"/>
              <w:left w:val="nil"/>
              <w:bottom w:val="single" w:sz="8" w:space="0" w:color="000000"/>
              <w:right w:val="single" w:sz="8" w:space="0" w:color="000000"/>
            </w:tcBorders>
            <w:shd w:val="clear" w:color="auto" w:fill="000000"/>
            <w:vAlign w:val="center"/>
          </w:tcPr>
          <w:p w:rsidR="0087154E" w:rsidP="00455D01" w14:paraId="6C45C65F" w14:textId="16F4200B">
            <w:pPr>
              <w:widowControl/>
              <w:jc w:val="center"/>
              <w:rPr>
                <w:rFonts w:ascii="Calibri" w:eastAsia="Calibri" w:hAnsi="Calibri" w:cs="Calibri"/>
                <w:b/>
                <w:color w:val="000000"/>
              </w:rPr>
            </w:pPr>
            <w:r>
              <w:rPr>
                <w:rFonts w:ascii="Calibri" w:eastAsia="Calibri" w:hAnsi="Calibri" w:cs="Calibri"/>
                <w:b/>
                <w:color w:val="000000"/>
              </w:rPr>
              <w:t>3</w:t>
            </w:r>
          </w:p>
        </w:tc>
        <w:tc>
          <w:tcPr>
            <w:tcW w:w="1350" w:type="dxa"/>
            <w:tcBorders>
              <w:top w:val="nil"/>
              <w:left w:val="nil"/>
              <w:bottom w:val="single" w:sz="8" w:space="0" w:color="000000"/>
              <w:right w:val="single" w:sz="8" w:space="0" w:color="000000"/>
            </w:tcBorders>
            <w:shd w:val="clear" w:color="auto" w:fill="DDEBF7"/>
            <w:vAlign w:val="center"/>
          </w:tcPr>
          <w:p w:rsidR="0087154E" w:rsidP="00455D01" w14:paraId="4BD81EA6" w14:textId="2E7E0C0E">
            <w:pPr>
              <w:widowControl/>
              <w:jc w:val="center"/>
              <w:rPr>
                <w:rFonts w:ascii="Calibri" w:eastAsia="Calibri" w:hAnsi="Calibri" w:cs="Calibri"/>
                <w:b/>
                <w:color w:val="000000"/>
              </w:rPr>
            </w:pPr>
            <w:r>
              <w:rPr>
                <w:rFonts w:ascii="Calibri" w:eastAsia="Calibri" w:hAnsi="Calibri" w:cs="Calibri"/>
                <w:b/>
                <w:color w:val="000000"/>
              </w:rPr>
              <w:t>55,870</w:t>
            </w:r>
          </w:p>
        </w:tc>
      </w:tr>
    </w:tbl>
    <w:p w:rsidR="0087154E" w14:paraId="115D58E8" w14:textId="77777777">
      <w:pPr>
        <w:spacing w:line="259" w:lineRule="auto"/>
        <w:rPr>
          <w:b/>
          <w:color w:val="FF0000"/>
        </w:rPr>
      </w:pPr>
    </w:p>
    <w:p w:rsidR="00712366" w:rsidP="009547F6" w14:paraId="6476910F" w14:textId="6CB33A83">
      <w:pPr>
        <w:spacing w:line="259" w:lineRule="auto"/>
      </w:pPr>
      <w:r>
        <w:t>The hourly wage rate of $37 per hour is based on the m</w:t>
      </w:r>
      <w:r>
        <w:t xml:space="preserve">ean hourly wage rates from </w:t>
      </w:r>
      <w:r>
        <w:t xml:space="preserve">the </w:t>
      </w:r>
      <w:r>
        <w:t>U.S. Bureau of Labor Statistics</w:t>
      </w:r>
      <w:r w:rsidR="00455D01">
        <w:t xml:space="preserve"> (</w:t>
      </w:r>
      <w:hyperlink r:id="rId10">
        <w:r w:rsidR="00455D01">
          <w:rPr>
            <w:b/>
            <w:color w:val="0563C1"/>
            <w:u w:val="single"/>
          </w:rPr>
          <w:t>https://www.bls.gov/bls/blswage.htm</w:t>
        </w:r>
      </w:hyperlink>
      <w:r w:rsidR="00455D01">
        <w:rPr>
          <w:b/>
          <w:color w:val="0563C1"/>
          <w:u w:val="single"/>
        </w:rPr>
        <w:t>,</w:t>
      </w:r>
      <w:r w:rsidR="00455D01">
        <w:t xml:space="preserve"> a</w:t>
      </w:r>
      <w:r>
        <w:t>ccessed on October 25, 2022) f</w:t>
      </w:r>
      <w:r w:rsidR="008C5726">
        <w:t>or the following two occupation codes</w:t>
      </w:r>
      <w:r>
        <w:t xml:space="preserve">: (See </w:t>
      </w:r>
      <w:r>
        <w:t>May 2021 State Occupational Employment and Wage Estimates for California</w:t>
      </w:r>
      <w:r>
        <w:t>; rates are g</w:t>
      </w:r>
      <w:r>
        <w:t xml:space="preserve">enerally representative of </w:t>
      </w:r>
      <w:r>
        <w:t xml:space="preserve">hourly wages for California, Oregon, and Washington states) </w:t>
      </w:r>
    </w:p>
    <w:p w:rsidR="00712366" w:rsidP="009547F6" w14:paraId="33A7E71C" w14:textId="6A927604">
      <w:pPr>
        <w:pStyle w:val="ListParagraph"/>
        <w:numPr>
          <w:ilvl w:val="0"/>
          <w:numId w:val="16"/>
        </w:numPr>
        <w:spacing w:line="259" w:lineRule="auto"/>
      </w:pPr>
      <w:r>
        <w:t>19-1023 Zoologists and Wildlife Biologists:  $37.69 per hour</w:t>
      </w:r>
      <w:r w:rsidR="009547F6">
        <w:t>.</w:t>
      </w:r>
    </w:p>
    <w:p w:rsidR="00712366" w:rsidP="009547F6" w14:paraId="4B59DDE9" w14:textId="0FC66EAB">
      <w:pPr>
        <w:pStyle w:val="ListParagraph"/>
        <w:numPr>
          <w:ilvl w:val="0"/>
          <w:numId w:val="16"/>
        </w:numPr>
        <w:spacing w:line="259" w:lineRule="auto"/>
        <w:sectPr w:rsidSect="00C70356">
          <w:pgSz w:w="15840" w:h="12240" w:orient="landscape"/>
          <w:pgMar w:top="640" w:right="1080" w:bottom="1200" w:left="1080" w:header="0" w:footer="1014" w:gutter="0"/>
          <w:cols w:space="720"/>
          <w:docGrid w:linePitch="326"/>
        </w:sectPr>
      </w:pPr>
      <w:r>
        <w:t>19-1031 Conservation Scientists:  $36.57 per hour</w:t>
      </w:r>
      <w:r w:rsidR="009547F6">
        <w:t>.</w:t>
      </w:r>
    </w:p>
    <w:p w:rsidR="0087154E" w14:paraId="51A30B1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87154E" w:rsidRPr="008C5726" w14:paraId="1546DCEA" w14:textId="1EEC35C6">
      <w:pPr>
        <w:pBdr>
          <w:top w:val="nil"/>
          <w:left w:val="nil"/>
          <w:bottom w:val="nil"/>
          <w:right w:val="nil"/>
          <w:between w:val="nil"/>
        </w:pBdr>
        <w:spacing w:before="161" w:line="259" w:lineRule="auto"/>
      </w:pPr>
      <w:r w:rsidRPr="008C5726">
        <w:t>There are no capital/start-up or ongoing operation/maintenance costs associated wi</w:t>
      </w:r>
      <w:r w:rsidRPr="008C5726" w:rsidR="008C5726">
        <w:t xml:space="preserve">th this information collection. The recordkeeping associated with this information collection involves maintaining electronic copies of the information submitted and is encompassed in the estimated hour burdens summarized under Question 12.  </w:t>
      </w:r>
    </w:p>
    <w:p w:rsidR="0087154E" w14:paraId="431F4412" w14:textId="77777777">
      <w:pPr>
        <w:pBdr>
          <w:top w:val="nil"/>
          <w:left w:val="nil"/>
          <w:bottom w:val="nil"/>
          <w:right w:val="nil"/>
          <w:between w:val="nil"/>
        </w:pBdr>
        <w:spacing w:before="7"/>
        <w:rPr>
          <w:b/>
          <w:color w:val="000000"/>
        </w:rPr>
      </w:pPr>
    </w:p>
    <w:p w:rsidR="0087154E" w14:paraId="2183515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7154E" w14:paraId="3A0E2CCB" w14:textId="77777777">
      <w:pPr>
        <w:pBdr>
          <w:top w:val="nil"/>
          <w:left w:val="nil"/>
          <w:bottom w:val="nil"/>
          <w:right w:val="nil"/>
          <w:between w:val="nil"/>
        </w:pBdr>
        <w:spacing w:before="9" w:after="1"/>
        <w:rPr>
          <w:b/>
          <w:color w:val="000000"/>
        </w:rPr>
      </w:pPr>
    </w:p>
    <w:tbl>
      <w:tblPr>
        <w:tblStyle w:val="a2"/>
        <w:tblW w:w="8240" w:type="dxa"/>
        <w:tblInd w:w="-25" w:type="dxa"/>
        <w:tblLayout w:type="fixed"/>
        <w:tblLook w:val="0400"/>
      </w:tblPr>
      <w:tblGrid>
        <w:gridCol w:w="2280"/>
        <w:gridCol w:w="1120"/>
        <w:gridCol w:w="1140"/>
        <w:gridCol w:w="1120"/>
        <w:gridCol w:w="1280"/>
        <w:gridCol w:w="1300"/>
      </w:tblGrid>
      <w:tr w14:paraId="3396E882"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87154E" w14:paraId="4CD92E7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87154E" w14:paraId="42D8EA2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87154E" w14:paraId="169B4F8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87154E" w14:paraId="5F46CFD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87154E" w14:paraId="3A9FAD1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87154E" w14:paraId="1ABF2FB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17D9A730"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87154E" w14:paraId="3F629952"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87154E" w14:paraId="44A0AD50" w14:textId="5FD73967">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B31D7E">
              <w:rPr>
                <w:rFonts w:ascii="Calibri" w:eastAsia="Calibri" w:hAnsi="Calibri" w:cs="Calibri"/>
                <w:color w:val="000000"/>
                <w:sz w:val="16"/>
                <w:szCs w:val="16"/>
              </w:rPr>
              <w:t>ZP3/1</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87154E" w14:paraId="6325BDB0" w14:textId="5F0365E6">
            <w:pPr>
              <w:widowControl/>
              <w:rPr>
                <w:rFonts w:ascii="Calibri" w:eastAsia="Calibri" w:hAnsi="Calibri" w:cs="Calibri"/>
                <w:color w:val="000000"/>
                <w:sz w:val="16"/>
                <w:szCs w:val="16"/>
              </w:rPr>
            </w:pPr>
            <w:r>
              <w:rPr>
                <w:rFonts w:ascii="Calibri" w:eastAsia="Calibri" w:hAnsi="Calibri" w:cs="Calibri"/>
                <w:color w:val="000000"/>
                <w:sz w:val="16"/>
                <w:szCs w:val="16"/>
              </w:rPr>
              <w:t>$37/hr for 721 hours</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87154E" w14:paraId="39EAEACB" w14:textId="386D66CD">
            <w:pPr>
              <w:widowControl/>
              <w:rPr>
                <w:rFonts w:ascii="Calibri" w:eastAsia="Calibri" w:hAnsi="Calibri" w:cs="Calibri"/>
                <w:color w:val="000000"/>
                <w:sz w:val="16"/>
                <w:szCs w:val="16"/>
              </w:rPr>
            </w:pPr>
            <w:r>
              <w:rPr>
                <w:rFonts w:ascii="Calibri" w:eastAsia="Calibri" w:hAnsi="Calibri" w:cs="Calibri"/>
                <w:color w:val="000000"/>
                <w:sz w:val="16"/>
                <w:szCs w:val="16"/>
              </w:rPr>
              <w:t>100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87154E" w14:paraId="043E502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87154E" w14:paraId="6594C86B" w14:textId="15B0A70C">
            <w:pPr>
              <w:widowControl/>
              <w:rPr>
                <w:rFonts w:ascii="Calibri" w:eastAsia="Calibri" w:hAnsi="Calibri" w:cs="Calibri"/>
                <w:color w:val="000000"/>
                <w:sz w:val="16"/>
                <w:szCs w:val="16"/>
              </w:rPr>
            </w:pPr>
            <w:r>
              <w:rPr>
                <w:rFonts w:ascii="Calibri" w:eastAsia="Calibri" w:hAnsi="Calibri" w:cs="Calibri"/>
                <w:color w:val="000000"/>
                <w:sz w:val="16"/>
                <w:szCs w:val="16"/>
              </w:rPr>
              <w:t>$26,677</w:t>
            </w:r>
          </w:p>
        </w:tc>
      </w:tr>
      <w:tr w14:paraId="604DDF69"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87154E" w14:paraId="13EF88A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87154E" w14:paraId="675A0239" w14:textId="511F7DE8">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B31D7E">
              <w:rPr>
                <w:rFonts w:ascii="Calibri" w:eastAsia="Calibri" w:hAnsi="Calibri" w:cs="Calibri"/>
                <w:color w:val="000000"/>
                <w:sz w:val="16"/>
                <w:szCs w:val="16"/>
              </w:rPr>
              <w:t>ZP4 or 5</w:t>
            </w:r>
          </w:p>
        </w:tc>
        <w:tc>
          <w:tcPr>
            <w:tcW w:w="1140" w:type="dxa"/>
            <w:tcBorders>
              <w:top w:val="nil"/>
              <w:left w:val="nil"/>
              <w:bottom w:val="single" w:sz="4" w:space="0" w:color="000000"/>
              <w:right w:val="single" w:sz="4" w:space="0" w:color="000000"/>
            </w:tcBorders>
            <w:shd w:val="clear" w:color="auto" w:fill="auto"/>
            <w:vAlign w:val="bottom"/>
          </w:tcPr>
          <w:p w:rsidR="0087154E" w14:paraId="03142E36" w14:textId="7F6E1D5D">
            <w:pPr>
              <w:widowControl/>
              <w:rPr>
                <w:rFonts w:ascii="Calibri" w:eastAsia="Calibri" w:hAnsi="Calibri" w:cs="Calibri"/>
                <w:color w:val="000000"/>
                <w:sz w:val="16"/>
                <w:szCs w:val="16"/>
              </w:rPr>
            </w:pPr>
            <w:r>
              <w:rPr>
                <w:rFonts w:ascii="Calibri" w:eastAsia="Calibri" w:hAnsi="Calibri" w:cs="Calibri"/>
                <w:color w:val="000000"/>
                <w:sz w:val="16"/>
                <w:szCs w:val="16"/>
              </w:rPr>
              <w:t>$40/hr for 64 hours</w:t>
            </w:r>
          </w:p>
        </w:tc>
        <w:tc>
          <w:tcPr>
            <w:tcW w:w="1120" w:type="dxa"/>
            <w:tcBorders>
              <w:top w:val="nil"/>
              <w:left w:val="nil"/>
              <w:bottom w:val="single" w:sz="4" w:space="0" w:color="000000"/>
              <w:right w:val="single" w:sz="4" w:space="0" w:color="000000"/>
            </w:tcBorders>
            <w:shd w:val="clear" w:color="auto" w:fill="auto"/>
            <w:vAlign w:val="bottom"/>
          </w:tcPr>
          <w:p w:rsidR="0087154E" w14:paraId="383D7781" w14:textId="146EA11E">
            <w:pPr>
              <w:widowControl/>
              <w:rPr>
                <w:rFonts w:ascii="Calibri" w:eastAsia="Calibri" w:hAnsi="Calibri" w:cs="Calibri"/>
                <w:color w:val="000000"/>
                <w:sz w:val="16"/>
                <w:szCs w:val="16"/>
              </w:rPr>
            </w:pPr>
            <w:r>
              <w:rPr>
                <w:rFonts w:ascii="Calibri" w:eastAsia="Calibri" w:hAnsi="Calibri" w:cs="Calibri"/>
                <w:color w:val="000000"/>
                <w:sz w:val="16"/>
                <w:szCs w:val="16"/>
              </w:rPr>
              <w:t>100</w:t>
            </w:r>
          </w:p>
        </w:tc>
        <w:tc>
          <w:tcPr>
            <w:tcW w:w="1280" w:type="dxa"/>
            <w:tcBorders>
              <w:top w:val="nil"/>
              <w:left w:val="nil"/>
              <w:bottom w:val="single" w:sz="4" w:space="0" w:color="000000"/>
              <w:right w:val="single" w:sz="4" w:space="0" w:color="000000"/>
            </w:tcBorders>
            <w:shd w:val="clear" w:color="auto" w:fill="808080"/>
            <w:vAlign w:val="bottom"/>
          </w:tcPr>
          <w:p w:rsidR="0087154E" w14:paraId="291E57F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87154E" w14:paraId="0C20C5B8" w14:textId="48F56C52">
            <w:pPr>
              <w:widowControl/>
              <w:rPr>
                <w:rFonts w:ascii="Calibri" w:eastAsia="Calibri" w:hAnsi="Calibri" w:cs="Calibri"/>
                <w:color w:val="000000"/>
                <w:sz w:val="16"/>
                <w:szCs w:val="16"/>
              </w:rPr>
            </w:pPr>
            <w:r>
              <w:rPr>
                <w:rFonts w:ascii="Calibri" w:eastAsia="Calibri" w:hAnsi="Calibri" w:cs="Calibri"/>
                <w:color w:val="000000"/>
                <w:sz w:val="16"/>
                <w:szCs w:val="16"/>
              </w:rPr>
              <w:t>$2,560</w:t>
            </w:r>
          </w:p>
        </w:tc>
      </w:tr>
      <w:tr w14:paraId="3B6218D4"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87154E" w14:paraId="2680A87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30CCD27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87154E" w14:paraId="3CB2561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209DF27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87154E" w14:paraId="666CBDD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87154E" w14:paraId="74BABFE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3A52680B"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87154E" w14:paraId="3D5F512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0CB96B1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87154E" w14:paraId="404CFE2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64BE367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87154E" w14:paraId="703C647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87154E" w14:paraId="57E654D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329934A4"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87154E" w14:paraId="066E4BF6"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87154E" w14:paraId="5064C74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87154E" w14:paraId="453EB1E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113B0DE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87154E" w14:paraId="219253B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87154E" w14:paraId="05A1FDF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09B2CD6D"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87154E" w14:paraId="3A8542B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255DE0E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87154E" w14:paraId="1D89665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3B2702F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87154E" w14:paraId="62A8EFB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87154E" w14:paraId="0601AF6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7C74DE0B"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87154E" w14:paraId="2B7F7B4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54A8505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87154E" w14:paraId="581F10B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87154E" w14:paraId="3AD21B8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87154E" w14:paraId="297696A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87154E" w14:paraId="457D8C1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68E18EC9"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87154E" w14:paraId="2A773DF7"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87154E" w14:paraId="3B90EAD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87154E" w14:paraId="418E509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87154E" w14:paraId="0BB573F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87154E" w14:paraId="4B2E816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87154E" w14:paraId="5228235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69263D4B" w14:textId="77777777">
        <w:tblPrEx>
          <w:tblW w:w="824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87154E" w14:paraId="302F935B"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87154E" w14:paraId="2C34D7D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87154E" w14:paraId="0248F50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87154E" w14:paraId="43EDB21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87154E" w14:paraId="10D4EE7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87154E" w14:paraId="53CC8C1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02D8F452"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87154E" w14:paraId="7B0A4D4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87154E" w14:paraId="554346E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87154E" w14:paraId="1103E90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87154E" w14:paraId="5E108F7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87154E" w14:paraId="3C5C5F6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87154E" w14:paraId="3EC41150" w14:textId="3F8DCEFF">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B31D7E">
              <w:rPr>
                <w:rFonts w:ascii="Calibri" w:eastAsia="Calibri" w:hAnsi="Calibri" w:cs="Calibri"/>
                <w:color w:val="000000"/>
                <w:sz w:val="16"/>
                <w:szCs w:val="16"/>
              </w:rPr>
              <w:t>$29,237</w:t>
            </w:r>
          </w:p>
        </w:tc>
      </w:tr>
    </w:tbl>
    <w:p w:rsidR="0087154E" w14:paraId="1D3D1EFE" w14:textId="33626C74">
      <w:pPr>
        <w:pBdr>
          <w:top w:val="nil"/>
          <w:left w:val="nil"/>
          <w:bottom w:val="nil"/>
          <w:right w:val="nil"/>
          <w:between w:val="nil"/>
        </w:pBdr>
        <w:spacing w:before="9" w:after="1"/>
        <w:rPr>
          <w:b/>
          <w:color w:val="000000"/>
        </w:rPr>
      </w:pPr>
    </w:p>
    <w:p w:rsidR="0087154E" w14:paraId="4CDAB3F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87154E" w14:paraId="6E2C0147" w14:textId="77777777">
      <w:pPr>
        <w:pBdr>
          <w:top w:val="nil"/>
          <w:left w:val="nil"/>
          <w:bottom w:val="nil"/>
          <w:right w:val="nil"/>
          <w:between w:val="nil"/>
        </w:pBdr>
        <w:spacing w:before="7"/>
        <w:rPr>
          <w:b/>
          <w:color w:val="000000"/>
        </w:rPr>
      </w:pPr>
    </w:p>
    <w:tbl>
      <w:tblPr>
        <w:tblStyle w:val="a3"/>
        <w:tblW w:w="9900" w:type="dxa"/>
        <w:tblInd w:w="-460" w:type="dxa"/>
        <w:tblLayout w:type="fixed"/>
        <w:tblLook w:val="0400"/>
      </w:tblPr>
      <w:tblGrid>
        <w:gridCol w:w="3150"/>
        <w:gridCol w:w="1080"/>
        <w:gridCol w:w="900"/>
        <w:gridCol w:w="900"/>
        <w:gridCol w:w="900"/>
        <w:gridCol w:w="900"/>
        <w:gridCol w:w="919"/>
        <w:gridCol w:w="1151"/>
      </w:tblGrid>
      <w:tr w14:paraId="721BB74F" w14:textId="77777777" w:rsidTr="003577A5">
        <w:tblPrEx>
          <w:tblW w:w="9900" w:type="dxa"/>
          <w:tblInd w:w="-460" w:type="dxa"/>
          <w:tblLayout w:type="fixed"/>
          <w:tblLook w:val="0400"/>
        </w:tblPrEx>
        <w:trPr>
          <w:trHeight w:val="315"/>
        </w:trPr>
        <w:tc>
          <w:tcPr>
            <w:tcW w:w="315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7154E" w14:paraId="2939EEF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80" w:type="dxa"/>
            <w:gridSpan w:val="2"/>
            <w:tcBorders>
              <w:top w:val="single" w:sz="8" w:space="0" w:color="000000"/>
              <w:left w:val="nil"/>
              <w:bottom w:val="single" w:sz="8" w:space="0" w:color="000000"/>
              <w:right w:val="single" w:sz="8" w:space="0" w:color="000000"/>
            </w:tcBorders>
            <w:shd w:val="clear" w:color="auto" w:fill="5B9BD5"/>
            <w:vAlign w:val="center"/>
          </w:tcPr>
          <w:p w:rsidR="0087154E" w14:paraId="2E9047A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87154E" w14:paraId="7018A82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1819" w:type="dxa"/>
            <w:gridSpan w:val="2"/>
            <w:tcBorders>
              <w:top w:val="single" w:sz="8" w:space="0" w:color="000000"/>
              <w:left w:val="nil"/>
              <w:bottom w:val="single" w:sz="8" w:space="0" w:color="000000"/>
              <w:right w:val="single" w:sz="8" w:space="0" w:color="000000"/>
            </w:tcBorders>
            <w:shd w:val="clear" w:color="auto" w:fill="5B9BD5"/>
            <w:vAlign w:val="center"/>
          </w:tcPr>
          <w:p w:rsidR="0087154E" w14:paraId="7CF8CB7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1151"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7154E" w14:paraId="6FA3986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3D7DA525" w14:textId="77777777" w:rsidTr="003577A5">
        <w:tblPrEx>
          <w:tblW w:w="9900" w:type="dxa"/>
          <w:tblInd w:w="-460" w:type="dxa"/>
          <w:tblLayout w:type="fixed"/>
          <w:tblLook w:val="0400"/>
        </w:tblPrEx>
        <w:trPr>
          <w:trHeight w:val="690"/>
        </w:trPr>
        <w:tc>
          <w:tcPr>
            <w:tcW w:w="315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7154E" w14:paraId="2C543B93"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87154E" w14:paraId="367E433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87154E" w14:paraId="24E502B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87154E" w14:paraId="00A55A9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87154E" w14:paraId="6290B98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87154E" w14:paraId="652A611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19" w:type="dxa"/>
            <w:tcBorders>
              <w:top w:val="nil"/>
              <w:left w:val="nil"/>
              <w:bottom w:val="single" w:sz="8" w:space="0" w:color="000000"/>
              <w:right w:val="single" w:sz="8" w:space="0" w:color="000000"/>
            </w:tcBorders>
            <w:shd w:val="clear" w:color="auto" w:fill="FBE4D5"/>
            <w:vAlign w:val="center"/>
          </w:tcPr>
          <w:p w:rsidR="0087154E" w14:paraId="25DC582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15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7154E" w14:paraId="112E6FA4"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4A1713DF"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1835499F" w14:textId="51167946">
            <w:pPr>
              <w:widowControl/>
              <w:rPr>
                <w:rFonts w:ascii="Calibri" w:eastAsia="Calibri" w:hAnsi="Calibri" w:cs="Calibri"/>
                <w:color w:val="000000"/>
                <w:sz w:val="16"/>
                <w:szCs w:val="16"/>
              </w:rPr>
            </w:pPr>
            <w:r>
              <w:rPr>
                <w:rFonts w:ascii="Calibri" w:eastAsia="Calibri" w:hAnsi="Calibri" w:cs="Calibri"/>
                <w:color w:val="000000"/>
                <w:sz w:val="16"/>
                <w:szCs w:val="16"/>
              </w:rPr>
              <w:t>Scientific research or monitoring exception</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4F560FAF" w14:textId="26F8F99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33A48BE2" w14:textId="1F6056C5">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4A9738BD" w14:textId="7B9EBE72">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26688A1F" w14:textId="2846E5FD">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13878A7A" w14:textId="2E4D56E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51D81B2C" w14:textId="7D789C5C">
            <w:pPr>
              <w:widowControl/>
              <w:jc w:val="center"/>
              <w:rPr>
                <w:rFonts w:ascii="Calibri" w:eastAsia="Calibri" w:hAnsi="Calibri" w:cs="Calibri"/>
                <w:color w:val="000000"/>
                <w:sz w:val="16"/>
                <w:szCs w:val="16"/>
              </w:rPr>
            </w:pPr>
            <w:r>
              <w:rPr>
                <w:rFonts w:ascii="Calibri" w:eastAsia="Calibri" w:hAnsi="Calibri" w:cs="Calibri"/>
                <w:color w:val="000000"/>
                <w:sz w:val="16"/>
                <w:szCs w:val="16"/>
              </w:rPr>
              <w:t>200</w:t>
            </w:r>
          </w:p>
        </w:tc>
        <w:tc>
          <w:tcPr>
            <w:tcW w:w="1151" w:type="dxa"/>
            <w:tcBorders>
              <w:top w:val="nil"/>
              <w:left w:val="nil"/>
              <w:bottom w:val="dotted" w:sz="4" w:space="0" w:color="000000"/>
              <w:right w:val="single" w:sz="8" w:space="0" w:color="000000"/>
            </w:tcBorders>
            <w:shd w:val="clear" w:color="auto" w:fill="auto"/>
            <w:vAlign w:val="center"/>
          </w:tcPr>
          <w:p w:rsidR="004A59BA" w:rsidP="004A59BA" w14:paraId="6A97514E" w14:textId="5EA441FF">
            <w:pPr>
              <w:widowControl/>
              <w:rPr>
                <w:rFonts w:ascii="Calibri" w:eastAsia="Calibri" w:hAnsi="Calibri" w:cs="Calibri"/>
                <w:color w:val="000000"/>
                <w:sz w:val="16"/>
                <w:szCs w:val="16"/>
              </w:rPr>
            </w:pPr>
            <w:r>
              <w:rPr>
                <w:rFonts w:ascii="Calibri" w:eastAsia="Calibri" w:hAnsi="Calibri" w:cs="Calibri"/>
                <w:color w:val="000000"/>
                <w:sz w:val="16"/>
                <w:szCs w:val="16"/>
              </w:rPr>
              <w:t>No change</w:t>
            </w:r>
          </w:p>
        </w:tc>
      </w:tr>
      <w:tr w14:paraId="3A31667D"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7262397C" w14:textId="72562628">
            <w:pPr>
              <w:widowControl/>
              <w:rPr>
                <w:rFonts w:ascii="Calibri" w:eastAsia="Calibri" w:hAnsi="Calibri" w:cs="Calibri"/>
                <w:color w:val="000000"/>
                <w:sz w:val="16"/>
                <w:szCs w:val="16"/>
              </w:rPr>
            </w:pPr>
            <w:r>
              <w:rPr>
                <w:rFonts w:ascii="Calibri" w:eastAsia="Calibri" w:hAnsi="Calibri" w:cs="Calibri"/>
                <w:color w:val="000000"/>
                <w:sz w:val="16"/>
                <w:szCs w:val="16"/>
              </w:rPr>
              <w:t>Scientific research or monitoring exception report</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3D444455" w14:textId="6A4F3EA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7EFE3523" w14:textId="2A0B290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79496BC2" w14:textId="717ADE4F">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10B7EEFC" w14:textId="57279CD8">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7B57F69C" w14:textId="7D71C47C">
            <w:pPr>
              <w:widowControl/>
              <w:jc w:val="center"/>
              <w:rPr>
                <w:rFonts w:ascii="Calibri" w:eastAsia="Calibri" w:hAnsi="Calibri" w:cs="Calibri"/>
                <w:color w:val="000000"/>
                <w:sz w:val="16"/>
                <w:szCs w:val="16"/>
              </w:rPr>
            </w:pPr>
            <w:r>
              <w:rPr>
                <w:rFonts w:ascii="Calibri" w:eastAsia="Calibri" w:hAnsi="Calibri" w:cs="Calibri"/>
                <w:color w:val="000000"/>
                <w:sz w:val="16"/>
                <w:szCs w:val="16"/>
              </w:rPr>
              <w:t>25</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789CC04B" w14:textId="5E8C045A">
            <w:pPr>
              <w:widowControl/>
              <w:jc w:val="center"/>
              <w:rPr>
                <w:rFonts w:ascii="Calibri" w:eastAsia="Calibri" w:hAnsi="Calibri" w:cs="Calibri"/>
                <w:color w:val="000000"/>
                <w:sz w:val="16"/>
                <w:szCs w:val="16"/>
              </w:rPr>
            </w:pPr>
            <w:r>
              <w:rPr>
                <w:rFonts w:ascii="Calibri" w:eastAsia="Calibri" w:hAnsi="Calibri" w:cs="Calibri"/>
                <w:color w:val="000000"/>
                <w:sz w:val="16"/>
                <w:szCs w:val="16"/>
              </w:rPr>
              <w:t>25</w:t>
            </w:r>
          </w:p>
        </w:tc>
        <w:tc>
          <w:tcPr>
            <w:tcW w:w="1151" w:type="dxa"/>
            <w:tcBorders>
              <w:top w:val="nil"/>
              <w:left w:val="nil"/>
              <w:bottom w:val="dotted" w:sz="4" w:space="0" w:color="000000"/>
              <w:right w:val="single" w:sz="8" w:space="0" w:color="000000"/>
            </w:tcBorders>
            <w:shd w:val="clear" w:color="auto" w:fill="auto"/>
          </w:tcPr>
          <w:p w:rsidR="004A59BA" w:rsidP="004A59BA" w14:paraId="308A06BE" w14:textId="7C528CE7">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12D3513F"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14359D7C" w14:textId="7D6F2EDD">
            <w:pPr>
              <w:widowControl/>
              <w:rPr>
                <w:rFonts w:ascii="Calibri" w:eastAsia="Calibri" w:hAnsi="Calibri" w:cs="Calibri"/>
                <w:color w:val="000000"/>
                <w:sz w:val="16"/>
                <w:szCs w:val="16"/>
              </w:rPr>
            </w:pPr>
            <w:r>
              <w:rPr>
                <w:rFonts w:ascii="Calibri" w:eastAsia="Calibri" w:hAnsi="Calibri" w:cs="Calibri"/>
                <w:color w:val="000000"/>
                <w:sz w:val="16"/>
                <w:szCs w:val="16"/>
              </w:rPr>
              <w:t>Emergency fish rescue reports</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67E749E1" w14:textId="582DB531">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2F0A208B" w14:textId="51D0B443">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328F4C3D" w14:textId="1523928F">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3E6C8E89" w14:textId="4215911F">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65A4F775" w14:textId="5B2DAB2B">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04B62D9B" w14:textId="77EBA6CD">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151" w:type="dxa"/>
            <w:tcBorders>
              <w:top w:val="nil"/>
              <w:left w:val="nil"/>
              <w:bottom w:val="dotted" w:sz="4" w:space="0" w:color="000000"/>
              <w:right w:val="single" w:sz="8" w:space="0" w:color="000000"/>
            </w:tcBorders>
            <w:shd w:val="clear" w:color="auto" w:fill="auto"/>
          </w:tcPr>
          <w:p w:rsidR="004A59BA" w:rsidP="004A59BA" w14:paraId="5C004E93" w14:textId="0BC7AE00">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478B89D3"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4FE08A52" w14:textId="36A110A4">
            <w:pPr>
              <w:widowControl/>
              <w:rPr>
                <w:rFonts w:ascii="Calibri" w:eastAsia="Calibri" w:hAnsi="Calibri" w:cs="Calibri"/>
                <w:color w:val="000000"/>
                <w:sz w:val="16"/>
                <w:szCs w:val="16"/>
              </w:rPr>
            </w:pPr>
            <w:r>
              <w:rPr>
                <w:rFonts w:ascii="Calibri" w:eastAsia="Calibri" w:hAnsi="Calibri" w:cs="Calibri"/>
                <w:color w:val="000000"/>
                <w:sz w:val="16"/>
                <w:szCs w:val="16"/>
              </w:rPr>
              <w:t>Habitat restoration exception</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74273A9C" w14:textId="76C9894C">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2000762C" w14:textId="76FAD300">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4CC2476E" w14:textId="554B364A">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543B31CF" w14:textId="0533AACA">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7DF2ACC9" w14:textId="345C8003">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61DB8C02" w14:textId="7475BACD">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151" w:type="dxa"/>
            <w:tcBorders>
              <w:top w:val="nil"/>
              <w:left w:val="nil"/>
              <w:bottom w:val="dotted" w:sz="4" w:space="0" w:color="000000"/>
              <w:right w:val="single" w:sz="8" w:space="0" w:color="000000"/>
            </w:tcBorders>
            <w:shd w:val="clear" w:color="auto" w:fill="auto"/>
          </w:tcPr>
          <w:p w:rsidR="004A59BA" w:rsidP="004A59BA" w14:paraId="3E9725A2" w14:textId="4DEDA61B">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5CB52050"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0AB6AD09" w14:textId="5C083373">
            <w:pPr>
              <w:widowControl/>
              <w:rPr>
                <w:rFonts w:ascii="Calibri" w:eastAsia="Calibri" w:hAnsi="Calibri" w:cs="Calibri"/>
                <w:color w:val="000000"/>
                <w:sz w:val="16"/>
                <w:szCs w:val="16"/>
              </w:rPr>
            </w:pPr>
            <w:r>
              <w:rPr>
                <w:rFonts w:ascii="Calibri" w:eastAsia="Calibri" w:hAnsi="Calibri" w:cs="Calibri"/>
                <w:color w:val="000000"/>
                <w:sz w:val="16"/>
                <w:szCs w:val="16"/>
              </w:rPr>
              <w:t>Habitat restoration exception report</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1D18FAF4" w14:textId="2CA52A9D">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62601D75" w14:textId="0F7D955F">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1C5701E6" w14:textId="416E93E4">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50F099B6" w14:textId="2A2BAD4C">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3945CE0F" w14:textId="5BA7B255">
            <w:pPr>
              <w:widowControl/>
              <w:jc w:val="center"/>
              <w:rPr>
                <w:rFonts w:ascii="Calibri" w:eastAsia="Calibri" w:hAnsi="Calibri" w:cs="Calibri"/>
                <w:color w:val="000000"/>
                <w:sz w:val="16"/>
                <w:szCs w:val="16"/>
              </w:rPr>
            </w:pPr>
            <w:r>
              <w:rPr>
                <w:rFonts w:ascii="Calibri" w:eastAsia="Calibri" w:hAnsi="Calibri" w:cs="Calibri"/>
                <w:color w:val="000000"/>
                <w:sz w:val="16"/>
                <w:szCs w:val="16"/>
              </w:rPr>
              <w:t>15</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45FEE15A" w14:textId="638C2EBA">
            <w:pPr>
              <w:widowControl/>
              <w:jc w:val="center"/>
              <w:rPr>
                <w:rFonts w:ascii="Calibri" w:eastAsia="Calibri" w:hAnsi="Calibri" w:cs="Calibri"/>
                <w:color w:val="000000"/>
                <w:sz w:val="16"/>
                <w:szCs w:val="16"/>
              </w:rPr>
            </w:pPr>
            <w:r>
              <w:rPr>
                <w:rFonts w:ascii="Calibri" w:eastAsia="Calibri" w:hAnsi="Calibri" w:cs="Calibri"/>
                <w:color w:val="000000"/>
                <w:sz w:val="16"/>
                <w:szCs w:val="16"/>
              </w:rPr>
              <w:t>15</w:t>
            </w:r>
          </w:p>
        </w:tc>
        <w:tc>
          <w:tcPr>
            <w:tcW w:w="1151" w:type="dxa"/>
            <w:tcBorders>
              <w:top w:val="nil"/>
              <w:left w:val="nil"/>
              <w:bottom w:val="dotted" w:sz="4" w:space="0" w:color="000000"/>
              <w:right w:val="single" w:sz="8" w:space="0" w:color="000000"/>
            </w:tcBorders>
            <w:shd w:val="clear" w:color="auto" w:fill="auto"/>
          </w:tcPr>
          <w:p w:rsidR="004A59BA" w:rsidP="004A59BA" w14:paraId="5E18139C" w14:textId="310A2FAD">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66AF06C4"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2BA57255" w14:textId="41AAB4BE">
            <w:pPr>
              <w:widowControl/>
              <w:rPr>
                <w:rFonts w:ascii="Calibri" w:eastAsia="Calibri" w:hAnsi="Calibri" w:cs="Calibri"/>
                <w:color w:val="000000"/>
                <w:sz w:val="16"/>
                <w:szCs w:val="16"/>
              </w:rPr>
            </w:pPr>
            <w:r>
              <w:rPr>
                <w:rFonts w:ascii="Calibri" w:eastAsia="Calibri" w:hAnsi="Calibri" w:cs="Calibri"/>
                <w:color w:val="000000"/>
                <w:sz w:val="16"/>
                <w:szCs w:val="16"/>
              </w:rPr>
              <w:t>FMEP</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051FF57C" w14:textId="57608234">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361937EA" w14:textId="5FD82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0082E9BF" w14:textId="4A2C77F5">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394E00C8" w14:textId="68A41300">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0080BB93" w14:textId="4B713D0C">
            <w:pPr>
              <w:widowControl/>
              <w:jc w:val="center"/>
              <w:rPr>
                <w:rFonts w:ascii="Calibri" w:eastAsia="Calibri" w:hAnsi="Calibri" w:cs="Calibri"/>
                <w:color w:val="000000"/>
                <w:sz w:val="16"/>
                <w:szCs w:val="16"/>
              </w:rPr>
            </w:pPr>
            <w:r>
              <w:rPr>
                <w:rFonts w:ascii="Calibri" w:eastAsia="Calibri" w:hAnsi="Calibri" w:cs="Calibri"/>
                <w:color w:val="000000"/>
                <w:sz w:val="16"/>
                <w:szCs w:val="16"/>
              </w:rPr>
              <w:t>320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65A896D8" w14:textId="13E970E9">
            <w:pPr>
              <w:widowControl/>
              <w:jc w:val="center"/>
              <w:rPr>
                <w:rFonts w:ascii="Calibri" w:eastAsia="Calibri" w:hAnsi="Calibri" w:cs="Calibri"/>
                <w:color w:val="000000"/>
                <w:sz w:val="16"/>
                <w:szCs w:val="16"/>
              </w:rPr>
            </w:pPr>
            <w:r>
              <w:rPr>
                <w:rFonts w:ascii="Calibri" w:eastAsia="Calibri" w:hAnsi="Calibri" w:cs="Calibri"/>
                <w:color w:val="000000"/>
                <w:sz w:val="16"/>
                <w:szCs w:val="16"/>
              </w:rPr>
              <w:t>320</w:t>
            </w:r>
          </w:p>
        </w:tc>
        <w:tc>
          <w:tcPr>
            <w:tcW w:w="1151" w:type="dxa"/>
            <w:tcBorders>
              <w:top w:val="nil"/>
              <w:left w:val="nil"/>
              <w:bottom w:val="dotted" w:sz="4" w:space="0" w:color="000000"/>
              <w:right w:val="single" w:sz="8" w:space="0" w:color="000000"/>
            </w:tcBorders>
            <w:shd w:val="clear" w:color="auto" w:fill="auto"/>
          </w:tcPr>
          <w:p w:rsidR="004A59BA" w:rsidP="004A59BA" w14:paraId="0FAFCF43" w14:textId="6ED3DFD4">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3D448252"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63A38DB4" w14:textId="4CE4C16D">
            <w:pPr>
              <w:widowControl/>
              <w:rPr>
                <w:rFonts w:ascii="Calibri" w:eastAsia="Calibri" w:hAnsi="Calibri" w:cs="Calibri"/>
                <w:color w:val="000000"/>
                <w:sz w:val="16"/>
                <w:szCs w:val="16"/>
              </w:rPr>
            </w:pPr>
            <w:r>
              <w:rPr>
                <w:rFonts w:ascii="Calibri" w:eastAsia="Calibri" w:hAnsi="Calibri" w:cs="Calibri"/>
                <w:color w:val="000000"/>
                <w:sz w:val="16"/>
                <w:szCs w:val="16"/>
              </w:rPr>
              <w:t>FMEP report (biannual)</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14801FF0" w14:textId="2C6FF56F">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12560319" w14:textId="0246A699">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08C17F72" w14:textId="2702BB96">
            <w:pPr>
              <w:widowControl/>
              <w:jc w:val="center"/>
              <w:rPr>
                <w:rFonts w:ascii="Calibri" w:eastAsia="Calibri" w:hAnsi="Calibri" w:cs="Calibri"/>
                <w:color w:val="000000"/>
                <w:sz w:val="16"/>
                <w:szCs w:val="16"/>
              </w:rPr>
            </w:pPr>
            <w:r>
              <w:rPr>
                <w:rFonts w:ascii="Calibri" w:eastAsia="Calibri" w:hAnsi="Calibri" w:cs="Calibri"/>
                <w:color w:val="000000"/>
                <w:sz w:val="16"/>
                <w:szCs w:val="16"/>
              </w:rPr>
              <w:t>4</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0242F616" w14:textId="7979D165">
            <w:pPr>
              <w:widowControl/>
              <w:jc w:val="center"/>
              <w:rPr>
                <w:rFonts w:ascii="Calibri" w:eastAsia="Calibri" w:hAnsi="Calibri" w:cs="Calibri"/>
                <w:color w:val="000000"/>
                <w:sz w:val="16"/>
                <w:szCs w:val="16"/>
              </w:rPr>
            </w:pPr>
            <w:r>
              <w:rPr>
                <w:rFonts w:ascii="Calibri" w:eastAsia="Calibri" w:hAnsi="Calibri" w:cs="Calibri"/>
                <w:color w:val="000000"/>
                <w:sz w:val="16"/>
                <w:szCs w:val="16"/>
              </w:rPr>
              <w:t>4</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5DE749E9" w14:textId="523FCADA">
            <w:pPr>
              <w:widowControl/>
              <w:jc w:val="center"/>
              <w:rPr>
                <w:rFonts w:ascii="Calibri" w:eastAsia="Calibri" w:hAnsi="Calibri" w:cs="Calibri"/>
                <w:color w:val="000000"/>
                <w:sz w:val="16"/>
                <w:szCs w:val="16"/>
              </w:rPr>
            </w:pPr>
            <w:r>
              <w:rPr>
                <w:rFonts w:ascii="Calibri" w:eastAsia="Calibri" w:hAnsi="Calibri" w:cs="Calibri"/>
                <w:color w:val="000000"/>
                <w:sz w:val="16"/>
                <w:szCs w:val="16"/>
              </w:rPr>
              <w:t>80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0D0B5807" w14:textId="7D9D5E3A">
            <w:pPr>
              <w:widowControl/>
              <w:jc w:val="center"/>
              <w:rPr>
                <w:rFonts w:ascii="Calibri" w:eastAsia="Calibri" w:hAnsi="Calibri" w:cs="Calibri"/>
                <w:color w:val="000000"/>
                <w:sz w:val="16"/>
                <w:szCs w:val="16"/>
              </w:rPr>
            </w:pPr>
            <w:r>
              <w:rPr>
                <w:rFonts w:ascii="Calibri" w:eastAsia="Calibri" w:hAnsi="Calibri" w:cs="Calibri"/>
                <w:color w:val="000000"/>
                <w:sz w:val="16"/>
                <w:szCs w:val="16"/>
              </w:rPr>
              <w:t>80</w:t>
            </w:r>
          </w:p>
        </w:tc>
        <w:tc>
          <w:tcPr>
            <w:tcW w:w="1151" w:type="dxa"/>
            <w:tcBorders>
              <w:top w:val="nil"/>
              <w:left w:val="nil"/>
              <w:bottom w:val="dotted" w:sz="4" w:space="0" w:color="000000"/>
              <w:right w:val="single" w:sz="8" w:space="0" w:color="000000"/>
            </w:tcBorders>
            <w:shd w:val="clear" w:color="auto" w:fill="auto"/>
          </w:tcPr>
          <w:p w:rsidR="004A59BA" w:rsidP="004A59BA" w14:paraId="073CA9A3" w14:textId="513EBC01">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507B453A"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08484ECC" w14:textId="7EDD5BB8">
            <w:pPr>
              <w:widowControl/>
              <w:rPr>
                <w:rFonts w:ascii="Calibri" w:eastAsia="Calibri" w:hAnsi="Calibri" w:cs="Calibri"/>
                <w:color w:val="000000"/>
                <w:sz w:val="16"/>
                <w:szCs w:val="16"/>
              </w:rPr>
            </w:pPr>
            <w:r>
              <w:rPr>
                <w:rFonts w:ascii="Calibri" w:eastAsia="Calibri" w:hAnsi="Calibri" w:cs="Calibri"/>
                <w:color w:val="000000"/>
                <w:sz w:val="16"/>
                <w:szCs w:val="16"/>
              </w:rPr>
              <w:t>Tribal Plan</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590394C4" w14:textId="5E27766B">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796F06EE" w14:textId="6B71F93F">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3369CF99" w14:textId="2EE32B35">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7D4DF339" w14:textId="51630D32">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3278DF53" w14:textId="7455F0B2">
            <w:pPr>
              <w:widowControl/>
              <w:jc w:val="center"/>
              <w:rPr>
                <w:rFonts w:ascii="Calibri" w:eastAsia="Calibri" w:hAnsi="Calibri" w:cs="Calibri"/>
                <w:color w:val="000000"/>
                <w:sz w:val="16"/>
                <w:szCs w:val="16"/>
              </w:rPr>
            </w:pPr>
            <w:r>
              <w:rPr>
                <w:rFonts w:ascii="Calibri" w:eastAsia="Calibri" w:hAnsi="Calibri" w:cs="Calibri"/>
                <w:color w:val="000000"/>
                <w:sz w:val="16"/>
                <w:szCs w:val="16"/>
              </w:rPr>
              <w:t>160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621C3251" w14:textId="1934D122">
            <w:pPr>
              <w:widowControl/>
              <w:jc w:val="center"/>
              <w:rPr>
                <w:rFonts w:ascii="Calibri" w:eastAsia="Calibri" w:hAnsi="Calibri" w:cs="Calibri"/>
                <w:color w:val="000000"/>
                <w:sz w:val="16"/>
                <w:szCs w:val="16"/>
              </w:rPr>
            </w:pPr>
            <w:r>
              <w:rPr>
                <w:rFonts w:ascii="Calibri" w:eastAsia="Calibri" w:hAnsi="Calibri" w:cs="Calibri"/>
                <w:color w:val="000000"/>
                <w:sz w:val="16"/>
                <w:szCs w:val="16"/>
              </w:rPr>
              <w:t>160</w:t>
            </w:r>
          </w:p>
        </w:tc>
        <w:tc>
          <w:tcPr>
            <w:tcW w:w="1151" w:type="dxa"/>
            <w:tcBorders>
              <w:top w:val="nil"/>
              <w:left w:val="nil"/>
              <w:bottom w:val="dotted" w:sz="4" w:space="0" w:color="000000"/>
              <w:right w:val="single" w:sz="8" w:space="0" w:color="000000"/>
            </w:tcBorders>
            <w:shd w:val="clear" w:color="auto" w:fill="auto"/>
          </w:tcPr>
          <w:p w:rsidR="004A59BA" w:rsidP="004A59BA" w14:paraId="6EC32BFC" w14:textId="6EBF5318">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4EDDEBC2"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09B251F3" w14:textId="0D149BFB">
            <w:pPr>
              <w:widowControl/>
              <w:rPr>
                <w:rFonts w:ascii="Calibri" w:eastAsia="Calibri" w:hAnsi="Calibri" w:cs="Calibri"/>
                <w:color w:val="000000"/>
                <w:sz w:val="16"/>
                <w:szCs w:val="16"/>
              </w:rPr>
            </w:pPr>
            <w:r>
              <w:rPr>
                <w:rFonts w:ascii="Calibri" w:eastAsia="Calibri" w:hAnsi="Calibri" w:cs="Calibri"/>
                <w:color w:val="000000"/>
                <w:sz w:val="16"/>
                <w:szCs w:val="16"/>
              </w:rPr>
              <w:t>State research program</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18FE84C3" w14:textId="2AF6D192">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7737EA21" w14:textId="0E73D28A">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371DE428" w14:textId="5BFD4F31">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10C6A93A" w14:textId="5FFE1A98">
            <w:pPr>
              <w:widowControl/>
              <w:jc w:val="center"/>
              <w:rPr>
                <w:rFonts w:ascii="Calibri" w:eastAsia="Calibri" w:hAnsi="Calibri" w:cs="Calibri"/>
                <w:color w:val="000000"/>
                <w:sz w:val="16"/>
                <w:szCs w:val="16"/>
              </w:rPr>
            </w:pPr>
            <w:r>
              <w:rPr>
                <w:rFonts w:ascii="Calibri" w:eastAsia="Calibri" w:hAnsi="Calibri" w:cs="Calibri"/>
                <w:color w:val="000000"/>
                <w:sz w:val="16"/>
                <w:szCs w:val="16"/>
              </w:rPr>
              <w:t>3</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3056CF9E" w14:textId="1FFFE543">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0D67A70F" w14:textId="1A47B4C9">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151" w:type="dxa"/>
            <w:tcBorders>
              <w:top w:val="nil"/>
              <w:left w:val="nil"/>
              <w:bottom w:val="dotted" w:sz="4" w:space="0" w:color="000000"/>
              <w:right w:val="single" w:sz="8" w:space="0" w:color="000000"/>
            </w:tcBorders>
            <w:shd w:val="clear" w:color="auto" w:fill="auto"/>
          </w:tcPr>
          <w:p w:rsidR="004A59BA" w:rsidP="004A59BA" w14:paraId="5C80A8F0" w14:textId="3CE3ACAA">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158023F3"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32AA52E2" w14:textId="6AB0A2A7">
            <w:pPr>
              <w:widowControl/>
              <w:rPr>
                <w:rFonts w:ascii="Calibri" w:eastAsia="Calibri" w:hAnsi="Calibri" w:cs="Calibri"/>
                <w:color w:val="000000"/>
                <w:sz w:val="16"/>
                <w:szCs w:val="16"/>
              </w:rPr>
            </w:pPr>
            <w:r>
              <w:rPr>
                <w:rFonts w:ascii="Calibri" w:eastAsia="Calibri" w:hAnsi="Calibri" w:cs="Calibri"/>
                <w:color w:val="000000"/>
                <w:sz w:val="16"/>
                <w:szCs w:val="16"/>
              </w:rPr>
              <w:t>Research applications</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4B3A8709" w14:textId="59D29AB1">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1F5B436E" w14:textId="0C60AADD">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0B36A0AA" w14:textId="1FD3FAD2">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49BE5B18" w14:textId="324F147C">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26B9908C" w14:textId="370AF3E9">
            <w:pPr>
              <w:widowControl/>
              <w:jc w:val="center"/>
              <w:rPr>
                <w:rFonts w:ascii="Calibri" w:eastAsia="Calibri" w:hAnsi="Calibri" w:cs="Calibri"/>
                <w:color w:val="000000"/>
                <w:sz w:val="16"/>
                <w:szCs w:val="16"/>
              </w:rPr>
            </w:pPr>
            <w:r>
              <w:rPr>
                <w:rFonts w:ascii="Calibri" w:eastAsia="Calibri" w:hAnsi="Calibri" w:cs="Calibri"/>
                <w:color w:val="000000"/>
                <w:sz w:val="16"/>
                <w:szCs w:val="16"/>
              </w:rPr>
              <w:t>400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37EB02C2" w14:textId="4BEF35AC">
            <w:pPr>
              <w:widowControl/>
              <w:jc w:val="center"/>
              <w:rPr>
                <w:rFonts w:ascii="Calibri" w:eastAsia="Calibri" w:hAnsi="Calibri" w:cs="Calibri"/>
                <w:color w:val="000000"/>
                <w:sz w:val="16"/>
                <w:szCs w:val="16"/>
              </w:rPr>
            </w:pPr>
            <w:r>
              <w:rPr>
                <w:rFonts w:ascii="Calibri" w:eastAsia="Calibri" w:hAnsi="Calibri" w:cs="Calibri"/>
                <w:color w:val="000000"/>
                <w:sz w:val="16"/>
                <w:szCs w:val="16"/>
              </w:rPr>
              <w:t>400</w:t>
            </w:r>
          </w:p>
        </w:tc>
        <w:tc>
          <w:tcPr>
            <w:tcW w:w="1151" w:type="dxa"/>
            <w:tcBorders>
              <w:top w:val="nil"/>
              <w:left w:val="nil"/>
              <w:bottom w:val="dotted" w:sz="4" w:space="0" w:color="000000"/>
              <w:right w:val="single" w:sz="8" w:space="0" w:color="000000"/>
            </w:tcBorders>
            <w:shd w:val="clear" w:color="auto" w:fill="auto"/>
          </w:tcPr>
          <w:p w:rsidR="004A59BA" w:rsidP="004A59BA" w14:paraId="4DD59349" w14:textId="0563D3CC">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4E7295CF" w14:textId="77777777" w:rsidTr="003577A5">
        <w:tblPrEx>
          <w:tblW w:w="9900" w:type="dxa"/>
          <w:tblInd w:w="-460" w:type="dxa"/>
          <w:tblLayout w:type="fixed"/>
          <w:tblLook w:val="0400"/>
        </w:tblPrEx>
        <w:trPr>
          <w:trHeight w:val="315"/>
        </w:trPr>
        <w:tc>
          <w:tcPr>
            <w:tcW w:w="3150"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6FEFDF3E" w14:textId="155CE2E5">
            <w:pPr>
              <w:widowControl/>
              <w:rPr>
                <w:rFonts w:ascii="Calibri" w:eastAsia="Calibri" w:hAnsi="Calibri" w:cs="Calibri"/>
                <w:color w:val="000000"/>
                <w:sz w:val="16"/>
                <w:szCs w:val="16"/>
              </w:rPr>
            </w:pPr>
            <w:r>
              <w:rPr>
                <w:rFonts w:ascii="Calibri" w:eastAsia="Calibri" w:hAnsi="Calibri" w:cs="Calibri"/>
                <w:color w:val="000000"/>
                <w:sz w:val="16"/>
                <w:szCs w:val="16"/>
              </w:rPr>
              <w:t>Research reports</w:t>
            </w:r>
          </w:p>
        </w:tc>
        <w:tc>
          <w:tcPr>
            <w:tcW w:w="1080" w:type="dxa"/>
            <w:tcBorders>
              <w:top w:val="nil"/>
              <w:left w:val="nil"/>
              <w:bottom w:val="dotted" w:sz="4" w:space="0" w:color="000000"/>
              <w:right w:val="dashed" w:sz="8" w:space="0" w:color="000000"/>
            </w:tcBorders>
            <w:shd w:val="clear" w:color="auto" w:fill="auto"/>
            <w:vAlign w:val="center"/>
          </w:tcPr>
          <w:p w:rsidR="004A59BA" w:rsidP="004A59BA" w14:paraId="60542FAE" w14:textId="7F854B2B">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18B5FE41" w14:textId="738792A2">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18E7C780" w14:textId="224A12F9">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00" w:type="dxa"/>
            <w:tcBorders>
              <w:top w:val="nil"/>
              <w:left w:val="nil"/>
              <w:bottom w:val="dotted" w:sz="4" w:space="0" w:color="000000"/>
              <w:right w:val="single" w:sz="8" w:space="0" w:color="000000"/>
            </w:tcBorders>
            <w:shd w:val="clear" w:color="auto" w:fill="auto"/>
            <w:vAlign w:val="center"/>
          </w:tcPr>
          <w:p w:rsidR="004A59BA" w:rsidP="004A59BA" w14:paraId="0EDD42B5" w14:textId="1ED195AB">
            <w:pPr>
              <w:widowControl/>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5954DEFD" w14:textId="3A3C10CE">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919" w:type="dxa"/>
            <w:tcBorders>
              <w:top w:val="nil"/>
              <w:left w:val="nil"/>
              <w:bottom w:val="dotted" w:sz="4" w:space="0" w:color="000000"/>
              <w:right w:val="single" w:sz="8" w:space="0" w:color="000000"/>
            </w:tcBorders>
            <w:shd w:val="clear" w:color="auto" w:fill="auto"/>
            <w:vAlign w:val="center"/>
          </w:tcPr>
          <w:p w:rsidR="004A59BA" w:rsidP="004A59BA" w14:paraId="27FB6375" w14:textId="32EAD93B">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1151" w:type="dxa"/>
            <w:tcBorders>
              <w:top w:val="nil"/>
              <w:left w:val="nil"/>
              <w:bottom w:val="dotted" w:sz="4" w:space="0" w:color="000000"/>
              <w:right w:val="single" w:sz="8" w:space="0" w:color="000000"/>
            </w:tcBorders>
            <w:shd w:val="clear" w:color="auto" w:fill="auto"/>
          </w:tcPr>
          <w:p w:rsidR="004A59BA" w:rsidP="004A59BA" w14:paraId="72234748" w14:textId="61C0EB03">
            <w:pPr>
              <w:widowControl/>
              <w:rPr>
                <w:rFonts w:ascii="Calibri" w:eastAsia="Calibri" w:hAnsi="Calibri" w:cs="Calibri"/>
                <w:color w:val="000000"/>
                <w:sz w:val="16"/>
                <w:szCs w:val="16"/>
              </w:rPr>
            </w:pPr>
            <w:r w:rsidRPr="003F4F08">
              <w:rPr>
                <w:rFonts w:ascii="Calibri" w:eastAsia="Calibri" w:hAnsi="Calibri" w:cs="Calibri"/>
                <w:color w:val="000000"/>
                <w:sz w:val="16"/>
                <w:szCs w:val="16"/>
              </w:rPr>
              <w:t>No change</w:t>
            </w:r>
          </w:p>
        </w:tc>
      </w:tr>
      <w:tr w14:paraId="7F5FF516" w14:textId="77777777" w:rsidTr="003577A5">
        <w:tblPrEx>
          <w:tblW w:w="9900" w:type="dxa"/>
          <w:tblInd w:w="-460" w:type="dxa"/>
          <w:tblLayout w:type="fixed"/>
          <w:tblLook w:val="0400"/>
        </w:tblPrEx>
        <w:trPr>
          <w:trHeight w:val="465"/>
        </w:trPr>
        <w:tc>
          <w:tcPr>
            <w:tcW w:w="3150" w:type="dxa"/>
            <w:tcBorders>
              <w:top w:val="nil"/>
              <w:left w:val="single" w:sz="8" w:space="0" w:color="000000"/>
              <w:bottom w:val="nil"/>
              <w:right w:val="single" w:sz="8" w:space="0" w:color="000000"/>
            </w:tcBorders>
            <w:shd w:val="clear" w:color="auto" w:fill="BDD6EE"/>
            <w:vAlign w:val="center"/>
          </w:tcPr>
          <w:p w:rsidR="004A59BA" w:rsidP="004A59BA" w14:paraId="4F33328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080" w:type="dxa"/>
            <w:tcBorders>
              <w:top w:val="nil"/>
              <w:left w:val="nil"/>
              <w:bottom w:val="nil"/>
              <w:right w:val="dashed" w:sz="8" w:space="0" w:color="000000"/>
            </w:tcBorders>
            <w:shd w:val="clear" w:color="auto" w:fill="BDD6EE"/>
            <w:vAlign w:val="center"/>
          </w:tcPr>
          <w:p w:rsidR="004A59BA" w:rsidP="004A59BA" w14:paraId="7A272F53" w14:textId="40A346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45</w:t>
            </w:r>
          </w:p>
        </w:tc>
        <w:tc>
          <w:tcPr>
            <w:tcW w:w="900" w:type="dxa"/>
            <w:tcBorders>
              <w:top w:val="nil"/>
              <w:left w:val="nil"/>
              <w:bottom w:val="nil"/>
              <w:right w:val="single" w:sz="8" w:space="0" w:color="000000"/>
            </w:tcBorders>
            <w:shd w:val="clear" w:color="auto" w:fill="BDD6EE"/>
            <w:vAlign w:val="center"/>
          </w:tcPr>
          <w:p w:rsidR="004A59BA" w:rsidP="004A59BA" w14:paraId="4C4F76C4" w14:textId="4F40B80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45</w:t>
            </w:r>
          </w:p>
        </w:tc>
        <w:tc>
          <w:tcPr>
            <w:tcW w:w="900" w:type="dxa"/>
            <w:tcBorders>
              <w:top w:val="nil"/>
              <w:left w:val="nil"/>
              <w:bottom w:val="nil"/>
              <w:right w:val="dashed" w:sz="8" w:space="0" w:color="000000"/>
            </w:tcBorders>
            <w:shd w:val="clear" w:color="auto" w:fill="BDD6EE"/>
            <w:vAlign w:val="center"/>
          </w:tcPr>
          <w:p w:rsidR="004A59BA" w:rsidP="004A59BA" w14:paraId="1F8C2189" w14:textId="51018A8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47 </w:t>
            </w:r>
          </w:p>
        </w:tc>
        <w:tc>
          <w:tcPr>
            <w:tcW w:w="900" w:type="dxa"/>
            <w:tcBorders>
              <w:top w:val="nil"/>
              <w:left w:val="nil"/>
              <w:bottom w:val="nil"/>
              <w:right w:val="single" w:sz="8" w:space="0" w:color="000000"/>
            </w:tcBorders>
            <w:shd w:val="clear" w:color="auto" w:fill="BDD6EE"/>
            <w:vAlign w:val="center"/>
          </w:tcPr>
          <w:p w:rsidR="004A59BA" w:rsidP="004A59BA" w14:paraId="5DEF4090" w14:textId="2ED0305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47 </w:t>
            </w:r>
          </w:p>
        </w:tc>
        <w:tc>
          <w:tcPr>
            <w:tcW w:w="900" w:type="dxa"/>
            <w:tcBorders>
              <w:top w:val="nil"/>
              <w:left w:val="nil"/>
              <w:bottom w:val="nil"/>
              <w:right w:val="dashed" w:sz="8" w:space="0" w:color="000000"/>
            </w:tcBorders>
            <w:shd w:val="clear" w:color="auto" w:fill="BDD6EE"/>
            <w:vAlign w:val="center"/>
          </w:tcPr>
          <w:p w:rsidR="004A59BA" w:rsidP="004A59BA" w14:paraId="3E8CAC34" w14:textId="02C6AC8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1510</w:t>
            </w:r>
          </w:p>
        </w:tc>
        <w:tc>
          <w:tcPr>
            <w:tcW w:w="919" w:type="dxa"/>
            <w:tcBorders>
              <w:top w:val="nil"/>
              <w:left w:val="nil"/>
              <w:bottom w:val="nil"/>
              <w:right w:val="single" w:sz="8" w:space="0" w:color="000000"/>
            </w:tcBorders>
            <w:shd w:val="clear" w:color="auto" w:fill="BDD6EE"/>
            <w:vAlign w:val="center"/>
          </w:tcPr>
          <w:p w:rsidR="004A59BA" w:rsidP="004A59BA" w14:paraId="35B72334" w14:textId="099A5E5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1510</w:t>
            </w:r>
          </w:p>
        </w:tc>
        <w:tc>
          <w:tcPr>
            <w:tcW w:w="1151" w:type="dxa"/>
            <w:tcBorders>
              <w:top w:val="nil"/>
              <w:left w:val="nil"/>
              <w:bottom w:val="nil"/>
              <w:right w:val="single" w:sz="8" w:space="0" w:color="000000"/>
            </w:tcBorders>
            <w:shd w:val="clear" w:color="auto" w:fill="000000"/>
            <w:vAlign w:val="center"/>
          </w:tcPr>
          <w:p w:rsidR="004A59BA" w:rsidP="004A59BA" w14:paraId="4DCE535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6C2AD4E0" w14:textId="77777777" w:rsidTr="003577A5">
        <w:tblPrEx>
          <w:tblW w:w="9900" w:type="dxa"/>
          <w:tblInd w:w="-460" w:type="dxa"/>
          <w:tblLayout w:type="fixed"/>
          <w:tblLook w:val="0400"/>
        </w:tblPrEx>
        <w:trPr>
          <w:trHeight w:val="315"/>
        </w:trPr>
        <w:tc>
          <w:tcPr>
            <w:tcW w:w="3150" w:type="dxa"/>
            <w:tcBorders>
              <w:top w:val="single" w:sz="8" w:space="0" w:color="000000"/>
              <w:left w:val="single" w:sz="8" w:space="0" w:color="000000"/>
              <w:bottom w:val="single" w:sz="8" w:space="0" w:color="000000"/>
              <w:right w:val="nil"/>
            </w:tcBorders>
            <w:shd w:val="clear" w:color="auto" w:fill="FCE4D6"/>
            <w:vAlign w:val="bottom"/>
          </w:tcPr>
          <w:p w:rsidR="004A59BA" w:rsidP="004A59BA" w14:paraId="1F4A4DF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8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4A59BA" w:rsidP="004A59BA" w14:paraId="009D079F" w14:textId="03DC2A7E">
            <w:pPr>
              <w:widowControl/>
              <w:jc w:val="center"/>
              <w:rPr>
                <w:rFonts w:ascii="Calibri" w:eastAsia="Calibri" w:hAnsi="Calibri" w:cs="Calibri"/>
                <w:color w:val="000000"/>
              </w:rPr>
            </w:pPr>
            <w:r>
              <w:rPr>
                <w:rFonts w:ascii="Calibri" w:eastAsia="Calibri" w:hAnsi="Calibri" w:cs="Calibri"/>
                <w:color w:val="000000"/>
              </w:rPr>
              <w:t>0 </w:t>
            </w:r>
          </w:p>
        </w:tc>
        <w:tc>
          <w:tcPr>
            <w:tcW w:w="1800" w:type="dxa"/>
            <w:gridSpan w:val="2"/>
            <w:tcBorders>
              <w:top w:val="single" w:sz="8" w:space="0" w:color="000000"/>
              <w:left w:val="nil"/>
              <w:bottom w:val="single" w:sz="8" w:space="0" w:color="000000"/>
              <w:right w:val="single" w:sz="8" w:space="0" w:color="000000"/>
            </w:tcBorders>
            <w:shd w:val="clear" w:color="auto" w:fill="FCE4D6"/>
            <w:vAlign w:val="bottom"/>
          </w:tcPr>
          <w:p w:rsidR="004A59BA" w:rsidP="004A59BA" w14:paraId="233A15E9" w14:textId="3056DAEC">
            <w:pPr>
              <w:widowControl/>
              <w:jc w:val="center"/>
              <w:rPr>
                <w:rFonts w:ascii="Calibri" w:eastAsia="Calibri" w:hAnsi="Calibri" w:cs="Calibri"/>
                <w:color w:val="000000"/>
              </w:rPr>
            </w:pPr>
            <w:r>
              <w:rPr>
                <w:rFonts w:ascii="Calibri" w:eastAsia="Calibri" w:hAnsi="Calibri" w:cs="Calibri"/>
                <w:color w:val="000000"/>
              </w:rPr>
              <w:t>0 </w:t>
            </w:r>
          </w:p>
        </w:tc>
        <w:tc>
          <w:tcPr>
            <w:tcW w:w="1819" w:type="dxa"/>
            <w:gridSpan w:val="2"/>
            <w:tcBorders>
              <w:top w:val="single" w:sz="8" w:space="0" w:color="000000"/>
              <w:left w:val="nil"/>
              <w:bottom w:val="single" w:sz="8" w:space="0" w:color="000000"/>
              <w:right w:val="single" w:sz="4" w:space="0" w:color="000000"/>
            </w:tcBorders>
            <w:shd w:val="clear" w:color="auto" w:fill="FCE4D6"/>
            <w:vAlign w:val="bottom"/>
          </w:tcPr>
          <w:p w:rsidR="004A59BA" w:rsidP="004A59BA" w14:paraId="06675980" w14:textId="0F195D97">
            <w:pPr>
              <w:widowControl/>
              <w:jc w:val="center"/>
              <w:rPr>
                <w:rFonts w:ascii="Calibri" w:eastAsia="Calibri" w:hAnsi="Calibri" w:cs="Calibri"/>
                <w:color w:val="000000"/>
              </w:rPr>
            </w:pPr>
            <w:r>
              <w:rPr>
                <w:rFonts w:ascii="Calibri" w:eastAsia="Calibri" w:hAnsi="Calibri" w:cs="Calibri"/>
                <w:color w:val="000000"/>
              </w:rPr>
              <w:t> 0</w:t>
            </w:r>
          </w:p>
        </w:tc>
        <w:tc>
          <w:tcPr>
            <w:tcW w:w="1151" w:type="dxa"/>
            <w:tcBorders>
              <w:top w:val="single" w:sz="8" w:space="0" w:color="000000"/>
              <w:left w:val="nil"/>
              <w:bottom w:val="single" w:sz="8" w:space="0" w:color="000000"/>
              <w:right w:val="single" w:sz="8" w:space="0" w:color="000000"/>
            </w:tcBorders>
            <w:shd w:val="clear" w:color="auto" w:fill="000000"/>
            <w:vAlign w:val="bottom"/>
          </w:tcPr>
          <w:p w:rsidR="004A59BA" w:rsidP="004A59BA" w14:paraId="45E137EA" w14:textId="77777777">
            <w:pPr>
              <w:widowControl/>
              <w:rPr>
                <w:rFonts w:ascii="Calibri" w:eastAsia="Calibri" w:hAnsi="Calibri" w:cs="Calibri"/>
                <w:color w:val="000000"/>
              </w:rPr>
            </w:pPr>
            <w:r>
              <w:rPr>
                <w:rFonts w:ascii="Calibri" w:eastAsia="Calibri" w:hAnsi="Calibri" w:cs="Calibri"/>
                <w:color w:val="000000"/>
              </w:rPr>
              <w:t> </w:t>
            </w:r>
          </w:p>
        </w:tc>
      </w:tr>
    </w:tbl>
    <w:p w:rsidR="0034088C" w14:paraId="4F492893" w14:textId="1FB6940C">
      <w:pPr>
        <w:pBdr>
          <w:top w:val="nil"/>
          <w:left w:val="nil"/>
          <w:bottom w:val="nil"/>
          <w:right w:val="nil"/>
          <w:between w:val="nil"/>
        </w:pBdr>
        <w:spacing w:before="7"/>
        <w:rPr>
          <w:b/>
          <w:color w:val="000000"/>
        </w:rPr>
      </w:pPr>
    </w:p>
    <w:p w:rsidR="0087154E" w14:paraId="7258B2A9" w14:textId="7A6BB33D">
      <w:pPr>
        <w:pBdr>
          <w:top w:val="nil"/>
          <w:left w:val="nil"/>
          <w:bottom w:val="nil"/>
          <w:right w:val="nil"/>
          <w:between w:val="nil"/>
        </w:pBdr>
        <w:spacing w:before="7"/>
        <w:rPr>
          <w:b/>
          <w:color w:val="000000"/>
        </w:rPr>
      </w:pPr>
    </w:p>
    <w:tbl>
      <w:tblPr>
        <w:tblStyle w:val="a4"/>
        <w:tblW w:w="10635" w:type="dxa"/>
        <w:tblInd w:w="-25" w:type="dxa"/>
        <w:tblLayout w:type="fixed"/>
        <w:tblLook w:val="0400"/>
      </w:tblPr>
      <w:tblGrid>
        <w:gridCol w:w="3255"/>
        <w:gridCol w:w="810"/>
        <w:gridCol w:w="810"/>
        <w:gridCol w:w="900"/>
        <w:gridCol w:w="860"/>
        <w:gridCol w:w="4000"/>
      </w:tblGrid>
      <w:tr w14:paraId="33F1CAB3" w14:textId="77777777" w:rsidTr="003577A5">
        <w:tblPrEx>
          <w:tblW w:w="10635" w:type="dxa"/>
          <w:tblInd w:w="-25" w:type="dxa"/>
          <w:tblLayout w:type="fixed"/>
          <w:tblLook w:val="0400"/>
        </w:tblPrEx>
        <w:trPr>
          <w:trHeight w:val="315"/>
        </w:trPr>
        <w:tc>
          <w:tcPr>
            <w:tcW w:w="325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7154E" w14:paraId="4FCAF4A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87154E" w14:paraId="381997A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1760" w:type="dxa"/>
            <w:gridSpan w:val="2"/>
            <w:tcBorders>
              <w:top w:val="single" w:sz="8" w:space="0" w:color="000000"/>
              <w:left w:val="nil"/>
              <w:bottom w:val="single" w:sz="8" w:space="0" w:color="000000"/>
              <w:right w:val="single" w:sz="8" w:space="0" w:color="000000"/>
            </w:tcBorders>
            <w:shd w:val="clear" w:color="auto" w:fill="5B9BD5"/>
            <w:vAlign w:val="center"/>
          </w:tcPr>
          <w:p w:rsidR="0087154E" w14:paraId="48DB660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40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7154E" w14:paraId="23E56F7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082DB8B6" w14:textId="77777777" w:rsidTr="003577A5">
        <w:tblPrEx>
          <w:tblW w:w="10635" w:type="dxa"/>
          <w:tblInd w:w="-25" w:type="dxa"/>
          <w:tblLayout w:type="fixed"/>
          <w:tblLook w:val="0400"/>
        </w:tblPrEx>
        <w:trPr>
          <w:trHeight w:val="690"/>
        </w:trPr>
        <w:tc>
          <w:tcPr>
            <w:tcW w:w="325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7154E" w14:paraId="5DF9FDC8"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810" w:type="dxa"/>
            <w:tcBorders>
              <w:top w:val="nil"/>
              <w:left w:val="nil"/>
              <w:bottom w:val="single" w:sz="8" w:space="0" w:color="000000"/>
              <w:right w:val="dashed" w:sz="8" w:space="0" w:color="000000"/>
            </w:tcBorders>
            <w:shd w:val="clear" w:color="auto" w:fill="FBE4D5"/>
            <w:vAlign w:val="center"/>
          </w:tcPr>
          <w:p w:rsidR="0087154E" w14:paraId="5A89C9C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10" w:type="dxa"/>
            <w:tcBorders>
              <w:top w:val="nil"/>
              <w:left w:val="nil"/>
              <w:bottom w:val="single" w:sz="8" w:space="0" w:color="000000"/>
              <w:right w:val="single" w:sz="8" w:space="0" w:color="000000"/>
            </w:tcBorders>
            <w:shd w:val="clear" w:color="auto" w:fill="FBE4D5"/>
            <w:vAlign w:val="center"/>
          </w:tcPr>
          <w:p w:rsidR="0087154E" w14:paraId="730FD01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00" w:type="dxa"/>
            <w:tcBorders>
              <w:top w:val="nil"/>
              <w:left w:val="nil"/>
              <w:bottom w:val="single" w:sz="8" w:space="0" w:color="000000"/>
              <w:right w:val="dashed" w:sz="8" w:space="0" w:color="000000"/>
            </w:tcBorders>
            <w:shd w:val="clear" w:color="auto" w:fill="FBE4D5"/>
            <w:vAlign w:val="center"/>
          </w:tcPr>
          <w:p w:rsidR="0087154E" w14:paraId="40AF87B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60" w:type="dxa"/>
            <w:tcBorders>
              <w:top w:val="nil"/>
              <w:left w:val="nil"/>
              <w:bottom w:val="single" w:sz="8" w:space="0" w:color="000000"/>
              <w:right w:val="single" w:sz="8" w:space="0" w:color="000000"/>
            </w:tcBorders>
            <w:shd w:val="clear" w:color="auto" w:fill="FBE4D5"/>
            <w:vAlign w:val="center"/>
          </w:tcPr>
          <w:p w:rsidR="0087154E" w14:paraId="28F5F3D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0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7154E" w14:paraId="7E9729DB"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842A88E"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5D13E539" w14:textId="7A023A20">
            <w:pPr>
              <w:widowControl/>
              <w:rPr>
                <w:rFonts w:ascii="Calibri" w:eastAsia="Calibri" w:hAnsi="Calibri" w:cs="Calibri"/>
                <w:color w:val="000000"/>
                <w:sz w:val="16"/>
                <w:szCs w:val="16"/>
              </w:rPr>
            </w:pPr>
            <w:r>
              <w:rPr>
                <w:rFonts w:ascii="Calibri" w:eastAsia="Calibri" w:hAnsi="Calibri" w:cs="Calibri"/>
                <w:color w:val="000000"/>
                <w:sz w:val="16"/>
                <w:szCs w:val="16"/>
              </w:rPr>
              <w:t>Scientific research or monitoring exception</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5F4DA401" w14:textId="50E27CE0">
            <w:pPr>
              <w:widowControl/>
              <w:jc w:val="center"/>
              <w:rPr>
                <w:rFonts w:ascii="Calibri" w:eastAsia="Calibri" w:hAnsi="Calibri" w:cs="Calibri"/>
                <w:color w:val="000000"/>
                <w:sz w:val="16"/>
                <w:szCs w:val="16"/>
              </w:rPr>
            </w:pPr>
            <w:r>
              <w:rPr>
                <w:rFonts w:ascii="Calibri" w:eastAsia="Calibri" w:hAnsi="Calibri" w:cs="Calibri"/>
                <w:color w:val="000000"/>
                <w:sz w:val="16"/>
                <w:szCs w:val="16"/>
              </w:rPr>
              <w:t>7,400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4099B492" w14:textId="780F123C">
            <w:pPr>
              <w:widowControl/>
              <w:jc w:val="center"/>
              <w:rPr>
                <w:rFonts w:ascii="Calibri" w:eastAsia="Calibri" w:hAnsi="Calibri" w:cs="Calibri"/>
                <w:color w:val="000000"/>
                <w:sz w:val="16"/>
                <w:szCs w:val="16"/>
              </w:rPr>
            </w:pPr>
            <w:r>
              <w:rPr>
                <w:rFonts w:ascii="Calibri" w:eastAsia="Calibri" w:hAnsi="Calibri" w:cs="Calibri"/>
                <w:color w:val="000000"/>
                <w:sz w:val="16"/>
                <w:szCs w:val="16"/>
              </w:rPr>
              <w:t>6,000 </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63B128B1" w14:textId="23C1C16E">
            <w:pPr>
              <w:widowControl/>
              <w:jc w:val="center"/>
              <w:rPr>
                <w:rFonts w:ascii="Calibri" w:eastAsia="Calibri" w:hAnsi="Calibri" w:cs="Calibri"/>
                <w:color w:val="000000"/>
                <w:sz w:val="16"/>
                <w:szCs w:val="16"/>
              </w:rPr>
            </w:pPr>
            <w:r>
              <w:rPr>
                <w:rFonts w:ascii="Calibri" w:eastAsia="Calibri" w:hAnsi="Calibri" w:cs="Calibri"/>
                <w:color w:val="000000"/>
                <w:sz w:val="16"/>
                <w:szCs w:val="16"/>
              </w:rPr>
              <w:t>0 </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1E72FE79" w14:textId="73497B76">
            <w:pPr>
              <w:widowControl/>
              <w:jc w:val="center"/>
              <w:rPr>
                <w:rFonts w:ascii="Calibri" w:eastAsia="Calibri" w:hAnsi="Calibri" w:cs="Calibri"/>
                <w:color w:val="000000"/>
                <w:sz w:val="16"/>
                <w:szCs w:val="16"/>
              </w:rPr>
            </w:pPr>
            <w:r>
              <w:rPr>
                <w:rFonts w:ascii="Calibri" w:eastAsia="Calibri" w:hAnsi="Calibri" w:cs="Calibri"/>
                <w:color w:val="000000"/>
                <w:sz w:val="16"/>
                <w:szCs w:val="16"/>
              </w:rPr>
              <w:t>13.25 </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3C991836" w14:textId="2FDCC686">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1C7713EE"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104940BB" w14:textId="4B8D7D61">
            <w:pPr>
              <w:widowControl/>
              <w:rPr>
                <w:rFonts w:ascii="Calibri" w:eastAsia="Calibri" w:hAnsi="Calibri" w:cs="Calibri"/>
                <w:color w:val="000000"/>
                <w:sz w:val="16"/>
                <w:szCs w:val="16"/>
              </w:rPr>
            </w:pPr>
            <w:r>
              <w:rPr>
                <w:rFonts w:ascii="Calibri" w:eastAsia="Calibri" w:hAnsi="Calibri" w:cs="Calibri"/>
                <w:color w:val="000000"/>
                <w:sz w:val="16"/>
                <w:szCs w:val="16"/>
              </w:rPr>
              <w:t>Scientific research or monitoring exception report</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6545040C" w14:textId="1D60D185">
            <w:pPr>
              <w:widowControl/>
              <w:jc w:val="center"/>
              <w:rPr>
                <w:rFonts w:ascii="Calibri" w:eastAsia="Calibri" w:hAnsi="Calibri" w:cs="Calibri"/>
                <w:color w:val="000000"/>
                <w:sz w:val="16"/>
                <w:szCs w:val="16"/>
              </w:rPr>
            </w:pPr>
            <w:r>
              <w:rPr>
                <w:rFonts w:ascii="Calibri" w:eastAsia="Calibri" w:hAnsi="Calibri" w:cs="Calibri"/>
                <w:color w:val="000000"/>
                <w:sz w:val="16"/>
                <w:szCs w:val="16"/>
              </w:rPr>
              <w:t>925</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23B93074" w14:textId="7AEBBE36">
            <w:pPr>
              <w:widowControl/>
              <w:jc w:val="center"/>
              <w:rPr>
                <w:rFonts w:ascii="Calibri" w:eastAsia="Calibri" w:hAnsi="Calibri" w:cs="Calibri"/>
                <w:color w:val="000000"/>
                <w:sz w:val="16"/>
                <w:szCs w:val="16"/>
              </w:rPr>
            </w:pPr>
            <w:r>
              <w:rPr>
                <w:rFonts w:ascii="Calibri" w:eastAsia="Calibri" w:hAnsi="Calibri" w:cs="Calibri"/>
                <w:color w:val="000000"/>
                <w:sz w:val="16"/>
                <w:szCs w:val="16"/>
              </w:rPr>
              <w:t> 750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1284A1CB" w14:textId="5B2661F1">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053F9F73" w14:textId="0BA43264">
            <w:pPr>
              <w:widowControl/>
              <w:jc w:val="center"/>
              <w:rPr>
                <w:rFonts w:ascii="Calibri" w:eastAsia="Calibri" w:hAnsi="Calibri" w:cs="Calibri"/>
                <w:color w:val="000000"/>
                <w:sz w:val="16"/>
                <w:szCs w:val="16"/>
              </w:rPr>
            </w:pPr>
            <w:r>
              <w:rPr>
                <w:rFonts w:ascii="Calibri" w:eastAsia="Calibri" w:hAnsi="Calibri" w:cs="Calibri"/>
                <w:color w:val="000000"/>
                <w:sz w:val="16"/>
                <w:szCs w:val="16"/>
              </w:rPr>
              <w:t> 13.25</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74D4A2D1" w14:textId="242D604B">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1B0DCCF4"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1F44496F" w14:textId="10DDF861">
            <w:pPr>
              <w:widowControl/>
              <w:rPr>
                <w:rFonts w:ascii="Calibri" w:eastAsia="Calibri" w:hAnsi="Calibri" w:cs="Calibri"/>
                <w:color w:val="000000"/>
                <w:sz w:val="16"/>
                <w:szCs w:val="16"/>
              </w:rPr>
            </w:pPr>
            <w:r>
              <w:rPr>
                <w:rFonts w:ascii="Calibri" w:eastAsia="Calibri" w:hAnsi="Calibri" w:cs="Calibri"/>
                <w:color w:val="000000"/>
                <w:sz w:val="16"/>
                <w:szCs w:val="16"/>
              </w:rPr>
              <w:t>Emergency fish rescue reports</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19C1F51A" w14:textId="4A6A7A54">
            <w:pPr>
              <w:widowControl/>
              <w:jc w:val="center"/>
              <w:rPr>
                <w:rFonts w:ascii="Calibri" w:eastAsia="Calibri" w:hAnsi="Calibri" w:cs="Calibri"/>
                <w:color w:val="000000"/>
                <w:sz w:val="16"/>
                <w:szCs w:val="16"/>
              </w:rPr>
            </w:pPr>
            <w:r>
              <w:rPr>
                <w:rFonts w:ascii="Calibri" w:eastAsia="Calibri" w:hAnsi="Calibri" w:cs="Calibri"/>
                <w:color w:val="000000"/>
                <w:sz w:val="16"/>
                <w:szCs w:val="16"/>
              </w:rPr>
              <w:t>740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40E4AEC0" w14:textId="5EA8A292">
            <w:pPr>
              <w:widowControl/>
              <w:jc w:val="center"/>
              <w:rPr>
                <w:rFonts w:ascii="Calibri" w:eastAsia="Calibri" w:hAnsi="Calibri" w:cs="Calibri"/>
                <w:color w:val="000000"/>
                <w:sz w:val="16"/>
                <w:szCs w:val="16"/>
              </w:rPr>
            </w:pPr>
            <w:r>
              <w:rPr>
                <w:rFonts w:ascii="Calibri" w:eastAsia="Calibri" w:hAnsi="Calibri" w:cs="Calibri"/>
                <w:color w:val="000000"/>
                <w:sz w:val="16"/>
                <w:szCs w:val="16"/>
              </w:rPr>
              <w:t> 600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2010E075" w14:textId="6A88313E">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427FA0C6" w14:textId="22675929">
            <w:pPr>
              <w:widowControl/>
              <w:jc w:val="center"/>
              <w:rPr>
                <w:rFonts w:ascii="Calibri" w:eastAsia="Calibri" w:hAnsi="Calibri" w:cs="Calibri"/>
                <w:color w:val="000000"/>
                <w:sz w:val="16"/>
                <w:szCs w:val="16"/>
              </w:rPr>
            </w:pPr>
            <w:r>
              <w:rPr>
                <w:rFonts w:ascii="Calibri" w:eastAsia="Calibri" w:hAnsi="Calibri" w:cs="Calibri"/>
                <w:color w:val="000000"/>
                <w:sz w:val="16"/>
                <w:szCs w:val="16"/>
              </w:rPr>
              <w:t> 2.65</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3547B594" w14:textId="0CE3425E">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6D3A361F"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7B7C6C7A" w14:textId="24CDA83C">
            <w:pPr>
              <w:widowControl/>
              <w:rPr>
                <w:rFonts w:ascii="Calibri" w:eastAsia="Calibri" w:hAnsi="Calibri" w:cs="Calibri"/>
                <w:color w:val="000000"/>
                <w:sz w:val="16"/>
                <w:szCs w:val="16"/>
              </w:rPr>
            </w:pPr>
            <w:r>
              <w:rPr>
                <w:rFonts w:ascii="Calibri" w:eastAsia="Calibri" w:hAnsi="Calibri" w:cs="Calibri"/>
                <w:color w:val="000000"/>
                <w:sz w:val="16"/>
                <w:szCs w:val="16"/>
              </w:rPr>
              <w:t>Habitat restoration exception</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6F5A7B3B" w14:textId="4A7E64E7">
            <w:pPr>
              <w:widowControl/>
              <w:jc w:val="center"/>
              <w:rPr>
                <w:rFonts w:ascii="Calibri" w:eastAsia="Calibri" w:hAnsi="Calibri" w:cs="Calibri"/>
                <w:color w:val="000000"/>
                <w:sz w:val="16"/>
                <w:szCs w:val="16"/>
              </w:rPr>
            </w:pPr>
            <w:r>
              <w:rPr>
                <w:rFonts w:ascii="Calibri" w:eastAsia="Calibri" w:hAnsi="Calibri" w:cs="Calibri"/>
                <w:color w:val="000000"/>
                <w:sz w:val="16"/>
                <w:szCs w:val="16"/>
              </w:rPr>
              <w:t>4,440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7D366A76" w14:textId="11C5DD03">
            <w:pPr>
              <w:widowControl/>
              <w:jc w:val="center"/>
              <w:rPr>
                <w:rFonts w:ascii="Calibri" w:eastAsia="Calibri" w:hAnsi="Calibri" w:cs="Calibri"/>
                <w:color w:val="000000"/>
                <w:sz w:val="16"/>
                <w:szCs w:val="16"/>
              </w:rPr>
            </w:pPr>
            <w:r>
              <w:rPr>
                <w:rFonts w:ascii="Calibri" w:eastAsia="Calibri" w:hAnsi="Calibri" w:cs="Calibri"/>
                <w:color w:val="000000"/>
                <w:sz w:val="16"/>
                <w:szCs w:val="16"/>
              </w:rPr>
              <w:t> 3,600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2B9F1D97" w14:textId="05D5F76F">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123EF2EA" w14:textId="1C0E8481">
            <w:pPr>
              <w:widowControl/>
              <w:jc w:val="center"/>
              <w:rPr>
                <w:rFonts w:ascii="Calibri" w:eastAsia="Calibri" w:hAnsi="Calibri" w:cs="Calibri"/>
                <w:color w:val="000000"/>
                <w:sz w:val="16"/>
                <w:szCs w:val="16"/>
              </w:rPr>
            </w:pPr>
            <w:r>
              <w:rPr>
                <w:rFonts w:ascii="Calibri" w:eastAsia="Calibri" w:hAnsi="Calibri" w:cs="Calibri"/>
                <w:color w:val="000000"/>
                <w:sz w:val="16"/>
                <w:szCs w:val="16"/>
              </w:rPr>
              <w:t> 7.95</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13F9B24F" w14:textId="12239FB2">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7501CF27"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13CEC059" w14:textId="00BBBAB3">
            <w:pPr>
              <w:widowControl/>
              <w:rPr>
                <w:rFonts w:ascii="Calibri" w:eastAsia="Calibri" w:hAnsi="Calibri" w:cs="Calibri"/>
                <w:color w:val="000000"/>
                <w:sz w:val="16"/>
                <w:szCs w:val="16"/>
              </w:rPr>
            </w:pPr>
            <w:r>
              <w:rPr>
                <w:rFonts w:ascii="Calibri" w:eastAsia="Calibri" w:hAnsi="Calibri" w:cs="Calibri"/>
                <w:color w:val="000000"/>
                <w:sz w:val="16"/>
                <w:szCs w:val="16"/>
              </w:rPr>
              <w:t>Habitat restoration exception report</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7DB5D006" w14:textId="6DF1C529">
            <w:pPr>
              <w:widowControl/>
              <w:jc w:val="center"/>
              <w:rPr>
                <w:rFonts w:ascii="Calibri" w:eastAsia="Calibri" w:hAnsi="Calibri" w:cs="Calibri"/>
                <w:color w:val="000000"/>
                <w:sz w:val="16"/>
                <w:szCs w:val="16"/>
              </w:rPr>
            </w:pPr>
            <w:r>
              <w:rPr>
                <w:rFonts w:ascii="Calibri" w:eastAsia="Calibri" w:hAnsi="Calibri" w:cs="Calibri"/>
                <w:color w:val="000000"/>
                <w:sz w:val="16"/>
                <w:szCs w:val="16"/>
              </w:rPr>
              <w:t>555</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42FA7123" w14:textId="5484AF42">
            <w:pPr>
              <w:widowControl/>
              <w:jc w:val="center"/>
              <w:rPr>
                <w:rFonts w:ascii="Calibri" w:eastAsia="Calibri" w:hAnsi="Calibri" w:cs="Calibri"/>
                <w:color w:val="000000"/>
                <w:sz w:val="16"/>
                <w:szCs w:val="16"/>
              </w:rPr>
            </w:pPr>
            <w:r>
              <w:rPr>
                <w:rFonts w:ascii="Calibri" w:eastAsia="Calibri" w:hAnsi="Calibri" w:cs="Calibri"/>
                <w:color w:val="000000"/>
                <w:sz w:val="16"/>
                <w:szCs w:val="16"/>
              </w:rPr>
              <w:t>450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1CD32867" w14:textId="7C8223FA">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6BC1C557" w14:textId="023E76CC">
            <w:pPr>
              <w:widowControl/>
              <w:jc w:val="center"/>
              <w:rPr>
                <w:rFonts w:ascii="Calibri" w:eastAsia="Calibri" w:hAnsi="Calibri" w:cs="Calibri"/>
                <w:color w:val="000000"/>
                <w:sz w:val="16"/>
                <w:szCs w:val="16"/>
              </w:rPr>
            </w:pPr>
            <w:r>
              <w:rPr>
                <w:rFonts w:ascii="Calibri" w:eastAsia="Calibri" w:hAnsi="Calibri" w:cs="Calibri"/>
                <w:color w:val="000000"/>
                <w:sz w:val="16"/>
                <w:szCs w:val="16"/>
              </w:rPr>
              <w:t>7.95</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03BC9737" w14:textId="0AF3EB2B">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05F82ED0"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6174F185" w14:textId="3CF621A5">
            <w:pPr>
              <w:widowControl/>
              <w:rPr>
                <w:rFonts w:ascii="Calibri" w:eastAsia="Calibri" w:hAnsi="Calibri" w:cs="Calibri"/>
                <w:color w:val="000000"/>
                <w:sz w:val="16"/>
                <w:szCs w:val="16"/>
              </w:rPr>
            </w:pPr>
            <w:r>
              <w:rPr>
                <w:rFonts w:ascii="Calibri" w:eastAsia="Calibri" w:hAnsi="Calibri" w:cs="Calibri"/>
                <w:color w:val="000000"/>
                <w:sz w:val="16"/>
                <w:szCs w:val="16"/>
              </w:rPr>
              <w:t>FMEP</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5E6259F3" w14:textId="6F25AE87">
            <w:pPr>
              <w:widowControl/>
              <w:jc w:val="center"/>
              <w:rPr>
                <w:rFonts w:ascii="Calibri" w:eastAsia="Calibri" w:hAnsi="Calibri" w:cs="Calibri"/>
                <w:color w:val="000000"/>
                <w:sz w:val="16"/>
                <w:szCs w:val="16"/>
              </w:rPr>
            </w:pPr>
            <w:r>
              <w:rPr>
                <w:rFonts w:ascii="Calibri" w:eastAsia="Calibri" w:hAnsi="Calibri" w:cs="Calibri"/>
                <w:color w:val="000000"/>
                <w:sz w:val="16"/>
                <w:szCs w:val="16"/>
              </w:rPr>
              <w:t>11,840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7E21A8EC" w14:textId="2482A435">
            <w:pPr>
              <w:widowControl/>
              <w:jc w:val="center"/>
              <w:rPr>
                <w:rFonts w:ascii="Calibri" w:eastAsia="Calibri" w:hAnsi="Calibri" w:cs="Calibri"/>
                <w:color w:val="000000"/>
                <w:sz w:val="16"/>
                <w:szCs w:val="16"/>
              </w:rPr>
            </w:pPr>
            <w:r>
              <w:rPr>
                <w:rFonts w:ascii="Calibri" w:eastAsia="Calibri" w:hAnsi="Calibri" w:cs="Calibri"/>
                <w:color w:val="000000"/>
                <w:sz w:val="16"/>
                <w:szCs w:val="16"/>
              </w:rPr>
              <w:t>9,600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6C5A6A48" w14:textId="27AB390A">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63AC326E" w14:textId="3D9EFCBD">
            <w:pPr>
              <w:widowControl/>
              <w:jc w:val="center"/>
              <w:rPr>
                <w:rFonts w:ascii="Calibri" w:eastAsia="Calibri" w:hAnsi="Calibri" w:cs="Calibri"/>
                <w:color w:val="000000"/>
                <w:sz w:val="16"/>
                <w:szCs w:val="16"/>
              </w:rPr>
            </w:pPr>
            <w:r>
              <w:rPr>
                <w:rFonts w:ascii="Calibri" w:eastAsia="Calibri" w:hAnsi="Calibri" w:cs="Calibri"/>
                <w:color w:val="000000"/>
                <w:sz w:val="16"/>
                <w:szCs w:val="16"/>
              </w:rPr>
              <w:t>5.30</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6017A3EA" w14:textId="2F0EDEC1">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50D4C6E7"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1D289D22" w14:textId="49758EC2">
            <w:pPr>
              <w:widowControl/>
              <w:rPr>
                <w:rFonts w:ascii="Calibri" w:eastAsia="Calibri" w:hAnsi="Calibri" w:cs="Calibri"/>
                <w:color w:val="000000"/>
                <w:sz w:val="16"/>
                <w:szCs w:val="16"/>
              </w:rPr>
            </w:pPr>
            <w:r>
              <w:rPr>
                <w:rFonts w:ascii="Calibri" w:eastAsia="Calibri" w:hAnsi="Calibri" w:cs="Calibri"/>
                <w:color w:val="000000"/>
                <w:sz w:val="16"/>
                <w:szCs w:val="16"/>
              </w:rPr>
              <w:t>FMEP report (biannual)</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3A20E457" w14:textId="13A55BF8">
            <w:pPr>
              <w:widowControl/>
              <w:jc w:val="center"/>
              <w:rPr>
                <w:rFonts w:ascii="Calibri" w:eastAsia="Calibri" w:hAnsi="Calibri" w:cs="Calibri"/>
                <w:color w:val="000000"/>
                <w:sz w:val="16"/>
                <w:szCs w:val="16"/>
              </w:rPr>
            </w:pPr>
            <w:r>
              <w:rPr>
                <w:rFonts w:ascii="Calibri" w:eastAsia="Calibri" w:hAnsi="Calibri" w:cs="Calibri"/>
                <w:color w:val="000000"/>
                <w:sz w:val="16"/>
                <w:szCs w:val="16"/>
              </w:rPr>
              <w:t>2,960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1AE49FEB" w14:textId="1F1A0E3D">
            <w:pPr>
              <w:widowControl/>
              <w:jc w:val="center"/>
              <w:rPr>
                <w:rFonts w:ascii="Calibri" w:eastAsia="Calibri" w:hAnsi="Calibri" w:cs="Calibri"/>
                <w:color w:val="000000"/>
                <w:sz w:val="16"/>
                <w:szCs w:val="16"/>
              </w:rPr>
            </w:pPr>
            <w:r>
              <w:rPr>
                <w:rFonts w:ascii="Calibri" w:eastAsia="Calibri" w:hAnsi="Calibri" w:cs="Calibri"/>
                <w:color w:val="000000"/>
                <w:sz w:val="16"/>
                <w:szCs w:val="16"/>
              </w:rPr>
              <w:t>2,400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4FD7CAB2" w14:textId="6EB7FAFD">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2487DDB7" w14:textId="7D919454">
            <w:pPr>
              <w:widowControl/>
              <w:jc w:val="center"/>
              <w:rPr>
                <w:rFonts w:ascii="Calibri" w:eastAsia="Calibri" w:hAnsi="Calibri" w:cs="Calibri"/>
                <w:color w:val="000000"/>
                <w:sz w:val="16"/>
                <w:szCs w:val="16"/>
              </w:rPr>
            </w:pPr>
            <w:r>
              <w:rPr>
                <w:rFonts w:ascii="Calibri" w:eastAsia="Calibri" w:hAnsi="Calibri" w:cs="Calibri"/>
                <w:color w:val="000000"/>
                <w:sz w:val="16"/>
                <w:szCs w:val="16"/>
              </w:rPr>
              <w:t>10.60</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0B518129" w14:textId="51E710A4">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222F6F48"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0DDF70ED" w14:textId="3DF28949">
            <w:pPr>
              <w:widowControl/>
              <w:rPr>
                <w:rFonts w:ascii="Calibri" w:eastAsia="Calibri" w:hAnsi="Calibri" w:cs="Calibri"/>
                <w:color w:val="000000"/>
                <w:sz w:val="16"/>
                <w:szCs w:val="16"/>
              </w:rPr>
            </w:pPr>
            <w:r>
              <w:rPr>
                <w:rFonts w:ascii="Calibri" w:eastAsia="Calibri" w:hAnsi="Calibri" w:cs="Calibri"/>
                <w:color w:val="000000"/>
                <w:sz w:val="16"/>
                <w:szCs w:val="16"/>
              </w:rPr>
              <w:t>Tribal Plan</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4FFBE1E1" w14:textId="49C5F45D">
            <w:pPr>
              <w:widowControl/>
              <w:jc w:val="center"/>
              <w:rPr>
                <w:rFonts w:ascii="Calibri" w:eastAsia="Calibri" w:hAnsi="Calibri" w:cs="Calibri"/>
                <w:color w:val="000000"/>
                <w:sz w:val="16"/>
                <w:szCs w:val="16"/>
              </w:rPr>
            </w:pPr>
            <w:r>
              <w:rPr>
                <w:rFonts w:ascii="Calibri" w:eastAsia="Calibri" w:hAnsi="Calibri" w:cs="Calibri"/>
                <w:color w:val="000000"/>
                <w:sz w:val="16"/>
                <w:szCs w:val="16"/>
              </w:rPr>
              <w:t>5,920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0D154DE8" w14:textId="78A460A6">
            <w:pPr>
              <w:widowControl/>
              <w:jc w:val="center"/>
              <w:rPr>
                <w:rFonts w:ascii="Calibri" w:eastAsia="Calibri" w:hAnsi="Calibri" w:cs="Calibri"/>
                <w:color w:val="000000"/>
                <w:sz w:val="16"/>
                <w:szCs w:val="16"/>
              </w:rPr>
            </w:pPr>
            <w:r>
              <w:rPr>
                <w:rFonts w:ascii="Calibri" w:eastAsia="Calibri" w:hAnsi="Calibri" w:cs="Calibri"/>
                <w:color w:val="000000"/>
                <w:sz w:val="16"/>
                <w:szCs w:val="16"/>
              </w:rPr>
              <w:t>4,800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055A769B" w14:textId="2324AB41">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7A84CA0F" w14:textId="1A0AE398">
            <w:pPr>
              <w:widowControl/>
              <w:jc w:val="center"/>
              <w:rPr>
                <w:rFonts w:ascii="Calibri" w:eastAsia="Calibri" w:hAnsi="Calibri" w:cs="Calibri"/>
                <w:color w:val="000000"/>
                <w:sz w:val="16"/>
                <w:szCs w:val="16"/>
              </w:rPr>
            </w:pPr>
            <w:r>
              <w:rPr>
                <w:rFonts w:ascii="Calibri" w:eastAsia="Calibri" w:hAnsi="Calibri" w:cs="Calibri"/>
                <w:color w:val="000000"/>
                <w:sz w:val="16"/>
                <w:szCs w:val="16"/>
              </w:rPr>
              <w:t>2.65</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534892AA" w14:textId="7D49D9D9">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29C5F725"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45A87BCF" w14:textId="1C898313">
            <w:pPr>
              <w:widowControl/>
              <w:rPr>
                <w:rFonts w:ascii="Calibri" w:eastAsia="Calibri" w:hAnsi="Calibri" w:cs="Calibri"/>
                <w:color w:val="000000"/>
                <w:sz w:val="16"/>
                <w:szCs w:val="16"/>
              </w:rPr>
            </w:pPr>
            <w:r>
              <w:rPr>
                <w:rFonts w:ascii="Calibri" w:eastAsia="Calibri" w:hAnsi="Calibri" w:cs="Calibri"/>
                <w:color w:val="000000"/>
                <w:sz w:val="16"/>
                <w:szCs w:val="16"/>
              </w:rPr>
              <w:t>State research program</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6BA29D6E" w14:textId="4A3C6143">
            <w:pPr>
              <w:widowControl/>
              <w:jc w:val="center"/>
              <w:rPr>
                <w:rFonts w:ascii="Calibri" w:eastAsia="Calibri" w:hAnsi="Calibri" w:cs="Calibri"/>
                <w:color w:val="000000"/>
                <w:sz w:val="16"/>
                <w:szCs w:val="16"/>
              </w:rPr>
            </w:pPr>
            <w:r>
              <w:rPr>
                <w:rFonts w:ascii="Calibri" w:eastAsia="Calibri" w:hAnsi="Calibri" w:cs="Calibri"/>
                <w:color w:val="000000"/>
                <w:sz w:val="16"/>
                <w:szCs w:val="16"/>
              </w:rPr>
              <w:t>4,440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587E85C3" w14:textId="5A225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3,600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08DE6CF9" w14:textId="50CAB374">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58074BD8" w14:textId="0DAAA4CC">
            <w:pPr>
              <w:widowControl/>
              <w:jc w:val="center"/>
              <w:rPr>
                <w:rFonts w:ascii="Calibri" w:eastAsia="Calibri" w:hAnsi="Calibri" w:cs="Calibri"/>
                <w:color w:val="000000"/>
                <w:sz w:val="16"/>
                <w:szCs w:val="16"/>
              </w:rPr>
            </w:pPr>
            <w:r>
              <w:rPr>
                <w:rFonts w:ascii="Calibri" w:eastAsia="Calibri" w:hAnsi="Calibri" w:cs="Calibri"/>
                <w:color w:val="000000"/>
                <w:sz w:val="16"/>
                <w:szCs w:val="16"/>
              </w:rPr>
              <w:t>7.95</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2AF590EF" w14:textId="60EBB67A">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26A773F8"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2AA70382" w14:textId="6276234D">
            <w:pPr>
              <w:widowControl/>
              <w:rPr>
                <w:rFonts w:ascii="Calibri" w:eastAsia="Calibri" w:hAnsi="Calibri" w:cs="Calibri"/>
                <w:color w:val="000000"/>
                <w:sz w:val="16"/>
                <w:szCs w:val="16"/>
              </w:rPr>
            </w:pPr>
            <w:r>
              <w:rPr>
                <w:rFonts w:ascii="Calibri" w:eastAsia="Calibri" w:hAnsi="Calibri" w:cs="Calibri"/>
                <w:color w:val="000000"/>
                <w:sz w:val="16"/>
                <w:szCs w:val="16"/>
              </w:rPr>
              <w:t>Research applications</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643E6D7D" w14:textId="096C1A24">
            <w:pPr>
              <w:widowControl/>
              <w:jc w:val="center"/>
              <w:rPr>
                <w:rFonts w:ascii="Calibri" w:eastAsia="Calibri" w:hAnsi="Calibri" w:cs="Calibri"/>
                <w:color w:val="000000"/>
                <w:sz w:val="16"/>
                <w:szCs w:val="16"/>
              </w:rPr>
            </w:pPr>
            <w:r>
              <w:rPr>
                <w:rFonts w:ascii="Calibri" w:eastAsia="Calibri" w:hAnsi="Calibri" w:cs="Calibri"/>
                <w:color w:val="000000"/>
                <w:sz w:val="16"/>
                <w:szCs w:val="16"/>
              </w:rPr>
              <w:t>14,800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49FB3764" w14:textId="7F5FFEB7">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12,000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4588CF25" w14:textId="0B5356FD">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2C7F93C9" w14:textId="29C831EE">
            <w:pPr>
              <w:widowControl/>
              <w:jc w:val="center"/>
              <w:rPr>
                <w:rFonts w:ascii="Calibri" w:eastAsia="Calibri" w:hAnsi="Calibri" w:cs="Calibri"/>
                <w:color w:val="000000"/>
                <w:sz w:val="16"/>
                <w:szCs w:val="16"/>
              </w:rPr>
            </w:pPr>
            <w:r>
              <w:rPr>
                <w:rFonts w:ascii="Calibri" w:eastAsia="Calibri" w:hAnsi="Calibri" w:cs="Calibri"/>
                <w:color w:val="000000"/>
                <w:sz w:val="16"/>
                <w:szCs w:val="16"/>
              </w:rPr>
              <w:t>26</w:t>
            </w:r>
            <w:bookmarkStart w:id="0" w:name="_GoBack"/>
            <w:bookmarkEnd w:id="0"/>
            <w:r>
              <w:rPr>
                <w:rFonts w:ascii="Calibri" w:eastAsia="Calibri" w:hAnsi="Calibri" w:cs="Calibri"/>
                <w:color w:val="000000"/>
                <w:sz w:val="16"/>
                <w:szCs w:val="16"/>
              </w:rPr>
              <w:t>.50</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35555B97" w14:textId="32ECC009">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46AB2A7F" w14:textId="77777777" w:rsidTr="003577A5">
        <w:tblPrEx>
          <w:tblW w:w="10635" w:type="dxa"/>
          <w:tblInd w:w="-25" w:type="dxa"/>
          <w:tblLayout w:type="fixed"/>
          <w:tblLook w:val="0400"/>
        </w:tblPrEx>
        <w:trPr>
          <w:trHeight w:val="315"/>
        </w:trPr>
        <w:tc>
          <w:tcPr>
            <w:tcW w:w="3255" w:type="dxa"/>
            <w:tcBorders>
              <w:top w:val="nil"/>
              <w:left w:val="single" w:sz="8" w:space="0" w:color="000000"/>
              <w:bottom w:val="single" w:sz="8" w:space="0" w:color="000000"/>
              <w:right w:val="single" w:sz="8" w:space="0" w:color="000000"/>
            </w:tcBorders>
            <w:shd w:val="clear" w:color="auto" w:fill="auto"/>
            <w:vAlign w:val="center"/>
          </w:tcPr>
          <w:p w:rsidR="004A59BA" w:rsidP="004A59BA" w14:paraId="0118A8D8" w14:textId="6935320A">
            <w:pPr>
              <w:widowControl/>
              <w:rPr>
                <w:rFonts w:ascii="Calibri" w:eastAsia="Calibri" w:hAnsi="Calibri" w:cs="Calibri"/>
                <w:color w:val="000000"/>
                <w:sz w:val="16"/>
                <w:szCs w:val="16"/>
              </w:rPr>
            </w:pPr>
            <w:r>
              <w:rPr>
                <w:rFonts w:ascii="Calibri" w:eastAsia="Calibri" w:hAnsi="Calibri" w:cs="Calibri"/>
                <w:color w:val="000000"/>
                <w:sz w:val="16"/>
                <w:szCs w:val="16"/>
              </w:rPr>
              <w:t>Research reports</w:t>
            </w:r>
          </w:p>
        </w:tc>
        <w:tc>
          <w:tcPr>
            <w:tcW w:w="810" w:type="dxa"/>
            <w:tcBorders>
              <w:top w:val="nil"/>
              <w:left w:val="nil"/>
              <w:bottom w:val="dotted" w:sz="4" w:space="0" w:color="000000"/>
              <w:right w:val="dashed" w:sz="8" w:space="0" w:color="000000"/>
            </w:tcBorders>
            <w:shd w:val="clear" w:color="auto" w:fill="auto"/>
            <w:vAlign w:val="center"/>
          </w:tcPr>
          <w:p w:rsidR="004A59BA" w:rsidP="004A59BA" w14:paraId="2A121F57" w14:textId="13337F8B">
            <w:pPr>
              <w:widowControl/>
              <w:jc w:val="center"/>
              <w:rPr>
                <w:rFonts w:ascii="Calibri" w:eastAsia="Calibri" w:hAnsi="Calibri" w:cs="Calibri"/>
                <w:color w:val="000000"/>
                <w:sz w:val="16"/>
                <w:szCs w:val="16"/>
              </w:rPr>
            </w:pPr>
            <w:r>
              <w:rPr>
                <w:rFonts w:ascii="Calibri" w:eastAsia="Calibri" w:hAnsi="Calibri" w:cs="Calibri"/>
                <w:color w:val="000000"/>
                <w:sz w:val="16"/>
                <w:szCs w:val="16"/>
              </w:rPr>
              <w:t>1,850</w:t>
            </w:r>
          </w:p>
        </w:tc>
        <w:tc>
          <w:tcPr>
            <w:tcW w:w="810" w:type="dxa"/>
            <w:tcBorders>
              <w:top w:val="nil"/>
              <w:left w:val="nil"/>
              <w:bottom w:val="dotted" w:sz="4" w:space="0" w:color="000000"/>
              <w:right w:val="single" w:sz="8" w:space="0" w:color="000000"/>
            </w:tcBorders>
            <w:shd w:val="clear" w:color="auto" w:fill="auto"/>
            <w:vAlign w:val="center"/>
          </w:tcPr>
          <w:p w:rsidR="004A59BA" w:rsidP="004A59BA" w14:paraId="14492147" w14:textId="537CE489">
            <w:pPr>
              <w:widowControl/>
              <w:jc w:val="center"/>
              <w:rPr>
                <w:rFonts w:ascii="Calibri" w:eastAsia="Calibri" w:hAnsi="Calibri" w:cs="Calibri"/>
                <w:color w:val="000000"/>
                <w:sz w:val="16"/>
                <w:szCs w:val="16"/>
              </w:rPr>
            </w:pPr>
            <w:r>
              <w:rPr>
                <w:rFonts w:ascii="Calibri" w:eastAsia="Calibri" w:hAnsi="Calibri" w:cs="Calibri"/>
                <w:color w:val="000000"/>
                <w:sz w:val="16"/>
                <w:szCs w:val="16"/>
              </w:rPr>
              <w:t>1,500</w:t>
            </w:r>
          </w:p>
        </w:tc>
        <w:tc>
          <w:tcPr>
            <w:tcW w:w="900" w:type="dxa"/>
            <w:tcBorders>
              <w:top w:val="nil"/>
              <w:left w:val="nil"/>
              <w:bottom w:val="dotted" w:sz="4" w:space="0" w:color="000000"/>
              <w:right w:val="dashed" w:sz="8" w:space="0" w:color="000000"/>
            </w:tcBorders>
            <w:shd w:val="clear" w:color="auto" w:fill="auto"/>
            <w:vAlign w:val="center"/>
          </w:tcPr>
          <w:p w:rsidR="004A59BA" w:rsidP="004A59BA" w14:paraId="548E6983" w14:textId="173CE654">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60" w:type="dxa"/>
            <w:tcBorders>
              <w:top w:val="nil"/>
              <w:left w:val="nil"/>
              <w:bottom w:val="dotted" w:sz="4" w:space="0" w:color="000000"/>
              <w:right w:val="single" w:sz="8" w:space="0" w:color="000000"/>
            </w:tcBorders>
            <w:shd w:val="clear" w:color="auto" w:fill="auto"/>
            <w:vAlign w:val="center"/>
          </w:tcPr>
          <w:p w:rsidR="004A59BA" w:rsidP="004A59BA" w14:paraId="76729812" w14:textId="364083C7">
            <w:pPr>
              <w:widowControl/>
              <w:jc w:val="center"/>
              <w:rPr>
                <w:rFonts w:ascii="Calibri" w:eastAsia="Calibri" w:hAnsi="Calibri" w:cs="Calibri"/>
                <w:color w:val="000000"/>
                <w:sz w:val="16"/>
                <w:szCs w:val="16"/>
              </w:rPr>
            </w:pPr>
            <w:r>
              <w:rPr>
                <w:rFonts w:ascii="Calibri" w:eastAsia="Calibri" w:hAnsi="Calibri" w:cs="Calibri"/>
                <w:color w:val="000000"/>
                <w:sz w:val="16"/>
                <w:szCs w:val="16"/>
              </w:rPr>
              <w:t>26.50</w:t>
            </w:r>
          </w:p>
        </w:tc>
        <w:tc>
          <w:tcPr>
            <w:tcW w:w="4000" w:type="dxa"/>
            <w:tcBorders>
              <w:top w:val="nil"/>
              <w:left w:val="nil"/>
              <w:bottom w:val="dotted" w:sz="4" w:space="0" w:color="000000"/>
              <w:right w:val="single" w:sz="8" w:space="0" w:color="000000"/>
            </w:tcBorders>
            <w:shd w:val="clear" w:color="auto" w:fill="auto"/>
            <w:vAlign w:val="center"/>
          </w:tcPr>
          <w:p w:rsidR="004A59BA" w:rsidP="004A59BA" w14:paraId="2540EC04" w14:textId="571D2C89">
            <w:pPr>
              <w:widowControl/>
              <w:rPr>
                <w:rFonts w:ascii="Calibri" w:eastAsia="Calibri" w:hAnsi="Calibri" w:cs="Calibri"/>
                <w:color w:val="000000"/>
                <w:sz w:val="16"/>
                <w:szCs w:val="16"/>
              </w:rPr>
            </w:pPr>
            <w:r w:rsidRPr="004A59BA">
              <w:rPr>
                <w:rFonts w:ascii="Calibri" w:eastAsia="Calibri" w:hAnsi="Calibri" w:cs="Calibri"/>
                <w:color w:val="000000"/>
                <w:sz w:val="16"/>
                <w:szCs w:val="16"/>
              </w:rPr>
              <w:t>Increased labor cost estimate due to increased hourly wage estimate (from $30 to $37 per hour). Reduced miscellaneous cost estimate due to electronic submissions rather than printed and mailed submissions.</w:t>
            </w:r>
          </w:p>
        </w:tc>
      </w:tr>
      <w:tr w14:paraId="3788BF78" w14:textId="77777777" w:rsidTr="003577A5">
        <w:tblPrEx>
          <w:tblW w:w="10635" w:type="dxa"/>
          <w:tblInd w:w="-25" w:type="dxa"/>
          <w:tblLayout w:type="fixed"/>
          <w:tblLook w:val="0400"/>
        </w:tblPrEx>
        <w:trPr>
          <w:trHeight w:val="465"/>
        </w:trPr>
        <w:tc>
          <w:tcPr>
            <w:tcW w:w="3255" w:type="dxa"/>
            <w:tcBorders>
              <w:top w:val="nil"/>
              <w:left w:val="single" w:sz="8" w:space="0" w:color="000000"/>
              <w:bottom w:val="nil"/>
              <w:right w:val="single" w:sz="8" w:space="0" w:color="000000"/>
            </w:tcBorders>
            <w:shd w:val="clear" w:color="auto" w:fill="BDD6EE"/>
            <w:vAlign w:val="center"/>
          </w:tcPr>
          <w:p w:rsidR="004A59BA" w:rsidP="004A59BA" w14:paraId="6D3B30A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810" w:type="dxa"/>
            <w:tcBorders>
              <w:top w:val="nil"/>
              <w:left w:val="nil"/>
              <w:bottom w:val="nil"/>
              <w:right w:val="dashed" w:sz="8" w:space="0" w:color="000000"/>
            </w:tcBorders>
            <w:shd w:val="clear" w:color="auto" w:fill="BDD6EE"/>
            <w:vAlign w:val="center"/>
          </w:tcPr>
          <w:p w:rsidR="004A59BA" w:rsidP="004A59BA" w14:paraId="12C67E5E" w14:textId="634A996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55,870</w:t>
            </w:r>
          </w:p>
        </w:tc>
        <w:tc>
          <w:tcPr>
            <w:tcW w:w="810" w:type="dxa"/>
            <w:tcBorders>
              <w:top w:val="nil"/>
              <w:left w:val="nil"/>
              <w:bottom w:val="nil"/>
              <w:right w:val="single" w:sz="8" w:space="0" w:color="000000"/>
            </w:tcBorders>
            <w:shd w:val="clear" w:color="auto" w:fill="BDD6EE"/>
            <w:vAlign w:val="center"/>
          </w:tcPr>
          <w:p w:rsidR="004A59BA" w:rsidP="004A59BA" w14:paraId="63EA8DD3" w14:textId="12C4D23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45,300</w:t>
            </w:r>
          </w:p>
        </w:tc>
        <w:tc>
          <w:tcPr>
            <w:tcW w:w="900" w:type="dxa"/>
            <w:tcBorders>
              <w:top w:val="nil"/>
              <w:left w:val="nil"/>
              <w:bottom w:val="nil"/>
              <w:right w:val="dashed" w:sz="8" w:space="0" w:color="000000"/>
            </w:tcBorders>
            <w:shd w:val="clear" w:color="auto" w:fill="BDD6EE"/>
            <w:vAlign w:val="center"/>
          </w:tcPr>
          <w:p w:rsidR="004A59BA" w:rsidP="004A59BA" w14:paraId="384FC1E7" w14:textId="165CE3C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0</w:t>
            </w:r>
          </w:p>
        </w:tc>
        <w:tc>
          <w:tcPr>
            <w:tcW w:w="860" w:type="dxa"/>
            <w:tcBorders>
              <w:top w:val="nil"/>
              <w:left w:val="nil"/>
              <w:bottom w:val="nil"/>
              <w:right w:val="single" w:sz="8" w:space="0" w:color="000000"/>
            </w:tcBorders>
            <w:shd w:val="clear" w:color="auto" w:fill="BDD6EE"/>
            <w:vAlign w:val="center"/>
          </w:tcPr>
          <w:p w:rsidR="004A59BA" w:rsidP="004A59BA" w14:paraId="66CE841F" w14:textId="0DFD9F7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127.20</w:t>
            </w:r>
          </w:p>
        </w:tc>
        <w:tc>
          <w:tcPr>
            <w:tcW w:w="4000" w:type="dxa"/>
            <w:tcBorders>
              <w:top w:val="nil"/>
              <w:left w:val="nil"/>
              <w:bottom w:val="nil"/>
              <w:right w:val="single" w:sz="8" w:space="0" w:color="000000"/>
            </w:tcBorders>
            <w:shd w:val="clear" w:color="auto" w:fill="000000"/>
            <w:vAlign w:val="center"/>
          </w:tcPr>
          <w:p w:rsidR="004A59BA" w:rsidP="004A59BA" w14:paraId="1BAF84D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64324A64" w14:textId="77777777" w:rsidTr="003577A5">
        <w:tblPrEx>
          <w:tblW w:w="10635" w:type="dxa"/>
          <w:tblInd w:w="-25" w:type="dxa"/>
          <w:tblLayout w:type="fixed"/>
          <w:tblLook w:val="0400"/>
        </w:tblPrEx>
        <w:trPr>
          <w:trHeight w:val="315"/>
        </w:trPr>
        <w:tc>
          <w:tcPr>
            <w:tcW w:w="3255" w:type="dxa"/>
            <w:tcBorders>
              <w:top w:val="single" w:sz="8" w:space="0" w:color="000000"/>
              <w:left w:val="single" w:sz="8" w:space="0" w:color="000000"/>
              <w:bottom w:val="single" w:sz="8" w:space="0" w:color="000000"/>
              <w:right w:val="nil"/>
            </w:tcBorders>
            <w:shd w:val="clear" w:color="auto" w:fill="FCE4D6"/>
            <w:vAlign w:val="bottom"/>
          </w:tcPr>
          <w:p w:rsidR="004A59BA" w:rsidP="004A59BA" w14:paraId="1426266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4A59BA" w:rsidP="004A59BA" w14:paraId="169B0B2B" w14:textId="61761E03">
            <w:pPr>
              <w:widowControl/>
              <w:jc w:val="center"/>
              <w:rPr>
                <w:rFonts w:ascii="Calibri" w:eastAsia="Calibri" w:hAnsi="Calibri" w:cs="Calibri"/>
                <w:color w:val="000000"/>
              </w:rPr>
            </w:pPr>
            <w:r>
              <w:rPr>
                <w:rFonts w:ascii="Calibri" w:eastAsia="Calibri" w:hAnsi="Calibri" w:cs="Calibri"/>
                <w:color w:val="000000"/>
              </w:rPr>
              <w:t>+ 10,570 </w:t>
            </w:r>
          </w:p>
        </w:tc>
        <w:tc>
          <w:tcPr>
            <w:tcW w:w="1760" w:type="dxa"/>
            <w:gridSpan w:val="2"/>
            <w:tcBorders>
              <w:top w:val="single" w:sz="8" w:space="0" w:color="000000"/>
              <w:left w:val="nil"/>
              <w:bottom w:val="single" w:sz="8" w:space="0" w:color="000000"/>
              <w:right w:val="single" w:sz="4" w:space="0" w:color="000000"/>
            </w:tcBorders>
            <w:shd w:val="clear" w:color="auto" w:fill="FCE4D6"/>
            <w:vAlign w:val="bottom"/>
          </w:tcPr>
          <w:p w:rsidR="00E85B56" w:rsidP="004A59BA" w14:paraId="24BE4573" w14:textId="77777777">
            <w:pPr>
              <w:widowControl/>
              <w:jc w:val="center"/>
              <w:rPr>
                <w:rFonts w:ascii="Calibri" w:eastAsia="Calibri" w:hAnsi="Calibri" w:cs="Calibri"/>
                <w:color w:val="000000"/>
              </w:rPr>
            </w:pPr>
            <w:r>
              <w:rPr>
                <w:rFonts w:ascii="Calibri" w:eastAsia="Calibri" w:hAnsi="Calibri" w:cs="Calibri"/>
                <w:color w:val="000000"/>
              </w:rPr>
              <w:t> -127.20</w:t>
            </w:r>
          </w:p>
          <w:p w:rsidR="004A59BA" w:rsidRPr="00E85B56" w:rsidP="004A59BA" w14:paraId="55081F60" w14:textId="72D65D18">
            <w:pPr>
              <w:widowControl/>
              <w:jc w:val="center"/>
              <w:rPr>
                <w:rFonts w:ascii="Calibri" w:eastAsia="Calibri" w:hAnsi="Calibri" w:cs="Calibri"/>
                <w:color w:val="000000"/>
                <w:sz w:val="16"/>
                <w:szCs w:val="16"/>
              </w:rPr>
            </w:pPr>
            <w:r w:rsidRPr="00E85B56">
              <w:rPr>
                <w:rFonts w:ascii="Calibri" w:eastAsia="Calibri" w:hAnsi="Calibri" w:cs="Calibri"/>
                <w:color w:val="000000"/>
                <w:sz w:val="16"/>
                <w:szCs w:val="16"/>
              </w:rPr>
              <w:t xml:space="preserve"> (ROCIS value of 126 due to rounding)</w:t>
            </w:r>
          </w:p>
        </w:tc>
        <w:tc>
          <w:tcPr>
            <w:tcW w:w="4000" w:type="dxa"/>
            <w:tcBorders>
              <w:top w:val="single" w:sz="8" w:space="0" w:color="000000"/>
              <w:left w:val="nil"/>
              <w:bottom w:val="single" w:sz="8" w:space="0" w:color="000000"/>
              <w:right w:val="single" w:sz="8" w:space="0" w:color="000000"/>
            </w:tcBorders>
            <w:shd w:val="clear" w:color="auto" w:fill="000000"/>
            <w:vAlign w:val="bottom"/>
          </w:tcPr>
          <w:p w:rsidR="004A59BA" w:rsidP="004A59BA" w14:paraId="33A88CE7" w14:textId="77777777">
            <w:pPr>
              <w:widowControl/>
              <w:rPr>
                <w:rFonts w:ascii="Calibri" w:eastAsia="Calibri" w:hAnsi="Calibri" w:cs="Calibri"/>
                <w:color w:val="000000"/>
              </w:rPr>
            </w:pPr>
            <w:r>
              <w:rPr>
                <w:rFonts w:ascii="Calibri" w:eastAsia="Calibri" w:hAnsi="Calibri" w:cs="Calibri"/>
                <w:color w:val="000000"/>
              </w:rPr>
              <w:t> </w:t>
            </w:r>
          </w:p>
        </w:tc>
      </w:tr>
    </w:tbl>
    <w:p w:rsidR="0087154E" w14:paraId="213B450C" w14:textId="30FB5FE6">
      <w:pPr>
        <w:pBdr>
          <w:top w:val="nil"/>
          <w:left w:val="nil"/>
          <w:bottom w:val="nil"/>
          <w:right w:val="nil"/>
          <w:between w:val="nil"/>
        </w:pBdr>
        <w:spacing w:before="7"/>
        <w:rPr>
          <w:b/>
          <w:color w:val="000000"/>
        </w:rPr>
      </w:pPr>
    </w:p>
    <w:p w:rsidR="0087154E" w14:paraId="79D494F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will be published, outline plans for tabulation and publication. Address any complex analytical techniques that will be used. Provide the time </w:t>
      </w:r>
      <w:r>
        <w:rPr>
          <w:b/>
          <w:color w:val="000000"/>
        </w:rPr>
        <w:t>schedule for the entire project, including beginning and ending dates of the collection of information, completion of report, publication dates, and other actions.</w:t>
      </w:r>
    </w:p>
    <w:p w:rsidR="00456513" w14:paraId="56DB4849" w14:textId="25E954A6">
      <w:pPr>
        <w:pBdr>
          <w:top w:val="nil"/>
          <w:left w:val="nil"/>
          <w:bottom w:val="nil"/>
          <w:right w:val="nil"/>
          <w:between w:val="nil"/>
        </w:pBdr>
        <w:spacing w:before="160"/>
      </w:pPr>
      <w:r w:rsidRPr="00C63991">
        <w:t>As de</w:t>
      </w:r>
      <w:r>
        <w:t xml:space="preserve">scribed above under Question 2, FMEPs and Tribal Plans would be required to be </w:t>
      </w:r>
      <w:r w:rsidRPr="00C63991">
        <w:t xml:space="preserve">published in the Federal Register for public comment prior to approval </w:t>
      </w:r>
      <w:r>
        <w:t>by NMFS</w:t>
      </w:r>
      <w:r w:rsidRPr="00C63991">
        <w:t>.</w:t>
      </w:r>
      <w:r>
        <w:t xml:space="preserve"> </w:t>
      </w:r>
      <w:r w:rsidRPr="00C63991">
        <w:t xml:space="preserve">NMFS </w:t>
      </w:r>
      <w:r>
        <w:t>will post approved plans and reports on the NMFS</w:t>
      </w:r>
      <w:r w:rsidRPr="00C63991">
        <w:t xml:space="preserve"> web</w:t>
      </w:r>
      <w:r>
        <w:t xml:space="preserve"> </w:t>
      </w:r>
      <w:r w:rsidRPr="00C63991">
        <w:t>site.</w:t>
      </w:r>
      <w:r>
        <w:t xml:space="preserve"> We expect the time schedule to vary for each FMEP and Tribal Plan. The time schedule would include a 30 to 60 day public comment period for the proposed FMEP or Tribal Plan, 90 to 135 days for a consultation under Section 7 of the ESA for NMFS’ approval of the FMEP or Tribal Plan, and additional time for internal review and publication of the Federal Register notices.  </w:t>
      </w:r>
    </w:p>
    <w:p w:rsidR="00456513" w14:paraId="506616CF" w14:textId="77777777">
      <w:pPr>
        <w:pBdr>
          <w:top w:val="nil"/>
          <w:left w:val="nil"/>
          <w:bottom w:val="nil"/>
          <w:right w:val="nil"/>
          <w:between w:val="nil"/>
        </w:pBdr>
        <w:spacing w:before="160"/>
        <w:rPr>
          <w:color w:val="000000"/>
        </w:rPr>
      </w:pPr>
    </w:p>
    <w:p w:rsidR="0087154E" w:rsidRPr="005D5EC6" w14:paraId="5B7302F5" w14:textId="77777777">
      <w:pPr>
        <w:numPr>
          <w:ilvl w:val="0"/>
          <w:numId w:val="3"/>
        </w:numPr>
        <w:pBdr>
          <w:top w:val="nil"/>
          <w:left w:val="nil"/>
          <w:bottom w:val="nil"/>
          <w:right w:val="nil"/>
          <w:between w:val="nil"/>
        </w:pBdr>
        <w:tabs>
          <w:tab w:val="left" w:pos="360"/>
        </w:tabs>
        <w:spacing w:before="80"/>
        <w:ind w:left="0" w:firstLine="0"/>
        <w:rPr>
          <w:b/>
        </w:rPr>
      </w:pPr>
      <w:r>
        <w:rPr>
          <w:b/>
          <w:color w:val="000000"/>
        </w:rPr>
        <w:t>If seeking approval to not display the expiration date for OMB approval of the information collection, explain the reasons that display would be inappropriate.</w:t>
      </w:r>
    </w:p>
    <w:p w:rsidR="0087154E" w14:paraId="2AC4CCF4" w14:textId="36289A3E">
      <w:pPr>
        <w:spacing w:before="161"/>
      </w:pPr>
      <w:r w:rsidRPr="005D5EC6">
        <w:t xml:space="preserve">The agency plans to display the expiration date for OMB approval of the information </w:t>
      </w:r>
      <w:r w:rsidRPr="005D5EC6" w:rsidR="005D5EC6">
        <w:t>collection on all instruments.</w:t>
      </w:r>
    </w:p>
    <w:p w:rsidR="005D5EC6" w:rsidRPr="005D5EC6" w14:paraId="4EB20979" w14:textId="77777777">
      <w:pPr>
        <w:spacing w:before="161"/>
      </w:pPr>
    </w:p>
    <w:p w:rsidR="0087154E" w14:paraId="5AF7786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87154E" w:rsidRPr="0034088C" w14:paraId="4EF64F94" w14:textId="3B919DC2">
      <w:pPr>
        <w:spacing w:before="221" w:line="259" w:lineRule="auto"/>
        <w:jc w:val="both"/>
      </w:pPr>
      <w:r>
        <w:t xml:space="preserve">The agency certifies compliance with </w:t>
      </w:r>
      <w:hyperlink r:id="rId11">
        <w:r>
          <w:rPr>
            <w:color w:val="0563C1"/>
            <w:u w:val="single"/>
          </w:rPr>
          <w:t>5 CFR 1320.9</w:t>
        </w:r>
      </w:hyperlink>
      <w:hyperlink r:id="rId11">
        <w:r>
          <w:rPr>
            <w:color w:val="0563C1"/>
          </w:rPr>
          <w:t xml:space="preserve"> </w:t>
        </w:r>
      </w:hyperlink>
      <w:r>
        <w:t xml:space="preserve">and the related provisions of </w:t>
      </w:r>
      <w:hyperlink r:id="rId12">
        <w:r>
          <w:rPr>
            <w:color w:val="0563C1"/>
            <w:u w:val="single"/>
          </w:rPr>
          <w:t>5 CFR</w:t>
        </w:r>
      </w:hyperlink>
      <w:r>
        <w:rPr>
          <w:color w:val="0563C1"/>
        </w:rPr>
        <w:t xml:space="preserve"> </w:t>
      </w:r>
      <w:hyperlink r:id="rId12">
        <w:r>
          <w:rPr>
            <w:color w:val="0563C1"/>
            <w:u w:val="single"/>
          </w:rPr>
          <w:t>1320.8(b)(3)</w:t>
        </w:r>
      </w:hyperlink>
      <w:r>
        <w:t>.</w:t>
      </w:r>
      <w:bookmarkStart w:id="1" w:name="_heading=h.gjdgxs" w:colFirst="0" w:colLast="0"/>
      <w:bookmarkEnd w:id="1"/>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8081910"/>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rsidR="00E85B56" w:rsidRPr="0034088C" w14:paraId="0CCF186E" w14:textId="1917A3A1">
            <w:pPr>
              <w:pStyle w:val="Footer"/>
              <w:jc w:val="right"/>
              <w:rPr>
                <w:sz w:val="20"/>
                <w:szCs w:val="20"/>
              </w:rPr>
            </w:pPr>
            <w:r w:rsidRPr="0034088C">
              <w:rPr>
                <w:sz w:val="20"/>
                <w:szCs w:val="20"/>
              </w:rPr>
              <w:t xml:space="preserve">Page </w:t>
            </w:r>
            <w:r w:rsidRPr="0034088C">
              <w:rPr>
                <w:bCs/>
                <w:sz w:val="20"/>
                <w:szCs w:val="20"/>
              </w:rPr>
              <w:fldChar w:fldCharType="begin"/>
            </w:r>
            <w:r w:rsidRPr="0034088C">
              <w:rPr>
                <w:bCs/>
                <w:sz w:val="20"/>
                <w:szCs w:val="20"/>
              </w:rPr>
              <w:instrText xml:space="preserve"> PAGE </w:instrText>
            </w:r>
            <w:r w:rsidRPr="0034088C">
              <w:rPr>
                <w:bCs/>
                <w:sz w:val="20"/>
                <w:szCs w:val="20"/>
              </w:rPr>
              <w:fldChar w:fldCharType="separate"/>
            </w:r>
            <w:r w:rsidR="005D283C">
              <w:rPr>
                <w:bCs/>
                <w:noProof/>
                <w:sz w:val="20"/>
                <w:szCs w:val="20"/>
              </w:rPr>
              <w:t>9</w:t>
            </w:r>
            <w:r w:rsidRPr="0034088C">
              <w:rPr>
                <w:bCs/>
                <w:sz w:val="20"/>
                <w:szCs w:val="20"/>
              </w:rPr>
              <w:fldChar w:fldCharType="end"/>
            </w:r>
            <w:r w:rsidRPr="0034088C">
              <w:rPr>
                <w:sz w:val="20"/>
                <w:szCs w:val="20"/>
              </w:rPr>
              <w:t xml:space="preserve"> of </w:t>
            </w:r>
            <w:r w:rsidRPr="0034088C">
              <w:rPr>
                <w:bCs/>
                <w:sz w:val="20"/>
                <w:szCs w:val="20"/>
              </w:rPr>
              <w:fldChar w:fldCharType="begin"/>
            </w:r>
            <w:r w:rsidRPr="0034088C">
              <w:rPr>
                <w:bCs/>
                <w:sz w:val="20"/>
                <w:szCs w:val="20"/>
              </w:rPr>
              <w:instrText xml:space="preserve"> NUMPAGES  </w:instrText>
            </w:r>
            <w:r w:rsidRPr="0034088C">
              <w:rPr>
                <w:bCs/>
                <w:sz w:val="20"/>
                <w:szCs w:val="20"/>
              </w:rPr>
              <w:fldChar w:fldCharType="separate"/>
            </w:r>
            <w:r w:rsidR="005D283C">
              <w:rPr>
                <w:bCs/>
                <w:noProof/>
                <w:sz w:val="20"/>
                <w:szCs w:val="20"/>
              </w:rPr>
              <w:t>11</w:t>
            </w:r>
            <w:r w:rsidRPr="0034088C">
              <w:rPr>
                <w:bCs/>
                <w:sz w:val="20"/>
                <w:szCs w:val="20"/>
              </w:rPr>
              <w:fldChar w:fldCharType="end"/>
            </w:r>
          </w:p>
        </w:sdtContent>
      </w:sdt>
    </w:sdtContent>
  </w:sdt>
  <w:p w:rsidR="00E85B56" w14:paraId="53DB4CD4" w14:textId="78D13444">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11CD0"/>
    <w:multiLevelType w:val="hybridMultilevel"/>
    <w:tmpl w:val="06229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9D38A7"/>
    <w:multiLevelType w:val="multilevel"/>
    <w:tmpl w:val="255A74BE"/>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159F2B76"/>
    <w:multiLevelType w:val="hybridMultilevel"/>
    <w:tmpl w:val="52B68F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83496A"/>
    <w:multiLevelType w:val="multilevel"/>
    <w:tmpl w:val="3828A8D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2056319E"/>
    <w:multiLevelType w:val="multilevel"/>
    <w:tmpl w:val="768A2E9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2C9502E3"/>
    <w:multiLevelType w:val="multilevel"/>
    <w:tmpl w:val="D756A5E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4A590BF9"/>
    <w:multiLevelType w:val="hybridMultilevel"/>
    <w:tmpl w:val="FBFA4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D55AC8"/>
    <w:multiLevelType w:val="multilevel"/>
    <w:tmpl w:val="C82CEC0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4EAC697B"/>
    <w:multiLevelType w:val="multilevel"/>
    <w:tmpl w:val="A78AD20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nsid w:val="58B13A09"/>
    <w:multiLevelType w:val="hybridMultilevel"/>
    <w:tmpl w:val="57D02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843F6B"/>
    <w:multiLevelType w:val="multilevel"/>
    <w:tmpl w:val="4D8C4BB8"/>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1">
    <w:nsid w:val="5FF2095F"/>
    <w:multiLevelType w:val="multilevel"/>
    <w:tmpl w:val="7AEC48F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6AED4FF3"/>
    <w:multiLevelType w:val="multilevel"/>
    <w:tmpl w:val="B5F2A6C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6DD30EBE"/>
    <w:multiLevelType w:val="hybridMultilevel"/>
    <w:tmpl w:val="BA70D5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963AB7"/>
    <w:multiLevelType w:val="multilevel"/>
    <w:tmpl w:val="84EAAF1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5">
    <w:nsid w:val="7E8E6AFD"/>
    <w:multiLevelType w:val="multilevel"/>
    <w:tmpl w:val="7A7A0CF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8"/>
  </w:num>
  <w:num w:numId="3">
    <w:abstractNumId w:val="1"/>
  </w:num>
  <w:num w:numId="4">
    <w:abstractNumId w:val="7"/>
  </w:num>
  <w:num w:numId="5">
    <w:abstractNumId w:val="11"/>
  </w:num>
  <w:num w:numId="6">
    <w:abstractNumId w:val="12"/>
  </w:num>
  <w:num w:numId="7">
    <w:abstractNumId w:val="15"/>
  </w:num>
  <w:num w:numId="8">
    <w:abstractNumId w:val="5"/>
  </w:num>
  <w:num w:numId="9">
    <w:abstractNumId w:val="10"/>
  </w:num>
  <w:num w:numId="10">
    <w:abstractNumId w:val="3"/>
  </w:num>
  <w:num w:numId="11">
    <w:abstractNumId w:val="14"/>
  </w:num>
  <w:num w:numId="12">
    <w:abstractNumId w:val="0"/>
  </w:num>
  <w:num w:numId="13">
    <w:abstractNumId w:val="13"/>
  </w:num>
  <w:num w:numId="14">
    <w:abstractNumId w:val="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4E"/>
    <w:rsid w:val="000D1562"/>
    <w:rsid w:val="00135F19"/>
    <w:rsid w:val="00146FBE"/>
    <w:rsid w:val="00150999"/>
    <w:rsid w:val="0015291F"/>
    <w:rsid w:val="001A4465"/>
    <w:rsid w:val="001B20AD"/>
    <w:rsid w:val="001E6F72"/>
    <w:rsid w:val="00221434"/>
    <w:rsid w:val="002672E7"/>
    <w:rsid w:val="002745D6"/>
    <w:rsid w:val="00312573"/>
    <w:rsid w:val="0034088C"/>
    <w:rsid w:val="003577A5"/>
    <w:rsid w:val="00377AA6"/>
    <w:rsid w:val="003A2D7D"/>
    <w:rsid w:val="003F4F08"/>
    <w:rsid w:val="00401828"/>
    <w:rsid w:val="00455D01"/>
    <w:rsid w:val="00456513"/>
    <w:rsid w:val="00477323"/>
    <w:rsid w:val="004A59BA"/>
    <w:rsid w:val="005017FC"/>
    <w:rsid w:val="005261CD"/>
    <w:rsid w:val="00533825"/>
    <w:rsid w:val="005B3106"/>
    <w:rsid w:val="005D283C"/>
    <w:rsid w:val="005D5EC6"/>
    <w:rsid w:val="005F311B"/>
    <w:rsid w:val="00625FCE"/>
    <w:rsid w:val="006672D4"/>
    <w:rsid w:val="00712366"/>
    <w:rsid w:val="00725BAA"/>
    <w:rsid w:val="00732AAB"/>
    <w:rsid w:val="007B39D2"/>
    <w:rsid w:val="007D5000"/>
    <w:rsid w:val="00822F7F"/>
    <w:rsid w:val="0087154E"/>
    <w:rsid w:val="008B5EA3"/>
    <w:rsid w:val="008C5726"/>
    <w:rsid w:val="009312EC"/>
    <w:rsid w:val="009547F6"/>
    <w:rsid w:val="009971AD"/>
    <w:rsid w:val="009B3820"/>
    <w:rsid w:val="00A47F12"/>
    <w:rsid w:val="00A71E82"/>
    <w:rsid w:val="00B31D7E"/>
    <w:rsid w:val="00B5027D"/>
    <w:rsid w:val="00BB3D38"/>
    <w:rsid w:val="00BE3AD2"/>
    <w:rsid w:val="00C57024"/>
    <w:rsid w:val="00C63991"/>
    <w:rsid w:val="00C70356"/>
    <w:rsid w:val="00C855B4"/>
    <w:rsid w:val="00D163B0"/>
    <w:rsid w:val="00D37D47"/>
    <w:rsid w:val="00D73616"/>
    <w:rsid w:val="00DC0CF7"/>
    <w:rsid w:val="00DF1A96"/>
    <w:rsid w:val="00E564F5"/>
    <w:rsid w:val="00E67BF9"/>
    <w:rsid w:val="00E81C0A"/>
    <w:rsid w:val="00E85B56"/>
    <w:rsid w:val="00EA3213"/>
    <w:rsid w:val="00EE5975"/>
    <w:rsid w:val="00FD05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15150"/>
  <w15:docId w15:val="{152D4991-D3D7-400F-8F8C-8A834F84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FootnoteText">
    <w:name w:val="footnote text"/>
    <w:basedOn w:val="Normal"/>
    <w:link w:val="FootnoteTextChar"/>
    <w:rsid w:val="00E67BF9"/>
    <w:pPr>
      <w:autoSpaceDE w:val="0"/>
      <w:autoSpaceDN w:val="0"/>
      <w:adjustRightInd w:val="0"/>
    </w:pPr>
    <w:rPr>
      <w:sz w:val="20"/>
      <w:szCs w:val="20"/>
    </w:rPr>
  </w:style>
  <w:style w:type="character" w:customStyle="1" w:styleId="FootnoteTextChar">
    <w:name w:val="Footnote Text Char"/>
    <w:basedOn w:val="DefaultParagraphFont"/>
    <w:link w:val="FootnoteText"/>
    <w:rsid w:val="00E67BF9"/>
    <w:rPr>
      <w:sz w:val="20"/>
      <w:szCs w:val="20"/>
    </w:rPr>
  </w:style>
  <w:style w:type="character" w:styleId="FootnoteReference">
    <w:name w:val="footnote reference"/>
    <w:rsid w:val="00E67BF9"/>
    <w:rPr>
      <w:vertAlign w:val="superscript"/>
    </w:rPr>
  </w:style>
  <w:style w:type="character" w:customStyle="1" w:styleId="apple-converted-space">
    <w:name w:val="apple-converted-space"/>
    <w:rsid w:val="00E67BF9"/>
  </w:style>
  <w:style w:type="paragraph" w:styleId="CommentSubject">
    <w:name w:val="annotation subject"/>
    <w:basedOn w:val="CommentText"/>
    <w:next w:val="CommentText"/>
    <w:link w:val="CommentSubjectChar"/>
    <w:uiPriority w:val="99"/>
    <w:semiHidden/>
    <w:unhideWhenUsed/>
    <w:rsid w:val="00BB3D38"/>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BB3D38"/>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bls/blswage.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national/endangered-species-conservation/endangered-species-act" TargetMode="External" /><Relationship Id="rId6" Type="http://schemas.openxmlformats.org/officeDocument/2006/relationships/hyperlink" Target="https://www.ecfr.gov/current/title-50/section-223.210"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s://apps.nmfs.noa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5085</Words>
  <Characters>28988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Paperwork Reduction Act Supporting Statment A</vt:lpstr>
    </vt:vector>
  </TitlesOfParts>
  <Company/>
  <LinksUpToDate>false</LinksUpToDate>
  <CharactersWithSpaces>34005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Supporting Statment A</dc:title>
  <dc:subject>Green sturgeon ESA 4(d) rule exception and exemptions 0648-0613</dc:subject>
  <dc:creator>NMFS West Coast Region</dc:creator>
  <dc:description>Renewal request for 2022.</dc:description>
  <cp:lastModifiedBy>Janet.Peery</cp:lastModifiedBy>
  <cp:revision>16</cp:revision>
  <dcterms:created xsi:type="dcterms:W3CDTF">2022-08-11T22:11:00Z</dcterms:created>
  <dcterms:modified xsi:type="dcterms:W3CDTF">2022-11-01T20:35:00Z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