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3DF1" w:rsidR="0075335D" w:rsidP="00B74AF6" w:rsidRDefault="00B74AF6" w14:paraId="13FF891F" w14:textId="5DD04379">
      <w:pPr>
        <w:pStyle w:val="BodyTextIndent3"/>
        <w:ind w:firstLine="0"/>
        <w:jc w:val="center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00043DF1">
        <w:rPr>
          <w:rFonts w:ascii="Arial" w:hAnsi="Arial" w:cs="Arial"/>
          <w:sz w:val="24"/>
          <w:szCs w:val="24"/>
        </w:rPr>
        <w:t>U.S. Food and Drug Administration</w:t>
      </w:r>
    </w:p>
    <w:p w:rsidRPr="00043DF1" w:rsidR="00B74AF6" w:rsidP="00B74AF6" w:rsidRDefault="00B74AF6" w14:paraId="66771D5C" w14:textId="5A005CC7">
      <w:pPr>
        <w:pStyle w:val="BodyTextIndent3"/>
        <w:ind w:firstLine="0"/>
        <w:jc w:val="center"/>
        <w:rPr>
          <w:rFonts w:ascii="Arial" w:hAnsi="Arial" w:cs="Arial"/>
          <w:sz w:val="24"/>
          <w:szCs w:val="24"/>
        </w:rPr>
      </w:pPr>
      <w:r w:rsidRPr="00043DF1">
        <w:rPr>
          <w:rFonts w:ascii="Arial" w:hAnsi="Arial" w:cs="Arial"/>
          <w:sz w:val="24"/>
          <w:szCs w:val="24"/>
        </w:rPr>
        <w:t>Center for Tobacco Products</w:t>
      </w:r>
    </w:p>
    <w:p w:rsidRPr="00043DF1" w:rsidR="00126718" w:rsidP="0075335D" w:rsidRDefault="00126718" w14:paraId="4D3C1964" w14:textId="77777777">
      <w:pPr>
        <w:pStyle w:val="BodyTextIndent3"/>
        <w:ind w:firstLine="0"/>
        <w:jc w:val="center"/>
        <w:rPr>
          <w:rFonts w:ascii="Arial" w:hAnsi="Arial" w:cs="Arial"/>
          <w:sz w:val="24"/>
          <w:szCs w:val="24"/>
        </w:rPr>
      </w:pPr>
      <w:r w:rsidRPr="00043DF1">
        <w:rPr>
          <w:rFonts w:ascii="Arial" w:hAnsi="Arial" w:cs="Arial"/>
          <w:sz w:val="24"/>
          <w:szCs w:val="24"/>
        </w:rPr>
        <w:t xml:space="preserve">Generic Clearance for the Collection of Qualitative Data on Tobacco Products and Communications </w:t>
      </w:r>
    </w:p>
    <w:p w:rsidRPr="00043DF1" w:rsidR="0075335D" w:rsidP="0075335D" w:rsidRDefault="00126718" w14:paraId="15A6F4D6" w14:textId="77777777">
      <w:pPr>
        <w:pStyle w:val="BodyTextIndent3"/>
        <w:ind w:firstLine="0"/>
        <w:jc w:val="center"/>
        <w:rPr>
          <w:rFonts w:ascii="Arial" w:hAnsi="Arial" w:cs="Arial"/>
          <w:sz w:val="24"/>
          <w:szCs w:val="24"/>
        </w:rPr>
      </w:pPr>
      <w:r w:rsidRPr="00043DF1">
        <w:rPr>
          <w:rFonts w:ascii="Arial" w:hAnsi="Arial" w:cs="Arial"/>
          <w:sz w:val="24"/>
          <w:szCs w:val="24"/>
        </w:rPr>
        <w:t>0910-0796</w:t>
      </w:r>
    </w:p>
    <w:p w:rsidRPr="002E6BBF" w:rsidR="0075335D" w:rsidP="0075335D" w:rsidRDefault="0075335D" w14:paraId="410B719C" w14:textId="77777777">
      <w:pPr>
        <w:pStyle w:val="BodyTextIndent3"/>
        <w:rPr>
          <w:rFonts w:ascii="Arial" w:hAnsi="Arial" w:cs="Arial"/>
          <w:sz w:val="24"/>
          <w:szCs w:val="24"/>
        </w:rPr>
      </w:pPr>
    </w:p>
    <w:tbl>
      <w:tblPr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88"/>
        <w:gridCol w:w="5348"/>
      </w:tblGrid>
      <w:tr w:rsidRPr="002E6BBF" w:rsidR="00126718" w:rsidTr="005331FF" w14:paraId="5025207A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63696C" w:rsidRDefault="00126718" w14:paraId="6F124C87" w14:textId="77777777">
            <w:pPr>
              <w:pStyle w:val="BodyTextIndent3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Generic Collection Title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63696C" w:rsidRDefault="00126718" w14:paraId="2C0ED599" w14:textId="77777777">
            <w:pPr>
              <w:pStyle w:val="BodyTextIndent3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Use of Information</w:t>
            </w:r>
          </w:p>
        </w:tc>
      </w:tr>
      <w:tr w:rsidRPr="002E6BBF" w:rsidR="00126718" w:rsidTr="00D36E4D" w14:paraId="71E63037" w14:textId="7777777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1409DF" w14:paraId="3B5BD69E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09DF">
              <w:rPr>
                <w:rFonts w:ascii="Arial" w:hAnsi="Arial" w:cs="Arial"/>
                <w:sz w:val="24"/>
                <w:szCs w:val="24"/>
              </w:rPr>
              <w:t xml:space="preserve">Qualitative Research to Design Advertising to Encourage Quitting Among Adult Cigarette Smokers (General Populations) 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B4775B" w:rsidRDefault="007223F7" w14:paraId="4D452D4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>the development and implementation of FDA’s public health campaign designed to encourage quitting among adult smokers.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 The results were used to 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 xml:space="preserve">indicate areas for refinement and development </w:t>
            </w:r>
            <w:r w:rsidR="00FD73D4">
              <w:rPr>
                <w:rFonts w:ascii="Arial" w:hAnsi="Arial" w:cs="Arial"/>
                <w:sz w:val="24"/>
                <w:szCs w:val="24"/>
              </w:rPr>
              <w:t>to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 xml:space="preserve"> guide creation of effective advertisements.</w:t>
            </w:r>
          </w:p>
        </w:tc>
      </w:tr>
      <w:tr w:rsidRPr="002E6BBF" w:rsidR="00126718" w:rsidTr="005331FF" w14:paraId="49D30A4A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1409DF" w14:paraId="26D495C2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09DF">
              <w:rPr>
                <w:rFonts w:ascii="Arial" w:hAnsi="Arial" w:cs="Arial"/>
                <w:sz w:val="24"/>
                <w:szCs w:val="24"/>
              </w:rPr>
              <w:t>Creative Concept Testing Designed to Prevent Youth ENDS, Cigarette a</w:t>
            </w:r>
            <w:r w:rsidR="00947A9F">
              <w:rPr>
                <w:rFonts w:ascii="Arial" w:hAnsi="Arial" w:cs="Arial"/>
                <w:sz w:val="24"/>
                <w:szCs w:val="24"/>
              </w:rPr>
              <w:t>n</w:t>
            </w:r>
            <w:r w:rsidRPr="001409DF">
              <w:rPr>
                <w:rFonts w:ascii="Arial" w:hAnsi="Arial" w:cs="Arial"/>
                <w:sz w:val="24"/>
                <w:szCs w:val="24"/>
              </w:rPr>
              <w:t>d Other Tobacco Product</w:t>
            </w:r>
            <w:r w:rsidR="00947A9F">
              <w:rPr>
                <w:rFonts w:ascii="Arial" w:hAnsi="Arial" w:cs="Arial"/>
                <w:sz w:val="24"/>
                <w:szCs w:val="24"/>
              </w:rPr>
              <w:t xml:space="preserve"> Use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63696C" w:rsidRDefault="007223F7" w14:paraId="4481FCF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>development and implementation of FDA’s public health campaigns designed to reduce youth tobacco use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E6BBF" w:rsidR="00FD73D4">
              <w:rPr>
                <w:rFonts w:ascii="Arial" w:hAnsi="Arial" w:cs="Arial"/>
                <w:sz w:val="24"/>
                <w:szCs w:val="24"/>
              </w:rPr>
              <w:t>The results were used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>identify promising creative and strategic concepts as well as indicate areas for further refinement to guide creation of effective advertisements.</w:t>
            </w:r>
          </w:p>
        </w:tc>
      </w:tr>
      <w:tr w:rsidRPr="002E6BBF" w:rsidR="00126718" w:rsidTr="005331FF" w14:paraId="27855E63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1409DF" w14:paraId="403EA24F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09DF">
              <w:rPr>
                <w:rFonts w:ascii="Arial" w:hAnsi="Arial" w:cs="Arial"/>
                <w:sz w:val="24"/>
                <w:szCs w:val="24"/>
              </w:rPr>
              <w:t>Nicotine Education Project: Qualitative Study to Gain Insights from Adult Current and Former Smokers to Educate the General Public about Changing Nicotine Standards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670264" w:rsidRDefault="007223F7" w14:paraId="3DE579F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>communication strategies about potential nicotine product standard</w:t>
            </w:r>
            <w:r w:rsidR="00FD73D4">
              <w:rPr>
                <w:rFonts w:ascii="Arial" w:hAnsi="Arial" w:cs="Arial"/>
                <w:sz w:val="24"/>
                <w:szCs w:val="24"/>
              </w:rPr>
              <w:t>s</w:t>
            </w:r>
            <w:r w:rsidRPr="00FD73D4" w:rsidR="00FD73D4">
              <w:rPr>
                <w:rFonts w:ascii="Arial" w:hAnsi="Arial" w:cs="Arial"/>
                <w:sz w:val="24"/>
                <w:szCs w:val="24"/>
              </w:rPr>
              <w:t>.</w:t>
            </w:r>
            <w:r w:rsidR="00FD73D4">
              <w:rPr>
                <w:rFonts w:ascii="Arial" w:hAnsi="Arial" w:cs="Arial"/>
                <w:sz w:val="24"/>
                <w:szCs w:val="24"/>
              </w:rPr>
              <w:t xml:space="preserve"> The results were used to </w:t>
            </w:r>
            <w:r w:rsidRPr="00664FD9" w:rsidR="00664FD9">
              <w:rPr>
                <w:rFonts w:ascii="Arial" w:hAnsi="Arial" w:cs="Arial"/>
                <w:sz w:val="24"/>
                <w:szCs w:val="24"/>
              </w:rPr>
              <w:t>gain insights on nicotine, addiction, smoking behaviors, tobacco use, and awareness of nicotine related regulatory actions to inform strategies for a potential health communication effort.</w:t>
            </w:r>
          </w:p>
        </w:tc>
      </w:tr>
      <w:tr w:rsidRPr="002E6BBF" w:rsidR="00126718" w:rsidTr="005331FF" w14:paraId="50DE02D0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1409DF" w14:paraId="4282CB64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09DF">
              <w:rPr>
                <w:rFonts w:ascii="Arial" w:hAnsi="Arial" w:cs="Arial"/>
                <w:sz w:val="24"/>
                <w:szCs w:val="24"/>
              </w:rPr>
              <w:t>Developing Brand &amp; Creative Concepts Designed to Prevent AI/AN Youth Tobacco Use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697952" w:rsidRDefault="007223F7" w14:paraId="2EC1837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="00664F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4FD9" w:rsidR="00664FD9">
              <w:rPr>
                <w:rFonts w:ascii="Arial" w:hAnsi="Arial" w:cs="Arial"/>
                <w:sz w:val="24"/>
                <w:szCs w:val="24"/>
              </w:rPr>
              <w:t>the development of FDA’s AI/AN youth tobacco education campaign.</w:t>
            </w:r>
            <w:r w:rsidR="00664FD9">
              <w:rPr>
                <w:rFonts w:ascii="Arial" w:hAnsi="Arial" w:cs="Arial"/>
                <w:sz w:val="24"/>
                <w:szCs w:val="24"/>
              </w:rPr>
              <w:t xml:space="preserve"> The results were used to </w:t>
            </w:r>
            <w:r w:rsidRPr="00664FD9" w:rsidR="00664FD9">
              <w:rPr>
                <w:rFonts w:ascii="Arial" w:hAnsi="Arial" w:cs="Arial"/>
                <w:sz w:val="24"/>
                <w:szCs w:val="24"/>
              </w:rPr>
              <w:t>refine future campaign materials and messaging.</w:t>
            </w:r>
          </w:p>
        </w:tc>
      </w:tr>
      <w:tr w:rsidRPr="002E6BBF" w:rsidR="00126718" w:rsidTr="005331FF" w14:paraId="55FCD8B8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1409DF" w14:paraId="701ECC70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09DF">
              <w:rPr>
                <w:rFonts w:ascii="Arial" w:hAnsi="Arial" w:cs="Arial"/>
                <w:sz w:val="24"/>
                <w:szCs w:val="24"/>
              </w:rPr>
              <w:t xml:space="preserve">Creative Concept Testing Designed to Prevent Youth ENDS Use in General and </w:t>
            </w:r>
            <w:r w:rsidRPr="001409DF" w:rsidR="00947A9F">
              <w:rPr>
                <w:rFonts w:ascii="Arial" w:hAnsi="Arial" w:cs="Arial"/>
                <w:sz w:val="24"/>
                <w:szCs w:val="24"/>
              </w:rPr>
              <w:t>Hip-Hop</w:t>
            </w:r>
            <w:r w:rsidRPr="001409DF">
              <w:rPr>
                <w:rFonts w:ascii="Arial" w:hAnsi="Arial" w:cs="Arial"/>
                <w:sz w:val="24"/>
                <w:szCs w:val="24"/>
              </w:rPr>
              <w:t xml:space="preserve"> Audiences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126718" w:rsidRDefault="007223F7" w14:paraId="6895CD9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="00664F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4FD9" w:rsidR="00664FD9">
              <w:rPr>
                <w:rFonts w:ascii="Arial" w:hAnsi="Arial" w:cs="Arial"/>
                <w:sz w:val="24"/>
                <w:szCs w:val="24"/>
              </w:rPr>
              <w:t xml:space="preserve">the development and implementation of FDA’s General Market At-Risk Youth Tobacco Prevention Campaign </w:t>
            </w:r>
            <w:r w:rsidRPr="00664FD9" w:rsidR="00664FD9">
              <w:rPr>
                <w:rFonts w:ascii="Arial" w:hAnsi="Arial" w:cs="Arial"/>
                <w:sz w:val="24"/>
                <w:szCs w:val="24"/>
              </w:rPr>
              <w:lastRenderedPageBreak/>
              <w:t xml:space="preserve">(“The Real Cost”) and FDA’s Multicultural Campaign (“Fresh Empire”) designed to reduce youth tobacco use. </w:t>
            </w:r>
            <w:r w:rsidR="00664FD9">
              <w:rPr>
                <w:rFonts w:ascii="Arial" w:hAnsi="Arial" w:cs="Arial"/>
                <w:sz w:val="24"/>
                <w:szCs w:val="24"/>
              </w:rPr>
              <w:t xml:space="preserve">The results were used to </w:t>
            </w:r>
            <w:r w:rsidRPr="002E6BBF" w:rsidR="00623025">
              <w:rPr>
                <w:rFonts w:ascii="Arial" w:hAnsi="Arial" w:cs="Arial"/>
                <w:sz w:val="24"/>
                <w:szCs w:val="24"/>
              </w:rPr>
              <w:t xml:space="preserve">develop and refine </w:t>
            </w:r>
            <w:r w:rsidR="0062302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664FD9" w:rsidR="00664FD9">
              <w:rPr>
                <w:rFonts w:ascii="Arial" w:hAnsi="Arial" w:cs="Arial"/>
                <w:sz w:val="24"/>
                <w:szCs w:val="24"/>
              </w:rPr>
              <w:t xml:space="preserve">creation of effective advertisements. </w:t>
            </w:r>
          </w:p>
        </w:tc>
      </w:tr>
      <w:tr w:rsidRPr="002E6BBF" w:rsidR="00126718" w:rsidTr="005331FF" w14:paraId="32E64515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947A9F" w14:paraId="6012F3E4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7A9F">
              <w:rPr>
                <w:rFonts w:ascii="Arial" w:hAnsi="Arial" w:cs="Arial"/>
                <w:sz w:val="24"/>
                <w:szCs w:val="24"/>
              </w:rPr>
              <w:lastRenderedPageBreak/>
              <w:t>Rapid Message Testing with Consumer Panel—Nicotine Dialogue Campaign Branding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63696C" w:rsidRDefault="007223F7" w14:paraId="522364F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5C5C32">
              <w:rPr>
                <w:rFonts w:ascii="Arial" w:hAnsi="Arial" w:cs="Arial"/>
                <w:sz w:val="24"/>
                <w:szCs w:val="24"/>
              </w:rPr>
              <w:t xml:space="preserve">development of 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>Nicotine Dialogue logos and taglines</w:t>
            </w:r>
            <w:r w:rsidR="005C5C32">
              <w:rPr>
                <w:rFonts w:ascii="Arial" w:hAnsi="Arial" w:cs="Arial"/>
                <w:sz w:val="24"/>
                <w:szCs w:val="24"/>
              </w:rPr>
              <w:t>. The results were used to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C32">
              <w:rPr>
                <w:rFonts w:ascii="Arial" w:hAnsi="Arial" w:cs="Arial"/>
                <w:sz w:val="24"/>
                <w:szCs w:val="24"/>
              </w:rPr>
              <w:t>develop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 xml:space="preserve"> messag</w:t>
            </w:r>
            <w:r w:rsidR="005C5C32">
              <w:rPr>
                <w:rFonts w:ascii="Arial" w:hAnsi="Arial" w:cs="Arial"/>
                <w:sz w:val="24"/>
                <w:szCs w:val="24"/>
              </w:rPr>
              <w:t>ing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C32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>met</w:t>
            </w:r>
            <w:r w:rsidR="005C5C32">
              <w:rPr>
                <w:rFonts w:ascii="Arial" w:hAnsi="Arial" w:cs="Arial"/>
                <w:sz w:val="24"/>
                <w:szCs w:val="24"/>
              </w:rPr>
              <w:t xml:space="preserve"> its</w:t>
            </w:r>
            <w:r w:rsidRPr="005C5C32" w:rsidR="005C5C32">
              <w:rPr>
                <w:rFonts w:ascii="Arial" w:hAnsi="Arial" w:cs="Arial"/>
                <w:sz w:val="24"/>
                <w:szCs w:val="24"/>
              </w:rPr>
              <w:t xml:space="preserve"> objectives without causing unintended negative effects.  </w:t>
            </w:r>
          </w:p>
        </w:tc>
      </w:tr>
      <w:tr w:rsidRPr="002E6BBF" w:rsidR="00126718" w:rsidTr="005331FF" w14:paraId="75D33D05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2E6BBF" w:rsidR="00126718" w:rsidP="00E17C7F" w:rsidRDefault="001409DF" w14:paraId="46F5042E" w14:textId="77777777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409DF">
              <w:rPr>
                <w:rFonts w:ascii="Arial" w:hAnsi="Arial" w:cs="Arial"/>
                <w:sz w:val="24"/>
                <w:szCs w:val="24"/>
              </w:rPr>
              <w:t xml:space="preserve">Qualitative Research to Design Advertising to Encourage Quitting Among Adult Cigarette Smokers (SGM Population) </w:t>
            </w:r>
          </w:p>
        </w:tc>
        <w:tc>
          <w:tcPr>
            <w:tcW w:w="5348" w:type="dxa"/>
            <w:shd w:val="clear" w:color="auto" w:fill="auto"/>
          </w:tcPr>
          <w:p w:rsidRPr="002E6BBF" w:rsidR="00126718" w:rsidP="000567FA" w:rsidRDefault="007223F7" w14:paraId="40AE327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2E6BBF">
              <w:rPr>
                <w:rFonts w:ascii="Arial" w:hAnsi="Arial" w:cs="Arial"/>
                <w:sz w:val="24"/>
                <w:szCs w:val="24"/>
              </w:rPr>
              <w:t>Information obtained through this qualitative study informed</w:t>
            </w:r>
            <w:r w:rsidR="006230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3025" w:rsidR="00623025">
              <w:rPr>
                <w:rFonts w:ascii="Arial" w:hAnsi="Arial" w:cs="Arial"/>
                <w:sz w:val="24"/>
                <w:szCs w:val="24"/>
              </w:rPr>
              <w:t>the development and implementation of FDA’s public health campaign designed to encourage quitting among adult smokers.</w:t>
            </w:r>
            <w:r w:rsidR="00623025">
              <w:rPr>
                <w:rFonts w:ascii="Arial" w:hAnsi="Arial" w:cs="Arial"/>
                <w:sz w:val="24"/>
                <w:szCs w:val="24"/>
              </w:rPr>
              <w:t xml:space="preserve"> The results were used to </w:t>
            </w:r>
            <w:r w:rsidRPr="002E6BBF" w:rsidR="00623025">
              <w:rPr>
                <w:rFonts w:ascii="Arial" w:hAnsi="Arial" w:cs="Arial"/>
                <w:sz w:val="24"/>
                <w:szCs w:val="24"/>
              </w:rPr>
              <w:t xml:space="preserve">develop and refine </w:t>
            </w:r>
            <w:r w:rsidR="0062302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664FD9" w:rsidR="00623025">
              <w:rPr>
                <w:rFonts w:ascii="Arial" w:hAnsi="Arial" w:cs="Arial"/>
                <w:sz w:val="24"/>
                <w:szCs w:val="24"/>
              </w:rPr>
              <w:t>creation of effective advertisements.</w:t>
            </w:r>
          </w:p>
        </w:tc>
      </w:tr>
      <w:tr w:rsidRPr="002E6BBF" w:rsidR="00DF7306" w:rsidTr="005331FF" w14:paraId="2DF4A87F" w14:textId="77777777">
        <w:trPr>
          <w:jc w:val="center"/>
        </w:trPr>
        <w:tc>
          <w:tcPr>
            <w:tcW w:w="4488" w:type="dxa"/>
            <w:shd w:val="clear" w:color="auto" w:fill="auto"/>
          </w:tcPr>
          <w:p w:rsidRPr="001409DF" w:rsidR="00DF7306" w:rsidP="00E17C7F" w:rsidRDefault="00DF7306" w14:paraId="1C2CF8DF" w14:textId="74B3EAC3">
            <w:pPr>
              <w:keepLines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Smoking Machine Adapter</w:t>
            </w:r>
          </w:p>
        </w:tc>
        <w:tc>
          <w:tcPr>
            <w:tcW w:w="5348" w:type="dxa"/>
            <w:shd w:val="clear" w:color="auto" w:fill="auto"/>
          </w:tcPr>
          <w:p w:rsidRPr="002E6BBF" w:rsidR="00DF7306" w:rsidP="000567FA" w:rsidRDefault="00DF7306" w14:paraId="045437FD" w14:textId="329104B2">
            <w:pPr>
              <w:rPr>
                <w:rFonts w:ascii="Arial" w:hAnsi="Arial" w:cs="Arial"/>
                <w:sz w:val="24"/>
                <w:szCs w:val="24"/>
              </w:rPr>
            </w:pPr>
            <w:r w:rsidRPr="00DF7306">
              <w:rPr>
                <w:rFonts w:ascii="Arial" w:hAnsi="Arial" w:cs="Arial"/>
                <w:sz w:val="24"/>
                <w:szCs w:val="24"/>
              </w:rPr>
              <w:t>The information obtained through this survey questionnaire provide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F7306">
              <w:rPr>
                <w:rFonts w:ascii="Arial" w:hAnsi="Arial" w:cs="Arial"/>
                <w:sz w:val="24"/>
                <w:szCs w:val="24"/>
              </w:rPr>
              <w:t xml:space="preserve"> general information about the smoking and vaping machines being used by tobacco stakeholders. This information assist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DF7306">
              <w:rPr>
                <w:rFonts w:ascii="Arial" w:hAnsi="Arial" w:cs="Arial"/>
                <w:sz w:val="24"/>
                <w:szCs w:val="24"/>
              </w:rPr>
              <w:t xml:space="preserve"> in informing the development of a universal smoking machine adapter.</w:t>
            </w:r>
          </w:p>
        </w:tc>
      </w:tr>
    </w:tbl>
    <w:p w:rsidRPr="002E6BBF" w:rsidR="00D762DD" w:rsidP="0075335D" w:rsidRDefault="00D762DD" w14:paraId="43D8ECB1" w14:textId="77777777">
      <w:pPr>
        <w:rPr>
          <w:rFonts w:ascii="Arial" w:hAnsi="Arial" w:cs="Arial"/>
          <w:sz w:val="24"/>
          <w:szCs w:val="24"/>
        </w:rPr>
      </w:pPr>
    </w:p>
    <w:sectPr w:rsidRPr="002E6BBF" w:rsidR="00D76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0FCD4" w14:textId="77777777" w:rsidR="00F46DE9" w:rsidRDefault="00F46DE9" w:rsidP="00F672F5">
      <w:pPr>
        <w:spacing w:after="0" w:line="240" w:lineRule="auto"/>
      </w:pPr>
      <w:r>
        <w:separator/>
      </w:r>
    </w:p>
  </w:endnote>
  <w:endnote w:type="continuationSeparator" w:id="0">
    <w:p w14:paraId="15659DCA" w14:textId="77777777" w:rsidR="00F46DE9" w:rsidRDefault="00F46DE9" w:rsidP="00F6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69C1E" w14:textId="77777777" w:rsidR="00BB74B4" w:rsidRDefault="00BB7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32984" w14:textId="77777777" w:rsidR="00BB74B4" w:rsidRDefault="00BB7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C01D" w14:textId="77777777" w:rsidR="00BB74B4" w:rsidRDefault="00BB7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1026" w14:textId="77777777" w:rsidR="00F46DE9" w:rsidRDefault="00F46DE9" w:rsidP="00F672F5">
      <w:pPr>
        <w:spacing w:after="0" w:line="240" w:lineRule="auto"/>
      </w:pPr>
      <w:r>
        <w:separator/>
      </w:r>
    </w:p>
  </w:footnote>
  <w:footnote w:type="continuationSeparator" w:id="0">
    <w:p w14:paraId="0C300AC9" w14:textId="77777777" w:rsidR="00F46DE9" w:rsidRDefault="00F46DE9" w:rsidP="00F67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B7B8" w14:textId="77777777" w:rsidR="00BB74B4" w:rsidRDefault="00BB7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0C16" w14:textId="77777777" w:rsidR="00BB74B4" w:rsidRDefault="00BB7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164B2" w14:textId="77777777" w:rsidR="00BB74B4" w:rsidRDefault="00BB74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BE"/>
    <w:rsid w:val="0000380C"/>
    <w:rsid w:val="0000619A"/>
    <w:rsid w:val="00043DF1"/>
    <w:rsid w:val="000567FA"/>
    <w:rsid w:val="000A7801"/>
    <w:rsid w:val="00126718"/>
    <w:rsid w:val="001305F2"/>
    <w:rsid w:val="001409DF"/>
    <w:rsid w:val="001B3E9D"/>
    <w:rsid w:val="00284F3E"/>
    <w:rsid w:val="002E6BBF"/>
    <w:rsid w:val="003717CF"/>
    <w:rsid w:val="004471F6"/>
    <w:rsid w:val="005331FF"/>
    <w:rsid w:val="00591E11"/>
    <w:rsid w:val="005C5C32"/>
    <w:rsid w:val="005E0441"/>
    <w:rsid w:val="005E605B"/>
    <w:rsid w:val="00610956"/>
    <w:rsid w:val="00622271"/>
    <w:rsid w:val="00623025"/>
    <w:rsid w:val="0063696C"/>
    <w:rsid w:val="00664FD9"/>
    <w:rsid w:val="00670264"/>
    <w:rsid w:val="0068575D"/>
    <w:rsid w:val="00697952"/>
    <w:rsid w:val="00706150"/>
    <w:rsid w:val="007223F7"/>
    <w:rsid w:val="0075335D"/>
    <w:rsid w:val="00772757"/>
    <w:rsid w:val="007B04B9"/>
    <w:rsid w:val="007D0603"/>
    <w:rsid w:val="0086233F"/>
    <w:rsid w:val="008C4968"/>
    <w:rsid w:val="00947A9F"/>
    <w:rsid w:val="009749AF"/>
    <w:rsid w:val="00A22E9D"/>
    <w:rsid w:val="00A7676C"/>
    <w:rsid w:val="00AC2171"/>
    <w:rsid w:val="00B4775B"/>
    <w:rsid w:val="00B54977"/>
    <w:rsid w:val="00B74AF6"/>
    <w:rsid w:val="00BB74B4"/>
    <w:rsid w:val="00BF5D5B"/>
    <w:rsid w:val="00D36E4D"/>
    <w:rsid w:val="00D762DD"/>
    <w:rsid w:val="00DF7306"/>
    <w:rsid w:val="00E03C9C"/>
    <w:rsid w:val="00E17C7F"/>
    <w:rsid w:val="00E63F26"/>
    <w:rsid w:val="00F46DE9"/>
    <w:rsid w:val="00F614BE"/>
    <w:rsid w:val="00F672F5"/>
    <w:rsid w:val="00FD73D4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F0110"/>
  <w15:chartTrackingRefBased/>
  <w15:docId w15:val="{81C607B1-6DFE-408D-A389-FCE6007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5335D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/>
      <w:sz w:val="20"/>
      <w:szCs w:val="20"/>
    </w:rPr>
  </w:style>
  <w:style w:type="character" w:customStyle="1" w:styleId="BodyTextIndent3Char">
    <w:name w:val="Body Text Indent 3 Char"/>
    <w:link w:val="BodyTextIndent3"/>
    <w:rsid w:val="0075335D"/>
    <w:rPr>
      <w:rFonts w:ascii="Tahoma" w:eastAsia="Times New Roman" w:hAnsi="Tahoma"/>
    </w:rPr>
  </w:style>
  <w:style w:type="character" w:styleId="Hyperlink">
    <w:name w:val="Hyperlink"/>
    <w:uiPriority w:val="99"/>
    <w:semiHidden/>
    <w:unhideWhenUsed/>
    <w:rsid w:val="0075335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5335D"/>
    <w:rPr>
      <w:color w:val="800080"/>
      <w:u w:val="single"/>
    </w:rPr>
  </w:style>
  <w:style w:type="paragraph" w:customStyle="1" w:styleId="Default">
    <w:name w:val="Default"/>
    <w:rsid w:val="007D06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2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72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72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2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0C60-3EFC-43B2-95FE-707477D0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cp:lastModifiedBy>Mizrachi, Ila</cp:lastModifiedBy>
  <cp:revision>2</cp:revision>
  <dcterms:created xsi:type="dcterms:W3CDTF">2021-04-29T14:44:00Z</dcterms:created>
  <dcterms:modified xsi:type="dcterms:W3CDTF">2021-04-29T14:44:00Z</dcterms:modified>
</cp:coreProperties>
</file>