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04E4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5E714A" w:rsidRPr="00247D00">
      <w:pPr>
        <w:rPr>
          <w:b/>
        </w:rPr>
      </w:pPr>
      <w:r>
        <w:rPr>
          <w:b/>
        </w:rPr>
        <w:t>T</w:t>
      </w:r>
      <w:r w:rsidRPr="00434E33">
        <w:rPr>
          <w:b/>
        </w:rPr>
        <w:t>ITLE OF INFORMATION COLLECTION:</w:t>
      </w:r>
      <w:r>
        <w:t xml:space="preserve">  </w:t>
      </w:r>
      <w:r w:rsidR="002A0497">
        <w:t>B</w:t>
      </w:r>
      <w:r w:rsidRPr="002A0497" w:rsidR="002A0497">
        <w:t>eneficiary Care Management Program</w:t>
      </w:r>
      <w:r w:rsidR="002A0497">
        <w:t>,</w:t>
      </w:r>
      <w:r w:rsidRPr="002A0497" w:rsidR="002A0497">
        <w:t xml:space="preserve"> Beneficiary </w:t>
      </w:r>
      <w:r w:rsidR="001D0A9D">
        <w:t>Experience</w:t>
      </w:r>
      <w:r w:rsidRPr="002A0497" w:rsidR="001D0A9D">
        <w:t xml:space="preserve"> </w:t>
      </w:r>
      <w:r w:rsidRPr="002A0497" w:rsidR="002A0497">
        <w:t>Survey</w:t>
      </w:r>
    </w:p>
    <w:p w:rsidR="00E04E4A"/>
    <w:p w:rsidR="002A0497" w:rsidP="002A049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D87AC2" w:rsidP="005E2769">
      <w:r>
        <w:t>Section</w:t>
      </w:r>
      <w:r w:rsidRPr="00D87AC2">
        <w:t> </w:t>
      </w:r>
      <w:bookmarkStart w:id="1" w:name="act-1153"/>
      <w:r w:rsidRPr="00D87AC2">
        <w:t>1153</w:t>
      </w:r>
      <w:bookmarkEnd w:id="1"/>
      <w:r>
        <w:t>(b) of the Social Security Act (the Act) authorizes the HHS Secretary to enter into contract with the Quality Improvement Organization (QIO) for the purpose of carrying out quality improvement f</w:t>
      </w:r>
      <w:r w:rsidRPr="00D87AC2">
        <w:t>unctions</w:t>
      </w:r>
      <w:r>
        <w:t>, as described in section 1154 of the Act.</w:t>
      </w:r>
      <w:r w:rsidRPr="00D87AC2">
        <w:t xml:space="preserve"> </w:t>
      </w:r>
      <w:r>
        <w:t>The QIO quality improvement functions</w:t>
      </w:r>
      <w:r w:rsidRPr="00D87AC2">
        <w:t xml:space="preserve"> include technical assistance, data analysis, and stakeholder engagement activities that promote evidence-based healthcare practice and patient-centered care principles</w:t>
      </w:r>
      <w:r w:rsidR="001D0A9D">
        <w:t>. QIOs work</w:t>
      </w:r>
      <w:r w:rsidRPr="00D87AC2">
        <w:t xml:space="preserve"> to improve quality of care, improve outcomes to beneficiaries, and lower </w:t>
      </w:r>
      <w:r w:rsidR="0080365F">
        <w:t xml:space="preserve">healthcare </w:t>
      </w:r>
      <w:r w:rsidRPr="00D87AC2">
        <w:t>costs</w:t>
      </w:r>
      <w:r>
        <w:t>. T</w:t>
      </w:r>
      <w:r w:rsidRPr="00AB62C1" w:rsidR="00AB62C1">
        <w:t>he Beneficiary Care Management Program (BCMP)</w:t>
      </w:r>
      <w:r w:rsidR="00AB62C1">
        <w:t xml:space="preserve"> is the t</w:t>
      </w:r>
      <w:r w:rsidR="005E2769">
        <w:t xml:space="preserve">ask order four (4) </w:t>
      </w:r>
      <w:r w:rsidR="001D0A9D">
        <w:t xml:space="preserve">under the </w:t>
      </w:r>
      <w:r w:rsidRPr="00AB62C1" w:rsidR="00AB62C1">
        <w:t>Beneficiary and Family Centered Care-Quality Improvement Organization (BFCC-QIO)</w:t>
      </w:r>
      <w:r w:rsidR="00AB62C1">
        <w:t xml:space="preserve"> 12</w:t>
      </w:r>
      <w:r w:rsidRPr="00AB62C1" w:rsidR="00AB62C1">
        <w:rPr>
          <w:vertAlign w:val="superscript"/>
        </w:rPr>
        <w:t>th</w:t>
      </w:r>
      <w:r w:rsidR="00AB62C1">
        <w:t xml:space="preserve"> Scope of Work</w:t>
      </w:r>
      <w:r w:rsidR="0080365F">
        <w:t xml:space="preserve"> contract</w:t>
      </w:r>
      <w:r w:rsidR="00AB62C1">
        <w:t xml:space="preserve">. </w:t>
      </w:r>
      <w:r w:rsidR="005E2769">
        <w:t>The BCMP</w:t>
      </w:r>
      <w:r w:rsidRPr="002A0497" w:rsidR="002A0497">
        <w:t xml:space="preserve"> is a post-advocacy intermediary charged with providing Medicare Fee-For-Service beneficiaries with care management support services in the way of discharge planning, care coordination and care navigation.</w:t>
      </w:r>
      <w:r w:rsidR="005E2769">
        <w:t xml:space="preserve"> </w:t>
      </w:r>
      <w:r w:rsidRPr="00CF04A6" w:rsidR="00CF04A6">
        <w:t xml:space="preserve">The foundation of this work is within the Centers for Medicare and Medicaid Services (CMS) </w:t>
      </w:r>
      <w:r w:rsidRPr="00CF04A6" w:rsidR="00CF04A6">
        <w:t>iQuality</w:t>
      </w:r>
      <w:r w:rsidRPr="00CF04A6" w:rsidR="00CF04A6">
        <w:t xml:space="preserve"> Improvement and Innovation Group (</w:t>
      </w:r>
      <w:r w:rsidRPr="00CF04A6" w:rsidR="00CF04A6">
        <w:t>iQIIG</w:t>
      </w:r>
      <w:r w:rsidRPr="00CF04A6" w:rsidR="00CF04A6">
        <w:t>).</w:t>
      </w:r>
    </w:p>
    <w:p w:rsidR="00D87AC2" w:rsidP="005E2769"/>
    <w:p w:rsidR="00AB62C1" w:rsidP="005E2769">
      <w:r w:rsidRPr="002A0497">
        <w:t xml:space="preserve">The overarching purpose of the </w:t>
      </w:r>
      <w:r w:rsidR="005E2769">
        <w:t xml:space="preserve">BCMP </w:t>
      </w:r>
      <w:r w:rsidR="0080365F">
        <w:t xml:space="preserve">is </w:t>
      </w:r>
      <w:r w:rsidRPr="002A0497">
        <w:t>to ensure that beneficiary (incl</w:t>
      </w:r>
      <w:r>
        <w:t>uding</w:t>
      </w:r>
      <w:r w:rsidRPr="002A0497">
        <w:t xml:space="preserve"> their families/caregivers) values are integrated into clinical practice and services as part of </w:t>
      </w:r>
      <w:r w:rsidR="007C40DD">
        <w:t xml:space="preserve">the </w:t>
      </w:r>
      <w:r w:rsidRPr="002A0497">
        <w:t>CMS Person and Family Engagement (PFE) Strategy.</w:t>
      </w:r>
      <w:r w:rsidRPr="005E2769" w:rsidR="005E2769">
        <w:t xml:space="preserve"> </w:t>
      </w:r>
      <w:r w:rsidRPr="00071BA3" w:rsidR="00071BA3">
        <w:t xml:space="preserve">Through the BCMP, the BFCC-QIO </w:t>
      </w:r>
      <w:r w:rsidRPr="00071BA3" w:rsidR="00071BA3">
        <w:t>provides assistance to</w:t>
      </w:r>
      <w:r w:rsidRPr="00071BA3" w:rsidR="00071BA3">
        <w:t xml:space="preserve"> Medicare Fee-For-Service (FFS) beneficiaries with a </w:t>
      </w:r>
      <w:r w:rsidR="00B95470">
        <w:t xml:space="preserve">hospital discharge or service termination type </w:t>
      </w:r>
      <w:r w:rsidRPr="00071BA3" w:rsidR="00071BA3">
        <w:t xml:space="preserve">appeal </w:t>
      </w:r>
      <w:r w:rsidR="000F535D">
        <w:t>and</w:t>
      </w:r>
      <w:r w:rsidRPr="00071BA3" w:rsidR="00B95470">
        <w:t xml:space="preserve"> </w:t>
      </w:r>
      <w:r w:rsidR="000F535D">
        <w:t xml:space="preserve">additional </w:t>
      </w:r>
      <w:r w:rsidRPr="00071BA3" w:rsidR="00071BA3">
        <w:t>care management issues</w:t>
      </w:r>
      <w:r w:rsidR="000F535D">
        <w:t xml:space="preserve">. </w:t>
      </w:r>
      <w:r w:rsidRPr="00071BA3" w:rsidR="00071BA3">
        <w:t>The BFCC-QIO performs independent needs assessment and deliver assistance with discharge planning, care coordination, health care navigation and/or other PFE interventions. These support services include activities that address health literacy, shared-decision making, beneficiary activation, and satisfactory experience.</w:t>
      </w:r>
    </w:p>
    <w:p w:rsidR="00AB62C1" w:rsidP="005E2769"/>
    <w:p w:rsidR="002A0497" w:rsidP="005E2769">
      <w:r w:rsidRPr="00997A04">
        <w:t xml:space="preserve">The purpose of </w:t>
      </w:r>
      <w:r>
        <w:t>this</w:t>
      </w:r>
      <w:r w:rsidRPr="00997A04">
        <w:t xml:space="preserve"> survey is to capture meaningful information/data relative to </w:t>
      </w:r>
      <w:r>
        <w:t xml:space="preserve">the </w:t>
      </w:r>
      <w:r w:rsidRPr="00997A04">
        <w:t>beneficiary e</w:t>
      </w:r>
      <w:r>
        <w:t xml:space="preserve">xperience with the BCMP </w:t>
      </w:r>
      <w:r w:rsidRPr="00997A04">
        <w:t xml:space="preserve">and the services being provided. </w:t>
      </w:r>
      <w:r w:rsidR="00AB62C1">
        <w:t>Th</w:t>
      </w:r>
      <w:r w:rsidR="00516AD9">
        <w:t xml:space="preserve">is survey is voluntary to beneficiaries who have utilized the </w:t>
      </w:r>
      <w:r w:rsidR="007A2185">
        <w:t xml:space="preserve">BCMP </w:t>
      </w:r>
      <w:r w:rsidR="00516AD9">
        <w:t xml:space="preserve">services </w:t>
      </w:r>
      <w:r w:rsidR="007A2185">
        <w:t xml:space="preserve">through the CMS QIO. </w:t>
      </w:r>
      <w:r w:rsidR="00D601B5">
        <w:t xml:space="preserve">The collection of the information is governed by </w:t>
      </w:r>
      <w:r w:rsidRPr="00D601B5" w:rsidR="00D601B5">
        <w:t>Sec</w:t>
      </w:r>
      <w:r w:rsidR="00D601B5">
        <w:t>tion 1160 of the</w:t>
      </w:r>
      <w:r w:rsidRPr="00D601B5" w:rsidR="00D601B5">
        <w:t xml:space="preserve"> Act</w:t>
      </w:r>
      <w:r w:rsidR="00D601B5">
        <w:t>, which covers the QIO</w:t>
      </w:r>
      <w:r w:rsidRPr="00D601B5" w:rsidR="00D601B5">
        <w:t xml:space="preserve"> confidentiality and disclosure responsibilities related to information it is authorized to collect, acquire, or generate</w:t>
      </w:r>
      <w:r w:rsidR="00D601B5">
        <w:t xml:space="preserve">. </w:t>
      </w:r>
      <w:r w:rsidR="005E2769">
        <w:t>Data will be used to continuous</w:t>
      </w:r>
      <w:r>
        <w:t>ly</w:t>
      </w:r>
      <w:r w:rsidR="005E2769">
        <w:t xml:space="preserve"> evaluate the efficiency of the program, as well as provide</w:t>
      </w:r>
      <w:r>
        <w:t xml:space="preserve"> q</w:t>
      </w:r>
      <w:r w:rsidR="005E2769">
        <w:t>uality improvement strategies towards improving both access, quality and safety of services render</w:t>
      </w:r>
      <w:r>
        <w:t>ed</w:t>
      </w:r>
      <w:r w:rsidR="005E2769">
        <w:t>. The survey result</w:t>
      </w:r>
      <w:r>
        <w:t>s</w:t>
      </w:r>
      <w:r w:rsidR="005E2769">
        <w:t xml:space="preserve"> will h</w:t>
      </w:r>
      <w:r w:rsidR="003C7E0B">
        <w:t xml:space="preserve">elp CMS and the </w:t>
      </w:r>
      <w:r>
        <w:t>BFCC-</w:t>
      </w:r>
      <w:r w:rsidR="003C7E0B">
        <w:t xml:space="preserve">QIO to evaluate </w:t>
      </w:r>
      <w:r w:rsidR="005E2769">
        <w:t>and improve performance and outcomes measures defined with</w:t>
      </w:r>
      <w:r>
        <w:t>in</w:t>
      </w:r>
      <w:r w:rsidR="005E2769">
        <w:t xml:space="preserve"> contract deliverables.</w:t>
      </w:r>
    </w:p>
    <w:p w:rsidR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E26329" w:rsidRPr="005E2769">
      <w:r>
        <w:t xml:space="preserve">The respondents to this survey include: Medicare Fee-For-Service beneficiaries receiving a </w:t>
      </w:r>
      <w:r w:rsidR="00997A04">
        <w:t xml:space="preserve">hospital </w:t>
      </w:r>
      <w:r>
        <w:t xml:space="preserve">discharge </w:t>
      </w:r>
      <w:r w:rsidR="00997A04">
        <w:t xml:space="preserve">or service termination type </w:t>
      </w:r>
      <w:r>
        <w:t xml:space="preserve">appeal through </w:t>
      </w:r>
      <w:r w:rsidR="00247D00">
        <w:t xml:space="preserve">the BFCC-QIO </w:t>
      </w:r>
      <w:r w:rsidR="00997A04">
        <w:t xml:space="preserve">contractor for case review services </w:t>
      </w:r>
    </w:p>
    <w:p w:rsidR="00E26329">
      <w:pPr>
        <w:rPr>
          <w:b/>
        </w:rPr>
      </w:pPr>
    </w:p>
    <w:p w:rsidR="00113B4E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CD7F0F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0523CF">
        <w:rPr>
          <w:bCs/>
          <w:sz w:val="24"/>
        </w:rPr>
        <w:t>]</w:t>
      </w:r>
      <w:r w:rsidR="000523CF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80198B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 w:rsidRPr="003C7E0B">
        <w:rPr>
          <w:b/>
        </w:rPr>
        <w:t>Name:</w:t>
      </w:r>
      <w:r>
        <w:t xml:space="preserve"> Dr. Confidence Gbarayor-Hyde</w:t>
      </w:r>
      <w:r w:rsidR="0091522B">
        <w:t xml:space="preserve"> (Deputy Director </w:t>
      </w:r>
      <w:r w:rsidR="0091522B">
        <w:t>iQIIG</w:t>
      </w:r>
      <w:r w:rsidR="0091522B">
        <w:t>/DBRCM)</w:t>
      </w:r>
    </w:p>
    <w:p w:rsidR="003C7E0B" w:rsidP="009C13B9"/>
    <w:p w:rsidR="0080198B" w:rsidP="009C13B9"/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</w:t>
      </w:r>
      <w:r w:rsidRPr="00C86E91">
        <w:rPr>
          <w:b/>
        </w:rPr>
        <w:t xml:space="preserve">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CD7F0F">
        <w:t>X</w:t>
      </w:r>
      <w:r w:rsidR="009239AA">
        <w:t xml:space="preserve">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</w:t>
      </w:r>
      <w:r w:rsidR="00CD7F0F">
        <w:t>X</w:t>
      </w:r>
      <w:r w:rsidR="009239AA">
        <w:t>] No</w:t>
      </w:r>
      <w:r>
        <w:t xml:space="preserve">  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 w:rsidR="00CD7F0F">
        <w:t xml:space="preserve"> been published?  </w:t>
      </w:r>
      <w:r w:rsidR="00CD7F0F">
        <w:t xml:space="preserve">[ </w:t>
      </w:r>
      <w:r>
        <w:t>]</w:t>
      </w:r>
      <w:r>
        <w:t xml:space="preserve"> Yes  [</w:t>
      </w:r>
      <w:r w:rsidR="00CD7F0F">
        <w:t>X</w:t>
      </w:r>
      <w:r>
        <w:t>] No</w:t>
      </w: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CD7F0F">
        <w:t>X</w:t>
      </w:r>
      <w:r>
        <w:t xml:space="preserve">] No  </w:t>
      </w:r>
    </w:p>
    <w:p w:rsidR="004D6E14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8"/>
        <w:gridCol w:w="1530"/>
        <w:gridCol w:w="2160"/>
        <w:gridCol w:w="1993"/>
      </w:tblGrid>
      <w:tr w:rsidTr="00CD7F0F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97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16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993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Tr="00CD7F0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978" w:type="dxa"/>
          </w:tcPr>
          <w:p w:rsidR="006832D9" w:rsidP="00843796">
            <w:r>
              <w:t>Customers (satisfaction survey)</w:t>
            </w:r>
          </w:p>
        </w:tc>
        <w:tc>
          <w:tcPr>
            <w:tcW w:w="1530" w:type="dxa"/>
          </w:tcPr>
          <w:p w:rsidR="006832D9" w:rsidP="00843796">
            <w:r>
              <w:t>6</w:t>
            </w:r>
            <w:r w:rsidR="00CD7F0F">
              <w:t>00</w:t>
            </w:r>
          </w:p>
        </w:tc>
        <w:tc>
          <w:tcPr>
            <w:tcW w:w="2160" w:type="dxa"/>
          </w:tcPr>
          <w:p w:rsidR="006832D9" w:rsidP="00843796">
            <w:r>
              <w:t>5 minutes</w:t>
            </w:r>
          </w:p>
        </w:tc>
        <w:tc>
          <w:tcPr>
            <w:tcW w:w="1993" w:type="dxa"/>
          </w:tcPr>
          <w:p w:rsidR="006832D9" w:rsidP="00843796">
            <w:r>
              <w:t>5</w:t>
            </w:r>
            <w:r w:rsidR="00CD7F0F">
              <w:t>0 hours</w:t>
            </w:r>
          </w:p>
        </w:tc>
      </w:tr>
      <w:tr w:rsidTr="00CD7F0F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97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2160" w:type="dxa"/>
          </w:tcPr>
          <w:p w:rsidR="006832D9" w:rsidP="00843796"/>
        </w:tc>
        <w:tc>
          <w:tcPr>
            <w:tcW w:w="1993" w:type="dxa"/>
          </w:tcPr>
          <w:p w:rsidR="006832D9" w:rsidP="00843796"/>
        </w:tc>
      </w:tr>
      <w:tr w:rsidTr="00CD7F0F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3978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</w:p>
        </w:tc>
        <w:tc>
          <w:tcPr>
            <w:tcW w:w="2160" w:type="dxa"/>
          </w:tcPr>
          <w:p w:rsidR="006832D9" w:rsidP="00843796"/>
        </w:tc>
        <w:tc>
          <w:tcPr>
            <w:tcW w:w="1993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50 hours</w:t>
            </w: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</w:t>
      </w:r>
      <w:r w:rsidR="00CD7F0F">
        <w:t>deral government is $0.00</w:t>
      </w:r>
    </w:p>
    <w:p w:rsidR="00ED6492">
      <w:pPr>
        <w:rPr>
          <w:b/>
          <w:bCs/>
          <w:u w:val="single"/>
        </w:rPr>
      </w:pPr>
    </w:p>
    <w:p w:rsidR="00113B4E">
      <w:pPr>
        <w:rPr>
          <w:b/>
          <w:bCs/>
          <w:u w:val="single"/>
        </w:rPr>
      </w:pPr>
    </w:p>
    <w:p w:rsidR="0080198B" w:rsidP="00F06866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>provide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CD7F0F">
        <w:t xml:space="preserve">[ </w:t>
      </w:r>
      <w:r w:rsidR="006747C5">
        <w:t xml:space="preserve"> </w:t>
      </w:r>
      <w:r w:rsidR="00CD7F0F">
        <w:t>]</w:t>
      </w:r>
      <w:r w:rsidR="00CD7F0F">
        <w:t xml:space="preserve"> Yes</w:t>
      </w:r>
      <w:r w:rsidR="00CD7F0F">
        <w:tab/>
      </w:r>
      <w:r w:rsidR="006747C5">
        <w:t xml:space="preserve"> </w:t>
      </w:r>
      <w:r w:rsidR="00CD7F0F">
        <w:t>[X</w:t>
      </w:r>
      <w:r>
        <w:t>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/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6747C5" w:rsidP="00A403BB">
      <w:pPr>
        <w:rPr>
          <w:b/>
        </w:rPr>
      </w:pP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>[X</w:t>
      </w:r>
      <w:r w:rsidR="00A403BB">
        <w:t>] Web-based</w:t>
      </w:r>
      <w:r>
        <w:t xml:space="preserve"> or other forms of Social Media </w:t>
      </w:r>
    </w:p>
    <w:p w:rsidR="001B0AAA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:rsidR="001B0AAA" w:rsidP="001B0AAA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>
      <w:pPr>
        <w:ind w:left="720"/>
      </w:pPr>
      <w:r>
        <w:t xml:space="preserve">[  </w:t>
      </w:r>
      <w:r w:rsidR="00A403BB">
        <w:t>]</w:t>
      </w:r>
      <w:r w:rsidR="00A403BB">
        <w:t xml:space="preserve"> Mail</w:t>
      </w:r>
      <w:r>
        <w:t xml:space="preserve">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6747C5" w:rsidP="001B0AAA">
      <w:pPr>
        <w:ind w:left="720"/>
      </w:pPr>
    </w:p>
    <w:p w:rsidR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6747C5">
        <w:t>X</w:t>
      </w:r>
      <w:r>
        <w:t>] No</w:t>
      </w:r>
    </w:p>
    <w:p w:rsidR="00F24CFC" w:rsidP="00F24CFC">
      <w:pPr>
        <w:pStyle w:val="ListParagraph"/>
        <w:ind w:left="360"/>
      </w:pPr>
      <w:r>
        <w:t xml:space="preserve"> </w:t>
      </w:r>
    </w:p>
    <w:p w:rsidR="0024521E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622DDA" w:rsidP="0024521E">
      <w:pPr>
        <w:rPr>
          <w:b/>
        </w:rPr>
      </w:pPr>
    </w:p>
    <w:p w:rsidR="00622DDA" w:rsidRPr="0062312F" w:rsidP="0024521E">
      <w:r w:rsidRPr="00622DDA">
        <w:t>Attachment A — Voluntary customer satisfaction survey questions</w:t>
      </w:r>
    </w:p>
    <w:sectPr w:rsidSect="00AB02D2">
      <w:footerReference w:type="default" r:id="rId5"/>
      <w:pgSz w:w="12240" w:h="15840"/>
      <w:pgMar w:top="1080" w:right="1440" w:bottom="1170" w:left="1440" w:header="720" w:footer="49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30CD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56B0B"/>
    <w:multiLevelType w:val="hybridMultilevel"/>
    <w:tmpl w:val="1E2CF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4B9"/>
    <w:rsid w:val="00047A64"/>
    <w:rsid w:val="000523CF"/>
    <w:rsid w:val="00067329"/>
    <w:rsid w:val="00071BA3"/>
    <w:rsid w:val="000944F3"/>
    <w:rsid w:val="000B2838"/>
    <w:rsid w:val="000D44CA"/>
    <w:rsid w:val="000E200B"/>
    <w:rsid w:val="000F535D"/>
    <w:rsid w:val="000F68BE"/>
    <w:rsid w:val="00113B4E"/>
    <w:rsid w:val="001927A4"/>
    <w:rsid w:val="00194AC6"/>
    <w:rsid w:val="001A23B0"/>
    <w:rsid w:val="001A25CC"/>
    <w:rsid w:val="001B0AAA"/>
    <w:rsid w:val="001C39F7"/>
    <w:rsid w:val="001D0A9D"/>
    <w:rsid w:val="00230CD4"/>
    <w:rsid w:val="00237B48"/>
    <w:rsid w:val="0024521E"/>
    <w:rsid w:val="00247D00"/>
    <w:rsid w:val="00263C3D"/>
    <w:rsid w:val="00274D0B"/>
    <w:rsid w:val="002A0497"/>
    <w:rsid w:val="002B052D"/>
    <w:rsid w:val="002B34CD"/>
    <w:rsid w:val="002B3C95"/>
    <w:rsid w:val="002D0B92"/>
    <w:rsid w:val="003352F9"/>
    <w:rsid w:val="003C7E0B"/>
    <w:rsid w:val="003D5BBE"/>
    <w:rsid w:val="003E3C61"/>
    <w:rsid w:val="003F1C5B"/>
    <w:rsid w:val="003F43B1"/>
    <w:rsid w:val="00434E33"/>
    <w:rsid w:val="00441434"/>
    <w:rsid w:val="0045264C"/>
    <w:rsid w:val="004876EC"/>
    <w:rsid w:val="004D6E14"/>
    <w:rsid w:val="005009B0"/>
    <w:rsid w:val="00516AD9"/>
    <w:rsid w:val="00585A38"/>
    <w:rsid w:val="005A1006"/>
    <w:rsid w:val="005E2769"/>
    <w:rsid w:val="005E714A"/>
    <w:rsid w:val="005F693D"/>
    <w:rsid w:val="006137BE"/>
    <w:rsid w:val="006140A0"/>
    <w:rsid w:val="00622DDA"/>
    <w:rsid w:val="0062312F"/>
    <w:rsid w:val="00636621"/>
    <w:rsid w:val="00642B49"/>
    <w:rsid w:val="006747C5"/>
    <w:rsid w:val="006832D9"/>
    <w:rsid w:val="0069403B"/>
    <w:rsid w:val="006E2E17"/>
    <w:rsid w:val="006F3DDE"/>
    <w:rsid w:val="00704678"/>
    <w:rsid w:val="007425E7"/>
    <w:rsid w:val="007A2185"/>
    <w:rsid w:val="007C40DD"/>
    <w:rsid w:val="007F7080"/>
    <w:rsid w:val="0080198B"/>
    <w:rsid w:val="00802607"/>
    <w:rsid w:val="0080365F"/>
    <w:rsid w:val="008101A5"/>
    <w:rsid w:val="00822664"/>
    <w:rsid w:val="00843796"/>
    <w:rsid w:val="00895229"/>
    <w:rsid w:val="008B2EB3"/>
    <w:rsid w:val="008E6DAA"/>
    <w:rsid w:val="008F0203"/>
    <w:rsid w:val="008F50D4"/>
    <w:rsid w:val="0091522B"/>
    <w:rsid w:val="009239AA"/>
    <w:rsid w:val="00935ADA"/>
    <w:rsid w:val="00946B6C"/>
    <w:rsid w:val="00955A71"/>
    <w:rsid w:val="0096108F"/>
    <w:rsid w:val="00997A04"/>
    <w:rsid w:val="009C13B9"/>
    <w:rsid w:val="009D01A2"/>
    <w:rsid w:val="009F5923"/>
    <w:rsid w:val="00A403BB"/>
    <w:rsid w:val="00A674DF"/>
    <w:rsid w:val="00A83AA6"/>
    <w:rsid w:val="00A934D6"/>
    <w:rsid w:val="00AB02D2"/>
    <w:rsid w:val="00AB62C1"/>
    <w:rsid w:val="00AE1809"/>
    <w:rsid w:val="00B16940"/>
    <w:rsid w:val="00B21F6D"/>
    <w:rsid w:val="00B25CFD"/>
    <w:rsid w:val="00B559A8"/>
    <w:rsid w:val="00B80D76"/>
    <w:rsid w:val="00B95470"/>
    <w:rsid w:val="00BA2105"/>
    <w:rsid w:val="00BA7E06"/>
    <w:rsid w:val="00BB43B5"/>
    <w:rsid w:val="00BB6219"/>
    <w:rsid w:val="00BC1D4E"/>
    <w:rsid w:val="00BD290F"/>
    <w:rsid w:val="00BD7715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7F0F"/>
    <w:rsid w:val="00CF04A6"/>
    <w:rsid w:val="00CF6542"/>
    <w:rsid w:val="00D24698"/>
    <w:rsid w:val="00D601B5"/>
    <w:rsid w:val="00D6383F"/>
    <w:rsid w:val="00D87AC2"/>
    <w:rsid w:val="00DB59D0"/>
    <w:rsid w:val="00DC33D3"/>
    <w:rsid w:val="00DE49FF"/>
    <w:rsid w:val="00E04E4A"/>
    <w:rsid w:val="00E26329"/>
    <w:rsid w:val="00E40B50"/>
    <w:rsid w:val="00E50293"/>
    <w:rsid w:val="00E65FFC"/>
    <w:rsid w:val="00E744EA"/>
    <w:rsid w:val="00E80951"/>
    <w:rsid w:val="00E854FE"/>
    <w:rsid w:val="00E86CC6"/>
    <w:rsid w:val="00E94C99"/>
    <w:rsid w:val="00EB56B3"/>
    <w:rsid w:val="00ED6492"/>
    <w:rsid w:val="00EF2095"/>
    <w:rsid w:val="00F04E5F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  <w:rsid w:val="00FF6B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E30E101-6C6C-407C-9BD2-05A86D0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6F79-9DFC-4AFE-9CEE-BDE35C02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BFCC-QIO TO4 Survey Questions Generic PRA Clearance Submission</vt:lpstr>
    </vt:vector>
  </TitlesOfParts>
  <Company>ssa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BFCC-QIO TO4 Survey Questions Generic PRA Clearance Submission</dc:title>
  <dc:creator>CMS</dc:creator>
  <cp:lastModifiedBy>WILLIAM PARHAM</cp:lastModifiedBy>
  <cp:revision>2</cp:revision>
  <cp:lastPrinted>2010-10-04T15:59:00Z</cp:lastPrinted>
  <dcterms:created xsi:type="dcterms:W3CDTF">2022-11-21T19:06:00Z</dcterms:created>
  <dcterms:modified xsi:type="dcterms:W3CDTF">2022-11-21T19:06:00Z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1574993871</vt:i4>
  </property>
  <property fmtid="{D5CDD505-2E9C-101B-9397-08002B2CF9AE}" pid="3" name="_AuthorEmail">
    <vt:lpwstr>Peter.Ajuonuma@cms.hhs.gov</vt:lpwstr>
  </property>
  <property fmtid="{D5CDD505-2E9C-101B-9397-08002B2CF9AE}" pid="4" name="_AuthorEmailDisplayName">
    <vt:lpwstr>Ajuonuma, Peter U. (CMS/CCSQ)</vt:lpwstr>
  </property>
  <property fmtid="{D5CDD505-2E9C-101B-9397-08002B2CF9AE}" pid="5" name="_EmailSubject">
    <vt:lpwstr>Clearance for QIO TO4 Beneficiary Experience Survey (CMS-10729)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