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6C75" w:rsidR="00836C75" w:rsidP="00836C75" w:rsidRDefault="00836C75" w14:paraId="646AD121" w14:textId="7C3AB56B">
      <w:pPr>
        <w:jc w:val="center"/>
        <w:rPr>
          <w:b/>
          <w:bCs/>
          <w:sz w:val="32"/>
          <w:szCs w:val="32"/>
        </w:rPr>
      </w:pPr>
      <w:r w:rsidRPr="00836C75">
        <w:rPr>
          <w:b/>
          <w:bCs/>
          <w:sz w:val="32"/>
          <w:szCs w:val="32"/>
        </w:rPr>
        <w:t>ADDENDUM</w:t>
      </w:r>
      <w:r w:rsidR="003B5D28">
        <w:rPr>
          <w:b/>
          <w:bCs/>
          <w:sz w:val="32"/>
          <w:szCs w:val="32"/>
        </w:rPr>
        <w:t xml:space="preserve"> </w:t>
      </w:r>
    </w:p>
    <w:p w:rsidR="00995A30" w:rsidP="00995A30" w:rsidRDefault="00836C75" w14:paraId="48E8B918" w14:textId="77777777">
      <w:pPr>
        <w:jc w:val="center"/>
        <w:rPr>
          <w:b/>
          <w:bCs/>
          <w:sz w:val="32"/>
          <w:szCs w:val="32"/>
        </w:rPr>
      </w:pPr>
      <w:r w:rsidRPr="00836C75">
        <w:rPr>
          <w:b/>
          <w:bCs/>
          <w:sz w:val="32"/>
          <w:szCs w:val="32"/>
        </w:rPr>
        <w:t>EMERGENCY RENTAL ASSISTANCE PROGRAM REPORTING GUIDANCE</w:t>
      </w:r>
    </w:p>
    <w:p w:rsidRPr="00995A30" w:rsidR="00581BC5" w:rsidP="00995A30" w:rsidRDefault="006C164D" w14:paraId="516AB4B4" w14:textId="678087DB">
      <w:pPr>
        <w:jc w:val="center"/>
        <w:rPr>
          <w:b/>
          <w:bCs/>
          <w:sz w:val="32"/>
          <w:szCs w:val="32"/>
        </w:rPr>
      </w:pPr>
      <w:r>
        <w:rPr>
          <w:b/>
          <w:bCs/>
          <w:sz w:val="24"/>
          <w:szCs w:val="24"/>
        </w:rPr>
        <w:br/>
      </w:r>
      <w:r w:rsidRPr="00581BC5" w:rsidR="00581BC5">
        <w:rPr>
          <w:rFonts w:ascii="Calibri" w:hAnsi="Calibri" w:cs="Calibri"/>
          <w:b/>
          <w:bCs/>
          <w:sz w:val="24"/>
          <w:szCs w:val="24"/>
        </w:rPr>
        <w:t xml:space="preserve">Revised Q1 and Q2 ERA1 and ERA2 Reporting Requirements for State, Local and Territorial Recipients </w:t>
      </w:r>
    </w:p>
    <w:p w:rsidR="00581BC5" w:rsidP="00581BC5" w:rsidRDefault="00581BC5" w14:paraId="7300FA52" w14:textId="0CDA2CA9">
      <w:pPr>
        <w:numPr>
          <w:ilvl w:val="0"/>
          <w:numId w:val="5"/>
        </w:numPr>
        <w:tabs>
          <w:tab w:val="clear" w:pos="840"/>
        </w:tabs>
        <w:spacing w:before="100" w:beforeAutospacing="1" w:after="100" w:afterAutospacing="1" w:line="240" w:lineRule="auto"/>
        <w:ind w:left="360"/>
        <w:rPr>
          <w:rFonts w:ascii="Calibri" w:hAnsi="Calibri" w:cs="Calibri"/>
        </w:rPr>
      </w:pPr>
      <w:r w:rsidRPr="00581BC5">
        <w:rPr>
          <w:rFonts w:ascii="Calibri" w:hAnsi="Calibri" w:cs="Calibri"/>
        </w:rPr>
        <w:t xml:space="preserve">ERA1 and ERA2 </w:t>
      </w:r>
      <w:r>
        <w:rPr>
          <w:rFonts w:ascii="Calibri" w:hAnsi="Calibri" w:cs="Calibri"/>
        </w:rPr>
        <w:t xml:space="preserve">State, Local and Tribal (SLT) </w:t>
      </w:r>
      <w:r w:rsidRPr="00581BC5">
        <w:rPr>
          <w:rFonts w:ascii="Calibri" w:hAnsi="Calibri" w:cs="Calibri"/>
        </w:rPr>
        <w:t xml:space="preserve">Recipients are </w:t>
      </w:r>
      <w:r w:rsidRPr="00581BC5">
        <w:rPr>
          <w:rFonts w:ascii="Calibri" w:hAnsi="Calibri" w:cs="Calibri"/>
          <w:u w:val="single"/>
        </w:rPr>
        <w:t xml:space="preserve">no longer required to meet all reporting requirements detailed in Treasury’s </w:t>
      </w:r>
      <w:hyperlink w:history="1" r:id="rId11">
        <w:r w:rsidRPr="00581BC5">
          <w:rPr>
            <w:rStyle w:val="Hyperlink"/>
            <w:rFonts w:ascii="Calibri" w:hAnsi="Calibri" w:cs="Calibri"/>
          </w:rPr>
          <w:t>ERA Reporting Guidance v 1.0</w:t>
        </w:r>
      </w:hyperlink>
      <w:r w:rsidRPr="00581BC5">
        <w:rPr>
          <w:rFonts w:ascii="Calibri" w:hAnsi="Calibri" w:cs="Calibri"/>
        </w:rPr>
        <w:t xml:space="preserve"> for the first (Q1) and second (Q2) quarter of 2021 by July 29, 2021, as previously scheduled.  </w:t>
      </w:r>
      <w:r>
        <w:rPr>
          <w:rFonts w:ascii="Calibri" w:hAnsi="Calibri" w:cs="Calibri"/>
        </w:rPr>
        <w:br/>
      </w:r>
    </w:p>
    <w:p w:rsidRPr="00581BC5" w:rsidR="00581BC5" w:rsidP="00581BC5" w:rsidRDefault="00581BC5" w14:paraId="6505BC03" w14:textId="60728871">
      <w:pPr>
        <w:pStyle w:val="ListParagraph"/>
        <w:numPr>
          <w:ilvl w:val="0"/>
          <w:numId w:val="5"/>
        </w:numPr>
        <w:tabs>
          <w:tab w:val="clear" w:pos="840"/>
        </w:tabs>
        <w:spacing w:before="100" w:beforeAutospacing="1" w:after="100" w:afterAutospacing="1" w:line="240" w:lineRule="auto"/>
        <w:ind w:left="360"/>
        <w:rPr>
          <w:rFonts w:ascii="Calibri" w:hAnsi="Calibri" w:cs="Calibri"/>
        </w:rPr>
      </w:pPr>
      <w:r w:rsidRPr="00581BC5">
        <w:rPr>
          <w:rFonts w:ascii="Calibri" w:hAnsi="Calibri" w:cs="Calibri"/>
        </w:rPr>
        <w:t xml:space="preserve">ERA1 and ERA2 </w:t>
      </w:r>
      <w:r>
        <w:rPr>
          <w:rFonts w:ascii="Calibri" w:hAnsi="Calibri" w:cs="Calibri"/>
        </w:rPr>
        <w:t xml:space="preserve">SLT </w:t>
      </w:r>
      <w:r w:rsidRPr="00581BC5">
        <w:rPr>
          <w:rFonts w:ascii="Calibri" w:hAnsi="Calibri" w:cs="Calibri"/>
        </w:rPr>
        <w:t xml:space="preserve">Recipients </w:t>
      </w:r>
      <w:r w:rsidRPr="00581BC5">
        <w:rPr>
          <w:rFonts w:ascii="Calibri" w:hAnsi="Calibri" w:cs="Calibri"/>
          <w:u w:val="single"/>
        </w:rPr>
        <w:t>will be required to submit partial Q2 reports around August 6, 2021</w:t>
      </w:r>
      <w:r w:rsidRPr="00581BC5">
        <w:rPr>
          <w:rFonts w:ascii="Calibri" w:hAnsi="Calibri" w:cs="Calibri"/>
        </w:rPr>
        <w:t>.  A final submission deadline will be provided in the near future. The Q2 partial report consists of a subset of mandatory data elements that mirror the reports that Recipients already submitted for Treasury’s interim reporting cycle through Q1 and monthly submissions with minor updates and two brief narrative</w:t>
      </w:r>
      <w:r>
        <w:rPr>
          <w:rFonts w:ascii="Calibri" w:hAnsi="Calibri" w:cs="Calibri"/>
        </w:rPr>
        <w:t xml:space="preserve"> </w:t>
      </w:r>
      <w:r w:rsidRPr="00581BC5">
        <w:rPr>
          <w:rFonts w:ascii="Calibri" w:hAnsi="Calibri" w:cs="Calibri"/>
        </w:rPr>
        <w:t xml:space="preserve">questions.    </w:t>
      </w:r>
      <w:r>
        <w:rPr>
          <w:rFonts w:ascii="Calibri" w:hAnsi="Calibri" w:cs="Calibri"/>
        </w:rPr>
        <w:br/>
      </w:r>
    </w:p>
    <w:p w:rsidRPr="00581BC5" w:rsidR="00581BC5" w:rsidP="00581BC5" w:rsidRDefault="00581BC5" w14:paraId="280AB34E" w14:textId="1652B2C7">
      <w:pPr>
        <w:pStyle w:val="ListParagraph"/>
        <w:numPr>
          <w:ilvl w:val="0"/>
          <w:numId w:val="5"/>
        </w:numPr>
        <w:tabs>
          <w:tab w:val="clear" w:pos="840"/>
        </w:tabs>
        <w:spacing w:before="100" w:beforeAutospacing="1" w:after="100" w:afterAutospacing="1" w:line="240" w:lineRule="auto"/>
        <w:ind w:left="360"/>
        <w:jc w:val="both"/>
        <w:rPr>
          <w:rFonts w:ascii="Calibri" w:hAnsi="Calibri" w:cs="Calibri"/>
        </w:rPr>
      </w:pPr>
      <w:r w:rsidRPr="00581BC5">
        <w:rPr>
          <w:rFonts w:ascii="Calibri" w:hAnsi="Calibri" w:cs="Calibri"/>
        </w:rPr>
        <w:t xml:space="preserve">In addition to the partial Q2 submission, ERA1 and ERA2 </w:t>
      </w:r>
      <w:r>
        <w:rPr>
          <w:rFonts w:ascii="Calibri" w:hAnsi="Calibri" w:cs="Calibri"/>
        </w:rPr>
        <w:t xml:space="preserve">SLT </w:t>
      </w:r>
      <w:r w:rsidRPr="00581BC5">
        <w:rPr>
          <w:rFonts w:ascii="Calibri" w:hAnsi="Calibri" w:cs="Calibri"/>
        </w:rPr>
        <w:t xml:space="preserve">Recipients must provide </w:t>
      </w:r>
      <w:r w:rsidRPr="00581BC5">
        <w:rPr>
          <w:rFonts w:ascii="Calibri" w:hAnsi="Calibri" w:cs="Calibri"/>
          <w:u w:val="single"/>
        </w:rPr>
        <w:t>brief monthly reports for the months of July and August 2021</w:t>
      </w:r>
      <w:r w:rsidRPr="00581BC5">
        <w:rPr>
          <w:rFonts w:ascii="Calibri" w:hAnsi="Calibri" w:cs="Calibri"/>
        </w:rPr>
        <w:t>, in keeping with previously announced guidance.</w:t>
      </w:r>
    </w:p>
    <w:p w:rsidRPr="00581BC5" w:rsidR="00581BC5" w:rsidP="00581BC5" w:rsidRDefault="00581BC5" w14:paraId="3D8D869C" w14:textId="10FDCF2A">
      <w:pPr>
        <w:spacing w:before="240" w:line="240" w:lineRule="auto"/>
        <w:rPr>
          <w:rFonts w:ascii="Calibri" w:hAnsi="Calibri" w:cs="Calibri"/>
        </w:rPr>
      </w:pPr>
      <w:r>
        <w:rPr>
          <w:rFonts w:ascii="Calibri" w:hAnsi="Calibri" w:cs="Calibri"/>
          <w:b/>
          <w:bCs/>
          <w:sz w:val="24"/>
          <w:szCs w:val="24"/>
        </w:rPr>
        <w:br/>
      </w:r>
      <w:r w:rsidRPr="00581BC5">
        <w:rPr>
          <w:rFonts w:ascii="Calibri" w:hAnsi="Calibri" w:cs="Calibri"/>
          <w:b/>
          <w:bCs/>
          <w:sz w:val="24"/>
          <w:szCs w:val="24"/>
        </w:rPr>
        <w:t>Quarterly Report Beginning in Q3</w:t>
      </w:r>
      <w:r w:rsidRPr="00581BC5">
        <w:rPr>
          <w:rFonts w:ascii="Calibri" w:hAnsi="Calibri" w:cs="Calibri"/>
        </w:rPr>
        <w:t xml:space="preserve"> </w:t>
      </w:r>
    </w:p>
    <w:p w:rsidRPr="00581BC5" w:rsidR="00581BC5" w:rsidP="00581BC5" w:rsidRDefault="00581BC5" w14:paraId="7971EF40" w14:textId="0F76ED41">
      <w:pPr>
        <w:numPr>
          <w:ilvl w:val="0"/>
          <w:numId w:val="6"/>
        </w:numPr>
        <w:tabs>
          <w:tab w:val="clear" w:pos="720"/>
        </w:tabs>
        <w:spacing w:after="165" w:line="240" w:lineRule="auto"/>
        <w:ind w:left="360"/>
        <w:rPr>
          <w:rFonts w:ascii="Calibri" w:hAnsi="Calibri" w:cs="Calibri"/>
        </w:rPr>
      </w:pPr>
      <w:r w:rsidRPr="00581BC5">
        <w:rPr>
          <w:rFonts w:ascii="Calibri" w:hAnsi="Calibri" w:cs="Calibri"/>
        </w:rPr>
        <w:t xml:space="preserve">ERA1 and ERA2 </w:t>
      </w:r>
      <w:r>
        <w:rPr>
          <w:rFonts w:ascii="Calibri" w:hAnsi="Calibri" w:cs="Calibri"/>
        </w:rPr>
        <w:t xml:space="preserve">SLT </w:t>
      </w:r>
      <w:r w:rsidRPr="00581BC5">
        <w:rPr>
          <w:rFonts w:ascii="Calibri" w:hAnsi="Calibri" w:cs="Calibri"/>
        </w:rPr>
        <w:t xml:space="preserve">Recipients are required to submit </w:t>
      </w:r>
      <w:r w:rsidRPr="00581BC5">
        <w:rPr>
          <w:rFonts w:ascii="Calibri" w:hAnsi="Calibri" w:cs="Calibri"/>
          <w:u w:val="single"/>
        </w:rPr>
        <w:t xml:space="preserve">full quarterly financial and programmatic reports, consistent with Treasury’s </w:t>
      </w:r>
      <w:hyperlink w:history="1" r:id="rId12">
        <w:r w:rsidRPr="00581BC5">
          <w:rPr>
            <w:rStyle w:val="Hyperlink"/>
            <w:rFonts w:ascii="Calibri" w:hAnsi="Calibri" w:cs="Calibri"/>
          </w:rPr>
          <w:t>ERA Reporting Guidance v 1.0</w:t>
        </w:r>
      </w:hyperlink>
      <w:r w:rsidRPr="00581BC5">
        <w:rPr>
          <w:rFonts w:ascii="Calibri" w:hAnsi="Calibri" w:cs="Calibri"/>
          <w:u w:val="single"/>
        </w:rPr>
        <w:t>, beginning with the Q3 2021 reporting period</w:t>
      </w:r>
      <w:r w:rsidRPr="00581BC5">
        <w:rPr>
          <w:rFonts w:ascii="Calibri" w:hAnsi="Calibri" w:cs="Calibri"/>
        </w:rPr>
        <w:t xml:space="preserve">.   Recipients are required to submit their Q1, Q2 and Q3 reports by October 15, 2021, and future quarterly reports as required in the ERA Reporting Guidance v 1.0.  </w:t>
      </w:r>
    </w:p>
    <w:p w:rsidRPr="00581BC5" w:rsidR="00581BC5" w:rsidP="00581BC5" w:rsidRDefault="00581BC5" w14:paraId="22F46FA0" w14:textId="77777777">
      <w:pPr>
        <w:spacing w:line="240" w:lineRule="auto"/>
        <w:rPr>
          <w:rFonts w:ascii="Calibri" w:hAnsi="Calibri" w:cs="Calibri"/>
        </w:rPr>
      </w:pPr>
      <w:r w:rsidRPr="00581BC5">
        <w:rPr>
          <w:rFonts w:ascii="Calibri" w:hAnsi="Calibri" w:cs="Calibri"/>
        </w:rPr>
        <w:br/>
      </w:r>
      <w:r w:rsidRPr="00581BC5">
        <w:rPr>
          <w:rFonts w:ascii="Calibri" w:hAnsi="Calibri" w:cs="Calibri"/>
          <w:b/>
          <w:bCs/>
          <w:sz w:val="24"/>
          <w:szCs w:val="24"/>
        </w:rPr>
        <w:t>Q1 and Q2 ERA Reporting Requirements for Tribes, Tribally Designated Housing Entities, and the Department of Hawaiian Home Lands</w:t>
      </w:r>
      <w:r w:rsidRPr="00581BC5">
        <w:rPr>
          <w:rFonts w:ascii="Calibri" w:hAnsi="Calibri" w:cs="Calibri"/>
        </w:rPr>
        <w:t xml:space="preserve"> </w:t>
      </w:r>
    </w:p>
    <w:p w:rsidRPr="00581BC5" w:rsidR="00581BC5" w:rsidP="00581BC5" w:rsidRDefault="00581BC5" w14:paraId="166B0CE4" w14:textId="5CD1EA15">
      <w:pPr>
        <w:numPr>
          <w:ilvl w:val="0"/>
          <w:numId w:val="7"/>
        </w:numPr>
        <w:tabs>
          <w:tab w:val="clear" w:pos="720"/>
        </w:tabs>
        <w:spacing w:after="100" w:afterAutospacing="1" w:line="240" w:lineRule="auto"/>
        <w:ind w:left="360"/>
        <w:rPr>
          <w:rFonts w:ascii="Calibri" w:hAnsi="Calibri" w:cs="Calibri"/>
        </w:rPr>
      </w:pPr>
      <w:r w:rsidRPr="00581BC5">
        <w:rPr>
          <w:rFonts w:ascii="Calibri" w:hAnsi="Calibri" w:cs="Calibri"/>
        </w:rPr>
        <w:t xml:space="preserve">ERA1 Recipients that are Tribes, Tribally Designated Housing Entities, and the Department of Hawaiian Home Lands </w:t>
      </w:r>
      <w:r w:rsidRPr="00581BC5">
        <w:rPr>
          <w:rFonts w:ascii="Calibri" w:hAnsi="Calibri" w:cs="Calibri"/>
          <w:u w:val="single"/>
        </w:rPr>
        <w:t>will be required to submit Q2 partial reports around August 6, 2021</w:t>
      </w:r>
      <w:r w:rsidRPr="00581BC5">
        <w:rPr>
          <w:rFonts w:ascii="Calibri" w:hAnsi="Calibri" w:cs="Calibri"/>
        </w:rPr>
        <w:t>.  A final submission deadline will be provided in the near future.</w:t>
      </w:r>
      <w:r>
        <w:rPr>
          <w:rFonts w:ascii="Calibri" w:hAnsi="Calibri" w:cs="Calibri"/>
        </w:rPr>
        <w:t xml:space="preserve">  </w:t>
      </w:r>
      <w:r w:rsidRPr="00581BC5">
        <w:rPr>
          <w:rFonts w:ascii="Calibri" w:hAnsi="Calibri" w:cs="Calibri"/>
        </w:rPr>
        <w:t xml:space="preserve">In addition, these Recipients are required to provide financial and programmatic reporting </w:t>
      </w:r>
      <w:r>
        <w:rPr>
          <w:rFonts w:ascii="Calibri" w:hAnsi="Calibri" w:cs="Calibri"/>
        </w:rPr>
        <w:t xml:space="preserve">as detailed in Treasury’s </w:t>
      </w:r>
      <w:hyperlink w:history="1" r:id="rId13">
        <w:r w:rsidRPr="00581BC5">
          <w:rPr>
            <w:rStyle w:val="Hyperlink"/>
            <w:rFonts w:ascii="Calibri" w:hAnsi="Calibri" w:cs="Calibri"/>
          </w:rPr>
          <w:t>ERA Reporting Guidance v 1.0</w:t>
        </w:r>
      </w:hyperlink>
      <w:r>
        <w:rPr>
          <w:rFonts w:ascii="Calibri" w:hAnsi="Calibri" w:cs="Calibri"/>
        </w:rPr>
        <w:t xml:space="preserve"> </w:t>
      </w:r>
      <w:r w:rsidRPr="00581BC5">
        <w:rPr>
          <w:rFonts w:ascii="Calibri" w:hAnsi="Calibri" w:cs="Calibri"/>
        </w:rPr>
        <w:t>beginning with the Q3 2021 reporting period. These Recipients are not required to submit full Q1 and Q2 reports by July 29, 2021 and are not required to submit monthly reports.</w:t>
      </w:r>
    </w:p>
    <w:p w:rsidRPr="00581BC5" w:rsidR="00581BC5" w:rsidP="00581BC5" w:rsidRDefault="00581BC5" w14:paraId="23DA5069" w14:textId="77777777">
      <w:pPr>
        <w:spacing w:after="0" w:line="240" w:lineRule="auto"/>
        <w:rPr>
          <w:rFonts w:ascii="Calibri" w:hAnsi="Calibri" w:cs="Calibri"/>
        </w:rPr>
      </w:pPr>
    </w:p>
    <w:p w:rsidR="002500ED" w:rsidP="00414107" w:rsidRDefault="00836C75" w14:paraId="3BF239A6" w14:textId="6BDCA3F6">
      <w:r>
        <w:t>Date:  July 15, 2021</w:t>
      </w:r>
    </w:p>
    <w:p w:rsidR="00372824" w:rsidRDefault="00372824" w14:paraId="4E44AEC9" w14:textId="0C0DB261">
      <w:r>
        <w:br w:type="page"/>
      </w:r>
    </w:p>
    <w:p w:rsidR="002500ED" w:rsidP="00372824" w:rsidRDefault="00372824" w14:paraId="0480DB54" w14:textId="3F6C8206">
      <w:pPr>
        <w:jc w:val="center"/>
        <w:rPr>
          <w:b/>
          <w:bCs/>
          <w:sz w:val="32"/>
          <w:szCs w:val="32"/>
        </w:rPr>
      </w:pPr>
      <w:r w:rsidRPr="00372824">
        <w:rPr>
          <w:b/>
          <w:bCs/>
          <w:sz w:val="32"/>
          <w:szCs w:val="32"/>
        </w:rPr>
        <w:lastRenderedPageBreak/>
        <w:t>Required Data Elements for August 6, 2021</w:t>
      </w:r>
    </w:p>
    <w:p w:rsidRPr="00372824" w:rsidR="00372824" w:rsidP="00995A30" w:rsidRDefault="00372824" w14:paraId="4D5C0276" w14:textId="52FF2810">
      <w:pPr>
        <w:rPr>
          <w:b/>
          <w:bCs/>
          <w:sz w:val="24"/>
          <w:szCs w:val="24"/>
        </w:rPr>
      </w:pPr>
      <w:r w:rsidRPr="00372824">
        <w:rPr>
          <w:b/>
          <w:bCs/>
          <w:sz w:val="24"/>
          <w:szCs w:val="24"/>
        </w:rPr>
        <w:t>Program Overview</w:t>
      </w:r>
    </w:p>
    <w:p w:rsidR="00372824" w:rsidP="00995A30" w:rsidRDefault="00372824" w14:paraId="59738123" w14:textId="21B0D909">
      <w:pPr>
        <w:rPr>
          <w:b/>
          <w:bCs/>
          <w:sz w:val="32"/>
          <w:szCs w:val="32"/>
        </w:rPr>
      </w:pPr>
      <w:r>
        <w:rPr>
          <w:noProof/>
        </w:rPr>
        <w:drawing>
          <wp:inline distT="0" distB="0" distL="0" distR="0" wp14:anchorId="7B69DA95" wp14:editId="2CE3EF9F">
            <wp:extent cx="5943600" cy="2044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044065"/>
                    </a:xfrm>
                    <a:prstGeom prst="rect">
                      <a:avLst/>
                    </a:prstGeom>
                  </pic:spPr>
                </pic:pic>
              </a:graphicData>
            </a:graphic>
          </wp:inline>
        </w:drawing>
      </w:r>
    </w:p>
    <w:p w:rsidRPr="00372824" w:rsidR="00372824" w:rsidP="00995A30" w:rsidRDefault="00372824" w14:paraId="18830557" w14:textId="5006E0E0">
      <w:pPr>
        <w:rPr>
          <w:b/>
          <w:bCs/>
          <w:sz w:val="24"/>
          <w:szCs w:val="24"/>
        </w:rPr>
      </w:pPr>
      <w:r>
        <w:rPr>
          <w:b/>
          <w:bCs/>
          <w:sz w:val="24"/>
          <w:szCs w:val="24"/>
        </w:rPr>
        <w:t>System for Prioritizing Assistance</w:t>
      </w:r>
    </w:p>
    <w:p w:rsidR="00372824" w:rsidP="00995A30" w:rsidRDefault="00372824" w14:paraId="70E23B42" w14:textId="19B26C5B">
      <w:pPr>
        <w:rPr>
          <w:b/>
          <w:bCs/>
          <w:sz w:val="32"/>
          <w:szCs w:val="32"/>
        </w:rPr>
      </w:pPr>
      <w:r>
        <w:rPr>
          <w:noProof/>
        </w:rPr>
        <w:drawing>
          <wp:inline distT="0" distB="0" distL="0" distR="0" wp14:anchorId="464AEC5F" wp14:editId="57BC5E44">
            <wp:extent cx="5943600" cy="605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605155"/>
                    </a:xfrm>
                    <a:prstGeom prst="rect">
                      <a:avLst/>
                    </a:prstGeom>
                  </pic:spPr>
                </pic:pic>
              </a:graphicData>
            </a:graphic>
          </wp:inline>
        </w:drawing>
      </w:r>
    </w:p>
    <w:p w:rsidRPr="00372824" w:rsidR="00372824" w:rsidP="00995A30" w:rsidRDefault="00995A30" w14:paraId="79D43930" w14:textId="11D5A4EF">
      <w:pPr>
        <w:rPr>
          <w:b/>
          <w:bCs/>
          <w:sz w:val="24"/>
          <w:szCs w:val="24"/>
        </w:rPr>
      </w:pPr>
      <w:r>
        <w:rPr>
          <w:noProof/>
        </w:rPr>
        <w:drawing>
          <wp:anchor distT="0" distB="0" distL="114300" distR="114300" simplePos="0" relativeHeight="251662336" behindDoc="0" locked="0" layoutInCell="1" allowOverlap="1" wp14:editId="48B45607" wp14:anchorId="44346623">
            <wp:simplePos x="0" y="0"/>
            <wp:positionH relativeFrom="margin">
              <wp:posOffset>56644</wp:posOffset>
            </wp:positionH>
            <wp:positionV relativeFrom="paragraph">
              <wp:posOffset>325429</wp:posOffset>
            </wp:positionV>
            <wp:extent cx="5943600" cy="9607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960755"/>
                    </a:xfrm>
                    <a:prstGeom prst="rect">
                      <a:avLst/>
                    </a:prstGeom>
                  </pic:spPr>
                </pic:pic>
              </a:graphicData>
            </a:graphic>
          </wp:anchor>
        </w:drawing>
      </w:r>
      <w:r w:rsidR="00372824">
        <w:rPr>
          <w:b/>
          <w:bCs/>
          <w:sz w:val="24"/>
          <w:szCs w:val="24"/>
        </w:rPr>
        <w:t>Households Assisted</w:t>
      </w:r>
    </w:p>
    <w:p w:rsidR="00372824" w:rsidP="00995A30" w:rsidRDefault="00995A30" w14:paraId="693EB0B3" w14:textId="7ADA7236">
      <w:pPr>
        <w:rPr>
          <w:b/>
          <w:bCs/>
          <w:sz w:val="32"/>
          <w:szCs w:val="32"/>
        </w:rPr>
      </w:pPr>
      <w:r>
        <w:rPr>
          <w:noProof/>
        </w:rPr>
        <w:drawing>
          <wp:anchor distT="0" distB="0" distL="114300" distR="114300" simplePos="0" relativeHeight="251661312" behindDoc="0" locked="0" layoutInCell="1" allowOverlap="1" wp14:editId="326D8FDA" wp14:anchorId="5F86B621">
            <wp:simplePos x="0" y="0"/>
            <wp:positionH relativeFrom="margin">
              <wp:posOffset>57150</wp:posOffset>
            </wp:positionH>
            <wp:positionV relativeFrom="paragraph">
              <wp:posOffset>1124585</wp:posOffset>
            </wp:positionV>
            <wp:extent cx="3162300" cy="2959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162300" cy="295910"/>
                    </a:xfrm>
                    <a:prstGeom prst="rect">
                      <a:avLst/>
                    </a:prstGeom>
                  </pic:spPr>
                </pic:pic>
              </a:graphicData>
            </a:graphic>
            <wp14:sizeRelH relativeFrom="margin">
              <wp14:pctWidth>0</wp14:pctWidth>
            </wp14:sizeRelH>
            <wp14:sizeRelV relativeFrom="margin">
              <wp14:pctHeight>0</wp14:pctHeight>
            </wp14:sizeRelV>
          </wp:anchor>
        </w:drawing>
      </w:r>
    </w:p>
    <w:p w:rsidR="006E3216" w:rsidP="00995A30" w:rsidRDefault="00995A30" w14:paraId="149D48A5" w14:textId="7D8F3B14">
      <w:pPr>
        <w:rPr>
          <w:b/>
          <w:bCs/>
          <w:sz w:val="32"/>
          <w:szCs w:val="32"/>
        </w:rPr>
      </w:pPr>
      <w:r>
        <w:rPr>
          <w:noProof/>
        </w:rPr>
        <w:drawing>
          <wp:anchor distT="0" distB="0" distL="114300" distR="114300" simplePos="0" relativeHeight="251659264" behindDoc="0" locked="0" layoutInCell="1" allowOverlap="1" wp14:editId="5041274C" wp14:anchorId="59A84542">
            <wp:simplePos x="0" y="0"/>
            <wp:positionH relativeFrom="margin">
              <wp:posOffset>50800</wp:posOffset>
            </wp:positionH>
            <wp:positionV relativeFrom="paragraph">
              <wp:posOffset>1363345</wp:posOffset>
            </wp:positionV>
            <wp:extent cx="5852160" cy="2533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52160" cy="2533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editId="3D1A7051" wp14:anchorId="26FD59CD">
            <wp:simplePos x="0" y="0"/>
            <wp:positionH relativeFrom="margin">
              <wp:align>left</wp:align>
            </wp:positionH>
            <wp:positionV relativeFrom="margin">
              <wp:posOffset>5786120</wp:posOffset>
            </wp:positionV>
            <wp:extent cx="5902960" cy="970915"/>
            <wp:effectExtent l="0" t="0" r="254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902960" cy="9709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editId="2A161102" wp14:anchorId="38AB441A">
            <wp:simplePos x="0" y="0"/>
            <wp:positionH relativeFrom="margin">
              <wp:posOffset>56515</wp:posOffset>
            </wp:positionH>
            <wp:positionV relativeFrom="paragraph">
              <wp:posOffset>1712595</wp:posOffset>
            </wp:positionV>
            <wp:extent cx="5874385" cy="2819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874385" cy="281940"/>
                    </a:xfrm>
                    <a:prstGeom prst="rect">
                      <a:avLst/>
                    </a:prstGeom>
                  </pic:spPr>
                </pic:pic>
              </a:graphicData>
            </a:graphic>
            <wp14:sizeRelH relativeFrom="margin">
              <wp14:pctWidth>0</wp14:pctWidth>
            </wp14:sizeRelH>
            <wp14:sizeRelV relativeFrom="margin">
              <wp14:pctHeight>0</wp14:pctHeight>
            </wp14:sizeRelV>
          </wp:anchor>
        </w:drawing>
      </w:r>
    </w:p>
    <w:p w:rsidR="00372824" w:rsidP="00995A30" w:rsidRDefault="00372824" w14:paraId="4EEA5AC3" w14:textId="61EF4B4D">
      <w:pPr>
        <w:rPr>
          <w:b/>
          <w:bCs/>
          <w:sz w:val="32"/>
          <w:szCs w:val="32"/>
        </w:rPr>
      </w:pPr>
    </w:p>
    <w:p w:rsidR="006E3216" w:rsidP="00995A30" w:rsidRDefault="006E3216" w14:paraId="1D05BFC9" w14:textId="009B39C5">
      <w:pPr>
        <w:rPr>
          <w:b/>
          <w:bCs/>
          <w:sz w:val="32"/>
          <w:szCs w:val="32"/>
        </w:rPr>
      </w:pPr>
      <w:r>
        <w:rPr>
          <w:noProof/>
        </w:rPr>
        <w:lastRenderedPageBreak/>
        <w:drawing>
          <wp:inline distT="0" distB="0" distL="0" distR="0" wp14:anchorId="27E647F0" wp14:editId="39C2E15E">
            <wp:extent cx="5943600" cy="10795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079500"/>
                    </a:xfrm>
                    <a:prstGeom prst="rect">
                      <a:avLst/>
                    </a:prstGeom>
                  </pic:spPr>
                </pic:pic>
              </a:graphicData>
            </a:graphic>
          </wp:inline>
        </w:drawing>
      </w:r>
    </w:p>
    <w:p w:rsidR="006E3216" w:rsidP="00995A30" w:rsidRDefault="006E3216" w14:paraId="64FD8469" w14:textId="172F26AD">
      <w:pPr>
        <w:rPr>
          <w:b/>
          <w:bCs/>
          <w:sz w:val="32"/>
          <w:szCs w:val="32"/>
        </w:rPr>
      </w:pPr>
      <w:r>
        <w:rPr>
          <w:noProof/>
        </w:rPr>
        <w:drawing>
          <wp:inline distT="0" distB="0" distL="0" distR="0" wp14:anchorId="7368B394" wp14:editId="112A19DE">
            <wp:extent cx="5943600" cy="288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88925"/>
                    </a:xfrm>
                    <a:prstGeom prst="rect">
                      <a:avLst/>
                    </a:prstGeom>
                  </pic:spPr>
                </pic:pic>
              </a:graphicData>
            </a:graphic>
          </wp:inline>
        </w:drawing>
      </w:r>
    </w:p>
    <w:p w:rsidR="006E3216" w:rsidP="00995A30" w:rsidRDefault="006E3216" w14:paraId="06EB8A33" w14:textId="0A81EE85">
      <w:pPr>
        <w:rPr>
          <w:b/>
          <w:bCs/>
          <w:sz w:val="32"/>
          <w:szCs w:val="32"/>
        </w:rPr>
      </w:pPr>
      <w:r>
        <w:rPr>
          <w:noProof/>
        </w:rPr>
        <w:drawing>
          <wp:inline distT="0" distB="0" distL="0" distR="0" wp14:anchorId="5DDB73FB" wp14:editId="37301592">
            <wp:extent cx="5943600" cy="274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74320"/>
                    </a:xfrm>
                    <a:prstGeom prst="rect">
                      <a:avLst/>
                    </a:prstGeom>
                  </pic:spPr>
                </pic:pic>
              </a:graphicData>
            </a:graphic>
          </wp:inline>
        </w:drawing>
      </w:r>
    </w:p>
    <w:p w:rsidR="00AA6478" w:rsidP="00995A30" w:rsidRDefault="00AA6478" w14:paraId="18F70440" w14:textId="74FC86EC">
      <w:pPr>
        <w:rPr>
          <w:b/>
          <w:bCs/>
          <w:sz w:val="32"/>
          <w:szCs w:val="32"/>
        </w:rPr>
      </w:pPr>
      <w:r>
        <w:rPr>
          <w:noProof/>
        </w:rPr>
        <w:drawing>
          <wp:inline distT="0" distB="0" distL="0" distR="0" wp14:anchorId="3D3264E3" wp14:editId="39B3DA17">
            <wp:extent cx="5943600" cy="4260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26085"/>
                    </a:xfrm>
                    <a:prstGeom prst="rect">
                      <a:avLst/>
                    </a:prstGeom>
                  </pic:spPr>
                </pic:pic>
              </a:graphicData>
            </a:graphic>
          </wp:inline>
        </w:drawing>
      </w:r>
    </w:p>
    <w:p w:rsidR="00995A30" w:rsidP="00995A30" w:rsidRDefault="00AA6478" w14:paraId="4F52916C" w14:textId="089E0BE3">
      <w:pPr>
        <w:rPr>
          <w:b/>
          <w:bCs/>
          <w:sz w:val="32"/>
          <w:szCs w:val="32"/>
        </w:rPr>
      </w:pPr>
      <w:r>
        <w:rPr>
          <w:noProof/>
        </w:rPr>
        <w:drawing>
          <wp:inline distT="0" distB="0" distL="0" distR="0" wp14:anchorId="2F79ECFE" wp14:editId="228F7808">
            <wp:extent cx="5943600" cy="2336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33680"/>
                    </a:xfrm>
                    <a:prstGeom prst="rect">
                      <a:avLst/>
                    </a:prstGeom>
                  </pic:spPr>
                </pic:pic>
              </a:graphicData>
            </a:graphic>
          </wp:inline>
        </w:drawing>
      </w:r>
    </w:p>
    <w:p w:rsidR="00995A30" w:rsidP="00995A30" w:rsidRDefault="00995A30" w14:paraId="32E94503" w14:textId="08953EEA">
      <w:pPr>
        <w:rPr>
          <w:b/>
          <w:bCs/>
          <w:sz w:val="32"/>
          <w:szCs w:val="32"/>
        </w:rPr>
      </w:pPr>
      <w:r>
        <w:rPr>
          <w:noProof/>
        </w:rPr>
        <w:drawing>
          <wp:inline distT="0" distB="0" distL="0" distR="0" wp14:anchorId="6D81C78C" wp14:editId="651242EB">
            <wp:extent cx="5943600" cy="37719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77190"/>
                    </a:xfrm>
                    <a:prstGeom prst="rect">
                      <a:avLst/>
                    </a:prstGeom>
                  </pic:spPr>
                </pic:pic>
              </a:graphicData>
            </a:graphic>
          </wp:inline>
        </w:drawing>
      </w:r>
    </w:p>
    <w:p w:rsidRPr="00995A30" w:rsidR="00995A30" w:rsidP="00995A30" w:rsidRDefault="00995A30" w14:paraId="609B57F8" w14:textId="13041C1C">
      <w:pPr>
        <w:rPr>
          <w:b/>
          <w:bCs/>
          <w:sz w:val="24"/>
          <w:szCs w:val="24"/>
        </w:rPr>
      </w:pPr>
      <w:r w:rsidRPr="00995A30">
        <w:rPr>
          <w:b/>
          <w:bCs/>
          <w:sz w:val="24"/>
          <w:szCs w:val="24"/>
        </w:rPr>
        <w:t>Total Obligations and Expenditures</w:t>
      </w:r>
    </w:p>
    <w:p w:rsidR="00995A30" w:rsidP="00995A30" w:rsidRDefault="00995A30" w14:paraId="13F5F14B" w14:textId="1FB70FDA">
      <w:pPr>
        <w:rPr>
          <w:b/>
          <w:bCs/>
          <w:sz w:val="32"/>
          <w:szCs w:val="32"/>
        </w:rPr>
      </w:pPr>
      <w:r>
        <w:rPr>
          <w:noProof/>
        </w:rPr>
        <w:drawing>
          <wp:inline distT="0" distB="0" distL="0" distR="0" wp14:anchorId="5BE2908F" wp14:editId="689D1868">
            <wp:extent cx="5943600" cy="23253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325370"/>
                    </a:xfrm>
                    <a:prstGeom prst="rect">
                      <a:avLst/>
                    </a:prstGeom>
                  </pic:spPr>
                </pic:pic>
              </a:graphicData>
            </a:graphic>
          </wp:inline>
        </w:drawing>
      </w:r>
    </w:p>
    <w:p w:rsidR="00995A30" w:rsidP="00995A30" w:rsidRDefault="00995A30" w14:paraId="385160E8" w14:textId="77777777">
      <w:pPr>
        <w:rPr>
          <w:b/>
          <w:bCs/>
          <w:sz w:val="24"/>
          <w:szCs w:val="24"/>
        </w:rPr>
      </w:pPr>
      <w:r>
        <w:rPr>
          <w:b/>
          <w:bCs/>
          <w:sz w:val="24"/>
          <w:szCs w:val="24"/>
        </w:rPr>
        <w:br w:type="page"/>
      </w:r>
    </w:p>
    <w:p w:rsidRPr="00995A30" w:rsidR="00995A30" w:rsidP="00995A30" w:rsidRDefault="00995A30" w14:paraId="4CE7E214" w14:textId="2E6D75EA">
      <w:pPr>
        <w:rPr>
          <w:b/>
          <w:bCs/>
          <w:sz w:val="24"/>
          <w:szCs w:val="24"/>
        </w:rPr>
      </w:pPr>
      <w:r w:rsidRPr="00995A30">
        <w:rPr>
          <w:b/>
          <w:bCs/>
          <w:sz w:val="24"/>
          <w:szCs w:val="24"/>
        </w:rPr>
        <w:lastRenderedPageBreak/>
        <w:t>Certification</w:t>
      </w:r>
    </w:p>
    <w:p w:rsidRPr="00372824" w:rsidR="00995A30" w:rsidP="00995A30" w:rsidRDefault="00995A30" w14:paraId="2BD955FB" w14:textId="7F07F679">
      <w:pPr>
        <w:rPr>
          <w:b/>
          <w:bCs/>
          <w:sz w:val="32"/>
          <w:szCs w:val="32"/>
        </w:rPr>
      </w:pPr>
      <w:r>
        <w:rPr>
          <w:noProof/>
        </w:rPr>
        <w:drawing>
          <wp:inline distT="0" distB="0" distL="0" distR="0" wp14:anchorId="6F8772BF" wp14:editId="6FF44202">
            <wp:extent cx="5943600" cy="199580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995805"/>
                    </a:xfrm>
                    <a:prstGeom prst="rect">
                      <a:avLst/>
                    </a:prstGeom>
                  </pic:spPr>
                </pic:pic>
              </a:graphicData>
            </a:graphic>
          </wp:inline>
        </w:drawing>
      </w:r>
    </w:p>
    <w:sectPr w:rsidRPr="00372824" w:rsidR="00995A30" w:rsidSect="00B4784B">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5923C" w14:textId="77777777" w:rsidR="00995A30" w:rsidRDefault="00995A30" w:rsidP="00995A30">
      <w:pPr>
        <w:spacing w:after="0" w:line="240" w:lineRule="auto"/>
      </w:pPr>
      <w:r>
        <w:separator/>
      </w:r>
    </w:p>
  </w:endnote>
  <w:endnote w:type="continuationSeparator" w:id="0">
    <w:p w14:paraId="4CE3E772" w14:textId="77777777" w:rsidR="00995A30" w:rsidRDefault="00995A30" w:rsidP="0099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0597404"/>
      <w:docPartObj>
        <w:docPartGallery w:val="Page Numbers (Bottom of Page)"/>
        <w:docPartUnique/>
      </w:docPartObj>
    </w:sdtPr>
    <w:sdtEndPr/>
    <w:sdtContent>
      <w:sdt>
        <w:sdtPr>
          <w:id w:val="1728636285"/>
          <w:docPartObj>
            <w:docPartGallery w:val="Page Numbers (Top of Page)"/>
            <w:docPartUnique/>
          </w:docPartObj>
        </w:sdtPr>
        <w:sdtEndPr/>
        <w:sdtContent>
          <w:p w14:paraId="7EEA6BFD" w14:textId="172B315B" w:rsidR="00995A30" w:rsidRDefault="00995A3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A7A9F6" w14:textId="77777777" w:rsidR="00995A30" w:rsidRDefault="0099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1C04C" w14:textId="77777777" w:rsidR="00995A30" w:rsidRDefault="00995A30" w:rsidP="00995A30">
      <w:pPr>
        <w:spacing w:after="0" w:line="240" w:lineRule="auto"/>
      </w:pPr>
      <w:r>
        <w:separator/>
      </w:r>
    </w:p>
  </w:footnote>
  <w:footnote w:type="continuationSeparator" w:id="0">
    <w:p w14:paraId="796DBE1C" w14:textId="77777777" w:rsidR="00995A30" w:rsidRDefault="00995A30" w:rsidP="00995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03720"/>
    <w:multiLevelType w:val="multilevel"/>
    <w:tmpl w:val="092C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825D6"/>
    <w:multiLevelType w:val="hybridMultilevel"/>
    <w:tmpl w:val="385A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10279"/>
    <w:multiLevelType w:val="multilevel"/>
    <w:tmpl w:val="2F3EB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90F47"/>
    <w:multiLevelType w:val="multilevel"/>
    <w:tmpl w:val="8CD6870A"/>
    <w:lvl w:ilvl="0">
      <w:start w:val="1"/>
      <w:numFmt w:val="bullet"/>
      <w:lvlText w:val=""/>
      <w:lvlJc w:val="left"/>
      <w:pPr>
        <w:tabs>
          <w:tab w:val="num" w:pos="840"/>
        </w:tabs>
        <w:ind w:left="840" w:hanging="360"/>
      </w:pPr>
      <w:rPr>
        <w:rFonts w:ascii="Symbol" w:hAnsi="Symbol" w:hint="default"/>
        <w:sz w:val="20"/>
      </w:rPr>
    </w:lvl>
    <w:lvl w:ilvl="1">
      <w:start w:val="1"/>
      <w:numFmt w:val="bullet"/>
      <w:lvlText w:val="o"/>
      <w:lvlJc w:val="left"/>
      <w:pPr>
        <w:tabs>
          <w:tab w:val="num" w:pos="1560"/>
        </w:tabs>
        <w:ind w:left="1560" w:hanging="360"/>
      </w:pPr>
      <w:rPr>
        <w:rFonts w:ascii="Courier New" w:hAnsi="Courier New" w:cs="Times New Roman" w:hint="default"/>
        <w:sz w:val="20"/>
      </w:rPr>
    </w:lvl>
    <w:lvl w:ilvl="2">
      <w:start w:val="1"/>
      <w:numFmt w:val="bullet"/>
      <w:lvlText w:val=""/>
      <w:lvlJc w:val="left"/>
      <w:pPr>
        <w:tabs>
          <w:tab w:val="num" w:pos="2280"/>
        </w:tabs>
        <w:ind w:left="2280" w:hanging="360"/>
      </w:pPr>
      <w:rPr>
        <w:rFonts w:ascii="Wingdings" w:hAnsi="Wingdings" w:hint="default"/>
        <w:sz w:val="20"/>
      </w:rPr>
    </w:lvl>
    <w:lvl w:ilvl="3">
      <w:start w:val="1"/>
      <w:numFmt w:val="bullet"/>
      <w:lvlText w:val=""/>
      <w:lvlJc w:val="left"/>
      <w:pPr>
        <w:tabs>
          <w:tab w:val="num" w:pos="3000"/>
        </w:tabs>
        <w:ind w:left="3000" w:hanging="360"/>
      </w:pPr>
      <w:rPr>
        <w:rFonts w:ascii="Wingdings" w:hAnsi="Wingdings" w:hint="default"/>
        <w:sz w:val="20"/>
      </w:rPr>
    </w:lvl>
    <w:lvl w:ilvl="4">
      <w:start w:val="1"/>
      <w:numFmt w:val="bullet"/>
      <w:lvlText w:val=""/>
      <w:lvlJc w:val="left"/>
      <w:pPr>
        <w:tabs>
          <w:tab w:val="num" w:pos="3720"/>
        </w:tabs>
        <w:ind w:left="3720" w:hanging="360"/>
      </w:pPr>
      <w:rPr>
        <w:rFonts w:ascii="Wingdings" w:hAnsi="Wingdings" w:hint="default"/>
        <w:sz w:val="20"/>
      </w:rPr>
    </w:lvl>
    <w:lvl w:ilvl="5">
      <w:start w:val="1"/>
      <w:numFmt w:val="bullet"/>
      <w:lvlText w:val=""/>
      <w:lvlJc w:val="left"/>
      <w:pPr>
        <w:tabs>
          <w:tab w:val="num" w:pos="4440"/>
        </w:tabs>
        <w:ind w:left="4440" w:hanging="360"/>
      </w:pPr>
      <w:rPr>
        <w:rFonts w:ascii="Wingdings" w:hAnsi="Wingdings" w:hint="default"/>
        <w:sz w:val="20"/>
      </w:rPr>
    </w:lvl>
    <w:lvl w:ilvl="6">
      <w:start w:val="1"/>
      <w:numFmt w:val="bullet"/>
      <w:lvlText w:val=""/>
      <w:lvlJc w:val="left"/>
      <w:pPr>
        <w:tabs>
          <w:tab w:val="num" w:pos="5160"/>
        </w:tabs>
        <w:ind w:left="5160" w:hanging="360"/>
      </w:pPr>
      <w:rPr>
        <w:rFonts w:ascii="Wingdings" w:hAnsi="Wingdings" w:hint="default"/>
        <w:sz w:val="20"/>
      </w:rPr>
    </w:lvl>
    <w:lvl w:ilvl="7">
      <w:start w:val="1"/>
      <w:numFmt w:val="bullet"/>
      <w:lvlText w:val=""/>
      <w:lvlJc w:val="left"/>
      <w:pPr>
        <w:tabs>
          <w:tab w:val="num" w:pos="5880"/>
        </w:tabs>
        <w:ind w:left="5880" w:hanging="360"/>
      </w:pPr>
      <w:rPr>
        <w:rFonts w:ascii="Wingdings" w:hAnsi="Wingdings" w:hint="default"/>
        <w:sz w:val="20"/>
      </w:rPr>
    </w:lvl>
    <w:lvl w:ilvl="8">
      <w:start w:val="1"/>
      <w:numFmt w:val="bullet"/>
      <w:lvlText w:val=""/>
      <w:lvlJc w:val="left"/>
      <w:pPr>
        <w:tabs>
          <w:tab w:val="num" w:pos="6600"/>
        </w:tabs>
        <w:ind w:left="6600" w:hanging="360"/>
      </w:pPr>
      <w:rPr>
        <w:rFonts w:ascii="Wingdings" w:hAnsi="Wingdings" w:hint="default"/>
        <w:sz w:val="20"/>
      </w:rPr>
    </w:lvl>
  </w:abstractNum>
  <w:abstractNum w:abstractNumId="4" w15:restartNumberingAfterBreak="0">
    <w:nsid w:val="62E360C9"/>
    <w:multiLevelType w:val="hybridMultilevel"/>
    <w:tmpl w:val="192E8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53722"/>
    <w:multiLevelType w:val="hybridMultilevel"/>
    <w:tmpl w:val="A80A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F74F2"/>
    <w:multiLevelType w:val="hybridMultilevel"/>
    <w:tmpl w:val="97F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13"/>
    <w:rsid w:val="00021956"/>
    <w:rsid w:val="00023CA7"/>
    <w:rsid w:val="00047DB8"/>
    <w:rsid w:val="00091CE8"/>
    <w:rsid w:val="001F1B13"/>
    <w:rsid w:val="002500ED"/>
    <w:rsid w:val="002C5898"/>
    <w:rsid w:val="00344F30"/>
    <w:rsid w:val="00372824"/>
    <w:rsid w:val="00377171"/>
    <w:rsid w:val="003B5D28"/>
    <w:rsid w:val="0040165C"/>
    <w:rsid w:val="00414107"/>
    <w:rsid w:val="00513E4C"/>
    <w:rsid w:val="00581BC5"/>
    <w:rsid w:val="005F6FCF"/>
    <w:rsid w:val="00653738"/>
    <w:rsid w:val="006B4131"/>
    <w:rsid w:val="006C164D"/>
    <w:rsid w:val="006E3216"/>
    <w:rsid w:val="006F3AD5"/>
    <w:rsid w:val="00823E3B"/>
    <w:rsid w:val="00836C75"/>
    <w:rsid w:val="00860291"/>
    <w:rsid w:val="00916FBA"/>
    <w:rsid w:val="00976786"/>
    <w:rsid w:val="00995A30"/>
    <w:rsid w:val="009B57E8"/>
    <w:rsid w:val="00A31E48"/>
    <w:rsid w:val="00AA6478"/>
    <w:rsid w:val="00B07D5E"/>
    <w:rsid w:val="00B4784B"/>
    <w:rsid w:val="00B665D9"/>
    <w:rsid w:val="00B72564"/>
    <w:rsid w:val="00BA144D"/>
    <w:rsid w:val="00CF3FBB"/>
    <w:rsid w:val="00DA1655"/>
    <w:rsid w:val="00DF5CEE"/>
    <w:rsid w:val="00E63A2C"/>
    <w:rsid w:val="00EC08CC"/>
    <w:rsid w:val="06695CC9"/>
    <w:rsid w:val="0BC37E71"/>
    <w:rsid w:val="1B8E35B2"/>
    <w:rsid w:val="1F6B8602"/>
    <w:rsid w:val="24E63B45"/>
    <w:rsid w:val="2DD2F4D2"/>
    <w:rsid w:val="3A558498"/>
    <w:rsid w:val="3C1A9F68"/>
    <w:rsid w:val="449B58D1"/>
    <w:rsid w:val="5183A4F7"/>
    <w:rsid w:val="5184D3E7"/>
    <w:rsid w:val="51FC41D3"/>
    <w:rsid w:val="52D99EF0"/>
    <w:rsid w:val="5D8BBB4E"/>
    <w:rsid w:val="6E7A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DB9E"/>
  <w15:chartTrackingRefBased/>
  <w15:docId w15:val="{1A2465E9-F46E-4E22-82D2-B1870C78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B13"/>
    <w:pPr>
      <w:ind w:left="720"/>
      <w:contextualSpacing/>
    </w:pPr>
  </w:style>
  <w:style w:type="paragraph" w:styleId="BalloonText">
    <w:name w:val="Balloon Text"/>
    <w:basedOn w:val="Normal"/>
    <w:link w:val="BalloonTextChar"/>
    <w:uiPriority w:val="99"/>
    <w:semiHidden/>
    <w:unhideWhenUsed/>
    <w:rsid w:val="00401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5C"/>
    <w:rPr>
      <w:rFonts w:ascii="Segoe UI" w:hAnsi="Segoe UI" w:cs="Segoe UI"/>
      <w:sz w:val="18"/>
      <w:szCs w:val="18"/>
    </w:rPr>
  </w:style>
  <w:style w:type="character" w:styleId="CommentReference">
    <w:name w:val="annotation reference"/>
    <w:basedOn w:val="DefaultParagraphFont"/>
    <w:uiPriority w:val="99"/>
    <w:unhideWhenUsed/>
    <w:rsid w:val="0040165C"/>
    <w:rPr>
      <w:sz w:val="16"/>
      <w:szCs w:val="16"/>
    </w:rPr>
  </w:style>
  <w:style w:type="paragraph" w:styleId="CommentText">
    <w:name w:val="annotation text"/>
    <w:basedOn w:val="Normal"/>
    <w:link w:val="CommentTextChar"/>
    <w:uiPriority w:val="99"/>
    <w:unhideWhenUsed/>
    <w:rsid w:val="0040165C"/>
    <w:pPr>
      <w:spacing w:after="240" w:line="240" w:lineRule="auto"/>
      <w:ind w:left="720"/>
    </w:pPr>
    <w:rPr>
      <w:rFonts w:ascii="Arial" w:hAnsi="Arial" w:cs="Arial"/>
      <w:sz w:val="20"/>
      <w:szCs w:val="20"/>
    </w:rPr>
  </w:style>
  <w:style w:type="character" w:customStyle="1" w:styleId="CommentTextChar">
    <w:name w:val="Comment Text Char"/>
    <w:basedOn w:val="DefaultParagraphFont"/>
    <w:link w:val="CommentText"/>
    <w:uiPriority w:val="99"/>
    <w:rsid w:val="0040165C"/>
    <w:rPr>
      <w:rFonts w:ascii="Arial" w:hAnsi="Arial" w:cs="Arial"/>
      <w:sz w:val="20"/>
      <w:szCs w:val="20"/>
    </w:rPr>
  </w:style>
  <w:style w:type="table" w:styleId="TableGrid">
    <w:name w:val="Table Grid"/>
    <w:basedOn w:val="TableNormal"/>
    <w:uiPriority w:val="39"/>
    <w:rsid w:val="00401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basedOn w:val="Normal"/>
    <w:qFormat/>
    <w:rsid w:val="0040165C"/>
    <w:pPr>
      <w:spacing w:after="240" w:line="300" w:lineRule="atLeast"/>
      <w:ind w:left="80"/>
    </w:pPr>
    <w:rPr>
      <w:rFonts w:ascii="Arial" w:hAnsi="Arial" w:cs="Arial"/>
    </w:rPr>
  </w:style>
  <w:style w:type="character" w:styleId="Hyperlink">
    <w:name w:val="Hyperlink"/>
    <w:basedOn w:val="DefaultParagraphFont"/>
    <w:uiPriority w:val="99"/>
    <w:unhideWhenUsed/>
    <w:rsid w:val="00B72564"/>
    <w:rPr>
      <w:color w:val="0563C1" w:themeColor="hyperlink"/>
      <w:u w:val="single"/>
    </w:rPr>
  </w:style>
  <w:style w:type="character" w:styleId="UnresolvedMention">
    <w:name w:val="Unresolved Mention"/>
    <w:basedOn w:val="DefaultParagraphFont"/>
    <w:uiPriority w:val="99"/>
    <w:semiHidden/>
    <w:unhideWhenUsed/>
    <w:rsid w:val="00B72564"/>
    <w:rPr>
      <w:color w:val="605E5C"/>
      <w:shd w:val="clear" w:color="auto" w:fill="E1DFDD"/>
    </w:rPr>
  </w:style>
  <w:style w:type="paragraph" w:styleId="Header">
    <w:name w:val="header"/>
    <w:basedOn w:val="Normal"/>
    <w:link w:val="HeaderChar"/>
    <w:uiPriority w:val="99"/>
    <w:unhideWhenUsed/>
    <w:rsid w:val="0099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30"/>
  </w:style>
  <w:style w:type="paragraph" w:styleId="Footer">
    <w:name w:val="footer"/>
    <w:basedOn w:val="Normal"/>
    <w:link w:val="FooterChar"/>
    <w:uiPriority w:val="99"/>
    <w:unhideWhenUsed/>
    <w:rsid w:val="0099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treasury.gov/system/files/136/ERA-Reporting-Guidance.pdf"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home.treasury.gov/system/files/136/ERA-Reporting-Guidance.pdf"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treasury.gov/system/files/136/ERA-Reporting-Guidance.pdf"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_dlc_DocId xmlns="354ab5d5-3917-4d2c-a72e-c43f200ca589">MS4ZZKVYYEX4-279505493-286</_dlc_DocId>
    <_dlc_DocIdUrl xmlns="354ab5d5-3917-4d2c-a72e-c43f200ca589">
      <Url>https://my.treas.gov/Collab/dashr/arp/_layouts/15/DocIdRedir.aspx?ID=MS4ZZKVYYEX4-279505493-286</Url>
      <Description>MS4ZZKVYYEX4-279505493-286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1E504EC965DD47AFD9FBD314716704" ma:contentTypeVersion="2" ma:contentTypeDescription="Create a new document." ma:contentTypeScope="" ma:versionID="244901699fed046d68f5c3ffa58524b7">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ef68b6bf1bf98ba40c7d72ea211363de"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F5670-A2F4-464A-BB4D-0E0F8B4B435E}">
  <ds:schemaRefs>
    <ds:schemaRef ds:uri="http://schemas.microsoft.com/office/2006/metadata/properties"/>
    <ds:schemaRef ds:uri="http://schemas.microsoft.com/office/infopath/2007/PartnerControls"/>
    <ds:schemaRef ds:uri="f70e41de-0fe8-47d8-bae5-96f488b1d7ac"/>
    <ds:schemaRef ds:uri="354ab5d5-3917-4d2c-a72e-c43f200ca589"/>
  </ds:schemaRefs>
</ds:datastoreItem>
</file>

<file path=customXml/itemProps2.xml><?xml version="1.0" encoding="utf-8"?>
<ds:datastoreItem xmlns:ds="http://schemas.openxmlformats.org/officeDocument/2006/customXml" ds:itemID="{F298FB1A-3795-47D0-9EB2-0ED8A319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DC16B-1E61-471D-8120-CFBCDD438E69}">
  <ds:schemaRefs>
    <ds:schemaRef ds:uri="http://schemas.microsoft.com/sharepoint/events"/>
  </ds:schemaRefs>
</ds:datastoreItem>
</file>

<file path=customXml/itemProps4.xml><?xml version="1.0" encoding="utf-8"?>
<ds:datastoreItem xmlns:ds="http://schemas.openxmlformats.org/officeDocument/2006/customXml" ds:itemID="{3B9CA066-386E-4810-B552-7036D8D0C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392</Words>
  <Characters>2237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Gatz, Jim</dc:creator>
  <cp:keywords/>
  <dc:description/>
  <cp:lastModifiedBy>Clark, Spencer</cp:lastModifiedBy>
  <cp:revision>2</cp:revision>
  <dcterms:created xsi:type="dcterms:W3CDTF">2021-07-16T18:07:00Z</dcterms:created>
  <dcterms:modified xsi:type="dcterms:W3CDTF">2021-07-16T18:07:00Z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0x010100591E504EC965DD47AFD9FBD314716704</vt:lpwstr>
  </property>
  <property fmtid="{D5CDD505-2E9C-101B-9397-08002B2CF9AE}" pid="3" name="_dlc_DocIdItemGuid">
    <vt:lpwstr>a9e94a8f-23f8-48c6-9de2-f03b08e00fdd</vt:lpwstr>
  </property>
</Properties>
</file>