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537C" w14:paraId="73F05F8F" w14:textId="77777777">
      <w:pPr>
        <w:pStyle w:val="Heading1"/>
      </w:pPr>
      <w:r>
        <w:t>A.  Justification</w:t>
      </w:r>
    </w:p>
    <w:p w:rsidR="005D537C" w14:paraId="678EF040" w14:textId="77777777"/>
    <w:p w:rsidR="005D537C" w14:paraId="71A3B877" w14:textId="77777777">
      <w:r>
        <w:rPr>
          <w:u w:val="single"/>
        </w:rPr>
        <w:t>1.  Circumstances necessitating collection of information</w:t>
      </w:r>
    </w:p>
    <w:p w:rsidR="000B51BC" w14:paraId="5B247B62" w14:textId="4D526B93">
      <w:r>
        <w:t>A C</w:t>
      </w:r>
      <w:r w:rsidRPr="00C0607B" w:rsidR="00C0607B">
        <w:t>ertified Community Development Financial Institution (CDFI) is a specialized financial institution that works in markets that are underserved by traditional financial institutions</w:t>
      </w:r>
      <w:r>
        <w:t xml:space="preserve"> and </w:t>
      </w:r>
      <w:r>
        <w:t>provide a range of Financial P</w:t>
      </w:r>
      <w:r w:rsidRPr="00C0607B" w:rsidR="00C0607B">
        <w:t xml:space="preserve">roducts and </w:t>
      </w:r>
      <w:r>
        <w:t>Financial Servi</w:t>
      </w:r>
      <w:r w:rsidRPr="00C0607B" w:rsidR="00C0607B">
        <w:t>ces in economi</w:t>
      </w:r>
      <w:r>
        <w:t>cally distressed Target M</w:t>
      </w:r>
      <w:r>
        <w:t>arkets</w:t>
      </w:r>
      <w:r w:rsidRPr="00C0607B" w:rsidR="00C0607B">
        <w:t>. CDFIs include regulated institutions such as community development banks and credit unions, and non-regulated institutions such as loan a</w:t>
      </w:r>
      <w:r>
        <w:t>nd venture capital funds. CDFI C</w:t>
      </w:r>
      <w:r w:rsidRPr="00C0607B" w:rsidR="00C0607B">
        <w:t xml:space="preserve">ertification is a designation conferred by the CDFI Fund and is a requirement for accessing </w:t>
      </w:r>
      <w:r>
        <w:t>various CDFI Fund programs</w:t>
      </w:r>
      <w:r w:rsidRPr="00C0607B" w:rsidR="00C0607B">
        <w:t>. A financial institution seeking to become a Cert</w:t>
      </w:r>
      <w:r w:rsidR="00CE7D1A">
        <w:t>ified CDFI and qualify to apply for</w:t>
      </w:r>
      <w:r w:rsidRPr="00C0607B" w:rsidR="00C0607B">
        <w:t xml:space="preserve"> assistance from the CDFI Fund must complete the CDFI Certification Application. </w:t>
      </w:r>
    </w:p>
    <w:p w:rsidR="000B51BC" w14:paraId="69C447A7" w14:textId="77777777"/>
    <w:p w:rsidR="00A12B27" w14:paraId="093949E5" w14:textId="13053D4B">
      <w:r w:rsidRPr="00C0607B">
        <w:t xml:space="preserve">The CDFI Fund is authorized by the Riegle Community Development Banking and Financial Institutions Act of 1994 (Pub. L. 103–325, 12 U.S.C. 4701 et seq.) (the Act). The regulations governing CDFI </w:t>
      </w:r>
      <w:r w:rsidR="00CC21E6">
        <w:t>C</w:t>
      </w:r>
      <w:r w:rsidRPr="00C0607B">
        <w:t>ertification are found at 12 CFR. 1805.201 (the Regulations). The significance of CDFI Certification has increased over the years, as</w:t>
      </w:r>
      <w:r w:rsidR="000B51BC">
        <w:t xml:space="preserve"> the</w:t>
      </w:r>
      <w:r w:rsidRPr="00C0607B">
        <w:t xml:space="preserve"> CDFI </w:t>
      </w:r>
      <w:r w:rsidR="000B51BC">
        <w:t xml:space="preserve">Certification </w:t>
      </w:r>
      <w:r w:rsidRPr="00C0607B">
        <w:t xml:space="preserve">status has come to serve as a qualifier for other </w:t>
      </w:r>
      <w:r w:rsidR="00CE7D1A">
        <w:t>f</w:t>
      </w:r>
      <w:r w:rsidRPr="00C0607B">
        <w:t xml:space="preserve">ederal government and private sector </w:t>
      </w:r>
      <w:r w:rsidR="0054623B">
        <w:t>resources</w:t>
      </w:r>
      <w:r w:rsidRPr="00C0607B" w:rsidR="0054623B">
        <w:t xml:space="preserve"> </w:t>
      </w:r>
      <w:r w:rsidRPr="00C0607B">
        <w:t xml:space="preserve">and benefits. </w:t>
      </w:r>
      <w:r w:rsidR="000B51BC">
        <w:t>Beginning in January 2017,</w:t>
      </w:r>
      <w:r>
        <w:t xml:space="preserve"> through the issuance of a Request for Information,</w:t>
      </w:r>
      <w:r w:rsidR="000B51BC">
        <w:t xml:space="preserve"> the CDFI Fund sought to review and update</w:t>
      </w:r>
      <w:r w:rsidRPr="00C0607B">
        <w:t xml:space="preserve"> the CDFI Certification policies and procedures </w:t>
      </w:r>
      <w:r w:rsidR="000B51BC">
        <w:t xml:space="preserve">to ensure they </w:t>
      </w:r>
      <w:r w:rsidRPr="00C0607B">
        <w:t xml:space="preserve">continue to meet the statutory and regulatory requirements, are responsive to the evolving nature of the CDFI </w:t>
      </w:r>
      <w:r w:rsidRPr="00C0607B">
        <w:t>industry, and</w:t>
      </w:r>
      <w:r w:rsidRPr="00C0607B">
        <w:t xml:space="preserve"> protect government resources</w:t>
      </w:r>
      <w:r w:rsidR="000B51BC">
        <w:t>.</w:t>
      </w:r>
      <w:r w:rsidRPr="00C0607B">
        <w:t xml:space="preserve"> </w:t>
      </w:r>
      <w:r w:rsidRPr="0054623B" w:rsidR="0054623B">
        <w:t xml:space="preserve">In May 2020, the CDFI Fund requested public comment on </w:t>
      </w:r>
      <w:r>
        <w:t xml:space="preserve">proposed </w:t>
      </w:r>
      <w:r w:rsidR="0054623B">
        <w:t xml:space="preserve">revisions to the </w:t>
      </w:r>
      <w:r w:rsidR="00CE7D1A">
        <w:t>A</w:t>
      </w:r>
      <w:r w:rsidRPr="0054623B" w:rsidR="0054623B">
        <w:t>pplication and reporting requirements for Certified CDFIs.</w:t>
      </w:r>
      <w:r w:rsidR="0054623B">
        <w:t xml:space="preserve"> </w:t>
      </w:r>
      <w:r>
        <w:t xml:space="preserve">As a result of comments received during that public comment period, the CDFI Fund made additional revisions to the proposed </w:t>
      </w:r>
      <w:r w:rsidR="000F3A71">
        <w:t>Certification A</w:t>
      </w:r>
      <w:r w:rsidRPr="00C0607B">
        <w:t>pplication</w:t>
      </w:r>
      <w:r w:rsidR="00B069FA">
        <w:t xml:space="preserve">. </w:t>
      </w:r>
    </w:p>
    <w:p w:rsidR="00A12B27" w14:paraId="2E577717" w14:textId="77777777"/>
    <w:p w:rsidR="00A55FA3" w:rsidRPr="00C0607B" w14:paraId="663610D1" w14:textId="41F5A1AD">
      <w:r>
        <w:t>The revised c</w:t>
      </w:r>
      <w:r w:rsidRPr="00C0607B" w:rsidR="00C0607B">
        <w:t xml:space="preserve">ertification policies and </w:t>
      </w:r>
      <w:r w:rsidR="00CC21E6">
        <w:t>A</w:t>
      </w:r>
      <w:r w:rsidRPr="00C0607B" w:rsidR="00C0607B">
        <w:t>pplication attempt</w:t>
      </w:r>
      <w:r w:rsidR="00730D7E">
        <w:t>s</w:t>
      </w:r>
      <w:r w:rsidRPr="00C0607B" w:rsidR="00C0607B">
        <w:t xml:space="preserve"> both to provide the flexibility necessary for CDFIs to grow and to serve the hardest to reach distressed communities, and to maintain the integrity of what it means to be a certified CDFI from a mission perspective. In addi</w:t>
      </w:r>
      <w:r>
        <w:t xml:space="preserve">tion, where existing policy </w:t>
      </w:r>
      <w:r w:rsidR="0054623B">
        <w:t>wa</w:t>
      </w:r>
      <w:r w:rsidR="00CE7D1A">
        <w:t>rranted changes</w:t>
      </w:r>
      <w:r w:rsidRPr="00C0607B" w:rsidR="00C0607B">
        <w:t xml:space="preserve">, </w:t>
      </w:r>
      <w:r w:rsidR="00CE7D1A">
        <w:t>revisions</w:t>
      </w:r>
      <w:r w:rsidRPr="00C0607B" w:rsidR="00C0607B">
        <w:t xml:space="preserve"> were made to the </w:t>
      </w:r>
      <w:r w:rsidR="00CC21E6">
        <w:t>A</w:t>
      </w:r>
      <w:r w:rsidRPr="00C0607B" w:rsidR="00C0607B">
        <w:t>pplication and guidance to provide greater transparency and clarity around the criteria that entities must meet to obtain a</w:t>
      </w:r>
      <w:r w:rsidR="000F3A71">
        <w:t>nd maintain CDFI Certification.</w:t>
      </w:r>
    </w:p>
    <w:p w:rsidR="000F3A71" w14:paraId="7C6D9434" w14:textId="77777777">
      <w:pPr>
        <w:rPr>
          <w:u w:val="single"/>
        </w:rPr>
      </w:pPr>
    </w:p>
    <w:p w:rsidR="005D537C" w14:paraId="43301850" w14:textId="1263096F">
      <w:pPr>
        <w:rPr>
          <w:u w:val="single"/>
        </w:rPr>
      </w:pPr>
      <w:r>
        <w:rPr>
          <w:u w:val="single"/>
        </w:rPr>
        <w:t>2.  Method of collection and use of data</w:t>
      </w:r>
    </w:p>
    <w:p w:rsidR="00CF1B43" w14:paraId="27218E9B" w14:textId="30CDC974">
      <w:r>
        <w:t xml:space="preserve">The data </w:t>
      </w:r>
      <w:r w:rsidR="00A2141C">
        <w:t xml:space="preserve">collected via this form </w:t>
      </w:r>
      <w:r>
        <w:t xml:space="preserve">will be collected by voluntary submission </w:t>
      </w:r>
      <w:r>
        <w:t>by</w:t>
      </w:r>
      <w:r>
        <w:t xml:space="preserve"> </w:t>
      </w:r>
      <w:r>
        <w:t>organizations</w:t>
      </w:r>
      <w:r>
        <w:t xml:space="preserve"> seeking </w:t>
      </w:r>
      <w:r w:rsidR="004E3E28">
        <w:t xml:space="preserve">initial </w:t>
      </w:r>
      <w:r w:rsidR="00A2141C">
        <w:t>certification as a CDFI</w:t>
      </w:r>
      <w:r>
        <w:t xml:space="preserve">. </w:t>
      </w:r>
      <w:r w:rsidR="00A2141C">
        <w:t>Subsequent to</w:t>
      </w:r>
      <w:r w:rsidR="00A2141C">
        <w:t xml:space="preserve"> initial certification, CDFIs </w:t>
      </w:r>
      <w:r w:rsidR="00B05315">
        <w:t>are</w:t>
      </w:r>
      <w:r w:rsidR="00617330">
        <w:t xml:space="preserve"> evaluated </w:t>
      </w:r>
      <w:r w:rsidR="00DA2264">
        <w:t>annually</w:t>
      </w:r>
      <w:r w:rsidR="008B407E">
        <w:t xml:space="preserve"> and are required to submit an </w:t>
      </w:r>
      <w:r w:rsidR="00DA2264">
        <w:t>Annual Certification and Data Collection Report (ACR)</w:t>
      </w:r>
      <w:r w:rsidR="00395500">
        <w:t xml:space="preserve"> and </w:t>
      </w:r>
      <w:r w:rsidR="00523939">
        <w:t xml:space="preserve">will </w:t>
      </w:r>
      <w:r w:rsidR="00CE7D1A">
        <w:t xml:space="preserve">be </w:t>
      </w:r>
      <w:r w:rsidR="00523939">
        <w:t>required to submit</w:t>
      </w:r>
      <w:r w:rsidR="00395500">
        <w:t xml:space="preserve"> </w:t>
      </w:r>
      <w:r w:rsidR="00523939">
        <w:t xml:space="preserve">an abbreviated CDFI </w:t>
      </w:r>
      <w:r w:rsidR="00395500">
        <w:t>Transaction Level Report (TLR),</w:t>
      </w:r>
      <w:r w:rsidR="008B407E">
        <w:t xml:space="preserve"> in order to maintain certification</w:t>
      </w:r>
      <w:r w:rsidR="00523939">
        <w:t xml:space="preserve"> and assess Target Market activity (OMB Control Number 1559-0046)</w:t>
      </w:r>
      <w:r w:rsidR="00A2141C">
        <w:t>.</w:t>
      </w:r>
      <w:r w:rsidR="000F3A71">
        <w:t xml:space="preserve"> </w:t>
      </w:r>
    </w:p>
    <w:p w:rsidR="00CF1B43" w14:paraId="4D68861B" w14:textId="77777777"/>
    <w:p w:rsidR="005D537C" w14:paraId="3DEDA3AF" w14:textId="77777777">
      <w:pPr>
        <w:jc w:val="both"/>
        <w:rPr>
          <w:u w:val="single"/>
        </w:rPr>
      </w:pPr>
      <w:r>
        <w:rPr>
          <w:u w:val="single"/>
        </w:rPr>
        <w:t>3. Use of Information Technology</w:t>
      </w:r>
    </w:p>
    <w:p w:rsidR="005D537C" w14:paraId="60AD3D4D" w14:textId="32556D99">
      <w:pPr>
        <w:pStyle w:val="Header"/>
        <w:tabs>
          <w:tab w:val="clear" w:pos="4320"/>
          <w:tab w:val="clear" w:pos="8640"/>
        </w:tabs>
      </w:pPr>
      <w:r>
        <w:t xml:space="preserve">The CDFI Certification </w:t>
      </w:r>
      <w:r>
        <w:t>Application</w:t>
      </w:r>
      <w:r w:rsidR="00CE7D1A">
        <w:t xml:space="preserve"> is</w:t>
      </w:r>
      <w:r>
        <w:t xml:space="preserve"> available </w:t>
      </w:r>
      <w:r>
        <w:t>through the CDFI Fund’s Award Management Information System (AMIS)</w:t>
      </w:r>
      <w:r w:rsidR="00CE7D1A">
        <w:t>,</w:t>
      </w:r>
      <w:r>
        <w:t xml:space="preserve"> located o</w:t>
      </w:r>
      <w:r w:rsidR="003514BB">
        <w:t>n</w:t>
      </w:r>
      <w:r>
        <w:t xml:space="preserve"> the CDFI Fund’s website. The CDFI Fund will require that applicants submit </w:t>
      </w:r>
      <w:r>
        <w:t>C</w:t>
      </w:r>
      <w:r w:rsidR="0009720C">
        <w:t>ertification</w:t>
      </w:r>
      <w:r>
        <w:t xml:space="preserve"> A</w:t>
      </w:r>
      <w:r>
        <w:t xml:space="preserve">pplications </w:t>
      </w:r>
      <w:r w:rsidR="004E3E28">
        <w:t>electronically.</w:t>
      </w:r>
      <w:r>
        <w:t xml:space="preserve">  </w:t>
      </w:r>
    </w:p>
    <w:p w:rsidR="005D537C" w14:paraId="71158CCF" w14:textId="77777777">
      <w:pPr>
        <w:jc w:val="both"/>
      </w:pPr>
    </w:p>
    <w:p w:rsidR="008107E0" w14:paraId="1AA3CC4B" w14:textId="77777777">
      <w:pPr>
        <w:rPr>
          <w:u w:val="single"/>
        </w:rPr>
      </w:pPr>
      <w:r>
        <w:rPr>
          <w:u w:val="single"/>
        </w:rPr>
        <w:br w:type="page"/>
      </w:r>
    </w:p>
    <w:p w:rsidR="005D537C" w14:paraId="62C7D93C" w14:textId="791E4E03">
      <w:pPr>
        <w:jc w:val="both"/>
        <w:rPr>
          <w:u w:val="single"/>
        </w:rPr>
      </w:pPr>
      <w:r>
        <w:rPr>
          <w:u w:val="single"/>
        </w:rPr>
        <w:t>4.  Efforts to identify duplication</w:t>
      </w:r>
    </w:p>
    <w:p w:rsidR="005D537C" w14:paraId="27E5AC30" w14:textId="09EAD269">
      <w:r>
        <w:t xml:space="preserve">The </w:t>
      </w:r>
      <w:r w:rsidR="00B05315">
        <w:t>CDFI C</w:t>
      </w:r>
      <w:r w:rsidR="0009720C">
        <w:t>ertification</w:t>
      </w:r>
      <w:r w:rsidR="00B05315">
        <w:t xml:space="preserve"> A</w:t>
      </w:r>
      <w:r>
        <w:t xml:space="preserve">pplication does not duplicate any other CDFI Fund or </w:t>
      </w:r>
      <w:r w:rsidR="00CE7D1A">
        <w:t>f</w:t>
      </w:r>
      <w:r>
        <w:t>ederal program information-gathering tool.</w:t>
      </w:r>
      <w:r w:rsidR="00412D40">
        <w:t xml:space="preserve">  </w:t>
      </w:r>
    </w:p>
    <w:p w:rsidR="005D537C" w14:paraId="310B7BAA" w14:textId="77777777">
      <w:pPr>
        <w:jc w:val="both"/>
      </w:pPr>
    </w:p>
    <w:p w:rsidR="005D537C" w14:paraId="2093F483" w14:textId="77777777">
      <w:pPr>
        <w:rPr>
          <w:u w:val="single"/>
        </w:rPr>
      </w:pPr>
      <w:r>
        <w:rPr>
          <w:u w:val="single"/>
        </w:rPr>
        <w:t>5.  Impact on small entities</w:t>
      </w:r>
    </w:p>
    <w:p w:rsidR="005D537C" w14:paraId="67181191" w14:textId="73BBE724">
      <w:r>
        <w:t>This collection of information does not have a significant impact on small entities.</w:t>
      </w:r>
    </w:p>
    <w:p w:rsidR="005D537C" w14:paraId="2166C88F" w14:textId="77777777">
      <w:pPr>
        <w:rPr>
          <w:u w:val="single"/>
        </w:rPr>
      </w:pPr>
    </w:p>
    <w:p w:rsidR="005D537C" w14:paraId="7F28EA77" w14:textId="77777777">
      <w:pPr>
        <w:rPr>
          <w:u w:val="single"/>
        </w:rPr>
      </w:pPr>
      <w:r>
        <w:rPr>
          <w:u w:val="single"/>
        </w:rPr>
        <w:t>6.  Consequences of less frequent collection and obstacles to burden reduction</w:t>
      </w:r>
    </w:p>
    <w:p w:rsidR="00245799" w:rsidP="00245799" w14:paraId="7D7B3E08" w14:textId="77777777">
      <w:pPr>
        <w:autoSpaceDE w:val="0"/>
        <w:autoSpaceDN w:val="0"/>
        <w:adjustRightInd w:val="0"/>
      </w:pPr>
      <w:r>
        <w:t xml:space="preserve">The CDFI Fund </w:t>
      </w:r>
      <w:r w:rsidR="00412D40">
        <w:t>is statutorily required to have an application process for certification of CDFIs.</w:t>
      </w:r>
      <w:r>
        <w:t xml:space="preserve">  </w:t>
      </w:r>
    </w:p>
    <w:p w:rsidR="00245799" w:rsidP="00245799" w14:paraId="7F9475E1" w14:textId="4E3DCF32">
      <w:pPr>
        <w:autoSpaceDE w:val="0"/>
        <w:autoSpaceDN w:val="0"/>
        <w:adjustRightInd w:val="0"/>
      </w:pPr>
      <w:r>
        <w:t>Since CDFI C</w:t>
      </w:r>
      <w:r>
        <w:t>ertification is a prerequisite for receiving f</w:t>
      </w:r>
      <w:r>
        <w:t>unding from the CDFI Fund, the Certification A</w:t>
      </w:r>
      <w:r>
        <w:t xml:space="preserve">pplication is a critical part of the CDFI </w:t>
      </w:r>
      <w:r w:rsidR="006F60BA">
        <w:t>Fund’</w:t>
      </w:r>
      <w:r w:rsidR="00B936B8">
        <w:t>s operations</w:t>
      </w:r>
      <w:r>
        <w:t>.</w:t>
      </w:r>
      <w:r w:rsidR="006A5B9F">
        <w:t xml:space="preserve"> </w:t>
      </w:r>
      <w:r w:rsidR="006B71A2">
        <w:t xml:space="preserve">Additionally, the CDFI Certification status is used to leverage funding from other </w:t>
      </w:r>
      <w:r w:rsidR="0046178F">
        <w:t>government and non-government funding sources. O</w:t>
      </w:r>
      <w:r>
        <w:t xml:space="preserve">nce certified, an entity’s certification </w:t>
      </w:r>
      <w:r w:rsidR="006F60BA">
        <w:t>remains intact</w:t>
      </w:r>
      <w:r w:rsidR="00511E17">
        <w:t>,</w:t>
      </w:r>
      <w:r>
        <w:t xml:space="preserve"> provided the entity continues to meet the certification </w:t>
      </w:r>
      <w:r>
        <w:t xml:space="preserve">regulatory and reporting </w:t>
      </w:r>
      <w:r>
        <w:t>requirements.</w:t>
      </w:r>
    </w:p>
    <w:p w:rsidR="005D537C" w14:paraId="2A2F9651" w14:textId="77777777"/>
    <w:p w:rsidR="005D537C" w14:paraId="7EA65C04" w14:textId="77777777">
      <w:pPr>
        <w:rPr>
          <w:u w:val="single"/>
        </w:rPr>
      </w:pPr>
      <w:r>
        <w:rPr>
          <w:u w:val="single"/>
        </w:rPr>
        <w:t>7.  Circumstances requiring special information collection</w:t>
      </w:r>
    </w:p>
    <w:p w:rsidR="005D537C" w14:paraId="4F25074E" w14:textId="2DCB1AA7">
      <w:r>
        <w:t>There are no special circumstances.</w:t>
      </w:r>
    </w:p>
    <w:p w:rsidR="005D537C" w14:paraId="5A960CEE" w14:textId="77777777"/>
    <w:p w:rsidR="005D537C" w14:paraId="497AFF3F" w14:textId="77777777">
      <w:pPr>
        <w:rPr>
          <w:u w:val="single"/>
        </w:rPr>
      </w:pPr>
      <w:r>
        <w:rPr>
          <w:u w:val="single"/>
        </w:rPr>
        <w:t>8.  Solicitation of comments on information collection</w:t>
      </w:r>
    </w:p>
    <w:p w:rsidR="00995032" w:rsidRPr="00AA0A3D" w:rsidP="007E79AA" w14:paraId="0E9EE63C" w14:textId="4709A247">
      <w:r>
        <w:t xml:space="preserve">Comments on the </w:t>
      </w:r>
      <w:r w:rsidR="00CE7D1A">
        <w:t>C</w:t>
      </w:r>
      <w:r>
        <w:t xml:space="preserve">ertification </w:t>
      </w:r>
      <w:r w:rsidR="00CE7D1A">
        <w:t>A</w:t>
      </w:r>
      <w:r>
        <w:t xml:space="preserve">pplication were solicited via notice in the </w:t>
      </w:r>
      <w:r w:rsidRPr="00CB3933">
        <w:rPr>
          <w:i/>
        </w:rPr>
        <w:t>Federal Register</w:t>
      </w:r>
      <w:r>
        <w:t xml:space="preserve"> on </w:t>
      </w:r>
      <w:r w:rsidR="00C33729">
        <w:t>May 7, 2020</w:t>
      </w:r>
      <w:r>
        <w:t xml:space="preserve"> (</w:t>
      </w:r>
      <w:r w:rsidR="00C33729">
        <w:t>85</w:t>
      </w:r>
      <w:r>
        <w:t xml:space="preserve"> FR </w:t>
      </w:r>
      <w:r w:rsidR="00C33729">
        <w:t>27274</w:t>
      </w:r>
      <w:r>
        <w:t>). T</w:t>
      </w:r>
      <w:r w:rsidRPr="00AA0A3D" w:rsidR="007E79AA">
        <w:t xml:space="preserve">he CDFI Fund received </w:t>
      </w:r>
      <w:r w:rsidR="00AD1B56">
        <w:t>55 comment</w:t>
      </w:r>
      <w:r>
        <w:t xml:space="preserve"> letter</w:t>
      </w:r>
      <w:r w:rsidR="00AD1B56">
        <w:t>s</w:t>
      </w:r>
      <w:r w:rsidR="007E7454">
        <w:t xml:space="preserve">. </w:t>
      </w:r>
      <w:r w:rsidR="00AD1B56">
        <w:t xml:space="preserve">Although, </w:t>
      </w:r>
      <w:r w:rsidR="00AD1B56">
        <w:t>t</w:t>
      </w:r>
      <w:r w:rsidR="00DA2264">
        <w:t>he</w:t>
      </w:r>
      <w:r w:rsidR="00D04C63">
        <w:t xml:space="preserve"> </w:t>
      </w:r>
      <w:r w:rsidR="00DA2264">
        <w:t>majority of</w:t>
      </w:r>
      <w:r w:rsidR="00DA2264">
        <w:t xml:space="preserve"> comments </w:t>
      </w:r>
      <w:r w:rsidR="00207DC2">
        <w:t>align</w:t>
      </w:r>
      <w:r w:rsidR="00DA2264">
        <w:t xml:space="preserve"> with the</w:t>
      </w:r>
      <w:r w:rsidR="00207DC2">
        <w:t xml:space="preserve"> </w:t>
      </w:r>
      <w:r w:rsidR="00AD1B56">
        <w:t xml:space="preserve">proposed policy changes and updates to the </w:t>
      </w:r>
      <w:r w:rsidR="00CE7D1A">
        <w:t>A</w:t>
      </w:r>
      <w:r w:rsidR="00207DC2">
        <w:t>pplication collection</w:t>
      </w:r>
      <w:r w:rsidR="00AD1B56">
        <w:t>, th</w:t>
      </w:r>
      <w:r w:rsidR="002C2575">
        <w:t xml:space="preserve">e CDFI Fund </w:t>
      </w:r>
      <w:r w:rsidR="00677573">
        <w:t xml:space="preserve">made </w:t>
      </w:r>
      <w:r w:rsidR="00AD1B56">
        <w:t>s</w:t>
      </w:r>
      <w:r w:rsidRPr="00AD1B56" w:rsidR="00AD1B56">
        <w:t xml:space="preserve">ubstantial updates </w:t>
      </w:r>
      <w:r w:rsidR="00AD1B56">
        <w:t>to</w:t>
      </w:r>
      <w:r w:rsidRPr="00AD1B56" w:rsidR="00AD1B56">
        <w:t xml:space="preserve"> the Application</w:t>
      </w:r>
      <w:r w:rsidR="00AD1B56">
        <w:t xml:space="preserve"> in consideration of comments deemed appropriate</w:t>
      </w:r>
      <w:r w:rsidR="00677573">
        <w:t xml:space="preserve"> on how best to implement those policies</w:t>
      </w:r>
      <w:r w:rsidR="00AD1B56">
        <w:t xml:space="preserve">. An update to the online version of the Application, located in AMIS, </w:t>
      </w:r>
      <w:r w:rsidR="002C2575">
        <w:t>facilitate</w:t>
      </w:r>
      <w:r w:rsidR="00207DC2">
        <w:t>s</w:t>
      </w:r>
      <w:r w:rsidR="002C2575">
        <w:t xml:space="preserve"> </w:t>
      </w:r>
      <w:r w:rsidR="00AD1B56">
        <w:t>the</w:t>
      </w:r>
      <w:r w:rsidR="008841EF">
        <w:t xml:space="preserve"> </w:t>
      </w:r>
      <w:r w:rsidR="002C2575">
        <w:t xml:space="preserve">efficient data collection. </w:t>
      </w:r>
      <w:r w:rsidR="00AF3272">
        <w:t xml:space="preserve">At this time, </w:t>
      </w:r>
      <w:r w:rsidRPr="00AA0A3D" w:rsidR="0062636B">
        <w:t xml:space="preserve">policy matters or proposed changes to the application </w:t>
      </w:r>
      <w:r w:rsidR="008841EF">
        <w:t>have been</w:t>
      </w:r>
      <w:r w:rsidRPr="00AA0A3D" w:rsidR="0062636B">
        <w:t xml:space="preserve"> taken under advisement.</w:t>
      </w:r>
      <w:r w:rsidRPr="00AA0A3D" w:rsidR="005146BE">
        <w:t xml:space="preserve">  </w:t>
      </w:r>
      <w:r w:rsidRPr="00730D7E" w:rsidR="00AD1B56">
        <w:t>The</w:t>
      </w:r>
      <w:r w:rsidRPr="00730D7E" w:rsidR="005146BE">
        <w:t xml:space="preserve"> comments and </w:t>
      </w:r>
      <w:r w:rsidRPr="00730D7E" w:rsidR="00C6603E">
        <w:t xml:space="preserve">CDFI Fund responses to </w:t>
      </w:r>
      <w:r w:rsidRPr="00730D7E" w:rsidR="00C6603E">
        <w:t>all of</w:t>
      </w:r>
      <w:r w:rsidRPr="00730D7E" w:rsidR="00C6603E">
        <w:t xml:space="preserve"> the comment letters</w:t>
      </w:r>
      <w:r w:rsidRPr="00730D7E" w:rsidR="005146BE">
        <w:t xml:space="preserve"> </w:t>
      </w:r>
      <w:r w:rsidRPr="00730D7E" w:rsidR="00C6603E">
        <w:t>can be found in Appendix</w:t>
      </w:r>
      <w:r w:rsidRPr="00730D7E" w:rsidR="005146BE">
        <w:t xml:space="preserve"> </w:t>
      </w:r>
      <w:r w:rsidRPr="00730D7E" w:rsidR="002508E2">
        <w:t>I, Responses to Public Comments</w:t>
      </w:r>
      <w:r w:rsidRPr="00730D7E" w:rsidR="005146BE">
        <w:t>.</w:t>
      </w:r>
      <w:r w:rsidRPr="00AA0A3D" w:rsidR="0062636B">
        <w:t xml:space="preserve">  </w:t>
      </w:r>
    </w:p>
    <w:p w:rsidR="005D537C" w14:paraId="00F3572E" w14:textId="77777777">
      <w:pPr>
        <w:rPr>
          <w:u w:val="single"/>
        </w:rPr>
      </w:pPr>
    </w:p>
    <w:p w:rsidR="005D537C" w14:paraId="126428DA" w14:textId="77777777">
      <w:pPr>
        <w:rPr>
          <w:u w:val="single"/>
        </w:rPr>
      </w:pPr>
      <w:r>
        <w:rPr>
          <w:u w:val="single"/>
        </w:rPr>
        <w:t>9.  Provision of payment to respondents</w:t>
      </w:r>
    </w:p>
    <w:p w:rsidR="005D537C" w14:paraId="277FDBF6" w14:textId="77777777">
      <w:r>
        <w:t>No payments or gifts will be made to respondents.</w:t>
      </w:r>
    </w:p>
    <w:p w:rsidR="005D537C" w14:paraId="6F262426" w14:textId="77777777"/>
    <w:p w:rsidR="005D537C" w14:paraId="2545BBB5" w14:textId="77777777">
      <w:pPr>
        <w:rPr>
          <w:u w:val="single"/>
        </w:rPr>
      </w:pPr>
      <w:r>
        <w:rPr>
          <w:u w:val="single"/>
        </w:rPr>
        <w:t>10.   Assurance of confidentiality</w:t>
      </w:r>
    </w:p>
    <w:p w:rsidR="005D537C" w14:paraId="7F3ECE37" w14:textId="1E995939">
      <w:r>
        <w:t xml:space="preserve">The CDFI Fund is subject to all </w:t>
      </w:r>
      <w:r w:rsidR="00A7277E">
        <w:t>f</w:t>
      </w:r>
      <w:r>
        <w:t xml:space="preserve">ederal regulations with respect to confidentiality of information provided by </w:t>
      </w:r>
      <w:r w:rsidR="00AF3272">
        <w:t>CDFI Certification</w:t>
      </w:r>
      <w:r>
        <w:t xml:space="preserve"> applicants.  No other assurances of confidentiality have been provided.</w:t>
      </w:r>
    </w:p>
    <w:p w:rsidR="005D537C" w14:paraId="277A0E6A" w14:textId="77777777">
      <w:pPr>
        <w:rPr>
          <w:u w:val="single"/>
        </w:rPr>
      </w:pPr>
    </w:p>
    <w:p w:rsidR="005D537C" w14:paraId="1087CAB5" w14:textId="77777777">
      <w:pPr>
        <w:rPr>
          <w:u w:val="single"/>
        </w:rPr>
      </w:pPr>
      <w:r>
        <w:rPr>
          <w:u w:val="single"/>
        </w:rPr>
        <w:t>11.  Justification of sensitive questions.</w:t>
      </w:r>
    </w:p>
    <w:p w:rsidR="005D537C" w14:paraId="44783F32" w14:textId="62410BA8">
      <w:r>
        <w:t>No personally identifiable information (PII) is collected</w:t>
      </w:r>
      <w:r>
        <w:t>.</w:t>
      </w:r>
    </w:p>
    <w:p w:rsidR="005D537C" w14:paraId="541D38E7" w14:textId="77777777">
      <w:pPr>
        <w:rPr>
          <w:u w:val="single"/>
        </w:rPr>
      </w:pPr>
    </w:p>
    <w:p w:rsidR="005D537C" w14:paraId="001CEAA9" w14:textId="77777777">
      <w:pPr>
        <w:rPr>
          <w:u w:val="single"/>
        </w:rPr>
      </w:pPr>
      <w:r>
        <w:rPr>
          <w:u w:val="single"/>
        </w:rPr>
        <w:t>12.  Estimate of the hour burden of information collection.</w:t>
      </w:r>
    </w:p>
    <w:p w:rsidR="00BE278C" w14:paraId="706308B8" w14:textId="068E73D8">
      <w:pPr>
        <w:pStyle w:val="BodyText2"/>
        <w:jc w:val="left"/>
      </w:pPr>
      <w:r>
        <w:t xml:space="preserve">The burden for this </w:t>
      </w:r>
      <w:r w:rsidR="005D537C">
        <w:t xml:space="preserve">information collection is </w:t>
      </w:r>
      <w:r>
        <w:t xml:space="preserve">broken-down into categories of affected public </w:t>
      </w:r>
      <w:r w:rsidR="006F7FF6">
        <w:t xml:space="preserve">with the total </w:t>
      </w:r>
      <w:r w:rsidR="005D537C">
        <w:t xml:space="preserve">estimated </w:t>
      </w:r>
      <w:r w:rsidR="006F7FF6">
        <w:t>burden of</w:t>
      </w:r>
      <w:r>
        <w:t xml:space="preserve"> </w:t>
      </w:r>
      <w:r w:rsidR="004F7318">
        <w:rPr>
          <w:szCs w:val="24"/>
        </w:rPr>
        <w:t>61,280</w:t>
      </w:r>
      <w:r w:rsidR="005668C6">
        <w:t xml:space="preserve"> </w:t>
      </w:r>
      <w:r w:rsidR="006F7FF6">
        <w:t>hours</w:t>
      </w:r>
      <w:r w:rsidR="00A17F58">
        <w:t xml:space="preserve">. The same </w:t>
      </w:r>
      <w:r w:rsidR="00A7277E">
        <w:t>A</w:t>
      </w:r>
      <w:r w:rsidR="00A17F58">
        <w:t xml:space="preserve">pplication (collection </w:t>
      </w:r>
      <w:r w:rsidR="00153D07">
        <w:t>instrument</w:t>
      </w:r>
      <w:r w:rsidR="00A17F58">
        <w:t xml:space="preserve">) is used </w:t>
      </w:r>
      <w:r w:rsidR="000C3E33">
        <w:t>in all categories</w:t>
      </w:r>
      <w:r w:rsidR="00A17F58">
        <w:t>.</w:t>
      </w:r>
      <w:r w:rsidR="00C6603E">
        <w:t xml:space="preserve"> </w:t>
      </w:r>
      <w:r w:rsidR="000C3E33">
        <w:t xml:space="preserve">Currently Certified CDFIs will be required to submit a new CDFI Certification Application </w:t>
      </w:r>
      <w:r w:rsidR="00677573">
        <w:t xml:space="preserve">to demonstrate compliance with </w:t>
      </w:r>
      <w:r w:rsidR="000C3E33">
        <w:t xml:space="preserve">the new </w:t>
      </w:r>
      <w:r w:rsidR="00677573">
        <w:t xml:space="preserve">policies and maintain their Certification </w:t>
      </w:r>
      <w:r w:rsidR="000C3E33">
        <w:t xml:space="preserve">and will be allowed a grace period of at least 12 months to </w:t>
      </w:r>
      <w:r w:rsidR="00677573">
        <w:t>do so</w:t>
      </w:r>
      <w:r w:rsidR="000C3E33">
        <w:t xml:space="preserve">. Therefore, the CDFI Fund </w:t>
      </w:r>
      <w:r w:rsidR="000C3E33">
        <w:t xml:space="preserve">anticipates a </w:t>
      </w:r>
      <w:r w:rsidR="00C6603E">
        <w:t xml:space="preserve">substantial </w:t>
      </w:r>
      <w:r w:rsidR="005668C6">
        <w:t xml:space="preserve">increase </w:t>
      </w:r>
      <w:r w:rsidR="00C6603E">
        <w:t xml:space="preserve">in the number of respondents in this request from the </w:t>
      </w:r>
      <w:r w:rsidR="00A703B9">
        <w:t>previous</w:t>
      </w:r>
      <w:r w:rsidR="000C3E33">
        <w:t xml:space="preserve"> request, during the first year of implementation.</w:t>
      </w:r>
      <w:r w:rsidR="00A703B9">
        <w:t xml:space="preserve"> </w:t>
      </w:r>
    </w:p>
    <w:p w:rsidR="00BE278C" w14:paraId="225264F2" w14:textId="2AD53C26">
      <w:pPr>
        <w:pStyle w:val="BodyText2"/>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6"/>
        <w:gridCol w:w="1523"/>
        <w:gridCol w:w="1434"/>
        <w:gridCol w:w="1328"/>
        <w:gridCol w:w="1457"/>
        <w:gridCol w:w="1202"/>
      </w:tblGrid>
      <w:tr w14:paraId="69D498C1" w14:textId="77777777" w:rsidTr="00730D7E">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453" w:type="dxa"/>
            <w:vAlign w:val="center"/>
          </w:tcPr>
          <w:p w:rsidR="0002519F" w:rsidRPr="008107E0" w:rsidP="00E42FB2" w14:paraId="7E235541" w14:textId="77777777">
            <w:pPr>
              <w:pStyle w:val="BodyText2"/>
              <w:jc w:val="center"/>
              <w:rPr>
                <w:b/>
                <w:szCs w:val="24"/>
              </w:rPr>
            </w:pPr>
            <w:r w:rsidRPr="008107E0">
              <w:rPr>
                <w:b/>
                <w:szCs w:val="24"/>
              </w:rPr>
              <w:t>Affected Public</w:t>
            </w:r>
          </w:p>
        </w:tc>
        <w:tc>
          <w:tcPr>
            <w:tcW w:w="1443" w:type="dxa"/>
            <w:vAlign w:val="center"/>
          </w:tcPr>
          <w:p w:rsidR="0002519F" w:rsidRPr="008107E0" w:rsidP="00E42FB2" w14:paraId="2C8A9766" w14:textId="77777777">
            <w:pPr>
              <w:pStyle w:val="BodyText2"/>
              <w:jc w:val="center"/>
              <w:rPr>
                <w:b/>
                <w:szCs w:val="24"/>
              </w:rPr>
            </w:pPr>
            <w:r w:rsidRPr="008107E0">
              <w:rPr>
                <w:b/>
                <w:szCs w:val="24"/>
              </w:rPr>
              <w:t># Respondents</w:t>
            </w:r>
          </w:p>
        </w:tc>
        <w:tc>
          <w:tcPr>
            <w:tcW w:w="1434" w:type="dxa"/>
            <w:vAlign w:val="center"/>
          </w:tcPr>
          <w:p w:rsidR="0002519F" w:rsidRPr="008107E0" w:rsidP="00E42FB2" w14:paraId="5BDEF666" w14:textId="77777777">
            <w:pPr>
              <w:pStyle w:val="BodyText2"/>
              <w:jc w:val="center"/>
              <w:rPr>
                <w:b/>
                <w:szCs w:val="24"/>
              </w:rPr>
            </w:pPr>
            <w:r w:rsidRPr="008107E0">
              <w:rPr>
                <w:b/>
                <w:szCs w:val="24"/>
              </w:rPr>
              <w:t># Responses Per Respondent</w:t>
            </w:r>
          </w:p>
        </w:tc>
        <w:tc>
          <w:tcPr>
            <w:tcW w:w="1331" w:type="dxa"/>
            <w:vAlign w:val="center"/>
          </w:tcPr>
          <w:p w:rsidR="0002519F" w:rsidRPr="008107E0" w:rsidP="00E42FB2" w14:paraId="139F98CD" w14:textId="77777777">
            <w:pPr>
              <w:pStyle w:val="BodyText2"/>
              <w:jc w:val="center"/>
              <w:rPr>
                <w:b/>
                <w:szCs w:val="24"/>
              </w:rPr>
            </w:pPr>
            <w:r w:rsidRPr="008107E0">
              <w:rPr>
                <w:b/>
                <w:szCs w:val="24"/>
              </w:rPr>
              <w:t>Annual Responses</w:t>
            </w:r>
          </w:p>
        </w:tc>
        <w:tc>
          <w:tcPr>
            <w:tcW w:w="1471" w:type="dxa"/>
            <w:vAlign w:val="center"/>
          </w:tcPr>
          <w:p w:rsidR="0002519F" w:rsidRPr="008107E0" w:rsidP="00E42FB2" w14:paraId="6CB5999B" w14:textId="77777777">
            <w:pPr>
              <w:pStyle w:val="BodyText2"/>
              <w:jc w:val="center"/>
              <w:rPr>
                <w:b/>
                <w:szCs w:val="24"/>
              </w:rPr>
            </w:pPr>
            <w:r w:rsidRPr="008107E0">
              <w:rPr>
                <w:b/>
                <w:szCs w:val="24"/>
              </w:rPr>
              <w:t>Hours Per Response</w:t>
            </w:r>
          </w:p>
        </w:tc>
        <w:tc>
          <w:tcPr>
            <w:tcW w:w="1218" w:type="dxa"/>
            <w:vAlign w:val="center"/>
          </w:tcPr>
          <w:p w:rsidR="0002519F" w:rsidRPr="008107E0" w:rsidP="00E42FB2" w14:paraId="0DD2C4CD" w14:textId="77777777">
            <w:pPr>
              <w:pStyle w:val="BodyText2"/>
              <w:jc w:val="center"/>
              <w:rPr>
                <w:b/>
                <w:szCs w:val="24"/>
              </w:rPr>
            </w:pPr>
            <w:r w:rsidRPr="008107E0">
              <w:rPr>
                <w:b/>
                <w:szCs w:val="24"/>
              </w:rPr>
              <w:t>Total Hours</w:t>
            </w:r>
          </w:p>
        </w:tc>
      </w:tr>
      <w:tr w14:paraId="66143CEF" w14:textId="77777777" w:rsidTr="00730D7E">
        <w:tblPrEx>
          <w:tblW w:w="0" w:type="auto"/>
          <w:tblLook w:val="04A0"/>
        </w:tblPrEx>
        <w:tc>
          <w:tcPr>
            <w:tcW w:w="2453" w:type="dxa"/>
          </w:tcPr>
          <w:p w:rsidR="0002519F" w:rsidRPr="008107E0" w:rsidP="00E42FB2" w14:paraId="1BF50B5E" w14:textId="77777777">
            <w:pPr>
              <w:pStyle w:val="BodyText2"/>
              <w:jc w:val="left"/>
              <w:rPr>
                <w:b/>
                <w:szCs w:val="24"/>
              </w:rPr>
            </w:pPr>
            <w:r w:rsidRPr="008107E0">
              <w:rPr>
                <w:b/>
                <w:szCs w:val="24"/>
              </w:rPr>
              <w:t>Recertifying Private Sector</w:t>
            </w:r>
          </w:p>
        </w:tc>
        <w:tc>
          <w:tcPr>
            <w:tcW w:w="1443" w:type="dxa"/>
          </w:tcPr>
          <w:p w:rsidR="0002519F" w:rsidRPr="008107E0" w:rsidP="00E42FB2" w14:paraId="22C1D42A" w14:textId="39FA2951">
            <w:pPr>
              <w:pStyle w:val="BodyText2"/>
              <w:jc w:val="right"/>
              <w:rPr>
                <w:szCs w:val="24"/>
              </w:rPr>
            </w:pPr>
            <w:r w:rsidRPr="008107E0">
              <w:rPr>
                <w:szCs w:val="24"/>
              </w:rPr>
              <w:t>1,460</w:t>
            </w:r>
          </w:p>
        </w:tc>
        <w:tc>
          <w:tcPr>
            <w:tcW w:w="1434" w:type="dxa"/>
          </w:tcPr>
          <w:p w:rsidR="0002519F" w:rsidRPr="008107E0" w:rsidP="00E42FB2" w14:paraId="00F51FE3" w14:textId="77777777">
            <w:pPr>
              <w:pStyle w:val="BodyText2"/>
              <w:jc w:val="center"/>
              <w:rPr>
                <w:szCs w:val="24"/>
              </w:rPr>
            </w:pPr>
            <w:r w:rsidRPr="008107E0">
              <w:rPr>
                <w:szCs w:val="24"/>
              </w:rPr>
              <w:t>1</w:t>
            </w:r>
          </w:p>
        </w:tc>
        <w:tc>
          <w:tcPr>
            <w:tcW w:w="1331" w:type="dxa"/>
          </w:tcPr>
          <w:p w:rsidR="0002519F" w:rsidRPr="008107E0" w:rsidP="0002519F" w14:paraId="56D4E5A9" w14:textId="1260A384">
            <w:pPr>
              <w:pStyle w:val="BodyText2"/>
              <w:jc w:val="right"/>
              <w:rPr>
                <w:szCs w:val="24"/>
              </w:rPr>
            </w:pPr>
            <w:r w:rsidRPr="008107E0">
              <w:rPr>
                <w:szCs w:val="24"/>
              </w:rPr>
              <w:t>1,460</w:t>
            </w:r>
          </w:p>
        </w:tc>
        <w:tc>
          <w:tcPr>
            <w:tcW w:w="1471" w:type="dxa"/>
          </w:tcPr>
          <w:p w:rsidR="0002519F" w:rsidRPr="008107E0" w:rsidP="00E42FB2" w14:paraId="407B65F4" w14:textId="77777777">
            <w:pPr>
              <w:pStyle w:val="BodyText2"/>
              <w:jc w:val="right"/>
              <w:rPr>
                <w:szCs w:val="24"/>
              </w:rPr>
            </w:pPr>
            <w:r w:rsidRPr="008107E0">
              <w:rPr>
                <w:szCs w:val="24"/>
              </w:rPr>
              <w:t>40</w:t>
            </w:r>
          </w:p>
        </w:tc>
        <w:tc>
          <w:tcPr>
            <w:tcW w:w="1218" w:type="dxa"/>
          </w:tcPr>
          <w:p w:rsidR="0002519F" w:rsidRPr="008107E0" w:rsidP="00E42FB2" w14:paraId="5903139C" w14:textId="199DE912">
            <w:pPr>
              <w:pStyle w:val="BodyText2"/>
              <w:jc w:val="right"/>
              <w:rPr>
                <w:szCs w:val="24"/>
              </w:rPr>
            </w:pPr>
            <w:r w:rsidRPr="008107E0">
              <w:rPr>
                <w:szCs w:val="24"/>
              </w:rPr>
              <w:t>58,400</w:t>
            </w:r>
          </w:p>
        </w:tc>
      </w:tr>
      <w:tr w14:paraId="7CD79401" w14:textId="77777777" w:rsidTr="00730D7E">
        <w:tblPrEx>
          <w:tblW w:w="0" w:type="auto"/>
          <w:tblLook w:val="04A0"/>
        </w:tblPrEx>
        <w:tc>
          <w:tcPr>
            <w:tcW w:w="2453" w:type="dxa"/>
          </w:tcPr>
          <w:p w:rsidR="0002519F" w:rsidRPr="008107E0" w:rsidP="00E42FB2" w14:paraId="317280EE" w14:textId="77777777">
            <w:pPr>
              <w:pStyle w:val="BodyText2"/>
              <w:jc w:val="left"/>
              <w:rPr>
                <w:b/>
                <w:szCs w:val="24"/>
              </w:rPr>
            </w:pPr>
            <w:r w:rsidRPr="008107E0">
              <w:rPr>
                <w:b/>
                <w:szCs w:val="24"/>
              </w:rPr>
              <w:t>Recertifying State, Local, &amp; Tribal</w:t>
            </w:r>
          </w:p>
        </w:tc>
        <w:tc>
          <w:tcPr>
            <w:tcW w:w="1443" w:type="dxa"/>
          </w:tcPr>
          <w:p w:rsidR="0002519F" w:rsidRPr="008107E0" w:rsidP="00E42FB2" w14:paraId="10C8F7B7" w14:textId="6D612A32">
            <w:pPr>
              <w:pStyle w:val="BodyText2"/>
              <w:jc w:val="right"/>
              <w:rPr>
                <w:szCs w:val="24"/>
              </w:rPr>
            </w:pPr>
            <w:r w:rsidRPr="008107E0">
              <w:rPr>
                <w:szCs w:val="24"/>
              </w:rPr>
              <w:t>72</w:t>
            </w:r>
          </w:p>
        </w:tc>
        <w:tc>
          <w:tcPr>
            <w:tcW w:w="1434" w:type="dxa"/>
          </w:tcPr>
          <w:p w:rsidR="0002519F" w:rsidRPr="008107E0" w:rsidP="00E42FB2" w14:paraId="08D3E560" w14:textId="77777777">
            <w:pPr>
              <w:pStyle w:val="BodyText2"/>
              <w:jc w:val="center"/>
              <w:rPr>
                <w:szCs w:val="24"/>
              </w:rPr>
            </w:pPr>
            <w:r w:rsidRPr="008107E0">
              <w:rPr>
                <w:szCs w:val="24"/>
              </w:rPr>
              <w:t>1</w:t>
            </w:r>
          </w:p>
        </w:tc>
        <w:tc>
          <w:tcPr>
            <w:tcW w:w="1331" w:type="dxa"/>
          </w:tcPr>
          <w:p w:rsidR="0002519F" w:rsidRPr="008107E0" w:rsidP="00E42FB2" w14:paraId="441348B3" w14:textId="6A610658">
            <w:pPr>
              <w:pStyle w:val="BodyText2"/>
              <w:jc w:val="right"/>
              <w:rPr>
                <w:szCs w:val="24"/>
              </w:rPr>
            </w:pPr>
            <w:r w:rsidRPr="008107E0">
              <w:rPr>
                <w:szCs w:val="24"/>
              </w:rPr>
              <w:t>72</w:t>
            </w:r>
          </w:p>
        </w:tc>
        <w:tc>
          <w:tcPr>
            <w:tcW w:w="1471" w:type="dxa"/>
          </w:tcPr>
          <w:p w:rsidR="0002519F" w:rsidRPr="008107E0" w:rsidP="00E42FB2" w14:paraId="32D8D70A" w14:textId="77777777">
            <w:pPr>
              <w:pStyle w:val="BodyText2"/>
              <w:jc w:val="right"/>
              <w:rPr>
                <w:szCs w:val="24"/>
              </w:rPr>
            </w:pPr>
            <w:r w:rsidRPr="008107E0">
              <w:rPr>
                <w:szCs w:val="24"/>
              </w:rPr>
              <w:t>40</w:t>
            </w:r>
          </w:p>
        </w:tc>
        <w:tc>
          <w:tcPr>
            <w:tcW w:w="1218" w:type="dxa"/>
          </w:tcPr>
          <w:p w:rsidR="0002519F" w:rsidRPr="008107E0" w:rsidP="00E42FB2" w14:paraId="43BE7692" w14:textId="2EDC41D0">
            <w:pPr>
              <w:pStyle w:val="BodyText2"/>
              <w:jc w:val="right"/>
              <w:rPr>
                <w:szCs w:val="24"/>
              </w:rPr>
            </w:pPr>
            <w:r w:rsidRPr="008107E0">
              <w:rPr>
                <w:szCs w:val="24"/>
              </w:rPr>
              <w:t>2,880</w:t>
            </w:r>
          </w:p>
        </w:tc>
      </w:tr>
      <w:tr w14:paraId="694BAB3F" w14:textId="77777777" w:rsidTr="00730D7E">
        <w:tblPrEx>
          <w:tblW w:w="0" w:type="auto"/>
          <w:tblLook w:val="04A0"/>
        </w:tblPrEx>
        <w:trPr>
          <w:trHeight w:val="494"/>
        </w:trPr>
        <w:tc>
          <w:tcPr>
            <w:tcW w:w="2453" w:type="dxa"/>
            <w:tcBorders>
              <w:top w:val="double" w:sz="4" w:space="0" w:color="auto"/>
            </w:tcBorders>
            <w:vAlign w:val="center"/>
          </w:tcPr>
          <w:p w:rsidR="0002519F" w:rsidRPr="008107E0" w:rsidP="00E42FB2" w14:paraId="67734F39" w14:textId="77777777">
            <w:pPr>
              <w:pStyle w:val="BodyText2"/>
              <w:jc w:val="right"/>
              <w:rPr>
                <w:b/>
                <w:szCs w:val="24"/>
              </w:rPr>
            </w:pPr>
            <w:r w:rsidRPr="008107E0">
              <w:rPr>
                <w:b/>
                <w:szCs w:val="24"/>
              </w:rPr>
              <w:t>Totals</w:t>
            </w:r>
          </w:p>
        </w:tc>
        <w:tc>
          <w:tcPr>
            <w:tcW w:w="1443" w:type="dxa"/>
            <w:tcBorders>
              <w:top w:val="double" w:sz="4" w:space="0" w:color="auto"/>
            </w:tcBorders>
            <w:vAlign w:val="center"/>
          </w:tcPr>
          <w:p w:rsidR="0002519F" w:rsidRPr="008107E0" w:rsidP="00E42FB2" w14:paraId="4DB3270E" w14:textId="77777777">
            <w:pPr>
              <w:pStyle w:val="BodyText2"/>
              <w:jc w:val="right"/>
              <w:rPr>
                <w:szCs w:val="24"/>
              </w:rPr>
            </w:pPr>
            <w:r w:rsidRPr="008107E0">
              <w:rPr>
                <w:szCs w:val="24"/>
              </w:rPr>
              <w:t>1,532</w:t>
            </w:r>
          </w:p>
        </w:tc>
        <w:tc>
          <w:tcPr>
            <w:tcW w:w="1434" w:type="dxa"/>
            <w:tcBorders>
              <w:top w:val="double" w:sz="4" w:space="0" w:color="auto"/>
            </w:tcBorders>
            <w:vAlign w:val="center"/>
          </w:tcPr>
          <w:p w:rsidR="0002519F" w:rsidRPr="008107E0" w:rsidP="00E42FB2" w14:paraId="6CEE2CC2" w14:textId="77777777">
            <w:pPr>
              <w:pStyle w:val="BodyText2"/>
              <w:jc w:val="center"/>
              <w:rPr>
                <w:szCs w:val="24"/>
              </w:rPr>
            </w:pPr>
            <w:r w:rsidRPr="008107E0">
              <w:rPr>
                <w:szCs w:val="24"/>
              </w:rPr>
              <w:t>1</w:t>
            </w:r>
          </w:p>
        </w:tc>
        <w:tc>
          <w:tcPr>
            <w:tcW w:w="1331" w:type="dxa"/>
            <w:tcBorders>
              <w:top w:val="double" w:sz="4" w:space="0" w:color="auto"/>
            </w:tcBorders>
            <w:vAlign w:val="center"/>
          </w:tcPr>
          <w:p w:rsidR="0002519F" w:rsidRPr="008107E0" w:rsidP="00E42FB2" w14:paraId="0838052B" w14:textId="77777777">
            <w:pPr>
              <w:pStyle w:val="BodyText2"/>
              <w:jc w:val="right"/>
              <w:rPr>
                <w:szCs w:val="24"/>
              </w:rPr>
            </w:pPr>
            <w:r w:rsidRPr="008107E0">
              <w:rPr>
                <w:szCs w:val="24"/>
              </w:rPr>
              <w:t>1,532</w:t>
            </w:r>
          </w:p>
        </w:tc>
        <w:tc>
          <w:tcPr>
            <w:tcW w:w="1471" w:type="dxa"/>
            <w:tcBorders>
              <w:top w:val="double" w:sz="4" w:space="0" w:color="auto"/>
            </w:tcBorders>
            <w:vAlign w:val="center"/>
          </w:tcPr>
          <w:p w:rsidR="0002519F" w:rsidRPr="008107E0" w:rsidP="00E42FB2" w14:paraId="682AEB4E" w14:textId="77777777">
            <w:pPr>
              <w:pStyle w:val="BodyText2"/>
              <w:jc w:val="right"/>
              <w:rPr>
                <w:szCs w:val="24"/>
              </w:rPr>
            </w:pPr>
            <w:r w:rsidRPr="008107E0">
              <w:rPr>
                <w:szCs w:val="24"/>
              </w:rPr>
              <w:t>40</w:t>
            </w:r>
          </w:p>
        </w:tc>
        <w:tc>
          <w:tcPr>
            <w:tcW w:w="1218" w:type="dxa"/>
            <w:tcBorders>
              <w:top w:val="double" w:sz="4" w:space="0" w:color="auto"/>
            </w:tcBorders>
            <w:vAlign w:val="center"/>
          </w:tcPr>
          <w:p w:rsidR="0002519F" w:rsidRPr="008107E0" w:rsidP="00E42FB2" w14:paraId="51920160" w14:textId="77777777">
            <w:pPr>
              <w:pStyle w:val="BodyText2"/>
              <w:jc w:val="right"/>
              <w:rPr>
                <w:szCs w:val="24"/>
              </w:rPr>
            </w:pPr>
            <w:r w:rsidRPr="008107E0">
              <w:rPr>
                <w:szCs w:val="24"/>
              </w:rPr>
              <w:t>61,280</w:t>
            </w:r>
          </w:p>
        </w:tc>
      </w:tr>
    </w:tbl>
    <w:p w:rsidR="0002519F" w14:paraId="5171376C" w14:textId="4BF46C01">
      <w:pPr>
        <w:pStyle w:val="BodyText2"/>
        <w:jc w:val="left"/>
      </w:pPr>
    </w:p>
    <w:p w:rsidR="005D537C" w14:paraId="475531FF" w14:textId="77777777">
      <w:pPr>
        <w:rPr>
          <w:u w:val="single"/>
        </w:rPr>
      </w:pPr>
      <w:r>
        <w:rPr>
          <w:u w:val="single"/>
        </w:rPr>
        <w:t>13.  Estimate of total annual cost burden to respondents</w:t>
      </w:r>
    </w:p>
    <w:p w:rsidR="005D537C" w14:paraId="2A6BD2FD" w14:textId="737CB60A">
      <w:r>
        <w:t xml:space="preserve">There are no </w:t>
      </w:r>
      <w:r w:rsidR="00723DF2">
        <w:t xml:space="preserve">additional </w:t>
      </w:r>
      <w:r>
        <w:t xml:space="preserve">cost burdens to respondents to this collection of data. No purchase of equipment or services will </w:t>
      </w:r>
      <w:r w:rsidR="00677573">
        <w:t xml:space="preserve">be </w:t>
      </w:r>
      <w:r>
        <w:t>need</w:t>
      </w:r>
      <w:r w:rsidR="00677573">
        <w:t>ed</w:t>
      </w:r>
      <w:r>
        <w:t xml:space="preserve"> by respondents for this information collection</w:t>
      </w:r>
      <w:r w:rsidR="00A7277E">
        <w:t>,</w:t>
      </w:r>
      <w:r>
        <w:t xml:space="preserve"> other than as required as a part of customary and usual business practices.</w:t>
      </w:r>
      <w:r w:rsidR="00C22A2B">
        <w:t xml:space="preserve">  </w:t>
      </w:r>
    </w:p>
    <w:p w:rsidR="00EB179F" w14:paraId="0589F51A" w14:textId="77777777"/>
    <w:p w:rsidR="005D537C" w14:paraId="6D57B388" w14:textId="16123024">
      <w:pPr>
        <w:rPr>
          <w:u w:val="single"/>
        </w:rPr>
      </w:pPr>
      <w:r>
        <w:rPr>
          <w:u w:val="single"/>
        </w:rPr>
        <w:t xml:space="preserve">14.  Estimate of annualized cost to the </w:t>
      </w:r>
      <w:r w:rsidR="00A7277E">
        <w:rPr>
          <w:u w:val="single"/>
        </w:rPr>
        <w:t>g</w:t>
      </w:r>
      <w:r>
        <w:rPr>
          <w:u w:val="single"/>
        </w:rPr>
        <w:t>overnment</w:t>
      </w:r>
    </w:p>
    <w:p w:rsidR="005D537C" w14:paraId="588F6D2E" w14:textId="28AA916E">
      <w:r>
        <w:t xml:space="preserve">The cost to the </w:t>
      </w:r>
      <w:r w:rsidR="00A7277E">
        <w:t>g</w:t>
      </w:r>
      <w:r>
        <w:t>overnment is the CDFI Fund staff and contractor time required to review the submitted applications, maintain the electronic application system</w:t>
      </w:r>
      <w:r w:rsidR="00A703B9">
        <w:t>,</w:t>
      </w:r>
      <w:r>
        <w:t xml:space="preserve"> and collect follow-up information from applicants</w:t>
      </w:r>
      <w:r w:rsidR="00BB6BA5">
        <w:t xml:space="preserve"> and ensure compliance with CDFI Certification policy</w:t>
      </w:r>
      <w:r>
        <w:t>.</w:t>
      </w:r>
    </w:p>
    <w:p w:rsidR="005D537C" w14:paraId="115C5275" w14:textId="77777777">
      <w:pPr>
        <w:rPr>
          <w:u w:val="single"/>
        </w:rPr>
      </w:pPr>
    </w:p>
    <w:p w:rsidR="008003EB" w:rsidRPr="001F1F85" w:rsidP="008003EB" w14:paraId="1DD416B1" w14:textId="561C0C69">
      <w:pPr>
        <w:rPr>
          <w:highlight w:val="yellow"/>
          <w:u w:val="single"/>
        </w:rPr>
      </w:pPr>
      <w:r>
        <w:rPr>
          <w:u w:val="single"/>
        </w:rPr>
        <w:t xml:space="preserve">15.  Any program changes or adjustments </w:t>
      </w:r>
    </w:p>
    <w:p w:rsidR="008003EB" w:rsidP="00BB6BA5" w14:paraId="6C774303" w14:textId="26A5EF36">
      <w:r>
        <w:t xml:space="preserve">The CDFI Fund has </w:t>
      </w:r>
      <w:r w:rsidR="00B069FA">
        <w:t>made substantial</w:t>
      </w:r>
      <w:r w:rsidR="00EA6450">
        <w:t xml:space="preserve"> </w:t>
      </w:r>
      <w:r w:rsidR="00C22A2B">
        <w:t>c</w:t>
      </w:r>
      <w:r>
        <w:t xml:space="preserve">hanges to the </w:t>
      </w:r>
      <w:r w:rsidR="00B069FA">
        <w:t>data collected in the C</w:t>
      </w:r>
      <w:r w:rsidR="00EA6450">
        <w:t xml:space="preserve">ertification </w:t>
      </w:r>
      <w:r w:rsidR="00B069FA">
        <w:t>A</w:t>
      </w:r>
      <w:r>
        <w:t>pplication</w:t>
      </w:r>
      <w:r w:rsidR="00EA6450">
        <w:t>. The</w:t>
      </w:r>
      <w:r w:rsidR="00E741E5">
        <w:t xml:space="preserve">re is </w:t>
      </w:r>
      <w:r w:rsidR="009D52F0">
        <w:t xml:space="preserve">a substantial </w:t>
      </w:r>
      <w:r w:rsidR="00C65C03">
        <w:t xml:space="preserve">increase </w:t>
      </w:r>
      <w:r w:rsidR="009D52F0">
        <w:t xml:space="preserve">in the aggregate number of respondents from </w:t>
      </w:r>
      <w:r w:rsidR="000C3E33">
        <w:t>300</w:t>
      </w:r>
      <w:r w:rsidR="00617330">
        <w:t xml:space="preserve"> </w:t>
      </w:r>
      <w:r w:rsidR="009D52F0">
        <w:t xml:space="preserve">to </w:t>
      </w:r>
      <w:r w:rsidR="004F7318">
        <w:rPr>
          <w:szCs w:val="24"/>
        </w:rPr>
        <w:t>1,532</w:t>
      </w:r>
      <w:r w:rsidR="00E741E5">
        <w:rPr>
          <w:szCs w:val="24"/>
        </w:rPr>
        <w:t xml:space="preserve"> </w:t>
      </w:r>
      <w:r w:rsidR="00E741E5">
        <w:t xml:space="preserve">due to the requirement for all </w:t>
      </w:r>
      <w:r w:rsidR="00236604">
        <w:t xml:space="preserve">currently </w:t>
      </w:r>
      <w:r w:rsidR="00E741E5">
        <w:t>c</w:t>
      </w:r>
      <w:r w:rsidR="00236604">
        <w:t>ertified CDFIs to become recertified under the new Application</w:t>
      </w:r>
      <w:r w:rsidR="00617330">
        <w:t>. T</w:t>
      </w:r>
      <w:r w:rsidR="00236604">
        <w:t>hus, t</w:t>
      </w:r>
      <w:r w:rsidR="00617330">
        <w:t>he CDFI Fund expects to receive more submissions</w:t>
      </w:r>
      <w:r w:rsidR="00E741E5">
        <w:t>, and the total estimated burden is estimated to increase by 50,030 hours due to agency discretion.</w:t>
      </w:r>
    </w:p>
    <w:p w:rsidR="008003EB" w:rsidP="008003EB" w14:paraId="3652CB91" w14:textId="77777777"/>
    <w:p w:rsidR="008003EB" w:rsidP="008003EB" w14:paraId="21584EB9" w14:textId="77777777">
      <w:pPr>
        <w:rPr>
          <w:u w:val="single"/>
        </w:rPr>
      </w:pPr>
      <w:r>
        <w:rPr>
          <w:u w:val="single"/>
        </w:rPr>
        <w:t>16.  Plans for information tabulation and publication</w:t>
      </w:r>
    </w:p>
    <w:p w:rsidR="008003EB" w:rsidP="008003EB" w14:paraId="53D0C8E7" w14:textId="370FE51C">
      <w:r>
        <w:t xml:space="preserve">Confidential or proprietary information collected through the </w:t>
      </w:r>
      <w:r w:rsidR="00CE2F09">
        <w:t>CDFI Certification Application</w:t>
      </w:r>
      <w:r>
        <w:t xml:space="preserve"> will not be published.</w:t>
      </w:r>
      <w:r w:rsidRPr="0002519F" w:rsidR="0002519F">
        <w:t xml:space="preserve"> </w:t>
      </w:r>
      <w:r w:rsidR="0002519F">
        <w:t xml:space="preserve">Organizational </w:t>
      </w:r>
      <w:r w:rsidRPr="0002519F" w:rsidR="0002519F">
        <w:t xml:space="preserve">information or data collected in </w:t>
      </w:r>
      <w:r w:rsidR="0002519F">
        <w:t>the Application or</w:t>
      </w:r>
      <w:r w:rsidRPr="0002519F" w:rsidR="0002519F">
        <w:t xml:space="preserve"> otherwise provided to the CDFI Fund (</w:t>
      </w:r>
      <w:r w:rsidR="0002519F">
        <w:t>e.g</w:t>
      </w:r>
      <w:r w:rsidR="00730D7E">
        <w:t>.</w:t>
      </w:r>
      <w:r w:rsidR="0002519F">
        <w:t xml:space="preserve"> </w:t>
      </w:r>
      <w:r w:rsidR="00730D7E">
        <w:t>ACR, TLR</w:t>
      </w:r>
      <w:r w:rsidRPr="0002519F" w:rsidR="0002519F">
        <w:t>) may be posted on the CDFI Fund’s public website, shared with other federal agencies or accessed via a Freedom of Information Act (FOIA) request.</w:t>
      </w:r>
    </w:p>
    <w:p w:rsidR="008003EB" w:rsidP="008003EB" w14:paraId="0BB81A84" w14:textId="77777777"/>
    <w:p w:rsidR="008003EB" w:rsidP="008003EB" w14:paraId="30DDF034" w14:textId="77777777">
      <w:r>
        <w:rPr>
          <w:u w:val="single"/>
        </w:rPr>
        <w:t>17.  Reasons for not displaying expiration date of OMB approval</w:t>
      </w:r>
    </w:p>
    <w:p w:rsidR="008003EB" w:rsidP="008003EB" w14:paraId="4D54C1D9" w14:textId="7D16B1B3">
      <w:pPr>
        <w:rPr>
          <w:u w:val="single"/>
        </w:rPr>
      </w:pPr>
      <w:r>
        <w:t>The expiration date will be displayed</w:t>
      </w:r>
      <w:r w:rsidR="00CE2F09">
        <w:t>.</w:t>
      </w:r>
    </w:p>
    <w:p w:rsidR="00A55FA3" w:rsidP="008003EB" w14:paraId="479D7C32" w14:textId="77777777">
      <w:pPr>
        <w:rPr>
          <w:u w:val="single"/>
        </w:rPr>
      </w:pPr>
    </w:p>
    <w:p w:rsidR="008003EB" w:rsidP="008003EB" w14:paraId="7FB2663F" w14:textId="77777777">
      <w:pPr>
        <w:rPr>
          <w:u w:val="single"/>
        </w:rPr>
      </w:pPr>
      <w:r>
        <w:rPr>
          <w:u w:val="single"/>
        </w:rPr>
        <w:t>18.  Explanation of exceptions to certification statement</w:t>
      </w:r>
    </w:p>
    <w:p w:rsidR="008003EB" w:rsidP="008003EB" w14:paraId="7A098827" w14:textId="7A757174">
      <w:r>
        <w:t>There are no exceptions to the certification statement</w:t>
      </w:r>
      <w:r>
        <w:t>.</w:t>
      </w:r>
    </w:p>
    <w:p w:rsidR="008003EB" w:rsidP="008003EB" w14:paraId="5AB93761" w14:textId="77777777"/>
    <w:p w:rsidR="008003EB" w:rsidP="008003EB" w14:paraId="0E8E5DC8" w14:textId="77777777">
      <w:pPr>
        <w:pStyle w:val="Heading1"/>
      </w:pPr>
      <w:r>
        <w:t>B.  Collections of Information Employing Statistical Methods</w:t>
      </w:r>
    </w:p>
    <w:p w:rsidR="002508E2" w:rsidP="00D61E95" w14:paraId="07163667" w14:textId="55C2CDA5">
      <w:r>
        <w:t>This section is not applicable.</w:t>
      </w:r>
    </w:p>
    <w:sectPr w:rsidSect="00DB135F">
      <w:headerReference w:type="default" r:id="rId8"/>
      <w:footerReference w:type="default" r:id="rId9"/>
      <w:pgSz w:w="12240" w:h="15840" w:code="1"/>
      <w:pgMar w:top="1080" w:right="1440" w:bottom="10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FB2" w14:paraId="05836644" w14:textId="5F565A3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7E0">
      <w:rPr>
        <w:rStyle w:val="PageNumber"/>
        <w:noProof/>
      </w:rPr>
      <w:t>1</w:t>
    </w:r>
    <w:r>
      <w:rPr>
        <w:rStyle w:val="PageNumber"/>
      </w:rPr>
      <w:fldChar w:fldCharType="end"/>
    </w:r>
  </w:p>
  <w:p w:rsidR="00E42FB2" w14:paraId="1CF6F5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FB2" w:rsidP="002508E2" w14:paraId="51A10A7C" w14:textId="77777777">
    <w:pPr>
      <w:autoSpaceDE w:val="0"/>
      <w:autoSpaceDN w:val="0"/>
      <w:adjustRightInd w:val="0"/>
      <w:jc w:val="center"/>
    </w:pPr>
    <w:r>
      <w:t>Supporting Statement for Paperwork Reduction Act Submissions</w:t>
    </w:r>
  </w:p>
  <w:p w:rsidR="00E42FB2" w:rsidP="002508E2" w14:paraId="2A1C0E61" w14:textId="77777777">
    <w:pPr>
      <w:autoSpaceDE w:val="0"/>
      <w:autoSpaceDN w:val="0"/>
      <w:adjustRightInd w:val="0"/>
      <w:jc w:val="center"/>
    </w:pPr>
    <w:r>
      <w:t>Community Development Financial Institutions (CDFI) Fund</w:t>
    </w:r>
  </w:p>
  <w:p w:rsidR="00E42FB2" w:rsidP="002508E2" w14:paraId="11605A82" w14:textId="77777777">
    <w:pPr>
      <w:pStyle w:val="Header"/>
      <w:jc w:val="center"/>
    </w:pPr>
    <w:r>
      <w:t>CDFI Certification Application, OMB 1559-0028</w:t>
    </w:r>
  </w:p>
  <w:p w:rsidR="00E42FB2" w:rsidP="002508E2" w14:paraId="387CFAB4"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1">
    <w:nsid w:val="41CE2CAE"/>
    <w:multiLevelType w:val="hybridMultilevel"/>
    <w:tmpl w:val="73AC0396"/>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5EBA5964"/>
    <w:multiLevelType w:val="hybridMultilevel"/>
    <w:tmpl w:val="F35E090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8415DCB"/>
    <w:multiLevelType w:val="hybridMultilevel"/>
    <w:tmpl w:val="72CECC0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96"/>
    <w:rsid w:val="000068FE"/>
    <w:rsid w:val="00007FD1"/>
    <w:rsid w:val="0002519F"/>
    <w:rsid w:val="0003073D"/>
    <w:rsid w:val="00037345"/>
    <w:rsid w:val="00047C4E"/>
    <w:rsid w:val="00053A24"/>
    <w:rsid w:val="000740E1"/>
    <w:rsid w:val="00076340"/>
    <w:rsid w:val="000837AF"/>
    <w:rsid w:val="0009720C"/>
    <w:rsid w:val="000A04FD"/>
    <w:rsid w:val="000A4B30"/>
    <w:rsid w:val="000B1A17"/>
    <w:rsid w:val="000B51BC"/>
    <w:rsid w:val="000C0AF6"/>
    <w:rsid w:val="000C3E33"/>
    <w:rsid w:val="000D490A"/>
    <w:rsid w:val="000D4C1D"/>
    <w:rsid w:val="000D589B"/>
    <w:rsid w:val="000F3A71"/>
    <w:rsid w:val="001179E3"/>
    <w:rsid w:val="001379BA"/>
    <w:rsid w:val="00153D07"/>
    <w:rsid w:val="00157C87"/>
    <w:rsid w:val="001A4441"/>
    <w:rsid w:val="001C3B48"/>
    <w:rsid w:val="001C47E6"/>
    <w:rsid w:val="001D1097"/>
    <w:rsid w:val="001D59E8"/>
    <w:rsid w:val="001F1F85"/>
    <w:rsid w:val="00207DC2"/>
    <w:rsid w:val="00233729"/>
    <w:rsid w:val="00236604"/>
    <w:rsid w:val="0023675F"/>
    <w:rsid w:val="00245799"/>
    <w:rsid w:val="002508E2"/>
    <w:rsid w:val="0025495B"/>
    <w:rsid w:val="0025713C"/>
    <w:rsid w:val="00270067"/>
    <w:rsid w:val="00274C37"/>
    <w:rsid w:val="00282303"/>
    <w:rsid w:val="00283FF2"/>
    <w:rsid w:val="002928CC"/>
    <w:rsid w:val="002A59EF"/>
    <w:rsid w:val="002C2575"/>
    <w:rsid w:val="002C48E5"/>
    <w:rsid w:val="002F6E22"/>
    <w:rsid w:val="00303657"/>
    <w:rsid w:val="00342AD1"/>
    <w:rsid w:val="0034634A"/>
    <w:rsid w:val="003514BB"/>
    <w:rsid w:val="00383216"/>
    <w:rsid w:val="0038360A"/>
    <w:rsid w:val="00386504"/>
    <w:rsid w:val="003914D1"/>
    <w:rsid w:val="00395500"/>
    <w:rsid w:val="003A17B2"/>
    <w:rsid w:val="003B4A39"/>
    <w:rsid w:val="003C2688"/>
    <w:rsid w:val="0040635A"/>
    <w:rsid w:val="00412D40"/>
    <w:rsid w:val="00415323"/>
    <w:rsid w:val="00443D20"/>
    <w:rsid w:val="004539C0"/>
    <w:rsid w:val="0046178F"/>
    <w:rsid w:val="004A1D45"/>
    <w:rsid w:val="004B3058"/>
    <w:rsid w:val="004C2A0D"/>
    <w:rsid w:val="004C7E00"/>
    <w:rsid w:val="004D4553"/>
    <w:rsid w:val="004E1C36"/>
    <w:rsid w:val="004E3E28"/>
    <w:rsid w:val="004F7318"/>
    <w:rsid w:val="00511E17"/>
    <w:rsid w:val="005146BE"/>
    <w:rsid w:val="00523939"/>
    <w:rsid w:val="00527091"/>
    <w:rsid w:val="0054623B"/>
    <w:rsid w:val="0055211B"/>
    <w:rsid w:val="00552D38"/>
    <w:rsid w:val="005639C1"/>
    <w:rsid w:val="005668C6"/>
    <w:rsid w:val="00577F6D"/>
    <w:rsid w:val="005A3D18"/>
    <w:rsid w:val="005D0AE8"/>
    <w:rsid w:val="005D537C"/>
    <w:rsid w:val="00610F44"/>
    <w:rsid w:val="006164EA"/>
    <w:rsid w:val="00617330"/>
    <w:rsid w:val="0062636B"/>
    <w:rsid w:val="00644DB8"/>
    <w:rsid w:val="00650A2C"/>
    <w:rsid w:val="00664D8D"/>
    <w:rsid w:val="00677573"/>
    <w:rsid w:val="0068358D"/>
    <w:rsid w:val="00686708"/>
    <w:rsid w:val="006A5B9F"/>
    <w:rsid w:val="006B71A2"/>
    <w:rsid w:val="006E039E"/>
    <w:rsid w:val="006E0B41"/>
    <w:rsid w:val="006F60BA"/>
    <w:rsid w:val="006F7FF6"/>
    <w:rsid w:val="00705C65"/>
    <w:rsid w:val="00723DF2"/>
    <w:rsid w:val="00730D7E"/>
    <w:rsid w:val="00735E54"/>
    <w:rsid w:val="0074019C"/>
    <w:rsid w:val="00787240"/>
    <w:rsid w:val="00794019"/>
    <w:rsid w:val="007E3671"/>
    <w:rsid w:val="007E7454"/>
    <w:rsid w:val="007E7874"/>
    <w:rsid w:val="007E79AA"/>
    <w:rsid w:val="007F1863"/>
    <w:rsid w:val="007F27FB"/>
    <w:rsid w:val="008003EB"/>
    <w:rsid w:val="00807135"/>
    <w:rsid w:val="008107E0"/>
    <w:rsid w:val="00815AAC"/>
    <w:rsid w:val="008578C9"/>
    <w:rsid w:val="00863045"/>
    <w:rsid w:val="00873183"/>
    <w:rsid w:val="0088118C"/>
    <w:rsid w:val="0088167C"/>
    <w:rsid w:val="008841EF"/>
    <w:rsid w:val="008B407E"/>
    <w:rsid w:val="008C6DDE"/>
    <w:rsid w:val="008F7131"/>
    <w:rsid w:val="00910A60"/>
    <w:rsid w:val="0091619F"/>
    <w:rsid w:val="009214F8"/>
    <w:rsid w:val="009925F5"/>
    <w:rsid w:val="00995032"/>
    <w:rsid w:val="009A0D0A"/>
    <w:rsid w:val="009D1454"/>
    <w:rsid w:val="009D52F0"/>
    <w:rsid w:val="009F75A4"/>
    <w:rsid w:val="009F7CEA"/>
    <w:rsid w:val="00A03AE9"/>
    <w:rsid w:val="00A10310"/>
    <w:rsid w:val="00A12B27"/>
    <w:rsid w:val="00A17F58"/>
    <w:rsid w:val="00A2141C"/>
    <w:rsid w:val="00A359F8"/>
    <w:rsid w:val="00A403C3"/>
    <w:rsid w:val="00A55FA3"/>
    <w:rsid w:val="00A62550"/>
    <w:rsid w:val="00A703B9"/>
    <w:rsid w:val="00A7277E"/>
    <w:rsid w:val="00A85423"/>
    <w:rsid w:val="00AA0A3D"/>
    <w:rsid w:val="00AC42CB"/>
    <w:rsid w:val="00AD1B56"/>
    <w:rsid w:val="00AD223A"/>
    <w:rsid w:val="00AD3B33"/>
    <w:rsid w:val="00AD5A55"/>
    <w:rsid w:val="00AE07BC"/>
    <w:rsid w:val="00AF3272"/>
    <w:rsid w:val="00B049DC"/>
    <w:rsid w:val="00B05315"/>
    <w:rsid w:val="00B062BC"/>
    <w:rsid w:val="00B069FA"/>
    <w:rsid w:val="00B117D4"/>
    <w:rsid w:val="00B16084"/>
    <w:rsid w:val="00B23C9D"/>
    <w:rsid w:val="00B401F9"/>
    <w:rsid w:val="00B47C3A"/>
    <w:rsid w:val="00B76BC9"/>
    <w:rsid w:val="00B8488B"/>
    <w:rsid w:val="00B86E50"/>
    <w:rsid w:val="00B936B8"/>
    <w:rsid w:val="00BB06C7"/>
    <w:rsid w:val="00BB1577"/>
    <w:rsid w:val="00BB6BA5"/>
    <w:rsid w:val="00BE278C"/>
    <w:rsid w:val="00BE62CD"/>
    <w:rsid w:val="00C0607B"/>
    <w:rsid w:val="00C123EE"/>
    <w:rsid w:val="00C22A2B"/>
    <w:rsid w:val="00C33729"/>
    <w:rsid w:val="00C604C9"/>
    <w:rsid w:val="00C65C03"/>
    <w:rsid w:val="00C6603E"/>
    <w:rsid w:val="00CA7973"/>
    <w:rsid w:val="00CB3933"/>
    <w:rsid w:val="00CB3C1D"/>
    <w:rsid w:val="00CB49B6"/>
    <w:rsid w:val="00CC21E6"/>
    <w:rsid w:val="00CC283F"/>
    <w:rsid w:val="00CD7163"/>
    <w:rsid w:val="00CE2F09"/>
    <w:rsid w:val="00CE325B"/>
    <w:rsid w:val="00CE7D1A"/>
    <w:rsid w:val="00CF1B43"/>
    <w:rsid w:val="00CF4768"/>
    <w:rsid w:val="00D00989"/>
    <w:rsid w:val="00D025AD"/>
    <w:rsid w:val="00D04C63"/>
    <w:rsid w:val="00D16741"/>
    <w:rsid w:val="00D167DF"/>
    <w:rsid w:val="00D21EFF"/>
    <w:rsid w:val="00D61E95"/>
    <w:rsid w:val="00DA2264"/>
    <w:rsid w:val="00DB135F"/>
    <w:rsid w:val="00DB45DA"/>
    <w:rsid w:val="00DC7D75"/>
    <w:rsid w:val="00DE242D"/>
    <w:rsid w:val="00DF4ADD"/>
    <w:rsid w:val="00E1377E"/>
    <w:rsid w:val="00E14B59"/>
    <w:rsid w:val="00E42FB2"/>
    <w:rsid w:val="00E45CA1"/>
    <w:rsid w:val="00E6625F"/>
    <w:rsid w:val="00E741E5"/>
    <w:rsid w:val="00E85129"/>
    <w:rsid w:val="00E93218"/>
    <w:rsid w:val="00EA6434"/>
    <w:rsid w:val="00EA6450"/>
    <w:rsid w:val="00EB1547"/>
    <w:rsid w:val="00EB179F"/>
    <w:rsid w:val="00EC0999"/>
    <w:rsid w:val="00EE288D"/>
    <w:rsid w:val="00F0105B"/>
    <w:rsid w:val="00F15867"/>
    <w:rsid w:val="00F25485"/>
    <w:rsid w:val="00F56636"/>
    <w:rsid w:val="00F572B5"/>
    <w:rsid w:val="00F71B96"/>
    <w:rsid w:val="00F86F22"/>
    <w:rsid w:val="00F95691"/>
    <w:rsid w:val="00F95E2C"/>
    <w:rsid w:val="00FB5B90"/>
    <w:rsid w:val="00FE62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C58C7C"/>
  <w15:docId w15:val="{CDF2CAF3-313E-4A9E-973E-C5D2B59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rsid w:val="00BE27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DOCDFI-1789471046-152</_dlc_DocId>
    <_dlc_DocIdUrl xmlns="52222ef0-b167-44f5-92f7-438fda0857cd">
      <Url>https://my.treas.gov/collab/CDFI/Cert-ACR-CTLR Comments/_layouts/15/DocIdRedir.aspx?ID=DOCDFI-1789471046-152</Url>
      <Description>DOCDFI-1789471046-152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9314134D56E80488CBEF200A5D00D27" ma:contentTypeVersion="1" ma:contentTypeDescription="Create a new document." ma:contentTypeScope="" ma:versionID="22d931d264793eb3a4fce1b7551228ec">
  <xsd:schema xmlns:xsd="http://www.w3.org/2001/XMLSchema" xmlns:xs="http://www.w3.org/2001/XMLSchema" xmlns:p="http://schemas.microsoft.com/office/2006/metadata/properties" xmlns:ns2="52222ef0-b167-44f5-92f7-438fda0857cd" xmlns:ns3="c1f489c3-d7be-418f-9176-321a53f4c243" targetNamespace="http://schemas.microsoft.com/office/2006/metadata/properties" ma:root="true" ma:fieldsID="4254eb9db5de93daecc6517041fd9d0d" ns2:_="" ns3:_="">
    <xsd:import namespace="52222ef0-b167-44f5-92f7-438fda0857cd"/>
    <xsd:import namespace="c1f489c3-d7be-418f-9176-321a53f4c24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489c3-d7be-418f-9176-321a53f4c2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93517-DA3E-49A1-8251-5017F0B019AD}">
  <ds:schemaRefs>
    <ds:schemaRef ds:uri="http://purl.org/dc/terms/"/>
    <ds:schemaRef ds:uri="http://schemas.openxmlformats.org/package/2006/metadata/core-properties"/>
    <ds:schemaRef ds:uri="52222ef0-b167-44f5-92f7-438fda0857cd"/>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c1f489c3-d7be-418f-9176-321a53f4c243"/>
    <ds:schemaRef ds:uri="http://schemas.microsoft.com/office/2006/metadata/properties"/>
  </ds:schemaRefs>
</ds:datastoreItem>
</file>

<file path=customXml/itemProps2.xml><?xml version="1.0" encoding="utf-8"?>
<ds:datastoreItem xmlns:ds="http://schemas.openxmlformats.org/officeDocument/2006/customXml" ds:itemID="{2391CA35-4084-4080-8D57-3564B89824EB}">
  <ds:schemaRefs>
    <ds:schemaRef ds:uri="http://schemas.microsoft.com/sharepoint/events"/>
  </ds:schemaRefs>
</ds:datastoreItem>
</file>

<file path=customXml/itemProps3.xml><?xml version="1.0" encoding="utf-8"?>
<ds:datastoreItem xmlns:ds="http://schemas.openxmlformats.org/officeDocument/2006/customXml" ds:itemID="{EEF54088-E8CC-409C-BC64-208D155BE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c1f489c3-d7be-418f-9176-321a53f4c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68F09-9805-4A8F-A124-67DF014E4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1217</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creator>user</dc:creator>
  <cp:lastModifiedBy>Clark, Spencer</cp:lastModifiedBy>
  <cp:revision>2</cp:revision>
  <cp:lastPrinted>2010-03-22T18:38:00Z</cp:lastPrinted>
  <dcterms:created xsi:type="dcterms:W3CDTF">2022-11-07T22:50:00Z</dcterms:created>
  <dcterms:modified xsi:type="dcterms:W3CDTF">2022-11-07T22:50:00Z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0x01010009314134D56E80488CBEF200A5D00D27</vt:lpwstr>
  </property>
  <property fmtid="{D5CDD505-2E9C-101B-9397-08002B2CF9AE}" pid="3" name="_dlc_DocIdItemGuid">
    <vt:lpwstr>18da901c-99f0-4cfc-93df-ab7a2be27612</vt:lpwstr>
  </property>
</Properties>
</file>