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0E6C" w:rsidR="009B6D9C" w:rsidP="009B6585" w:rsidRDefault="009B6D9C" w14:paraId="58439334" w14:textId="77777777">
      <w:pPr>
        <w:rPr>
          <w:rFonts w:ascii="Calibri" w:hAnsi="Calibri" w:cs="Calibri"/>
          <w:sz w:val="22"/>
          <w:szCs w:val="22"/>
        </w:rPr>
      </w:pPr>
    </w:p>
    <w:p w:rsidRPr="00A20E6C" w:rsidR="009B6D9C" w:rsidP="009B6585" w:rsidRDefault="009B6D9C" w14:paraId="337313D3" w14:textId="77777777">
      <w:pPr>
        <w:rPr>
          <w:rFonts w:ascii="Calibri" w:hAnsi="Calibri" w:cs="Calibri"/>
          <w:b/>
          <w:sz w:val="22"/>
          <w:szCs w:val="22"/>
        </w:rPr>
      </w:pPr>
      <w:r w:rsidRPr="00A20E6C">
        <w:rPr>
          <w:rFonts w:ascii="Calibri" w:hAnsi="Calibri" w:cs="Calibri"/>
          <w:b/>
          <w:sz w:val="22"/>
          <w:szCs w:val="22"/>
        </w:rPr>
        <w:t xml:space="preserve">INA: ACT 212 </w:t>
      </w:r>
      <w:proofErr w:type="gramStart"/>
      <w:r w:rsidRPr="00A20E6C">
        <w:rPr>
          <w:rFonts w:ascii="Calibri" w:hAnsi="Calibri" w:cs="Calibri"/>
          <w:b/>
          <w:sz w:val="22"/>
          <w:szCs w:val="22"/>
        </w:rPr>
        <w:t>-  GENERAL</w:t>
      </w:r>
      <w:proofErr w:type="gramEnd"/>
      <w:r w:rsidRPr="00A20E6C">
        <w:rPr>
          <w:rFonts w:ascii="Calibri" w:hAnsi="Calibri" w:cs="Calibri"/>
          <w:b/>
          <w:sz w:val="22"/>
          <w:szCs w:val="22"/>
        </w:rPr>
        <w:t xml:space="preserve"> CLASSES OF ALIENS INELIGIBLE TO RECEIVE VISAS AND INELIGIBLE FOR ADMISSION; WAIVERS OF INADMISSIBILLITY</w:t>
      </w:r>
    </w:p>
    <w:p w:rsidRPr="00A20E6C" w:rsidR="009B6D9C" w:rsidP="009B6585" w:rsidRDefault="009B6D9C" w14:paraId="60CC48A3" w14:textId="77777777">
      <w:pPr>
        <w:rPr>
          <w:rFonts w:ascii="Calibri" w:hAnsi="Calibri" w:cs="Calibri"/>
          <w:b/>
          <w:sz w:val="22"/>
          <w:szCs w:val="22"/>
        </w:rPr>
      </w:pPr>
    </w:p>
    <w:p w:rsidRPr="00A20E6C" w:rsidR="009B6D9C" w:rsidP="009B6585" w:rsidRDefault="009B6D9C" w14:paraId="180B7DE4" w14:textId="77777777">
      <w:pPr>
        <w:rPr>
          <w:rFonts w:ascii="Calibri" w:hAnsi="Calibri" w:cs="Calibri"/>
          <w:b/>
          <w:sz w:val="22"/>
          <w:szCs w:val="22"/>
        </w:rPr>
      </w:pPr>
      <w:r w:rsidRPr="00A20E6C">
        <w:rPr>
          <w:rFonts w:ascii="Calibri" w:hAnsi="Calibri" w:cs="Calibri"/>
          <w:b/>
          <w:sz w:val="22"/>
          <w:szCs w:val="22"/>
        </w:rPr>
        <w:t>Sec. 212.</w:t>
      </w:r>
    </w:p>
    <w:p w:rsidRPr="00A20E6C" w:rsidR="009B6D9C" w:rsidP="009B6585" w:rsidRDefault="009B6D9C" w14:paraId="0BE96428" w14:textId="77777777">
      <w:pPr>
        <w:rPr>
          <w:rFonts w:ascii="Calibri" w:hAnsi="Calibri" w:cs="Calibri"/>
          <w:sz w:val="22"/>
          <w:szCs w:val="22"/>
        </w:rPr>
      </w:pPr>
    </w:p>
    <w:p w:rsidRPr="00A20E6C" w:rsidR="00541ACF" w:rsidP="009B6585" w:rsidRDefault="00E25E56" w14:paraId="13B3FB38" w14:textId="77777777">
      <w:pPr>
        <w:rPr>
          <w:rFonts w:ascii="Calibri" w:hAnsi="Calibri" w:cs="Calibri"/>
          <w:b/>
          <w:bCs/>
          <w:sz w:val="22"/>
          <w:szCs w:val="22"/>
        </w:rPr>
      </w:pPr>
      <w:bookmarkStart w:name="0-0-0-2717" w:id="0"/>
      <w:bookmarkEnd w:id="0"/>
      <w:r w:rsidRPr="00A20E6C">
        <w:rPr>
          <w:rFonts w:ascii="Calibri" w:hAnsi="Calibri" w:cs="Calibri"/>
          <w:sz w:val="22"/>
          <w:szCs w:val="22"/>
        </w:rPr>
        <w:t xml:space="preserve">(c) </w:t>
      </w:r>
      <w:hyperlink w:history="1" w:anchor="0-0-0-2719" r:id="rId4">
        <w:r w:rsidRPr="00A20E6C">
          <w:rPr>
            <w:rStyle w:val="Hyperlink"/>
            <w:rFonts w:ascii="Calibri" w:hAnsi="Calibri" w:cs="Calibri"/>
            <w:b/>
            <w:bCs/>
            <w:color w:val="008000"/>
            <w:sz w:val="22"/>
            <w:szCs w:val="22"/>
          </w:rPr>
          <w:t xml:space="preserve">20/ </w:t>
        </w:r>
      </w:hyperlink>
      <w:r w:rsidRPr="00A20E6C">
        <w:rPr>
          <w:rFonts w:ascii="Calibri" w:hAnsi="Calibri" w:cs="Calibri"/>
          <w:sz w:val="22"/>
          <w:szCs w:val="22"/>
        </w:rPr>
        <w:t>Aliens lawfully admitted for permanent residence who temporarily proceeded abroad voluntarily and not under an order of deportation,</w:t>
      </w:r>
      <w:bookmarkStart w:name="_GoBack" w:id="1"/>
      <w:bookmarkEnd w:id="1"/>
      <w:r w:rsidRPr="00A20E6C">
        <w:rPr>
          <w:rFonts w:ascii="Calibri" w:hAnsi="Calibri" w:cs="Calibri"/>
          <w:sz w:val="22"/>
          <w:szCs w:val="22"/>
        </w:rPr>
        <w:t xml:space="preserve"> and who are returning to a lawful </w:t>
      </w:r>
      <w:proofErr w:type="spellStart"/>
      <w:r w:rsidRPr="00A20E6C">
        <w:rPr>
          <w:rFonts w:ascii="Calibri" w:hAnsi="Calibri" w:cs="Calibri"/>
          <w:sz w:val="22"/>
          <w:szCs w:val="22"/>
        </w:rPr>
        <w:t>unrelinquished</w:t>
      </w:r>
      <w:proofErr w:type="spellEnd"/>
      <w:r w:rsidRPr="00A20E6C">
        <w:rPr>
          <w:rFonts w:ascii="Calibri" w:hAnsi="Calibri" w:cs="Calibri"/>
          <w:sz w:val="22"/>
          <w:szCs w:val="22"/>
        </w:rPr>
        <w:t xml:space="preserve"> domicile of seven consecutive years, may be admitted in the discretion of the Attorney General without regard to the provisions of subsection (a) (other than paragraphs (3) and (9)(C)). Nothing contained in this subsection shall limit the authority of the Attorney General to exercise the discretion vested in him under section 211(b). This subsection shall not apply to an alien who is deportable by reason of having committed any criminal offense covered in section </w:t>
      </w:r>
      <w:hyperlink w:history="1" w:anchor="0-0-0-2721" r:id="rId5">
        <w:r w:rsidRPr="00A20E6C">
          <w:rPr>
            <w:rStyle w:val="Hyperlink"/>
            <w:rFonts w:ascii="Calibri" w:hAnsi="Calibri" w:cs="Calibri"/>
            <w:b/>
            <w:bCs/>
            <w:color w:val="008000"/>
            <w:sz w:val="22"/>
            <w:szCs w:val="22"/>
          </w:rPr>
          <w:t xml:space="preserve">241(a)(2) </w:t>
        </w:r>
      </w:hyperlink>
      <w:r w:rsidRPr="00A20E6C">
        <w:rPr>
          <w:rFonts w:ascii="Calibri" w:hAnsi="Calibri" w:cs="Calibri"/>
          <w:sz w:val="22"/>
          <w:szCs w:val="22"/>
        </w:rPr>
        <w:t xml:space="preserve">(A)(iii), </w:t>
      </w:r>
      <w:hyperlink w:history="1" w:anchor="0-0-0-2721" r:id="rId6">
        <w:r w:rsidRPr="00A20E6C">
          <w:rPr>
            <w:rStyle w:val="Hyperlink"/>
            <w:rFonts w:ascii="Calibri" w:hAnsi="Calibri" w:cs="Calibri"/>
            <w:b/>
            <w:bCs/>
            <w:color w:val="008000"/>
            <w:sz w:val="22"/>
            <w:szCs w:val="22"/>
          </w:rPr>
          <w:t xml:space="preserve">(B) </w:t>
        </w:r>
      </w:hyperlink>
      <w:r w:rsidRPr="00A20E6C">
        <w:rPr>
          <w:rFonts w:ascii="Calibri" w:hAnsi="Calibri" w:cs="Calibri"/>
          <w:sz w:val="22"/>
          <w:szCs w:val="22"/>
        </w:rPr>
        <w:t xml:space="preserve">, </w:t>
      </w:r>
      <w:hyperlink w:history="1" w:anchor="0-0-0-2721" r:id="rId7">
        <w:r w:rsidRPr="00A20E6C">
          <w:rPr>
            <w:rStyle w:val="Hyperlink"/>
            <w:rFonts w:ascii="Calibri" w:hAnsi="Calibri" w:cs="Calibri"/>
            <w:b/>
            <w:bCs/>
            <w:color w:val="008000"/>
            <w:sz w:val="22"/>
            <w:szCs w:val="22"/>
          </w:rPr>
          <w:t xml:space="preserve">(C) </w:t>
        </w:r>
      </w:hyperlink>
      <w:r w:rsidRPr="00A20E6C">
        <w:rPr>
          <w:rFonts w:ascii="Calibri" w:hAnsi="Calibri" w:cs="Calibri"/>
          <w:sz w:val="22"/>
          <w:szCs w:val="22"/>
        </w:rPr>
        <w:t xml:space="preserve">, or </w:t>
      </w:r>
      <w:hyperlink w:history="1" w:anchor="0-0-0-2721" r:id="rId8">
        <w:r w:rsidRPr="00A20E6C">
          <w:rPr>
            <w:rStyle w:val="Hyperlink"/>
            <w:rFonts w:ascii="Calibri" w:hAnsi="Calibri" w:cs="Calibri"/>
            <w:b/>
            <w:bCs/>
            <w:color w:val="008000"/>
            <w:sz w:val="22"/>
            <w:szCs w:val="22"/>
          </w:rPr>
          <w:t xml:space="preserve">(D) </w:t>
        </w:r>
      </w:hyperlink>
      <w:r w:rsidRPr="00A20E6C">
        <w:rPr>
          <w:rFonts w:ascii="Calibri" w:hAnsi="Calibri" w:cs="Calibri"/>
          <w:sz w:val="22"/>
          <w:szCs w:val="22"/>
        </w:rPr>
        <w:t xml:space="preserve">, or any offense covered by section 241(a)(2)(A)(ii) for which both predicate offenses are, without regard to the date of their commission, otherwise covered by section </w:t>
      </w:r>
      <w:hyperlink w:history="1" w:anchor="0-0-0-2721" r:id="rId9">
        <w:r w:rsidRPr="00A20E6C">
          <w:rPr>
            <w:rStyle w:val="Hyperlink"/>
            <w:rFonts w:ascii="Calibri" w:hAnsi="Calibri" w:cs="Calibri"/>
            <w:b/>
            <w:bCs/>
            <w:color w:val="008000"/>
            <w:sz w:val="22"/>
            <w:szCs w:val="22"/>
          </w:rPr>
          <w:t xml:space="preserve">241(a)(2) </w:t>
        </w:r>
      </w:hyperlink>
      <w:r w:rsidRPr="00A20E6C">
        <w:rPr>
          <w:rFonts w:ascii="Calibri" w:hAnsi="Calibri" w:cs="Calibri"/>
          <w:sz w:val="22"/>
          <w:szCs w:val="22"/>
        </w:rPr>
        <w:t>(A)(i).</w:t>
      </w:r>
    </w:p>
    <w:p w:rsidRPr="00A20E6C" w:rsidR="00E25E56" w:rsidP="009B6585" w:rsidRDefault="00E25E56" w14:paraId="7AB95F05" w14:textId="77777777">
      <w:pPr>
        <w:rPr>
          <w:rFonts w:ascii="Calibri" w:hAnsi="Calibri" w:cs="Calibri"/>
          <w:sz w:val="22"/>
          <w:szCs w:val="22"/>
        </w:rPr>
      </w:pPr>
    </w:p>
    <w:p w:rsidRPr="00A20E6C" w:rsidR="0038480A" w:rsidP="009B6585" w:rsidRDefault="0038480A" w14:paraId="347F2E31" w14:textId="77777777">
      <w:pPr>
        <w:rPr>
          <w:rFonts w:ascii="Calibri" w:hAnsi="Calibri" w:cs="Calibri"/>
          <w:b/>
          <w:sz w:val="22"/>
          <w:szCs w:val="22"/>
        </w:rPr>
      </w:pPr>
    </w:p>
    <w:p w:rsidRPr="00A20E6C" w:rsidR="00541ACF" w:rsidP="009B6585" w:rsidRDefault="00541ACF" w14:paraId="0E1BCC85" w14:textId="77777777">
      <w:pPr>
        <w:rPr>
          <w:rFonts w:ascii="Calibri" w:hAnsi="Calibri" w:cs="Calibri"/>
          <w:b/>
          <w:sz w:val="22"/>
          <w:szCs w:val="22"/>
        </w:rPr>
      </w:pPr>
      <w:r w:rsidRPr="00A20E6C">
        <w:rPr>
          <w:rFonts w:ascii="Calibri" w:hAnsi="Calibri" w:cs="Calibri"/>
          <w:b/>
          <w:sz w:val="22"/>
          <w:szCs w:val="22"/>
        </w:rPr>
        <w:t xml:space="preserve">8 CFR </w:t>
      </w:r>
      <w:proofErr w:type="gramStart"/>
      <w:r w:rsidRPr="00A20E6C">
        <w:rPr>
          <w:rFonts w:ascii="Calibri" w:hAnsi="Calibri" w:cs="Calibri"/>
          <w:b/>
          <w:sz w:val="22"/>
          <w:szCs w:val="22"/>
        </w:rPr>
        <w:t>212.3  Application</w:t>
      </w:r>
      <w:proofErr w:type="gramEnd"/>
      <w:r w:rsidRPr="00A20E6C">
        <w:rPr>
          <w:rFonts w:ascii="Calibri" w:hAnsi="Calibri" w:cs="Calibri"/>
          <w:b/>
          <w:sz w:val="22"/>
          <w:szCs w:val="22"/>
        </w:rPr>
        <w:t xml:space="preserve"> for the exercise of discretion under section 212(c).</w:t>
      </w:r>
    </w:p>
    <w:p w:rsidRPr="00A20E6C" w:rsidR="009B6585" w:rsidP="009B6585" w:rsidRDefault="009B6585" w14:paraId="5B81BF11" w14:textId="77777777">
      <w:pPr>
        <w:pStyle w:val="NormalWeb"/>
        <w:rPr>
          <w:rFonts w:ascii="Calibri" w:hAnsi="Calibri" w:cs="Calibri"/>
          <w:sz w:val="22"/>
          <w:szCs w:val="22"/>
        </w:rPr>
      </w:pPr>
      <w:r w:rsidRPr="00A20E6C">
        <w:rPr>
          <w:rFonts w:ascii="Calibri" w:hAnsi="Calibri" w:cs="Calibri"/>
          <w:sz w:val="22"/>
          <w:szCs w:val="22"/>
        </w:rPr>
        <w:t xml:space="preserve">(a) </w:t>
      </w:r>
      <w:r w:rsidRPr="00A20E6C">
        <w:rPr>
          <w:rFonts w:ascii="Calibri" w:hAnsi="Calibri" w:cs="Calibri"/>
          <w:i/>
          <w:iCs/>
          <w:sz w:val="22"/>
          <w:szCs w:val="22"/>
        </w:rPr>
        <w:t>Jurisdiction.</w:t>
      </w:r>
      <w:r w:rsidRPr="00A20E6C">
        <w:rPr>
          <w:rFonts w:ascii="Calibri" w:hAnsi="Calibri" w:cs="Calibri"/>
          <w:sz w:val="22"/>
          <w:szCs w:val="22"/>
        </w:rPr>
        <w:t xml:space="preserve"> An application for the exercise of discretion under section 212(c) of the Act must be submitted on the form designated by USCIS with the fee prescribed in 8 CFR 103.7(b)(1) and in accordance with the form instructions. If the application is made in the course of proceedings under sections 235, 236, or 242 of the Act, the application shall be made to the Immigration Court.</w:t>
      </w:r>
    </w:p>
    <w:p w:rsidRPr="00A20E6C" w:rsidR="009B6585" w:rsidP="009B6585" w:rsidRDefault="009B6585" w14:paraId="1B8BC439" w14:textId="77777777">
      <w:pPr>
        <w:pStyle w:val="NormalWeb"/>
        <w:rPr>
          <w:rFonts w:ascii="Calibri" w:hAnsi="Calibri" w:cs="Calibri"/>
          <w:sz w:val="22"/>
          <w:szCs w:val="22"/>
        </w:rPr>
      </w:pPr>
      <w:r w:rsidRPr="00A20E6C">
        <w:rPr>
          <w:rFonts w:ascii="Calibri" w:hAnsi="Calibri" w:cs="Calibri"/>
          <w:sz w:val="22"/>
          <w:szCs w:val="22"/>
        </w:rPr>
        <w:t xml:space="preserve">(b) </w:t>
      </w:r>
      <w:r w:rsidRPr="00A20E6C">
        <w:rPr>
          <w:rFonts w:ascii="Calibri" w:hAnsi="Calibri" w:cs="Calibri"/>
          <w:i/>
          <w:iCs/>
          <w:sz w:val="22"/>
          <w:szCs w:val="22"/>
        </w:rPr>
        <w:t>Filing of application.</w:t>
      </w:r>
      <w:r w:rsidRPr="00A20E6C">
        <w:rPr>
          <w:rFonts w:ascii="Calibri" w:hAnsi="Calibri" w:cs="Calibri"/>
          <w:sz w:val="22"/>
          <w:szCs w:val="22"/>
        </w:rPr>
        <w:t xml:space="preserve"> The application may be filed prior to, at the time of, or at any time after the applicant's departure from or arrival into the United States. All material facts and/or circumstances which the applicant knows or believes apply to the grounds of excludability or deportability must be described. The applicant must also submit all available documentation relating to such grounds.</w:t>
      </w:r>
    </w:p>
    <w:p w:rsidRPr="00A20E6C" w:rsidR="009B6585" w:rsidP="009B6585" w:rsidRDefault="009B6585" w14:paraId="5BF37867" w14:textId="77777777">
      <w:pPr>
        <w:pStyle w:val="NormalWeb"/>
        <w:rPr>
          <w:rFonts w:ascii="Calibri" w:hAnsi="Calibri" w:cs="Calibri"/>
          <w:sz w:val="22"/>
          <w:szCs w:val="22"/>
        </w:rPr>
      </w:pPr>
      <w:r w:rsidRPr="00A20E6C">
        <w:rPr>
          <w:rFonts w:ascii="Calibri" w:hAnsi="Calibri" w:cs="Calibri"/>
          <w:sz w:val="22"/>
          <w:szCs w:val="22"/>
        </w:rPr>
        <w:t xml:space="preserve">(c) </w:t>
      </w:r>
      <w:r w:rsidRPr="00A20E6C">
        <w:rPr>
          <w:rFonts w:ascii="Calibri" w:hAnsi="Calibri" w:cs="Calibri"/>
          <w:i/>
          <w:iCs/>
          <w:sz w:val="22"/>
          <w:szCs w:val="22"/>
        </w:rPr>
        <w:t>Decision of the District Director.</w:t>
      </w:r>
      <w:r w:rsidRPr="00A20E6C">
        <w:rPr>
          <w:rFonts w:ascii="Calibri" w:hAnsi="Calibri" w:cs="Calibri"/>
          <w:sz w:val="22"/>
          <w:szCs w:val="22"/>
        </w:rPr>
        <w:t xml:space="preserve"> A district director may grant or deny an application for advance permission to return to an </w:t>
      </w:r>
      <w:proofErr w:type="spellStart"/>
      <w:r w:rsidRPr="00A20E6C">
        <w:rPr>
          <w:rFonts w:ascii="Calibri" w:hAnsi="Calibri" w:cs="Calibri"/>
          <w:sz w:val="22"/>
          <w:szCs w:val="22"/>
        </w:rPr>
        <w:t>unrelinquished</w:t>
      </w:r>
      <w:proofErr w:type="spellEnd"/>
      <w:r w:rsidRPr="00A20E6C">
        <w:rPr>
          <w:rFonts w:ascii="Calibri" w:hAnsi="Calibri" w:cs="Calibri"/>
          <w:sz w:val="22"/>
          <w:szCs w:val="22"/>
        </w:rPr>
        <w:t xml:space="preserve"> domicile under section 212(c) of the Act, in the exercise of discretion, unless otherwise prohibited by paragraph (f) of this section. The applicant shall be notified of the decision and, if the application is denied, of the reason(s) for denial. No appeal shall lie from denial of the application, but the application may be renewed before an Immigration Judge as provided in paragraph (e) of this section.</w:t>
      </w:r>
    </w:p>
    <w:p w:rsidRPr="00A20E6C" w:rsidR="009B6585" w:rsidP="009B6585" w:rsidRDefault="009B6585" w14:paraId="265EDC04" w14:textId="77777777">
      <w:pPr>
        <w:pStyle w:val="NormalWeb"/>
        <w:rPr>
          <w:rFonts w:ascii="Calibri" w:hAnsi="Calibri" w:cs="Calibri"/>
          <w:sz w:val="22"/>
          <w:szCs w:val="22"/>
        </w:rPr>
      </w:pPr>
      <w:r w:rsidRPr="00A20E6C">
        <w:rPr>
          <w:rFonts w:ascii="Calibri" w:hAnsi="Calibri" w:cs="Calibri"/>
          <w:sz w:val="22"/>
          <w:szCs w:val="22"/>
        </w:rPr>
        <w:t xml:space="preserve">(d) </w:t>
      </w:r>
      <w:r w:rsidRPr="00A20E6C">
        <w:rPr>
          <w:rFonts w:ascii="Calibri" w:hAnsi="Calibri" w:cs="Calibri"/>
          <w:i/>
          <w:iCs/>
          <w:sz w:val="22"/>
          <w:szCs w:val="22"/>
        </w:rPr>
        <w:t>Validity.</w:t>
      </w:r>
      <w:r w:rsidRPr="00A20E6C">
        <w:rPr>
          <w:rFonts w:ascii="Calibri" w:hAnsi="Calibri" w:cs="Calibri"/>
          <w:sz w:val="22"/>
          <w:szCs w:val="22"/>
        </w:rPr>
        <w:t xml:space="preserve"> Once an application is approved, that approval is valid indefinitely. However, the approval covers only those specific grounds of excludability or deportability that were described in the application. An application who failed to describe any other grounds of excludability or </w:t>
      </w:r>
      <w:proofErr w:type="gramStart"/>
      <w:r w:rsidRPr="00A20E6C">
        <w:rPr>
          <w:rFonts w:ascii="Calibri" w:hAnsi="Calibri" w:cs="Calibri"/>
          <w:sz w:val="22"/>
          <w:szCs w:val="22"/>
        </w:rPr>
        <w:t>deportability, or</w:t>
      </w:r>
      <w:proofErr w:type="gramEnd"/>
      <w:r w:rsidRPr="00A20E6C">
        <w:rPr>
          <w:rFonts w:ascii="Calibri" w:hAnsi="Calibri" w:cs="Calibri"/>
          <w:sz w:val="22"/>
          <w:szCs w:val="22"/>
        </w:rPr>
        <w:t xml:space="preserve"> failed to disclose material facts existing at the time of the approval of the application, remains excludable or deportable under the previously unidentified grounds. If at a later date, the applicant becomes subject to exclusion or deportation based upon these previously unidentified grounds or upon new ground(s), a new application must be filed.</w:t>
      </w:r>
    </w:p>
    <w:p w:rsidRPr="00A20E6C" w:rsidR="009B6585" w:rsidP="009B6585" w:rsidRDefault="009B6585" w14:paraId="202B3BB4" w14:textId="77777777">
      <w:pPr>
        <w:pStyle w:val="NormalWeb"/>
        <w:rPr>
          <w:rFonts w:ascii="Calibri" w:hAnsi="Calibri" w:cs="Calibri"/>
          <w:sz w:val="22"/>
          <w:szCs w:val="22"/>
        </w:rPr>
      </w:pPr>
      <w:r w:rsidRPr="00A20E6C">
        <w:rPr>
          <w:rFonts w:ascii="Calibri" w:hAnsi="Calibri" w:cs="Calibri"/>
          <w:sz w:val="22"/>
          <w:szCs w:val="22"/>
        </w:rPr>
        <w:lastRenderedPageBreak/>
        <w:t xml:space="preserve">(e) </w:t>
      </w:r>
      <w:r w:rsidRPr="00A20E6C">
        <w:rPr>
          <w:rFonts w:ascii="Calibri" w:hAnsi="Calibri" w:cs="Calibri"/>
          <w:i/>
          <w:iCs/>
          <w:sz w:val="22"/>
          <w:szCs w:val="22"/>
        </w:rPr>
        <w:t>Filing or renewal of applications before an Immigration Judge.</w:t>
      </w:r>
      <w:r w:rsidRPr="00A20E6C">
        <w:rPr>
          <w:rFonts w:ascii="Calibri" w:hAnsi="Calibri" w:cs="Calibri"/>
          <w:sz w:val="22"/>
          <w:szCs w:val="22"/>
        </w:rPr>
        <w:t xml:space="preserve"> (1) An application for the exercise of discretion under section 212(c) of the Act may be renewed or submitted in proceedings before an Immigration Judge under sections 235, 236, or 242 of the Act, and under this chapter. Such application shall be adjudicated by the Immigration Judge, without regard to whether the applicant previously has made application to the district director.</w:t>
      </w:r>
    </w:p>
    <w:p w:rsidRPr="00A20E6C" w:rsidR="009B6585" w:rsidP="009B6585" w:rsidRDefault="009B6585" w14:paraId="359E2F59" w14:textId="77777777">
      <w:pPr>
        <w:pStyle w:val="NormalWeb"/>
        <w:rPr>
          <w:rFonts w:ascii="Calibri" w:hAnsi="Calibri" w:cs="Calibri"/>
          <w:sz w:val="22"/>
          <w:szCs w:val="22"/>
        </w:rPr>
      </w:pPr>
      <w:r w:rsidRPr="00A20E6C">
        <w:rPr>
          <w:rFonts w:ascii="Calibri" w:hAnsi="Calibri" w:cs="Calibri"/>
          <w:sz w:val="22"/>
          <w:szCs w:val="22"/>
        </w:rPr>
        <w:t xml:space="preserve">(2) The Immigration Judge may grant or deny an application for advance permission to return to an </w:t>
      </w:r>
      <w:proofErr w:type="spellStart"/>
      <w:r w:rsidRPr="00A20E6C">
        <w:rPr>
          <w:rFonts w:ascii="Calibri" w:hAnsi="Calibri" w:cs="Calibri"/>
          <w:sz w:val="22"/>
          <w:szCs w:val="22"/>
        </w:rPr>
        <w:t>unrelinquished</w:t>
      </w:r>
      <w:proofErr w:type="spellEnd"/>
      <w:r w:rsidRPr="00A20E6C">
        <w:rPr>
          <w:rFonts w:ascii="Calibri" w:hAnsi="Calibri" w:cs="Calibri"/>
          <w:sz w:val="22"/>
          <w:szCs w:val="22"/>
        </w:rPr>
        <w:t xml:space="preserve"> domicile under section 212(c) of the Act, in the exercise of discretion, unless otherwise prohibited by paragraph (f) of this section.</w:t>
      </w:r>
    </w:p>
    <w:p w:rsidRPr="00A20E6C" w:rsidR="009B6585" w:rsidP="009B6585" w:rsidRDefault="009B6585" w14:paraId="108B43B3" w14:textId="77777777">
      <w:pPr>
        <w:pStyle w:val="NormalWeb"/>
        <w:rPr>
          <w:rFonts w:ascii="Calibri" w:hAnsi="Calibri" w:cs="Calibri"/>
          <w:sz w:val="22"/>
          <w:szCs w:val="22"/>
        </w:rPr>
      </w:pPr>
      <w:r w:rsidRPr="00A20E6C">
        <w:rPr>
          <w:rFonts w:ascii="Calibri" w:hAnsi="Calibri" w:cs="Calibri"/>
          <w:sz w:val="22"/>
          <w:szCs w:val="22"/>
        </w:rPr>
        <w:t>(3) An alien otherwise entitled to appeal to the Board of Immigration Appeals may appeal the denial by the Immigration Judge of this application in accordance with the provisions of § 3.36 of this chapter.</w:t>
      </w:r>
    </w:p>
    <w:p w:rsidRPr="00A20E6C" w:rsidR="009B6585" w:rsidP="009B6585" w:rsidRDefault="009B6585" w14:paraId="49B0DFC0" w14:textId="77777777">
      <w:pPr>
        <w:pStyle w:val="NormalWeb"/>
        <w:rPr>
          <w:rFonts w:ascii="Calibri" w:hAnsi="Calibri" w:cs="Calibri"/>
          <w:sz w:val="22"/>
          <w:szCs w:val="22"/>
        </w:rPr>
      </w:pPr>
      <w:r w:rsidRPr="00A20E6C">
        <w:rPr>
          <w:rFonts w:ascii="Calibri" w:hAnsi="Calibri" w:cs="Calibri"/>
          <w:sz w:val="22"/>
          <w:szCs w:val="22"/>
        </w:rPr>
        <w:t>(f) Limitations on discretion to grant an application under section 212(c) of the Act. An application for advance permission to enter under section 212 of the Act shall be denied if:</w:t>
      </w:r>
    </w:p>
    <w:p w:rsidRPr="00A20E6C" w:rsidR="009B6585" w:rsidP="009B6585" w:rsidRDefault="009B6585" w14:paraId="2184ABA8" w14:textId="77777777">
      <w:pPr>
        <w:pStyle w:val="NormalWeb"/>
        <w:rPr>
          <w:rFonts w:ascii="Calibri" w:hAnsi="Calibri" w:cs="Calibri"/>
          <w:sz w:val="22"/>
          <w:szCs w:val="22"/>
        </w:rPr>
      </w:pPr>
      <w:r w:rsidRPr="00A20E6C">
        <w:rPr>
          <w:rFonts w:ascii="Calibri" w:hAnsi="Calibri" w:cs="Calibri"/>
          <w:sz w:val="22"/>
          <w:szCs w:val="22"/>
        </w:rPr>
        <w:t>(1) The alien has not been lawfully admitted for permanent residence;</w:t>
      </w:r>
    </w:p>
    <w:p w:rsidRPr="00A20E6C" w:rsidR="009B6585" w:rsidP="009B6585" w:rsidRDefault="009B6585" w14:paraId="79BA1CE0" w14:textId="77777777">
      <w:pPr>
        <w:pStyle w:val="NormalWeb"/>
        <w:rPr>
          <w:rFonts w:ascii="Calibri" w:hAnsi="Calibri" w:cs="Calibri"/>
          <w:sz w:val="22"/>
          <w:szCs w:val="22"/>
        </w:rPr>
      </w:pPr>
      <w:r w:rsidRPr="00A20E6C">
        <w:rPr>
          <w:rFonts w:ascii="Calibri" w:hAnsi="Calibri" w:cs="Calibri"/>
          <w:sz w:val="22"/>
          <w:szCs w:val="22"/>
        </w:rPr>
        <w:t>(2) The alien has not maintained lawful domicile in the United States, as either a lawful permanent resident or a lawful temporary resident pursuant to section 245A or section 210 of the Act, for at least seven consecutive years immediately preceding the filing of the application;</w:t>
      </w:r>
    </w:p>
    <w:p w:rsidRPr="00A20E6C" w:rsidR="009B6585" w:rsidP="009B6585" w:rsidRDefault="009B6585" w14:paraId="73F2BD33" w14:textId="77777777">
      <w:pPr>
        <w:pStyle w:val="NormalWeb"/>
        <w:rPr>
          <w:rFonts w:ascii="Calibri" w:hAnsi="Calibri" w:cs="Calibri"/>
          <w:sz w:val="22"/>
          <w:szCs w:val="22"/>
        </w:rPr>
      </w:pPr>
      <w:r w:rsidRPr="00A20E6C">
        <w:rPr>
          <w:rFonts w:ascii="Calibri" w:hAnsi="Calibri" w:cs="Calibri"/>
          <w:sz w:val="22"/>
          <w:szCs w:val="22"/>
        </w:rPr>
        <w:t>(3) The alien is subject to exclusion from the United States under paragraphs (3)(A), (3)(B), (3)(C), or (3)(E) of section 212(a) of the Act;</w:t>
      </w:r>
    </w:p>
    <w:p w:rsidRPr="00A20E6C" w:rsidR="009B6585" w:rsidP="009B6585" w:rsidRDefault="009B6585" w14:paraId="4251493C" w14:textId="77777777">
      <w:pPr>
        <w:pStyle w:val="NormalWeb"/>
        <w:rPr>
          <w:rFonts w:ascii="Calibri" w:hAnsi="Calibri" w:cs="Calibri"/>
          <w:sz w:val="22"/>
          <w:szCs w:val="22"/>
        </w:rPr>
      </w:pPr>
      <w:r w:rsidRPr="00A20E6C">
        <w:rPr>
          <w:rFonts w:ascii="Calibri" w:hAnsi="Calibri" w:cs="Calibri"/>
          <w:sz w:val="22"/>
          <w:szCs w:val="22"/>
        </w:rPr>
        <w:t>(4) The alien has been convicted of an aggravated felony, as defined by section 101(a)(43) of the Act, and has served a term of imprisonment of at least five years for such conviction; or</w:t>
      </w:r>
    </w:p>
    <w:p w:rsidRPr="00A20E6C" w:rsidR="009B6585" w:rsidP="009B6585" w:rsidRDefault="009B6585" w14:paraId="43735871" w14:textId="77777777">
      <w:pPr>
        <w:pStyle w:val="NormalWeb"/>
        <w:rPr>
          <w:rFonts w:ascii="Calibri" w:hAnsi="Calibri" w:cs="Calibri"/>
          <w:sz w:val="22"/>
          <w:szCs w:val="22"/>
        </w:rPr>
      </w:pPr>
      <w:r w:rsidRPr="00A20E6C">
        <w:rPr>
          <w:rFonts w:ascii="Calibri" w:hAnsi="Calibri" w:cs="Calibri"/>
          <w:sz w:val="22"/>
          <w:szCs w:val="22"/>
        </w:rPr>
        <w:t>(5) The alien applies for relief under section 212(c) within five years of the barring act as enumerated in one or more sections of section 242B(e) (1) through (4) of the Act.</w:t>
      </w:r>
    </w:p>
    <w:p w:rsidRPr="00A20E6C" w:rsidR="009B6585" w:rsidP="009B6585" w:rsidRDefault="009B6585" w14:paraId="3B14B221" w14:textId="77777777">
      <w:pPr>
        <w:pStyle w:val="NormalWeb"/>
        <w:rPr>
          <w:rFonts w:ascii="Calibri" w:hAnsi="Calibri" w:cs="Calibri"/>
          <w:sz w:val="22"/>
          <w:szCs w:val="22"/>
        </w:rPr>
      </w:pPr>
      <w:r w:rsidRPr="00A20E6C">
        <w:rPr>
          <w:rFonts w:ascii="Calibri" w:hAnsi="Calibri" w:cs="Calibri"/>
          <w:sz w:val="22"/>
          <w:szCs w:val="22"/>
        </w:rPr>
        <w:t xml:space="preserve">(g) </w:t>
      </w:r>
      <w:r w:rsidRPr="00A20E6C">
        <w:rPr>
          <w:rFonts w:ascii="Calibri" w:hAnsi="Calibri" w:cs="Calibri"/>
          <w:i/>
          <w:iCs/>
          <w:sz w:val="22"/>
          <w:szCs w:val="22"/>
        </w:rPr>
        <w:t>Relief for certain aliens who were in deportation proceedings before April 24, 1996.</w:t>
      </w:r>
      <w:r w:rsidRPr="00A20E6C">
        <w:rPr>
          <w:rFonts w:ascii="Calibri" w:hAnsi="Calibri" w:cs="Calibri"/>
          <w:sz w:val="22"/>
          <w:szCs w:val="22"/>
        </w:rPr>
        <w:t xml:space="preserve"> Section 440(d) of Antiterrorism and Effective Death Penalty Act of 1996 (AEDPA) shall not apply to any applicant for relief under this section whose deportation proceedings were commenced before the Immigration Court before April 24, 1996.</w:t>
      </w:r>
    </w:p>
    <w:p w:rsidRPr="00A20E6C" w:rsidR="009B6585" w:rsidP="009B6585" w:rsidRDefault="009B6585" w14:paraId="240275FB" w14:textId="77777777">
      <w:pPr>
        <w:pStyle w:val="cita"/>
        <w:rPr>
          <w:rFonts w:ascii="Calibri" w:hAnsi="Calibri" w:cs="Calibri"/>
          <w:sz w:val="22"/>
          <w:szCs w:val="22"/>
        </w:rPr>
      </w:pPr>
      <w:r w:rsidRPr="00A20E6C">
        <w:rPr>
          <w:rFonts w:ascii="Calibri" w:hAnsi="Calibri" w:cs="Calibri"/>
          <w:sz w:val="22"/>
          <w:szCs w:val="22"/>
        </w:rPr>
        <w:t>[56 FR 50034, Oct. 3, 1991, as amended at 60 FR 34090, June 30, 1995; 61 FR 59825, Nov. 25, 1996; 66 FR 6446, Jan. 22, 2001; 74 FR 26938, June 5, 2009; 76 FR 53787, Aug. 29, 2011]</w:t>
      </w:r>
    </w:p>
    <w:p w:rsidRPr="00A20E6C" w:rsidR="00541ACF" w:rsidP="009B6585" w:rsidRDefault="00541ACF" w14:paraId="0D74D76F" w14:textId="77777777">
      <w:pPr>
        <w:rPr>
          <w:rFonts w:ascii="Calibri" w:hAnsi="Calibri" w:cs="Calibri"/>
          <w:sz w:val="22"/>
          <w:szCs w:val="22"/>
        </w:rPr>
      </w:pPr>
    </w:p>
    <w:sectPr w:rsidRPr="00A20E6C" w:rsidR="00541A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9C"/>
    <w:rsid w:val="001F403C"/>
    <w:rsid w:val="0038480A"/>
    <w:rsid w:val="00541ACF"/>
    <w:rsid w:val="00566D5A"/>
    <w:rsid w:val="00775678"/>
    <w:rsid w:val="009B6585"/>
    <w:rsid w:val="009B6D9C"/>
    <w:rsid w:val="00A20E6C"/>
    <w:rsid w:val="00E2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9BC926"/>
  <w15:chartTrackingRefBased/>
  <w15:docId w15:val="{BAF125F1-2339-44E6-8283-13F80F73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E25E56"/>
    <w:rPr>
      <w:color w:val="0000FF"/>
      <w:u w:val="single"/>
    </w:rPr>
  </w:style>
  <w:style w:type="paragraph" w:styleId="NormalWeb">
    <w:name w:val="Normal (Web)"/>
    <w:basedOn w:val="Normal"/>
    <w:uiPriority w:val="99"/>
    <w:unhideWhenUsed/>
    <w:rsid w:val="009B6585"/>
    <w:pPr>
      <w:spacing w:before="100" w:beforeAutospacing="1" w:after="100" w:afterAutospacing="1"/>
      <w:ind w:firstLine="480"/>
    </w:pPr>
  </w:style>
  <w:style w:type="paragraph" w:customStyle="1" w:styleId="cita">
    <w:name w:val="cita"/>
    <w:basedOn w:val="Normal"/>
    <w:rsid w:val="009B6585"/>
    <w:pPr>
      <w:spacing w:before="200"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36396">
      <w:bodyDiv w:val="1"/>
      <w:marLeft w:val="0"/>
      <w:marRight w:val="0"/>
      <w:marTop w:val="30"/>
      <w:marBottom w:val="750"/>
      <w:divBdr>
        <w:top w:val="none" w:sz="0" w:space="0" w:color="auto"/>
        <w:left w:val="none" w:sz="0" w:space="0" w:color="auto"/>
        <w:bottom w:val="none" w:sz="0" w:space="0" w:color="auto"/>
        <w:right w:val="none" w:sz="0" w:space="0" w:color="auto"/>
      </w:divBdr>
      <w:divsChild>
        <w:div w:id="1722089958">
          <w:marLeft w:val="0"/>
          <w:marRight w:val="0"/>
          <w:marTop w:val="0"/>
          <w:marBottom w:val="0"/>
          <w:divBdr>
            <w:top w:val="none" w:sz="0" w:space="0" w:color="auto"/>
            <w:left w:val="none" w:sz="0" w:space="0" w:color="auto"/>
            <w:bottom w:val="none" w:sz="0" w:space="0" w:color="auto"/>
            <w:right w:val="none" w:sz="0" w:space="0" w:color="auto"/>
          </w:divBdr>
        </w:div>
      </w:divsChild>
    </w:div>
    <w:div w:id="1678263489">
      <w:bodyDiv w:val="1"/>
      <w:marLeft w:val="30"/>
      <w:marRight w:val="30"/>
      <w:marTop w:val="30"/>
      <w:marBottom w:val="30"/>
      <w:divBdr>
        <w:top w:val="none" w:sz="0" w:space="0" w:color="auto"/>
        <w:left w:val="none" w:sz="0" w:space="0" w:color="auto"/>
        <w:bottom w:val="none" w:sz="0" w:space="0" w:color="auto"/>
        <w:right w:val="none" w:sz="0" w:space="0" w:color="auto"/>
      </w:divBdr>
      <w:divsChild>
        <w:div w:id="432626540">
          <w:marLeft w:val="0"/>
          <w:marRight w:val="0"/>
          <w:marTop w:val="0"/>
          <w:marBottom w:val="0"/>
          <w:divBdr>
            <w:top w:val="none" w:sz="0" w:space="0" w:color="auto"/>
            <w:left w:val="none" w:sz="0" w:space="0" w:color="auto"/>
            <w:bottom w:val="none" w:sz="0" w:space="0" w:color="auto"/>
            <w:right w:val="none" w:sz="0" w:space="0" w:color="auto"/>
          </w:divBdr>
          <w:divsChild>
            <w:div w:id="1120345951">
              <w:marLeft w:val="45"/>
              <w:marRight w:val="45"/>
              <w:marTop w:val="45"/>
              <w:marBottom w:val="45"/>
              <w:divBdr>
                <w:top w:val="none" w:sz="0" w:space="0" w:color="auto"/>
                <w:left w:val="none" w:sz="0" w:space="0" w:color="auto"/>
                <w:bottom w:val="none" w:sz="0" w:space="0" w:color="auto"/>
                <w:right w:val="none" w:sz="0" w:space="0" w:color="auto"/>
              </w:divBdr>
              <w:divsChild>
                <w:div w:id="1546603767">
                  <w:marLeft w:val="0"/>
                  <w:marRight w:val="0"/>
                  <w:marTop w:val="0"/>
                  <w:marBottom w:val="0"/>
                  <w:divBdr>
                    <w:top w:val="none" w:sz="0" w:space="0" w:color="auto"/>
                    <w:left w:val="none" w:sz="0" w:space="0" w:color="auto"/>
                    <w:bottom w:val="none" w:sz="0" w:space="0" w:color="auto"/>
                    <w:right w:val="none" w:sz="0" w:space="0" w:color="auto"/>
                  </w:divBdr>
                  <w:divsChild>
                    <w:div w:id="1662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onnect.uscis.dhs.gov/workingresources/Source/docView/SLB/HTML/SLB/0-0-0-1/0-0-0-28/0-0-0-6642.html" TargetMode="External"/><Relationship Id="rId3" Type="http://schemas.openxmlformats.org/officeDocument/2006/relationships/webSettings" Target="webSettings.xml"/><Relationship Id="rId7" Type="http://schemas.openxmlformats.org/officeDocument/2006/relationships/hyperlink" Target="http://connect.uscis.dhs.gov/workingresources/Source/docView/SLB/HTML/SLB/0-0-0-1/0-0-0-28/0-0-0-664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nect.uscis.dhs.gov/workingresources/Source/docView/SLB/HTML/SLB/0-0-0-1/0-0-0-28/0-0-0-6642.html" TargetMode="External"/><Relationship Id="rId11" Type="http://schemas.openxmlformats.org/officeDocument/2006/relationships/theme" Target="theme/theme1.xml"/><Relationship Id="rId5" Type="http://schemas.openxmlformats.org/officeDocument/2006/relationships/hyperlink" Target="http://connect.uscis.dhs.gov/workingresources/Source/docView/SLB/HTML/SLB/0-0-0-1/0-0-0-28/0-0-0-6642.html" TargetMode="External"/><Relationship Id="rId10" Type="http://schemas.openxmlformats.org/officeDocument/2006/relationships/fontTable" Target="fontTable.xml"/><Relationship Id="rId4" Type="http://schemas.openxmlformats.org/officeDocument/2006/relationships/hyperlink" Target="http://connect.uscis.dhs.gov/workingresources/Source/docView/SLB/HTML/SLB/0-0-0-1/0-0-0-28/0-0-0-2005/0-0-0-2866.html" TargetMode="External"/><Relationship Id="rId9" Type="http://schemas.openxmlformats.org/officeDocument/2006/relationships/hyperlink" Target="http://connect.uscis.dhs.gov/workingresources/Source/docView/SLB/HTML/SLB/0-0-0-1/0-0-0-28/0-0-0-66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INA: ACT 212 -  GENERAL CLASSES OF ALIENS INELIGIBLE TO RECEIVE VISAS AND INELIGIBLE FOR ADMISSION; WAIVERS OF INADMISSIBILLITY</vt:lpstr>
    </vt:vector>
  </TitlesOfParts>
  <Company>USCIS</Company>
  <LinksUpToDate>false</LinksUpToDate>
  <CharactersWithSpaces>6405</CharactersWithSpaces>
  <SharedDoc>false</SharedDoc>
  <HLinks>
    <vt:vector size="36" baseType="variant">
      <vt:variant>
        <vt:i4>4980762</vt:i4>
      </vt:variant>
      <vt:variant>
        <vt:i4>15</vt:i4>
      </vt:variant>
      <vt:variant>
        <vt:i4>0</vt:i4>
      </vt:variant>
      <vt:variant>
        <vt:i4>5</vt:i4>
      </vt:variant>
      <vt:variant>
        <vt:lpwstr>http://connect.uscis.dhs.gov/workingresources/Source/docView/SLB/HTML/SLB/0-0-0-1/0-0-0-28/0-0-0-6642.html</vt:lpwstr>
      </vt:variant>
      <vt:variant>
        <vt:lpwstr>0-0-0-2721</vt:lpwstr>
      </vt:variant>
      <vt:variant>
        <vt:i4>4980762</vt:i4>
      </vt:variant>
      <vt:variant>
        <vt:i4>12</vt:i4>
      </vt:variant>
      <vt:variant>
        <vt:i4>0</vt:i4>
      </vt:variant>
      <vt:variant>
        <vt:i4>5</vt:i4>
      </vt:variant>
      <vt:variant>
        <vt:lpwstr>http://connect.uscis.dhs.gov/workingresources/Source/docView/SLB/HTML/SLB/0-0-0-1/0-0-0-28/0-0-0-6642.html</vt:lpwstr>
      </vt:variant>
      <vt:variant>
        <vt:lpwstr>0-0-0-2721</vt:lpwstr>
      </vt:variant>
      <vt:variant>
        <vt:i4>4980762</vt:i4>
      </vt:variant>
      <vt:variant>
        <vt:i4>9</vt:i4>
      </vt:variant>
      <vt:variant>
        <vt:i4>0</vt:i4>
      </vt:variant>
      <vt:variant>
        <vt:i4>5</vt:i4>
      </vt:variant>
      <vt:variant>
        <vt:lpwstr>http://connect.uscis.dhs.gov/workingresources/Source/docView/SLB/HTML/SLB/0-0-0-1/0-0-0-28/0-0-0-6642.html</vt:lpwstr>
      </vt:variant>
      <vt:variant>
        <vt:lpwstr>0-0-0-2721</vt:lpwstr>
      </vt:variant>
      <vt:variant>
        <vt:i4>4980762</vt:i4>
      </vt:variant>
      <vt:variant>
        <vt:i4>6</vt:i4>
      </vt:variant>
      <vt:variant>
        <vt:i4>0</vt:i4>
      </vt:variant>
      <vt:variant>
        <vt:i4>5</vt:i4>
      </vt:variant>
      <vt:variant>
        <vt:lpwstr>http://connect.uscis.dhs.gov/workingresources/Source/docView/SLB/HTML/SLB/0-0-0-1/0-0-0-28/0-0-0-6642.html</vt:lpwstr>
      </vt:variant>
      <vt:variant>
        <vt:lpwstr>0-0-0-2721</vt:lpwstr>
      </vt:variant>
      <vt:variant>
        <vt:i4>4980762</vt:i4>
      </vt:variant>
      <vt:variant>
        <vt:i4>3</vt:i4>
      </vt:variant>
      <vt:variant>
        <vt:i4>0</vt:i4>
      </vt:variant>
      <vt:variant>
        <vt:i4>5</vt:i4>
      </vt:variant>
      <vt:variant>
        <vt:lpwstr>http://connect.uscis.dhs.gov/workingresources/Source/docView/SLB/HTML/SLB/0-0-0-1/0-0-0-28/0-0-0-6642.html</vt:lpwstr>
      </vt:variant>
      <vt:variant>
        <vt:lpwstr>0-0-0-2721</vt:lpwstr>
      </vt:variant>
      <vt:variant>
        <vt:i4>8061043</vt:i4>
      </vt:variant>
      <vt:variant>
        <vt:i4>0</vt:i4>
      </vt:variant>
      <vt:variant>
        <vt:i4>0</vt:i4>
      </vt:variant>
      <vt:variant>
        <vt:i4>5</vt:i4>
      </vt:variant>
      <vt:variant>
        <vt:lpwstr>http://connect.uscis.dhs.gov/workingresources/Source/docView/SLB/HTML/SLB/0-0-0-1/0-0-0-28/0-0-0-2005/0-0-0-2866.html</vt:lpwstr>
      </vt:variant>
      <vt:variant>
        <vt:lpwstr>0-0-0-2719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ACT 212 -  GENERAL CLASSES OF ALIENS INELIGIBLE TO RECEIVE VISAS AND INELIGIBLE FOR ADMISSION; WAIVERS OF INADMISSIBILLITY</dc:title>
  <dc:subject/>
  <dc:creator>USCIS</dc:creator>
  <cp:keywords/>
  <dc:description/>
  <cp:lastModifiedBy>Jager, Kerstin A</cp:lastModifiedBy>
  <cp:revision>2</cp:revision>
  <dcterms:created xsi:type="dcterms:W3CDTF">2020-07-28T15:22:00Z</dcterms:created>
  <dcterms:modified xsi:type="dcterms:W3CDTF">2020-07-28T15:22:00Z</dcterms:modified>
</cp:coreProperties>
</file>