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69A7" w:rsidRPr="00CA3E8C" w:rsidP="008B1675" w14:paraId="5C7CF6AE" w14:textId="22D1DF42">
      <w:pPr>
        <w:pStyle w:val="Title"/>
        <w:spacing w:line="276" w:lineRule="auto"/>
        <w:ind w:firstLine="720"/>
        <w:contextualSpacing/>
        <w:jc w:val="right"/>
        <w:rPr>
          <w:color w:val="000000" w:themeColor="text1"/>
          <w:sz w:val="28"/>
          <w:szCs w:val="28"/>
        </w:rPr>
      </w:pPr>
      <w:r>
        <w:rPr>
          <w:color w:val="000000" w:themeColor="text1"/>
          <w:sz w:val="28"/>
          <w:szCs w:val="28"/>
        </w:rPr>
        <w:t xml:space="preserve">November </w:t>
      </w:r>
      <w:r w:rsidR="0007390E">
        <w:rPr>
          <w:color w:val="000000" w:themeColor="text1"/>
          <w:sz w:val="28"/>
          <w:szCs w:val="28"/>
        </w:rPr>
        <w:t>2</w:t>
      </w:r>
      <w:r w:rsidR="003C5871">
        <w:rPr>
          <w:color w:val="000000" w:themeColor="text1"/>
          <w:sz w:val="28"/>
          <w:szCs w:val="28"/>
        </w:rPr>
        <w:t>8</w:t>
      </w:r>
      <w:r w:rsidRPr="00CA3E8C" w:rsidR="0028086D">
        <w:rPr>
          <w:color w:val="000000" w:themeColor="text1"/>
          <w:sz w:val="28"/>
          <w:szCs w:val="28"/>
        </w:rPr>
        <w:t>, 2022</w:t>
      </w:r>
    </w:p>
    <w:p w:rsidR="001A69A7" w:rsidRPr="00CA3E8C" w:rsidP="007B48AE" w14:paraId="41105CE2" w14:textId="77777777">
      <w:pPr>
        <w:pStyle w:val="Title"/>
        <w:spacing w:line="276" w:lineRule="auto"/>
        <w:contextualSpacing/>
        <w:rPr>
          <w:color w:val="000000" w:themeColor="text1"/>
          <w:sz w:val="28"/>
          <w:szCs w:val="28"/>
        </w:rPr>
      </w:pPr>
    </w:p>
    <w:p w:rsidR="000A6018" w:rsidRPr="00CA3E8C" w:rsidP="007B48AE" w14:paraId="2BC8249E" w14:textId="77777777">
      <w:pPr>
        <w:pStyle w:val="Title"/>
        <w:spacing w:line="276" w:lineRule="auto"/>
        <w:contextualSpacing/>
        <w:rPr>
          <w:color w:val="000000" w:themeColor="text1"/>
          <w:szCs w:val="32"/>
        </w:rPr>
      </w:pPr>
      <w:r w:rsidRPr="00CA3E8C">
        <w:rPr>
          <w:color w:val="000000" w:themeColor="text1"/>
          <w:szCs w:val="32"/>
        </w:rPr>
        <w:t xml:space="preserve">Supporting Statement for </w:t>
      </w:r>
    </w:p>
    <w:p w:rsidR="00842E74" w:rsidRPr="00CA3E8C" w:rsidP="007B48AE" w14:paraId="3831850F" w14:textId="77777777">
      <w:pPr>
        <w:pStyle w:val="Title"/>
        <w:spacing w:line="276" w:lineRule="auto"/>
        <w:contextualSpacing/>
        <w:rPr>
          <w:color w:val="000000" w:themeColor="text1"/>
          <w:szCs w:val="32"/>
        </w:rPr>
      </w:pPr>
      <w:r w:rsidRPr="00CA3E8C">
        <w:rPr>
          <w:color w:val="000000" w:themeColor="text1"/>
          <w:szCs w:val="32"/>
        </w:rPr>
        <w:t>Paperwork Reduction Act Submissions</w:t>
      </w:r>
    </w:p>
    <w:p w:rsidR="00842E74" w:rsidRPr="00CA3E8C" w:rsidP="007B48AE" w14:paraId="5ECA6B1C" w14:textId="77777777">
      <w:pPr>
        <w:tabs>
          <w:tab w:val="left" w:pos="-720"/>
        </w:tabs>
        <w:suppressAutoHyphens/>
        <w:spacing w:line="276" w:lineRule="auto"/>
        <w:contextualSpacing/>
        <w:rPr>
          <w:b/>
          <w:color w:val="000000" w:themeColor="text1"/>
          <w:sz w:val="28"/>
          <w:szCs w:val="28"/>
        </w:rPr>
      </w:pPr>
    </w:p>
    <w:p w:rsidR="00842E74" w:rsidRPr="00CA3E8C" w:rsidP="007B48AE" w14:paraId="167C0923" w14:textId="77777777">
      <w:pPr>
        <w:tabs>
          <w:tab w:val="left" w:pos="-720"/>
        </w:tabs>
        <w:suppressAutoHyphens/>
        <w:spacing w:line="276" w:lineRule="auto"/>
        <w:contextualSpacing/>
        <w:rPr>
          <w:b/>
          <w:color w:val="000000" w:themeColor="text1"/>
          <w:sz w:val="28"/>
          <w:szCs w:val="28"/>
        </w:rPr>
      </w:pPr>
      <w:r w:rsidRPr="00CA3E8C">
        <w:rPr>
          <w:b/>
          <w:color w:val="000000" w:themeColor="text1"/>
          <w:sz w:val="28"/>
          <w:szCs w:val="28"/>
        </w:rPr>
        <w:t>OMB Control Number:  1660</w:t>
      </w:r>
      <w:r w:rsidRPr="00CA3E8C" w:rsidR="0046431C">
        <w:rPr>
          <w:b/>
          <w:color w:val="000000" w:themeColor="text1"/>
          <w:sz w:val="28"/>
          <w:szCs w:val="28"/>
        </w:rPr>
        <w:t xml:space="preserve"> </w:t>
      </w:r>
      <w:r w:rsidRPr="00CA3E8C">
        <w:rPr>
          <w:b/>
          <w:color w:val="000000" w:themeColor="text1"/>
          <w:sz w:val="28"/>
          <w:szCs w:val="28"/>
        </w:rPr>
        <w:t>-</w:t>
      </w:r>
      <w:r w:rsidRPr="00CA3E8C" w:rsidR="0046431C">
        <w:rPr>
          <w:b/>
          <w:color w:val="000000" w:themeColor="text1"/>
          <w:sz w:val="28"/>
          <w:szCs w:val="28"/>
        </w:rPr>
        <w:t xml:space="preserve"> </w:t>
      </w:r>
      <w:r w:rsidRPr="00CA3E8C" w:rsidR="00B9413A">
        <w:rPr>
          <w:b/>
          <w:color w:val="000000" w:themeColor="text1"/>
          <w:sz w:val="28"/>
          <w:szCs w:val="28"/>
        </w:rPr>
        <w:t>0023</w:t>
      </w:r>
    </w:p>
    <w:p w:rsidR="00842E74" w:rsidRPr="00CA3E8C" w:rsidP="007B48AE" w14:paraId="2F772FC6" w14:textId="77777777">
      <w:pPr>
        <w:tabs>
          <w:tab w:val="left" w:pos="-720"/>
        </w:tabs>
        <w:suppressAutoHyphens/>
        <w:spacing w:line="276" w:lineRule="auto"/>
        <w:contextualSpacing/>
        <w:rPr>
          <w:b/>
          <w:color w:val="000000" w:themeColor="text1"/>
          <w:sz w:val="28"/>
          <w:szCs w:val="28"/>
        </w:rPr>
      </w:pPr>
    </w:p>
    <w:p w:rsidR="00842E74" w:rsidRPr="00CA3E8C" w:rsidP="007B48AE" w14:paraId="0A709148" w14:textId="503D9C00">
      <w:pPr>
        <w:tabs>
          <w:tab w:val="left" w:pos="-720"/>
        </w:tabs>
        <w:suppressAutoHyphens/>
        <w:spacing w:line="276" w:lineRule="auto"/>
        <w:contextualSpacing/>
        <w:rPr>
          <w:b/>
          <w:color w:val="000000" w:themeColor="text1"/>
          <w:sz w:val="28"/>
          <w:szCs w:val="28"/>
        </w:rPr>
      </w:pPr>
      <w:r w:rsidRPr="00CA3E8C">
        <w:rPr>
          <w:b/>
          <w:color w:val="000000" w:themeColor="text1"/>
          <w:sz w:val="28"/>
          <w:szCs w:val="28"/>
        </w:rPr>
        <w:t xml:space="preserve">Title:  </w:t>
      </w:r>
      <w:r w:rsidRPr="00CA3E8C" w:rsidR="00E306EB">
        <w:rPr>
          <w:b/>
          <w:color w:val="000000" w:themeColor="text1"/>
          <w:sz w:val="28"/>
          <w:szCs w:val="28"/>
        </w:rPr>
        <w:t>Community Assistance Contact</w:t>
      </w:r>
      <w:r w:rsidRPr="00CA3E8C" w:rsidR="00F6726F">
        <w:rPr>
          <w:b/>
          <w:color w:val="000000" w:themeColor="text1"/>
          <w:sz w:val="28"/>
          <w:szCs w:val="28"/>
        </w:rPr>
        <w:t xml:space="preserve"> </w:t>
      </w:r>
      <w:r w:rsidRPr="00CA3E8C" w:rsidR="00E306EB">
        <w:rPr>
          <w:b/>
          <w:color w:val="000000" w:themeColor="text1"/>
          <w:sz w:val="28"/>
          <w:szCs w:val="28"/>
        </w:rPr>
        <w:t>(</w:t>
      </w:r>
      <w:r w:rsidRPr="00CA3E8C" w:rsidR="00F6726F">
        <w:rPr>
          <w:b/>
          <w:color w:val="000000" w:themeColor="text1"/>
          <w:sz w:val="28"/>
          <w:szCs w:val="28"/>
        </w:rPr>
        <w:t>CAC</w:t>
      </w:r>
      <w:r w:rsidRPr="00CA3E8C" w:rsidR="00E306EB">
        <w:rPr>
          <w:b/>
          <w:color w:val="000000" w:themeColor="text1"/>
          <w:sz w:val="28"/>
          <w:szCs w:val="28"/>
        </w:rPr>
        <w:t>)</w:t>
      </w:r>
      <w:r w:rsidRPr="00CA3E8C" w:rsidR="00F6726F">
        <w:rPr>
          <w:b/>
          <w:color w:val="000000" w:themeColor="text1"/>
          <w:sz w:val="28"/>
          <w:szCs w:val="28"/>
        </w:rPr>
        <w:t xml:space="preserve"> and </w:t>
      </w:r>
      <w:r w:rsidRPr="00CA3E8C" w:rsidR="00E306EB">
        <w:rPr>
          <w:b/>
          <w:color w:val="000000" w:themeColor="text1"/>
          <w:sz w:val="28"/>
          <w:szCs w:val="28"/>
        </w:rPr>
        <w:t>Community Assistance Visits (</w:t>
      </w:r>
      <w:r w:rsidRPr="00CA3E8C" w:rsidR="00F6726F">
        <w:rPr>
          <w:b/>
          <w:color w:val="000000" w:themeColor="text1"/>
          <w:sz w:val="28"/>
          <w:szCs w:val="28"/>
        </w:rPr>
        <w:t>CAV</w:t>
      </w:r>
      <w:r w:rsidRPr="00CA3E8C" w:rsidR="00E306EB">
        <w:rPr>
          <w:b/>
          <w:color w:val="000000" w:themeColor="text1"/>
          <w:sz w:val="28"/>
          <w:szCs w:val="28"/>
        </w:rPr>
        <w:t>)</w:t>
      </w:r>
      <w:r w:rsidRPr="00CA3E8C" w:rsidR="00F6726F">
        <w:rPr>
          <w:b/>
          <w:color w:val="000000" w:themeColor="text1"/>
          <w:sz w:val="28"/>
          <w:szCs w:val="28"/>
        </w:rPr>
        <w:t xml:space="preserve"> Reports</w:t>
      </w:r>
    </w:p>
    <w:p w:rsidR="00842E74" w:rsidRPr="00CA3E8C" w:rsidP="007B48AE" w14:paraId="1B821C2C" w14:textId="77777777">
      <w:pPr>
        <w:tabs>
          <w:tab w:val="left" w:pos="-720"/>
        </w:tabs>
        <w:suppressAutoHyphens/>
        <w:spacing w:line="276" w:lineRule="auto"/>
        <w:contextualSpacing/>
        <w:rPr>
          <w:b/>
          <w:color w:val="000000" w:themeColor="text1"/>
          <w:sz w:val="28"/>
          <w:szCs w:val="28"/>
        </w:rPr>
      </w:pPr>
    </w:p>
    <w:p w:rsidR="00E306EB" w:rsidRPr="00CA3E8C" w:rsidP="007B48AE" w14:paraId="370D3CDE" w14:textId="77777777">
      <w:pPr>
        <w:tabs>
          <w:tab w:val="left" w:pos="-720"/>
        </w:tabs>
        <w:suppressAutoHyphens/>
        <w:spacing w:line="276" w:lineRule="auto"/>
        <w:contextualSpacing/>
        <w:rPr>
          <w:b/>
          <w:color w:val="000000" w:themeColor="text1"/>
          <w:sz w:val="28"/>
          <w:szCs w:val="28"/>
        </w:rPr>
      </w:pPr>
      <w:r w:rsidRPr="00CA3E8C">
        <w:rPr>
          <w:b/>
          <w:color w:val="000000" w:themeColor="text1"/>
          <w:sz w:val="28"/>
          <w:szCs w:val="28"/>
        </w:rPr>
        <w:t xml:space="preserve">Form Number(s):  </w:t>
      </w:r>
    </w:p>
    <w:p w:rsidR="00E306EB" w:rsidRPr="007B48AE" w:rsidP="007B48AE" w14:paraId="14B71E16" w14:textId="46869F71">
      <w:pPr>
        <w:pStyle w:val="ListParagraph"/>
        <w:numPr>
          <w:ilvl w:val="0"/>
          <w:numId w:val="16"/>
        </w:numPr>
        <w:tabs>
          <w:tab w:val="left" w:pos="-720"/>
        </w:tabs>
        <w:suppressAutoHyphens/>
        <w:spacing w:line="276" w:lineRule="auto"/>
        <w:rPr>
          <w:b/>
          <w:color w:val="000000" w:themeColor="text1"/>
          <w:sz w:val="26"/>
          <w:szCs w:val="26"/>
        </w:rPr>
      </w:pPr>
      <w:r w:rsidRPr="007B48AE">
        <w:rPr>
          <w:b/>
          <w:color w:val="000000" w:themeColor="text1"/>
          <w:sz w:val="26"/>
          <w:szCs w:val="26"/>
        </w:rPr>
        <w:t xml:space="preserve">FEMA Form </w:t>
      </w:r>
      <w:r w:rsidRPr="007B48AE">
        <w:rPr>
          <w:b/>
          <w:color w:val="000000" w:themeColor="text1"/>
          <w:sz w:val="26"/>
          <w:szCs w:val="26"/>
        </w:rPr>
        <w:t xml:space="preserve">FF-206-FY-21-141 (formerly </w:t>
      </w:r>
      <w:r w:rsidRPr="007B48AE" w:rsidR="00B9413A">
        <w:rPr>
          <w:b/>
          <w:color w:val="000000" w:themeColor="text1"/>
          <w:sz w:val="26"/>
          <w:szCs w:val="26"/>
        </w:rPr>
        <w:t>086-0-28</w:t>
      </w:r>
      <w:r w:rsidRPr="007B48AE" w:rsidR="00C7288F">
        <w:rPr>
          <w:b/>
          <w:color w:val="000000" w:themeColor="text1"/>
          <w:sz w:val="26"/>
          <w:szCs w:val="26"/>
        </w:rPr>
        <w:t>(E)</w:t>
      </w:r>
      <w:r w:rsidRPr="007B48AE">
        <w:rPr>
          <w:b/>
          <w:color w:val="000000" w:themeColor="text1"/>
          <w:sz w:val="26"/>
          <w:szCs w:val="26"/>
        </w:rPr>
        <w:t>), Community Assistance Visit (CAV) Report</w:t>
      </w:r>
      <w:r w:rsidRPr="007B48AE" w:rsidR="00B42378">
        <w:rPr>
          <w:b/>
          <w:color w:val="000000" w:themeColor="text1"/>
          <w:sz w:val="26"/>
          <w:szCs w:val="26"/>
        </w:rPr>
        <w:t xml:space="preserve">; </w:t>
      </w:r>
      <w:r w:rsidRPr="007B48AE">
        <w:rPr>
          <w:b/>
          <w:color w:val="000000" w:themeColor="text1"/>
          <w:sz w:val="26"/>
          <w:szCs w:val="26"/>
        </w:rPr>
        <w:t>and</w:t>
      </w:r>
    </w:p>
    <w:p w:rsidR="00842E74" w:rsidRPr="007B48AE" w:rsidP="007B48AE" w14:paraId="697F937B" w14:textId="3B608D80">
      <w:pPr>
        <w:pStyle w:val="ListParagraph"/>
        <w:numPr>
          <w:ilvl w:val="0"/>
          <w:numId w:val="16"/>
        </w:numPr>
        <w:tabs>
          <w:tab w:val="left" w:pos="-720"/>
        </w:tabs>
        <w:suppressAutoHyphens/>
        <w:spacing w:line="276" w:lineRule="auto"/>
        <w:rPr>
          <w:color w:val="000000" w:themeColor="text1"/>
          <w:sz w:val="26"/>
          <w:szCs w:val="26"/>
        </w:rPr>
      </w:pPr>
      <w:r w:rsidRPr="007B48AE">
        <w:rPr>
          <w:b/>
          <w:color w:val="000000" w:themeColor="text1"/>
          <w:sz w:val="26"/>
          <w:szCs w:val="26"/>
        </w:rPr>
        <w:t>FEMA Form</w:t>
      </w:r>
      <w:r w:rsidRPr="007B48AE" w:rsidR="00F84096">
        <w:rPr>
          <w:b/>
          <w:color w:val="000000" w:themeColor="text1"/>
          <w:sz w:val="26"/>
          <w:szCs w:val="26"/>
        </w:rPr>
        <w:t xml:space="preserve"> </w:t>
      </w:r>
      <w:r w:rsidRPr="007B48AE" w:rsidR="00E306EB">
        <w:rPr>
          <w:b/>
          <w:color w:val="000000" w:themeColor="text1"/>
          <w:sz w:val="26"/>
          <w:szCs w:val="26"/>
        </w:rPr>
        <w:t xml:space="preserve">FF-206-FY-21-142 (formerly </w:t>
      </w:r>
      <w:r w:rsidRPr="007B48AE" w:rsidR="00B9413A">
        <w:rPr>
          <w:b/>
          <w:color w:val="000000" w:themeColor="text1"/>
          <w:sz w:val="26"/>
          <w:szCs w:val="26"/>
        </w:rPr>
        <w:t>086-0-29</w:t>
      </w:r>
      <w:r w:rsidRPr="007B48AE" w:rsidR="00C7288F">
        <w:rPr>
          <w:b/>
          <w:color w:val="000000" w:themeColor="text1"/>
          <w:sz w:val="26"/>
          <w:szCs w:val="26"/>
        </w:rPr>
        <w:t>(E)</w:t>
      </w:r>
      <w:r w:rsidRPr="007B48AE" w:rsidR="00E306EB">
        <w:rPr>
          <w:b/>
          <w:color w:val="000000" w:themeColor="text1"/>
          <w:sz w:val="26"/>
          <w:szCs w:val="26"/>
        </w:rPr>
        <w:t>), Community Assistance Contact (CAC) Report.</w:t>
      </w:r>
    </w:p>
    <w:p w:rsidR="00842E74" w:rsidRPr="00CA3E8C" w:rsidP="007B48AE" w14:paraId="5E49CB2B" w14:textId="77777777">
      <w:pPr>
        <w:tabs>
          <w:tab w:val="left" w:pos="-720"/>
        </w:tabs>
        <w:suppressAutoHyphens/>
        <w:spacing w:line="276" w:lineRule="auto"/>
        <w:contextualSpacing/>
        <w:rPr>
          <w:color w:val="000000" w:themeColor="text1"/>
        </w:rPr>
      </w:pPr>
    </w:p>
    <w:p w:rsidR="00842E74" w:rsidRPr="007B48AE" w:rsidP="007B48AE" w14:paraId="500429A1" w14:textId="26FD4095">
      <w:pPr>
        <w:pStyle w:val="Heading1"/>
        <w:tabs>
          <w:tab w:val="left" w:pos="3204"/>
        </w:tabs>
        <w:spacing w:line="276" w:lineRule="auto"/>
        <w:contextualSpacing/>
        <w:rPr>
          <w:szCs w:val="28"/>
        </w:rPr>
      </w:pPr>
      <w:r w:rsidRPr="007B48AE">
        <w:rPr>
          <w:szCs w:val="28"/>
        </w:rPr>
        <w:t>General Instructions</w:t>
      </w:r>
      <w:r w:rsidRPr="007B48AE" w:rsidR="00CA5BB5">
        <w:rPr>
          <w:szCs w:val="28"/>
        </w:rPr>
        <w:tab/>
        <w:t xml:space="preserve"> </w:t>
      </w:r>
    </w:p>
    <w:p w:rsidR="00842E74" w:rsidRPr="008B72DE" w:rsidP="007B48AE" w14:paraId="4ABDECBD" w14:textId="77777777">
      <w:pPr>
        <w:tabs>
          <w:tab w:val="left" w:pos="-720"/>
        </w:tabs>
        <w:suppressAutoHyphens/>
        <w:spacing w:line="276" w:lineRule="auto"/>
        <w:contextualSpacing/>
      </w:pPr>
    </w:p>
    <w:p w:rsidR="00842E74" w:rsidRPr="00CA3E8C" w:rsidP="007B48AE" w14:paraId="732FF409" w14:textId="3E272F70">
      <w:pPr>
        <w:tabs>
          <w:tab w:val="left" w:pos="-720"/>
        </w:tabs>
        <w:suppressAutoHyphens/>
        <w:spacing w:line="276" w:lineRule="auto"/>
        <w:contextualSpacing/>
      </w:pPr>
      <w:r w:rsidRPr="00CA3E8C">
        <w:t>A Supporting Statement, including the text of the notice to the public required by 5 CFR 1320.5(a)(</w:t>
      </w:r>
      <w:r w:rsidR="00E65A0F">
        <w:t>1</w:t>
      </w:r>
      <w:r w:rsidRPr="008B72DE">
        <w:t>)(iv) and its actual or estimated date of publication in the Federal Register, must accompany each request for approval of a collection of information.  The Supporting Statement must be prepared in the format described below, and must contain the informati</w:t>
      </w:r>
      <w:r w:rsidRPr="00CA3E8C">
        <w:t>on specified in Section A below.  If an item is not applicable</w:t>
      </w:r>
      <w:r w:rsidRPr="00CA3E8C" w:rsidR="00327DDB">
        <w:t xml:space="preserve">, provide a brief explanation. </w:t>
      </w:r>
      <w:r w:rsidRPr="00CA3E8C" w:rsidR="0000174D">
        <w:t xml:space="preserve"> </w:t>
      </w:r>
      <w:r w:rsidRPr="00CA3E8C">
        <w:t>When Item 17 or the OMB Form 83-I is checked “Yes”, Section B of the Supporting Statement must be completed.  OMB reserves the right to require the submission of additional information with respect to any request for approval.</w:t>
      </w:r>
    </w:p>
    <w:p w:rsidR="00842E74" w:rsidRPr="00CA3E8C" w:rsidP="007B48AE" w14:paraId="11B1F442" w14:textId="77777777">
      <w:pPr>
        <w:tabs>
          <w:tab w:val="left" w:pos="-720"/>
        </w:tabs>
        <w:suppressAutoHyphens/>
        <w:spacing w:line="276" w:lineRule="auto"/>
        <w:contextualSpacing/>
      </w:pPr>
    </w:p>
    <w:p w:rsidR="00842E74" w:rsidRPr="00CA3E8C" w:rsidP="007B48AE" w14:paraId="72F44C88" w14:textId="77777777">
      <w:pPr>
        <w:pStyle w:val="Heading1"/>
        <w:spacing w:line="276" w:lineRule="auto"/>
        <w:contextualSpacing/>
        <w:rPr>
          <w:szCs w:val="28"/>
        </w:rPr>
      </w:pPr>
      <w:r w:rsidRPr="00CA3E8C">
        <w:rPr>
          <w:szCs w:val="28"/>
        </w:rPr>
        <w:t>Specific Instructions</w:t>
      </w:r>
    </w:p>
    <w:p w:rsidR="00842E74" w:rsidRPr="00CA3E8C" w:rsidP="007B48AE" w14:paraId="21290554" w14:textId="77777777">
      <w:pPr>
        <w:tabs>
          <w:tab w:val="left" w:pos="-720"/>
        </w:tabs>
        <w:suppressAutoHyphens/>
        <w:spacing w:line="276" w:lineRule="auto"/>
        <w:contextualSpacing/>
        <w:rPr>
          <w:sz w:val="28"/>
          <w:szCs w:val="28"/>
        </w:rPr>
      </w:pPr>
    </w:p>
    <w:p w:rsidR="00842E74" w:rsidRPr="00CA3E8C" w:rsidP="007B48AE" w14:paraId="3DBE2E2C" w14:textId="77777777">
      <w:pPr>
        <w:pStyle w:val="Heading1"/>
        <w:spacing w:line="276" w:lineRule="auto"/>
        <w:contextualSpacing/>
        <w:rPr>
          <w:szCs w:val="28"/>
        </w:rPr>
      </w:pPr>
      <w:r w:rsidRPr="005A0904">
        <w:rPr>
          <w:szCs w:val="28"/>
        </w:rPr>
        <w:t>A.  Justification</w:t>
      </w:r>
    </w:p>
    <w:p w:rsidR="00842E74" w:rsidRPr="007B48AE" w:rsidP="007B48AE" w14:paraId="43FE32D7" w14:textId="77777777">
      <w:pPr>
        <w:spacing w:line="276" w:lineRule="auto"/>
        <w:contextualSpacing/>
      </w:pPr>
    </w:p>
    <w:p w:rsidR="00232C69" w:rsidRPr="007B48AE" w:rsidP="007B48AE" w14:paraId="09F12851" w14:textId="77777777">
      <w:pPr>
        <w:numPr>
          <w:ilvl w:val="0"/>
          <w:numId w:val="10"/>
        </w:numPr>
        <w:spacing w:line="276" w:lineRule="auto"/>
        <w:contextualSpacing/>
        <w:rPr>
          <w:b/>
          <w:bCs/>
        </w:rPr>
      </w:pPr>
      <w:r w:rsidRPr="007B48AE">
        <w:rPr>
          <w:b/>
          <w:bCs/>
        </w:rPr>
        <w:fldChar w:fldCharType="begin"/>
      </w:r>
      <w:r w:rsidRPr="007B48AE" w:rsidR="00842E74">
        <w:rPr>
          <w:b/>
          <w:bCs/>
        </w:rPr>
        <w:instrText>ADVANCE \R 0.95</w:instrText>
      </w:r>
      <w:r w:rsidRPr="007B48AE">
        <w:rPr>
          <w:b/>
          <w:bCs/>
        </w:rPr>
        <w:fldChar w:fldCharType="end"/>
      </w:r>
      <w:r w:rsidRPr="007B48AE" w:rsidR="00842E74">
        <w:rPr>
          <w:b/>
          <w:bCs/>
        </w:rPr>
        <w:t xml:space="preserve">Explain the circumstances that make the collection of information necessary. </w:t>
      </w:r>
    </w:p>
    <w:p w:rsidR="00842E74" w:rsidRPr="007B48AE" w:rsidP="007B48AE" w14:paraId="03A46679" w14:textId="77777777">
      <w:pPr>
        <w:spacing w:line="276" w:lineRule="auto"/>
        <w:contextualSpacing/>
        <w:rPr>
          <w:b/>
          <w:bCs/>
        </w:rPr>
      </w:pPr>
      <w:r w:rsidRPr="007B48AE">
        <w:rPr>
          <w:b/>
          <w:bCs/>
        </w:rPr>
        <w:t>Identify any legal</w:t>
      </w:r>
      <w:r w:rsidRPr="007B48AE" w:rsidR="006A4787">
        <w:rPr>
          <w:b/>
          <w:bCs/>
        </w:rPr>
        <w:t xml:space="preserve"> </w:t>
      </w:r>
      <w:r w:rsidRPr="007B48AE">
        <w:rPr>
          <w:b/>
          <w:bCs/>
        </w:rPr>
        <w:t xml:space="preserve">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842E74" w:rsidRPr="007B48AE" w:rsidP="007B48AE" w14:paraId="54FBE887" w14:textId="77777777">
      <w:pPr>
        <w:spacing w:line="276" w:lineRule="auto"/>
        <w:contextualSpacing/>
        <w:rPr>
          <w:spacing w:val="-3"/>
          <w:u w:val="single"/>
        </w:rPr>
      </w:pPr>
    </w:p>
    <w:p w:rsidR="00B9413A" w:rsidRPr="007B48AE" w:rsidP="007B48AE" w14:paraId="5F146233" w14:textId="3D79C25C">
      <w:pPr>
        <w:spacing w:line="276" w:lineRule="auto"/>
        <w:contextualSpacing/>
        <w:rPr>
          <w:color w:val="000000" w:themeColor="text1"/>
        </w:rPr>
      </w:pPr>
      <w:r>
        <w:t>T</w:t>
      </w:r>
      <w:r w:rsidR="013B2F86">
        <w:t xml:space="preserve">he National Flood Insurance Program (NFIP), codified as 42 U.S.C. 4001, </w:t>
      </w:r>
      <w:r w:rsidRPr="6DDBB771" w:rsidR="013B2F86">
        <w:rPr>
          <w:i/>
          <w:iCs/>
        </w:rPr>
        <w:t>et se</w:t>
      </w:r>
      <w:r w:rsidRPr="6DDBB771" w:rsidR="6C1B82F9">
        <w:rPr>
          <w:i/>
          <w:iCs/>
        </w:rPr>
        <w:t>q</w:t>
      </w:r>
      <w:r w:rsidR="013B2F86">
        <w:t>., is authorized by Public Law 90-448</w:t>
      </w:r>
      <w:r w:rsidR="314B8E10">
        <w:t xml:space="preserve"> </w:t>
      </w:r>
      <w:r w:rsidR="013B2F86">
        <w:t>(1968) and expanded by Public Law 93-234 (1973)</w:t>
      </w:r>
      <w:r>
        <w:t>.  The Department of Homeland Security’s Federal Emergency Management Agency (FEMA) administers the NFIP, and a major objective of the NFIP is to assure that participating communities are achieving the flood loss reduction objectives</w:t>
      </w:r>
      <w:r w:rsidR="451E910E">
        <w:t xml:space="preserve"> through implementation and enforcement of adequate land use and control measures</w:t>
      </w:r>
      <w:r>
        <w:t xml:space="preserve">. </w:t>
      </w:r>
      <w:r w:rsidR="3DED0A30">
        <w:t xml:space="preserve"> </w:t>
      </w:r>
      <w:r w:rsidR="451E910E">
        <w:t xml:space="preserve">Sections 1315 and 1361 provide the basis for </w:t>
      </w:r>
      <w:r>
        <w:t>FE</w:t>
      </w:r>
      <w:r w:rsidR="451E910E">
        <w:t xml:space="preserve">MA’s </w:t>
      </w:r>
      <w:r w:rsidR="013B2F86">
        <w:t>process to evaluate how well communities are implementing their f</w:t>
      </w:r>
      <w:r w:rsidR="459EEA46">
        <w:t>loodplain management programs</w:t>
      </w:r>
      <w:r w:rsidR="770B5841">
        <w:t xml:space="preserve">.  </w:t>
      </w:r>
      <w:r w:rsidR="73C02DB7">
        <w:t xml:space="preserve">44 CFR </w:t>
      </w:r>
      <w:r w:rsidR="770B5841">
        <w:t xml:space="preserve">59.22 directs the respondent to submit evidence of the corrective and preventive measures taken to meet </w:t>
      </w:r>
      <w:r w:rsidRPr="6DDBB771" w:rsidR="770B5841">
        <w:rPr>
          <w:color w:val="000000" w:themeColor="text1"/>
        </w:rPr>
        <w:t>the flood loss reduction objectives</w:t>
      </w:r>
      <w:r w:rsidRPr="6DDBB771" w:rsidR="459EEA46">
        <w:rPr>
          <w:color w:val="000000" w:themeColor="text1"/>
        </w:rPr>
        <w:t>.</w:t>
      </w:r>
    </w:p>
    <w:p w:rsidR="00235349" w:rsidRPr="007B48AE" w:rsidP="007B48AE" w14:paraId="2C083298" w14:textId="77777777">
      <w:pPr>
        <w:spacing w:line="276" w:lineRule="auto"/>
        <w:contextualSpacing/>
        <w:rPr>
          <w:color w:val="000000" w:themeColor="text1"/>
        </w:rPr>
      </w:pPr>
    </w:p>
    <w:p w:rsidR="00235349" w:rsidRPr="007B48AE" w:rsidP="007B48AE" w14:paraId="5189B28E" w14:textId="77777777">
      <w:pPr>
        <w:spacing w:line="276" w:lineRule="auto"/>
        <w:contextualSpacing/>
      </w:pPr>
      <w:r w:rsidRPr="007B48AE">
        <w:rPr>
          <w:color w:val="000000" w:themeColor="text1"/>
        </w:rPr>
        <w:t xml:space="preserve">The two key methods FEMA uses in determining community assistance needs are through the </w:t>
      </w:r>
      <w:r w:rsidRPr="007B48AE">
        <w:t>Community Assistance Contact (CAC) and Community Assistance Visit (CAV), which serve to provide a systematic means of monitoring community NFIP compliance.  Through the CAC and CAV, FEMA can also determine to what extent communities are achieving the flood loss reduction objectives of the NFIP.  By providing assistance to communities, the CAC and CAV also serve to enhance FEMA’s goals of reducing future flood losses, thereby achieving the cost-containment objective of the NFIP.</w:t>
      </w:r>
    </w:p>
    <w:p w:rsidR="00B9413A" w:rsidRPr="007B48AE" w:rsidP="007B48AE" w14:paraId="2A93DA6A" w14:textId="77777777">
      <w:pPr>
        <w:spacing w:line="276" w:lineRule="auto"/>
        <w:contextualSpacing/>
        <w:rPr>
          <w:spacing w:val="-3"/>
          <w:u w:val="single"/>
        </w:rPr>
      </w:pPr>
    </w:p>
    <w:p w:rsidR="00842E74" w:rsidRPr="007B48AE" w:rsidP="007B48AE" w14:paraId="052ECC69" w14:textId="77777777">
      <w:pPr>
        <w:spacing w:line="276" w:lineRule="auto"/>
        <w:contextualSpacing/>
        <w:rPr>
          <w:b/>
          <w:bCs/>
          <w:spacing w:val="-3"/>
        </w:rPr>
      </w:pPr>
      <w:r w:rsidRPr="007B48AE">
        <w:rPr>
          <w:b/>
          <w:bCs/>
        </w:rPr>
        <w:fldChar w:fldCharType="begin"/>
      </w:r>
      <w:r w:rsidRPr="007B48AE">
        <w:rPr>
          <w:b/>
          <w:bCs/>
        </w:rPr>
        <w:instrText>ADVANCE \R 0.95</w:instrText>
      </w:r>
      <w:r w:rsidRPr="007B48AE">
        <w:rPr>
          <w:b/>
          <w:bCs/>
        </w:rPr>
        <w:fldChar w:fldCharType="end"/>
      </w:r>
      <w:r w:rsidRPr="007B48AE">
        <w:rPr>
          <w:b/>
          <w:bCs/>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rsidR="00842E74" w:rsidRPr="007B48AE" w:rsidP="007B48AE" w14:paraId="6F647896" w14:textId="77777777">
      <w:pPr>
        <w:spacing w:line="276" w:lineRule="auto"/>
        <w:contextualSpacing/>
      </w:pPr>
    </w:p>
    <w:p w:rsidR="00235349" w:rsidRPr="007B48AE" w:rsidP="007B48AE" w14:paraId="7C730547" w14:textId="3BECDDF8">
      <w:pPr>
        <w:spacing w:line="276" w:lineRule="auto"/>
        <w:contextualSpacing/>
      </w:pPr>
      <w:r w:rsidRPr="007B48AE">
        <w:rPr>
          <w:b/>
        </w:rPr>
        <w:t xml:space="preserve">FEMA Form FF-206-FY-21-141 (formerly 086-0-28(E), </w:t>
      </w:r>
      <w:r w:rsidRPr="007B48AE">
        <w:rPr>
          <w:b/>
        </w:rPr>
        <w:t xml:space="preserve">Community </w:t>
      </w:r>
      <w:r w:rsidRPr="007B48AE" w:rsidR="0007118F">
        <w:rPr>
          <w:b/>
        </w:rPr>
        <w:t xml:space="preserve">Assistance </w:t>
      </w:r>
      <w:r w:rsidRPr="007B48AE">
        <w:rPr>
          <w:b/>
        </w:rPr>
        <w:t>Visit Report</w:t>
      </w:r>
      <w:r w:rsidRPr="007B48AE">
        <w:t xml:space="preserve"> is a </w:t>
      </w:r>
      <w:r w:rsidRPr="007B48AE" w:rsidR="00D447C4">
        <w:t>report based on a CAV which is recorded in the Community Information System (CIS)</w:t>
      </w:r>
      <w:r w:rsidRPr="007B48AE" w:rsidR="00C4319D">
        <w:t xml:space="preserve">. </w:t>
      </w:r>
      <w:r w:rsidRPr="007B48AE">
        <w:t xml:space="preserve"> </w:t>
      </w:r>
      <w:r w:rsidRPr="007B48AE" w:rsidR="00C4319D">
        <w:t>CIS</w:t>
      </w:r>
      <w:r w:rsidRPr="007B48AE" w:rsidR="00166713">
        <w:t xml:space="preserve"> is an online </w:t>
      </w:r>
      <w:r w:rsidRPr="007B48AE" w:rsidR="00D447C4">
        <w:t>database</w:t>
      </w:r>
      <w:r w:rsidRPr="007B48AE" w:rsidR="00166713">
        <w:t xml:space="preserve"> </w:t>
      </w:r>
      <w:r w:rsidRPr="007B48AE" w:rsidR="00C4319D">
        <w:t>and the official system of record</w:t>
      </w:r>
      <w:r w:rsidRPr="007B48AE" w:rsidR="006C5C3B">
        <w:t xml:space="preserve"> for many NFIP activities</w:t>
      </w:r>
      <w:r w:rsidRPr="007B48AE" w:rsidR="00166713">
        <w:t xml:space="preserve">. </w:t>
      </w:r>
      <w:r w:rsidRPr="007B48AE">
        <w:t xml:space="preserve"> </w:t>
      </w:r>
      <w:r w:rsidRPr="007B48AE" w:rsidR="006C5C3B">
        <w:t xml:space="preserve">A CAV is a </w:t>
      </w:r>
      <w:r w:rsidRPr="007B48AE">
        <w:t>scheduled visit to a NFIP community for the purposes of conducting a comprehensive assessment of the community’s floodplain management program, to assist the community in understanding the NFIP and its requirements, and implementing effective flood loss r</w:t>
      </w:r>
      <w:r w:rsidRPr="007B48AE" w:rsidR="009F3EE4">
        <w:t xml:space="preserve">eduction measures.  The </w:t>
      </w:r>
      <w:r w:rsidRPr="007B48AE">
        <w:t>CAV</w:t>
      </w:r>
      <w:r w:rsidRPr="007B48AE" w:rsidR="009F3EE4">
        <w:t xml:space="preserve"> Report provides a simplified method to notate what, if any, problems exist with a community’s floodplain management process, what actions the community might need to undertake to correct the problem(s), and how FEMA can possibly assist in any corrective action</w:t>
      </w:r>
      <w:r w:rsidRPr="007B48AE" w:rsidR="009F002E">
        <w:t>.</w:t>
      </w:r>
    </w:p>
    <w:p w:rsidR="00235349" w:rsidRPr="007B48AE" w:rsidP="007B48AE" w14:paraId="639E7F7C" w14:textId="77777777">
      <w:pPr>
        <w:spacing w:line="276" w:lineRule="auto"/>
        <w:contextualSpacing/>
      </w:pPr>
    </w:p>
    <w:p w:rsidR="00235349" w:rsidRPr="007B48AE" w:rsidP="007B48AE" w14:paraId="528D9A47" w14:textId="67A00544">
      <w:pPr>
        <w:spacing w:line="276" w:lineRule="auto"/>
        <w:contextualSpacing/>
      </w:pPr>
      <w:r w:rsidRPr="007B48AE">
        <w:rPr>
          <w:b/>
        </w:rPr>
        <w:t xml:space="preserve">FEMA Form FF-206-FY-21-142 (formerly 086-0-29(E)), </w:t>
      </w:r>
      <w:r w:rsidRPr="007B48AE">
        <w:rPr>
          <w:b/>
        </w:rPr>
        <w:t xml:space="preserve">Community </w:t>
      </w:r>
      <w:r w:rsidRPr="007B48AE" w:rsidR="0007118F">
        <w:rPr>
          <w:b/>
        </w:rPr>
        <w:t xml:space="preserve">Assistance </w:t>
      </w:r>
      <w:r w:rsidRPr="007B48AE">
        <w:rPr>
          <w:b/>
        </w:rPr>
        <w:t>Contact Report</w:t>
      </w:r>
      <w:r w:rsidRPr="007B48AE">
        <w:t xml:space="preserve"> </w:t>
      </w:r>
      <w:r w:rsidRPr="007B48AE" w:rsidR="009F3EE4">
        <w:t xml:space="preserve">is a </w:t>
      </w:r>
      <w:r w:rsidRPr="007B48AE" w:rsidR="001D56BB">
        <w:t xml:space="preserve">report based on a CAC which is recorded in CIS. A CAC is </w:t>
      </w:r>
      <w:r w:rsidRPr="007B48AE" w:rsidR="00B71ECE">
        <w:t xml:space="preserve">a </w:t>
      </w:r>
      <w:r w:rsidRPr="007B48AE" w:rsidR="009F3EE4">
        <w:t xml:space="preserve">brief </w:t>
      </w:r>
      <w:r w:rsidRPr="007B48AE" w:rsidR="008B4776">
        <w:t xml:space="preserve">call or </w:t>
      </w:r>
      <w:r w:rsidRPr="007B48AE" w:rsidR="009F3EE4">
        <w:t xml:space="preserve">visit with a NFIP community for the purpose of establishing or reestablishing </w:t>
      </w:r>
      <w:r w:rsidRPr="007B48AE" w:rsidR="009F3EE4">
        <w:t xml:space="preserve">contact to determine if program-related problems exist and to offer assistance.  </w:t>
      </w:r>
      <w:r w:rsidRPr="007B48AE" w:rsidR="003C6333">
        <w:t xml:space="preserve">The </w:t>
      </w:r>
      <w:r w:rsidRPr="007B48AE">
        <w:t>CAC</w:t>
      </w:r>
      <w:r w:rsidRPr="007B48AE" w:rsidR="003C6333">
        <w:t xml:space="preserve"> Report provides the actions that the community will take, if required, to resolve any minor issues with their floodplain management processes, and the report also will determine if a full </w:t>
      </w:r>
      <w:r w:rsidRPr="007B48AE" w:rsidR="007C32FA">
        <w:t>CAV</w:t>
      </w:r>
      <w:r w:rsidRPr="007B48AE" w:rsidR="003C6333">
        <w:t xml:space="preserve"> is required.</w:t>
      </w:r>
      <w:r w:rsidRPr="007B48AE" w:rsidR="00CC6286">
        <w:t xml:space="preserve">  </w:t>
      </w:r>
    </w:p>
    <w:p w:rsidR="00CC6286" w:rsidRPr="007B48AE" w:rsidP="007B48AE" w14:paraId="1D6474A8" w14:textId="77777777">
      <w:pPr>
        <w:spacing w:line="276" w:lineRule="auto"/>
        <w:contextualSpacing/>
      </w:pPr>
    </w:p>
    <w:p w:rsidR="00CC6286" w:rsidRPr="007B48AE" w:rsidP="007B48AE" w14:paraId="31DC02DC" w14:textId="26244FEB">
      <w:pPr>
        <w:spacing w:line="276" w:lineRule="auto"/>
        <w:contextualSpacing/>
      </w:pPr>
      <w:r w:rsidRPr="007B48AE">
        <w:t xml:space="preserve">FEMA shares the information with the State partners, who collect the information for FEMA under an annual cooperative agreement.  </w:t>
      </w:r>
    </w:p>
    <w:p w:rsidR="002026B2" w:rsidRPr="007B48AE" w:rsidP="007B48AE" w14:paraId="5A1AB9B8" w14:textId="4E53AF65">
      <w:pPr>
        <w:spacing w:line="276" w:lineRule="auto"/>
        <w:contextualSpacing/>
      </w:pPr>
    </w:p>
    <w:p w:rsidR="002026B2" w:rsidRPr="007B48AE" w:rsidP="007B48AE" w14:paraId="74C36444" w14:textId="11A5D9A7">
      <w:pPr>
        <w:spacing w:line="276" w:lineRule="auto"/>
        <w:contextualSpacing/>
        <w:rPr>
          <w:color w:val="000000" w:themeColor="text1"/>
        </w:rPr>
      </w:pPr>
      <w:r w:rsidRPr="007B48AE">
        <w:t xml:space="preserve">The Floodplain Management Division at FEMA Headquarters is currently undergoing a redesign of NFIP compliance, including CACs and CAVs. Many changes are proposed, including doing away with the terms CAC and CAV and introducing the terms Diagnostic Evaluation and Full Evaluation in their place. </w:t>
      </w:r>
      <w:r w:rsidRPr="007B48AE" w:rsidR="00E306EB">
        <w:t xml:space="preserve"> </w:t>
      </w:r>
      <w:r w:rsidRPr="007B48AE">
        <w:t xml:space="preserve">The auditor will ask a predetermined set of questions and the answers will be recorded in a spreadsheet and uploaded into what is currently called the CAV Report and CAC Report in CIS. </w:t>
      </w:r>
      <w:r w:rsidRPr="007B48AE" w:rsidR="00E306EB">
        <w:t xml:space="preserve"> </w:t>
      </w:r>
      <w:r w:rsidRPr="007B48AE">
        <w:t xml:space="preserve">This redesign is not expected to be finalized and in use until after </w:t>
      </w:r>
      <w:r w:rsidRPr="007B48AE" w:rsidR="00AA3320">
        <w:t>this collection’s current expiration date</w:t>
      </w:r>
      <w:r w:rsidRPr="007B48AE">
        <w:t>.</w:t>
      </w:r>
    </w:p>
    <w:p w:rsidR="00235349" w:rsidRPr="007B48AE" w:rsidP="007B48AE" w14:paraId="606683BE" w14:textId="77777777">
      <w:pPr>
        <w:spacing w:line="276" w:lineRule="auto"/>
        <w:contextualSpacing/>
        <w:rPr>
          <w:color w:val="000000" w:themeColor="text1"/>
        </w:rPr>
      </w:pPr>
    </w:p>
    <w:p w:rsidR="00842E74" w:rsidRPr="007B48AE" w:rsidP="007B48AE" w14:paraId="57D8F759" w14:textId="77777777">
      <w:pPr>
        <w:spacing w:line="276" w:lineRule="auto"/>
        <w:contextualSpacing/>
        <w:rPr>
          <w:b/>
          <w:bCs/>
        </w:rPr>
      </w:pPr>
      <w:r w:rsidRPr="007B48AE">
        <w:rPr>
          <w:b/>
          <w:bCs/>
          <w:color w:val="000000" w:themeColor="text1"/>
        </w:rPr>
        <w:fldChar w:fldCharType="begin"/>
      </w:r>
      <w:r w:rsidRPr="007B48AE">
        <w:rPr>
          <w:b/>
          <w:bCs/>
          <w:color w:val="000000" w:themeColor="text1"/>
        </w:rPr>
        <w:instrText>ADVANCE \R 0.95</w:instrText>
      </w:r>
      <w:r w:rsidRPr="007B48AE">
        <w:rPr>
          <w:b/>
          <w:bCs/>
          <w:color w:val="000000" w:themeColor="text1"/>
        </w:rPr>
        <w:fldChar w:fldCharType="end"/>
      </w:r>
      <w:r w:rsidRPr="007B48AE">
        <w:rPr>
          <w:b/>
          <w:bCs/>
          <w:color w:val="000000" w:themeColor="text1"/>
        </w:rPr>
        <w:t xml:space="preserve">3.  Describe whether, and to what extent, the collection of information involves the use of automated, electronic, mechanical, or other technological collection techniques or other forms of information technology, e.g., permitting </w:t>
      </w:r>
      <w:r w:rsidRPr="007B48AE" w:rsidR="00BF4DF2">
        <w:rPr>
          <w:b/>
          <w:bCs/>
          <w:color w:val="000000" w:themeColor="text1"/>
        </w:rPr>
        <w:tab/>
      </w:r>
      <w:r w:rsidRPr="007B48AE">
        <w:rPr>
          <w:b/>
          <w:bCs/>
          <w:color w:val="000000" w:themeColor="text1"/>
        </w:rPr>
        <w:t>electronic submission of responses</w:t>
      </w:r>
      <w:r w:rsidRPr="007B48AE">
        <w:rPr>
          <w:b/>
          <w:bCs/>
        </w:rPr>
        <w:t>, and the basis for the decision for adopting this means of collection.  Also describe any consideration of using</w:t>
      </w:r>
      <w:r w:rsidRPr="007B48AE" w:rsidR="006A4787">
        <w:rPr>
          <w:b/>
          <w:bCs/>
        </w:rPr>
        <w:t xml:space="preserve"> </w:t>
      </w:r>
      <w:r w:rsidRPr="007B48AE">
        <w:rPr>
          <w:b/>
          <w:bCs/>
        </w:rPr>
        <w:t>information technology to reduce burden.</w:t>
      </w:r>
    </w:p>
    <w:p w:rsidR="00842E74" w:rsidRPr="007B48AE" w:rsidP="007B48AE" w14:paraId="3995FDAE" w14:textId="77777777">
      <w:pPr>
        <w:spacing w:line="276" w:lineRule="auto"/>
        <w:contextualSpacing/>
      </w:pPr>
    </w:p>
    <w:p w:rsidR="009D7985" w:rsidRPr="007B48AE" w:rsidP="007B48AE" w14:paraId="765CFB51" w14:textId="3E98C2C0">
      <w:pPr>
        <w:spacing w:line="276" w:lineRule="auto"/>
        <w:contextualSpacing/>
      </w:pPr>
      <w:r>
        <w:t xml:space="preserve">FEMA has converted </w:t>
      </w:r>
      <w:r w:rsidR="00085321">
        <w:t xml:space="preserve">FEMA </w:t>
      </w:r>
      <w:r>
        <w:t xml:space="preserve">Forms </w:t>
      </w:r>
      <w:r w:rsidR="00085321">
        <w:t xml:space="preserve">FF-206-FY-21-141 (formerly </w:t>
      </w:r>
      <w:r>
        <w:t>086-0-28(E)</w:t>
      </w:r>
      <w:r w:rsidR="00085321">
        <w:t>)</w:t>
      </w:r>
      <w:r>
        <w:t xml:space="preserve"> and </w:t>
      </w:r>
      <w:r w:rsidR="00085321">
        <w:t xml:space="preserve">FF-206-FY-21-142 (formerly </w:t>
      </w:r>
      <w:r>
        <w:t>086-029(E)</w:t>
      </w:r>
      <w:r w:rsidR="00085321">
        <w:t>)</w:t>
      </w:r>
      <w:r>
        <w:t xml:space="preserve"> into </w:t>
      </w:r>
      <w:r w:rsidR="08F5F60C">
        <w:t xml:space="preserve">an </w:t>
      </w:r>
      <w:r>
        <w:t>o</w:t>
      </w:r>
      <w:r w:rsidR="00B24A57">
        <w:t xml:space="preserve">n-line </w:t>
      </w:r>
      <w:r w:rsidR="005402F8">
        <w:t>database</w:t>
      </w:r>
      <w:r w:rsidR="00662B9B">
        <w:t xml:space="preserve"> (DHS Integrated Security and Access Control System)</w:t>
      </w:r>
      <w:r w:rsidR="00085321">
        <w:t xml:space="preserve"> called</w:t>
      </w:r>
      <w:r w:rsidR="005402F8">
        <w:t xml:space="preserve"> the Community Information System</w:t>
      </w:r>
      <w:r w:rsidR="00085321">
        <w:t xml:space="preserve"> (CIS)</w:t>
      </w:r>
      <w:r w:rsidR="005402F8">
        <w:t>.  The CIS allows f</w:t>
      </w:r>
      <w:r w:rsidR="00993B00">
        <w:t xml:space="preserve">or </w:t>
      </w:r>
      <w:r w:rsidR="005402F8">
        <w:t xml:space="preserve">direct </w:t>
      </w:r>
      <w:r w:rsidR="002D5B3F">
        <w:t xml:space="preserve">entry of </w:t>
      </w:r>
      <w:r w:rsidR="005402F8">
        <w:t xml:space="preserve">the </w:t>
      </w:r>
      <w:r w:rsidR="002D5B3F">
        <w:t>information</w:t>
      </w:r>
      <w:r w:rsidR="00993B00">
        <w:t xml:space="preserve"> </w:t>
      </w:r>
      <w:r w:rsidR="004757E5">
        <w:t xml:space="preserve">into </w:t>
      </w:r>
      <w:r w:rsidR="005402F8">
        <w:t xml:space="preserve">the on-line </w:t>
      </w:r>
      <w:r w:rsidR="00EB40C8">
        <w:t>Account and Password Protected system</w:t>
      </w:r>
      <w:r w:rsidR="00E215F4">
        <w:t xml:space="preserve"> at URL</w:t>
      </w:r>
      <w:r w:rsidR="00E306EB">
        <w:t>:</w:t>
      </w:r>
      <w:r w:rsidR="00E215F4">
        <w:t xml:space="preserve"> </w:t>
      </w:r>
      <w:hyperlink r:id="rId9">
        <w:r w:rsidRPr="297EC955" w:rsidR="00CC02FA">
          <w:rPr>
            <w:rStyle w:val="Hyperlink"/>
          </w:rPr>
          <w:t>CIS: Community Information System Home (fema.net)</w:t>
        </w:r>
      </w:hyperlink>
      <w:r w:rsidR="00627D78">
        <w:t xml:space="preserve">. </w:t>
      </w:r>
    </w:p>
    <w:p w:rsidR="00627D78" w:rsidRPr="007B48AE" w:rsidP="007B48AE" w14:paraId="783FFBA1" w14:textId="49A53504">
      <w:pPr>
        <w:spacing w:line="276" w:lineRule="auto"/>
        <w:contextualSpacing/>
        <w:rPr>
          <w:color w:val="000000" w:themeColor="text1"/>
        </w:rPr>
      </w:pPr>
    </w:p>
    <w:p w:rsidR="00627D78" w:rsidRPr="007B48AE" w:rsidP="007B48AE" w14:paraId="61EFB916" w14:textId="6BACEFC9">
      <w:pPr>
        <w:spacing w:line="276" w:lineRule="auto"/>
        <w:contextualSpacing/>
        <w:rPr>
          <w:rFonts w:eastAsia="Calibri"/>
          <w:color w:val="000000" w:themeColor="text1"/>
        </w:rPr>
      </w:pPr>
      <w:r w:rsidRPr="007B48AE">
        <w:rPr>
          <w:color w:val="000000" w:themeColor="text1"/>
        </w:rPr>
        <w:t xml:space="preserve">The CIS </w:t>
      </w:r>
      <w:r w:rsidRPr="007B48AE" w:rsidR="009E39BA">
        <w:rPr>
          <w:color w:val="000000" w:themeColor="text1"/>
        </w:rPr>
        <w:t xml:space="preserve">database will be modernized in the next few years </w:t>
      </w:r>
      <w:r w:rsidRPr="007B48AE" w:rsidR="00BB2F3A">
        <w:rPr>
          <w:color w:val="000000" w:themeColor="text1"/>
        </w:rPr>
        <w:t xml:space="preserve">as part of the previously mentioned NFIP Compliance Redesign. </w:t>
      </w:r>
    </w:p>
    <w:p w:rsidR="005E18FC" w:rsidRPr="00152FFE" w:rsidP="007B48AE" w14:paraId="3E13B86D" w14:textId="177168B8">
      <w:pPr>
        <w:pStyle w:val="paragraph"/>
        <w:spacing w:before="0" w:beforeAutospacing="0" w:after="0" w:afterAutospacing="0" w:line="276" w:lineRule="auto"/>
        <w:contextualSpacing/>
        <w:textAlignment w:val="baseline"/>
        <w:rPr>
          <w:color w:val="000000" w:themeColor="text1"/>
        </w:rPr>
      </w:pPr>
    </w:p>
    <w:p w:rsidR="005E18FC" w:rsidRPr="00152FFE" w:rsidP="00152FFE" w14:paraId="723CB54C" w14:textId="2883A3EC">
      <w:pPr>
        <w:spacing w:line="276" w:lineRule="auto"/>
        <w:rPr>
          <w:color w:val="000000" w:themeColor="text1"/>
        </w:rPr>
      </w:pPr>
      <w:r w:rsidRPr="00152FFE">
        <w:rPr>
          <w:color w:val="000000" w:themeColor="text1"/>
        </w:rPr>
        <w:t xml:space="preserve">Usability </w:t>
      </w:r>
      <w:r w:rsidRPr="00152FFE" w:rsidR="00C030F4">
        <w:rPr>
          <w:color w:val="000000" w:themeColor="text1"/>
        </w:rPr>
        <w:t>t</w:t>
      </w:r>
      <w:r w:rsidRPr="00152FFE">
        <w:rPr>
          <w:color w:val="000000" w:themeColor="text1"/>
        </w:rPr>
        <w:t xml:space="preserve">esting has been conducted on this collection.  As result, an increase of </w:t>
      </w:r>
      <w:r w:rsidRPr="00152FFE" w:rsidR="00C030F4">
        <w:rPr>
          <w:color w:val="000000" w:themeColor="text1"/>
        </w:rPr>
        <w:t xml:space="preserve">56,000 </w:t>
      </w:r>
      <w:r w:rsidRPr="00152FFE">
        <w:rPr>
          <w:color w:val="000000" w:themeColor="text1"/>
        </w:rPr>
        <w:t>hours has been recognized and included as an update to the collection.</w:t>
      </w:r>
    </w:p>
    <w:p w:rsidR="00792B0E" w:rsidRPr="00152FFE" w:rsidP="007B48AE" w14:paraId="1581ABE3" w14:textId="2AABE1F5">
      <w:pPr>
        <w:spacing w:line="276" w:lineRule="auto"/>
        <w:contextualSpacing/>
        <w:rPr>
          <w:rFonts w:eastAsia="Calibri"/>
          <w:color w:val="000000" w:themeColor="text1"/>
        </w:rPr>
      </w:pPr>
    </w:p>
    <w:p w:rsidR="00842E74" w:rsidRPr="007B48AE" w:rsidP="007B48AE" w14:paraId="29BA958B" w14:textId="77777777">
      <w:pPr>
        <w:spacing w:line="276" w:lineRule="auto"/>
        <w:contextualSpacing/>
        <w:rPr>
          <w:b/>
          <w:bCs/>
          <w:color w:val="000000" w:themeColor="text1"/>
        </w:rPr>
      </w:pPr>
      <w:r w:rsidRPr="007B48AE">
        <w:rPr>
          <w:color w:val="000000" w:themeColor="text1"/>
        </w:rPr>
        <w:fldChar w:fldCharType="begin"/>
      </w:r>
      <w:r w:rsidRPr="007B48AE">
        <w:rPr>
          <w:color w:val="000000" w:themeColor="text1"/>
        </w:rPr>
        <w:instrText>ADVANCE \R 0.95</w:instrText>
      </w:r>
      <w:r w:rsidRPr="007B48AE">
        <w:rPr>
          <w:color w:val="000000" w:themeColor="text1"/>
        </w:rPr>
        <w:fldChar w:fldCharType="end"/>
      </w:r>
      <w:r w:rsidRPr="007B48AE">
        <w:rPr>
          <w:b/>
          <w:bCs/>
          <w:color w:val="000000" w:themeColor="text1"/>
        </w:rPr>
        <w:t xml:space="preserve">4.  Describe efforts to identify duplication.  Show specifically why any similar information already available cannot be used or modified for use for the purposes described in Item 2 above.  </w:t>
      </w:r>
    </w:p>
    <w:p w:rsidR="00842E74" w:rsidRPr="007B48AE" w:rsidP="007B48AE" w14:paraId="7607CDD5" w14:textId="77777777">
      <w:pPr>
        <w:spacing w:line="276" w:lineRule="auto"/>
        <w:contextualSpacing/>
        <w:rPr>
          <w:color w:val="000000" w:themeColor="text1"/>
        </w:rPr>
      </w:pPr>
      <w:r w:rsidRPr="007B48AE">
        <w:rPr>
          <w:color w:val="000000" w:themeColor="text1"/>
        </w:rPr>
        <w:fldChar w:fldCharType="begin"/>
      </w:r>
      <w:r w:rsidRPr="007B48AE">
        <w:rPr>
          <w:color w:val="000000" w:themeColor="text1"/>
        </w:rPr>
        <w:instrText>ADVANCE \R 0.95</w:instrText>
      </w:r>
      <w:r w:rsidRPr="007B48AE">
        <w:rPr>
          <w:color w:val="000000" w:themeColor="text1"/>
        </w:rPr>
        <w:fldChar w:fldCharType="end"/>
      </w:r>
    </w:p>
    <w:p w:rsidR="003C6333" w:rsidRPr="007B48AE" w:rsidP="007B48AE" w14:paraId="24706A81" w14:textId="760D2512">
      <w:pPr>
        <w:spacing w:line="276" w:lineRule="auto"/>
        <w:contextualSpacing/>
        <w:rPr>
          <w:color w:val="000000" w:themeColor="text1"/>
        </w:rPr>
      </w:pPr>
      <w:r w:rsidRPr="297EC955">
        <w:rPr>
          <w:color w:val="000000" w:themeColor="text1"/>
        </w:rPr>
        <w:t xml:space="preserve">Some of the </w:t>
      </w:r>
      <w:r w:rsidRPr="297EC955" w:rsidR="34DFFB5C">
        <w:rPr>
          <w:color w:val="000000" w:themeColor="text1"/>
        </w:rPr>
        <w:t xml:space="preserve">information collected is </w:t>
      </w:r>
      <w:r w:rsidRPr="297EC955" w:rsidR="730888BC">
        <w:rPr>
          <w:color w:val="000000" w:themeColor="text1"/>
        </w:rPr>
        <w:t xml:space="preserve">currently </w:t>
      </w:r>
      <w:r w:rsidRPr="297EC955" w:rsidR="34DFFB5C">
        <w:rPr>
          <w:color w:val="000000" w:themeColor="text1"/>
        </w:rPr>
        <w:t xml:space="preserve">duplicated by </w:t>
      </w:r>
      <w:r w:rsidRPr="297EC955" w:rsidR="7DD4C59C">
        <w:rPr>
          <w:color w:val="000000" w:themeColor="text1"/>
        </w:rPr>
        <w:t>an</w:t>
      </w:r>
      <w:r w:rsidRPr="297EC955" w:rsidR="34DFFB5C">
        <w:rPr>
          <w:color w:val="000000" w:themeColor="text1"/>
        </w:rPr>
        <w:t>other means</w:t>
      </w:r>
      <w:r w:rsidRPr="297EC955" w:rsidR="7DD4C59C">
        <w:rPr>
          <w:color w:val="000000" w:themeColor="text1"/>
        </w:rPr>
        <w:t xml:space="preserve"> </w:t>
      </w:r>
      <w:r w:rsidRPr="297EC955" w:rsidR="17622FC1">
        <w:rPr>
          <w:color w:val="000000" w:themeColor="text1"/>
        </w:rPr>
        <w:t>(</w:t>
      </w:r>
      <w:r w:rsidRPr="297EC955" w:rsidR="7DD4C59C">
        <w:rPr>
          <w:color w:val="000000" w:themeColor="text1"/>
        </w:rPr>
        <w:t>National Violations Tracker)</w:t>
      </w:r>
      <w:r w:rsidRPr="297EC955" w:rsidR="19D8234F">
        <w:rPr>
          <w:color w:val="000000" w:themeColor="text1"/>
        </w:rPr>
        <w:t xml:space="preserve">, but in future </w:t>
      </w:r>
      <w:r w:rsidRPr="297EC955" w:rsidR="16177096">
        <w:rPr>
          <w:color w:val="000000" w:themeColor="text1"/>
        </w:rPr>
        <w:t xml:space="preserve">iterations of the CIS, </w:t>
      </w:r>
      <w:r w:rsidR="0007390E">
        <w:t>but in future iterations we hope to automate this process and therefore eliminate duplication of efforts.</w:t>
      </w:r>
      <w:r w:rsidRPr="297EC955" w:rsidR="16177096">
        <w:rPr>
          <w:color w:val="000000" w:themeColor="text1"/>
        </w:rPr>
        <w:t xml:space="preserve"> </w:t>
      </w:r>
      <w:r w:rsidRPr="297EC955" w:rsidR="34DFFB5C">
        <w:rPr>
          <w:color w:val="000000" w:themeColor="text1"/>
        </w:rPr>
        <w:t xml:space="preserve">  </w:t>
      </w:r>
    </w:p>
    <w:p w:rsidR="003C6333" w:rsidRPr="007B48AE" w:rsidP="007B48AE" w14:paraId="07B28FBD" w14:textId="77777777">
      <w:pPr>
        <w:spacing w:line="276" w:lineRule="auto"/>
        <w:contextualSpacing/>
        <w:rPr>
          <w:color w:val="000000" w:themeColor="text1"/>
        </w:rPr>
      </w:pPr>
    </w:p>
    <w:p w:rsidR="00842E74" w:rsidRPr="007B48AE" w:rsidP="007B48AE" w14:paraId="6840F3F7" w14:textId="77777777">
      <w:pPr>
        <w:tabs>
          <w:tab w:val="left" w:pos="360"/>
        </w:tabs>
        <w:spacing w:line="276" w:lineRule="auto"/>
        <w:contextualSpacing/>
        <w:rPr>
          <w:b/>
          <w:bCs/>
        </w:rPr>
      </w:pPr>
      <w:r w:rsidRPr="007B48AE">
        <w:rPr>
          <w:b/>
          <w:bCs/>
        </w:rPr>
        <w:t xml:space="preserve">5.  </w:t>
      </w:r>
      <w:r w:rsidRPr="007B48AE" w:rsidR="00BF4DF2">
        <w:rPr>
          <w:b/>
          <w:bCs/>
        </w:rPr>
        <w:tab/>
      </w:r>
      <w:r w:rsidRPr="007B48AE">
        <w:rPr>
          <w:b/>
          <w:bCs/>
        </w:rPr>
        <w:t>If the collection of information impacts small businesses or other small entities (Item 5 of OMB Form 83-I), describe any methods used to minimize.</w:t>
      </w:r>
    </w:p>
    <w:p w:rsidR="00842E74" w:rsidRPr="007B48AE" w:rsidP="007B48AE" w14:paraId="1EDC2E50" w14:textId="77777777">
      <w:pPr>
        <w:spacing w:line="276" w:lineRule="auto"/>
        <w:contextualSpacing/>
        <w:rPr>
          <w:color w:val="000000" w:themeColor="text1"/>
          <w:spacing w:val="-3"/>
        </w:rPr>
      </w:pPr>
    </w:p>
    <w:p w:rsidR="003C6333" w:rsidRPr="007B48AE" w:rsidP="007B48AE" w14:paraId="7FE975E5" w14:textId="7AE34339">
      <w:pPr>
        <w:spacing w:line="276" w:lineRule="auto"/>
        <w:contextualSpacing/>
        <w:rPr>
          <w:color w:val="000000" w:themeColor="text1"/>
        </w:rPr>
      </w:pPr>
      <w:r w:rsidRPr="007B48AE">
        <w:rPr>
          <w:color w:val="000000" w:themeColor="text1"/>
        </w:rPr>
        <w:t>This information collection does not have an impact on small businesses or other small entities</w:t>
      </w:r>
      <w:r w:rsidRPr="007B48AE" w:rsidR="43932270">
        <w:rPr>
          <w:color w:val="000000" w:themeColor="text1"/>
        </w:rPr>
        <w:t xml:space="preserve">, </w:t>
      </w:r>
      <w:r w:rsidRPr="007B48AE" w:rsidR="034A5B1A">
        <w:rPr>
          <w:color w:val="000000" w:themeColor="text1"/>
        </w:rPr>
        <w:t>because most if not all</w:t>
      </w:r>
      <w:r w:rsidRPr="007B48AE" w:rsidR="43932270">
        <w:rPr>
          <w:color w:val="000000" w:themeColor="text1"/>
        </w:rPr>
        <w:t xml:space="preserve"> State NFIP Coordinating Offices</w:t>
      </w:r>
      <w:r w:rsidRPr="007B48AE" w:rsidR="034A5B1A">
        <w:rPr>
          <w:color w:val="000000" w:themeColor="text1"/>
        </w:rPr>
        <w:t xml:space="preserve"> are part of larger </w:t>
      </w:r>
      <w:r w:rsidRPr="007B48AE" w:rsidR="0F0CDD30">
        <w:rPr>
          <w:color w:val="000000" w:themeColor="text1"/>
        </w:rPr>
        <w:t>state agencies</w:t>
      </w:r>
      <w:r w:rsidRPr="007B48AE" w:rsidR="3D3180BE">
        <w:rPr>
          <w:color w:val="000000" w:themeColor="text1"/>
        </w:rPr>
        <w:t xml:space="preserve">, which under a cooperative agreement with FEMA, and with FEMA </w:t>
      </w:r>
      <w:r w:rsidRPr="007B48AE" w:rsidR="0517D78C">
        <w:rPr>
          <w:color w:val="000000" w:themeColor="text1"/>
        </w:rPr>
        <w:t xml:space="preserve"> grants, </w:t>
      </w:r>
      <w:r w:rsidRPr="007B48AE" w:rsidR="3D3180BE">
        <w:rPr>
          <w:color w:val="000000" w:themeColor="text1"/>
        </w:rPr>
        <w:t>collect CAV and CAC data and enter it into the CIS</w:t>
      </w:r>
      <w:r w:rsidRPr="007B48AE" w:rsidR="2DBFF8CD">
        <w:rPr>
          <w:color w:val="000000" w:themeColor="text1"/>
        </w:rPr>
        <w:t xml:space="preserve"> as CAV Report and CAC Report.</w:t>
      </w:r>
    </w:p>
    <w:p w:rsidR="004B3431" w:rsidRPr="007B48AE" w:rsidP="007B48AE" w14:paraId="3A5CD34B" w14:textId="77777777">
      <w:pPr>
        <w:spacing w:line="276" w:lineRule="auto"/>
        <w:contextualSpacing/>
        <w:rPr>
          <w:color w:val="000000" w:themeColor="text1"/>
          <w:spacing w:val="-3"/>
        </w:rPr>
      </w:pPr>
    </w:p>
    <w:p w:rsidR="00842E74" w:rsidRPr="007B48AE" w:rsidP="007B48AE" w14:paraId="1622BCE4" w14:textId="77777777">
      <w:pPr>
        <w:spacing w:line="276" w:lineRule="auto"/>
        <w:contextualSpacing/>
        <w:rPr>
          <w:b/>
          <w:bCs/>
          <w:color w:val="000000" w:themeColor="text1"/>
        </w:rPr>
      </w:pPr>
      <w:r w:rsidRPr="007B48AE">
        <w:rPr>
          <w:b/>
          <w:bCs/>
          <w:color w:val="000000" w:themeColor="text1"/>
        </w:rPr>
        <w:fldChar w:fldCharType="begin"/>
      </w:r>
      <w:r w:rsidRPr="007B48AE">
        <w:rPr>
          <w:b/>
          <w:bCs/>
          <w:color w:val="000000" w:themeColor="text1"/>
        </w:rPr>
        <w:instrText>ADVANCE \R 0.95</w:instrText>
      </w:r>
      <w:r w:rsidRPr="007B48AE">
        <w:rPr>
          <w:b/>
          <w:bCs/>
          <w:color w:val="000000" w:themeColor="text1"/>
        </w:rPr>
        <w:fldChar w:fldCharType="end"/>
      </w:r>
      <w:r w:rsidRPr="007B48AE">
        <w:rPr>
          <w:b/>
          <w:bCs/>
          <w:color w:val="000000" w:themeColor="text1"/>
        </w:rPr>
        <w:t>6.  Describe the consequence to Federal/FEMA program or policy activities if the collection of information is not conducted, or is conducted less frequently</w:t>
      </w:r>
      <w:r w:rsidRPr="007B48AE" w:rsidR="009F46CE">
        <w:rPr>
          <w:b/>
          <w:bCs/>
          <w:color w:val="000000" w:themeColor="text1"/>
        </w:rPr>
        <w:t xml:space="preserve"> </w:t>
      </w:r>
      <w:r w:rsidRPr="007B48AE">
        <w:rPr>
          <w:b/>
          <w:bCs/>
          <w:color w:val="000000" w:themeColor="text1"/>
        </w:rPr>
        <w:t xml:space="preserve">as well as any technical or legal obstacles to reducing burden.  </w:t>
      </w:r>
    </w:p>
    <w:p w:rsidR="00842E74" w:rsidRPr="007B48AE" w:rsidP="007B48AE" w14:paraId="4DB525BC" w14:textId="77777777">
      <w:pPr>
        <w:spacing w:line="276" w:lineRule="auto"/>
        <w:contextualSpacing/>
        <w:rPr>
          <w:color w:val="000000" w:themeColor="text1"/>
          <w:spacing w:val="-3"/>
        </w:rPr>
      </w:pPr>
    </w:p>
    <w:p w:rsidR="008768B8" w:rsidRPr="007B48AE" w:rsidP="007B48AE" w14:paraId="39756BE6" w14:textId="7B96E62D">
      <w:pPr>
        <w:spacing w:line="276" w:lineRule="auto"/>
        <w:contextualSpacing/>
      </w:pPr>
      <w:r w:rsidRPr="007B48AE">
        <w:t>If the information discussed above is not collected, FEMA would not know the extent to which approximately 2</w:t>
      </w:r>
      <w:r w:rsidRPr="007B48AE" w:rsidR="7EC8EAC1">
        <w:t>2</w:t>
      </w:r>
      <w:r w:rsidRPr="007B48AE">
        <w:t>,</w:t>
      </w:r>
      <w:r w:rsidRPr="007B48AE" w:rsidR="7D0E07E8">
        <w:t>5</w:t>
      </w:r>
      <w:r w:rsidRPr="007B48AE">
        <w:t>00 communities participating in the NFIP are adhering to the obligation of implementing a floodplain management program as agreed to when joining the NFIP.  The core of this agreement is that FEMA, as a requirement under the National  Flood Insurance Act, will provide flood insurance coverage if communities adopt and  enforce floodplain management regulations.</w:t>
      </w:r>
    </w:p>
    <w:p w:rsidR="008768B8" w:rsidRPr="007B48AE" w:rsidP="007B48AE" w14:paraId="68B91EC9" w14:textId="77777777">
      <w:pPr>
        <w:spacing w:line="276" w:lineRule="auto"/>
        <w:contextualSpacing/>
        <w:rPr>
          <w:spacing w:val="-3"/>
        </w:rPr>
      </w:pPr>
    </w:p>
    <w:p w:rsidR="005E18FC" w:rsidRPr="007B48AE" w:rsidP="007B48AE" w14:paraId="4BF83F81" w14:textId="71B23BDC">
      <w:pPr>
        <w:spacing w:line="276" w:lineRule="auto"/>
        <w:contextualSpacing/>
        <w:rPr>
          <w:b/>
          <w:bCs/>
        </w:rPr>
      </w:pPr>
      <w:r w:rsidRPr="007B48AE">
        <w:rPr>
          <w:b/>
          <w:bCs/>
        </w:rPr>
        <w:t xml:space="preserve">7.  </w:t>
      </w:r>
      <w:r w:rsidRPr="007B48AE">
        <w:rPr>
          <w:b/>
          <w:bCs/>
        </w:rPr>
        <w:t>Explain any special circumstances that would cause an information collection to be conducted in a manner (</w:t>
      </w:r>
      <w:r w:rsidRPr="007B48AE">
        <w:rPr>
          <w:b/>
          <w:bCs/>
          <w:i/>
          <w:iCs/>
        </w:rPr>
        <w:t>See</w:t>
      </w:r>
      <w:r w:rsidRPr="007B48AE">
        <w:rPr>
          <w:b/>
          <w:bCs/>
        </w:rPr>
        <w:t xml:space="preserve"> 5 CFR 1320.5(d)(2)):</w:t>
      </w:r>
    </w:p>
    <w:p w:rsidR="005E18FC" w:rsidRPr="007B48AE" w:rsidP="007B48AE" w14:paraId="0DA90A83" w14:textId="77777777">
      <w:pPr>
        <w:spacing w:line="276" w:lineRule="auto"/>
        <w:contextualSpacing/>
      </w:pPr>
    </w:p>
    <w:p w:rsidR="005E18FC" w:rsidRPr="007B48AE" w:rsidP="007B48AE" w14:paraId="2905047B" w14:textId="77777777">
      <w:pPr>
        <w:pStyle w:val="ListParagraph"/>
        <w:numPr>
          <w:ilvl w:val="1"/>
          <w:numId w:val="22"/>
        </w:numPr>
        <w:spacing w:line="276" w:lineRule="auto"/>
        <w:ind w:left="720"/>
        <w:rPr>
          <w:b/>
          <w:bCs/>
        </w:rPr>
      </w:pPr>
      <w:r w:rsidRPr="007B48AE">
        <w:rPr>
          <w:b/>
          <w:bCs/>
        </w:rPr>
        <w:t>Requiring respondents to report information to the agency more often than quarterly.</w:t>
      </w:r>
    </w:p>
    <w:p w:rsidR="005E18FC" w:rsidRPr="007B48AE" w:rsidP="007B48AE" w14:paraId="4089A1B3" w14:textId="77777777">
      <w:pPr>
        <w:spacing w:line="276" w:lineRule="auto"/>
        <w:contextualSpacing/>
      </w:pPr>
    </w:p>
    <w:p w:rsidR="005E18FC" w:rsidRPr="00152FFE" w:rsidP="007B48AE" w14:paraId="7B0D20A6" w14:textId="0A687296">
      <w:pPr>
        <w:spacing w:line="276" w:lineRule="auto"/>
        <w:contextualSpacing/>
      </w:pPr>
      <w:r w:rsidRPr="00152FFE">
        <w:rPr>
          <w:color w:val="000000" w:themeColor="text1"/>
        </w:rPr>
        <w:t>This information collection does not require respondents to report information more than quarterly.</w:t>
      </w:r>
    </w:p>
    <w:p w:rsidR="005E18FC" w:rsidRPr="007B48AE" w:rsidP="007B48AE" w14:paraId="41AA6B3A" w14:textId="77777777">
      <w:pPr>
        <w:spacing w:line="276" w:lineRule="auto"/>
        <w:contextualSpacing/>
      </w:pPr>
    </w:p>
    <w:p w:rsidR="005E18FC" w:rsidRPr="007B48AE" w:rsidP="007B48AE" w14:paraId="41E071B4" w14:textId="77777777">
      <w:pPr>
        <w:pStyle w:val="ListParagraph"/>
        <w:numPr>
          <w:ilvl w:val="1"/>
          <w:numId w:val="22"/>
        </w:numPr>
        <w:spacing w:line="276" w:lineRule="auto"/>
        <w:ind w:left="720"/>
        <w:rPr>
          <w:b/>
          <w:bCs/>
        </w:rPr>
      </w:pPr>
      <w:r w:rsidRPr="007B48AE">
        <w:rPr>
          <w:b/>
          <w:bCs/>
        </w:rPr>
        <w:t>Requiring respondents to prepare a written response to a collection of information in fewer than 30 days after receipt of it.</w:t>
      </w:r>
    </w:p>
    <w:p w:rsidR="005E18FC" w:rsidRPr="007B48AE" w:rsidP="007B48AE" w14:paraId="5A76D3DD" w14:textId="77777777">
      <w:pPr>
        <w:spacing w:line="276" w:lineRule="auto"/>
        <w:contextualSpacing/>
      </w:pPr>
    </w:p>
    <w:p w:rsidR="005E18FC" w:rsidRPr="00152FFE" w:rsidP="007B48AE" w14:paraId="1BAABE72" w14:textId="03D60DA9">
      <w:pPr>
        <w:spacing w:line="276" w:lineRule="auto"/>
        <w:contextualSpacing/>
      </w:pPr>
      <w:r w:rsidRPr="00152FFE">
        <w:rPr>
          <w:color w:val="000000" w:themeColor="text1"/>
        </w:rPr>
        <w:t>This information collection does not require respondents to prepare a written response in fewer than 30 days after receipt of it.</w:t>
      </w:r>
    </w:p>
    <w:p w:rsidR="005E18FC" w:rsidRPr="007B48AE" w:rsidP="007B48AE" w14:paraId="0058EA3E" w14:textId="77777777">
      <w:pPr>
        <w:spacing w:line="276" w:lineRule="auto"/>
        <w:contextualSpacing/>
      </w:pPr>
    </w:p>
    <w:p w:rsidR="005E18FC" w:rsidRPr="007B48AE" w:rsidP="007B48AE" w14:paraId="6E1F034B" w14:textId="77777777">
      <w:pPr>
        <w:pStyle w:val="ListParagraph"/>
        <w:numPr>
          <w:ilvl w:val="1"/>
          <w:numId w:val="22"/>
        </w:numPr>
        <w:spacing w:line="276" w:lineRule="auto"/>
        <w:ind w:left="720"/>
        <w:rPr>
          <w:b/>
          <w:bCs/>
        </w:rPr>
      </w:pPr>
      <w:r w:rsidRPr="007B48AE">
        <w:rPr>
          <w:b/>
          <w:bCs/>
        </w:rPr>
        <w:t>Requiring respondents to submit more than an original and two copies of any document.</w:t>
      </w:r>
    </w:p>
    <w:p w:rsidR="005E18FC" w:rsidRPr="007B48AE" w:rsidP="007B48AE" w14:paraId="36CE4BFC" w14:textId="77777777">
      <w:pPr>
        <w:spacing w:line="276" w:lineRule="auto"/>
        <w:contextualSpacing/>
      </w:pPr>
    </w:p>
    <w:p w:rsidR="005E18FC" w:rsidRPr="00152FFE" w:rsidP="007B48AE" w14:paraId="2345CE74" w14:textId="27C03FDB">
      <w:pPr>
        <w:spacing w:line="276" w:lineRule="auto"/>
        <w:contextualSpacing/>
      </w:pPr>
      <w:r w:rsidRPr="00152FFE">
        <w:rPr>
          <w:color w:val="000000" w:themeColor="text1"/>
        </w:rPr>
        <w:t>This information collection does not require respondents to submit more than an original and two copies of any document.</w:t>
      </w:r>
    </w:p>
    <w:p w:rsidR="005E18FC" w:rsidRPr="007B48AE" w:rsidP="007B48AE" w14:paraId="480DEBB1" w14:textId="77777777">
      <w:pPr>
        <w:spacing w:line="276" w:lineRule="auto"/>
        <w:contextualSpacing/>
      </w:pPr>
    </w:p>
    <w:p w:rsidR="005E18FC" w:rsidRPr="007B48AE" w:rsidP="007B48AE" w14:paraId="5917BDF1" w14:textId="77777777">
      <w:pPr>
        <w:pStyle w:val="ListParagraph"/>
        <w:numPr>
          <w:ilvl w:val="1"/>
          <w:numId w:val="22"/>
        </w:numPr>
        <w:spacing w:line="276" w:lineRule="auto"/>
        <w:ind w:left="720"/>
        <w:rPr>
          <w:b/>
          <w:bCs/>
        </w:rPr>
      </w:pPr>
      <w:r w:rsidRPr="007B48AE">
        <w:rPr>
          <w:b/>
          <w:bCs/>
        </w:rPr>
        <w:t>Requiring respondents to retain records, other than health, medical, government contract, grant-in-aid, or tax records for more than three years.</w:t>
      </w:r>
    </w:p>
    <w:p w:rsidR="005E18FC" w:rsidRPr="007B48AE" w:rsidP="007B48AE" w14:paraId="7EDE9BD1" w14:textId="77777777">
      <w:pPr>
        <w:spacing w:line="276" w:lineRule="auto"/>
        <w:contextualSpacing/>
      </w:pPr>
    </w:p>
    <w:p w:rsidR="005E18FC" w:rsidRPr="00152FFE" w:rsidP="007B48AE" w14:paraId="3D0C95E4" w14:textId="65DA8420">
      <w:pPr>
        <w:spacing w:line="276" w:lineRule="auto"/>
        <w:contextualSpacing/>
        <w:rPr>
          <w:color w:val="000000" w:themeColor="text1"/>
        </w:rPr>
      </w:pPr>
      <w:r w:rsidRPr="00152FFE">
        <w:rPr>
          <w:color w:val="000000" w:themeColor="text1"/>
        </w:rPr>
        <w:t>This information collection does not require respondents to retain records (other than health, medical, government contract, grant-in-aid, or tax records) for more than three years.</w:t>
      </w:r>
    </w:p>
    <w:p w:rsidR="005E18FC" w:rsidRPr="007B48AE" w:rsidP="007B48AE" w14:paraId="26DF1423" w14:textId="77777777">
      <w:pPr>
        <w:spacing w:line="276" w:lineRule="auto"/>
        <w:contextualSpacing/>
      </w:pPr>
    </w:p>
    <w:p w:rsidR="005E18FC" w:rsidRPr="007B48AE" w:rsidP="007B48AE" w14:paraId="5714410E" w14:textId="77777777">
      <w:pPr>
        <w:pStyle w:val="ListParagraph"/>
        <w:numPr>
          <w:ilvl w:val="1"/>
          <w:numId w:val="22"/>
        </w:numPr>
        <w:spacing w:line="276" w:lineRule="auto"/>
        <w:ind w:left="720"/>
        <w:rPr>
          <w:b/>
          <w:bCs/>
        </w:rPr>
      </w:pPr>
      <w:r w:rsidRPr="007B48AE">
        <w:rPr>
          <w:b/>
          <w:bCs/>
        </w:rPr>
        <w:t>In connection with a statistical survey, that is not designed to produce valid and reliable results that can be generalized to the universe of study.</w:t>
      </w:r>
    </w:p>
    <w:p w:rsidR="005E18FC" w:rsidRPr="007B48AE" w:rsidP="007B48AE" w14:paraId="3F1094B9" w14:textId="77777777">
      <w:pPr>
        <w:spacing w:line="276" w:lineRule="auto"/>
        <w:contextualSpacing/>
      </w:pPr>
    </w:p>
    <w:p w:rsidR="005E18FC" w:rsidRPr="00152FFE" w:rsidP="007B48AE" w14:paraId="7A26407D" w14:textId="59E17D78">
      <w:pPr>
        <w:spacing w:line="276" w:lineRule="auto"/>
        <w:contextualSpacing/>
        <w:rPr>
          <w:color w:val="000000" w:themeColor="text1"/>
        </w:rPr>
      </w:pPr>
      <w:r w:rsidRPr="00152FFE">
        <w:rPr>
          <w:color w:val="000000" w:themeColor="text1"/>
        </w:rPr>
        <w:t>This information collection does not include a statistical survey.</w:t>
      </w:r>
    </w:p>
    <w:p w:rsidR="005E18FC" w:rsidRPr="007B48AE" w:rsidP="007B48AE" w14:paraId="2884FFF6" w14:textId="77777777">
      <w:pPr>
        <w:spacing w:line="276" w:lineRule="auto"/>
        <w:contextualSpacing/>
      </w:pPr>
    </w:p>
    <w:p w:rsidR="005E18FC" w:rsidRPr="007B48AE" w:rsidP="007B48AE" w14:paraId="115C4049" w14:textId="77777777">
      <w:pPr>
        <w:pStyle w:val="ListParagraph"/>
        <w:numPr>
          <w:ilvl w:val="1"/>
          <w:numId w:val="22"/>
        </w:numPr>
        <w:spacing w:line="276" w:lineRule="auto"/>
        <w:ind w:left="720"/>
        <w:rPr>
          <w:b/>
          <w:bCs/>
        </w:rPr>
      </w:pPr>
      <w:r w:rsidRPr="007B48AE">
        <w:rPr>
          <w:b/>
          <w:bCs/>
        </w:rPr>
        <w:t>Requiring the use of a statistical data classification that has not been reviewed and approved by OMB.</w:t>
      </w:r>
    </w:p>
    <w:p w:rsidR="005E18FC" w:rsidRPr="007B48AE" w:rsidP="007B48AE" w14:paraId="1B1AE1AD" w14:textId="77777777">
      <w:pPr>
        <w:spacing w:line="276" w:lineRule="auto"/>
        <w:contextualSpacing/>
      </w:pPr>
    </w:p>
    <w:p w:rsidR="005E18FC" w:rsidRPr="00152FFE" w:rsidP="007B48AE" w14:paraId="71506351" w14:textId="3BAFBCE6">
      <w:pPr>
        <w:spacing w:line="276" w:lineRule="auto"/>
        <w:contextualSpacing/>
        <w:rPr>
          <w:color w:val="000000" w:themeColor="text1"/>
        </w:rPr>
      </w:pPr>
      <w:r w:rsidRPr="00152FFE">
        <w:rPr>
          <w:color w:val="000000" w:themeColor="text1"/>
        </w:rPr>
        <w:t>This information collection does not use a statistical data classification that has not been reviewed and approved by OMB.</w:t>
      </w:r>
    </w:p>
    <w:p w:rsidR="005E18FC" w:rsidRPr="007B48AE" w:rsidP="007B48AE" w14:paraId="33FF007B" w14:textId="77777777">
      <w:pPr>
        <w:spacing w:line="276" w:lineRule="auto"/>
        <w:contextualSpacing/>
      </w:pPr>
    </w:p>
    <w:p w:rsidR="005E18FC" w:rsidRPr="007B48AE" w:rsidP="007B48AE" w14:paraId="58C23172" w14:textId="77777777">
      <w:pPr>
        <w:pStyle w:val="ListParagraph"/>
        <w:numPr>
          <w:ilvl w:val="1"/>
          <w:numId w:val="22"/>
        </w:numPr>
        <w:spacing w:line="276" w:lineRule="auto"/>
        <w:ind w:left="720"/>
        <w:rPr>
          <w:b/>
          <w:bCs/>
        </w:rPr>
      </w:pPr>
      <w:r w:rsidRPr="007B48AE">
        <w:rPr>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5E18FC" w:rsidRPr="007B48AE" w:rsidP="007B48AE" w14:paraId="2CEFB62F" w14:textId="77777777">
      <w:pPr>
        <w:spacing w:line="276" w:lineRule="auto"/>
        <w:contextualSpacing/>
      </w:pPr>
    </w:p>
    <w:p w:rsidR="005E18FC" w:rsidRPr="00152FFE" w:rsidP="007B48AE" w14:paraId="032D05C4" w14:textId="6EE97480">
      <w:pPr>
        <w:spacing w:line="276" w:lineRule="auto"/>
        <w:contextualSpacing/>
        <w:rPr>
          <w:color w:val="000000" w:themeColor="text1"/>
        </w:rPr>
      </w:pPr>
      <w:r w:rsidRPr="00152FFE">
        <w:rPr>
          <w:color w:val="000000" w:themeColor="text1"/>
        </w:rPr>
        <w:t xml:space="preserve">This information collection does not include a pledge of confidentiality that is not supported by established authorities or policies.  </w:t>
      </w:r>
    </w:p>
    <w:p w:rsidR="005E18FC" w:rsidRPr="007B48AE" w:rsidP="007B48AE" w14:paraId="7142D7C3" w14:textId="77777777">
      <w:pPr>
        <w:spacing w:line="276" w:lineRule="auto"/>
        <w:contextualSpacing/>
      </w:pPr>
    </w:p>
    <w:p w:rsidR="005E18FC" w:rsidRPr="007B48AE" w:rsidP="007B48AE" w14:paraId="2C5C5073" w14:textId="77777777">
      <w:pPr>
        <w:pStyle w:val="ListParagraph"/>
        <w:numPr>
          <w:ilvl w:val="1"/>
          <w:numId w:val="22"/>
        </w:numPr>
        <w:spacing w:line="276" w:lineRule="auto"/>
        <w:ind w:left="720"/>
        <w:rPr>
          <w:b/>
          <w:bCs/>
        </w:rPr>
      </w:pPr>
      <w:r w:rsidRPr="007B48AE">
        <w:rPr>
          <w:b/>
          <w:bCs/>
        </w:rPr>
        <w:t>Requiring respondents to submit proprietary trade secret, or other confidential information unless the agency can demonstrate that it has instituted procedures to protect the information’s confidentiality to the extent permitted by law.</w:t>
      </w:r>
    </w:p>
    <w:p w:rsidR="005E18FC" w:rsidRPr="007B48AE" w:rsidP="007B48AE" w14:paraId="6C8718E0" w14:textId="77777777">
      <w:pPr>
        <w:spacing w:line="276" w:lineRule="auto"/>
        <w:contextualSpacing/>
      </w:pPr>
    </w:p>
    <w:p w:rsidR="005E18FC" w:rsidRPr="00152FFE" w:rsidP="007B48AE" w14:paraId="15D2460F" w14:textId="2F4FEEA9">
      <w:pPr>
        <w:spacing w:line="276" w:lineRule="auto"/>
        <w:contextualSpacing/>
        <w:rPr>
          <w:color w:val="000000" w:themeColor="text1"/>
        </w:rPr>
      </w:pPr>
      <w:r w:rsidRPr="00152FFE">
        <w:rPr>
          <w:color w:val="000000" w:themeColor="text1"/>
        </w:rPr>
        <w:t>This information collection does not require respondents to submit trade secrets or other confidential information.</w:t>
      </w:r>
    </w:p>
    <w:p w:rsidR="005E18FC" w:rsidRPr="007B48AE" w:rsidP="007B48AE" w14:paraId="3ED66A84" w14:textId="77777777">
      <w:pPr>
        <w:spacing w:line="276" w:lineRule="auto"/>
        <w:contextualSpacing/>
      </w:pPr>
    </w:p>
    <w:p w:rsidR="00842E74" w:rsidRPr="007B48AE" w:rsidP="007B48AE" w14:paraId="2B9ACE04" w14:textId="77777777">
      <w:pPr>
        <w:spacing w:line="276" w:lineRule="auto"/>
        <w:contextualSpacing/>
        <w:jc w:val="both"/>
        <w:rPr>
          <w:b/>
          <w:bCs/>
        </w:rPr>
      </w:pPr>
      <w:r w:rsidRPr="007B48AE">
        <w:rPr>
          <w:b/>
          <w:bCs/>
        </w:rPr>
        <w:fldChar w:fldCharType="begin"/>
      </w:r>
      <w:r w:rsidRPr="007B48AE">
        <w:rPr>
          <w:b/>
          <w:bCs/>
        </w:rPr>
        <w:instrText>ADVANCE \R 0.95</w:instrText>
      </w:r>
      <w:r w:rsidRPr="007B48AE">
        <w:rPr>
          <w:b/>
          <w:bCs/>
        </w:rPr>
        <w:fldChar w:fldCharType="end"/>
      </w:r>
      <w:r w:rsidRPr="007B48AE">
        <w:rPr>
          <w:b/>
          <w:bCs/>
        </w:rPr>
        <w:t xml:space="preserve">8.  Federal Register Notice: </w:t>
      </w:r>
    </w:p>
    <w:p w:rsidR="00842E74" w:rsidRPr="007B48AE" w:rsidP="007B48AE" w14:paraId="6CDE27A6" w14:textId="77777777">
      <w:pPr>
        <w:spacing w:line="276" w:lineRule="auto"/>
        <w:contextualSpacing/>
        <w:rPr>
          <w:b/>
          <w:bCs/>
        </w:rPr>
      </w:pPr>
      <w:r w:rsidRPr="007B48AE">
        <w:rPr>
          <w:b/>
          <w:bCs/>
        </w:rPr>
        <w:fldChar w:fldCharType="begin"/>
      </w:r>
      <w:r w:rsidRPr="007B48AE">
        <w:rPr>
          <w:b/>
          <w:bCs/>
        </w:rPr>
        <w:instrText>ADVANCE \R 0.95</w:instrText>
      </w:r>
      <w:r w:rsidRPr="007B48AE">
        <w:rPr>
          <w:b/>
          <w:bCs/>
        </w:rPr>
        <w:fldChar w:fldCharType="end"/>
      </w:r>
    </w:p>
    <w:p w:rsidR="00842E74" w:rsidRPr="007B48AE" w:rsidP="007B48AE" w14:paraId="21A3EDFD" w14:textId="77777777">
      <w:pPr>
        <w:spacing w:line="276" w:lineRule="auto"/>
        <w:contextualSpacing/>
        <w:rPr>
          <w:b/>
          <w:bCs/>
          <w:color w:val="000000" w:themeColor="text1"/>
        </w:rPr>
      </w:pPr>
      <w:r w:rsidRPr="007B48AE">
        <w:rPr>
          <w:b/>
          <w:bCs/>
        </w:rPr>
        <w:fldChar w:fldCharType="begin"/>
      </w:r>
      <w:r w:rsidRPr="007B48AE">
        <w:rPr>
          <w:b/>
          <w:bCs/>
        </w:rPr>
        <w:instrText>ADVANCE \R 0.95</w:instrText>
      </w:r>
      <w:r w:rsidRPr="007B48AE">
        <w:rPr>
          <w:b/>
          <w:bCs/>
        </w:rPr>
        <w:fldChar w:fldCharType="end"/>
      </w:r>
      <w:r w:rsidRPr="007B48AE">
        <w:rPr>
          <w:b/>
          <w:bCs/>
        </w:rPr>
        <w:t xml:space="preserve">            a.   Provide a copy and identify the date and page number of publication in the Federal Register of the agency’s notice soliciting comments on the </w:t>
      </w:r>
      <w:r w:rsidRPr="007B48AE" w:rsidR="00920A21">
        <w:rPr>
          <w:b/>
          <w:bCs/>
        </w:rPr>
        <w:tab/>
      </w:r>
      <w:r w:rsidRPr="007B48AE">
        <w:rPr>
          <w:b/>
          <w:bCs/>
        </w:rPr>
        <w:t>information collection prior to submission to OMB.  Summarize public</w:t>
      </w:r>
      <w:r w:rsidRPr="007B48AE" w:rsidR="00232C69">
        <w:rPr>
          <w:b/>
          <w:bCs/>
        </w:rPr>
        <w:t xml:space="preserve"> </w:t>
      </w:r>
      <w:r w:rsidRPr="007B48AE">
        <w:rPr>
          <w:b/>
          <w:bCs/>
        </w:rPr>
        <w:t xml:space="preserve">comments received in </w:t>
      </w:r>
      <w:r w:rsidRPr="007B48AE">
        <w:rPr>
          <w:b/>
          <w:bCs/>
          <w:color w:val="000000" w:themeColor="text1"/>
        </w:rPr>
        <w:t>response to that notice and describe actions taken by</w:t>
      </w:r>
      <w:r w:rsidRPr="007B48AE" w:rsidR="00232C69">
        <w:rPr>
          <w:b/>
          <w:bCs/>
          <w:color w:val="000000" w:themeColor="text1"/>
        </w:rPr>
        <w:t xml:space="preserve"> </w:t>
      </w:r>
      <w:r w:rsidRPr="007B48AE">
        <w:rPr>
          <w:b/>
          <w:bCs/>
          <w:color w:val="000000" w:themeColor="text1"/>
        </w:rPr>
        <w:t>the agency in response to these comments.  Specifically address comments</w:t>
      </w:r>
      <w:r w:rsidRPr="007B48AE" w:rsidR="00232C69">
        <w:rPr>
          <w:b/>
          <w:bCs/>
          <w:color w:val="000000" w:themeColor="text1"/>
        </w:rPr>
        <w:t xml:space="preserve"> </w:t>
      </w:r>
      <w:r w:rsidRPr="007B48AE">
        <w:rPr>
          <w:b/>
          <w:bCs/>
          <w:color w:val="000000" w:themeColor="text1"/>
        </w:rPr>
        <w:t>received on cost and hour burden.</w:t>
      </w:r>
    </w:p>
    <w:p w:rsidR="00FB2BBA" w:rsidRPr="00B47224" w:rsidP="00FB2BBA" w14:paraId="0085E383" w14:textId="62365D51">
      <w:pPr>
        <w:spacing w:line="276" w:lineRule="auto"/>
        <w:contextualSpacing/>
        <w:rPr>
          <w:color w:val="000000" w:themeColor="text1"/>
        </w:rPr>
      </w:pPr>
      <w:r w:rsidRPr="007B48AE">
        <w:rPr>
          <w:color w:val="000000" w:themeColor="text1"/>
        </w:rPr>
        <w:fldChar w:fldCharType="begin"/>
      </w:r>
      <w:r w:rsidRPr="007B48AE" w:rsidR="00842E74">
        <w:rPr>
          <w:color w:val="000000" w:themeColor="text1"/>
        </w:rPr>
        <w:instrText>ADVANCE \R 0.95</w:instrText>
      </w:r>
      <w:r w:rsidRPr="007B48AE">
        <w:rPr>
          <w:color w:val="000000" w:themeColor="text1"/>
        </w:rPr>
        <w:fldChar w:fldCharType="end"/>
      </w:r>
    </w:p>
    <w:p w:rsidR="00FB2BBA" w:rsidRPr="00B47224" w:rsidP="00FB2BBA" w14:paraId="2B75BEBB" w14:textId="1963CD07">
      <w:pPr>
        <w:spacing w:line="276" w:lineRule="auto"/>
        <w:contextualSpacing/>
        <w:rPr>
          <w:color w:val="000000" w:themeColor="text1"/>
        </w:rPr>
      </w:pPr>
      <w:r w:rsidRPr="00B47224">
        <w:rPr>
          <w:color w:val="000000" w:themeColor="text1"/>
        </w:rPr>
        <w:t>A 60-day Federal Register Notice inviting public comments was published on September 1, 2022, at 87 FR 53760.  No comments were received.</w:t>
      </w:r>
    </w:p>
    <w:p w:rsidR="00FB2BBA" w:rsidRPr="002A6107" w:rsidP="00FB2BBA" w14:paraId="5F22D0DE" w14:textId="77777777">
      <w:pPr>
        <w:spacing w:line="276" w:lineRule="auto"/>
        <w:contextualSpacing/>
      </w:pPr>
    </w:p>
    <w:p w:rsidR="00FB2BBA" w:rsidRPr="006D77F3" w:rsidP="00FB2BBA" w14:paraId="55B3BE2F" w14:textId="0D917BBE">
      <w:pPr>
        <w:spacing w:line="276" w:lineRule="auto"/>
        <w:contextualSpacing/>
        <w:rPr>
          <w:color w:val="000000" w:themeColor="text1"/>
        </w:rPr>
      </w:pPr>
      <w:r w:rsidRPr="006D77F3">
        <w:rPr>
          <w:color w:val="000000" w:themeColor="text1"/>
        </w:rPr>
        <w:t xml:space="preserve">A 30-day Federal Register Notice inviting public comments was published on </w:t>
      </w:r>
      <w:r w:rsidRPr="006D77F3" w:rsidR="003C5871">
        <w:rPr>
          <w:color w:val="000000" w:themeColor="text1"/>
        </w:rPr>
        <w:t>November 28, 2022, at 87 FR 73014</w:t>
      </w:r>
      <w:r w:rsidRPr="006D77F3">
        <w:rPr>
          <w:color w:val="000000" w:themeColor="text1"/>
        </w:rPr>
        <w:t xml:space="preserve">.  </w:t>
      </w:r>
      <w:r w:rsidRPr="006D77F3" w:rsidR="003C5871">
        <w:rPr>
          <w:color w:val="000000" w:themeColor="text1"/>
        </w:rPr>
        <w:t>The public comment period is open until December 28, 2022.</w:t>
      </w:r>
    </w:p>
    <w:p w:rsidR="00FB2BBA" w:rsidRPr="002A6107" w:rsidP="00FB2BBA" w14:paraId="6B93F806" w14:textId="77777777">
      <w:pPr>
        <w:spacing w:line="276" w:lineRule="auto"/>
        <w:contextualSpacing/>
      </w:pPr>
    </w:p>
    <w:p w:rsidR="00842E74" w:rsidRPr="007B48AE" w:rsidP="007B48AE" w14:paraId="2B324DFE" w14:textId="41AF128F">
      <w:pPr>
        <w:spacing w:line="276" w:lineRule="auto"/>
        <w:contextualSpacing/>
        <w:rPr>
          <w:b/>
          <w:bCs/>
        </w:rPr>
      </w:pPr>
      <w:r w:rsidRPr="007B48AE">
        <w:rPr>
          <w:color w:val="000000" w:themeColor="text1"/>
        </w:rPr>
        <w:fldChar w:fldCharType="begin"/>
      </w:r>
      <w:r w:rsidRPr="007B48AE">
        <w:rPr>
          <w:color w:val="000000" w:themeColor="text1"/>
        </w:rPr>
        <w:instrText>ADVANCE \R 0.95</w:instrText>
      </w:r>
      <w:r w:rsidRPr="007B48AE">
        <w:rPr>
          <w:color w:val="000000" w:themeColor="text1"/>
        </w:rPr>
        <w:fldChar w:fldCharType="end"/>
      </w:r>
      <w:r w:rsidRPr="007B48AE">
        <w:rPr>
          <w:color w:val="000000" w:themeColor="text1"/>
        </w:rPr>
        <w:tab/>
      </w:r>
      <w:r w:rsidRPr="007B48AE">
        <w:rPr>
          <w:b/>
          <w:bCs/>
          <w:color w:val="000000" w:themeColor="text1"/>
        </w:rPr>
        <w:t xml:space="preserve">b.  </w:t>
      </w:r>
      <w:r w:rsidRPr="007B48AE">
        <w:rPr>
          <w:b/>
          <w:bCs/>
        </w:rPr>
        <w:t xml:space="preserve">Describe efforts to consult with persons outside the agency to obtain their views on the availability of data, frequency of collection, the clarity of </w:t>
      </w:r>
      <w:r w:rsidRPr="007B48AE" w:rsidR="00232C69">
        <w:rPr>
          <w:b/>
          <w:bCs/>
        </w:rPr>
        <w:t>ins</w:t>
      </w:r>
      <w:r w:rsidRPr="007B48AE">
        <w:rPr>
          <w:b/>
          <w:bCs/>
        </w:rPr>
        <w:t>tructions and recordkeeping, disclosure, or reporting format (if any), and on the data elements to be recorded, disclosed, or reported.</w:t>
      </w:r>
    </w:p>
    <w:p w:rsidR="0098231F" w:rsidRPr="007B48AE" w:rsidP="007B48AE" w14:paraId="43E6D986" w14:textId="77777777">
      <w:pPr>
        <w:tabs>
          <w:tab w:val="left" w:pos="360"/>
        </w:tabs>
        <w:spacing w:line="276" w:lineRule="auto"/>
        <w:contextualSpacing/>
        <w:rPr>
          <w:b/>
          <w:bCs/>
        </w:rPr>
      </w:pPr>
    </w:p>
    <w:p w:rsidR="00B71832" w:rsidRPr="007B48AE" w:rsidP="007B48AE" w14:paraId="2F2A0345" w14:textId="39DCC0E9">
      <w:pPr>
        <w:tabs>
          <w:tab w:val="left" w:pos="360"/>
        </w:tabs>
        <w:spacing w:line="276" w:lineRule="auto"/>
        <w:contextualSpacing/>
      </w:pPr>
      <w:r w:rsidRPr="007B48AE">
        <w:t xml:space="preserve">FEMA regularly </w:t>
      </w:r>
      <w:r w:rsidRPr="007B48AE" w:rsidR="6D792C2D">
        <w:t>receives</w:t>
      </w:r>
      <w:r w:rsidRPr="007B48AE">
        <w:t xml:space="preserve"> input on the information collected </w:t>
      </w:r>
      <w:r w:rsidRPr="007B48AE" w:rsidR="37A0FE43">
        <w:t>during CAC</w:t>
      </w:r>
      <w:r w:rsidRPr="007B48AE" w:rsidR="1D6B5A5D">
        <w:t>s</w:t>
      </w:r>
      <w:r w:rsidRPr="007B48AE" w:rsidR="37A0FE43">
        <w:t xml:space="preserve"> and CAV</w:t>
      </w:r>
      <w:r w:rsidRPr="007B48AE" w:rsidR="1D6B5A5D">
        <w:t>s</w:t>
      </w:r>
      <w:r w:rsidRPr="007B48AE" w:rsidR="37A0FE43">
        <w:t xml:space="preserve"> </w:t>
      </w:r>
      <w:r w:rsidRPr="007B48AE">
        <w:t>from State officials involved wi</w:t>
      </w:r>
      <w:r w:rsidRPr="007B48AE" w:rsidR="7EC8EAC1">
        <w:t xml:space="preserve">th floodplain management.  </w:t>
      </w:r>
      <w:r w:rsidRPr="007B48AE" w:rsidR="3D24763E">
        <w:t xml:space="preserve">As mentioned above,  FEMA (Floodplain Management Division) is redesigning </w:t>
      </w:r>
      <w:r w:rsidRPr="007B48AE" w:rsidR="1F84FD23">
        <w:t xml:space="preserve">aspects of the </w:t>
      </w:r>
      <w:r w:rsidRPr="007B48AE" w:rsidR="3D24763E">
        <w:t xml:space="preserve">NFIP Compliance </w:t>
      </w:r>
      <w:r w:rsidRPr="007B48AE" w:rsidR="1F84FD23">
        <w:t xml:space="preserve">process </w:t>
      </w:r>
      <w:r w:rsidRPr="007B48AE" w:rsidR="3D24763E">
        <w:t>through a Compliance C</w:t>
      </w:r>
      <w:r w:rsidRPr="007B48AE" w:rsidR="3EE34C8A">
        <w:t>o</w:t>
      </w:r>
      <w:r w:rsidRPr="007B48AE" w:rsidR="3D24763E">
        <w:t>mmittee</w:t>
      </w:r>
      <w:r w:rsidRPr="007B48AE" w:rsidR="3EE34C8A">
        <w:t xml:space="preserve"> </w:t>
      </w:r>
      <w:r w:rsidRPr="007B48AE" w:rsidR="1F84FD23">
        <w:t>which consists</w:t>
      </w:r>
      <w:r w:rsidRPr="007B48AE" w:rsidR="3EE34C8A">
        <w:t xml:space="preserve"> of </w:t>
      </w:r>
      <w:r w:rsidRPr="007B48AE" w:rsidR="1F84FD23">
        <w:t>representatives from each FEMA Regional Office</w:t>
      </w:r>
      <w:r w:rsidRPr="007B48AE" w:rsidR="602D764F">
        <w:t xml:space="preserve">, a </w:t>
      </w:r>
      <w:r w:rsidRPr="007B48AE" w:rsidR="3D24763E">
        <w:t>Floodplain Management Division</w:t>
      </w:r>
      <w:r w:rsidRPr="007B48AE" w:rsidR="7C91B217">
        <w:t xml:space="preserve"> </w:t>
      </w:r>
      <w:r w:rsidRPr="007B48AE" w:rsidR="602D764F">
        <w:t xml:space="preserve">project manager, and a Regional FEMA </w:t>
      </w:r>
      <w:r w:rsidRPr="007B48AE" w:rsidR="253F5BD3">
        <w:t>Floodplain</w:t>
      </w:r>
      <w:r w:rsidRPr="007B48AE" w:rsidR="602D764F">
        <w:t xml:space="preserve"> Management &amp; </w:t>
      </w:r>
      <w:r w:rsidRPr="007B48AE" w:rsidR="253F5BD3">
        <w:t>Insurance Branch Chief</w:t>
      </w:r>
      <w:r w:rsidRPr="007B48AE" w:rsidR="602D764F">
        <w:t xml:space="preserve"> Sponsor.</w:t>
      </w:r>
      <w:r w:rsidRPr="007B48AE" w:rsidR="253F5BD3">
        <w:t xml:space="preserve"> </w:t>
      </w:r>
      <w:r w:rsidRPr="007B48AE" w:rsidR="33DCC9A2">
        <w:t xml:space="preserve"> </w:t>
      </w:r>
      <w:r w:rsidRPr="007B48AE" w:rsidR="21318926">
        <w:t xml:space="preserve">This Committee regularly provides feedback </w:t>
      </w:r>
      <w:r w:rsidRPr="007B48AE" w:rsidR="599371A0">
        <w:t>on the information collected for the new proposed NFIP Compliance Redesign</w:t>
      </w:r>
      <w:r w:rsidRPr="007B48AE" w:rsidR="6FF7ED39">
        <w:t xml:space="preserve"> that will eventually replace the current CAC and CAV Reports</w:t>
      </w:r>
      <w:r w:rsidRPr="007B48AE" w:rsidR="599371A0">
        <w:t xml:space="preserve">. </w:t>
      </w:r>
      <w:r w:rsidRPr="007B48AE" w:rsidR="33DCC9A2">
        <w:t xml:space="preserve"> </w:t>
      </w:r>
      <w:r w:rsidRPr="007B48AE" w:rsidR="1F217FA5">
        <w:t>After the process is piloted in</w:t>
      </w:r>
      <w:r w:rsidRPr="007B48AE" w:rsidR="002403C0">
        <w:t xml:space="preserve"> the</w:t>
      </w:r>
      <w:r w:rsidRPr="007B48AE" w:rsidR="1F217FA5">
        <w:t xml:space="preserve"> summer of 2022, 7 volunteer states will also provide feedback. </w:t>
      </w:r>
      <w:r w:rsidRPr="007B48AE" w:rsidR="33DCC9A2">
        <w:t xml:space="preserve"> </w:t>
      </w:r>
      <w:r w:rsidRPr="007B48AE" w:rsidR="03637FF6">
        <w:t>Feedback was collected after presentations at every Regional C</w:t>
      </w:r>
      <w:r w:rsidRPr="007B48AE" w:rsidR="00F415CC">
        <w:t>ommunity Assistance Program (C</w:t>
      </w:r>
      <w:r w:rsidRPr="007B48AE" w:rsidR="03637FF6">
        <w:t>AP</w:t>
      </w:r>
      <w:r w:rsidRPr="007B48AE" w:rsidR="00F415CC">
        <w:t>)</w:t>
      </w:r>
      <w:r w:rsidRPr="007B48AE" w:rsidR="03637FF6">
        <w:t xml:space="preserve"> Conference, the A</w:t>
      </w:r>
      <w:r w:rsidRPr="007B48AE" w:rsidR="003E222C">
        <w:t>ssociation of State Floodplain Managers (A</w:t>
      </w:r>
      <w:r w:rsidRPr="007B48AE" w:rsidR="03637FF6">
        <w:t>SFPM</w:t>
      </w:r>
      <w:r w:rsidRPr="007B48AE" w:rsidR="003E222C">
        <w:t>)</w:t>
      </w:r>
      <w:r w:rsidRPr="007B48AE" w:rsidR="03637FF6">
        <w:t xml:space="preserve"> Conference, Hazard Mitigation Workshop, and other venues. </w:t>
      </w:r>
      <w:r w:rsidRPr="007B48AE" w:rsidR="33DCC9A2">
        <w:t xml:space="preserve"> </w:t>
      </w:r>
      <w:r w:rsidRPr="007B48AE" w:rsidR="6C5EA1D1">
        <w:t xml:space="preserve">Through these </w:t>
      </w:r>
      <w:r w:rsidRPr="007B48AE" w:rsidR="55E214AF">
        <w:t>engagements</w:t>
      </w:r>
      <w:r w:rsidRPr="007B48AE" w:rsidR="6C5EA1D1">
        <w:t>, policy issues on the process are discussed and, when appropriate, incorporated into future year</w:t>
      </w:r>
      <w:r w:rsidRPr="007B48AE" w:rsidR="00EEE922">
        <w:t>s’</w:t>
      </w:r>
      <w:r w:rsidRPr="007B48AE" w:rsidR="6C5EA1D1">
        <w:t xml:space="preserve"> guidance.</w:t>
      </w:r>
    </w:p>
    <w:p w:rsidR="002C4012" w:rsidRPr="007B48AE" w:rsidP="007B48AE" w14:paraId="7C3755A3" w14:textId="77777777">
      <w:pPr>
        <w:spacing w:line="276" w:lineRule="auto"/>
        <w:contextualSpacing/>
        <w:rPr>
          <w:b/>
        </w:rPr>
      </w:pPr>
    </w:p>
    <w:p w:rsidR="00842E74" w:rsidRPr="007B48AE" w:rsidP="007B48AE" w14:paraId="71DD3936" w14:textId="77777777">
      <w:pPr>
        <w:tabs>
          <w:tab w:val="left" w:pos="360"/>
        </w:tabs>
        <w:spacing w:line="276" w:lineRule="auto"/>
        <w:contextualSpacing/>
        <w:rPr>
          <w:b/>
          <w:bCs/>
        </w:rPr>
      </w:pPr>
      <w:r w:rsidRPr="007B48AE">
        <w:rPr>
          <w:b/>
          <w:bCs/>
        </w:rPr>
        <w:tab/>
      </w:r>
      <w:r w:rsidRPr="007B48AE" w:rsidR="00920A21">
        <w:rPr>
          <w:b/>
          <w:bCs/>
        </w:rPr>
        <w:tab/>
      </w:r>
      <w:r w:rsidRPr="007B48AE">
        <w:rPr>
          <w:b/>
          <w:bCs/>
        </w:rPr>
        <w:t xml:space="preserve">c. Describe consultations with representatives of those from whom information is to be obtained or those who must compile records. </w:t>
      </w:r>
      <w:r w:rsidRPr="007B48AE" w:rsidR="0000174D">
        <w:rPr>
          <w:b/>
          <w:bCs/>
        </w:rPr>
        <w:t xml:space="preserve"> </w:t>
      </w:r>
      <w:r w:rsidRPr="007B48AE">
        <w:rPr>
          <w:b/>
          <w:bCs/>
        </w:rPr>
        <w:t>Consultation should occur at least once every three years, even if the collection of information activities is the same as in prior periods.  There may</w:t>
      </w:r>
      <w:r w:rsidRPr="007B48AE" w:rsidR="00232C69">
        <w:rPr>
          <w:b/>
          <w:bCs/>
        </w:rPr>
        <w:t xml:space="preserve"> </w:t>
      </w:r>
      <w:r w:rsidRPr="007B48AE">
        <w:rPr>
          <w:b/>
          <w:bCs/>
        </w:rPr>
        <w:t xml:space="preserve">be circumstances that may preclude consultation in a specific situation. </w:t>
      </w:r>
      <w:r w:rsidRPr="007B48AE" w:rsidR="0000174D">
        <w:rPr>
          <w:b/>
          <w:bCs/>
        </w:rPr>
        <w:t xml:space="preserve"> </w:t>
      </w:r>
      <w:r w:rsidRPr="007B48AE">
        <w:rPr>
          <w:b/>
          <w:bCs/>
        </w:rPr>
        <w:t>These circumstances should be explained.</w:t>
      </w:r>
    </w:p>
    <w:p w:rsidR="00842E74" w:rsidRPr="007B48AE" w:rsidP="007B48AE" w14:paraId="4EE8B524" w14:textId="7467BEFA">
      <w:pPr>
        <w:spacing w:line="276" w:lineRule="auto"/>
        <w:contextualSpacing/>
      </w:pPr>
    </w:p>
    <w:p w:rsidR="00E551E0" w:rsidRPr="007B48AE" w:rsidP="007B48AE" w14:paraId="507A0EE7" w14:textId="3507174D">
      <w:pPr>
        <w:spacing w:line="276" w:lineRule="auto"/>
        <w:contextualSpacing/>
        <w:rPr>
          <w:color w:val="000000" w:themeColor="text1"/>
        </w:rPr>
      </w:pPr>
      <w:r w:rsidRPr="007B48AE">
        <w:rPr>
          <w:color w:val="000000" w:themeColor="text1"/>
        </w:rPr>
        <w:t>The NFIP is a voluntary program</w:t>
      </w:r>
      <w:r w:rsidRPr="007B48AE" w:rsidR="00F5434A">
        <w:rPr>
          <w:color w:val="000000" w:themeColor="text1"/>
        </w:rPr>
        <w:t xml:space="preserve"> in which a community agrees to periodic audits of their program through the CAV and CAC process</w:t>
      </w:r>
      <w:r w:rsidRPr="007B48AE" w:rsidR="002E66E9">
        <w:rPr>
          <w:color w:val="000000" w:themeColor="text1"/>
        </w:rPr>
        <w:t>.</w:t>
      </w:r>
    </w:p>
    <w:p w:rsidR="009252A6" w:rsidRPr="007B48AE" w:rsidP="007B48AE" w14:paraId="6B9A83A9" w14:textId="21B9CE6D">
      <w:pPr>
        <w:spacing w:line="276" w:lineRule="auto"/>
        <w:contextualSpacing/>
        <w:rPr>
          <w:color w:val="000000" w:themeColor="text1"/>
        </w:rPr>
      </w:pPr>
    </w:p>
    <w:p w:rsidR="00842E74" w:rsidRPr="007B48AE" w:rsidP="007B48AE" w14:paraId="45E6B585" w14:textId="77777777">
      <w:pPr>
        <w:spacing w:line="276" w:lineRule="auto"/>
        <w:contextualSpacing/>
        <w:rPr>
          <w:b/>
          <w:bCs/>
        </w:rPr>
      </w:pPr>
      <w:r w:rsidRPr="007B48AE">
        <w:rPr>
          <w:b/>
          <w:bCs/>
          <w:color w:val="FF0000"/>
        </w:rPr>
        <w:fldChar w:fldCharType="begin"/>
      </w:r>
      <w:r w:rsidRPr="007B48AE">
        <w:rPr>
          <w:b/>
          <w:bCs/>
          <w:color w:val="FF0000"/>
        </w:rPr>
        <w:instrText>ADVANCE \R 0.95</w:instrText>
      </w:r>
      <w:r w:rsidRPr="007B48AE">
        <w:rPr>
          <w:b/>
          <w:bCs/>
          <w:color w:val="FF0000"/>
        </w:rPr>
        <w:fldChar w:fldCharType="end"/>
      </w:r>
      <w:r w:rsidRPr="007B48AE">
        <w:rPr>
          <w:b/>
          <w:bCs/>
        </w:rPr>
        <w:t>9.  Explain any decision to provide any payment or gift to respondents, other than remuneration of contractors or grantees.</w:t>
      </w:r>
    </w:p>
    <w:p w:rsidR="00842E74" w:rsidRPr="007B48AE" w:rsidP="007B48AE" w14:paraId="3ECE7BD2" w14:textId="77777777">
      <w:pPr>
        <w:spacing w:line="276" w:lineRule="auto"/>
        <w:contextualSpacing/>
      </w:pPr>
    </w:p>
    <w:p w:rsidR="008768B8" w:rsidRPr="007B48AE" w:rsidP="007B48AE" w14:paraId="1270EC3A" w14:textId="77777777">
      <w:pPr>
        <w:spacing w:line="276" w:lineRule="auto"/>
        <w:contextualSpacing/>
      </w:pPr>
      <w:r w:rsidRPr="007B48AE">
        <w:t>FEMA does not provide payments or gifts to respondents in exchange for a benefit sought.</w:t>
      </w:r>
    </w:p>
    <w:p w:rsidR="008768B8" w:rsidRPr="007B48AE" w:rsidP="007B48AE" w14:paraId="112324BF" w14:textId="77777777">
      <w:pPr>
        <w:spacing w:line="276" w:lineRule="auto"/>
        <w:contextualSpacing/>
      </w:pPr>
    </w:p>
    <w:p w:rsidR="00842E74" w:rsidRPr="007B48AE" w:rsidP="007B48AE" w14:paraId="0C45654B" w14:textId="77777777">
      <w:pPr>
        <w:tabs>
          <w:tab w:val="left" w:pos="360"/>
        </w:tabs>
        <w:spacing w:line="276" w:lineRule="auto"/>
        <w:contextualSpacing/>
        <w:rPr>
          <w:b/>
          <w:bCs/>
        </w:rPr>
      </w:pPr>
      <w:r w:rsidRPr="007B48AE">
        <w:rPr>
          <w:b/>
          <w:bCs/>
        </w:rPr>
        <w:t xml:space="preserve">10.  </w:t>
      </w:r>
      <w:r w:rsidRPr="007B48AE">
        <w:rPr>
          <w:b/>
          <w:bCs/>
        </w:rPr>
        <w:t>Describe any assurance of confidentiality provided to respondents</w:t>
      </w:r>
      <w:r w:rsidRPr="007B48AE" w:rsidR="0094233D">
        <w:rPr>
          <w:b/>
          <w:bCs/>
        </w:rPr>
        <w:t xml:space="preserve">. </w:t>
      </w:r>
      <w:r w:rsidRPr="007B48AE">
        <w:rPr>
          <w:b/>
          <w:bCs/>
        </w:rPr>
        <w:t xml:space="preserve"> </w:t>
      </w:r>
      <w:r w:rsidRPr="007B48AE" w:rsidR="0094233D">
        <w:rPr>
          <w:b/>
          <w:bCs/>
        </w:rPr>
        <w:t xml:space="preserve">Present </w:t>
      </w:r>
      <w:r w:rsidRPr="007B48AE">
        <w:rPr>
          <w:b/>
          <w:bCs/>
        </w:rPr>
        <w:t xml:space="preserve">the basis for the assurance in statute, regulation, or agency policy.  </w:t>
      </w:r>
    </w:p>
    <w:p w:rsidR="008F101C" w:rsidRPr="007B48AE" w:rsidP="007B48AE" w14:paraId="5D4BA0AC" w14:textId="77777777">
      <w:pPr>
        <w:tabs>
          <w:tab w:val="left" w:pos="360"/>
        </w:tabs>
        <w:spacing w:line="276" w:lineRule="auto"/>
        <w:contextualSpacing/>
        <w:rPr>
          <w:color w:val="000000" w:themeColor="text1"/>
        </w:rPr>
      </w:pPr>
      <w:r w:rsidRPr="007B48AE">
        <w:rPr>
          <w:color w:val="FF0000"/>
        </w:rPr>
        <w:fldChar w:fldCharType="begin"/>
      </w:r>
      <w:r w:rsidRPr="007B48AE" w:rsidR="00842E74">
        <w:rPr>
          <w:color w:val="FF0000"/>
        </w:rPr>
        <w:instrText>ADVANCE \R 0.95</w:instrText>
      </w:r>
      <w:r w:rsidRPr="007B48AE">
        <w:rPr>
          <w:color w:val="FF0000"/>
        </w:rPr>
        <w:fldChar w:fldCharType="end"/>
      </w:r>
    </w:p>
    <w:p w:rsidR="003410EC" w:rsidRPr="007B48AE" w:rsidP="007B48AE" w14:paraId="7E94201F" w14:textId="5DC86185">
      <w:pPr>
        <w:tabs>
          <w:tab w:val="left" w:pos="360"/>
        </w:tabs>
        <w:spacing w:line="276" w:lineRule="auto"/>
        <w:contextualSpacing/>
        <w:rPr>
          <w:color w:val="000000" w:themeColor="text1"/>
        </w:rPr>
      </w:pPr>
      <w:r w:rsidRPr="297EC955">
        <w:rPr>
          <w:color w:val="000000" w:themeColor="text1"/>
        </w:rPr>
        <w:t>A</w:t>
      </w:r>
      <w:r w:rsidRPr="297EC955" w:rsidR="008B72DE">
        <w:rPr>
          <w:color w:val="000000" w:themeColor="text1"/>
        </w:rPr>
        <w:t>n updated</w:t>
      </w:r>
      <w:r w:rsidRPr="297EC955">
        <w:rPr>
          <w:color w:val="000000" w:themeColor="text1"/>
        </w:rPr>
        <w:t xml:space="preserve"> Privacy Threshold Analysis (PTA) </w:t>
      </w:r>
      <w:r w:rsidRPr="297EC955" w:rsidR="00A77931">
        <w:rPr>
          <w:color w:val="000000" w:themeColor="text1"/>
        </w:rPr>
        <w:t xml:space="preserve">draft is </w:t>
      </w:r>
      <w:r w:rsidRPr="297EC955" w:rsidR="00727D97">
        <w:rPr>
          <w:color w:val="000000" w:themeColor="text1"/>
        </w:rPr>
        <w:t xml:space="preserve">currently </w:t>
      </w:r>
      <w:r w:rsidRPr="297EC955" w:rsidR="00A77931">
        <w:rPr>
          <w:color w:val="000000" w:themeColor="text1"/>
        </w:rPr>
        <w:t xml:space="preserve">with </w:t>
      </w:r>
      <w:r w:rsidRPr="297EC955" w:rsidR="00727D97">
        <w:rPr>
          <w:color w:val="000000" w:themeColor="text1"/>
        </w:rPr>
        <w:t xml:space="preserve">FEMA’s </w:t>
      </w:r>
      <w:r w:rsidRPr="297EC955" w:rsidR="00A77931">
        <w:rPr>
          <w:color w:val="000000" w:themeColor="text1"/>
        </w:rPr>
        <w:t xml:space="preserve">Privacy </w:t>
      </w:r>
      <w:r w:rsidRPr="297EC955" w:rsidR="00727D97">
        <w:rPr>
          <w:color w:val="000000" w:themeColor="text1"/>
        </w:rPr>
        <w:t xml:space="preserve">Branch </w:t>
      </w:r>
      <w:r w:rsidRPr="297EC955" w:rsidR="00A77931">
        <w:rPr>
          <w:color w:val="000000" w:themeColor="text1"/>
        </w:rPr>
        <w:t xml:space="preserve">for review.  </w:t>
      </w:r>
    </w:p>
    <w:p w:rsidR="003410EC" w:rsidRPr="007B48AE" w:rsidP="007B48AE" w14:paraId="7AB111C1" w14:textId="77777777">
      <w:pPr>
        <w:tabs>
          <w:tab w:val="left" w:pos="360"/>
        </w:tabs>
        <w:spacing w:line="276" w:lineRule="auto"/>
        <w:contextualSpacing/>
        <w:rPr>
          <w:color w:val="000000" w:themeColor="text1"/>
        </w:rPr>
      </w:pPr>
    </w:p>
    <w:p w:rsidR="003410EC" w:rsidRPr="007B48AE" w:rsidP="007B48AE" w14:paraId="760305FB" w14:textId="77777777">
      <w:pPr>
        <w:tabs>
          <w:tab w:val="left" w:pos="360"/>
        </w:tabs>
        <w:spacing w:line="276" w:lineRule="auto"/>
        <w:contextualSpacing/>
        <w:rPr>
          <w:color w:val="000000" w:themeColor="text1"/>
        </w:rPr>
      </w:pPr>
      <w:r w:rsidRPr="007B48AE">
        <w:rPr>
          <w:color w:val="000000" w:themeColor="text1"/>
        </w:rPr>
        <w:t xml:space="preserve">There are no assurances of confidentiality provided to the respondents for this information collection. </w:t>
      </w:r>
    </w:p>
    <w:p w:rsidR="003410EC" w:rsidRPr="007B48AE" w:rsidP="007B48AE" w14:paraId="6D096B89" w14:textId="77777777">
      <w:pPr>
        <w:tabs>
          <w:tab w:val="left" w:pos="360"/>
        </w:tabs>
        <w:spacing w:line="276" w:lineRule="auto"/>
        <w:contextualSpacing/>
        <w:rPr>
          <w:color w:val="000000" w:themeColor="text1"/>
        </w:rPr>
      </w:pPr>
    </w:p>
    <w:p w:rsidR="00842E74" w:rsidRPr="007B48AE" w:rsidP="007B48AE" w14:paraId="7196A126" w14:textId="77777777">
      <w:pPr>
        <w:tabs>
          <w:tab w:val="left" w:pos="360"/>
        </w:tabs>
        <w:spacing w:line="276" w:lineRule="auto"/>
        <w:contextualSpacing/>
        <w:rPr>
          <w:b/>
          <w:bCs/>
        </w:rPr>
      </w:pPr>
      <w:r w:rsidRPr="007B48AE">
        <w:rPr>
          <w:b/>
          <w:bCs/>
        </w:rPr>
        <w:t xml:space="preserve">11.  Provide additional justification for any question </w:t>
      </w:r>
      <w:r w:rsidRPr="007B48AE" w:rsidR="000E0572">
        <w:rPr>
          <w:b/>
          <w:bCs/>
        </w:rPr>
        <w:t>of</w:t>
      </w:r>
      <w:r w:rsidRPr="007B48AE">
        <w:rPr>
          <w:b/>
          <w:bCs/>
        </w:rPr>
        <w:t xml:space="preserve"> </w:t>
      </w:r>
      <w:r w:rsidRPr="007B48AE" w:rsidR="000E0572">
        <w:rPr>
          <w:b/>
          <w:bCs/>
        </w:rPr>
        <w:t xml:space="preserve">a </w:t>
      </w:r>
      <w:r w:rsidRPr="007B48AE">
        <w:rPr>
          <w:b/>
          <w:bCs/>
        </w:rPr>
        <w:t xml:space="preserve">sensitive </w:t>
      </w:r>
      <w:r w:rsidRPr="007B48AE" w:rsidR="000E0572">
        <w:rPr>
          <w:b/>
          <w:bCs/>
        </w:rPr>
        <w:t>nature</w:t>
      </w:r>
      <w:r w:rsidRPr="007B48AE">
        <w:rPr>
          <w:b/>
          <w:bCs/>
        </w:rPr>
        <w:t xml:space="preserve"> </w:t>
      </w:r>
      <w:r w:rsidRPr="007B48AE" w:rsidR="000E0572">
        <w:rPr>
          <w:b/>
          <w:bCs/>
        </w:rPr>
        <w:t>(</w:t>
      </w:r>
      <w:r w:rsidRPr="007B48AE">
        <w:rPr>
          <w:b/>
          <w:bCs/>
        </w:rPr>
        <w:t>such as sexual behavior and attitudes, religious beliefs and other matters that are commonly considered private</w:t>
      </w:r>
      <w:r w:rsidRPr="007B48AE" w:rsidR="000E0572">
        <w:rPr>
          <w:b/>
          <w:bCs/>
        </w:rPr>
        <w:t>)</w:t>
      </w:r>
      <w:r w:rsidRPr="007B48AE">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Pr="007B48AE" w:rsidP="007B48AE" w14:paraId="3AB113A9" w14:textId="77777777">
      <w:pPr>
        <w:spacing w:line="276" w:lineRule="auto"/>
        <w:contextualSpacing/>
      </w:pPr>
    </w:p>
    <w:p w:rsidR="008768B8" w:rsidRPr="007B48AE" w:rsidP="007B48AE" w14:paraId="364C00C1" w14:textId="017C54C1">
      <w:pPr>
        <w:spacing w:line="276" w:lineRule="auto"/>
        <w:contextualSpacing/>
      </w:pPr>
      <w:r>
        <w:t xml:space="preserve">There are no questions of </w:t>
      </w:r>
      <w:r w:rsidR="5E624238">
        <w:t xml:space="preserve">a </w:t>
      </w:r>
      <w:r>
        <w:t>sensitive nature.</w:t>
      </w:r>
    </w:p>
    <w:p w:rsidR="004B3431" w:rsidRPr="007B48AE" w:rsidP="007B48AE" w14:paraId="1CC5B519" w14:textId="77777777">
      <w:pPr>
        <w:spacing w:line="276" w:lineRule="auto"/>
        <w:contextualSpacing/>
      </w:pPr>
    </w:p>
    <w:p w:rsidR="00842E74" w:rsidRPr="007B48AE" w:rsidP="007B48AE" w14:paraId="67C13069" w14:textId="6B521AE2">
      <w:pPr>
        <w:spacing w:line="276" w:lineRule="auto"/>
        <w:contextualSpacing/>
        <w:rPr>
          <w:b/>
          <w:bCs/>
        </w:rPr>
      </w:pPr>
      <w:r w:rsidRPr="007B48AE">
        <w:rPr>
          <w:b/>
          <w:bCs/>
        </w:rPr>
        <w:fldChar w:fldCharType="begin"/>
      </w:r>
      <w:r w:rsidRPr="007B48AE">
        <w:rPr>
          <w:b/>
          <w:bCs/>
        </w:rPr>
        <w:instrText>ADVANCE \R 0.95</w:instrText>
      </w:r>
      <w:r w:rsidRPr="007B48AE">
        <w:rPr>
          <w:b/>
          <w:bCs/>
        </w:rPr>
        <w:fldChar w:fldCharType="end"/>
      </w:r>
      <w:r w:rsidRPr="007B48AE">
        <w:rPr>
          <w:b/>
          <w:bCs/>
        </w:rPr>
        <w:fldChar w:fldCharType="begin"/>
      </w:r>
      <w:r w:rsidRPr="007B48AE">
        <w:rPr>
          <w:b/>
          <w:bCs/>
        </w:rPr>
        <w:instrText>ADVANCE \R 0.95</w:instrText>
      </w:r>
      <w:r w:rsidRPr="007B48AE">
        <w:rPr>
          <w:b/>
          <w:bCs/>
        </w:rPr>
        <w:fldChar w:fldCharType="end"/>
      </w:r>
      <w:r w:rsidRPr="007B48AE">
        <w:rPr>
          <w:b/>
          <w:bCs/>
        </w:rPr>
        <w:t xml:space="preserve">12. </w:t>
      </w:r>
      <w:r w:rsidRPr="007B48AE" w:rsidR="00763992">
        <w:rPr>
          <w:b/>
          <w:bCs/>
        </w:rPr>
        <w:t xml:space="preserve"> </w:t>
      </w:r>
      <w:r w:rsidRPr="007B48AE">
        <w:rPr>
          <w:b/>
          <w:bCs/>
        </w:rPr>
        <w:t>Provide estimates of the hour burden of the collection of information.  The statement should:</w:t>
      </w:r>
    </w:p>
    <w:p w:rsidR="00842E74" w:rsidRPr="007B48AE" w:rsidP="007B48AE" w14:paraId="796B0C0D" w14:textId="77777777">
      <w:pPr>
        <w:spacing w:line="276" w:lineRule="auto"/>
        <w:contextualSpacing/>
        <w:rPr>
          <w:b/>
          <w:bCs/>
        </w:rPr>
      </w:pPr>
      <w:r w:rsidRPr="007B48AE">
        <w:rPr>
          <w:b/>
          <w:bCs/>
        </w:rPr>
        <w:fldChar w:fldCharType="begin"/>
      </w:r>
      <w:r w:rsidRPr="007B48AE">
        <w:rPr>
          <w:b/>
          <w:bCs/>
        </w:rPr>
        <w:instrText>ADVANCE \R 0.95</w:instrText>
      </w:r>
      <w:r w:rsidRPr="007B48AE">
        <w:rPr>
          <w:b/>
          <w:bCs/>
        </w:rPr>
        <w:fldChar w:fldCharType="end"/>
      </w:r>
      <w:r w:rsidRPr="007B48AE">
        <w:rPr>
          <w:b/>
          <w:bCs/>
        </w:rPr>
        <w:t xml:space="preserve">                                             </w:t>
      </w:r>
    </w:p>
    <w:p w:rsidR="00842E74" w:rsidRPr="007B48AE" w:rsidP="007B48AE" w14:paraId="1ABA3BBF" w14:textId="77777777">
      <w:pPr>
        <w:spacing w:line="276" w:lineRule="auto"/>
        <w:contextualSpacing/>
        <w:rPr>
          <w:b/>
          <w:bCs/>
        </w:rPr>
      </w:pPr>
      <w:r w:rsidRPr="007B48AE">
        <w:rPr>
          <w:b/>
          <w:bCs/>
        </w:rPr>
        <w:fldChar w:fldCharType="begin"/>
      </w:r>
      <w:r w:rsidRPr="007B48AE">
        <w:rPr>
          <w:b/>
          <w:bCs/>
        </w:rPr>
        <w:instrText>ADVANCE \R 0.95</w:instrText>
      </w:r>
      <w:r w:rsidRPr="007B48AE">
        <w:rPr>
          <w:b/>
          <w:bCs/>
        </w:rPr>
        <w:fldChar w:fldCharType="end"/>
      </w:r>
      <w:r w:rsidRPr="007B48AE" w:rsidR="00920A21">
        <w:rPr>
          <w:b/>
          <w:bCs/>
        </w:rPr>
        <w:tab/>
      </w:r>
      <w:r w:rsidRPr="007B48AE" w:rsidR="008A2DEE">
        <w:rPr>
          <w:b/>
          <w:bCs/>
        </w:rPr>
        <w:t xml:space="preserve">a. </w:t>
      </w:r>
      <w:r w:rsidRPr="007B48AE">
        <w:rPr>
          <w:b/>
          <w:bCs/>
        </w:rPr>
        <w:t>Indicate the number of respondents, frequency of response, annual hour burden, and an explanation of how the burden was estimated</w:t>
      </w:r>
      <w:r w:rsidRPr="007B48AE" w:rsidR="00FD6C8B">
        <w:rPr>
          <w:b/>
          <w:bCs/>
        </w:rPr>
        <w:t xml:space="preserve"> for each collection instrument (separately list each instrument and describe information as requested)</w:t>
      </w:r>
      <w:r w:rsidRPr="007B48AE">
        <w:rPr>
          <w:b/>
          <w:bCs/>
        </w:rPr>
        <w:t>.  Unless</w:t>
      </w:r>
      <w:r w:rsidRPr="007B48AE" w:rsidR="00920A21">
        <w:rPr>
          <w:b/>
          <w:bCs/>
        </w:rPr>
        <w:tab/>
      </w:r>
      <w:r w:rsidRPr="007B48AE">
        <w:rPr>
          <w:b/>
          <w:bCs/>
        </w:rPr>
        <w:t>directed to do so, agencies should not conduct special surveys to obtain</w:t>
      </w:r>
      <w:r w:rsidRPr="007B48AE" w:rsidR="00232C69">
        <w:rPr>
          <w:b/>
          <w:bCs/>
        </w:rPr>
        <w:t xml:space="preserve"> </w:t>
      </w:r>
      <w:r w:rsidRPr="007B48AE">
        <w:rPr>
          <w:b/>
          <w:bCs/>
        </w:rPr>
        <w:t xml:space="preserve">information on which to base hour burden </w:t>
      </w:r>
      <w:r w:rsidRPr="007B48AE" w:rsidR="00763992">
        <w:rPr>
          <w:b/>
          <w:bCs/>
        </w:rPr>
        <w:t>estimates.  Consultation with a</w:t>
      </w:r>
      <w:r w:rsidRPr="007B48AE" w:rsidR="00FD6C8B">
        <w:rPr>
          <w:b/>
          <w:bCs/>
        </w:rPr>
        <w:t xml:space="preserve"> </w:t>
      </w:r>
      <w:r w:rsidRPr="007B48AE">
        <w:rPr>
          <w:b/>
          <w:bCs/>
        </w:rPr>
        <w:t>sample (fewer than 10) of potential respondents is desired.  If the hour</w:t>
      </w:r>
      <w:r w:rsidRPr="007B48AE" w:rsidR="00920A21">
        <w:rPr>
          <w:b/>
          <w:bCs/>
        </w:rPr>
        <w:tab/>
      </w:r>
      <w:r w:rsidRPr="007B48AE">
        <w:rPr>
          <w:b/>
          <w:bCs/>
        </w:rPr>
        <w:t>burden on respondents is expected to vary widely because of differences in</w:t>
      </w:r>
      <w:r w:rsidRPr="007B48AE" w:rsidR="00232C69">
        <w:rPr>
          <w:b/>
          <w:bCs/>
        </w:rPr>
        <w:t xml:space="preserve"> </w:t>
      </w:r>
      <w:r w:rsidRPr="007B48AE">
        <w:rPr>
          <w:b/>
          <w:bCs/>
        </w:rPr>
        <w:t>activity, size, or complexity, show the range of estimated hour burden, and explain the reasons for the variance.  Generally, estimates should not include</w:t>
      </w:r>
      <w:r w:rsidRPr="007B48AE" w:rsidR="00232C69">
        <w:rPr>
          <w:b/>
          <w:bCs/>
        </w:rPr>
        <w:t xml:space="preserve"> </w:t>
      </w:r>
      <w:r w:rsidRPr="007B48AE">
        <w:rPr>
          <w:b/>
          <w:bCs/>
        </w:rPr>
        <w:t>burden hours for customary and usual business practices.</w:t>
      </w:r>
    </w:p>
    <w:p w:rsidR="003C59C1" w:rsidRPr="007B48AE" w:rsidP="007B48AE" w14:paraId="68C7DA71" w14:textId="77777777">
      <w:pPr>
        <w:spacing w:line="276" w:lineRule="auto"/>
        <w:contextualSpacing/>
        <w:rPr>
          <w:bCs/>
          <w:color w:val="000000" w:themeColor="text1"/>
        </w:rPr>
      </w:pPr>
    </w:p>
    <w:p w:rsidR="006F7A56" w:rsidRPr="007B48AE" w:rsidP="007B48AE" w14:paraId="1BCD79D2" w14:textId="5E653437">
      <w:pPr>
        <w:spacing w:line="276" w:lineRule="auto"/>
        <w:contextualSpacing/>
        <w:rPr>
          <w:bCs/>
          <w:color w:val="000000" w:themeColor="text1"/>
        </w:rPr>
      </w:pPr>
      <w:r w:rsidRPr="007B48AE">
        <w:rPr>
          <w:b/>
        </w:rPr>
        <w:t>FEMA Form FF-206-FY-21-141 (formerly 086-0-28(E)</w:t>
      </w:r>
      <w:r w:rsidR="00152FFE">
        <w:rPr>
          <w:b/>
        </w:rPr>
        <w:t>)</w:t>
      </w:r>
      <w:r w:rsidRPr="007B48AE">
        <w:rPr>
          <w:b/>
        </w:rPr>
        <w:t>, Community Assistance Visit Report</w:t>
      </w:r>
      <w:r w:rsidRPr="007B48AE">
        <w:t xml:space="preserve"> </w:t>
      </w:r>
      <w:r w:rsidRPr="007B48AE">
        <w:rPr>
          <w:bCs/>
          <w:color w:val="000000" w:themeColor="text1"/>
        </w:rPr>
        <w:t>is estimat</w:t>
      </w:r>
      <w:r w:rsidRPr="007B48AE" w:rsidR="00364442">
        <w:rPr>
          <w:bCs/>
          <w:color w:val="000000" w:themeColor="text1"/>
        </w:rPr>
        <w:t xml:space="preserve">ed </w:t>
      </w:r>
      <w:r w:rsidRPr="007B48AE">
        <w:rPr>
          <w:bCs/>
          <w:color w:val="000000" w:themeColor="text1"/>
        </w:rPr>
        <w:t xml:space="preserve">to have </w:t>
      </w:r>
      <w:r w:rsidRPr="007B48AE" w:rsidR="00BD1B17">
        <w:rPr>
          <w:bCs/>
          <w:color w:val="000000" w:themeColor="text1"/>
        </w:rPr>
        <w:t xml:space="preserve">50 </w:t>
      </w:r>
      <w:r w:rsidRPr="007B48AE">
        <w:rPr>
          <w:bCs/>
          <w:color w:val="000000" w:themeColor="text1"/>
        </w:rPr>
        <w:t>respondents times</w:t>
      </w:r>
      <w:r w:rsidRPr="007B48AE">
        <w:rPr>
          <w:bCs/>
          <w:color w:val="000000" w:themeColor="text1"/>
        </w:rPr>
        <w:t xml:space="preserve"> </w:t>
      </w:r>
      <w:r w:rsidRPr="007B48AE" w:rsidR="00BF06BF">
        <w:rPr>
          <w:bCs/>
          <w:color w:val="000000" w:themeColor="text1"/>
        </w:rPr>
        <w:t xml:space="preserve">10 </w:t>
      </w:r>
      <w:r w:rsidRPr="007B48AE">
        <w:rPr>
          <w:bCs/>
          <w:color w:val="000000" w:themeColor="text1"/>
        </w:rPr>
        <w:t xml:space="preserve">responses per year for </w:t>
      </w:r>
      <w:r w:rsidRPr="007B48AE" w:rsidR="00BF06BF">
        <w:rPr>
          <w:bCs/>
          <w:color w:val="000000" w:themeColor="text1"/>
        </w:rPr>
        <w:t xml:space="preserve">500 </w:t>
      </w:r>
      <w:r w:rsidRPr="007B48AE">
        <w:rPr>
          <w:bCs/>
          <w:color w:val="000000" w:themeColor="text1"/>
        </w:rPr>
        <w:t>total annual</w:t>
      </w:r>
      <w:r w:rsidRPr="007B48AE" w:rsidR="00BF06BF">
        <w:rPr>
          <w:bCs/>
          <w:color w:val="000000" w:themeColor="text1"/>
        </w:rPr>
        <w:t xml:space="preserve"> responses </w:t>
      </w:r>
      <w:r w:rsidRPr="007B48AE">
        <w:rPr>
          <w:bCs/>
          <w:color w:val="000000" w:themeColor="text1"/>
        </w:rPr>
        <w:t>(50 x 10 = 500)</w:t>
      </w:r>
      <w:r w:rsidRPr="007B48AE" w:rsidR="00BF06BF">
        <w:rPr>
          <w:bCs/>
          <w:color w:val="000000" w:themeColor="text1"/>
        </w:rPr>
        <w:t xml:space="preserve">. </w:t>
      </w:r>
      <w:r w:rsidR="00C030F4">
        <w:rPr>
          <w:bCs/>
          <w:color w:val="000000" w:themeColor="text1"/>
        </w:rPr>
        <w:t xml:space="preserve"> </w:t>
      </w:r>
      <w:r w:rsidRPr="007B48AE" w:rsidR="00E02D07">
        <w:rPr>
          <w:bCs/>
          <w:color w:val="000000" w:themeColor="text1"/>
        </w:rPr>
        <w:t xml:space="preserve">It </w:t>
      </w:r>
      <w:r w:rsidRPr="007B48AE" w:rsidR="003E5114">
        <w:rPr>
          <w:bCs/>
          <w:color w:val="000000" w:themeColor="text1"/>
        </w:rPr>
        <w:t>is</w:t>
      </w:r>
      <w:r w:rsidRPr="007B48AE">
        <w:rPr>
          <w:bCs/>
          <w:color w:val="000000" w:themeColor="text1"/>
        </w:rPr>
        <w:t xml:space="preserve"> estimated </w:t>
      </w:r>
      <w:r w:rsidRPr="007B48AE" w:rsidR="003E5114">
        <w:rPr>
          <w:bCs/>
          <w:color w:val="000000" w:themeColor="text1"/>
        </w:rPr>
        <w:t xml:space="preserve">that each response will require </w:t>
      </w:r>
      <w:r w:rsidRPr="007B48AE" w:rsidR="00E02D07">
        <w:rPr>
          <w:bCs/>
          <w:color w:val="000000" w:themeColor="text1"/>
        </w:rPr>
        <w:t>60</w:t>
      </w:r>
      <w:r w:rsidRPr="007B48AE">
        <w:rPr>
          <w:bCs/>
          <w:color w:val="000000" w:themeColor="text1"/>
        </w:rPr>
        <w:t xml:space="preserve"> </w:t>
      </w:r>
      <w:r w:rsidRPr="007B48AE" w:rsidR="003E5114">
        <w:rPr>
          <w:bCs/>
          <w:color w:val="000000" w:themeColor="text1"/>
        </w:rPr>
        <w:t xml:space="preserve">burden </w:t>
      </w:r>
      <w:r w:rsidRPr="007B48AE">
        <w:rPr>
          <w:bCs/>
          <w:color w:val="000000" w:themeColor="text1"/>
        </w:rPr>
        <w:t xml:space="preserve">hours </w:t>
      </w:r>
      <w:r w:rsidRPr="007B48AE" w:rsidR="003E5114">
        <w:rPr>
          <w:bCs/>
          <w:color w:val="000000" w:themeColor="text1"/>
        </w:rPr>
        <w:t>to complete, therefore 500 responses times 60 hours equals 30,000 total annual burden hours (500 x 60 = 30,000)</w:t>
      </w:r>
    </w:p>
    <w:p w:rsidR="006F7A56" w:rsidRPr="007B48AE" w:rsidP="007B48AE" w14:paraId="34C7245D" w14:textId="77777777">
      <w:pPr>
        <w:spacing w:line="276" w:lineRule="auto"/>
        <w:contextualSpacing/>
        <w:rPr>
          <w:bCs/>
          <w:color w:val="000000" w:themeColor="text1"/>
        </w:rPr>
      </w:pPr>
    </w:p>
    <w:p w:rsidR="006F7A56" w:rsidRPr="007B48AE" w:rsidP="007B48AE" w14:paraId="3CCDD584" w14:textId="792BEDF3">
      <w:pPr>
        <w:spacing w:line="276" w:lineRule="auto"/>
        <w:contextualSpacing/>
        <w:rPr>
          <w:bCs/>
        </w:rPr>
      </w:pPr>
      <w:r w:rsidRPr="007B48AE">
        <w:rPr>
          <w:b/>
        </w:rPr>
        <w:t>FEMA Form FF-206-FY-21-142 (formerly 086-0-29(E)), Community Assistance Contact Report</w:t>
      </w:r>
      <w:r w:rsidRPr="007B48AE">
        <w:t xml:space="preserve"> </w:t>
      </w:r>
      <w:r w:rsidRPr="007B48AE" w:rsidR="001519BC">
        <w:rPr>
          <w:bCs/>
          <w:color w:val="000000" w:themeColor="text1"/>
        </w:rPr>
        <w:t xml:space="preserve">is estimated </w:t>
      </w:r>
      <w:r w:rsidRPr="007B48AE" w:rsidR="003E5114">
        <w:rPr>
          <w:bCs/>
          <w:color w:val="000000" w:themeColor="text1"/>
        </w:rPr>
        <w:t xml:space="preserve">to have </w:t>
      </w:r>
      <w:r w:rsidRPr="007B48AE" w:rsidR="001519BC">
        <w:rPr>
          <w:bCs/>
          <w:color w:val="000000" w:themeColor="text1"/>
        </w:rPr>
        <w:t xml:space="preserve">50 </w:t>
      </w:r>
      <w:r w:rsidRPr="007B48AE" w:rsidR="003E5114">
        <w:rPr>
          <w:bCs/>
          <w:color w:val="000000" w:themeColor="text1"/>
        </w:rPr>
        <w:t>respondents times</w:t>
      </w:r>
      <w:r w:rsidRPr="007B48AE" w:rsidR="001519BC">
        <w:rPr>
          <w:bCs/>
          <w:color w:val="000000" w:themeColor="text1"/>
        </w:rPr>
        <w:t xml:space="preserve"> 30 </w:t>
      </w:r>
      <w:r w:rsidRPr="007B48AE" w:rsidR="003E5114">
        <w:rPr>
          <w:bCs/>
          <w:color w:val="000000" w:themeColor="text1"/>
        </w:rPr>
        <w:t>response per year</w:t>
      </w:r>
      <w:r w:rsidRPr="007B48AE" w:rsidR="001519BC">
        <w:rPr>
          <w:bCs/>
          <w:color w:val="000000" w:themeColor="text1"/>
        </w:rPr>
        <w:t xml:space="preserve"> for 1,500</w:t>
      </w:r>
      <w:r w:rsidRPr="007B48AE" w:rsidR="003E5114">
        <w:rPr>
          <w:bCs/>
          <w:color w:val="000000" w:themeColor="text1"/>
        </w:rPr>
        <w:t xml:space="preserve"> total annual response (50 x 30 = 1,500)</w:t>
      </w:r>
      <w:r w:rsidRPr="007B48AE" w:rsidR="001519BC">
        <w:rPr>
          <w:bCs/>
          <w:color w:val="000000" w:themeColor="text1"/>
        </w:rPr>
        <w:t xml:space="preserve">. </w:t>
      </w:r>
      <w:r w:rsidR="00C030F4">
        <w:rPr>
          <w:bCs/>
          <w:color w:val="000000" w:themeColor="text1"/>
        </w:rPr>
        <w:t xml:space="preserve"> </w:t>
      </w:r>
      <w:r w:rsidRPr="007B48AE" w:rsidR="001519BC">
        <w:rPr>
          <w:bCs/>
          <w:color w:val="000000" w:themeColor="text1"/>
        </w:rPr>
        <w:t xml:space="preserve">It </w:t>
      </w:r>
      <w:r w:rsidRPr="007B48AE" w:rsidR="003E5114">
        <w:rPr>
          <w:bCs/>
          <w:color w:val="000000" w:themeColor="text1"/>
        </w:rPr>
        <w:t>is</w:t>
      </w:r>
      <w:r w:rsidRPr="007B48AE" w:rsidR="001519BC">
        <w:rPr>
          <w:bCs/>
          <w:color w:val="000000" w:themeColor="text1"/>
        </w:rPr>
        <w:t xml:space="preserve"> </w:t>
      </w:r>
      <w:r w:rsidRPr="007B48AE" w:rsidR="001519BC">
        <w:rPr>
          <w:bCs/>
        </w:rPr>
        <w:t xml:space="preserve">estimated </w:t>
      </w:r>
      <w:r w:rsidRPr="007B48AE" w:rsidR="003E5114">
        <w:rPr>
          <w:bCs/>
        </w:rPr>
        <w:t xml:space="preserve">that each response will require </w:t>
      </w:r>
      <w:r w:rsidRPr="007B48AE" w:rsidR="00E92CE0">
        <w:rPr>
          <w:bCs/>
        </w:rPr>
        <w:t>2</w:t>
      </w:r>
      <w:r w:rsidRPr="007B48AE" w:rsidR="001519BC">
        <w:rPr>
          <w:bCs/>
        </w:rPr>
        <w:t xml:space="preserve">0 </w:t>
      </w:r>
      <w:r w:rsidRPr="007B48AE" w:rsidR="003E5114">
        <w:rPr>
          <w:bCs/>
        </w:rPr>
        <w:t xml:space="preserve">burden </w:t>
      </w:r>
      <w:r w:rsidRPr="007B48AE" w:rsidR="001519BC">
        <w:rPr>
          <w:bCs/>
        </w:rPr>
        <w:t xml:space="preserve">hours </w:t>
      </w:r>
      <w:r w:rsidRPr="007B48AE" w:rsidR="003E5114">
        <w:rPr>
          <w:bCs/>
        </w:rPr>
        <w:t xml:space="preserve">to complete, therefore 1,500 times 20 hours equals </w:t>
      </w:r>
      <w:r w:rsidRPr="007B48AE" w:rsidR="001519BC">
        <w:rPr>
          <w:bCs/>
        </w:rPr>
        <w:t xml:space="preserve">30,000 </w:t>
      </w:r>
      <w:r w:rsidRPr="007B48AE" w:rsidR="003E5114">
        <w:rPr>
          <w:bCs/>
        </w:rPr>
        <w:t xml:space="preserve">total annual burden </w:t>
      </w:r>
      <w:r w:rsidRPr="007B48AE" w:rsidR="001519BC">
        <w:rPr>
          <w:bCs/>
        </w:rPr>
        <w:t>hours</w:t>
      </w:r>
      <w:r w:rsidRPr="007B48AE" w:rsidR="003E5114">
        <w:rPr>
          <w:bCs/>
        </w:rPr>
        <w:t xml:space="preserve"> (1,500 x 20 = 30,000)</w:t>
      </w:r>
      <w:r w:rsidRPr="007B48AE" w:rsidR="001519BC">
        <w:rPr>
          <w:bCs/>
        </w:rPr>
        <w:t>.</w:t>
      </w:r>
    </w:p>
    <w:p w:rsidR="001519BC" w:rsidRPr="00152FFE" w:rsidP="007B48AE" w14:paraId="2789A656" w14:textId="25D6D932">
      <w:pPr>
        <w:spacing w:line="276" w:lineRule="auto"/>
        <w:contextualSpacing/>
        <w:rPr>
          <w:bCs/>
          <w:color w:val="000000" w:themeColor="text1"/>
        </w:rPr>
      </w:pPr>
    </w:p>
    <w:p w:rsidR="003C59C1" w:rsidRPr="00152FFE" w:rsidP="00152FFE" w14:paraId="40E434F7" w14:textId="15C01746">
      <w:pPr>
        <w:rPr>
          <w:color w:val="000000" w:themeColor="text1"/>
        </w:rPr>
      </w:pPr>
      <w:r w:rsidRPr="00152FFE">
        <w:rPr>
          <w:color w:val="000000" w:themeColor="text1"/>
        </w:rPr>
        <w:t xml:space="preserve">After conducting usability testing there is a </w:t>
      </w:r>
      <w:r w:rsidRPr="00152FFE" w:rsidR="00C030F4">
        <w:rPr>
          <w:color w:val="000000" w:themeColor="text1"/>
        </w:rPr>
        <w:t>56,000 burden hour</w:t>
      </w:r>
      <w:r w:rsidRPr="00152FFE">
        <w:rPr>
          <w:color w:val="000000" w:themeColor="text1"/>
        </w:rPr>
        <w:t xml:space="preserve"> increase on the OMB inventory.</w:t>
      </w:r>
    </w:p>
    <w:p w:rsidR="003C59C1" w:rsidRPr="00152FFE" w:rsidP="007B48AE" w14:paraId="3E570E6F" w14:textId="77777777">
      <w:pPr>
        <w:spacing w:line="276" w:lineRule="auto"/>
        <w:contextualSpacing/>
        <w:rPr>
          <w:bCs/>
          <w:color w:val="000000" w:themeColor="text1"/>
        </w:rPr>
      </w:pPr>
    </w:p>
    <w:p w:rsidR="00842E74" w:rsidRPr="007B48AE" w:rsidP="007B48AE" w14:paraId="3F850929" w14:textId="77777777">
      <w:pPr>
        <w:spacing w:line="276" w:lineRule="auto"/>
        <w:contextualSpacing/>
        <w:rPr>
          <w:b/>
          <w:bCs/>
          <w:color w:val="000000" w:themeColor="text1"/>
        </w:rPr>
      </w:pPr>
      <w:r w:rsidRPr="007B48AE">
        <w:rPr>
          <w:color w:val="000000" w:themeColor="text1"/>
        </w:rPr>
        <w:fldChar w:fldCharType="begin"/>
      </w:r>
      <w:r w:rsidRPr="007B48AE">
        <w:rPr>
          <w:color w:val="000000" w:themeColor="text1"/>
        </w:rPr>
        <w:instrText>ADVANCE \R 0.95</w:instrText>
      </w:r>
      <w:r w:rsidRPr="007B48AE">
        <w:rPr>
          <w:color w:val="000000" w:themeColor="text1"/>
        </w:rPr>
        <w:fldChar w:fldCharType="end"/>
      </w:r>
      <w:r w:rsidRPr="007B48AE">
        <w:rPr>
          <w:color w:val="000000" w:themeColor="text1"/>
        </w:rPr>
        <w:tab/>
      </w:r>
      <w:r w:rsidRPr="007B48AE">
        <w:rPr>
          <w:b/>
          <w:bCs/>
          <w:color w:val="000000" w:themeColor="text1"/>
        </w:rPr>
        <w:t>b.  If this request for approval covers more than one form, provide separate hour burden estimates for each form and aggregate the hour burdens in Item 13 of OMB Form 83-I.</w:t>
      </w:r>
    </w:p>
    <w:p w:rsidR="00842E74" w:rsidRPr="007B48AE" w:rsidP="007B48AE" w14:paraId="6DBD4C6C" w14:textId="5E1EE3E2">
      <w:pPr>
        <w:spacing w:line="276" w:lineRule="auto"/>
        <w:contextualSpacing/>
        <w:rPr>
          <w:color w:val="000000" w:themeColor="text1"/>
        </w:rPr>
      </w:pPr>
    </w:p>
    <w:p w:rsidR="00085321" w:rsidRPr="007B48AE" w:rsidP="007B48AE" w14:paraId="62193E39" w14:textId="0879D61E">
      <w:pPr>
        <w:spacing w:line="276" w:lineRule="auto"/>
        <w:contextualSpacing/>
        <w:rPr>
          <w:color w:val="000000" w:themeColor="text1"/>
        </w:rPr>
      </w:pPr>
      <w:r w:rsidRPr="007B48AE">
        <w:rPr>
          <w:color w:val="000000" w:themeColor="text1"/>
        </w:rPr>
        <w:t>Please see our response to 12a</w:t>
      </w:r>
      <w:r w:rsidRPr="007B48AE" w:rsidR="008B1675">
        <w:rPr>
          <w:color w:val="000000" w:themeColor="text1"/>
        </w:rPr>
        <w:t xml:space="preserve"> above</w:t>
      </w:r>
      <w:r w:rsidRPr="007B48AE">
        <w:rPr>
          <w:color w:val="000000" w:themeColor="text1"/>
        </w:rPr>
        <w:t xml:space="preserve"> and 12c</w:t>
      </w:r>
      <w:r w:rsidRPr="007B48AE" w:rsidR="008B1675">
        <w:rPr>
          <w:color w:val="000000" w:themeColor="text1"/>
        </w:rPr>
        <w:t xml:space="preserve"> below</w:t>
      </w:r>
      <w:r w:rsidRPr="007B48AE">
        <w:rPr>
          <w:color w:val="000000" w:themeColor="text1"/>
        </w:rPr>
        <w:t>.</w:t>
      </w:r>
    </w:p>
    <w:p w:rsidR="00085321" w:rsidRPr="007B48AE" w:rsidP="007B48AE" w14:paraId="0E2DB6CC" w14:textId="77777777">
      <w:pPr>
        <w:spacing w:line="276" w:lineRule="auto"/>
        <w:contextualSpacing/>
        <w:rPr>
          <w:color w:val="000000" w:themeColor="text1"/>
        </w:rPr>
      </w:pPr>
    </w:p>
    <w:p w:rsidR="00883BF5" w:rsidRPr="007B48AE" w:rsidP="007B48AE" w14:paraId="1229C5F8" w14:textId="32C39118">
      <w:pPr>
        <w:spacing w:line="276" w:lineRule="auto"/>
        <w:contextualSpacing/>
        <w:rPr>
          <w:b/>
          <w:bCs/>
          <w:color w:val="000000" w:themeColor="text1"/>
        </w:rPr>
      </w:pPr>
      <w:r w:rsidRPr="007B48AE">
        <w:rPr>
          <w:b/>
          <w:bCs/>
          <w:color w:val="000000" w:themeColor="text1"/>
        </w:rPr>
        <w:tab/>
        <w:t xml:space="preserve">c. Provide </w:t>
      </w:r>
      <w:r w:rsidRPr="007B48AE" w:rsidR="00763992">
        <w:rPr>
          <w:b/>
          <w:bCs/>
          <w:color w:val="000000" w:themeColor="text1"/>
        </w:rPr>
        <w:t xml:space="preserve">an </w:t>
      </w:r>
      <w:r w:rsidRPr="007B48AE">
        <w:rPr>
          <w:b/>
          <w:bCs/>
          <w:color w:val="000000" w:themeColor="text1"/>
        </w:rPr>
        <w:t>estimate of annualized cost to respondents for the hour burdens for collections of information, identifying and using appropriate</w:t>
      </w:r>
      <w:r w:rsidRPr="007B48AE" w:rsidR="00232C69">
        <w:rPr>
          <w:b/>
          <w:bCs/>
          <w:color w:val="000000" w:themeColor="text1"/>
        </w:rPr>
        <w:t xml:space="preserve"> </w:t>
      </w:r>
      <w:r w:rsidRPr="007B48AE">
        <w:rPr>
          <w:b/>
          <w:bCs/>
          <w:color w:val="000000" w:themeColor="text1"/>
        </w:rPr>
        <w:t>wage rate</w:t>
      </w:r>
      <w:r w:rsidRPr="007B48AE" w:rsidR="00763992">
        <w:rPr>
          <w:b/>
          <w:bCs/>
          <w:color w:val="000000" w:themeColor="text1"/>
        </w:rPr>
        <w:t xml:space="preserve"> </w:t>
      </w:r>
      <w:r w:rsidRPr="007B48AE">
        <w:rPr>
          <w:b/>
          <w:bCs/>
          <w:color w:val="000000" w:themeColor="text1"/>
        </w:rPr>
        <w:t>categories.</w:t>
      </w:r>
      <w:r w:rsidRPr="007B48AE" w:rsidR="009B69D3">
        <w:rPr>
          <w:b/>
          <w:bCs/>
          <w:color w:val="000000" w:themeColor="text1"/>
        </w:rPr>
        <w:t xml:space="preserve">  </w:t>
      </w:r>
    </w:p>
    <w:p w:rsidR="008B72DE" w:rsidRPr="007B48AE" w:rsidP="007B48AE" w14:paraId="79DF8414" w14:textId="77777777">
      <w:pPr>
        <w:spacing w:line="276" w:lineRule="auto"/>
        <w:contextualSpacing/>
        <w:rPr>
          <w:b/>
          <w:bCs/>
          <w:color w:val="000000" w:themeColor="text1"/>
        </w:rPr>
      </w:pPr>
    </w:p>
    <w:p w:rsidR="008B72DE" w:rsidRPr="007B48AE" w:rsidP="007B48AE" w14:paraId="679C82F3" w14:textId="479D5555">
      <w:pPr>
        <w:spacing w:line="276" w:lineRule="auto"/>
        <w:contextualSpacing/>
        <w:rPr>
          <w:b/>
          <w:bCs/>
          <w:color w:val="000000" w:themeColor="text1"/>
        </w:rPr>
      </w:pPr>
      <w:r w:rsidRPr="007B48AE">
        <w:rPr>
          <w:b/>
          <w:bCs/>
          <w:color w:val="000000" w:themeColor="text1"/>
        </w:rPr>
        <w:br w:type="page"/>
      </w:r>
    </w:p>
    <w:tbl>
      <w:tblPr>
        <w:tblW w:w="11130" w:type="dxa"/>
        <w:jc w:val="center"/>
        <w:tblLayout w:type="fixed"/>
        <w:tblLook w:val="04A0"/>
      </w:tblPr>
      <w:tblGrid>
        <w:gridCol w:w="1180"/>
        <w:gridCol w:w="1810"/>
        <w:gridCol w:w="1360"/>
        <w:gridCol w:w="1260"/>
        <w:gridCol w:w="1170"/>
        <w:gridCol w:w="1080"/>
        <w:gridCol w:w="1080"/>
        <w:gridCol w:w="900"/>
        <w:gridCol w:w="1290"/>
      </w:tblGrid>
      <w:tr w14:paraId="7DAF0621" w14:textId="77777777" w:rsidTr="00CA3E8C">
        <w:tblPrEx>
          <w:tblW w:w="11130" w:type="dxa"/>
          <w:jc w:val="center"/>
          <w:tblLayout w:type="fixed"/>
          <w:tblLook w:val="04A0"/>
        </w:tblPrEx>
        <w:trPr>
          <w:trHeight w:val="315"/>
          <w:jc w:val="center"/>
        </w:trPr>
        <w:tc>
          <w:tcPr>
            <w:tcW w:w="11130" w:type="dxa"/>
            <w:gridSpan w:val="9"/>
            <w:tcBorders>
              <w:top w:val="single" w:sz="8" w:space="0" w:color="auto"/>
              <w:left w:val="single" w:sz="8" w:space="0" w:color="auto"/>
              <w:bottom w:val="single" w:sz="8" w:space="0" w:color="auto"/>
              <w:right w:val="single" w:sz="8" w:space="0" w:color="000000"/>
            </w:tcBorders>
            <w:shd w:val="clear" w:color="auto" w:fill="8EAADB" w:themeFill="accent5" w:themeFillTint="99"/>
            <w:vAlign w:val="center"/>
            <w:hideMark/>
          </w:tcPr>
          <w:p w:rsidR="00CE7F5B" w:rsidRPr="00CA3E8C" w:rsidP="00CE7F5B" w14:paraId="0E08ABAF" w14:textId="77777777">
            <w:pPr>
              <w:jc w:val="center"/>
              <w:rPr>
                <w:b/>
                <w:bCs/>
                <w:sz w:val="20"/>
                <w:szCs w:val="20"/>
              </w:rPr>
            </w:pPr>
            <w:r w:rsidRPr="00CA3E8C">
              <w:rPr>
                <w:b/>
                <w:bCs/>
                <w:sz w:val="20"/>
                <w:szCs w:val="20"/>
              </w:rPr>
              <w:t>Estimated Annualized Burden Hours and Costs</w:t>
            </w:r>
          </w:p>
        </w:tc>
      </w:tr>
      <w:tr w14:paraId="7D91D210" w14:textId="77777777" w:rsidTr="00CA3E8C">
        <w:tblPrEx>
          <w:tblW w:w="11130" w:type="dxa"/>
          <w:jc w:val="center"/>
          <w:tblLayout w:type="fixed"/>
          <w:tblLook w:val="04A0"/>
        </w:tblPrEx>
        <w:trPr>
          <w:trHeight w:val="1215"/>
          <w:jc w:val="center"/>
        </w:trPr>
        <w:tc>
          <w:tcPr>
            <w:tcW w:w="1180" w:type="dxa"/>
            <w:tcBorders>
              <w:top w:val="nil"/>
              <w:left w:val="single" w:sz="8" w:space="0" w:color="auto"/>
              <w:bottom w:val="single" w:sz="8" w:space="0" w:color="auto"/>
              <w:right w:val="single" w:sz="8" w:space="0" w:color="auto"/>
            </w:tcBorders>
            <w:shd w:val="clear" w:color="auto" w:fill="8EAADB" w:themeFill="accent5" w:themeFillTint="99"/>
            <w:vAlign w:val="center"/>
            <w:hideMark/>
          </w:tcPr>
          <w:p w:rsidR="00CE7F5B" w:rsidRPr="00CA3E8C" w:rsidP="00CE7F5B" w14:paraId="3E8B0A9D" w14:textId="77777777">
            <w:pPr>
              <w:jc w:val="center"/>
              <w:rPr>
                <w:b/>
                <w:bCs/>
                <w:sz w:val="20"/>
                <w:szCs w:val="20"/>
              </w:rPr>
            </w:pPr>
            <w:r w:rsidRPr="00CA3E8C">
              <w:rPr>
                <w:b/>
                <w:bCs/>
                <w:sz w:val="20"/>
                <w:szCs w:val="20"/>
              </w:rPr>
              <w:t>Type of Respondent</w:t>
            </w:r>
          </w:p>
        </w:tc>
        <w:tc>
          <w:tcPr>
            <w:tcW w:w="181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7722EECA" w14:textId="77777777">
            <w:pPr>
              <w:jc w:val="center"/>
              <w:rPr>
                <w:b/>
                <w:bCs/>
                <w:sz w:val="20"/>
                <w:szCs w:val="20"/>
              </w:rPr>
            </w:pPr>
            <w:r w:rsidRPr="00CA3E8C">
              <w:rPr>
                <w:b/>
                <w:bCs/>
                <w:sz w:val="20"/>
                <w:szCs w:val="20"/>
              </w:rPr>
              <w:t>Form Name / Form Number</w:t>
            </w:r>
          </w:p>
        </w:tc>
        <w:tc>
          <w:tcPr>
            <w:tcW w:w="136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122FBFB6" w14:textId="47DE3BB3">
            <w:pPr>
              <w:jc w:val="center"/>
              <w:rPr>
                <w:b/>
                <w:bCs/>
                <w:sz w:val="20"/>
                <w:szCs w:val="20"/>
              </w:rPr>
            </w:pPr>
            <w:r w:rsidRPr="00CA3E8C">
              <w:rPr>
                <w:b/>
                <w:bCs/>
                <w:sz w:val="20"/>
                <w:szCs w:val="20"/>
              </w:rPr>
              <w:t>No. of Respondents</w:t>
            </w:r>
          </w:p>
        </w:tc>
        <w:tc>
          <w:tcPr>
            <w:tcW w:w="126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4CDA5433" w14:textId="5F39702F">
            <w:pPr>
              <w:jc w:val="center"/>
              <w:rPr>
                <w:b/>
                <w:bCs/>
                <w:sz w:val="20"/>
                <w:szCs w:val="20"/>
              </w:rPr>
            </w:pPr>
            <w:r w:rsidRPr="00CA3E8C">
              <w:rPr>
                <w:b/>
                <w:bCs/>
                <w:sz w:val="20"/>
                <w:szCs w:val="20"/>
              </w:rPr>
              <w:t>No. of Responses per Respondent</w:t>
            </w:r>
          </w:p>
        </w:tc>
        <w:tc>
          <w:tcPr>
            <w:tcW w:w="117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6EDD135F" w14:textId="77777777">
            <w:pPr>
              <w:jc w:val="center"/>
              <w:rPr>
                <w:b/>
                <w:bCs/>
                <w:sz w:val="20"/>
                <w:szCs w:val="20"/>
              </w:rPr>
            </w:pPr>
            <w:r w:rsidRPr="00CA3E8C">
              <w:rPr>
                <w:b/>
                <w:bCs/>
                <w:sz w:val="20"/>
                <w:szCs w:val="20"/>
              </w:rPr>
              <w:t>Total No. of Responses</w:t>
            </w:r>
          </w:p>
        </w:tc>
        <w:tc>
          <w:tcPr>
            <w:tcW w:w="108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323D2477" w14:textId="77777777">
            <w:pPr>
              <w:jc w:val="center"/>
              <w:rPr>
                <w:b/>
                <w:bCs/>
                <w:sz w:val="20"/>
                <w:szCs w:val="20"/>
              </w:rPr>
            </w:pPr>
            <w:r w:rsidRPr="00CA3E8C">
              <w:rPr>
                <w:b/>
                <w:bCs/>
                <w:sz w:val="20"/>
                <w:szCs w:val="20"/>
              </w:rPr>
              <w:t>Avg. Burden per Response (in hours)</w:t>
            </w:r>
          </w:p>
        </w:tc>
        <w:tc>
          <w:tcPr>
            <w:tcW w:w="108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6EACB3EE" w14:textId="77777777">
            <w:pPr>
              <w:jc w:val="center"/>
              <w:rPr>
                <w:b/>
                <w:bCs/>
                <w:sz w:val="20"/>
                <w:szCs w:val="20"/>
              </w:rPr>
            </w:pPr>
            <w:r w:rsidRPr="00CA3E8C">
              <w:rPr>
                <w:b/>
                <w:bCs/>
                <w:sz w:val="20"/>
                <w:szCs w:val="20"/>
              </w:rPr>
              <w:t>Total Annual Burden (in hours)</w:t>
            </w:r>
          </w:p>
        </w:tc>
        <w:tc>
          <w:tcPr>
            <w:tcW w:w="90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727FB555" w14:textId="77777777">
            <w:pPr>
              <w:jc w:val="center"/>
              <w:rPr>
                <w:b/>
                <w:bCs/>
                <w:sz w:val="20"/>
                <w:szCs w:val="20"/>
              </w:rPr>
            </w:pPr>
            <w:r w:rsidRPr="00CA3E8C">
              <w:rPr>
                <w:b/>
                <w:bCs/>
                <w:sz w:val="20"/>
                <w:szCs w:val="20"/>
              </w:rPr>
              <w:t>Avg. Hourly Wage Rate</w:t>
            </w:r>
          </w:p>
        </w:tc>
        <w:tc>
          <w:tcPr>
            <w:tcW w:w="129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285C7218" w14:textId="77777777">
            <w:pPr>
              <w:jc w:val="center"/>
              <w:rPr>
                <w:b/>
                <w:bCs/>
                <w:sz w:val="20"/>
                <w:szCs w:val="20"/>
              </w:rPr>
            </w:pPr>
            <w:r w:rsidRPr="00CA3E8C">
              <w:rPr>
                <w:b/>
                <w:bCs/>
                <w:sz w:val="20"/>
                <w:szCs w:val="20"/>
              </w:rPr>
              <w:t>Total Annual Respondent Cost</w:t>
            </w:r>
          </w:p>
        </w:tc>
      </w:tr>
      <w:tr w14:paraId="08C5E023" w14:textId="77777777" w:rsidTr="00CA3E8C">
        <w:tblPrEx>
          <w:tblW w:w="11130" w:type="dxa"/>
          <w:jc w:val="center"/>
          <w:tblLayout w:type="fixed"/>
          <w:tblLook w:val="04A0"/>
        </w:tblPrEx>
        <w:trPr>
          <w:trHeight w:val="145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1B6A9F" w:rsidRPr="00CA3E8C" w:rsidP="009F144F" w14:paraId="5E34BDBA" w14:textId="77777777">
            <w:pPr>
              <w:jc w:val="center"/>
              <w:rPr>
                <w:color w:val="000000" w:themeColor="text1"/>
                <w:sz w:val="18"/>
                <w:szCs w:val="18"/>
              </w:rPr>
            </w:pPr>
            <w:r w:rsidRPr="00CA3E8C">
              <w:rPr>
                <w:color w:val="000000" w:themeColor="text1"/>
                <w:sz w:val="18"/>
                <w:szCs w:val="18"/>
              </w:rPr>
              <w:t> State, local or Tribal Government</w:t>
            </w:r>
          </w:p>
        </w:tc>
        <w:tc>
          <w:tcPr>
            <w:tcW w:w="1810" w:type="dxa"/>
            <w:tcBorders>
              <w:top w:val="nil"/>
              <w:left w:val="nil"/>
              <w:bottom w:val="single" w:sz="8" w:space="0" w:color="auto"/>
              <w:right w:val="single" w:sz="8" w:space="0" w:color="auto"/>
            </w:tcBorders>
            <w:shd w:val="clear" w:color="auto" w:fill="auto"/>
            <w:vAlign w:val="center"/>
            <w:hideMark/>
          </w:tcPr>
          <w:p w:rsidR="001B6A9F" w:rsidRPr="00CA3E8C" w:rsidP="009F144F" w14:paraId="285F639C" w14:textId="3991955D">
            <w:pPr>
              <w:jc w:val="center"/>
              <w:rPr>
                <w:color w:val="000000" w:themeColor="text1"/>
                <w:sz w:val="18"/>
                <w:szCs w:val="18"/>
              </w:rPr>
            </w:pPr>
            <w:r>
              <w:rPr>
                <w:color w:val="000000" w:themeColor="text1"/>
                <w:sz w:val="18"/>
                <w:szCs w:val="18"/>
              </w:rPr>
              <w:t xml:space="preserve">Community Assistance Visit (CAV) Report / </w:t>
            </w:r>
            <w:r w:rsidRPr="00CA3E8C">
              <w:rPr>
                <w:color w:val="000000" w:themeColor="text1"/>
                <w:sz w:val="18"/>
                <w:szCs w:val="18"/>
              </w:rPr>
              <w:t xml:space="preserve">FEMA Form </w:t>
            </w:r>
            <w:r>
              <w:rPr>
                <w:color w:val="000000" w:themeColor="text1"/>
                <w:sz w:val="18"/>
                <w:szCs w:val="18"/>
              </w:rPr>
              <w:t xml:space="preserve">FF-206-FY-21-141 (formerly </w:t>
            </w:r>
            <w:r w:rsidRPr="00CA3E8C">
              <w:rPr>
                <w:color w:val="000000" w:themeColor="text1"/>
                <w:sz w:val="18"/>
                <w:szCs w:val="18"/>
              </w:rPr>
              <w:t>086-0-28 (E)</w:t>
            </w:r>
            <w:r>
              <w:rPr>
                <w:color w:val="000000" w:themeColor="text1"/>
                <w:sz w:val="18"/>
                <w:szCs w:val="18"/>
              </w:rPr>
              <w:t>)</w:t>
            </w:r>
          </w:p>
        </w:tc>
        <w:tc>
          <w:tcPr>
            <w:tcW w:w="1360" w:type="dxa"/>
            <w:tcBorders>
              <w:top w:val="nil"/>
              <w:left w:val="nil"/>
              <w:bottom w:val="single" w:sz="8" w:space="0" w:color="auto"/>
              <w:right w:val="single" w:sz="8" w:space="0" w:color="auto"/>
            </w:tcBorders>
            <w:shd w:val="clear" w:color="auto" w:fill="auto"/>
            <w:vAlign w:val="center"/>
            <w:hideMark/>
          </w:tcPr>
          <w:p w:rsidR="001B6A9F" w:rsidRPr="00CA3E8C" w:rsidP="00CE7F5B" w14:paraId="6E7D25BF" w14:textId="6B7A527E">
            <w:pPr>
              <w:jc w:val="center"/>
              <w:rPr>
                <w:color w:val="000000" w:themeColor="text1"/>
                <w:sz w:val="18"/>
                <w:szCs w:val="18"/>
              </w:rPr>
            </w:pPr>
            <w:r w:rsidRPr="00CA3E8C">
              <w:rPr>
                <w:color w:val="000000" w:themeColor="text1"/>
                <w:sz w:val="18"/>
                <w:szCs w:val="18"/>
              </w:rPr>
              <w:t>50</w:t>
            </w:r>
          </w:p>
        </w:tc>
        <w:tc>
          <w:tcPr>
            <w:tcW w:w="1260" w:type="dxa"/>
            <w:tcBorders>
              <w:top w:val="nil"/>
              <w:left w:val="nil"/>
              <w:bottom w:val="single" w:sz="8" w:space="0" w:color="auto"/>
              <w:right w:val="single" w:sz="8" w:space="0" w:color="auto"/>
            </w:tcBorders>
            <w:shd w:val="clear" w:color="auto" w:fill="auto"/>
            <w:vAlign w:val="center"/>
            <w:hideMark/>
          </w:tcPr>
          <w:p w:rsidR="001B6A9F" w:rsidRPr="00CA3E8C" w:rsidP="00CE7F5B" w14:paraId="521DF491" w14:textId="5DDC6308">
            <w:pPr>
              <w:jc w:val="center"/>
              <w:rPr>
                <w:color w:val="000000" w:themeColor="text1"/>
                <w:sz w:val="18"/>
                <w:szCs w:val="18"/>
              </w:rPr>
            </w:pPr>
            <w:r w:rsidRPr="00CA3E8C">
              <w:rPr>
                <w:color w:val="000000" w:themeColor="text1"/>
                <w:sz w:val="18"/>
                <w:szCs w:val="18"/>
              </w:rPr>
              <w:t>1</w:t>
            </w:r>
            <w:r w:rsidRPr="00CA3E8C" w:rsidR="00F5526D">
              <w:rPr>
                <w:color w:val="000000" w:themeColor="text1"/>
                <w:sz w:val="18"/>
                <w:szCs w:val="18"/>
              </w:rPr>
              <w:t>0</w:t>
            </w:r>
          </w:p>
        </w:tc>
        <w:tc>
          <w:tcPr>
            <w:tcW w:w="1170" w:type="dxa"/>
            <w:tcBorders>
              <w:top w:val="nil"/>
              <w:left w:val="nil"/>
              <w:bottom w:val="single" w:sz="8" w:space="0" w:color="auto"/>
              <w:right w:val="single" w:sz="8" w:space="0" w:color="auto"/>
            </w:tcBorders>
            <w:shd w:val="clear" w:color="auto" w:fill="auto"/>
            <w:vAlign w:val="center"/>
            <w:hideMark/>
          </w:tcPr>
          <w:p w:rsidR="001B6A9F" w:rsidRPr="00CA3E8C" w:rsidP="00CE7F5B" w14:paraId="623C32F8" w14:textId="6AD002C5">
            <w:pPr>
              <w:jc w:val="center"/>
              <w:rPr>
                <w:color w:val="000000" w:themeColor="text1"/>
                <w:sz w:val="18"/>
                <w:szCs w:val="18"/>
              </w:rPr>
            </w:pPr>
            <w:r w:rsidRPr="00CA3E8C">
              <w:rPr>
                <w:color w:val="000000" w:themeColor="text1"/>
                <w:sz w:val="18"/>
                <w:szCs w:val="18"/>
              </w:rPr>
              <w:t>50</w:t>
            </w:r>
            <w:r w:rsidRPr="00CA3E8C" w:rsidR="00F5526D">
              <w:rPr>
                <w:color w:val="000000" w:themeColor="text1"/>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CE7F5B" w14:paraId="3A7C3B32" w14:textId="4E0B574E">
            <w:pPr>
              <w:jc w:val="center"/>
              <w:rPr>
                <w:color w:val="000000" w:themeColor="text1"/>
                <w:sz w:val="18"/>
                <w:szCs w:val="18"/>
              </w:rPr>
            </w:pPr>
            <w:r w:rsidRPr="00CA3E8C">
              <w:rPr>
                <w:color w:val="000000" w:themeColor="text1"/>
                <w:sz w:val="18"/>
                <w:szCs w:val="18"/>
              </w:rPr>
              <w:t>60</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CE7F5B" w14:paraId="4AF7C49B" w14:textId="6ABC2CB7">
            <w:pPr>
              <w:jc w:val="center"/>
              <w:rPr>
                <w:color w:val="000000" w:themeColor="text1"/>
                <w:sz w:val="18"/>
                <w:szCs w:val="18"/>
              </w:rPr>
            </w:pPr>
            <w:r w:rsidRPr="00CA3E8C">
              <w:rPr>
                <w:color w:val="000000" w:themeColor="text1"/>
                <w:sz w:val="18"/>
                <w:szCs w:val="18"/>
              </w:rPr>
              <w:t>3</w:t>
            </w:r>
            <w:r w:rsidRPr="00CA3E8C" w:rsidR="00C5734C">
              <w:rPr>
                <w:color w:val="000000" w:themeColor="text1"/>
                <w:sz w:val="18"/>
                <w:szCs w:val="18"/>
              </w:rPr>
              <w:t>0</w:t>
            </w:r>
            <w:r w:rsidRPr="00CA3E8C">
              <w:rPr>
                <w:color w:val="000000" w:themeColor="text1"/>
                <w:sz w:val="18"/>
                <w:szCs w:val="18"/>
              </w:rPr>
              <w:t>,000</w:t>
            </w:r>
          </w:p>
        </w:tc>
        <w:tc>
          <w:tcPr>
            <w:tcW w:w="900" w:type="dxa"/>
            <w:tcBorders>
              <w:top w:val="nil"/>
              <w:left w:val="nil"/>
              <w:bottom w:val="single" w:sz="8" w:space="0" w:color="auto"/>
              <w:right w:val="single" w:sz="8" w:space="0" w:color="auto"/>
            </w:tcBorders>
            <w:shd w:val="clear" w:color="auto" w:fill="auto"/>
            <w:vAlign w:val="center"/>
            <w:hideMark/>
          </w:tcPr>
          <w:p w:rsidR="001B6A9F" w:rsidRPr="00CA3E8C" w:rsidP="00972015" w14:paraId="1E3E472D" w14:textId="4BE8BAFC">
            <w:pPr>
              <w:jc w:val="center"/>
              <w:rPr>
                <w:color w:val="000000" w:themeColor="text1"/>
                <w:sz w:val="18"/>
                <w:szCs w:val="18"/>
              </w:rPr>
            </w:pPr>
            <w:r w:rsidRPr="00CA3E8C">
              <w:rPr>
                <w:color w:val="000000" w:themeColor="text1"/>
                <w:sz w:val="18"/>
                <w:szCs w:val="18"/>
              </w:rPr>
              <w:t> $</w:t>
            </w:r>
            <w:r w:rsidRPr="00CA3E8C" w:rsidR="00020CC1">
              <w:rPr>
                <w:color w:val="000000" w:themeColor="text1"/>
                <w:sz w:val="18"/>
                <w:szCs w:val="18"/>
              </w:rPr>
              <w:t>41.76</w:t>
            </w:r>
          </w:p>
        </w:tc>
        <w:tc>
          <w:tcPr>
            <w:tcW w:w="1290" w:type="dxa"/>
            <w:tcBorders>
              <w:top w:val="nil"/>
              <w:left w:val="nil"/>
              <w:bottom w:val="single" w:sz="8" w:space="0" w:color="auto"/>
              <w:right w:val="single" w:sz="8" w:space="0" w:color="auto"/>
            </w:tcBorders>
            <w:shd w:val="clear" w:color="auto" w:fill="auto"/>
            <w:vAlign w:val="center"/>
            <w:hideMark/>
          </w:tcPr>
          <w:p w:rsidR="001B6A9F" w:rsidRPr="00CA3E8C" w:rsidP="00972015" w14:paraId="563D4D28" w14:textId="4C50CA7F">
            <w:pPr>
              <w:jc w:val="center"/>
              <w:rPr>
                <w:color w:val="000000" w:themeColor="text1"/>
                <w:sz w:val="18"/>
                <w:szCs w:val="18"/>
              </w:rPr>
            </w:pPr>
            <w:r w:rsidRPr="00CA3E8C">
              <w:rPr>
                <w:color w:val="000000" w:themeColor="text1"/>
                <w:sz w:val="18"/>
                <w:szCs w:val="18"/>
              </w:rPr>
              <w:t>$</w:t>
            </w:r>
            <w:r w:rsidRPr="00CA3E8C" w:rsidR="00F3246B">
              <w:rPr>
                <w:color w:val="000000" w:themeColor="text1"/>
                <w:sz w:val="18"/>
                <w:szCs w:val="18"/>
              </w:rPr>
              <w:t>1</w:t>
            </w:r>
            <w:r w:rsidRPr="00CA3E8C" w:rsidR="00B62360">
              <w:rPr>
                <w:color w:val="000000" w:themeColor="text1"/>
                <w:sz w:val="18"/>
                <w:szCs w:val="18"/>
              </w:rPr>
              <w:t>,</w:t>
            </w:r>
            <w:r w:rsidRPr="00CA3E8C" w:rsidR="00A30B73">
              <w:rPr>
                <w:color w:val="000000" w:themeColor="text1"/>
                <w:sz w:val="18"/>
                <w:szCs w:val="18"/>
              </w:rPr>
              <w:t>252</w:t>
            </w:r>
            <w:r w:rsidRPr="00CA3E8C" w:rsidR="00B62360">
              <w:rPr>
                <w:color w:val="000000" w:themeColor="text1"/>
                <w:sz w:val="18"/>
                <w:szCs w:val="18"/>
              </w:rPr>
              <w:t>,</w:t>
            </w:r>
            <w:r w:rsidRPr="00CA3E8C" w:rsidR="00A30B73">
              <w:rPr>
                <w:color w:val="000000" w:themeColor="text1"/>
                <w:sz w:val="18"/>
                <w:szCs w:val="18"/>
              </w:rPr>
              <w:t>80</w:t>
            </w:r>
            <w:r w:rsidRPr="00CA3E8C" w:rsidR="00B62360">
              <w:rPr>
                <w:color w:val="000000" w:themeColor="text1"/>
                <w:sz w:val="18"/>
                <w:szCs w:val="18"/>
              </w:rPr>
              <w:t>0</w:t>
            </w:r>
          </w:p>
        </w:tc>
      </w:tr>
      <w:tr w14:paraId="7D6156C8" w14:textId="77777777" w:rsidTr="00CA3E8C">
        <w:tblPrEx>
          <w:tblW w:w="11130" w:type="dxa"/>
          <w:jc w:val="center"/>
          <w:tblLayout w:type="fixed"/>
          <w:tblLook w:val="04A0"/>
        </w:tblPrEx>
        <w:trPr>
          <w:trHeight w:val="145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1B6A9F" w:rsidRPr="00CA3E8C" w:rsidP="009F144F" w14:paraId="2A3441B5" w14:textId="77777777">
            <w:pPr>
              <w:jc w:val="center"/>
              <w:rPr>
                <w:color w:val="000000" w:themeColor="text1"/>
                <w:sz w:val="18"/>
                <w:szCs w:val="18"/>
              </w:rPr>
            </w:pPr>
            <w:r w:rsidRPr="00CA3E8C">
              <w:rPr>
                <w:color w:val="000000" w:themeColor="text1"/>
                <w:sz w:val="18"/>
                <w:szCs w:val="18"/>
              </w:rPr>
              <w:t> State, local or Tribal Government</w:t>
            </w:r>
          </w:p>
        </w:tc>
        <w:tc>
          <w:tcPr>
            <w:tcW w:w="1810" w:type="dxa"/>
            <w:tcBorders>
              <w:top w:val="nil"/>
              <w:left w:val="nil"/>
              <w:bottom w:val="single" w:sz="8" w:space="0" w:color="auto"/>
              <w:right w:val="single" w:sz="8" w:space="0" w:color="auto"/>
            </w:tcBorders>
            <w:shd w:val="clear" w:color="auto" w:fill="auto"/>
            <w:vAlign w:val="center"/>
            <w:hideMark/>
          </w:tcPr>
          <w:p w:rsidR="001B6A9F" w:rsidRPr="00CA3E8C" w:rsidP="009F144F" w14:paraId="31C98FED" w14:textId="211BE5E8">
            <w:pPr>
              <w:jc w:val="center"/>
              <w:rPr>
                <w:color w:val="000000" w:themeColor="text1"/>
                <w:sz w:val="18"/>
                <w:szCs w:val="18"/>
              </w:rPr>
            </w:pPr>
            <w:r>
              <w:rPr>
                <w:color w:val="000000" w:themeColor="text1"/>
                <w:sz w:val="18"/>
                <w:szCs w:val="18"/>
              </w:rPr>
              <w:t xml:space="preserve">Community Assistance Contact (CAC) Report / </w:t>
            </w:r>
            <w:r w:rsidRPr="00CA3E8C">
              <w:rPr>
                <w:color w:val="000000" w:themeColor="text1"/>
                <w:sz w:val="18"/>
                <w:szCs w:val="18"/>
              </w:rPr>
              <w:t xml:space="preserve">FEMA Form </w:t>
            </w:r>
            <w:r>
              <w:rPr>
                <w:color w:val="000000" w:themeColor="text1"/>
                <w:sz w:val="18"/>
                <w:szCs w:val="18"/>
              </w:rPr>
              <w:t xml:space="preserve">FF-206-FY-21-142 (formerly </w:t>
            </w:r>
            <w:r w:rsidRPr="00CA3E8C">
              <w:rPr>
                <w:color w:val="000000" w:themeColor="text1"/>
                <w:sz w:val="18"/>
                <w:szCs w:val="18"/>
              </w:rPr>
              <w:t>086-0-29 (E)</w:t>
            </w:r>
            <w:r>
              <w:rPr>
                <w:color w:val="000000" w:themeColor="text1"/>
                <w:sz w:val="18"/>
                <w:szCs w:val="18"/>
              </w:rPr>
              <w:t>)</w:t>
            </w:r>
            <w:r w:rsidRPr="00CA3E8C">
              <w:rPr>
                <w:color w:val="000000" w:themeColor="text1"/>
                <w:sz w:val="18"/>
                <w:szCs w:val="18"/>
              </w:rPr>
              <w:t>t</w:t>
            </w:r>
          </w:p>
        </w:tc>
        <w:tc>
          <w:tcPr>
            <w:tcW w:w="1360" w:type="dxa"/>
            <w:tcBorders>
              <w:top w:val="nil"/>
              <w:left w:val="nil"/>
              <w:bottom w:val="single" w:sz="8" w:space="0" w:color="auto"/>
              <w:right w:val="single" w:sz="8" w:space="0" w:color="auto"/>
            </w:tcBorders>
            <w:shd w:val="clear" w:color="auto" w:fill="auto"/>
            <w:vAlign w:val="center"/>
            <w:hideMark/>
          </w:tcPr>
          <w:p w:rsidR="001B6A9F" w:rsidRPr="00CA3E8C" w:rsidP="00364442" w14:paraId="1CA34267" w14:textId="4EF565F6">
            <w:pPr>
              <w:jc w:val="center"/>
              <w:rPr>
                <w:color w:val="000000" w:themeColor="text1"/>
                <w:sz w:val="18"/>
                <w:szCs w:val="18"/>
              </w:rPr>
            </w:pPr>
            <w:r w:rsidRPr="00CA3E8C">
              <w:rPr>
                <w:color w:val="000000" w:themeColor="text1"/>
                <w:sz w:val="18"/>
                <w:szCs w:val="18"/>
              </w:rPr>
              <w:t>50</w:t>
            </w:r>
          </w:p>
        </w:tc>
        <w:tc>
          <w:tcPr>
            <w:tcW w:w="1260" w:type="dxa"/>
            <w:tcBorders>
              <w:top w:val="nil"/>
              <w:left w:val="nil"/>
              <w:bottom w:val="single" w:sz="8" w:space="0" w:color="auto"/>
              <w:right w:val="single" w:sz="8" w:space="0" w:color="auto"/>
            </w:tcBorders>
            <w:shd w:val="clear" w:color="auto" w:fill="auto"/>
            <w:vAlign w:val="center"/>
            <w:hideMark/>
          </w:tcPr>
          <w:p w:rsidR="001B6A9F" w:rsidRPr="00CA3E8C" w:rsidP="00CE7F5B" w14:paraId="3E3731F3" w14:textId="35CA2BB3">
            <w:pPr>
              <w:jc w:val="center"/>
              <w:rPr>
                <w:color w:val="000000" w:themeColor="text1"/>
                <w:sz w:val="18"/>
                <w:szCs w:val="18"/>
              </w:rPr>
            </w:pPr>
            <w:r w:rsidRPr="00CA3E8C">
              <w:rPr>
                <w:color w:val="000000" w:themeColor="text1"/>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rsidR="001B6A9F" w:rsidRPr="00CA3E8C" w:rsidP="00364442" w14:paraId="66840A85" w14:textId="486ADE3F">
            <w:pPr>
              <w:jc w:val="center"/>
              <w:rPr>
                <w:color w:val="000000" w:themeColor="text1"/>
                <w:sz w:val="18"/>
                <w:szCs w:val="18"/>
              </w:rPr>
            </w:pPr>
            <w:r w:rsidRPr="00CA3E8C">
              <w:rPr>
                <w:color w:val="000000" w:themeColor="text1"/>
                <w:sz w:val="18"/>
                <w:szCs w:val="18"/>
              </w:rPr>
              <w:t>1,500</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CE7F5B" w14:paraId="729488F3" w14:textId="3412CB5B">
            <w:pPr>
              <w:jc w:val="center"/>
              <w:rPr>
                <w:color w:val="000000" w:themeColor="text1"/>
                <w:sz w:val="18"/>
                <w:szCs w:val="18"/>
              </w:rPr>
            </w:pPr>
            <w:r w:rsidRPr="00CA3E8C">
              <w:rPr>
                <w:color w:val="000000" w:themeColor="text1"/>
                <w:sz w:val="18"/>
                <w:szCs w:val="18"/>
              </w:rPr>
              <w:t>20</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364442" w14:paraId="4756BD0D" w14:textId="3B9A39DC">
            <w:pPr>
              <w:jc w:val="center"/>
              <w:rPr>
                <w:color w:val="000000" w:themeColor="text1"/>
                <w:sz w:val="18"/>
                <w:szCs w:val="18"/>
              </w:rPr>
            </w:pPr>
            <w:r w:rsidRPr="00CA3E8C">
              <w:rPr>
                <w:color w:val="000000" w:themeColor="text1"/>
                <w:sz w:val="18"/>
                <w:szCs w:val="18"/>
              </w:rPr>
              <w:t>30</w:t>
            </w:r>
            <w:r w:rsidRPr="00CA3E8C">
              <w:rPr>
                <w:color w:val="000000" w:themeColor="text1"/>
                <w:sz w:val="18"/>
                <w:szCs w:val="18"/>
              </w:rPr>
              <w:t>,000</w:t>
            </w:r>
          </w:p>
        </w:tc>
        <w:tc>
          <w:tcPr>
            <w:tcW w:w="900" w:type="dxa"/>
            <w:tcBorders>
              <w:top w:val="nil"/>
              <w:left w:val="nil"/>
              <w:bottom w:val="single" w:sz="8" w:space="0" w:color="auto"/>
              <w:right w:val="single" w:sz="8" w:space="0" w:color="auto"/>
            </w:tcBorders>
            <w:shd w:val="clear" w:color="auto" w:fill="auto"/>
            <w:vAlign w:val="center"/>
            <w:hideMark/>
          </w:tcPr>
          <w:p w:rsidR="001B6A9F" w:rsidRPr="00CA3E8C" w:rsidP="00CA3E8C" w14:paraId="30823197" w14:textId="7B03D562">
            <w:pPr>
              <w:jc w:val="center"/>
              <w:rPr>
                <w:color w:val="000000" w:themeColor="text1"/>
                <w:sz w:val="18"/>
                <w:szCs w:val="18"/>
              </w:rPr>
            </w:pPr>
            <w:r w:rsidRPr="00CA3E8C">
              <w:rPr>
                <w:color w:val="000000" w:themeColor="text1"/>
                <w:sz w:val="18"/>
                <w:szCs w:val="18"/>
              </w:rPr>
              <w:t>$</w:t>
            </w:r>
            <w:r w:rsidRPr="00CA3E8C" w:rsidR="00020CC1">
              <w:rPr>
                <w:color w:val="000000" w:themeColor="text1"/>
                <w:sz w:val="18"/>
                <w:szCs w:val="18"/>
              </w:rPr>
              <w:t>41.76</w:t>
            </w:r>
          </w:p>
        </w:tc>
        <w:tc>
          <w:tcPr>
            <w:tcW w:w="1290" w:type="dxa"/>
            <w:tcBorders>
              <w:top w:val="nil"/>
              <w:left w:val="nil"/>
              <w:bottom w:val="single" w:sz="8" w:space="0" w:color="auto"/>
              <w:right w:val="single" w:sz="8" w:space="0" w:color="auto"/>
            </w:tcBorders>
            <w:shd w:val="clear" w:color="auto" w:fill="auto"/>
            <w:vAlign w:val="center"/>
            <w:hideMark/>
          </w:tcPr>
          <w:p w:rsidR="001B6A9F" w:rsidRPr="00CA3E8C" w:rsidP="00972015" w14:paraId="0DB53FE8" w14:textId="1FA90C3A">
            <w:pPr>
              <w:jc w:val="center"/>
              <w:rPr>
                <w:color w:val="000000" w:themeColor="text1"/>
                <w:sz w:val="18"/>
                <w:szCs w:val="18"/>
              </w:rPr>
            </w:pPr>
            <w:r w:rsidRPr="00CA3E8C">
              <w:rPr>
                <w:color w:val="000000" w:themeColor="text1"/>
                <w:sz w:val="18"/>
                <w:szCs w:val="18"/>
              </w:rPr>
              <w:t>$1,252,800</w:t>
            </w:r>
          </w:p>
        </w:tc>
      </w:tr>
      <w:tr w14:paraId="3EA322E1" w14:textId="77777777" w:rsidTr="00CA3E8C">
        <w:tblPrEx>
          <w:tblW w:w="11130" w:type="dxa"/>
          <w:jc w:val="center"/>
          <w:tblLayout w:type="fixed"/>
          <w:tblLook w:val="04A0"/>
        </w:tblPrEx>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1B6A9F" w:rsidRPr="00CA3E8C" w:rsidP="00CE7F5B" w14:paraId="1A4B3D01" w14:textId="77777777">
            <w:pPr>
              <w:jc w:val="center"/>
              <w:rPr>
                <w:b/>
                <w:bCs/>
                <w:color w:val="000000" w:themeColor="text1"/>
                <w:sz w:val="18"/>
                <w:szCs w:val="18"/>
              </w:rPr>
            </w:pPr>
            <w:r w:rsidRPr="00CA3E8C">
              <w:rPr>
                <w:b/>
                <w:bCs/>
                <w:color w:val="000000" w:themeColor="text1"/>
                <w:sz w:val="18"/>
                <w:szCs w:val="18"/>
              </w:rPr>
              <w:t>Total</w:t>
            </w:r>
          </w:p>
        </w:tc>
        <w:tc>
          <w:tcPr>
            <w:tcW w:w="1810" w:type="dxa"/>
            <w:tcBorders>
              <w:top w:val="nil"/>
              <w:left w:val="nil"/>
              <w:bottom w:val="single" w:sz="8" w:space="0" w:color="auto"/>
              <w:right w:val="single" w:sz="8" w:space="0" w:color="auto"/>
            </w:tcBorders>
            <w:shd w:val="clear" w:color="000000" w:fill="000000"/>
            <w:vAlign w:val="center"/>
            <w:hideMark/>
          </w:tcPr>
          <w:p w:rsidR="001B6A9F" w:rsidRPr="00CA3E8C" w:rsidP="00CE7F5B" w14:paraId="53701D10" w14:textId="77777777">
            <w:pPr>
              <w:jc w:val="center"/>
              <w:rPr>
                <w:color w:val="000000" w:themeColor="text1"/>
                <w:sz w:val="18"/>
                <w:szCs w:val="18"/>
              </w:rPr>
            </w:pPr>
            <w:r w:rsidRPr="00CA3E8C">
              <w:rPr>
                <w:color w:val="000000" w:themeColor="text1"/>
                <w:sz w:val="18"/>
                <w:szCs w:val="18"/>
              </w:rPr>
              <w:t> </w:t>
            </w:r>
          </w:p>
        </w:tc>
        <w:tc>
          <w:tcPr>
            <w:tcW w:w="1360" w:type="dxa"/>
            <w:tcBorders>
              <w:top w:val="nil"/>
              <w:left w:val="nil"/>
              <w:bottom w:val="single" w:sz="8" w:space="0" w:color="auto"/>
              <w:right w:val="single" w:sz="8" w:space="0" w:color="auto"/>
            </w:tcBorders>
            <w:shd w:val="clear" w:color="auto" w:fill="auto"/>
            <w:vAlign w:val="center"/>
            <w:hideMark/>
          </w:tcPr>
          <w:p w:rsidR="001B6A9F" w:rsidRPr="00CA3E8C" w:rsidP="00CE7F5B" w14:paraId="0F17D684" w14:textId="59461C7A">
            <w:pPr>
              <w:jc w:val="center"/>
              <w:rPr>
                <w:b/>
                <w:bCs/>
                <w:color w:val="000000" w:themeColor="text1"/>
                <w:sz w:val="18"/>
                <w:szCs w:val="18"/>
              </w:rPr>
            </w:pPr>
            <w:r w:rsidRPr="00CA3E8C">
              <w:rPr>
                <w:b/>
                <w:bCs/>
                <w:color w:val="000000" w:themeColor="text1"/>
                <w:sz w:val="18"/>
                <w:szCs w:val="18"/>
              </w:rPr>
              <w:t>100</w:t>
            </w:r>
            <w:r w:rsidRPr="00CA3E8C">
              <w:rPr>
                <w:b/>
                <w:bCs/>
                <w:color w:val="000000" w:themeColor="text1"/>
                <w:sz w:val="18"/>
                <w:szCs w:val="18"/>
              </w:rPr>
              <w:t> </w:t>
            </w:r>
          </w:p>
        </w:tc>
        <w:tc>
          <w:tcPr>
            <w:tcW w:w="1260" w:type="dxa"/>
            <w:tcBorders>
              <w:top w:val="nil"/>
              <w:left w:val="nil"/>
              <w:bottom w:val="single" w:sz="8" w:space="0" w:color="auto"/>
              <w:right w:val="single" w:sz="8" w:space="0" w:color="auto"/>
            </w:tcBorders>
            <w:shd w:val="clear" w:color="000000" w:fill="000000"/>
            <w:vAlign w:val="center"/>
            <w:hideMark/>
          </w:tcPr>
          <w:p w:rsidR="001B6A9F" w:rsidRPr="00CA3E8C" w:rsidP="00CE7F5B" w14:paraId="208D486B" w14:textId="77777777">
            <w:pPr>
              <w:jc w:val="center"/>
              <w:rPr>
                <w:color w:val="000000" w:themeColor="text1"/>
                <w:sz w:val="18"/>
                <w:szCs w:val="18"/>
              </w:rPr>
            </w:pPr>
            <w:r w:rsidRPr="00CA3E8C">
              <w:rPr>
                <w:color w:val="000000" w:themeColor="text1"/>
                <w:sz w:val="18"/>
                <w:szCs w:val="18"/>
              </w:rPr>
              <w:t> </w:t>
            </w:r>
          </w:p>
        </w:tc>
        <w:tc>
          <w:tcPr>
            <w:tcW w:w="1170" w:type="dxa"/>
            <w:tcBorders>
              <w:top w:val="nil"/>
              <w:left w:val="nil"/>
              <w:bottom w:val="single" w:sz="8" w:space="0" w:color="auto"/>
              <w:right w:val="single" w:sz="8" w:space="0" w:color="auto"/>
            </w:tcBorders>
            <w:shd w:val="clear" w:color="000000" w:fill="FFFFFF"/>
            <w:vAlign w:val="center"/>
            <w:hideMark/>
          </w:tcPr>
          <w:p w:rsidR="001B6A9F" w:rsidRPr="00CA3E8C" w:rsidP="00CE7F5B" w14:paraId="671FE8C4" w14:textId="1EA4E317">
            <w:pPr>
              <w:jc w:val="center"/>
              <w:rPr>
                <w:b/>
                <w:bCs/>
                <w:color w:val="000000" w:themeColor="text1"/>
                <w:sz w:val="18"/>
                <w:szCs w:val="18"/>
              </w:rPr>
            </w:pPr>
            <w:r w:rsidRPr="00CA3E8C">
              <w:rPr>
                <w:b/>
                <w:bCs/>
                <w:color w:val="000000" w:themeColor="text1"/>
                <w:sz w:val="18"/>
                <w:szCs w:val="18"/>
              </w:rPr>
              <w:t>2,000</w:t>
            </w:r>
          </w:p>
        </w:tc>
        <w:tc>
          <w:tcPr>
            <w:tcW w:w="1080" w:type="dxa"/>
            <w:tcBorders>
              <w:top w:val="nil"/>
              <w:left w:val="nil"/>
              <w:bottom w:val="single" w:sz="8" w:space="0" w:color="auto"/>
              <w:right w:val="single" w:sz="8" w:space="0" w:color="auto"/>
            </w:tcBorders>
            <w:shd w:val="clear" w:color="000000" w:fill="000000"/>
            <w:vAlign w:val="center"/>
            <w:hideMark/>
          </w:tcPr>
          <w:p w:rsidR="001B6A9F" w:rsidRPr="00CA3E8C" w:rsidP="00CE7F5B" w14:paraId="4E319460" w14:textId="77777777">
            <w:pPr>
              <w:jc w:val="center"/>
              <w:rPr>
                <w:color w:val="000000" w:themeColor="text1"/>
                <w:sz w:val="22"/>
                <w:szCs w:val="22"/>
              </w:rPr>
            </w:pPr>
            <w:r w:rsidRPr="00CA3E8C">
              <w:rPr>
                <w:color w:val="000000" w:themeColor="text1"/>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CE7F5B" w14:paraId="5F15F34D" w14:textId="2D4CD615">
            <w:pPr>
              <w:jc w:val="center"/>
              <w:rPr>
                <w:b/>
                <w:bCs/>
                <w:color w:val="000000" w:themeColor="text1"/>
                <w:sz w:val="18"/>
                <w:szCs w:val="18"/>
              </w:rPr>
            </w:pPr>
            <w:r w:rsidRPr="00CA3E8C">
              <w:rPr>
                <w:b/>
                <w:bCs/>
                <w:color w:val="000000" w:themeColor="text1"/>
                <w:sz w:val="18"/>
                <w:szCs w:val="18"/>
              </w:rPr>
              <w:t>60</w:t>
            </w:r>
            <w:r w:rsidRPr="00CA3E8C">
              <w:rPr>
                <w:b/>
                <w:bCs/>
                <w:color w:val="000000" w:themeColor="text1"/>
                <w:sz w:val="18"/>
                <w:szCs w:val="18"/>
              </w:rPr>
              <w:t>,000</w:t>
            </w:r>
          </w:p>
        </w:tc>
        <w:tc>
          <w:tcPr>
            <w:tcW w:w="900" w:type="dxa"/>
            <w:tcBorders>
              <w:top w:val="nil"/>
              <w:left w:val="nil"/>
              <w:bottom w:val="single" w:sz="8" w:space="0" w:color="auto"/>
              <w:right w:val="single" w:sz="8" w:space="0" w:color="auto"/>
            </w:tcBorders>
            <w:shd w:val="clear" w:color="000000" w:fill="000000"/>
            <w:vAlign w:val="center"/>
            <w:hideMark/>
          </w:tcPr>
          <w:p w:rsidR="001B6A9F" w:rsidRPr="00CA3E8C" w:rsidP="00CE7F5B" w14:paraId="6823B54D" w14:textId="77777777">
            <w:pPr>
              <w:jc w:val="center"/>
              <w:rPr>
                <w:color w:val="000000" w:themeColor="text1"/>
                <w:sz w:val="18"/>
                <w:szCs w:val="18"/>
              </w:rPr>
            </w:pPr>
            <w:r w:rsidRPr="00CA3E8C">
              <w:rPr>
                <w:color w:val="000000" w:themeColor="text1"/>
                <w:sz w:val="18"/>
                <w:szCs w:val="18"/>
              </w:rPr>
              <w:t> </w:t>
            </w:r>
          </w:p>
        </w:tc>
        <w:tc>
          <w:tcPr>
            <w:tcW w:w="1290" w:type="dxa"/>
            <w:tcBorders>
              <w:top w:val="nil"/>
              <w:left w:val="nil"/>
              <w:bottom w:val="single" w:sz="8" w:space="0" w:color="auto"/>
              <w:right w:val="single" w:sz="8" w:space="0" w:color="auto"/>
            </w:tcBorders>
            <w:shd w:val="clear" w:color="auto" w:fill="auto"/>
            <w:vAlign w:val="center"/>
            <w:hideMark/>
          </w:tcPr>
          <w:p w:rsidR="001B6A9F" w:rsidRPr="00CA3E8C" w:rsidP="00972015" w14:paraId="3CEF2D21" w14:textId="70AA9263">
            <w:pPr>
              <w:jc w:val="center"/>
              <w:rPr>
                <w:b/>
                <w:bCs/>
                <w:color w:val="000000" w:themeColor="text1"/>
                <w:sz w:val="18"/>
                <w:szCs w:val="18"/>
              </w:rPr>
            </w:pPr>
            <w:r w:rsidRPr="00CA3E8C">
              <w:rPr>
                <w:b/>
                <w:bCs/>
                <w:color w:val="000000" w:themeColor="text1"/>
                <w:sz w:val="18"/>
                <w:szCs w:val="18"/>
              </w:rPr>
              <w:t>$</w:t>
            </w:r>
            <w:r w:rsidRPr="00CA3E8C" w:rsidR="005D6EE9">
              <w:rPr>
                <w:b/>
                <w:bCs/>
                <w:color w:val="000000" w:themeColor="text1"/>
                <w:sz w:val="18"/>
                <w:szCs w:val="18"/>
              </w:rPr>
              <w:t>2,505,600</w:t>
            </w:r>
            <w:r w:rsidRPr="00CA3E8C">
              <w:rPr>
                <w:b/>
                <w:bCs/>
                <w:color w:val="000000" w:themeColor="text1"/>
                <w:sz w:val="18"/>
                <w:szCs w:val="18"/>
              </w:rPr>
              <w:t xml:space="preserve"> </w:t>
            </w:r>
          </w:p>
        </w:tc>
      </w:tr>
    </w:tbl>
    <w:p w:rsidR="008B72DE" w:rsidRPr="00CA3E8C" w:rsidP="007B48AE" w14:paraId="0A24A755" w14:textId="77777777">
      <w:pPr>
        <w:tabs>
          <w:tab w:val="left" w:pos="-720"/>
        </w:tabs>
        <w:suppressAutoHyphens/>
        <w:spacing w:line="276" w:lineRule="auto"/>
        <w:contextualSpacing/>
        <w:rPr>
          <w:bCs/>
        </w:rPr>
      </w:pPr>
    </w:p>
    <w:p w:rsidR="00122EC9" w:rsidRPr="00CA3E8C" w:rsidP="007B48AE" w14:paraId="0A18223E" w14:textId="7D3C375B">
      <w:pPr>
        <w:tabs>
          <w:tab w:val="left" w:pos="-720"/>
        </w:tabs>
        <w:suppressAutoHyphens/>
        <w:spacing w:line="276" w:lineRule="auto"/>
        <w:contextualSpacing/>
        <w:rPr>
          <w:b/>
        </w:rPr>
      </w:pPr>
      <w:r w:rsidRPr="00CA3E8C">
        <w:rPr>
          <w:b/>
        </w:rPr>
        <w:t>Instruction for Wage-rate category multiplier:  Take each non-loaded “Avg. Hourly Wage Rate” from the BLS website table and multiply that number by 1.61.</w:t>
      </w:r>
      <w:r w:rsidRPr="00CA3E8C">
        <w:rPr>
          <w:rStyle w:val="FootnoteReference"/>
          <w:b/>
        </w:rPr>
        <w:t xml:space="preserve"> </w:t>
      </w:r>
      <w:r>
        <w:rPr>
          <w:rStyle w:val="FootnoteReference"/>
          <w:b/>
        </w:rPr>
        <w:footnoteReference w:id="3"/>
      </w:r>
      <w:r w:rsidRPr="00CA3E8C">
        <w:rPr>
          <w:b/>
        </w:rPr>
        <w:t xml:space="preserve">  For example, a non-loaded BLS table wage rate of $42.51 would be multiplied by 1.61, and the entry for the “Avg. Hourly Wage Rate” would be $68.44.</w:t>
      </w:r>
    </w:p>
    <w:p w:rsidR="008B72DE" w:rsidRPr="00CA3E8C" w:rsidP="007B48AE" w14:paraId="57B15340" w14:textId="77777777">
      <w:pPr>
        <w:tabs>
          <w:tab w:val="left" w:pos="-720"/>
        </w:tabs>
        <w:suppressAutoHyphens/>
        <w:spacing w:line="276" w:lineRule="auto"/>
        <w:contextualSpacing/>
      </w:pPr>
    </w:p>
    <w:p w:rsidR="00936E2C" w:rsidRPr="00CA3E8C" w:rsidP="007B48AE" w14:paraId="2B6D7E5B" w14:textId="3B34125D">
      <w:pPr>
        <w:tabs>
          <w:tab w:val="left" w:pos="-720"/>
        </w:tabs>
        <w:suppressAutoHyphens/>
        <w:spacing w:line="276" w:lineRule="auto"/>
        <w:contextualSpacing/>
      </w:pPr>
      <w:r w:rsidRPr="00CA3E8C">
        <w:t>According to the U.S. Department of Labor, Bureau of Labor Statistics, the May 2021 Occupational Employment and Wage Estimates mean wage rate for Community and Social Service Occupations (SOC 21-0000) is $25.94 per hour.</w:t>
      </w:r>
      <w:r w:rsidRPr="00CA3E8C">
        <w:rPr>
          <w:rStyle w:val="FootnoteReference"/>
        </w:rPr>
        <w:t xml:space="preserve"> </w:t>
      </w:r>
      <w:r>
        <w:rPr>
          <w:rStyle w:val="FootnoteReference"/>
        </w:rPr>
        <w:footnoteReference w:id="4"/>
      </w:r>
      <w:r w:rsidRPr="00CA3E8C">
        <w:t xml:space="preserve">  Including the wage rate </w:t>
      </w:r>
      <w:r w:rsidRPr="00CA3E8C">
        <w:t>multiplier of 1.61, the fully-loaded wage rate is $41.76 per hour.  Therefore, the</w:t>
      </w:r>
      <w:r w:rsidRPr="00CA3E8C">
        <w:t xml:space="preserve"> </w:t>
      </w:r>
      <w:r w:rsidRPr="00CA3E8C">
        <w:t>burden hour cost is estimated to be $</w:t>
      </w:r>
      <w:r w:rsidRPr="00CA3E8C" w:rsidR="000F0763">
        <w:t xml:space="preserve">2,505,060 </w:t>
      </w:r>
      <w:r w:rsidRPr="00CA3E8C">
        <w:t xml:space="preserve">annually ($41.76 x </w:t>
      </w:r>
      <w:r w:rsidRPr="00CA3E8C" w:rsidR="00DF77C8">
        <w:t>60</w:t>
      </w:r>
      <w:r w:rsidRPr="00CA3E8C">
        <w:t>,000 hours = $</w:t>
      </w:r>
      <w:r w:rsidRPr="00CA3E8C" w:rsidR="00864676">
        <w:t>2,505,060</w:t>
      </w:r>
      <w:r w:rsidRPr="00CA3E8C">
        <w:t>).</w:t>
      </w:r>
    </w:p>
    <w:p w:rsidR="008B7FAC" w:rsidRPr="00CA3E8C" w:rsidP="007B48AE" w14:paraId="6C25DC47" w14:textId="7B4C5EFC">
      <w:pPr>
        <w:tabs>
          <w:tab w:val="left" w:pos="-720"/>
        </w:tabs>
        <w:suppressAutoHyphens/>
        <w:spacing w:line="276" w:lineRule="auto"/>
        <w:contextualSpacing/>
        <w:rPr>
          <w:rFonts w:eastAsia="Calibri" w:cs="Arial"/>
        </w:rPr>
      </w:pPr>
    </w:p>
    <w:p w:rsidR="003E5114" w:rsidRPr="007B48AE" w:rsidP="007B48AE" w14:paraId="0D0CACA6" w14:textId="1DC255BE">
      <w:pPr>
        <w:spacing w:line="276" w:lineRule="auto"/>
        <w:contextualSpacing/>
        <w:rPr>
          <w:b/>
          <w:bCs/>
        </w:rPr>
      </w:pPr>
      <w:r w:rsidRPr="007B48AE">
        <w:rPr>
          <w:b/>
          <w:bCs/>
          <w:color w:val="000000" w:themeColor="text1"/>
        </w:rPr>
        <w:t xml:space="preserve">13.  </w:t>
      </w:r>
      <w:r w:rsidRPr="007B48AE">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3E5114" w:rsidP="007B48AE" w14:paraId="3A481EC4" w14:textId="0AA70A6D">
      <w:pPr>
        <w:spacing w:line="276" w:lineRule="auto"/>
        <w:contextualSpacing/>
      </w:pPr>
    </w:p>
    <w:bookmarkStart w:id="0" w:name="_MON_1464598729"/>
    <w:bookmarkEnd w:id="0"/>
    <w:p w:rsidR="003E5114" w:rsidP="003E5114" w14:paraId="45479EDC" w14:textId="5F2F9939">
      <w:pPr>
        <w:spacing w:line="276" w:lineRule="auto"/>
      </w:pPr>
      <w:r>
        <w:rPr>
          <w:color w:val="2B579A"/>
          <w:shd w:val="clear" w:color="auto" w:fill="E6E6E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2pt;height:188.25pt" o:oleicon="f" o:ole="">
            <v:imagedata r:id="rId10" o:title=""/>
          </v:shape>
          <o:OLEObject Type="Embed" ProgID="Excel.Sheet.12" ShapeID="_x0000_i1025" DrawAspect="Content" ObjectID="_1731134049" r:id="rId11"/>
        </w:object>
      </w:r>
    </w:p>
    <w:p w:rsidR="003E5114" w:rsidRPr="007B48AE" w:rsidP="007B48AE" w14:paraId="7177B5CC" w14:textId="77777777">
      <w:pPr>
        <w:spacing w:line="276" w:lineRule="auto"/>
        <w:contextualSpacing/>
      </w:pPr>
    </w:p>
    <w:p w:rsidR="003E5114" w:rsidRPr="007B48AE" w:rsidP="007B48AE" w14:paraId="7BD12376" w14:textId="77777777">
      <w:pPr>
        <w:pStyle w:val="ListParagraph"/>
        <w:spacing w:line="276" w:lineRule="auto"/>
        <w:rPr>
          <w:b/>
          <w:bCs/>
        </w:rPr>
      </w:pPr>
      <w:r w:rsidRPr="007B48AE">
        <w:rPr>
          <w:b/>
          <w:bCs/>
        </w:rPr>
        <w:t>The cost estimates should be split into two components:</w:t>
      </w:r>
    </w:p>
    <w:p w:rsidR="003E5114" w:rsidRPr="007B48AE" w:rsidP="007B48AE" w14:paraId="214A530A" w14:textId="77777777">
      <w:pPr>
        <w:spacing w:line="276" w:lineRule="auto"/>
        <w:contextualSpacing/>
      </w:pPr>
    </w:p>
    <w:p w:rsidR="003E5114" w:rsidRPr="007B48AE" w:rsidP="007B48AE" w14:paraId="3B607323" w14:textId="77777777">
      <w:pPr>
        <w:pStyle w:val="ListParagraph"/>
        <w:numPr>
          <w:ilvl w:val="1"/>
          <w:numId w:val="25"/>
        </w:numPr>
        <w:spacing w:line="276" w:lineRule="auto"/>
        <w:ind w:left="720"/>
      </w:pPr>
      <w:r w:rsidRPr="007B48AE">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rsidRPr="007B48AE">
        <w:t>.</w:t>
      </w:r>
    </w:p>
    <w:p w:rsidR="003E5114" w:rsidRPr="007B48AE" w:rsidP="007B48AE" w14:paraId="7E2DCAA5" w14:textId="0176BCEA">
      <w:pPr>
        <w:spacing w:line="276" w:lineRule="auto"/>
        <w:contextualSpacing/>
      </w:pPr>
    </w:p>
    <w:p w:rsidR="003E5114" w:rsidRPr="007B48AE" w:rsidP="007B48AE" w14:paraId="4339FD74" w14:textId="0E891E2E">
      <w:pPr>
        <w:spacing w:line="276" w:lineRule="auto"/>
        <w:contextualSpacing/>
      </w:pPr>
      <w:r w:rsidRPr="007B48AE">
        <w:t>There are no operation or maintenance costs associated with this collection.</w:t>
      </w:r>
    </w:p>
    <w:p w:rsidR="003E5114" w:rsidRPr="007B48AE" w:rsidP="007B48AE" w14:paraId="215D417B" w14:textId="77777777">
      <w:pPr>
        <w:spacing w:line="276" w:lineRule="auto"/>
        <w:contextualSpacing/>
      </w:pPr>
    </w:p>
    <w:p w:rsidR="003E5114" w:rsidRPr="007B48AE" w:rsidP="007B48AE" w14:paraId="3DC42057" w14:textId="11A5D498">
      <w:pPr>
        <w:pStyle w:val="ListParagraph"/>
        <w:numPr>
          <w:ilvl w:val="1"/>
          <w:numId w:val="25"/>
        </w:numPr>
        <w:spacing w:line="276" w:lineRule="auto"/>
        <w:ind w:left="720"/>
        <w:rPr>
          <w:b/>
          <w:bCs/>
        </w:rPr>
      </w:pPr>
      <w:r w:rsidRPr="007B48AE">
        <w:rPr>
          <w:b/>
          <w:bCs/>
        </w:rPr>
        <w:t>Capital and Start-Up Cost should include, among other items, preparations for collecting information such as purchasing computers and software, monitoring sampling, drilling and testing equipment, and record storge facilities.</w:t>
      </w:r>
    </w:p>
    <w:p w:rsidR="003E5114" w:rsidRPr="007B48AE" w:rsidP="007B48AE" w14:paraId="21D97495" w14:textId="73D07D12">
      <w:pPr>
        <w:spacing w:line="276" w:lineRule="auto"/>
        <w:contextualSpacing/>
      </w:pPr>
    </w:p>
    <w:p w:rsidR="003E5114" w:rsidRPr="007B48AE" w:rsidP="007B48AE" w14:paraId="205AFDFF" w14:textId="019D4D31">
      <w:pPr>
        <w:spacing w:line="276" w:lineRule="auto"/>
        <w:contextualSpacing/>
      </w:pPr>
      <w:r w:rsidRPr="007B48AE">
        <w:t>There are no capital or start-up costs associated with this collection.</w:t>
      </w:r>
    </w:p>
    <w:p w:rsidR="003E5114" w:rsidRPr="007B48AE" w:rsidP="007B48AE" w14:paraId="18CA09BB" w14:textId="77777777">
      <w:pPr>
        <w:spacing w:line="276" w:lineRule="auto"/>
        <w:contextualSpacing/>
      </w:pPr>
    </w:p>
    <w:p w:rsidR="00842E74" w:rsidRPr="007B48AE" w:rsidP="007B48AE" w14:paraId="5DC6A138" w14:textId="47E4A565">
      <w:pPr>
        <w:spacing w:line="276" w:lineRule="auto"/>
        <w:contextualSpacing/>
        <w:rPr>
          <w:color w:val="000000" w:themeColor="text1"/>
        </w:rPr>
      </w:pPr>
      <w:r w:rsidRPr="007B48AE">
        <w:rPr>
          <w:b/>
          <w:bCs/>
          <w:color w:val="000000" w:themeColor="text1"/>
        </w:rPr>
        <w:t xml:space="preserve">14. Provide estimates of annualized cost to the </w:t>
      </w:r>
      <w:r w:rsidR="00C030F4">
        <w:rPr>
          <w:b/>
          <w:bCs/>
          <w:color w:val="000000" w:themeColor="text1"/>
        </w:rPr>
        <w:t>F</w:t>
      </w:r>
      <w:r w:rsidRPr="007B48AE">
        <w:rPr>
          <w:b/>
          <w:bCs/>
          <w:color w:val="000000" w:themeColor="text1"/>
        </w:rPr>
        <w:t xml:space="preserve">ederal </w:t>
      </w:r>
      <w:r w:rsidR="00C030F4">
        <w:rPr>
          <w:b/>
          <w:bCs/>
          <w:color w:val="000000" w:themeColor="text1"/>
        </w:rPr>
        <w:t>G</w:t>
      </w:r>
      <w:r w:rsidRPr="007B48AE">
        <w:rPr>
          <w:b/>
          <w:bCs/>
          <w:color w:val="000000" w:themeColor="text1"/>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B1675" w:rsidRPr="007B48AE" w:rsidP="007B48AE" w14:paraId="2823BB69" w14:textId="7F0514B8">
      <w:pPr>
        <w:spacing w:line="276" w:lineRule="auto"/>
        <w:contextualSpacing/>
        <w:rPr>
          <w:b/>
          <w:bCs/>
        </w:rPr>
      </w:pPr>
      <w:r w:rsidRPr="007B48AE">
        <w:rPr>
          <w:b/>
          <w:bCs/>
        </w:rPr>
        <w:br w:type="page"/>
      </w:r>
    </w:p>
    <w:p w:rsidR="00934767" w:rsidRPr="00463B16" w:rsidP="007B48AE" w14:paraId="7DD96B5B" w14:textId="28AA6324">
      <w:pPr>
        <w:tabs>
          <w:tab w:val="left" w:pos="360"/>
        </w:tabs>
        <w:rPr>
          <w:b/>
          <w:bCs/>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88"/>
        <w:gridCol w:w="1368"/>
      </w:tblGrid>
      <w:tr w14:paraId="0FA76F40" w14:textId="77777777" w:rsidTr="00CA3E8C">
        <w:tblPrEx>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jc w:val="center"/>
        </w:trPr>
        <w:tc>
          <w:tcPr>
            <w:tcW w:w="8856" w:type="dxa"/>
            <w:gridSpan w:val="2"/>
            <w:shd w:val="clear" w:color="auto" w:fill="8EAADB" w:themeFill="accent5" w:themeFillTint="99"/>
            <w:noWrap/>
            <w:vAlign w:val="center"/>
          </w:tcPr>
          <w:p w:rsidR="008B72DE" w:rsidRPr="00CA3E8C" w:rsidP="00E85166" w14:paraId="306E39AD" w14:textId="37F5E2F8">
            <w:pPr>
              <w:jc w:val="center"/>
              <w:rPr>
                <w:b/>
                <w:bCs/>
                <w:sz w:val="20"/>
                <w:szCs w:val="20"/>
              </w:rPr>
            </w:pPr>
            <w:r w:rsidRPr="00CA3E8C">
              <w:rPr>
                <w:b/>
                <w:bCs/>
                <w:sz w:val="20"/>
                <w:szCs w:val="20"/>
              </w:rPr>
              <w:t>Annual Cost to the Federal Government</w:t>
            </w:r>
          </w:p>
        </w:tc>
      </w:tr>
      <w:tr w14:paraId="3F128F2D" w14:textId="77777777" w:rsidTr="00CA3E8C">
        <w:tblPrEx>
          <w:tblW w:w="8856" w:type="dxa"/>
          <w:jc w:val="center"/>
          <w:tblLook w:val="0000"/>
        </w:tblPrEx>
        <w:trPr>
          <w:trHeight w:val="70"/>
          <w:jc w:val="center"/>
        </w:trPr>
        <w:tc>
          <w:tcPr>
            <w:tcW w:w="7488" w:type="dxa"/>
            <w:shd w:val="clear" w:color="auto" w:fill="8EAADB" w:themeFill="accent5" w:themeFillTint="99"/>
            <w:noWrap/>
            <w:vAlign w:val="center"/>
          </w:tcPr>
          <w:p w:rsidR="00106F37" w:rsidRPr="007B48AE" w:rsidP="00E85166" w14:paraId="18F87573" w14:textId="77777777">
            <w:pPr>
              <w:jc w:val="center"/>
              <w:rPr>
                <w:b/>
                <w:bCs/>
                <w:sz w:val="18"/>
                <w:szCs w:val="18"/>
              </w:rPr>
            </w:pPr>
            <w:r w:rsidRPr="007B48AE">
              <w:rPr>
                <w:b/>
                <w:bCs/>
                <w:sz w:val="18"/>
                <w:szCs w:val="18"/>
              </w:rPr>
              <w:t>Item</w:t>
            </w:r>
          </w:p>
        </w:tc>
        <w:tc>
          <w:tcPr>
            <w:tcW w:w="1368" w:type="dxa"/>
            <w:shd w:val="clear" w:color="auto" w:fill="8EAADB" w:themeFill="accent5" w:themeFillTint="99"/>
            <w:noWrap/>
          </w:tcPr>
          <w:p w:rsidR="00106F37" w:rsidRPr="007B48AE" w:rsidP="00E85166" w14:paraId="0EBE8C21" w14:textId="77777777">
            <w:pPr>
              <w:jc w:val="center"/>
              <w:rPr>
                <w:b/>
                <w:bCs/>
                <w:sz w:val="18"/>
                <w:szCs w:val="18"/>
              </w:rPr>
            </w:pPr>
            <w:r w:rsidRPr="007B48AE">
              <w:rPr>
                <w:b/>
                <w:bCs/>
                <w:sz w:val="18"/>
                <w:szCs w:val="18"/>
              </w:rPr>
              <w:t>Cost ($)</w:t>
            </w:r>
          </w:p>
        </w:tc>
      </w:tr>
      <w:tr w14:paraId="4F8D080D" w14:textId="77777777" w:rsidTr="00CA3E8C">
        <w:tblPrEx>
          <w:tblW w:w="8856" w:type="dxa"/>
          <w:jc w:val="center"/>
          <w:tblLook w:val="0000"/>
        </w:tblPrEx>
        <w:trPr>
          <w:trHeight w:val="58"/>
          <w:jc w:val="center"/>
        </w:trPr>
        <w:tc>
          <w:tcPr>
            <w:tcW w:w="7488" w:type="dxa"/>
          </w:tcPr>
          <w:p w:rsidR="00106F37" w:rsidRPr="007B48AE" w:rsidP="00560D55" w14:paraId="2B511008" w14:textId="1405E737">
            <w:pPr>
              <w:rPr>
                <w:b/>
                <w:bCs/>
                <w:color w:val="000000" w:themeColor="text1"/>
                <w:sz w:val="18"/>
                <w:szCs w:val="18"/>
              </w:rPr>
            </w:pPr>
            <w:r w:rsidRPr="007B48AE">
              <w:rPr>
                <w:b/>
                <w:bCs/>
                <w:color w:val="000000" w:themeColor="text1"/>
                <w:sz w:val="18"/>
                <w:szCs w:val="18"/>
              </w:rPr>
              <w:t xml:space="preserve">Contract Costs:  </w:t>
            </w:r>
          </w:p>
        </w:tc>
        <w:tc>
          <w:tcPr>
            <w:tcW w:w="1368" w:type="dxa"/>
          </w:tcPr>
          <w:p w:rsidR="00106F37" w:rsidRPr="007B48AE" w:rsidP="00CA3E8C" w14:paraId="5FE0D660" w14:textId="0458A440">
            <w:pPr>
              <w:jc w:val="right"/>
              <w:rPr>
                <w:color w:val="000000" w:themeColor="text1"/>
                <w:sz w:val="18"/>
                <w:szCs w:val="18"/>
              </w:rPr>
            </w:pPr>
            <w:r w:rsidRPr="007B48AE">
              <w:rPr>
                <w:color w:val="000000" w:themeColor="text1"/>
                <w:sz w:val="18"/>
                <w:szCs w:val="18"/>
              </w:rPr>
              <w:t>$0</w:t>
            </w:r>
          </w:p>
        </w:tc>
      </w:tr>
      <w:tr w14:paraId="2FC163A9" w14:textId="77777777" w:rsidTr="00E03B72">
        <w:tblPrEx>
          <w:tblW w:w="8856" w:type="dxa"/>
          <w:jc w:val="center"/>
          <w:tblLook w:val="0000"/>
        </w:tblPrEx>
        <w:trPr>
          <w:trHeight w:val="510"/>
          <w:jc w:val="center"/>
        </w:trPr>
        <w:tc>
          <w:tcPr>
            <w:tcW w:w="7488" w:type="dxa"/>
          </w:tcPr>
          <w:p w:rsidR="00106F37" w:rsidRPr="007B48AE" w:rsidP="00560D55" w14:paraId="707AB921" w14:textId="7F9A402E">
            <w:pPr>
              <w:rPr>
                <w:color w:val="000000" w:themeColor="text1"/>
                <w:sz w:val="18"/>
                <w:szCs w:val="18"/>
              </w:rPr>
            </w:pPr>
            <w:r w:rsidRPr="007B48AE">
              <w:rPr>
                <w:b/>
                <w:bCs/>
                <w:color w:val="000000" w:themeColor="text1"/>
                <w:sz w:val="18"/>
                <w:szCs w:val="18"/>
              </w:rPr>
              <w:t>Staff Salaries</w:t>
            </w:r>
            <w:r w:rsidRPr="007B48AE" w:rsidR="009B4E88">
              <w:rPr>
                <w:b/>
                <w:bCs/>
                <w:color w:val="000000" w:themeColor="text1"/>
                <w:sz w:val="18"/>
                <w:szCs w:val="18"/>
              </w:rPr>
              <w:t>*</w:t>
            </w:r>
            <w:r w:rsidRPr="007B48AE" w:rsidR="00D951D4">
              <w:rPr>
                <w:b/>
                <w:bCs/>
                <w:color w:val="000000" w:themeColor="text1"/>
                <w:sz w:val="18"/>
                <w:szCs w:val="18"/>
              </w:rPr>
              <w:t xml:space="preserve"> </w:t>
            </w:r>
            <w:r w:rsidRPr="007B48AE" w:rsidR="009036F1">
              <w:rPr>
                <w:color w:val="000000" w:themeColor="text1"/>
                <w:sz w:val="18"/>
                <w:szCs w:val="18"/>
              </w:rPr>
              <w:t>35</w:t>
            </w:r>
            <w:r w:rsidRPr="007B48AE" w:rsidR="002C1B5D">
              <w:rPr>
                <w:color w:val="000000" w:themeColor="text1"/>
                <w:sz w:val="18"/>
                <w:szCs w:val="18"/>
              </w:rPr>
              <w:t xml:space="preserve"> of GS</w:t>
            </w:r>
            <w:r w:rsidRPr="007B48AE" w:rsidR="00961DC2">
              <w:rPr>
                <w:color w:val="000000" w:themeColor="text1"/>
                <w:sz w:val="18"/>
                <w:szCs w:val="18"/>
              </w:rPr>
              <w:t>-</w:t>
            </w:r>
            <w:r w:rsidRPr="007B48AE" w:rsidR="002C1B5D">
              <w:rPr>
                <w:color w:val="000000" w:themeColor="text1"/>
                <w:sz w:val="18"/>
                <w:szCs w:val="18"/>
              </w:rPr>
              <w:t>12, step 5</w:t>
            </w:r>
            <w:r w:rsidRPr="007B48AE" w:rsidR="00FF322E">
              <w:rPr>
                <w:color w:val="000000" w:themeColor="text1"/>
                <w:sz w:val="18"/>
                <w:szCs w:val="18"/>
              </w:rPr>
              <w:t xml:space="preserve"> </w:t>
            </w:r>
            <w:r w:rsidRPr="007B48AE" w:rsidR="00D951D4">
              <w:rPr>
                <w:color w:val="000000" w:themeColor="text1"/>
                <w:sz w:val="18"/>
                <w:szCs w:val="18"/>
              </w:rPr>
              <w:t xml:space="preserve">employees spending approximately </w:t>
            </w:r>
            <w:r w:rsidRPr="007B48AE" w:rsidR="00560D55">
              <w:rPr>
                <w:color w:val="000000" w:themeColor="text1"/>
                <w:sz w:val="18"/>
                <w:szCs w:val="18"/>
              </w:rPr>
              <w:t>3</w:t>
            </w:r>
            <w:r w:rsidRPr="007B48AE" w:rsidR="009036F1">
              <w:rPr>
                <w:color w:val="000000" w:themeColor="text1"/>
                <w:sz w:val="18"/>
                <w:szCs w:val="18"/>
              </w:rPr>
              <w:t>5</w:t>
            </w:r>
            <w:r w:rsidRPr="007B48AE" w:rsidR="00D951D4">
              <w:rPr>
                <w:color w:val="000000" w:themeColor="text1"/>
                <w:sz w:val="18"/>
                <w:szCs w:val="18"/>
              </w:rPr>
              <w:t xml:space="preserve">% of time annually </w:t>
            </w:r>
            <w:r w:rsidRPr="007B48AE" w:rsidR="00CE7F5B">
              <w:rPr>
                <w:color w:val="000000" w:themeColor="text1"/>
                <w:sz w:val="18"/>
                <w:szCs w:val="18"/>
              </w:rPr>
              <w:t>performing</w:t>
            </w:r>
            <w:r w:rsidRPr="007B48AE" w:rsidR="00DB3B1D">
              <w:rPr>
                <w:color w:val="000000" w:themeColor="text1"/>
                <w:sz w:val="18"/>
                <w:szCs w:val="18"/>
              </w:rPr>
              <w:t xml:space="preserve"> the community contact</w:t>
            </w:r>
            <w:r w:rsidRPr="007B48AE" w:rsidR="009036F1">
              <w:rPr>
                <w:color w:val="000000" w:themeColor="text1"/>
                <w:sz w:val="18"/>
                <w:szCs w:val="18"/>
              </w:rPr>
              <w:t>s and visits</w:t>
            </w:r>
            <w:r w:rsidRPr="007B48AE" w:rsidR="00693F5A">
              <w:rPr>
                <w:color w:val="000000" w:themeColor="text1"/>
                <w:sz w:val="18"/>
                <w:szCs w:val="18"/>
              </w:rPr>
              <w:t>;</w:t>
            </w:r>
            <w:r w:rsidRPr="007B48AE" w:rsidR="00DB3B1D">
              <w:rPr>
                <w:color w:val="000000" w:themeColor="text1"/>
                <w:sz w:val="18"/>
                <w:szCs w:val="18"/>
              </w:rPr>
              <w:t xml:space="preserve"> </w:t>
            </w:r>
            <w:r w:rsidRPr="007B48AE" w:rsidR="00693F5A">
              <w:rPr>
                <w:color w:val="000000" w:themeColor="text1"/>
                <w:sz w:val="18"/>
                <w:szCs w:val="18"/>
              </w:rPr>
              <w:t>monitor</w:t>
            </w:r>
            <w:r w:rsidRPr="007B48AE" w:rsidR="009036F1">
              <w:rPr>
                <w:color w:val="000000" w:themeColor="text1"/>
                <w:sz w:val="18"/>
                <w:szCs w:val="18"/>
              </w:rPr>
              <w:t>ing</w:t>
            </w:r>
            <w:r w:rsidRPr="007B48AE" w:rsidR="00693F5A">
              <w:rPr>
                <w:color w:val="000000" w:themeColor="text1"/>
                <w:sz w:val="18"/>
                <w:szCs w:val="18"/>
              </w:rPr>
              <w:t>, review</w:t>
            </w:r>
            <w:r w:rsidRPr="007B48AE" w:rsidR="009036F1">
              <w:rPr>
                <w:color w:val="000000" w:themeColor="text1"/>
                <w:sz w:val="18"/>
                <w:szCs w:val="18"/>
              </w:rPr>
              <w:t>ing</w:t>
            </w:r>
            <w:r w:rsidRPr="007B48AE" w:rsidR="00761F8C">
              <w:rPr>
                <w:color w:val="000000" w:themeColor="text1"/>
                <w:sz w:val="18"/>
                <w:szCs w:val="18"/>
              </w:rPr>
              <w:t>, writing</w:t>
            </w:r>
            <w:r w:rsidRPr="007B48AE" w:rsidR="00693F5A">
              <w:rPr>
                <w:color w:val="000000" w:themeColor="text1"/>
                <w:sz w:val="18"/>
                <w:szCs w:val="18"/>
              </w:rPr>
              <w:t xml:space="preserve"> and approving the reports</w:t>
            </w:r>
            <w:r w:rsidRPr="007B48AE" w:rsidR="00D951D4">
              <w:rPr>
                <w:color w:val="000000" w:themeColor="text1"/>
                <w:sz w:val="18"/>
                <w:szCs w:val="18"/>
              </w:rPr>
              <w:t xml:space="preserve"> for this data collection</w:t>
            </w:r>
            <w:r w:rsidRPr="007B48AE" w:rsidR="002C1B5D">
              <w:rPr>
                <w:color w:val="000000" w:themeColor="text1"/>
                <w:sz w:val="18"/>
                <w:szCs w:val="18"/>
              </w:rPr>
              <w:t xml:space="preserve">. </w:t>
            </w:r>
          </w:p>
          <w:p w:rsidR="00560D55" w:rsidRPr="007B48AE" w:rsidP="00560D55" w14:paraId="2F1D2219" w14:textId="77777777">
            <w:pPr>
              <w:rPr>
                <w:color w:val="000000" w:themeColor="text1"/>
                <w:sz w:val="18"/>
                <w:szCs w:val="18"/>
              </w:rPr>
            </w:pPr>
          </w:p>
          <w:p w:rsidR="00560D55" w:rsidRPr="007B48AE" w:rsidP="00301ED2" w14:paraId="0BB1DD58" w14:textId="45AD8C85">
            <w:pPr>
              <w:rPr>
                <w:color w:val="000000" w:themeColor="text1"/>
                <w:sz w:val="18"/>
                <w:szCs w:val="18"/>
              </w:rPr>
            </w:pPr>
            <w:r w:rsidRPr="007B48AE">
              <w:rPr>
                <w:color w:val="000000" w:themeColor="text1"/>
                <w:sz w:val="18"/>
                <w:szCs w:val="18"/>
              </w:rPr>
              <w:t xml:space="preserve">GS 12, Step 5 = </w:t>
            </w:r>
            <w:r w:rsidRPr="007B48AE" w:rsidR="00403BAF">
              <w:rPr>
                <w:color w:val="000000" w:themeColor="text1"/>
                <w:sz w:val="18"/>
                <w:szCs w:val="18"/>
              </w:rPr>
              <w:t>48.</w:t>
            </w:r>
            <w:r w:rsidRPr="007B48AE" w:rsidR="00BC10E0">
              <w:rPr>
                <w:color w:val="000000" w:themeColor="text1"/>
                <w:sz w:val="18"/>
                <w:szCs w:val="18"/>
              </w:rPr>
              <w:t>78</w:t>
            </w:r>
            <w:r w:rsidRPr="007B48AE">
              <w:rPr>
                <w:color w:val="000000" w:themeColor="text1"/>
                <w:sz w:val="18"/>
                <w:szCs w:val="18"/>
              </w:rPr>
              <w:t xml:space="preserve"> x 1.4</w:t>
            </w:r>
            <w:r w:rsidRPr="007B48AE" w:rsidR="00E75646">
              <w:rPr>
                <w:color w:val="000000" w:themeColor="text1"/>
                <w:sz w:val="18"/>
                <w:szCs w:val="18"/>
              </w:rPr>
              <w:t>5</w:t>
            </w:r>
            <w:r w:rsidRPr="007B48AE">
              <w:rPr>
                <w:color w:val="000000" w:themeColor="text1"/>
                <w:sz w:val="18"/>
                <w:szCs w:val="18"/>
              </w:rPr>
              <w:t xml:space="preserve"> = $</w:t>
            </w:r>
            <w:r w:rsidRPr="007B48AE" w:rsidR="00756E84">
              <w:rPr>
                <w:color w:val="000000" w:themeColor="text1"/>
                <w:sz w:val="18"/>
                <w:szCs w:val="18"/>
              </w:rPr>
              <w:t>70.73</w:t>
            </w:r>
            <w:r w:rsidRPr="007B48AE">
              <w:rPr>
                <w:color w:val="000000" w:themeColor="text1"/>
                <w:sz w:val="18"/>
                <w:szCs w:val="18"/>
              </w:rPr>
              <w:t xml:space="preserve"> x </w:t>
            </w:r>
            <w:r w:rsidRPr="007B48AE" w:rsidR="00E75646">
              <w:rPr>
                <w:color w:val="000000" w:themeColor="text1"/>
                <w:sz w:val="18"/>
                <w:szCs w:val="18"/>
              </w:rPr>
              <w:t>35</w:t>
            </w:r>
            <w:r w:rsidRPr="007B48AE">
              <w:rPr>
                <w:color w:val="000000" w:themeColor="text1"/>
                <w:sz w:val="18"/>
                <w:szCs w:val="18"/>
              </w:rPr>
              <w:t xml:space="preserve"> employees = $</w:t>
            </w:r>
            <w:r w:rsidRPr="007B48AE" w:rsidR="00315756">
              <w:rPr>
                <w:color w:val="000000" w:themeColor="text1"/>
                <w:sz w:val="18"/>
                <w:szCs w:val="18"/>
              </w:rPr>
              <w:t>2,47</w:t>
            </w:r>
            <w:r w:rsidRPr="007B48AE" w:rsidR="00BA6A40">
              <w:rPr>
                <w:color w:val="000000" w:themeColor="text1"/>
                <w:sz w:val="18"/>
                <w:szCs w:val="18"/>
              </w:rPr>
              <w:t>6</w:t>
            </w:r>
            <w:r w:rsidRPr="007B48AE">
              <w:rPr>
                <w:color w:val="000000" w:themeColor="text1"/>
                <w:sz w:val="18"/>
                <w:szCs w:val="18"/>
              </w:rPr>
              <w:t xml:space="preserve"> x (</w:t>
            </w:r>
            <w:r w:rsidRPr="007B48AE" w:rsidR="00080794">
              <w:rPr>
                <w:color w:val="000000" w:themeColor="text1"/>
                <w:sz w:val="18"/>
                <w:szCs w:val="18"/>
              </w:rPr>
              <w:t>52 weeks x 40 hour</w:t>
            </w:r>
            <w:r w:rsidRPr="007B48AE" w:rsidR="002C1D63">
              <w:rPr>
                <w:color w:val="000000" w:themeColor="text1"/>
                <w:sz w:val="18"/>
                <w:szCs w:val="18"/>
              </w:rPr>
              <w:t>s</w:t>
            </w:r>
            <w:r w:rsidRPr="007B48AE">
              <w:rPr>
                <w:color w:val="000000" w:themeColor="text1"/>
                <w:sz w:val="18"/>
                <w:szCs w:val="18"/>
              </w:rPr>
              <w:t xml:space="preserve"> x 3</w:t>
            </w:r>
            <w:r w:rsidRPr="007B48AE" w:rsidR="00D2002A">
              <w:rPr>
                <w:color w:val="000000" w:themeColor="text1"/>
                <w:sz w:val="18"/>
                <w:szCs w:val="18"/>
              </w:rPr>
              <w:t>5</w:t>
            </w:r>
            <w:r w:rsidRPr="007B48AE">
              <w:rPr>
                <w:color w:val="000000" w:themeColor="text1"/>
                <w:sz w:val="18"/>
                <w:szCs w:val="18"/>
              </w:rPr>
              <w:t>%) = $</w:t>
            </w:r>
            <w:r w:rsidRPr="007B48AE" w:rsidR="00B5563A">
              <w:rPr>
                <w:color w:val="000000" w:themeColor="text1"/>
                <w:sz w:val="18"/>
                <w:szCs w:val="18"/>
              </w:rPr>
              <w:t>1,802,528</w:t>
            </w:r>
          </w:p>
        </w:tc>
        <w:tc>
          <w:tcPr>
            <w:tcW w:w="1368" w:type="dxa"/>
            <w:noWrap/>
            <w:vAlign w:val="center"/>
          </w:tcPr>
          <w:p w:rsidR="00106F37" w:rsidRPr="007B48AE" w:rsidP="00493D30" w14:paraId="41853EA7" w14:textId="2DF49EE9">
            <w:pPr>
              <w:jc w:val="right"/>
              <w:rPr>
                <w:color w:val="000000" w:themeColor="text1"/>
                <w:sz w:val="18"/>
                <w:szCs w:val="18"/>
              </w:rPr>
            </w:pPr>
            <w:r w:rsidRPr="007B48AE">
              <w:rPr>
                <w:color w:val="000000" w:themeColor="text1"/>
                <w:sz w:val="18"/>
                <w:szCs w:val="18"/>
              </w:rPr>
              <w:t>$</w:t>
            </w:r>
            <w:r w:rsidRPr="007B48AE" w:rsidR="00F00921">
              <w:rPr>
                <w:color w:val="000000" w:themeColor="text1"/>
                <w:sz w:val="18"/>
                <w:szCs w:val="18"/>
              </w:rPr>
              <w:t>1,</w:t>
            </w:r>
            <w:r w:rsidRPr="007B48AE" w:rsidR="00B0657D">
              <w:rPr>
                <w:color w:val="000000" w:themeColor="text1"/>
                <w:sz w:val="18"/>
                <w:szCs w:val="18"/>
              </w:rPr>
              <w:t>802,528</w:t>
            </w:r>
          </w:p>
        </w:tc>
      </w:tr>
      <w:tr w14:paraId="74DBE46E" w14:textId="77777777" w:rsidTr="00CA3E8C">
        <w:tblPrEx>
          <w:tblW w:w="8856" w:type="dxa"/>
          <w:jc w:val="center"/>
          <w:tblLook w:val="0000"/>
        </w:tblPrEx>
        <w:trPr>
          <w:trHeight w:val="270"/>
          <w:jc w:val="center"/>
        </w:trPr>
        <w:tc>
          <w:tcPr>
            <w:tcW w:w="7488" w:type="dxa"/>
            <w:noWrap/>
          </w:tcPr>
          <w:p w:rsidR="00106F37" w:rsidRPr="007B48AE" w:rsidP="00D951D4" w14:paraId="29191FD1" w14:textId="6B152FD7">
            <w:pPr>
              <w:rPr>
                <w:color w:val="000000" w:themeColor="text1"/>
                <w:sz w:val="18"/>
                <w:szCs w:val="18"/>
              </w:rPr>
            </w:pPr>
            <w:r w:rsidRPr="007B48AE">
              <w:rPr>
                <w:b/>
                <w:bCs/>
                <w:color w:val="000000" w:themeColor="text1"/>
                <w:sz w:val="18"/>
                <w:szCs w:val="18"/>
              </w:rPr>
              <w:t>Facilities</w:t>
            </w:r>
            <w:r w:rsidRPr="007B48AE" w:rsidR="0015054F">
              <w:rPr>
                <w:color w:val="000000" w:themeColor="text1"/>
                <w:sz w:val="18"/>
                <w:szCs w:val="18"/>
              </w:rPr>
              <w:t xml:space="preserve"> [</w:t>
            </w:r>
            <w:r w:rsidRPr="007B48AE" w:rsidR="00953739">
              <w:rPr>
                <w:color w:val="000000" w:themeColor="text1"/>
                <w:sz w:val="18"/>
                <w:szCs w:val="18"/>
              </w:rPr>
              <w:t xml:space="preserve">work occurs </w:t>
            </w:r>
            <w:r w:rsidRPr="007B48AE" w:rsidR="0092146C">
              <w:rPr>
                <w:color w:val="000000" w:themeColor="text1"/>
                <w:sz w:val="18"/>
                <w:szCs w:val="18"/>
              </w:rPr>
              <w:t>in the field, at telework</w:t>
            </w:r>
            <w:r w:rsidRPr="007B48AE" w:rsidR="008169A7">
              <w:rPr>
                <w:color w:val="000000" w:themeColor="text1"/>
                <w:sz w:val="18"/>
                <w:szCs w:val="18"/>
              </w:rPr>
              <w:t xml:space="preserve"> locations,</w:t>
            </w:r>
            <w:r w:rsidRPr="007B48AE" w:rsidR="0092146C">
              <w:rPr>
                <w:color w:val="000000" w:themeColor="text1"/>
                <w:sz w:val="18"/>
                <w:szCs w:val="18"/>
              </w:rPr>
              <w:t xml:space="preserve"> and inside federal facilities that are </w:t>
            </w:r>
            <w:r w:rsidRPr="007B48AE" w:rsidR="008169A7">
              <w:rPr>
                <w:color w:val="000000" w:themeColor="text1"/>
                <w:sz w:val="18"/>
                <w:szCs w:val="18"/>
              </w:rPr>
              <w:t>already rented</w:t>
            </w:r>
            <w:r w:rsidRPr="007B48AE" w:rsidR="0015054F">
              <w:rPr>
                <w:color w:val="000000" w:themeColor="text1"/>
                <w:sz w:val="18"/>
                <w:szCs w:val="18"/>
              </w:rPr>
              <w:t>]</w:t>
            </w:r>
          </w:p>
        </w:tc>
        <w:tc>
          <w:tcPr>
            <w:tcW w:w="1368" w:type="dxa"/>
            <w:noWrap/>
          </w:tcPr>
          <w:p w:rsidR="00106F37" w:rsidRPr="007B48AE" w:rsidP="00CA3E8C" w14:paraId="43E64B19" w14:textId="45A1301A">
            <w:pPr>
              <w:jc w:val="right"/>
              <w:rPr>
                <w:color w:val="000000" w:themeColor="text1"/>
                <w:sz w:val="18"/>
                <w:szCs w:val="18"/>
              </w:rPr>
            </w:pPr>
            <w:r w:rsidRPr="007B48AE">
              <w:rPr>
                <w:color w:val="000000" w:themeColor="text1"/>
                <w:sz w:val="18"/>
                <w:szCs w:val="18"/>
              </w:rPr>
              <w:t>$</w:t>
            </w:r>
            <w:r w:rsidRPr="007B48AE" w:rsidR="00627556">
              <w:rPr>
                <w:color w:val="000000" w:themeColor="text1"/>
                <w:sz w:val="18"/>
                <w:szCs w:val="18"/>
              </w:rPr>
              <w:t>0</w:t>
            </w:r>
          </w:p>
        </w:tc>
      </w:tr>
      <w:tr w14:paraId="0D7804F2" w14:textId="77777777" w:rsidTr="00CA3E8C">
        <w:tblPrEx>
          <w:tblW w:w="8856" w:type="dxa"/>
          <w:jc w:val="center"/>
          <w:tblLook w:val="0000"/>
        </w:tblPrEx>
        <w:trPr>
          <w:trHeight w:val="240"/>
          <w:jc w:val="center"/>
        </w:trPr>
        <w:tc>
          <w:tcPr>
            <w:tcW w:w="7488" w:type="dxa"/>
            <w:noWrap/>
          </w:tcPr>
          <w:p w:rsidR="00106F37" w:rsidRPr="007B48AE" w:rsidP="00527093" w14:paraId="32D754CF" w14:textId="34DFFAF1">
            <w:pPr>
              <w:rPr>
                <w:color w:val="000000" w:themeColor="text1"/>
                <w:sz w:val="18"/>
                <w:szCs w:val="18"/>
              </w:rPr>
            </w:pPr>
            <w:r w:rsidRPr="007B48AE">
              <w:rPr>
                <w:b/>
                <w:bCs/>
                <w:color w:val="000000" w:themeColor="text1"/>
                <w:sz w:val="18"/>
                <w:szCs w:val="18"/>
              </w:rPr>
              <w:t>Computer Hardware and Software</w:t>
            </w:r>
            <w:r w:rsidRPr="007B48AE" w:rsidR="00D951D4">
              <w:rPr>
                <w:color w:val="000000" w:themeColor="text1"/>
                <w:sz w:val="18"/>
                <w:szCs w:val="18"/>
              </w:rPr>
              <w:t xml:space="preserve"> [</w:t>
            </w:r>
            <w:r w:rsidRPr="007B48AE" w:rsidR="00560D55">
              <w:rPr>
                <w:color w:val="000000" w:themeColor="text1"/>
                <w:sz w:val="18"/>
                <w:szCs w:val="18"/>
              </w:rPr>
              <w:t>5%</w:t>
            </w:r>
            <w:r w:rsidRPr="007B48AE" w:rsidR="00527093">
              <w:rPr>
                <w:color w:val="000000" w:themeColor="text1"/>
                <w:sz w:val="18"/>
                <w:szCs w:val="18"/>
              </w:rPr>
              <w:t>x $</w:t>
            </w:r>
            <w:r w:rsidRPr="007B48AE" w:rsidR="00CE40D5">
              <w:rPr>
                <w:color w:val="000000" w:themeColor="text1"/>
                <w:sz w:val="18"/>
                <w:szCs w:val="18"/>
              </w:rPr>
              <w:t>1,290,000</w:t>
            </w:r>
            <w:r w:rsidRPr="007B48AE" w:rsidR="00527093">
              <w:rPr>
                <w:color w:val="000000" w:themeColor="text1"/>
                <w:sz w:val="18"/>
                <w:szCs w:val="18"/>
              </w:rPr>
              <w:t xml:space="preserve"> </w:t>
            </w:r>
            <w:r w:rsidRPr="007B48AE" w:rsidR="003F1749">
              <w:rPr>
                <w:color w:val="000000" w:themeColor="text1"/>
                <w:sz w:val="18"/>
                <w:szCs w:val="18"/>
              </w:rPr>
              <w:t xml:space="preserve">[5% of total </w:t>
            </w:r>
            <w:r w:rsidRPr="007B48AE" w:rsidR="00527093">
              <w:rPr>
                <w:color w:val="000000" w:themeColor="text1"/>
                <w:sz w:val="18"/>
                <w:szCs w:val="18"/>
              </w:rPr>
              <w:t>floodplain management database)</w:t>
            </w:r>
            <w:r w:rsidRPr="007B48AE" w:rsidR="00560D55">
              <w:rPr>
                <w:color w:val="000000" w:themeColor="text1"/>
                <w:sz w:val="18"/>
                <w:szCs w:val="18"/>
              </w:rPr>
              <w:t xml:space="preserve"> = $</w:t>
            </w:r>
            <w:r w:rsidRPr="007B48AE" w:rsidR="004B60FC">
              <w:rPr>
                <w:color w:val="000000" w:themeColor="text1"/>
                <w:sz w:val="18"/>
                <w:szCs w:val="18"/>
              </w:rPr>
              <w:t>64,500</w:t>
            </w:r>
            <w:r w:rsidRPr="007B48AE" w:rsidR="00D951D4">
              <w:rPr>
                <w:color w:val="000000" w:themeColor="text1"/>
                <w:sz w:val="18"/>
                <w:szCs w:val="18"/>
              </w:rPr>
              <w:t>]</w:t>
            </w:r>
          </w:p>
        </w:tc>
        <w:tc>
          <w:tcPr>
            <w:tcW w:w="1368" w:type="dxa"/>
            <w:noWrap/>
          </w:tcPr>
          <w:p w:rsidR="00106F37" w:rsidRPr="007B48AE" w:rsidP="00CA3E8C" w14:paraId="09DD64FD" w14:textId="53BF3C65">
            <w:pPr>
              <w:jc w:val="right"/>
              <w:rPr>
                <w:color w:val="000000" w:themeColor="text1"/>
                <w:sz w:val="18"/>
                <w:szCs w:val="18"/>
              </w:rPr>
            </w:pPr>
            <w:r w:rsidRPr="007B48AE">
              <w:rPr>
                <w:color w:val="000000" w:themeColor="text1"/>
                <w:sz w:val="18"/>
                <w:szCs w:val="18"/>
              </w:rPr>
              <w:t>$</w:t>
            </w:r>
            <w:r w:rsidRPr="007B48AE" w:rsidR="00266ECA">
              <w:rPr>
                <w:color w:val="000000" w:themeColor="text1"/>
                <w:sz w:val="18"/>
                <w:szCs w:val="18"/>
              </w:rPr>
              <w:t>64,500</w:t>
            </w:r>
          </w:p>
        </w:tc>
      </w:tr>
      <w:tr w14:paraId="43810F75" w14:textId="77777777" w:rsidTr="00CA3E8C">
        <w:tblPrEx>
          <w:tblW w:w="8856" w:type="dxa"/>
          <w:jc w:val="center"/>
          <w:tblLook w:val="0000"/>
        </w:tblPrEx>
        <w:trPr>
          <w:trHeight w:val="255"/>
          <w:jc w:val="center"/>
        </w:trPr>
        <w:tc>
          <w:tcPr>
            <w:tcW w:w="7488" w:type="dxa"/>
            <w:noWrap/>
          </w:tcPr>
          <w:p w:rsidR="00106F37" w:rsidRPr="007B48AE" w:rsidP="00D951D4" w14:paraId="506272E2" w14:textId="6F641F2A">
            <w:pPr>
              <w:rPr>
                <w:color w:val="000000" w:themeColor="text1"/>
                <w:sz w:val="18"/>
                <w:szCs w:val="18"/>
              </w:rPr>
            </w:pPr>
            <w:r w:rsidRPr="007B48AE">
              <w:rPr>
                <w:b/>
                <w:bCs/>
                <w:color w:val="000000" w:themeColor="text1"/>
                <w:sz w:val="18"/>
                <w:szCs w:val="18"/>
              </w:rPr>
              <w:t>Equipment Maintenance</w:t>
            </w:r>
            <w:r w:rsidRPr="007B48AE" w:rsidR="00D951D4">
              <w:rPr>
                <w:color w:val="000000" w:themeColor="text1"/>
                <w:sz w:val="18"/>
                <w:szCs w:val="18"/>
              </w:rPr>
              <w:t xml:space="preserve"> [</w:t>
            </w:r>
            <w:r w:rsidRPr="007B48AE" w:rsidR="00193AD7">
              <w:rPr>
                <w:color w:val="000000" w:themeColor="text1"/>
                <w:sz w:val="18"/>
                <w:szCs w:val="18"/>
              </w:rPr>
              <w:t>5% of sum of all equipment costs estimated in each region’s spend plan</w:t>
            </w:r>
            <w:r w:rsidRPr="007B48AE" w:rsidR="00ED1CA6">
              <w:rPr>
                <w:color w:val="000000" w:themeColor="text1"/>
                <w:sz w:val="18"/>
                <w:szCs w:val="18"/>
              </w:rPr>
              <w:t xml:space="preserve"> = </w:t>
            </w:r>
            <w:r w:rsidRPr="007B48AE" w:rsidR="001607CC">
              <w:rPr>
                <w:color w:val="000000" w:themeColor="text1"/>
                <w:sz w:val="18"/>
                <w:szCs w:val="18"/>
              </w:rPr>
              <w:t>5% of $68,800</w:t>
            </w:r>
            <w:r w:rsidRPr="007B48AE" w:rsidR="00D951D4">
              <w:rPr>
                <w:color w:val="000000" w:themeColor="text1"/>
                <w:sz w:val="18"/>
                <w:szCs w:val="18"/>
              </w:rPr>
              <w:t>]</w:t>
            </w:r>
          </w:p>
        </w:tc>
        <w:tc>
          <w:tcPr>
            <w:tcW w:w="1368" w:type="dxa"/>
            <w:noWrap/>
          </w:tcPr>
          <w:p w:rsidR="00106F37" w:rsidRPr="007B48AE" w:rsidP="00CA3E8C" w14:paraId="6BDE2011" w14:textId="6A7CDE8F">
            <w:pPr>
              <w:jc w:val="right"/>
              <w:rPr>
                <w:color w:val="000000" w:themeColor="text1"/>
                <w:sz w:val="18"/>
                <w:szCs w:val="18"/>
              </w:rPr>
            </w:pPr>
            <w:r w:rsidRPr="007B48AE">
              <w:rPr>
                <w:color w:val="000000" w:themeColor="text1"/>
                <w:sz w:val="18"/>
                <w:szCs w:val="18"/>
              </w:rPr>
              <w:t>$3,440</w:t>
            </w:r>
          </w:p>
        </w:tc>
      </w:tr>
      <w:tr w14:paraId="27875D1F" w14:textId="77777777" w:rsidTr="00CA3E8C">
        <w:tblPrEx>
          <w:tblW w:w="8856" w:type="dxa"/>
          <w:jc w:val="center"/>
          <w:tblLook w:val="0000"/>
        </w:tblPrEx>
        <w:trPr>
          <w:trHeight w:val="255"/>
          <w:jc w:val="center"/>
        </w:trPr>
        <w:tc>
          <w:tcPr>
            <w:tcW w:w="7488" w:type="dxa"/>
            <w:noWrap/>
          </w:tcPr>
          <w:p w:rsidR="00106F37" w:rsidRPr="007B48AE" w:rsidP="00D951D4" w14:paraId="493AC8E8" w14:textId="7166CD32">
            <w:pPr>
              <w:rPr>
                <w:color w:val="000000" w:themeColor="text1"/>
                <w:sz w:val="18"/>
                <w:szCs w:val="18"/>
              </w:rPr>
            </w:pPr>
            <w:r w:rsidRPr="007B48AE">
              <w:rPr>
                <w:b/>
                <w:bCs/>
                <w:color w:val="000000" w:themeColor="text1"/>
                <w:sz w:val="18"/>
                <w:szCs w:val="18"/>
              </w:rPr>
              <w:t>Travel</w:t>
            </w:r>
            <w:r w:rsidRPr="007B48AE">
              <w:rPr>
                <w:color w:val="000000" w:themeColor="text1"/>
                <w:sz w:val="18"/>
                <w:szCs w:val="18"/>
              </w:rPr>
              <w:t xml:space="preserve"> </w:t>
            </w:r>
            <w:r w:rsidRPr="007B48AE" w:rsidR="008038D3">
              <w:rPr>
                <w:color w:val="000000" w:themeColor="text1"/>
                <w:sz w:val="18"/>
                <w:szCs w:val="18"/>
              </w:rPr>
              <w:t>[</w:t>
            </w:r>
            <w:r w:rsidRPr="007B48AE" w:rsidR="00A107C9">
              <w:rPr>
                <w:color w:val="000000" w:themeColor="text1"/>
                <w:sz w:val="18"/>
                <w:szCs w:val="18"/>
              </w:rPr>
              <w:t>sum</w:t>
            </w:r>
            <w:r w:rsidRPr="007B48AE" w:rsidR="00454912">
              <w:rPr>
                <w:color w:val="000000" w:themeColor="text1"/>
                <w:sz w:val="18"/>
                <w:szCs w:val="18"/>
              </w:rPr>
              <w:t xml:space="preserve"> of all </w:t>
            </w:r>
            <w:r w:rsidRPr="007B48AE" w:rsidR="00A107C9">
              <w:rPr>
                <w:color w:val="000000" w:themeColor="text1"/>
                <w:sz w:val="18"/>
                <w:szCs w:val="18"/>
              </w:rPr>
              <w:t>CAV/CAC related</w:t>
            </w:r>
            <w:r w:rsidRPr="007B48AE" w:rsidR="00454912">
              <w:rPr>
                <w:color w:val="000000" w:themeColor="text1"/>
                <w:sz w:val="18"/>
                <w:szCs w:val="18"/>
              </w:rPr>
              <w:t xml:space="preserve"> travel estimated in each region’s spend plan for FY23</w:t>
            </w:r>
            <w:r w:rsidRPr="007B48AE" w:rsidR="008038D3">
              <w:rPr>
                <w:color w:val="000000" w:themeColor="text1"/>
                <w:sz w:val="18"/>
                <w:szCs w:val="18"/>
              </w:rPr>
              <w:t>]</w:t>
            </w:r>
          </w:p>
        </w:tc>
        <w:tc>
          <w:tcPr>
            <w:tcW w:w="1368" w:type="dxa"/>
            <w:noWrap/>
          </w:tcPr>
          <w:p w:rsidR="00106F37" w:rsidRPr="007B48AE" w:rsidP="00CA3E8C" w14:paraId="6F3A381B" w14:textId="5372F50E">
            <w:pPr>
              <w:jc w:val="right"/>
              <w:rPr>
                <w:color w:val="000000" w:themeColor="text1"/>
                <w:sz w:val="18"/>
                <w:szCs w:val="18"/>
              </w:rPr>
            </w:pPr>
            <w:r w:rsidRPr="007B48AE">
              <w:rPr>
                <w:color w:val="000000" w:themeColor="text1"/>
                <w:sz w:val="18"/>
                <w:szCs w:val="18"/>
              </w:rPr>
              <w:t>$</w:t>
            </w:r>
            <w:r w:rsidRPr="007B48AE" w:rsidR="00454912">
              <w:rPr>
                <w:color w:val="000000" w:themeColor="text1"/>
                <w:sz w:val="18"/>
                <w:szCs w:val="18"/>
              </w:rPr>
              <w:t>311,500</w:t>
            </w:r>
          </w:p>
        </w:tc>
      </w:tr>
      <w:tr w14:paraId="33471EE5" w14:textId="77777777" w:rsidTr="00CA3E8C">
        <w:tblPrEx>
          <w:tblW w:w="8856" w:type="dxa"/>
          <w:jc w:val="center"/>
          <w:tblLook w:val="0000"/>
        </w:tblPrEx>
        <w:trPr>
          <w:trHeight w:val="255"/>
          <w:jc w:val="center"/>
        </w:trPr>
        <w:tc>
          <w:tcPr>
            <w:tcW w:w="7488" w:type="dxa"/>
            <w:noWrap/>
          </w:tcPr>
          <w:p w:rsidR="00106F37" w:rsidRPr="007B48AE" w:rsidP="005F79C4" w14:paraId="0F0C24BD" w14:textId="6688A716">
            <w:pPr>
              <w:rPr>
                <w:color w:val="000000" w:themeColor="text1"/>
                <w:sz w:val="18"/>
                <w:szCs w:val="18"/>
              </w:rPr>
            </w:pPr>
            <w:r w:rsidRPr="007B48AE">
              <w:rPr>
                <w:b/>
                <w:bCs/>
                <w:color w:val="000000" w:themeColor="text1"/>
                <w:sz w:val="18"/>
                <w:szCs w:val="18"/>
              </w:rPr>
              <w:t>Printing</w:t>
            </w:r>
            <w:r w:rsidRPr="007B48AE">
              <w:rPr>
                <w:color w:val="000000" w:themeColor="text1"/>
                <w:sz w:val="18"/>
                <w:szCs w:val="18"/>
              </w:rPr>
              <w:t xml:space="preserve"> </w:t>
            </w:r>
            <w:r w:rsidRPr="007B48AE" w:rsidR="0015054F">
              <w:rPr>
                <w:color w:val="000000" w:themeColor="text1"/>
                <w:sz w:val="18"/>
                <w:szCs w:val="18"/>
              </w:rPr>
              <w:t>[</w:t>
            </w:r>
            <w:r w:rsidRPr="007B48AE" w:rsidR="00333E0A">
              <w:rPr>
                <w:color w:val="000000" w:themeColor="text1"/>
                <w:sz w:val="18"/>
                <w:szCs w:val="18"/>
              </w:rPr>
              <w:t>mostly emailed</w:t>
            </w:r>
            <w:r w:rsidRPr="007B48AE" w:rsidR="00A643EA">
              <w:rPr>
                <w:color w:val="000000" w:themeColor="text1"/>
                <w:sz w:val="18"/>
                <w:szCs w:val="18"/>
              </w:rPr>
              <w:t>]</w:t>
            </w:r>
          </w:p>
        </w:tc>
        <w:tc>
          <w:tcPr>
            <w:tcW w:w="1368" w:type="dxa"/>
            <w:noWrap/>
          </w:tcPr>
          <w:p w:rsidR="00106F37" w:rsidRPr="007B48AE" w:rsidP="00CA3E8C" w14:paraId="5FEA1C28" w14:textId="7C300382">
            <w:pPr>
              <w:jc w:val="right"/>
              <w:rPr>
                <w:color w:val="000000" w:themeColor="text1"/>
                <w:sz w:val="18"/>
                <w:szCs w:val="18"/>
              </w:rPr>
            </w:pPr>
            <w:r w:rsidRPr="007B48AE">
              <w:rPr>
                <w:color w:val="000000" w:themeColor="text1"/>
                <w:sz w:val="18"/>
                <w:szCs w:val="18"/>
              </w:rPr>
              <w:t>$</w:t>
            </w:r>
            <w:r w:rsidRPr="007B48AE" w:rsidR="00A45022">
              <w:rPr>
                <w:color w:val="000000" w:themeColor="text1"/>
                <w:sz w:val="18"/>
                <w:szCs w:val="18"/>
              </w:rPr>
              <w:t>0</w:t>
            </w:r>
          </w:p>
        </w:tc>
      </w:tr>
      <w:tr w14:paraId="6FCE713B" w14:textId="77777777" w:rsidTr="00CA3E8C">
        <w:tblPrEx>
          <w:tblW w:w="8856" w:type="dxa"/>
          <w:jc w:val="center"/>
          <w:tblLook w:val="0000"/>
        </w:tblPrEx>
        <w:trPr>
          <w:trHeight w:val="255"/>
          <w:jc w:val="center"/>
        </w:trPr>
        <w:tc>
          <w:tcPr>
            <w:tcW w:w="7488" w:type="dxa"/>
            <w:noWrap/>
          </w:tcPr>
          <w:p w:rsidR="00106F37" w:rsidRPr="007B48AE" w:rsidP="005F79C4" w14:paraId="4A791467" w14:textId="17EE3C28">
            <w:pPr>
              <w:rPr>
                <w:color w:val="000000" w:themeColor="text1"/>
                <w:sz w:val="18"/>
                <w:szCs w:val="18"/>
              </w:rPr>
            </w:pPr>
            <w:r w:rsidRPr="007B48AE">
              <w:rPr>
                <w:b/>
                <w:bCs/>
                <w:color w:val="000000" w:themeColor="text1"/>
                <w:sz w:val="18"/>
                <w:szCs w:val="18"/>
              </w:rPr>
              <w:t>Postage</w:t>
            </w:r>
            <w:r w:rsidRPr="007B48AE">
              <w:rPr>
                <w:color w:val="000000" w:themeColor="text1"/>
                <w:sz w:val="18"/>
                <w:szCs w:val="18"/>
              </w:rPr>
              <w:t xml:space="preserve"> </w:t>
            </w:r>
            <w:r w:rsidRPr="007B48AE" w:rsidR="0015054F">
              <w:rPr>
                <w:color w:val="000000" w:themeColor="text1"/>
                <w:sz w:val="18"/>
                <w:szCs w:val="18"/>
              </w:rPr>
              <w:t>[</w:t>
            </w:r>
            <w:r w:rsidRPr="007B48AE" w:rsidR="00333E0A">
              <w:rPr>
                <w:color w:val="000000" w:themeColor="text1"/>
                <w:sz w:val="18"/>
                <w:szCs w:val="18"/>
              </w:rPr>
              <w:t>mostly emailed</w:t>
            </w:r>
            <w:r w:rsidRPr="007B48AE" w:rsidR="00A643EA">
              <w:rPr>
                <w:color w:val="000000" w:themeColor="text1"/>
                <w:sz w:val="18"/>
                <w:szCs w:val="18"/>
              </w:rPr>
              <w:t>]</w:t>
            </w:r>
          </w:p>
        </w:tc>
        <w:tc>
          <w:tcPr>
            <w:tcW w:w="1368" w:type="dxa"/>
            <w:noWrap/>
          </w:tcPr>
          <w:p w:rsidR="00106F37" w:rsidRPr="007B48AE" w:rsidP="00CA3E8C" w14:paraId="22108BC3" w14:textId="590381DE">
            <w:pPr>
              <w:jc w:val="right"/>
              <w:rPr>
                <w:color w:val="000000" w:themeColor="text1"/>
                <w:sz w:val="18"/>
                <w:szCs w:val="18"/>
              </w:rPr>
            </w:pPr>
            <w:r w:rsidRPr="007B48AE">
              <w:rPr>
                <w:color w:val="000000" w:themeColor="text1"/>
                <w:sz w:val="18"/>
                <w:szCs w:val="18"/>
              </w:rPr>
              <w:t>$</w:t>
            </w:r>
            <w:r w:rsidRPr="007B48AE" w:rsidR="00333E0A">
              <w:rPr>
                <w:color w:val="000000" w:themeColor="text1"/>
                <w:sz w:val="18"/>
                <w:szCs w:val="18"/>
              </w:rPr>
              <w:t>0</w:t>
            </w:r>
          </w:p>
        </w:tc>
      </w:tr>
      <w:tr w14:paraId="0D5F3C13" w14:textId="77777777" w:rsidTr="00CA3E8C">
        <w:tblPrEx>
          <w:tblW w:w="8856" w:type="dxa"/>
          <w:jc w:val="center"/>
          <w:tblLook w:val="0000"/>
        </w:tblPrEx>
        <w:trPr>
          <w:trHeight w:val="255"/>
          <w:jc w:val="center"/>
        </w:trPr>
        <w:tc>
          <w:tcPr>
            <w:tcW w:w="7488" w:type="dxa"/>
            <w:noWrap/>
          </w:tcPr>
          <w:p w:rsidR="00106F37" w:rsidRPr="007B48AE" w:rsidP="005F79C4" w14:paraId="5DDAE9E1" w14:textId="77777777">
            <w:pPr>
              <w:rPr>
                <w:b/>
                <w:bCs/>
                <w:color w:val="000000" w:themeColor="text1"/>
                <w:sz w:val="18"/>
                <w:szCs w:val="18"/>
              </w:rPr>
            </w:pPr>
            <w:r w:rsidRPr="007B48AE">
              <w:rPr>
                <w:b/>
                <w:bCs/>
                <w:color w:val="000000" w:themeColor="text1"/>
                <w:sz w:val="18"/>
                <w:szCs w:val="18"/>
              </w:rPr>
              <w:t>Other</w:t>
            </w:r>
          </w:p>
        </w:tc>
        <w:tc>
          <w:tcPr>
            <w:tcW w:w="1368" w:type="dxa"/>
            <w:noWrap/>
          </w:tcPr>
          <w:p w:rsidR="00106F37" w:rsidRPr="007B48AE" w:rsidP="00CA3E8C" w14:paraId="324B49E9" w14:textId="769A145C">
            <w:pPr>
              <w:jc w:val="right"/>
              <w:rPr>
                <w:color w:val="000000" w:themeColor="text1"/>
                <w:sz w:val="18"/>
                <w:szCs w:val="18"/>
              </w:rPr>
            </w:pPr>
            <w:r w:rsidRPr="007B48AE">
              <w:rPr>
                <w:color w:val="000000" w:themeColor="text1"/>
                <w:sz w:val="18"/>
                <w:szCs w:val="18"/>
              </w:rPr>
              <w:t>$</w:t>
            </w:r>
            <w:r w:rsidRPr="007B48AE" w:rsidR="00A45022">
              <w:rPr>
                <w:color w:val="000000" w:themeColor="text1"/>
                <w:sz w:val="18"/>
                <w:szCs w:val="18"/>
              </w:rPr>
              <w:t>0</w:t>
            </w:r>
          </w:p>
        </w:tc>
      </w:tr>
      <w:tr w14:paraId="1D4A76BB" w14:textId="77777777" w:rsidTr="00CA3E8C">
        <w:tblPrEx>
          <w:tblW w:w="8856" w:type="dxa"/>
          <w:jc w:val="center"/>
          <w:tblLook w:val="0000"/>
        </w:tblPrEx>
        <w:trPr>
          <w:trHeight w:val="270"/>
          <w:jc w:val="center"/>
        </w:trPr>
        <w:tc>
          <w:tcPr>
            <w:tcW w:w="7488" w:type="dxa"/>
            <w:noWrap/>
          </w:tcPr>
          <w:p w:rsidR="00106F37" w:rsidRPr="007B48AE" w:rsidP="005F79C4" w14:paraId="199062DF" w14:textId="77777777">
            <w:pPr>
              <w:rPr>
                <w:b/>
                <w:bCs/>
                <w:color w:val="000000" w:themeColor="text1"/>
                <w:sz w:val="18"/>
                <w:szCs w:val="18"/>
              </w:rPr>
            </w:pPr>
            <w:r w:rsidRPr="007B48AE">
              <w:rPr>
                <w:b/>
                <w:bCs/>
                <w:color w:val="000000" w:themeColor="text1"/>
                <w:sz w:val="18"/>
                <w:szCs w:val="18"/>
              </w:rPr>
              <w:t>Total</w:t>
            </w:r>
          </w:p>
        </w:tc>
        <w:tc>
          <w:tcPr>
            <w:tcW w:w="1368" w:type="dxa"/>
            <w:noWrap/>
          </w:tcPr>
          <w:p w:rsidR="00106F37" w:rsidRPr="007B48AE" w:rsidP="00CA3E8C" w14:paraId="532DC0CE" w14:textId="1C812D42">
            <w:pPr>
              <w:jc w:val="right"/>
              <w:rPr>
                <w:b/>
                <w:bCs/>
                <w:color w:val="000000" w:themeColor="text1"/>
                <w:sz w:val="18"/>
                <w:szCs w:val="18"/>
              </w:rPr>
            </w:pPr>
            <w:r w:rsidRPr="007B48AE">
              <w:rPr>
                <w:b/>
                <w:bCs/>
                <w:color w:val="000000" w:themeColor="text1"/>
                <w:sz w:val="18"/>
                <w:szCs w:val="18"/>
              </w:rPr>
              <w:t>$</w:t>
            </w:r>
            <w:r w:rsidRPr="007B48AE" w:rsidR="00CA6002">
              <w:rPr>
                <w:b/>
                <w:bCs/>
                <w:color w:val="000000" w:themeColor="text1"/>
                <w:sz w:val="18"/>
                <w:szCs w:val="18"/>
              </w:rPr>
              <w:t>2,181,968</w:t>
            </w:r>
          </w:p>
        </w:tc>
      </w:tr>
    </w:tbl>
    <w:p w:rsidR="0087685D" w:rsidRPr="00152FFE" w:rsidP="0087685D" w14:paraId="27FB86C1" w14:textId="1C1F8787">
      <w:pPr>
        <w:rPr>
          <w:rFonts w:eastAsia="Calibri"/>
          <w:sz w:val="18"/>
          <w:szCs w:val="18"/>
        </w:rPr>
      </w:pPr>
      <w:bookmarkStart w:id="1" w:name="OLE_LINK1"/>
      <w:r w:rsidRPr="00152FFE">
        <w:rPr>
          <w:rFonts w:eastAsia="Calibri"/>
          <w:sz w:val="18"/>
          <w:szCs w:val="18"/>
          <w:vertAlign w:val="superscript"/>
        </w:rPr>
        <w:t>1</w:t>
      </w:r>
      <w:r w:rsidRPr="00152FFE">
        <w:rPr>
          <w:rFonts w:eastAsia="Calibri"/>
          <w:sz w:val="18"/>
          <w:szCs w:val="18"/>
        </w:rPr>
        <w:t xml:space="preserve"> Office of Personnel Management 2022 Pay and Leave Tables for the Washington-Baltimore-Arlington, DC-MD-VA-WV-PA locality. Available online at</w:t>
      </w:r>
      <w:r w:rsidRPr="00152FFE" w:rsidR="00876D45">
        <w:rPr>
          <w:rFonts w:eastAsia="Calibri"/>
          <w:sz w:val="18"/>
          <w:szCs w:val="18"/>
        </w:rPr>
        <w:t xml:space="preserve"> https://www.opm.gov/policy-data-oversight/pay-leave/salaries-wages/salary-tables/pdf/2022/DCB_h.pdf</w:t>
      </w:r>
      <w:r w:rsidRPr="00152FFE">
        <w:rPr>
          <w:rFonts w:eastAsia="Calibri"/>
          <w:sz w:val="18"/>
          <w:szCs w:val="18"/>
        </w:rPr>
        <w:t xml:space="preserve"> Accessed </w:t>
      </w:r>
      <w:r w:rsidRPr="00152FFE" w:rsidR="00876D45">
        <w:rPr>
          <w:rFonts w:eastAsia="Calibri"/>
          <w:sz w:val="18"/>
          <w:szCs w:val="18"/>
        </w:rPr>
        <w:t>August 15, 2022</w:t>
      </w:r>
    </w:p>
    <w:p w:rsidR="00106F37" w:rsidRPr="00152FFE" w:rsidP="0087685D" w14:paraId="0751448D" w14:textId="607CDA39">
      <w:pPr>
        <w:tabs>
          <w:tab w:val="left" w:pos="360"/>
        </w:tabs>
        <w:rPr>
          <w:rFonts w:eastAsia="Calibri"/>
          <w:sz w:val="18"/>
          <w:szCs w:val="18"/>
        </w:rPr>
      </w:pPr>
      <w:r w:rsidRPr="00152FFE">
        <w:rPr>
          <w:rFonts w:eastAsia="Calibri"/>
          <w:sz w:val="18"/>
          <w:szCs w:val="18"/>
          <w:vertAlign w:val="superscript"/>
        </w:rPr>
        <w:t>2</w:t>
      </w:r>
      <w:r w:rsidRPr="00152FFE">
        <w:rPr>
          <w:rFonts w:eastAsia="Calibri"/>
          <w:sz w:val="18"/>
          <w:szCs w:val="18"/>
        </w:rPr>
        <w:t xml:space="preserve"> Bureau of Labor Statistics, Employer Costs for Employee Compensation, Table 1.  Available at </w:t>
      </w:r>
      <w:hyperlink r:id="rId12" w:history="1">
        <w:r w:rsidRPr="00152FFE" w:rsidR="008B72DE">
          <w:rPr>
            <w:rStyle w:val="Hyperlink"/>
            <w:rFonts w:eastAsia="Calibri"/>
            <w:sz w:val="18"/>
            <w:szCs w:val="18"/>
          </w:rPr>
          <w:t>https://www.bls.gov/news.release/archives/ecec_03182022.pdf</w:t>
        </w:r>
      </w:hyperlink>
      <w:r w:rsidRPr="00152FFE">
        <w:rPr>
          <w:rFonts w:eastAsia="Calibri"/>
          <w:sz w:val="18"/>
          <w:szCs w:val="18"/>
        </w:rPr>
        <w:t>.  Accessed March 29, 2022.  The wage multiplier is calculated by dividing total compensation for all workers of $40.35 by wages and salaries for all workers of $27.83 per hour yielding a benefits multiplier of approximately 1.45.</w:t>
      </w:r>
      <w:bookmarkEnd w:id="1"/>
    </w:p>
    <w:p w:rsidR="0087685D" w:rsidRPr="00CA3E8C" w:rsidP="007B48AE" w14:paraId="74E1981E" w14:textId="77777777">
      <w:pPr>
        <w:tabs>
          <w:tab w:val="left" w:pos="360"/>
        </w:tabs>
        <w:spacing w:line="276" w:lineRule="auto"/>
        <w:contextualSpacing/>
        <w:rPr>
          <w:b/>
          <w:bCs/>
          <w:color w:val="000000" w:themeColor="text1"/>
        </w:rPr>
      </w:pPr>
    </w:p>
    <w:p w:rsidR="005E21C2" w:rsidRPr="00CA3E8C" w:rsidP="007B48AE" w14:paraId="53BF99B5" w14:textId="0615D1AE">
      <w:pPr>
        <w:spacing w:line="276" w:lineRule="auto"/>
        <w:contextualSpacing/>
        <w:rPr>
          <w:b/>
          <w:color w:val="000000" w:themeColor="text1"/>
        </w:rPr>
      </w:pPr>
      <w:r w:rsidRPr="00CA3E8C">
        <w:rPr>
          <w:color w:val="000000" w:themeColor="text1"/>
        </w:rPr>
        <w:fldChar w:fldCharType="begin"/>
      </w:r>
      <w:r w:rsidRPr="00CA3E8C" w:rsidR="00842E74">
        <w:rPr>
          <w:color w:val="000000" w:themeColor="text1"/>
        </w:rPr>
        <w:instrText>ADVANCE \R 0.95</w:instrText>
      </w:r>
      <w:r w:rsidRPr="00CA3E8C">
        <w:rPr>
          <w:color w:val="000000" w:themeColor="text1"/>
        </w:rPr>
        <w:fldChar w:fldCharType="end"/>
      </w:r>
      <w:r w:rsidRPr="00CA3E8C">
        <w:rPr>
          <w:color w:val="000000" w:themeColor="text1"/>
        </w:rPr>
        <w:fldChar w:fldCharType="begin"/>
      </w:r>
      <w:r w:rsidRPr="00CA3E8C" w:rsidR="00677CAD">
        <w:rPr>
          <w:color w:val="000000" w:themeColor="text1"/>
        </w:rPr>
        <w:instrText>ADVANCE \R 0.95</w:instrText>
      </w:r>
      <w:r w:rsidRPr="00CA3E8C">
        <w:rPr>
          <w:color w:val="000000" w:themeColor="text1"/>
        </w:rPr>
        <w:fldChar w:fldCharType="end"/>
      </w:r>
      <w:r w:rsidRPr="00CA3E8C">
        <w:rPr>
          <w:b/>
          <w:color w:val="000000" w:themeColor="text1"/>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E21C2" w:rsidRPr="00CA3E8C" w:rsidP="007B48AE" w14:paraId="78788F57" w14:textId="77062D91">
      <w:pPr>
        <w:pStyle w:val="NormalWeb"/>
        <w:spacing w:line="276" w:lineRule="auto"/>
        <w:contextualSpacing/>
        <w:rPr>
          <w:i/>
          <w:color w:val="000000" w:themeColor="text1"/>
          <w:sz w:val="20"/>
          <w:szCs w:val="20"/>
        </w:rPr>
      </w:pPr>
      <w:r w:rsidRPr="00CA3E8C">
        <w:rPr>
          <w:i/>
          <w:color w:val="000000" w:themeColor="text1"/>
          <w:sz w:val="20"/>
          <w:szCs w:val="20"/>
        </w:rPr>
        <w:t xml:space="preserve">A </w:t>
      </w:r>
      <w:r w:rsidR="008B1675">
        <w:rPr>
          <w:b/>
          <w:bCs/>
          <w:i/>
          <w:color w:val="000000" w:themeColor="text1"/>
          <w:sz w:val="20"/>
          <w:szCs w:val="20"/>
        </w:rPr>
        <w:t>“</w:t>
      </w:r>
      <w:r w:rsidRPr="00CA3E8C">
        <w:rPr>
          <w:b/>
          <w:bCs/>
          <w:i/>
          <w:color w:val="000000" w:themeColor="text1"/>
          <w:sz w:val="20"/>
          <w:szCs w:val="20"/>
        </w:rPr>
        <w:t>Program increase</w:t>
      </w:r>
      <w:r w:rsidR="008B1675">
        <w:rPr>
          <w:b/>
          <w:bCs/>
          <w:i/>
          <w:color w:val="000000" w:themeColor="text1"/>
          <w:sz w:val="20"/>
          <w:szCs w:val="20"/>
        </w:rPr>
        <w:t>”</w:t>
      </w:r>
      <w:r w:rsidRPr="00CA3E8C">
        <w:rPr>
          <w:i/>
          <w:color w:val="000000" w:themeColor="text1"/>
          <w:sz w:val="20"/>
          <w:szCs w:val="20"/>
        </w:rPr>
        <w:t xml:space="preserve"> is an additional burden resulting from a</w:t>
      </w:r>
      <w:r w:rsidRPr="00CA3E8C" w:rsidR="005926EA">
        <w:rPr>
          <w:i/>
          <w:color w:val="000000" w:themeColor="text1"/>
          <w:sz w:val="20"/>
          <w:szCs w:val="20"/>
        </w:rPr>
        <w:t xml:space="preserve"> </w:t>
      </w:r>
      <w:r w:rsidR="008B1675">
        <w:rPr>
          <w:i/>
          <w:color w:val="000000" w:themeColor="text1"/>
          <w:sz w:val="20"/>
          <w:szCs w:val="20"/>
        </w:rPr>
        <w:t>F</w:t>
      </w:r>
      <w:r w:rsidRPr="00CA3E8C" w:rsidR="005926EA">
        <w:rPr>
          <w:i/>
          <w:color w:val="000000" w:themeColor="text1"/>
          <w:sz w:val="20"/>
          <w:szCs w:val="20"/>
        </w:rPr>
        <w:t xml:space="preserve">ederal </w:t>
      </w:r>
      <w:r w:rsidR="008B1675">
        <w:rPr>
          <w:i/>
          <w:color w:val="000000" w:themeColor="text1"/>
          <w:sz w:val="20"/>
          <w:szCs w:val="20"/>
        </w:rPr>
        <w:t>G</w:t>
      </w:r>
      <w:r w:rsidRPr="00CA3E8C" w:rsidR="005926EA">
        <w:rPr>
          <w:i/>
          <w:color w:val="000000" w:themeColor="text1"/>
          <w:sz w:val="20"/>
          <w:szCs w:val="20"/>
        </w:rPr>
        <w:t>overnment regulatory</w:t>
      </w:r>
      <w:r w:rsidRPr="00CA3E8C">
        <w:rPr>
          <w:i/>
          <w:color w:val="000000" w:themeColor="text1"/>
          <w:sz w:val="20"/>
          <w:szCs w:val="20"/>
        </w:rPr>
        <w:t xml:space="preserve"> action or directive</w:t>
      </w:r>
      <w:r w:rsidRPr="00CA3E8C" w:rsidR="005926EA">
        <w:rPr>
          <w:i/>
          <w:color w:val="000000" w:themeColor="text1"/>
          <w:sz w:val="20"/>
          <w:szCs w:val="20"/>
        </w:rPr>
        <w:t>.</w:t>
      </w:r>
      <w:r w:rsidRPr="00CA3E8C" w:rsidR="0000174D">
        <w:rPr>
          <w:i/>
          <w:color w:val="000000" w:themeColor="text1"/>
          <w:sz w:val="20"/>
          <w:szCs w:val="20"/>
        </w:rPr>
        <w:t xml:space="preserve"> </w:t>
      </w:r>
      <w:r w:rsidRPr="00CA3E8C">
        <w:rPr>
          <w:i/>
          <w:color w:val="000000" w:themeColor="text1"/>
          <w:sz w:val="20"/>
          <w:szCs w:val="20"/>
        </w:rPr>
        <w:t xml:space="preserve"> (e.g., an increase in sample size or coverage, amount of information, reporting frequency, or expanded use of an</w:t>
      </w:r>
      <w:r w:rsidRPr="00CA3E8C" w:rsidR="00A643EA">
        <w:rPr>
          <w:i/>
          <w:color w:val="000000" w:themeColor="text1"/>
          <w:sz w:val="20"/>
          <w:szCs w:val="20"/>
        </w:rPr>
        <w:t xml:space="preserve"> </w:t>
      </w:r>
      <w:r w:rsidRPr="00CA3E8C">
        <w:rPr>
          <w:i/>
          <w:color w:val="000000" w:themeColor="text1"/>
          <w:sz w:val="20"/>
          <w:szCs w:val="20"/>
        </w:rPr>
        <w:t>existing form</w:t>
      </w:r>
      <w:r w:rsidRPr="00CA3E8C" w:rsidR="0000174D">
        <w:rPr>
          <w:i/>
          <w:color w:val="000000" w:themeColor="text1"/>
          <w:sz w:val="20"/>
          <w:szCs w:val="20"/>
        </w:rPr>
        <w:t xml:space="preserve">).  </w:t>
      </w:r>
      <w:r w:rsidRPr="00CA3E8C">
        <w:rPr>
          <w:i/>
          <w:color w:val="000000" w:themeColor="text1"/>
          <w:sz w:val="20"/>
          <w:szCs w:val="20"/>
        </w:rPr>
        <w:t>This also includes previously in-use</w:t>
      </w:r>
      <w:r w:rsidRPr="00CA3E8C" w:rsidR="00A643EA">
        <w:rPr>
          <w:i/>
          <w:color w:val="000000" w:themeColor="text1"/>
          <w:sz w:val="20"/>
          <w:szCs w:val="20"/>
        </w:rPr>
        <w:t xml:space="preserve"> </w:t>
      </w:r>
      <w:r w:rsidRPr="00CA3E8C">
        <w:rPr>
          <w:i/>
          <w:color w:val="000000" w:themeColor="text1"/>
          <w:sz w:val="20"/>
          <w:szCs w:val="20"/>
        </w:rPr>
        <w:t>and unapproved information collections discovered during the ICB process, or during the fiscal</w:t>
      </w:r>
      <w:r w:rsidRPr="00CA3E8C" w:rsidR="005926EA">
        <w:rPr>
          <w:i/>
          <w:color w:val="000000" w:themeColor="text1"/>
          <w:sz w:val="20"/>
          <w:szCs w:val="20"/>
        </w:rPr>
        <w:t xml:space="preserve"> y</w:t>
      </w:r>
      <w:r w:rsidRPr="00CA3E8C">
        <w:rPr>
          <w:i/>
          <w:color w:val="000000" w:themeColor="text1"/>
          <w:sz w:val="20"/>
          <w:szCs w:val="20"/>
        </w:rPr>
        <w:t xml:space="preserve">ear, which will be in use during the next fiscal year. </w:t>
      </w:r>
    </w:p>
    <w:p w:rsidR="005E21C2" w:rsidRPr="00CA3E8C" w:rsidP="007B48AE" w14:paraId="441FED99" w14:textId="606F55E9">
      <w:pPr>
        <w:pStyle w:val="NormalWeb"/>
        <w:spacing w:line="276" w:lineRule="auto"/>
        <w:contextualSpacing/>
        <w:rPr>
          <w:i/>
          <w:color w:val="000000" w:themeColor="text1"/>
          <w:sz w:val="20"/>
          <w:szCs w:val="20"/>
        </w:rPr>
      </w:pPr>
      <w:r w:rsidRPr="00CA3E8C">
        <w:rPr>
          <w:i/>
          <w:color w:val="000000" w:themeColor="text1"/>
          <w:sz w:val="20"/>
          <w:szCs w:val="20"/>
        </w:rPr>
        <w:t xml:space="preserve">A </w:t>
      </w:r>
      <w:r w:rsidR="008B1675">
        <w:rPr>
          <w:b/>
          <w:bCs/>
          <w:i/>
          <w:color w:val="000000" w:themeColor="text1"/>
          <w:sz w:val="20"/>
          <w:szCs w:val="20"/>
        </w:rPr>
        <w:t>“</w:t>
      </w:r>
      <w:r w:rsidRPr="00CA3E8C">
        <w:rPr>
          <w:b/>
          <w:bCs/>
          <w:i/>
          <w:color w:val="000000" w:themeColor="text1"/>
          <w:sz w:val="20"/>
          <w:szCs w:val="20"/>
        </w:rPr>
        <w:t>Program decrease</w:t>
      </w:r>
      <w:r w:rsidR="008B1675">
        <w:rPr>
          <w:b/>
          <w:bCs/>
          <w:i/>
          <w:color w:val="000000" w:themeColor="text1"/>
          <w:sz w:val="20"/>
          <w:szCs w:val="20"/>
        </w:rPr>
        <w:t>”</w:t>
      </w:r>
      <w:r w:rsidRPr="00CA3E8C">
        <w:rPr>
          <w:b/>
          <w:bCs/>
          <w:i/>
          <w:color w:val="000000" w:themeColor="text1"/>
          <w:sz w:val="20"/>
          <w:szCs w:val="20"/>
        </w:rPr>
        <w:t xml:space="preserve">, </w:t>
      </w:r>
      <w:r w:rsidRPr="00CA3E8C">
        <w:rPr>
          <w:i/>
          <w:color w:val="000000" w:themeColor="text1"/>
          <w:sz w:val="20"/>
          <w:szCs w:val="20"/>
        </w:rPr>
        <w:t xml:space="preserve">is a reduction in burden because of: (1) the </w:t>
      </w:r>
      <w:r w:rsidRPr="00CA3E8C" w:rsidR="00A643EA">
        <w:rPr>
          <w:i/>
          <w:color w:val="000000" w:themeColor="text1"/>
          <w:sz w:val="20"/>
          <w:szCs w:val="20"/>
        </w:rPr>
        <w:t xml:space="preserve">discontinuation of an </w:t>
      </w:r>
      <w:r w:rsidRPr="00CA3E8C">
        <w:rPr>
          <w:i/>
          <w:color w:val="000000" w:themeColor="text1"/>
          <w:sz w:val="20"/>
          <w:szCs w:val="20"/>
        </w:rPr>
        <w:t>information collection; or (2) a change in an existing</w:t>
      </w:r>
      <w:r w:rsidRPr="00CA3E8C" w:rsidR="00A643EA">
        <w:rPr>
          <w:i/>
          <w:color w:val="000000" w:themeColor="text1"/>
          <w:sz w:val="20"/>
          <w:szCs w:val="20"/>
        </w:rPr>
        <w:t xml:space="preserve"> </w:t>
      </w:r>
      <w:r w:rsidRPr="00CA3E8C">
        <w:rPr>
          <w:i/>
          <w:color w:val="000000" w:themeColor="text1"/>
          <w:sz w:val="20"/>
          <w:szCs w:val="20"/>
        </w:rPr>
        <w:t xml:space="preserve">information collection by a Federal </w:t>
      </w:r>
      <w:r w:rsidR="00C030F4">
        <w:rPr>
          <w:i/>
          <w:color w:val="000000" w:themeColor="text1"/>
          <w:sz w:val="20"/>
          <w:szCs w:val="20"/>
        </w:rPr>
        <w:t>A</w:t>
      </w:r>
      <w:r w:rsidRPr="00CA3E8C">
        <w:rPr>
          <w:i/>
          <w:color w:val="000000" w:themeColor="text1"/>
          <w:sz w:val="20"/>
          <w:szCs w:val="20"/>
        </w:rPr>
        <w:t>gency</w:t>
      </w:r>
      <w:r w:rsidRPr="00CA3E8C" w:rsidR="00A643EA">
        <w:rPr>
          <w:i/>
          <w:color w:val="000000" w:themeColor="text1"/>
          <w:sz w:val="20"/>
          <w:szCs w:val="20"/>
        </w:rPr>
        <w:t xml:space="preserve"> </w:t>
      </w:r>
      <w:r w:rsidRPr="00CA3E8C">
        <w:rPr>
          <w:i/>
          <w:color w:val="000000" w:themeColor="text1"/>
          <w:sz w:val="20"/>
          <w:szCs w:val="20"/>
        </w:rPr>
        <w:t xml:space="preserve">(e.g., the use of sampling (or smaller samples), a decrease in the amount of information requested (fewer questions), or a decrease in reporting frequency). </w:t>
      </w:r>
    </w:p>
    <w:p w:rsidR="009F144F" w:rsidP="007B48AE" w14:paraId="17EADD21" w14:textId="4DA658FF">
      <w:pPr>
        <w:pStyle w:val="NormalWeb"/>
        <w:spacing w:line="276" w:lineRule="auto"/>
        <w:contextualSpacing/>
        <w:rPr>
          <w:i/>
          <w:color w:val="000000" w:themeColor="text1"/>
          <w:sz w:val="20"/>
          <w:szCs w:val="20"/>
        </w:rPr>
      </w:pPr>
      <w:r w:rsidRPr="007B48AE">
        <w:rPr>
          <w:bCs/>
          <w:i/>
          <w:color w:val="000000" w:themeColor="text1"/>
          <w:sz w:val="20"/>
          <w:szCs w:val="20"/>
        </w:rPr>
        <w:t>An</w:t>
      </w:r>
      <w:r w:rsidRPr="007B48AE" w:rsidR="005E21C2">
        <w:rPr>
          <w:bCs/>
          <w:i/>
          <w:color w:val="000000" w:themeColor="text1"/>
          <w:sz w:val="20"/>
          <w:szCs w:val="20"/>
        </w:rPr>
        <w:t xml:space="preserve"> </w:t>
      </w:r>
      <w:r>
        <w:rPr>
          <w:b/>
          <w:bCs/>
          <w:i/>
          <w:color w:val="000000" w:themeColor="text1"/>
          <w:sz w:val="20"/>
          <w:szCs w:val="20"/>
        </w:rPr>
        <w:t>“</w:t>
      </w:r>
      <w:r w:rsidRPr="00CA3E8C" w:rsidR="005E21C2">
        <w:rPr>
          <w:b/>
          <w:bCs/>
          <w:i/>
          <w:color w:val="000000" w:themeColor="text1"/>
          <w:sz w:val="20"/>
          <w:szCs w:val="20"/>
        </w:rPr>
        <w:t>Adjustment</w:t>
      </w:r>
      <w:r>
        <w:rPr>
          <w:b/>
          <w:bCs/>
          <w:i/>
          <w:color w:val="000000" w:themeColor="text1"/>
          <w:sz w:val="20"/>
          <w:szCs w:val="20"/>
        </w:rPr>
        <w:t>”</w:t>
      </w:r>
      <w:r w:rsidRPr="00CA3E8C" w:rsidR="005E21C2">
        <w:rPr>
          <w:i/>
          <w:color w:val="000000" w:themeColor="text1"/>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8B1675" w14:paraId="199EAB45" w14:textId="76A77257">
      <w:pPr>
        <w:rPr>
          <w:i/>
          <w:color w:val="000000" w:themeColor="text1"/>
          <w:sz w:val="20"/>
          <w:szCs w:val="20"/>
        </w:rPr>
      </w:pPr>
      <w:r>
        <w:rPr>
          <w:i/>
          <w:color w:val="000000" w:themeColor="text1"/>
          <w:sz w:val="20"/>
          <w:szCs w:val="20"/>
        </w:rPr>
        <w:br w:type="page"/>
      </w:r>
    </w:p>
    <w:tbl>
      <w:tblPr>
        <w:tblW w:w="10360" w:type="dxa"/>
        <w:jc w:val="center"/>
        <w:tblLook w:val="0000"/>
      </w:tblPr>
      <w:tblGrid>
        <w:gridCol w:w="2780"/>
        <w:gridCol w:w="1620"/>
        <w:gridCol w:w="1080"/>
        <w:gridCol w:w="1170"/>
        <w:gridCol w:w="1292"/>
        <w:gridCol w:w="1228"/>
        <w:gridCol w:w="1190"/>
      </w:tblGrid>
      <w:tr w14:paraId="44FE34CA" w14:textId="77777777" w:rsidTr="00CA3E8C">
        <w:tblPrEx>
          <w:tblW w:w="10360" w:type="dxa"/>
          <w:jc w:val="center"/>
          <w:tblLook w:val="0000"/>
        </w:tblPrEx>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8EAADB" w:themeFill="accent5" w:themeFillTint="99"/>
            <w:noWrap/>
            <w:vAlign w:val="bottom"/>
          </w:tcPr>
          <w:p w:rsidR="009F144F" w:rsidRPr="00CA3E8C" w:rsidP="002D7423" w14:paraId="1D684A7C" w14:textId="77777777">
            <w:pPr>
              <w:jc w:val="center"/>
              <w:rPr>
                <w:b/>
                <w:bCs/>
                <w:sz w:val="20"/>
                <w:szCs w:val="20"/>
              </w:rPr>
            </w:pPr>
            <w:r w:rsidRPr="00CA3E8C">
              <w:rPr>
                <w:b/>
                <w:bCs/>
                <w:sz w:val="20"/>
                <w:szCs w:val="20"/>
              </w:rPr>
              <w:t>Itemized Changes in Annual Burden Hours</w:t>
            </w:r>
          </w:p>
        </w:tc>
      </w:tr>
      <w:tr w14:paraId="4695BB40" w14:textId="77777777" w:rsidTr="007B48AE">
        <w:tblPrEx>
          <w:tblW w:w="10360" w:type="dxa"/>
          <w:jc w:val="center"/>
          <w:tblLook w:val="0000"/>
        </w:tblPrEx>
        <w:trPr>
          <w:trHeight w:val="1042"/>
          <w:jc w:val="center"/>
        </w:trPr>
        <w:tc>
          <w:tcPr>
            <w:tcW w:w="2780" w:type="dxa"/>
            <w:tcBorders>
              <w:top w:val="nil"/>
              <w:left w:val="single" w:sz="8" w:space="0" w:color="auto"/>
              <w:bottom w:val="single" w:sz="8" w:space="0" w:color="auto"/>
              <w:right w:val="single" w:sz="8" w:space="0" w:color="auto"/>
            </w:tcBorders>
            <w:shd w:val="clear" w:color="auto" w:fill="8EAADB" w:themeFill="accent5" w:themeFillTint="99"/>
            <w:vAlign w:val="bottom"/>
          </w:tcPr>
          <w:p w:rsidR="009F144F" w:rsidRPr="007B48AE" w:rsidP="002D7423" w14:paraId="673BF6A2" w14:textId="77777777">
            <w:pPr>
              <w:jc w:val="center"/>
              <w:rPr>
                <w:b/>
                <w:bCs/>
                <w:sz w:val="18"/>
                <w:szCs w:val="18"/>
              </w:rPr>
            </w:pPr>
            <w:r w:rsidRPr="007B48AE">
              <w:rPr>
                <w:b/>
                <w:bCs/>
                <w:sz w:val="18"/>
                <w:szCs w:val="18"/>
              </w:rPr>
              <w:t>Data collection Activity/Instrument</w:t>
            </w:r>
          </w:p>
        </w:tc>
        <w:tc>
          <w:tcPr>
            <w:tcW w:w="1620"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0271891C" w14:textId="77777777">
            <w:pPr>
              <w:jc w:val="center"/>
              <w:rPr>
                <w:b/>
                <w:bCs/>
                <w:sz w:val="18"/>
                <w:szCs w:val="18"/>
              </w:rPr>
            </w:pPr>
            <w:r w:rsidRPr="007B48AE">
              <w:rPr>
                <w:b/>
                <w:bCs/>
                <w:sz w:val="18"/>
                <w:szCs w:val="18"/>
              </w:rPr>
              <w:t xml:space="preserve">Program Change (hours currently on OMB Inventory) </w:t>
            </w:r>
          </w:p>
        </w:tc>
        <w:tc>
          <w:tcPr>
            <w:tcW w:w="1080"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58A5ABFF" w14:textId="77777777">
            <w:pPr>
              <w:jc w:val="center"/>
              <w:rPr>
                <w:b/>
                <w:bCs/>
                <w:sz w:val="18"/>
                <w:szCs w:val="18"/>
              </w:rPr>
            </w:pPr>
            <w:r w:rsidRPr="007B48AE">
              <w:rPr>
                <w:b/>
                <w:bCs/>
                <w:sz w:val="18"/>
                <w:szCs w:val="18"/>
              </w:rPr>
              <w:t xml:space="preserve">Program Change (New) </w:t>
            </w:r>
          </w:p>
        </w:tc>
        <w:tc>
          <w:tcPr>
            <w:tcW w:w="1170"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66C431A6" w14:textId="77777777">
            <w:pPr>
              <w:jc w:val="center"/>
              <w:rPr>
                <w:b/>
                <w:bCs/>
                <w:sz w:val="18"/>
                <w:szCs w:val="18"/>
              </w:rPr>
            </w:pPr>
            <w:r w:rsidRPr="007B48AE">
              <w:rPr>
                <w:b/>
                <w:bCs/>
                <w:sz w:val="18"/>
                <w:szCs w:val="18"/>
              </w:rPr>
              <w:t>Difference</w:t>
            </w:r>
          </w:p>
        </w:tc>
        <w:tc>
          <w:tcPr>
            <w:tcW w:w="1292"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0FB1A03F" w14:textId="77777777">
            <w:pPr>
              <w:jc w:val="center"/>
              <w:rPr>
                <w:b/>
                <w:bCs/>
                <w:sz w:val="18"/>
                <w:szCs w:val="18"/>
              </w:rPr>
            </w:pPr>
            <w:r w:rsidRPr="007B48AE">
              <w:rPr>
                <w:b/>
                <w:bCs/>
                <w:sz w:val="18"/>
                <w:szCs w:val="18"/>
              </w:rPr>
              <w:t>Adjustment (hours currently on OMB Inventory)</w:t>
            </w:r>
          </w:p>
        </w:tc>
        <w:tc>
          <w:tcPr>
            <w:tcW w:w="1228"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2C5D5CCA" w14:textId="77777777">
            <w:pPr>
              <w:jc w:val="center"/>
              <w:rPr>
                <w:b/>
                <w:bCs/>
                <w:sz w:val="18"/>
                <w:szCs w:val="18"/>
              </w:rPr>
            </w:pPr>
            <w:r w:rsidRPr="007B48AE">
              <w:rPr>
                <w:b/>
                <w:bCs/>
                <w:sz w:val="18"/>
                <w:szCs w:val="18"/>
              </w:rPr>
              <w:t xml:space="preserve">Adjustment (New) </w:t>
            </w:r>
          </w:p>
        </w:tc>
        <w:tc>
          <w:tcPr>
            <w:tcW w:w="1190"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14BD8B4D" w14:textId="77777777">
            <w:pPr>
              <w:jc w:val="center"/>
              <w:rPr>
                <w:b/>
                <w:bCs/>
                <w:sz w:val="18"/>
                <w:szCs w:val="18"/>
              </w:rPr>
            </w:pPr>
            <w:r w:rsidRPr="007B48AE">
              <w:rPr>
                <w:b/>
                <w:bCs/>
                <w:sz w:val="18"/>
                <w:szCs w:val="18"/>
              </w:rPr>
              <w:t>Difference</w:t>
            </w:r>
          </w:p>
        </w:tc>
      </w:tr>
      <w:tr w14:paraId="5CCA36E3"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center"/>
          </w:tcPr>
          <w:p w:rsidR="00085321" w:rsidRPr="007B48AE" w:rsidP="00085321" w14:paraId="793D5B84" w14:textId="09D306D7">
            <w:pPr>
              <w:rPr>
                <w:sz w:val="18"/>
                <w:szCs w:val="18"/>
              </w:rPr>
            </w:pPr>
            <w:r w:rsidRPr="007B48AE">
              <w:rPr>
                <w:color w:val="000000" w:themeColor="text1"/>
                <w:sz w:val="18"/>
                <w:szCs w:val="18"/>
              </w:rPr>
              <w:t xml:space="preserve">Community Assistance Visit (CAV) Report / </w:t>
            </w:r>
            <w:r w:rsidRPr="007B48AE">
              <w:rPr>
                <w:color w:val="000000" w:themeColor="text1"/>
                <w:sz w:val="18"/>
                <w:szCs w:val="18"/>
              </w:rPr>
              <w:br/>
              <w:t xml:space="preserve">FEMA Form FF-206-FY-21-141 </w:t>
            </w:r>
            <w:r w:rsidRPr="007B48AE">
              <w:rPr>
                <w:color w:val="000000" w:themeColor="text1"/>
                <w:sz w:val="18"/>
                <w:szCs w:val="18"/>
              </w:rPr>
              <w:br/>
              <w:t>(formerly 086-0-28 (E))</w:t>
            </w:r>
          </w:p>
        </w:tc>
        <w:tc>
          <w:tcPr>
            <w:tcW w:w="1620" w:type="dxa"/>
            <w:tcBorders>
              <w:top w:val="nil"/>
              <w:left w:val="nil"/>
              <w:bottom w:val="single" w:sz="8" w:space="0" w:color="auto"/>
              <w:right w:val="single" w:sz="8" w:space="0" w:color="auto"/>
            </w:tcBorders>
            <w:shd w:val="clear" w:color="auto" w:fill="auto"/>
            <w:vAlign w:val="bottom"/>
          </w:tcPr>
          <w:p w:rsidR="00085321" w:rsidRPr="007B48AE" w:rsidP="00085321" w14:paraId="41ECCBEB" w14:textId="3BB0BD7B">
            <w:pPr>
              <w:jc w:val="center"/>
              <w:rPr>
                <w:sz w:val="18"/>
                <w:szCs w:val="18"/>
              </w:rPr>
            </w:pPr>
          </w:p>
        </w:tc>
        <w:tc>
          <w:tcPr>
            <w:tcW w:w="1080" w:type="dxa"/>
            <w:tcBorders>
              <w:top w:val="nil"/>
              <w:left w:val="nil"/>
              <w:bottom w:val="single" w:sz="8" w:space="0" w:color="auto"/>
              <w:right w:val="single" w:sz="8" w:space="0" w:color="auto"/>
            </w:tcBorders>
            <w:shd w:val="clear" w:color="auto" w:fill="auto"/>
            <w:vAlign w:val="bottom"/>
          </w:tcPr>
          <w:p w:rsidR="00085321" w:rsidRPr="007B48AE" w:rsidP="00085321" w14:paraId="3457BEAE" w14:textId="30FED7FC">
            <w:pPr>
              <w:jc w:val="center"/>
              <w:rPr>
                <w:sz w:val="18"/>
                <w:szCs w:val="18"/>
              </w:rPr>
            </w:pPr>
          </w:p>
        </w:tc>
        <w:tc>
          <w:tcPr>
            <w:tcW w:w="1170" w:type="dxa"/>
            <w:tcBorders>
              <w:top w:val="nil"/>
              <w:left w:val="nil"/>
              <w:bottom w:val="single" w:sz="8" w:space="0" w:color="auto"/>
              <w:right w:val="single" w:sz="8" w:space="0" w:color="auto"/>
            </w:tcBorders>
            <w:shd w:val="clear" w:color="auto" w:fill="auto"/>
            <w:vAlign w:val="bottom"/>
          </w:tcPr>
          <w:p w:rsidR="00085321" w:rsidRPr="007B48AE" w:rsidP="00085321" w14:paraId="253AD78E" w14:textId="28BA1D1B">
            <w:pPr>
              <w:jc w:val="center"/>
              <w:rPr>
                <w:sz w:val="18"/>
                <w:szCs w:val="18"/>
              </w:rPr>
            </w:pPr>
          </w:p>
        </w:tc>
        <w:tc>
          <w:tcPr>
            <w:tcW w:w="1292" w:type="dxa"/>
            <w:tcBorders>
              <w:top w:val="nil"/>
              <w:left w:val="nil"/>
              <w:bottom w:val="single" w:sz="8" w:space="0" w:color="auto"/>
              <w:right w:val="single" w:sz="8" w:space="0" w:color="auto"/>
            </w:tcBorders>
            <w:shd w:val="clear" w:color="auto" w:fill="auto"/>
            <w:vAlign w:val="bottom"/>
          </w:tcPr>
          <w:p w:rsidR="00085321" w:rsidRPr="007B48AE" w:rsidP="00085321" w14:paraId="5D6C1ADB" w14:textId="77777777">
            <w:pPr>
              <w:jc w:val="center"/>
              <w:rPr>
                <w:sz w:val="18"/>
                <w:szCs w:val="18"/>
              </w:rPr>
            </w:pPr>
            <w:r w:rsidRPr="007B48AE">
              <w:rPr>
                <w:sz w:val="18"/>
                <w:szCs w:val="18"/>
              </w:rPr>
              <w:t>2,000</w:t>
            </w:r>
          </w:p>
        </w:tc>
        <w:tc>
          <w:tcPr>
            <w:tcW w:w="1228" w:type="dxa"/>
            <w:tcBorders>
              <w:top w:val="nil"/>
              <w:left w:val="nil"/>
              <w:bottom w:val="single" w:sz="8" w:space="0" w:color="auto"/>
              <w:right w:val="single" w:sz="8" w:space="0" w:color="auto"/>
            </w:tcBorders>
            <w:shd w:val="clear" w:color="auto" w:fill="auto"/>
            <w:vAlign w:val="bottom"/>
          </w:tcPr>
          <w:p w:rsidR="00085321" w:rsidRPr="007B48AE" w:rsidP="00085321" w14:paraId="174F2D36" w14:textId="0EFD5601">
            <w:pPr>
              <w:jc w:val="center"/>
              <w:rPr>
                <w:sz w:val="18"/>
                <w:szCs w:val="18"/>
              </w:rPr>
            </w:pPr>
            <w:r w:rsidRPr="007B48AE">
              <w:rPr>
                <w:sz w:val="18"/>
                <w:szCs w:val="18"/>
              </w:rPr>
              <w:t>30,000</w:t>
            </w:r>
          </w:p>
        </w:tc>
        <w:tc>
          <w:tcPr>
            <w:tcW w:w="1190" w:type="dxa"/>
            <w:tcBorders>
              <w:top w:val="nil"/>
              <w:left w:val="nil"/>
              <w:bottom w:val="single" w:sz="8" w:space="0" w:color="auto"/>
              <w:right w:val="single" w:sz="8" w:space="0" w:color="auto"/>
            </w:tcBorders>
            <w:shd w:val="clear" w:color="auto" w:fill="auto"/>
            <w:vAlign w:val="bottom"/>
          </w:tcPr>
          <w:p w:rsidR="00085321" w:rsidRPr="007B48AE" w:rsidP="00085321" w14:paraId="53862870" w14:textId="749A6173">
            <w:pPr>
              <w:jc w:val="center"/>
              <w:rPr>
                <w:sz w:val="18"/>
                <w:szCs w:val="18"/>
              </w:rPr>
            </w:pPr>
            <w:r w:rsidRPr="007B48AE">
              <w:rPr>
                <w:sz w:val="18"/>
                <w:szCs w:val="18"/>
              </w:rPr>
              <w:t>+28,000 </w:t>
            </w:r>
          </w:p>
        </w:tc>
      </w:tr>
      <w:tr w14:paraId="32E0880B"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center"/>
          </w:tcPr>
          <w:p w:rsidR="00085321" w:rsidRPr="007B48AE" w:rsidP="00085321" w14:paraId="54A89960" w14:textId="7FBA1216">
            <w:pPr>
              <w:rPr>
                <w:sz w:val="18"/>
                <w:szCs w:val="18"/>
              </w:rPr>
            </w:pPr>
            <w:r w:rsidRPr="007B48AE">
              <w:rPr>
                <w:color w:val="000000" w:themeColor="text1"/>
                <w:sz w:val="18"/>
                <w:szCs w:val="18"/>
              </w:rPr>
              <w:t xml:space="preserve">Community Assistance Contact (CAC) Report / FEMA Form FF-206-FY-21-142 </w:t>
            </w:r>
            <w:r w:rsidRPr="007B48AE">
              <w:rPr>
                <w:color w:val="000000" w:themeColor="text1"/>
                <w:sz w:val="18"/>
                <w:szCs w:val="18"/>
              </w:rPr>
              <w:br/>
              <w:t>(formerly 086-0-29 (E))</w:t>
            </w:r>
          </w:p>
        </w:tc>
        <w:tc>
          <w:tcPr>
            <w:tcW w:w="1620" w:type="dxa"/>
            <w:tcBorders>
              <w:top w:val="nil"/>
              <w:left w:val="nil"/>
              <w:bottom w:val="single" w:sz="8" w:space="0" w:color="auto"/>
              <w:right w:val="single" w:sz="8" w:space="0" w:color="auto"/>
            </w:tcBorders>
            <w:shd w:val="clear" w:color="auto" w:fill="auto"/>
            <w:vAlign w:val="bottom"/>
          </w:tcPr>
          <w:p w:rsidR="00085321" w:rsidRPr="007B48AE" w:rsidP="00085321" w14:paraId="6310DBD4" w14:textId="0661F6D9">
            <w:pPr>
              <w:jc w:val="center"/>
              <w:rPr>
                <w:sz w:val="18"/>
                <w:szCs w:val="18"/>
              </w:rPr>
            </w:pPr>
          </w:p>
        </w:tc>
        <w:tc>
          <w:tcPr>
            <w:tcW w:w="1080" w:type="dxa"/>
            <w:tcBorders>
              <w:top w:val="nil"/>
              <w:left w:val="nil"/>
              <w:bottom w:val="single" w:sz="8" w:space="0" w:color="auto"/>
              <w:right w:val="single" w:sz="8" w:space="0" w:color="auto"/>
            </w:tcBorders>
            <w:shd w:val="clear" w:color="auto" w:fill="auto"/>
            <w:vAlign w:val="bottom"/>
          </w:tcPr>
          <w:p w:rsidR="00085321" w:rsidRPr="007B48AE" w:rsidP="00085321" w14:paraId="18CE39B2" w14:textId="596F01EF">
            <w:pPr>
              <w:jc w:val="center"/>
              <w:rPr>
                <w:sz w:val="18"/>
                <w:szCs w:val="18"/>
              </w:rPr>
            </w:pPr>
          </w:p>
        </w:tc>
        <w:tc>
          <w:tcPr>
            <w:tcW w:w="1170" w:type="dxa"/>
            <w:tcBorders>
              <w:top w:val="nil"/>
              <w:left w:val="nil"/>
              <w:bottom w:val="single" w:sz="8" w:space="0" w:color="auto"/>
              <w:right w:val="single" w:sz="8" w:space="0" w:color="auto"/>
            </w:tcBorders>
            <w:shd w:val="clear" w:color="auto" w:fill="auto"/>
            <w:vAlign w:val="bottom"/>
          </w:tcPr>
          <w:p w:rsidR="00085321" w:rsidRPr="007B48AE" w:rsidP="00085321" w14:paraId="3A8827CC" w14:textId="57FE6117">
            <w:pPr>
              <w:jc w:val="center"/>
              <w:rPr>
                <w:sz w:val="18"/>
                <w:szCs w:val="18"/>
              </w:rPr>
            </w:pPr>
          </w:p>
        </w:tc>
        <w:tc>
          <w:tcPr>
            <w:tcW w:w="1292" w:type="dxa"/>
            <w:tcBorders>
              <w:top w:val="nil"/>
              <w:left w:val="nil"/>
              <w:bottom w:val="single" w:sz="8" w:space="0" w:color="auto"/>
              <w:right w:val="single" w:sz="8" w:space="0" w:color="auto"/>
            </w:tcBorders>
            <w:shd w:val="clear" w:color="auto" w:fill="auto"/>
            <w:vAlign w:val="bottom"/>
          </w:tcPr>
          <w:p w:rsidR="00085321" w:rsidRPr="007B48AE" w:rsidP="00085321" w14:paraId="146B978D" w14:textId="77777777">
            <w:pPr>
              <w:jc w:val="center"/>
              <w:rPr>
                <w:sz w:val="18"/>
                <w:szCs w:val="18"/>
              </w:rPr>
            </w:pPr>
            <w:r w:rsidRPr="007B48AE">
              <w:rPr>
                <w:sz w:val="18"/>
                <w:szCs w:val="18"/>
              </w:rPr>
              <w:t>2,000</w:t>
            </w:r>
          </w:p>
        </w:tc>
        <w:tc>
          <w:tcPr>
            <w:tcW w:w="1228" w:type="dxa"/>
            <w:tcBorders>
              <w:top w:val="nil"/>
              <w:left w:val="nil"/>
              <w:bottom w:val="single" w:sz="8" w:space="0" w:color="auto"/>
              <w:right w:val="single" w:sz="8" w:space="0" w:color="auto"/>
            </w:tcBorders>
            <w:shd w:val="clear" w:color="auto" w:fill="auto"/>
            <w:vAlign w:val="bottom"/>
          </w:tcPr>
          <w:p w:rsidR="00085321" w:rsidRPr="007B48AE" w:rsidP="00085321" w14:paraId="7EA1B8E9" w14:textId="3C55CD62">
            <w:pPr>
              <w:jc w:val="center"/>
              <w:rPr>
                <w:sz w:val="18"/>
                <w:szCs w:val="18"/>
              </w:rPr>
            </w:pPr>
            <w:r w:rsidRPr="007B48AE">
              <w:rPr>
                <w:sz w:val="18"/>
                <w:szCs w:val="18"/>
              </w:rPr>
              <w:t>30,000</w:t>
            </w:r>
          </w:p>
        </w:tc>
        <w:tc>
          <w:tcPr>
            <w:tcW w:w="1190" w:type="dxa"/>
            <w:tcBorders>
              <w:top w:val="nil"/>
              <w:left w:val="nil"/>
              <w:bottom w:val="single" w:sz="8" w:space="0" w:color="auto"/>
              <w:right w:val="single" w:sz="8" w:space="0" w:color="auto"/>
            </w:tcBorders>
            <w:shd w:val="clear" w:color="auto" w:fill="auto"/>
            <w:vAlign w:val="bottom"/>
          </w:tcPr>
          <w:p w:rsidR="00085321" w:rsidRPr="007B48AE" w:rsidP="00085321" w14:paraId="1D3FC7CB" w14:textId="58A05CE5">
            <w:pPr>
              <w:jc w:val="center"/>
              <w:rPr>
                <w:sz w:val="18"/>
                <w:szCs w:val="18"/>
              </w:rPr>
            </w:pPr>
            <w:r w:rsidRPr="007B48AE">
              <w:rPr>
                <w:sz w:val="18"/>
                <w:szCs w:val="18"/>
              </w:rPr>
              <w:t>+28,000 </w:t>
            </w:r>
          </w:p>
        </w:tc>
      </w:tr>
      <w:tr w14:paraId="09172DB7"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bottom"/>
          </w:tcPr>
          <w:p w:rsidR="009F144F" w:rsidRPr="007B48AE" w:rsidP="002D7423" w14:paraId="6ACFEAE8" w14:textId="77777777">
            <w:pPr>
              <w:jc w:val="center"/>
              <w:rPr>
                <w:b/>
                <w:bCs/>
                <w:sz w:val="18"/>
                <w:szCs w:val="18"/>
              </w:rPr>
            </w:pPr>
            <w:r w:rsidRPr="007B48AE">
              <w:rPr>
                <w:b/>
                <w:bCs/>
                <w:sz w:val="18"/>
                <w:szCs w:val="18"/>
              </w:rPr>
              <w:t>Total(s)</w:t>
            </w:r>
          </w:p>
        </w:tc>
        <w:tc>
          <w:tcPr>
            <w:tcW w:w="1620" w:type="dxa"/>
            <w:tcBorders>
              <w:top w:val="nil"/>
              <w:left w:val="nil"/>
              <w:bottom w:val="single" w:sz="8" w:space="0" w:color="auto"/>
              <w:right w:val="single" w:sz="8" w:space="0" w:color="auto"/>
            </w:tcBorders>
            <w:shd w:val="clear" w:color="auto" w:fill="auto"/>
            <w:vAlign w:val="bottom"/>
          </w:tcPr>
          <w:p w:rsidR="009F144F" w:rsidRPr="007B48AE" w:rsidP="002D7423" w14:paraId="4573A91D" w14:textId="77777777">
            <w:pPr>
              <w:jc w:val="center"/>
              <w:rPr>
                <w:b/>
                <w:bCs/>
                <w:sz w:val="18"/>
                <w:szCs w:val="18"/>
              </w:rPr>
            </w:pPr>
            <w:r w:rsidRPr="007B48AE">
              <w:rPr>
                <w:b/>
                <w:bCs/>
                <w:sz w:val="18"/>
                <w:szCs w:val="18"/>
              </w:rPr>
              <w:t> </w:t>
            </w:r>
          </w:p>
        </w:tc>
        <w:tc>
          <w:tcPr>
            <w:tcW w:w="1080" w:type="dxa"/>
            <w:tcBorders>
              <w:top w:val="nil"/>
              <w:left w:val="nil"/>
              <w:bottom w:val="single" w:sz="8" w:space="0" w:color="auto"/>
              <w:right w:val="single" w:sz="8" w:space="0" w:color="auto"/>
            </w:tcBorders>
            <w:shd w:val="clear" w:color="auto" w:fill="auto"/>
            <w:vAlign w:val="bottom"/>
          </w:tcPr>
          <w:p w:rsidR="009F144F" w:rsidRPr="007B48AE" w:rsidP="002D7423" w14:paraId="012B877E" w14:textId="77777777">
            <w:pPr>
              <w:jc w:val="center"/>
              <w:rPr>
                <w:b/>
                <w:bCs/>
                <w:sz w:val="18"/>
                <w:szCs w:val="18"/>
              </w:rPr>
            </w:pPr>
            <w:r w:rsidRPr="007B48AE">
              <w:rPr>
                <w:b/>
                <w:bCs/>
                <w:sz w:val="18"/>
                <w:szCs w:val="18"/>
              </w:rPr>
              <w:t> </w:t>
            </w:r>
          </w:p>
        </w:tc>
        <w:tc>
          <w:tcPr>
            <w:tcW w:w="1170" w:type="dxa"/>
            <w:tcBorders>
              <w:top w:val="nil"/>
              <w:left w:val="nil"/>
              <w:bottom w:val="single" w:sz="8" w:space="0" w:color="auto"/>
              <w:right w:val="single" w:sz="8" w:space="0" w:color="auto"/>
            </w:tcBorders>
            <w:shd w:val="clear" w:color="auto" w:fill="auto"/>
            <w:vAlign w:val="bottom"/>
          </w:tcPr>
          <w:p w:rsidR="009F144F" w:rsidRPr="007B48AE" w:rsidP="002D7423" w14:paraId="7DF9AAF6" w14:textId="77777777">
            <w:pPr>
              <w:jc w:val="center"/>
              <w:rPr>
                <w:b/>
                <w:bCs/>
                <w:sz w:val="18"/>
                <w:szCs w:val="18"/>
              </w:rPr>
            </w:pPr>
            <w:r w:rsidRPr="007B48AE">
              <w:rPr>
                <w:b/>
                <w:bCs/>
                <w:sz w:val="18"/>
                <w:szCs w:val="18"/>
              </w:rPr>
              <w:t> </w:t>
            </w:r>
          </w:p>
        </w:tc>
        <w:tc>
          <w:tcPr>
            <w:tcW w:w="1292" w:type="dxa"/>
            <w:tcBorders>
              <w:top w:val="nil"/>
              <w:left w:val="nil"/>
              <w:bottom w:val="single" w:sz="8" w:space="0" w:color="auto"/>
              <w:right w:val="single" w:sz="8" w:space="0" w:color="auto"/>
            </w:tcBorders>
            <w:shd w:val="clear" w:color="auto" w:fill="auto"/>
            <w:vAlign w:val="bottom"/>
          </w:tcPr>
          <w:p w:rsidR="009F144F" w:rsidRPr="007B48AE" w:rsidP="004F64A3" w14:paraId="6E20966D" w14:textId="77777777">
            <w:pPr>
              <w:jc w:val="center"/>
              <w:rPr>
                <w:b/>
                <w:bCs/>
                <w:sz w:val="18"/>
                <w:szCs w:val="18"/>
              </w:rPr>
            </w:pPr>
            <w:r w:rsidRPr="007B48AE">
              <w:rPr>
                <w:b/>
                <w:bCs/>
                <w:sz w:val="18"/>
                <w:szCs w:val="18"/>
              </w:rPr>
              <w:t>4,000</w:t>
            </w:r>
          </w:p>
        </w:tc>
        <w:tc>
          <w:tcPr>
            <w:tcW w:w="1228" w:type="dxa"/>
            <w:tcBorders>
              <w:top w:val="nil"/>
              <w:left w:val="nil"/>
              <w:bottom w:val="single" w:sz="8" w:space="0" w:color="auto"/>
              <w:right w:val="single" w:sz="8" w:space="0" w:color="auto"/>
            </w:tcBorders>
            <w:shd w:val="clear" w:color="auto" w:fill="auto"/>
            <w:vAlign w:val="bottom"/>
          </w:tcPr>
          <w:p w:rsidR="009F144F" w:rsidRPr="007B48AE" w:rsidP="004F64A3" w14:paraId="7337D11A" w14:textId="3E63E19D">
            <w:pPr>
              <w:jc w:val="center"/>
              <w:rPr>
                <w:b/>
                <w:bCs/>
                <w:sz w:val="18"/>
                <w:szCs w:val="18"/>
              </w:rPr>
            </w:pPr>
            <w:r w:rsidRPr="007B48AE">
              <w:rPr>
                <w:b/>
                <w:bCs/>
                <w:sz w:val="18"/>
                <w:szCs w:val="18"/>
              </w:rPr>
              <w:t>60</w:t>
            </w:r>
            <w:r w:rsidRPr="007B48AE">
              <w:rPr>
                <w:b/>
                <w:bCs/>
                <w:sz w:val="18"/>
                <w:szCs w:val="18"/>
              </w:rPr>
              <w:t>,000</w:t>
            </w:r>
          </w:p>
        </w:tc>
        <w:tc>
          <w:tcPr>
            <w:tcW w:w="1190" w:type="dxa"/>
            <w:tcBorders>
              <w:top w:val="nil"/>
              <w:left w:val="nil"/>
              <w:bottom w:val="single" w:sz="8" w:space="0" w:color="auto"/>
              <w:right w:val="single" w:sz="8" w:space="0" w:color="auto"/>
            </w:tcBorders>
            <w:shd w:val="clear" w:color="auto" w:fill="auto"/>
            <w:vAlign w:val="bottom"/>
          </w:tcPr>
          <w:p w:rsidR="009F144F" w:rsidRPr="007B48AE" w:rsidP="004F64A3" w14:paraId="3F5DB5E0" w14:textId="4C29B4A6">
            <w:pPr>
              <w:jc w:val="center"/>
              <w:rPr>
                <w:b/>
                <w:bCs/>
                <w:sz w:val="18"/>
                <w:szCs w:val="18"/>
              </w:rPr>
            </w:pPr>
            <w:r w:rsidRPr="007B48AE">
              <w:rPr>
                <w:b/>
                <w:bCs/>
                <w:sz w:val="18"/>
                <w:szCs w:val="18"/>
              </w:rPr>
              <w:t>+56,000</w:t>
            </w:r>
          </w:p>
        </w:tc>
      </w:tr>
    </w:tbl>
    <w:p w:rsidR="009F144F" w:rsidRPr="00CA3E8C" w:rsidP="007B48AE" w14:paraId="59418911" w14:textId="77777777">
      <w:pPr>
        <w:spacing w:line="276" w:lineRule="auto"/>
        <w:contextualSpacing/>
        <w:rPr>
          <w:b/>
          <w:bCs/>
          <w:i/>
          <w:color w:val="000000" w:themeColor="text1"/>
        </w:rPr>
      </w:pPr>
    </w:p>
    <w:p w:rsidR="004C5696" w:rsidRPr="00CA3E8C" w:rsidP="007B48AE" w14:paraId="240285FD" w14:textId="6F7F46F1">
      <w:pPr>
        <w:spacing w:line="276" w:lineRule="auto"/>
        <w:contextualSpacing/>
        <w:rPr>
          <w:bCs/>
          <w:color w:val="000000" w:themeColor="text1"/>
        </w:rPr>
      </w:pPr>
      <w:r w:rsidRPr="00CA3E8C">
        <w:rPr>
          <w:b/>
          <w:bCs/>
          <w:i/>
          <w:color w:val="000000" w:themeColor="text1"/>
        </w:rPr>
        <w:t>Explain:</w:t>
      </w:r>
      <w:r w:rsidR="00085321">
        <w:rPr>
          <w:iCs/>
          <w:color w:val="000000" w:themeColor="text1"/>
        </w:rPr>
        <w:t xml:space="preserve">  </w:t>
      </w:r>
      <w:r w:rsidRPr="00CA3E8C" w:rsidR="00FF0B1C">
        <w:rPr>
          <w:bCs/>
          <w:color w:val="000000" w:themeColor="text1"/>
        </w:rPr>
        <w:t xml:space="preserve">We have re-evaluated the burden hours </w:t>
      </w:r>
      <w:r w:rsidRPr="00CA3E8C" w:rsidR="00D50671">
        <w:rPr>
          <w:bCs/>
          <w:color w:val="000000" w:themeColor="text1"/>
        </w:rPr>
        <w:t>using the</w:t>
      </w:r>
      <w:r w:rsidRPr="00CA3E8C" w:rsidR="001F0167">
        <w:rPr>
          <w:bCs/>
          <w:color w:val="000000" w:themeColor="text1"/>
        </w:rPr>
        <w:t xml:space="preserve"> CAP-</w:t>
      </w:r>
      <w:r w:rsidRPr="00CA3E8C">
        <w:rPr>
          <w:bCs/>
          <w:color w:val="000000" w:themeColor="text1"/>
        </w:rPr>
        <w:t xml:space="preserve">SSE </w:t>
      </w:r>
      <w:r w:rsidRPr="00CA3E8C" w:rsidR="001F0167">
        <w:rPr>
          <w:bCs/>
          <w:color w:val="000000" w:themeColor="text1"/>
        </w:rPr>
        <w:t xml:space="preserve">contract to </w:t>
      </w:r>
      <w:r w:rsidRPr="00CA3E8C" w:rsidR="0035383D">
        <w:rPr>
          <w:bCs/>
          <w:color w:val="000000" w:themeColor="text1"/>
        </w:rPr>
        <w:t>reflect the average burden more accurately</w:t>
      </w:r>
      <w:r w:rsidRPr="00CA3E8C" w:rsidR="00D50671">
        <w:rPr>
          <w:bCs/>
          <w:color w:val="000000" w:themeColor="text1"/>
        </w:rPr>
        <w:t xml:space="preserve"> per </w:t>
      </w:r>
      <w:r w:rsidRPr="00CA3E8C" w:rsidR="0035383D">
        <w:rPr>
          <w:bCs/>
          <w:color w:val="000000" w:themeColor="text1"/>
        </w:rPr>
        <w:t>response and</w:t>
      </w:r>
      <w:r w:rsidRPr="00CA3E8C" w:rsidR="000F7285">
        <w:rPr>
          <w:bCs/>
          <w:color w:val="000000" w:themeColor="text1"/>
        </w:rPr>
        <w:t xml:space="preserve"> </w:t>
      </w:r>
      <w:r w:rsidRPr="00CA3E8C" w:rsidR="00674354">
        <w:rPr>
          <w:bCs/>
          <w:color w:val="000000" w:themeColor="text1"/>
        </w:rPr>
        <w:t>include</w:t>
      </w:r>
      <w:r w:rsidRPr="00CA3E8C" w:rsidR="0073646B">
        <w:rPr>
          <w:bCs/>
          <w:color w:val="000000" w:themeColor="text1"/>
        </w:rPr>
        <w:t xml:space="preserve"> all aspects of collecting the information</w:t>
      </w:r>
      <w:r w:rsidRPr="00CA3E8C" w:rsidR="000F7285">
        <w:rPr>
          <w:bCs/>
          <w:color w:val="000000" w:themeColor="text1"/>
        </w:rPr>
        <w:t xml:space="preserve"> (rather than </w:t>
      </w:r>
      <w:r w:rsidRPr="00CA3E8C" w:rsidR="0073646B">
        <w:rPr>
          <w:bCs/>
          <w:color w:val="000000" w:themeColor="text1"/>
        </w:rPr>
        <w:t xml:space="preserve">just </w:t>
      </w:r>
      <w:r w:rsidRPr="00CA3E8C" w:rsidR="000F7285">
        <w:rPr>
          <w:bCs/>
          <w:color w:val="000000" w:themeColor="text1"/>
        </w:rPr>
        <w:t xml:space="preserve">filling out </w:t>
      </w:r>
      <w:r w:rsidRPr="00CA3E8C" w:rsidR="0073646B">
        <w:rPr>
          <w:bCs/>
          <w:color w:val="000000" w:themeColor="text1"/>
        </w:rPr>
        <w:t>the forms</w:t>
      </w:r>
      <w:r w:rsidRPr="00CA3E8C" w:rsidR="000F7285">
        <w:rPr>
          <w:bCs/>
          <w:color w:val="000000" w:themeColor="text1"/>
        </w:rPr>
        <w:t>)</w:t>
      </w:r>
      <w:r w:rsidRPr="00CA3E8C" w:rsidR="001F0167">
        <w:rPr>
          <w:bCs/>
          <w:color w:val="000000" w:themeColor="text1"/>
        </w:rPr>
        <w:t>.</w:t>
      </w:r>
      <w:r w:rsidRPr="00CA3E8C" w:rsidR="0035383D">
        <w:rPr>
          <w:bCs/>
          <w:color w:val="000000" w:themeColor="text1"/>
        </w:rPr>
        <w:t xml:space="preserve"> </w:t>
      </w:r>
      <w:r w:rsidRPr="00CA3E8C">
        <w:rPr>
          <w:bCs/>
          <w:color w:val="000000" w:themeColor="text1"/>
        </w:rPr>
        <w:t xml:space="preserve">There have been no changes in the information being collected.  </w:t>
      </w:r>
    </w:p>
    <w:p w:rsidR="00085321" w:rsidP="007B48AE" w14:paraId="2C49BDC9" w14:textId="01B1075B">
      <w:pPr>
        <w:spacing w:line="276" w:lineRule="auto"/>
        <w:contextualSpacing/>
        <w:rPr>
          <w:bCs/>
          <w:color w:val="000000" w:themeColor="text1"/>
        </w:rPr>
      </w:pPr>
    </w:p>
    <w:tbl>
      <w:tblPr>
        <w:tblW w:w="10360" w:type="dxa"/>
        <w:jc w:val="center"/>
        <w:tblLook w:val="0000"/>
      </w:tblPr>
      <w:tblGrid>
        <w:gridCol w:w="2780"/>
        <w:gridCol w:w="1620"/>
        <w:gridCol w:w="1080"/>
        <w:gridCol w:w="1170"/>
        <w:gridCol w:w="1292"/>
        <w:gridCol w:w="1228"/>
        <w:gridCol w:w="1190"/>
      </w:tblGrid>
      <w:tr w14:paraId="588B833A" w14:textId="77777777" w:rsidTr="00CA3E8C">
        <w:tblPrEx>
          <w:tblW w:w="10360" w:type="dxa"/>
          <w:jc w:val="center"/>
          <w:tblLook w:val="0000"/>
        </w:tblPrEx>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8EAADB" w:themeFill="accent5" w:themeFillTint="99"/>
            <w:noWrap/>
            <w:vAlign w:val="bottom"/>
          </w:tcPr>
          <w:p w:rsidR="003F399F" w:rsidRPr="00CA3E8C" w:rsidP="00416301" w14:paraId="28798261" w14:textId="4AAB1A82">
            <w:pPr>
              <w:jc w:val="center"/>
              <w:rPr>
                <w:b/>
                <w:bCs/>
                <w:sz w:val="20"/>
                <w:szCs w:val="20"/>
              </w:rPr>
            </w:pPr>
            <w:r w:rsidRPr="00CA3E8C">
              <w:rPr>
                <w:b/>
                <w:bCs/>
                <w:sz w:val="20"/>
                <w:szCs w:val="20"/>
              </w:rPr>
              <w:t xml:space="preserve">Itemized Changes in Annual </w:t>
            </w:r>
            <w:r w:rsidRPr="00CA3E8C" w:rsidR="002D58B3">
              <w:rPr>
                <w:b/>
                <w:bCs/>
                <w:sz w:val="20"/>
                <w:szCs w:val="20"/>
              </w:rPr>
              <w:t>Cost</w:t>
            </w:r>
          </w:p>
        </w:tc>
      </w:tr>
      <w:tr w14:paraId="1D23BDD4" w14:textId="77777777" w:rsidTr="007B48AE">
        <w:tblPrEx>
          <w:tblW w:w="10360" w:type="dxa"/>
          <w:jc w:val="center"/>
          <w:tblLook w:val="0000"/>
        </w:tblPrEx>
        <w:trPr>
          <w:trHeight w:val="1042"/>
          <w:jc w:val="center"/>
        </w:trPr>
        <w:tc>
          <w:tcPr>
            <w:tcW w:w="2780" w:type="dxa"/>
            <w:tcBorders>
              <w:top w:val="nil"/>
              <w:left w:val="single" w:sz="8" w:space="0" w:color="auto"/>
              <w:bottom w:val="single" w:sz="8" w:space="0" w:color="auto"/>
              <w:right w:val="single" w:sz="8" w:space="0" w:color="auto"/>
            </w:tcBorders>
            <w:shd w:val="clear" w:color="auto" w:fill="8EAADB" w:themeFill="accent5" w:themeFillTint="99"/>
            <w:vAlign w:val="bottom"/>
          </w:tcPr>
          <w:p w:rsidR="003F399F" w:rsidRPr="007B48AE" w:rsidP="00416301" w14:paraId="7B36268D" w14:textId="77777777">
            <w:pPr>
              <w:jc w:val="center"/>
              <w:rPr>
                <w:b/>
                <w:bCs/>
                <w:sz w:val="18"/>
                <w:szCs w:val="18"/>
              </w:rPr>
            </w:pPr>
            <w:r w:rsidRPr="007B48AE">
              <w:rPr>
                <w:b/>
                <w:bCs/>
                <w:sz w:val="18"/>
                <w:szCs w:val="18"/>
              </w:rPr>
              <w:t>Data collection Activity/Instrument</w:t>
            </w:r>
          </w:p>
        </w:tc>
        <w:tc>
          <w:tcPr>
            <w:tcW w:w="1620"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6771F14C" w14:textId="7EBBAC80">
            <w:pPr>
              <w:jc w:val="center"/>
              <w:rPr>
                <w:b/>
                <w:bCs/>
                <w:sz w:val="18"/>
                <w:szCs w:val="18"/>
              </w:rPr>
            </w:pPr>
            <w:r w:rsidRPr="007B48AE">
              <w:rPr>
                <w:b/>
                <w:bCs/>
                <w:sz w:val="18"/>
                <w:szCs w:val="18"/>
              </w:rPr>
              <w:t>Program Change (</w:t>
            </w:r>
            <w:r w:rsidRPr="007B48AE" w:rsidR="00FC7E26">
              <w:rPr>
                <w:b/>
                <w:bCs/>
                <w:sz w:val="18"/>
                <w:szCs w:val="18"/>
              </w:rPr>
              <w:t>cost</w:t>
            </w:r>
            <w:r w:rsidRPr="007B48AE">
              <w:rPr>
                <w:b/>
                <w:bCs/>
                <w:sz w:val="18"/>
                <w:szCs w:val="18"/>
              </w:rPr>
              <w:t xml:space="preserve"> currently on OMB Inventory) </w:t>
            </w:r>
          </w:p>
        </w:tc>
        <w:tc>
          <w:tcPr>
            <w:tcW w:w="1080"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1942D70A" w14:textId="77777777">
            <w:pPr>
              <w:jc w:val="center"/>
              <w:rPr>
                <w:b/>
                <w:bCs/>
                <w:sz w:val="18"/>
                <w:szCs w:val="18"/>
              </w:rPr>
            </w:pPr>
            <w:r w:rsidRPr="007B48AE">
              <w:rPr>
                <w:b/>
                <w:bCs/>
                <w:sz w:val="18"/>
                <w:szCs w:val="18"/>
              </w:rPr>
              <w:t xml:space="preserve">Program Change (New) </w:t>
            </w:r>
          </w:p>
        </w:tc>
        <w:tc>
          <w:tcPr>
            <w:tcW w:w="1170"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344059B9" w14:textId="77777777">
            <w:pPr>
              <w:jc w:val="center"/>
              <w:rPr>
                <w:b/>
                <w:bCs/>
                <w:sz w:val="18"/>
                <w:szCs w:val="18"/>
              </w:rPr>
            </w:pPr>
            <w:r w:rsidRPr="007B48AE">
              <w:rPr>
                <w:b/>
                <w:bCs/>
                <w:sz w:val="18"/>
                <w:szCs w:val="18"/>
              </w:rPr>
              <w:t>Difference</w:t>
            </w:r>
          </w:p>
        </w:tc>
        <w:tc>
          <w:tcPr>
            <w:tcW w:w="1292"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23BEE5CD" w14:textId="7CF8E3D3">
            <w:pPr>
              <w:jc w:val="center"/>
              <w:rPr>
                <w:b/>
                <w:bCs/>
                <w:sz w:val="18"/>
                <w:szCs w:val="18"/>
              </w:rPr>
            </w:pPr>
            <w:r w:rsidRPr="007B48AE">
              <w:rPr>
                <w:b/>
                <w:bCs/>
                <w:sz w:val="18"/>
                <w:szCs w:val="18"/>
              </w:rPr>
              <w:t>Adjustment (</w:t>
            </w:r>
            <w:r w:rsidRPr="007B48AE" w:rsidR="00FC7E26">
              <w:rPr>
                <w:b/>
                <w:bCs/>
                <w:sz w:val="18"/>
                <w:szCs w:val="18"/>
              </w:rPr>
              <w:t>cost</w:t>
            </w:r>
            <w:r w:rsidRPr="007B48AE">
              <w:rPr>
                <w:b/>
                <w:bCs/>
                <w:sz w:val="18"/>
                <w:szCs w:val="18"/>
              </w:rPr>
              <w:t xml:space="preserve"> currently on OMB Inventory)</w:t>
            </w:r>
          </w:p>
        </w:tc>
        <w:tc>
          <w:tcPr>
            <w:tcW w:w="1228"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6D82A9E9" w14:textId="77777777">
            <w:pPr>
              <w:jc w:val="center"/>
              <w:rPr>
                <w:b/>
                <w:bCs/>
                <w:sz w:val="18"/>
                <w:szCs w:val="18"/>
              </w:rPr>
            </w:pPr>
            <w:r w:rsidRPr="007B48AE">
              <w:rPr>
                <w:b/>
                <w:bCs/>
                <w:sz w:val="18"/>
                <w:szCs w:val="18"/>
              </w:rPr>
              <w:t xml:space="preserve">Adjustment (New) </w:t>
            </w:r>
          </w:p>
        </w:tc>
        <w:tc>
          <w:tcPr>
            <w:tcW w:w="1190"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48BD3193" w14:textId="77777777">
            <w:pPr>
              <w:jc w:val="center"/>
              <w:rPr>
                <w:b/>
                <w:bCs/>
                <w:sz w:val="18"/>
                <w:szCs w:val="18"/>
              </w:rPr>
            </w:pPr>
            <w:r w:rsidRPr="007B48AE">
              <w:rPr>
                <w:b/>
                <w:bCs/>
                <w:sz w:val="18"/>
                <w:szCs w:val="18"/>
              </w:rPr>
              <w:t>Difference</w:t>
            </w:r>
          </w:p>
        </w:tc>
      </w:tr>
      <w:tr w14:paraId="05F46217"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center"/>
          </w:tcPr>
          <w:p w:rsidR="00085321" w:rsidRPr="007B48AE" w:rsidP="00085321" w14:paraId="7F36374B" w14:textId="00D18EFB">
            <w:pPr>
              <w:rPr>
                <w:sz w:val="18"/>
                <w:szCs w:val="18"/>
              </w:rPr>
            </w:pPr>
            <w:r w:rsidRPr="007B48AE">
              <w:rPr>
                <w:color w:val="000000" w:themeColor="text1"/>
                <w:sz w:val="18"/>
                <w:szCs w:val="18"/>
              </w:rPr>
              <w:t xml:space="preserve">Community Assistance Visit (CAV) Report / </w:t>
            </w:r>
            <w:r w:rsidRPr="007B48AE">
              <w:rPr>
                <w:color w:val="000000" w:themeColor="text1"/>
                <w:sz w:val="18"/>
                <w:szCs w:val="18"/>
              </w:rPr>
              <w:br/>
              <w:t xml:space="preserve">FEMA Form FF-206-FY-21-141 </w:t>
            </w:r>
            <w:r w:rsidRPr="007B48AE">
              <w:rPr>
                <w:color w:val="000000" w:themeColor="text1"/>
                <w:sz w:val="18"/>
                <w:szCs w:val="18"/>
              </w:rPr>
              <w:br/>
              <w:t>(formerly 086-0-28 (E))</w:t>
            </w:r>
          </w:p>
        </w:tc>
        <w:tc>
          <w:tcPr>
            <w:tcW w:w="1620" w:type="dxa"/>
            <w:tcBorders>
              <w:top w:val="nil"/>
              <w:left w:val="nil"/>
              <w:bottom w:val="single" w:sz="8" w:space="0" w:color="auto"/>
              <w:right w:val="single" w:sz="8" w:space="0" w:color="auto"/>
            </w:tcBorders>
            <w:shd w:val="clear" w:color="auto" w:fill="auto"/>
            <w:vAlign w:val="bottom"/>
          </w:tcPr>
          <w:p w:rsidR="00085321" w:rsidRPr="007B48AE" w:rsidP="00085321" w14:paraId="5DF42ACF" w14:textId="77777777">
            <w:pPr>
              <w:jc w:val="center"/>
              <w:rPr>
                <w:sz w:val="18"/>
                <w:szCs w:val="18"/>
              </w:rPr>
            </w:pPr>
          </w:p>
        </w:tc>
        <w:tc>
          <w:tcPr>
            <w:tcW w:w="1080" w:type="dxa"/>
            <w:tcBorders>
              <w:top w:val="nil"/>
              <w:left w:val="nil"/>
              <w:bottom w:val="single" w:sz="8" w:space="0" w:color="auto"/>
              <w:right w:val="single" w:sz="8" w:space="0" w:color="auto"/>
            </w:tcBorders>
            <w:shd w:val="clear" w:color="auto" w:fill="auto"/>
            <w:vAlign w:val="bottom"/>
          </w:tcPr>
          <w:p w:rsidR="00085321" w:rsidRPr="007B48AE" w:rsidP="00085321" w14:paraId="7B1B3D0F" w14:textId="77777777">
            <w:pPr>
              <w:jc w:val="center"/>
              <w:rPr>
                <w:sz w:val="18"/>
                <w:szCs w:val="18"/>
              </w:rPr>
            </w:pPr>
          </w:p>
        </w:tc>
        <w:tc>
          <w:tcPr>
            <w:tcW w:w="1170" w:type="dxa"/>
            <w:tcBorders>
              <w:top w:val="nil"/>
              <w:left w:val="nil"/>
              <w:bottom w:val="single" w:sz="8" w:space="0" w:color="auto"/>
              <w:right w:val="single" w:sz="8" w:space="0" w:color="auto"/>
            </w:tcBorders>
            <w:shd w:val="clear" w:color="auto" w:fill="auto"/>
            <w:vAlign w:val="bottom"/>
          </w:tcPr>
          <w:p w:rsidR="00085321" w:rsidRPr="007B48AE" w:rsidP="00085321" w14:paraId="5F025DEF" w14:textId="77777777">
            <w:pPr>
              <w:jc w:val="center"/>
              <w:rPr>
                <w:sz w:val="18"/>
                <w:szCs w:val="18"/>
              </w:rPr>
            </w:pPr>
          </w:p>
        </w:tc>
        <w:tc>
          <w:tcPr>
            <w:tcW w:w="1292" w:type="dxa"/>
            <w:tcBorders>
              <w:top w:val="nil"/>
              <w:left w:val="nil"/>
              <w:bottom w:val="single" w:sz="8" w:space="0" w:color="auto"/>
              <w:right w:val="single" w:sz="8" w:space="0" w:color="auto"/>
            </w:tcBorders>
            <w:shd w:val="clear" w:color="auto" w:fill="auto"/>
            <w:vAlign w:val="bottom"/>
          </w:tcPr>
          <w:p w:rsidR="00085321" w:rsidRPr="007B48AE" w:rsidP="00085321" w14:paraId="78DA92D5" w14:textId="11659E87">
            <w:pPr>
              <w:jc w:val="center"/>
              <w:rPr>
                <w:sz w:val="18"/>
                <w:szCs w:val="18"/>
              </w:rPr>
            </w:pPr>
            <w:r w:rsidRPr="007B48AE">
              <w:rPr>
                <w:sz w:val="18"/>
                <w:szCs w:val="18"/>
              </w:rPr>
              <w:t>$181,520</w:t>
            </w:r>
          </w:p>
        </w:tc>
        <w:tc>
          <w:tcPr>
            <w:tcW w:w="1228" w:type="dxa"/>
            <w:tcBorders>
              <w:top w:val="nil"/>
              <w:left w:val="nil"/>
              <w:bottom w:val="single" w:sz="8" w:space="0" w:color="auto"/>
              <w:right w:val="single" w:sz="8" w:space="0" w:color="auto"/>
            </w:tcBorders>
            <w:shd w:val="clear" w:color="auto" w:fill="auto"/>
            <w:vAlign w:val="bottom"/>
          </w:tcPr>
          <w:p w:rsidR="00085321" w:rsidRPr="007B48AE" w:rsidP="00085321" w14:paraId="743FDCA1" w14:textId="5ECDFDFB">
            <w:pPr>
              <w:jc w:val="center"/>
              <w:rPr>
                <w:sz w:val="18"/>
                <w:szCs w:val="18"/>
              </w:rPr>
            </w:pPr>
            <w:r w:rsidRPr="007B48AE">
              <w:rPr>
                <w:sz w:val="18"/>
                <w:szCs w:val="18"/>
              </w:rPr>
              <w:t>$1,252,800</w:t>
            </w:r>
          </w:p>
        </w:tc>
        <w:tc>
          <w:tcPr>
            <w:tcW w:w="1190" w:type="dxa"/>
            <w:tcBorders>
              <w:top w:val="nil"/>
              <w:left w:val="nil"/>
              <w:bottom w:val="single" w:sz="8" w:space="0" w:color="auto"/>
              <w:right w:val="single" w:sz="8" w:space="0" w:color="auto"/>
            </w:tcBorders>
            <w:shd w:val="clear" w:color="auto" w:fill="auto"/>
            <w:vAlign w:val="bottom"/>
          </w:tcPr>
          <w:p w:rsidR="00085321" w:rsidRPr="007B48AE" w:rsidP="00085321" w14:paraId="50FFF204" w14:textId="4D6D5596">
            <w:pPr>
              <w:jc w:val="center"/>
              <w:rPr>
                <w:sz w:val="18"/>
                <w:szCs w:val="18"/>
              </w:rPr>
            </w:pPr>
            <w:r w:rsidRPr="007B48AE">
              <w:rPr>
                <w:sz w:val="18"/>
                <w:szCs w:val="18"/>
              </w:rPr>
              <w:t>+$1,071,280</w:t>
            </w:r>
          </w:p>
        </w:tc>
      </w:tr>
      <w:tr w14:paraId="76BD2BA6"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center"/>
          </w:tcPr>
          <w:p w:rsidR="00085321" w:rsidRPr="007B48AE" w:rsidP="00085321" w14:paraId="0B63CFA5" w14:textId="0266D761">
            <w:pPr>
              <w:rPr>
                <w:sz w:val="18"/>
                <w:szCs w:val="18"/>
              </w:rPr>
            </w:pPr>
            <w:r w:rsidRPr="007B48AE">
              <w:rPr>
                <w:color w:val="000000" w:themeColor="text1"/>
                <w:sz w:val="18"/>
                <w:szCs w:val="18"/>
              </w:rPr>
              <w:t xml:space="preserve">Community Assistance Contact (CAC) Report / FEMA Form FF-206-FY-21-142 </w:t>
            </w:r>
            <w:r w:rsidRPr="007B48AE">
              <w:rPr>
                <w:color w:val="000000" w:themeColor="text1"/>
                <w:sz w:val="18"/>
                <w:szCs w:val="18"/>
              </w:rPr>
              <w:br/>
              <w:t>(formerly 086-0-29 (E))</w:t>
            </w:r>
          </w:p>
        </w:tc>
        <w:tc>
          <w:tcPr>
            <w:tcW w:w="1620" w:type="dxa"/>
            <w:tcBorders>
              <w:top w:val="nil"/>
              <w:left w:val="nil"/>
              <w:bottom w:val="single" w:sz="8" w:space="0" w:color="auto"/>
              <w:right w:val="single" w:sz="8" w:space="0" w:color="auto"/>
            </w:tcBorders>
            <w:shd w:val="clear" w:color="auto" w:fill="auto"/>
            <w:vAlign w:val="bottom"/>
          </w:tcPr>
          <w:p w:rsidR="00085321" w:rsidRPr="007B48AE" w:rsidP="00085321" w14:paraId="0F21A4C4" w14:textId="77777777">
            <w:pPr>
              <w:jc w:val="center"/>
              <w:rPr>
                <w:sz w:val="18"/>
                <w:szCs w:val="18"/>
              </w:rPr>
            </w:pPr>
          </w:p>
        </w:tc>
        <w:tc>
          <w:tcPr>
            <w:tcW w:w="1080" w:type="dxa"/>
            <w:tcBorders>
              <w:top w:val="nil"/>
              <w:left w:val="nil"/>
              <w:bottom w:val="single" w:sz="8" w:space="0" w:color="auto"/>
              <w:right w:val="single" w:sz="8" w:space="0" w:color="auto"/>
            </w:tcBorders>
            <w:shd w:val="clear" w:color="auto" w:fill="auto"/>
            <w:vAlign w:val="bottom"/>
          </w:tcPr>
          <w:p w:rsidR="00085321" w:rsidRPr="007B48AE" w:rsidP="00085321" w14:paraId="18BAB30B" w14:textId="77777777">
            <w:pPr>
              <w:jc w:val="center"/>
              <w:rPr>
                <w:sz w:val="18"/>
                <w:szCs w:val="18"/>
              </w:rPr>
            </w:pPr>
          </w:p>
        </w:tc>
        <w:tc>
          <w:tcPr>
            <w:tcW w:w="1170" w:type="dxa"/>
            <w:tcBorders>
              <w:top w:val="nil"/>
              <w:left w:val="nil"/>
              <w:bottom w:val="single" w:sz="8" w:space="0" w:color="auto"/>
              <w:right w:val="single" w:sz="8" w:space="0" w:color="auto"/>
            </w:tcBorders>
            <w:shd w:val="clear" w:color="auto" w:fill="auto"/>
            <w:vAlign w:val="bottom"/>
          </w:tcPr>
          <w:p w:rsidR="00085321" w:rsidRPr="007B48AE" w:rsidP="00085321" w14:paraId="4D737D8B" w14:textId="77777777">
            <w:pPr>
              <w:jc w:val="center"/>
              <w:rPr>
                <w:sz w:val="18"/>
                <w:szCs w:val="18"/>
              </w:rPr>
            </w:pPr>
          </w:p>
        </w:tc>
        <w:tc>
          <w:tcPr>
            <w:tcW w:w="1292" w:type="dxa"/>
            <w:tcBorders>
              <w:top w:val="nil"/>
              <w:left w:val="nil"/>
              <w:bottom w:val="single" w:sz="8" w:space="0" w:color="auto"/>
              <w:right w:val="single" w:sz="8" w:space="0" w:color="auto"/>
            </w:tcBorders>
            <w:shd w:val="clear" w:color="auto" w:fill="auto"/>
            <w:vAlign w:val="bottom"/>
          </w:tcPr>
          <w:p w:rsidR="00085321" w:rsidRPr="007B48AE" w:rsidP="00085321" w14:paraId="62A42173" w14:textId="04E805FB">
            <w:pPr>
              <w:jc w:val="center"/>
              <w:rPr>
                <w:sz w:val="18"/>
                <w:szCs w:val="18"/>
              </w:rPr>
            </w:pPr>
            <w:r w:rsidRPr="007B48AE">
              <w:rPr>
                <w:sz w:val="18"/>
                <w:szCs w:val="18"/>
              </w:rPr>
              <w:t>$181,520</w:t>
            </w:r>
          </w:p>
        </w:tc>
        <w:tc>
          <w:tcPr>
            <w:tcW w:w="1228" w:type="dxa"/>
            <w:tcBorders>
              <w:top w:val="nil"/>
              <w:left w:val="nil"/>
              <w:bottom w:val="single" w:sz="8" w:space="0" w:color="auto"/>
              <w:right w:val="single" w:sz="8" w:space="0" w:color="auto"/>
            </w:tcBorders>
            <w:shd w:val="clear" w:color="auto" w:fill="auto"/>
            <w:vAlign w:val="bottom"/>
          </w:tcPr>
          <w:p w:rsidR="00085321" w:rsidRPr="007B48AE" w:rsidP="00085321" w14:paraId="4DA41E74" w14:textId="74541981">
            <w:pPr>
              <w:jc w:val="center"/>
              <w:rPr>
                <w:sz w:val="18"/>
                <w:szCs w:val="18"/>
              </w:rPr>
            </w:pPr>
            <w:r w:rsidRPr="007B48AE">
              <w:rPr>
                <w:sz w:val="18"/>
                <w:szCs w:val="18"/>
              </w:rPr>
              <w:t>$1,252,800</w:t>
            </w:r>
          </w:p>
        </w:tc>
        <w:tc>
          <w:tcPr>
            <w:tcW w:w="1190" w:type="dxa"/>
            <w:tcBorders>
              <w:top w:val="nil"/>
              <w:left w:val="nil"/>
              <w:bottom w:val="single" w:sz="8" w:space="0" w:color="auto"/>
              <w:right w:val="single" w:sz="8" w:space="0" w:color="auto"/>
            </w:tcBorders>
            <w:shd w:val="clear" w:color="auto" w:fill="auto"/>
            <w:vAlign w:val="bottom"/>
          </w:tcPr>
          <w:p w:rsidR="00085321" w:rsidRPr="007B48AE" w:rsidP="00085321" w14:paraId="2C3134A3" w14:textId="5CE9168E">
            <w:pPr>
              <w:jc w:val="center"/>
              <w:rPr>
                <w:sz w:val="18"/>
                <w:szCs w:val="18"/>
              </w:rPr>
            </w:pPr>
            <w:r w:rsidRPr="007B48AE">
              <w:rPr>
                <w:sz w:val="18"/>
                <w:szCs w:val="18"/>
              </w:rPr>
              <w:t>+$1,071,280</w:t>
            </w:r>
          </w:p>
        </w:tc>
      </w:tr>
      <w:tr w14:paraId="1A4556EC"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bottom"/>
          </w:tcPr>
          <w:p w:rsidR="003F399F" w:rsidRPr="007B48AE" w:rsidP="00416301" w14:paraId="524088B9" w14:textId="77777777">
            <w:pPr>
              <w:jc w:val="center"/>
              <w:rPr>
                <w:b/>
                <w:bCs/>
                <w:sz w:val="18"/>
                <w:szCs w:val="18"/>
              </w:rPr>
            </w:pPr>
            <w:r w:rsidRPr="007B48AE">
              <w:rPr>
                <w:b/>
                <w:bCs/>
                <w:sz w:val="18"/>
                <w:szCs w:val="18"/>
              </w:rPr>
              <w:t>Total(s)</w:t>
            </w:r>
          </w:p>
        </w:tc>
        <w:tc>
          <w:tcPr>
            <w:tcW w:w="1620" w:type="dxa"/>
            <w:tcBorders>
              <w:top w:val="nil"/>
              <w:left w:val="nil"/>
              <w:bottom w:val="single" w:sz="8" w:space="0" w:color="auto"/>
              <w:right w:val="single" w:sz="8" w:space="0" w:color="auto"/>
            </w:tcBorders>
            <w:shd w:val="clear" w:color="auto" w:fill="auto"/>
            <w:vAlign w:val="bottom"/>
          </w:tcPr>
          <w:p w:rsidR="003F399F" w:rsidRPr="007B48AE" w:rsidP="00416301" w14:paraId="10CA0025" w14:textId="77777777">
            <w:pPr>
              <w:jc w:val="center"/>
              <w:rPr>
                <w:b/>
                <w:bCs/>
                <w:sz w:val="18"/>
                <w:szCs w:val="18"/>
              </w:rPr>
            </w:pPr>
            <w:r w:rsidRPr="007B48AE">
              <w:rPr>
                <w:b/>
                <w:bCs/>
                <w:sz w:val="18"/>
                <w:szCs w:val="18"/>
              </w:rPr>
              <w:t> </w:t>
            </w:r>
          </w:p>
        </w:tc>
        <w:tc>
          <w:tcPr>
            <w:tcW w:w="1080" w:type="dxa"/>
            <w:tcBorders>
              <w:top w:val="nil"/>
              <w:left w:val="nil"/>
              <w:bottom w:val="single" w:sz="8" w:space="0" w:color="auto"/>
              <w:right w:val="single" w:sz="8" w:space="0" w:color="auto"/>
            </w:tcBorders>
            <w:shd w:val="clear" w:color="auto" w:fill="auto"/>
            <w:vAlign w:val="bottom"/>
          </w:tcPr>
          <w:p w:rsidR="003F399F" w:rsidRPr="007B48AE" w:rsidP="00416301" w14:paraId="3074443D" w14:textId="77777777">
            <w:pPr>
              <w:jc w:val="center"/>
              <w:rPr>
                <w:b/>
                <w:bCs/>
                <w:sz w:val="18"/>
                <w:szCs w:val="18"/>
              </w:rPr>
            </w:pPr>
            <w:r w:rsidRPr="007B48AE">
              <w:rPr>
                <w:b/>
                <w:bCs/>
                <w:sz w:val="18"/>
                <w:szCs w:val="18"/>
              </w:rPr>
              <w:t> </w:t>
            </w:r>
          </w:p>
        </w:tc>
        <w:tc>
          <w:tcPr>
            <w:tcW w:w="1170" w:type="dxa"/>
            <w:tcBorders>
              <w:top w:val="nil"/>
              <w:left w:val="nil"/>
              <w:bottom w:val="single" w:sz="8" w:space="0" w:color="auto"/>
              <w:right w:val="single" w:sz="8" w:space="0" w:color="auto"/>
            </w:tcBorders>
            <w:shd w:val="clear" w:color="auto" w:fill="auto"/>
            <w:vAlign w:val="bottom"/>
          </w:tcPr>
          <w:p w:rsidR="003F399F" w:rsidRPr="007B48AE" w:rsidP="00416301" w14:paraId="776AA5DC" w14:textId="77777777">
            <w:pPr>
              <w:jc w:val="center"/>
              <w:rPr>
                <w:b/>
                <w:bCs/>
                <w:sz w:val="18"/>
                <w:szCs w:val="18"/>
              </w:rPr>
            </w:pPr>
            <w:r w:rsidRPr="007B48AE">
              <w:rPr>
                <w:b/>
                <w:bCs/>
                <w:sz w:val="18"/>
                <w:szCs w:val="18"/>
              </w:rPr>
              <w:t> </w:t>
            </w:r>
          </w:p>
        </w:tc>
        <w:tc>
          <w:tcPr>
            <w:tcW w:w="1292" w:type="dxa"/>
            <w:tcBorders>
              <w:top w:val="nil"/>
              <w:left w:val="nil"/>
              <w:bottom w:val="single" w:sz="8" w:space="0" w:color="auto"/>
              <w:right w:val="single" w:sz="8" w:space="0" w:color="auto"/>
            </w:tcBorders>
            <w:shd w:val="clear" w:color="auto" w:fill="auto"/>
            <w:vAlign w:val="bottom"/>
          </w:tcPr>
          <w:p w:rsidR="003F399F" w:rsidRPr="007B48AE" w:rsidP="00416301" w14:paraId="5169D09F" w14:textId="3EB1F526">
            <w:pPr>
              <w:jc w:val="center"/>
              <w:rPr>
                <w:b/>
                <w:bCs/>
                <w:sz w:val="18"/>
                <w:szCs w:val="18"/>
              </w:rPr>
            </w:pPr>
            <w:r w:rsidRPr="007B48AE">
              <w:rPr>
                <w:b/>
                <w:bCs/>
                <w:sz w:val="18"/>
                <w:szCs w:val="18"/>
              </w:rPr>
              <w:t>$363,040</w:t>
            </w:r>
          </w:p>
        </w:tc>
        <w:tc>
          <w:tcPr>
            <w:tcW w:w="1228" w:type="dxa"/>
            <w:tcBorders>
              <w:top w:val="nil"/>
              <w:left w:val="nil"/>
              <w:bottom w:val="single" w:sz="8" w:space="0" w:color="auto"/>
              <w:right w:val="single" w:sz="8" w:space="0" w:color="auto"/>
            </w:tcBorders>
            <w:shd w:val="clear" w:color="auto" w:fill="auto"/>
            <w:vAlign w:val="bottom"/>
          </w:tcPr>
          <w:p w:rsidR="003F399F" w:rsidRPr="007B48AE" w:rsidP="00416301" w14:paraId="63754C96" w14:textId="38E27565">
            <w:pPr>
              <w:jc w:val="center"/>
              <w:rPr>
                <w:b/>
                <w:bCs/>
                <w:sz w:val="18"/>
                <w:szCs w:val="18"/>
              </w:rPr>
            </w:pPr>
            <w:r w:rsidRPr="007B48AE">
              <w:rPr>
                <w:b/>
                <w:bCs/>
                <w:sz w:val="18"/>
                <w:szCs w:val="18"/>
              </w:rPr>
              <w:t>$2,505,</w:t>
            </w:r>
            <w:r w:rsidRPr="007B48AE" w:rsidR="00EB5428">
              <w:rPr>
                <w:b/>
                <w:bCs/>
                <w:sz w:val="18"/>
                <w:szCs w:val="18"/>
              </w:rPr>
              <w:t>600</w:t>
            </w:r>
          </w:p>
        </w:tc>
        <w:tc>
          <w:tcPr>
            <w:tcW w:w="1190" w:type="dxa"/>
            <w:tcBorders>
              <w:top w:val="nil"/>
              <w:left w:val="nil"/>
              <w:bottom w:val="single" w:sz="8" w:space="0" w:color="auto"/>
              <w:right w:val="single" w:sz="8" w:space="0" w:color="auto"/>
            </w:tcBorders>
            <w:shd w:val="clear" w:color="auto" w:fill="auto"/>
            <w:vAlign w:val="bottom"/>
          </w:tcPr>
          <w:p w:rsidR="003F399F" w:rsidRPr="007B48AE" w:rsidP="00416301" w14:paraId="2607F4C1" w14:textId="60039577">
            <w:pPr>
              <w:jc w:val="center"/>
              <w:rPr>
                <w:b/>
                <w:bCs/>
                <w:sz w:val="18"/>
                <w:szCs w:val="18"/>
              </w:rPr>
            </w:pPr>
            <w:r w:rsidRPr="007B48AE">
              <w:rPr>
                <w:b/>
                <w:bCs/>
                <w:sz w:val="18"/>
                <w:szCs w:val="18"/>
              </w:rPr>
              <w:t>+</w:t>
            </w:r>
            <w:r w:rsidRPr="007B48AE" w:rsidR="00EB5428">
              <w:rPr>
                <w:b/>
                <w:bCs/>
                <w:sz w:val="18"/>
                <w:szCs w:val="18"/>
              </w:rPr>
              <w:t>$2,</w:t>
            </w:r>
            <w:r w:rsidRPr="007B48AE" w:rsidR="005535D2">
              <w:rPr>
                <w:b/>
                <w:bCs/>
                <w:sz w:val="18"/>
                <w:szCs w:val="18"/>
              </w:rPr>
              <w:t>142,560</w:t>
            </w:r>
          </w:p>
        </w:tc>
      </w:tr>
    </w:tbl>
    <w:p w:rsidR="003F399F" w:rsidRPr="00CA3E8C" w:rsidP="007B48AE" w14:paraId="1B1C51C4" w14:textId="77777777">
      <w:pPr>
        <w:spacing w:after="200" w:line="276" w:lineRule="auto"/>
        <w:contextualSpacing/>
        <w:rPr>
          <w:rFonts w:eastAsia="Calibri"/>
          <w:iCs/>
          <w:color w:val="000000" w:themeColor="text1"/>
        </w:rPr>
      </w:pPr>
    </w:p>
    <w:p w:rsidR="003F399F" w:rsidRPr="00CA3E8C" w:rsidP="007B48AE" w14:paraId="7F83744B" w14:textId="52607440">
      <w:pPr>
        <w:spacing w:line="276" w:lineRule="auto"/>
        <w:contextualSpacing/>
        <w:rPr>
          <w:bCs/>
          <w:color w:val="000000" w:themeColor="text1"/>
        </w:rPr>
      </w:pPr>
      <w:r w:rsidRPr="00CA3E8C">
        <w:rPr>
          <w:rFonts w:eastAsia="Calibri"/>
          <w:b/>
          <w:bCs/>
          <w:i/>
          <w:color w:val="000000" w:themeColor="text1"/>
        </w:rPr>
        <w:t>Explain:</w:t>
      </w:r>
      <w:r w:rsidR="00085321">
        <w:rPr>
          <w:rFonts w:eastAsia="Calibri"/>
          <w:bCs/>
          <w:iCs/>
          <w:color w:val="000000" w:themeColor="text1"/>
        </w:rPr>
        <w:t xml:space="preserve">  </w:t>
      </w:r>
      <w:r w:rsidRPr="00CA3E8C" w:rsidR="00415038">
        <w:rPr>
          <w:bCs/>
          <w:color w:val="000000" w:themeColor="text1"/>
        </w:rPr>
        <w:t xml:space="preserve">The increase in cost is due to the increase in burden hours discussed above. </w:t>
      </w:r>
      <w:r w:rsidRPr="00CA3E8C" w:rsidR="006616AA">
        <w:rPr>
          <w:bCs/>
          <w:color w:val="000000" w:themeColor="text1"/>
        </w:rPr>
        <w:t>W</w:t>
      </w:r>
      <w:r w:rsidRPr="00CA3E8C">
        <w:rPr>
          <w:bCs/>
          <w:color w:val="000000" w:themeColor="text1"/>
        </w:rPr>
        <w:t xml:space="preserve">e have </w:t>
      </w:r>
      <w:r w:rsidRPr="00CA3E8C" w:rsidR="006616AA">
        <w:rPr>
          <w:bCs/>
          <w:color w:val="000000" w:themeColor="text1"/>
        </w:rPr>
        <w:t xml:space="preserve">also </w:t>
      </w:r>
      <w:r w:rsidRPr="00CA3E8C">
        <w:rPr>
          <w:bCs/>
          <w:color w:val="000000" w:themeColor="text1"/>
        </w:rPr>
        <w:t xml:space="preserve">re-evaluated the burden costs by choosing a more accurate wage description of the local community official. </w:t>
      </w:r>
      <w:r w:rsidR="00085321">
        <w:rPr>
          <w:bCs/>
          <w:color w:val="000000" w:themeColor="text1"/>
        </w:rPr>
        <w:t xml:space="preserve"> </w:t>
      </w:r>
      <w:r w:rsidRPr="00CA3E8C">
        <w:rPr>
          <w:bCs/>
          <w:color w:val="000000" w:themeColor="text1"/>
        </w:rPr>
        <w:t xml:space="preserve">There have been no changes in the information being collected.  </w:t>
      </w:r>
    </w:p>
    <w:p w:rsidR="003F399F" w:rsidRPr="00CA3E8C" w:rsidP="007B48AE" w14:paraId="71115C80" w14:textId="77777777">
      <w:pPr>
        <w:spacing w:line="276" w:lineRule="auto"/>
        <w:contextualSpacing/>
        <w:rPr>
          <w:bCs/>
          <w:color w:val="000000" w:themeColor="text1"/>
        </w:rPr>
      </w:pPr>
    </w:p>
    <w:p w:rsidR="00842E74" w:rsidRPr="00CA3E8C" w:rsidP="007B48AE" w14:paraId="05870E05" w14:textId="77777777">
      <w:pPr>
        <w:spacing w:line="276" w:lineRule="auto"/>
        <w:contextualSpacing/>
        <w:rPr>
          <w:b/>
          <w:bCs/>
          <w:color w:val="000000" w:themeColor="text1"/>
        </w:rPr>
      </w:pPr>
      <w:r w:rsidRPr="00CA3E8C">
        <w:rPr>
          <w:b/>
          <w:bCs/>
          <w:color w:val="000000" w:themeColor="text1"/>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Pr="00CA3E8C" w:rsidP="007B48AE" w14:paraId="29317BE2" w14:textId="77777777">
      <w:pPr>
        <w:spacing w:line="276" w:lineRule="auto"/>
        <w:contextualSpacing/>
        <w:rPr>
          <w:color w:val="000000" w:themeColor="text1"/>
        </w:rPr>
      </w:pPr>
      <w:r w:rsidRPr="00CA3E8C">
        <w:rPr>
          <w:color w:val="000000" w:themeColor="text1"/>
        </w:rPr>
        <w:fldChar w:fldCharType="begin"/>
      </w:r>
      <w:r w:rsidRPr="00CA3E8C" w:rsidR="00842E74">
        <w:rPr>
          <w:color w:val="000000" w:themeColor="text1"/>
        </w:rPr>
        <w:instrText>ADVANCE \R 0.95</w:instrText>
      </w:r>
      <w:r w:rsidRPr="00CA3E8C">
        <w:rPr>
          <w:color w:val="000000" w:themeColor="text1"/>
        </w:rPr>
        <w:fldChar w:fldCharType="end"/>
      </w:r>
    </w:p>
    <w:p w:rsidR="00842E74" w:rsidRPr="00CA3E8C" w:rsidP="007B48AE" w14:paraId="6A6A4B11" w14:textId="77777777">
      <w:pPr>
        <w:spacing w:line="276" w:lineRule="auto"/>
        <w:contextualSpacing/>
        <w:rPr>
          <w:color w:val="000000" w:themeColor="text1"/>
        </w:rPr>
      </w:pPr>
      <w:r w:rsidRPr="00CA3E8C">
        <w:rPr>
          <w:color w:val="000000" w:themeColor="text1"/>
        </w:rPr>
        <w:t>FEMA does not intend to</w:t>
      </w:r>
      <w:r w:rsidRPr="00CA3E8C" w:rsidR="00F91E3D">
        <w:rPr>
          <w:color w:val="000000" w:themeColor="text1"/>
        </w:rPr>
        <w:t xml:space="preserve"> publish the information collection in any format</w:t>
      </w:r>
      <w:r w:rsidRPr="00CA3E8C" w:rsidR="00DB5B61">
        <w:rPr>
          <w:color w:val="000000" w:themeColor="text1"/>
        </w:rPr>
        <w:t>.</w:t>
      </w:r>
    </w:p>
    <w:p w:rsidR="00DB5B61" w:rsidRPr="00CA3E8C" w:rsidP="007B48AE" w14:paraId="0ACEAD56" w14:textId="77777777">
      <w:pPr>
        <w:spacing w:line="276" w:lineRule="auto"/>
        <w:contextualSpacing/>
        <w:rPr>
          <w:color w:val="000000" w:themeColor="text1"/>
        </w:rPr>
      </w:pPr>
    </w:p>
    <w:p w:rsidR="00842E74" w:rsidRPr="00CA3E8C" w:rsidP="007B48AE" w14:paraId="35DC6DC5" w14:textId="77777777">
      <w:pPr>
        <w:spacing w:line="276" w:lineRule="auto"/>
        <w:contextualSpacing/>
        <w:rPr>
          <w:b/>
          <w:bCs/>
          <w:color w:val="000000" w:themeColor="text1"/>
        </w:rPr>
      </w:pPr>
      <w:r w:rsidRPr="00CA3E8C">
        <w:rPr>
          <w:b/>
          <w:bCs/>
          <w:color w:val="000000" w:themeColor="text1"/>
        </w:rPr>
        <w:fldChar w:fldCharType="begin"/>
      </w:r>
      <w:r w:rsidRPr="00CA3E8C">
        <w:rPr>
          <w:b/>
          <w:bCs/>
          <w:color w:val="000000" w:themeColor="text1"/>
        </w:rPr>
        <w:instrText>ADVANCE \R 0.95</w:instrText>
      </w:r>
      <w:r w:rsidRPr="00CA3E8C">
        <w:rPr>
          <w:b/>
          <w:bCs/>
          <w:color w:val="000000" w:themeColor="text1"/>
        </w:rPr>
        <w:fldChar w:fldCharType="end"/>
      </w:r>
      <w:r w:rsidRPr="00CA3E8C">
        <w:rPr>
          <w:b/>
          <w:bCs/>
          <w:color w:val="000000" w:themeColor="text1"/>
        </w:rPr>
        <w:t xml:space="preserve">17.  If seeking approval not </w:t>
      </w:r>
      <w:r w:rsidRPr="00CA3E8C" w:rsidR="00B956BE">
        <w:rPr>
          <w:b/>
          <w:bCs/>
          <w:color w:val="000000" w:themeColor="text1"/>
        </w:rPr>
        <w:t xml:space="preserve">to </w:t>
      </w:r>
      <w:r w:rsidRPr="00CA3E8C">
        <w:rPr>
          <w:b/>
          <w:bCs/>
          <w:color w:val="000000" w:themeColor="text1"/>
        </w:rPr>
        <w:t>display the expiration date for OMB approval of the information collection, explain reasons that display would be inappropriate.</w:t>
      </w:r>
    </w:p>
    <w:p w:rsidR="00842E74" w:rsidRPr="00CA3E8C" w:rsidP="007B48AE" w14:paraId="646BFAE0" w14:textId="77777777">
      <w:pPr>
        <w:spacing w:line="276" w:lineRule="auto"/>
        <w:contextualSpacing/>
        <w:rPr>
          <w:b/>
          <w:bCs/>
          <w:color w:val="000000" w:themeColor="text1"/>
        </w:rPr>
      </w:pPr>
    </w:p>
    <w:p w:rsidR="00842E74" w:rsidRPr="00CA3E8C" w:rsidP="007B48AE" w14:paraId="1D845B30" w14:textId="77777777">
      <w:pPr>
        <w:spacing w:line="276" w:lineRule="auto"/>
        <w:contextualSpacing/>
        <w:rPr>
          <w:color w:val="000000" w:themeColor="text1"/>
        </w:rPr>
      </w:pPr>
      <w:r w:rsidRPr="00CA3E8C">
        <w:rPr>
          <w:color w:val="000000" w:themeColor="text1"/>
        </w:rPr>
        <w:t>FEMA will display the expiration date for OMB approval of this information collection.</w:t>
      </w:r>
    </w:p>
    <w:p w:rsidR="008F101C" w:rsidRPr="00CA3E8C" w:rsidP="007B48AE" w14:paraId="79AB04EB" w14:textId="77777777">
      <w:pPr>
        <w:spacing w:line="276" w:lineRule="auto"/>
        <w:contextualSpacing/>
        <w:rPr>
          <w:b/>
          <w:bCs/>
          <w:color w:val="000000" w:themeColor="text1"/>
        </w:rPr>
      </w:pPr>
      <w:r w:rsidRPr="00CA3E8C">
        <w:rPr>
          <w:b/>
          <w:bCs/>
          <w:color w:val="000000" w:themeColor="text1"/>
        </w:rPr>
        <w:fldChar w:fldCharType="begin"/>
      </w:r>
      <w:r w:rsidRPr="00CA3E8C" w:rsidR="00842E74">
        <w:rPr>
          <w:b/>
          <w:bCs/>
          <w:color w:val="000000" w:themeColor="text1"/>
        </w:rPr>
        <w:instrText>ADVANCE \R 0.95</w:instrText>
      </w:r>
      <w:r w:rsidRPr="00CA3E8C">
        <w:rPr>
          <w:b/>
          <w:bCs/>
          <w:color w:val="000000" w:themeColor="text1"/>
        </w:rPr>
        <w:fldChar w:fldCharType="end"/>
      </w:r>
    </w:p>
    <w:p w:rsidR="00842E74" w:rsidRPr="00CA3E8C" w:rsidP="007B48AE" w14:paraId="339ECD12" w14:textId="77777777">
      <w:pPr>
        <w:spacing w:line="276" w:lineRule="auto"/>
        <w:contextualSpacing/>
        <w:rPr>
          <w:b/>
          <w:bCs/>
          <w:color w:val="000000" w:themeColor="text1"/>
        </w:rPr>
      </w:pPr>
      <w:r w:rsidRPr="00CA3E8C">
        <w:rPr>
          <w:b/>
          <w:bCs/>
          <w:color w:val="000000" w:themeColor="text1"/>
        </w:rPr>
        <w:t>18.  Explain each exception to the certification statement identified in Item 19 “Certification for Paperwork Reduction Act Submissions,” of OMB Form 83-I.</w:t>
      </w:r>
    </w:p>
    <w:p w:rsidR="008768B8" w:rsidRPr="00CA3E8C" w:rsidP="007B48AE" w14:paraId="6E2DF963" w14:textId="77777777">
      <w:pPr>
        <w:spacing w:line="276" w:lineRule="auto"/>
        <w:contextualSpacing/>
        <w:rPr>
          <w:color w:val="000000" w:themeColor="text1"/>
        </w:rPr>
      </w:pPr>
    </w:p>
    <w:p w:rsidR="00372ED0" w:rsidRPr="00CA3E8C" w:rsidP="007B48AE" w14:paraId="74C54099" w14:textId="77777777">
      <w:pPr>
        <w:spacing w:line="276" w:lineRule="auto"/>
        <w:contextualSpacing/>
        <w:rPr>
          <w:color w:val="000000" w:themeColor="text1"/>
        </w:rPr>
      </w:pPr>
      <w:r w:rsidRPr="00CA3E8C">
        <w:rPr>
          <w:color w:val="000000" w:themeColor="text1"/>
        </w:rPr>
        <w:t>FEMA does not request an exception to the certification of this information collection</w:t>
      </w:r>
      <w:r w:rsidRPr="00CA3E8C" w:rsidR="008768B8">
        <w:rPr>
          <w:color w:val="000000" w:themeColor="text1"/>
        </w:rPr>
        <w:t>.</w:t>
      </w:r>
    </w:p>
    <w:p w:rsidR="008768B8" w:rsidRPr="00CA3E8C" w:rsidP="007B48AE" w14:paraId="4E4C34AD" w14:textId="77777777">
      <w:pPr>
        <w:spacing w:line="276" w:lineRule="auto"/>
        <w:contextualSpacing/>
        <w:rPr>
          <w:b/>
          <w:color w:val="000000" w:themeColor="text1"/>
        </w:rPr>
      </w:pPr>
    </w:p>
    <w:p w:rsidR="00842E74" w:rsidRPr="00CA3E8C" w:rsidP="007B48AE" w14:paraId="5C8DBDDE" w14:textId="77777777">
      <w:pPr>
        <w:tabs>
          <w:tab w:val="left" w:pos="-720"/>
        </w:tabs>
        <w:suppressAutoHyphens/>
        <w:spacing w:line="276" w:lineRule="auto"/>
        <w:contextualSpacing/>
        <w:rPr>
          <w:b/>
          <w:color w:val="000000" w:themeColor="text1"/>
        </w:rPr>
      </w:pPr>
      <w:r w:rsidRPr="00CA3E8C">
        <w:rPr>
          <w:b/>
          <w:color w:val="000000" w:themeColor="text1"/>
        </w:rPr>
        <w:t>B.  Collections of Information Employing Statistical Methods.</w:t>
      </w:r>
    </w:p>
    <w:p w:rsidR="00842E74" w:rsidRPr="00CA3E8C" w:rsidP="007B48AE" w14:paraId="44B9D281" w14:textId="77777777">
      <w:pPr>
        <w:tabs>
          <w:tab w:val="left" w:pos="-720"/>
        </w:tabs>
        <w:suppressAutoHyphens/>
        <w:spacing w:line="276" w:lineRule="auto"/>
        <w:contextualSpacing/>
        <w:rPr>
          <w:color w:val="000000" w:themeColor="text1"/>
        </w:rPr>
      </w:pPr>
      <w:r w:rsidRPr="00CA3E8C">
        <w:rPr>
          <w:color w:val="000000" w:themeColor="text1"/>
        </w:rPr>
        <w:fldChar w:fldCharType="begin"/>
      </w:r>
      <w:r w:rsidRPr="00CA3E8C">
        <w:rPr>
          <w:color w:val="000000" w:themeColor="text1"/>
        </w:rPr>
        <w:instrText>ADVANCE \R 0.95</w:instrText>
      </w:r>
      <w:r w:rsidRPr="00CA3E8C">
        <w:rPr>
          <w:color w:val="000000" w:themeColor="text1"/>
        </w:rPr>
        <w:fldChar w:fldCharType="end"/>
      </w:r>
      <w:r w:rsidRPr="00CA3E8C">
        <w:rPr>
          <w:color w:val="000000" w:themeColor="text1"/>
        </w:rPr>
        <w:fldChar w:fldCharType="begin"/>
      </w:r>
      <w:r w:rsidRPr="00CA3E8C">
        <w:rPr>
          <w:color w:val="000000" w:themeColor="text1"/>
        </w:rPr>
        <w:instrText>ADVANCE \R 0.95</w:instrText>
      </w:r>
      <w:r w:rsidRPr="00CA3E8C">
        <w:rPr>
          <w:color w:val="000000" w:themeColor="text1"/>
        </w:rPr>
        <w:fldChar w:fldCharType="end"/>
      </w:r>
      <w:r w:rsidRPr="00CA3E8C">
        <w:rPr>
          <w:color w:val="000000" w:themeColor="text1"/>
        </w:rPr>
        <w:tab/>
      </w:r>
    </w:p>
    <w:p w:rsidR="009F144F" w:rsidRPr="00CA3E8C" w:rsidP="007B48AE" w14:paraId="27CD6513" w14:textId="77777777">
      <w:pPr>
        <w:tabs>
          <w:tab w:val="left" w:pos="-720"/>
        </w:tabs>
        <w:suppressAutoHyphens/>
        <w:spacing w:line="276" w:lineRule="auto"/>
        <w:contextualSpacing/>
        <w:rPr>
          <w:color w:val="000000" w:themeColor="text1"/>
        </w:rPr>
      </w:pPr>
      <w:r w:rsidRPr="00CA3E8C">
        <w:rPr>
          <w:color w:val="000000" w:themeColor="text1"/>
        </w:rPr>
        <w:t>There is no statistical methodology involved in this collection.</w:t>
      </w:r>
    </w:p>
    <w:p w:rsidR="008D08F6" w:rsidRPr="00CA3E8C" w:rsidP="007B48AE" w14:paraId="7E80D6D8" w14:textId="77777777">
      <w:pPr>
        <w:tabs>
          <w:tab w:val="left" w:pos="-720"/>
        </w:tabs>
        <w:suppressAutoHyphens/>
        <w:spacing w:line="276" w:lineRule="auto"/>
        <w:contextualSpacing/>
        <w:rPr>
          <w:b/>
          <w:color w:val="000000" w:themeColor="text1"/>
        </w:rPr>
      </w:pPr>
    </w:p>
    <w:sectPr w:rsidSect="0013483D">
      <w:footerReference w:type="even" r:id="rId13"/>
      <w:footerReference w:type="defaul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444C" w:rsidP="005C41F4" w14:paraId="2AE1FB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44C" w14:paraId="3A83BED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444C" w:rsidP="005C41F4" w14:paraId="36BD5F6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0A9A">
      <w:rPr>
        <w:rStyle w:val="PageNumber"/>
        <w:noProof/>
      </w:rPr>
      <w:t>10</w:t>
    </w:r>
    <w:r>
      <w:rPr>
        <w:rStyle w:val="PageNumber"/>
      </w:rPr>
      <w:fldChar w:fldCharType="end"/>
    </w:r>
  </w:p>
  <w:p w:rsidR="00D1444C" w14:paraId="1A01720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15911" w14:paraId="2E49D09F" w14:textId="77777777">
      <w:r>
        <w:separator/>
      </w:r>
    </w:p>
  </w:footnote>
  <w:footnote w:type="continuationSeparator" w:id="1">
    <w:p w:rsidR="00715911" w14:paraId="6E27DFF2" w14:textId="77777777">
      <w:r>
        <w:continuationSeparator/>
      </w:r>
    </w:p>
  </w:footnote>
  <w:footnote w:type="continuationNotice" w:id="2">
    <w:p w:rsidR="00715911" w14:paraId="1673C484" w14:textId="77777777"/>
  </w:footnote>
  <w:footnote w:id="3">
    <w:p w:rsidR="00122EC9" w:rsidRPr="007B48AE" w:rsidP="00122EC9" w14:paraId="54712B26" w14:textId="77777777">
      <w:pPr>
        <w:pStyle w:val="FootnoteText"/>
        <w:rPr>
          <w:sz w:val="16"/>
          <w:szCs w:val="16"/>
        </w:rPr>
      </w:pPr>
      <w:r w:rsidRPr="007B48AE">
        <w:rPr>
          <w:rStyle w:val="FootnoteReference"/>
          <w:sz w:val="16"/>
          <w:szCs w:val="16"/>
        </w:rPr>
        <w:footnoteRef/>
      </w:r>
      <w:r w:rsidRPr="007B48AE">
        <w:rPr>
          <w:sz w:val="16"/>
          <w:szCs w:val="16"/>
        </w:rPr>
        <w:t xml:space="preserve"> State and local government wage multiplier: Bureau of Labor Statistics, Employer Costs for Employee Compensation, Table 1.  Available at </w:t>
      </w:r>
      <w:hyperlink r:id="rId1" w:history="1">
        <w:r w:rsidRPr="007B48AE">
          <w:rPr>
            <w:rStyle w:val="Hyperlink"/>
            <w:sz w:val="16"/>
            <w:szCs w:val="16"/>
          </w:rPr>
          <w:t>https://www.bls.gov/news.release/archives/ecec_03182022.pdf</w:t>
        </w:r>
      </w:hyperlink>
      <w:r w:rsidRPr="007B48AE">
        <w:rPr>
          <w:sz w:val="16"/>
          <w:szCs w:val="16"/>
        </w:rPr>
        <w:t>.  Accessed March 29, 2022.  The wage multiplier is calculated by dividing total compensation for State and local government workers of $54.96 by Wages and salaries for State and local government workers of $34.09 per hour yielding a benefits multiplier of approximately 1.61</w:t>
      </w:r>
    </w:p>
  </w:footnote>
  <w:footnote w:id="4">
    <w:p w:rsidR="00122EC9" w:rsidRPr="002F0868" w:rsidP="00122EC9" w14:paraId="14914313" w14:textId="6F330556">
      <w:pPr>
        <w:pStyle w:val="FootnoteText"/>
      </w:pPr>
      <w:r w:rsidRPr="007B48AE">
        <w:rPr>
          <w:rStyle w:val="FootnoteReference"/>
          <w:sz w:val="16"/>
          <w:szCs w:val="16"/>
        </w:rPr>
        <w:footnoteRef/>
      </w:r>
      <w:r w:rsidRPr="007B48AE">
        <w:rPr>
          <w:sz w:val="16"/>
          <w:szCs w:val="16"/>
        </w:rPr>
        <w:t xml:space="preserve"> Information on the mean wage rate from the U.S. Department of Labor, Bureau of Labor Statistics is available online at: </w:t>
      </w:r>
      <w:hyperlink r:id="rId2" w:history="1">
        <w:r w:rsidRPr="007B48AE">
          <w:rPr>
            <w:rStyle w:val="Hyperlink"/>
            <w:sz w:val="16"/>
            <w:szCs w:val="16"/>
          </w:rPr>
          <w:t>https://www.bls.gov/oes/2021/may/oes_nat.htm</w:t>
        </w:r>
      </w:hyperlink>
      <w:r w:rsidRPr="007B48AE">
        <w:rPr>
          <w:rStyle w:val="Hyperlink"/>
          <w:sz w:val="16"/>
          <w:szCs w:val="16"/>
        </w:rPr>
        <w:t>. SOC 21-0000 Community and Social Service Occupations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C28DC"/>
    <w:multiLevelType w:val="hybridMultilevel"/>
    <w:tmpl w:val="3B80F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8340B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3">
    <w:nsid w:val="155D4B31"/>
    <w:multiLevelType w:val="multilevel"/>
    <w:tmpl w:val="C8D4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3B6D50"/>
    <w:multiLevelType w:val="multilevel"/>
    <w:tmpl w:val="A4DAA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4F550D"/>
    <w:multiLevelType w:val="hybridMultilevel"/>
    <w:tmpl w:val="2C8C6C1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BD549C6"/>
    <w:multiLevelType w:val="multilevel"/>
    <w:tmpl w:val="D114AB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0"/>
      <w:numFmt w:val="none"/>
      <w:lvlJc w:val="left"/>
      <w:pPr>
        <w:tabs>
          <w:tab w:val="num" w:pos="360"/>
        </w:tabs>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Text w:val="擈Ǻ"/>
      <w:lvlJc w:val="left"/>
    </w:lvl>
    <w:lvl w:ilvl="8">
      <w:start w:val="0"/>
      <w:numFmt w:val="decimal"/>
      <w:lvlJc w:val="left"/>
    </w:lvl>
  </w:abstractNum>
  <w:abstractNum w:abstractNumId="14">
    <w:nsid w:val="30F60838"/>
    <w:multiLevelType w:val="hybridMultilevel"/>
    <w:tmpl w:val="C4300392"/>
    <w:lvl w:ilvl="0">
      <w:start w:val="13"/>
      <w:numFmt w:val="decimal"/>
      <w:lvlText w:val="%1."/>
      <w:lvlJc w:val="left"/>
      <w:pPr>
        <w:ind w:left="720" w:hanging="360"/>
      </w:pPr>
      <w:rPr>
        <w:rFonts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CC4EEF"/>
    <w:multiLevelType w:val="singleLevel"/>
    <w:tmpl w:val="0696E2FC"/>
    <w:lvl w:ilvl="0">
      <w:start w:val="0"/>
      <w:numFmt w:val="decimal"/>
      <w:lvlJc w:val="left"/>
    </w:lvl>
  </w:abstractNum>
  <w:abstractNum w:abstractNumId="16">
    <w:nsid w:val="3E9E640F"/>
    <w:multiLevelType w:val="hybridMultilevel"/>
    <w:tmpl w:val="C5002C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EE04FE"/>
    <w:multiLevelType w:val="singleLevel"/>
    <w:tmpl w:val="0696E2FC"/>
    <w:lvl w:ilvl="0">
      <w:start w:val="0"/>
      <w:numFmt w:val="decimal"/>
      <w:lvlJc w:val="left"/>
    </w:lvl>
  </w:abstractNum>
  <w:abstractNum w:abstractNumId="18">
    <w:nsid w:val="56F71A6F"/>
    <w:multiLevelType w:val="singleLevel"/>
    <w:tmpl w:val="A4C6B1C0"/>
    <w:lvl w:ilvl="0">
      <w:start w:val="0"/>
      <w:numFmt w:val="decimal"/>
      <w:lvlJc w:val="left"/>
    </w:lvl>
  </w:abstractNum>
  <w:abstractNum w:abstractNumId="19">
    <w:nsid w:val="5A3D2CEB"/>
    <w:multiLevelType w:val="multilevel"/>
    <w:tmpl w:val="E3F601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5B423E"/>
    <w:multiLevelType w:val="hybridMultilevel"/>
    <w:tmpl w:val="3DAAEE7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8874F81"/>
    <w:multiLevelType w:val="hybridMultilevel"/>
    <w:tmpl w:val="ABEE689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72684121"/>
    <w:multiLevelType w:val="hybridMultilevel"/>
    <w:tmpl w:val="92B83FE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2BE2654"/>
    <w:multiLevelType w:val="hybridMultilevel"/>
    <w:tmpl w:val="B8E23D0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3BC4946"/>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77458B"/>
    <w:multiLevelType w:val="singleLevel"/>
    <w:tmpl w:val="0696E2FC"/>
    <w:lvl w:ilvl="0">
      <w:start w:val="0"/>
      <w:numFmt w:val="decimal"/>
      <w:lvlJc w:val="left"/>
    </w:lvl>
  </w:abstractNum>
  <w:num w:numId="1">
    <w:abstractNumId w:val="18"/>
  </w:num>
  <w:num w:numId="2">
    <w:abstractNumId w:val="15"/>
  </w:num>
  <w:num w:numId="3">
    <w:abstractNumId w:val="9"/>
  </w:num>
  <w:num w:numId="4">
    <w:abstractNumId w:val="25"/>
  </w:num>
  <w:num w:numId="5">
    <w:abstractNumId w:val="6"/>
  </w:num>
  <w:num w:numId="6">
    <w:abstractNumId w:val="17"/>
  </w:num>
  <w:num w:numId="7">
    <w:abstractNumId w:val="11"/>
  </w:num>
  <w:num w:numId="8">
    <w:abstractNumId w:val="20"/>
  </w:num>
  <w:num w:numId="9">
    <w:abstractNumId w:val="2"/>
  </w:num>
  <w:num w:numId="10">
    <w:abstractNumId w:val="23"/>
  </w:num>
  <w:num w:numId="11">
    <w:abstractNumId w:val="21"/>
  </w:num>
  <w:num w:numId="12">
    <w:abstractNumId w:val="10"/>
  </w:num>
  <w:num w:numId="13">
    <w:abstractNumId w:val="7"/>
  </w:num>
  <w:num w:numId="14">
    <w:abstractNumId w:val="13"/>
  </w:num>
  <w:num w:numId="15">
    <w:abstractNumId w:val="22"/>
  </w:num>
  <w:num w:numId="16">
    <w:abstractNumId w:val="16"/>
  </w:num>
  <w:num w:numId="17">
    <w:abstractNumId w:val="3"/>
  </w:num>
  <w:num w:numId="18">
    <w:abstractNumId w:val="4"/>
  </w:num>
  <w:num w:numId="19">
    <w:abstractNumId w:val="19"/>
  </w:num>
  <w:num w:numId="20">
    <w:abstractNumId w:val="12"/>
  </w:num>
  <w:num w:numId="21">
    <w:abstractNumId w:val="1"/>
  </w:num>
  <w:num w:numId="22">
    <w:abstractNumId w:val="5"/>
  </w:num>
  <w:num w:numId="23">
    <w:abstractNumId w:val="8"/>
  </w:num>
  <w:num w:numId="24">
    <w:abstractNumId w:val="0"/>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F2"/>
    <w:rsid w:val="00000E40"/>
    <w:rsid w:val="0000174D"/>
    <w:rsid w:val="00005A49"/>
    <w:rsid w:val="00011E73"/>
    <w:rsid w:val="00020610"/>
    <w:rsid w:val="0002071B"/>
    <w:rsid w:val="00020CC1"/>
    <w:rsid w:val="00023350"/>
    <w:rsid w:val="00024BD8"/>
    <w:rsid w:val="000266F1"/>
    <w:rsid w:val="00030F34"/>
    <w:rsid w:val="000320D1"/>
    <w:rsid w:val="00037097"/>
    <w:rsid w:val="000375D9"/>
    <w:rsid w:val="0003776E"/>
    <w:rsid w:val="00040A45"/>
    <w:rsid w:val="000412C5"/>
    <w:rsid w:val="0004407A"/>
    <w:rsid w:val="00044629"/>
    <w:rsid w:val="000544B2"/>
    <w:rsid w:val="00062781"/>
    <w:rsid w:val="0006454D"/>
    <w:rsid w:val="000651D4"/>
    <w:rsid w:val="0007118F"/>
    <w:rsid w:val="0007390E"/>
    <w:rsid w:val="00073D0F"/>
    <w:rsid w:val="00075CEA"/>
    <w:rsid w:val="00080794"/>
    <w:rsid w:val="00080ABE"/>
    <w:rsid w:val="00083DBA"/>
    <w:rsid w:val="00084E73"/>
    <w:rsid w:val="00085321"/>
    <w:rsid w:val="0009032C"/>
    <w:rsid w:val="000920CE"/>
    <w:rsid w:val="00093DD3"/>
    <w:rsid w:val="0009612D"/>
    <w:rsid w:val="00096785"/>
    <w:rsid w:val="000A17F2"/>
    <w:rsid w:val="000A1FA8"/>
    <w:rsid w:val="000A45FD"/>
    <w:rsid w:val="000A6018"/>
    <w:rsid w:val="000B0C3D"/>
    <w:rsid w:val="000B2EB7"/>
    <w:rsid w:val="000B6081"/>
    <w:rsid w:val="000C0443"/>
    <w:rsid w:val="000C10FA"/>
    <w:rsid w:val="000C473C"/>
    <w:rsid w:val="000C783A"/>
    <w:rsid w:val="000C7E9D"/>
    <w:rsid w:val="000E0572"/>
    <w:rsid w:val="000E26B2"/>
    <w:rsid w:val="000E391D"/>
    <w:rsid w:val="000F0763"/>
    <w:rsid w:val="000F0E33"/>
    <w:rsid w:val="000F1EBE"/>
    <w:rsid w:val="000F2A33"/>
    <w:rsid w:val="000F4423"/>
    <w:rsid w:val="000F55B2"/>
    <w:rsid w:val="000F7285"/>
    <w:rsid w:val="00101568"/>
    <w:rsid w:val="00101585"/>
    <w:rsid w:val="00103274"/>
    <w:rsid w:val="0010328F"/>
    <w:rsid w:val="00105D49"/>
    <w:rsid w:val="00106F37"/>
    <w:rsid w:val="001073B1"/>
    <w:rsid w:val="00113C60"/>
    <w:rsid w:val="00116BB8"/>
    <w:rsid w:val="00121260"/>
    <w:rsid w:val="00122EC9"/>
    <w:rsid w:val="001230DD"/>
    <w:rsid w:val="0012366D"/>
    <w:rsid w:val="00127F21"/>
    <w:rsid w:val="0013483D"/>
    <w:rsid w:val="00134D64"/>
    <w:rsid w:val="0014306D"/>
    <w:rsid w:val="00144502"/>
    <w:rsid w:val="00144CA8"/>
    <w:rsid w:val="00146134"/>
    <w:rsid w:val="00150146"/>
    <w:rsid w:val="0015054F"/>
    <w:rsid w:val="001519BC"/>
    <w:rsid w:val="00152605"/>
    <w:rsid w:val="00152FFE"/>
    <w:rsid w:val="001536E3"/>
    <w:rsid w:val="00155AE9"/>
    <w:rsid w:val="00156752"/>
    <w:rsid w:val="001606B2"/>
    <w:rsid w:val="001607CC"/>
    <w:rsid w:val="001632C5"/>
    <w:rsid w:val="00164DB6"/>
    <w:rsid w:val="0016607C"/>
    <w:rsid w:val="00166368"/>
    <w:rsid w:val="00166713"/>
    <w:rsid w:val="0016753F"/>
    <w:rsid w:val="001703C5"/>
    <w:rsid w:val="00171021"/>
    <w:rsid w:val="00172476"/>
    <w:rsid w:val="00175A07"/>
    <w:rsid w:val="00176C6C"/>
    <w:rsid w:val="00180092"/>
    <w:rsid w:val="0018177D"/>
    <w:rsid w:val="001820ED"/>
    <w:rsid w:val="00183D39"/>
    <w:rsid w:val="00190AF9"/>
    <w:rsid w:val="00193AD7"/>
    <w:rsid w:val="0019730C"/>
    <w:rsid w:val="001A084C"/>
    <w:rsid w:val="001A2DBE"/>
    <w:rsid w:val="001A47E0"/>
    <w:rsid w:val="001A571D"/>
    <w:rsid w:val="001A69A7"/>
    <w:rsid w:val="001A793A"/>
    <w:rsid w:val="001B1DA5"/>
    <w:rsid w:val="001B3FB1"/>
    <w:rsid w:val="001B6A9F"/>
    <w:rsid w:val="001C147A"/>
    <w:rsid w:val="001C2815"/>
    <w:rsid w:val="001C3841"/>
    <w:rsid w:val="001D56BB"/>
    <w:rsid w:val="001D6A77"/>
    <w:rsid w:val="001E3F00"/>
    <w:rsid w:val="001E5DA3"/>
    <w:rsid w:val="001F0167"/>
    <w:rsid w:val="001F6C84"/>
    <w:rsid w:val="001F6F09"/>
    <w:rsid w:val="002009ED"/>
    <w:rsid w:val="002017AA"/>
    <w:rsid w:val="002026B2"/>
    <w:rsid w:val="00203170"/>
    <w:rsid w:val="00203276"/>
    <w:rsid w:val="00203AA5"/>
    <w:rsid w:val="00211D3A"/>
    <w:rsid w:val="0022270D"/>
    <w:rsid w:val="00232C69"/>
    <w:rsid w:val="002334CE"/>
    <w:rsid w:val="00233D68"/>
    <w:rsid w:val="00235349"/>
    <w:rsid w:val="002403C0"/>
    <w:rsid w:val="002428E6"/>
    <w:rsid w:val="00245FB5"/>
    <w:rsid w:val="00247D91"/>
    <w:rsid w:val="00251C9E"/>
    <w:rsid w:val="00253BC5"/>
    <w:rsid w:val="00257EA0"/>
    <w:rsid w:val="002637E5"/>
    <w:rsid w:val="0026549A"/>
    <w:rsid w:val="0026699A"/>
    <w:rsid w:val="00266ECA"/>
    <w:rsid w:val="0027662B"/>
    <w:rsid w:val="0028086D"/>
    <w:rsid w:val="002828C1"/>
    <w:rsid w:val="00284795"/>
    <w:rsid w:val="00284A8F"/>
    <w:rsid w:val="00284E54"/>
    <w:rsid w:val="00285C19"/>
    <w:rsid w:val="00290000"/>
    <w:rsid w:val="00290570"/>
    <w:rsid w:val="002922FD"/>
    <w:rsid w:val="00295EC6"/>
    <w:rsid w:val="002969E4"/>
    <w:rsid w:val="002A4B95"/>
    <w:rsid w:val="002A6107"/>
    <w:rsid w:val="002B150D"/>
    <w:rsid w:val="002B186C"/>
    <w:rsid w:val="002B43BA"/>
    <w:rsid w:val="002B5778"/>
    <w:rsid w:val="002C1B5D"/>
    <w:rsid w:val="002C1D63"/>
    <w:rsid w:val="002C2E67"/>
    <w:rsid w:val="002C4012"/>
    <w:rsid w:val="002D0175"/>
    <w:rsid w:val="002D02B7"/>
    <w:rsid w:val="002D58B3"/>
    <w:rsid w:val="002D5B3F"/>
    <w:rsid w:val="002D7423"/>
    <w:rsid w:val="002E02A4"/>
    <w:rsid w:val="002E2A08"/>
    <w:rsid w:val="002E48AC"/>
    <w:rsid w:val="002E5D97"/>
    <w:rsid w:val="002E66E9"/>
    <w:rsid w:val="002E7FEF"/>
    <w:rsid w:val="002F0868"/>
    <w:rsid w:val="002F7FAC"/>
    <w:rsid w:val="00301ED2"/>
    <w:rsid w:val="00302224"/>
    <w:rsid w:val="0030374B"/>
    <w:rsid w:val="00303E9D"/>
    <w:rsid w:val="003049A1"/>
    <w:rsid w:val="00305418"/>
    <w:rsid w:val="00305630"/>
    <w:rsid w:val="003076D8"/>
    <w:rsid w:val="00315756"/>
    <w:rsid w:val="00316273"/>
    <w:rsid w:val="00317B32"/>
    <w:rsid w:val="00326497"/>
    <w:rsid w:val="00327145"/>
    <w:rsid w:val="003272FA"/>
    <w:rsid w:val="00327DDB"/>
    <w:rsid w:val="00333E0A"/>
    <w:rsid w:val="0033515D"/>
    <w:rsid w:val="003354C0"/>
    <w:rsid w:val="0033662B"/>
    <w:rsid w:val="00337435"/>
    <w:rsid w:val="0034006B"/>
    <w:rsid w:val="003410EC"/>
    <w:rsid w:val="00345555"/>
    <w:rsid w:val="00346D06"/>
    <w:rsid w:val="00347D7F"/>
    <w:rsid w:val="00353730"/>
    <w:rsid w:val="0035383D"/>
    <w:rsid w:val="003563A3"/>
    <w:rsid w:val="00356595"/>
    <w:rsid w:val="00356A54"/>
    <w:rsid w:val="00357FE9"/>
    <w:rsid w:val="00360543"/>
    <w:rsid w:val="003610F7"/>
    <w:rsid w:val="00361118"/>
    <w:rsid w:val="00361EE7"/>
    <w:rsid w:val="00364442"/>
    <w:rsid w:val="003662F6"/>
    <w:rsid w:val="00366B0C"/>
    <w:rsid w:val="00370969"/>
    <w:rsid w:val="00372C0B"/>
    <w:rsid w:val="00372ED0"/>
    <w:rsid w:val="003827FA"/>
    <w:rsid w:val="0038309E"/>
    <w:rsid w:val="003850B4"/>
    <w:rsid w:val="00386F5C"/>
    <w:rsid w:val="00395493"/>
    <w:rsid w:val="0039617E"/>
    <w:rsid w:val="003A005A"/>
    <w:rsid w:val="003A05A6"/>
    <w:rsid w:val="003A091C"/>
    <w:rsid w:val="003A416D"/>
    <w:rsid w:val="003A6739"/>
    <w:rsid w:val="003B70DF"/>
    <w:rsid w:val="003C0927"/>
    <w:rsid w:val="003C5871"/>
    <w:rsid w:val="003C59C1"/>
    <w:rsid w:val="003C6333"/>
    <w:rsid w:val="003C6924"/>
    <w:rsid w:val="003C70DB"/>
    <w:rsid w:val="003D0757"/>
    <w:rsid w:val="003D0F00"/>
    <w:rsid w:val="003D327B"/>
    <w:rsid w:val="003D39FA"/>
    <w:rsid w:val="003D3E8D"/>
    <w:rsid w:val="003D40BC"/>
    <w:rsid w:val="003D41CD"/>
    <w:rsid w:val="003D46BC"/>
    <w:rsid w:val="003D5EF6"/>
    <w:rsid w:val="003D637E"/>
    <w:rsid w:val="003E222C"/>
    <w:rsid w:val="003E314E"/>
    <w:rsid w:val="003E48DE"/>
    <w:rsid w:val="003E5114"/>
    <w:rsid w:val="003E7F40"/>
    <w:rsid w:val="003F1749"/>
    <w:rsid w:val="003F1D22"/>
    <w:rsid w:val="003F24AC"/>
    <w:rsid w:val="003F399F"/>
    <w:rsid w:val="003F4A0E"/>
    <w:rsid w:val="004019FB"/>
    <w:rsid w:val="00403BAF"/>
    <w:rsid w:val="004056FD"/>
    <w:rsid w:val="00405F13"/>
    <w:rsid w:val="00407C2D"/>
    <w:rsid w:val="004129CD"/>
    <w:rsid w:val="00413856"/>
    <w:rsid w:val="00414965"/>
    <w:rsid w:val="00415038"/>
    <w:rsid w:val="00416301"/>
    <w:rsid w:val="00416638"/>
    <w:rsid w:val="004166CE"/>
    <w:rsid w:val="00420E4E"/>
    <w:rsid w:val="00433054"/>
    <w:rsid w:val="00435C07"/>
    <w:rsid w:val="004376BF"/>
    <w:rsid w:val="00452310"/>
    <w:rsid w:val="00454912"/>
    <w:rsid w:val="00454E95"/>
    <w:rsid w:val="004602BF"/>
    <w:rsid w:val="00463B16"/>
    <w:rsid w:val="0046431C"/>
    <w:rsid w:val="00465E3A"/>
    <w:rsid w:val="0046759A"/>
    <w:rsid w:val="004752A0"/>
    <w:rsid w:val="004757E5"/>
    <w:rsid w:val="00482F6E"/>
    <w:rsid w:val="004842F4"/>
    <w:rsid w:val="00486729"/>
    <w:rsid w:val="00490F9E"/>
    <w:rsid w:val="00493537"/>
    <w:rsid w:val="00493840"/>
    <w:rsid w:val="00493C00"/>
    <w:rsid w:val="00493D30"/>
    <w:rsid w:val="00494378"/>
    <w:rsid w:val="0049735C"/>
    <w:rsid w:val="004A0216"/>
    <w:rsid w:val="004A61D0"/>
    <w:rsid w:val="004A7D5A"/>
    <w:rsid w:val="004B3431"/>
    <w:rsid w:val="004B60FC"/>
    <w:rsid w:val="004B69FD"/>
    <w:rsid w:val="004C4948"/>
    <w:rsid w:val="004C5696"/>
    <w:rsid w:val="004D07C9"/>
    <w:rsid w:val="004D1AF2"/>
    <w:rsid w:val="004D41DE"/>
    <w:rsid w:val="004D5975"/>
    <w:rsid w:val="004D74B9"/>
    <w:rsid w:val="004E0963"/>
    <w:rsid w:val="004E1D16"/>
    <w:rsid w:val="004E23A2"/>
    <w:rsid w:val="004E6038"/>
    <w:rsid w:val="004E6947"/>
    <w:rsid w:val="004F1C69"/>
    <w:rsid w:val="004F2D03"/>
    <w:rsid w:val="004F61FA"/>
    <w:rsid w:val="004F6213"/>
    <w:rsid w:val="004F64A3"/>
    <w:rsid w:val="004F7861"/>
    <w:rsid w:val="005025EC"/>
    <w:rsid w:val="005048E8"/>
    <w:rsid w:val="005054B2"/>
    <w:rsid w:val="00506D32"/>
    <w:rsid w:val="00507C23"/>
    <w:rsid w:val="00513A7D"/>
    <w:rsid w:val="00513FD9"/>
    <w:rsid w:val="0051593B"/>
    <w:rsid w:val="005211B9"/>
    <w:rsid w:val="0052599D"/>
    <w:rsid w:val="00527093"/>
    <w:rsid w:val="005271D8"/>
    <w:rsid w:val="005320F7"/>
    <w:rsid w:val="00532F20"/>
    <w:rsid w:val="005402F8"/>
    <w:rsid w:val="00545BEB"/>
    <w:rsid w:val="00550646"/>
    <w:rsid w:val="005527E3"/>
    <w:rsid w:val="005535D2"/>
    <w:rsid w:val="00560D55"/>
    <w:rsid w:val="00563D6C"/>
    <w:rsid w:val="005649E9"/>
    <w:rsid w:val="0057348F"/>
    <w:rsid w:val="0057481D"/>
    <w:rsid w:val="005779BC"/>
    <w:rsid w:val="00580048"/>
    <w:rsid w:val="005807DE"/>
    <w:rsid w:val="005807E0"/>
    <w:rsid w:val="005810F7"/>
    <w:rsid w:val="00584B76"/>
    <w:rsid w:val="005877D5"/>
    <w:rsid w:val="005926EA"/>
    <w:rsid w:val="00592840"/>
    <w:rsid w:val="00596180"/>
    <w:rsid w:val="00597663"/>
    <w:rsid w:val="005A0904"/>
    <w:rsid w:val="005A3789"/>
    <w:rsid w:val="005A7A7D"/>
    <w:rsid w:val="005B3127"/>
    <w:rsid w:val="005B693B"/>
    <w:rsid w:val="005C0255"/>
    <w:rsid w:val="005C41F4"/>
    <w:rsid w:val="005C6F18"/>
    <w:rsid w:val="005D6EE9"/>
    <w:rsid w:val="005D738F"/>
    <w:rsid w:val="005E18FC"/>
    <w:rsid w:val="005E21C2"/>
    <w:rsid w:val="005E2FA1"/>
    <w:rsid w:val="005E408B"/>
    <w:rsid w:val="005E6687"/>
    <w:rsid w:val="005E7936"/>
    <w:rsid w:val="005F0197"/>
    <w:rsid w:val="005F79C4"/>
    <w:rsid w:val="00600089"/>
    <w:rsid w:val="006022C5"/>
    <w:rsid w:val="00611494"/>
    <w:rsid w:val="0062171B"/>
    <w:rsid w:val="00623B04"/>
    <w:rsid w:val="00625106"/>
    <w:rsid w:val="00627310"/>
    <w:rsid w:val="00627556"/>
    <w:rsid w:val="00627D78"/>
    <w:rsid w:val="00630430"/>
    <w:rsid w:val="00633DA0"/>
    <w:rsid w:val="00637667"/>
    <w:rsid w:val="00653DA9"/>
    <w:rsid w:val="00653DFF"/>
    <w:rsid w:val="006540F6"/>
    <w:rsid w:val="00656BB2"/>
    <w:rsid w:val="00657E1F"/>
    <w:rsid w:val="00657FEA"/>
    <w:rsid w:val="00660565"/>
    <w:rsid w:val="00661114"/>
    <w:rsid w:val="006616AA"/>
    <w:rsid w:val="00662B9B"/>
    <w:rsid w:val="00666E28"/>
    <w:rsid w:val="0067027A"/>
    <w:rsid w:val="006719C3"/>
    <w:rsid w:val="00673158"/>
    <w:rsid w:val="006734AC"/>
    <w:rsid w:val="00674354"/>
    <w:rsid w:val="00677CAD"/>
    <w:rsid w:val="006822D6"/>
    <w:rsid w:val="00693F5A"/>
    <w:rsid w:val="006961CB"/>
    <w:rsid w:val="006970AD"/>
    <w:rsid w:val="006973FD"/>
    <w:rsid w:val="00697456"/>
    <w:rsid w:val="00697557"/>
    <w:rsid w:val="006A0D45"/>
    <w:rsid w:val="006A12F8"/>
    <w:rsid w:val="006A1824"/>
    <w:rsid w:val="006A19F7"/>
    <w:rsid w:val="006A3737"/>
    <w:rsid w:val="006A375E"/>
    <w:rsid w:val="006A4787"/>
    <w:rsid w:val="006A6154"/>
    <w:rsid w:val="006B1BD9"/>
    <w:rsid w:val="006B296C"/>
    <w:rsid w:val="006B7DE7"/>
    <w:rsid w:val="006C04FF"/>
    <w:rsid w:val="006C1B30"/>
    <w:rsid w:val="006C3CB7"/>
    <w:rsid w:val="006C5C3B"/>
    <w:rsid w:val="006C5E4A"/>
    <w:rsid w:val="006C6918"/>
    <w:rsid w:val="006C6989"/>
    <w:rsid w:val="006D5A6C"/>
    <w:rsid w:val="006D6D9D"/>
    <w:rsid w:val="006D77F3"/>
    <w:rsid w:val="006E24AC"/>
    <w:rsid w:val="006E26C6"/>
    <w:rsid w:val="006E4F0E"/>
    <w:rsid w:val="006F31B8"/>
    <w:rsid w:val="006F410C"/>
    <w:rsid w:val="006F49E8"/>
    <w:rsid w:val="006F7A56"/>
    <w:rsid w:val="00703100"/>
    <w:rsid w:val="00712085"/>
    <w:rsid w:val="007148B0"/>
    <w:rsid w:val="00715911"/>
    <w:rsid w:val="00717CDE"/>
    <w:rsid w:val="007263B4"/>
    <w:rsid w:val="00727D97"/>
    <w:rsid w:val="00730C6D"/>
    <w:rsid w:val="0073646B"/>
    <w:rsid w:val="007404A1"/>
    <w:rsid w:val="00740F51"/>
    <w:rsid w:val="00742BED"/>
    <w:rsid w:val="00743301"/>
    <w:rsid w:val="007450F6"/>
    <w:rsid w:val="00747780"/>
    <w:rsid w:val="007507F2"/>
    <w:rsid w:val="00751F45"/>
    <w:rsid w:val="00756699"/>
    <w:rsid w:val="00756A89"/>
    <w:rsid w:val="00756E84"/>
    <w:rsid w:val="0076048D"/>
    <w:rsid w:val="00761BFF"/>
    <w:rsid w:val="00761F8C"/>
    <w:rsid w:val="00763992"/>
    <w:rsid w:val="00763996"/>
    <w:rsid w:val="00766E50"/>
    <w:rsid w:val="007672DB"/>
    <w:rsid w:val="00772A0C"/>
    <w:rsid w:val="00772AB3"/>
    <w:rsid w:val="00776A14"/>
    <w:rsid w:val="00776D19"/>
    <w:rsid w:val="0077754C"/>
    <w:rsid w:val="007840FB"/>
    <w:rsid w:val="00784A5E"/>
    <w:rsid w:val="00785D16"/>
    <w:rsid w:val="00786B1B"/>
    <w:rsid w:val="00786E28"/>
    <w:rsid w:val="00792228"/>
    <w:rsid w:val="00792258"/>
    <w:rsid w:val="00792B0E"/>
    <w:rsid w:val="007965C6"/>
    <w:rsid w:val="00796807"/>
    <w:rsid w:val="007A36B1"/>
    <w:rsid w:val="007A5481"/>
    <w:rsid w:val="007B2849"/>
    <w:rsid w:val="007B48AE"/>
    <w:rsid w:val="007C2C26"/>
    <w:rsid w:val="007C32FA"/>
    <w:rsid w:val="007E24EB"/>
    <w:rsid w:val="007E34D1"/>
    <w:rsid w:val="007E61AE"/>
    <w:rsid w:val="007F5195"/>
    <w:rsid w:val="007F7E06"/>
    <w:rsid w:val="00801B35"/>
    <w:rsid w:val="008032EF"/>
    <w:rsid w:val="008038D3"/>
    <w:rsid w:val="00805896"/>
    <w:rsid w:val="008119FD"/>
    <w:rsid w:val="008148C3"/>
    <w:rsid w:val="00815708"/>
    <w:rsid w:val="008169A7"/>
    <w:rsid w:val="00822811"/>
    <w:rsid w:val="00822978"/>
    <w:rsid w:val="0082297F"/>
    <w:rsid w:val="008268DA"/>
    <w:rsid w:val="00826920"/>
    <w:rsid w:val="0083693F"/>
    <w:rsid w:val="00842A11"/>
    <w:rsid w:val="00842E74"/>
    <w:rsid w:val="00845002"/>
    <w:rsid w:val="00851DE3"/>
    <w:rsid w:val="00852551"/>
    <w:rsid w:val="00853D17"/>
    <w:rsid w:val="008626DC"/>
    <w:rsid w:val="00864676"/>
    <w:rsid w:val="00866366"/>
    <w:rsid w:val="0087073C"/>
    <w:rsid w:val="0087685D"/>
    <w:rsid w:val="008768B8"/>
    <w:rsid w:val="00876D45"/>
    <w:rsid w:val="00877531"/>
    <w:rsid w:val="00880B0E"/>
    <w:rsid w:val="00882FF9"/>
    <w:rsid w:val="00883BF5"/>
    <w:rsid w:val="0088474E"/>
    <w:rsid w:val="008851F8"/>
    <w:rsid w:val="0088596C"/>
    <w:rsid w:val="00890881"/>
    <w:rsid w:val="008A0D23"/>
    <w:rsid w:val="008A2DEE"/>
    <w:rsid w:val="008A2F22"/>
    <w:rsid w:val="008B10FE"/>
    <w:rsid w:val="008B1675"/>
    <w:rsid w:val="008B4776"/>
    <w:rsid w:val="008B72DE"/>
    <w:rsid w:val="008B7FAC"/>
    <w:rsid w:val="008C55E6"/>
    <w:rsid w:val="008D08F6"/>
    <w:rsid w:val="008D0AF2"/>
    <w:rsid w:val="008D1ADD"/>
    <w:rsid w:val="008D27C0"/>
    <w:rsid w:val="008D43E7"/>
    <w:rsid w:val="008D4E81"/>
    <w:rsid w:val="008D5E8B"/>
    <w:rsid w:val="008D7C6A"/>
    <w:rsid w:val="008E0A1C"/>
    <w:rsid w:val="008E1221"/>
    <w:rsid w:val="008E16E5"/>
    <w:rsid w:val="008E6281"/>
    <w:rsid w:val="008F101C"/>
    <w:rsid w:val="008F5344"/>
    <w:rsid w:val="008F59C8"/>
    <w:rsid w:val="0090080C"/>
    <w:rsid w:val="009036F1"/>
    <w:rsid w:val="009037B0"/>
    <w:rsid w:val="0090478D"/>
    <w:rsid w:val="009053E4"/>
    <w:rsid w:val="00906E9E"/>
    <w:rsid w:val="009139B5"/>
    <w:rsid w:val="00913E19"/>
    <w:rsid w:val="00916575"/>
    <w:rsid w:val="00920A21"/>
    <w:rsid w:val="0092146C"/>
    <w:rsid w:val="009252A6"/>
    <w:rsid w:val="009304CD"/>
    <w:rsid w:val="00930CD1"/>
    <w:rsid w:val="00934767"/>
    <w:rsid w:val="0093589A"/>
    <w:rsid w:val="009359A0"/>
    <w:rsid w:val="00936956"/>
    <w:rsid w:val="00936E2C"/>
    <w:rsid w:val="00940B00"/>
    <w:rsid w:val="00940EAA"/>
    <w:rsid w:val="0094233D"/>
    <w:rsid w:val="0095081D"/>
    <w:rsid w:val="0095087A"/>
    <w:rsid w:val="00953739"/>
    <w:rsid w:val="00955BA4"/>
    <w:rsid w:val="009577EB"/>
    <w:rsid w:val="00961455"/>
    <w:rsid w:val="00961DC2"/>
    <w:rsid w:val="009647ED"/>
    <w:rsid w:val="009707B4"/>
    <w:rsid w:val="00972015"/>
    <w:rsid w:val="00973F3A"/>
    <w:rsid w:val="00974967"/>
    <w:rsid w:val="00974EA8"/>
    <w:rsid w:val="0098231F"/>
    <w:rsid w:val="00986254"/>
    <w:rsid w:val="009925CC"/>
    <w:rsid w:val="00993B00"/>
    <w:rsid w:val="009955D3"/>
    <w:rsid w:val="00995F48"/>
    <w:rsid w:val="00996C42"/>
    <w:rsid w:val="009976C9"/>
    <w:rsid w:val="009A320C"/>
    <w:rsid w:val="009A495A"/>
    <w:rsid w:val="009B26A8"/>
    <w:rsid w:val="009B2B2F"/>
    <w:rsid w:val="009B4E88"/>
    <w:rsid w:val="009B5E56"/>
    <w:rsid w:val="009B69D3"/>
    <w:rsid w:val="009C6B3E"/>
    <w:rsid w:val="009C7581"/>
    <w:rsid w:val="009D3030"/>
    <w:rsid w:val="009D3F27"/>
    <w:rsid w:val="009D59D6"/>
    <w:rsid w:val="009D7985"/>
    <w:rsid w:val="009E0A9A"/>
    <w:rsid w:val="009E1F15"/>
    <w:rsid w:val="009E39BA"/>
    <w:rsid w:val="009E477C"/>
    <w:rsid w:val="009E4BF6"/>
    <w:rsid w:val="009F002E"/>
    <w:rsid w:val="009F144F"/>
    <w:rsid w:val="009F37C2"/>
    <w:rsid w:val="009F3EE4"/>
    <w:rsid w:val="009F46CE"/>
    <w:rsid w:val="00A01283"/>
    <w:rsid w:val="00A04797"/>
    <w:rsid w:val="00A062D2"/>
    <w:rsid w:val="00A107C9"/>
    <w:rsid w:val="00A11E93"/>
    <w:rsid w:val="00A132C9"/>
    <w:rsid w:val="00A20D92"/>
    <w:rsid w:val="00A21D22"/>
    <w:rsid w:val="00A236D1"/>
    <w:rsid w:val="00A237FD"/>
    <w:rsid w:val="00A24349"/>
    <w:rsid w:val="00A254A7"/>
    <w:rsid w:val="00A26551"/>
    <w:rsid w:val="00A30B73"/>
    <w:rsid w:val="00A31397"/>
    <w:rsid w:val="00A319AE"/>
    <w:rsid w:val="00A37286"/>
    <w:rsid w:val="00A41026"/>
    <w:rsid w:val="00A41375"/>
    <w:rsid w:val="00A420B8"/>
    <w:rsid w:val="00A45022"/>
    <w:rsid w:val="00A459CA"/>
    <w:rsid w:val="00A502E0"/>
    <w:rsid w:val="00A55AF5"/>
    <w:rsid w:val="00A57B88"/>
    <w:rsid w:val="00A61A3D"/>
    <w:rsid w:val="00A62F7A"/>
    <w:rsid w:val="00A643EA"/>
    <w:rsid w:val="00A71283"/>
    <w:rsid w:val="00A7219A"/>
    <w:rsid w:val="00A7487B"/>
    <w:rsid w:val="00A77931"/>
    <w:rsid w:val="00A80EEB"/>
    <w:rsid w:val="00A81984"/>
    <w:rsid w:val="00A821CD"/>
    <w:rsid w:val="00A82F63"/>
    <w:rsid w:val="00A8422B"/>
    <w:rsid w:val="00A86358"/>
    <w:rsid w:val="00AA07FA"/>
    <w:rsid w:val="00AA148D"/>
    <w:rsid w:val="00AA1CC2"/>
    <w:rsid w:val="00AA3320"/>
    <w:rsid w:val="00AA5603"/>
    <w:rsid w:val="00AB159C"/>
    <w:rsid w:val="00AC2CC0"/>
    <w:rsid w:val="00AC546C"/>
    <w:rsid w:val="00AC6026"/>
    <w:rsid w:val="00AC6230"/>
    <w:rsid w:val="00AC69DE"/>
    <w:rsid w:val="00AD3738"/>
    <w:rsid w:val="00AD6B24"/>
    <w:rsid w:val="00AD71DC"/>
    <w:rsid w:val="00AD7895"/>
    <w:rsid w:val="00AE00E8"/>
    <w:rsid w:val="00AE02F8"/>
    <w:rsid w:val="00AE0C50"/>
    <w:rsid w:val="00AE1E7B"/>
    <w:rsid w:val="00AE48B3"/>
    <w:rsid w:val="00AE6557"/>
    <w:rsid w:val="00AF1BC7"/>
    <w:rsid w:val="00AF70A0"/>
    <w:rsid w:val="00B0259C"/>
    <w:rsid w:val="00B0388E"/>
    <w:rsid w:val="00B05348"/>
    <w:rsid w:val="00B0657D"/>
    <w:rsid w:val="00B06B88"/>
    <w:rsid w:val="00B20AC4"/>
    <w:rsid w:val="00B2345A"/>
    <w:rsid w:val="00B248B1"/>
    <w:rsid w:val="00B24A57"/>
    <w:rsid w:val="00B32F21"/>
    <w:rsid w:val="00B32FB4"/>
    <w:rsid w:val="00B3398E"/>
    <w:rsid w:val="00B3472D"/>
    <w:rsid w:val="00B36732"/>
    <w:rsid w:val="00B37E84"/>
    <w:rsid w:val="00B37F33"/>
    <w:rsid w:val="00B40909"/>
    <w:rsid w:val="00B40AA9"/>
    <w:rsid w:val="00B41561"/>
    <w:rsid w:val="00B42378"/>
    <w:rsid w:val="00B46321"/>
    <w:rsid w:val="00B47224"/>
    <w:rsid w:val="00B5563A"/>
    <w:rsid w:val="00B55DBC"/>
    <w:rsid w:val="00B56058"/>
    <w:rsid w:val="00B62360"/>
    <w:rsid w:val="00B62642"/>
    <w:rsid w:val="00B62FC4"/>
    <w:rsid w:val="00B666DB"/>
    <w:rsid w:val="00B70AC2"/>
    <w:rsid w:val="00B71832"/>
    <w:rsid w:val="00B71CFE"/>
    <w:rsid w:val="00B71ECE"/>
    <w:rsid w:val="00B73A6F"/>
    <w:rsid w:val="00B73EB5"/>
    <w:rsid w:val="00B74DD7"/>
    <w:rsid w:val="00B74FC1"/>
    <w:rsid w:val="00B75858"/>
    <w:rsid w:val="00B77E9C"/>
    <w:rsid w:val="00B80158"/>
    <w:rsid w:val="00B83B14"/>
    <w:rsid w:val="00B86093"/>
    <w:rsid w:val="00B870AD"/>
    <w:rsid w:val="00B9413A"/>
    <w:rsid w:val="00B956BE"/>
    <w:rsid w:val="00BA1A68"/>
    <w:rsid w:val="00BA6049"/>
    <w:rsid w:val="00BA6A40"/>
    <w:rsid w:val="00BB1417"/>
    <w:rsid w:val="00BB1AAF"/>
    <w:rsid w:val="00BB2CA1"/>
    <w:rsid w:val="00BB2F3A"/>
    <w:rsid w:val="00BC03B4"/>
    <w:rsid w:val="00BC10E0"/>
    <w:rsid w:val="00BC2494"/>
    <w:rsid w:val="00BC3550"/>
    <w:rsid w:val="00BC5498"/>
    <w:rsid w:val="00BC555D"/>
    <w:rsid w:val="00BC69B9"/>
    <w:rsid w:val="00BD1B17"/>
    <w:rsid w:val="00BD2E79"/>
    <w:rsid w:val="00BD7D79"/>
    <w:rsid w:val="00BE1160"/>
    <w:rsid w:val="00BE1247"/>
    <w:rsid w:val="00BE1D1A"/>
    <w:rsid w:val="00BF06BF"/>
    <w:rsid w:val="00BF19EE"/>
    <w:rsid w:val="00BF26FC"/>
    <w:rsid w:val="00BF374F"/>
    <w:rsid w:val="00BF4DF2"/>
    <w:rsid w:val="00BF63CD"/>
    <w:rsid w:val="00C00B53"/>
    <w:rsid w:val="00C030F4"/>
    <w:rsid w:val="00C071CF"/>
    <w:rsid w:val="00C118BB"/>
    <w:rsid w:val="00C149F4"/>
    <w:rsid w:val="00C227E4"/>
    <w:rsid w:val="00C24928"/>
    <w:rsid w:val="00C25E33"/>
    <w:rsid w:val="00C313FA"/>
    <w:rsid w:val="00C3147A"/>
    <w:rsid w:val="00C32E45"/>
    <w:rsid w:val="00C34E3C"/>
    <w:rsid w:val="00C4052D"/>
    <w:rsid w:val="00C4319D"/>
    <w:rsid w:val="00C456DD"/>
    <w:rsid w:val="00C469AA"/>
    <w:rsid w:val="00C5229C"/>
    <w:rsid w:val="00C5734C"/>
    <w:rsid w:val="00C57437"/>
    <w:rsid w:val="00C60FF7"/>
    <w:rsid w:val="00C633DB"/>
    <w:rsid w:val="00C67345"/>
    <w:rsid w:val="00C7288F"/>
    <w:rsid w:val="00C72A54"/>
    <w:rsid w:val="00C84933"/>
    <w:rsid w:val="00C91393"/>
    <w:rsid w:val="00C94212"/>
    <w:rsid w:val="00C95DDA"/>
    <w:rsid w:val="00CA0E02"/>
    <w:rsid w:val="00CA3E8C"/>
    <w:rsid w:val="00CA44AF"/>
    <w:rsid w:val="00CA5BB5"/>
    <w:rsid w:val="00CA6002"/>
    <w:rsid w:val="00CB06DC"/>
    <w:rsid w:val="00CB1650"/>
    <w:rsid w:val="00CB49A4"/>
    <w:rsid w:val="00CB615A"/>
    <w:rsid w:val="00CB6D57"/>
    <w:rsid w:val="00CC02FA"/>
    <w:rsid w:val="00CC055F"/>
    <w:rsid w:val="00CC2ED2"/>
    <w:rsid w:val="00CC6286"/>
    <w:rsid w:val="00CD0CD6"/>
    <w:rsid w:val="00CD3709"/>
    <w:rsid w:val="00CD3E91"/>
    <w:rsid w:val="00CE40D5"/>
    <w:rsid w:val="00CE6708"/>
    <w:rsid w:val="00CE7F5B"/>
    <w:rsid w:val="00CF049C"/>
    <w:rsid w:val="00CF6280"/>
    <w:rsid w:val="00CF7551"/>
    <w:rsid w:val="00D003AA"/>
    <w:rsid w:val="00D00548"/>
    <w:rsid w:val="00D013A4"/>
    <w:rsid w:val="00D056FC"/>
    <w:rsid w:val="00D07728"/>
    <w:rsid w:val="00D13071"/>
    <w:rsid w:val="00D1444C"/>
    <w:rsid w:val="00D158A9"/>
    <w:rsid w:val="00D1603C"/>
    <w:rsid w:val="00D2002A"/>
    <w:rsid w:val="00D229C4"/>
    <w:rsid w:val="00D34375"/>
    <w:rsid w:val="00D349CE"/>
    <w:rsid w:val="00D34BA5"/>
    <w:rsid w:val="00D447C4"/>
    <w:rsid w:val="00D45401"/>
    <w:rsid w:val="00D50671"/>
    <w:rsid w:val="00D52DAA"/>
    <w:rsid w:val="00D61F7A"/>
    <w:rsid w:val="00D651AF"/>
    <w:rsid w:val="00D65325"/>
    <w:rsid w:val="00D8744E"/>
    <w:rsid w:val="00D90DA1"/>
    <w:rsid w:val="00D951D4"/>
    <w:rsid w:val="00DA1C2E"/>
    <w:rsid w:val="00DA4A94"/>
    <w:rsid w:val="00DA72BA"/>
    <w:rsid w:val="00DA7A51"/>
    <w:rsid w:val="00DB084D"/>
    <w:rsid w:val="00DB3B1D"/>
    <w:rsid w:val="00DB42A9"/>
    <w:rsid w:val="00DB48A9"/>
    <w:rsid w:val="00DB5B61"/>
    <w:rsid w:val="00DB6132"/>
    <w:rsid w:val="00DB7CB3"/>
    <w:rsid w:val="00DC2BBD"/>
    <w:rsid w:val="00DC5AAF"/>
    <w:rsid w:val="00DD0BCE"/>
    <w:rsid w:val="00DD20A1"/>
    <w:rsid w:val="00DD22E4"/>
    <w:rsid w:val="00DD3B2F"/>
    <w:rsid w:val="00DD4A90"/>
    <w:rsid w:val="00DE0C43"/>
    <w:rsid w:val="00DE1906"/>
    <w:rsid w:val="00DE7DB1"/>
    <w:rsid w:val="00DF00B3"/>
    <w:rsid w:val="00DF2842"/>
    <w:rsid w:val="00DF77C8"/>
    <w:rsid w:val="00E002CB"/>
    <w:rsid w:val="00E014CA"/>
    <w:rsid w:val="00E0297D"/>
    <w:rsid w:val="00E02D07"/>
    <w:rsid w:val="00E0354C"/>
    <w:rsid w:val="00E03B72"/>
    <w:rsid w:val="00E13E97"/>
    <w:rsid w:val="00E1693F"/>
    <w:rsid w:val="00E202DC"/>
    <w:rsid w:val="00E215F4"/>
    <w:rsid w:val="00E21F1B"/>
    <w:rsid w:val="00E306EB"/>
    <w:rsid w:val="00E30CA2"/>
    <w:rsid w:val="00E3531F"/>
    <w:rsid w:val="00E35499"/>
    <w:rsid w:val="00E35FFB"/>
    <w:rsid w:val="00E36966"/>
    <w:rsid w:val="00E54A65"/>
    <w:rsid w:val="00E551E0"/>
    <w:rsid w:val="00E61C7D"/>
    <w:rsid w:val="00E65A0F"/>
    <w:rsid w:val="00E66E69"/>
    <w:rsid w:val="00E66F50"/>
    <w:rsid w:val="00E70B8B"/>
    <w:rsid w:val="00E73A95"/>
    <w:rsid w:val="00E75150"/>
    <w:rsid w:val="00E753E8"/>
    <w:rsid w:val="00E75646"/>
    <w:rsid w:val="00E766E9"/>
    <w:rsid w:val="00E81CC9"/>
    <w:rsid w:val="00E84C44"/>
    <w:rsid w:val="00E85166"/>
    <w:rsid w:val="00E863D5"/>
    <w:rsid w:val="00E90FE3"/>
    <w:rsid w:val="00E92CE0"/>
    <w:rsid w:val="00E9722E"/>
    <w:rsid w:val="00E978AD"/>
    <w:rsid w:val="00EA1A7C"/>
    <w:rsid w:val="00EB40C8"/>
    <w:rsid w:val="00EB5428"/>
    <w:rsid w:val="00EB737E"/>
    <w:rsid w:val="00EC2D09"/>
    <w:rsid w:val="00EC583D"/>
    <w:rsid w:val="00ED168B"/>
    <w:rsid w:val="00ED1CA6"/>
    <w:rsid w:val="00ED24C1"/>
    <w:rsid w:val="00ED2B87"/>
    <w:rsid w:val="00ED2B9E"/>
    <w:rsid w:val="00ED3782"/>
    <w:rsid w:val="00EE0E8F"/>
    <w:rsid w:val="00EE21C3"/>
    <w:rsid w:val="00EE33D0"/>
    <w:rsid w:val="00EE4D5F"/>
    <w:rsid w:val="00EE74BB"/>
    <w:rsid w:val="00EEE922"/>
    <w:rsid w:val="00EF1993"/>
    <w:rsid w:val="00EF35F5"/>
    <w:rsid w:val="00EF5FED"/>
    <w:rsid w:val="00EF77B8"/>
    <w:rsid w:val="00F00921"/>
    <w:rsid w:val="00F01FE7"/>
    <w:rsid w:val="00F02C88"/>
    <w:rsid w:val="00F106CC"/>
    <w:rsid w:val="00F129E8"/>
    <w:rsid w:val="00F3246B"/>
    <w:rsid w:val="00F32DCE"/>
    <w:rsid w:val="00F415CC"/>
    <w:rsid w:val="00F42D8D"/>
    <w:rsid w:val="00F445A3"/>
    <w:rsid w:val="00F450EB"/>
    <w:rsid w:val="00F461C9"/>
    <w:rsid w:val="00F52FF5"/>
    <w:rsid w:val="00F5434A"/>
    <w:rsid w:val="00F55056"/>
    <w:rsid w:val="00F5526D"/>
    <w:rsid w:val="00F62E75"/>
    <w:rsid w:val="00F642D5"/>
    <w:rsid w:val="00F663E8"/>
    <w:rsid w:val="00F667AD"/>
    <w:rsid w:val="00F6726F"/>
    <w:rsid w:val="00F84096"/>
    <w:rsid w:val="00F842D4"/>
    <w:rsid w:val="00F91E3D"/>
    <w:rsid w:val="00F92018"/>
    <w:rsid w:val="00F926C4"/>
    <w:rsid w:val="00F928C3"/>
    <w:rsid w:val="00F960AF"/>
    <w:rsid w:val="00FA1B79"/>
    <w:rsid w:val="00FA1D63"/>
    <w:rsid w:val="00FA5B76"/>
    <w:rsid w:val="00FA613B"/>
    <w:rsid w:val="00FB243C"/>
    <w:rsid w:val="00FB2514"/>
    <w:rsid w:val="00FB2BBA"/>
    <w:rsid w:val="00FB459F"/>
    <w:rsid w:val="00FC094B"/>
    <w:rsid w:val="00FC32F3"/>
    <w:rsid w:val="00FC427A"/>
    <w:rsid w:val="00FC4456"/>
    <w:rsid w:val="00FC73C9"/>
    <w:rsid w:val="00FC76DB"/>
    <w:rsid w:val="00FC7791"/>
    <w:rsid w:val="00FC7E26"/>
    <w:rsid w:val="00FD1505"/>
    <w:rsid w:val="00FD2971"/>
    <w:rsid w:val="00FD5315"/>
    <w:rsid w:val="00FD644C"/>
    <w:rsid w:val="00FD6C8B"/>
    <w:rsid w:val="00FD6D17"/>
    <w:rsid w:val="00FD7B9A"/>
    <w:rsid w:val="00FE02EC"/>
    <w:rsid w:val="00FE1AFB"/>
    <w:rsid w:val="00FE1C6F"/>
    <w:rsid w:val="00FE2630"/>
    <w:rsid w:val="00FE2BDC"/>
    <w:rsid w:val="00FE6BC1"/>
    <w:rsid w:val="00FE7FFE"/>
    <w:rsid w:val="00FF0B1C"/>
    <w:rsid w:val="00FF322E"/>
    <w:rsid w:val="00FF3D1C"/>
    <w:rsid w:val="00FF43AF"/>
    <w:rsid w:val="00FF51DD"/>
    <w:rsid w:val="00FF7001"/>
    <w:rsid w:val="013B2F86"/>
    <w:rsid w:val="0258C690"/>
    <w:rsid w:val="034A5B1A"/>
    <w:rsid w:val="03637FF6"/>
    <w:rsid w:val="0517D78C"/>
    <w:rsid w:val="082B6B66"/>
    <w:rsid w:val="08F5F60C"/>
    <w:rsid w:val="0B9F6AA8"/>
    <w:rsid w:val="0F0CDD30"/>
    <w:rsid w:val="10E4B1D7"/>
    <w:rsid w:val="11678836"/>
    <w:rsid w:val="16177096"/>
    <w:rsid w:val="17353C56"/>
    <w:rsid w:val="17622FC1"/>
    <w:rsid w:val="19D8234F"/>
    <w:rsid w:val="1D6B5A5D"/>
    <w:rsid w:val="1F217FA5"/>
    <w:rsid w:val="1F84FD23"/>
    <w:rsid w:val="1F8B6B4A"/>
    <w:rsid w:val="21318926"/>
    <w:rsid w:val="228556BF"/>
    <w:rsid w:val="24CBA5DF"/>
    <w:rsid w:val="253F5BD3"/>
    <w:rsid w:val="26E5EAC3"/>
    <w:rsid w:val="297EC955"/>
    <w:rsid w:val="2B850951"/>
    <w:rsid w:val="2DBFF8CD"/>
    <w:rsid w:val="2FA0F79C"/>
    <w:rsid w:val="314B8E10"/>
    <w:rsid w:val="33DCC9A2"/>
    <w:rsid w:val="34DFFB5C"/>
    <w:rsid w:val="37A0FE43"/>
    <w:rsid w:val="3D24763E"/>
    <w:rsid w:val="3D3180BE"/>
    <w:rsid w:val="3DED0A30"/>
    <w:rsid w:val="3EE34C8A"/>
    <w:rsid w:val="40C6C551"/>
    <w:rsid w:val="425981D6"/>
    <w:rsid w:val="43932270"/>
    <w:rsid w:val="451E910E"/>
    <w:rsid w:val="459EEA46"/>
    <w:rsid w:val="461CA9F7"/>
    <w:rsid w:val="50D40DFA"/>
    <w:rsid w:val="539655B4"/>
    <w:rsid w:val="55E214AF"/>
    <w:rsid w:val="599371A0"/>
    <w:rsid w:val="5E624238"/>
    <w:rsid w:val="602D764F"/>
    <w:rsid w:val="64D8BDE6"/>
    <w:rsid w:val="691A1EC1"/>
    <w:rsid w:val="6C1B82F9"/>
    <w:rsid w:val="6C5EA1D1"/>
    <w:rsid w:val="6D792C2D"/>
    <w:rsid w:val="6D998C3B"/>
    <w:rsid w:val="6DDBB771"/>
    <w:rsid w:val="6E61725A"/>
    <w:rsid w:val="6FF7ED39"/>
    <w:rsid w:val="730888BC"/>
    <w:rsid w:val="73C02DB7"/>
    <w:rsid w:val="770B5841"/>
    <w:rsid w:val="7C91B217"/>
    <w:rsid w:val="7D0E07E8"/>
    <w:rsid w:val="7DD4C59C"/>
    <w:rsid w:val="7EC8EA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A7E0BA"/>
  <w15:docId w15:val="{A073F1D2-4A3C-4615-A40A-504AF065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785"/>
    <w:rPr>
      <w:sz w:val="24"/>
      <w:szCs w:val="24"/>
    </w:rPr>
  </w:style>
  <w:style w:type="paragraph" w:styleId="Heading1">
    <w:name w:val="heading 1"/>
    <w:basedOn w:val="Normal"/>
    <w:next w:val="Normal"/>
    <w:qFormat/>
    <w:rsid w:val="0013483D"/>
    <w:pPr>
      <w:keepNext/>
      <w:tabs>
        <w:tab w:val="left" w:pos="-720"/>
      </w:tabs>
      <w:suppressAutoHyphens/>
      <w:outlineLvl w:val="0"/>
    </w:pPr>
    <w:rPr>
      <w:b/>
      <w:sz w:val="28"/>
      <w:szCs w:val="20"/>
    </w:rPr>
  </w:style>
  <w:style w:type="paragraph" w:styleId="Heading2">
    <w:name w:val="heading 2"/>
    <w:basedOn w:val="Normal"/>
    <w:next w:val="Normal"/>
    <w:qFormat/>
    <w:rsid w:val="0013483D"/>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483D"/>
    <w:pPr>
      <w:suppressAutoHyphens/>
      <w:jc w:val="center"/>
    </w:pPr>
    <w:rPr>
      <w:b/>
      <w:sz w:val="32"/>
      <w:szCs w:val="20"/>
    </w:rPr>
  </w:style>
  <w:style w:type="paragraph" w:styleId="BodyText3">
    <w:name w:val="Body Text 3"/>
    <w:basedOn w:val="Normal"/>
    <w:rsid w:val="0013483D"/>
    <w:pPr>
      <w:shd w:val="pct25" w:color="auto" w:fill="auto"/>
      <w:tabs>
        <w:tab w:val="left" w:pos="-720"/>
        <w:tab w:val="left" w:pos="720"/>
      </w:tabs>
      <w:suppressAutoHyphens/>
    </w:pPr>
    <w:rPr>
      <w:sz w:val="26"/>
      <w:szCs w:val="20"/>
    </w:rPr>
  </w:style>
  <w:style w:type="character" w:styleId="Hyperlink">
    <w:name w:val="Hyperlink"/>
    <w:rsid w:val="0013483D"/>
    <w:rPr>
      <w:color w:val="0000FF"/>
      <w:u w:val="single"/>
    </w:rPr>
  </w:style>
  <w:style w:type="paragraph" w:styleId="BodyText">
    <w:name w:val="Body Text"/>
    <w:basedOn w:val="Normal"/>
    <w:rsid w:val="0013483D"/>
    <w:pPr>
      <w:shd w:val="pct25" w:color="auto" w:fill="FFFFFF"/>
      <w:tabs>
        <w:tab w:val="left" w:pos="-720"/>
      </w:tabs>
      <w:suppressAutoHyphens/>
    </w:pPr>
    <w:rPr>
      <w:sz w:val="26"/>
    </w:rPr>
  </w:style>
  <w:style w:type="paragraph" w:styleId="BodyTextIndent">
    <w:name w:val="Body Text Indent"/>
    <w:basedOn w:val="Normal"/>
    <w:rsid w:val="0013483D"/>
    <w:pPr>
      <w:shd w:val="pct25" w:color="auto" w:fill="FFFFFF"/>
      <w:tabs>
        <w:tab w:val="left" w:pos="-720"/>
      </w:tabs>
      <w:suppressAutoHyphens/>
      <w:ind w:left="510"/>
    </w:pPr>
    <w:rPr>
      <w:sz w:val="26"/>
      <w:szCs w:val="20"/>
    </w:rPr>
  </w:style>
  <w:style w:type="paragraph" w:styleId="BodyText2">
    <w:name w:val="Body Text 2"/>
    <w:basedOn w:val="Normal"/>
    <w:rsid w:val="0013483D"/>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3483D"/>
    <w:pPr>
      <w:tabs>
        <w:tab w:val="center" w:pos="4320"/>
        <w:tab w:val="right" w:pos="8640"/>
      </w:tabs>
    </w:pPr>
  </w:style>
  <w:style w:type="character" w:styleId="PageNumber">
    <w:name w:val="page number"/>
    <w:basedOn w:val="DefaultParagraphFont"/>
    <w:rsid w:val="0013483D"/>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Revision">
    <w:name w:val="Revision"/>
    <w:hidden/>
    <w:uiPriority w:val="99"/>
    <w:semiHidden/>
    <w:rsid w:val="004D1AF2"/>
    <w:rPr>
      <w:sz w:val="24"/>
      <w:szCs w:val="24"/>
    </w:rPr>
  </w:style>
  <w:style w:type="character" w:styleId="CommentReference">
    <w:name w:val="annotation reference"/>
    <w:rsid w:val="00FE1AFB"/>
    <w:rPr>
      <w:sz w:val="16"/>
      <w:szCs w:val="16"/>
    </w:rPr>
  </w:style>
  <w:style w:type="paragraph" w:styleId="CommentText">
    <w:name w:val="annotation text"/>
    <w:basedOn w:val="Normal"/>
    <w:link w:val="CommentTextChar"/>
    <w:rsid w:val="00FE1AFB"/>
    <w:rPr>
      <w:sz w:val="20"/>
      <w:szCs w:val="20"/>
    </w:rPr>
  </w:style>
  <w:style w:type="character" w:customStyle="1" w:styleId="CommentTextChar">
    <w:name w:val="Comment Text Char"/>
    <w:basedOn w:val="DefaultParagraphFont"/>
    <w:link w:val="CommentText"/>
    <w:rsid w:val="00FE1AFB"/>
  </w:style>
  <w:style w:type="paragraph" w:styleId="CommentSubject">
    <w:name w:val="annotation subject"/>
    <w:basedOn w:val="CommentText"/>
    <w:next w:val="CommentText"/>
    <w:link w:val="CommentSubjectChar"/>
    <w:uiPriority w:val="99"/>
    <w:rsid w:val="00FE1AFB"/>
    <w:rPr>
      <w:b/>
      <w:bCs/>
    </w:rPr>
  </w:style>
  <w:style w:type="character" w:customStyle="1" w:styleId="CommentSubjectChar">
    <w:name w:val="Comment Subject Char"/>
    <w:link w:val="CommentSubject"/>
    <w:uiPriority w:val="99"/>
    <w:rsid w:val="00FE1AFB"/>
    <w:rPr>
      <w:b/>
      <w:bCs/>
    </w:rPr>
  </w:style>
  <w:style w:type="paragraph" w:customStyle="1" w:styleId="CharCharCharCharCharCharCharCharCharCharCharChar1CharCharChar1Char">
    <w:name w:val="Char Char Char Char Char Char Char Char Char Char Char Char1 Char Char Char1 Char"/>
    <w:basedOn w:val="Normal"/>
    <w:autoRedefine/>
    <w:semiHidden/>
    <w:rsid w:val="004B3431"/>
    <w:pPr>
      <w:widowControl w:val="0"/>
      <w:spacing w:before="80" w:after="80"/>
      <w:ind w:left="4320"/>
      <w:jc w:val="both"/>
    </w:pPr>
    <w:rPr>
      <w:rFonts w:cs="Arial"/>
      <w:bCs/>
    </w:rPr>
  </w:style>
  <w:style w:type="character" w:customStyle="1" w:styleId="FooterChar">
    <w:name w:val="Footer Char"/>
    <w:link w:val="Footer"/>
    <w:rsid w:val="00356595"/>
    <w:rPr>
      <w:sz w:val="24"/>
      <w:szCs w:val="24"/>
    </w:rPr>
  </w:style>
  <w:style w:type="character" w:styleId="FollowedHyperlink">
    <w:name w:val="FollowedHyperlink"/>
    <w:rsid w:val="0087073C"/>
    <w:rPr>
      <w:color w:val="800080"/>
      <w:u w:val="single"/>
    </w:rPr>
  </w:style>
  <w:style w:type="paragraph" w:styleId="FootnoteText">
    <w:name w:val="footnote text"/>
    <w:basedOn w:val="Normal"/>
    <w:link w:val="FootnoteTextChar"/>
    <w:uiPriority w:val="99"/>
    <w:rsid w:val="0000174D"/>
    <w:rPr>
      <w:sz w:val="20"/>
      <w:szCs w:val="20"/>
    </w:rPr>
  </w:style>
  <w:style w:type="character" w:customStyle="1" w:styleId="FootnoteTextChar">
    <w:name w:val="Footnote Text Char"/>
    <w:basedOn w:val="DefaultParagraphFont"/>
    <w:link w:val="FootnoteText"/>
    <w:uiPriority w:val="99"/>
    <w:rsid w:val="0000174D"/>
  </w:style>
  <w:style w:type="character" w:styleId="FootnoteReference">
    <w:name w:val="footnote reference"/>
    <w:uiPriority w:val="99"/>
    <w:rsid w:val="0000174D"/>
    <w:rPr>
      <w:vertAlign w:val="superscript"/>
    </w:rPr>
  </w:style>
  <w:style w:type="paragraph" w:styleId="ListParagraph">
    <w:name w:val="List Paragraph"/>
    <w:basedOn w:val="Normal"/>
    <w:uiPriority w:val="34"/>
    <w:qFormat/>
    <w:rsid w:val="00E306EB"/>
    <w:pPr>
      <w:ind w:left="720"/>
      <w:contextualSpacing/>
    </w:pPr>
  </w:style>
  <w:style w:type="character" w:styleId="UnresolvedMention">
    <w:name w:val="Unresolved Mention"/>
    <w:basedOn w:val="DefaultParagraphFont"/>
    <w:uiPriority w:val="99"/>
    <w:semiHidden/>
    <w:unhideWhenUsed/>
    <w:rsid w:val="008B72DE"/>
    <w:rPr>
      <w:color w:val="605E5C"/>
      <w:shd w:val="clear" w:color="auto" w:fill="E1DFDD"/>
    </w:rPr>
  </w:style>
  <w:style w:type="paragraph" w:customStyle="1" w:styleId="paragraph">
    <w:name w:val="paragraph"/>
    <w:basedOn w:val="Normal"/>
    <w:rsid w:val="005E18FC"/>
    <w:pPr>
      <w:spacing w:before="100" w:beforeAutospacing="1" w:after="100" w:afterAutospacing="1"/>
    </w:pPr>
  </w:style>
  <w:style w:type="character" w:customStyle="1" w:styleId="eop">
    <w:name w:val="eop"/>
    <w:basedOn w:val="DefaultParagraphFont"/>
    <w:rsid w:val="005E18FC"/>
  </w:style>
  <w:style w:type="character" w:customStyle="1" w:styleId="normaltextrun">
    <w:name w:val="normaltextrun"/>
    <w:basedOn w:val="DefaultParagraphFont"/>
    <w:rsid w:val="005E1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hyperlink" Target="https://www.bls.gov/news.release/archives/ecec_03182022.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so.fema.net/cis/homepage.ac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7D8CB-3983-46EE-A91C-CA81DDA6D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5B628-9B4C-40D0-9B3A-CDF8B7AE49B2}">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3.xml><?xml version="1.0" encoding="utf-8"?>
<ds:datastoreItem xmlns:ds="http://schemas.openxmlformats.org/officeDocument/2006/customXml" ds:itemID="{A8DD9026-5982-42A0-875B-9444E0B09CDB}">
  <ds:schemaRefs>
    <ds:schemaRef ds:uri="http://schemas.openxmlformats.org/officeDocument/2006/bibliography"/>
  </ds:schemaRefs>
</ds:datastoreItem>
</file>

<file path=customXml/itemProps4.xml><?xml version="1.0" encoding="utf-8"?>
<ds:datastoreItem xmlns:ds="http://schemas.openxmlformats.org/officeDocument/2006/customXml" ds:itemID="{7AE15BB0-F235-40C6-9E12-1655E12F5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3729</Words>
  <Characters>21998</Characters>
  <Application>Microsoft Office Word</Application>
  <DocSecurity>0</DocSecurity>
  <Lines>183</Lines>
  <Paragraphs>51</Paragraphs>
  <ScaleCrop>false</ScaleCrop>
  <Company>FEMA</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jramsayj</dc:creator>
  <cp:lastModifiedBy>Crosby, Kevin</cp:lastModifiedBy>
  <cp:revision>3</cp:revision>
  <cp:lastPrinted>2017-10-06T21:52:00Z</cp:lastPrinted>
  <dcterms:created xsi:type="dcterms:W3CDTF">2022-11-28T14:48:00Z</dcterms:created>
  <dcterms:modified xsi:type="dcterms:W3CDTF">2022-11-28T14:48:00Z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_NewReviewCycle">
    <vt:lpwstr/>
  </property>
</Properties>
</file>