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E63A1" w:rsidRPr="00E80017" w:rsidP="00CE63A1" w14:paraId="6A7F6F05" w14:textId="77777777">
      <w:pPr>
        <w:pStyle w:val="ListParagraph"/>
        <w:tabs>
          <w:tab w:val="left" w:pos="900"/>
        </w:tabs>
        <w:suppressAutoHyphens/>
        <w:ind w:left="180"/>
        <w:rPr>
          <w:rFonts w:asciiTheme="minorHAnsi" w:hAnsiTheme="minorHAnsi" w:cstheme="minorHAnsi"/>
          <w:szCs w:val="24"/>
        </w:rPr>
      </w:pPr>
      <w:r w:rsidRPr="00E80017">
        <w:rPr>
          <w:rFonts w:asciiTheme="minorHAnsi" w:hAnsiTheme="minorHAnsi" w:cstheme="minorHAnsi"/>
          <w:szCs w:val="24"/>
        </w:rPr>
        <w:t>The Department of Education (the Department) amend</w:t>
      </w:r>
      <w:r>
        <w:rPr>
          <w:rFonts w:asciiTheme="minorHAnsi" w:hAnsiTheme="minorHAnsi" w:cstheme="minorHAnsi"/>
          <w:szCs w:val="24"/>
        </w:rPr>
        <w:t>s</w:t>
      </w:r>
      <w:r w:rsidRPr="00E80017">
        <w:rPr>
          <w:rFonts w:asciiTheme="minorHAnsi" w:hAnsiTheme="minorHAnsi" w:cstheme="minorHAnsi"/>
          <w:szCs w:val="24"/>
        </w:rPr>
        <w:t xml:space="preserve"> the William D. Ford Federal Direct Loan (Direct Loan) Program regulations issued under the Higher Education Act of 1965, as amended (HEA), to implement changes made to the regulations in §685.300 - </w:t>
      </w:r>
      <w:r w:rsidRPr="00E80017">
        <w:rPr>
          <w:rFonts w:asciiTheme="minorHAnsi" w:hAnsiTheme="minorHAnsi" w:cstheme="minorHAnsi"/>
          <w:color w:val="000000"/>
          <w:szCs w:val="24"/>
        </w:rPr>
        <w:t>Agreements between an eligible school and the Secretary for participation in the Direct Loan Program and to remove prior changes to</w:t>
      </w:r>
      <w:r w:rsidRPr="00E80017">
        <w:rPr>
          <w:rFonts w:asciiTheme="minorHAnsi" w:hAnsiTheme="minorHAnsi" w:cstheme="minorHAnsi"/>
          <w:szCs w:val="24"/>
        </w:rPr>
        <w:t xml:space="preserve"> §685.304 - Counseling borrowers.  These </w:t>
      </w:r>
      <w:r>
        <w:rPr>
          <w:rFonts w:asciiTheme="minorHAnsi" w:hAnsiTheme="minorHAnsi" w:cstheme="minorHAnsi"/>
          <w:szCs w:val="24"/>
        </w:rPr>
        <w:t>final</w:t>
      </w:r>
      <w:r w:rsidRPr="00E80017">
        <w:rPr>
          <w:rFonts w:asciiTheme="minorHAnsi" w:hAnsiTheme="minorHAnsi" w:cstheme="minorHAnsi"/>
          <w:szCs w:val="24"/>
        </w:rPr>
        <w:t xml:space="preserve"> regulations are a result of negotiated rulemaking and add</w:t>
      </w:r>
      <w:r>
        <w:rPr>
          <w:rFonts w:asciiTheme="minorHAnsi" w:hAnsiTheme="minorHAnsi" w:cstheme="minorHAnsi"/>
          <w:szCs w:val="24"/>
        </w:rPr>
        <w:t>s</w:t>
      </w:r>
      <w:r w:rsidRPr="00E80017">
        <w:rPr>
          <w:rFonts w:asciiTheme="minorHAnsi" w:hAnsiTheme="minorHAnsi" w:cstheme="minorHAnsi"/>
          <w:szCs w:val="24"/>
        </w:rPr>
        <w:t xml:space="preserve"> new requirements</w:t>
      </w:r>
      <w:r>
        <w:rPr>
          <w:rFonts w:asciiTheme="minorHAnsi" w:hAnsiTheme="minorHAnsi" w:cstheme="minorHAnsi"/>
          <w:szCs w:val="24"/>
        </w:rPr>
        <w:t xml:space="preserve"> to</w:t>
      </w:r>
      <w:r w:rsidRPr="00E80017">
        <w:rPr>
          <w:rFonts w:asciiTheme="minorHAnsi" w:hAnsiTheme="minorHAnsi" w:cstheme="minorHAnsi"/>
          <w:szCs w:val="24"/>
        </w:rPr>
        <w:t xml:space="preserve"> and remove</w:t>
      </w:r>
      <w:r>
        <w:rPr>
          <w:rFonts w:asciiTheme="minorHAnsi" w:hAnsiTheme="minorHAnsi" w:cstheme="minorHAnsi"/>
          <w:szCs w:val="24"/>
        </w:rPr>
        <w:t>s</w:t>
      </w:r>
      <w:r w:rsidRPr="00E80017">
        <w:rPr>
          <w:rFonts w:asciiTheme="minorHAnsi" w:hAnsiTheme="minorHAnsi" w:cstheme="minorHAnsi"/>
          <w:szCs w:val="24"/>
        </w:rPr>
        <w:t xml:space="preserve"> a requirement </w:t>
      </w:r>
      <w:r>
        <w:rPr>
          <w:rFonts w:asciiTheme="minorHAnsi" w:hAnsiTheme="minorHAnsi" w:cstheme="minorHAnsi"/>
          <w:szCs w:val="24"/>
        </w:rPr>
        <w:t>from</w:t>
      </w:r>
      <w:r w:rsidRPr="00E80017">
        <w:rPr>
          <w:rFonts w:asciiTheme="minorHAnsi" w:hAnsiTheme="minorHAnsi" w:cstheme="minorHAnsi"/>
          <w:szCs w:val="24"/>
        </w:rPr>
        <w:t xml:space="preserve"> the current regulations.  </w:t>
      </w:r>
    </w:p>
    <w:p w:rsidR="00CE63A1" w:rsidRPr="00E80017" w:rsidP="00CE63A1" w14:paraId="35D2F712" w14:textId="77777777">
      <w:pPr>
        <w:pStyle w:val="ListParagraph"/>
        <w:tabs>
          <w:tab w:val="left" w:pos="900"/>
        </w:tabs>
        <w:suppressAutoHyphens/>
        <w:ind w:left="180"/>
        <w:rPr>
          <w:rFonts w:asciiTheme="minorHAnsi" w:hAnsiTheme="minorHAnsi" w:cstheme="minorHAnsi"/>
          <w:szCs w:val="24"/>
        </w:rPr>
      </w:pPr>
    </w:p>
    <w:p w:rsidR="00CE63A1" w:rsidP="00CE63A1" w14:paraId="3C3288A9" w14:textId="77777777">
      <w:pPr>
        <w:pStyle w:val="ListParagraph"/>
        <w:tabs>
          <w:tab w:val="left" w:pos="900"/>
        </w:tabs>
        <w:ind w:left="180"/>
        <w:rPr>
          <w:rFonts w:asciiTheme="minorHAnsi" w:hAnsiTheme="minorHAnsi" w:cstheme="minorHAnsi"/>
          <w:szCs w:val="24"/>
        </w:rPr>
      </w:pPr>
      <w:r w:rsidRPr="00E80017">
        <w:rPr>
          <w:rFonts w:asciiTheme="minorHAnsi" w:hAnsiTheme="minorHAnsi" w:cstheme="minorHAnsi"/>
          <w:szCs w:val="24"/>
        </w:rPr>
        <w:t xml:space="preserve">These </w:t>
      </w:r>
      <w:r>
        <w:rPr>
          <w:rFonts w:asciiTheme="minorHAnsi" w:hAnsiTheme="minorHAnsi" w:cstheme="minorHAnsi"/>
          <w:szCs w:val="24"/>
        </w:rPr>
        <w:t xml:space="preserve">final </w:t>
      </w:r>
      <w:r w:rsidRPr="00E80017">
        <w:rPr>
          <w:rFonts w:asciiTheme="minorHAnsi" w:hAnsiTheme="minorHAnsi" w:cstheme="minorHAnsi"/>
          <w:szCs w:val="24"/>
        </w:rPr>
        <w:t xml:space="preserve">regulations remove §685.304(a)(6)(xiii) through (xv).  The </w:t>
      </w:r>
      <w:r>
        <w:rPr>
          <w:rFonts w:asciiTheme="minorHAnsi" w:hAnsiTheme="minorHAnsi" w:cstheme="minorHAnsi"/>
          <w:szCs w:val="24"/>
        </w:rPr>
        <w:t>final</w:t>
      </w:r>
      <w:r w:rsidRPr="00E80017">
        <w:rPr>
          <w:rFonts w:asciiTheme="minorHAnsi" w:hAnsiTheme="minorHAnsi" w:cstheme="minorHAnsi"/>
          <w:szCs w:val="24"/>
        </w:rPr>
        <w:t xml:space="preserve"> regulations at §685.300 state the conditions under which disclosures would be required and provide deadlines for such disclosures removing the need for this regulatory language. </w:t>
      </w:r>
    </w:p>
    <w:p w:rsidR="00CE63A1" w:rsidP="00CE63A1" w14:paraId="79B1917C" w14:textId="77777777">
      <w:pPr>
        <w:pStyle w:val="ListParagraph"/>
        <w:rPr>
          <w:rFonts w:asciiTheme="minorHAnsi" w:hAnsiTheme="minorHAnsi" w:cstheme="minorHAnsi"/>
          <w:szCs w:val="24"/>
        </w:rPr>
      </w:pPr>
    </w:p>
    <w:p w:rsidR="001465A7" w:rsidP="00CE63A1" w14:paraId="2C0854BB" w14:textId="07BDABF0">
      <w:pPr>
        <w:ind w:left="180"/>
        <w:rPr>
          <w:rFonts w:asciiTheme="minorHAnsi" w:hAnsiTheme="minorHAnsi" w:cstheme="minorHAnsi"/>
          <w:szCs w:val="24"/>
        </w:rPr>
      </w:pPr>
      <w:r>
        <w:rPr>
          <w:rFonts w:asciiTheme="minorHAnsi" w:hAnsiTheme="minorHAnsi" w:cstheme="minorHAnsi"/>
          <w:szCs w:val="24"/>
        </w:rPr>
        <w:t>These regulations change the respondents/responses/burden hours for individuals in this collection by -342,407/-342,407/-27,393.</w:t>
      </w:r>
    </w:p>
    <w:p w:rsidR="00E57753" w:rsidRPr="00ED28CA" w:rsidP="00E57753" w14:paraId="55503445" w14:textId="77777777">
      <w:pPr>
        <w:tabs>
          <w:tab w:val="left" w:pos="180"/>
        </w:tabs>
        <w:ind w:left="180"/>
        <w:rPr>
          <w:rFonts w:asciiTheme="minorHAnsi" w:hAnsiTheme="minorHAnsi" w:cstheme="minorHAnsi"/>
          <w:szCs w:val="24"/>
        </w:rPr>
      </w:pPr>
    </w:p>
    <w:p w:rsidR="000E6B4F" w:rsidRPr="00ED28CA" w:rsidP="00FC5F5D" w14:paraId="2C0854BC" w14:textId="7B46D7E8">
      <w:pPr>
        <w:ind w:firstLine="450"/>
        <w:rPr>
          <w:rFonts w:asciiTheme="minorHAnsi" w:hAnsiTheme="minorHAnsi" w:cstheme="minorHAnsi"/>
          <w:szCs w:val="24"/>
        </w:rPr>
      </w:pPr>
      <w:r w:rsidRPr="00ED28CA">
        <w:rPr>
          <w:rFonts w:asciiTheme="minorHAnsi" w:hAnsiTheme="minorHAnsi" w:cstheme="minorHAnsi"/>
          <w:szCs w:val="24"/>
        </w:rPr>
        <w:t>Individuals</w:t>
      </w:r>
      <w:r w:rsidRPr="00ED28CA">
        <w:rPr>
          <w:rFonts w:asciiTheme="minorHAnsi" w:hAnsiTheme="minorHAnsi" w:cstheme="minorHAnsi"/>
          <w:szCs w:val="24"/>
        </w:rPr>
        <w:tab/>
      </w:r>
      <w:r w:rsidRPr="00ED28CA">
        <w:rPr>
          <w:rFonts w:asciiTheme="minorHAnsi" w:hAnsiTheme="minorHAnsi" w:cstheme="minorHAnsi"/>
          <w:szCs w:val="24"/>
        </w:rPr>
        <w:tab/>
      </w:r>
    </w:p>
    <w:p w:rsidR="001465A7" w:rsidRPr="00ED28CA" w:rsidP="00FC5F5D" w14:paraId="2C0854BD" w14:textId="77777777">
      <w:pPr>
        <w:ind w:firstLine="450"/>
        <w:rPr>
          <w:rFonts w:asciiTheme="minorHAnsi" w:hAnsiTheme="minorHAnsi" w:cstheme="minorHAnsi"/>
          <w:szCs w:val="24"/>
        </w:rPr>
      </w:pPr>
    </w:p>
    <w:p w:rsidR="001465A7" w:rsidRPr="00ED28CA" w:rsidP="00FC5F5D" w14:paraId="2C0854BE" w14:textId="07AA58FD">
      <w:pPr>
        <w:ind w:firstLine="450"/>
        <w:rPr>
          <w:rFonts w:asciiTheme="minorHAnsi" w:hAnsiTheme="minorHAnsi" w:cstheme="minorHAnsi"/>
          <w:szCs w:val="24"/>
        </w:rPr>
      </w:pPr>
      <w:r w:rsidRPr="00ED28CA">
        <w:rPr>
          <w:rFonts w:asciiTheme="minorHAnsi" w:hAnsiTheme="minorHAnsi" w:cstheme="minorHAnsi"/>
          <w:szCs w:val="24"/>
        </w:rPr>
        <w:t>Respondents</w:t>
      </w:r>
      <w:r w:rsidRPr="00ED28CA">
        <w:rPr>
          <w:rFonts w:asciiTheme="minorHAnsi" w:hAnsiTheme="minorHAnsi" w:cstheme="minorHAnsi"/>
          <w:szCs w:val="24"/>
        </w:rPr>
        <w:tab/>
      </w:r>
      <w:r w:rsidRPr="00ED28CA">
        <w:rPr>
          <w:rFonts w:asciiTheme="minorHAnsi" w:hAnsiTheme="minorHAnsi" w:cstheme="minorHAnsi"/>
          <w:szCs w:val="24"/>
        </w:rPr>
        <w:tab/>
      </w:r>
      <w:r w:rsidR="00E57753">
        <w:rPr>
          <w:rFonts w:asciiTheme="minorHAnsi" w:hAnsiTheme="minorHAnsi" w:cstheme="minorHAnsi"/>
          <w:szCs w:val="24"/>
        </w:rPr>
        <w:t>7,500,838</w:t>
      </w:r>
    </w:p>
    <w:p w:rsidR="001465A7" w:rsidRPr="00ED28CA" w:rsidP="00FC5F5D" w14:paraId="2C0854BF" w14:textId="0CF0E3AE">
      <w:pPr>
        <w:ind w:firstLine="450"/>
        <w:rPr>
          <w:rFonts w:asciiTheme="minorHAnsi" w:hAnsiTheme="minorHAnsi" w:cstheme="minorHAnsi"/>
          <w:szCs w:val="24"/>
        </w:rPr>
      </w:pPr>
      <w:r w:rsidRPr="00ED28CA">
        <w:rPr>
          <w:rFonts w:asciiTheme="minorHAnsi" w:hAnsiTheme="minorHAnsi" w:cstheme="minorHAnsi"/>
          <w:szCs w:val="24"/>
        </w:rPr>
        <w:t>Responses</w:t>
      </w:r>
      <w:r w:rsidRPr="00ED28CA">
        <w:rPr>
          <w:rFonts w:asciiTheme="minorHAnsi" w:hAnsiTheme="minorHAnsi" w:cstheme="minorHAnsi"/>
          <w:szCs w:val="24"/>
        </w:rPr>
        <w:tab/>
      </w:r>
      <w:r w:rsidRPr="00ED28CA">
        <w:rPr>
          <w:rFonts w:asciiTheme="minorHAnsi" w:hAnsiTheme="minorHAnsi" w:cstheme="minorHAnsi"/>
          <w:szCs w:val="24"/>
        </w:rPr>
        <w:tab/>
      </w:r>
      <w:r w:rsidR="00E57753">
        <w:rPr>
          <w:rFonts w:asciiTheme="minorHAnsi" w:hAnsiTheme="minorHAnsi" w:cstheme="minorHAnsi"/>
          <w:szCs w:val="24"/>
        </w:rPr>
        <w:t>7,500,838</w:t>
      </w:r>
    </w:p>
    <w:p w:rsidR="001465A7" w:rsidRPr="00ED28CA" w:rsidP="00FC5F5D" w14:paraId="2C0854C0" w14:textId="0EFF0463">
      <w:pPr>
        <w:ind w:firstLine="450"/>
        <w:rPr>
          <w:rFonts w:asciiTheme="minorHAnsi" w:hAnsiTheme="minorHAnsi" w:cstheme="minorHAnsi"/>
          <w:szCs w:val="24"/>
        </w:rPr>
      </w:pPr>
      <w:r w:rsidRPr="00ED28CA">
        <w:rPr>
          <w:rFonts w:asciiTheme="minorHAnsi" w:hAnsiTheme="minorHAnsi" w:cstheme="minorHAnsi"/>
          <w:szCs w:val="24"/>
        </w:rPr>
        <w:t>Burden Hours</w:t>
      </w:r>
      <w:r w:rsidRPr="00ED28CA">
        <w:rPr>
          <w:rFonts w:asciiTheme="minorHAnsi" w:hAnsiTheme="minorHAnsi" w:cstheme="minorHAnsi"/>
          <w:szCs w:val="24"/>
        </w:rPr>
        <w:tab/>
      </w:r>
      <w:r w:rsidRPr="00ED28CA">
        <w:rPr>
          <w:rFonts w:asciiTheme="minorHAnsi" w:hAnsiTheme="minorHAnsi" w:cstheme="minorHAnsi"/>
          <w:szCs w:val="24"/>
        </w:rPr>
        <w:tab/>
      </w:r>
      <w:r w:rsidR="00E57753">
        <w:rPr>
          <w:rFonts w:asciiTheme="minorHAnsi" w:hAnsiTheme="minorHAnsi" w:cstheme="minorHAnsi"/>
          <w:szCs w:val="24"/>
        </w:rPr>
        <w:t xml:space="preserve">    586,593</w:t>
      </w:r>
    </w:p>
    <w:p w:rsidR="001465A7" w:rsidRPr="00ED28CA" w:rsidP="00FC5F5D" w14:paraId="2C0854C1" w14:textId="77777777">
      <w:pPr>
        <w:rPr>
          <w:rFonts w:asciiTheme="minorHAnsi" w:hAnsiTheme="minorHAnsi" w:cstheme="minorHAnsi"/>
          <w:szCs w:val="24"/>
        </w:rPr>
      </w:pPr>
    </w:p>
    <w:p w:rsidR="001465A7" w:rsidRPr="00ED28CA" w:rsidP="00CE63A1" w14:paraId="2C0854C3" w14:textId="3BF1CADE">
      <w:pPr>
        <w:tabs>
          <w:tab w:val="left" w:pos="-720"/>
          <w:tab w:val="left" w:pos="360"/>
        </w:tabs>
        <w:suppressAutoHyphens/>
        <w:ind w:left="180"/>
        <w:rPr>
          <w:rFonts w:asciiTheme="minorHAnsi" w:hAnsiTheme="minorHAnsi" w:cstheme="minorHAnsi"/>
          <w:szCs w:val="24"/>
          <w:u w:val="single"/>
        </w:rPr>
      </w:pPr>
      <w:r w:rsidRPr="00ED28CA">
        <w:rPr>
          <w:rFonts w:asciiTheme="minorHAnsi" w:hAnsiTheme="minorHAnsi" w:cstheme="minorHAnsi"/>
          <w:szCs w:val="24"/>
        </w:rPr>
        <w:t xml:space="preserve">We </w:t>
      </w:r>
      <w:r w:rsidRPr="00ED28CA" w:rsidR="00ED28CA">
        <w:rPr>
          <w:rFonts w:asciiTheme="minorHAnsi" w:hAnsiTheme="minorHAnsi" w:cstheme="minorHAnsi"/>
          <w:szCs w:val="24"/>
        </w:rPr>
        <w:t xml:space="preserve">remove </w:t>
      </w:r>
      <w:r w:rsidRPr="00ED28CA">
        <w:rPr>
          <w:rFonts w:asciiTheme="minorHAnsi" w:hAnsiTheme="minorHAnsi" w:cstheme="minorHAnsi"/>
          <w:szCs w:val="24"/>
        </w:rPr>
        <w:t xml:space="preserve">the </w:t>
      </w:r>
      <w:r w:rsidRPr="00ED28CA" w:rsidR="00ED28CA">
        <w:rPr>
          <w:rFonts w:asciiTheme="minorHAnsi" w:hAnsiTheme="minorHAnsi" w:cstheme="minorHAnsi"/>
          <w:szCs w:val="24"/>
        </w:rPr>
        <w:t xml:space="preserve">previously estimated </w:t>
      </w:r>
      <w:r w:rsidRPr="00ED28CA">
        <w:rPr>
          <w:rFonts w:asciiTheme="minorHAnsi" w:hAnsiTheme="minorHAnsi" w:cstheme="minorHAnsi"/>
          <w:szCs w:val="24"/>
        </w:rPr>
        <w:t>cost</w:t>
      </w:r>
      <w:r w:rsidRPr="00ED28CA" w:rsidR="00ED28CA">
        <w:rPr>
          <w:rFonts w:asciiTheme="minorHAnsi" w:hAnsiTheme="minorHAnsi" w:cstheme="minorHAnsi"/>
          <w:szCs w:val="24"/>
        </w:rPr>
        <w:t>s</w:t>
      </w:r>
      <w:r w:rsidRPr="00ED28CA">
        <w:rPr>
          <w:rFonts w:asciiTheme="minorHAnsi" w:hAnsiTheme="minorHAnsi" w:cstheme="minorHAnsi"/>
          <w:szCs w:val="24"/>
        </w:rPr>
        <w:t xml:space="preserve"> to respondents</w:t>
      </w:r>
      <w:r w:rsidRPr="00ED28CA" w:rsidR="00ED28CA">
        <w:rPr>
          <w:rFonts w:asciiTheme="minorHAnsi" w:hAnsiTheme="minorHAnsi" w:cstheme="minorHAnsi"/>
          <w:szCs w:val="24"/>
        </w:rPr>
        <w:t xml:space="preserve"> for §685.304</w:t>
      </w:r>
      <w:r w:rsidRPr="00ED28CA">
        <w:rPr>
          <w:rFonts w:asciiTheme="minorHAnsi" w:hAnsiTheme="minorHAnsi" w:cstheme="minorHAnsi"/>
          <w:szCs w:val="24"/>
        </w:rPr>
        <w:t xml:space="preserve"> based on $16.30 for individuals </w:t>
      </w:r>
      <w:r w:rsidRPr="00ED28CA" w:rsidR="00ED28CA">
        <w:rPr>
          <w:rFonts w:asciiTheme="minorHAnsi" w:hAnsiTheme="minorHAnsi" w:cstheme="minorHAnsi"/>
          <w:szCs w:val="24"/>
        </w:rPr>
        <w:t xml:space="preserve">per burden hour:  </w:t>
      </w:r>
      <w:r w:rsidRPr="00ED28CA" w:rsidR="00FC5F5D">
        <w:rPr>
          <w:rFonts w:asciiTheme="minorHAnsi" w:hAnsiTheme="minorHAnsi" w:cstheme="minorHAnsi"/>
          <w:szCs w:val="24"/>
        </w:rPr>
        <w:t xml:space="preserve"> $</w:t>
      </w:r>
      <w:r w:rsidRPr="00ED28CA" w:rsidR="00ED28CA">
        <w:rPr>
          <w:rFonts w:asciiTheme="minorHAnsi" w:hAnsiTheme="minorHAnsi" w:cstheme="minorHAnsi"/>
          <w:szCs w:val="24"/>
        </w:rPr>
        <w:t>-</w:t>
      </w:r>
      <w:r w:rsidRPr="00ED28CA">
        <w:rPr>
          <w:rFonts w:asciiTheme="minorHAnsi" w:hAnsiTheme="minorHAnsi" w:cstheme="minorHAnsi"/>
          <w:szCs w:val="24"/>
        </w:rPr>
        <w:t>446,505.90</w:t>
      </w:r>
      <w:r w:rsidRPr="00ED28CA" w:rsidR="00FC5F5D">
        <w:rPr>
          <w:rFonts w:asciiTheme="minorHAnsi" w:hAnsiTheme="minorHAnsi" w:cstheme="minorHAnsi"/>
          <w:szCs w:val="24"/>
        </w:rPr>
        <w:t xml:space="preserve"> </w:t>
      </w:r>
      <w:r w:rsidRPr="00ED28CA">
        <w:rPr>
          <w:rFonts w:asciiTheme="minorHAnsi" w:hAnsiTheme="minorHAnsi" w:cstheme="minorHAnsi"/>
          <w:szCs w:val="24"/>
        </w:rPr>
        <w:t>(27,393 hours x $16.30)</w:t>
      </w:r>
      <w:r w:rsidRPr="00ED28CA" w:rsidR="00FC5F5D">
        <w:rPr>
          <w:rFonts w:asciiTheme="minorHAnsi" w:hAnsiTheme="minorHAnsi" w:cstheme="minorHAnsi"/>
          <w:szCs w:val="24"/>
        </w:rPr>
        <w:t>.</w:t>
      </w:r>
    </w:p>
    <w:p w:rsidR="001465A7" w:rsidRPr="00ED28CA" w:rsidP="00FC5F5D" w14:paraId="2C0854C4" w14:textId="77777777">
      <w:pPr>
        <w:rPr>
          <w:rFonts w:asciiTheme="minorHAnsi" w:hAnsiTheme="minorHAnsi" w:cstheme="minorHAnsi"/>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65A7" w:rsidRPr="00ED28CA" w:rsidP="001465A7" w14:paraId="2C0854C9" w14:textId="6F86FCA3">
    <w:pPr>
      <w:pStyle w:val="Header"/>
      <w:rPr>
        <w:rFonts w:asciiTheme="minorHAnsi" w:hAnsiTheme="minorHAnsi" w:cstheme="minorHAnsi"/>
        <w:sz w:val="20"/>
      </w:rPr>
    </w:pPr>
    <w:r w:rsidRPr="00ED28CA">
      <w:rPr>
        <w:rFonts w:asciiTheme="minorHAnsi" w:hAnsiTheme="minorHAnsi" w:cstheme="minorHAnsi"/>
        <w:sz w:val="20"/>
      </w:rPr>
      <w:t>1845-0021 – Affected Public – Individuals</w:t>
    </w:r>
    <w:r w:rsidRPr="00ED28CA">
      <w:rPr>
        <w:rFonts w:asciiTheme="minorHAnsi" w:hAnsiTheme="minorHAnsi" w:cstheme="minorHAnsi"/>
        <w:sz w:val="20"/>
      </w:rPr>
      <w:tab/>
    </w:r>
    <w:r w:rsidRPr="00ED28CA">
      <w:rPr>
        <w:rFonts w:asciiTheme="minorHAnsi" w:hAnsiTheme="minorHAnsi" w:cstheme="minorHAnsi"/>
        <w:sz w:val="20"/>
      </w:rPr>
      <w:tab/>
    </w:r>
    <w:r w:rsidR="00C13E86">
      <w:rPr>
        <w:rFonts w:asciiTheme="minorHAnsi" w:hAnsiTheme="minorHAnsi" w:cstheme="minorHAnsi"/>
        <w:sz w:val="20"/>
      </w:rPr>
      <w:t>9/22/2022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A7"/>
    <w:rsid w:val="000E6B4F"/>
    <w:rsid w:val="001465A7"/>
    <w:rsid w:val="001D7370"/>
    <w:rsid w:val="00252747"/>
    <w:rsid w:val="0051119B"/>
    <w:rsid w:val="00651477"/>
    <w:rsid w:val="006F7204"/>
    <w:rsid w:val="00904774"/>
    <w:rsid w:val="009354C6"/>
    <w:rsid w:val="00C13E86"/>
    <w:rsid w:val="00CE63A1"/>
    <w:rsid w:val="00D80D61"/>
    <w:rsid w:val="00E50C5F"/>
    <w:rsid w:val="00E57753"/>
    <w:rsid w:val="00E80017"/>
    <w:rsid w:val="00ED28CA"/>
    <w:rsid w:val="00FC1150"/>
    <w:rsid w:val="00FC5F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0854B3"/>
  <w15:docId w15:val="{C480381F-4FB3-4EDE-AFEF-9CC0E2A0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5A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5A7"/>
    <w:pPr>
      <w:tabs>
        <w:tab w:val="center" w:pos="4680"/>
        <w:tab w:val="right" w:pos="9360"/>
      </w:tabs>
    </w:pPr>
  </w:style>
  <w:style w:type="character" w:customStyle="1" w:styleId="HeaderChar">
    <w:name w:val="Header Char"/>
    <w:basedOn w:val="DefaultParagraphFont"/>
    <w:link w:val="Header"/>
    <w:uiPriority w:val="99"/>
    <w:rsid w:val="001465A7"/>
    <w:rPr>
      <w:rFonts w:ascii="Courier" w:eastAsia="Times New Roman" w:hAnsi="Courier" w:cs="Times New Roman"/>
      <w:sz w:val="24"/>
      <w:szCs w:val="20"/>
    </w:rPr>
  </w:style>
  <w:style w:type="paragraph" w:styleId="Footer">
    <w:name w:val="footer"/>
    <w:basedOn w:val="Normal"/>
    <w:link w:val="FooterChar"/>
    <w:uiPriority w:val="99"/>
    <w:unhideWhenUsed/>
    <w:rsid w:val="001465A7"/>
    <w:pPr>
      <w:tabs>
        <w:tab w:val="center" w:pos="4680"/>
        <w:tab w:val="right" w:pos="9360"/>
      </w:tabs>
    </w:pPr>
  </w:style>
  <w:style w:type="character" w:customStyle="1" w:styleId="FooterChar">
    <w:name w:val="Footer Char"/>
    <w:basedOn w:val="DefaultParagraphFont"/>
    <w:link w:val="Footer"/>
    <w:uiPriority w:val="99"/>
    <w:rsid w:val="001465A7"/>
    <w:rPr>
      <w:rFonts w:ascii="Courier" w:eastAsia="Times New Roman" w:hAnsi="Courier" w:cs="Times New Roman"/>
      <w:sz w:val="24"/>
      <w:szCs w:val="20"/>
    </w:rPr>
  </w:style>
  <w:style w:type="paragraph" w:styleId="ListParagraph">
    <w:name w:val="List Paragraph"/>
    <w:basedOn w:val="Normal"/>
    <w:uiPriority w:val="34"/>
    <w:qFormat/>
    <w:rsid w:val="00ED28CA"/>
    <w:pPr>
      <w:ind w:left="720"/>
      <w:contextualSpacing/>
    </w:pPr>
  </w:style>
  <w:style w:type="character" w:customStyle="1" w:styleId="normaltextrun">
    <w:name w:val="normaltextrun"/>
    <w:basedOn w:val="DefaultParagraphFont"/>
    <w:rsid w:val="00CE6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1020</Characters>
  <Application>Microsoft Office Word</Application>
  <DocSecurity>0</DocSecurity>
  <Lines>8</Lines>
  <Paragraphs>2</Paragraphs>
  <ScaleCrop>false</ScaleCrop>
  <Company>U.S. Department of Education</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2022-11-02T11:13:00Z</dcterms:created>
  <dcterms:modified xsi:type="dcterms:W3CDTF">2022-11-02T11:13:00Z</dcterms:modified>
</cp:coreProperties>
</file>