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6B6D" w:rsidRPr="001D2EC1" w:rsidP="001D2EC1" w14:paraId="47F59ADF" w14:textId="77777777">
      <w:pPr>
        <w:widowControl/>
        <w:tabs>
          <w:tab w:val="center" w:pos="5040"/>
        </w:tabs>
        <w:jc w:val="center"/>
      </w:pPr>
      <w:r w:rsidRPr="001D2EC1">
        <w:t>Supporting Statement for</w:t>
      </w:r>
    </w:p>
    <w:p w:rsidR="002B2810" w:rsidP="001D2EC1" w14:paraId="1AABC5F9" w14:textId="0DD19F13">
      <w:pPr>
        <w:widowControl/>
        <w:tabs>
          <w:tab w:val="center" w:pos="5040"/>
        </w:tabs>
        <w:jc w:val="center"/>
        <w:rPr>
          <w:b/>
          <w:bCs/>
        </w:rPr>
      </w:pPr>
      <w:r>
        <w:rPr>
          <w:b/>
          <w:bCs/>
        </w:rPr>
        <w:t>FERC-511 (Transfer of Hydropower License)</w:t>
      </w:r>
      <w:r>
        <w:rPr>
          <w:rStyle w:val="FootnoteReference"/>
          <w:b/>
          <w:bCs/>
          <w:vertAlign w:val="superscript"/>
        </w:rPr>
        <w:footnoteReference w:id="3"/>
      </w:r>
    </w:p>
    <w:p w:rsidR="009D6B6D" w:rsidRPr="001D2EC1" w:rsidP="001D2EC1" w14:paraId="13D26165" w14:textId="77777777">
      <w:pPr>
        <w:widowControl/>
        <w:tabs>
          <w:tab w:val="center" w:pos="5040"/>
        </w:tabs>
        <w:jc w:val="center"/>
      </w:pPr>
    </w:p>
    <w:p w:rsidR="009D6B6D" w:rsidRPr="00CC615D" w:rsidP="001F3ADE" w14:paraId="08EF0C81" w14:textId="0FCA1BEE">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Pr="002B2810" w:rsidR="002B2810">
        <w:rPr>
          <w:bCs/>
        </w:rPr>
        <w:t>FERC-</w:t>
      </w:r>
      <w:r w:rsidRPr="002B2810" w:rsidR="007F788C">
        <w:rPr>
          <w:bCs/>
        </w:rPr>
        <w:t xml:space="preserve"> </w:t>
      </w:r>
      <w:r w:rsidRPr="002B2810" w:rsidR="002B2810">
        <w:rPr>
          <w:bCs/>
        </w:rPr>
        <w:t>511 (Transfer of Hydropower License; OMB Control No. 1902-0069</w:t>
      </w:r>
      <w:r w:rsidRPr="002B2810" w:rsidR="00E32773">
        <w:rPr>
          <w:bCs/>
        </w:rPr>
        <w:t>)</w:t>
      </w:r>
      <w:r w:rsidRPr="002B2810" w:rsidR="002B2810">
        <w:rPr>
          <w:bCs/>
        </w:rPr>
        <w:t xml:space="preserve"> </w:t>
      </w:r>
      <w:r w:rsidRPr="002B2810" w:rsidR="00E32773">
        <w:rPr>
          <w:bCs/>
        </w:rPr>
        <w:t>for a three-</w:t>
      </w:r>
      <w:r w:rsidRPr="002B2810">
        <w:rPr>
          <w:bCs/>
        </w:rPr>
        <w:t xml:space="preserve">year period.  </w:t>
      </w:r>
      <w:r w:rsidRPr="002B2810" w:rsidR="0021208A">
        <w:rPr>
          <w:bCs/>
        </w:rPr>
        <w:t>FERC-</w:t>
      </w:r>
      <w:r w:rsidR="002B2810">
        <w:rPr>
          <w:bCs/>
        </w:rPr>
        <w:t>511</w:t>
      </w:r>
      <w:r w:rsidRPr="002B2810" w:rsidR="007D3EF2">
        <w:t xml:space="preserve"> </w:t>
      </w:r>
      <w:r w:rsidRPr="002B2810" w:rsidR="00CC615D">
        <w:t xml:space="preserve">is an existing data collection with </w:t>
      </w:r>
      <w:r w:rsidRPr="002B2810">
        <w:t>reporting requirement</w:t>
      </w:r>
      <w:r w:rsidR="001C70E5">
        <w:t>s</w:t>
      </w:r>
      <w:r w:rsidRPr="002B2810">
        <w:t xml:space="preserve"> in 18 Code of Federal Regulations (CFR) </w:t>
      </w:r>
      <w:r w:rsidRPr="002B2810" w:rsidR="00A57E47">
        <w:t>Part</w:t>
      </w:r>
      <w:r w:rsidR="002B2810">
        <w:t xml:space="preserve"> 9</w:t>
      </w:r>
      <w:r w:rsidR="007F3960">
        <w:t xml:space="preserve"> an</w:t>
      </w:r>
      <w:r w:rsidR="00080EE5">
        <w:t>d</w:t>
      </w:r>
      <w:r w:rsidR="007F3960">
        <w:t xml:space="preserve"> 18 CFR 131.20</w:t>
      </w:r>
      <w:r w:rsidR="0021208A">
        <w:t>.</w:t>
      </w:r>
      <w:r w:rsidR="002B2810">
        <w:t xml:space="preserve">  </w:t>
      </w:r>
    </w:p>
    <w:p w:rsidR="009D6B6D" w:rsidRPr="001D2EC1" w:rsidP="001D2EC1" w14:paraId="55BF55CD" w14:textId="77777777">
      <w:pPr>
        <w:widowControl/>
      </w:pPr>
    </w:p>
    <w:p w:rsidR="009D6B6D" w:rsidRPr="001D2EC1" w:rsidP="001D2EC1" w14:paraId="284B885E" w14:textId="77777777">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rsidR="009D6B6D" w:rsidRPr="001D2EC1" w:rsidP="001D2EC1" w14:paraId="74BB5164" w14:textId="77777777">
      <w:pPr>
        <w:widowControl/>
        <w:ind w:left="1440"/>
        <w:rPr>
          <w:b/>
        </w:rPr>
      </w:pPr>
    </w:p>
    <w:p w:rsidR="002B2810" w:rsidRPr="002B2810" w:rsidP="002B2810" w14:paraId="1A23CCB3" w14:textId="77777777">
      <w:r w:rsidRPr="002B2810">
        <w:t>Part 1 of the Federal Power Act</w:t>
      </w:r>
      <w:r>
        <w:rPr>
          <w:b/>
          <w:vertAlign w:val="superscript"/>
        </w:rPr>
        <w:footnoteReference w:id="4"/>
      </w:r>
      <w:r w:rsidRPr="002B2810">
        <w:t xml:space="preserve"> (FPA) gives the Commission authority to issue licenses for hydroelectric projects on the waters over which Congress has jurisdiction.</w:t>
      </w:r>
    </w:p>
    <w:p w:rsidR="002B2810" w:rsidRPr="002B2810" w:rsidP="002B2810" w14:paraId="6A70A7E5" w14:textId="77777777"/>
    <w:p w:rsidR="002B2810" w:rsidRPr="002B2810" w:rsidP="002B2810" w14:paraId="574A2949" w14:textId="6D6F8A3A">
      <w:r w:rsidRPr="002B2810">
        <w:t>Section 4(e)</w:t>
      </w:r>
      <w:r>
        <w:rPr>
          <w:b/>
          <w:vertAlign w:val="superscript"/>
        </w:rPr>
        <w:footnoteReference w:id="5"/>
      </w:r>
      <w:r w:rsidR="00516BB1">
        <w:t xml:space="preserve"> </w:t>
      </w:r>
      <w:r w:rsidRPr="002B2810">
        <w:t>of the FPA authorizes the Commission to issue licenses for the construction, operation and maintenance of dams, water conduits, reservoirs, power houses and transmission lines or other facilities necessary for development and improvement of navigation and for the development, transmission, and utilization of power from bodies of water over which Congress has jurisdiction.</w:t>
      </w:r>
    </w:p>
    <w:p w:rsidR="002B2810" w:rsidRPr="002B2810" w:rsidP="002B2810" w14:paraId="531EBECB" w14:textId="77777777">
      <w:pPr>
        <w:rPr>
          <w:b/>
        </w:rPr>
      </w:pPr>
    </w:p>
    <w:p w:rsidR="002B2810" w:rsidRPr="002B2810" w:rsidP="002B2810" w14:paraId="5D8A5373" w14:textId="68B82485">
      <w:r w:rsidRPr="002B2810">
        <w:t xml:space="preserve">Section 8 of the </w:t>
      </w:r>
      <w:r w:rsidR="00E758CD">
        <w:t>FPA</w:t>
      </w:r>
      <w:r w:rsidRPr="002B2810">
        <w:t xml:space="preserve"> (16 U.S.C. 801) provides that the voluntary transfer of any license can only be made with the written approval of the Commission.  Any successor to the licensee may assign the rights of the original licensee but is subject to all the conditions of the license.</w:t>
      </w:r>
    </w:p>
    <w:p w:rsidR="002B2810" w:rsidRPr="002B2810" w:rsidP="002B2810" w14:paraId="1EB05D96" w14:textId="77777777"/>
    <w:p w:rsidR="002B2810" w:rsidRPr="002B2810" w:rsidP="002B2810" w14:paraId="6F03122A" w14:textId="77777777">
      <w:r w:rsidRPr="002B2810">
        <w:t>The FPA requires FERC approval of the transfer of a hydroelectric license.  Among other things, the Commission ensures that the transferee qualifies under the FPA to be a licensee, e.g., foreign citizens or corporations cannot hold a license.  Licenses may be issued to citizens of the United States, or to any association of such citizens, or to any corporation organized under the laws of the United States or any individual state, or to any state or municipality.</w:t>
      </w:r>
    </w:p>
    <w:p w:rsidR="002B2810" w:rsidRPr="002B2810" w:rsidP="002B2810" w14:paraId="63DCCAD2" w14:textId="77777777">
      <w:pPr>
        <w:rPr>
          <w:u w:val="single"/>
        </w:rPr>
      </w:pPr>
    </w:p>
    <w:p w:rsidR="009D6B6D" w:rsidRPr="00980E8E" w:rsidP="001D2EC1" w14:paraId="31D7969C" w14:textId="77777777">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Pr="00980E8E" w:rsidR="00980E8E">
        <w:rPr>
          <w:b/>
          <w:sz w:val="24"/>
        </w:rPr>
        <w:t>USED AND THE CONSEQUENCES OF NOT COLLECTING THE INFORMATION</w:t>
      </w:r>
    </w:p>
    <w:p w:rsidR="00980E8E" w:rsidP="00980E8E" w14:paraId="36B9A4E1" w14:textId="77777777">
      <w:pPr>
        <w:pStyle w:val="FERCparanumber"/>
        <w:numPr>
          <w:ilvl w:val="0"/>
          <w:numId w:val="0"/>
        </w:numPr>
        <w:tabs>
          <w:tab w:val="left" w:pos="720"/>
          <w:tab w:val="left" w:pos="4860"/>
        </w:tabs>
        <w:rPr>
          <w:b/>
          <w:sz w:val="24"/>
        </w:rPr>
      </w:pPr>
    </w:p>
    <w:p w:rsidR="002B2810" w:rsidRPr="00371943" w:rsidP="002B2810" w14:paraId="44B98394" w14:textId="10081327">
      <w:r w:rsidRPr="00371943">
        <w:t xml:space="preserve">The information collected by FERC is in the format of a written application for transfer of a license, executed jointly by the parties to the proposed transfer.  The transfer of a license may be occasioned by the sale or merger of a licensed hydropower electric project.  It is used by FERC staff to determine the qualifications of the proposed transferee to hold the license, and to prepare the transfer of the license order.  </w:t>
      </w:r>
    </w:p>
    <w:p w:rsidR="002B2810" w:rsidRPr="00371943" w:rsidP="002B2810" w14:paraId="1BF992D8" w14:textId="77777777"/>
    <w:p w:rsidR="0041172D" w:rsidP="002B2810" w14:paraId="64112735" w14:textId="73A7908D">
      <w:r>
        <w:t>18 CFR 9.2 states that the application “</w:t>
      </w:r>
      <w:r w:rsidRPr="0041172D">
        <w:t xml:space="preserve">shall set forth in appropriate detail the qualifications of </w:t>
      </w:r>
      <w:r w:rsidRPr="0041172D">
        <w:t>the transferee to hold such license and to operate the property under license, which qualifications shall be the same as those required of applicants for license.</w:t>
      </w:r>
      <w:r>
        <w:t>”  The application for approval of transfer of license is detailed in 18 CFR131.20 (also included in ROCIS and reginfo.gov</w:t>
      </w:r>
      <w:r w:rsidR="00EE06A5">
        <w:t>)</w:t>
      </w:r>
      <w:r>
        <w:t>.  It includes items such as:</w:t>
      </w:r>
    </w:p>
    <w:p w:rsidR="0041172D" w:rsidRPr="00526C38" w:rsidP="0041172D" w14:paraId="754439FF" w14:textId="664D79FF">
      <w:pPr>
        <w:pStyle w:val="ListParagraph"/>
        <w:numPr>
          <w:ilvl w:val="0"/>
          <w:numId w:val="11"/>
        </w:numPr>
        <w:rPr>
          <w:rFonts w:ascii="Times New Roman" w:hAnsi="Times New Roman"/>
          <w:sz w:val="24"/>
          <w:szCs w:val="24"/>
        </w:rPr>
      </w:pPr>
      <w:r w:rsidRPr="00526C38">
        <w:rPr>
          <w:rFonts w:ascii="Times New Roman" w:hAnsi="Times New Roman"/>
          <w:sz w:val="24"/>
          <w:szCs w:val="24"/>
        </w:rPr>
        <w:t>evidence of compliance w</w:t>
      </w:r>
      <w:r>
        <w:rPr>
          <w:rFonts w:ascii="Times New Roman" w:hAnsi="Times New Roman"/>
          <w:sz w:val="24"/>
          <w:szCs w:val="24"/>
        </w:rPr>
        <w:t>i</w:t>
      </w:r>
      <w:r w:rsidRPr="00526C38">
        <w:rPr>
          <w:rFonts w:ascii="Times New Roman" w:hAnsi="Times New Roman"/>
          <w:sz w:val="24"/>
          <w:szCs w:val="24"/>
        </w:rPr>
        <w:t>th applicable State laws</w:t>
      </w:r>
    </w:p>
    <w:p w:rsidR="0041172D" w:rsidP="0041172D" w14:paraId="04320FD3" w14:textId="7DB5EBB0">
      <w:pPr>
        <w:pStyle w:val="ListParagraph"/>
        <w:numPr>
          <w:ilvl w:val="0"/>
          <w:numId w:val="11"/>
        </w:numPr>
        <w:rPr>
          <w:rFonts w:ascii="Times New Roman" w:hAnsi="Times New Roman"/>
          <w:sz w:val="24"/>
          <w:szCs w:val="24"/>
        </w:rPr>
      </w:pPr>
      <w:r w:rsidRPr="00526C38">
        <w:rPr>
          <w:rFonts w:ascii="Times New Roman" w:hAnsi="Times New Roman"/>
          <w:sz w:val="24"/>
          <w:szCs w:val="24"/>
        </w:rPr>
        <w:t xml:space="preserve">certified copies of all instruments of conveyance whereby title to the project properties is conveyed to it, upon the completion of such conveyance, </w:t>
      </w:r>
      <w:r w:rsidRPr="00526C38">
        <w:rPr>
          <w:rFonts w:ascii="Times New Roman" w:hAnsi="Times New Roman"/>
          <w:sz w:val="24"/>
          <w:szCs w:val="24"/>
        </w:rPr>
        <w:t>if and when</w:t>
      </w:r>
      <w:r w:rsidRPr="00526C38">
        <w:rPr>
          <w:rFonts w:ascii="Times New Roman" w:hAnsi="Times New Roman"/>
          <w:sz w:val="24"/>
          <w:szCs w:val="24"/>
        </w:rPr>
        <w:t xml:space="preserve"> the Commission shall have given its approval to the proposed transfer</w:t>
      </w:r>
    </w:p>
    <w:p w:rsidR="0041172D" w:rsidRPr="00526C38" w:rsidP="00526C38" w14:paraId="471FAECE" w14:textId="6406B45E">
      <w:pPr>
        <w:pStyle w:val="ListParagraph"/>
        <w:numPr>
          <w:ilvl w:val="0"/>
          <w:numId w:val="11"/>
        </w:numPr>
        <w:rPr>
          <w:rFonts w:ascii="Times New Roman" w:hAnsi="Times New Roman"/>
          <w:sz w:val="24"/>
          <w:szCs w:val="24"/>
        </w:rPr>
      </w:pPr>
      <w:r w:rsidRPr="0041172D">
        <w:rPr>
          <w:rFonts w:ascii="Times New Roman" w:hAnsi="Times New Roman"/>
          <w:sz w:val="24"/>
          <w:szCs w:val="24"/>
        </w:rPr>
        <w:t>transferor certifie</w:t>
      </w:r>
      <w:r w:rsidR="00EE06A5">
        <w:rPr>
          <w:rFonts w:ascii="Times New Roman" w:hAnsi="Times New Roman"/>
          <w:sz w:val="24"/>
          <w:szCs w:val="24"/>
        </w:rPr>
        <w:t>s</w:t>
      </w:r>
      <w:r w:rsidRPr="0041172D">
        <w:rPr>
          <w:rFonts w:ascii="Times New Roman" w:hAnsi="Times New Roman"/>
          <w:sz w:val="24"/>
          <w:szCs w:val="24"/>
        </w:rPr>
        <w:t xml:space="preserve"> that it has fully complied with the terms and conditions of its license, as amended, and that it has fully satisfied and discharged all of its liabilities and obligations thereunder to the date hereof, and obligates itself to pay all annual charges accrued under the license to the date of </w:t>
      </w:r>
      <w:r w:rsidRPr="0041172D">
        <w:rPr>
          <w:rFonts w:ascii="Times New Roman" w:hAnsi="Times New Roman"/>
          <w:sz w:val="24"/>
          <w:szCs w:val="24"/>
        </w:rPr>
        <w:t>transfer;</w:t>
      </w:r>
    </w:p>
    <w:p w:rsidR="0041172D" w:rsidP="002B2810" w14:paraId="53E26569" w14:textId="77777777"/>
    <w:p w:rsidR="002B2810" w:rsidRPr="00371943" w:rsidP="002B2810" w14:paraId="50832649" w14:textId="41B43FF4">
      <w:r w:rsidRPr="00371943">
        <w:t>Commission staff conducts a systematic review of the prepared application with supplemental documentation provided in the filing.  The research</w:t>
      </w:r>
      <w:r w:rsidR="00516BB1">
        <w:t xml:space="preserve"> that the Commission staff conduct</w:t>
      </w:r>
      <w:r w:rsidR="00313E37">
        <w:t>ed</w:t>
      </w:r>
      <w:r w:rsidR="00516BB1">
        <w:t xml:space="preserve"> as part of this review</w:t>
      </w:r>
      <w:r w:rsidRPr="00371943">
        <w:t xml:space="preserve"> includ</w:t>
      </w:r>
      <w:r w:rsidR="00313E37">
        <w:t>ed</w:t>
      </w:r>
      <w:r w:rsidRPr="00371943">
        <w:t xml:space="preserve"> examining maps and land ownership records of the lands and waters affected by the project.  Such sites are generally on streams other than those defined as U.S. navigable waters</w:t>
      </w:r>
      <w:r w:rsidRPr="00526C38">
        <w:t>,</w:t>
      </w:r>
      <w:r w:rsidRPr="00371943">
        <w:t xml:space="preserve"> and over which Congress has jurisdiction under its authority to regulate foreign and interstate commerce.  Before approving a transfer, the Commission reviews the proposed transferee’s compliance history and scrutinizes marginal projects for potential compliance problems.  In particular</w:t>
      </w:r>
      <w:r w:rsidR="00257BCB">
        <w:t>,</w:t>
      </w:r>
      <w:r w:rsidRPr="00371943">
        <w:t xml:space="preserve"> </w:t>
      </w:r>
      <w:r w:rsidR="00313E37">
        <w:t>the</w:t>
      </w:r>
      <w:r w:rsidRPr="00371943">
        <w:t xml:space="preserve"> Commission staff review</w:t>
      </w:r>
      <w:r w:rsidR="00257BCB">
        <w:t>s</w:t>
      </w:r>
      <w:r w:rsidRPr="00371943">
        <w:t xml:space="preserve"> the license document for any significant anticipated expenses to ensure that the purpose of the transfer is not to shift the financial burden of compliance to an entity that is unlikely to satisfy these obligations.   Commission staff consults in-house with the Office of General Counsel and the Office of Energy Projects dam safety inspectors for their review and comment.</w:t>
      </w:r>
    </w:p>
    <w:p w:rsidR="002B2810" w:rsidRPr="00371943" w:rsidP="002B2810" w14:paraId="526092BD" w14:textId="77777777">
      <w:pPr>
        <w:ind w:firstLine="720"/>
      </w:pPr>
    </w:p>
    <w:p w:rsidR="002B2810" w:rsidRPr="00371943" w:rsidP="002B2810" w14:paraId="5DEA3CCB" w14:textId="0ABBD3B3">
      <w:r w:rsidRPr="00371943">
        <w:t>Notice</w:t>
      </w:r>
      <w:r w:rsidR="00985F0F">
        <w:t>s</w:t>
      </w:r>
      <w:r w:rsidRPr="00371943">
        <w:t xml:space="preserve"> of transfer applications are published in the Federal Register and in a local newspaper near the project site.  FERC seeks to ensure that states, other federal agencies, local communities, and other interested groups are provided the opportunity to address any issues related to the project transfer.</w:t>
      </w:r>
    </w:p>
    <w:p w:rsidR="002B2810" w:rsidRPr="00371943" w:rsidP="002B2810" w14:paraId="7E2B134E" w14:textId="77777777">
      <w:pPr>
        <w:ind w:firstLine="720"/>
      </w:pPr>
    </w:p>
    <w:p w:rsidR="002B2810" w:rsidRPr="00371943" w:rsidP="002B2810" w14:paraId="55909630" w14:textId="77777777">
      <w:r w:rsidRPr="00371943">
        <w:t xml:space="preserve">The review process requires the Commission to determine whether the transfer is in the public interest.  Commission approval is made contingent on transfer of the title to properties under the license.  If the information contained in FERC-511 were not collected, the Commission would be unable to establish facts and pertinent information as to why a </w:t>
      </w:r>
      <w:r w:rsidRPr="00371943">
        <w:t>licensee desires</w:t>
      </w:r>
      <w:r w:rsidRPr="00371943">
        <w:t xml:space="preserve"> to transfer the license and if the proposed transferee can operate and maintain the project under the terms and conditions of the license.  Without the establishment of these facts, there would be no basis for accepting the application for a transfer of a license.</w:t>
      </w:r>
    </w:p>
    <w:p w:rsidR="002B2810" w:rsidRPr="00371943" w:rsidP="002B2810" w14:paraId="26DE9D36" w14:textId="77777777">
      <w:pPr>
        <w:rPr>
          <w:u w:val="single"/>
        </w:rPr>
      </w:pPr>
    </w:p>
    <w:p w:rsidR="00980E8E" w:rsidRPr="00AD2B50" w:rsidP="005240A1" w14:paraId="1191C360" w14:textId="5232FB74">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rsidR="00FD59A5" w:rsidRPr="00980E8E" w:rsidP="00AD2B50" w14:paraId="08E5794B" w14:textId="77777777">
      <w:pPr>
        <w:widowControl/>
        <w:ind w:left="720"/>
      </w:pPr>
    </w:p>
    <w:p w:rsidR="00371943" w:rsidRPr="00DA036B" w:rsidP="00371943" w14:paraId="271C6B0A" w14:textId="7B878B7C">
      <w:pPr>
        <w:rPr>
          <w:szCs w:val="26"/>
        </w:rPr>
      </w:pPr>
      <w:r w:rsidRPr="00DA036B">
        <w:rPr>
          <w:szCs w:val="26"/>
        </w:rPr>
        <w:t xml:space="preserve">The FERC-511 application may be </w:t>
      </w:r>
      <w:r w:rsidRPr="00DA036B">
        <w:rPr>
          <w:szCs w:val="26"/>
        </w:rPr>
        <w:t>eFiled</w:t>
      </w:r>
      <w:r w:rsidRPr="00DA036B">
        <w:rPr>
          <w:szCs w:val="26"/>
        </w:rPr>
        <w:t xml:space="preserve"> through FERC’s </w:t>
      </w:r>
      <w:r w:rsidRPr="00DA036B">
        <w:rPr>
          <w:szCs w:val="26"/>
        </w:rPr>
        <w:t>eFiling</w:t>
      </w:r>
      <w:r w:rsidRPr="00DA036B">
        <w:rPr>
          <w:szCs w:val="26"/>
        </w:rPr>
        <w:t xml:space="preserve"> system.  [See </w:t>
      </w:r>
      <w:hyperlink r:id="rId9" w:history="1">
        <w:r w:rsidRPr="004057F6">
          <w:rPr>
            <w:rStyle w:val="Hyperlink"/>
            <w:szCs w:val="26"/>
          </w:rPr>
          <w:t>http://www.ferc.gov/docs-filing/efiling.asp</w:t>
        </w:r>
      </w:hyperlink>
      <w:r>
        <w:rPr>
          <w:szCs w:val="26"/>
        </w:rPr>
        <w:t xml:space="preserve"> </w:t>
      </w:r>
      <w:r w:rsidRPr="00DA036B">
        <w:rPr>
          <w:szCs w:val="26"/>
        </w:rPr>
        <w:t>for more information.]</w:t>
      </w:r>
    </w:p>
    <w:p w:rsidR="00042ECE" w:rsidP="00042ECE" w14:paraId="1133AECD" w14:textId="77777777"/>
    <w:p w:rsidR="009D6B6D" w:rsidRPr="00BD4039" w:rsidP="005240A1" w14:paraId="0E702588" w14:textId="77777777">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rsidR="00BD4039" w:rsidP="00BD4039" w14:paraId="7F5C95B0" w14:textId="77777777">
      <w:pPr>
        <w:pStyle w:val="FERCparanumber"/>
        <w:numPr>
          <w:ilvl w:val="0"/>
          <w:numId w:val="0"/>
        </w:numPr>
        <w:rPr>
          <w:b/>
          <w:sz w:val="24"/>
        </w:rPr>
      </w:pPr>
    </w:p>
    <w:p w:rsidR="00371943" w:rsidP="00371943" w14:paraId="1BBBD5A8" w14:textId="4538C421">
      <w:r>
        <w:t>Filings are periodically reviewed in conjunction with OMB clearance expiration dates.  This includes a review of the Commission’s reporting requirements to identify duplication of data requirements.  To date, no duplication of the data has been found.  The information</w:t>
      </w:r>
      <w:r w:rsidR="0053315C">
        <w:t xml:space="preserve"> collected</w:t>
      </w:r>
      <w:r>
        <w:t xml:space="preserve"> is case specific </w:t>
      </w:r>
      <w:r w:rsidR="00A562D3">
        <w:t xml:space="preserve">and relative </w:t>
      </w:r>
      <w:r>
        <w:t>to the applicant</w:t>
      </w:r>
      <w:r w:rsidR="00AA551D">
        <w:t xml:space="preserve"> and project</w:t>
      </w:r>
      <w:r>
        <w:t>.</w:t>
      </w:r>
    </w:p>
    <w:p w:rsidR="00371943" w:rsidP="00371943" w14:paraId="10005391" w14:textId="77777777"/>
    <w:p w:rsidR="00BD4039" w:rsidP="000541E0" w14:paraId="44C363AB" w14:textId="32B44470">
      <w:r>
        <w:t xml:space="preserve">There are no similar sources of information available that can be used or modified for use </w:t>
      </w:r>
      <w:r w:rsidR="00AA551D">
        <w:t xml:space="preserve">because </w:t>
      </w:r>
      <w:r>
        <w:t>the information collected is unique to the applicant and the site for which the filing is made</w:t>
      </w:r>
      <w:r w:rsidR="008060D2">
        <w:t xml:space="preserve">. </w:t>
      </w:r>
    </w:p>
    <w:p w:rsidR="008060D2" w:rsidRPr="00BD4039" w:rsidP="00BD4039" w14:paraId="01E02908" w14:textId="77777777">
      <w:pPr>
        <w:pStyle w:val="FERCparanumber"/>
        <w:numPr>
          <w:ilvl w:val="0"/>
          <w:numId w:val="0"/>
        </w:numPr>
        <w:rPr>
          <w:sz w:val="24"/>
        </w:rPr>
      </w:pPr>
    </w:p>
    <w:p w:rsidR="009D6B6D" w:rsidRPr="001D2EC1" w:rsidP="005240A1" w14:paraId="16D376F5" w14:textId="77777777">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rsidR="009D6B6D" w:rsidRPr="001D2EC1" w:rsidP="001D2EC1" w14:paraId="498754B1" w14:textId="77777777">
      <w:pPr>
        <w:widowControl/>
        <w:ind w:left="1440"/>
      </w:pPr>
    </w:p>
    <w:p w:rsidR="008060D2" w:rsidRPr="00AE5B29" w:rsidP="008060D2" w14:paraId="6A972740" w14:textId="7E149378">
      <w:r>
        <w:t xml:space="preserve">The data required impose the least possible burden on applicants, while collecting the information required </w:t>
      </w:r>
      <w:r w:rsidR="00744B1C">
        <w:t xml:space="preserve">to </w:t>
      </w:r>
      <w:r>
        <w:t xml:space="preserve">process the application for transfer </w:t>
      </w:r>
      <w:r w:rsidR="00FA1287">
        <w:t>of the license</w:t>
      </w:r>
      <w:r w:rsidR="00744B1C">
        <w:t>.</w:t>
      </w:r>
      <w:r>
        <w:t xml:space="preserve">  The burden will vary </w:t>
      </w:r>
      <w:r w:rsidR="00744B1C">
        <w:t xml:space="preserve">because </w:t>
      </w:r>
      <w:r>
        <w:t xml:space="preserve">the application </w:t>
      </w:r>
      <w:r w:rsidR="00744B1C">
        <w:t>is</w:t>
      </w:r>
      <w:r>
        <w:t xml:space="preserve"> specific to each applicant</w:t>
      </w:r>
      <w:r w:rsidR="00744B1C">
        <w:t xml:space="preserve"> and project</w:t>
      </w:r>
      <w:r w:rsidR="00042ECE">
        <w:t>.</w:t>
      </w:r>
    </w:p>
    <w:p w:rsidR="005240A1" w:rsidP="000541E0" w14:paraId="2329B0A1" w14:textId="77777777">
      <w:pPr>
        <w:pStyle w:val="FERCparanumber"/>
        <w:numPr>
          <w:ilvl w:val="0"/>
          <w:numId w:val="0"/>
        </w:numPr>
        <w:tabs>
          <w:tab w:val="num" w:pos="0"/>
        </w:tabs>
        <w:jc w:val="center"/>
        <w:rPr>
          <w:sz w:val="24"/>
        </w:rPr>
      </w:pPr>
    </w:p>
    <w:p w:rsidR="009D6B6D" w:rsidRPr="00BB6095" w:rsidP="005240A1" w14:paraId="1169CF0E" w14:textId="77777777">
      <w:pPr>
        <w:pStyle w:val="FERCparanumber"/>
        <w:numPr>
          <w:ilvl w:val="0"/>
          <w:numId w:val="7"/>
        </w:numPr>
        <w:rPr>
          <w:sz w:val="24"/>
        </w:rPr>
      </w:pPr>
      <w:r w:rsidRPr="001D2EC1">
        <w:rPr>
          <w:b/>
          <w:sz w:val="24"/>
        </w:rPr>
        <w:t>CONSEQUENCE TO FEDERAL PROGRAM IF COLLECTION WERE CONDUCTED LESS FREQUENTLY</w:t>
      </w:r>
    </w:p>
    <w:p w:rsidR="00BB6095" w:rsidP="00BB6095" w14:paraId="23391944" w14:textId="77777777">
      <w:pPr>
        <w:pStyle w:val="FERCparanumber"/>
        <w:numPr>
          <w:ilvl w:val="0"/>
          <w:numId w:val="0"/>
        </w:numPr>
        <w:rPr>
          <w:b/>
          <w:sz w:val="24"/>
        </w:rPr>
      </w:pPr>
    </w:p>
    <w:p w:rsidR="00042ECE" w:rsidRPr="00E77B24" w:rsidP="00042ECE" w14:paraId="621621A2" w14:textId="4D18DEC9">
      <w:r>
        <w:t>The data required are necessary to process the application for transfer and are collected only when an application for transfer is needed.  The information cannot be collected less frequently</w:t>
      </w:r>
      <w:r>
        <w:t>.</w:t>
      </w:r>
      <w:r w:rsidRPr="00E77B24">
        <w:t xml:space="preserve">  </w:t>
      </w:r>
    </w:p>
    <w:p w:rsidR="00BB6095" w:rsidRPr="00BB6095" w:rsidP="00BB6095" w14:paraId="4F0A656F" w14:textId="77777777">
      <w:pPr>
        <w:pStyle w:val="FERCparanumber"/>
        <w:numPr>
          <w:ilvl w:val="0"/>
          <w:numId w:val="0"/>
        </w:numPr>
        <w:rPr>
          <w:sz w:val="24"/>
        </w:rPr>
      </w:pPr>
    </w:p>
    <w:p w:rsidR="00BB6095" w:rsidRPr="00BB6095" w:rsidP="005240A1" w14:paraId="5CE22EF6" w14:textId="77777777">
      <w:pPr>
        <w:pStyle w:val="FERCparanumber"/>
        <w:numPr>
          <w:ilvl w:val="0"/>
          <w:numId w:val="7"/>
        </w:numPr>
        <w:rPr>
          <w:sz w:val="24"/>
        </w:rPr>
      </w:pPr>
      <w:r w:rsidRPr="001D2EC1">
        <w:rPr>
          <w:b/>
          <w:sz w:val="24"/>
        </w:rPr>
        <w:t>EXPLAIN ANY SPECIAL CIRCUMSTANCES RELATING TO THE INFORMATION</w:t>
      </w:r>
    </w:p>
    <w:p w:rsidR="00BB6095" w:rsidP="00BB6095" w14:paraId="6C3072D3" w14:textId="77777777">
      <w:pPr>
        <w:pStyle w:val="FERCparanumber"/>
        <w:numPr>
          <w:ilvl w:val="0"/>
          <w:numId w:val="0"/>
        </w:numPr>
        <w:rPr>
          <w:b/>
          <w:sz w:val="24"/>
        </w:rPr>
      </w:pPr>
    </w:p>
    <w:p w:rsidR="00BB6095" w:rsidRPr="001D2EC1" w:rsidP="00042ECE" w14:paraId="19B1F23B" w14:textId="4E2793B2">
      <w:r>
        <w:t>There are no special circumstances</w:t>
      </w:r>
      <w:r w:rsidR="000541E0">
        <w:t>.</w:t>
      </w:r>
      <w:r w:rsidRPr="001D2EC1">
        <w:t xml:space="preserve"> </w:t>
      </w:r>
    </w:p>
    <w:p w:rsidR="00BB6095" w:rsidRPr="00BB6095" w:rsidP="00BB6095" w14:paraId="5AA6725C" w14:textId="77777777">
      <w:pPr>
        <w:pStyle w:val="FERCparanumber"/>
        <w:numPr>
          <w:ilvl w:val="0"/>
          <w:numId w:val="0"/>
        </w:numPr>
        <w:rPr>
          <w:sz w:val="24"/>
        </w:rPr>
      </w:pPr>
    </w:p>
    <w:p w:rsidR="009D6B6D" w:rsidRPr="00BB6095" w:rsidP="001D2EC1" w14:paraId="3E7E24B7" w14:textId="77777777">
      <w:pPr>
        <w:pStyle w:val="FERCparanumber"/>
        <w:numPr>
          <w:ilvl w:val="0"/>
          <w:numId w:val="7"/>
        </w:numPr>
        <w:rPr>
          <w:sz w:val="24"/>
        </w:rPr>
      </w:pPr>
      <w:r w:rsidRPr="001D2EC1">
        <w:rPr>
          <w:b/>
          <w:sz w:val="24"/>
        </w:rPr>
        <w:t>DESCRIBE EFFORTS TO CONSULT OUTSIDE THE AGENCY: SUMMARIZE PUBLIC COMMENTS AND THE AGENCY’S RESPONSE TO THESE COMMENTS</w:t>
      </w:r>
    </w:p>
    <w:p w:rsidR="00BB6095" w:rsidP="00BB6095" w14:paraId="08534C89" w14:textId="77777777">
      <w:pPr>
        <w:pStyle w:val="FERCparanumber"/>
        <w:numPr>
          <w:ilvl w:val="0"/>
          <w:numId w:val="0"/>
        </w:numPr>
        <w:rPr>
          <w:b/>
          <w:sz w:val="24"/>
        </w:rPr>
      </w:pPr>
    </w:p>
    <w:p w:rsidR="004025BD" w:rsidP="00BB6095" w14:paraId="18F5D7AC" w14:textId="57282009">
      <w:r w:rsidRPr="00E138E1">
        <w:t>In accordance with OMB requirements, the Commission published a 60-day notice</w:t>
      </w:r>
      <w:r w:rsidR="008B3517">
        <w:t xml:space="preserve"> (8</w:t>
      </w:r>
      <w:r w:rsidR="00FE0BAE">
        <w:t>7 FR 57686</w:t>
      </w:r>
      <w:r w:rsidR="008B3517">
        <w:t xml:space="preserve">, </w:t>
      </w:r>
      <w:r w:rsidR="00FE0BAE">
        <w:t>September 21, 2022</w:t>
      </w:r>
      <w:r w:rsidR="008B3517">
        <w:t>) providing the public with an opportunity to comment</w:t>
      </w:r>
      <w:r w:rsidRPr="00E138E1">
        <w:t xml:space="preserve">. </w:t>
      </w:r>
      <w:r w:rsidR="008B3517">
        <w:t xml:space="preserve"> </w:t>
      </w:r>
      <w:r w:rsidRPr="00E138E1">
        <w:t>The Commission received no comments.</w:t>
      </w:r>
      <w:r w:rsidRPr="001D2EC1">
        <w:t xml:space="preserve"> </w:t>
      </w:r>
      <w:r w:rsidR="00C36B2C">
        <w:t xml:space="preserve"> </w:t>
      </w:r>
      <w:r w:rsidR="008B3517">
        <w:t xml:space="preserve">The Commission also </w:t>
      </w:r>
      <w:r w:rsidR="00EE06A5">
        <w:t xml:space="preserve">published </w:t>
      </w:r>
      <w:r w:rsidR="008B3517">
        <w:t>a 30-day notice</w:t>
      </w:r>
      <w:r>
        <w:rPr>
          <w:rStyle w:val="FootnoteReference"/>
          <w:vertAlign w:val="superscript"/>
        </w:rPr>
        <w:footnoteReference w:id="6"/>
      </w:r>
      <w:r w:rsidR="008B3517">
        <w:t xml:space="preserve"> for public comment.</w:t>
      </w:r>
      <w:r>
        <w:t xml:space="preserve"> </w:t>
      </w:r>
    </w:p>
    <w:p w:rsidR="004025BD" w:rsidP="00BB6095" w14:paraId="6D996A61" w14:textId="77777777"/>
    <w:p w:rsidR="008B3517" w:rsidRPr="001D2EC1" w:rsidP="00BB6095" w14:paraId="1CF717C5" w14:textId="0E4DBB5F">
      <w:r>
        <w:t xml:space="preserve">FERC did not otherwise consult with members of the public concerning this information </w:t>
      </w:r>
      <w:r>
        <w:t xml:space="preserve">collection pursuant to 5 CFR 1320.8(d)(1). </w:t>
      </w:r>
    </w:p>
    <w:p w:rsidR="00BB6095" w:rsidRPr="00BB6095" w:rsidP="00BB6095" w14:paraId="2386E560" w14:textId="77777777">
      <w:pPr>
        <w:pStyle w:val="FERCparanumber"/>
        <w:numPr>
          <w:ilvl w:val="0"/>
          <w:numId w:val="0"/>
        </w:numPr>
        <w:rPr>
          <w:sz w:val="24"/>
        </w:rPr>
      </w:pPr>
    </w:p>
    <w:p w:rsidR="009D6B6D" w:rsidRPr="00BB6095" w:rsidP="001D2EC1" w14:paraId="091A69F9" w14:textId="77777777">
      <w:pPr>
        <w:pStyle w:val="FERCparanumber"/>
        <w:numPr>
          <w:ilvl w:val="0"/>
          <w:numId w:val="7"/>
        </w:numPr>
        <w:rPr>
          <w:sz w:val="24"/>
        </w:rPr>
      </w:pPr>
      <w:r w:rsidRPr="001D2EC1">
        <w:rPr>
          <w:b/>
          <w:sz w:val="24"/>
        </w:rPr>
        <w:t>EXPLAIN ANY PAYMENT OR GIFTS TO RESPONDENTS</w:t>
      </w:r>
    </w:p>
    <w:p w:rsidR="00BB6095" w:rsidP="00BB6095" w14:paraId="55601D9E" w14:textId="77777777">
      <w:pPr>
        <w:pStyle w:val="FERCparanumber"/>
        <w:numPr>
          <w:ilvl w:val="0"/>
          <w:numId w:val="0"/>
        </w:numPr>
        <w:rPr>
          <w:b/>
          <w:sz w:val="24"/>
        </w:rPr>
      </w:pPr>
    </w:p>
    <w:p w:rsidR="00BB6095" w:rsidRPr="001D2EC1" w:rsidP="00BB6095" w14:paraId="635D1E06" w14:textId="169463AE">
      <w:pPr>
        <w:widowControl/>
      </w:pPr>
      <w:r w:rsidRPr="001D2EC1">
        <w:t xml:space="preserve">There are no payments or gifts to respondents </w:t>
      </w:r>
      <w:r w:rsidR="007B025D">
        <w:t>of</w:t>
      </w:r>
      <w:r w:rsidRPr="001D2EC1">
        <w:t xml:space="preserve"> th</w:t>
      </w:r>
      <w:r w:rsidR="002735A3">
        <w:t>e</w:t>
      </w:r>
      <w:r w:rsidRPr="001D2EC1">
        <w:t xml:space="preserve"> collection</w:t>
      </w:r>
      <w:r w:rsidR="002735A3">
        <w:t>s</w:t>
      </w:r>
      <w:r w:rsidRPr="001D2EC1">
        <w:t>.</w:t>
      </w:r>
    </w:p>
    <w:p w:rsidR="00BB6095" w:rsidRPr="00BB6095" w:rsidP="00BB6095" w14:paraId="200271A7" w14:textId="77777777">
      <w:pPr>
        <w:pStyle w:val="FERCparanumber"/>
        <w:numPr>
          <w:ilvl w:val="0"/>
          <w:numId w:val="0"/>
        </w:numPr>
        <w:rPr>
          <w:sz w:val="24"/>
        </w:rPr>
      </w:pPr>
    </w:p>
    <w:p w:rsidR="009D6B6D" w:rsidRPr="00BB6095" w:rsidP="001D2EC1" w14:paraId="18CEDA1A" w14:textId="77777777">
      <w:pPr>
        <w:pStyle w:val="FERCparanumber"/>
        <w:numPr>
          <w:ilvl w:val="0"/>
          <w:numId w:val="7"/>
        </w:numPr>
        <w:rPr>
          <w:sz w:val="24"/>
        </w:rPr>
      </w:pPr>
      <w:r w:rsidRPr="001D2EC1">
        <w:rPr>
          <w:b/>
          <w:sz w:val="24"/>
        </w:rPr>
        <w:t>DESCRIBE ANY ASSURANCE OF CONFIDENTIALITY PROVIDED TO RESPONDENTS</w:t>
      </w:r>
    </w:p>
    <w:p w:rsidR="00BB6095" w:rsidP="00BB6095" w14:paraId="5291E765" w14:textId="77777777">
      <w:pPr>
        <w:pStyle w:val="FERCparanumber"/>
        <w:numPr>
          <w:ilvl w:val="0"/>
          <w:numId w:val="0"/>
        </w:numPr>
        <w:rPr>
          <w:b/>
          <w:sz w:val="24"/>
        </w:rPr>
      </w:pPr>
    </w:p>
    <w:p w:rsidR="001B31F0" w:rsidRPr="00F12D87" w:rsidP="001B31F0" w14:paraId="5F72F6A2" w14:textId="77777777">
      <w:pPr>
        <w:rPr>
          <w:color w:val="FF0000"/>
        </w:rPr>
      </w:pPr>
      <w:r w:rsidRPr="00F12D87">
        <w:t>The Commission does not guarantee the information provided by applicants to be confidential.  In fact, most of it is understood to be public.  However, the Commission has encouraged applicants to indicate information which may be Critical Energy/</w:t>
      </w:r>
      <w:r w:rsidRPr="00F12D87">
        <w:t>Electric  Infrastructure</w:t>
      </w:r>
      <w:r w:rsidRPr="00F12D87">
        <w:t xml:space="preserve"> Information (CEII), or privileged, and thus initially confidential.  CEII as defined in Section 18 CFR 388.113 includes information about proposed or existing hydropower facilities that could be used by a person planning an attack on critical energy infrastructure.  Privileged material most often includes proprietary business information, specific cultural resource details and locations, and personal identification information of affected landowners.  More information about CEII and privileged security levels of information are posted at </w:t>
      </w:r>
      <w:hyperlink r:id="rId10" w:history="1">
        <w:r w:rsidRPr="00F12D87">
          <w:rPr>
            <w:rStyle w:val="Hyperlink"/>
          </w:rPr>
          <w:t>http://www.ferc.gov/legal/ceii-foia/ceii.asp</w:t>
        </w:r>
      </w:hyperlink>
      <w:r w:rsidRPr="00F12D87">
        <w:t xml:space="preserve"> and </w:t>
      </w:r>
      <w:hyperlink r:id="rId11" w:history="1">
        <w:r w:rsidRPr="00F12D87">
          <w:rPr>
            <w:rStyle w:val="Hyperlink"/>
          </w:rPr>
          <w:t>http://www.ferc.gov/legal/ceii-foia/ceii/classes.asp</w:t>
        </w:r>
      </w:hyperlink>
      <w:r w:rsidRPr="00F12D87">
        <w:t xml:space="preserve">.  The Commission’s procedures in Part 388 are designed to ensure that CEII and privileged material are not placed in the Commission’s public records.  Note that the Commission implemented revised procedures for the appropriate handling of documents and will follow the controlled unclassified information (CUI) labeling system now prescribed; see </w:t>
      </w:r>
      <w:hyperlink r:id="rId12" w:history="1">
        <w:r w:rsidRPr="00F12D87">
          <w:rPr>
            <w:rStyle w:val="Hyperlink"/>
          </w:rPr>
          <w:t>http://www.ferc.gov/docs-filing/labeling-guidance.pdf</w:t>
        </w:r>
      </w:hyperlink>
      <w:r w:rsidRPr="00F12D87">
        <w:rPr>
          <w:color w:val="0000FF"/>
        </w:rPr>
        <w:t>.</w:t>
      </w:r>
      <w:r w:rsidRPr="00F12D87">
        <w:t xml:space="preserve"> </w:t>
      </w:r>
    </w:p>
    <w:p w:rsidR="00BB6095" w:rsidRPr="007F5B7F" w:rsidP="00BB6095" w14:paraId="7FB64A9E" w14:textId="77777777">
      <w:pPr>
        <w:pStyle w:val="FERCparanumber"/>
        <w:numPr>
          <w:ilvl w:val="0"/>
          <w:numId w:val="0"/>
        </w:numPr>
        <w:rPr>
          <w:sz w:val="24"/>
        </w:rPr>
      </w:pPr>
    </w:p>
    <w:p w:rsidR="009D6B6D" w:rsidRPr="00BB6095" w:rsidP="001D2EC1" w14:paraId="0F599F44" w14:textId="6387DEE9">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Pr="00C62F55" w:rsidR="00860C58">
        <w:rPr>
          <w:b/>
          <w:sz w:val="24"/>
        </w:rPr>
        <w:t>SUCH AS SEXUAL BEHAVIOR AND ATTITUDES, RELIGIOUS BELIEFS, AND OTHER MATTERS THAT ARE COMMONLY CONSIDERED PRIVATE</w:t>
      </w:r>
    </w:p>
    <w:p w:rsidR="00BB6095" w:rsidP="00BB6095" w14:paraId="7C3F9D96" w14:textId="77777777">
      <w:pPr>
        <w:pStyle w:val="FERCparanumber"/>
        <w:numPr>
          <w:ilvl w:val="0"/>
          <w:numId w:val="0"/>
        </w:numPr>
        <w:rPr>
          <w:b/>
          <w:sz w:val="24"/>
        </w:rPr>
      </w:pPr>
    </w:p>
    <w:p w:rsidR="00BB6095" w:rsidRPr="001D2EC1" w:rsidP="00BB6095" w14:paraId="2F8D71F0" w14:textId="339E144B">
      <w:pPr>
        <w:widowControl/>
        <w:rPr>
          <w:b/>
        </w:rPr>
      </w:pPr>
      <w:r w:rsidRPr="001D2EC1">
        <w:t xml:space="preserve">There are no questions of a sensitive nature.  </w:t>
      </w:r>
    </w:p>
    <w:p w:rsidR="00BB6095" w:rsidRPr="00BB6095" w:rsidP="00BB6095" w14:paraId="6058D422" w14:textId="77777777">
      <w:pPr>
        <w:pStyle w:val="FERCparanumber"/>
        <w:numPr>
          <w:ilvl w:val="0"/>
          <w:numId w:val="0"/>
        </w:numPr>
        <w:rPr>
          <w:sz w:val="24"/>
        </w:rPr>
      </w:pPr>
    </w:p>
    <w:p w:rsidR="00BB6095" w:rsidRPr="00BB6095" w:rsidP="001D2EC1" w14:paraId="4ACF1549" w14:textId="77777777">
      <w:pPr>
        <w:pStyle w:val="FERCparanumber"/>
        <w:numPr>
          <w:ilvl w:val="0"/>
          <w:numId w:val="7"/>
        </w:numPr>
        <w:rPr>
          <w:sz w:val="24"/>
        </w:rPr>
      </w:pPr>
      <w:r w:rsidRPr="001D2EC1">
        <w:rPr>
          <w:b/>
          <w:sz w:val="24"/>
        </w:rPr>
        <w:t>ESTIMATED BURDEN COLLECTION OF INFORMATION</w:t>
      </w:r>
    </w:p>
    <w:p w:rsidR="00BB6095" w:rsidP="00BB6095" w14:paraId="057071CE" w14:textId="1D59F154">
      <w:pPr>
        <w:pStyle w:val="FERCparanumber"/>
        <w:numPr>
          <w:ilvl w:val="0"/>
          <w:numId w:val="0"/>
        </w:numPr>
        <w:rPr>
          <w:b/>
          <w:sz w:val="24"/>
        </w:rPr>
      </w:pPr>
    </w:p>
    <w:p w:rsidR="00F576D8" w:rsidRPr="007F5B7F" w:rsidP="00BB6095" w14:paraId="1E8BE8D4" w14:textId="434A3AE9">
      <w:pPr>
        <w:pStyle w:val="FERCparanumber"/>
        <w:numPr>
          <w:ilvl w:val="0"/>
          <w:numId w:val="0"/>
        </w:numPr>
        <w:rPr>
          <w:b/>
          <w:sz w:val="24"/>
        </w:rPr>
      </w:pPr>
      <w:r w:rsidRPr="00F12D87">
        <w:rPr>
          <w:sz w:val="24"/>
        </w:rPr>
        <w:t>The Commission estimates the annual burden and cost</w:t>
      </w:r>
      <w:r>
        <w:rPr>
          <w:sz w:val="24"/>
          <w:vertAlign w:val="superscript"/>
        </w:rPr>
        <w:footnoteReference w:id="7"/>
      </w:r>
      <w:r w:rsidRPr="00F12D87">
        <w:rPr>
          <w:sz w:val="24"/>
        </w:rPr>
        <w:t xml:space="preserve"> for the information collection as follows.</w:t>
      </w:r>
    </w:p>
    <w:p w:rsidR="00F576D8" w:rsidP="00BB6095" w14:paraId="2C4A1FD5" w14:textId="77777777">
      <w:pPr>
        <w:pStyle w:val="FERCparanumber"/>
        <w:numPr>
          <w:ilvl w:val="0"/>
          <w:numId w:val="0"/>
        </w:numPr>
        <w:rPr>
          <w:b/>
          <w:sz w:val="24"/>
        </w:rPr>
      </w:pP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1440"/>
        <w:gridCol w:w="1440"/>
        <w:gridCol w:w="1531"/>
        <w:gridCol w:w="1172"/>
        <w:gridCol w:w="1259"/>
        <w:gridCol w:w="990"/>
      </w:tblGrid>
      <w:tr w14:paraId="0FBDB2B1" w14:textId="77777777" w:rsidTr="001A185A">
        <w:tblPrEx>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FE0BAE" w:rsidRPr="00FE0BAE" w:rsidP="00FE0BAE" w14:paraId="26A47F8B" w14:textId="77777777">
            <w:pPr>
              <w:widowControl/>
              <w:tabs>
                <w:tab w:val="center" w:pos="5023"/>
              </w:tabs>
              <w:autoSpaceDE/>
              <w:autoSpaceDN/>
              <w:adjustRightInd/>
              <w:jc w:val="center"/>
              <w:rPr>
                <w:rFonts w:eastAsia="Calibri"/>
                <w:b/>
                <w:sz w:val="20"/>
                <w:szCs w:val="20"/>
              </w:rPr>
            </w:pPr>
            <w:r w:rsidRPr="00FE0BAE">
              <w:rPr>
                <w:rFonts w:eastAsia="Calibri"/>
                <w:b/>
                <w:sz w:val="20"/>
                <w:szCs w:val="20"/>
              </w:rPr>
              <w:t>FERC-511: Transfer of Hydropower License</w:t>
            </w:r>
          </w:p>
        </w:tc>
      </w:tr>
      <w:tr w14:paraId="1D76A093" w14:textId="77777777" w:rsidTr="001A185A">
        <w:tblPrEx>
          <w:tblW w:w="4849" w:type="pct"/>
          <w:tblInd w:w="-72" w:type="dxa"/>
          <w:tblLayout w:type="fixed"/>
          <w:tblLook w:val="01E0"/>
        </w:tblPrEx>
        <w:trPr>
          <w:cantSplit/>
        </w:trPr>
        <w:tc>
          <w:tcPr>
            <w:tcW w:w="682" w:type="pct"/>
            <w:shd w:val="clear" w:color="auto" w:fill="D9D9D9"/>
          </w:tcPr>
          <w:p w:rsidR="00FE0BAE" w:rsidRPr="00FE0BAE" w:rsidP="00FE0BAE" w14:paraId="7B7CF6CE" w14:textId="77777777">
            <w:pPr>
              <w:widowControl/>
              <w:autoSpaceDE/>
              <w:autoSpaceDN/>
              <w:adjustRightInd/>
              <w:jc w:val="center"/>
              <w:rPr>
                <w:rFonts w:eastAsia="Calibri"/>
                <w:b/>
                <w:sz w:val="20"/>
                <w:szCs w:val="20"/>
              </w:rPr>
            </w:pPr>
          </w:p>
        </w:tc>
        <w:tc>
          <w:tcPr>
            <w:tcW w:w="794" w:type="pct"/>
            <w:shd w:val="clear" w:color="auto" w:fill="D9D9D9"/>
            <w:vAlign w:val="bottom"/>
          </w:tcPr>
          <w:p w:rsidR="00FE0BAE" w:rsidRPr="00FE0BAE" w:rsidP="00FE0BAE" w14:paraId="04153A1F" w14:textId="77777777">
            <w:pPr>
              <w:widowControl/>
              <w:autoSpaceDE/>
              <w:autoSpaceDN/>
              <w:adjustRightInd/>
              <w:jc w:val="center"/>
              <w:rPr>
                <w:rFonts w:eastAsia="Calibri"/>
                <w:b/>
                <w:sz w:val="20"/>
                <w:szCs w:val="20"/>
              </w:rPr>
            </w:pPr>
            <w:r w:rsidRPr="00FE0BAE">
              <w:rPr>
                <w:rFonts w:eastAsia="Calibri"/>
                <w:b/>
                <w:sz w:val="20"/>
                <w:szCs w:val="20"/>
              </w:rPr>
              <w:t>Number of Respondents</w:t>
            </w:r>
            <w:r w:rsidRPr="00FE0BAE">
              <w:rPr>
                <w:rFonts w:eastAsia="Calibri"/>
                <w:b/>
                <w:sz w:val="20"/>
                <w:szCs w:val="20"/>
              </w:rPr>
              <w:br/>
              <w:t>(1)</w:t>
            </w:r>
          </w:p>
        </w:tc>
        <w:tc>
          <w:tcPr>
            <w:tcW w:w="794" w:type="pct"/>
            <w:shd w:val="clear" w:color="auto" w:fill="D9D9D9"/>
            <w:vAlign w:val="bottom"/>
          </w:tcPr>
          <w:p w:rsidR="00FE0BAE" w:rsidRPr="00FE0BAE" w:rsidP="00FE0BAE" w14:paraId="3D635F59" w14:textId="77777777">
            <w:pPr>
              <w:widowControl/>
              <w:autoSpaceDE/>
              <w:autoSpaceDN/>
              <w:adjustRightInd/>
              <w:jc w:val="center"/>
              <w:rPr>
                <w:rFonts w:eastAsia="Calibri"/>
                <w:b/>
                <w:sz w:val="20"/>
                <w:szCs w:val="20"/>
              </w:rPr>
            </w:pPr>
            <w:r w:rsidRPr="00FE0BAE">
              <w:rPr>
                <w:rFonts w:eastAsia="Calibri"/>
                <w:b/>
                <w:sz w:val="20"/>
                <w:szCs w:val="20"/>
              </w:rPr>
              <w:t>Annual Number of Responses per Respondent</w:t>
            </w:r>
          </w:p>
          <w:p w:rsidR="00FE0BAE" w:rsidRPr="00FE0BAE" w:rsidP="00FE0BAE" w14:paraId="284DB9FE" w14:textId="77777777">
            <w:pPr>
              <w:widowControl/>
              <w:autoSpaceDE/>
              <w:autoSpaceDN/>
              <w:adjustRightInd/>
              <w:jc w:val="center"/>
              <w:rPr>
                <w:rFonts w:eastAsia="Calibri"/>
                <w:b/>
                <w:sz w:val="20"/>
                <w:szCs w:val="20"/>
              </w:rPr>
            </w:pPr>
            <w:r w:rsidRPr="00FE0BAE">
              <w:rPr>
                <w:rFonts w:eastAsia="Calibri"/>
                <w:b/>
                <w:sz w:val="20"/>
                <w:szCs w:val="20"/>
              </w:rPr>
              <w:t>(2)</w:t>
            </w:r>
          </w:p>
        </w:tc>
        <w:tc>
          <w:tcPr>
            <w:tcW w:w="844" w:type="pct"/>
            <w:shd w:val="clear" w:color="auto" w:fill="D9D9D9"/>
            <w:vAlign w:val="bottom"/>
          </w:tcPr>
          <w:p w:rsidR="00FE0BAE" w:rsidRPr="00FE0BAE" w:rsidP="00FE0BAE" w14:paraId="48E504E3" w14:textId="77777777">
            <w:pPr>
              <w:widowControl/>
              <w:autoSpaceDE/>
              <w:autoSpaceDN/>
              <w:adjustRightInd/>
              <w:jc w:val="center"/>
              <w:rPr>
                <w:rFonts w:eastAsia="Calibri"/>
                <w:b/>
                <w:sz w:val="20"/>
                <w:szCs w:val="20"/>
              </w:rPr>
            </w:pPr>
            <w:r w:rsidRPr="00FE0BAE">
              <w:rPr>
                <w:rFonts w:eastAsia="Calibri"/>
                <w:b/>
                <w:sz w:val="20"/>
                <w:szCs w:val="20"/>
              </w:rPr>
              <w:t>Total Number of Responses (</w:t>
            </w:r>
            <w:r w:rsidRPr="00FE0BAE">
              <w:rPr>
                <w:rFonts w:eastAsia="Calibri"/>
                <w:b/>
                <w:sz w:val="20"/>
                <w:szCs w:val="20"/>
              </w:rPr>
              <w:t>1)*</w:t>
            </w:r>
            <w:r w:rsidRPr="00FE0BAE">
              <w:rPr>
                <w:rFonts w:eastAsia="Calibri"/>
                <w:b/>
                <w:sz w:val="20"/>
                <w:szCs w:val="20"/>
              </w:rPr>
              <w:t>(2)=(3)</w:t>
            </w:r>
          </w:p>
        </w:tc>
        <w:tc>
          <w:tcPr>
            <w:tcW w:w="646" w:type="pct"/>
            <w:shd w:val="clear" w:color="auto" w:fill="D9D9D9"/>
            <w:vAlign w:val="bottom"/>
          </w:tcPr>
          <w:p w:rsidR="00FE0BAE" w:rsidRPr="00FE0BAE" w:rsidP="00FE0BAE" w14:paraId="14F95A79" w14:textId="77777777">
            <w:pPr>
              <w:widowControl/>
              <w:autoSpaceDE/>
              <w:autoSpaceDN/>
              <w:adjustRightInd/>
              <w:jc w:val="center"/>
              <w:rPr>
                <w:rFonts w:eastAsia="Calibri"/>
                <w:b/>
                <w:sz w:val="20"/>
                <w:szCs w:val="20"/>
              </w:rPr>
            </w:pPr>
            <w:r w:rsidRPr="00FE0BAE">
              <w:rPr>
                <w:rFonts w:eastAsia="Calibri"/>
                <w:b/>
                <w:sz w:val="20"/>
                <w:szCs w:val="20"/>
              </w:rPr>
              <w:t>Average Burden Hrs. &amp; Cost Per Response</w:t>
            </w:r>
          </w:p>
          <w:p w:rsidR="00FE0BAE" w:rsidRPr="00FE0BAE" w:rsidP="00FE0BAE" w14:paraId="3D109DE9" w14:textId="77777777">
            <w:pPr>
              <w:widowControl/>
              <w:autoSpaceDE/>
              <w:autoSpaceDN/>
              <w:adjustRightInd/>
              <w:jc w:val="center"/>
              <w:rPr>
                <w:rFonts w:eastAsia="Calibri"/>
                <w:b/>
                <w:sz w:val="20"/>
                <w:szCs w:val="20"/>
              </w:rPr>
            </w:pPr>
            <w:r w:rsidRPr="00FE0BAE">
              <w:rPr>
                <w:rFonts w:eastAsia="Calibri"/>
                <w:b/>
                <w:sz w:val="20"/>
                <w:szCs w:val="20"/>
              </w:rPr>
              <w:t>(4)</w:t>
            </w:r>
          </w:p>
        </w:tc>
        <w:tc>
          <w:tcPr>
            <w:tcW w:w="694" w:type="pct"/>
            <w:shd w:val="clear" w:color="auto" w:fill="D9D9D9"/>
            <w:vAlign w:val="bottom"/>
          </w:tcPr>
          <w:p w:rsidR="00FE0BAE" w:rsidRPr="00FE0BAE" w:rsidP="00FE0BAE" w14:paraId="4186D833" w14:textId="77777777">
            <w:pPr>
              <w:widowControl/>
              <w:autoSpaceDE/>
              <w:autoSpaceDN/>
              <w:adjustRightInd/>
              <w:jc w:val="center"/>
              <w:rPr>
                <w:rFonts w:eastAsia="Calibri"/>
                <w:b/>
                <w:sz w:val="20"/>
                <w:szCs w:val="20"/>
              </w:rPr>
            </w:pPr>
            <w:r w:rsidRPr="00FE0BAE">
              <w:rPr>
                <w:rFonts w:eastAsia="Calibri"/>
                <w:b/>
                <w:sz w:val="20"/>
                <w:szCs w:val="20"/>
              </w:rPr>
              <w:t>Total Annual Burden Hours &amp; Total Annual Cost</w:t>
            </w:r>
          </w:p>
          <w:p w:rsidR="00FE0BAE" w:rsidRPr="00FE0BAE" w:rsidP="00FE0BAE" w14:paraId="6D20ED39" w14:textId="77777777">
            <w:pPr>
              <w:widowControl/>
              <w:autoSpaceDE/>
              <w:autoSpaceDN/>
              <w:adjustRightInd/>
              <w:jc w:val="center"/>
              <w:rPr>
                <w:rFonts w:eastAsia="Calibri"/>
                <w:b/>
                <w:sz w:val="20"/>
                <w:szCs w:val="20"/>
              </w:rPr>
            </w:pPr>
            <w:r w:rsidRPr="00FE0BAE">
              <w:rPr>
                <w:rFonts w:eastAsia="Calibri"/>
                <w:b/>
                <w:sz w:val="20"/>
                <w:szCs w:val="20"/>
              </w:rPr>
              <w:t>(</w:t>
            </w:r>
            <w:r w:rsidRPr="00FE0BAE">
              <w:rPr>
                <w:rFonts w:eastAsia="Calibri"/>
                <w:b/>
                <w:sz w:val="20"/>
                <w:szCs w:val="20"/>
              </w:rPr>
              <w:t>3)*</w:t>
            </w:r>
            <w:r w:rsidRPr="00FE0BAE">
              <w:rPr>
                <w:rFonts w:eastAsia="Calibri"/>
                <w:b/>
                <w:sz w:val="20"/>
                <w:szCs w:val="20"/>
              </w:rPr>
              <w:t>(4)=(5)</w:t>
            </w:r>
          </w:p>
        </w:tc>
        <w:tc>
          <w:tcPr>
            <w:tcW w:w="546" w:type="pct"/>
            <w:shd w:val="clear" w:color="auto" w:fill="D9D9D9"/>
            <w:vAlign w:val="bottom"/>
          </w:tcPr>
          <w:p w:rsidR="00FE0BAE" w:rsidRPr="00FE0BAE" w:rsidP="00FE0BAE" w14:paraId="2339959A" w14:textId="77777777">
            <w:pPr>
              <w:widowControl/>
              <w:autoSpaceDE/>
              <w:autoSpaceDN/>
              <w:adjustRightInd/>
              <w:jc w:val="center"/>
              <w:rPr>
                <w:rFonts w:eastAsia="Calibri"/>
                <w:b/>
                <w:sz w:val="20"/>
                <w:szCs w:val="20"/>
              </w:rPr>
            </w:pPr>
            <w:r w:rsidRPr="00FE0BAE">
              <w:rPr>
                <w:rFonts w:eastAsia="Calibri"/>
                <w:b/>
                <w:sz w:val="20"/>
                <w:szCs w:val="20"/>
              </w:rPr>
              <w:t>Cost per Respondent</w:t>
            </w:r>
          </w:p>
          <w:p w:rsidR="00FE0BAE" w:rsidRPr="00FE0BAE" w:rsidP="00FE0BAE" w14:paraId="732CEC04" w14:textId="77777777">
            <w:pPr>
              <w:widowControl/>
              <w:autoSpaceDE/>
              <w:autoSpaceDN/>
              <w:adjustRightInd/>
              <w:jc w:val="center"/>
              <w:rPr>
                <w:rFonts w:eastAsia="Calibri"/>
                <w:b/>
                <w:sz w:val="20"/>
                <w:szCs w:val="20"/>
              </w:rPr>
            </w:pPr>
            <w:r w:rsidRPr="00FE0BAE">
              <w:rPr>
                <w:rFonts w:eastAsia="Calibri"/>
                <w:b/>
                <w:sz w:val="20"/>
                <w:szCs w:val="20"/>
              </w:rPr>
              <w:t xml:space="preserve"> ($)</w:t>
            </w:r>
          </w:p>
          <w:p w:rsidR="00FE0BAE" w:rsidRPr="00FE0BAE" w:rsidP="00FE0BAE" w14:paraId="1D6742B3" w14:textId="77777777">
            <w:pPr>
              <w:widowControl/>
              <w:autoSpaceDE/>
              <w:autoSpaceDN/>
              <w:adjustRightInd/>
              <w:jc w:val="center"/>
              <w:rPr>
                <w:rFonts w:eastAsia="Calibri"/>
                <w:b/>
                <w:sz w:val="20"/>
                <w:szCs w:val="20"/>
              </w:rPr>
            </w:pPr>
            <w:r w:rsidRPr="00FE0BAE">
              <w:rPr>
                <w:rFonts w:eastAsia="Calibri"/>
                <w:b/>
                <w:sz w:val="20"/>
                <w:szCs w:val="20"/>
              </w:rPr>
              <w:t>(</w:t>
            </w:r>
            <w:r w:rsidRPr="00FE0BAE">
              <w:rPr>
                <w:rFonts w:eastAsia="Calibri"/>
                <w:b/>
                <w:sz w:val="20"/>
                <w:szCs w:val="20"/>
              </w:rPr>
              <w:t>5)÷</w:t>
            </w:r>
            <w:r w:rsidRPr="00FE0BAE">
              <w:rPr>
                <w:rFonts w:eastAsia="Calibri"/>
                <w:b/>
                <w:sz w:val="20"/>
                <w:szCs w:val="20"/>
              </w:rPr>
              <w:t>(1)</w:t>
            </w:r>
          </w:p>
        </w:tc>
      </w:tr>
      <w:tr w14:paraId="2F2D7A11" w14:textId="77777777" w:rsidTr="001A185A">
        <w:tblPrEx>
          <w:tblW w:w="4849" w:type="pct"/>
          <w:tblInd w:w="-72" w:type="dxa"/>
          <w:tblLayout w:type="fixed"/>
          <w:tblLook w:val="01E0"/>
        </w:tblPrEx>
        <w:trPr>
          <w:cantSplit/>
        </w:trPr>
        <w:tc>
          <w:tcPr>
            <w:tcW w:w="682" w:type="pct"/>
          </w:tcPr>
          <w:p w:rsidR="00FE0BAE" w:rsidRPr="00FE0BAE" w:rsidP="00FE0BAE" w14:paraId="6AFAEF2E" w14:textId="77777777">
            <w:pPr>
              <w:widowControl/>
              <w:autoSpaceDE/>
              <w:autoSpaceDN/>
              <w:adjustRightInd/>
              <w:rPr>
                <w:rFonts w:eastAsia="Calibri"/>
                <w:sz w:val="20"/>
                <w:szCs w:val="20"/>
              </w:rPr>
            </w:pPr>
            <w:r w:rsidRPr="00FE0BAE">
              <w:rPr>
                <w:sz w:val="20"/>
                <w:szCs w:val="20"/>
              </w:rPr>
              <w:t>Hydropower Project Licensees</w:t>
            </w:r>
          </w:p>
        </w:tc>
        <w:tc>
          <w:tcPr>
            <w:tcW w:w="794" w:type="pct"/>
          </w:tcPr>
          <w:p w:rsidR="00FE0BAE" w:rsidRPr="00FE0BAE" w:rsidP="00FE0BAE" w14:paraId="37B6B85D" w14:textId="77777777">
            <w:pPr>
              <w:widowControl/>
              <w:autoSpaceDE/>
              <w:autoSpaceDN/>
              <w:adjustRightInd/>
              <w:jc w:val="right"/>
              <w:rPr>
                <w:rFonts w:eastAsia="Calibri"/>
                <w:sz w:val="20"/>
                <w:szCs w:val="20"/>
              </w:rPr>
            </w:pPr>
            <w:r w:rsidRPr="00FE0BAE">
              <w:rPr>
                <w:rFonts w:eastAsia="Calibri"/>
                <w:sz w:val="20"/>
                <w:szCs w:val="20"/>
              </w:rPr>
              <w:t>13</w:t>
            </w:r>
            <w:r>
              <w:rPr>
                <w:rFonts w:eastAsia="Calibri"/>
                <w:b/>
                <w:sz w:val="26"/>
                <w:szCs w:val="26"/>
                <w:vertAlign w:val="superscript"/>
              </w:rPr>
              <w:footnoteReference w:id="8"/>
            </w:r>
          </w:p>
        </w:tc>
        <w:tc>
          <w:tcPr>
            <w:tcW w:w="794" w:type="pct"/>
          </w:tcPr>
          <w:p w:rsidR="00FE0BAE" w:rsidRPr="00FE0BAE" w:rsidP="00FE0BAE" w14:paraId="77CB9CFA" w14:textId="77777777">
            <w:pPr>
              <w:widowControl/>
              <w:autoSpaceDE/>
              <w:autoSpaceDN/>
              <w:adjustRightInd/>
              <w:jc w:val="right"/>
              <w:rPr>
                <w:rFonts w:eastAsia="Calibri"/>
                <w:sz w:val="20"/>
                <w:szCs w:val="20"/>
              </w:rPr>
            </w:pPr>
            <w:r w:rsidRPr="00FE0BAE">
              <w:rPr>
                <w:rFonts w:eastAsia="Calibri"/>
                <w:sz w:val="20"/>
                <w:szCs w:val="20"/>
              </w:rPr>
              <w:t>1</w:t>
            </w:r>
          </w:p>
        </w:tc>
        <w:tc>
          <w:tcPr>
            <w:tcW w:w="844" w:type="pct"/>
          </w:tcPr>
          <w:p w:rsidR="00FE0BAE" w:rsidRPr="00FE0BAE" w:rsidP="00FE0BAE" w14:paraId="595210D0" w14:textId="77777777">
            <w:pPr>
              <w:widowControl/>
              <w:autoSpaceDE/>
              <w:autoSpaceDN/>
              <w:adjustRightInd/>
              <w:jc w:val="right"/>
              <w:rPr>
                <w:rFonts w:eastAsia="Calibri"/>
                <w:sz w:val="20"/>
                <w:szCs w:val="20"/>
              </w:rPr>
            </w:pPr>
            <w:r w:rsidRPr="00FE0BAE">
              <w:rPr>
                <w:rFonts w:eastAsia="Calibri"/>
                <w:sz w:val="20"/>
                <w:szCs w:val="20"/>
              </w:rPr>
              <w:t>13</w:t>
            </w:r>
          </w:p>
          <w:p w:rsidR="00FE0BAE" w:rsidRPr="00FE0BAE" w:rsidP="00FE0BAE" w14:paraId="3C5BEE47" w14:textId="77777777">
            <w:pPr>
              <w:widowControl/>
              <w:autoSpaceDE/>
              <w:autoSpaceDN/>
              <w:adjustRightInd/>
              <w:jc w:val="right"/>
              <w:rPr>
                <w:rFonts w:eastAsia="Calibri"/>
                <w:sz w:val="20"/>
                <w:szCs w:val="20"/>
              </w:rPr>
            </w:pPr>
          </w:p>
        </w:tc>
        <w:tc>
          <w:tcPr>
            <w:tcW w:w="646" w:type="pct"/>
          </w:tcPr>
          <w:p w:rsidR="00FE0BAE" w:rsidRPr="00FE0BAE" w:rsidP="00FE0BAE" w14:paraId="2DD0F728" w14:textId="77777777">
            <w:pPr>
              <w:widowControl/>
              <w:autoSpaceDE/>
              <w:autoSpaceDN/>
              <w:adjustRightInd/>
              <w:jc w:val="right"/>
              <w:rPr>
                <w:rFonts w:eastAsia="Calibri"/>
                <w:sz w:val="20"/>
                <w:szCs w:val="20"/>
              </w:rPr>
            </w:pPr>
            <w:r w:rsidRPr="00FE0BAE">
              <w:rPr>
                <w:rFonts w:eastAsia="Calibri"/>
                <w:sz w:val="20"/>
                <w:szCs w:val="20"/>
              </w:rPr>
              <w:t xml:space="preserve">40 </w:t>
            </w:r>
            <w:r w:rsidRPr="00FE0BAE">
              <w:rPr>
                <w:rFonts w:eastAsia="Calibri"/>
                <w:sz w:val="20"/>
                <w:szCs w:val="20"/>
              </w:rPr>
              <w:t>hrs.;</w:t>
            </w:r>
          </w:p>
          <w:p w:rsidR="00FE0BAE" w:rsidRPr="00FE0BAE" w:rsidP="00FE0BAE" w14:paraId="44A67972" w14:textId="77777777">
            <w:pPr>
              <w:widowControl/>
              <w:autoSpaceDE/>
              <w:autoSpaceDN/>
              <w:adjustRightInd/>
              <w:jc w:val="right"/>
              <w:rPr>
                <w:rFonts w:eastAsia="Calibri"/>
                <w:sz w:val="20"/>
                <w:szCs w:val="20"/>
              </w:rPr>
            </w:pPr>
            <w:r w:rsidRPr="00FE0BAE">
              <w:rPr>
                <w:rFonts w:eastAsia="Calibri"/>
                <w:sz w:val="20"/>
                <w:szCs w:val="20"/>
              </w:rPr>
              <w:t>$3,640</w:t>
            </w:r>
          </w:p>
        </w:tc>
        <w:tc>
          <w:tcPr>
            <w:tcW w:w="694" w:type="pct"/>
          </w:tcPr>
          <w:p w:rsidR="00FE0BAE" w:rsidRPr="00FE0BAE" w:rsidP="00FE0BAE" w14:paraId="418DE1EE" w14:textId="77777777">
            <w:pPr>
              <w:widowControl/>
              <w:autoSpaceDE/>
              <w:autoSpaceDN/>
              <w:adjustRightInd/>
              <w:jc w:val="right"/>
              <w:rPr>
                <w:rFonts w:eastAsia="Calibri"/>
                <w:sz w:val="20"/>
                <w:szCs w:val="20"/>
              </w:rPr>
            </w:pPr>
            <w:r w:rsidRPr="00FE0BAE">
              <w:rPr>
                <w:rFonts w:eastAsia="Calibri"/>
                <w:sz w:val="20"/>
                <w:szCs w:val="20"/>
              </w:rPr>
              <w:t xml:space="preserve">520 </w:t>
            </w:r>
            <w:r w:rsidRPr="00FE0BAE">
              <w:rPr>
                <w:rFonts w:eastAsia="Calibri"/>
                <w:sz w:val="20"/>
                <w:szCs w:val="20"/>
              </w:rPr>
              <w:t>hrs.;</w:t>
            </w:r>
          </w:p>
          <w:p w:rsidR="00FE0BAE" w:rsidRPr="00FE0BAE" w:rsidP="00FE0BAE" w14:paraId="7B21474A" w14:textId="77777777">
            <w:pPr>
              <w:widowControl/>
              <w:autoSpaceDE/>
              <w:autoSpaceDN/>
              <w:adjustRightInd/>
              <w:jc w:val="right"/>
              <w:rPr>
                <w:rFonts w:eastAsia="Calibri"/>
                <w:sz w:val="20"/>
                <w:szCs w:val="20"/>
              </w:rPr>
            </w:pPr>
            <w:r w:rsidRPr="00FE0BAE">
              <w:rPr>
                <w:rFonts w:eastAsia="Calibri"/>
                <w:sz w:val="20"/>
                <w:szCs w:val="20"/>
              </w:rPr>
              <w:t xml:space="preserve">$47,320 </w:t>
            </w:r>
          </w:p>
        </w:tc>
        <w:tc>
          <w:tcPr>
            <w:tcW w:w="546" w:type="pct"/>
          </w:tcPr>
          <w:p w:rsidR="00FE0BAE" w:rsidRPr="00FE0BAE" w:rsidP="00FE0BAE" w14:paraId="46B8EE4C" w14:textId="77777777">
            <w:pPr>
              <w:widowControl/>
              <w:autoSpaceDE/>
              <w:autoSpaceDN/>
              <w:adjustRightInd/>
              <w:jc w:val="right"/>
              <w:rPr>
                <w:rFonts w:eastAsia="Calibri"/>
                <w:sz w:val="20"/>
                <w:szCs w:val="20"/>
              </w:rPr>
            </w:pPr>
            <w:r w:rsidRPr="00FE0BAE">
              <w:rPr>
                <w:rFonts w:eastAsia="Calibri"/>
                <w:sz w:val="20"/>
                <w:szCs w:val="20"/>
              </w:rPr>
              <w:t>$3,640</w:t>
            </w:r>
            <w:r>
              <w:rPr>
                <w:rFonts w:eastAsia="Calibri"/>
                <w:b/>
                <w:sz w:val="26"/>
                <w:szCs w:val="26"/>
                <w:vertAlign w:val="superscript"/>
              </w:rPr>
              <w:footnoteReference w:id="9"/>
            </w:r>
            <w:r w:rsidRPr="00FE0BAE">
              <w:rPr>
                <w:rFonts w:eastAsia="Calibri"/>
                <w:sz w:val="20"/>
                <w:szCs w:val="20"/>
              </w:rPr>
              <w:t xml:space="preserve"> </w:t>
            </w:r>
          </w:p>
          <w:p w:rsidR="00FE0BAE" w:rsidRPr="00FE0BAE" w:rsidP="00FE0BAE" w14:paraId="3F9AC2BC" w14:textId="77777777">
            <w:pPr>
              <w:widowControl/>
              <w:autoSpaceDE/>
              <w:autoSpaceDN/>
              <w:adjustRightInd/>
              <w:jc w:val="right"/>
              <w:rPr>
                <w:rFonts w:eastAsia="Calibri"/>
                <w:sz w:val="20"/>
                <w:szCs w:val="20"/>
              </w:rPr>
            </w:pPr>
          </w:p>
        </w:tc>
      </w:tr>
    </w:tbl>
    <w:p w:rsidR="00F576D8" w:rsidRPr="00BB6095" w:rsidP="00BB6095" w14:paraId="729BCA4C" w14:textId="77777777">
      <w:pPr>
        <w:pStyle w:val="FERCparanumber"/>
        <w:numPr>
          <w:ilvl w:val="0"/>
          <w:numId w:val="0"/>
        </w:numPr>
        <w:rPr>
          <w:sz w:val="24"/>
        </w:rPr>
      </w:pPr>
    </w:p>
    <w:p w:rsidR="009D6B6D" w:rsidRPr="00EF40FF" w:rsidP="001D2EC1" w14:paraId="13BF2A57" w14:textId="77777777">
      <w:pPr>
        <w:pStyle w:val="FERCparanumber"/>
        <w:numPr>
          <w:ilvl w:val="0"/>
          <w:numId w:val="7"/>
        </w:numPr>
        <w:rPr>
          <w:sz w:val="24"/>
        </w:rPr>
      </w:pPr>
      <w:r w:rsidRPr="001D2EC1">
        <w:rPr>
          <w:b/>
          <w:sz w:val="24"/>
        </w:rPr>
        <w:t>ESTIMATE OF THE TOTAL ANNUAL COST BURDEN TO RESPONDENTS</w:t>
      </w:r>
    </w:p>
    <w:p w:rsidR="00EF40FF" w:rsidP="00EF40FF" w14:paraId="27C816AF" w14:textId="77777777">
      <w:pPr>
        <w:pStyle w:val="FERCparanumber"/>
        <w:numPr>
          <w:ilvl w:val="0"/>
          <w:numId w:val="0"/>
        </w:numPr>
        <w:rPr>
          <w:b/>
          <w:sz w:val="24"/>
        </w:rPr>
      </w:pPr>
    </w:p>
    <w:p w:rsidR="00432DA3" w:rsidP="00432DA3" w14:paraId="421B1190" w14:textId="4156084A">
      <w:pPr>
        <w:widowControl/>
      </w:pPr>
      <w:r>
        <w:t xml:space="preserve">There are no non-labor </w:t>
      </w:r>
      <w:r w:rsidR="00C11826">
        <w:t xml:space="preserve">or </w:t>
      </w:r>
      <w:r>
        <w:t>start-up costs. All costs are related to burden hours and are addressed in Questions #12 and #15.</w:t>
      </w:r>
    </w:p>
    <w:p w:rsidR="00EF40FF" w:rsidRPr="00EF40FF" w:rsidP="00EF40FF" w14:paraId="237DA0EC" w14:textId="77777777">
      <w:pPr>
        <w:pStyle w:val="FERCparanumber"/>
        <w:numPr>
          <w:ilvl w:val="0"/>
          <w:numId w:val="0"/>
        </w:numPr>
        <w:rPr>
          <w:sz w:val="24"/>
        </w:rPr>
      </w:pPr>
    </w:p>
    <w:p w:rsidR="00EF40FF" w:rsidP="001D2EC1" w14:paraId="25934EE2" w14:textId="77777777">
      <w:pPr>
        <w:pStyle w:val="FERCparanumber"/>
        <w:numPr>
          <w:ilvl w:val="0"/>
          <w:numId w:val="7"/>
        </w:numPr>
        <w:rPr>
          <w:b/>
          <w:sz w:val="24"/>
        </w:rPr>
      </w:pPr>
      <w:r w:rsidRPr="00EF40FF">
        <w:rPr>
          <w:b/>
          <w:sz w:val="24"/>
        </w:rPr>
        <w:t>ESTIMATED ANNUALIZED COST TO FEDERAL GOVERNMENT</w:t>
      </w:r>
    </w:p>
    <w:p w:rsidR="00EF40FF" w:rsidRPr="00616B92" w:rsidP="00EF40FF" w14:paraId="1F460314" w14:textId="4A773576">
      <w:pPr>
        <w:pStyle w:val="FERCparanumber"/>
        <w:numPr>
          <w:ilvl w:val="0"/>
          <w:numId w:val="0"/>
        </w:numPr>
        <w:rPr>
          <w:sz w:val="24"/>
        </w:rPr>
      </w:pPr>
    </w:p>
    <w:p w:rsidR="00616B92" w:rsidP="00EF40FF" w14:paraId="5A4AD5EB" w14:textId="2CD85109">
      <w:pPr>
        <w:pStyle w:val="FERCparanumber"/>
        <w:numPr>
          <w:ilvl w:val="0"/>
          <w:numId w:val="0"/>
        </w:numPr>
        <w:rPr>
          <w:sz w:val="24"/>
        </w:rPr>
      </w:pPr>
      <w:r w:rsidRPr="00616B92">
        <w:rPr>
          <w:sz w:val="24"/>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616B92" w:rsidP="00EF40FF" w14:paraId="01A98909" w14:textId="5FFACBAD">
      <w:pPr>
        <w:pStyle w:val="FERCparanumber"/>
        <w:numPr>
          <w:ilvl w:val="0"/>
          <w:numId w:val="0"/>
        </w:numPr>
        <w:rPr>
          <w:sz w:val="24"/>
        </w:rPr>
      </w:pPr>
    </w:p>
    <w:p w:rsidR="00616B92" w:rsidRPr="00616B92" w:rsidP="00EF40FF" w14:paraId="33648889" w14:textId="1B193B91">
      <w:pPr>
        <w:pStyle w:val="FERCparanumber"/>
        <w:numPr>
          <w:ilvl w:val="0"/>
          <w:numId w:val="0"/>
        </w:numPr>
        <w:rPr>
          <w:sz w:val="24"/>
        </w:rPr>
      </w:pPr>
      <w:r w:rsidRPr="00616B92">
        <w:rPr>
          <w:sz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616B92" w:rsidP="00EF40FF" w14:paraId="3013EF9D" w14:textId="2B5E5852">
      <w:pPr>
        <w:pStyle w:val="FERCparanumber"/>
        <w:numPr>
          <w:ilvl w:val="0"/>
          <w:numId w:val="0"/>
        </w:numP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C55F3AE" w14:textId="77777777" w:rsidTr="001A18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1D2EC1" w:rsidP="001A185A" w14:paraId="420D71F3" w14:textId="428D766A">
            <w:pPr>
              <w:pStyle w:val="ListParagraph"/>
              <w:spacing w:after="0" w:line="240" w:lineRule="auto"/>
              <w:ind w:left="0"/>
              <w:rPr>
                <w:rFonts w:ascii="Times New Roman" w:hAnsi="Times New Roman"/>
                <w:b/>
                <w:sz w:val="24"/>
                <w:szCs w:val="24"/>
              </w:rPr>
            </w:pPr>
            <w:r>
              <w:rPr>
                <w:rFonts w:ascii="Times New Roman" w:hAnsi="Times New Roman"/>
                <w:b/>
                <w:sz w:val="24"/>
                <w:szCs w:val="24"/>
              </w:rPr>
              <w:t>FERC-511</w:t>
            </w:r>
          </w:p>
        </w:tc>
        <w:tc>
          <w:tcPr>
            <w:tcW w:w="1627" w:type="pct"/>
            <w:shd w:val="clear" w:color="auto" w:fill="D9D9D9"/>
            <w:vAlign w:val="center"/>
          </w:tcPr>
          <w:p w:rsidR="00EF40FF" w:rsidRPr="001D2EC1" w:rsidP="001A185A" w14:paraId="18D95BE9" w14:textId="77777777">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rsidR="00EF40FF" w:rsidRPr="001D2EC1" w:rsidP="001A185A" w14:paraId="65A7AAF2" w14:textId="5E2B9F51">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 xml:space="preserve">Estimated Annual Federal </w:t>
            </w:r>
            <w:r w:rsidRPr="005A21DF">
              <w:rPr>
                <w:rFonts w:ascii="Times New Roman" w:hAnsi="Times New Roman"/>
                <w:b/>
                <w:sz w:val="24"/>
                <w:szCs w:val="24"/>
              </w:rPr>
              <w:t>Cost</w:t>
            </w:r>
            <w:r w:rsidRPr="005A21DF" w:rsidR="008B4FDF">
              <w:rPr>
                <w:rFonts w:ascii="Times New Roman" w:hAnsi="Times New Roman"/>
                <w:b/>
                <w:sz w:val="24"/>
                <w:szCs w:val="24"/>
              </w:rPr>
              <w:t xml:space="preserve"> </w:t>
            </w:r>
            <w:r w:rsidRPr="0001544B" w:rsidR="008B4FDF">
              <w:rPr>
                <w:rFonts w:ascii="Times New Roman" w:hAnsi="Times New Roman"/>
                <w:b/>
                <w:sz w:val="24"/>
                <w:szCs w:val="24"/>
              </w:rPr>
              <w:t>(rounded)</w:t>
            </w:r>
          </w:p>
        </w:tc>
      </w:tr>
      <w:tr w14:paraId="73366A6A" w14:textId="77777777" w:rsidTr="001A185A">
        <w:tblPrEx>
          <w:tblW w:w="5000" w:type="pct"/>
          <w:tblLook w:val="01E0"/>
        </w:tblPrEx>
        <w:tc>
          <w:tcPr>
            <w:tcW w:w="1756" w:type="pct"/>
            <w:shd w:val="clear" w:color="auto" w:fill="auto"/>
            <w:vAlign w:val="center"/>
          </w:tcPr>
          <w:p w:rsidR="00EF40FF" w:rsidRPr="001D2EC1" w:rsidP="001A185A" w14:paraId="38725E63" w14:textId="0CD9042C">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Pr>
                <w:rStyle w:val="FootnoteReference"/>
                <w:rFonts w:ascii="Times New Roman" w:hAnsi="Times New Roman"/>
                <w:sz w:val="24"/>
                <w:szCs w:val="24"/>
                <w:vertAlign w:val="superscript"/>
              </w:rPr>
              <w:footnoteReference w:id="10"/>
            </w:r>
          </w:p>
        </w:tc>
        <w:tc>
          <w:tcPr>
            <w:tcW w:w="1627" w:type="pct"/>
            <w:shd w:val="clear" w:color="auto" w:fill="auto"/>
            <w:vAlign w:val="center"/>
          </w:tcPr>
          <w:p w:rsidR="00EF40FF" w:rsidRPr="001D2EC1" w:rsidP="001A185A" w14:paraId="169BBF54" w14:textId="5263CC6B">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w:t>
            </w:r>
          </w:p>
        </w:tc>
        <w:tc>
          <w:tcPr>
            <w:tcW w:w="1617" w:type="pct"/>
            <w:shd w:val="clear" w:color="auto" w:fill="auto"/>
            <w:vAlign w:val="center"/>
          </w:tcPr>
          <w:p w:rsidR="00EF40FF" w:rsidRPr="001D2EC1" w:rsidP="001A185A" w14:paraId="7007B84E" w14:textId="54B45806">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C11826">
              <w:rPr>
                <w:rFonts w:ascii="Times New Roman" w:hAnsi="Times New Roman"/>
                <w:sz w:val="24"/>
                <w:szCs w:val="24"/>
              </w:rPr>
              <w:t>2</w:t>
            </w:r>
            <w:r w:rsidR="00266BB4">
              <w:rPr>
                <w:rFonts w:ascii="Times New Roman" w:hAnsi="Times New Roman"/>
                <w:sz w:val="24"/>
                <w:szCs w:val="24"/>
              </w:rPr>
              <w:t>83,383</w:t>
            </w:r>
            <w:r w:rsidR="00C11826">
              <w:rPr>
                <w:rFonts w:ascii="Times New Roman" w:hAnsi="Times New Roman"/>
                <w:sz w:val="24"/>
                <w:szCs w:val="24"/>
              </w:rPr>
              <w:t xml:space="preserve"> </w:t>
            </w:r>
          </w:p>
        </w:tc>
      </w:tr>
      <w:tr w14:paraId="7009D51E" w14:textId="77777777" w:rsidTr="001A185A">
        <w:tblPrEx>
          <w:tblW w:w="5000" w:type="pct"/>
          <w:tblLook w:val="01E0"/>
        </w:tblPrEx>
        <w:tc>
          <w:tcPr>
            <w:tcW w:w="1756" w:type="pct"/>
            <w:shd w:val="clear" w:color="auto" w:fill="auto"/>
            <w:vAlign w:val="center"/>
          </w:tcPr>
          <w:p w:rsidR="00EF40FF" w:rsidRPr="001D2EC1" w:rsidP="001A185A" w14:paraId="099D5BDF" w14:textId="3878294E">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Pr>
                <w:rStyle w:val="FootnoteReference"/>
                <w:rFonts w:ascii="Times New Roman" w:hAnsi="Times New Roman"/>
                <w:sz w:val="24"/>
                <w:szCs w:val="24"/>
                <w:vertAlign w:val="superscript"/>
              </w:rPr>
              <w:footnoteReference w:id="11"/>
            </w:r>
            <w:r w:rsidRPr="001D2EC1">
              <w:rPr>
                <w:rFonts w:ascii="Times New Roman" w:hAnsi="Times New Roman"/>
                <w:sz w:val="24"/>
                <w:szCs w:val="24"/>
              </w:rPr>
              <w:t xml:space="preserve"> Administrative Cost</w:t>
            </w:r>
          </w:p>
        </w:tc>
        <w:tc>
          <w:tcPr>
            <w:tcW w:w="1627" w:type="pct"/>
            <w:shd w:val="clear" w:color="auto" w:fill="D9D9D9"/>
            <w:vAlign w:val="center"/>
          </w:tcPr>
          <w:p w:rsidR="00EF40FF" w:rsidRPr="001D2EC1" w:rsidP="001A185A" w14:paraId="74DA3B1F"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00EF40FF" w:rsidRPr="001D2EC1" w:rsidP="001A185A" w14:paraId="731B0E8B" w14:textId="5DE84ACA">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266BB4">
              <w:rPr>
                <w:rFonts w:ascii="Times New Roman" w:hAnsi="Times New Roman"/>
                <w:sz w:val="24"/>
                <w:szCs w:val="24"/>
              </w:rPr>
              <w:t>7,694</w:t>
            </w:r>
          </w:p>
        </w:tc>
      </w:tr>
      <w:tr w14:paraId="0A5B5FA9" w14:textId="77777777" w:rsidTr="001A185A">
        <w:tblPrEx>
          <w:tblW w:w="5000" w:type="pct"/>
          <w:tblLook w:val="01E0"/>
        </w:tblPrEx>
        <w:tc>
          <w:tcPr>
            <w:tcW w:w="1756" w:type="pct"/>
            <w:shd w:val="clear" w:color="auto" w:fill="auto"/>
            <w:vAlign w:val="center"/>
          </w:tcPr>
          <w:p w:rsidR="00EF40FF" w:rsidRPr="001D2EC1" w:rsidP="001A185A" w14:paraId="4441CC05" w14:textId="77777777">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rsidR="00EF40FF" w:rsidRPr="001D2EC1" w:rsidP="001A185A" w14:paraId="2B3CB9DA"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00EF40FF" w:rsidRPr="001D2EC1" w:rsidP="001A185A" w14:paraId="53B2B876" w14:textId="1F4AA836">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8B4FDF">
              <w:rPr>
                <w:rFonts w:ascii="Times New Roman" w:hAnsi="Times New Roman"/>
                <w:sz w:val="24"/>
                <w:szCs w:val="24"/>
              </w:rPr>
              <w:t>2</w:t>
            </w:r>
            <w:r w:rsidR="00266BB4">
              <w:rPr>
                <w:rFonts w:ascii="Times New Roman" w:hAnsi="Times New Roman"/>
                <w:sz w:val="24"/>
                <w:szCs w:val="24"/>
              </w:rPr>
              <w:t>91,077</w:t>
            </w:r>
          </w:p>
        </w:tc>
      </w:tr>
    </w:tbl>
    <w:p w:rsidR="00EF40FF" w:rsidP="00EF40FF" w14:paraId="7086245E" w14:textId="29424D98">
      <w:pPr>
        <w:pStyle w:val="FERCparanumber"/>
        <w:numPr>
          <w:ilvl w:val="0"/>
          <w:numId w:val="0"/>
        </w:numPr>
        <w:rPr>
          <w:b/>
          <w:sz w:val="24"/>
        </w:rPr>
      </w:pPr>
    </w:p>
    <w:p w:rsidR="00EF40FF" w:rsidP="001D2EC1" w14:paraId="652E2E2C" w14:textId="368930FE">
      <w:pPr>
        <w:pStyle w:val="FERCparanumber"/>
        <w:numPr>
          <w:ilvl w:val="0"/>
          <w:numId w:val="7"/>
        </w:numPr>
        <w:rPr>
          <w:b/>
          <w:sz w:val="24"/>
        </w:rPr>
      </w:pPr>
      <w:r w:rsidRPr="001D2EC1">
        <w:rPr>
          <w:b/>
          <w:sz w:val="24"/>
        </w:rPr>
        <w:t>REASONS FOR CHANGES IN BURDEN INCLUDING THE NEED FOR ANY INCREASE</w:t>
      </w:r>
    </w:p>
    <w:p w:rsidR="002E5F74" w:rsidP="002E5F74" w14:paraId="482949B4" w14:textId="77777777">
      <w:pPr>
        <w:pStyle w:val="FERCparanumber"/>
        <w:numPr>
          <w:ilvl w:val="0"/>
          <w:numId w:val="0"/>
        </w:numPr>
        <w:ind w:left="720"/>
        <w:rPr>
          <w:b/>
          <w:sz w:val="24"/>
        </w:rPr>
      </w:pPr>
    </w:p>
    <w:p w:rsidR="00F9384F" w:rsidP="366F8EF7" w14:paraId="37F0AF8F" w14:textId="3520BCC0">
      <w:r>
        <w:t>The Commission is making no changes to reporting requirements</w:t>
      </w:r>
      <w:r w:rsidR="002E5F74">
        <w:t>.</w:t>
      </w:r>
      <w:r>
        <w:t xml:space="preserve"> </w:t>
      </w:r>
      <w:r w:rsidR="1663D910">
        <w:t>There was a correction to the numbers from the previous renewal. The previous numbers were enter</w:t>
      </w:r>
      <w:r w:rsidR="00245FA9">
        <w:t>ed</w:t>
      </w:r>
      <w:r w:rsidR="1663D910">
        <w:t xml:space="preserve"> in incorrectly.</w:t>
      </w:r>
      <w:r w:rsidR="19E7F8A5">
        <w:t xml:space="preserve"> </w:t>
      </w:r>
      <w:r w:rsidRPr="366F8EF7" w:rsidR="19E7F8A5">
        <w:rPr>
          <w:sz w:val="26"/>
          <w:szCs w:val="26"/>
        </w:rPr>
        <w:t>The number of respondents has been reduced from 46 to 13 for this renewal; this is based on the average number of filings made in the past three years.</w:t>
      </w:r>
    </w:p>
    <w:p w:rsidR="0045729D" w:rsidP="0045729D" w14:paraId="4E1E25F9" w14:textId="77777777"/>
    <w:p w:rsidR="00545B62" w:rsidRPr="00545B62" w:rsidP="00545B62" w14:paraId="0EF2A067" w14:textId="730A5FBE">
      <w:pPr>
        <w:rPr>
          <w:szCs w:val="26"/>
        </w:rPr>
      </w:pPr>
      <w:r>
        <w:rPr>
          <w:szCs w:val="26"/>
        </w:rPr>
        <w:t xml:space="preserve">The following table shows the </w:t>
      </w:r>
      <w:r w:rsidR="00607DF1">
        <w:rPr>
          <w:szCs w:val="26"/>
        </w:rPr>
        <w:t xml:space="preserve">annual </w:t>
      </w:r>
      <w:r>
        <w:rPr>
          <w:szCs w:val="26"/>
        </w:rPr>
        <w:t>total burden of the collection</w:t>
      </w:r>
      <w:r w:rsidR="004B6E35">
        <w:rPr>
          <w:szCs w:val="26"/>
        </w:rPr>
        <w:t>s</w:t>
      </w:r>
      <w:r>
        <w:rPr>
          <w:szCs w:val="26"/>
        </w:rPr>
        <w:t xml:space="preserve"> of information.  The format, labels, and definitions of the table follow the ROCIS submission system’s “Information Collection Request Summary of Burden” for the metadata.</w:t>
      </w:r>
    </w:p>
    <w:p w:rsidR="00EF40FF" w:rsidRPr="001D2EC1" w:rsidP="00EF40FF" w14:paraId="0D00454B" w14:textId="1C664BF0">
      <w:pPr>
        <w:widowControl/>
        <w:tabs>
          <w:tab w:val="left" w:pos="239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46C4A5B4" w14:textId="77777777" w:rsidTr="001A18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shd w:val="clear" w:color="auto" w:fill="D9D9D9"/>
            <w:vAlign w:val="bottom"/>
          </w:tcPr>
          <w:p w:rsidR="00EF40FF" w:rsidRPr="001D2EC1" w:rsidP="001A185A" w14:paraId="5E6F18B9" w14:textId="11209B4D">
            <w:pPr>
              <w:jc w:val="center"/>
              <w:rPr>
                <w:b/>
              </w:rPr>
            </w:pPr>
            <w:r>
              <w:rPr>
                <w:b/>
              </w:rPr>
              <w:t>F</w:t>
            </w:r>
            <w:r w:rsidR="003866AD">
              <w:rPr>
                <w:b/>
              </w:rPr>
              <w:t>ERC-511</w:t>
            </w:r>
          </w:p>
        </w:tc>
        <w:tc>
          <w:tcPr>
            <w:tcW w:w="829" w:type="pct"/>
            <w:shd w:val="clear" w:color="auto" w:fill="D9D9D9"/>
            <w:vAlign w:val="bottom"/>
          </w:tcPr>
          <w:p w:rsidR="00EF40FF" w:rsidRPr="001D2EC1" w:rsidP="001A185A" w14:paraId="6714602C" w14:textId="77777777">
            <w:pPr>
              <w:jc w:val="center"/>
              <w:rPr>
                <w:b/>
              </w:rPr>
            </w:pPr>
            <w:r w:rsidRPr="001D2EC1">
              <w:rPr>
                <w:b/>
              </w:rPr>
              <w:t>Total Request</w:t>
            </w:r>
          </w:p>
        </w:tc>
        <w:tc>
          <w:tcPr>
            <w:tcW w:w="854" w:type="pct"/>
            <w:shd w:val="clear" w:color="auto" w:fill="D9D9D9"/>
            <w:vAlign w:val="bottom"/>
          </w:tcPr>
          <w:p w:rsidR="00EF40FF" w:rsidRPr="001D2EC1" w:rsidP="001A185A" w14:paraId="13BA7890" w14:textId="77777777">
            <w:pPr>
              <w:jc w:val="center"/>
              <w:rPr>
                <w:b/>
              </w:rPr>
            </w:pPr>
            <w:r w:rsidRPr="001D2EC1">
              <w:rPr>
                <w:b/>
              </w:rPr>
              <w:t>Previously Approved</w:t>
            </w:r>
          </w:p>
        </w:tc>
        <w:tc>
          <w:tcPr>
            <w:tcW w:w="1010" w:type="pct"/>
            <w:shd w:val="clear" w:color="auto" w:fill="D9D9D9"/>
            <w:vAlign w:val="bottom"/>
          </w:tcPr>
          <w:p w:rsidR="00EF40FF" w:rsidRPr="001D2EC1" w:rsidP="001A185A" w14:paraId="73AFFA76" w14:textId="77777777">
            <w:pPr>
              <w:jc w:val="center"/>
              <w:rPr>
                <w:b/>
              </w:rPr>
            </w:pPr>
            <w:r w:rsidRPr="001D2EC1">
              <w:rPr>
                <w:b/>
              </w:rPr>
              <w:t>Change due to Adjustment in Estimate</w:t>
            </w:r>
          </w:p>
        </w:tc>
        <w:tc>
          <w:tcPr>
            <w:tcW w:w="865" w:type="pct"/>
            <w:shd w:val="clear" w:color="auto" w:fill="D9D9D9"/>
            <w:vAlign w:val="bottom"/>
          </w:tcPr>
          <w:p w:rsidR="00EF40FF" w:rsidRPr="001D2EC1" w:rsidP="001A185A" w14:paraId="41286C04" w14:textId="77777777">
            <w:pPr>
              <w:jc w:val="center"/>
              <w:rPr>
                <w:b/>
              </w:rPr>
            </w:pPr>
            <w:r w:rsidRPr="001D2EC1">
              <w:rPr>
                <w:b/>
              </w:rPr>
              <w:t>Change Due to Agency Discretion</w:t>
            </w:r>
          </w:p>
        </w:tc>
      </w:tr>
      <w:tr w14:paraId="17214C13" w14:textId="77777777" w:rsidTr="001A185A">
        <w:tblPrEx>
          <w:tblW w:w="5000" w:type="pct"/>
          <w:tblLook w:val="01E0"/>
        </w:tblPrEx>
        <w:trPr>
          <w:trHeight w:val="591"/>
        </w:trPr>
        <w:tc>
          <w:tcPr>
            <w:tcW w:w="1442" w:type="pct"/>
            <w:shd w:val="clear" w:color="auto" w:fill="auto"/>
          </w:tcPr>
          <w:p w:rsidR="00EF40FF" w:rsidRPr="001D2EC1" w:rsidP="001A185A" w14:paraId="0115B27A" w14:textId="77777777">
            <w:pPr>
              <w:jc w:val="center"/>
            </w:pPr>
            <w:r w:rsidRPr="001D2EC1">
              <w:t>Annual Number of Responses</w:t>
            </w:r>
          </w:p>
        </w:tc>
        <w:tc>
          <w:tcPr>
            <w:tcW w:w="829" w:type="pct"/>
            <w:shd w:val="clear" w:color="auto" w:fill="auto"/>
            <w:vAlign w:val="center"/>
          </w:tcPr>
          <w:p w:rsidR="00EF40FF" w:rsidRPr="001D2EC1" w:rsidP="001A185A" w14:paraId="386C9BC2" w14:textId="5A5CD01A">
            <w:pPr>
              <w:jc w:val="right"/>
            </w:pPr>
            <w:r>
              <w:t>13</w:t>
            </w:r>
          </w:p>
        </w:tc>
        <w:tc>
          <w:tcPr>
            <w:tcW w:w="854" w:type="pct"/>
            <w:shd w:val="clear" w:color="auto" w:fill="auto"/>
            <w:vAlign w:val="center"/>
          </w:tcPr>
          <w:p w:rsidR="00EF40FF" w:rsidRPr="001D2EC1" w:rsidP="001A185A" w14:paraId="39A0261D" w14:textId="4C7535FE">
            <w:pPr>
              <w:jc w:val="right"/>
            </w:pPr>
            <w:r>
              <w:t>46</w:t>
            </w:r>
          </w:p>
        </w:tc>
        <w:tc>
          <w:tcPr>
            <w:tcW w:w="1010" w:type="pct"/>
            <w:shd w:val="clear" w:color="auto" w:fill="auto"/>
            <w:vAlign w:val="center"/>
          </w:tcPr>
          <w:p w:rsidR="00EF40FF" w:rsidRPr="001D2EC1" w:rsidP="001A185A" w14:paraId="4FE2F429" w14:textId="64B70E96">
            <w:pPr>
              <w:jc w:val="right"/>
            </w:pPr>
            <w:r>
              <w:t>-</w:t>
            </w:r>
            <w:r w:rsidR="00266BB4">
              <w:t>33</w:t>
            </w:r>
          </w:p>
        </w:tc>
        <w:tc>
          <w:tcPr>
            <w:tcW w:w="865" w:type="pct"/>
            <w:shd w:val="clear" w:color="auto" w:fill="auto"/>
            <w:vAlign w:val="center"/>
          </w:tcPr>
          <w:p w:rsidR="00EF40FF" w:rsidRPr="001D2EC1" w:rsidP="001A185A" w14:paraId="50BDA9A0" w14:textId="77777777">
            <w:pPr>
              <w:jc w:val="right"/>
            </w:pPr>
            <w:r w:rsidRPr="001D2EC1">
              <w:t>0</w:t>
            </w:r>
          </w:p>
        </w:tc>
      </w:tr>
      <w:tr w14:paraId="7258AFC0" w14:textId="77777777" w:rsidTr="001A185A">
        <w:tblPrEx>
          <w:tblW w:w="5000" w:type="pct"/>
          <w:tblLook w:val="01E0"/>
        </w:tblPrEx>
        <w:trPr>
          <w:trHeight w:val="575"/>
        </w:trPr>
        <w:tc>
          <w:tcPr>
            <w:tcW w:w="1442" w:type="pct"/>
            <w:shd w:val="clear" w:color="auto" w:fill="auto"/>
          </w:tcPr>
          <w:p w:rsidR="00EF40FF" w:rsidRPr="001D2EC1" w:rsidP="001A185A" w14:paraId="73702C6C" w14:textId="77777777">
            <w:pPr>
              <w:jc w:val="center"/>
            </w:pPr>
            <w:r w:rsidRPr="001D2EC1">
              <w:t>Annual Time Burden (Hours)</w:t>
            </w:r>
          </w:p>
        </w:tc>
        <w:tc>
          <w:tcPr>
            <w:tcW w:w="829" w:type="pct"/>
            <w:shd w:val="clear" w:color="auto" w:fill="auto"/>
            <w:vAlign w:val="center"/>
          </w:tcPr>
          <w:p w:rsidR="00EF40FF" w:rsidRPr="001D2EC1" w:rsidP="001A185A" w14:paraId="31651BEE" w14:textId="172C985A">
            <w:pPr>
              <w:jc w:val="right"/>
            </w:pPr>
            <w:r>
              <w:t>520</w:t>
            </w:r>
          </w:p>
        </w:tc>
        <w:tc>
          <w:tcPr>
            <w:tcW w:w="854" w:type="pct"/>
            <w:shd w:val="clear" w:color="auto" w:fill="auto"/>
            <w:vAlign w:val="center"/>
          </w:tcPr>
          <w:p w:rsidR="00EF40FF" w:rsidRPr="001D2EC1" w:rsidP="001A185A" w14:paraId="0EED3422" w14:textId="27933C47">
            <w:pPr>
              <w:jc w:val="right"/>
            </w:pPr>
            <w:r>
              <w:t>1,840</w:t>
            </w:r>
          </w:p>
        </w:tc>
        <w:tc>
          <w:tcPr>
            <w:tcW w:w="1010" w:type="pct"/>
            <w:shd w:val="clear" w:color="auto" w:fill="auto"/>
            <w:vAlign w:val="center"/>
          </w:tcPr>
          <w:p w:rsidR="00EF40FF" w:rsidRPr="001D2EC1" w:rsidP="001A185A" w14:paraId="3CF5B872" w14:textId="5BC8CA81">
            <w:pPr>
              <w:jc w:val="right"/>
            </w:pPr>
            <w:r>
              <w:t>-</w:t>
            </w:r>
            <w:r w:rsidR="00266BB4">
              <w:t>1,320</w:t>
            </w:r>
          </w:p>
        </w:tc>
        <w:tc>
          <w:tcPr>
            <w:tcW w:w="865" w:type="pct"/>
            <w:shd w:val="clear" w:color="auto" w:fill="auto"/>
            <w:vAlign w:val="center"/>
          </w:tcPr>
          <w:p w:rsidR="00EF40FF" w:rsidRPr="001D2EC1" w:rsidP="001A185A" w14:paraId="39B1BAD1" w14:textId="77777777">
            <w:pPr>
              <w:jc w:val="right"/>
            </w:pPr>
            <w:r w:rsidRPr="001D2EC1">
              <w:t>0</w:t>
            </w:r>
          </w:p>
        </w:tc>
      </w:tr>
      <w:tr w14:paraId="32861EA7" w14:textId="77777777" w:rsidTr="001A185A">
        <w:tblPrEx>
          <w:tblW w:w="5000" w:type="pct"/>
          <w:tblLook w:val="01E0"/>
        </w:tblPrEx>
        <w:trPr>
          <w:trHeight w:val="295"/>
        </w:trPr>
        <w:tc>
          <w:tcPr>
            <w:tcW w:w="1442" w:type="pct"/>
            <w:tcBorders>
              <w:bottom w:val="single" w:sz="4" w:space="0" w:color="auto"/>
            </w:tcBorders>
            <w:shd w:val="clear" w:color="auto" w:fill="auto"/>
          </w:tcPr>
          <w:p w:rsidR="00EF40FF" w:rsidRPr="001D2EC1" w:rsidP="001A185A" w14:paraId="4F5B520F" w14:textId="77777777">
            <w:pPr>
              <w:jc w:val="center"/>
            </w:pPr>
            <w:r w:rsidRPr="001D2EC1">
              <w:t>Annual Cost Burden ($)</w:t>
            </w:r>
          </w:p>
        </w:tc>
        <w:tc>
          <w:tcPr>
            <w:tcW w:w="829" w:type="pct"/>
            <w:tcBorders>
              <w:bottom w:val="single" w:sz="4" w:space="0" w:color="auto"/>
            </w:tcBorders>
            <w:shd w:val="clear" w:color="auto" w:fill="auto"/>
            <w:vAlign w:val="center"/>
          </w:tcPr>
          <w:p w:rsidR="00EF40FF" w:rsidRPr="001D2EC1" w:rsidP="001A185A" w14:paraId="7D67E648" w14:textId="77777777">
            <w:pPr>
              <w:jc w:val="right"/>
            </w:pPr>
            <w:r w:rsidRPr="001D2EC1">
              <w:t>$0</w:t>
            </w:r>
          </w:p>
        </w:tc>
        <w:tc>
          <w:tcPr>
            <w:tcW w:w="854" w:type="pct"/>
            <w:tcBorders>
              <w:bottom w:val="single" w:sz="4" w:space="0" w:color="auto"/>
            </w:tcBorders>
            <w:shd w:val="clear" w:color="auto" w:fill="auto"/>
            <w:vAlign w:val="center"/>
          </w:tcPr>
          <w:p w:rsidR="00EF40FF" w:rsidRPr="001D2EC1" w:rsidP="001A185A" w14:paraId="15FA5A62" w14:textId="77777777">
            <w:pPr>
              <w:jc w:val="right"/>
            </w:pPr>
            <w:r w:rsidRPr="001D2EC1">
              <w:t>$0</w:t>
            </w:r>
          </w:p>
        </w:tc>
        <w:tc>
          <w:tcPr>
            <w:tcW w:w="1010" w:type="pct"/>
            <w:tcBorders>
              <w:bottom w:val="single" w:sz="4" w:space="0" w:color="auto"/>
            </w:tcBorders>
            <w:shd w:val="clear" w:color="auto" w:fill="auto"/>
            <w:vAlign w:val="center"/>
          </w:tcPr>
          <w:p w:rsidR="00EF40FF" w:rsidRPr="001D2EC1" w:rsidP="001A185A" w14:paraId="406A2FC1" w14:textId="77777777">
            <w:pPr>
              <w:jc w:val="right"/>
            </w:pPr>
            <w:r w:rsidRPr="001D2EC1">
              <w:t>$0</w:t>
            </w:r>
          </w:p>
        </w:tc>
        <w:tc>
          <w:tcPr>
            <w:tcW w:w="865" w:type="pct"/>
            <w:tcBorders>
              <w:bottom w:val="single" w:sz="4" w:space="0" w:color="auto"/>
            </w:tcBorders>
            <w:shd w:val="clear" w:color="auto" w:fill="auto"/>
            <w:vAlign w:val="center"/>
          </w:tcPr>
          <w:p w:rsidR="00EF40FF" w:rsidRPr="001D2EC1" w:rsidP="001A185A" w14:paraId="44B6C3E6" w14:textId="77777777">
            <w:pPr>
              <w:jc w:val="right"/>
            </w:pPr>
            <w:r>
              <w:t>$</w:t>
            </w:r>
            <w:r w:rsidRPr="001D2EC1">
              <w:t>0</w:t>
            </w:r>
          </w:p>
        </w:tc>
      </w:tr>
    </w:tbl>
    <w:p w:rsidR="00EF40FF" w:rsidRPr="001D2EC1" w:rsidP="00EF40FF" w14:paraId="5E52CD2D" w14:textId="77777777">
      <w:pPr>
        <w:widowControl/>
        <w:rPr>
          <w:b/>
        </w:rPr>
      </w:pPr>
    </w:p>
    <w:p w:rsidR="009D6B6D" w:rsidP="00EF40FF" w14:paraId="7CD93336" w14:textId="754CD171">
      <w:pPr>
        <w:pStyle w:val="FERCparanumber"/>
        <w:numPr>
          <w:ilvl w:val="0"/>
          <w:numId w:val="7"/>
        </w:numPr>
        <w:rPr>
          <w:b/>
          <w:sz w:val="24"/>
        </w:rPr>
      </w:pPr>
      <w:r w:rsidRPr="001D2EC1">
        <w:rPr>
          <w:b/>
          <w:sz w:val="24"/>
        </w:rPr>
        <w:t>TIME SCHEDULE FOR PUBLICATION OF DATA</w:t>
      </w:r>
    </w:p>
    <w:p w:rsidR="00EF40FF" w:rsidP="00EF40FF" w14:paraId="338E8E30" w14:textId="77777777">
      <w:pPr>
        <w:pStyle w:val="FERCparanumber"/>
        <w:numPr>
          <w:ilvl w:val="0"/>
          <w:numId w:val="0"/>
        </w:numPr>
        <w:rPr>
          <w:b/>
          <w:sz w:val="24"/>
        </w:rPr>
      </w:pPr>
    </w:p>
    <w:p w:rsidR="00545B62" w:rsidRPr="008449DF" w:rsidP="00545B62" w14:paraId="7EF18CBE" w14:textId="74CC0F71">
      <w:pPr>
        <w:widowControl/>
      </w:pPr>
      <w:r w:rsidRPr="008449DF">
        <w:t>There are no publication plans for the collection of information.  The data are used for regulatory purposes only.</w:t>
      </w:r>
    </w:p>
    <w:p w:rsidR="00EF40FF" w:rsidP="00EF40FF" w14:paraId="13B155E7" w14:textId="77777777">
      <w:pPr>
        <w:pStyle w:val="FERCparanumber"/>
        <w:numPr>
          <w:ilvl w:val="0"/>
          <w:numId w:val="0"/>
        </w:numPr>
        <w:rPr>
          <w:b/>
          <w:sz w:val="24"/>
        </w:rPr>
      </w:pPr>
    </w:p>
    <w:p w:rsidR="009D6B6D" w:rsidP="001D2EC1" w14:paraId="15394295" w14:textId="77777777">
      <w:pPr>
        <w:pStyle w:val="FERCparanumber"/>
        <w:numPr>
          <w:ilvl w:val="0"/>
          <w:numId w:val="7"/>
        </w:numPr>
        <w:rPr>
          <w:b/>
          <w:sz w:val="24"/>
        </w:rPr>
      </w:pPr>
      <w:r>
        <w:rPr>
          <w:b/>
          <w:sz w:val="24"/>
        </w:rPr>
        <w:t>DISPLAY OF EXPIRATION DATE</w:t>
      </w:r>
    </w:p>
    <w:p w:rsidR="00EF40FF" w:rsidP="00EF40FF" w14:paraId="50BC026E" w14:textId="77777777">
      <w:pPr>
        <w:pStyle w:val="FERCparanumber"/>
        <w:numPr>
          <w:ilvl w:val="0"/>
          <w:numId w:val="0"/>
        </w:numPr>
        <w:rPr>
          <w:b/>
          <w:sz w:val="24"/>
        </w:rPr>
      </w:pPr>
    </w:p>
    <w:p w:rsidR="002D113A" w:rsidRPr="002D113A" w:rsidP="002D113A" w14:paraId="4763C34E" w14:textId="31A3D497">
      <w:r w:rsidRPr="002D113A">
        <w:t xml:space="preserve">The expiration date is displayed in a table posted on ferc.gov at </w:t>
      </w:r>
      <w:hyperlink r:id="rId13" w:history="1">
        <w:r w:rsidRPr="002D113A">
          <w:rPr>
            <w:color w:val="0000FF"/>
            <w:u w:val="single"/>
          </w:rPr>
          <w:t>https://www.ferc.gov/information-collections</w:t>
        </w:r>
      </w:hyperlink>
      <w:r w:rsidRPr="002D113A">
        <w:t xml:space="preserve">. </w:t>
      </w:r>
    </w:p>
    <w:p w:rsidR="002D113A" w:rsidRPr="002D113A" w:rsidP="002D113A" w14:paraId="751F6C42" w14:textId="77777777"/>
    <w:p w:rsidR="00EF40FF" w:rsidRPr="00EF40FF" w:rsidP="00E138E1" w14:paraId="3B590558" w14:textId="77777777">
      <w:pPr>
        <w:widowControl/>
        <w:numPr>
          <w:ilvl w:val="0"/>
          <w:numId w:val="7"/>
        </w:numPr>
        <w:ind w:hanging="720"/>
        <w:rPr>
          <w:b/>
        </w:rPr>
      </w:pPr>
      <w:r w:rsidRPr="001D2EC1">
        <w:rPr>
          <w:b/>
        </w:rPr>
        <w:t>EXCEPTIONS TO THE CERTIFICATION STATEMENT</w:t>
      </w:r>
    </w:p>
    <w:p w:rsidR="009D6B6D" w:rsidRPr="001D2EC1" w:rsidP="001D2EC1" w14:paraId="612ECBF9" w14:textId="77777777">
      <w:pPr>
        <w:widowControl/>
        <w:ind w:left="720"/>
        <w:rPr>
          <w:b/>
        </w:rPr>
      </w:pPr>
    </w:p>
    <w:p w:rsidR="001A185A" w:rsidRPr="001D2EC1" w:rsidP="001D2EC1" w14:paraId="5B53F0DD" w14:textId="77777777">
      <w:pPr>
        <w:widowControl/>
      </w:pPr>
      <w:r>
        <w:t>There are no exceptions.</w:t>
      </w:r>
    </w:p>
    <w:sectPr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773" w14:paraId="69690493" w14:textId="23CF7C76">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0E24">
          <w:rPr>
            <w:noProof/>
          </w:rPr>
          <w:t>2</w:t>
        </w:r>
        <w:r>
          <w:rPr>
            <w:noProof/>
          </w:rPr>
          <w:fldChar w:fldCharType="end"/>
        </w:r>
      </w:sdtContent>
    </w:sdt>
  </w:p>
  <w:p w:rsidR="00E32773" w14:paraId="7CE168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08BF" w:rsidP="009D6B6D" w14:paraId="4D0AC1FC" w14:textId="77777777">
      <w:r>
        <w:separator/>
      </w:r>
    </w:p>
  </w:footnote>
  <w:footnote w:type="continuationSeparator" w:id="1">
    <w:p w:rsidR="003A08BF" w:rsidP="009D6B6D" w14:paraId="6DDD8C93" w14:textId="77777777">
      <w:r>
        <w:continuationSeparator/>
      </w:r>
    </w:p>
  </w:footnote>
  <w:footnote w:type="continuationNotice" w:id="2">
    <w:p w:rsidR="00BD3391" w14:paraId="6C42DC29" w14:textId="77777777"/>
  </w:footnote>
  <w:footnote w:id="3">
    <w:p w:rsidR="00470CD6" w:rsidRPr="00F67E3F" w14:paraId="6E57922F" w14:textId="53B45ABD">
      <w:pPr>
        <w:pStyle w:val="FootnoteText"/>
        <w:rPr>
          <w:sz w:val="24"/>
          <w:szCs w:val="24"/>
        </w:rPr>
      </w:pPr>
      <w:r w:rsidRPr="00F576D8">
        <w:rPr>
          <w:rStyle w:val="FootnoteReference"/>
          <w:b/>
          <w:sz w:val="24"/>
          <w:szCs w:val="24"/>
          <w:vertAlign w:val="superscript"/>
        </w:rPr>
        <w:footnoteRef/>
      </w:r>
      <w:r w:rsidRPr="00F67E3F">
        <w:rPr>
          <w:sz w:val="24"/>
          <w:szCs w:val="24"/>
        </w:rPr>
        <w:t xml:space="preserve"> The title is being updated to Transfer of Hydropower License (rather than Transfer of Electric License</w:t>
      </w:r>
      <w:r w:rsidR="00F67E3F">
        <w:rPr>
          <w:sz w:val="24"/>
          <w:szCs w:val="24"/>
        </w:rPr>
        <w:t>, or Application for Transfer of Hydropower License</w:t>
      </w:r>
      <w:r w:rsidRPr="00F67E3F">
        <w:rPr>
          <w:sz w:val="24"/>
          <w:szCs w:val="24"/>
        </w:rPr>
        <w:t>).</w:t>
      </w:r>
    </w:p>
  </w:footnote>
  <w:footnote w:id="4">
    <w:p w:rsidR="002B2810" w:rsidRPr="00F67E3F" w:rsidP="002B2810" w14:paraId="4EB41995" w14:textId="0B9BE8DC">
      <w:pPr>
        <w:pStyle w:val="FootnoteText"/>
        <w:rPr>
          <w:sz w:val="24"/>
          <w:szCs w:val="24"/>
          <w:lang w:val="fr-FR"/>
        </w:rPr>
      </w:pPr>
      <w:r w:rsidRPr="00F67E3F">
        <w:rPr>
          <w:rStyle w:val="FootnoteReference"/>
          <w:b/>
          <w:sz w:val="24"/>
          <w:szCs w:val="24"/>
          <w:vertAlign w:val="superscript"/>
        </w:rPr>
        <w:footnoteRef/>
      </w:r>
      <w:r w:rsidRPr="00F67E3F">
        <w:rPr>
          <w:b/>
          <w:sz w:val="24"/>
          <w:szCs w:val="24"/>
          <w:lang w:val="fr-FR"/>
        </w:rPr>
        <w:t xml:space="preserve"> </w:t>
      </w:r>
      <w:r w:rsidRPr="00F67E3F">
        <w:rPr>
          <w:sz w:val="24"/>
          <w:szCs w:val="24"/>
          <w:lang w:val="fr-FR"/>
        </w:rPr>
        <w:t>16 U.S.C. Sections 791a et</w:t>
      </w:r>
      <w:r w:rsidR="0075781C">
        <w:rPr>
          <w:sz w:val="24"/>
          <w:szCs w:val="24"/>
          <w:lang w:val="fr-FR"/>
        </w:rPr>
        <w:t>.</w:t>
      </w:r>
      <w:r w:rsidRPr="00F67E3F">
        <w:rPr>
          <w:sz w:val="24"/>
          <w:szCs w:val="24"/>
          <w:lang w:val="fr-FR"/>
        </w:rPr>
        <w:t xml:space="preserve"> </w:t>
      </w:r>
      <w:r w:rsidRPr="00F67E3F">
        <w:rPr>
          <w:sz w:val="24"/>
          <w:szCs w:val="24"/>
          <w:lang w:val="fr-FR"/>
        </w:rPr>
        <w:t>seq</w:t>
      </w:r>
      <w:r w:rsidRPr="00F67E3F">
        <w:rPr>
          <w:sz w:val="24"/>
          <w:szCs w:val="24"/>
          <w:lang w:val="fr-FR"/>
        </w:rPr>
        <w:t>. (2000)</w:t>
      </w:r>
    </w:p>
  </w:footnote>
  <w:footnote w:id="5">
    <w:p w:rsidR="002B2810" w:rsidRPr="00F67E3F" w:rsidP="002B2810" w14:paraId="6E4647D6" w14:textId="77777777">
      <w:pPr>
        <w:pStyle w:val="FootnoteText"/>
        <w:rPr>
          <w:sz w:val="24"/>
          <w:szCs w:val="24"/>
        </w:rPr>
      </w:pPr>
      <w:r w:rsidRPr="00F67E3F">
        <w:rPr>
          <w:rStyle w:val="FootnoteReference"/>
          <w:b/>
          <w:sz w:val="24"/>
          <w:szCs w:val="24"/>
          <w:vertAlign w:val="superscript"/>
        </w:rPr>
        <w:footnoteRef/>
      </w:r>
      <w:r w:rsidRPr="00F67E3F">
        <w:rPr>
          <w:sz w:val="24"/>
          <w:szCs w:val="24"/>
          <w:vertAlign w:val="superscript"/>
        </w:rPr>
        <w:t xml:space="preserve"> </w:t>
      </w:r>
      <w:r w:rsidRPr="00F67E3F">
        <w:rPr>
          <w:sz w:val="24"/>
          <w:szCs w:val="24"/>
        </w:rPr>
        <w:t>16 U.S.C. 797. (2000)</w:t>
      </w:r>
    </w:p>
  </w:footnote>
  <w:footnote w:id="6">
    <w:p w:rsidR="008B3517" w:rsidRPr="008B3517" w14:paraId="7DC539BE" w14:textId="11FE800F">
      <w:pPr>
        <w:pStyle w:val="FootnoteText"/>
        <w:rPr>
          <w:sz w:val="24"/>
          <w:szCs w:val="24"/>
        </w:rPr>
      </w:pPr>
      <w:r w:rsidRPr="002A2C79">
        <w:rPr>
          <w:rStyle w:val="FootnoteReference"/>
          <w:b/>
          <w:bCs/>
          <w:sz w:val="24"/>
          <w:szCs w:val="24"/>
          <w:vertAlign w:val="superscript"/>
        </w:rPr>
        <w:footnoteRef/>
      </w:r>
      <w:r w:rsidRPr="002A2C79">
        <w:rPr>
          <w:b/>
          <w:bCs/>
          <w:sz w:val="24"/>
          <w:szCs w:val="24"/>
          <w:vertAlign w:val="superscript"/>
        </w:rPr>
        <w:t xml:space="preserve"> </w:t>
      </w:r>
      <w:r w:rsidRPr="002A2C79" w:rsidR="002A2C79">
        <w:rPr>
          <w:sz w:val="24"/>
          <w:szCs w:val="24"/>
        </w:rPr>
        <w:t>11</w:t>
      </w:r>
      <w:r w:rsidRPr="002A2C79" w:rsidR="00EE06A5">
        <w:rPr>
          <w:sz w:val="24"/>
          <w:szCs w:val="24"/>
        </w:rPr>
        <w:t>/</w:t>
      </w:r>
      <w:r w:rsidRPr="002A2C79" w:rsidR="002A2C79">
        <w:rPr>
          <w:sz w:val="24"/>
          <w:szCs w:val="24"/>
        </w:rPr>
        <w:t>30</w:t>
      </w:r>
      <w:r w:rsidRPr="002A2C79" w:rsidR="00EE06A5">
        <w:rPr>
          <w:sz w:val="24"/>
          <w:szCs w:val="24"/>
        </w:rPr>
        <w:t>/20</w:t>
      </w:r>
      <w:r w:rsidRPr="002A2C79" w:rsidR="00FE0BAE">
        <w:rPr>
          <w:sz w:val="24"/>
          <w:szCs w:val="24"/>
        </w:rPr>
        <w:t>2</w:t>
      </w:r>
      <w:r w:rsidRPr="002A2C79" w:rsidR="00030403">
        <w:rPr>
          <w:sz w:val="24"/>
          <w:szCs w:val="24"/>
        </w:rPr>
        <w:t>2</w:t>
      </w:r>
      <w:r w:rsidRPr="002A2C79" w:rsidR="00EE06A5">
        <w:rPr>
          <w:sz w:val="24"/>
          <w:szCs w:val="24"/>
        </w:rPr>
        <w:t xml:space="preserve"> (8</w:t>
      </w:r>
      <w:r w:rsidRPr="002A2C79" w:rsidR="00FE0BAE">
        <w:rPr>
          <w:sz w:val="24"/>
          <w:szCs w:val="24"/>
        </w:rPr>
        <w:t>7</w:t>
      </w:r>
      <w:r w:rsidRPr="002A2C79" w:rsidR="00EE06A5">
        <w:rPr>
          <w:sz w:val="24"/>
          <w:szCs w:val="24"/>
        </w:rPr>
        <w:t xml:space="preserve"> FR </w:t>
      </w:r>
      <w:r w:rsidRPr="002A2C79" w:rsidR="00F12D87">
        <w:rPr>
          <w:sz w:val="24"/>
          <w:szCs w:val="24"/>
        </w:rPr>
        <w:t>73566</w:t>
      </w:r>
      <w:r w:rsidRPr="002A2C79" w:rsidR="00EE06A5">
        <w:rPr>
          <w:sz w:val="24"/>
          <w:szCs w:val="24"/>
        </w:rPr>
        <w:t>).</w:t>
      </w:r>
    </w:p>
  </w:footnote>
  <w:footnote w:id="7">
    <w:p w:rsidR="00F576D8" w:rsidRPr="00F12D87" w:rsidP="008D78C8" w14:paraId="11C2D690" w14:textId="6845FCD5">
      <w:pPr>
        <w:pStyle w:val="FootnoteText"/>
        <w:rPr>
          <w:sz w:val="24"/>
          <w:szCs w:val="24"/>
        </w:rPr>
      </w:pPr>
      <w:r w:rsidRPr="008D78C8">
        <w:rPr>
          <w:rStyle w:val="FootnoteReference"/>
          <w:b/>
          <w:vertAlign w:val="superscript"/>
        </w:rPr>
        <w:footnoteRef/>
      </w:r>
      <w:r w:rsidRPr="008D78C8" w:rsidR="00FE0BAE">
        <w:rPr>
          <w:b/>
        </w:rPr>
        <w:t xml:space="preserve"> </w:t>
      </w:r>
      <w:r w:rsidRPr="00F12D87" w:rsidR="00FE0BAE">
        <w:rPr>
          <w:sz w:val="24"/>
          <w:szCs w:val="24"/>
        </w:rPr>
        <w:t>The FERC 2022 average salary plus benefits for one FERC full-time equivalent (FTE) is $188,922/year (or $91.00/hour).  Commission staff estimates that the industry’s skill set (wages and benefits) for completing and filing FERC-511 is comparable to the Commission’s skill set.</w:t>
      </w:r>
    </w:p>
  </w:footnote>
  <w:footnote w:id="8">
    <w:p w:rsidR="00FE0BAE" w:rsidP="008D78C8" w14:paraId="7EB0BADC" w14:textId="77777777">
      <w:pPr>
        <w:pStyle w:val="FootnoteText"/>
      </w:pPr>
      <w:r w:rsidRPr="008D78C8">
        <w:rPr>
          <w:rStyle w:val="FootnoteReference"/>
          <w:b/>
          <w:bCs/>
          <w:vertAlign w:val="superscript"/>
        </w:rPr>
        <w:footnoteRef/>
      </w:r>
      <w:r w:rsidRPr="008D78C8">
        <w:rPr>
          <w:b/>
          <w:bCs/>
          <w:vertAlign w:val="superscript"/>
        </w:rPr>
        <w:t xml:space="preserve"> </w:t>
      </w:r>
      <w:r w:rsidRPr="007E410E">
        <w:rPr>
          <w:sz w:val="26"/>
          <w:szCs w:val="26"/>
        </w:rPr>
        <w:t>The number of respondents has been reduced from 46 to 13 for this renewal; this is based on the average number of filings made in the past three years.</w:t>
      </w:r>
    </w:p>
  </w:footnote>
  <w:footnote w:id="9">
    <w:p w:rsidR="00FE0BAE" w:rsidP="008D78C8" w14:paraId="5CFD7E36" w14:textId="77777777">
      <w:pPr>
        <w:pStyle w:val="FootnoteText"/>
      </w:pPr>
      <w:r w:rsidRPr="008D78C8">
        <w:rPr>
          <w:rStyle w:val="FootnoteReference"/>
          <w:b/>
          <w:bCs/>
          <w:vertAlign w:val="superscript"/>
        </w:rPr>
        <w:footnoteRef/>
      </w:r>
      <w:r w:rsidRPr="008D78C8">
        <w:rPr>
          <w:b/>
          <w:bCs/>
        </w:rPr>
        <w:t xml:space="preserve"> </w:t>
      </w:r>
      <w:r w:rsidRPr="007E410E">
        <w:rPr>
          <w:sz w:val="26"/>
          <w:szCs w:val="26"/>
        </w:rPr>
        <w:t xml:space="preserve">The cost per respondent has not actually increased between this renewal and the previous renewal, but a </w:t>
      </w:r>
      <w:r w:rsidRPr="004A1C0B">
        <w:rPr>
          <w:sz w:val="26"/>
          <w:szCs w:val="26"/>
        </w:rPr>
        <w:t>math</w:t>
      </w:r>
      <w:r>
        <w:rPr>
          <w:sz w:val="26"/>
          <w:szCs w:val="26"/>
        </w:rPr>
        <w:t>ematical</w:t>
      </w:r>
      <w:r w:rsidRPr="007E410E">
        <w:rPr>
          <w:sz w:val="26"/>
          <w:szCs w:val="26"/>
        </w:rPr>
        <w:t xml:space="preserve"> error has been corrected.  We estimate the cost per response to be the same:  $3,640.</w:t>
      </w:r>
    </w:p>
  </w:footnote>
  <w:footnote w:id="10">
    <w:p w:rsidR="00EF40FF" w:rsidRPr="00F67E3F" w:rsidP="00F1670E" w14:paraId="758C714B" w14:textId="3900563F">
      <w:r w:rsidRPr="00F67E3F">
        <w:rPr>
          <w:rStyle w:val="FootnoteReference"/>
          <w:b/>
          <w:vertAlign w:val="superscript"/>
        </w:rPr>
        <w:footnoteRef/>
      </w:r>
      <w:r w:rsidRPr="00F67E3F" w:rsidR="006441AD">
        <w:rPr>
          <w:b/>
        </w:rPr>
        <w:t xml:space="preserve"> </w:t>
      </w:r>
      <w:r w:rsidRPr="00C11826" w:rsidR="00C11826">
        <w:t>The FERC 20</w:t>
      </w:r>
      <w:r w:rsidR="00266BB4">
        <w:t>22</w:t>
      </w:r>
      <w:r w:rsidRPr="00C11826" w:rsidR="00C11826">
        <w:t xml:space="preserve"> average salary plus benefits for one FERC full-time equivalent (FTE) is $1</w:t>
      </w:r>
      <w:r w:rsidR="00266BB4">
        <w:t>88,922</w:t>
      </w:r>
      <w:r w:rsidRPr="00C11826" w:rsidR="00C11826">
        <w:t>/year (or $</w:t>
      </w:r>
      <w:r w:rsidR="00266BB4">
        <w:t>91</w:t>
      </w:r>
      <w:r w:rsidRPr="00C11826" w:rsidR="00C11826">
        <w:t xml:space="preserve">.00/hour).  </w:t>
      </w:r>
    </w:p>
  </w:footnote>
  <w:footnote w:id="11">
    <w:p w:rsidR="00EF40FF" w:rsidRPr="00F67E3F" w:rsidP="00F1670E" w14:paraId="27E34FC5" w14:textId="77777777">
      <w:pPr>
        <w:pStyle w:val="FootnoteText"/>
        <w:rPr>
          <w:sz w:val="24"/>
          <w:szCs w:val="24"/>
        </w:rPr>
      </w:pPr>
      <w:r w:rsidRPr="00F67E3F">
        <w:rPr>
          <w:rStyle w:val="FootnoteReference"/>
          <w:b/>
          <w:sz w:val="24"/>
          <w:szCs w:val="24"/>
          <w:vertAlign w:val="superscript"/>
        </w:rPr>
        <w:footnoteRef/>
      </w:r>
      <w:r w:rsidRPr="00F67E3F">
        <w:rPr>
          <w:sz w:val="24"/>
          <w:szCs w:val="24"/>
          <w:vertAlign w:val="superscript"/>
        </w:rPr>
        <w:t xml:space="preserve"> </w:t>
      </w:r>
      <w:r w:rsidRPr="00F67E3F">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014E" w14:paraId="3E5C2629" w14:textId="77777777">
    <w:pPr>
      <w:pStyle w:val="Header"/>
    </w:pPr>
    <w:r>
      <w:t>FERC-511</w:t>
    </w:r>
    <w:r w:rsidR="00703122">
      <w:t xml:space="preserve"> (OMB </w:t>
    </w:r>
    <w:r>
      <w:t>Control No. 1902-0069</w:t>
    </w:r>
    <w:r w:rsidR="00703122">
      <w:t>)</w:t>
    </w:r>
  </w:p>
  <w:p w:rsidR="00EE06A5" w14:paraId="3CC7D522" w14:textId="1D689EF0">
    <w:pPr>
      <w:pStyle w:val="Header"/>
    </w:pPr>
    <w:r>
      <w:t>(</w:t>
    </w:r>
    <w:r w:rsidR="00307BDA">
      <w:t>R</w:t>
    </w:r>
    <w:r>
      <w:t>enewal in Docket No. IC</w:t>
    </w:r>
    <w:r w:rsidR="009E01B6">
      <w:t>22-28</w:t>
    </w:r>
    <w:r w:rsidR="002D113A">
      <w:t>-000</w:t>
    </w:r>
    <w:r>
      <w:t>)</w:t>
    </w:r>
    <w:r w:rsidR="002B281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EC1" w14:paraId="0B7CE994" w14:textId="77777777">
    <w:pPr>
      <w:pStyle w:val="Header"/>
    </w:pPr>
    <w:r>
      <w:t xml:space="preserve">FERC Form </w:t>
    </w:r>
    <w:r w:rsidR="00CC615D">
      <w:t>730 (OMB Control No. 1902-0239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5710BA2"/>
    <w:multiLevelType w:val="hybridMultilevel"/>
    <w:tmpl w:val="FE165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1234B"/>
    <w:rsid w:val="000127E3"/>
    <w:rsid w:val="0001544B"/>
    <w:rsid w:val="0002037F"/>
    <w:rsid w:val="00021084"/>
    <w:rsid w:val="000218B7"/>
    <w:rsid w:val="00030403"/>
    <w:rsid w:val="00036591"/>
    <w:rsid w:val="00042ECE"/>
    <w:rsid w:val="000541E0"/>
    <w:rsid w:val="000806CF"/>
    <w:rsid w:val="00080EE5"/>
    <w:rsid w:val="000831CC"/>
    <w:rsid w:val="0009152C"/>
    <w:rsid w:val="000969B5"/>
    <w:rsid w:val="000C21B6"/>
    <w:rsid w:val="000C5C56"/>
    <w:rsid w:val="000D0EEE"/>
    <w:rsid w:val="000E6160"/>
    <w:rsid w:val="000F53A6"/>
    <w:rsid w:val="0011793D"/>
    <w:rsid w:val="00122818"/>
    <w:rsid w:val="001352B5"/>
    <w:rsid w:val="00147917"/>
    <w:rsid w:val="00172C91"/>
    <w:rsid w:val="00181B4A"/>
    <w:rsid w:val="00183D26"/>
    <w:rsid w:val="00184AC4"/>
    <w:rsid w:val="00187208"/>
    <w:rsid w:val="001922FC"/>
    <w:rsid w:val="00192A85"/>
    <w:rsid w:val="001A07E0"/>
    <w:rsid w:val="001A185A"/>
    <w:rsid w:val="001B1350"/>
    <w:rsid w:val="001B31F0"/>
    <w:rsid w:val="001B6647"/>
    <w:rsid w:val="001C042A"/>
    <w:rsid w:val="001C260D"/>
    <w:rsid w:val="001C70E5"/>
    <w:rsid w:val="001D1355"/>
    <w:rsid w:val="001D2EC1"/>
    <w:rsid w:val="001D6E8E"/>
    <w:rsid w:val="001E6D2B"/>
    <w:rsid w:val="001F3ADE"/>
    <w:rsid w:val="001F42E7"/>
    <w:rsid w:val="001F60CC"/>
    <w:rsid w:val="001F703D"/>
    <w:rsid w:val="002000AA"/>
    <w:rsid w:val="0020041D"/>
    <w:rsid w:val="0021208A"/>
    <w:rsid w:val="002142A2"/>
    <w:rsid w:val="00215C0C"/>
    <w:rsid w:val="00233705"/>
    <w:rsid w:val="0024137A"/>
    <w:rsid w:val="00244D8A"/>
    <w:rsid w:val="00245FA9"/>
    <w:rsid w:val="00250B5D"/>
    <w:rsid w:val="002565F8"/>
    <w:rsid w:val="00257BCB"/>
    <w:rsid w:val="002643FB"/>
    <w:rsid w:val="00266BB4"/>
    <w:rsid w:val="00267F92"/>
    <w:rsid w:val="002735A3"/>
    <w:rsid w:val="002766FC"/>
    <w:rsid w:val="00295C38"/>
    <w:rsid w:val="002A2B8E"/>
    <w:rsid w:val="002A2C79"/>
    <w:rsid w:val="002B0890"/>
    <w:rsid w:val="002B2810"/>
    <w:rsid w:val="002B4900"/>
    <w:rsid w:val="002D113A"/>
    <w:rsid w:val="002D5138"/>
    <w:rsid w:val="002E5F74"/>
    <w:rsid w:val="002F353A"/>
    <w:rsid w:val="00307BDA"/>
    <w:rsid w:val="00307F28"/>
    <w:rsid w:val="00313E37"/>
    <w:rsid w:val="0032225E"/>
    <w:rsid w:val="00330286"/>
    <w:rsid w:val="00336FC5"/>
    <w:rsid w:val="00340E2E"/>
    <w:rsid w:val="00342459"/>
    <w:rsid w:val="003431A7"/>
    <w:rsid w:val="00346A0C"/>
    <w:rsid w:val="00353DC5"/>
    <w:rsid w:val="0035481D"/>
    <w:rsid w:val="00371943"/>
    <w:rsid w:val="00374A5E"/>
    <w:rsid w:val="003866AD"/>
    <w:rsid w:val="00391357"/>
    <w:rsid w:val="003A08BF"/>
    <w:rsid w:val="003A4AD2"/>
    <w:rsid w:val="003A6A4F"/>
    <w:rsid w:val="003B7DB9"/>
    <w:rsid w:val="003C0424"/>
    <w:rsid w:val="003C429A"/>
    <w:rsid w:val="003D3487"/>
    <w:rsid w:val="003E3B25"/>
    <w:rsid w:val="003E5B70"/>
    <w:rsid w:val="003F5AD0"/>
    <w:rsid w:val="004025BD"/>
    <w:rsid w:val="00403374"/>
    <w:rsid w:val="004057F6"/>
    <w:rsid w:val="0041172D"/>
    <w:rsid w:val="00426B6E"/>
    <w:rsid w:val="00430620"/>
    <w:rsid w:val="00432DA3"/>
    <w:rsid w:val="00440D23"/>
    <w:rsid w:val="004445CE"/>
    <w:rsid w:val="004472EB"/>
    <w:rsid w:val="00454D32"/>
    <w:rsid w:val="0045729D"/>
    <w:rsid w:val="00470CD6"/>
    <w:rsid w:val="00475BAF"/>
    <w:rsid w:val="00476F95"/>
    <w:rsid w:val="004970F6"/>
    <w:rsid w:val="004A1C0B"/>
    <w:rsid w:val="004B0930"/>
    <w:rsid w:val="004B6E35"/>
    <w:rsid w:val="004D5AE8"/>
    <w:rsid w:val="004D67EF"/>
    <w:rsid w:val="004D6DEB"/>
    <w:rsid w:val="004E23EC"/>
    <w:rsid w:val="004F6BB5"/>
    <w:rsid w:val="004F7BFA"/>
    <w:rsid w:val="00506697"/>
    <w:rsid w:val="00516BB1"/>
    <w:rsid w:val="005240A1"/>
    <w:rsid w:val="00526C38"/>
    <w:rsid w:val="00526D22"/>
    <w:rsid w:val="00530B99"/>
    <w:rsid w:val="0053315C"/>
    <w:rsid w:val="00541938"/>
    <w:rsid w:val="00545B62"/>
    <w:rsid w:val="00546FAF"/>
    <w:rsid w:val="00560503"/>
    <w:rsid w:val="00573B16"/>
    <w:rsid w:val="00575C1D"/>
    <w:rsid w:val="0058608F"/>
    <w:rsid w:val="00590A22"/>
    <w:rsid w:val="00592E82"/>
    <w:rsid w:val="00593CC7"/>
    <w:rsid w:val="005A21DF"/>
    <w:rsid w:val="005C5DE2"/>
    <w:rsid w:val="005C6866"/>
    <w:rsid w:val="005C6964"/>
    <w:rsid w:val="005D6791"/>
    <w:rsid w:val="005E75F9"/>
    <w:rsid w:val="005F62ED"/>
    <w:rsid w:val="00605B79"/>
    <w:rsid w:val="00607DF1"/>
    <w:rsid w:val="00614D21"/>
    <w:rsid w:val="00616806"/>
    <w:rsid w:val="00616B92"/>
    <w:rsid w:val="006441AD"/>
    <w:rsid w:val="0064706B"/>
    <w:rsid w:val="00682741"/>
    <w:rsid w:val="006A1A2E"/>
    <w:rsid w:val="006A6928"/>
    <w:rsid w:val="006B0369"/>
    <w:rsid w:val="006C0F70"/>
    <w:rsid w:val="006C1E96"/>
    <w:rsid w:val="006E61A4"/>
    <w:rsid w:val="00703122"/>
    <w:rsid w:val="00703434"/>
    <w:rsid w:val="00703476"/>
    <w:rsid w:val="00714117"/>
    <w:rsid w:val="00730509"/>
    <w:rsid w:val="00744B1C"/>
    <w:rsid w:val="0074656F"/>
    <w:rsid w:val="0075420C"/>
    <w:rsid w:val="007544A8"/>
    <w:rsid w:val="0075781C"/>
    <w:rsid w:val="007625CD"/>
    <w:rsid w:val="007722E7"/>
    <w:rsid w:val="00772B38"/>
    <w:rsid w:val="00785BAA"/>
    <w:rsid w:val="00785BDB"/>
    <w:rsid w:val="00786DDD"/>
    <w:rsid w:val="00790DB8"/>
    <w:rsid w:val="007A60CD"/>
    <w:rsid w:val="007A699F"/>
    <w:rsid w:val="007A77F0"/>
    <w:rsid w:val="007B025D"/>
    <w:rsid w:val="007D3EF2"/>
    <w:rsid w:val="007E19EB"/>
    <w:rsid w:val="007E410E"/>
    <w:rsid w:val="007F3960"/>
    <w:rsid w:val="007F5B7F"/>
    <w:rsid w:val="007F6FB8"/>
    <w:rsid w:val="007F788C"/>
    <w:rsid w:val="00803D8D"/>
    <w:rsid w:val="008060D2"/>
    <w:rsid w:val="0081220C"/>
    <w:rsid w:val="00836979"/>
    <w:rsid w:val="008449DF"/>
    <w:rsid w:val="00846952"/>
    <w:rsid w:val="00851D29"/>
    <w:rsid w:val="00853F44"/>
    <w:rsid w:val="00860C58"/>
    <w:rsid w:val="00865702"/>
    <w:rsid w:val="00867774"/>
    <w:rsid w:val="00870A54"/>
    <w:rsid w:val="00891C89"/>
    <w:rsid w:val="00893289"/>
    <w:rsid w:val="0089369D"/>
    <w:rsid w:val="008A38B5"/>
    <w:rsid w:val="008B1A17"/>
    <w:rsid w:val="008B3517"/>
    <w:rsid w:val="008B4FDF"/>
    <w:rsid w:val="008D423C"/>
    <w:rsid w:val="008D78C8"/>
    <w:rsid w:val="008E2C0D"/>
    <w:rsid w:val="00907A71"/>
    <w:rsid w:val="0091154B"/>
    <w:rsid w:val="00925C33"/>
    <w:rsid w:val="0093064E"/>
    <w:rsid w:val="00933292"/>
    <w:rsid w:val="00957DA2"/>
    <w:rsid w:val="00967F7C"/>
    <w:rsid w:val="00980E8E"/>
    <w:rsid w:val="00985F0F"/>
    <w:rsid w:val="009B263A"/>
    <w:rsid w:val="009D6B6D"/>
    <w:rsid w:val="009E01B6"/>
    <w:rsid w:val="00A076E7"/>
    <w:rsid w:val="00A30E24"/>
    <w:rsid w:val="00A37A1E"/>
    <w:rsid w:val="00A562D3"/>
    <w:rsid w:val="00A57E47"/>
    <w:rsid w:val="00A61BDB"/>
    <w:rsid w:val="00A74130"/>
    <w:rsid w:val="00A75D13"/>
    <w:rsid w:val="00A908C2"/>
    <w:rsid w:val="00A94615"/>
    <w:rsid w:val="00AA3F59"/>
    <w:rsid w:val="00AA551D"/>
    <w:rsid w:val="00AC0958"/>
    <w:rsid w:val="00AC640A"/>
    <w:rsid w:val="00AD2B50"/>
    <w:rsid w:val="00AE08D8"/>
    <w:rsid w:val="00AE35F8"/>
    <w:rsid w:val="00AE5B29"/>
    <w:rsid w:val="00AF3118"/>
    <w:rsid w:val="00AF66E0"/>
    <w:rsid w:val="00B11515"/>
    <w:rsid w:val="00B13159"/>
    <w:rsid w:val="00B4017A"/>
    <w:rsid w:val="00B61F02"/>
    <w:rsid w:val="00B678E9"/>
    <w:rsid w:val="00B733A8"/>
    <w:rsid w:val="00B73436"/>
    <w:rsid w:val="00BA2EE0"/>
    <w:rsid w:val="00BB6095"/>
    <w:rsid w:val="00BB7F2D"/>
    <w:rsid w:val="00BC5BC5"/>
    <w:rsid w:val="00BC7CEF"/>
    <w:rsid w:val="00BD2A12"/>
    <w:rsid w:val="00BD3391"/>
    <w:rsid w:val="00BD33C9"/>
    <w:rsid w:val="00BD4039"/>
    <w:rsid w:val="00BD5BFC"/>
    <w:rsid w:val="00BF493B"/>
    <w:rsid w:val="00C05C96"/>
    <w:rsid w:val="00C07FC8"/>
    <w:rsid w:val="00C11826"/>
    <w:rsid w:val="00C12DC0"/>
    <w:rsid w:val="00C13C94"/>
    <w:rsid w:val="00C3086A"/>
    <w:rsid w:val="00C33FDE"/>
    <w:rsid w:val="00C36B2C"/>
    <w:rsid w:val="00C40AA6"/>
    <w:rsid w:val="00C604C0"/>
    <w:rsid w:val="00C62F55"/>
    <w:rsid w:val="00C651D2"/>
    <w:rsid w:val="00C65A3A"/>
    <w:rsid w:val="00C735B0"/>
    <w:rsid w:val="00C7666C"/>
    <w:rsid w:val="00C909A2"/>
    <w:rsid w:val="00C97FEE"/>
    <w:rsid w:val="00CA5AF7"/>
    <w:rsid w:val="00CB1F7E"/>
    <w:rsid w:val="00CB3EA0"/>
    <w:rsid w:val="00CC615D"/>
    <w:rsid w:val="00CE6336"/>
    <w:rsid w:val="00CF13F5"/>
    <w:rsid w:val="00D00D07"/>
    <w:rsid w:val="00D05C1E"/>
    <w:rsid w:val="00D14D54"/>
    <w:rsid w:val="00D26BE1"/>
    <w:rsid w:val="00D47805"/>
    <w:rsid w:val="00D9097D"/>
    <w:rsid w:val="00D93813"/>
    <w:rsid w:val="00DA036B"/>
    <w:rsid w:val="00DA4553"/>
    <w:rsid w:val="00DB4793"/>
    <w:rsid w:val="00DE0C3A"/>
    <w:rsid w:val="00DE5423"/>
    <w:rsid w:val="00DE6B6F"/>
    <w:rsid w:val="00DF6A49"/>
    <w:rsid w:val="00E03A09"/>
    <w:rsid w:val="00E138E1"/>
    <w:rsid w:val="00E16543"/>
    <w:rsid w:val="00E32773"/>
    <w:rsid w:val="00E355FA"/>
    <w:rsid w:val="00E40D6E"/>
    <w:rsid w:val="00E46B67"/>
    <w:rsid w:val="00E56439"/>
    <w:rsid w:val="00E758CD"/>
    <w:rsid w:val="00E76211"/>
    <w:rsid w:val="00E77B24"/>
    <w:rsid w:val="00E82BDC"/>
    <w:rsid w:val="00EA014E"/>
    <w:rsid w:val="00EA026E"/>
    <w:rsid w:val="00EB052D"/>
    <w:rsid w:val="00ED3A92"/>
    <w:rsid w:val="00EE06A5"/>
    <w:rsid w:val="00EF40FF"/>
    <w:rsid w:val="00F12D87"/>
    <w:rsid w:val="00F14D3D"/>
    <w:rsid w:val="00F1670E"/>
    <w:rsid w:val="00F205D2"/>
    <w:rsid w:val="00F3663C"/>
    <w:rsid w:val="00F528CE"/>
    <w:rsid w:val="00F576D8"/>
    <w:rsid w:val="00F620F6"/>
    <w:rsid w:val="00F67E3F"/>
    <w:rsid w:val="00F909A7"/>
    <w:rsid w:val="00F9384F"/>
    <w:rsid w:val="00FA1287"/>
    <w:rsid w:val="00FA33AC"/>
    <w:rsid w:val="00FA5F94"/>
    <w:rsid w:val="00FC7C5C"/>
    <w:rsid w:val="00FD23EC"/>
    <w:rsid w:val="00FD4EEF"/>
    <w:rsid w:val="00FD59A5"/>
    <w:rsid w:val="00FE0BAE"/>
    <w:rsid w:val="00FE3FDE"/>
    <w:rsid w:val="1663D910"/>
    <w:rsid w:val="17FFA971"/>
    <w:rsid w:val="19E7F8A5"/>
    <w:rsid w:val="366F8EF7"/>
    <w:rsid w:val="4210F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F0AE0"/>
  <w15:docId w15:val="{0324528F-1DDC-4197-B6B9-41808533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8B3517"/>
    <w:rPr>
      <w:color w:val="605E5C"/>
      <w:shd w:val="clear" w:color="auto" w:fill="E1DFDD"/>
    </w:rPr>
  </w:style>
  <w:style w:type="character" w:styleId="UnresolvedMention">
    <w:name w:val="Unresolved Mention"/>
    <w:basedOn w:val="DefaultParagraphFont"/>
    <w:uiPriority w:val="99"/>
    <w:semiHidden/>
    <w:unhideWhenUsed/>
    <w:rsid w:val="0058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legal/ceii-foia/ceii.asp" TargetMode="External" /><Relationship Id="rId11" Type="http://schemas.openxmlformats.org/officeDocument/2006/relationships/hyperlink" Target="http://www.ferc.gov/legal/ceii-foia/ceii/classes.asp" TargetMode="External" /><Relationship Id="rId12" Type="http://schemas.openxmlformats.org/officeDocument/2006/relationships/hyperlink" Target="http://www.ferc.gov/docs-filing/labeling-guidance.pdf" TargetMode="External" /><Relationship Id="rId13" Type="http://schemas.openxmlformats.org/officeDocument/2006/relationships/hyperlink" Target="https://www.ferc.gov/information-colle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2020-02-26T05:00:00+00:00</Date>
    <Status xmlns="d6eefc7d-9817-4fa6-84d5-3bc009be21b8">Draft</Status>
    <_x0032__x002e__x0020_Docket_x0020_Number xmlns="d6eefc7d-9817-4fa6-84d5-3bc009be21b8" xsi:nil="true"/>
    <_x0032__x002e__x0020_Collection_x0020_Number xmlns="d6eefc7d-9817-4fa6-84d5-3bc009be21b8">515</_x0032__x002e__x0020_Collection_x0020_Number>
    <_x0031__x002e__x0020_Docket_x0020_Number xmlns="d6eefc7d-9817-4fa6-84d5-3bc009be21b8">IC19-39</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F4C3F-F71A-488D-B289-B6EDE397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911E1-7B85-4779-8088-660456C64DC4}">
  <ds:schemaRefs>
    <ds:schemaRef ds:uri="http://schemas.openxmlformats.org/officeDocument/2006/bibliography"/>
  </ds:schemaRefs>
</ds:datastoreItem>
</file>

<file path=customXml/itemProps3.xml><?xml version="1.0" encoding="utf-8"?>
<ds:datastoreItem xmlns:ds="http://schemas.openxmlformats.org/officeDocument/2006/customXml" ds:itemID="{31AC678A-27A8-4A1F-8D0C-B3A31E55376D}">
  <ds:schemaRefs>
    <ds:schemaRef ds:uri="http://purl.org/dc/dcmitype/"/>
    <ds:schemaRef ds:uri="5a7c6213-c3f8-4376-93f2-dc58e5c51d54"/>
    <ds:schemaRef ds:uri="http://purl.org/dc/elements/1.1/"/>
    <ds:schemaRef ds:uri="http://schemas.microsoft.com/office/2006/metadata/properties"/>
    <ds:schemaRef ds:uri="d6eefc7d-9817-4fa6-84d5-3bc009be21b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029e753-062b-49ce-baa7-feb352134f8f"/>
    <ds:schemaRef ds:uri="http://www.w3.org/XML/1998/namespace"/>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FERC-511 supporting statement</vt:lpstr>
    </vt:vector>
  </TitlesOfParts>
  <Company>Federal Energy Regulatory Commission</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FERC-511 supporting statement</dc:title>
  <dc:creator>Nishi Parekh</dc:creator>
  <cp:lastModifiedBy>Kayla Williams</cp:lastModifiedBy>
  <cp:revision>2</cp:revision>
  <cp:lastPrinted>2020-02-24T18:58:00Z</cp:lastPrinted>
  <dcterms:created xsi:type="dcterms:W3CDTF">2022-11-30T12:23:00Z</dcterms:created>
  <dcterms:modified xsi:type="dcterms:W3CDTF">2022-11-30T12:23:00Z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f88de567-06d1-463b-9af0-e35dd6d744e1</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2022-10-26T11:45:55Z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