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15BE" w:rsidRPr="00F5428B" w:rsidP="00BC15BE" w14:paraId="6A3C0555" w14:textId="77777777">
      <w:pPr>
        <w:tabs>
          <w:tab w:val="center" w:pos="4680"/>
        </w:tabs>
        <w:jc w:val="center"/>
        <w:rPr>
          <w:b/>
          <w:bCs/>
          <w:sz w:val="24"/>
        </w:rPr>
      </w:pPr>
    </w:p>
    <w:p w:rsidR="00BC15BE" w:rsidRPr="00A575AE" w:rsidP="00BC15BE" w14:paraId="1BA59068" w14:textId="77777777">
      <w:pPr>
        <w:tabs>
          <w:tab w:val="center" w:pos="4680"/>
        </w:tabs>
        <w:jc w:val="center"/>
        <w:rPr>
          <w:b/>
          <w:bCs/>
          <w:szCs w:val="26"/>
        </w:rPr>
      </w:pPr>
      <w:r w:rsidRPr="00A575AE">
        <w:rPr>
          <w:b/>
          <w:bCs/>
          <w:szCs w:val="26"/>
        </w:rPr>
        <w:t>SUPPORTING STATEMENT FOR</w:t>
      </w:r>
    </w:p>
    <w:p w:rsidR="00113C06" w:rsidRPr="00A575AE" w:rsidP="00113C06" w14:paraId="5B84017C" w14:textId="77777777">
      <w:pPr>
        <w:tabs>
          <w:tab w:val="center" w:pos="5040"/>
        </w:tabs>
        <w:jc w:val="center"/>
        <w:rPr>
          <w:b/>
          <w:bCs/>
          <w:szCs w:val="26"/>
        </w:rPr>
      </w:pPr>
      <w:r w:rsidRPr="00A575AE">
        <w:rPr>
          <w:b/>
          <w:bCs/>
          <w:szCs w:val="26"/>
        </w:rPr>
        <w:t xml:space="preserve">FERC-545 </w:t>
      </w:r>
      <w:r w:rsidRPr="00A575AE">
        <w:rPr>
          <w:bCs/>
          <w:szCs w:val="26"/>
        </w:rPr>
        <w:t>[</w:t>
      </w:r>
      <w:r w:rsidRPr="00A575AE">
        <w:rPr>
          <w:b/>
          <w:bCs/>
          <w:szCs w:val="26"/>
        </w:rPr>
        <w:t>(Gas Pipeline Rates: Rate Change (Non-Formal)]</w:t>
      </w:r>
    </w:p>
    <w:p w:rsidR="002B45F1" w:rsidRPr="00A575AE" w:rsidP="002B45F1" w14:paraId="39A1A94B" w14:textId="490D7055">
      <w:pPr>
        <w:tabs>
          <w:tab w:val="center" w:pos="5040"/>
        </w:tabs>
        <w:jc w:val="center"/>
        <w:rPr>
          <w:b/>
          <w:bCs/>
          <w:szCs w:val="26"/>
        </w:rPr>
      </w:pPr>
      <w:r w:rsidRPr="00A575AE">
        <w:rPr>
          <w:b/>
          <w:bCs/>
          <w:szCs w:val="26"/>
        </w:rPr>
        <w:t xml:space="preserve"> Modification from Notice of Rulemaking RM21-18-000</w:t>
      </w:r>
      <w:r w:rsidRPr="00A575AE">
        <w:rPr>
          <w:bCs/>
          <w:szCs w:val="26"/>
        </w:rPr>
        <w:t xml:space="preserve"> </w:t>
      </w:r>
    </w:p>
    <w:p w:rsidR="00BC15BE" w:rsidRPr="00F5428B" w:rsidP="00BC15BE" w14:paraId="34F6204C" w14:textId="77777777">
      <w:pPr>
        <w:rPr>
          <w:sz w:val="24"/>
        </w:rPr>
      </w:pPr>
    </w:p>
    <w:p w:rsidR="002B45F1" w:rsidRPr="008C510C" w:rsidP="002B45F1" w14:paraId="35A0048C" w14:textId="04699FD8">
      <w:pPr>
        <w:rPr>
          <w:szCs w:val="26"/>
        </w:rPr>
      </w:pPr>
      <w:r w:rsidRPr="005E5E83">
        <w:t>The Federal Energy Regulatory Commission (Commission or FERC) requests that the Office of Managem</w:t>
      </w:r>
      <w:r w:rsidRPr="005E5E83" w:rsidR="00E06116">
        <w:t>ent and Budget (OMB) review/</w:t>
      </w:r>
      <w:r w:rsidRPr="005E5E83">
        <w:t xml:space="preserve">approve </w:t>
      </w:r>
      <w:r w:rsidRPr="005E5E83" w:rsidR="00E06116">
        <w:t xml:space="preserve">the </w:t>
      </w:r>
      <w:r w:rsidR="009D618F">
        <w:t>modification</w:t>
      </w:r>
      <w:r w:rsidRPr="005E5E83" w:rsidR="00E06116">
        <w:t xml:space="preserve"> of</w:t>
      </w:r>
      <w:r w:rsidRPr="005E5E83">
        <w:t xml:space="preserve"> </w:t>
      </w:r>
      <w:r w:rsidRPr="005E5E83" w:rsidR="00E06116">
        <w:t xml:space="preserve">the </w:t>
      </w:r>
      <w:r w:rsidRPr="005E5E83">
        <w:t>FERC-545</w:t>
      </w:r>
      <w:r w:rsidRPr="005E5E83" w:rsidR="00E06116">
        <w:t xml:space="preserve"> information collection</w:t>
      </w:r>
      <w:r w:rsidRPr="005E5E83">
        <w:t xml:space="preserve"> </w:t>
      </w:r>
      <w:r w:rsidRPr="005E5E83" w:rsidR="00C40086">
        <w:t>[</w:t>
      </w:r>
      <w:r w:rsidRPr="005E5E83">
        <w:t xml:space="preserve">(Gas Pipeline Rates: Rate Change </w:t>
      </w:r>
      <w:r w:rsidRPr="005E5E83" w:rsidR="00C40086">
        <w:t>(</w:t>
      </w:r>
      <w:r w:rsidRPr="005E5E83">
        <w:t>Non-Formal)</w:t>
      </w:r>
      <w:r w:rsidRPr="005E5E83" w:rsidR="00C40086">
        <w:t>]</w:t>
      </w:r>
      <w:r w:rsidRPr="005E5E83">
        <w:rPr>
          <w:i/>
          <w:iCs/>
        </w:rPr>
        <w:t>.</w:t>
      </w:r>
      <w:r w:rsidR="008C510C">
        <w:rPr>
          <w:i/>
          <w:iCs/>
        </w:rPr>
        <w:t xml:space="preserve"> </w:t>
      </w:r>
      <w:r w:rsidR="008C510C">
        <w:rPr>
          <w:szCs w:val="26"/>
        </w:rPr>
        <w:t xml:space="preserve">The </w:t>
      </w:r>
      <w:r w:rsidR="00C13684">
        <w:rPr>
          <w:szCs w:val="26"/>
        </w:rPr>
        <w:t>f</w:t>
      </w:r>
      <w:r w:rsidR="00ED371C">
        <w:rPr>
          <w:szCs w:val="26"/>
        </w:rPr>
        <w:t xml:space="preserve">inal </w:t>
      </w:r>
      <w:r w:rsidR="00C13684">
        <w:rPr>
          <w:szCs w:val="26"/>
        </w:rPr>
        <w:t>r</w:t>
      </w:r>
      <w:r w:rsidR="00ED371C">
        <w:rPr>
          <w:szCs w:val="26"/>
        </w:rPr>
        <w:t>ule</w:t>
      </w:r>
      <w:r w:rsidR="008C510C">
        <w:rPr>
          <w:szCs w:val="26"/>
        </w:rPr>
        <w:t xml:space="preserve"> </w:t>
      </w:r>
      <w:r w:rsidR="00C13684">
        <w:rPr>
          <w:szCs w:val="26"/>
        </w:rPr>
        <w:t xml:space="preserve">in Docket No. </w:t>
      </w:r>
      <w:r w:rsidR="008C510C">
        <w:rPr>
          <w:szCs w:val="26"/>
        </w:rPr>
        <w:t>RM21-18-000</w:t>
      </w:r>
      <w:r>
        <w:rPr>
          <w:rStyle w:val="FootnoteReference"/>
        </w:rPr>
        <w:footnoteReference w:id="3"/>
      </w:r>
      <w:r w:rsidR="008C510C">
        <w:rPr>
          <w:szCs w:val="26"/>
        </w:rPr>
        <w:t xml:space="preserve"> only pertains to </w:t>
      </w:r>
      <w:r w:rsidRPr="00D4792E" w:rsidR="008C510C">
        <w:rPr>
          <w:szCs w:val="26"/>
          <w:u w:val="single"/>
        </w:rPr>
        <w:t>section 4</w:t>
      </w:r>
      <w:r w:rsidR="008C510C">
        <w:rPr>
          <w:szCs w:val="26"/>
        </w:rPr>
        <w:t xml:space="preserve"> of the </w:t>
      </w:r>
      <w:r w:rsidR="00C13684">
        <w:rPr>
          <w:szCs w:val="26"/>
        </w:rPr>
        <w:t>Natural Gas Act (</w:t>
      </w:r>
      <w:r w:rsidR="008C510C">
        <w:rPr>
          <w:szCs w:val="26"/>
        </w:rPr>
        <w:t>NGA</w:t>
      </w:r>
      <w:r w:rsidR="00C13684">
        <w:rPr>
          <w:szCs w:val="26"/>
        </w:rPr>
        <w:t>)</w:t>
      </w:r>
      <w:r w:rsidR="008C510C">
        <w:rPr>
          <w:szCs w:val="26"/>
        </w:rPr>
        <w:t xml:space="preserve">, specifically during rate cases and does not impact sections 5 and </w:t>
      </w:r>
      <w:r w:rsidR="00D10F27">
        <w:rPr>
          <w:szCs w:val="26"/>
        </w:rPr>
        <w:t>1</w:t>
      </w:r>
      <w:r w:rsidR="008C510C">
        <w:rPr>
          <w:szCs w:val="26"/>
        </w:rPr>
        <w:t>6 which are included in FERC-545.</w:t>
      </w:r>
      <w:r w:rsidRPr="00F33E3A" w:rsidR="008C510C">
        <w:rPr>
          <w:szCs w:val="26"/>
        </w:rPr>
        <w:t xml:space="preserve"> </w:t>
      </w:r>
      <w:r w:rsidR="008C510C">
        <w:rPr>
          <w:szCs w:val="26"/>
        </w:rPr>
        <w:t xml:space="preserve"> </w:t>
      </w:r>
    </w:p>
    <w:p w:rsidR="00BC15BE" w:rsidP="00BC15BE" w14:paraId="56813438" w14:textId="2462A3CB">
      <w:pPr>
        <w:rPr>
          <w:b/>
        </w:rPr>
      </w:pPr>
    </w:p>
    <w:p w:rsidR="00D77FF7" w:rsidRPr="00D77FF7" w:rsidP="00D77FF7" w14:paraId="5DD6FB73" w14:textId="77777777">
      <w:pPr>
        <w:numPr>
          <w:ilvl w:val="0"/>
          <w:numId w:val="28"/>
        </w:numPr>
        <w:tabs>
          <w:tab w:val="left" w:pos="-1440"/>
          <w:tab w:val="num" w:pos="720"/>
        </w:tabs>
        <w:autoSpaceDE w:val="0"/>
        <w:autoSpaceDN w:val="0"/>
        <w:adjustRightInd w:val="0"/>
        <w:outlineLvl w:val="0"/>
        <w:rPr>
          <w:b/>
          <w:sz w:val="24"/>
        </w:rPr>
      </w:pPr>
      <w:r w:rsidRPr="00D77FF7">
        <w:rPr>
          <w:b/>
          <w:sz w:val="24"/>
        </w:rPr>
        <w:t>CIRCUMSTANCES THAT MAKE THE COLLECTION OF INFORMATION NECESSARY</w:t>
      </w:r>
    </w:p>
    <w:p w:rsidR="00D77FF7" w:rsidRPr="005E5E83" w:rsidP="00BC15BE" w14:paraId="77327131" w14:textId="77777777">
      <w:pPr>
        <w:rPr>
          <w:b/>
        </w:rPr>
      </w:pPr>
    </w:p>
    <w:p w:rsidR="00FF1CCD" w:rsidRPr="00F33E3A" w:rsidP="00FF1CCD" w14:paraId="096BF6DD" w14:textId="7FA6CCB3">
      <w:pPr>
        <w:rPr>
          <w:szCs w:val="26"/>
        </w:rPr>
      </w:pPr>
      <w:r w:rsidRPr="00F33E3A">
        <w:rPr>
          <w:szCs w:val="26"/>
        </w:rPr>
        <w:t>FERC-545 is required to implement sections 4, 5, and 16 of the NGA, (15 USC 717c</w:t>
      </w:r>
      <w:r w:rsidR="006E6438">
        <w:rPr>
          <w:szCs w:val="26"/>
        </w:rPr>
        <w:t>, 717d. and</w:t>
      </w:r>
      <w:r w:rsidRPr="00F33E3A">
        <w:rPr>
          <w:szCs w:val="26"/>
        </w:rPr>
        <w:t xml:space="preserve"> 717o, PL 75 688, 52 Stat. 822 and 830).  NGA </w:t>
      </w:r>
      <w:r w:rsidR="00740EA9">
        <w:rPr>
          <w:szCs w:val="26"/>
        </w:rPr>
        <w:t>s</w:t>
      </w:r>
      <w:r w:rsidRPr="00F33E3A">
        <w:rPr>
          <w:szCs w:val="26"/>
        </w:rPr>
        <w:t>ections 4, 5, and</w:t>
      </w:r>
      <w:r w:rsidR="00D10F27">
        <w:rPr>
          <w:szCs w:val="26"/>
        </w:rPr>
        <w:t xml:space="preserve"> 1</w:t>
      </w:r>
      <w:r w:rsidRPr="00F33E3A">
        <w:rPr>
          <w:szCs w:val="26"/>
        </w:rPr>
        <w:t>6 authorize the Commission to inquire into rate structures and methodologies and to set rat</w:t>
      </w:r>
      <w:r w:rsidRPr="000262CA">
        <w:rPr>
          <w:szCs w:val="26"/>
        </w:rPr>
        <w:t>es at a just and reasonable level.  Specifically, a natural gas company must obtain Commission authorization for all rates and charges made, demanded, or received in connection with the transportation or sale of natural gas in interstate commerce.</w:t>
      </w:r>
    </w:p>
    <w:p w:rsidR="008C510C" w:rsidP="00FF1CCD" w14:paraId="40CA7C47" w14:textId="77777777">
      <w:pPr>
        <w:rPr>
          <w:szCs w:val="26"/>
        </w:rPr>
      </w:pPr>
    </w:p>
    <w:p w:rsidR="00FF1CCD" w:rsidRPr="00F33E3A" w:rsidP="00FF1CCD" w14:paraId="6DBB2C0D" w14:textId="55E6FC2E">
      <w:r>
        <w:t xml:space="preserve">The NGA requires a </w:t>
      </w:r>
      <w:r>
        <w:t>natural gas company’s rates</w:t>
      </w:r>
      <w:r>
        <w:t xml:space="preserve"> </w:t>
      </w:r>
      <w:r w:rsidR="001E164E">
        <w:t>to</w:t>
      </w:r>
      <w:r>
        <w:t xml:space="preserve"> be just and reasonable and not unduly discriminatory or preferential.  The Commission may act under different sections of the NGA to effect a change in a natural gas company’s rates.  When the Commission reviews rate increases that a natural gas </w:t>
      </w:r>
      <w:r>
        <w:t>company ,</w:t>
      </w:r>
      <w:r>
        <w:t xml:space="preserve"> it is subject to the requirement of </w:t>
      </w:r>
      <w:r w:rsidR="00740EA9">
        <w:t xml:space="preserve">NGA </w:t>
      </w:r>
      <w:r>
        <w:t xml:space="preserve">section 4(e).  Under </w:t>
      </w:r>
      <w:r w:rsidR="00740EA9">
        <w:t xml:space="preserve">NGA </w:t>
      </w:r>
      <w:r>
        <w:t xml:space="preserve">section 4(e), the natural gas company bears the burden of proving that </w:t>
      </w:r>
      <w:r>
        <w:t>its  rates</w:t>
      </w:r>
      <w:r>
        <w:t xml:space="preserve"> are just and reasonable.  On the other hand, when the Commission seeks to impose its own rate determination, it must do so in compliance with </w:t>
      </w:r>
      <w:r w:rsidR="00740EA9">
        <w:t xml:space="preserve">NGA </w:t>
      </w:r>
      <w:r>
        <w:t>section 5(a), which does not pertain to</w:t>
      </w:r>
      <w:r w:rsidR="00ED371C">
        <w:t xml:space="preserve"> the </w:t>
      </w:r>
      <w:r w:rsidR="00C13684">
        <w:t>f</w:t>
      </w:r>
      <w:r w:rsidR="00ED371C">
        <w:t xml:space="preserve">inal </w:t>
      </w:r>
      <w:r w:rsidR="00C13684">
        <w:t>r</w:t>
      </w:r>
      <w:r w:rsidR="00ED371C">
        <w:t>ule</w:t>
      </w:r>
      <w:r>
        <w:t xml:space="preserve"> </w:t>
      </w:r>
      <w:r w:rsidR="00C13684">
        <w:t xml:space="preserve">in Docket No. </w:t>
      </w:r>
      <w:r>
        <w:t xml:space="preserve">RM21-18-000.  </w:t>
      </w:r>
    </w:p>
    <w:p w:rsidR="00FF1CCD" w:rsidRPr="00F33E3A" w:rsidP="00FF1CCD" w14:paraId="4095DB38" w14:textId="77777777">
      <w:pPr>
        <w:rPr>
          <w:szCs w:val="26"/>
        </w:rPr>
      </w:pPr>
    </w:p>
    <w:p w:rsidR="00FF1CCD" w:rsidRPr="00F33E3A" w:rsidP="00FF1CCD" w14:paraId="5007CDC8" w14:textId="7CA169B7">
      <w:pPr>
        <w:rPr>
          <w:szCs w:val="26"/>
        </w:rPr>
      </w:pPr>
      <w:r>
        <w:rPr>
          <w:szCs w:val="26"/>
        </w:rPr>
        <w:t>NGA s</w:t>
      </w:r>
      <w:r w:rsidRPr="00F33E3A">
        <w:rPr>
          <w:szCs w:val="26"/>
        </w:rPr>
        <w:t xml:space="preserve">ection 16 states that the Commission “shall have the power to perform any and all acts, and to prescribe, issue, make, amend, and rescind such orders, rules, and regulations as it may find necessary or appropriate to carry out provisions of [the NGA].”  In other words, </w:t>
      </w:r>
      <w:r>
        <w:rPr>
          <w:szCs w:val="26"/>
        </w:rPr>
        <w:t xml:space="preserve">NGA </w:t>
      </w:r>
      <w:r w:rsidRPr="00F33E3A">
        <w:rPr>
          <w:szCs w:val="26"/>
        </w:rPr>
        <w:t>section 16 grants the Commission the power to define accounting, technical and trade terms, prescribe forms, statements, declarations or reports and to prescribe rules and regulations.</w:t>
      </w:r>
    </w:p>
    <w:p w:rsidR="00FF1CCD" w:rsidRPr="00F33E3A" w:rsidP="00FF1CCD" w14:paraId="566E54B6" w14:textId="77777777">
      <w:pPr>
        <w:rPr>
          <w:szCs w:val="26"/>
        </w:rPr>
      </w:pPr>
    </w:p>
    <w:p w:rsidR="00FF1CCD" w:rsidRPr="00F33E3A" w:rsidP="00FF1CCD" w14:paraId="61B4A8E6" w14:textId="0A71C7AE">
      <w:pPr>
        <w:rPr>
          <w:szCs w:val="26"/>
        </w:rPr>
      </w:pPr>
      <w:r>
        <w:rPr>
          <w:szCs w:val="26"/>
        </w:rPr>
        <w:t>Natural gas p</w:t>
      </w:r>
      <w:r w:rsidRPr="00F33E3A">
        <w:rPr>
          <w:szCs w:val="26"/>
        </w:rPr>
        <w:t xml:space="preserve">ipelines adjust their tariffs to meet market and customer needs.  Commission review of these proposed changes is required to ensure rates remain just and reasonable and that services are not provided in an unduly or preferential manner.  The Commission’s regulation in 18 CFR Part 154 specifies what changes are allowed and the procedures for requesting Commission approval.  </w:t>
      </w:r>
    </w:p>
    <w:p w:rsidR="00FF1CCD" w:rsidRPr="00F33E3A" w:rsidP="00FF1CCD" w14:paraId="6AC07723" w14:textId="77777777">
      <w:pPr>
        <w:ind w:firstLine="360"/>
        <w:rPr>
          <w:szCs w:val="26"/>
        </w:rPr>
      </w:pPr>
    </w:p>
    <w:p w:rsidR="00FF1CCD" w:rsidRPr="00F33E3A" w:rsidP="00FF1CCD" w14:paraId="74A77605" w14:textId="488E9207">
      <w:pPr>
        <w:rPr>
          <w:szCs w:val="26"/>
        </w:rPr>
      </w:pPr>
      <w:r w:rsidRPr="00F33E3A">
        <w:rPr>
          <w:szCs w:val="26"/>
        </w:rPr>
        <w:t xml:space="preserve">The Commission sets rates for </w:t>
      </w:r>
      <w:r w:rsidR="0014705E">
        <w:rPr>
          <w:szCs w:val="26"/>
        </w:rPr>
        <w:t xml:space="preserve">natural gas </w:t>
      </w:r>
      <w:r w:rsidRPr="00F33E3A">
        <w:rPr>
          <w:szCs w:val="26"/>
        </w:rPr>
        <w:t xml:space="preserve">pipeline services in a number of proceedings.  For example, when a pipeline files to increase its rates, it makes a filing with the Commission under </w:t>
      </w:r>
      <w:r w:rsidR="00740EA9">
        <w:rPr>
          <w:szCs w:val="26"/>
        </w:rPr>
        <w:t xml:space="preserve">NGA </w:t>
      </w:r>
      <w:r w:rsidRPr="00F33E3A">
        <w:rPr>
          <w:szCs w:val="26"/>
        </w:rPr>
        <w:t xml:space="preserve">section 4.  These types of filings are referred to as general </w:t>
      </w:r>
      <w:r w:rsidR="003D139A">
        <w:rPr>
          <w:szCs w:val="26"/>
        </w:rPr>
        <w:t xml:space="preserve">NGA </w:t>
      </w:r>
      <w:r w:rsidRPr="00F33E3A">
        <w:rPr>
          <w:szCs w:val="26"/>
        </w:rPr>
        <w:t xml:space="preserve">section 4 rate cases.  In </w:t>
      </w:r>
      <w:r w:rsidR="0041530B">
        <w:rPr>
          <w:szCs w:val="26"/>
        </w:rPr>
        <w:t xml:space="preserve">a general </w:t>
      </w:r>
      <w:r w:rsidR="00B85963">
        <w:rPr>
          <w:szCs w:val="26"/>
        </w:rPr>
        <w:t xml:space="preserve">NGA </w:t>
      </w:r>
      <w:r w:rsidR="0041530B">
        <w:rPr>
          <w:szCs w:val="26"/>
        </w:rPr>
        <w:t>section 4 rate case</w:t>
      </w:r>
      <w:r w:rsidRPr="00F33E3A">
        <w:rPr>
          <w:szCs w:val="26"/>
        </w:rPr>
        <w:t xml:space="preserve"> proceeding, the Commission reviews all of a pipeline’s rates and services.  A pipeline can file a general </w:t>
      </w:r>
      <w:r w:rsidR="00B85963">
        <w:rPr>
          <w:szCs w:val="26"/>
        </w:rPr>
        <w:t xml:space="preserve">NGA </w:t>
      </w:r>
      <w:r w:rsidRPr="00F33E3A">
        <w:rPr>
          <w:szCs w:val="26"/>
        </w:rPr>
        <w:t xml:space="preserve">section 4 rate case anytime it wishes, provided the pipeline did not agree otherwise in a settlement.  A </w:t>
      </w:r>
      <w:r w:rsidR="0014705E">
        <w:rPr>
          <w:szCs w:val="26"/>
        </w:rPr>
        <w:t xml:space="preserve">natural gas </w:t>
      </w:r>
      <w:r w:rsidRPr="00F33E3A">
        <w:rPr>
          <w:szCs w:val="26"/>
        </w:rPr>
        <w:t xml:space="preserve">pipeline must demonstrate that the new rates it proposes to charge are just and reasonable.  When a rate increase filing is made pursuant to </w:t>
      </w:r>
      <w:r w:rsidR="00B85963">
        <w:rPr>
          <w:szCs w:val="26"/>
        </w:rPr>
        <w:t xml:space="preserve">NGA </w:t>
      </w:r>
      <w:r w:rsidRPr="00F33E3A">
        <w:rPr>
          <w:szCs w:val="26"/>
        </w:rPr>
        <w:t>section 4, the application is typically suspended and set for hearing by a Commission Order.</w:t>
      </w:r>
    </w:p>
    <w:p w:rsidR="00AF37D7" w:rsidRPr="005E5E83" w:rsidP="00BC15BE" w14:paraId="7D50F7CC" w14:textId="62470D42"/>
    <w:p w:rsidR="00D77FF7" w:rsidRPr="00D77FF7" w:rsidP="00D77FF7" w14:paraId="59B1E7C1" w14:textId="77777777">
      <w:pPr>
        <w:numPr>
          <w:ilvl w:val="0"/>
          <w:numId w:val="28"/>
        </w:numPr>
        <w:tabs>
          <w:tab w:val="left" w:pos="-1440"/>
          <w:tab w:val="num" w:pos="720"/>
        </w:tabs>
        <w:autoSpaceDE w:val="0"/>
        <w:autoSpaceDN w:val="0"/>
        <w:adjustRightInd w:val="0"/>
        <w:outlineLvl w:val="0"/>
        <w:rPr>
          <w:b/>
          <w:sz w:val="24"/>
        </w:rPr>
      </w:pPr>
      <w:r w:rsidRPr="00D77FF7">
        <w:rPr>
          <w:b/>
          <w:sz w:val="24"/>
        </w:rPr>
        <w:t>HOW, BY WHOM, AND FOR WHAT PURPOSE THE INFORMATION IS TO BE USED AND THE CONSEQUENCES OF NOT COLLECTING THE INFORMATION</w:t>
      </w:r>
    </w:p>
    <w:p w:rsidR="00ED2A21" w:rsidRPr="005E5E83" w:rsidP="00D77FF7" w14:paraId="2CB06CD0" w14:textId="77777777"/>
    <w:p w:rsidR="00ED2A21" w:rsidRPr="005E5E83" w:rsidP="00ED2A21" w14:paraId="5A7D1CB7" w14:textId="2084DF73">
      <w:r w:rsidRPr="005E5E83">
        <w:t xml:space="preserve">The following information is the subject of the FERC-545: (1) tariff filings and any related compliance filings; (2) rate case filings and any related compliance filings; (3) informational reports; (4) negotiated rates; (5) non-conforming agreement filings; and (6) NAESB Activity (tariff portion only).  In summary, the Commission uses the FERC-545 information to (1) ensure there are adequate customer protections under </w:t>
      </w:r>
      <w:r w:rsidR="00B85963">
        <w:t xml:space="preserve">NGA </w:t>
      </w:r>
      <w:r w:rsidRPr="005E5E83">
        <w:t>section 4; (2) review rates and terms and conditions of service changes by natural gas companies for the transportation and storage of natural gas; (3) provide general industry oversight; and (4) supplement documentation during FERC’s audits process.</w:t>
      </w:r>
    </w:p>
    <w:p w:rsidR="00ED2A21" w:rsidRPr="005E5E83" w:rsidP="00ED2A21" w14:paraId="0CC383A2" w14:textId="77777777">
      <w:pPr>
        <w:ind w:firstLine="360"/>
      </w:pPr>
    </w:p>
    <w:p w:rsidR="00ED2A21" w:rsidRPr="005E5E83" w:rsidP="00ED2A21" w14:paraId="7513D2B0" w14:textId="196558CA">
      <w:r w:rsidRPr="005E5E83">
        <w:t xml:space="preserve">The Commission reviews the FERC-545 materials to determine </w:t>
      </w:r>
      <w:r w:rsidRPr="005E5E83">
        <w:t>whether  transportation</w:t>
      </w:r>
      <w:r w:rsidRPr="005E5E83">
        <w:t xml:space="preserve">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information enables the Commission to monitor the activities and evaluate transactions of the natural gas industry to ensure competitiveness and improved efficiency of the industry’s operations.   </w:t>
      </w:r>
    </w:p>
    <w:p w:rsidR="00ED2A21" w:rsidRPr="005E5E83" w:rsidP="00ED2A21" w14:paraId="041F35F0" w14:textId="77777777"/>
    <w:p w:rsidR="003F0E97" w:rsidP="003F0E97" w14:paraId="52D8ADD2" w14:textId="3CD5DB77">
      <w:r>
        <w:t xml:space="preserve">Per </w:t>
      </w:r>
      <w:r w:rsidR="00B85963">
        <w:t xml:space="preserve">NGA </w:t>
      </w:r>
      <w:r>
        <w:t xml:space="preserve">section 4, </w:t>
      </w:r>
      <w:r w:rsidR="00905ABE">
        <w:t xml:space="preserve">a natural gas </w:t>
      </w:r>
      <w:r w:rsidR="0014705E">
        <w:t>pipeline</w:t>
      </w:r>
      <w:r w:rsidR="00905ABE">
        <w:t xml:space="preserve"> must file a</w:t>
      </w:r>
      <w:r w:rsidR="0014705E">
        <w:t>n NGA</w:t>
      </w:r>
      <w:r w:rsidR="00905ABE">
        <w:t xml:space="preserve"> section 4 rate case </w:t>
      </w:r>
      <w:r w:rsidR="0014705E">
        <w:t xml:space="preserve">when it </w:t>
      </w:r>
      <w:r w:rsidR="00FD04C6">
        <w:t>seeks</w:t>
      </w:r>
      <w:r w:rsidR="00905ABE">
        <w:t xml:space="preserve"> to change its rates. </w:t>
      </w:r>
      <w:r w:rsidR="00B85963">
        <w:t xml:space="preserve"> </w:t>
      </w:r>
      <w:r w:rsidR="00905ABE">
        <w:t xml:space="preserve">The modification to FERC-545 per </w:t>
      </w:r>
      <w:r w:rsidR="00B85963">
        <w:t xml:space="preserve">Docket No. </w:t>
      </w:r>
      <w:r w:rsidR="00905ABE">
        <w:t>RM21-18-000 requires entities to submit their rate filings in native format</w:t>
      </w:r>
      <w:r w:rsidR="0041530B">
        <w:t xml:space="preserve">. This </w:t>
      </w:r>
      <w:r w:rsidRPr="0041530B" w:rsidR="0041530B">
        <w:t xml:space="preserve">refers to the software </w:t>
      </w:r>
      <w:r w:rsidRPr="0041530B" w:rsidR="0041530B">
        <w:t xml:space="preserve">used to create the file.  </w:t>
      </w:r>
      <w:r w:rsidR="0041530B">
        <w:t>For example, w</w:t>
      </w:r>
      <w:r w:rsidRPr="0041530B" w:rsidR="0041530B">
        <w:t>hen a file is submitted in native application format it is submitted in the format of the software used to create the file</w:t>
      </w:r>
      <w:r w:rsidR="001A3B49">
        <w:t xml:space="preserve"> (e.g. Excel)</w:t>
      </w:r>
      <w:r w:rsidR="00905ABE">
        <w:t xml:space="preserve"> with all links and formulas intact. </w:t>
      </w:r>
      <w:r w:rsidR="0014705E">
        <w:t xml:space="preserve"> </w:t>
      </w:r>
      <w:r w:rsidR="00296D91">
        <w:t xml:space="preserve">The modification will better allow the Commission to analyze a given rate case to be sure that the rates remain just and reasonable. </w:t>
      </w:r>
      <w:r w:rsidR="0014705E">
        <w:t xml:space="preserve"> </w:t>
      </w:r>
      <w:r w:rsidR="00296D91">
        <w:t xml:space="preserve">Additionally, by including the native formulas and links, the Commission and other stakeholders within the rate case will not be required to produce their own rate models, thus reducing the level of effort to determine if a rate is just and reasonable. </w:t>
      </w:r>
    </w:p>
    <w:p w:rsidR="0085094B" w:rsidP="003F0E97" w14:paraId="36E84739" w14:textId="08012E6D"/>
    <w:p w:rsidR="0085094B" w:rsidRPr="005E5E83" w:rsidP="003F0E97" w14:paraId="305EC179" w14:textId="77777777"/>
    <w:p w:rsidR="00BC15BE" w:rsidRPr="005E5E83" w:rsidP="00BC15BE" w14:paraId="29271503" w14:textId="23448976">
      <w:pPr>
        <w:pStyle w:val="Level1"/>
        <w:widowControl/>
        <w:tabs>
          <w:tab w:val="left" w:pos="-1440"/>
          <w:tab w:val="num" w:pos="720"/>
        </w:tabs>
        <w:rPr>
          <w:b/>
          <w:sz w:val="26"/>
        </w:rPr>
      </w:pPr>
      <w:r w:rsidRPr="005E5E83">
        <w:rPr>
          <w:b/>
          <w:sz w:val="26"/>
        </w:rPr>
        <w:t>DESCRIBE ANY CONSIDERATION FOR THE USE OF IMPROVED INFORMATION TECHNOLOGY TO REDUCE BURDEN AND TECHNICAL OR LEGAL OBSTACLES TO REDUCING BURDEN</w:t>
      </w:r>
    </w:p>
    <w:p w:rsidR="00573C31" w:rsidRPr="005E5E83" w:rsidP="00F8150C" w14:paraId="69014BD5" w14:textId="77777777"/>
    <w:p w:rsidR="00F62CCB" w:rsidRPr="00F62CCB" w:rsidP="00F62CCB" w14:paraId="460CCDBD" w14:textId="7351269D">
      <w:r w:rsidRPr="00F62CCB">
        <w:t>The Commission improved the security for submitting electronic tariff filings.</w:t>
      </w:r>
      <w:r>
        <w:rPr>
          <w:b/>
          <w:vertAlign w:val="superscript"/>
        </w:rPr>
        <w:footnoteReference w:id="4"/>
      </w:r>
      <w:r w:rsidRPr="00F62CCB">
        <w:t xml:space="preserve">  In addition, the Commission improved the pipelines’ online process of appointing and modifying agents with the authority to make an electronic tariff filing on the pipeline’s behalf.</w:t>
      </w:r>
    </w:p>
    <w:p w:rsidR="00C4337B" w:rsidRPr="005E5E83" w:rsidP="00F8150C" w14:paraId="4984098A" w14:textId="77777777"/>
    <w:p w:rsidR="00BC15BE" w:rsidRPr="005E5E83" w:rsidP="00D77FF7" w14:paraId="696ED31D" w14:textId="77777777">
      <w:pPr>
        <w:pStyle w:val="Level1"/>
        <w:widowControl/>
        <w:numPr>
          <w:ilvl w:val="0"/>
          <w:numId w:val="27"/>
        </w:numPr>
        <w:tabs>
          <w:tab w:val="left" w:pos="-1440"/>
          <w:tab w:val="num" w:pos="720"/>
        </w:tabs>
        <w:rPr>
          <w:b/>
          <w:sz w:val="26"/>
        </w:rPr>
      </w:pPr>
      <w:r w:rsidRPr="005E5E83">
        <w:rPr>
          <w:b/>
          <w:sz w:val="26"/>
        </w:rPr>
        <w:t>DESCRIBE EFFORTS TO IDENTIFY DUPLICATION AND SHOW SPECIFICALLY WHY ANY SIMILAR INFORMATION ALREADY AVAILABLE CANNOT BE USED OR MODIFIED FOR USE FOR THE PURPOSE(S) DESCRIBED IN INSTRUCTION NO. 2.</w:t>
      </w:r>
    </w:p>
    <w:p w:rsidR="00BC15BE" w:rsidRPr="005E5E83" w:rsidP="00ED2A21" w14:paraId="21267518" w14:textId="3C64E55F">
      <w:pPr>
        <w:tabs>
          <w:tab w:val="num" w:pos="0"/>
        </w:tabs>
        <w:spacing w:before="100" w:beforeAutospacing="1" w:after="240"/>
      </w:pPr>
      <w:r w:rsidRPr="005E5E83">
        <w:t>Commission filings and data requirements are periodically reviewed in conjunction with OMB clearance expiration dates.  No duplication of the information collection requirements has been found.</w:t>
      </w:r>
    </w:p>
    <w:p w:rsidR="00BC15BE" w:rsidRPr="005E5E83" w:rsidP="00BC15BE" w14:paraId="5B66D13D" w14:textId="77777777">
      <w:pPr>
        <w:pStyle w:val="Level1"/>
        <w:widowControl/>
        <w:tabs>
          <w:tab w:val="left" w:pos="-1440"/>
          <w:tab w:val="num" w:pos="720"/>
        </w:tabs>
        <w:rPr>
          <w:b/>
          <w:sz w:val="26"/>
        </w:rPr>
      </w:pPr>
      <w:r w:rsidRPr="005E5E83">
        <w:rPr>
          <w:b/>
          <w:sz w:val="26"/>
        </w:rPr>
        <w:t>METHODS USED TO MINIMIZE BURDEN IN COLLECTION OF INFORMATION INVOLVING SMALL ENTITIES</w:t>
      </w:r>
    </w:p>
    <w:p w:rsidR="00966D03" w:rsidRPr="005E5E83" w:rsidP="00F8150C" w14:paraId="02FFEA5C" w14:textId="77777777">
      <w:pPr>
        <w:rPr>
          <w:b/>
        </w:rPr>
      </w:pPr>
    </w:p>
    <w:p w:rsidR="00F8150C" w:rsidRPr="005E5E83" w:rsidP="00F8150C" w14:paraId="2ECE79F4" w14:textId="148583C3">
      <w:r w:rsidRPr="005E5E83">
        <w:t xml:space="preserve">The FERC-545 </w:t>
      </w:r>
      <w:r w:rsidRPr="005E5E83" w:rsidR="000B2C2A">
        <w:t>are</w:t>
      </w:r>
      <w:r w:rsidRPr="005E5E83">
        <w:t xml:space="preserve"> filing requirement</w:t>
      </w:r>
      <w:r w:rsidRPr="005E5E83" w:rsidR="000B2C2A">
        <w:t>s</w:t>
      </w:r>
      <w:r w:rsidRPr="005E5E83">
        <w:t xml:space="preserve"> related to pipeline rate filing obligations for the transportation and storage of natural gas.  The filing</w:t>
      </w:r>
      <w:r w:rsidRPr="005E5E83" w:rsidR="000B2C2A">
        <w:t>s</w:t>
      </w:r>
      <w:r w:rsidRPr="005E5E83">
        <w:t xml:space="preserve"> collect data from both large and small respondent companies.  The data required </w:t>
      </w:r>
      <w:r w:rsidRPr="005E5E83" w:rsidR="00353A27">
        <w:t xml:space="preserve">were designed to </w:t>
      </w:r>
      <w:r w:rsidRPr="005E5E83">
        <w:t xml:space="preserve">impose the least possible burden for companies, while collecting the information required for processing the filings.  Use of the Internet to file documents electronically is the primary method the Commission uses to minimize the </w:t>
      </w:r>
      <w:r w:rsidRPr="005E5E83" w:rsidR="00353A27">
        <w:t xml:space="preserve">filing </w:t>
      </w:r>
      <w:r w:rsidRPr="005E5E83">
        <w:t>burden.</w:t>
      </w:r>
    </w:p>
    <w:p w:rsidR="00BC15BE" w:rsidRPr="005E5E83" w:rsidP="00573C31" w14:paraId="1CB13102" w14:textId="77777777">
      <w:pPr>
        <w:pStyle w:val="FERCparanumber"/>
        <w:numPr>
          <w:ilvl w:val="0"/>
          <w:numId w:val="0"/>
        </w:numPr>
        <w:autoSpaceDE w:val="0"/>
        <w:autoSpaceDN w:val="0"/>
        <w:adjustRightInd w:val="0"/>
      </w:pPr>
    </w:p>
    <w:p w:rsidR="00BC15BE" w:rsidRPr="005E5E83" w:rsidP="00BC15BE" w14:paraId="54B1E88D" w14:textId="77777777">
      <w:pPr>
        <w:pStyle w:val="Level1"/>
        <w:widowControl/>
        <w:tabs>
          <w:tab w:val="left" w:pos="-1440"/>
          <w:tab w:val="num" w:pos="720"/>
        </w:tabs>
        <w:rPr>
          <w:b/>
          <w:sz w:val="26"/>
        </w:rPr>
      </w:pPr>
      <w:r w:rsidRPr="005E5E83">
        <w:rPr>
          <w:b/>
          <w:sz w:val="26"/>
        </w:rPr>
        <w:t>CONSEQUENCE TO FEDERAL PROGRAM IF COLLECTION WERE CONDUCTED LESS FREQUENTLY</w:t>
      </w:r>
    </w:p>
    <w:p w:rsidR="001B1135" w:rsidRPr="005E5E83" w:rsidP="00F8150C" w14:paraId="2BA137A1" w14:textId="77777777">
      <w:pPr>
        <w:tabs>
          <w:tab w:val="left" w:pos="0"/>
        </w:tabs>
      </w:pPr>
    </w:p>
    <w:p w:rsidR="00F8150C" w:rsidRPr="005E5E83" w:rsidP="00F8150C" w14:paraId="62DFD3E8" w14:textId="79E78E2E">
      <w:pPr>
        <w:tabs>
          <w:tab w:val="left" w:pos="0"/>
        </w:tabs>
      </w:pPr>
      <w:r w:rsidRPr="005E5E83">
        <w:t>The FERC-545</w:t>
      </w:r>
      <w:r w:rsidRPr="005E5E83" w:rsidR="00573C31">
        <w:t xml:space="preserve"> </w:t>
      </w:r>
      <w:r w:rsidRPr="005E5E83" w:rsidR="00BD6B0B">
        <w:t>is a one-time compliance filing</w:t>
      </w:r>
      <w:r w:rsidR="00D3500C">
        <w:t xml:space="preserve"> if and when an entity subject to the NGA seeks a rate change</w:t>
      </w:r>
      <w:r w:rsidRPr="005E5E83">
        <w:t xml:space="preserve">.  Failure to collect the information would prohibit </w:t>
      </w:r>
      <w:r w:rsidRPr="005E5E83" w:rsidR="001B1135">
        <w:t xml:space="preserve">the Commission </w:t>
      </w:r>
      <w:r w:rsidRPr="005E5E83">
        <w:t xml:space="preserve">from properly monitoring and evaluating pipeline transactions and meeting statutory obligations under </w:t>
      </w:r>
      <w:r w:rsidRPr="005E5E83" w:rsidR="001B1135">
        <w:t xml:space="preserve">the </w:t>
      </w:r>
      <w:r w:rsidRPr="005E5E83">
        <w:t>Natural Gas Policy Act and Natural Gas Act.</w:t>
      </w:r>
    </w:p>
    <w:p w:rsidR="00BC15BE" w:rsidRPr="005E5E83" w:rsidP="00BC15BE" w14:paraId="3FD162DE" w14:textId="77777777">
      <w:pPr>
        <w:pStyle w:val="Level1"/>
        <w:widowControl/>
        <w:numPr>
          <w:ilvl w:val="0"/>
          <w:numId w:val="0"/>
        </w:numPr>
        <w:tabs>
          <w:tab w:val="left" w:pos="-1440"/>
        </w:tabs>
        <w:rPr>
          <w:sz w:val="26"/>
        </w:rPr>
      </w:pPr>
    </w:p>
    <w:p w:rsidR="00BC15BE" w:rsidRPr="005E5E83" w:rsidP="00BC15BE" w14:paraId="5ECAB497" w14:textId="77777777">
      <w:pPr>
        <w:pStyle w:val="Level1"/>
        <w:widowControl/>
        <w:tabs>
          <w:tab w:val="left" w:pos="-1440"/>
          <w:tab w:val="num" w:pos="720"/>
        </w:tabs>
        <w:rPr>
          <w:b/>
          <w:sz w:val="26"/>
        </w:rPr>
      </w:pPr>
      <w:r w:rsidRPr="005E5E83">
        <w:rPr>
          <w:b/>
          <w:sz w:val="26"/>
        </w:rPr>
        <w:t>EXPLAIN ANY SPECIAL CIRCUMSTANCES RELATING TO THE INFORMATION COLLECTION</w:t>
      </w:r>
    </w:p>
    <w:p w:rsidR="00BC15BE" w:rsidRPr="005E5E83" w:rsidP="00BC15BE" w14:paraId="217EEBCF" w14:textId="77777777">
      <w:pPr>
        <w:pStyle w:val="Level1"/>
        <w:numPr>
          <w:ilvl w:val="0"/>
          <w:numId w:val="0"/>
        </w:numPr>
        <w:rPr>
          <w:sz w:val="26"/>
        </w:rPr>
      </w:pPr>
    </w:p>
    <w:p w:rsidR="00F8150C" w:rsidRPr="005E5E83" w:rsidP="00BC15BE" w14:paraId="41837890" w14:textId="60426FEE">
      <w:pPr>
        <w:pStyle w:val="Level1"/>
        <w:numPr>
          <w:ilvl w:val="0"/>
          <w:numId w:val="0"/>
        </w:numPr>
        <w:rPr>
          <w:sz w:val="26"/>
        </w:rPr>
      </w:pPr>
      <w:r w:rsidRPr="005E5E83">
        <w:rPr>
          <w:sz w:val="26"/>
        </w:rPr>
        <w:t>The FERC-545 presents no special circumstances.</w:t>
      </w:r>
    </w:p>
    <w:p w:rsidR="00F45B52" w:rsidRPr="005E5E83" w:rsidP="00BC15BE" w14:paraId="6BB4F597" w14:textId="77777777">
      <w:pPr>
        <w:pStyle w:val="Level1"/>
        <w:numPr>
          <w:ilvl w:val="0"/>
          <w:numId w:val="0"/>
        </w:numPr>
        <w:rPr>
          <w:sz w:val="26"/>
        </w:rPr>
      </w:pPr>
    </w:p>
    <w:p w:rsidR="00BC15BE" w:rsidRPr="005E5E83" w:rsidP="00BC15BE" w14:paraId="183E946C" w14:textId="77777777">
      <w:pPr>
        <w:pStyle w:val="Level1"/>
        <w:widowControl/>
        <w:tabs>
          <w:tab w:val="left" w:pos="-1440"/>
          <w:tab w:val="num" w:pos="720"/>
        </w:tabs>
        <w:rPr>
          <w:b/>
          <w:sz w:val="26"/>
        </w:rPr>
      </w:pPr>
      <w:r w:rsidRPr="005E5E83">
        <w:rPr>
          <w:b/>
          <w:sz w:val="26"/>
        </w:rPr>
        <w:t>DESCRIBE EFFORTS TO CONSULT OUTSIDE THE AGENCY: SUMMARIZE PUBLIC COMMENTS AND AGENCY'S RESPONSE TO THESE COMMENTS</w:t>
      </w:r>
    </w:p>
    <w:p w:rsidR="00A5298F" w:rsidRPr="005E5E83" w:rsidP="00BC15BE" w14:paraId="517D2728" w14:textId="169B5E3F">
      <w:pPr>
        <w:tabs>
          <w:tab w:val="left" w:pos="-1440"/>
        </w:tabs>
      </w:pPr>
    </w:p>
    <w:p w:rsidR="00C14580" w:rsidP="008E08A2" w14:paraId="0898E281" w14:textId="07CC525C">
      <w:pPr>
        <w:tabs>
          <w:tab w:val="left" w:pos="-1440"/>
        </w:tabs>
      </w:pPr>
      <w:r>
        <w:t xml:space="preserve">The Commission issued the </w:t>
      </w:r>
      <w:r w:rsidR="00B50C5C">
        <w:t xml:space="preserve">final </w:t>
      </w:r>
      <w:r>
        <w:t xml:space="preserve">rule following an industry petition </w:t>
      </w:r>
      <w:r w:rsidRPr="00C14580">
        <w:t>on June 24, 2021</w:t>
      </w:r>
      <w:r>
        <w:t xml:space="preserve">.  Firms including the </w:t>
      </w:r>
      <w:r w:rsidRPr="00C14580">
        <w:t>American Gas Association, American Public Gas Association, American Forest &amp; Paper Association, Industrial Energy Consumers of America, Process Gas Consumers Group, and Natural Gas Supply Association</w:t>
      </w:r>
      <w:r>
        <w:t xml:space="preserve"> filed the petition requesting that rate</w:t>
      </w:r>
      <w:r w:rsidR="00B50C5C">
        <w:t xml:space="preserve"> </w:t>
      </w:r>
      <w:r>
        <w:t>cases are submitted in native format.</w:t>
      </w:r>
      <w:r>
        <w:rPr>
          <w:rStyle w:val="FootnoteReference"/>
        </w:rPr>
        <w:footnoteReference w:id="5"/>
      </w:r>
    </w:p>
    <w:p w:rsidR="00C14580" w:rsidP="008E08A2" w14:paraId="3CED57E8" w14:textId="77777777">
      <w:pPr>
        <w:tabs>
          <w:tab w:val="left" w:pos="-1440"/>
        </w:tabs>
      </w:pPr>
    </w:p>
    <w:p w:rsidR="00493A45" w:rsidP="008E08A2" w14:paraId="7E1012A5" w14:textId="104AC814">
      <w:pPr>
        <w:tabs>
          <w:tab w:val="left" w:pos="-1440"/>
        </w:tabs>
      </w:pPr>
      <w:r>
        <w:t>Additionally, t</w:t>
      </w:r>
      <w:r w:rsidRPr="00D4792E" w:rsidR="003F49D9">
        <w:t xml:space="preserve">he Commission </w:t>
      </w:r>
      <w:r w:rsidR="00ED371C">
        <w:t>received</w:t>
      </w:r>
      <w:r w:rsidRPr="00D4792E" w:rsidR="003F49D9">
        <w:t xml:space="preserve"> comments on the NOPR </w:t>
      </w:r>
      <w:r w:rsidR="00D61DC1">
        <w:t xml:space="preserve">in Docket No. </w:t>
      </w:r>
      <w:r w:rsidRPr="00D4792E" w:rsidR="003F49D9">
        <w:t>RM21-18-000</w:t>
      </w:r>
      <w:r w:rsidR="0016529D">
        <w:t xml:space="preserve"> for</w:t>
      </w:r>
      <w:r w:rsidR="00ED371C">
        <w:t xml:space="preserve"> the</w:t>
      </w:r>
      <w:r w:rsidR="00786B75">
        <w:t xml:space="preserve"> </w:t>
      </w:r>
      <w:r w:rsidRPr="0034651A" w:rsidR="00786B75">
        <w:t>30 days after the date of publication in the Federal Register.</w:t>
      </w:r>
      <w:r w:rsidR="00786B75">
        <w:rPr>
          <w:b/>
        </w:rPr>
        <w:t xml:space="preserve"> </w:t>
      </w:r>
      <w:r w:rsidR="00D61DC1">
        <w:rPr>
          <w:b/>
        </w:rPr>
        <w:t xml:space="preserve"> </w:t>
      </w:r>
      <w:r w:rsidRPr="0052272A" w:rsidR="00E66DDD">
        <w:rPr>
          <w:bCs/>
        </w:rPr>
        <w:t xml:space="preserve">The </w:t>
      </w:r>
      <w:r w:rsidR="00D61DC1">
        <w:rPr>
          <w:bCs/>
        </w:rPr>
        <w:t>C</w:t>
      </w:r>
      <w:r w:rsidRPr="0052272A" w:rsidR="00E66DDD">
        <w:rPr>
          <w:bCs/>
        </w:rPr>
        <w:t xml:space="preserve">ommission also issued a press release on </w:t>
      </w:r>
      <w:r w:rsidR="00D61DC1">
        <w:rPr>
          <w:bCs/>
        </w:rPr>
        <w:t xml:space="preserve">May 19, </w:t>
      </w:r>
      <w:r w:rsidR="00D61DC1">
        <w:rPr>
          <w:bCs/>
        </w:rPr>
        <w:t>2022</w:t>
      </w:r>
      <w:r w:rsidR="00D61DC1">
        <w:rPr>
          <w:bCs/>
        </w:rPr>
        <w:t xml:space="preserve"> </w:t>
      </w:r>
      <w:r w:rsidRPr="0052272A" w:rsidR="00E66DDD">
        <w:rPr>
          <w:bCs/>
        </w:rPr>
        <w:t>to notify the public of the proposed rule.</w:t>
      </w:r>
      <w:r>
        <w:rPr>
          <w:rStyle w:val="FootnoteReference"/>
          <w:bCs/>
        </w:rPr>
        <w:footnoteReference w:id="6"/>
      </w:r>
      <w:r w:rsidR="00ED371C">
        <w:rPr>
          <w:bCs/>
        </w:rPr>
        <w:t xml:space="preserve">  The </w:t>
      </w:r>
      <w:r w:rsidR="00D61DC1">
        <w:rPr>
          <w:bCs/>
        </w:rPr>
        <w:t>f</w:t>
      </w:r>
      <w:r w:rsidR="00ED371C">
        <w:rPr>
          <w:bCs/>
        </w:rPr>
        <w:t xml:space="preserve">inal </w:t>
      </w:r>
      <w:r w:rsidR="00D61DC1">
        <w:rPr>
          <w:bCs/>
        </w:rPr>
        <w:t>r</w:t>
      </w:r>
      <w:r w:rsidR="00ED371C">
        <w:rPr>
          <w:bCs/>
        </w:rPr>
        <w:t xml:space="preserve">ule </w:t>
      </w:r>
      <w:r w:rsidR="00A575AE">
        <w:rPr>
          <w:bCs/>
        </w:rPr>
        <w:t>published on November 23, 2022</w:t>
      </w:r>
      <w:r w:rsidR="006357D9">
        <w:rPr>
          <w:bCs/>
        </w:rPr>
        <w:t>,</w:t>
      </w:r>
      <w:r>
        <w:rPr>
          <w:rStyle w:val="FootnoteReference"/>
          <w:bCs/>
        </w:rPr>
        <w:footnoteReference w:id="7"/>
      </w:r>
      <w:r w:rsidR="00A575AE">
        <w:rPr>
          <w:bCs/>
        </w:rPr>
        <w:t xml:space="preserve"> </w:t>
      </w:r>
      <w:r w:rsidR="00ED371C">
        <w:rPr>
          <w:bCs/>
        </w:rPr>
        <w:t>contains discussions on the comments received during the comment period.</w:t>
      </w:r>
    </w:p>
    <w:p w:rsidR="003F49D9" w:rsidRPr="005E5E83" w:rsidP="008E08A2" w14:paraId="6697E4C9" w14:textId="77777777">
      <w:pPr>
        <w:tabs>
          <w:tab w:val="left" w:pos="-1440"/>
        </w:tabs>
      </w:pPr>
    </w:p>
    <w:p w:rsidR="00BC15BE" w:rsidRPr="005E5E83" w:rsidP="000973F8" w14:paraId="3AD239FD" w14:textId="3EBAB186">
      <w:pPr>
        <w:tabs>
          <w:tab w:val="left" w:pos="-1440"/>
        </w:tabs>
        <w:rPr>
          <w:bCs/>
        </w:rPr>
      </w:pPr>
      <w:r w:rsidRPr="005E5E83">
        <w:rPr>
          <w:b/>
        </w:rPr>
        <w:t>9.           EXPLAIN ANY PAYMENT OR GIFTS TO RESPONDENTS</w:t>
      </w:r>
    </w:p>
    <w:p w:rsidR="002F39BD" w:rsidRPr="005E5E83" w:rsidP="00BC15BE" w14:paraId="7051282D" w14:textId="77777777"/>
    <w:p w:rsidR="00BC15BE" w:rsidRPr="005E5E83" w:rsidP="00BC15BE" w14:paraId="747F4580" w14:textId="5C87C94D">
      <w:r w:rsidRPr="005E5E83">
        <w:t>There are no payments or gifts</w:t>
      </w:r>
      <w:r w:rsidRPr="005E5E83" w:rsidR="000326C9">
        <w:t xml:space="preserve"> made or given </w:t>
      </w:r>
      <w:r w:rsidRPr="005E5E83">
        <w:t xml:space="preserve">to respondents associated with </w:t>
      </w:r>
      <w:r w:rsidRPr="005E5E83" w:rsidR="00F8150C">
        <w:t>collections FERC-545</w:t>
      </w:r>
      <w:r w:rsidRPr="005E5E83" w:rsidR="006512E7">
        <w:t>.</w:t>
      </w:r>
    </w:p>
    <w:p w:rsidR="00BC15BE" w:rsidRPr="005E5E83" w:rsidP="00BC15BE" w14:paraId="519A22C7" w14:textId="77777777">
      <w:pPr>
        <w:ind w:left="720" w:hanging="720"/>
        <w:rPr>
          <w:b/>
          <w:bCs/>
        </w:rPr>
      </w:pPr>
    </w:p>
    <w:p w:rsidR="00BC15BE" w:rsidRPr="005E5E83" w:rsidP="000973F8" w14:paraId="2135200F" w14:textId="7B294BF4">
      <w:pPr>
        <w:pStyle w:val="Level1"/>
        <w:numPr>
          <w:ilvl w:val="0"/>
          <w:numId w:val="18"/>
        </w:numPr>
        <w:rPr>
          <w:b/>
          <w:sz w:val="26"/>
        </w:rPr>
      </w:pPr>
      <w:r w:rsidRPr="005E5E83">
        <w:rPr>
          <w:bCs/>
          <w:sz w:val="26"/>
        </w:rPr>
        <w:t xml:space="preserve"> </w:t>
      </w:r>
      <w:r w:rsidRPr="005E5E83">
        <w:rPr>
          <w:b/>
          <w:sz w:val="26"/>
        </w:rPr>
        <w:t>DESCRIBE ANY ASSURANCE OF CONFIDENTIALITY PROVIDED TO RESPONDENTS</w:t>
      </w:r>
    </w:p>
    <w:p w:rsidR="00DF6937" w:rsidRPr="005E5E83" w:rsidP="000973F8" w14:paraId="7CAC0BB8" w14:textId="77777777">
      <w:pPr>
        <w:pStyle w:val="Level1"/>
        <w:numPr>
          <w:ilvl w:val="0"/>
          <w:numId w:val="0"/>
        </w:numPr>
        <w:ind w:left="720"/>
        <w:rPr>
          <w:b/>
          <w:sz w:val="26"/>
        </w:rPr>
      </w:pPr>
    </w:p>
    <w:p w:rsidR="007502D4" w:rsidP="00BC15BE" w14:paraId="43033706" w14:textId="7443C72D">
      <w:r w:rsidRPr="00D4792E">
        <w:t xml:space="preserve">As </w:t>
      </w:r>
      <w:r w:rsidR="00D61DC1">
        <w:t xml:space="preserve">a </w:t>
      </w:r>
      <w:r w:rsidRPr="00D4792E">
        <w:t xml:space="preserve">natural gas </w:t>
      </w:r>
      <w:r w:rsidR="00D61DC1">
        <w:t>pipeline’s r</w:t>
      </w:r>
      <w:r w:rsidRPr="00D4792E">
        <w:t>ates are determined to be of general public interest per the NGA</w:t>
      </w:r>
      <w:r w:rsidRPr="00D4792E" w:rsidR="00733F94">
        <w:t>, the section 4 rate case is public</w:t>
      </w:r>
      <w:r w:rsidRPr="00D4792E" w:rsidR="0016529D">
        <w:t xml:space="preserve"> information</w:t>
      </w:r>
      <w:r w:rsidRPr="00D4792E" w:rsidR="00733F94">
        <w:t>.</w:t>
      </w:r>
      <w:r w:rsidRPr="00FA3FAC" w:rsidR="00733F94">
        <w:t xml:space="preserve"> </w:t>
      </w:r>
    </w:p>
    <w:p w:rsidR="003F49D9" w:rsidRPr="005E5E83" w:rsidP="00BC15BE" w14:paraId="45586E6A" w14:textId="77777777"/>
    <w:p w:rsidR="00BC15BE" w:rsidRPr="005E5E83" w:rsidP="00BC15BE" w14:paraId="20B1F703" w14:textId="77777777">
      <w:pPr>
        <w:pStyle w:val="Level1"/>
        <w:numPr>
          <w:ilvl w:val="0"/>
          <w:numId w:val="3"/>
        </w:numPr>
        <w:rPr>
          <w:b/>
          <w:sz w:val="26"/>
        </w:rPr>
      </w:pPr>
      <w:r w:rsidRPr="005E5E83">
        <w:rPr>
          <w:b/>
          <w:sz w:val="26"/>
        </w:rPr>
        <w:t>PROVIDE ADDITIONAL JUSTIFICATION FOR ANY QUESTIONS OF A SENSITIVE NATURE, SUCH AS SEXUAL BEHAVIOR AND ATTITUDES, RELIGIOUS BELIEFS, AND OTHER MATTERS THAT ARE COMMONLY CONSIDERED PRIVATE.</w:t>
      </w:r>
    </w:p>
    <w:p w:rsidR="00A17430" w:rsidRPr="005E5E83" w:rsidP="00BC15BE" w14:paraId="46AEDFC5" w14:textId="77777777"/>
    <w:p w:rsidR="00BC15BE" w:rsidRPr="005E5E83" w:rsidP="00BC15BE" w14:paraId="3DCB60E8" w14:textId="77777777">
      <w:r w:rsidRPr="005E5E83">
        <w:t>There are no questions of a sensitive nature in the reporting requirements.</w:t>
      </w:r>
    </w:p>
    <w:p w:rsidR="00BC15BE" w:rsidRPr="005E5E83" w:rsidP="00BC15BE" w14:paraId="3E51840A" w14:textId="77777777"/>
    <w:p w:rsidR="00BC15BE" w:rsidRPr="005E5E83" w:rsidP="00BC15BE" w14:paraId="584352B7" w14:textId="77777777">
      <w:pPr>
        <w:pStyle w:val="Level1"/>
        <w:rPr>
          <w:b/>
          <w:sz w:val="26"/>
        </w:rPr>
      </w:pPr>
      <w:r w:rsidRPr="005E5E83">
        <w:rPr>
          <w:b/>
          <w:sz w:val="26"/>
        </w:rPr>
        <w:t>ESTIMATED BURDEN OF COLLECTION OF INFORMATION</w:t>
      </w:r>
    </w:p>
    <w:p w:rsidR="00CB5EFC" w:rsidP="007502D4" w14:paraId="7D707771" w14:textId="2DF39A90"/>
    <w:p w:rsidR="00CB5EFC" w:rsidP="007502D4" w14:paraId="757D63AC" w14:textId="0B71E1DE">
      <w:r>
        <w:t xml:space="preserve">The FERC 545 collection is used for collections related to </w:t>
      </w:r>
      <w:r w:rsidR="00C02FA1">
        <w:t xml:space="preserve">NGA </w:t>
      </w:r>
      <w:r>
        <w:t xml:space="preserve">sections 4, 5, and 16.  However, this </w:t>
      </w:r>
      <w:r w:rsidR="00C02FA1">
        <w:t>f</w:t>
      </w:r>
      <w:r w:rsidR="00F179CD">
        <w:t xml:space="preserve">inal </w:t>
      </w:r>
      <w:r w:rsidR="00C02FA1">
        <w:t>r</w:t>
      </w:r>
      <w:r w:rsidR="00F179CD">
        <w:t>ule</w:t>
      </w:r>
      <w:r>
        <w:t xml:space="preserve"> does not change </w:t>
      </w:r>
      <w:r w:rsidR="00C02FA1">
        <w:t xml:space="preserve">NGA </w:t>
      </w:r>
      <w:r>
        <w:t xml:space="preserve">sections 5 and 16 which include burdens related to tarriff filings and rate filings. The costs associated with these filings remain unchanged (Table 2). </w:t>
      </w:r>
    </w:p>
    <w:p w:rsidR="00CB5EFC" w:rsidP="007502D4" w14:paraId="1A78A5CC" w14:textId="5E312EF1"/>
    <w:p w:rsidR="008C1E2B" w:rsidP="007502D4" w14:paraId="2BEBBC6F" w14:textId="1FEA6323">
      <w:r w:rsidRPr="005E5E83">
        <w:t>The Commission estimates the annual public reporting burden and cost for the information collection</w:t>
      </w:r>
      <w:r w:rsidR="00CF033C">
        <w:t xml:space="preserve"> given the changes in RM21-18-000</w:t>
      </w:r>
      <w:r w:rsidRPr="005E5E83">
        <w:t xml:space="preserve"> as follows:</w:t>
      </w:r>
    </w:p>
    <w:p w:rsidR="008C1E2B" w:rsidP="007502D4" w14:paraId="3E93641E" w14:textId="4D99B12A"/>
    <w:tbl>
      <w:tblPr>
        <w:tblStyle w:val="TableGrid1"/>
        <w:tblW w:w="11115" w:type="dxa"/>
        <w:tblInd w:w="-885" w:type="dxa"/>
        <w:tblLayout w:type="fixed"/>
        <w:tblLook w:val="04A0"/>
      </w:tblPr>
      <w:tblGrid>
        <w:gridCol w:w="1600"/>
        <w:gridCol w:w="1350"/>
        <w:gridCol w:w="1170"/>
        <w:gridCol w:w="1530"/>
        <w:gridCol w:w="1800"/>
        <w:gridCol w:w="2070"/>
        <w:gridCol w:w="1595"/>
      </w:tblGrid>
      <w:tr w14:paraId="52FD5D8F" w14:textId="7AA18530" w:rsidTr="00D4792E">
        <w:tblPrEx>
          <w:tblW w:w="11115" w:type="dxa"/>
          <w:tblInd w:w="-885" w:type="dxa"/>
          <w:tblLayout w:type="fixed"/>
          <w:tblLook w:val="04A0"/>
        </w:tblPrEx>
        <w:trPr>
          <w:trHeight w:val="143"/>
        </w:trPr>
        <w:tc>
          <w:tcPr>
            <w:tcW w:w="11115" w:type="dxa"/>
            <w:gridSpan w:val="7"/>
            <w:tcBorders>
              <w:top w:val="single" w:sz="4" w:space="0" w:color="auto"/>
              <w:left w:val="single" w:sz="4" w:space="0" w:color="auto"/>
              <w:bottom w:val="single" w:sz="4" w:space="0" w:color="auto"/>
              <w:right w:val="single" w:sz="4" w:space="0" w:color="auto"/>
            </w:tcBorders>
            <w:shd w:val="clear" w:color="auto" w:fill="BFBFBF"/>
            <w:hideMark/>
          </w:tcPr>
          <w:p w:rsidR="00376751" w:rsidP="00CF033C" w14:paraId="217F7A06" w14:textId="411BCD06">
            <w:pPr>
              <w:widowControl w:val="0"/>
              <w:jc w:val="center"/>
              <w:rPr>
                <w:rFonts w:eastAsia="Calibri"/>
                <w:b/>
                <w:bCs/>
                <w:szCs w:val="22"/>
              </w:rPr>
            </w:pPr>
            <w:r>
              <w:rPr>
                <w:rFonts w:eastAsia="Calibri"/>
                <w:b/>
                <w:bCs/>
                <w:szCs w:val="22"/>
              </w:rPr>
              <w:t xml:space="preserve">Table 1: </w:t>
            </w:r>
            <w:r w:rsidRPr="00CF033C">
              <w:rPr>
                <w:rFonts w:eastAsia="Calibri"/>
                <w:b/>
                <w:bCs/>
                <w:szCs w:val="22"/>
              </w:rPr>
              <w:t>Modifications to FERC 545 from</w:t>
            </w:r>
            <w:r w:rsidR="00F179CD">
              <w:rPr>
                <w:rFonts w:eastAsia="Calibri"/>
                <w:b/>
                <w:bCs/>
                <w:szCs w:val="22"/>
              </w:rPr>
              <w:t xml:space="preserve"> Final Rule</w:t>
            </w:r>
            <w:r w:rsidRPr="00CF033C">
              <w:rPr>
                <w:rFonts w:eastAsia="Calibri"/>
                <w:b/>
                <w:bCs/>
                <w:szCs w:val="22"/>
              </w:rPr>
              <w:t xml:space="preserve"> in Docket No. RM21-18-000</w:t>
            </w:r>
          </w:p>
        </w:tc>
      </w:tr>
      <w:tr w14:paraId="3880E431" w14:textId="32790E20" w:rsidTr="00D4792E">
        <w:tblPrEx>
          <w:tblW w:w="11115" w:type="dxa"/>
          <w:tblInd w:w="-885" w:type="dxa"/>
          <w:tblLayout w:type="fixed"/>
          <w:tblLook w:val="04A0"/>
        </w:tblPrEx>
        <w:trPr>
          <w:trHeight w:val="197"/>
        </w:trPr>
        <w:tc>
          <w:tcPr>
            <w:tcW w:w="1600" w:type="dxa"/>
            <w:tcBorders>
              <w:top w:val="single" w:sz="4" w:space="0" w:color="auto"/>
              <w:left w:val="single" w:sz="4" w:space="0" w:color="auto"/>
              <w:bottom w:val="single" w:sz="4" w:space="0" w:color="auto"/>
              <w:right w:val="single" w:sz="4" w:space="0" w:color="auto"/>
            </w:tcBorders>
            <w:shd w:val="clear" w:color="auto" w:fill="BFBFBF"/>
            <w:hideMark/>
          </w:tcPr>
          <w:p w:rsidR="0011159F" w:rsidRPr="00CF033C" w:rsidP="00CF033C" w14:paraId="5CFB0DDD" w14:textId="77777777">
            <w:pPr>
              <w:jc w:val="center"/>
              <w:rPr>
                <w:rFonts w:eastAsia="Calibri"/>
                <w:b/>
                <w:bCs/>
                <w:sz w:val="24"/>
                <w:szCs w:val="22"/>
              </w:rPr>
            </w:pPr>
            <w:r w:rsidRPr="00CF033C">
              <w:rPr>
                <w:rFonts w:eastAsia="Calibri"/>
                <w:b/>
                <w:bCs/>
                <w:sz w:val="24"/>
                <w:szCs w:val="22"/>
              </w:rPr>
              <w:t>A.</w:t>
            </w:r>
          </w:p>
          <w:p w:rsidR="0011159F" w:rsidRPr="00CF033C" w:rsidP="00CF033C" w14:paraId="264FCC1A" w14:textId="77777777">
            <w:pPr>
              <w:jc w:val="center"/>
              <w:rPr>
                <w:rFonts w:eastAsia="Calibri"/>
                <w:b/>
                <w:bCs/>
                <w:sz w:val="24"/>
                <w:szCs w:val="22"/>
              </w:rPr>
            </w:pPr>
            <w:r w:rsidRPr="00CF033C">
              <w:rPr>
                <w:rFonts w:eastAsia="Calibri"/>
                <w:b/>
                <w:bCs/>
                <w:sz w:val="24"/>
                <w:szCs w:val="22"/>
              </w:rPr>
              <w:t>Area of Modification</w:t>
            </w:r>
          </w:p>
        </w:tc>
        <w:tc>
          <w:tcPr>
            <w:tcW w:w="1350" w:type="dxa"/>
            <w:tcBorders>
              <w:top w:val="single" w:sz="4" w:space="0" w:color="auto"/>
              <w:left w:val="single" w:sz="4" w:space="0" w:color="auto"/>
              <w:bottom w:val="single" w:sz="4" w:space="0" w:color="auto"/>
              <w:right w:val="single" w:sz="4" w:space="0" w:color="auto"/>
            </w:tcBorders>
            <w:shd w:val="clear" w:color="auto" w:fill="BFBFBF"/>
          </w:tcPr>
          <w:p w:rsidR="0011159F" w:rsidRPr="00CF033C" w:rsidP="00CF033C" w14:paraId="5E55BBBD" w14:textId="77777777">
            <w:pPr>
              <w:jc w:val="center"/>
              <w:rPr>
                <w:rFonts w:eastAsia="Calibri"/>
                <w:b/>
                <w:bCs/>
                <w:sz w:val="24"/>
                <w:szCs w:val="22"/>
              </w:rPr>
            </w:pPr>
            <w:r w:rsidRPr="00CF033C">
              <w:rPr>
                <w:rFonts w:eastAsia="Calibri"/>
                <w:b/>
                <w:bCs/>
                <w:sz w:val="24"/>
                <w:szCs w:val="22"/>
              </w:rPr>
              <w:t>B.</w:t>
            </w:r>
          </w:p>
          <w:p w:rsidR="0011159F" w:rsidRPr="00CF033C" w:rsidP="00CF033C" w14:paraId="1A1027A4" w14:textId="77777777">
            <w:pPr>
              <w:jc w:val="center"/>
              <w:rPr>
                <w:rFonts w:eastAsia="Calibri"/>
                <w:b/>
                <w:bCs/>
                <w:sz w:val="24"/>
                <w:szCs w:val="22"/>
              </w:rPr>
            </w:pPr>
            <w:r w:rsidRPr="00CF033C">
              <w:rPr>
                <w:rFonts w:eastAsia="Calibri"/>
                <w:b/>
                <w:bCs/>
                <w:sz w:val="24"/>
                <w:szCs w:val="22"/>
              </w:rPr>
              <w:t>Number of Respondents</w:t>
            </w:r>
          </w:p>
          <w:p w:rsidR="0011159F" w:rsidRPr="00CF033C" w:rsidP="00CF033C" w14:paraId="78CD7A38" w14:textId="77777777">
            <w:pPr>
              <w:jc w:val="center"/>
              <w:rPr>
                <w:rFonts w:eastAsia="Calibri"/>
                <w:b/>
                <w:bCs/>
                <w:sz w:val="24"/>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rsidR="0011159F" w:rsidRPr="00CF033C" w:rsidP="00CF033C" w14:paraId="7DD6A6A8" w14:textId="77777777">
            <w:pPr>
              <w:jc w:val="center"/>
              <w:rPr>
                <w:rFonts w:eastAsia="Calibri"/>
                <w:b/>
                <w:bCs/>
                <w:sz w:val="24"/>
                <w:szCs w:val="22"/>
              </w:rPr>
            </w:pPr>
            <w:r w:rsidRPr="00CF033C">
              <w:rPr>
                <w:rFonts w:eastAsia="Calibri"/>
                <w:b/>
                <w:bCs/>
                <w:sz w:val="24"/>
                <w:szCs w:val="22"/>
              </w:rPr>
              <w:t>C.</w:t>
            </w:r>
          </w:p>
          <w:p w:rsidR="0011159F" w:rsidRPr="00CF033C" w:rsidP="00CF033C" w14:paraId="2EC48606" w14:textId="77777777">
            <w:pPr>
              <w:jc w:val="center"/>
              <w:rPr>
                <w:rFonts w:eastAsia="Calibri"/>
                <w:b/>
                <w:bCs/>
                <w:sz w:val="24"/>
                <w:szCs w:val="22"/>
              </w:rPr>
            </w:pPr>
            <w:r w:rsidRPr="00CF033C">
              <w:rPr>
                <w:rFonts w:eastAsia="Calibri"/>
                <w:b/>
                <w:bCs/>
                <w:sz w:val="24"/>
                <w:szCs w:val="22"/>
              </w:rPr>
              <w:t>Annual Estimated Number of Responses per Respondent</w:t>
            </w:r>
          </w:p>
          <w:p w:rsidR="0011159F" w:rsidRPr="00CF033C" w:rsidP="00CF033C" w14:paraId="44566BEC" w14:textId="77777777">
            <w:pPr>
              <w:jc w:val="center"/>
              <w:rPr>
                <w:rFonts w:eastAsia="Calibri"/>
                <w:b/>
                <w:bCs/>
                <w:sz w:val="24"/>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BFBFBF"/>
          </w:tcPr>
          <w:p w:rsidR="0011159F" w:rsidRPr="00CF033C" w:rsidP="00CF033C" w14:paraId="42770B1C" w14:textId="77777777">
            <w:pPr>
              <w:jc w:val="center"/>
              <w:rPr>
                <w:rFonts w:eastAsia="Calibri"/>
                <w:b/>
                <w:bCs/>
                <w:sz w:val="24"/>
                <w:szCs w:val="22"/>
              </w:rPr>
            </w:pPr>
            <w:r w:rsidRPr="00CF033C">
              <w:rPr>
                <w:rFonts w:eastAsia="Calibri"/>
                <w:b/>
                <w:bCs/>
                <w:sz w:val="24"/>
                <w:szCs w:val="22"/>
              </w:rPr>
              <w:t>D.</w:t>
            </w:r>
          </w:p>
          <w:p w:rsidR="0011159F" w:rsidRPr="00CF033C" w:rsidP="00CF033C" w14:paraId="6BF20ADC" w14:textId="77777777">
            <w:pPr>
              <w:jc w:val="center"/>
              <w:rPr>
                <w:rFonts w:eastAsia="Calibri"/>
                <w:b/>
                <w:bCs/>
                <w:sz w:val="24"/>
                <w:szCs w:val="22"/>
              </w:rPr>
            </w:pPr>
            <w:r w:rsidRPr="00CF033C">
              <w:rPr>
                <w:rFonts w:eastAsia="Calibri"/>
                <w:b/>
                <w:bCs/>
                <w:sz w:val="24"/>
                <w:szCs w:val="22"/>
              </w:rPr>
              <w:t>Annual Estimated Number of Responses</w:t>
            </w:r>
          </w:p>
          <w:p w:rsidR="0011159F" w:rsidRPr="00CF033C" w:rsidP="00CF033C" w14:paraId="3F978405" w14:textId="77777777">
            <w:pPr>
              <w:jc w:val="center"/>
              <w:rPr>
                <w:rFonts w:eastAsia="Calibri"/>
                <w:b/>
                <w:bCs/>
                <w:sz w:val="24"/>
                <w:szCs w:val="22"/>
              </w:rPr>
            </w:pPr>
            <w:r w:rsidRPr="00CF033C">
              <w:rPr>
                <w:rFonts w:eastAsia="Calibri"/>
                <w:b/>
                <w:bCs/>
                <w:sz w:val="24"/>
                <w:szCs w:val="22"/>
              </w:rPr>
              <w:t>(Column B X Column C)</w:t>
            </w:r>
          </w:p>
          <w:p w:rsidR="0011159F" w:rsidRPr="00CF033C" w:rsidP="00CF033C" w14:paraId="32B09573" w14:textId="77777777">
            <w:pPr>
              <w:jc w:val="center"/>
              <w:rPr>
                <w:rFonts w:eastAsia="Calibri"/>
                <w:b/>
                <w:bCs/>
                <w:sz w:val="24"/>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BFBFBF"/>
          </w:tcPr>
          <w:p w:rsidR="0011159F" w:rsidRPr="00CF033C" w:rsidP="00CF033C" w14:paraId="3B622A41" w14:textId="77777777">
            <w:pPr>
              <w:jc w:val="center"/>
              <w:rPr>
                <w:rFonts w:eastAsia="Calibri"/>
                <w:b/>
                <w:bCs/>
                <w:sz w:val="24"/>
                <w:szCs w:val="22"/>
              </w:rPr>
            </w:pPr>
            <w:r w:rsidRPr="00CF033C">
              <w:rPr>
                <w:rFonts w:eastAsia="Calibri"/>
                <w:b/>
                <w:bCs/>
                <w:sz w:val="24"/>
                <w:szCs w:val="22"/>
              </w:rPr>
              <w:t>E.</w:t>
            </w:r>
          </w:p>
          <w:p w:rsidR="0011159F" w:rsidRPr="00CF033C" w:rsidP="00CF033C" w14:paraId="3FFBD269" w14:textId="77777777">
            <w:pPr>
              <w:jc w:val="center"/>
              <w:rPr>
                <w:rFonts w:eastAsia="Calibri"/>
                <w:b/>
                <w:bCs/>
                <w:sz w:val="24"/>
                <w:szCs w:val="22"/>
              </w:rPr>
            </w:pPr>
            <w:r w:rsidRPr="00CF033C">
              <w:rPr>
                <w:rFonts w:eastAsia="Calibri"/>
                <w:b/>
                <w:bCs/>
                <w:sz w:val="24"/>
                <w:szCs w:val="22"/>
              </w:rPr>
              <w:t>Average Burden Hours &amp; Cost per Response</w:t>
            </w:r>
          </w:p>
          <w:p w:rsidR="0011159F" w:rsidRPr="00CF033C" w:rsidP="00CF033C" w14:paraId="3AC3D4F8" w14:textId="77777777">
            <w:pPr>
              <w:jc w:val="center"/>
              <w:rPr>
                <w:rFonts w:eastAsia="Calibri"/>
                <w:b/>
                <w:bCs/>
                <w:sz w:val="24"/>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11159F" w:rsidRPr="00CF033C" w:rsidP="00CF033C" w14:paraId="05CE0B3C" w14:textId="77777777">
            <w:pPr>
              <w:jc w:val="center"/>
              <w:rPr>
                <w:rFonts w:eastAsia="Calibri"/>
                <w:b/>
                <w:bCs/>
                <w:sz w:val="24"/>
                <w:szCs w:val="22"/>
              </w:rPr>
            </w:pPr>
            <w:r w:rsidRPr="00CF033C">
              <w:rPr>
                <w:rFonts w:eastAsia="Calibri"/>
                <w:b/>
                <w:bCs/>
                <w:sz w:val="24"/>
                <w:szCs w:val="22"/>
              </w:rPr>
              <w:t>F.</w:t>
            </w:r>
          </w:p>
          <w:p w:rsidR="0011159F" w:rsidRPr="00CF033C" w:rsidP="00CF033C" w14:paraId="4C91A7CE" w14:textId="77777777">
            <w:pPr>
              <w:jc w:val="center"/>
              <w:rPr>
                <w:rFonts w:eastAsia="Calibri"/>
                <w:b/>
                <w:bCs/>
                <w:sz w:val="24"/>
                <w:szCs w:val="22"/>
              </w:rPr>
            </w:pPr>
            <w:r w:rsidRPr="00CF033C">
              <w:rPr>
                <w:rFonts w:eastAsia="Calibri"/>
                <w:b/>
                <w:bCs/>
                <w:sz w:val="24"/>
                <w:szCs w:val="22"/>
              </w:rPr>
              <w:t>Total Estimated Burden Hours &amp; Total Estimated Cost</w:t>
            </w:r>
          </w:p>
          <w:p w:rsidR="0011159F" w:rsidRPr="00CF033C" w:rsidP="00CF033C" w14:paraId="0ADF6DB8" w14:textId="77777777">
            <w:pPr>
              <w:jc w:val="center"/>
              <w:rPr>
                <w:rFonts w:eastAsia="Calibri"/>
                <w:b/>
                <w:bCs/>
                <w:sz w:val="24"/>
                <w:szCs w:val="22"/>
              </w:rPr>
            </w:pPr>
            <w:r w:rsidRPr="00CF033C">
              <w:rPr>
                <w:rFonts w:eastAsia="Calibri"/>
                <w:b/>
                <w:bCs/>
                <w:sz w:val="24"/>
                <w:szCs w:val="22"/>
              </w:rPr>
              <w:t>(Column D x Column E)</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rsidR="0011159F" w:rsidP="00CF033C" w14:paraId="397103F2" w14:textId="77777777">
            <w:pPr>
              <w:jc w:val="center"/>
              <w:rPr>
                <w:rFonts w:eastAsia="Calibri"/>
                <w:b/>
                <w:bCs/>
                <w:sz w:val="24"/>
                <w:szCs w:val="22"/>
              </w:rPr>
            </w:pPr>
            <w:r>
              <w:rPr>
                <w:rFonts w:eastAsia="Calibri"/>
                <w:b/>
                <w:bCs/>
                <w:sz w:val="24"/>
                <w:szCs w:val="22"/>
              </w:rPr>
              <w:t xml:space="preserve">G. </w:t>
            </w:r>
          </w:p>
          <w:p w:rsidR="0011159F" w:rsidRPr="00CF033C" w:rsidP="00CF033C" w14:paraId="691FA236" w14:textId="49751530">
            <w:pPr>
              <w:jc w:val="center"/>
              <w:rPr>
                <w:rFonts w:eastAsia="Calibri"/>
                <w:b/>
                <w:bCs/>
                <w:sz w:val="24"/>
                <w:szCs w:val="22"/>
              </w:rPr>
            </w:pPr>
            <w:r>
              <w:rPr>
                <w:rFonts w:eastAsia="Calibri"/>
                <w:b/>
                <w:bCs/>
                <w:sz w:val="24"/>
                <w:szCs w:val="22"/>
              </w:rPr>
              <w:t>Cost Per Respondent</w:t>
            </w:r>
            <w:r w:rsidR="00376751">
              <w:rPr>
                <w:rFonts w:eastAsia="Calibri"/>
                <w:b/>
                <w:bCs/>
                <w:sz w:val="24"/>
                <w:szCs w:val="22"/>
              </w:rPr>
              <w:t xml:space="preserve"> (Column </w:t>
            </w:r>
            <w:r w:rsidR="008D6148">
              <w:rPr>
                <w:rFonts w:eastAsia="Calibri"/>
                <w:b/>
                <w:bCs/>
                <w:sz w:val="24"/>
                <w:szCs w:val="22"/>
              </w:rPr>
              <w:t>F</w:t>
            </w:r>
            <w:r w:rsidR="00376751">
              <w:rPr>
                <w:rFonts w:eastAsia="Calibri"/>
                <w:b/>
                <w:bCs/>
                <w:sz w:val="24"/>
                <w:szCs w:val="22"/>
              </w:rPr>
              <w:t xml:space="preserve"> / Column B)</w:t>
            </w:r>
          </w:p>
        </w:tc>
      </w:tr>
      <w:tr w14:paraId="0FF25127" w14:textId="7D9EE17B" w:rsidTr="00D4792E">
        <w:tblPrEx>
          <w:tblW w:w="11115" w:type="dxa"/>
          <w:tblInd w:w="-885" w:type="dxa"/>
          <w:tblLayout w:type="fixed"/>
          <w:tblLook w:val="04A0"/>
        </w:tblPrEx>
        <w:trPr>
          <w:trHeight w:val="197"/>
        </w:trPr>
        <w:tc>
          <w:tcPr>
            <w:tcW w:w="9520"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11159F" w:rsidRPr="00CF033C" w:rsidP="00CF033C" w14:paraId="43BEF60E" w14:textId="77777777">
            <w:pPr>
              <w:jc w:val="center"/>
              <w:rPr>
                <w:rFonts w:eastAsia="Calibri"/>
                <w:b/>
                <w:bCs/>
                <w:sz w:val="24"/>
                <w:szCs w:val="22"/>
              </w:rPr>
            </w:pPr>
            <w:r w:rsidRPr="00CF033C">
              <w:rPr>
                <w:rFonts w:eastAsia="Calibri"/>
                <w:b/>
                <w:bCs/>
                <w:sz w:val="24"/>
                <w:szCs w:val="22"/>
              </w:rPr>
              <w:t>Section 4 Rate Case</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rsidR="0011159F" w:rsidRPr="00CF033C" w:rsidP="00CF033C" w14:paraId="533D3327" w14:textId="77777777">
            <w:pPr>
              <w:jc w:val="center"/>
              <w:rPr>
                <w:rFonts w:eastAsia="Calibri"/>
                <w:b/>
                <w:bCs/>
                <w:sz w:val="24"/>
                <w:szCs w:val="22"/>
              </w:rPr>
            </w:pPr>
          </w:p>
        </w:tc>
      </w:tr>
    </w:tbl>
    <w:tbl>
      <w:tblPr>
        <w:tblW w:w="11160" w:type="dxa"/>
        <w:tblInd w:w="-905" w:type="dxa"/>
        <w:tblLayout w:type="fixed"/>
        <w:tblLook w:val="04A0"/>
      </w:tblPr>
      <w:tblGrid>
        <w:gridCol w:w="1620"/>
        <w:gridCol w:w="1350"/>
        <w:gridCol w:w="1170"/>
        <w:gridCol w:w="1530"/>
        <w:gridCol w:w="1800"/>
        <w:gridCol w:w="2070"/>
        <w:gridCol w:w="1620"/>
      </w:tblGrid>
      <w:tr w14:paraId="083352F2" w14:textId="7FA9D396" w:rsidTr="00D4792E">
        <w:tblPrEx>
          <w:tblW w:w="11160" w:type="dxa"/>
          <w:tblInd w:w="-905" w:type="dxa"/>
          <w:tblLayout w:type="fixed"/>
          <w:tblLook w:val="04A0"/>
        </w:tblPrEx>
        <w:trPr>
          <w:trHeight w:val="1377"/>
        </w:trPr>
        <w:tc>
          <w:tcPr>
            <w:tcW w:w="1620" w:type="dxa"/>
            <w:tcBorders>
              <w:top w:val="nil"/>
              <w:left w:val="single" w:sz="4" w:space="0" w:color="auto"/>
              <w:bottom w:val="single" w:sz="4" w:space="0" w:color="auto"/>
              <w:right w:val="single" w:sz="4" w:space="0" w:color="auto"/>
            </w:tcBorders>
            <w:vAlign w:val="center"/>
            <w:hideMark/>
          </w:tcPr>
          <w:p w:rsidR="00376751" w:rsidRPr="00CF033C" w:rsidP="00CF033C" w14:paraId="5E200561" w14:textId="77777777">
            <w:pPr>
              <w:spacing w:after="160" w:line="256" w:lineRule="auto"/>
              <w:rPr>
                <w:color w:val="000000"/>
                <w:sz w:val="24"/>
                <w:szCs w:val="26"/>
              </w:rPr>
            </w:pPr>
            <w:r w:rsidRPr="00CF033C">
              <w:rPr>
                <w:color w:val="000000"/>
                <w:sz w:val="24"/>
                <w:szCs w:val="26"/>
              </w:rPr>
              <w:t>FERC 545: Annual Section 4 Rate Cases</w:t>
            </w:r>
          </w:p>
        </w:tc>
        <w:tc>
          <w:tcPr>
            <w:tcW w:w="1350" w:type="dxa"/>
            <w:tcBorders>
              <w:top w:val="nil"/>
              <w:left w:val="nil"/>
              <w:bottom w:val="single" w:sz="4" w:space="0" w:color="auto"/>
              <w:right w:val="single" w:sz="4" w:space="0" w:color="auto"/>
            </w:tcBorders>
            <w:vAlign w:val="center"/>
            <w:hideMark/>
          </w:tcPr>
          <w:p w:rsidR="00376751" w:rsidRPr="00CF033C" w:rsidP="00CF033C" w14:paraId="0D7B4DA2" w14:textId="77777777">
            <w:pPr>
              <w:spacing w:after="160" w:line="256" w:lineRule="auto"/>
              <w:jc w:val="right"/>
              <w:rPr>
                <w:color w:val="000000"/>
                <w:sz w:val="24"/>
                <w:szCs w:val="26"/>
              </w:rPr>
            </w:pPr>
            <w:r w:rsidRPr="00CF033C">
              <w:rPr>
                <w:color w:val="000000"/>
                <w:sz w:val="24"/>
                <w:szCs w:val="26"/>
              </w:rPr>
              <w:t>8</w:t>
            </w:r>
          </w:p>
        </w:tc>
        <w:tc>
          <w:tcPr>
            <w:tcW w:w="1170" w:type="dxa"/>
            <w:tcBorders>
              <w:top w:val="nil"/>
              <w:left w:val="nil"/>
              <w:bottom w:val="single" w:sz="4" w:space="0" w:color="auto"/>
              <w:right w:val="single" w:sz="4" w:space="0" w:color="auto"/>
            </w:tcBorders>
            <w:vAlign w:val="center"/>
            <w:hideMark/>
          </w:tcPr>
          <w:p w:rsidR="00376751" w:rsidRPr="00CF033C" w:rsidP="00CF033C" w14:paraId="4E5DE8D6" w14:textId="77777777">
            <w:pPr>
              <w:spacing w:after="160" w:line="256" w:lineRule="auto"/>
              <w:jc w:val="right"/>
              <w:rPr>
                <w:color w:val="000000"/>
                <w:sz w:val="24"/>
                <w:szCs w:val="26"/>
              </w:rPr>
            </w:pPr>
            <w:r w:rsidRPr="00CF033C">
              <w:rPr>
                <w:color w:val="000000"/>
                <w:sz w:val="24"/>
                <w:szCs w:val="26"/>
              </w:rPr>
              <w:t>1</w:t>
            </w:r>
          </w:p>
        </w:tc>
        <w:tc>
          <w:tcPr>
            <w:tcW w:w="1530" w:type="dxa"/>
            <w:tcBorders>
              <w:top w:val="nil"/>
              <w:left w:val="single" w:sz="4" w:space="0" w:color="auto"/>
              <w:bottom w:val="single" w:sz="4" w:space="0" w:color="auto"/>
              <w:right w:val="single" w:sz="4" w:space="0" w:color="auto"/>
            </w:tcBorders>
            <w:vAlign w:val="center"/>
            <w:hideMark/>
          </w:tcPr>
          <w:p w:rsidR="00376751" w:rsidRPr="00CF033C" w:rsidP="00CF033C" w14:paraId="03BA414C" w14:textId="77777777">
            <w:pPr>
              <w:spacing w:after="160" w:line="256" w:lineRule="auto"/>
              <w:jc w:val="right"/>
              <w:rPr>
                <w:color w:val="000000"/>
                <w:sz w:val="24"/>
                <w:szCs w:val="26"/>
              </w:rPr>
            </w:pPr>
            <w:r w:rsidRPr="00CF033C">
              <w:rPr>
                <w:color w:val="000000"/>
                <w:sz w:val="24"/>
                <w:szCs w:val="26"/>
              </w:rPr>
              <w:t>8</w:t>
            </w:r>
          </w:p>
        </w:tc>
        <w:tc>
          <w:tcPr>
            <w:tcW w:w="1800" w:type="dxa"/>
            <w:tcBorders>
              <w:top w:val="nil"/>
              <w:left w:val="nil"/>
              <w:bottom w:val="single" w:sz="4" w:space="0" w:color="auto"/>
              <w:right w:val="single" w:sz="4" w:space="0" w:color="auto"/>
            </w:tcBorders>
            <w:vAlign w:val="center"/>
            <w:hideMark/>
          </w:tcPr>
          <w:p w:rsidR="00376751" w:rsidRPr="00CF033C" w:rsidP="00CF033C" w14:paraId="1B67B523" w14:textId="6FDA47E3">
            <w:pPr>
              <w:spacing w:after="160" w:line="256" w:lineRule="auto"/>
              <w:jc w:val="right"/>
              <w:rPr>
                <w:color w:val="000000"/>
                <w:sz w:val="24"/>
                <w:szCs w:val="26"/>
              </w:rPr>
            </w:pPr>
            <w:r w:rsidRPr="00CF033C">
              <w:rPr>
                <w:color w:val="000000"/>
                <w:sz w:val="24"/>
                <w:szCs w:val="26"/>
              </w:rPr>
              <w:t>100 hours; $</w:t>
            </w:r>
            <w:r w:rsidR="008D6148">
              <w:rPr>
                <w:color w:val="000000"/>
                <w:sz w:val="24"/>
                <w:szCs w:val="26"/>
              </w:rPr>
              <w:t>10,300</w:t>
            </w:r>
          </w:p>
        </w:tc>
        <w:tc>
          <w:tcPr>
            <w:tcW w:w="2070" w:type="dxa"/>
            <w:tcBorders>
              <w:top w:val="nil"/>
              <w:left w:val="nil"/>
              <w:bottom w:val="single" w:sz="4" w:space="0" w:color="auto"/>
              <w:right w:val="single" w:sz="4" w:space="0" w:color="auto"/>
            </w:tcBorders>
            <w:vAlign w:val="center"/>
            <w:hideMark/>
          </w:tcPr>
          <w:p w:rsidR="00376751" w:rsidRPr="00CF033C" w:rsidP="00CF033C" w14:paraId="749CBFDA" w14:textId="77777777">
            <w:pPr>
              <w:spacing w:line="256" w:lineRule="auto"/>
              <w:jc w:val="right"/>
              <w:rPr>
                <w:color w:val="000000"/>
                <w:sz w:val="24"/>
                <w:szCs w:val="26"/>
              </w:rPr>
            </w:pPr>
            <w:r w:rsidRPr="00CF033C">
              <w:rPr>
                <w:color w:val="000000"/>
                <w:sz w:val="24"/>
                <w:szCs w:val="26"/>
              </w:rPr>
              <w:t>800 hours;</w:t>
            </w:r>
          </w:p>
          <w:p w:rsidR="00376751" w:rsidRPr="00CF033C" w:rsidP="00CF033C" w14:paraId="3C78FA9E" w14:textId="497BB3AD">
            <w:pPr>
              <w:spacing w:after="100" w:afterAutospacing="1" w:line="256" w:lineRule="auto"/>
              <w:jc w:val="right"/>
              <w:rPr>
                <w:color w:val="000000"/>
                <w:sz w:val="24"/>
                <w:szCs w:val="26"/>
              </w:rPr>
            </w:pPr>
            <w:r w:rsidRPr="00CF033C">
              <w:rPr>
                <w:color w:val="000000"/>
                <w:sz w:val="24"/>
                <w:szCs w:val="26"/>
              </w:rPr>
              <w:t>$</w:t>
            </w:r>
            <w:r w:rsidR="008D6148">
              <w:rPr>
                <w:color w:val="000000"/>
                <w:sz w:val="24"/>
                <w:szCs w:val="26"/>
              </w:rPr>
              <w:t>82,400</w:t>
            </w:r>
          </w:p>
        </w:tc>
        <w:tc>
          <w:tcPr>
            <w:tcW w:w="1620" w:type="dxa"/>
            <w:tcBorders>
              <w:top w:val="nil"/>
              <w:left w:val="nil"/>
              <w:bottom w:val="single" w:sz="4" w:space="0" w:color="auto"/>
              <w:right w:val="single" w:sz="4" w:space="0" w:color="auto"/>
            </w:tcBorders>
            <w:vAlign w:val="center"/>
          </w:tcPr>
          <w:p w:rsidR="00376751" w:rsidRPr="00CF033C" w14:paraId="3127254B" w14:textId="7F93EC82">
            <w:pPr>
              <w:spacing w:line="256" w:lineRule="auto"/>
              <w:jc w:val="right"/>
              <w:rPr>
                <w:color w:val="000000"/>
                <w:sz w:val="24"/>
                <w:szCs w:val="26"/>
              </w:rPr>
            </w:pPr>
            <w:r>
              <w:rPr>
                <w:color w:val="000000"/>
                <w:sz w:val="24"/>
                <w:szCs w:val="26"/>
              </w:rPr>
              <w:t>$</w:t>
            </w:r>
            <w:r w:rsidR="008D6148">
              <w:rPr>
                <w:color w:val="000000"/>
                <w:sz w:val="24"/>
                <w:szCs w:val="26"/>
              </w:rPr>
              <w:t>10,300</w:t>
            </w:r>
          </w:p>
        </w:tc>
      </w:tr>
    </w:tbl>
    <w:p w:rsidR="00CF033C" w:rsidP="007502D4" w14:paraId="1C2E7CF7" w14:textId="4E184E99"/>
    <w:tbl>
      <w:tblPr>
        <w:tblW w:w="5968"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9"/>
        <w:gridCol w:w="1172"/>
        <w:gridCol w:w="1261"/>
        <w:gridCol w:w="1444"/>
        <w:gridCol w:w="1799"/>
        <w:gridCol w:w="2071"/>
        <w:gridCol w:w="1614"/>
      </w:tblGrid>
      <w:tr w14:paraId="4982D782" w14:textId="77777777" w:rsidTr="008D6148">
        <w:tblPrEx>
          <w:tblW w:w="5968"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341"/>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A3FAC" w:rsidRPr="00F33E3A" w:rsidP="00D4792E" w14:paraId="27D5A0B4" w14:textId="14C2FB61">
            <w:pPr>
              <w:spacing w:line="256" w:lineRule="auto"/>
              <w:jc w:val="center"/>
              <w:rPr>
                <w:rFonts w:eastAsia="Calibri"/>
                <w:szCs w:val="26"/>
              </w:rPr>
            </w:pPr>
            <w:r w:rsidRPr="00F33E3A">
              <w:rPr>
                <w:rFonts w:eastAsia="Calibri"/>
                <w:b/>
                <w:szCs w:val="26"/>
              </w:rPr>
              <w:t>FERC-545: Gas Pipeline Rates: Rate Change (Non-Formal)</w:t>
            </w:r>
            <w:r w:rsidR="004C76B9">
              <w:rPr>
                <w:rFonts w:eastAsia="Calibri"/>
                <w:b/>
                <w:szCs w:val="26"/>
              </w:rPr>
              <w:t xml:space="preserve"> (No change)</w:t>
            </w:r>
          </w:p>
        </w:tc>
      </w:tr>
      <w:tr w14:paraId="5A4461FE" w14:textId="77777777" w:rsidTr="008D6148">
        <w:tblPrEx>
          <w:tblW w:w="5968" w:type="pct"/>
          <w:tblInd w:w="-905" w:type="dxa"/>
          <w:tblLayout w:type="fixed"/>
          <w:tblLook w:val="01E0"/>
        </w:tblPrEx>
        <w:trPr>
          <w:cantSplit/>
          <w:trHeight w:val="962"/>
        </w:trPr>
        <w:tc>
          <w:tcPr>
            <w:tcW w:w="8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A3FAC" w:rsidRPr="00F33E3A" w:rsidP="00FA6AB4" w14:paraId="26299787" w14:textId="77777777">
            <w:pPr>
              <w:spacing w:line="256" w:lineRule="auto"/>
              <w:rPr>
                <w:rFonts w:eastAsia="Calibri"/>
                <w:szCs w:val="26"/>
              </w:rPr>
            </w:pPr>
          </w:p>
        </w:tc>
        <w:tc>
          <w:tcPr>
            <w:tcW w:w="5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A3FAC" w:rsidRPr="00F33E3A" w:rsidP="00FA6AB4" w14:paraId="24A6EC70" w14:textId="6AC7106D">
            <w:pPr>
              <w:tabs>
                <w:tab w:val="center" w:pos="657"/>
                <w:tab w:val="right" w:pos="1315"/>
              </w:tabs>
              <w:spacing w:line="256" w:lineRule="auto"/>
              <w:jc w:val="right"/>
              <w:rPr>
                <w:rFonts w:eastAsia="Calibri"/>
                <w:szCs w:val="26"/>
              </w:rPr>
            </w:pPr>
            <w:r w:rsidRPr="00F33E3A">
              <w:rPr>
                <w:rFonts w:eastAsia="Calibri"/>
                <w:b/>
                <w:szCs w:val="26"/>
              </w:rPr>
              <w:t>Number of Respondents</w:t>
            </w:r>
            <w:r w:rsidRPr="00F33E3A">
              <w:rPr>
                <w:rFonts w:eastAsia="Calibri"/>
                <w:b/>
                <w:szCs w:val="26"/>
              </w:rPr>
              <w:br/>
              <w:t>(1)</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A3FAC" w:rsidRPr="00F33E3A" w:rsidP="00FA3FAC" w14:paraId="5450303C" w14:textId="77777777">
            <w:pPr>
              <w:spacing w:line="256" w:lineRule="auto"/>
              <w:jc w:val="center"/>
              <w:rPr>
                <w:rFonts w:eastAsia="Calibri"/>
                <w:b/>
                <w:szCs w:val="26"/>
              </w:rPr>
            </w:pPr>
            <w:r w:rsidRPr="00F33E3A">
              <w:rPr>
                <w:rFonts w:eastAsia="Calibri"/>
                <w:b/>
                <w:szCs w:val="26"/>
              </w:rPr>
              <w:t>Average Number of Responses per Respondent</w:t>
            </w:r>
          </w:p>
          <w:p w:rsidR="00FA3FAC" w:rsidRPr="00F33E3A" w:rsidP="00FA3FAC" w14:paraId="32C948B9" w14:textId="23574C49">
            <w:pPr>
              <w:spacing w:line="256" w:lineRule="auto"/>
              <w:jc w:val="right"/>
              <w:rPr>
                <w:rFonts w:eastAsia="Calibri"/>
                <w:szCs w:val="26"/>
              </w:rPr>
            </w:pPr>
            <w:r w:rsidRPr="00F33E3A">
              <w:rPr>
                <w:rFonts w:eastAsia="Calibri"/>
                <w:b/>
                <w:szCs w:val="26"/>
              </w:rPr>
              <w:t>(2)</w:t>
            </w:r>
          </w:p>
        </w:tc>
        <w:tc>
          <w:tcPr>
            <w:tcW w:w="6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A3FAC" w:rsidRPr="00F33E3A" w:rsidP="00FA6AB4" w14:paraId="6EF7B859" w14:textId="32AD665B">
            <w:pPr>
              <w:spacing w:line="256" w:lineRule="auto"/>
              <w:jc w:val="right"/>
              <w:rPr>
                <w:rFonts w:eastAsia="Calibri"/>
                <w:szCs w:val="26"/>
              </w:rPr>
            </w:pPr>
            <w:r w:rsidRPr="00F33E3A">
              <w:rPr>
                <w:rFonts w:eastAsia="Calibri"/>
                <w:b/>
                <w:szCs w:val="26"/>
              </w:rPr>
              <w:t>Total Number of Responses (1)*(2)=(3)</w:t>
            </w:r>
          </w:p>
        </w:tc>
        <w:tc>
          <w:tcPr>
            <w:tcW w:w="80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A3FAC" w:rsidRPr="00F33E3A" w:rsidP="00FA3FAC" w14:paraId="1C963796" w14:textId="77777777">
            <w:pPr>
              <w:spacing w:line="256" w:lineRule="auto"/>
              <w:jc w:val="center"/>
              <w:rPr>
                <w:rFonts w:eastAsia="Calibri"/>
                <w:b/>
                <w:szCs w:val="26"/>
              </w:rPr>
            </w:pPr>
            <w:r w:rsidRPr="00F33E3A">
              <w:rPr>
                <w:rFonts w:eastAsia="Calibri"/>
                <w:b/>
                <w:szCs w:val="26"/>
              </w:rPr>
              <w:t>Average Burden &amp; Cost Per Response</w:t>
            </w:r>
            <w:r>
              <w:rPr>
                <w:rFonts w:eastAsia="Calibri"/>
                <w:b/>
                <w:szCs w:val="26"/>
                <w:vertAlign w:val="superscript"/>
              </w:rPr>
              <w:footnoteReference w:id="8"/>
            </w:r>
          </w:p>
          <w:p w:rsidR="00FA3FAC" w:rsidRPr="00F33E3A" w:rsidP="00FA3FAC" w14:paraId="306811B0" w14:textId="49DF44FE">
            <w:pPr>
              <w:spacing w:line="256" w:lineRule="auto"/>
              <w:jc w:val="right"/>
              <w:rPr>
                <w:rFonts w:eastAsia="Calibri"/>
                <w:szCs w:val="26"/>
              </w:rPr>
            </w:pPr>
            <w:r w:rsidRPr="00F33E3A">
              <w:rPr>
                <w:rFonts w:eastAsia="Calibri"/>
                <w:b/>
                <w:szCs w:val="26"/>
              </w:rPr>
              <w:t>(4)</w:t>
            </w:r>
          </w:p>
        </w:tc>
        <w:tc>
          <w:tcPr>
            <w:tcW w:w="9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A3FAC" w:rsidRPr="000262CA" w:rsidP="00FA3FAC" w14:paraId="48F19442" w14:textId="77777777">
            <w:pPr>
              <w:spacing w:line="256" w:lineRule="auto"/>
              <w:jc w:val="center"/>
              <w:rPr>
                <w:rFonts w:eastAsia="Calibri"/>
                <w:b/>
                <w:szCs w:val="26"/>
              </w:rPr>
            </w:pPr>
            <w:r w:rsidRPr="000262CA">
              <w:rPr>
                <w:rFonts w:eastAsia="Calibri"/>
                <w:b/>
                <w:szCs w:val="26"/>
              </w:rPr>
              <w:t>Total Annual Burden Hours &amp; Total Annual Cost</w:t>
            </w:r>
          </w:p>
          <w:p w:rsidR="00FA3FAC" w:rsidRPr="00F33E3A" w:rsidP="00FA3FAC" w14:paraId="237B6162" w14:textId="76D186E8">
            <w:pPr>
              <w:spacing w:line="256" w:lineRule="auto"/>
              <w:jc w:val="right"/>
              <w:rPr>
                <w:rFonts w:eastAsia="Calibri"/>
                <w:szCs w:val="26"/>
              </w:rPr>
            </w:pPr>
            <w:r w:rsidRPr="000262CA">
              <w:rPr>
                <w:rFonts w:eastAsia="Calibri"/>
                <w:b/>
                <w:szCs w:val="26"/>
              </w:rPr>
              <w:t>(3)*(4)=(5)</w:t>
            </w:r>
          </w:p>
        </w:tc>
        <w:tc>
          <w:tcPr>
            <w:tcW w:w="72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A3FAC" w:rsidRPr="00F33E3A" w:rsidP="00FA3FAC" w14:paraId="4777058A" w14:textId="77777777">
            <w:pPr>
              <w:spacing w:line="256" w:lineRule="auto"/>
              <w:jc w:val="center"/>
              <w:rPr>
                <w:rFonts w:eastAsia="Calibri"/>
                <w:b/>
                <w:szCs w:val="26"/>
              </w:rPr>
            </w:pPr>
            <w:r w:rsidRPr="00F33E3A">
              <w:rPr>
                <w:rFonts w:eastAsia="Calibri"/>
                <w:b/>
                <w:szCs w:val="26"/>
              </w:rPr>
              <w:t>Cost per Respondent</w:t>
            </w:r>
          </w:p>
          <w:p w:rsidR="00FA3FAC" w:rsidRPr="00F33E3A" w:rsidP="00FA3FAC" w14:paraId="3C1C4A5D" w14:textId="77777777">
            <w:pPr>
              <w:spacing w:line="256" w:lineRule="auto"/>
              <w:jc w:val="center"/>
              <w:rPr>
                <w:rFonts w:eastAsia="Calibri"/>
                <w:b/>
                <w:szCs w:val="26"/>
              </w:rPr>
            </w:pPr>
            <w:r w:rsidRPr="00F33E3A">
              <w:rPr>
                <w:rFonts w:eastAsia="Calibri"/>
                <w:b/>
                <w:szCs w:val="26"/>
              </w:rPr>
              <w:t xml:space="preserve"> ($)</w:t>
            </w:r>
          </w:p>
          <w:p w:rsidR="00FA3FAC" w:rsidRPr="00F33E3A" w:rsidP="00FA3FAC" w14:paraId="4F53BB47" w14:textId="245D9359">
            <w:pPr>
              <w:spacing w:line="256" w:lineRule="auto"/>
              <w:jc w:val="right"/>
              <w:rPr>
                <w:rFonts w:eastAsia="Calibri"/>
                <w:szCs w:val="26"/>
              </w:rPr>
            </w:pPr>
            <w:r w:rsidRPr="00F33E3A">
              <w:rPr>
                <w:rFonts w:eastAsia="Calibri"/>
                <w:b/>
                <w:szCs w:val="26"/>
              </w:rPr>
              <w:t>(5)÷(1)</w:t>
            </w:r>
          </w:p>
        </w:tc>
      </w:tr>
      <w:tr w14:paraId="02BB6CBB" w14:textId="77777777" w:rsidTr="008D6148">
        <w:tblPrEx>
          <w:tblW w:w="5968" w:type="pct"/>
          <w:tblInd w:w="-905" w:type="dxa"/>
          <w:tblLayout w:type="fixed"/>
          <w:tblLook w:val="01E0"/>
        </w:tblPrEx>
        <w:trPr>
          <w:cantSplit/>
          <w:trHeight w:val="962"/>
        </w:trPr>
        <w:tc>
          <w:tcPr>
            <w:tcW w:w="806" w:type="pct"/>
            <w:tcBorders>
              <w:top w:val="single" w:sz="4" w:space="0" w:color="auto"/>
              <w:left w:val="single" w:sz="4" w:space="0" w:color="auto"/>
              <w:bottom w:val="single" w:sz="4" w:space="0" w:color="auto"/>
              <w:right w:val="single" w:sz="4" w:space="0" w:color="auto"/>
            </w:tcBorders>
            <w:hideMark/>
          </w:tcPr>
          <w:p w:rsidR="0013450D" w:rsidRPr="00F33E3A" w:rsidP="00FA6AB4" w14:paraId="0E686E0E" w14:textId="77777777">
            <w:pPr>
              <w:spacing w:line="256" w:lineRule="auto"/>
              <w:rPr>
                <w:rFonts w:eastAsia="Calibri"/>
                <w:szCs w:val="26"/>
              </w:rPr>
            </w:pPr>
            <w:r w:rsidRPr="00F33E3A">
              <w:rPr>
                <w:rFonts w:eastAsia="Calibri"/>
                <w:szCs w:val="26"/>
              </w:rPr>
              <w:t>Tariff Filings</w:t>
            </w:r>
          </w:p>
        </w:tc>
        <w:tc>
          <w:tcPr>
            <w:tcW w:w="525" w:type="pct"/>
            <w:tcBorders>
              <w:top w:val="single" w:sz="4" w:space="0" w:color="auto"/>
              <w:left w:val="single" w:sz="4" w:space="0" w:color="auto"/>
              <w:bottom w:val="single" w:sz="4" w:space="0" w:color="auto"/>
              <w:right w:val="single" w:sz="4" w:space="0" w:color="auto"/>
            </w:tcBorders>
          </w:tcPr>
          <w:p w:rsidR="0013450D" w:rsidRPr="00F33E3A" w:rsidP="00FA6AB4" w14:paraId="5752B72C" w14:textId="77777777">
            <w:pPr>
              <w:tabs>
                <w:tab w:val="center" w:pos="657"/>
                <w:tab w:val="right" w:pos="1315"/>
              </w:tabs>
              <w:spacing w:line="256" w:lineRule="auto"/>
              <w:jc w:val="right"/>
              <w:rPr>
                <w:rFonts w:eastAsia="Calibri"/>
                <w:szCs w:val="26"/>
              </w:rPr>
            </w:pPr>
            <w:r w:rsidRPr="00F33E3A">
              <w:rPr>
                <w:rFonts w:eastAsia="Calibri"/>
                <w:szCs w:val="26"/>
              </w:rPr>
              <w:t>109</w:t>
            </w:r>
          </w:p>
          <w:p w:rsidR="0013450D" w:rsidRPr="00F33E3A" w:rsidP="00FA6AB4" w14:paraId="1B49F3A5" w14:textId="77777777">
            <w:pPr>
              <w:spacing w:line="256" w:lineRule="auto"/>
              <w:jc w:val="right"/>
              <w:rPr>
                <w:rFonts w:eastAsia="Calibri"/>
                <w:szCs w:val="26"/>
              </w:rPr>
            </w:pPr>
          </w:p>
        </w:tc>
        <w:tc>
          <w:tcPr>
            <w:tcW w:w="565" w:type="pct"/>
            <w:tcBorders>
              <w:top w:val="single" w:sz="4" w:space="0" w:color="auto"/>
              <w:left w:val="single" w:sz="4" w:space="0" w:color="auto"/>
              <w:bottom w:val="single" w:sz="4" w:space="0" w:color="auto"/>
              <w:right w:val="single" w:sz="4" w:space="0" w:color="auto"/>
            </w:tcBorders>
            <w:hideMark/>
          </w:tcPr>
          <w:p w:rsidR="0013450D" w:rsidRPr="00F33E3A" w:rsidP="00FA6AB4" w14:paraId="7F14C08D" w14:textId="77777777">
            <w:pPr>
              <w:spacing w:line="256" w:lineRule="auto"/>
              <w:jc w:val="right"/>
              <w:rPr>
                <w:rFonts w:eastAsia="Calibri"/>
                <w:szCs w:val="26"/>
              </w:rPr>
            </w:pPr>
            <w:r w:rsidRPr="00F33E3A">
              <w:rPr>
                <w:rFonts w:eastAsia="Calibri"/>
                <w:szCs w:val="26"/>
              </w:rPr>
              <w:t>2.768</w:t>
            </w:r>
          </w:p>
        </w:tc>
        <w:tc>
          <w:tcPr>
            <w:tcW w:w="647" w:type="pct"/>
            <w:tcBorders>
              <w:top w:val="single" w:sz="4" w:space="0" w:color="auto"/>
              <w:left w:val="single" w:sz="4" w:space="0" w:color="auto"/>
              <w:bottom w:val="single" w:sz="4" w:space="0" w:color="auto"/>
              <w:right w:val="single" w:sz="4" w:space="0" w:color="auto"/>
            </w:tcBorders>
            <w:hideMark/>
          </w:tcPr>
          <w:p w:rsidR="0013450D" w:rsidRPr="00F33E3A" w:rsidP="00FA6AB4" w14:paraId="5A2BE997" w14:textId="77777777">
            <w:pPr>
              <w:spacing w:line="256" w:lineRule="auto"/>
              <w:jc w:val="right"/>
              <w:rPr>
                <w:rFonts w:eastAsia="Calibri"/>
                <w:szCs w:val="26"/>
              </w:rPr>
            </w:pPr>
            <w:r w:rsidRPr="00F33E3A">
              <w:rPr>
                <w:rFonts w:eastAsia="Calibri"/>
                <w:szCs w:val="26"/>
              </w:rPr>
              <w:t>301.712</w:t>
            </w:r>
          </w:p>
        </w:tc>
        <w:tc>
          <w:tcPr>
            <w:tcW w:w="806" w:type="pct"/>
            <w:tcBorders>
              <w:top w:val="single" w:sz="4" w:space="0" w:color="auto"/>
              <w:left w:val="single" w:sz="4" w:space="0" w:color="auto"/>
              <w:bottom w:val="single" w:sz="4" w:space="0" w:color="auto"/>
              <w:right w:val="single" w:sz="4" w:space="0" w:color="auto"/>
            </w:tcBorders>
            <w:hideMark/>
          </w:tcPr>
          <w:p w:rsidR="0013450D" w:rsidRPr="00F33E3A" w:rsidP="00FA6AB4" w14:paraId="61AD362C" w14:textId="77777777">
            <w:pPr>
              <w:spacing w:line="256" w:lineRule="auto"/>
              <w:jc w:val="right"/>
              <w:rPr>
                <w:rFonts w:eastAsia="Calibri"/>
                <w:szCs w:val="26"/>
              </w:rPr>
            </w:pPr>
            <w:r w:rsidRPr="00F33E3A">
              <w:rPr>
                <w:rFonts w:eastAsia="Calibri"/>
                <w:szCs w:val="26"/>
              </w:rPr>
              <w:t>211 hrs.;</w:t>
            </w:r>
          </w:p>
          <w:p w:rsidR="0013450D" w:rsidRPr="00F33E3A" w:rsidP="00FA6AB4" w14:paraId="4D041A8A" w14:textId="39EEDFB9">
            <w:pPr>
              <w:spacing w:line="256" w:lineRule="auto"/>
              <w:jc w:val="right"/>
              <w:rPr>
                <w:rFonts w:eastAsia="Calibri"/>
                <w:szCs w:val="26"/>
              </w:rPr>
            </w:pPr>
            <w:r>
              <w:rPr>
                <w:rFonts w:eastAsia="Calibri"/>
                <w:szCs w:val="26"/>
              </w:rPr>
              <w:t>$21,733</w:t>
            </w:r>
          </w:p>
        </w:tc>
        <w:tc>
          <w:tcPr>
            <w:tcW w:w="928" w:type="pct"/>
            <w:tcBorders>
              <w:top w:val="single" w:sz="4" w:space="0" w:color="auto"/>
              <w:left w:val="single" w:sz="4" w:space="0" w:color="auto"/>
              <w:bottom w:val="single" w:sz="4" w:space="0" w:color="auto"/>
              <w:right w:val="single" w:sz="4" w:space="0" w:color="auto"/>
            </w:tcBorders>
            <w:hideMark/>
          </w:tcPr>
          <w:p w:rsidR="0013450D" w:rsidRPr="00F33E3A" w:rsidP="00FA6AB4" w14:paraId="317AF0D5" w14:textId="77777777">
            <w:pPr>
              <w:spacing w:line="256" w:lineRule="auto"/>
              <w:jc w:val="right"/>
              <w:rPr>
                <w:rFonts w:eastAsia="Calibri"/>
                <w:szCs w:val="26"/>
              </w:rPr>
            </w:pPr>
            <w:r w:rsidRPr="00F33E3A">
              <w:rPr>
                <w:rFonts w:eastAsia="Calibri"/>
                <w:szCs w:val="26"/>
              </w:rPr>
              <w:t>63,661.232 hrs.;</w:t>
            </w:r>
          </w:p>
          <w:p w:rsidR="0013450D" w:rsidRPr="00F33E3A" w:rsidP="00FA6AB4" w14:paraId="5475E6E8" w14:textId="101564CA">
            <w:pPr>
              <w:spacing w:line="256" w:lineRule="auto"/>
              <w:jc w:val="right"/>
              <w:rPr>
                <w:rFonts w:eastAsia="Calibri"/>
                <w:szCs w:val="26"/>
              </w:rPr>
            </w:pPr>
            <w:r>
              <w:rPr>
                <w:rFonts w:eastAsia="Calibri"/>
                <w:szCs w:val="26"/>
              </w:rPr>
              <w:t>$6,557,106.89</w:t>
            </w:r>
          </w:p>
        </w:tc>
        <w:tc>
          <w:tcPr>
            <w:tcW w:w="724" w:type="pct"/>
            <w:tcBorders>
              <w:top w:val="single" w:sz="4" w:space="0" w:color="auto"/>
              <w:left w:val="single" w:sz="4" w:space="0" w:color="auto"/>
              <w:bottom w:val="single" w:sz="4" w:space="0" w:color="auto"/>
              <w:right w:val="single" w:sz="4" w:space="0" w:color="auto"/>
            </w:tcBorders>
            <w:hideMark/>
          </w:tcPr>
          <w:p w:rsidR="0013450D" w:rsidRPr="00F33E3A" w:rsidP="00FA6AB4" w14:paraId="4A282FB7" w14:textId="661A80E6">
            <w:pPr>
              <w:spacing w:line="256" w:lineRule="auto"/>
              <w:jc w:val="right"/>
              <w:rPr>
                <w:rFonts w:eastAsia="Calibri"/>
                <w:szCs w:val="26"/>
              </w:rPr>
            </w:pPr>
            <w:r w:rsidRPr="00F33E3A">
              <w:rPr>
                <w:rFonts w:eastAsia="Calibri"/>
                <w:szCs w:val="26"/>
              </w:rPr>
              <w:t>$</w:t>
            </w:r>
            <w:r w:rsidR="004D4DEC">
              <w:rPr>
                <w:rFonts w:eastAsia="Calibri"/>
                <w:szCs w:val="26"/>
              </w:rPr>
              <w:t>60,156.944</w:t>
            </w:r>
          </w:p>
        </w:tc>
      </w:tr>
      <w:tr w14:paraId="79B003F2" w14:textId="77777777" w:rsidTr="008D6148">
        <w:tblPrEx>
          <w:tblW w:w="5968" w:type="pct"/>
          <w:tblInd w:w="-905" w:type="dxa"/>
          <w:tblLayout w:type="fixed"/>
          <w:tblLook w:val="01E0"/>
        </w:tblPrEx>
        <w:trPr>
          <w:cantSplit/>
        </w:trPr>
        <w:tc>
          <w:tcPr>
            <w:tcW w:w="806" w:type="pct"/>
            <w:tcBorders>
              <w:top w:val="single" w:sz="4" w:space="0" w:color="auto"/>
              <w:left w:val="single" w:sz="4" w:space="0" w:color="auto"/>
              <w:bottom w:val="single" w:sz="4" w:space="0" w:color="auto"/>
              <w:right w:val="single" w:sz="4" w:space="0" w:color="auto"/>
            </w:tcBorders>
            <w:hideMark/>
          </w:tcPr>
          <w:p w:rsidR="0013450D" w:rsidRPr="00F33E3A" w:rsidP="00FA6AB4" w14:paraId="6B46EEF7" w14:textId="77777777">
            <w:pPr>
              <w:spacing w:line="256" w:lineRule="auto"/>
              <w:rPr>
                <w:rFonts w:eastAsia="Calibri"/>
                <w:szCs w:val="26"/>
              </w:rPr>
            </w:pPr>
            <w:r w:rsidRPr="00F33E3A">
              <w:rPr>
                <w:rFonts w:eastAsia="Calibri"/>
                <w:szCs w:val="26"/>
              </w:rPr>
              <w:t>Rate Filings</w:t>
            </w:r>
          </w:p>
        </w:tc>
        <w:tc>
          <w:tcPr>
            <w:tcW w:w="525" w:type="pct"/>
            <w:tcBorders>
              <w:top w:val="single" w:sz="4" w:space="0" w:color="auto"/>
              <w:left w:val="single" w:sz="4" w:space="0" w:color="auto"/>
              <w:bottom w:val="single" w:sz="4" w:space="0" w:color="auto"/>
              <w:right w:val="single" w:sz="4" w:space="0" w:color="auto"/>
            </w:tcBorders>
            <w:hideMark/>
          </w:tcPr>
          <w:p w:rsidR="0013450D" w:rsidRPr="00F33E3A" w:rsidP="00FA6AB4" w14:paraId="1B4A59F1" w14:textId="77777777">
            <w:pPr>
              <w:tabs>
                <w:tab w:val="center" w:pos="657"/>
                <w:tab w:val="right" w:pos="1315"/>
              </w:tabs>
              <w:spacing w:line="256" w:lineRule="auto"/>
              <w:jc w:val="right"/>
              <w:rPr>
                <w:rFonts w:eastAsia="Calibri"/>
                <w:szCs w:val="26"/>
              </w:rPr>
            </w:pPr>
            <w:r w:rsidRPr="00F33E3A">
              <w:rPr>
                <w:rFonts w:eastAsia="Calibri"/>
                <w:szCs w:val="26"/>
              </w:rPr>
              <w:t>32</w:t>
            </w:r>
          </w:p>
        </w:tc>
        <w:tc>
          <w:tcPr>
            <w:tcW w:w="565" w:type="pct"/>
            <w:tcBorders>
              <w:top w:val="single" w:sz="4" w:space="0" w:color="auto"/>
              <w:left w:val="single" w:sz="4" w:space="0" w:color="auto"/>
              <w:bottom w:val="single" w:sz="4" w:space="0" w:color="auto"/>
              <w:right w:val="single" w:sz="4" w:space="0" w:color="auto"/>
            </w:tcBorders>
            <w:hideMark/>
          </w:tcPr>
          <w:p w:rsidR="0013450D" w:rsidRPr="00F33E3A" w:rsidP="00FA6AB4" w14:paraId="0E6945CD" w14:textId="77777777">
            <w:pPr>
              <w:spacing w:line="256" w:lineRule="auto"/>
              <w:jc w:val="right"/>
              <w:rPr>
                <w:rFonts w:eastAsia="Calibri"/>
                <w:szCs w:val="26"/>
              </w:rPr>
            </w:pPr>
            <w:r w:rsidRPr="00F33E3A">
              <w:rPr>
                <w:rFonts w:eastAsia="Calibri"/>
                <w:szCs w:val="26"/>
              </w:rPr>
              <w:t>2</w:t>
            </w:r>
          </w:p>
        </w:tc>
        <w:tc>
          <w:tcPr>
            <w:tcW w:w="647" w:type="pct"/>
            <w:tcBorders>
              <w:top w:val="single" w:sz="4" w:space="0" w:color="auto"/>
              <w:left w:val="single" w:sz="4" w:space="0" w:color="auto"/>
              <w:bottom w:val="single" w:sz="4" w:space="0" w:color="auto"/>
              <w:right w:val="single" w:sz="4" w:space="0" w:color="auto"/>
            </w:tcBorders>
            <w:hideMark/>
          </w:tcPr>
          <w:p w:rsidR="0013450D" w:rsidRPr="00F33E3A" w:rsidP="00FA6AB4" w14:paraId="77A77561" w14:textId="77777777">
            <w:pPr>
              <w:spacing w:line="256" w:lineRule="auto"/>
              <w:jc w:val="right"/>
              <w:rPr>
                <w:rFonts w:eastAsia="Calibri"/>
                <w:szCs w:val="26"/>
              </w:rPr>
            </w:pPr>
            <w:r w:rsidRPr="00F33E3A">
              <w:rPr>
                <w:rFonts w:eastAsia="Calibri"/>
                <w:szCs w:val="26"/>
              </w:rPr>
              <w:t>64</w:t>
            </w:r>
          </w:p>
        </w:tc>
        <w:tc>
          <w:tcPr>
            <w:tcW w:w="806" w:type="pct"/>
            <w:tcBorders>
              <w:top w:val="single" w:sz="4" w:space="0" w:color="auto"/>
              <w:left w:val="single" w:sz="4" w:space="0" w:color="auto"/>
              <w:bottom w:val="single" w:sz="4" w:space="0" w:color="auto"/>
              <w:right w:val="single" w:sz="4" w:space="0" w:color="auto"/>
            </w:tcBorders>
            <w:hideMark/>
          </w:tcPr>
          <w:p w:rsidR="0013450D" w:rsidRPr="00F33E3A" w:rsidP="00FA6AB4" w14:paraId="6E4EF502" w14:textId="77777777">
            <w:pPr>
              <w:spacing w:line="256" w:lineRule="auto"/>
              <w:jc w:val="right"/>
              <w:rPr>
                <w:rFonts w:eastAsia="Calibri"/>
                <w:szCs w:val="26"/>
              </w:rPr>
            </w:pPr>
            <w:r w:rsidRPr="00F33E3A">
              <w:rPr>
                <w:rFonts w:eastAsia="Calibri"/>
                <w:szCs w:val="26"/>
              </w:rPr>
              <w:t>354 hrs.;</w:t>
            </w:r>
          </w:p>
          <w:p w:rsidR="0013450D" w:rsidRPr="00F33E3A" w:rsidP="00FA6AB4" w14:paraId="661A47C8" w14:textId="33F3C1A9">
            <w:pPr>
              <w:spacing w:line="256" w:lineRule="auto"/>
              <w:jc w:val="right"/>
              <w:rPr>
                <w:rFonts w:eastAsia="Calibri"/>
                <w:szCs w:val="26"/>
              </w:rPr>
            </w:pPr>
            <w:r w:rsidRPr="00F33E3A">
              <w:rPr>
                <w:rFonts w:eastAsia="Calibri"/>
                <w:szCs w:val="26"/>
              </w:rPr>
              <w:t>$3</w:t>
            </w:r>
            <w:r w:rsidR="00781019">
              <w:rPr>
                <w:rFonts w:eastAsia="Calibri"/>
                <w:szCs w:val="26"/>
              </w:rPr>
              <w:t>6,462</w:t>
            </w:r>
          </w:p>
        </w:tc>
        <w:tc>
          <w:tcPr>
            <w:tcW w:w="928" w:type="pct"/>
            <w:tcBorders>
              <w:top w:val="single" w:sz="4" w:space="0" w:color="auto"/>
              <w:left w:val="single" w:sz="4" w:space="0" w:color="auto"/>
              <w:bottom w:val="single" w:sz="4" w:space="0" w:color="auto"/>
              <w:right w:val="single" w:sz="4" w:space="0" w:color="auto"/>
            </w:tcBorders>
            <w:hideMark/>
          </w:tcPr>
          <w:p w:rsidR="0013450D" w:rsidRPr="00F33E3A" w:rsidP="00FA6AB4" w14:paraId="1940BFD1" w14:textId="77777777">
            <w:pPr>
              <w:spacing w:line="256" w:lineRule="auto"/>
              <w:jc w:val="right"/>
              <w:rPr>
                <w:rFonts w:eastAsia="Calibri"/>
                <w:szCs w:val="26"/>
              </w:rPr>
            </w:pPr>
            <w:r w:rsidRPr="00F33E3A">
              <w:rPr>
                <w:rFonts w:eastAsia="Calibri"/>
                <w:szCs w:val="26"/>
              </w:rPr>
              <w:t>22,656 hrs.;</w:t>
            </w:r>
          </w:p>
          <w:p w:rsidR="0013450D" w:rsidRPr="00F33E3A" w:rsidP="00FA6AB4" w14:paraId="640B6793" w14:textId="5A8F68BD">
            <w:pPr>
              <w:spacing w:line="256" w:lineRule="auto"/>
              <w:jc w:val="right"/>
              <w:rPr>
                <w:rFonts w:eastAsia="Calibri"/>
                <w:szCs w:val="26"/>
              </w:rPr>
            </w:pPr>
            <w:r w:rsidRPr="00F33E3A">
              <w:rPr>
                <w:rFonts w:eastAsia="Calibri"/>
                <w:szCs w:val="26"/>
              </w:rPr>
              <w:t>$2,</w:t>
            </w:r>
            <w:r w:rsidR="00781019">
              <w:rPr>
                <w:rFonts w:eastAsia="Calibri"/>
                <w:szCs w:val="26"/>
              </w:rPr>
              <w:t>333,568</w:t>
            </w:r>
          </w:p>
        </w:tc>
        <w:tc>
          <w:tcPr>
            <w:tcW w:w="724" w:type="pct"/>
            <w:tcBorders>
              <w:top w:val="single" w:sz="4" w:space="0" w:color="auto"/>
              <w:left w:val="single" w:sz="4" w:space="0" w:color="auto"/>
              <w:bottom w:val="single" w:sz="4" w:space="0" w:color="auto"/>
              <w:right w:val="single" w:sz="4" w:space="0" w:color="auto"/>
            </w:tcBorders>
            <w:hideMark/>
          </w:tcPr>
          <w:p w:rsidR="0013450D" w:rsidRPr="00F33E3A" w:rsidP="00FA6AB4" w14:paraId="24916A84" w14:textId="0ECB7598">
            <w:pPr>
              <w:spacing w:line="256" w:lineRule="auto"/>
              <w:jc w:val="right"/>
              <w:rPr>
                <w:rFonts w:eastAsia="Calibri"/>
                <w:szCs w:val="26"/>
              </w:rPr>
            </w:pPr>
            <w:r w:rsidRPr="00F33E3A">
              <w:rPr>
                <w:rFonts w:eastAsia="Calibri"/>
                <w:szCs w:val="26"/>
              </w:rPr>
              <w:t>$</w:t>
            </w:r>
            <w:r w:rsidR="004D4DEC">
              <w:rPr>
                <w:rFonts w:eastAsia="Calibri"/>
                <w:szCs w:val="26"/>
              </w:rPr>
              <w:t>72,924</w:t>
            </w:r>
            <w:r w:rsidRPr="00F33E3A">
              <w:rPr>
                <w:rFonts w:eastAsia="Calibri"/>
                <w:szCs w:val="26"/>
              </w:rPr>
              <w:t xml:space="preserve"> </w:t>
            </w:r>
          </w:p>
        </w:tc>
      </w:tr>
      <w:tr w14:paraId="2B2A19B1" w14:textId="77777777" w:rsidTr="008D6148">
        <w:tblPrEx>
          <w:tblW w:w="5968" w:type="pct"/>
          <w:tblInd w:w="-905" w:type="dxa"/>
          <w:tblLayout w:type="fixed"/>
          <w:tblLook w:val="01E0"/>
        </w:tblPrEx>
        <w:trPr>
          <w:cantSplit/>
        </w:trPr>
        <w:tc>
          <w:tcPr>
            <w:tcW w:w="806" w:type="pct"/>
            <w:tcBorders>
              <w:top w:val="single" w:sz="4" w:space="0" w:color="auto"/>
              <w:left w:val="single" w:sz="4" w:space="0" w:color="auto"/>
              <w:bottom w:val="single" w:sz="4" w:space="0" w:color="auto"/>
              <w:right w:val="single" w:sz="4" w:space="0" w:color="auto"/>
            </w:tcBorders>
            <w:hideMark/>
          </w:tcPr>
          <w:p w:rsidR="0013450D" w:rsidRPr="00F33E3A" w:rsidP="00FA6AB4" w14:paraId="70944B61" w14:textId="77777777">
            <w:pPr>
              <w:spacing w:line="256" w:lineRule="auto"/>
              <w:rPr>
                <w:rFonts w:eastAsia="Calibri"/>
                <w:szCs w:val="26"/>
              </w:rPr>
            </w:pPr>
            <w:r w:rsidRPr="00F33E3A">
              <w:rPr>
                <w:rFonts w:eastAsia="Calibri"/>
                <w:szCs w:val="26"/>
              </w:rPr>
              <w:t>Informational Reports</w:t>
            </w:r>
          </w:p>
        </w:tc>
        <w:tc>
          <w:tcPr>
            <w:tcW w:w="525" w:type="pct"/>
            <w:tcBorders>
              <w:top w:val="single" w:sz="4" w:space="0" w:color="auto"/>
              <w:left w:val="single" w:sz="4" w:space="0" w:color="auto"/>
              <w:bottom w:val="single" w:sz="4" w:space="0" w:color="auto"/>
              <w:right w:val="single" w:sz="4" w:space="0" w:color="auto"/>
            </w:tcBorders>
            <w:hideMark/>
          </w:tcPr>
          <w:p w:rsidR="0013450D" w:rsidRPr="00F33E3A" w:rsidP="00FA6AB4" w14:paraId="041CBACF" w14:textId="77777777">
            <w:pPr>
              <w:spacing w:line="256" w:lineRule="auto"/>
              <w:jc w:val="right"/>
              <w:rPr>
                <w:rFonts w:eastAsia="Calibri"/>
                <w:szCs w:val="26"/>
              </w:rPr>
            </w:pPr>
            <w:r w:rsidRPr="00F33E3A">
              <w:rPr>
                <w:rFonts w:eastAsia="Calibri"/>
                <w:szCs w:val="26"/>
              </w:rPr>
              <w:t>100</w:t>
            </w:r>
          </w:p>
        </w:tc>
        <w:tc>
          <w:tcPr>
            <w:tcW w:w="565" w:type="pct"/>
            <w:tcBorders>
              <w:top w:val="single" w:sz="4" w:space="0" w:color="auto"/>
              <w:left w:val="single" w:sz="4" w:space="0" w:color="auto"/>
              <w:bottom w:val="single" w:sz="4" w:space="0" w:color="auto"/>
              <w:right w:val="single" w:sz="4" w:space="0" w:color="auto"/>
            </w:tcBorders>
            <w:hideMark/>
          </w:tcPr>
          <w:p w:rsidR="0013450D" w:rsidRPr="00F33E3A" w:rsidP="00FA6AB4" w14:paraId="5D374055" w14:textId="77777777">
            <w:pPr>
              <w:spacing w:line="256" w:lineRule="auto"/>
              <w:jc w:val="right"/>
              <w:rPr>
                <w:rFonts w:eastAsia="Calibri"/>
                <w:szCs w:val="26"/>
              </w:rPr>
            </w:pPr>
            <w:r w:rsidRPr="00F33E3A">
              <w:rPr>
                <w:rFonts w:eastAsia="Calibri"/>
                <w:szCs w:val="26"/>
              </w:rPr>
              <w:t>1.770</w:t>
            </w:r>
          </w:p>
        </w:tc>
        <w:tc>
          <w:tcPr>
            <w:tcW w:w="647" w:type="pct"/>
            <w:tcBorders>
              <w:top w:val="single" w:sz="4" w:space="0" w:color="auto"/>
              <w:left w:val="single" w:sz="4" w:space="0" w:color="auto"/>
              <w:bottom w:val="single" w:sz="4" w:space="0" w:color="auto"/>
              <w:right w:val="single" w:sz="4" w:space="0" w:color="auto"/>
            </w:tcBorders>
            <w:hideMark/>
          </w:tcPr>
          <w:p w:rsidR="0013450D" w:rsidRPr="00F33E3A" w:rsidP="00FA6AB4" w14:paraId="2BABF25E" w14:textId="77777777">
            <w:pPr>
              <w:spacing w:line="256" w:lineRule="auto"/>
              <w:jc w:val="right"/>
              <w:rPr>
                <w:rFonts w:eastAsia="Calibri"/>
                <w:szCs w:val="26"/>
              </w:rPr>
            </w:pPr>
            <w:r w:rsidRPr="00F33E3A">
              <w:rPr>
                <w:rFonts w:eastAsia="Calibri"/>
                <w:szCs w:val="26"/>
              </w:rPr>
              <w:t>177</w:t>
            </w:r>
          </w:p>
        </w:tc>
        <w:tc>
          <w:tcPr>
            <w:tcW w:w="806" w:type="pct"/>
            <w:tcBorders>
              <w:top w:val="single" w:sz="4" w:space="0" w:color="auto"/>
              <w:left w:val="single" w:sz="4" w:space="0" w:color="auto"/>
              <w:bottom w:val="single" w:sz="4" w:space="0" w:color="auto"/>
              <w:right w:val="single" w:sz="4" w:space="0" w:color="auto"/>
            </w:tcBorders>
            <w:hideMark/>
          </w:tcPr>
          <w:p w:rsidR="0013450D" w:rsidRPr="00F33E3A" w:rsidP="00FA6AB4" w14:paraId="7E7DD2CA" w14:textId="77777777">
            <w:pPr>
              <w:spacing w:line="256" w:lineRule="auto"/>
              <w:jc w:val="right"/>
              <w:rPr>
                <w:rFonts w:eastAsia="Calibri"/>
                <w:szCs w:val="26"/>
              </w:rPr>
            </w:pPr>
            <w:r w:rsidRPr="00F33E3A">
              <w:rPr>
                <w:rFonts w:eastAsia="Calibri"/>
                <w:szCs w:val="26"/>
              </w:rPr>
              <w:t>235 hrs.;</w:t>
            </w:r>
          </w:p>
          <w:p w:rsidR="0013450D" w:rsidRPr="00F33E3A" w:rsidP="00FA6AB4" w14:paraId="3C0C9CFF" w14:textId="335B6984">
            <w:pPr>
              <w:spacing w:line="256" w:lineRule="auto"/>
              <w:jc w:val="right"/>
              <w:rPr>
                <w:rFonts w:eastAsia="Calibri"/>
                <w:szCs w:val="26"/>
              </w:rPr>
            </w:pPr>
            <w:r w:rsidRPr="00F33E3A">
              <w:rPr>
                <w:rFonts w:eastAsia="Calibri"/>
                <w:szCs w:val="26"/>
              </w:rPr>
              <w:t>$2</w:t>
            </w:r>
            <w:r w:rsidR="004D4DEC">
              <w:rPr>
                <w:rFonts w:eastAsia="Calibri"/>
                <w:szCs w:val="26"/>
              </w:rPr>
              <w:t>4,205</w:t>
            </w:r>
          </w:p>
        </w:tc>
        <w:tc>
          <w:tcPr>
            <w:tcW w:w="928" w:type="pct"/>
            <w:tcBorders>
              <w:top w:val="single" w:sz="4" w:space="0" w:color="auto"/>
              <w:left w:val="single" w:sz="4" w:space="0" w:color="auto"/>
              <w:bottom w:val="single" w:sz="4" w:space="0" w:color="auto"/>
              <w:right w:val="single" w:sz="4" w:space="0" w:color="auto"/>
            </w:tcBorders>
            <w:hideMark/>
          </w:tcPr>
          <w:p w:rsidR="0013450D" w:rsidRPr="00F33E3A" w:rsidP="00FA6AB4" w14:paraId="4AEFC82A" w14:textId="77777777">
            <w:pPr>
              <w:spacing w:line="256" w:lineRule="auto"/>
              <w:jc w:val="right"/>
              <w:rPr>
                <w:rFonts w:eastAsia="Calibri"/>
                <w:szCs w:val="26"/>
              </w:rPr>
            </w:pPr>
            <w:r w:rsidRPr="00F33E3A">
              <w:rPr>
                <w:rFonts w:eastAsia="Calibri"/>
                <w:szCs w:val="26"/>
              </w:rPr>
              <w:t>41,595 hrs.;</w:t>
            </w:r>
          </w:p>
          <w:p w:rsidR="0013450D" w:rsidRPr="00F33E3A" w:rsidP="00FA6AB4" w14:paraId="6BDED1D1" w14:textId="0D0C58E0">
            <w:pPr>
              <w:spacing w:line="256" w:lineRule="auto"/>
              <w:jc w:val="right"/>
              <w:rPr>
                <w:rFonts w:eastAsia="Calibri"/>
                <w:szCs w:val="26"/>
              </w:rPr>
            </w:pPr>
            <w:r w:rsidRPr="00F33E3A">
              <w:rPr>
                <w:rFonts w:eastAsia="Calibri"/>
                <w:szCs w:val="26"/>
              </w:rPr>
              <w:t>$4,</w:t>
            </w:r>
            <w:r w:rsidR="004D4DEC">
              <w:rPr>
                <w:rFonts w:eastAsia="Calibri"/>
                <w:szCs w:val="26"/>
              </w:rPr>
              <w:t>284,285</w:t>
            </w:r>
          </w:p>
        </w:tc>
        <w:tc>
          <w:tcPr>
            <w:tcW w:w="724" w:type="pct"/>
            <w:tcBorders>
              <w:top w:val="single" w:sz="4" w:space="0" w:color="auto"/>
              <w:left w:val="single" w:sz="4" w:space="0" w:color="auto"/>
              <w:bottom w:val="single" w:sz="4" w:space="0" w:color="auto"/>
              <w:right w:val="single" w:sz="4" w:space="0" w:color="auto"/>
            </w:tcBorders>
            <w:hideMark/>
          </w:tcPr>
          <w:p w:rsidR="0013450D" w:rsidRPr="00F33E3A" w:rsidP="00FA6AB4" w14:paraId="5E24219B" w14:textId="29DD1E6C">
            <w:pPr>
              <w:spacing w:line="256" w:lineRule="auto"/>
              <w:jc w:val="right"/>
              <w:rPr>
                <w:rFonts w:eastAsia="Calibri"/>
                <w:szCs w:val="26"/>
              </w:rPr>
            </w:pPr>
            <w:r w:rsidRPr="00F33E3A">
              <w:rPr>
                <w:rFonts w:eastAsia="Calibri"/>
                <w:szCs w:val="26"/>
              </w:rPr>
              <w:t>$4</w:t>
            </w:r>
            <w:r w:rsidR="004D4DEC">
              <w:rPr>
                <w:rFonts w:eastAsia="Calibri"/>
                <w:szCs w:val="26"/>
              </w:rPr>
              <w:t>2,842.85</w:t>
            </w:r>
          </w:p>
        </w:tc>
      </w:tr>
      <w:tr w14:paraId="796F353A" w14:textId="77777777" w:rsidTr="008D6148">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hideMark/>
          </w:tcPr>
          <w:p w:rsidR="0013450D" w:rsidRPr="00F33E3A" w:rsidP="00FA6AB4" w14:paraId="092861BD" w14:textId="77777777">
            <w:pPr>
              <w:spacing w:line="256" w:lineRule="auto"/>
              <w:rPr>
                <w:rFonts w:eastAsia="Calibri"/>
                <w:szCs w:val="26"/>
              </w:rPr>
            </w:pPr>
            <w:r w:rsidRPr="00F33E3A">
              <w:rPr>
                <w:rFonts w:eastAsia="Calibri"/>
                <w:szCs w:val="26"/>
              </w:rPr>
              <w:t>Negotiated Rates &amp; Non-Conforming Agreement Filings</w:t>
            </w:r>
          </w:p>
        </w:tc>
        <w:tc>
          <w:tcPr>
            <w:tcW w:w="525" w:type="pct"/>
            <w:tcBorders>
              <w:top w:val="single" w:sz="4" w:space="0" w:color="auto"/>
              <w:left w:val="single" w:sz="4" w:space="0" w:color="auto"/>
              <w:bottom w:val="single" w:sz="4" w:space="0" w:color="auto"/>
              <w:right w:val="single" w:sz="4" w:space="0" w:color="auto"/>
            </w:tcBorders>
            <w:hideMark/>
          </w:tcPr>
          <w:p w:rsidR="0013450D" w:rsidRPr="00F33E3A" w:rsidP="00FA6AB4" w14:paraId="6D3A393E" w14:textId="77777777">
            <w:pPr>
              <w:spacing w:line="256" w:lineRule="auto"/>
              <w:jc w:val="right"/>
              <w:rPr>
                <w:rFonts w:eastAsia="Calibri"/>
                <w:szCs w:val="26"/>
              </w:rPr>
            </w:pPr>
            <w:r w:rsidRPr="00F33E3A">
              <w:rPr>
                <w:rFonts w:eastAsia="Calibri"/>
                <w:szCs w:val="26"/>
              </w:rPr>
              <w:t>69</w:t>
            </w:r>
          </w:p>
        </w:tc>
        <w:tc>
          <w:tcPr>
            <w:tcW w:w="565" w:type="pct"/>
            <w:tcBorders>
              <w:top w:val="single" w:sz="4" w:space="0" w:color="auto"/>
              <w:left w:val="single" w:sz="4" w:space="0" w:color="auto"/>
              <w:bottom w:val="single" w:sz="4" w:space="0" w:color="auto"/>
              <w:right w:val="single" w:sz="4" w:space="0" w:color="auto"/>
            </w:tcBorders>
            <w:hideMark/>
          </w:tcPr>
          <w:p w:rsidR="0013450D" w:rsidRPr="00F33E3A" w:rsidP="00FA6AB4" w14:paraId="6DB2F875" w14:textId="77777777">
            <w:pPr>
              <w:spacing w:line="256" w:lineRule="auto"/>
              <w:jc w:val="right"/>
              <w:rPr>
                <w:rFonts w:eastAsia="Calibri"/>
                <w:szCs w:val="26"/>
              </w:rPr>
            </w:pPr>
            <w:r w:rsidRPr="00F33E3A">
              <w:rPr>
                <w:rFonts w:eastAsia="Calibri"/>
                <w:szCs w:val="26"/>
              </w:rPr>
              <w:t>11</w:t>
            </w:r>
          </w:p>
        </w:tc>
        <w:tc>
          <w:tcPr>
            <w:tcW w:w="647" w:type="pct"/>
            <w:tcBorders>
              <w:top w:val="single" w:sz="4" w:space="0" w:color="auto"/>
              <w:left w:val="single" w:sz="4" w:space="0" w:color="auto"/>
              <w:bottom w:val="single" w:sz="4" w:space="0" w:color="auto"/>
              <w:right w:val="single" w:sz="4" w:space="0" w:color="auto"/>
            </w:tcBorders>
            <w:hideMark/>
          </w:tcPr>
          <w:p w:rsidR="0013450D" w:rsidRPr="00F33E3A" w:rsidP="00FA6AB4" w14:paraId="05F280F1" w14:textId="77777777">
            <w:pPr>
              <w:spacing w:line="256" w:lineRule="auto"/>
              <w:jc w:val="right"/>
              <w:rPr>
                <w:rFonts w:eastAsia="Calibri"/>
                <w:szCs w:val="26"/>
              </w:rPr>
            </w:pPr>
            <w:r w:rsidRPr="00F33E3A">
              <w:rPr>
                <w:rFonts w:eastAsia="Calibri"/>
                <w:szCs w:val="26"/>
              </w:rPr>
              <w:t>759</w:t>
            </w:r>
          </w:p>
        </w:tc>
        <w:tc>
          <w:tcPr>
            <w:tcW w:w="806" w:type="pct"/>
            <w:tcBorders>
              <w:top w:val="single" w:sz="4" w:space="0" w:color="auto"/>
              <w:left w:val="single" w:sz="4" w:space="0" w:color="auto"/>
              <w:bottom w:val="single" w:sz="4" w:space="0" w:color="auto"/>
              <w:right w:val="single" w:sz="4" w:space="0" w:color="auto"/>
            </w:tcBorders>
            <w:hideMark/>
          </w:tcPr>
          <w:p w:rsidR="0013450D" w:rsidRPr="00F33E3A" w:rsidP="00FA6AB4" w14:paraId="43494856" w14:textId="77777777">
            <w:pPr>
              <w:spacing w:line="256" w:lineRule="auto"/>
              <w:jc w:val="right"/>
              <w:rPr>
                <w:rFonts w:eastAsia="Calibri"/>
                <w:szCs w:val="26"/>
              </w:rPr>
            </w:pPr>
            <w:r w:rsidRPr="00F33E3A">
              <w:rPr>
                <w:rFonts w:eastAsia="Calibri"/>
                <w:szCs w:val="26"/>
              </w:rPr>
              <w:t>233 hrs.;</w:t>
            </w:r>
          </w:p>
          <w:p w:rsidR="0013450D" w:rsidRPr="00F33E3A" w:rsidP="00FA6AB4" w14:paraId="6D68DA37" w14:textId="619EDE36">
            <w:pPr>
              <w:spacing w:line="256" w:lineRule="auto"/>
              <w:jc w:val="right"/>
              <w:rPr>
                <w:rFonts w:eastAsia="Calibri"/>
                <w:szCs w:val="26"/>
              </w:rPr>
            </w:pPr>
            <w:r w:rsidRPr="00F33E3A">
              <w:rPr>
                <w:rFonts w:eastAsia="Calibri"/>
                <w:szCs w:val="26"/>
              </w:rPr>
              <w:t>$2</w:t>
            </w:r>
            <w:r w:rsidR="004D4DEC">
              <w:rPr>
                <w:rFonts w:eastAsia="Calibri"/>
                <w:szCs w:val="26"/>
              </w:rPr>
              <w:t>3,999</w:t>
            </w:r>
          </w:p>
        </w:tc>
        <w:tc>
          <w:tcPr>
            <w:tcW w:w="928" w:type="pct"/>
            <w:tcBorders>
              <w:top w:val="single" w:sz="4" w:space="0" w:color="auto"/>
              <w:left w:val="single" w:sz="4" w:space="0" w:color="auto"/>
              <w:bottom w:val="single" w:sz="4" w:space="0" w:color="auto"/>
              <w:right w:val="single" w:sz="4" w:space="0" w:color="auto"/>
            </w:tcBorders>
            <w:hideMark/>
          </w:tcPr>
          <w:p w:rsidR="0013450D" w:rsidRPr="00F33E3A" w:rsidP="00FA6AB4" w14:paraId="6A885B0D" w14:textId="77777777">
            <w:pPr>
              <w:spacing w:line="256" w:lineRule="auto"/>
              <w:jc w:val="right"/>
              <w:rPr>
                <w:rFonts w:eastAsia="Calibri"/>
                <w:szCs w:val="26"/>
              </w:rPr>
            </w:pPr>
            <w:r w:rsidRPr="00F33E3A">
              <w:rPr>
                <w:rFonts w:eastAsia="Calibri"/>
                <w:szCs w:val="26"/>
              </w:rPr>
              <w:t>176,847 hrs.;</w:t>
            </w:r>
          </w:p>
          <w:p w:rsidR="0013450D" w:rsidRPr="00F33E3A" w:rsidP="00FA6AB4" w14:paraId="0C19F14B" w14:textId="6F8DC2EB">
            <w:pPr>
              <w:spacing w:line="256" w:lineRule="auto"/>
              <w:jc w:val="right"/>
              <w:rPr>
                <w:rFonts w:eastAsia="Calibri"/>
                <w:szCs w:val="26"/>
              </w:rPr>
            </w:pPr>
            <w:r w:rsidRPr="00F33E3A">
              <w:rPr>
                <w:rFonts w:eastAsia="Calibri"/>
                <w:szCs w:val="26"/>
              </w:rPr>
              <w:t>$1</w:t>
            </w:r>
            <w:r w:rsidR="004D4DEC">
              <w:rPr>
                <w:rFonts w:eastAsia="Calibri"/>
                <w:szCs w:val="26"/>
              </w:rPr>
              <w:t>8,215,241</w:t>
            </w:r>
          </w:p>
        </w:tc>
        <w:tc>
          <w:tcPr>
            <w:tcW w:w="724" w:type="pct"/>
            <w:tcBorders>
              <w:top w:val="single" w:sz="4" w:space="0" w:color="auto"/>
              <w:left w:val="single" w:sz="4" w:space="0" w:color="auto"/>
              <w:bottom w:val="single" w:sz="4" w:space="0" w:color="auto"/>
              <w:right w:val="single" w:sz="4" w:space="0" w:color="auto"/>
            </w:tcBorders>
            <w:hideMark/>
          </w:tcPr>
          <w:p w:rsidR="0013450D" w:rsidRPr="00F33E3A" w:rsidP="00FA6AB4" w14:paraId="5A4A8F7B" w14:textId="14CE9856">
            <w:pPr>
              <w:spacing w:line="256" w:lineRule="auto"/>
              <w:jc w:val="right"/>
              <w:rPr>
                <w:rFonts w:eastAsia="Calibri"/>
                <w:szCs w:val="26"/>
              </w:rPr>
            </w:pPr>
            <w:r w:rsidRPr="00F33E3A">
              <w:rPr>
                <w:rFonts w:eastAsia="Calibri"/>
                <w:szCs w:val="26"/>
              </w:rPr>
              <w:t>$2</w:t>
            </w:r>
            <w:r w:rsidR="004D4DEC">
              <w:rPr>
                <w:rFonts w:eastAsia="Calibri"/>
                <w:szCs w:val="26"/>
              </w:rPr>
              <w:t>63,989</w:t>
            </w:r>
          </w:p>
        </w:tc>
      </w:tr>
      <w:tr w14:paraId="36337DE1" w14:textId="77777777" w:rsidTr="008D6148">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hideMark/>
          </w:tcPr>
          <w:p w:rsidR="0013450D" w:rsidRPr="00F33E3A" w:rsidP="00FA6AB4" w14:paraId="3A59E037" w14:textId="77777777">
            <w:pPr>
              <w:spacing w:line="256" w:lineRule="auto"/>
              <w:rPr>
                <w:rFonts w:eastAsia="Calibri"/>
                <w:szCs w:val="26"/>
              </w:rPr>
            </w:pPr>
            <w:r w:rsidRPr="00F33E3A">
              <w:rPr>
                <w:rFonts w:eastAsia="Calibri"/>
                <w:szCs w:val="26"/>
              </w:rPr>
              <w:t>Market-Base Rates for Storage Filings</w:t>
            </w:r>
          </w:p>
        </w:tc>
        <w:tc>
          <w:tcPr>
            <w:tcW w:w="525" w:type="pct"/>
            <w:tcBorders>
              <w:top w:val="single" w:sz="4" w:space="0" w:color="auto"/>
              <w:left w:val="single" w:sz="4" w:space="0" w:color="auto"/>
              <w:bottom w:val="single" w:sz="4" w:space="0" w:color="auto"/>
              <w:right w:val="single" w:sz="4" w:space="0" w:color="auto"/>
            </w:tcBorders>
            <w:hideMark/>
          </w:tcPr>
          <w:p w:rsidR="0013450D" w:rsidRPr="00F33E3A" w:rsidP="00FA6AB4" w14:paraId="24FB786C" w14:textId="77777777">
            <w:pPr>
              <w:spacing w:line="256" w:lineRule="auto"/>
              <w:jc w:val="right"/>
              <w:rPr>
                <w:rFonts w:eastAsia="Calibri"/>
                <w:szCs w:val="26"/>
              </w:rPr>
            </w:pPr>
            <w:r w:rsidRPr="00F33E3A">
              <w:rPr>
                <w:rFonts w:eastAsia="Calibri"/>
                <w:szCs w:val="26"/>
              </w:rPr>
              <w:t>2</w:t>
            </w:r>
          </w:p>
        </w:tc>
        <w:tc>
          <w:tcPr>
            <w:tcW w:w="565" w:type="pct"/>
            <w:tcBorders>
              <w:top w:val="single" w:sz="4" w:space="0" w:color="auto"/>
              <w:left w:val="single" w:sz="4" w:space="0" w:color="auto"/>
              <w:bottom w:val="single" w:sz="4" w:space="0" w:color="auto"/>
              <w:right w:val="single" w:sz="4" w:space="0" w:color="auto"/>
            </w:tcBorders>
            <w:hideMark/>
          </w:tcPr>
          <w:p w:rsidR="0013450D" w:rsidRPr="00F33E3A" w:rsidP="00FA6AB4" w14:paraId="5E4783ED" w14:textId="77777777">
            <w:pPr>
              <w:spacing w:line="256" w:lineRule="auto"/>
              <w:jc w:val="right"/>
              <w:rPr>
                <w:rFonts w:eastAsia="Calibri"/>
                <w:szCs w:val="26"/>
              </w:rPr>
            </w:pPr>
            <w:r w:rsidRPr="00F33E3A">
              <w:rPr>
                <w:rFonts w:eastAsia="Calibri"/>
                <w:szCs w:val="26"/>
              </w:rPr>
              <w:t>1</w:t>
            </w:r>
          </w:p>
        </w:tc>
        <w:tc>
          <w:tcPr>
            <w:tcW w:w="647" w:type="pct"/>
            <w:tcBorders>
              <w:top w:val="single" w:sz="4" w:space="0" w:color="auto"/>
              <w:left w:val="single" w:sz="4" w:space="0" w:color="auto"/>
              <w:bottom w:val="single" w:sz="4" w:space="0" w:color="auto"/>
              <w:right w:val="single" w:sz="4" w:space="0" w:color="auto"/>
            </w:tcBorders>
            <w:hideMark/>
          </w:tcPr>
          <w:p w:rsidR="0013450D" w:rsidRPr="00F33E3A" w:rsidP="00FA6AB4" w14:paraId="789CF9E1" w14:textId="77777777">
            <w:pPr>
              <w:spacing w:line="256" w:lineRule="auto"/>
              <w:jc w:val="right"/>
              <w:rPr>
                <w:rFonts w:eastAsia="Calibri"/>
                <w:szCs w:val="26"/>
              </w:rPr>
            </w:pPr>
            <w:r w:rsidRPr="00F33E3A">
              <w:rPr>
                <w:rFonts w:eastAsia="Calibri"/>
                <w:szCs w:val="26"/>
              </w:rPr>
              <w:t>2</w:t>
            </w:r>
          </w:p>
        </w:tc>
        <w:tc>
          <w:tcPr>
            <w:tcW w:w="806" w:type="pct"/>
            <w:tcBorders>
              <w:top w:val="single" w:sz="4" w:space="0" w:color="auto"/>
              <w:left w:val="single" w:sz="4" w:space="0" w:color="auto"/>
              <w:bottom w:val="single" w:sz="4" w:space="0" w:color="auto"/>
              <w:right w:val="single" w:sz="4" w:space="0" w:color="auto"/>
            </w:tcBorders>
            <w:hideMark/>
          </w:tcPr>
          <w:p w:rsidR="0013450D" w:rsidRPr="00F33E3A" w:rsidP="00FA6AB4" w14:paraId="392B2453" w14:textId="77777777">
            <w:pPr>
              <w:spacing w:line="256" w:lineRule="auto"/>
              <w:jc w:val="right"/>
              <w:rPr>
                <w:rFonts w:eastAsia="Calibri"/>
                <w:szCs w:val="26"/>
              </w:rPr>
            </w:pPr>
            <w:r w:rsidRPr="00F33E3A">
              <w:rPr>
                <w:rFonts w:eastAsia="Calibri"/>
                <w:szCs w:val="26"/>
              </w:rPr>
              <w:t>230 hrs.;</w:t>
            </w:r>
          </w:p>
          <w:p w:rsidR="0013450D" w:rsidRPr="00F33E3A" w:rsidP="00FA6AB4" w14:paraId="471D5A18" w14:textId="5E729AF2">
            <w:pPr>
              <w:spacing w:line="256" w:lineRule="auto"/>
              <w:jc w:val="right"/>
              <w:rPr>
                <w:rFonts w:eastAsia="Calibri"/>
                <w:szCs w:val="26"/>
              </w:rPr>
            </w:pPr>
            <w:r w:rsidRPr="00F33E3A">
              <w:rPr>
                <w:rFonts w:eastAsia="Calibri"/>
                <w:szCs w:val="26"/>
              </w:rPr>
              <w:t>$</w:t>
            </w:r>
            <w:r w:rsidR="004D4DEC">
              <w:rPr>
                <w:rFonts w:eastAsia="Calibri"/>
                <w:szCs w:val="26"/>
              </w:rPr>
              <w:t>23,690</w:t>
            </w:r>
          </w:p>
        </w:tc>
        <w:tc>
          <w:tcPr>
            <w:tcW w:w="928" w:type="pct"/>
            <w:tcBorders>
              <w:top w:val="single" w:sz="4" w:space="0" w:color="auto"/>
              <w:left w:val="single" w:sz="4" w:space="0" w:color="auto"/>
              <w:bottom w:val="single" w:sz="4" w:space="0" w:color="auto"/>
              <w:right w:val="single" w:sz="4" w:space="0" w:color="auto"/>
            </w:tcBorders>
            <w:hideMark/>
          </w:tcPr>
          <w:p w:rsidR="0013450D" w:rsidRPr="00F33E3A" w:rsidP="00FA6AB4" w14:paraId="4C1631AB" w14:textId="77777777">
            <w:pPr>
              <w:spacing w:line="256" w:lineRule="auto"/>
              <w:jc w:val="right"/>
              <w:rPr>
                <w:rFonts w:eastAsia="Calibri"/>
                <w:szCs w:val="26"/>
              </w:rPr>
            </w:pPr>
            <w:r w:rsidRPr="00F33E3A">
              <w:rPr>
                <w:rFonts w:eastAsia="Calibri"/>
                <w:szCs w:val="26"/>
              </w:rPr>
              <w:t>460 hrs.;</w:t>
            </w:r>
          </w:p>
          <w:p w:rsidR="0013450D" w:rsidRPr="00F33E3A" w:rsidP="00FA6AB4" w14:paraId="0A7C5CFE" w14:textId="09646E32">
            <w:pPr>
              <w:spacing w:line="256" w:lineRule="auto"/>
              <w:jc w:val="right"/>
              <w:rPr>
                <w:rFonts w:eastAsia="Calibri"/>
                <w:szCs w:val="26"/>
              </w:rPr>
            </w:pPr>
            <w:r w:rsidRPr="00F33E3A">
              <w:rPr>
                <w:rFonts w:eastAsia="Calibri"/>
                <w:szCs w:val="26"/>
              </w:rPr>
              <w:t>$4</w:t>
            </w:r>
            <w:r w:rsidR="004D4DEC">
              <w:rPr>
                <w:rFonts w:eastAsia="Calibri"/>
                <w:szCs w:val="26"/>
              </w:rPr>
              <w:t>7,380</w:t>
            </w:r>
          </w:p>
        </w:tc>
        <w:tc>
          <w:tcPr>
            <w:tcW w:w="724" w:type="pct"/>
            <w:tcBorders>
              <w:top w:val="single" w:sz="4" w:space="0" w:color="auto"/>
              <w:left w:val="single" w:sz="4" w:space="0" w:color="auto"/>
              <w:bottom w:val="single" w:sz="4" w:space="0" w:color="auto"/>
              <w:right w:val="single" w:sz="4" w:space="0" w:color="auto"/>
            </w:tcBorders>
            <w:hideMark/>
          </w:tcPr>
          <w:p w:rsidR="0013450D" w:rsidRPr="00F33E3A" w:rsidP="00FA6AB4" w14:paraId="60083704" w14:textId="63CA504A">
            <w:pPr>
              <w:spacing w:line="256" w:lineRule="auto"/>
              <w:jc w:val="right"/>
              <w:rPr>
                <w:rFonts w:eastAsia="Calibri"/>
                <w:szCs w:val="26"/>
              </w:rPr>
            </w:pPr>
            <w:r w:rsidRPr="00F33E3A">
              <w:rPr>
                <w:rFonts w:eastAsia="Calibri"/>
                <w:szCs w:val="26"/>
              </w:rPr>
              <w:t>$2</w:t>
            </w:r>
            <w:r w:rsidR="004D4DEC">
              <w:rPr>
                <w:rFonts w:eastAsia="Calibri"/>
                <w:szCs w:val="26"/>
              </w:rPr>
              <w:t>3,690</w:t>
            </w:r>
          </w:p>
        </w:tc>
      </w:tr>
      <w:tr w14:paraId="58ACCC56" w14:textId="77777777" w:rsidTr="008D6148">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hideMark/>
          </w:tcPr>
          <w:p w:rsidR="0013450D" w:rsidRPr="00F33E3A" w:rsidP="00FA6AB4" w14:paraId="7070EA04" w14:textId="77777777">
            <w:pPr>
              <w:spacing w:line="256" w:lineRule="auto"/>
              <w:rPr>
                <w:rFonts w:eastAsia="Calibri"/>
                <w:szCs w:val="26"/>
              </w:rPr>
            </w:pPr>
            <w:r w:rsidRPr="00F33E3A">
              <w:rPr>
                <w:rFonts w:eastAsia="Calibri"/>
                <w:szCs w:val="26"/>
              </w:rPr>
              <w:t>NAESB (version 3.2) one time over 3 years carried over from RM96-1-42</w:t>
            </w:r>
            <w:r>
              <w:rPr>
                <w:rStyle w:val="FootnoteReference"/>
                <w:rFonts w:eastAsia="Calibri"/>
              </w:rPr>
              <w:footnoteReference w:id="9"/>
            </w:r>
          </w:p>
        </w:tc>
        <w:tc>
          <w:tcPr>
            <w:tcW w:w="525" w:type="pct"/>
            <w:tcBorders>
              <w:top w:val="single" w:sz="4" w:space="0" w:color="auto"/>
              <w:left w:val="single" w:sz="4" w:space="0" w:color="auto"/>
              <w:bottom w:val="single" w:sz="4" w:space="0" w:color="auto"/>
              <w:right w:val="single" w:sz="4" w:space="0" w:color="auto"/>
            </w:tcBorders>
            <w:hideMark/>
          </w:tcPr>
          <w:p w:rsidR="0013450D" w:rsidRPr="00F33E3A" w:rsidP="00FA6AB4" w14:paraId="36CE8E05" w14:textId="42BBBAC6">
            <w:pPr>
              <w:spacing w:line="256" w:lineRule="auto"/>
              <w:jc w:val="right"/>
              <w:rPr>
                <w:rFonts w:eastAsia="Calibri"/>
                <w:szCs w:val="26"/>
              </w:rPr>
            </w:pPr>
            <w:r w:rsidRPr="00F33E3A">
              <w:rPr>
                <w:rFonts w:eastAsia="Calibri"/>
                <w:szCs w:val="26"/>
              </w:rPr>
              <w:t>59</w:t>
            </w:r>
            <w:r w:rsidR="004D4DEC">
              <w:rPr>
                <w:rFonts w:eastAsia="Calibri"/>
                <w:szCs w:val="26"/>
              </w:rPr>
              <w:t>.33</w:t>
            </w:r>
          </w:p>
        </w:tc>
        <w:tc>
          <w:tcPr>
            <w:tcW w:w="565" w:type="pct"/>
            <w:tcBorders>
              <w:top w:val="single" w:sz="4" w:space="0" w:color="auto"/>
              <w:left w:val="single" w:sz="4" w:space="0" w:color="auto"/>
              <w:bottom w:val="single" w:sz="4" w:space="0" w:color="auto"/>
              <w:right w:val="single" w:sz="4" w:space="0" w:color="auto"/>
            </w:tcBorders>
            <w:hideMark/>
          </w:tcPr>
          <w:p w:rsidR="0013450D" w:rsidRPr="00F33E3A" w:rsidP="00FA6AB4" w14:paraId="2D2B2551" w14:textId="77777777">
            <w:pPr>
              <w:spacing w:line="256" w:lineRule="auto"/>
              <w:jc w:val="right"/>
              <w:rPr>
                <w:rFonts w:eastAsia="Calibri"/>
                <w:szCs w:val="26"/>
              </w:rPr>
            </w:pPr>
            <w:r w:rsidRPr="00F33E3A">
              <w:rPr>
                <w:rFonts w:eastAsia="Calibri"/>
                <w:szCs w:val="26"/>
              </w:rPr>
              <w:t>1</w:t>
            </w:r>
          </w:p>
        </w:tc>
        <w:tc>
          <w:tcPr>
            <w:tcW w:w="647" w:type="pct"/>
            <w:tcBorders>
              <w:top w:val="single" w:sz="4" w:space="0" w:color="auto"/>
              <w:left w:val="single" w:sz="4" w:space="0" w:color="auto"/>
              <w:bottom w:val="single" w:sz="4" w:space="0" w:color="auto"/>
              <w:right w:val="single" w:sz="4" w:space="0" w:color="auto"/>
            </w:tcBorders>
            <w:hideMark/>
          </w:tcPr>
          <w:p w:rsidR="0013450D" w:rsidRPr="000262CA" w:rsidP="00FA6AB4" w14:paraId="6B43638C" w14:textId="0F04AE32">
            <w:pPr>
              <w:spacing w:line="256" w:lineRule="auto"/>
              <w:jc w:val="right"/>
              <w:rPr>
                <w:rFonts w:eastAsia="Calibri"/>
                <w:szCs w:val="26"/>
              </w:rPr>
            </w:pPr>
            <w:r w:rsidRPr="000262CA">
              <w:rPr>
                <w:rFonts w:eastAsia="Calibri"/>
                <w:szCs w:val="26"/>
              </w:rPr>
              <w:t>59</w:t>
            </w:r>
            <w:r w:rsidR="004D4DEC">
              <w:rPr>
                <w:rFonts w:eastAsia="Calibri"/>
                <w:szCs w:val="26"/>
              </w:rPr>
              <w:t>.33</w:t>
            </w:r>
          </w:p>
        </w:tc>
        <w:tc>
          <w:tcPr>
            <w:tcW w:w="806" w:type="pct"/>
            <w:tcBorders>
              <w:top w:val="single" w:sz="4" w:space="0" w:color="auto"/>
              <w:left w:val="single" w:sz="4" w:space="0" w:color="auto"/>
              <w:bottom w:val="single" w:sz="4" w:space="0" w:color="auto"/>
              <w:right w:val="single" w:sz="4" w:space="0" w:color="auto"/>
            </w:tcBorders>
            <w:hideMark/>
          </w:tcPr>
          <w:p w:rsidR="004D4DEC" w:rsidP="00FA6AB4" w14:paraId="18027893" w14:textId="77777777">
            <w:pPr>
              <w:spacing w:line="256" w:lineRule="auto"/>
              <w:jc w:val="right"/>
              <w:rPr>
                <w:rFonts w:eastAsia="Calibri"/>
                <w:szCs w:val="26"/>
              </w:rPr>
            </w:pPr>
            <w:r>
              <w:rPr>
                <w:rFonts w:eastAsia="Calibri"/>
                <w:szCs w:val="26"/>
              </w:rPr>
              <w:t>10</w:t>
            </w:r>
            <w:r w:rsidRPr="000262CA">
              <w:rPr>
                <w:rFonts w:eastAsia="Calibri"/>
                <w:szCs w:val="26"/>
              </w:rPr>
              <w:t xml:space="preserve"> hrs.;</w:t>
            </w:r>
          </w:p>
          <w:p w:rsidR="0013450D" w:rsidRPr="000262CA" w:rsidP="00FA6AB4" w14:paraId="134EEADF" w14:textId="5C9412CB">
            <w:pPr>
              <w:spacing w:line="256" w:lineRule="auto"/>
              <w:jc w:val="right"/>
              <w:rPr>
                <w:rFonts w:eastAsia="Calibri"/>
                <w:szCs w:val="26"/>
              </w:rPr>
            </w:pPr>
            <w:r w:rsidRPr="000262CA">
              <w:rPr>
                <w:rFonts w:eastAsia="Calibri"/>
                <w:szCs w:val="26"/>
              </w:rPr>
              <w:t xml:space="preserve"> $</w:t>
            </w:r>
            <w:r w:rsidR="004D4DEC">
              <w:rPr>
                <w:rFonts w:eastAsia="Calibri"/>
                <w:szCs w:val="26"/>
              </w:rPr>
              <w:t>1,030</w:t>
            </w:r>
          </w:p>
        </w:tc>
        <w:tc>
          <w:tcPr>
            <w:tcW w:w="928" w:type="pct"/>
            <w:tcBorders>
              <w:top w:val="single" w:sz="4" w:space="0" w:color="auto"/>
              <w:left w:val="single" w:sz="4" w:space="0" w:color="auto"/>
              <w:bottom w:val="single" w:sz="4" w:space="0" w:color="auto"/>
              <w:right w:val="single" w:sz="4" w:space="0" w:color="auto"/>
            </w:tcBorders>
            <w:hideMark/>
          </w:tcPr>
          <w:p w:rsidR="0013450D" w:rsidRPr="00F33E3A" w:rsidP="00FA6AB4" w14:paraId="55952DF9" w14:textId="64BE3C85">
            <w:pPr>
              <w:spacing w:line="256" w:lineRule="auto"/>
              <w:jc w:val="right"/>
              <w:rPr>
                <w:rFonts w:eastAsia="Calibri"/>
                <w:szCs w:val="26"/>
              </w:rPr>
            </w:pPr>
            <w:r w:rsidRPr="00F33E3A">
              <w:rPr>
                <w:rFonts w:eastAsia="Calibri"/>
                <w:szCs w:val="26"/>
              </w:rPr>
              <w:t>59</w:t>
            </w:r>
            <w:r>
              <w:rPr>
                <w:rFonts w:eastAsia="Calibri"/>
                <w:szCs w:val="26"/>
              </w:rPr>
              <w:t>3.33</w:t>
            </w:r>
            <w:r w:rsidRPr="00F33E3A">
              <w:rPr>
                <w:rFonts w:eastAsia="Calibri"/>
                <w:szCs w:val="26"/>
              </w:rPr>
              <w:t xml:space="preserve"> hrs.; $</w:t>
            </w:r>
            <w:r w:rsidR="004D4DEC">
              <w:rPr>
                <w:rFonts w:eastAsia="Calibri"/>
                <w:szCs w:val="26"/>
              </w:rPr>
              <w:t>61,109.90</w:t>
            </w:r>
          </w:p>
        </w:tc>
        <w:tc>
          <w:tcPr>
            <w:tcW w:w="724" w:type="pct"/>
            <w:tcBorders>
              <w:top w:val="single" w:sz="4" w:space="0" w:color="auto"/>
              <w:left w:val="single" w:sz="4" w:space="0" w:color="auto"/>
              <w:bottom w:val="single" w:sz="4" w:space="0" w:color="auto"/>
              <w:right w:val="single" w:sz="4" w:space="0" w:color="auto"/>
            </w:tcBorders>
            <w:hideMark/>
          </w:tcPr>
          <w:p w:rsidR="0013450D" w:rsidRPr="000262CA" w:rsidP="00FA6AB4" w14:paraId="571195CD" w14:textId="1067B4EF">
            <w:pPr>
              <w:spacing w:line="256" w:lineRule="auto"/>
              <w:jc w:val="right"/>
              <w:rPr>
                <w:rFonts w:eastAsia="Calibri"/>
                <w:szCs w:val="26"/>
              </w:rPr>
            </w:pPr>
            <w:r w:rsidRPr="00F33E3A">
              <w:rPr>
                <w:rFonts w:eastAsia="Calibri"/>
                <w:szCs w:val="26"/>
              </w:rPr>
              <w:t>$</w:t>
            </w:r>
            <w:r w:rsidR="004D4DEC">
              <w:rPr>
                <w:rFonts w:eastAsia="Calibri"/>
                <w:szCs w:val="26"/>
              </w:rPr>
              <w:t>1,030</w:t>
            </w:r>
          </w:p>
        </w:tc>
      </w:tr>
      <w:tr w14:paraId="025D1D1F" w14:textId="77777777" w:rsidTr="008D6148">
        <w:tblPrEx>
          <w:tblW w:w="5968" w:type="pct"/>
          <w:tblInd w:w="-905" w:type="dxa"/>
          <w:tblLayout w:type="fixed"/>
          <w:tblLook w:val="01E0"/>
        </w:tblPrEx>
        <w:trPr>
          <w:cantSplit/>
          <w:trHeight w:val="485"/>
        </w:trPr>
        <w:tc>
          <w:tcPr>
            <w:tcW w:w="806" w:type="pct"/>
            <w:tcBorders>
              <w:top w:val="single" w:sz="4" w:space="0" w:color="auto"/>
              <w:left w:val="single" w:sz="4" w:space="0" w:color="auto"/>
              <w:bottom w:val="single" w:sz="4" w:space="0" w:color="auto"/>
              <w:right w:val="single" w:sz="4" w:space="0" w:color="auto"/>
            </w:tcBorders>
            <w:hideMark/>
          </w:tcPr>
          <w:p w:rsidR="0013450D" w:rsidP="00FA6AB4" w14:paraId="127E51D4" w14:textId="77777777">
            <w:pPr>
              <w:spacing w:line="256" w:lineRule="auto"/>
              <w:rPr>
                <w:rFonts w:eastAsia="Calibri"/>
                <w:b/>
                <w:szCs w:val="26"/>
              </w:rPr>
            </w:pPr>
            <w:r w:rsidRPr="00F33E3A">
              <w:rPr>
                <w:rFonts w:eastAsia="Calibri"/>
                <w:b/>
                <w:szCs w:val="26"/>
              </w:rPr>
              <w:t>TOTAL</w:t>
            </w:r>
          </w:p>
          <w:p w:rsidR="007D3BA4" w:rsidRPr="00D4792E" w:rsidP="00FA6AB4" w14:paraId="7827EA89" w14:textId="6D41D268">
            <w:pPr>
              <w:spacing w:line="256" w:lineRule="auto"/>
              <w:rPr>
                <w:rFonts w:eastAsia="Calibri"/>
                <w:bCs/>
                <w:szCs w:val="26"/>
              </w:rPr>
            </w:pPr>
            <w:r w:rsidRPr="00D4792E">
              <w:rPr>
                <w:rFonts w:eastAsia="Calibri"/>
                <w:bCs/>
                <w:szCs w:val="26"/>
              </w:rPr>
              <w:t>(Including Section 4 Rate Cases)</w:t>
            </w:r>
          </w:p>
        </w:tc>
        <w:tc>
          <w:tcPr>
            <w:tcW w:w="1090" w:type="pct"/>
            <w:gridSpan w:val="2"/>
            <w:tcBorders>
              <w:top w:val="single" w:sz="4" w:space="0" w:color="auto"/>
              <w:left w:val="single" w:sz="4" w:space="0" w:color="auto"/>
              <w:bottom w:val="single" w:sz="4" w:space="0" w:color="auto"/>
              <w:right w:val="single" w:sz="4" w:space="0" w:color="auto"/>
            </w:tcBorders>
            <w:shd w:val="clear" w:color="auto" w:fill="D9D9D9"/>
          </w:tcPr>
          <w:p w:rsidR="0013450D" w:rsidRPr="00F33E3A" w:rsidP="00FA6AB4" w14:paraId="2E5D8E2B" w14:textId="77777777">
            <w:pPr>
              <w:spacing w:line="256" w:lineRule="auto"/>
              <w:jc w:val="right"/>
              <w:rPr>
                <w:rFonts w:eastAsia="Calibri"/>
                <w:szCs w:val="26"/>
              </w:rPr>
            </w:pPr>
          </w:p>
        </w:tc>
        <w:tc>
          <w:tcPr>
            <w:tcW w:w="647" w:type="pct"/>
            <w:tcBorders>
              <w:top w:val="single" w:sz="4" w:space="0" w:color="auto"/>
              <w:left w:val="single" w:sz="4" w:space="0" w:color="auto"/>
              <w:bottom w:val="single" w:sz="4" w:space="0" w:color="auto"/>
              <w:right w:val="single" w:sz="4" w:space="0" w:color="auto"/>
            </w:tcBorders>
            <w:hideMark/>
          </w:tcPr>
          <w:p w:rsidR="0013450D" w:rsidRPr="000262CA" w:rsidP="00FA6AB4" w14:paraId="5623DFF6" w14:textId="78F6EDA5">
            <w:pPr>
              <w:spacing w:line="256" w:lineRule="auto"/>
              <w:jc w:val="right"/>
              <w:rPr>
                <w:rFonts w:eastAsia="Calibri"/>
                <w:b/>
                <w:szCs w:val="26"/>
              </w:rPr>
            </w:pPr>
            <w:r w:rsidRPr="00F33E3A">
              <w:rPr>
                <w:rFonts w:eastAsia="Calibri"/>
                <w:b/>
                <w:szCs w:val="26"/>
              </w:rPr>
              <w:t>1,3</w:t>
            </w:r>
            <w:r w:rsidR="00BD1E82">
              <w:rPr>
                <w:rFonts w:eastAsia="Calibri"/>
                <w:b/>
                <w:szCs w:val="26"/>
              </w:rPr>
              <w:t>7</w:t>
            </w:r>
            <w:r w:rsidR="004D4DEC">
              <w:rPr>
                <w:rFonts w:eastAsia="Calibri"/>
                <w:b/>
                <w:szCs w:val="26"/>
              </w:rPr>
              <w:t>1 (rounded)</w:t>
            </w:r>
          </w:p>
        </w:tc>
        <w:tc>
          <w:tcPr>
            <w:tcW w:w="806" w:type="pct"/>
            <w:tcBorders>
              <w:top w:val="single" w:sz="4" w:space="0" w:color="auto"/>
              <w:left w:val="single" w:sz="4" w:space="0" w:color="auto"/>
              <w:bottom w:val="single" w:sz="4" w:space="0" w:color="auto"/>
              <w:right w:val="single" w:sz="4" w:space="0" w:color="auto"/>
            </w:tcBorders>
            <w:shd w:val="clear" w:color="auto" w:fill="D9D9D9"/>
          </w:tcPr>
          <w:p w:rsidR="0013450D" w:rsidRPr="000262CA" w:rsidP="00FA6AB4" w14:paraId="3953C020" w14:textId="77777777">
            <w:pPr>
              <w:spacing w:line="256" w:lineRule="auto"/>
              <w:jc w:val="right"/>
              <w:rPr>
                <w:rFonts w:eastAsia="Calibri"/>
                <w:szCs w:val="26"/>
              </w:rPr>
            </w:pPr>
          </w:p>
        </w:tc>
        <w:tc>
          <w:tcPr>
            <w:tcW w:w="928" w:type="pct"/>
            <w:tcBorders>
              <w:top w:val="single" w:sz="4" w:space="0" w:color="auto"/>
              <w:left w:val="single" w:sz="4" w:space="0" w:color="auto"/>
              <w:bottom w:val="single" w:sz="4" w:space="0" w:color="auto"/>
              <w:right w:val="single" w:sz="4" w:space="0" w:color="auto"/>
            </w:tcBorders>
            <w:hideMark/>
          </w:tcPr>
          <w:p w:rsidR="0013450D" w:rsidRPr="00F33E3A" w:rsidP="00FA6AB4" w14:paraId="5CFE6AB5" w14:textId="27FFBACE">
            <w:pPr>
              <w:spacing w:line="256" w:lineRule="auto"/>
              <w:jc w:val="right"/>
              <w:rPr>
                <w:rFonts w:eastAsia="Calibri"/>
                <w:b/>
                <w:szCs w:val="26"/>
              </w:rPr>
            </w:pPr>
            <w:r w:rsidRPr="00BD1E82">
              <w:rPr>
                <w:rFonts w:eastAsia="Calibri"/>
                <w:b/>
                <w:szCs w:val="26"/>
              </w:rPr>
              <w:t>306,61</w:t>
            </w:r>
            <w:r w:rsidR="004D4DEC">
              <w:rPr>
                <w:rFonts w:eastAsia="Calibri"/>
                <w:b/>
                <w:szCs w:val="26"/>
              </w:rPr>
              <w:t>3</w:t>
            </w:r>
            <w:r w:rsidR="0020397B">
              <w:rPr>
                <w:rFonts w:eastAsia="Calibri"/>
                <w:b/>
                <w:szCs w:val="26"/>
              </w:rPr>
              <w:t xml:space="preserve"> </w:t>
            </w:r>
            <w:r w:rsidRPr="000262CA">
              <w:rPr>
                <w:rFonts w:eastAsia="Calibri"/>
                <w:b/>
                <w:szCs w:val="26"/>
              </w:rPr>
              <w:t>hrs</w:t>
            </w:r>
            <w:r w:rsidR="004D4DEC">
              <w:rPr>
                <w:rFonts w:eastAsia="Calibri"/>
                <w:b/>
                <w:szCs w:val="26"/>
              </w:rPr>
              <w:t xml:space="preserve"> (rounded)</w:t>
            </w:r>
            <w:r w:rsidRPr="000262CA">
              <w:rPr>
                <w:rFonts w:eastAsia="Calibri"/>
                <w:b/>
                <w:szCs w:val="26"/>
              </w:rPr>
              <w:t>;</w:t>
            </w:r>
          </w:p>
          <w:p w:rsidR="0013450D" w:rsidRPr="000262CA" w:rsidP="00FA6AB4" w14:paraId="27508EDA" w14:textId="666F3B10">
            <w:pPr>
              <w:spacing w:line="256" w:lineRule="auto"/>
              <w:jc w:val="right"/>
              <w:rPr>
                <w:rFonts w:eastAsia="Calibri"/>
                <w:b/>
                <w:szCs w:val="26"/>
              </w:rPr>
            </w:pPr>
            <w:r w:rsidRPr="00F33E3A">
              <w:rPr>
                <w:rFonts w:eastAsia="Calibri"/>
                <w:b/>
                <w:szCs w:val="26"/>
              </w:rPr>
              <w:t>$</w:t>
            </w:r>
            <w:r w:rsidR="00BA5FD1">
              <w:rPr>
                <w:rFonts w:eastAsia="Calibri"/>
                <w:b/>
                <w:szCs w:val="26"/>
              </w:rPr>
              <w:t>31,581,139</w:t>
            </w:r>
          </w:p>
        </w:tc>
        <w:tc>
          <w:tcPr>
            <w:tcW w:w="724" w:type="pct"/>
            <w:tcBorders>
              <w:top w:val="single" w:sz="4" w:space="0" w:color="auto"/>
              <w:left w:val="single" w:sz="4" w:space="0" w:color="auto"/>
              <w:bottom w:val="single" w:sz="4" w:space="0" w:color="auto"/>
              <w:right w:val="single" w:sz="4" w:space="0" w:color="auto"/>
            </w:tcBorders>
            <w:shd w:val="clear" w:color="auto" w:fill="D9D9D9"/>
          </w:tcPr>
          <w:p w:rsidR="0013450D" w:rsidRPr="000262CA" w:rsidP="00FA6AB4" w14:paraId="588506A7" w14:textId="77777777">
            <w:pPr>
              <w:spacing w:line="256" w:lineRule="auto"/>
              <w:jc w:val="right"/>
              <w:rPr>
                <w:rFonts w:eastAsia="Calibri"/>
                <w:b/>
                <w:szCs w:val="26"/>
              </w:rPr>
            </w:pPr>
          </w:p>
        </w:tc>
      </w:tr>
    </w:tbl>
    <w:p w:rsidR="007502D4" w:rsidP="00ED367B" w14:paraId="028AF640" w14:textId="19837B0E">
      <w:pPr>
        <w:spacing w:after="160" w:line="259" w:lineRule="auto"/>
        <w:rPr>
          <w:b/>
          <w:bCs/>
        </w:rPr>
      </w:pPr>
    </w:p>
    <w:p w:rsidR="00D4792E" w:rsidRPr="00D4792E" w:rsidP="00D4792E" w14:paraId="56CA5F89" w14:textId="7D245EEA">
      <w:pPr>
        <w:spacing w:after="160" w:line="259" w:lineRule="auto"/>
        <w:rPr>
          <w:b/>
          <w:bCs/>
        </w:rPr>
      </w:pPr>
      <w:r w:rsidRPr="00D4792E">
        <w:rPr>
          <w:b/>
          <w:bCs/>
        </w:rPr>
        <w:t>Responses= 1,3</w:t>
      </w:r>
      <w:r>
        <w:rPr>
          <w:b/>
          <w:bCs/>
        </w:rPr>
        <w:t>70</w:t>
      </w:r>
      <w:r w:rsidRPr="00D4792E">
        <w:rPr>
          <w:b/>
          <w:bCs/>
        </w:rPr>
        <w:t>.712 (1,3</w:t>
      </w:r>
      <w:r>
        <w:rPr>
          <w:b/>
          <w:bCs/>
        </w:rPr>
        <w:t>71</w:t>
      </w:r>
      <w:r w:rsidRPr="00D4792E">
        <w:rPr>
          <w:b/>
          <w:bCs/>
        </w:rPr>
        <w:t xml:space="preserve"> rounded) </w:t>
      </w:r>
    </w:p>
    <w:p w:rsidR="00D4792E" w:rsidRPr="005E5E83" w:rsidP="00ED367B" w14:paraId="64147BC9" w14:textId="567A117F">
      <w:pPr>
        <w:spacing w:after="160" w:line="259" w:lineRule="auto"/>
        <w:rPr>
          <w:b/>
          <w:bCs/>
        </w:rPr>
      </w:pPr>
      <w:r w:rsidRPr="00D4792E">
        <w:rPr>
          <w:b/>
          <w:bCs/>
        </w:rPr>
        <w:t>Burden Hours=</w:t>
      </w:r>
      <w:r w:rsidRPr="00BD1E82">
        <w:rPr>
          <w:rFonts w:eastAsia="Calibri"/>
          <w:b/>
          <w:szCs w:val="26"/>
        </w:rPr>
        <w:t>306,612.56</w:t>
      </w:r>
      <w:r w:rsidRPr="00D4792E">
        <w:rPr>
          <w:b/>
          <w:bCs/>
        </w:rPr>
        <w:t xml:space="preserve"> (30</w:t>
      </w:r>
      <w:r>
        <w:rPr>
          <w:b/>
          <w:bCs/>
        </w:rPr>
        <w:t>6,613</w:t>
      </w:r>
      <w:r w:rsidRPr="00D4792E">
        <w:rPr>
          <w:b/>
          <w:bCs/>
        </w:rPr>
        <w:t xml:space="preserve"> hrs.</w:t>
      </w:r>
      <w:r>
        <w:rPr>
          <w:b/>
          <w:bCs/>
        </w:rPr>
        <w:t xml:space="preserve"> rounded</w:t>
      </w:r>
      <w:r w:rsidRPr="00D4792E">
        <w:rPr>
          <w:b/>
          <w:bCs/>
        </w:rPr>
        <w:t>)</w:t>
      </w:r>
    </w:p>
    <w:p w:rsidR="00B67787" w:rsidRPr="005E5E83" w:rsidP="001B60BF" w14:paraId="4B0B1AE0" w14:textId="553E3E98">
      <w:pPr>
        <w:rPr>
          <w:rFonts w:eastAsia="Calibri"/>
        </w:rPr>
      </w:pPr>
      <w:bookmarkStart w:id="0" w:name="_Hlk91458928"/>
      <w:r w:rsidRPr="005E5E83">
        <w:t xml:space="preserve">The Commission’s burden estimates for </w:t>
      </w:r>
      <w:r w:rsidR="001B60BF">
        <w:t xml:space="preserve">the modification of FERC-545 are calculated on the average number of rate cases received on an annual basis. </w:t>
      </w:r>
      <w:r w:rsidR="00CB5EFC">
        <w:t xml:space="preserve">However, the number of rate cases (respondents) is slightly higher than the average number of cases received by the Commission.  This was intentional as to anticipate the possibility of additional rate cases being submitted in the future. </w:t>
      </w:r>
    </w:p>
    <w:bookmarkEnd w:id="0"/>
    <w:p w:rsidR="00F90719" w:rsidRPr="00F33E3A" w:rsidP="00F90719" w14:paraId="7D8DABE0" w14:textId="77777777">
      <w:pPr>
        <w:pStyle w:val="FERCparanumber"/>
        <w:numPr>
          <w:ilvl w:val="0"/>
          <w:numId w:val="0"/>
        </w:numPr>
      </w:pPr>
    </w:p>
    <w:p w:rsidR="00BC15BE" w:rsidRPr="005E5E83" w:rsidP="00BC15BE" w14:paraId="2D5A5365" w14:textId="77777777">
      <w:pPr>
        <w:pStyle w:val="Level1"/>
        <w:rPr>
          <w:b/>
          <w:sz w:val="26"/>
        </w:rPr>
      </w:pPr>
      <w:r w:rsidRPr="005E5E83">
        <w:rPr>
          <w:b/>
          <w:sz w:val="26"/>
        </w:rPr>
        <w:t>ESTIMATE OF THE TOTAL ANNUAL COST BURDEN TO RESPONDENTS</w:t>
      </w:r>
    </w:p>
    <w:p w:rsidR="008F65E6" w:rsidRPr="005E5E83" w:rsidP="00BC15BE" w14:paraId="42F2561B" w14:textId="77777777"/>
    <w:p w:rsidR="00BC15BE" w:rsidRPr="005E5E83" w:rsidP="00BC15BE" w14:paraId="65DE3541" w14:textId="7E685D58">
      <w:r w:rsidRPr="005E5E83">
        <w:t xml:space="preserve">There are no capital or start-up costs for </w:t>
      </w:r>
      <w:r w:rsidRPr="005E5E83" w:rsidR="003808AD">
        <w:t xml:space="preserve">FERC-545. </w:t>
      </w:r>
      <w:r w:rsidRPr="005E5E83" w:rsidR="00397DBA">
        <w:t>All</w:t>
      </w:r>
      <w:r w:rsidRPr="005E5E83">
        <w:t xml:space="preserve"> the costs are related to burden hours and are detailed in </w:t>
      </w:r>
      <w:r w:rsidRPr="005E5E83" w:rsidR="00AC5B84">
        <w:t>Questions</w:t>
      </w:r>
      <w:r w:rsidRPr="005E5E83" w:rsidR="008611ED">
        <w:t xml:space="preserve"> </w:t>
      </w:r>
      <w:r w:rsidRPr="005E5E83" w:rsidR="00AC5B84">
        <w:t>#</w:t>
      </w:r>
      <w:r w:rsidRPr="005E5E83">
        <w:t xml:space="preserve">12 and </w:t>
      </w:r>
      <w:r w:rsidRPr="005E5E83" w:rsidR="00AC5B84">
        <w:t>#</w:t>
      </w:r>
      <w:r w:rsidRPr="005E5E83">
        <w:t>15.</w:t>
      </w:r>
    </w:p>
    <w:p w:rsidR="00F8150C" w:rsidRPr="005E5E83" w:rsidP="00BC15BE" w14:paraId="18ADEA96" w14:textId="77777777"/>
    <w:p w:rsidR="00BC15BE" w:rsidRPr="005E5E83" w:rsidP="00BC15BE" w14:paraId="630D4C84" w14:textId="77777777">
      <w:pPr>
        <w:pStyle w:val="Level1"/>
        <w:rPr>
          <w:b/>
          <w:sz w:val="26"/>
        </w:rPr>
      </w:pPr>
      <w:r w:rsidRPr="005E5E83">
        <w:rPr>
          <w:b/>
          <w:sz w:val="26"/>
        </w:rPr>
        <w:t>ESTIMATED ANNUALIZED COST TO FEDERAL GOVERNMENT</w:t>
      </w:r>
    </w:p>
    <w:p w:rsidR="002C118D" w:rsidRPr="005E5E83" w:rsidP="002C118D" w14:paraId="24E448B3" w14:textId="77777777"/>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3101"/>
        <w:gridCol w:w="3196"/>
      </w:tblGrid>
      <w:tr w14:paraId="76270073" w14:textId="77777777" w:rsidTr="00573C31">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48" w:type="dxa"/>
            <w:shd w:val="clear" w:color="auto" w:fill="CCCCCC"/>
          </w:tcPr>
          <w:p w:rsidR="002C118D" w:rsidRPr="005E5E83" w:rsidP="008D4689" w14:paraId="64C5C7C1" w14:textId="77777777"/>
        </w:tc>
        <w:tc>
          <w:tcPr>
            <w:tcW w:w="3101" w:type="dxa"/>
            <w:shd w:val="clear" w:color="auto" w:fill="CCCCCC"/>
            <w:vAlign w:val="bottom"/>
          </w:tcPr>
          <w:p w:rsidR="002C118D" w:rsidRPr="005E5E83" w:rsidP="008D4689" w14:paraId="128D10F5" w14:textId="77777777">
            <w:pPr>
              <w:jc w:val="center"/>
              <w:rPr>
                <w:b/>
              </w:rPr>
            </w:pPr>
            <w:r w:rsidRPr="005E5E83">
              <w:rPr>
                <w:b/>
              </w:rPr>
              <w:t>Number of Hours or FTE’s</w:t>
            </w:r>
          </w:p>
        </w:tc>
        <w:tc>
          <w:tcPr>
            <w:tcW w:w="3196" w:type="dxa"/>
            <w:shd w:val="clear" w:color="auto" w:fill="CCCCCC"/>
            <w:vAlign w:val="bottom"/>
          </w:tcPr>
          <w:p w:rsidR="002C118D" w:rsidRPr="005E5E83" w:rsidP="008D4689" w14:paraId="48D03250" w14:textId="77777777">
            <w:pPr>
              <w:jc w:val="center"/>
              <w:rPr>
                <w:b/>
              </w:rPr>
            </w:pPr>
            <w:r w:rsidRPr="005E5E83">
              <w:rPr>
                <w:b/>
              </w:rPr>
              <w:t>Estimated Annual Federal Cost ($)</w:t>
            </w:r>
            <w:r>
              <w:rPr>
                <w:vertAlign w:val="superscript"/>
              </w:rPr>
              <w:footnoteReference w:id="10"/>
            </w:r>
            <w:r w:rsidRPr="005E5E83">
              <w:rPr>
                <w:b/>
              </w:rPr>
              <w:t xml:space="preserve"> </w:t>
            </w:r>
          </w:p>
        </w:tc>
      </w:tr>
      <w:tr w14:paraId="5823F039" w14:textId="77777777" w:rsidTr="00573C31">
        <w:tblPrEx>
          <w:tblW w:w="9445" w:type="dxa"/>
          <w:tblLook w:val="01E0"/>
        </w:tblPrEx>
        <w:tc>
          <w:tcPr>
            <w:tcW w:w="3148" w:type="dxa"/>
          </w:tcPr>
          <w:p w:rsidR="002C118D" w:rsidRPr="005E5E83" w:rsidP="008D4689" w14:paraId="5149305D" w14:textId="659DC968">
            <w:r w:rsidRPr="005E5E83">
              <w:t>PRA</w:t>
            </w:r>
            <w:r>
              <w:rPr>
                <w:rStyle w:val="FootnoteReference"/>
                <w:szCs w:val="24"/>
              </w:rPr>
              <w:footnoteReference w:id="11"/>
            </w:r>
            <w:r w:rsidRPr="005E5E83">
              <w:t xml:space="preserve"> Administration Cost</w:t>
            </w:r>
            <w:r>
              <w:rPr>
                <w:vertAlign w:val="superscript"/>
              </w:rPr>
              <w:footnoteReference w:id="12"/>
            </w:r>
          </w:p>
        </w:tc>
        <w:tc>
          <w:tcPr>
            <w:tcW w:w="3101" w:type="dxa"/>
            <w:shd w:val="clear" w:color="auto" w:fill="FFFFFF"/>
            <w:vAlign w:val="bottom"/>
          </w:tcPr>
          <w:p w:rsidR="002C118D" w:rsidRPr="005E5E83" w:rsidP="008D4689" w14:paraId="7FD151E6" w14:textId="77777777">
            <w:pPr>
              <w:jc w:val="right"/>
            </w:pPr>
            <w:r w:rsidRPr="005E5E83">
              <w:t>-</w:t>
            </w:r>
          </w:p>
        </w:tc>
        <w:tc>
          <w:tcPr>
            <w:tcW w:w="3196" w:type="dxa"/>
            <w:vAlign w:val="bottom"/>
          </w:tcPr>
          <w:p w:rsidR="002C118D" w:rsidRPr="005E5E83" w:rsidP="008D4689" w14:paraId="1C3FD6E6" w14:textId="4645ACAE">
            <w:pPr>
              <w:jc w:val="right"/>
            </w:pPr>
            <w:r w:rsidRPr="005E5E83">
              <w:t>$</w:t>
            </w:r>
            <w:r w:rsidR="00CF7369">
              <w:t>7,694</w:t>
            </w:r>
            <w:r>
              <w:rPr>
                <w:rStyle w:val="FootnoteReference"/>
                <w:b w:val="0"/>
              </w:rPr>
              <w:footnoteReference w:id="13"/>
            </w:r>
          </w:p>
        </w:tc>
      </w:tr>
      <w:tr w14:paraId="69BB6999" w14:textId="77777777" w:rsidTr="00573C31">
        <w:tblPrEx>
          <w:tblW w:w="9445" w:type="dxa"/>
          <w:tblLook w:val="01E0"/>
        </w:tblPrEx>
        <w:tc>
          <w:tcPr>
            <w:tcW w:w="3148" w:type="dxa"/>
            <w:vAlign w:val="bottom"/>
          </w:tcPr>
          <w:p w:rsidR="002E510C" w:rsidRPr="005E5E83" w:rsidP="008D4689" w14:paraId="75C39D29" w14:textId="77777777">
            <w:pPr>
              <w:ind w:left="720"/>
              <w:jc w:val="right"/>
              <w:rPr>
                <w:i/>
              </w:rPr>
            </w:pPr>
            <w:r w:rsidRPr="005E5E83">
              <w:t>Data Processing and Analysis, Sub-Total</w:t>
            </w:r>
            <w:r>
              <w:rPr>
                <w:rStyle w:val="FootnoteReference"/>
                <w:b w:val="0"/>
                <w:szCs w:val="24"/>
              </w:rPr>
              <w:footnoteReference w:id="14"/>
            </w:r>
          </w:p>
        </w:tc>
        <w:tc>
          <w:tcPr>
            <w:tcW w:w="3101" w:type="dxa"/>
            <w:shd w:val="clear" w:color="auto" w:fill="FFFFFF" w:themeFill="background1"/>
            <w:vAlign w:val="bottom"/>
          </w:tcPr>
          <w:p w:rsidR="002E510C" w:rsidRPr="005E5E83" w:rsidP="008D4689" w14:paraId="6C7121A8" w14:textId="1F7EE5E5">
            <w:pPr>
              <w:jc w:val="right"/>
            </w:pPr>
            <w:r w:rsidRPr="005E5E83">
              <w:t>0.75</w:t>
            </w:r>
          </w:p>
        </w:tc>
        <w:tc>
          <w:tcPr>
            <w:tcW w:w="3196" w:type="dxa"/>
            <w:vAlign w:val="bottom"/>
          </w:tcPr>
          <w:p w:rsidR="002E510C" w:rsidRPr="005E5E83" w:rsidP="008D4689" w14:paraId="4B251C4C" w14:textId="1647B081">
            <w:pPr>
              <w:jc w:val="right"/>
            </w:pPr>
            <w:r w:rsidRPr="005E5E83">
              <w:t>$1</w:t>
            </w:r>
            <w:r w:rsidR="00CF7369">
              <w:t>41,744</w:t>
            </w:r>
          </w:p>
        </w:tc>
      </w:tr>
      <w:tr w14:paraId="16E4597A" w14:textId="77777777" w:rsidTr="003E07A8">
        <w:tblPrEx>
          <w:tblW w:w="9445" w:type="dxa"/>
          <w:tblLook w:val="01E0"/>
        </w:tblPrEx>
        <w:tc>
          <w:tcPr>
            <w:tcW w:w="3148" w:type="dxa"/>
          </w:tcPr>
          <w:p w:rsidR="002E510C" w:rsidRPr="005E5E83" w:rsidP="008D4689" w14:paraId="55CEF231" w14:textId="0F969E6E">
            <w:pPr>
              <w:ind w:left="720"/>
              <w:jc w:val="right"/>
              <w:rPr>
                <w:i/>
              </w:rPr>
            </w:pPr>
            <w:r w:rsidRPr="005E5E83">
              <w:rPr>
                <w:b/>
              </w:rPr>
              <w:t>FERC Total for FERC-545</w:t>
            </w:r>
          </w:p>
        </w:tc>
        <w:tc>
          <w:tcPr>
            <w:tcW w:w="3101" w:type="dxa"/>
            <w:vAlign w:val="bottom"/>
          </w:tcPr>
          <w:p w:rsidR="002E510C" w:rsidRPr="005E5E83" w:rsidP="008D4689" w14:paraId="7F2E12F2" w14:textId="6156C8B7">
            <w:pPr>
              <w:jc w:val="right"/>
              <w:rPr>
                <w:i/>
              </w:rPr>
            </w:pPr>
          </w:p>
        </w:tc>
        <w:tc>
          <w:tcPr>
            <w:tcW w:w="3196" w:type="dxa"/>
            <w:vAlign w:val="bottom"/>
          </w:tcPr>
          <w:p w:rsidR="00FB3579" w:rsidRPr="005E5E83" w:rsidP="00FB3579" w14:paraId="2599C341" w14:textId="06880707">
            <w:pPr>
              <w:jc w:val="right"/>
            </w:pPr>
            <w:r w:rsidRPr="005E5E83">
              <w:t>$14</w:t>
            </w:r>
            <w:r w:rsidR="00CF7369">
              <w:t>9,438</w:t>
            </w:r>
          </w:p>
        </w:tc>
      </w:tr>
    </w:tbl>
    <w:p w:rsidR="00BC15BE" w:rsidRPr="005E5E83" w:rsidP="00BC15BE" w14:paraId="2ED17E47" w14:textId="77777777"/>
    <w:p w:rsidR="00AC5B84" w:rsidRPr="005E5E83" w:rsidP="00AC5B84" w14:paraId="116A3679" w14:textId="229E72D9">
      <w:pPr>
        <w:pStyle w:val="Level1"/>
        <w:rPr>
          <w:b/>
          <w:sz w:val="26"/>
        </w:rPr>
      </w:pPr>
      <w:r w:rsidRPr="005E5E83">
        <w:rPr>
          <w:b/>
          <w:sz w:val="26"/>
        </w:rPr>
        <w:t>REASONS FOR CHANGES IN BURDEN INCLUDING THE NEED FOR ANY INCREASE</w:t>
      </w:r>
    </w:p>
    <w:p w:rsidR="00573C31" w:rsidRPr="005E5E83" w:rsidP="00573C31" w14:paraId="33A8BD82" w14:textId="77777777">
      <w:pPr>
        <w:pStyle w:val="Level1"/>
        <w:numPr>
          <w:ilvl w:val="0"/>
          <w:numId w:val="0"/>
        </w:numPr>
        <w:rPr>
          <w:b/>
          <w:sz w:val="26"/>
        </w:rPr>
      </w:pPr>
    </w:p>
    <w:p w:rsidR="00A14FC1" w:rsidRPr="005E5E83" w:rsidP="00A14FC1" w14:paraId="1B903790" w14:textId="2AF2BC2B">
      <w:pPr>
        <w:rPr>
          <w:rFonts w:eastAsia="Calibri"/>
        </w:rPr>
      </w:pPr>
      <w:r>
        <w:t xml:space="preserve">The </w:t>
      </w:r>
      <w:r w:rsidR="00421B15">
        <w:t xml:space="preserve">final </w:t>
      </w:r>
      <w:r>
        <w:t>rule</w:t>
      </w:r>
      <w:r w:rsidR="00697A15">
        <w:t xml:space="preserve"> </w:t>
      </w:r>
      <w:r w:rsidR="00421B15">
        <w:t xml:space="preserve">in Docket No. </w:t>
      </w:r>
      <w:r w:rsidR="00697A15">
        <w:t>RM21-18-000</w:t>
      </w:r>
      <w:r>
        <w:t xml:space="preserve"> seeks to require submissions for </w:t>
      </w:r>
      <w:r w:rsidR="00421B15">
        <w:t xml:space="preserve">NGA </w:t>
      </w:r>
      <w:r>
        <w:t xml:space="preserve">section 4 rate cases to be submitted in native file format with links and formulas. </w:t>
      </w:r>
      <w:r w:rsidR="00421B15">
        <w:t xml:space="preserve"> </w:t>
      </w:r>
      <w:r>
        <w:t>The Commission</w:t>
      </w:r>
      <w:r w:rsidR="0013450D">
        <w:t xml:space="preserve"> estimates a increase in </w:t>
      </w:r>
      <w:r w:rsidR="004C76B9">
        <w:t xml:space="preserve">total </w:t>
      </w:r>
      <w:r w:rsidR="0013450D">
        <w:t>burden</w:t>
      </w:r>
      <w:r w:rsidR="00754A71">
        <w:t xml:space="preserve"> of 800 hours</w:t>
      </w:r>
      <w:r w:rsidR="0013450D">
        <w:t xml:space="preserve"> since </w:t>
      </w:r>
      <w:r>
        <w:t xml:space="preserve">the new rate cases would use the native format submissions. </w:t>
      </w:r>
    </w:p>
    <w:p w:rsidR="002C118D" w:rsidRPr="005E5E83" w:rsidP="002C118D" w14:paraId="2A77D060" w14:textId="77777777"/>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957"/>
      </w:tblGrid>
      <w:tr w14:paraId="5CE990D0" w14:textId="77777777" w:rsidTr="003F1AE2">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bottom w:val="single" w:sz="4" w:space="0" w:color="auto"/>
            </w:tcBorders>
            <w:shd w:val="clear" w:color="auto" w:fill="D9D9D9"/>
            <w:vAlign w:val="bottom"/>
          </w:tcPr>
          <w:p w:rsidR="002C118D" w:rsidRPr="005E5E83" w:rsidP="008D4689" w14:paraId="5181CF69" w14:textId="77777777">
            <w:pPr>
              <w:jc w:val="center"/>
              <w:rPr>
                <w:rFonts w:eastAsia="Calibri"/>
                <w:b/>
              </w:rPr>
            </w:pPr>
          </w:p>
        </w:tc>
        <w:tc>
          <w:tcPr>
            <w:tcW w:w="1461" w:type="dxa"/>
            <w:tcBorders>
              <w:bottom w:val="single" w:sz="4" w:space="0" w:color="auto"/>
            </w:tcBorders>
            <w:shd w:val="clear" w:color="auto" w:fill="D9D9D9"/>
            <w:vAlign w:val="bottom"/>
          </w:tcPr>
          <w:p w:rsidR="002C118D" w:rsidRPr="005E5E83" w:rsidP="008D4689" w14:paraId="7BFED57E" w14:textId="77777777">
            <w:pPr>
              <w:jc w:val="center"/>
              <w:rPr>
                <w:rFonts w:eastAsia="Calibri"/>
                <w:b/>
              </w:rPr>
            </w:pPr>
            <w:r w:rsidRPr="005E5E83">
              <w:rPr>
                <w:rFonts w:eastAsia="Calibri"/>
                <w:b/>
              </w:rPr>
              <w:t>Total Request</w:t>
            </w:r>
          </w:p>
        </w:tc>
        <w:tc>
          <w:tcPr>
            <w:tcW w:w="1620" w:type="dxa"/>
            <w:tcBorders>
              <w:bottom w:val="single" w:sz="4" w:space="0" w:color="auto"/>
            </w:tcBorders>
            <w:shd w:val="clear" w:color="auto" w:fill="D9D9D9"/>
            <w:vAlign w:val="bottom"/>
          </w:tcPr>
          <w:p w:rsidR="002C118D" w:rsidRPr="005E5E83" w:rsidP="008D4689" w14:paraId="7A51479E" w14:textId="77777777">
            <w:pPr>
              <w:jc w:val="center"/>
              <w:rPr>
                <w:rFonts w:eastAsia="Calibri"/>
                <w:b/>
              </w:rPr>
            </w:pPr>
            <w:r w:rsidRPr="005E5E83">
              <w:rPr>
                <w:rFonts w:eastAsia="Calibri"/>
                <w:b/>
              </w:rPr>
              <w:t>Previously Approved</w:t>
            </w:r>
          </w:p>
        </w:tc>
        <w:tc>
          <w:tcPr>
            <w:tcW w:w="1800" w:type="dxa"/>
            <w:tcBorders>
              <w:bottom w:val="single" w:sz="4" w:space="0" w:color="auto"/>
            </w:tcBorders>
            <w:shd w:val="clear" w:color="auto" w:fill="D9D9D9"/>
            <w:vAlign w:val="bottom"/>
          </w:tcPr>
          <w:p w:rsidR="002C118D" w:rsidRPr="005E5E83" w:rsidP="008D4689" w14:paraId="1B357A8D" w14:textId="77777777">
            <w:pPr>
              <w:jc w:val="center"/>
              <w:rPr>
                <w:rFonts w:eastAsia="Calibri"/>
                <w:b/>
              </w:rPr>
            </w:pPr>
            <w:r w:rsidRPr="005E5E83">
              <w:rPr>
                <w:rFonts w:eastAsia="Calibri"/>
                <w:b/>
              </w:rPr>
              <w:t>Change due to Adjustment in Estimate</w:t>
            </w:r>
          </w:p>
        </w:tc>
        <w:tc>
          <w:tcPr>
            <w:tcW w:w="1957" w:type="dxa"/>
            <w:tcBorders>
              <w:bottom w:val="single" w:sz="4" w:space="0" w:color="auto"/>
            </w:tcBorders>
            <w:shd w:val="clear" w:color="auto" w:fill="D9D9D9"/>
            <w:vAlign w:val="bottom"/>
          </w:tcPr>
          <w:p w:rsidR="002C118D" w:rsidRPr="005E5E83" w:rsidP="008D4689" w14:paraId="6DAB3A54" w14:textId="77777777">
            <w:pPr>
              <w:jc w:val="center"/>
              <w:rPr>
                <w:rFonts w:eastAsia="Calibri"/>
                <w:b/>
              </w:rPr>
            </w:pPr>
            <w:r w:rsidRPr="005E5E83">
              <w:rPr>
                <w:rFonts w:eastAsia="Calibri"/>
                <w:b/>
              </w:rPr>
              <w:t>Change Due to Agency Discretion</w:t>
            </w:r>
          </w:p>
        </w:tc>
      </w:tr>
      <w:tr w14:paraId="5A63EA38" w14:textId="77777777" w:rsidTr="003F1AE2">
        <w:tblPrEx>
          <w:tblW w:w="9517" w:type="dxa"/>
          <w:tblInd w:w="18" w:type="dxa"/>
          <w:tblLook w:val="01E0"/>
        </w:tblPrEx>
        <w:trPr>
          <w:trHeight w:val="431"/>
        </w:trPr>
        <w:tc>
          <w:tcPr>
            <w:tcW w:w="9517" w:type="dxa"/>
            <w:gridSpan w:val="5"/>
            <w:shd w:val="clear" w:color="auto" w:fill="C6D9F0" w:themeFill="text2" w:themeFillTint="33"/>
            <w:vAlign w:val="bottom"/>
          </w:tcPr>
          <w:p w:rsidR="002C118D" w:rsidRPr="005E5E83" w:rsidP="008D4689" w14:paraId="076575C6" w14:textId="77777777">
            <w:pPr>
              <w:jc w:val="center"/>
              <w:rPr>
                <w:b/>
                <w:bCs/>
              </w:rPr>
            </w:pPr>
            <w:r w:rsidRPr="005E5E83">
              <w:rPr>
                <w:b/>
                <w:bCs/>
              </w:rPr>
              <w:t>FERC-545</w:t>
            </w:r>
          </w:p>
        </w:tc>
      </w:tr>
      <w:tr w14:paraId="05D53088" w14:textId="77777777" w:rsidTr="003F1AE2">
        <w:tblPrEx>
          <w:tblW w:w="9517" w:type="dxa"/>
          <w:tblInd w:w="18" w:type="dxa"/>
          <w:tblLook w:val="01E0"/>
        </w:tblPrEx>
        <w:trPr>
          <w:trHeight w:val="591"/>
        </w:trPr>
        <w:tc>
          <w:tcPr>
            <w:tcW w:w="2679" w:type="dxa"/>
            <w:shd w:val="clear" w:color="auto" w:fill="auto"/>
          </w:tcPr>
          <w:p w:rsidR="002C118D" w:rsidRPr="005E5E83" w:rsidP="008D4689" w14:paraId="461D5683" w14:textId="77777777">
            <w:pPr>
              <w:jc w:val="center"/>
              <w:rPr>
                <w:rFonts w:eastAsia="Calibri"/>
              </w:rPr>
            </w:pPr>
            <w:r w:rsidRPr="005E5E83">
              <w:rPr>
                <w:rFonts w:eastAsia="Calibri"/>
              </w:rPr>
              <w:t>Annual Number of Responses</w:t>
            </w:r>
          </w:p>
        </w:tc>
        <w:tc>
          <w:tcPr>
            <w:tcW w:w="1461" w:type="dxa"/>
            <w:shd w:val="clear" w:color="auto" w:fill="auto"/>
            <w:vAlign w:val="bottom"/>
          </w:tcPr>
          <w:p w:rsidR="002C118D" w:rsidRPr="005E5E83" w:rsidP="00862E03" w14:paraId="6E8CB634" w14:textId="7D62F51F">
            <w:pPr>
              <w:jc w:val="center"/>
              <w:rPr>
                <w:rFonts w:eastAsia="Calibri"/>
              </w:rPr>
            </w:pPr>
            <w:r w:rsidRPr="005E5E83">
              <w:rPr>
                <w:rFonts w:eastAsia="Calibri"/>
              </w:rPr>
              <w:t>1,3</w:t>
            </w:r>
            <w:r w:rsidR="00BD1E82">
              <w:rPr>
                <w:rFonts w:eastAsia="Calibri"/>
              </w:rPr>
              <w:t>71</w:t>
            </w:r>
          </w:p>
        </w:tc>
        <w:tc>
          <w:tcPr>
            <w:tcW w:w="1620" w:type="dxa"/>
            <w:shd w:val="clear" w:color="auto" w:fill="auto"/>
            <w:vAlign w:val="bottom"/>
          </w:tcPr>
          <w:p w:rsidR="002C118D" w:rsidRPr="005E5E83" w:rsidP="00862E03" w14:paraId="2736E832" w14:textId="5862B141">
            <w:pPr>
              <w:jc w:val="center"/>
              <w:rPr>
                <w:rFonts w:eastAsia="Calibri"/>
              </w:rPr>
            </w:pPr>
            <w:r w:rsidRPr="005E5E83">
              <w:rPr>
                <w:rFonts w:eastAsia="Calibri"/>
              </w:rPr>
              <w:t>1</w:t>
            </w:r>
            <w:r w:rsidRPr="005E5E83" w:rsidR="001D5A3B">
              <w:rPr>
                <w:rFonts w:eastAsia="Calibri"/>
              </w:rPr>
              <w:t>,</w:t>
            </w:r>
            <w:r w:rsidR="00C120AD">
              <w:rPr>
                <w:rFonts w:eastAsia="Calibri"/>
              </w:rPr>
              <w:t>363</w:t>
            </w:r>
          </w:p>
        </w:tc>
        <w:tc>
          <w:tcPr>
            <w:tcW w:w="1800" w:type="dxa"/>
            <w:shd w:val="clear" w:color="auto" w:fill="auto"/>
            <w:vAlign w:val="bottom"/>
          </w:tcPr>
          <w:p w:rsidR="002C118D" w:rsidRPr="005E5E83" w:rsidP="00ED367B" w14:paraId="00769106" w14:textId="1D968B70">
            <w:pPr>
              <w:jc w:val="center"/>
              <w:rPr>
                <w:rFonts w:eastAsia="Calibri"/>
              </w:rPr>
            </w:pPr>
            <w:r>
              <w:rPr>
                <w:rFonts w:eastAsia="Calibri"/>
              </w:rPr>
              <w:t>0</w:t>
            </w:r>
          </w:p>
        </w:tc>
        <w:tc>
          <w:tcPr>
            <w:tcW w:w="1957" w:type="dxa"/>
            <w:shd w:val="clear" w:color="auto" w:fill="auto"/>
            <w:vAlign w:val="bottom"/>
          </w:tcPr>
          <w:p w:rsidR="002C118D" w:rsidRPr="005E5E83" w:rsidP="00862E03" w14:paraId="5FA631E6" w14:textId="336FFB04">
            <w:pPr>
              <w:jc w:val="center"/>
              <w:rPr>
                <w:rFonts w:eastAsia="Calibri"/>
              </w:rPr>
            </w:pPr>
            <w:r>
              <w:rPr>
                <w:rFonts w:eastAsia="Calibri"/>
              </w:rPr>
              <w:t>8</w:t>
            </w:r>
          </w:p>
        </w:tc>
      </w:tr>
      <w:tr w14:paraId="4B89B22C" w14:textId="77777777" w:rsidTr="003F1AE2">
        <w:tblPrEx>
          <w:tblW w:w="9517" w:type="dxa"/>
          <w:tblInd w:w="18" w:type="dxa"/>
          <w:tblLook w:val="01E0"/>
        </w:tblPrEx>
        <w:trPr>
          <w:trHeight w:val="575"/>
        </w:trPr>
        <w:tc>
          <w:tcPr>
            <w:tcW w:w="2679" w:type="dxa"/>
            <w:shd w:val="clear" w:color="auto" w:fill="auto"/>
          </w:tcPr>
          <w:p w:rsidR="002C118D" w:rsidRPr="005E5E83" w:rsidP="008D4689" w14:paraId="5EB38687" w14:textId="77777777">
            <w:pPr>
              <w:jc w:val="center"/>
              <w:rPr>
                <w:rFonts w:eastAsia="Calibri"/>
              </w:rPr>
            </w:pPr>
            <w:r w:rsidRPr="005E5E83">
              <w:rPr>
                <w:rFonts w:eastAsia="Calibri"/>
              </w:rPr>
              <w:t>Annual Time Burden (Hr.)</w:t>
            </w:r>
          </w:p>
        </w:tc>
        <w:tc>
          <w:tcPr>
            <w:tcW w:w="1461" w:type="dxa"/>
            <w:shd w:val="clear" w:color="auto" w:fill="auto"/>
            <w:vAlign w:val="bottom"/>
          </w:tcPr>
          <w:p w:rsidR="002C118D" w:rsidRPr="00D4792E" w:rsidP="00862E03" w14:paraId="283CE0EE" w14:textId="50E80690">
            <w:pPr>
              <w:jc w:val="center"/>
              <w:rPr>
                <w:rFonts w:eastAsia="Calibri"/>
                <w:bCs/>
              </w:rPr>
            </w:pPr>
            <w:r w:rsidRPr="00D4792E">
              <w:rPr>
                <w:rFonts w:eastAsia="Calibri"/>
                <w:bCs/>
                <w:szCs w:val="26"/>
              </w:rPr>
              <w:t>306,61</w:t>
            </w:r>
            <w:r w:rsidR="00AB4F6F">
              <w:rPr>
                <w:rFonts w:eastAsia="Calibri"/>
                <w:bCs/>
                <w:szCs w:val="26"/>
              </w:rPr>
              <w:t>2</w:t>
            </w:r>
          </w:p>
        </w:tc>
        <w:tc>
          <w:tcPr>
            <w:tcW w:w="1620" w:type="dxa"/>
            <w:shd w:val="clear" w:color="auto" w:fill="auto"/>
            <w:vAlign w:val="bottom"/>
          </w:tcPr>
          <w:p w:rsidR="002C118D" w:rsidRPr="005E5E83" w:rsidP="00862E03" w14:paraId="428DD5EA" w14:textId="2C7D2F0A">
            <w:pPr>
              <w:jc w:val="center"/>
              <w:rPr>
                <w:rFonts w:eastAsia="Calibri"/>
              </w:rPr>
            </w:pPr>
            <w:r>
              <w:rPr>
                <w:rFonts w:eastAsia="Calibri"/>
              </w:rPr>
              <w:t>305,812</w:t>
            </w:r>
          </w:p>
        </w:tc>
        <w:tc>
          <w:tcPr>
            <w:tcW w:w="1800" w:type="dxa"/>
            <w:shd w:val="clear" w:color="auto" w:fill="auto"/>
            <w:vAlign w:val="bottom"/>
          </w:tcPr>
          <w:p w:rsidR="002C118D" w:rsidRPr="005E5E83" w:rsidP="00862E03" w14:paraId="56544879" w14:textId="7A435E3D">
            <w:pPr>
              <w:jc w:val="center"/>
              <w:rPr>
                <w:rFonts w:eastAsia="Calibri"/>
              </w:rPr>
            </w:pPr>
            <w:r>
              <w:rPr>
                <w:rFonts w:eastAsia="Calibri"/>
              </w:rPr>
              <w:t>0</w:t>
            </w:r>
          </w:p>
        </w:tc>
        <w:tc>
          <w:tcPr>
            <w:tcW w:w="1957" w:type="dxa"/>
            <w:shd w:val="clear" w:color="auto" w:fill="auto"/>
            <w:vAlign w:val="bottom"/>
          </w:tcPr>
          <w:p w:rsidR="002C118D" w:rsidRPr="005E5E83" w:rsidP="00862E03" w14:paraId="7A6D3B52" w14:textId="6318A52D">
            <w:pPr>
              <w:jc w:val="center"/>
              <w:rPr>
                <w:rFonts w:eastAsia="Calibri"/>
              </w:rPr>
            </w:pPr>
            <w:r>
              <w:rPr>
                <w:rFonts w:eastAsia="Calibri"/>
              </w:rPr>
              <w:t>80</w:t>
            </w:r>
            <w:r w:rsidR="00AB4F6F">
              <w:rPr>
                <w:rFonts w:eastAsia="Calibri"/>
              </w:rPr>
              <w:t>0</w:t>
            </w:r>
          </w:p>
        </w:tc>
      </w:tr>
      <w:tr w14:paraId="3CC2CB67" w14:textId="77777777" w:rsidTr="003F1AE2">
        <w:tblPrEx>
          <w:tblW w:w="9517" w:type="dxa"/>
          <w:tblInd w:w="18" w:type="dxa"/>
          <w:tblLook w:val="01E0"/>
        </w:tblPrEx>
        <w:trPr>
          <w:trHeight w:val="295"/>
        </w:trPr>
        <w:tc>
          <w:tcPr>
            <w:tcW w:w="2679" w:type="dxa"/>
            <w:tcBorders>
              <w:bottom w:val="single" w:sz="4" w:space="0" w:color="auto"/>
            </w:tcBorders>
            <w:shd w:val="clear" w:color="auto" w:fill="auto"/>
          </w:tcPr>
          <w:p w:rsidR="002C118D" w:rsidRPr="005E5E83" w:rsidP="008D4689" w14:paraId="7C8525B6" w14:textId="77777777">
            <w:pPr>
              <w:jc w:val="center"/>
              <w:rPr>
                <w:rFonts w:eastAsia="Calibri"/>
              </w:rPr>
            </w:pPr>
            <w:r w:rsidRPr="005E5E83">
              <w:rPr>
                <w:rFonts w:eastAsia="Calibri"/>
              </w:rPr>
              <w:t>Annual Cost Burden ($)</w:t>
            </w:r>
          </w:p>
        </w:tc>
        <w:tc>
          <w:tcPr>
            <w:tcW w:w="1461" w:type="dxa"/>
            <w:tcBorders>
              <w:bottom w:val="single" w:sz="4" w:space="0" w:color="auto"/>
            </w:tcBorders>
            <w:shd w:val="clear" w:color="auto" w:fill="auto"/>
            <w:vAlign w:val="bottom"/>
          </w:tcPr>
          <w:p w:rsidR="002C118D" w:rsidRPr="005E5E83" w:rsidP="00862E03" w14:paraId="1B04AE41" w14:textId="77777777">
            <w:pPr>
              <w:jc w:val="center"/>
              <w:rPr>
                <w:rFonts w:eastAsia="Calibri"/>
                <w:highlight w:val="yellow"/>
              </w:rPr>
            </w:pPr>
            <w:r w:rsidRPr="005E5E83">
              <w:rPr>
                <w:rFonts w:eastAsia="Calibri"/>
              </w:rPr>
              <w:t>$0</w:t>
            </w:r>
          </w:p>
        </w:tc>
        <w:tc>
          <w:tcPr>
            <w:tcW w:w="1620" w:type="dxa"/>
            <w:tcBorders>
              <w:bottom w:val="single" w:sz="4" w:space="0" w:color="auto"/>
            </w:tcBorders>
            <w:shd w:val="clear" w:color="auto" w:fill="auto"/>
            <w:vAlign w:val="bottom"/>
          </w:tcPr>
          <w:p w:rsidR="002C118D" w:rsidRPr="005E5E83" w:rsidP="00862E03" w14:paraId="1D9DC643" w14:textId="77777777">
            <w:pPr>
              <w:jc w:val="center"/>
              <w:rPr>
                <w:rFonts w:eastAsia="Calibri"/>
              </w:rPr>
            </w:pPr>
            <w:r w:rsidRPr="005E5E83">
              <w:rPr>
                <w:rFonts w:eastAsia="Calibri"/>
              </w:rPr>
              <w:t>$0</w:t>
            </w:r>
          </w:p>
        </w:tc>
        <w:tc>
          <w:tcPr>
            <w:tcW w:w="1800" w:type="dxa"/>
            <w:tcBorders>
              <w:bottom w:val="single" w:sz="4" w:space="0" w:color="auto"/>
            </w:tcBorders>
            <w:shd w:val="clear" w:color="auto" w:fill="auto"/>
            <w:vAlign w:val="bottom"/>
          </w:tcPr>
          <w:p w:rsidR="002C118D" w:rsidRPr="005E5E83" w:rsidP="00862E03" w14:paraId="48CBB93A" w14:textId="77777777">
            <w:pPr>
              <w:jc w:val="center"/>
              <w:rPr>
                <w:rFonts w:eastAsia="Calibri"/>
              </w:rPr>
            </w:pPr>
            <w:r w:rsidRPr="005E5E83">
              <w:rPr>
                <w:rFonts w:eastAsia="Calibri"/>
              </w:rPr>
              <w:t>$0</w:t>
            </w:r>
          </w:p>
        </w:tc>
        <w:tc>
          <w:tcPr>
            <w:tcW w:w="1957" w:type="dxa"/>
            <w:tcBorders>
              <w:bottom w:val="single" w:sz="4" w:space="0" w:color="auto"/>
            </w:tcBorders>
            <w:shd w:val="clear" w:color="auto" w:fill="auto"/>
            <w:vAlign w:val="bottom"/>
          </w:tcPr>
          <w:p w:rsidR="002C118D" w:rsidRPr="005E5E83" w:rsidP="00862E03" w14:paraId="4A8DCB73" w14:textId="77777777">
            <w:pPr>
              <w:jc w:val="center"/>
              <w:rPr>
                <w:rFonts w:eastAsia="Calibri"/>
              </w:rPr>
            </w:pPr>
            <w:r w:rsidRPr="005E5E83">
              <w:rPr>
                <w:rFonts w:eastAsia="Calibri"/>
              </w:rPr>
              <w:t>$0</w:t>
            </w:r>
          </w:p>
        </w:tc>
      </w:tr>
    </w:tbl>
    <w:p w:rsidR="002C118D" w:rsidRPr="005E5E83" w:rsidP="00E443F9" w14:paraId="1801F2FB" w14:textId="55B8E21A">
      <w:pPr>
        <w:jc w:val="center"/>
      </w:pPr>
    </w:p>
    <w:p w:rsidR="00BC15BE" w:rsidRPr="005E5E83" w:rsidP="00BC15BE" w14:paraId="1DD34261" w14:textId="77777777">
      <w:pPr>
        <w:pStyle w:val="Level1"/>
        <w:rPr>
          <w:b/>
          <w:sz w:val="26"/>
        </w:rPr>
      </w:pPr>
      <w:r w:rsidRPr="005E5E83">
        <w:rPr>
          <w:b/>
          <w:sz w:val="26"/>
        </w:rPr>
        <w:t>TIME SCHEDULE FOR PUBLICATION OF DATA</w:t>
      </w:r>
    </w:p>
    <w:p w:rsidR="003808AD" w:rsidRPr="005E5E83" w:rsidP="00DF6937" w14:paraId="4315C849" w14:textId="77777777"/>
    <w:p w:rsidR="00DF6937" w:rsidRPr="005E5E83" w:rsidP="00DF6937" w14:paraId="7E8CED75" w14:textId="35B15FA1">
      <w:r w:rsidRPr="005E5E83">
        <w:t>D</w:t>
      </w:r>
      <w:r w:rsidRPr="005E5E83" w:rsidR="005E583F">
        <w:t>espite the fact that FERC-545 data are publicly available,</w:t>
      </w:r>
      <w:r w:rsidRPr="005E5E83">
        <w:t xml:space="preserve"> there </w:t>
      </w:r>
      <w:r w:rsidRPr="005E5E83" w:rsidR="005E583F">
        <w:t>are</w:t>
      </w:r>
      <w:r w:rsidRPr="005E5E83">
        <w:t xml:space="preserve"> no tabulating, statistical or publication plans.</w:t>
      </w:r>
    </w:p>
    <w:p w:rsidR="00BC15BE" w:rsidRPr="005E5E83" w:rsidP="00BC15BE" w14:paraId="02004AD4" w14:textId="77777777"/>
    <w:p w:rsidR="00BC15BE" w:rsidRPr="005E5E83" w:rsidP="00BC15BE" w14:paraId="604362A8" w14:textId="77777777">
      <w:pPr>
        <w:pStyle w:val="Level1"/>
        <w:rPr>
          <w:b/>
          <w:sz w:val="26"/>
        </w:rPr>
      </w:pPr>
      <w:r w:rsidRPr="005E5E83">
        <w:rPr>
          <w:b/>
          <w:sz w:val="26"/>
        </w:rPr>
        <w:t>DISPLAY OF EXPIRATION DATE</w:t>
      </w:r>
    </w:p>
    <w:p w:rsidR="000C0189" w:rsidRPr="005E5E83" w:rsidP="00BC15BE" w14:paraId="3EFB0E76" w14:textId="77777777"/>
    <w:p w:rsidR="00ED2A21" w:rsidRPr="005E5E83" w:rsidP="00ED2A21" w14:paraId="4E3662B7" w14:textId="619D9C52">
      <w:pPr>
        <w:rPr>
          <w:rFonts w:eastAsiaTheme="minorHAnsi"/>
        </w:rPr>
      </w:pPr>
      <w:r w:rsidRPr="005E5E83">
        <w:rPr>
          <w:rFonts w:eastAsiaTheme="minorHAnsi"/>
        </w:rPr>
        <w:t xml:space="preserve">The expiration date is displayed in a table posted on ferc.gov at </w:t>
      </w:r>
      <w:hyperlink r:id="rId9" w:history="1">
        <w:r w:rsidRPr="005E5E83">
          <w:rPr>
            <w:rFonts w:eastAsiaTheme="minorHAnsi"/>
            <w:color w:val="0000FF"/>
            <w:u w:val="single"/>
          </w:rPr>
          <w:t>https://www.ferc.gov/information-collections</w:t>
        </w:r>
      </w:hyperlink>
    </w:p>
    <w:p w:rsidR="00BC15BE" w:rsidRPr="005E5E83" w:rsidP="00BC15BE" w14:paraId="39DDEEB5" w14:textId="77777777"/>
    <w:p w:rsidR="00BC15BE" w:rsidRPr="005E5E83" w:rsidP="00BC15BE" w14:paraId="121B55AC" w14:textId="77777777">
      <w:pPr>
        <w:pStyle w:val="Level1"/>
        <w:rPr>
          <w:b/>
          <w:sz w:val="26"/>
        </w:rPr>
      </w:pPr>
      <w:r w:rsidRPr="005E5E83">
        <w:rPr>
          <w:b/>
          <w:sz w:val="26"/>
        </w:rPr>
        <w:t>EXCEPTIONS TO THE CERTIFICATION STATEMENT</w:t>
      </w:r>
    </w:p>
    <w:p w:rsidR="000C0189" w:rsidRPr="005E5E83" w:rsidP="00BC15BE" w14:paraId="4508C369" w14:textId="77777777"/>
    <w:p w:rsidR="00BC15BE" w:rsidRPr="005E5E83" w:rsidP="00BC15BE" w14:paraId="7C3D7C44" w14:textId="77777777">
      <w:r w:rsidRPr="005E5E83">
        <w:t>There are no exceptions.</w:t>
      </w:r>
    </w:p>
    <w:p w:rsidR="0010764F" w14:paraId="5DD536D6" w14:textId="77777777"/>
    <w:p w:rsidR="00F07BDF" w14:paraId="621BD155" w14:textId="77777777"/>
    <w:p w:rsidR="00F07BDF" w14:paraId="5AB43116" w14:textId="77777777"/>
    <w:p w:rsidR="00F07BDF" w14:paraId="39C14F33" w14:textId="77777777"/>
    <w:p w:rsidR="00F07BDF" w14:paraId="2FF062BB" w14:textId="77777777"/>
    <w:p w:rsidR="00F07BDF" w14:paraId="54828856" w14:textId="77777777"/>
    <w:p w:rsidR="00F07BDF" w14:paraId="168ED91E" w14:textId="77777777"/>
    <w:p w:rsidR="00F07BDF" w14:paraId="60D78A8F" w14:textId="77777777"/>
    <w:p w:rsidR="00F07BDF" w14:paraId="558B7398" w14:textId="77777777"/>
    <w:p w:rsidR="00F07BDF" w14:paraId="5F17A380" w14:textId="77777777"/>
    <w:p w:rsidR="00F07BDF" w14:paraId="551636E3" w14:textId="77777777"/>
    <w:p w:rsidR="00F07BDF" w14:paraId="47889A49" w14:textId="77777777"/>
    <w:p w:rsidR="00F07BDF" w14:paraId="1D6B7AB3" w14:textId="77777777"/>
    <w:p w:rsidR="00F07BDF" w14:paraId="1EF1A2EE" w14:textId="77777777"/>
    <w:p w:rsidR="00F07BDF" w14:paraId="04A8E015" w14:textId="77777777"/>
    <w:p w:rsidR="00F07BDF" w14:paraId="0AB3D582" w14:textId="77777777"/>
    <w:p w:rsidR="00F07BDF" w14:paraId="493A7A67" w14:textId="77777777"/>
    <w:p w:rsidR="00F07BDF" w14:paraId="40813CCF" w14:textId="77777777"/>
    <w:p w:rsidR="00F07BDF" w14:paraId="56D761E3" w14:textId="77777777"/>
    <w:p w:rsidR="00F07BDF" w14:paraId="35DD0052" w14:textId="77777777"/>
    <w:p w:rsidR="00F07BDF" w14:paraId="74ACC98D" w14:textId="77777777"/>
    <w:p w:rsidR="00F07BDF" w14:paraId="24A33716" w14:textId="77777777"/>
    <w:p w:rsidR="00F07BDF" w14:paraId="309BAF50" w14:textId="77777777"/>
    <w:p w:rsidR="00F07BDF" w14:paraId="167F0D45" w14:textId="77777777"/>
    <w:p w:rsidR="00F07BDF" w14:paraId="286A2A8E" w14:textId="77777777"/>
    <w:p w:rsidR="00F07BDF" w14:paraId="7B71F7D8" w14:textId="77777777"/>
    <w:p w:rsidR="00F07BDF" w14:paraId="13A69ADB" w14:textId="77777777"/>
    <w:p w:rsidR="00F07BDF" w14:paraId="301396E1" w14:textId="77777777"/>
    <w:p w:rsidR="00F07BDF" w:rsidRPr="00116C0D" w:rsidP="00F07BDF" w14:paraId="007DB631" w14:textId="77777777">
      <w:pPr>
        <w:rPr>
          <w:b/>
          <w:bCs/>
        </w:rPr>
      </w:pPr>
      <w:r w:rsidRPr="00116C0D">
        <w:rPr>
          <w:b/>
          <w:bCs/>
        </w:rPr>
        <w:t>APPENDIX A</w:t>
      </w:r>
    </w:p>
    <w:p w:rsidR="00F07BDF" w:rsidP="00F07BDF" w14:paraId="71C3235B" w14:textId="77777777">
      <w:r>
        <w:t>FILE CREATION HINTS</w:t>
      </w:r>
    </w:p>
    <w:p w:rsidR="00F07BDF" w:rsidP="00F07BDF" w14:paraId="663044AE" w14:textId="77777777">
      <w:r>
        <w:t>TAB-DELIMITED FILES</w:t>
      </w:r>
    </w:p>
    <w:p w:rsidR="00F07BDF" w:rsidP="00F07BDF" w14:paraId="64C7BEDF" w14:textId="77777777">
      <w:r>
        <w:t xml:space="preserve">1. If you are using </w:t>
      </w:r>
      <w:r>
        <w:t>wordprocessing</w:t>
      </w:r>
      <w:r>
        <w:t xml:space="preserve"> software to create a </w:t>
      </w:r>
      <w:r>
        <w:t>tabdelimited</w:t>
      </w:r>
      <w:r>
        <w:t xml:space="preserve"> file, make sure the package you select has the </w:t>
      </w:r>
    </w:p>
    <w:p w:rsidR="00F07BDF" w:rsidP="00F07BDF" w14:paraId="5DF24DEC" w14:textId="77777777">
      <w:r>
        <w:t>capability to convert a "TAB" character to an ASCII 9 -</w:t>
      </w:r>
    </w:p>
    <w:p w:rsidR="00F07BDF" w:rsidP="00F07BDF" w14:paraId="33A43991" w14:textId="77777777">
      <w:r>
        <w:t xml:space="preserve">decimal or 09 - hexadecimal character, and does not just </w:t>
      </w:r>
    </w:p>
    <w:p w:rsidR="00F07BDF" w:rsidP="00F07BDF" w14:paraId="3E41398E" w14:textId="77777777">
      <w:r>
        <w:t xml:space="preserve">convert the "TAB" into a certain number of blank spaces. </w:t>
      </w:r>
    </w:p>
    <w:p w:rsidR="00F07BDF" w:rsidP="00F07BDF" w14:paraId="6749DA2B" w14:textId="77777777">
      <w:r>
        <w:t xml:space="preserve">To save a file in tab-delimited format, use the following </w:t>
      </w:r>
    </w:p>
    <w:p w:rsidR="00F07BDF" w:rsidP="00F07BDF" w14:paraId="17439ECE" w14:textId="77777777">
      <w:r>
        <w:t>instructions:</w:t>
      </w:r>
    </w:p>
    <w:p w:rsidR="00F07BDF" w:rsidP="00F07BDF" w14:paraId="18300FFE" w14:textId="77777777">
      <w:r>
        <w:t>A WordPerfect:</w:t>
      </w:r>
    </w:p>
    <w:p w:rsidR="00F07BDF" w:rsidP="00F07BDF" w14:paraId="06E23DDF" w14:textId="77777777">
      <w:r>
        <w:t xml:space="preserve">1. DOS versions through 5.1 - Create the individual </w:t>
      </w:r>
    </w:p>
    <w:p w:rsidR="00F07BDF" w:rsidP="00F07BDF" w14:paraId="306C4923" w14:textId="77777777">
      <w:r>
        <w:t xml:space="preserve">records using the "TAB" key to separate the data </w:t>
      </w:r>
    </w:p>
    <w:p w:rsidR="00F07BDF" w:rsidP="00F07BDF" w14:paraId="453E953D" w14:textId="77777777">
      <w:r>
        <w:t xml:space="preserve">items and the "Enter" key to end each record </w:t>
      </w:r>
    </w:p>
    <w:p w:rsidR="00F07BDF" w:rsidP="00F07BDF" w14:paraId="0CF0109E" w14:textId="77777777">
      <w:r>
        <w:t xml:space="preserve">with a carriage return/line feed. Save the file </w:t>
      </w:r>
    </w:p>
    <w:p w:rsidR="00F07BDF" w:rsidP="00F07BDF" w14:paraId="70BA2D80" w14:textId="77777777">
      <w:r>
        <w:t xml:space="preserve">using the "Text In/Text Out" / "Save As" / </w:t>
      </w:r>
    </w:p>
    <w:p w:rsidR="00F07BDF" w:rsidP="00F07BDF" w14:paraId="317078DE" w14:textId="77777777">
      <w:r>
        <w:t>"Generic" commands.</w:t>
      </w:r>
    </w:p>
    <w:p w:rsidR="00F07BDF" w:rsidP="00F07BDF" w14:paraId="42D9AFBE" w14:textId="77777777">
      <w:r>
        <w:t xml:space="preserve">2. DOS version 6.0 - Create the individual records </w:t>
      </w:r>
    </w:p>
    <w:p w:rsidR="00F07BDF" w:rsidP="00F07BDF" w14:paraId="3437F6B9" w14:textId="77777777">
      <w:r>
        <w:t xml:space="preserve">using the "TAB" key to separate the data items </w:t>
      </w:r>
    </w:p>
    <w:p w:rsidR="00F07BDF" w:rsidP="00F07BDF" w14:paraId="6200E3DB" w14:textId="77777777">
      <w:r>
        <w:t xml:space="preserve">and the "Enter" key to end each record with a </w:t>
      </w:r>
    </w:p>
    <w:p w:rsidR="00F07BDF" w:rsidP="00F07BDF" w14:paraId="573241CB" w14:textId="77777777">
      <w:r>
        <w:t xml:space="preserve">carriage return/line feed. Save the file using </w:t>
      </w:r>
    </w:p>
    <w:p w:rsidR="00F07BDF" w:rsidP="00F07BDF" w14:paraId="3E12DE8A" w14:textId="77777777">
      <w:r>
        <w:t xml:space="preserve">the "File" / "Save As" / "ASCII Text (Stripped)" </w:t>
      </w:r>
    </w:p>
    <w:p w:rsidR="00F07BDF" w:rsidP="00F07BDF" w14:paraId="74F02D25" w14:textId="77777777">
      <w:r>
        <w:t>commands.</w:t>
      </w:r>
    </w:p>
    <w:p w:rsidR="00F07BDF" w:rsidP="00F07BDF" w14:paraId="3D00DC8D" w14:textId="77777777">
      <w:r>
        <w:t xml:space="preserve">3. Windows versions 5.2 and 6.1 - Create the </w:t>
      </w:r>
    </w:p>
    <w:p w:rsidR="00F07BDF" w:rsidP="00F07BDF" w14:paraId="6519EDA7" w14:textId="77777777">
      <w:r>
        <w:t xml:space="preserve">individual records using the "TAB" key to </w:t>
      </w:r>
    </w:p>
    <w:p w:rsidR="00F07BDF" w:rsidP="00F07BDF" w14:paraId="2EBF171B" w14:textId="77777777">
      <w:r>
        <w:t xml:space="preserve">separate the data items and the "Enter" key to </w:t>
      </w:r>
    </w:p>
    <w:p w:rsidR="00F07BDF" w:rsidP="00F07BDF" w14:paraId="73E62ED0" w14:textId="77777777">
      <w:r>
        <w:t xml:space="preserve">end each record with a carriage return/line feed. </w:t>
      </w:r>
    </w:p>
    <w:p w:rsidR="00F07BDF" w:rsidP="00F07BDF" w14:paraId="609ED0C1" w14:textId="77777777">
      <w:r>
        <w:t xml:space="preserve">Save the file using the "File" / "Save As" / </w:t>
      </w:r>
    </w:p>
    <w:p w:rsidR="00F07BDF" w:rsidP="00F07BDF" w14:paraId="47BB6B3B" w14:textId="77777777">
      <w:r>
        <w:t xml:space="preserve">"ASCII Generic </w:t>
      </w:r>
      <w:r>
        <w:t>Wordprocessor</w:t>
      </w:r>
      <w:r>
        <w:t xml:space="preserve"> (DOS)" commands.</w:t>
      </w:r>
    </w:p>
    <w:p w:rsidR="00F07BDF" w:rsidP="00F07BDF" w14:paraId="7C0D9E95" w14:textId="77777777">
      <w:r>
        <w:t>B. Microsoft Word: Create the individual records using the</w:t>
      </w:r>
    </w:p>
    <w:p w:rsidR="00F07BDF" w:rsidP="00F07BDF" w14:paraId="3189A667" w14:textId="77777777">
      <w:r>
        <w:t>"TAB" key to separate the data items and the "Enter"</w:t>
      </w:r>
    </w:p>
    <w:p w:rsidR="00F07BDF" w:rsidP="00F07BDF" w14:paraId="08C18308" w14:textId="77777777">
      <w:r>
        <w:t>key to end each record with a carriage return/line</w:t>
      </w:r>
    </w:p>
    <w:p w:rsidR="00F07BDF" w:rsidP="00F07BDF" w14:paraId="02CC7392" w14:textId="77777777">
      <w:r>
        <w:t>feed. Save the file using the "File" / "Save As" /</w:t>
      </w:r>
    </w:p>
    <w:p w:rsidR="00F07BDF" w:rsidP="00F07BDF" w14:paraId="787A5B36" w14:textId="77777777">
      <w:r>
        <w:t xml:space="preserve">"Save File </w:t>
      </w:r>
      <w:r>
        <w:t>As</w:t>
      </w:r>
      <w:r>
        <w:t xml:space="preserve"> Type" / "Text Only (*.txt)" commands.</w:t>
      </w:r>
    </w:p>
    <w:p w:rsidR="00F07BDF" w:rsidP="00F07BDF" w14:paraId="090A2926" w14:textId="77777777">
      <w:r>
        <w:t>C. Windows Write: Create the individual records using the</w:t>
      </w:r>
    </w:p>
    <w:p w:rsidR="00F07BDF" w:rsidP="00F07BDF" w14:paraId="65D94B07" w14:textId="77777777">
      <w:r>
        <w:t>"TAB" key to separate the data items and the "Enter"</w:t>
      </w:r>
    </w:p>
    <w:p w:rsidR="00F07BDF" w:rsidP="00F07BDF" w14:paraId="5C203C89" w14:textId="77777777">
      <w:r>
        <w:t>key to end each record with a carriage return/line</w:t>
      </w:r>
    </w:p>
    <w:p w:rsidR="00F07BDF" w:rsidP="00F07BDF" w14:paraId="5BBF2A4F" w14:textId="77777777">
      <w:r>
        <w:t>feed. Save the file using the "File" / "Save As" /</w:t>
      </w:r>
    </w:p>
    <w:p w:rsidR="00F07BDF" w:rsidP="00F07BDF" w14:paraId="4FC71109" w14:textId="77777777">
      <w:r>
        <w:t xml:space="preserve">"Save File </w:t>
      </w:r>
      <w:r>
        <w:t>As</w:t>
      </w:r>
      <w:r>
        <w:t xml:space="preserve"> Type" / "Text Files (*.TXT)" commands.</w:t>
      </w:r>
    </w:p>
    <w:p w:rsidR="00F07BDF" w:rsidP="00F07BDF" w14:paraId="22E5552C" w14:textId="77777777">
      <w:r>
        <w:t xml:space="preserve">2. If using a spreadsheet program to create the electronic </w:t>
      </w:r>
    </w:p>
    <w:p w:rsidR="00F07BDF" w:rsidP="00F07BDF" w14:paraId="530136B9" w14:textId="77777777">
      <w:r>
        <w:t xml:space="preserve">filing, make sure that it can save the spreadsheet as a </w:t>
      </w:r>
    </w:p>
    <w:p w:rsidR="00F07BDF" w:rsidP="00F07BDF" w14:paraId="709D4AD2" w14:textId="77777777">
      <w:r>
        <w:t xml:space="preserve">"TAB" delimited file. The only spreadsheet program that </w:t>
      </w:r>
    </w:p>
    <w:p w:rsidR="00F07BDF" w:rsidP="00F07BDF" w14:paraId="5D4C3E8B" w14:textId="77777777">
      <w:r>
        <w:t xml:space="preserve"> Instruction Manual for Electronic Filings of Part 154 Rate Filings 133</w:t>
      </w:r>
    </w:p>
    <w:p w:rsidR="00F07BDF" w:rsidP="00F07BDF" w14:paraId="510835D5" w14:textId="77777777">
      <w:r>
        <w:t xml:space="preserve">staff has accessibility to, and has found capable of </w:t>
      </w:r>
    </w:p>
    <w:p w:rsidR="00F07BDF" w:rsidP="00F07BDF" w14:paraId="43061654" w14:textId="77777777">
      <w:r>
        <w:t xml:space="preserve">saving "TAB" delimited files, is Microsoft Excel for </w:t>
      </w:r>
    </w:p>
    <w:p w:rsidR="00F07BDF" w:rsidP="00F07BDF" w14:paraId="5B936836" w14:textId="77777777">
      <w:r>
        <w:t>Windows.</w:t>
      </w:r>
    </w:p>
    <w:p w:rsidR="00F07BDF" w:rsidP="00F07BDF" w14:paraId="4111B556" w14:textId="77777777">
      <w:r>
        <w:t xml:space="preserve">A. Excel 4.0: Create the individual records using the </w:t>
      </w:r>
    </w:p>
    <w:p w:rsidR="00F07BDF" w:rsidP="00F07BDF" w14:paraId="5F667649" w14:textId="77777777">
      <w:r>
        <w:t xml:space="preserve">spreadsheet column cells to separate the data items </w:t>
      </w:r>
    </w:p>
    <w:p w:rsidR="00F07BDF" w:rsidP="00F07BDF" w14:paraId="78D4CABF" w14:textId="77777777">
      <w:r>
        <w:t xml:space="preserve">and rows for each record. Save the file using the </w:t>
      </w:r>
    </w:p>
    <w:p w:rsidR="00F07BDF" w:rsidP="00F07BDF" w14:paraId="167307BC" w14:textId="77777777">
      <w:r>
        <w:t xml:space="preserve">"File" / "Save As" / "Save File </w:t>
      </w:r>
      <w:r>
        <w:t>As</w:t>
      </w:r>
      <w:r>
        <w:t xml:space="preserve"> Type" / "Text (OS/2 </w:t>
      </w:r>
    </w:p>
    <w:p w:rsidR="00F07BDF" w:rsidP="00F07BDF" w14:paraId="55FC84FF" w14:textId="77777777">
      <w:r>
        <w:t>or MS_DOS)" commands.</w:t>
      </w:r>
    </w:p>
    <w:p w:rsidR="00F07BDF" w:rsidP="00F07BDF" w14:paraId="53871256" w14:textId="77777777">
      <w:r>
        <w:t xml:space="preserve">B. Excel 5.0: Create the individual records using the </w:t>
      </w:r>
    </w:p>
    <w:p w:rsidR="00F07BDF" w:rsidP="00F07BDF" w14:paraId="7FD75610" w14:textId="77777777">
      <w:r>
        <w:t xml:space="preserve">spreadsheet column cells to separate the data items </w:t>
      </w:r>
    </w:p>
    <w:p w:rsidR="00F07BDF" w:rsidP="00F07BDF" w14:paraId="030DA871" w14:textId="77777777">
      <w:r>
        <w:t xml:space="preserve">and rows for each record. Save the file using the </w:t>
      </w:r>
    </w:p>
    <w:p w:rsidR="00F07BDF" w:rsidP="00F07BDF" w14:paraId="3E0397A5" w14:textId="77777777">
      <w:r>
        <w:t xml:space="preserve">"File" / "Save As" / "Save File </w:t>
      </w:r>
      <w:r>
        <w:t>As</w:t>
      </w:r>
      <w:r>
        <w:t xml:space="preserve"> Type" / "Text (Tab</w:t>
      </w:r>
    </w:p>
    <w:p w:rsidR="00F07BDF" w:rsidP="00F07BDF" w14:paraId="2ADD6F4F" w14:textId="77777777">
      <w:r>
        <w:t>delimited)" commands.</w:t>
      </w:r>
    </w:p>
    <w:p w:rsidR="00F07BDF" w:rsidP="00F07BDF" w14:paraId="0C03F66E" w14:textId="77777777">
      <w:r>
        <w:t xml:space="preserve">3. To test </w:t>
      </w:r>
      <w:r>
        <w:t>whether or not</w:t>
      </w:r>
      <w:r>
        <w:t xml:space="preserve"> you have truly created a "TAB" </w:t>
      </w:r>
    </w:p>
    <w:p w:rsidR="00F07BDF" w:rsidP="00F07BDF" w14:paraId="0F118D71" w14:textId="77777777">
      <w:r>
        <w:t xml:space="preserve">delimited file, read the file into a </w:t>
      </w:r>
      <w:r>
        <w:t>wordprocessor</w:t>
      </w:r>
      <w:r>
        <w:t xml:space="preserve"> program </w:t>
      </w:r>
    </w:p>
    <w:p w:rsidR="00F07BDF" w:rsidP="00F07BDF" w14:paraId="2F6BD35C" w14:textId="77777777">
      <w:r>
        <w:t xml:space="preserve">and change the "TAB" settings of the document. If the text </w:t>
      </w:r>
    </w:p>
    <w:p w:rsidR="00F07BDF" w:rsidP="00F07BDF" w14:paraId="569849CF" w14:textId="77777777">
      <w:r>
        <w:t xml:space="preserve">from the delimited file changes with the new "TAB" </w:t>
      </w:r>
    </w:p>
    <w:p w:rsidR="00F07BDF" w:rsidP="00F07BDF" w14:paraId="2B547ECA" w14:textId="77777777">
      <w:r>
        <w:t xml:space="preserve">settings, then the original file you created was in a "TAB" </w:t>
      </w:r>
    </w:p>
    <w:p w:rsidR="00F07BDF" w:rsidP="00F07BDF" w14:paraId="6390D722" w14:textId="77777777">
      <w:r>
        <w:t>delimited format.</w:t>
      </w:r>
    </w:p>
    <w:p w:rsidR="00F07BDF" w:rsidP="00F07BDF" w14:paraId="469A25B1" w14:textId="77777777">
      <w:r>
        <w:t>ASCII FLAT FILE</w:t>
      </w:r>
    </w:p>
    <w:p w:rsidR="00F07BDF" w:rsidP="00F07BDF" w14:paraId="22A4D82F" w14:textId="77777777">
      <w:r>
        <w:t xml:space="preserve">1. It is important to save your </w:t>
      </w:r>
      <w:r>
        <w:t>wordprocessing</w:t>
      </w:r>
      <w:r>
        <w:t xml:space="preserve"> document in </w:t>
      </w:r>
    </w:p>
    <w:p w:rsidR="00F07BDF" w:rsidP="00F07BDF" w14:paraId="29065798" w14:textId="77777777">
      <w:r>
        <w:t xml:space="preserve">an ASCII file format which preserves as much of the </w:t>
      </w:r>
    </w:p>
    <w:p w:rsidR="00F07BDF" w:rsidP="00F07BDF" w14:paraId="735B37DC" w14:textId="77777777">
      <w:r>
        <w:t xml:space="preserve">original document's appearance as possible. </w:t>
      </w:r>
      <w:r>
        <w:t>In order to</w:t>
      </w:r>
      <w:r>
        <w:t xml:space="preserve"> </w:t>
      </w:r>
    </w:p>
    <w:p w:rsidR="00F07BDF" w:rsidP="00F07BDF" w14:paraId="0D7AE45E" w14:textId="77777777">
      <w:r>
        <w:t xml:space="preserve">best accomplish this task you should use the following </w:t>
      </w:r>
    </w:p>
    <w:p w:rsidR="00F07BDF" w:rsidP="00F07BDF" w14:paraId="3E979DED" w14:textId="77777777">
      <w:r>
        <w:t>tips:</w:t>
      </w:r>
    </w:p>
    <w:p w:rsidR="00F07BDF" w:rsidP="00F07BDF" w14:paraId="59925447" w14:textId="77777777">
      <w:r>
        <w:t xml:space="preserve">A. Use a basic nonproportional font such as 'Courier'. </w:t>
      </w:r>
    </w:p>
    <w:p w:rsidR="00F07BDF" w:rsidP="00F07BDF" w14:paraId="5DB8170F" w14:textId="77777777">
      <w:r>
        <w:t>B. Use a pitch of 10 characters per inch (cpi) as your</w:t>
      </w:r>
    </w:p>
    <w:p w:rsidR="00F07BDF" w:rsidP="00F07BDF" w14:paraId="7A599088" w14:textId="77777777">
      <w:r>
        <w:t>basic character size. If more characters per line are</w:t>
      </w:r>
    </w:p>
    <w:p w:rsidR="00F07BDF" w:rsidP="00F07BDF" w14:paraId="590ABBCC" w14:textId="77777777">
      <w:r>
        <w:t xml:space="preserve">necessary, then use either 12 or 15/17 cpi. Any </w:t>
      </w:r>
    </w:p>
    <w:p w:rsidR="00F07BDF" w:rsidP="00F07BDF" w14:paraId="0BD36DD5" w14:textId="77777777">
      <w:r>
        <w:t xml:space="preserve">larger number for the pitch will cause the characters </w:t>
      </w:r>
    </w:p>
    <w:p w:rsidR="00F07BDF" w:rsidP="00F07BDF" w14:paraId="49294D5C" w14:textId="77777777">
      <w:r>
        <w:t>to be too small to read.</w:t>
      </w:r>
    </w:p>
    <w:p w:rsidR="00F07BDF" w:rsidP="00F07BDF" w14:paraId="5089991D" w14:textId="77777777">
      <w:r>
        <w:t xml:space="preserve">C. Be aware that special </w:t>
      </w:r>
      <w:r>
        <w:t>wordprocessor</w:t>
      </w:r>
      <w:r>
        <w:t xml:space="preserve"> formatting </w:t>
      </w:r>
    </w:p>
    <w:p w:rsidR="00F07BDF" w:rsidP="00F07BDF" w14:paraId="49C3CD71" w14:textId="77777777">
      <w:r>
        <w:t xml:space="preserve">characteristics such as bold, italics, underlining, </w:t>
      </w:r>
    </w:p>
    <w:p w:rsidR="00F07BDF" w:rsidP="00F07BDF" w14:paraId="77AD5512" w14:textId="77777777">
      <w:r>
        <w:t xml:space="preserve">etc., will not translate to ASCII. Use these special </w:t>
      </w:r>
    </w:p>
    <w:p w:rsidR="00F07BDF" w:rsidP="00F07BDF" w14:paraId="4FA57864" w14:textId="77777777">
      <w:r>
        <w:t xml:space="preserve">formatting characters sparingly or not at all. Try to </w:t>
      </w:r>
    </w:p>
    <w:p w:rsidR="00F07BDF" w:rsidP="00F07BDF" w14:paraId="1A08810D" w14:textId="77777777">
      <w:r>
        <w:t xml:space="preserve">keep your original document as generic in appearance </w:t>
      </w:r>
    </w:p>
    <w:p w:rsidR="00F07BDF" w:rsidP="00F07BDF" w14:paraId="534B98B4" w14:textId="77777777">
      <w:r>
        <w:t xml:space="preserve">as possible. You may use tabs, indents, headers, </w:t>
      </w:r>
    </w:p>
    <w:p w:rsidR="00F07BDF" w:rsidP="00F07BDF" w14:paraId="162E0816" w14:textId="77777777">
      <w:r>
        <w:t xml:space="preserve">footers, footnotes, line numbering and page numbering </w:t>
      </w:r>
    </w:p>
    <w:p w:rsidR="00F07BDF" w:rsidP="00F07BDF" w14:paraId="7EF8ED89" w14:textId="77777777">
      <w:r>
        <w:t xml:space="preserve">as these formatting codes should convert to an ASCII </w:t>
      </w:r>
    </w:p>
    <w:p w:rsidR="00F07BDF" w:rsidP="00F07BDF" w14:paraId="2EBD8DCB" w14:textId="77777777">
      <w:r>
        <w:t xml:space="preserve">equivalent. Please test other formatting options prior </w:t>
      </w:r>
    </w:p>
    <w:p w:rsidR="00F07BDF" w:rsidP="00F07BDF" w14:paraId="38F56350" w14:textId="77777777">
      <w:r>
        <w:t xml:space="preserve">to creating your final </w:t>
      </w:r>
      <w:r>
        <w:t>wordprocessing</w:t>
      </w:r>
      <w:r>
        <w:t xml:space="preserve"> documents to see </w:t>
      </w:r>
    </w:p>
    <w:p w:rsidR="00F07BDF" w:rsidP="00F07BDF" w14:paraId="38EFC13D" w14:textId="77777777">
      <w:r>
        <w:t xml:space="preserve">which codes will convert to the ASCII </w:t>
      </w:r>
      <w:r>
        <w:t>format.</w:t>
      </w:r>
    </w:p>
    <w:p w:rsidR="00F07BDF" w:rsidP="00F07BDF" w14:paraId="60D51E72" w14:textId="77777777">
      <w:r>
        <w:t xml:space="preserve">2. The following instructions are for converting several </w:t>
      </w:r>
    </w:p>
    <w:p w:rsidR="00F07BDF" w:rsidP="00F07BDF" w14:paraId="6AFDDAB8" w14:textId="77777777">
      <w:r>
        <w:t xml:space="preserve">different </w:t>
      </w:r>
      <w:r>
        <w:t>wordprocessing</w:t>
      </w:r>
      <w:r>
        <w:t xml:space="preserve"> software files into ASCII file </w:t>
      </w:r>
    </w:p>
    <w:p w:rsidR="00F07BDF" w:rsidP="00F07BDF" w14:paraId="27BCC6D9" w14:textId="77777777">
      <w:r>
        <w:t xml:space="preserve">format. The commands (and options within commands) to </w:t>
      </w:r>
    </w:p>
    <w:p w:rsidR="00F07BDF" w:rsidP="00F07BDF" w14:paraId="10252C01" w14:textId="77777777">
      <w:r>
        <w:t xml:space="preserve"> Instruction Manual for Electronic Filings of Part 154 Rate Filings 134</w:t>
      </w:r>
    </w:p>
    <w:p w:rsidR="00F07BDF" w:rsidP="00F07BDF" w14:paraId="7D15EC8A" w14:textId="77777777">
      <w:r>
        <w:t xml:space="preserve">use for each software package are shown enclosed in </w:t>
      </w:r>
    </w:p>
    <w:p w:rsidR="00F07BDF" w:rsidP="00F07BDF" w14:paraId="4D206397" w14:textId="77777777">
      <w:r>
        <w:t>quotes.</w:t>
      </w:r>
    </w:p>
    <w:p w:rsidR="00F07BDF" w:rsidP="00F07BDF" w14:paraId="6E9982A0" w14:textId="77777777">
      <w:r>
        <w:t>A. WordPerfect (DOS versions up to 6.0):</w:t>
      </w:r>
    </w:p>
    <w:p w:rsidR="00F07BDF" w:rsidP="00F07BDF" w14:paraId="12352E1D" w14:textId="77777777">
      <w:r>
        <w:t xml:space="preserve">From the "Print" menu screen select the "Dos Text </w:t>
      </w:r>
    </w:p>
    <w:p w:rsidR="00F07BDF" w:rsidP="00F07BDF" w14:paraId="1D36B6ED" w14:textId="77777777">
      <w:r>
        <w:t xml:space="preserve">Printer" from your list of available printers. If </w:t>
      </w:r>
    </w:p>
    <w:p w:rsidR="00F07BDF" w:rsidP="00F07BDF" w14:paraId="571451E7" w14:textId="77777777">
      <w:r>
        <w:t xml:space="preserve">this printer is not shown in the list then it will </w:t>
      </w:r>
    </w:p>
    <w:p w:rsidR="00F07BDF" w:rsidP="00F07BDF" w14:paraId="4196E069" w14:textId="77777777">
      <w:r>
        <w:t>have to</w:t>
      </w:r>
      <w:r>
        <w:t xml:space="preserve"> be installed. Since there are several </w:t>
      </w:r>
    </w:p>
    <w:p w:rsidR="00F07BDF" w:rsidP="00F07BDF" w14:paraId="542BFFA6" w14:textId="77777777">
      <w:r>
        <w:t xml:space="preserve">different ways to install this printer depending on </w:t>
      </w:r>
    </w:p>
    <w:p w:rsidR="00F07BDF" w:rsidP="00F07BDF" w14:paraId="36FB6589" w14:textId="77777777">
      <w:r>
        <w:t xml:space="preserve">where the printer driver is located, you should refer </w:t>
      </w:r>
    </w:p>
    <w:p w:rsidR="00F07BDF" w:rsidP="00F07BDF" w14:paraId="657317A0" w14:textId="77777777">
      <w:r>
        <w:t xml:space="preserve">to your WordPerfect documentation to perform this </w:t>
      </w:r>
    </w:p>
    <w:p w:rsidR="00F07BDF" w:rsidP="00F07BDF" w14:paraId="0B5E53AF" w14:textId="77777777">
      <w:r>
        <w:t xml:space="preserve">task. For reference purposes, the printer driver file </w:t>
      </w:r>
    </w:p>
    <w:p w:rsidR="00F07BDF" w:rsidP="00F07BDF" w14:paraId="3CBD0C08" w14:textId="77777777">
      <w:r>
        <w:t>name for this printer is DOTEXPRI.PRS.</w:t>
      </w:r>
    </w:p>
    <w:p w:rsidR="00F07BDF" w:rsidP="00F07BDF" w14:paraId="3B83763C" w14:textId="77777777">
      <w:r>
        <w:t xml:space="preserve">Once the "DOS Text Printer" has been installed, then </w:t>
      </w:r>
    </w:p>
    <w:p w:rsidR="00F07BDF" w:rsidP="00F07BDF" w14:paraId="3D5BA1C8" w14:textId="77777777">
      <w:r>
        <w:t>it must be configured to write the output to a file</w:t>
      </w:r>
    </w:p>
    <w:p w:rsidR="00F07BDF" w:rsidP="00F07BDF" w14:paraId="7F5A4228" w14:textId="77777777">
      <w:r>
        <w:t>(</w:t>
      </w:r>
      <w:r>
        <w:t>rather</w:t>
      </w:r>
      <w:r>
        <w:t xml:space="preserve"> than the printer) by using the "File" / "Print"</w:t>
      </w:r>
    </w:p>
    <w:p w:rsidR="00F07BDF" w:rsidP="00F07BDF" w14:paraId="44A8E3D4" w14:textId="77777777">
      <w:r>
        <w:t>/ "Select Printer" / "Edit" / "Port" commands. At the</w:t>
      </w:r>
    </w:p>
    <w:p w:rsidR="00F07BDF" w:rsidP="00F07BDF" w14:paraId="1E391A0E" w14:textId="77777777">
      <w:r>
        <w:t>prompt type the drive\path\filename of the ASCII flat</w:t>
      </w:r>
    </w:p>
    <w:p w:rsidR="00F07BDF" w:rsidP="00F07BDF" w14:paraId="0FA93CFE" w14:textId="77777777">
      <w:r>
        <w:t>file you want to create and save your document to.</w:t>
      </w:r>
    </w:p>
    <w:p w:rsidR="00F07BDF" w:rsidP="00F07BDF" w14:paraId="6A958EB3" w14:textId="77777777">
      <w:r>
        <w:t>Then "Exit" (F7 key) back to the "Print" menu screen</w:t>
      </w:r>
    </w:p>
    <w:p w:rsidR="00F07BDF" w:rsidP="00F07BDF" w14:paraId="06904C3C" w14:textId="77777777">
      <w:r>
        <w:t>and execute the print "Full Document" command. The</w:t>
      </w:r>
    </w:p>
    <w:p w:rsidR="00F07BDF" w:rsidP="00F07BDF" w14:paraId="68C96027" w14:textId="77777777">
      <w:r>
        <w:t>WordPerfect document will be converted to ASCII and</w:t>
      </w:r>
    </w:p>
    <w:p w:rsidR="00F07BDF" w:rsidP="00F07BDF" w14:paraId="107AA784" w14:textId="77777777">
      <w:r>
        <w:t>written to the file you typed in at the "Port" option.</w:t>
      </w:r>
    </w:p>
    <w:p w:rsidR="00F07BDF" w:rsidP="00F07BDF" w14:paraId="4C792348" w14:textId="77777777">
      <w:r>
        <w:t>You can check the ASCII file by using any ASCII or DOS</w:t>
      </w:r>
    </w:p>
    <w:p w:rsidR="00F07BDF" w:rsidP="00F07BDF" w14:paraId="5E4B6110" w14:textId="77777777">
      <w:r>
        <w:t>text editor (for example, the DOS command edit.com for</w:t>
      </w:r>
    </w:p>
    <w:p w:rsidR="00F07BDF" w:rsidP="00F07BDF" w14:paraId="0CD78FD6" w14:textId="77777777">
      <w:r>
        <w:t>DOS versions 6.0 and higher).</w:t>
      </w:r>
    </w:p>
    <w:p w:rsidR="00F07BDF" w:rsidP="00F07BDF" w14:paraId="44B5C33C" w14:textId="77777777">
      <w:r>
        <w:t xml:space="preserve">B. For all Windows 3.1 versions of </w:t>
      </w:r>
      <w:r>
        <w:t>wordprocessing</w:t>
      </w:r>
      <w:r>
        <w:t xml:space="preserve"> </w:t>
      </w:r>
    </w:p>
    <w:p w:rsidR="00F07BDF" w:rsidP="00F07BDF" w14:paraId="0C0F9B02" w14:textId="77777777">
      <w:r>
        <w:t xml:space="preserve">software such as WordPerfect, Windows Write, and </w:t>
      </w:r>
    </w:p>
    <w:p w:rsidR="00F07BDF" w:rsidP="00F07BDF" w14:paraId="4DBA56C5" w14:textId="77777777">
      <w:r>
        <w:t>Microsoft Word:</w:t>
      </w:r>
    </w:p>
    <w:p w:rsidR="00F07BDF" w:rsidP="00F07BDF" w14:paraId="009FA281" w14:textId="77777777">
      <w:r>
        <w:t xml:space="preserve">From the "Printer Setup" menu within the </w:t>
      </w:r>
    </w:p>
    <w:p w:rsidR="00F07BDF" w:rsidP="00F07BDF" w14:paraId="0729E7AA" w14:textId="77777777">
      <w:r>
        <w:t>wordprocessing</w:t>
      </w:r>
      <w:r>
        <w:t xml:space="preserve"> software select the "Generic / Text </w:t>
      </w:r>
    </w:p>
    <w:p w:rsidR="00F07BDF" w:rsidP="00F07BDF" w14:paraId="6DA90C18" w14:textId="77777777">
      <w:r>
        <w:t>Only" printer from your list of available printers.</w:t>
      </w:r>
    </w:p>
    <w:p w:rsidR="00F07BDF" w:rsidP="00F07BDF" w14:paraId="0941E7ED" w14:textId="77777777">
      <w:r>
        <w:t xml:space="preserve">If you don't have this printer listed as a selection </w:t>
      </w:r>
    </w:p>
    <w:p w:rsidR="00F07BDF" w:rsidP="00F07BDF" w14:paraId="406B19E2" w14:textId="77777777">
      <w:r>
        <w:t xml:space="preserve">then you must install it by using the following </w:t>
      </w:r>
    </w:p>
    <w:p w:rsidR="00F07BDF" w:rsidP="00F07BDF" w14:paraId="67CCC213" w14:textId="77777777">
      <w:r>
        <w:t>procedure.</w:t>
      </w:r>
    </w:p>
    <w:p w:rsidR="00F07BDF" w:rsidP="00F07BDF" w14:paraId="353E3DFA" w14:textId="77777777">
      <w:r>
        <w:t xml:space="preserve">Go to PROGRAM MANAGER and select "Control Panel" from </w:t>
      </w:r>
    </w:p>
    <w:p w:rsidR="00F07BDF" w:rsidP="00F07BDF" w14:paraId="2FDC68F4" w14:textId="77777777">
      <w:r>
        <w:t xml:space="preserve">the MAIN window under PROGRAM MANAGER. Next, double </w:t>
      </w:r>
    </w:p>
    <w:p w:rsidR="00F07BDF" w:rsidP="00F07BDF" w14:paraId="35B316E8" w14:textId="77777777">
      <w:r>
        <w:t xml:space="preserve">click on the "Printers" icon, click once on the "Add" </w:t>
      </w:r>
    </w:p>
    <w:p w:rsidR="00F07BDF" w:rsidP="00F07BDF" w14:paraId="328299F3" w14:textId="77777777">
      <w:r>
        <w:t>button, highlight the "Generic / Text Only" entry and</w:t>
      </w:r>
    </w:p>
    <w:p w:rsidR="00F07BDF" w:rsidP="00F07BDF" w14:paraId="5758C6AF" w14:textId="77777777">
      <w:r>
        <w:t xml:space="preserve">click on the "Install" button. Then click once on </w:t>
      </w:r>
    </w:p>
    <w:p w:rsidR="00F07BDF" w:rsidP="00F07BDF" w14:paraId="03CB0563" w14:textId="77777777">
      <w:r>
        <w:t>the "Connect" button and scroll down to highlight the</w:t>
      </w:r>
    </w:p>
    <w:p w:rsidR="00F07BDF" w:rsidP="00F07BDF" w14:paraId="1E9A6A54" w14:textId="77777777">
      <w:r>
        <w:t xml:space="preserve">"FILE" option and click once on the "OK" button. Now </w:t>
      </w:r>
    </w:p>
    <w:p w:rsidR="00F07BDF" w:rsidP="00F07BDF" w14:paraId="24EDD74F" w14:textId="77777777">
      <w:r>
        <w:t xml:space="preserve">close the "Printers" window and then the "Control" </w:t>
      </w:r>
    </w:p>
    <w:p w:rsidR="00F07BDF" w:rsidP="00F07BDF" w14:paraId="5369AD6B" w14:textId="77777777">
      <w:r>
        <w:t>window.</w:t>
      </w:r>
    </w:p>
    <w:p w:rsidR="00F07BDF" w:rsidP="00F07BDF" w14:paraId="182EB2CC" w14:textId="77777777">
      <w:r>
        <w:t xml:space="preserve">Once you have performed this printer installation, all </w:t>
      </w:r>
    </w:p>
    <w:p w:rsidR="00F07BDF" w:rsidP="00F07BDF" w14:paraId="528DF62E" w14:textId="77777777">
      <w:r>
        <w:t xml:space="preserve">of your Windows </w:t>
      </w:r>
      <w:r>
        <w:t>wordprocessing</w:t>
      </w:r>
      <w:r>
        <w:t xml:space="preserve"> software will now have </w:t>
      </w:r>
    </w:p>
    <w:p w:rsidR="00F07BDF" w:rsidP="00F07BDF" w14:paraId="2B2A13C9" w14:textId="77777777">
      <w:r>
        <w:t xml:space="preserve">the "Generic / Text only" printer as an option for </w:t>
      </w:r>
    </w:p>
    <w:p w:rsidR="00F07BDF" w:rsidP="00F07BDF" w14:paraId="0845CE08" w14:textId="77777777">
      <w:r>
        <w:t xml:space="preserve">printing. Each time you select and print to this </w:t>
      </w:r>
    </w:p>
    <w:p w:rsidR="00F07BDF" w:rsidP="00F07BDF" w14:paraId="78FDAB5F" w14:textId="77777777">
      <w:r>
        <w:t xml:space="preserve"> Instruction Manual for Electronic Filings of Part 154 Rate Filings 135</w:t>
      </w:r>
    </w:p>
    <w:p w:rsidR="00F07BDF" w:rsidP="00F07BDF" w14:paraId="36A44AA2" w14:textId="77777777">
      <w:r>
        <w:t xml:space="preserve">printer while in your </w:t>
      </w:r>
      <w:r>
        <w:t>wordprocessing</w:t>
      </w:r>
      <w:r>
        <w:t xml:space="preserve"> software, you </w:t>
      </w:r>
    </w:p>
    <w:p w:rsidR="00F07BDF" w:rsidP="00F07BDF" w14:paraId="57CFEAB6" w14:textId="77777777">
      <w:r>
        <w:t xml:space="preserve">will be prompted to type in a filename for the </w:t>
      </w:r>
    </w:p>
    <w:p w:rsidR="00F07BDF" w:rsidP="00F07BDF" w14:paraId="5E6C3B5B" w14:textId="77777777">
      <w:r>
        <w:t xml:space="preserve">document </w:t>
      </w:r>
      <w:r>
        <w:t>tobe</w:t>
      </w:r>
      <w:r>
        <w:t xml:space="preserve"> printed to and saved as an ASCII file.</w:t>
      </w:r>
    </w:p>
    <w:p w:rsidR="00F07BDF" w:rsidP="00F07BDF" w14:paraId="792DF9D5" w14:textId="77777777">
      <w:r>
        <w:t>You can review the ASCII file using the Windows</w:t>
      </w:r>
    </w:p>
    <w:p w:rsidR="00F07BDF" w:rsidP="00F07BDF" w14:paraId="73D6502B" w14:textId="77777777">
      <w:r>
        <w:t xml:space="preserve">NOTEPAD program which is normally located within the </w:t>
      </w:r>
    </w:p>
    <w:p w:rsidR="00F07BDF" w:rsidP="00F07BDF" w14:paraId="7FCE821F" w14:textId="77777777">
      <w:r>
        <w:t>ACCESSORIES window of PROGRAM MANAGER.</w:t>
      </w:r>
    </w:p>
    <w:p w:rsidR="00F07BDF" w:rsidP="00F07BDF" w14:paraId="3062CCE2" w14:textId="77777777">
      <w:r>
        <w:t>NATIVE APPLICATION FILES</w:t>
      </w:r>
    </w:p>
    <w:p w:rsidR="00F07BDF" w:rsidRPr="005E5E83" w:rsidP="00F07BDF" w14:paraId="626BEFA7" w14:textId="595ACA0D">
      <w:r>
        <w:t>Save the file as you normally do</w:t>
      </w:r>
    </w:p>
    <w:sectPr w:rsidSect="008D4689">
      <w:headerReference w:type="default" r:id="rId10"/>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F7CC2" w:rsidP="00BC15BE" w14:paraId="51F9A042" w14:textId="77777777">
      <w:r>
        <w:separator/>
      </w:r>
    </w:p>
  </w:footnote>
  <w:footnote w:type="continuationSeparator" w:id="1">
    <w:p w:rsidR="007F7CC2" w:rsidP="00BC15BE" w14:paraId="5BFFDC8F" w14:textId="77777777">
      <w:r>
        <w:continuationSeparator/>
      </w:r>
    </w:p>
  </w:footnote>
  <w:footnote w:type="continuationNotice" w:id="2">
    <w:p w:rsidR="007F7CC2" w14:paraId="56557191" w14:textId="77777777"/>
  </w:footnote>
  <w:footnote w:id="3">
    <w:p w:rsidR="00E66DDD" w:rsidP="00A575AE" w14:paraId="22981F2B" w14:textId="6BBA7CD1">
      <w:pPr>
        <w:pStyle w:val="FootnoteText"/>
        <w:ind w:firstLine="720"/>
      </w:pPr>
      <w:r>
        <w:rPr>
          <w:rStyle w:val="FootnoteReference"/>
        </w:rPr>
        <w:footnoteRef/>
      </w:r>
      <w:r>
        <w:t xml:space="preserve"> </w:t>
      </w:r>
      <w:r w:rsidRPr="00EE39BE">
        <w:rPr>
          <w:sz w:val="26"/>
          <w:szCs w:val="26"/>
        </w:rPr>
        <w:t xml:space="preserve">Federal Register </w:t>
      </w:r>
      <w:hyperlink r:id="rId1" w:history="1">
        <w:r w:rsidRPr="003A344E">
          <w:rPr>
            <w:rStyle w:val="Hyperlink"/>
            <w:sz w:val="26"/>
            <w:szCs w:val="26"/>
          </w:rPr>
          <w:t xml:space="preserve">87 FR </w:t>
        </w:r>
        <w:r w:rsidRPr="003A344E" w:rsidR="003A344E">
          <w:rPr>
            <w:rStyle w:val="Hyperlink"/>
            <w:sz w:val="26"/>
            <w:szCs w:val="26"/>
          </w:rPr>
          <w:t>31783</w:t>
        </w:r>
      </w:hyperlink>
    </w:p>
  </w:footnote>
  <w:footnote w:id="4">
    <w:p w:rsidR="00F62CCB" w:rsidP="00A575AE" w14:paraId="743DA93E" w14:textId="740D6698">
      <w:pPr>
        <w:pStyle w:val="FootnoteText"/>
        <w:ind w:firstLine="720"/>
      </w:pPr>
      <w:r>
        <w:rPr>
          <w:rStyle w:val="FootnoteReference"/>
        </w:rPr>
        <w:footnoteRef/>
      </w:r>
      <w:r>
        <w:t xml:space="preserve"> </w:t>
      </w:r>
      <w:r w:rsidRPr="00A575AE">
        <w:rPr>
          <w:sz w:val="26"/>
          <w:szCs w:val="26"/>
        </w:rPr>
        <w:t xml:space="preserve">Please refer to Appendix A on last page of the Supporting Statement or refer to the link </w:t>
      </w:r>
      <w:hyperlink r:id="rId2" w:history="1">
        <w:r w:rsidRPr="00A575AE">
          <w:rPr>
            <w:rStyle w:val="Hyperlink"/>
            <w:sz w:val="26"/>
            <w:szCs w:val="26"/>
          </w:rPr>
          <w:t>https://ferconline.ferc.gov/FERCOnline.aspx</w:t>
        </w:r>
      </w:hyperlink>
      <w:r w:rsidR="00254CD5">
        <w:rPr>
          <w:rStyle w:val="Hyperlink"/>
          <w:sz w:val="26"/>
          <w:szCs w:val="26"/>
        </w:rPr>
        <w:t xml:space="preserve"> </w:t>
      </w:r>
    </w:p>
    <w:p w:rsidR="00F62CCB" w:rsidP="00F62CCB" w14:paraId="7C92AAB4" w14:textId="77777777">
      <w:pPr>
        <w:pStyle w:val="FootnoteText"/>
      </w:pPr>
    </w:p>
  </w:footnote>
  <w:footnote w:id="5">
    <w:p w:rsidR="00C14580" w:rsidP="00A575AE" w14:paraId="500CE7C0" w14:textId="138FD93B">
      <w:pPr>
        <w:pStyle w:val="FootnoteText"/>
        <w:ind w:firstLine="720"/>
      </w:pPr>
      <w:r>
        <w:rPr>
          <w:rStyle w:val="FootnoteReference"/>
        </w:rPr>
        <w:footnoteRef/>
      </w:r>
      <w:r>
        <w:t xml:space="preserve"> </w:t>
      </w:r>
      <w:r w:rsidRPr="001A3B49" w:rsidR="001A3B49">
        <w:rPr>
          <w:sz w:val="26"/>
          <w:szCs w:val="26"/>
        </w:rPr>
        <w:t>Petition for Rulemaking to Update Pipeline Filing Requirements:</w:t>
      </w:r>
      <w:r w:rsidR="001A3B49">
        <w:t xml:space="preserve"> </w:t>
      </w:r>
      <w:hyperlink r:id="rId3" w:history="1">
        <w:r w:rsidRPr="001A3B49" w:rsidR="001A3B49">
          <w:rPr>
            <w:rStyle w:val="Hyperlink"/>
            <w:sz w:val="26"/>
            <w:szCs w:val="26"/>
          </w:rPr>
          <w:t>https://elibrary.ferc.gov/eLibrary/search</w:t>
        </w:r>
      </w:hyperlink>
      <w:r w:rsidR="001A3B49">
        <w:t xml:space="preserve"> </w:t>
      </w:r>
    </w:p>
  </w:footnote>
  <w:footnote w:id="6">
    <w:p w:rsidR="00B50C5C" w14:paraId="233B287C" w14:textId="77777777">
      <w:pPr>
        <w:pStyle w:val="FootnoteText"/>
      </w:pPr>
    </w:p>
    <w:p w:rsidR="00E66DDD" w:rsidP="00A575AE" w14:paraId="27F8F57C" w14:textId="3D299224">
      <w:pPr>
        <w:pStyle w:val="FootnoteText"/>
        <w:ind w:firstLine="720"/>
      </w:pPr>
      <w:r>
        <w:rPr>
          <w:rStyle w:val="FootnoteReference"/>
        </w:rPr>
        <w:footnoteRef/>
      </w:r>
      <w:r>
        <w:t xml:space="preserve"> </w:t>
      </w:r>
      <w:r w:rsidRPr="004C76B9">
        <w:rPr>
          <w:sz w:val="26"/>
          <w:szCs w:val="26"/>
        </w:rPr>
        <w:t xml:space="preserve">Issued on </w:t>
      </w:r>
      <w:r w:rsidR="00D61DC1">
        <w:rPr>
          <w:sz w:val="26"/>
          <w:szCs w:val="26"/>
        </w:rPr>
        <w:t>May 19, 2022</w:t>
      </w:r>
      <w:r w:rsidRPr="004C76B9">
        <w:rPr>
          <w:sz w:val="26"/>
          <w:szCs w:val="26"/>
        </w:rPr>
        <w:t xml:space="preserve">: </w:t>
      </w:r>
      <w:hyperlink r:id="rId4" w:history="1">
        <w:r w:rsidRPr="004C76B9">
          <w:rPr>
            <w:rStyle w:val="Hyperlink"/>
            <w:sz w:val="26"/>
            <w:szCs w:val="26"/>
          </w:rPr>
          <w:t>eLibrary | File List (ferc.gov)</w:t>
        </w:r>
      </w:hyperlink>
      <w:r>
        <w:t xml:space="preserve"> </w:t>
      </w:r>
    </w:p>
  </w:footnote>
  <w:footnote w:id="7">
    <w:p w:rsidR="00A575AE" w:rsidP="00A575AE" w14:paraId="7249C51D" w14:textId="7C1B3265">
      <w:pPr>
        <w:pStyle w:val="FootnoteText"/>
        <w:ind w:firstLine="720"/>
      </w:pPr>
      <w:r>
        <w:rPr>
          <w:rStyle w:val="FootnoteReference"/>
        </w:rPr>
        <w:footnoteRef/>
      </w:r>
      <w:r>
        <w:t xml:space="preserve"> </w:t>
      </w:r>
      <w:r w:rsidRPr="00A575AE">
        <w:rPr>
          <w:sz w:val="26"/>
          <w:szCs w:val="26"/>
        </w:rPr>
        <w:t>87 FR-71511</w:t>
      </w:r>
    </w:p>
  </w:footnote>
  <w:footnote w:id="8">
    <w:p w:rsidR="00185910" w:rsidRPr="00185910" w:rsidP="00A575AE" w14:paraId="5A581671" w14:textId="5CED8F60">
      <w:pPr>
        <w:pStyle w:val="FootnoteText"/>
        <w:ind w:firstLine="720"/>
        <w:rPr>
          <w:sz w:val="26"/>
          <w:szCs w:val="26"/>
        </w:rPr>
      </w:pPr>
      <w:r w:rsidRPr="00F33E3A">
        <w:rPr>
          <w:rStyle w:val="FootnoteReference"/>
        </w:rPr>
        <w:footnoteRef/>
      </w:r>
      <w:r w:rsidRPr="00F33E3A">
        <w:rPr>
          <w:sz w:val="26"/>
          <w:szCs w:val="26"/>
        </w:rPr>
        <w:t xml:space="preserve"> The estimated hourly cost (salary plus benefits) provided in this section is based on the salary figures f</w:t>
      </w:r>
      <w:r w:rsidRPr="000262CA">
        <w:rPr>
          <w:sz w:val="26"/>
          <w:szCs w:val="26"/>
        </w:rPr>
        <w:t xml:space="preserve">or May 2021 posted by the Bureau of Labor Statistics for the Utilities sector (available at </w:t>
      </w:r>
      <w:hyperlink r:id="rId5" w:history="1">
        <w:r w:rsidRPr="00F33E3A">
          <w:rPr>
            <w:rStyle w:val="Hyperlink"/>
            <w:sz w:val="26"/>
            <w:szCs w:val="26"/>
          </w:rPr>
          <w:t>https://www.bls.gov/oes/current/naics3_221000.htm</w:t>
        </w:r>
      </w:hyperlink>
      <w:r w:rsidRPr="00F33E3A">
        <w:rPr>
          <w:sz w:val="26"/>
          <w:szCs w:val="26"/>
        </w:rPr>
        <w:t>) and scaled to reflect benefits using the relati</w:t>
      </w:r>
      <w:r w:rsidRPr="000262CA">
        <w:rPr>
          <w:sz w:val="26"/>
          <w:szCs w:val="26"/>
        </w:rPr>
        <w:t xml:space="preserve">ve importance of employer costs for employee compensation from </w:t>
      </w:r>
      <w:r w:rsidR="00A94613">
        <w:rPr>
          <w:sz w:val="26"/>
          <w:szCs w:val="26"/>
        </w:rPr>
        <w:t xml:space="preserve">March 2022 </w:t>
      </w:r>
      <w:r w:rsidRPr="000262CA">
        <w:rPr>
          <w:sz w:val="26"/>
          <w:szCs w:val="26"/>
        </w:rPr>
        <w:t xml:space="preserve">available at </w:t>
      </w:r>
      <w:hyperlink r:id="rId6" w:history="1">
        <w:r w:rsidRPr="00F33E3A">
          <w:rPr>
            <w:rStyle w:val="Hyperlink"/>
            <w:sz w:val="26"/>
            <w:szCs w:val="26"/>
          </w:rPr>
          <w:t>https://www.bls.gov/news.release/ecec.nr0.htm</w:t>
        </w:r>
      </w:hyperlink>
      <w:r w:rsidRPr="00F33E3A">
        <w:rPr>
          <w:sz w:val="26"/>
          <w:szCs w:val="26"/>
        </w:rPr>
        <w:t xml:space="preserve">).  </w:t>
      </w:r>
      <w:r w:rsidRPr="00185910">
        <w:rPr>
          <w:sz w:val="26"/>
          <w:szCs w:val="26"/>
        </w:rPr>
        <w:t xml:space="preserve">The hourly estimates for salary plus benefits are:  Computer and Information Systems Manager (Occupation Code:  11-3021), $111.63; Computer and Information Analysts (Occupation Code:  15-1210), $76.35; Electrical Engineer (Occupation Code:  17-2071), $77.02; Legal (Occupation Code:  23-0000), $145.35.  The average hourly cost (salary plus benefits) weighting all of the above skill sets evenly, is $102.59.  We round it to $103/hour. </w:t>
      </w:r>
    </w:p>
    <w:p w:rsidR="00FA3FAC" w:rsidRPr="005E5E83" w:rsidP="00185910" w14:paraId="23C9B2FE" w14:textId="0061C5B2">
      <w:pPr>
        <w:pStyle w:val="FootnoteText"/>
        <w:rPr>
          <w:sz w:val="26"/>
        </w:rPr>
      </w:pPr>
    </w:p>
  </w:footnote>
  <w:footnote w:id="9">
    <w:p w:rsidR="0013450D" w:rsidP="00421B15" w14:paraId="1965DB0A" w14:textId="1E296B77">
      <w:pPr>
        <w:pStyle w:val="FootnoteText"/>
        <w:ind w:firstLine="720"/>
        <w:rPr>
          <w:sz w:val="26"/>
        </w:rPr>
      </w:pPr>
      <w:r w:rsidRPr="00216196">
        <w:rPr>
          <w:rStyle w:val="FootnoteReference"/>
        </w:rPr>
        <w:footnoteRef/>
      </w:r>
      <w:r w:rsidRPr="005E5E83">
        <w:rPr>
          <w:sz w:val="26"/>
        </w:rPr>
        <w:t xml:space="preserve"> The final rule in Docket No. RM96-1-042 was published in the Federal Register on August 10, 2021 (86 FR 43590).  OMB approved the information collection aspects of the rule, including revisions of FERC-545, in November of 2021.</w:t>
      </w:r>
    </w:p>
    <w:p w:rsidR="00421B15" w:rsidRPr="005E5E83" w:rsidP="00A575AE" w14:paraId="360C7FAF" w14:textId="77777777">
      <w:pPr>
        <w:pStyle w:val="FootnoteText"/>
        <w:ind w:firstLine="720"/>
        <w:rPr>
          <w:sz w:val="26"/>
        </w:rPr>
      </w:pPr>
    </w:p>
  </w:footnote>
  <w:footnote w:id="10">
    <w:p w:rsidR="00D36F12" w:rsidRPr="005E5E83" w:rsidP="00A575AE" w14:paraId="1AA21F48" w14:textId="7BB857C5">
      <w:pPr>
        <w:pStyle w:val="FootnoteText"/>
        <w:ind w:firstLine="720"/>
        <w:rPr>
          <w:sz w:val="26"/>
          <w:szCs w:val="24"/>
        </w:rPr>
      </w:pPr>
      <w:r w:rsidRPr="005E5E83">
        <w:rPr>
          <w:rStyle w:val="FootnoteReference"/>
          <w:szCs w:val="24"/>
        </w:rPr>
        <w:footnoteRef/>
      </w:r>
      <w:r w:rsidRPr="005E5E83">
        <w:rPr>
          <w:sz w:val="26"/>
          <w:szCs w:val="24"/>
        </w:rPr>
        <w:t xml:space="preserve"> Based on FERC’s Fiscal Year 20</w:t>
      </w:r>
      <w:r w:rsidRPr="005E5E83" w:rsidR="00FB3579">
        <w:rPr>
          <w:sz w:val="26"/>
          <w:szCs w:val="24"/>
        </w:rPr>
        <w:t>2</w:t>
      </w:r>
      <w:r w:rsidR="00506C83">
        <w:rPr>
          <w:sz w:val="26"/>
          <w:szCs w:val="24"/>
        </w:rPr>
        <w:t>2</w:t>
      </w:r>
      <w:r w:rsidRPr="005E5E83">
        <w:rPr>
          <w:sz w:val="26"/>
          <w:szCs w:val="24"/>
        </w:rPr>
        <w:t xml:space="preserve"> average cost per FTE (salary plus benefits) of $1</w:t>
      </w:r>
      <w:r w:rsidRPr="005E5E83" w:rsidR="00FB3579">
        <w:rPr>
          <w:sz w:val="26"/>
          <w:szCs w:val="24"/>
        </w:rPr>
        <w:t>8</w:t>
      </w:r>
      <w:r w:rsidR="00CF7369">
        <w:rPr>
          <w:sz w:val="26"/>
          <w:szCs w:val="24"/>
        </w:rPr>
        <w:t>8</w:t>
      </w:r>
      <w:r w:rsidRPr="005E5E83" w:rsidR="00573C31">
        <w:rPr>
          <w:sz w:val="26"/>
          <w:szCs w:val="24"/>
        </w:rPr>
        <w:t>,</w:t>
      </w:r>
      <w:r w:rsidR="00CF7369">
        <w:rPr>
          <w:sz w:val="26"/>
          <w:szCs w:val="24"/>
        </w:rPr>
        <w:t>992</w:t>
      </w:r>
      <w:r w:rsidRPr="005E5E83">
        <w:rPr>
          <w:sz w:val="26"/>
          <w:szCs w:val="24"/>
        </w:rPr>
        <w:t xml:space="preserve"> per year (or 2,080 work hours), rounded to $</w:t>
      </w:r>
      <w:r w:rsidR="00CF7369">
        <w:rPr>
          <w:sz w:val="26"/>
          <w:szCs w:val="24"/>
        </w:rPr>
        <w:t>91</w:t>
      </w:r>
      <w:r w:rsidRPr="005E5E83">
        <w:rPr>
          <w:sz w:val="26"/>
          <w:szCs w:val="24"/>
        </w:rPr>
        <w:t xml:space="preserve">.00 per hour. </w:t>
      </w:r>
    </w:p>
  </w:footnote>
  <w:footnote w:id="11">
    <w:p w:rsidR="00D36F12" w:rsidRPr="005E5E83" w:rsidP="00A575AE" w14:paraId="5896C281" w14:textId="77777777">
      <w:pPr>
        <w:pStyle w:val="FootnoteText"/>
        <w:ind w:firstLine="720"/>
        <w:rPr>
          <w:sz w:val="26"/>
          <w:szCs w:val="24"/>
        </w:rPr>
      </w:pPr>
      <w:r w:rsidRPr="005E5E83">
        <w:rPr>
          <w:rStyle w:val="FootnoteReference"/>
          <w:szCs w:val="24"/>
        </w:rPr>
        <w:footnoteRef/>
      </w:r>
      <w:r w:rsidRPr="005E5E83">
        <w:rPr>
          <w:sz w:val="26"/>
          <w:szCs w:val="24"/>
        </w:rPr>
        <w:t xml:space="preserve"> Paperwork Reduction Act of 1995 (PRA)</w:t>
      </w:r>
    </w:p>
  </w:footnote>
  <w:footnote w:id="12">
    <w:p w:rsidR="00421B15" w:rsidP="002567E4" w14:paraId="2B44A985" w14:textId="77777777">
      <w:pPr>
        <w:pStyle w:val="FootnoteText"/>
        <w:rPr>
          <w:sz w:val="26"/>
          <w:szCs w:val="24"/>
        </w:rPr>
      </w:pPr>
    </w:p>
    <w:p w:rsidR="00D36F12" w:rsidRPr="005E5E83" w:rsidP="00A575AE" w14:paraId="2AB0B54B" w14:textId="21614299">
      <w:pPr>
        <w:pStyle w:val="FootnoteText"/>
        <w:ind w:firstLine="720"/>
        <w:rPr>
          <w:sz w:val="26"/>
          <w:szCs w:val="24"/>
        </w:rPr>
      </w:pPr>
      <w:r w:rsidRPr="005E5E83">
        <w:rPr>
          <w:rStyle w:val="FootnoteReference"/>
          <w:szCs w:val="24"/>
        </w:rPr>
        <w:footnoteRef/>
      </w:r>
      <w:r w:rsidRPr="005E5E83">
        <w:rPr>
          <w:sz w:val="26"/>
          <w:szCs w:val="24"/>
        </w:rPr>
        <w:t xml:space="preserve"> The PRA Administration Cost is $ </w:t>
      </w:r>
      <w:r w:rsidR="00CF7369">
        <w:rPr>
          <w:sz w:val="26"/>
          <w:szCs w:val="24"/>
        </w:rPr>
        <w:t>7,694</w:t>
      </w:r>
      <w:r w:rsidRPr="005E5E83">
        <w:rPr>
          <w:sz w:val="26"/>
          <w:szCs w:val="24"/>
        </w:rPr>
        <w:t>, and includes preparing supporting statements, notices, and other activities associated with P</w:t>
      </w:r>
      <w:r w:rsidRPr="005E5E83" w:rsidR="008B59AE">
        <w:rPr>
          <w:sz w:val="26"/>
          <w:szCs w:val="24"/>
        </w:rPr>
        <w:t xml:space="preserve">RA </w:t>
      </w:r>
      <w:r w:rsidRPr="005E5E83">
        <w:rPr>
          <w:sz w:val="26"/>
          <w:szCs w:val="24"/>
        </w:rPr>
        <w:t>compliance.</w:t>
      </w:r>
    </w:p>
  </w:footnote>
  <w:footnote w:id="13">
    <w:p w:rsidR="00421B15" w:rsidP="002567E4" w14:paraId="5E5C4D29" w14:textId="77777777">
      <w:pPr>
        <w:pStyle w:val="FootnoteText"/>
        <w:rPr>
          <w:sz w:val="26"/>
          <w:szCs w:val="24"/>
        </w:rPr>
      </w:pPr>
    </w:p>
    <w:p w:rsidR="00A277D4" w:rsidRPr="005E5E83" w:rsidP="00A575AE" w14:paraId="26909FBA" w14:textId="458D7207">
      <w:pPr>
        <w:pStyle w:val="FootnoteText"/>
        <w:ind w:firstLine="720"/>
        <w:rPr>
          <w:sz w:val="26"/>
          <w:szCs w:val="24"/>
        </w:rPr>
      </w:pPr>
      <w:r w:rsidRPr="005E5E83">
        <w:rPr>
          <w:rStyle w:val="FootnoteReference"/>
          <w:szCs w:val="24"/>
        </w:rPr>
        <w:footnoteRef/>
      </w:r>
      <w:r w:rsidRPr="005E5E83">
        <w:rPr>
          <w:sz w:val="26"/>
          <w:szCs w:val="24"/>
        </w:rPr>
        <w:t xml:space="preserve"> This cost will be applied to the FERC-545 </w:t>
      </w:r>
      <w:r w:rsidRPr="005E5E83" w:rsidR="004D5056">
        <w:rPr>
          <w:sz w:val="26"/>
          <w:szCs w:val="24"/>
        </w:rPr>
        <w:t xml:space="preserve">information </w:t>
      </w:r>
      <w:r w:rsidRPr="005E5E83" w:rsidR="00FB3579">
        <w:rPr>
          <w:sz w:val="26"/>
          <w:szCs w:val="24"/>
        </w:rPr>
        <w:t>collection.</w:t>
      </w:r>
    </w:p>
  </w:footnote>
  <w:footnote w:id="14">
    <w:p w:rsidR="00421B15" w:rsidP="002567E4" w14:paraId="1E452FEB" w14:textId="77777777">
      <w:pPr>
        <w:pStyle w:val="FootnoteText"/>
        <w:rPr>
          <w:sz w:val="26"/>
          <w:szCs w:val="24"/>
        </w:rPr>
      </w:pPr>
    </w:p>
    <w:p w:rsidR="002E510C" w:rsidRPr="00397DBA" w:rsidP="00A575AE" w14:paraId="5827BD56" w14:textId="17BBE4CC">
      <w:pPr>
        <w:pStyle w:val="FootnoteText"/>
        <w:ind w:firstLine="720"/>
        <w:rPr>
          <w:sz w:val="24"/>
          <w:szCs w:val="24"/>
        </w:rPr>
      </w:pPr>
      <w:r w:rsidRPr="005E5E83">
        <w:rPr>
          <w:rStyle w:val="FootnoteReference"/>
          <w:szCs w:val="24"/>
        </w:rPr>
        <w:footnoteRef/>
      </w:r>
      <w:r w:rsidRPr="005E5E83">
        <w:rPr>
          <w:sz w:val="26"/>
          <w:szCs w:val="24"/>
        </w:rPr>
        <w:t xml:space="preserve"> The estimate of federal FTE’s and the indicated split between FERC-545 is based on staff’s experience and the fact that the FERC-545 filings are one-time filings.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6F12" w:rsidRPr="00F5428B" w:rsidP="008D4689" w14:paraId="36675F88" w14:textId="77777777">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rsidR="00D36F12" w:rsidP="002B45F1" w14:paraId="36C8BE19" w14:textId="218026C3">
    <w:pPr>
      <w:pStyle w:val="Header"/>
    </w:pPr>
    <w:r w:rsidRPr="00A873E5">
      <w:t>FERC-545 (OMB Control No. 1902-0154)</w:t>
    </w:r>
  </w:p>
  <w:p w:rsidR="00A575AE" w:rsidP="002B45F1" w14:paraId="4C5BBD3D" w14:textId="7A5F3BC5">
    <w:pPr>
      <w:pStyle w:val="Header"/>
    </w:pPr>
    <w:r>
      <w:t>RIN: 1902-AF98</w:t>
    </w:r>
  </w:p>
  <w:p w:rsidR="00A575AE" w:rsidP="002B45F1" w14:paraId="3284F3F2" w14:textId="0FEC81A1">
    <w:pPr>
      <w:pStyle w:val="Header"/>
    </w:pPr>
    <w:r>
      <w:t>Final Rule published November 23,2022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31C72F6"/>
    <w:multiLevelType w:val="hybridMultilevel"/>
    <w:tmpl w:val="45CAD208"/>
    <w:lvl w:ilvl="0">
      <w:start w:val="1"/>
      <w:numFmt w:val="bullet"/>
      <w:lvlText w:val=""/>
      <w:lvlJc w:val="left"/>
      <w:pPr>
        <w:ind w:left="789" w:hanging="360"/>
      </w:pPr>
      <w:rPr>
        <w:rFonts w:ascii="Symbol" w:hAnsi="Symbol" w:hint="default"/>
      </w:rPr>
    </w:lvl>
    <w:lvl w:ilvl="1" w:tentative="1">
      <w:start w:val="1"/>
      <w:numFmt w:val="bullet"/>
      <w:lvlText w:val="o"/>
      <w:lvlJc w:val="left"/>
      <w:pPr>
        <w:ind w:left="1509" w:hanging="360"/>
      </w:pPr>
      <w:rPr>
        <w:rFonts w:ascii="Courier New" w:hAnsi="Courier New" w:cs="Courier New" w:hint="default"/>
      </w:rPr>
    </w:lvl>
    <w:lvl w:ilvl="2" w:tentative="1">
      <w:start w:val="1"/>
      <w:numFmt w:val="bullet"/>
      <w:lvlText w:val=""/>
      <w:lvlJc w:val="left"/>
      <w:pPr>
        <w:ind w:left="2229" w:hanging="360"/>
      </w:pPr>
      <w:rPr>
        <w:rFonts w:ascii="Wingdings" w:hAnsi="Wingdings" w:hint="default"/>
      </w:rPr>
    </w:lvl>
    <w:lvl w:ilvl="3" w:tentative="1">
      <w:start w:val="1"/>
      <w:numFmt w:val="bullet"/>
      <w:lvlText w:val=""/>
      <w:lvlJc w:val="left"/>
      <w:pPr>
        <w:ind w:left="2949" w:hanging="360"/>
      </w:pPr>
      <w:rPr>
        <w:rFonts w:ascii="Symbol" w:hAnsi="Symbol" w:hint="default"/>
      </w:rPr>
    </w:lvl>
    <w:lvl w:ilvl="4" w:tentative="1">
      <w:start w:val="1"/>
      <w:numFmt w:val="bullet"/>
      <w:lvlText w:val="o"/>
      <w:lvlJc w:val="left"/>
      <w:pPr>
        <w:ind w:left="3669" w:hanging="360"/>
      </w:pPr>
      <w:rPr>
        <w:rFonts w:ascii="Courier New" w:hAnsi="Courier New" w:cs="Courier New" w:hint="default"/>
      </w:rPr>
    </w:lvl>
    <w:lvl w:ilvl="5" w:tentative="1">
      <w:start w:val="1"/>
      <w:numFmt w:val="bullet"/>
      <w:lvlText w:val=""/>
      <w:lvlJc w:val="left"/>
      <w:pPr>
        <w:ind w:left="4389" w:hanging="360"/>
      </w:pPr>
      <w:rPr>
        <w:rFonts w:ascii="Wingdings" w:hAnsi="Wingdings" w:hint="default"/>
      </w:rPr>
    </w:lvl>
    <w:lvl w:ilvl="6" w:tentative="1">
      <w:start w:val="1"/>
      <w:numFmt w:val="bullet"/>
      <w:lvlText w:val=""/>
      <w:lvlJc w:val="left"/>
      <w:pPr>
        <w:ind w:left="5109" w:hanging="360"/>
      </w:pPr>
      <w:rPr>
        <w:rFonts w:ascii="Symbol" w:hAnsi="Symbol" w:hint="default"/>
      </w:rPr>
    </w:lvl>
    <w:lvl w:ilvl="7" w:tentative="1">
      <w:start w:val="1"/>
      <w:numFmt w:val="bullet"/>
      <w:lvlText w:val="o"/>
      <w:lvlJc w:val="left"/>
      <w:pPr>
        <w:ind w:left="5829" w:hanging="360"/>
      </w:pPr>
      <w:rPr>
        <w:rFonts w:ascii="Courier New" w:hAnsi="Courier New" w:cs="Courier New" w:hint="default"/>
      </w:rPr>
    </w:lvl>
    <w:lvl w:ilvl="8" w:tentative="1">
      <w:start w:val="1"/>
      <w:numFmt w:val="bullet"/>
      <w:lvlText w:val=""/>
      <w:lvlJc w:val="left"/>
      <w:pPr>
        <w:ind w:left="6549" w:hanging="360"/>
      </w:pPr>
      <w:rPr>
        <w:rFonts w:ascii="Wingdings" w:hAnsi="Wingdings" w:hint="default"/>
      </w:rPr>
    </w:lvl>
  </w:abstractNum>
  <w:abstractNum w:abstractNumId="2">
    <w:nsid w:val="05D32DCB"/>
    <w:multiLevelType w:val="hybridMultilevel"/>
    <w:tmpl w:val="1964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24364F"/>
    <w:multiLevelType w:val="hybridMultilevel"/>
    <w:tmpl w:val="8B4EB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C27B7B"/>
    <w:multiLevelType w:val="hybridMultilevel"/>
    <w:tmpl w:val="205A7DE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27B921E5"/>
    <w:multiLevelType w:val="hybridMultilevel"/>
    <w:tmpl w:val="3904A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204DF4"/>
    <w:multiLevelType w:val="hybridMultilevel"/>
    <w:tmpl w:val="8794AC5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33655DC0"/>
    <w:multiLevelType w:val="hybridMultilevel"/>
    <w:tmpl w:val="98F206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3E4AC2"/>
    <w:multiLevelType w:val="hybridMultilevel"/>
    <w:tmpl w:val="6CEC06CE"/>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9">
    <w:nsid w:val="38612251"/>
    <w:multiLevelType w:val="hybridMultilevel"/>
    <w:tmpl w:val="5A748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A208B7"/>
    <w:multiLevelType w:val="hybridMultilevel"/>
    <w:tmpl w:val="44723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F37C9E"/>
    <w:multiLevelType w:val="hybridMultilevel"/>
    <w:tmpl w:val="FE2A58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1562D7"/>
    <w:multiLevelType w:val="hybridMultilevel"/>
    <w:tmpl w:val="57F23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D25118E"/>
    <w:multiLevelType w:val="hybridMultilevel"/>
    <w:tmpl w:val="54BAE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4AB47FD"/>
    <w:multiLevelType w:val="hybridMultilevel"/>
    <w:tmpl w:val="0AEA2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AC1F6C"/>
    <w:multiLevelType w:val="hybridMultilevel"/>
    <w:tmpl w:val="4F8AD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6B3665"/>
    <w:multiLevelType w:val="hybridMultilevel"/>
    <w:tmpl w:val="1A1E373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684C7D3A"/>
    <w:multiLevelType w:val="hybridMultilevel"/>
    <w:tmpl w:val="32F2D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0443E19"/>
    <w:multiLevelType w:val="hybridMultilevel"/>
    <w:tmpl w:val="EE5850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1087E03"/>
    <w:multiLevelType w:val="hybridMultilevel"/>
    <w:tmpl w:val="2F0C2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19055B"/>
    <w:multiLevelType w:val="hybridMultilevel"/>
    <w:tmpl w:val="29866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A973A4"/>
    <w:multiLevelType w:val="hybridMultilevel"/>
    <w:tmpl w:val="706440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3B09D3"/>
    <w:multiLevelType w:val="hybridMultilevel"/>
    <w:tmpl w:val="CBA4F348"/>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4E4DD3"/>
    <w:multiLevelType w:val="hybridMultilevel"/>
    <w:tmpl w:val="C6FC6362"/>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4"/>
  </w:num>
  <w:num w:numId="2">
    <w:abstractNumId w:val="0"/>
    <w:lvlOverride w:ilvl="0">
      <w:lvl w:ilvl="0">
        <w:start w:val="1"/>
        <w:numFmt w:val="decimal"/>
        <w:pStyle w:val="Level1"/>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0"/>
        <w:numFmt w:val="decimal"/>
        <w:lvlJc w:val="left"/>
      </w:lvl>
    </w:lvlOverride>
  </w:num>
  <w:num w:numId="3">
    <w:abstractNumId w:val="0"/>
    <w:lvlOverride w:ilvl="0">
      <w:startOverride w:val="11"/>
      <w:lvl w:ilvl="0">
        <w:start w:val="11"/>
        <w:numFmt w:val="decimal"/>
        <w:pStyle w:val="Level1"/>
        <w:lvlText w:val="%1."/>
        <w:lvlJc w:val="left"/>
      </w:lvl>
    </w:lvlOverride>
  </w:num>
  <w:num w:numId="4">
    <w:abstractNumId w:val="17"/>
  </w:num>
  <w:num w:numId="5">
    <w:abstractNumId w:val="6"/>
  </w:num>
  <w:num w:numId="6">
    <w:abstractNumId w:val="24"/>
  </w:num>
  <w:num w:numId="7">
    <w:abstractNumId w:val="3"/>
  </w:num>
  <w:num w:numId="8">
    <w:abstractNumId w:val="1"/>
  </w:num>
  <w:num w:numId="9">
    <w:abstractNumId w:val="12"/>
  </w:num>
  <w:num w:numId="10">
    <w:abstractNumId w:val="16"/>
  </w:num>
  <w:num w:numId="11">
    <w:abstractNumId w:val="21"/>
  </w:num>
  <w:num w:numId="12">
    <w:abstractNumId w:val="2"/>
  </w:num>
  <w:num w:numId="13">
    <w:abstractNumId w:val="20"/>
  </w:num>
  <w:num w:numId="14">
    <w:abstractNumId w:val="23"/>
  </w:num>
  <w:num w:numId="15">
    <w:abstractNumId w:val="18"/>
  </w:num>
  <w:num w:numId="16">
    <w:abstractNumId w:val="10"/>
  </w:num>
  <w:num w:numId="17">
    <w:abstractNumId w:val="7"/>
  </w:num>
  <w:num w:numId="18">
    <w:abstractNumId w:val="0"/>
    <w:lvlOverride w:ilvl="0">
      <w:startOverride w:val="10"/>
      <w:lvl w:ilvl="0">
        <w:start w:val="10"/>
        <w:numFmt w:val="decimal"/>
        <w:pStyle w:val="Level1"/>
        <w:lvlText w:val="%1."/>
        <w:lvlJc w:val="left"/>
      </w:lvl>
    </w:lvlOverride>
  </w:num>
  <w:num w:numId="19">
    <w:abstractNumId w:val="22"/>
  </w:num>
  <w:num w:numId="20">
    <w:abstractNumId w:val="13"/>
  </w:num>
  <w:num w:numId="21">
    <w:abstractNumId w:val="8"/>
  </w:num>
  <w:num w:numId="22">
    <w:abstractNumId w:val="4"/>
  </w:num>
  <w:num w:numId="23">
    <w:abstractNumId w:val="19"/>
  </w:num>
  <w:num w:numId="24">
    <w:abstractNumId w:val="11"/>
  </w:num>
  <w:num w:numId="25">
    <w:abstractNumId w:val="5"/>
  </w:num>
  <w:num w:numId="26">
    <w:abstractNumId w:val="15"/>
  </w:num>
  <w:num w:numId="27">
    <w:abstractNumId w:val="0"/>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28">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597D"/>
    <w:rsid w:val="00006D51"/>
    <w:rsid w:val="00010A68"/>
    <w:rsid w:val="00015DA5"/>
    <w:rsid w:val="00023257"/>
    <w:rsid w:val="000262CA"/>
    <w:rsid w:val="000313DC"/>
    <w:rsid w:val="000326C9"/>
    <w:rsid w:val="00035182"/>
    <w:rsid w:val="000411FD"/>
    <w:rsid w:val="0004633C"/>
    <w:rsid w:val="000524C2"/>
    <w:rsid w:val="00052AF3"/>
    <w:rsid w:val="00054D9A"/>
    <w:rsid w:val="000652A8"/>
    <w:rsid w:val="00074EFD"/>
    <w:rsid w:val="00094C13"/>
    <w:rsid w:val="00095B57"/>
    <w:rsid w:val="000973F8"/>
    <w:rsid w:val="000A1ED1"/>
    <w:rsid w:val="000B19C0"/>
    <w:rsid w:val="000B2C2A"/>
    <w:rsid w:val="000C0189"/>
    <w:rsid w:val="000C4030"/>
    <w:rsid w:val="000C5550"/>
    <w:rsid w:val="000D03CF"/>
    <w:rsid w:val="000E2C3C"/>
    <w:rsid w:val="000E71C5"/>
    <w:rsid w:val="000F3D1A"/>
    <w:rsid w:val="000F7D78"/>
    <w:rsid w:val="00103C09"/>
    <w:rsid w:val="00106624"/>
    <w:rsid w:val="00106AB4"/>
    <w:rsid w:val="0010764F"/>
    <w:rsid w:val="0011159F"/>
    <w:rsid w:val="00113C06"/>
    <w:rsid w:val="00116C0D"/>
    <w:rsid w:val="001235FD"/>
    <w:rsid w:val="00132E7B"/>
    <w:rsid w:val="00133C8D"/>
    <w:rsid w:val="0013450D"/>
    <w:rsid w:val="001361B9"/>
    <w:rsid w:val="00141E40"/>
    <w:rsid w:val="00143797"/>
    <w:rsid w:val="001456AE"/>
    <w:rsid w:val="0014705E"/>
    <w:rsid w:val="00153E29"/>
    <w:rsid w:val="00157642"/>
    <w:rsid w:val="00162EBD"/>
    <w:rsid w:val="0016529D"/>
    <w:rsid w:val="001839B0"/>
    <w:rsid w:val="00185817"/>
    <w:rsid w:val="00185910"/>
    <w:rsid w:val="001906DD"/>
    <w:rsid w:val="00190CD4"/>
    <w:rsid w:val="001915FB"/>
    <w:rsid w:val="001A3B49"/>
    <w:rsid w:val="001A535C"/>
    <w:rsid w:val="001B1135"/>
    <w:rsid w:val="001B3346"/>
    <w:rsid w:val="001B60BF"/>
    <w:rsid w:val="001D5A3B"/>
    <w:rsid w:val="001E164E"/>
    <w:rsid w:val="001F1E2C"/>
    <w:rsid w:val="0020397B"/>
    <w:rsid w:val="0020662B"/>
    <w:rsid w:val="00212D57"/>
    <w:rsid w:val="00215D6C"/>
    <w:rsid w:val="00216196"/>
    <w:rsid w:val="00225E85"/>
    <w:rsid w:val="00241C42"/>
    <w:rsid w:val="00253848"/>
    <w:rsid w:val="00254CD5"/>
    <w:rsid w:val="00256088"/>
    <w:rsid w:val="002567E4"/>
    <w:rsid w:val="00261F73"/>
    <w:rsid w:val="00275D69"/>
    <w:rsid w:val="0027779E"/>
    <w:rsid w:val="0027F235"/>
    <w:rsid w:val="0028518C"/>
    <w:rsid w:val="0028706A"/>
    <w:rsid w:val="00290492"/>
    <w:rsid w:val="00292218"/>
    <w:rsid w:val="00292691"/>
    <w:rsid w:val="00295055"/>
    <w:rsid w:val="00296D91"/>
    <w:rsid w:val="002978F1"/>
    <w:rsid w:val="002A2273"/>
    <w:rsid w:val="002A2AFD"/>
    <w:rsid w:val="002A4EBF"/>
    <w:rsid w:val="002B4415"/>
    <w:rsid w:val="002B45F1"/>
    <w:rsid w:val="002C118D"/>
    <w:rsid w:val="002C65F2"/>
    <w:rsid w:val="002C7122"/>
    <w:rsid w:val="002D1A59"/>
    <w:rsid w:val="002D4D89"/>
    <w:rsid w:val="002D7F3A"/>
    <w:rsid w:val="002E2010"/>
    <w:rsid w:val="002E510C"/>
    <w:rsid w:val="002E6CFA"/>
    <w:rsid w:val="002E7150"/>
    <w:rsid w:val="002E7DA9"/>
    <w:rsid w:val="002F301B"/>
    <w:rsid w:val="002F39BD"/>
    <w:rsid w:val="002F6758"/>
    <w:rsid w:val="0034651A"/>
    <w:rsid w:val="00353A27"/>
    <w:rsid w:val="0037023D"/>
    <w:rsid w:val="00376751"/>
    <w:rsid w:val="003808AD"/>
    <w:rsid w:val="00382D44"/>
    <w:rsid w:val="00382FF3"/>
    <w:rsid w:val="00385B39"/>
    <w:rsid w:val="00387011"/>
    <w:rsid w:val="00395CA7"/>
    <w:rsid w:val="00397DBA"/>
    <w:rsid w:val="003A22B3"/>
    <w:rsid w:val="003A344E"/>
    <w:rsid w:val="003A6CBA"/>
    <w:rsid w:val="003B6C0A"/>
    <w:rsid w:val="003D139A"/>
    <w:rsid w:val="003D2136"/>
    <w:rsid w:val="003E0393"/>
    <w:rsid w:val="003E07A8"/>
    <w:rsid w:val="003E4F39"/>
    <w:rsid w:val="003F0E97"/>
    <w:rsid w:val="003F1AE2"/>
    <w:rsid w:val="003F49D9"/>
    <w:rsid w:val="00402714"/>
    <w:rsid w:val="00413B83"/>
    <w:rsid w:val="0041530B"/>
    <w:rsid w:val="00416822"/>
    <w:rsid w:val="00421B15"/>
    <w:rsid w:val="004266B7"/>
    <w:rsid w:val="00435E3C"/>
    <w:rsid w:val="00440A6C"/>
    <w:rsid w:val="0044738C"/>
    <w:rsid w:val="00461547"/>
    <w:rsid w:val="00462F10"/>
    <w:rsid w:val="00467965"/>
    <w:rsid w:val="00467A1C"/>
    <w:rsid w:val="004700DA"/>
    <w:rsid w:val="004714B2"/>
    <w:rsid w:val="00476985"/>
    <w:rsid w:val="00481661"/>
    <w:rsid w:val="004832CE"/>
    <w:rsid w:val="00486D73"/>
    <w:rsid w:val="00492073"/>
    <w:rsid w:val="00493A45"/>
    <w:rsid w:val="004A0929"/>
    <w:rsid w:val="004A4205"/>
    <w:rsid w:val="004A4DF1"/>
    <w:rsid w:val="004B16C8"/>
    <w:rsid w:val="004C76B9"/>
    <w:rsid w:val="004D4DEC"/>
    <w:rsid w:val="004D5056"/>
    <w:rsid w:val="004E04E4"/>
    <w:rsid w:val="004F15B2"/>
    <w:rsid w:val="00504150"/>
    <w:rsid w:val="00504229"/>
    <w:rsid w:val="00506C83"/>
    <w:rsid w:val="00507D06"/>
    <w:rsid w:val="005154B7"/>
    <w:rsid w:val="0052272A"/>
    <w:rsid w:val="005228C3"/>
    <w:rsid w:val="00530CC0"/>
    <w:rsid w:val="00531B60"/>
    <w:rsid w:val="00533037"/>
    <w:rsid w:val="005409EE"/>
    <w:rsid w:val="00551CA9"/>
    <w:rsid w:val="00552843"/>
    <w:rsid w:val="00554171"/>
    <w:rsid w:val="0056066E"/>
    <w:rsid w:val="00565AA0"/>
    <w:rsid w:val="005703D3"/>
    <w:rsid w:val="00573C31"/>
    <w:rsid w:val="00577E07"/>
    <w:rsid w:val="005A77A4"/>
    <w:rsid w:val="005B305F"/>
    <w:rsid w:val="005C31E9"/>
    <w:rsid w:val="005C6925"/>
    <w:rsid w:val="005D286C"/>
    <w:rsid w:val="005E3C93"/>
    <w:rsid w:val="005E583F"/>
    <w:rsid w:val="005E5E83"/>
    <w:rsid w:val="005E7DE0"/>
    <w:rsid w:val="005F2E53"/>
    <w:rsid w:val="00602497"/>
    <w:rsid w:val="00604E7F"/>
    <w:rsid w:val="006071DF"/>
    <w:rsid w:val="0060764A"/>
    <w:rsid w:val="00613D99"/>
    <w:rsid w:val="00622554"/>
    <w:rsid w:val="006357D9"/>
    <w:rsid w:val="006453D3"/>
    <w:rsid w:val="006462AD"/>
    <w:rsid w:val="006463BF"/>
    <w:rsid w:val="006512E7"/>
    <w:rsid w:val="00652747"/>
    <w:rsid w:val="00653765"/>
    <w:rsid w:val="0065564D"/>
    <w:rsid w:val="00667D37"/>
    <w:rsid w:val="00671BA2"/>
    <w:rsid w:val="00675C83"/>
    <w:rsid w:val="00676E88"/>
    <w:rsid w:val="00681128"/>
    <w:rsid w:val="00681600"/>
    <w:rsid w:val="00684BD1"/>
    <w:rsid w:val="00691DF4"/>
    <w:rsid w:val="00693FC9"/>
    <w:rsid w:val="006943C1"/>
    <w:rsid w:val="00697A15"/>
    <w:rsid w:val="006A3C19"/>
    <w:rsid w:val="006B2EAB"/>
    <w:rsid w:val="006B7B80"/>
    <w:rsid w:val="006B7EB4"/>
    <w:rsid w:val="006C2E0E"/>
    <w:rsid w:val="006E49AD"/>
    <w:rsid w:val="006E6438"/>
    <w:rsid w:val="006F3568"/>
    <w:rsid w:val="007051A1"/>
    <w:rsid w:val="00710313"/>
    <w:rsid w:val="00714BD9"/>
    <w:rsid w:val="00725D1D"/>
    <w:rsid w:val="00733F94"/>
    <w:rsid w:val="0073773B"/>
    <w:rsid w:val="00740EA9"/>
    <w:rsid w:val="00741AE3"/>
    <w:rsid w:val="007502D4"/>
    <w:rsid w:val="00754A71"/>
    <w:rsid w:val="00755C82"/>
    <w:rsid w:val="0076212B"/>
    <w:rsid w:val="007777B4"/>
    <w:rsid w:val="00781019"/>
    <w:rsid w:val="00786B75"/>
    <w:rsid w:val="00786B8A"/>
    <w:rsid w:val="00790B4E"/>
    <w:rsid w:val="00790F34"/>
    <w:rsid w:val="007973BC"/>
    <w:rsid w:val="007A42A3"/>
    <w:rsid w:val="007A7CD6"/>
    <w:rsid w:val="007B7E0C"/>
    <w:rsid w:val="007C083D"/>
    <w:rsid w:val="007C35D1"/>
    <w:rsid w:val="007D0453"/>
    <w:rsid w:val="007D3BA4"/>
    <w:rsid w:val="007E1376"/>
    <w:rsid w:val="007F1802"/>
    <w:rsid w:val="007F2B47"/>
    <w:rsid w:val="007F3726"/>
    <w:rsid w:val="007F4D97"/>
    <w:rsid w:val="007F5A9F"/>
    <w:rsid w:val="007F7CC2"/>
    <w:rsid w:val="00800B4C"/>
    <w:rsid w:val="00805CDD"/>
    <w:rsid w:val="00817FF3"/>
    <w:rsid w:val="0085094B"/>
    <w:rsid w:val="00860043"/>
    <w:rsid w:val="008611ED"/>
    <w:rsid w:val="00862E03"/>
    <w:rsid w:val="00863189"/>
    <w:rsid w:val="00863D5C"/>
    <w:rsid w:val="00866355"/>
    <w:rsid w:val="0087618D"/>
    <w:rsid w:val="00886043"/>
    <w:rsid w:val="00895DFE"/>
    <w:rsid w:val="008A250D"/>
    <w:rsid w:val="008A357B"/>
    <w:rsid w:val="008B0BC4"/>
    <w:rsid w:val="008B18E5"/>
    <w:rsid w:val="008B59AE"/>
    <w:rsid w:val="008C1E2B"/>
    <w:rsid w:val="008C510C"/>
    <w:rsid w:val="008D3989"/>
    <w:rsid w:val="008D4689"/>
    <w:rsid w:val="008D6148"/>
    <w:rsid w:val="008D6559"/>
    <w:rsid w:val="008E08A2"/>
    <w:rsid w:val="008E47FF"/>
    <w:rsid w:val="008F65E6"/>
    <w:rsid w:val="008F718E"/>
    <w:rsid w:val="00905ABE"/>
    <w:rsid w:val="00910DCD"/>
    <w:rsid w:val="0094085E"/>
    <w:rsid w:val="00950A2F"/>
    <w:rsid w:val="00956A8B"/>
    <w:rsid w:val="00960704"/>
    <w:rsid w:val="00966D03"/>
    <w:rsid w:val="00971F55"/>
    <w:rsid w:val="00980CA7"/>
    <w:rsid w:val="00986AA7"/>
    <w:rsid w:val="009878A3"/>
    <w:rsid w:val="00995243"/>
    <w:rsid w:val="009B43B6"/>
    <w:rsid w:val="009B640A"/>
    <w:rsid w:val="009C3D22"/>
    <w:rsid w:val="009C4F99"/>
    <w:rsid w:val="009C5ED8"/>
    <w:rsid w:val="009D1B59"/>
    <w:rsid w:val="009D618F"/>
    <w:rsid w:val="009E1DF1"/>
    <w:rsid w:val="009E442F"/>
    <w:rsid w:val="009F020C"/>
    <w:rsid w:val="009F598C"/>
    <w:rsid w:val="00A14FC1"/>
    <w:rsid w:val="00A17430"/>
    <w:rsid w:val="00A1752A"/>
    <w:rsid w:val="00A22959"/>
    <w:rsid w:val="00A235E8"/>
    <w:rsid w:val="00A277D4"/>
    <w:rsid w:val="00A27C0A"/>
    <w:rsid w:val="00A4633A"/>
    <w:rsid w:val="00A5298F"/>
    <w:rsid w:val="00A55A48"/>
    <w:rsid w:val="00A560CE"/>
    <w:rsid w:val="00A575AE"/>
    <w:rsid w:val="00A714CD"/>
    <w:rsid w:val="00A720A5"/>
    <w:rsid w:val="00A734B2"/>
    <w:rsid w:val="00A75096"/>
    <w:rsid w:val="00A873E5"/>
    <w:rsid w:val="00A93CA6"/>
    <w:rsid w:val="00A94613"/>
    <w:rsid w:val="00AA2983"/>
    <w:rsid w:val="00AA44F5"/>
    <w:rsid w:val="00AB4F6F"/>
    <w:rsid w:val="00AC1033"/>
    <w:rsid w:val="00AC5B84"/>
    <w:rsid w:val="00AD3668"/>
    <w:rsid w:val="00AF37D7"/>
    <w:rsid w:val="00B072EC"/>
    <w:rsid w:val="00B116C5"/>
    <w:rsid w:val="00B2471C"/>
    <w:rsid w:val="00B24B1D"/>
    <w:rsid w:val="00B268AE"/>
    <w:rsid w:val="00B27F3C"/>
    <w:rsid w:val="00B3074E"/>
    <w:rsid w:val="00B33CE5"/>
    <w:rsid w:val="00B33E93"/>
    <w:rsid w:val="00B3775B"/>
    <w:rsid w:val="00B37E87"/>
    <w:rsid w:val="00B50C5C"/>
    <w:rsid w:val="00B51119"/>
    <w:rsid w:val="00B572D2"/>
    <w:rsid w:val="00B6435E"/>
    <w:rsid w:val="00B67787"/>
    <w:rsid w:val="00B70817"/>
    <w:rsid w:val="00B719A3"/>
    <w:rsid w:val="00B83849"/>
    <w:rsid w:val="00B83CB7"/>
    <w:rsid w:val="00B85963"/>
    <w:rsid w:val="00B90ECF"/>
    <w:rsid w:val="00B92D57"/>
    <w:rsid w:val="00B96244"/>
    <w:rsid w:val="00BA3975"/>
    <w:rsid w:val="00BA5FD1"/>
    <w:rsid w:val="00BB1744"/>
    <w:rsid w:val="00BC15BE"/>
    <w:rsid w:val="00BD1E82"/>
    <w:rsid w:val="00BD6B0B"/>
    <w:rsid w:val="00BE7994"/>
    <w:rsid w:val="00BF47F2"/>
    <w:rsid w:val="00C002D1"/>
    <w:rsid w:val="00C02FA1"/>
    <w:rsid w:val="00C120AD"/>
    <w:rsid w:val="00C132B3"/>
    <w:rsid w:val="00C13684"/>
    <w:rsid w:val="00C14580"/>
    <w:rsid w:val="00C152C8"/>
    <w:rsid w:val="00C16812"/>
    <w:rsid w:val="00C20093"/>
    <w:rsid w:val="00C2286B"/>
    <w:rsid w:val="00C34573"/>
    <w:rsid w:val="00C375B5"/>
    <w:rsid w:val="00C40086"/>
    <w:rsid w:val="00C4337B"/>
    <w:rsid w:val="00C50902"/>
    <w:rsid w:val="00C51371"/>
    <w:rsid w:val="00C60DEA"/>
    <w:rsid w:val="00C6428D"/>
    <w:rsid w:val="00C74820"/>
    <w:rsid w:val="00C82FB6"/>
    <w:rsid w:val="00C91AC4"/>
    <w:rsid w:val="00C950E3"/>
    <w:rsid w:val="00C95983"/>
    <w:rsid w:val="00CB5EFC"/>
    <w:rsid w:val="00CC5223"/>
    <w:rsid w:val="00CC6A49"/>
    <w:rsid w:val="00CE28C4"/>
    <w:rsid w:val="00CE4075"/>
    <w:rsid w:val="00CF033C"/>
    <w:rsid w:val="00CF2FD7"/>
    <w:rsid w:val="00CF57C2"/>
    <w:rsid w:val="00CF71FF"/>
    <w:rsid w:val="00CF7369"/>
    <w:rsid w:val="00D008ED"/>
    <w:rsid w:val="00D019E6"/>
    <w:rsid w:val="00D10F27"/>
    <w:rsid w:val="00D226A1"/>
    <w:rsid w:val="00D25A7D"/>
    <w:rsid w:val="00D3500C"/>
    <w:rsid w:val="00D36F12"/>
    <w:rsid w:val="00D43303"/>
    <w:rsid w:val="00D4792E"/>
    <w:rsid w:val="00D50D2F"/>
    <w:rsid w:val="00D53DB5"/>
    <w:rsid w:val="00D60724"/>
    <w:rsid w:val="00D60C6C"/>
    <w:rsid w:val="00D61738"/>
    <w:rsid w:val="00D61DC1"/>
    <w:rsid w:val="00D64990"/>
    <w:rsid w:val="00D70E1B"/>
    <w:rsid w:val="00D77FF7"/>
    <w:rsid w:val="00D81DD0"/>
    <w:rsid w:val="00D856B0"/>
    <w:rsid w:val="00D93F72"/>
    <w:rsid w:val="00D94EDA"/>
    <w:rsid w:val="00DA0302"/>
    <w:rsid w:val="00DA678D"/>
    <w:rsid w:val="00DB4316"/>
    <w:rsid w:val="00DB4B59"/>
    <w:rsid w:val="00DB7A1E"/>
    <w:rsid w:val="00DC1D42"/>
    <w:rsid w:val="00DC399D"/>
    <w:rsid w:val="00DC4E77"/>
    <w:rsid w:val="00DD0DF0"/>
    <w:rsid w:val="00DD57F6"/>
    <w:rsid w:val="00DD588F"/>
    <w:rsid w:val="00DE3723"/>
    <w:rsid w:val="00DE3EE7"/>
    <w:rsid w:val="00DE6187"/>
    <w:rsid w:val="00DF11CA"/>
    <w:rsid w:val="00DF17B3"/>
    <w:rsid w:val="00DF624B"/>
    <w:rsid w:val="00DF6937"/>
    <w:rsid w:val="00E06116"/>
    <w:rsid w:val="00E111A5"/>
    <w:rsid w:val="00E133F3"/>
    <w:rsid w:val="00E14034"/>
    <w:rsid w:val="00E17288"/>
    <w:rsid w:val="00E2173D"/>
    <w:rsid w:val="00E34C4E"/>
    <w:rsid w:val="00E37BB0"/>
    <w:rsid w:val="00E42F90"/>
    <w:rsid w:val="00E443F9"/>
    <w:rsid w:val="00E44AA6"/>
    <w:rsid w:val="00E57C05"/>
    <w:rsid w:val="00E639DE"/>
    <w:rsid w:val="00E64A43"/>
    <w:rsid w:val="00E66DDD"/>
    <w:rsid w:val="00E67F09"/>
    <w:rsid w:val="00E83E38"/>
    <w:rsid w:val="00EB1E1A"/>
    <w:rsid w:val="00EB7781"/>
    <w:rsid w:val="00EC2AAF"/>
    <w:rsid w:val="00EC646E"/>
    <w:rsid w:val="00ED09DA"/>
    <w:rsid w:val="00ED2A21"/>
    <w:rsid w:val="00ED367B"/>
    <w:rsid w:val="00ED371C"/>
    <w:rsid w:val="00EE39BE"/>
    <w:rsid w:val="00EE3E11"/>
    <w:rsid w:val="00EE64D9"/>
    <w:rsid w:val="00EE7FE9"/>
    <w:rsid w:val="00EF3830"/>
    <w:rsid w:val="00F067DF"/>
    <w:rsid w:val="00F07BDF"/>
    <w:rsid w:val="00F179CD"/>
    <w:rsid w:val="00F33E3A"/>
    <w:rsid w:val="00F35E8E"/>
    <w:rsid w:val="00F370DE"/>
    <w:rsid w:val="00F4226F"/>
    <w:rsid w:val="00F45B52"/>
    <w:rsid w:val="00F513B7"/>
    <w:rsid w:val="00F52DA0"/>
    <w:rsid w:val="00F5428B"/>
    <w:rsid w:val="00F55615"/>
    <w:rsid w:val="00F56F9C"/>
    <w:rsid w:val="00F6250A"/>
    <w:rsid w:val="00F62CCB"/>
    <w:rsid w:val="00F66FF0"/>
    <w:rsid w:val="00F8150C"/>
    <w:rsid w:val="00F86954"/>
    <w:rsid w:val="00F90719"/>
    <w:rsid w:val="00F959E9"/>
    <w:rsid w:val="00F95B36"/>
    <w:rsid w:val="00FA0BA0"/>
    <w:rsid w:val="00FA3037"/>
    <w:rsid w:val="00FA3FAC"/>
    <w:rsid w:val="00FA6AB4"/>
    <w:rsid w:val="00FA7C25"/>
    <w:rsid w:val="00FB3579"/>
    <w:rsid w:val="00FB3975"/>
    <w:rsid w:val="00FB7921"/>
    <w:rsid w:val="00FD04C6"/>
    <w:rsid w:val="00FD7DF0"/>
    <w:rsid w:val="00FE6EB5"/>
    <w:rsid w:val="00FF1CCD"/>
    <w:rsid w:val="00FF3A92"/>
    <w:rsid w:val="2C3B6E09"/>
    <w:rsid w:val="441F02D7"/>
    <w:rsid w:val="4CE068A4"/>
    <w:rsid w:val="6D406C50"/>
    <w:rsid w:val="7077759A"/>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5079A0D"/>
  <w15:docId w15:val="{5E9E7DEF-EF97-455B-832F-880237D4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C15BE"/>
    <w:rPr>
      <w:rFonts w:ascii="Times New Roman" w:hAnsi="Times New Roman"/>
      <w:b/>
      <w:sz w:val="26"/>
      <w:szCs w:val="26"/>
      <w:vertAlign w:val="superscript"/>
    </w:rPr>
  </w:style>
  <w:style w:type="paragraph" w:styleId="FootnoteText">
    <w:name w:val="footnote text"/>
    <w:aliases w:val="Char,Footnote Text Char Ch,Footnote Text Char Ch1,Footnote Text Char Char1 Char,Footnote Text Char1,Footnote Text Char1 Char Char Char,Footnote Text Char2 Char,Footnote Text1 Char,Footnote Text1 Char1,fn,fn1,fn3,ft,ft Char,ft Char Ch"/>
    <w:basedOn w:val="Normal"/>
    <w:link w:val="FootnoteTextChar2"/>
    <w:qFormat/>
    <w:rsid w:val="007A42A3"/>
    <w:rPr>
      <w:sz w:val="20"/>
      <w:szCs w:val="20"/>
    </w:rPr>
  </w:style>
  <w:style w:type="character" w:customStyle="1" w:styleId="FootnoteTextChar">
    <w:name w:val="Footnote Text Char"/>
    <w:aliases w:val="Footnote Text Char Char Char,Footnote Text Char Char Char Char Char Char,Footnote Text Char Char1 Char Char Char Char,Footnote Text Char1 Char Char Char Char,Footnote Text Char1 Char1 Char Char,Footnote Text Char2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Char Char,Footnote Text Char Ch Char,Footnote Text Char Ch1 Char,Footnote Text Char Char1 Char Char,Footnote Text Char1 Char,Footnote Text Char1 Char Char Char Char1,Footnote Text Char2 Char Char,Footnote Text1 Char Char,fn Char"/>
    <w:link w:val="FootnoteText"/>
    <w:rsid w:val="007A42A3"/>
    <w:rPr>
      <w:rFonts w:ascii="Times New Roman" w:eastAsia="Times New Roman" w:hAnsi="Times New Roman" w:cs="Times New Roman"/>
      <w:sz w:val="20"/>
      <w:szCs w:val="20"/>
    </w:rPr>
  </w:style>
  <w:style w:type="character" w:customStyle="1" w:styleId="FERCparanumberChar">
    <w:name w:val="FERC paranumber Char"/>
    <w:link w:val="FERCparanumber"/>
    <w:uiPriority w:val="99"/>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 w:type="table" w:customStyle="1" w:styleId="TableGrid1">
    <w:name w:val="Table Grid1"/>
    <w:basedOn w:val="TableNormal"/>
    <w:uiPriority w:val="39"/>
    <w:rsid w:val="00CF0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2/05/25/2022-11243/revised-filing-and-reporting-requirements-for-interstate-natural-gas-company-rate-schedules-and" TargetMode="External" /><Relationship Id="rId2" Type="http://schemas.openxmlformats.org/officeDocument/2006/relationships/hyperlink" Target="https://ferconline.ferc.gov/FERCOnline.aspx" TargetMode="External" /><Relationship Id="rId3" Type="http://schemas.openxmlformats.org/officeDocument/2006/relationships/hyperlink" Target="https://elibrary.ferc.gov/eLibrary/search" TargetMode="External" /><Relationship Id="rId4" Type="http://schemas.openxmlformats.org/officeDocument/2006/relationships/hyperlink" Target="https://elibrary.ferc.gov/eLibrary/filelist?accession_num=20220519-3093" TargetMode="External" /><Relationship Id="rId5" Type="http://schemas.openxmlformats.org/officeDocument/2006/relationships/hyperlink" Target="https://www.bls.gov/oes/current/naics3_221000.htm" TargetMode="External" /><Relationship Id="rId6"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2.xml><?xml version="1.0" encoding="utf-8"?>
<ds:datastoreItem xmlns:ds="http://schemas.openxmlformats.org/officeDocument/2006/customXml" ds:itemID="{EDE483B1-8975-456B-B5F7-D5FE56AB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9A4D3-CA86-48B6-B461-471D0663250E}">
  <ds:schemaRefs>
    <ds:schemaRef ds:uri="http://schemas.openxmlformats.org/officeDocument/2006/bibliography"/>
  </ds:schemaRefs>
</ds:datastoreItem>
</file>

<file path=customXml/itemProps4.xml><?xml version="1.0" encoding="utf-8"?>
<ds:datastoreItem xmlns:ds="http://schemas.openxmlformats.org/officeDocument/2006/customXml" ds:itemID="{23C472E6-E3F7-4C35-B2DC-3F4E7649F8B4}">
  <ds:schemaRefs>
    <ds:schemaRef ds:uri="http://schemas.microsoft.com/office/2006/metadata/properties"/>
    <ds:schemaRef ds:uri="http://schemas.microsoft.com/office/2006/documentManagement/types"/>
    <ds:schemaRef ds:uri="d6eefc7d-9817-4fa6-84d5-3bc009be21b8"/>
    <ds:schemaRef ds:uri="5a7c6213-c3f8-4376-93f2-dc58e5c51d54"/>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e029e753-062b-49ce-baa7-feb352134f8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Energy Regulatory Commission</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Oscar Santillana</dc:creator>
  <cp:lastModifiedBy>Kayla</cp:lastModifiedBy>
  <cp:revision>2</cp:revision>
  <dcterms:created xsi:type="dcterms:W3CDTF">2022-11-30T20:47:00Z</dcterms:created>
  <dcterms:modified xsi:type="dcterms:W3CDTF">2022-11-30T20:47:00Z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ae0499c6-ecec-428b-aa41-a06398d5bd4a</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2021-09-27T12:07:54Z</vt:lpwstr>
  </property>
  <property fmtid="{D5CDD505-2E9C-101B-9397-08002B2CF9AE}" pid="10" name="MSIP_Label_6155a89b-0f08-4a93-8ea2-8a916d6643b5_SiteId">
    <vt:lpwstr>19caa9e9-04ff-43fa-885f-d77fac387903</vt:lpwstr>
  </property>
</Properties>
</file>