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0C14" w14:paraId="18D2A85B" w14:textId="77777777">
      <w:pPr>
        <w:jc w:val="center"/>
      </w:pPr>
      <w:r>
        <w:t>181 FERC ¶ 61,121</w:t>
      </w:r>
    </w:p>
    <w:p w:rsidR="00F9403B" w:rsidRPr="00CA5784" w:rsidP="00CA5784" w14:paraId="79FEB229" w14:textId="7BD76124">
      <w:pPr>
        <w:widowControl/>
        <w:jc w:val="center"/>
      </w:pPr>
      <w:r w:rsidRPr="00CA5784">
        <w:t>UNITED STATES OF AMERICA</w:t>
      </w:r>
    </w:p>
    <w:p w:rsidR="00CA5784" w:rsidP="00CA5784" w14:paraId="6FFE984A" w14:textId="4F3BC012">
      <w:pPr>
        <w:widowControl/>
        <w:jc w:val="center"/>
      </w:pPr>
      <w:r w:rsidRPr="00CA5784">
        <w:t>FEDERAL ENERGY REGULATORY COMMISSION</w:t>
      </w:r>
    </w:p>
    <w:p w:rsidR="00F9403B" w:rsidRPr="00395600" w:rsidP="00784184" w14:paraId="3B05BF10" w14:textId="77777777">
      <w:pPr>
        <w:jc w:val="center"/>
      </w:pPr>
    </w:p>
    <w:p w:rsidR="00F9403B" w:rsidRPr="00395600" w:rsidP="00784184" w14:paraId="4916F7C5" w14:textId="318737D2">
      <w:pPr>
        <w:jc w:val="center"/>
      </w:pPr>
      <w:r w:rsidRPr="00395600">
        <w:t>18 CFR Part</w:t>
      </w:r>
      <w:r w:rsidR="00DF0BCD">
        <w:t xml:space="preserve">s </w:t>
      </w:r>
      <w:r w:rsidRPr="00DF0BCD" w:rsidR="00DF0BCD">
        <w:t>154, 260, &amp; 284</w:t>
      </w:r>
    </w:p>
    <w:p w:rsidR="00F9403B" w:rsidP="00784184" w14:paraId="112C2D97" w14:textId="3186BAC5">
      <w:pPr>
        <w:jc w:val="center"/>
      </w:pPr>
      <w:r w:rsidRPr="00395600">
        <w:t>[</w:t>
      </w:r>
      <w:r>
        <w:t>Docket No.</w:t>
      </w:r>
      <w:r w:rsidR="00BC19CE">
        <w:t xml:space="preserve"> RM21-18-000</w:t>
      </w:r>
      <w:r w:rsidRPr="00395600">
        <w:t>; Order No.</w:t>
      </w:r>
      <w:r>
        <w:t xml:space="preserve"> </w:t>
      </w:r>
      <w:r w:rsidR="005C0CF8">
        <w:t>884</w:t>
      </w:r>
      <w:r w:rsidRPr="00395600">
        <w:t>]</w:t>
      </w:r>
    </w:p>
    <w:p w:rsidR="00F9403B" w:rsidP="00784184" w14:paraId="66DDB858" w14:textId="228CA10A">
      <w:pPr>
        <w:jc w:val="center"/>
      </w:pPr>
    </w:p>
    <w:p w:rsidR="00CA5784" w:rsidP="00784184" w14:paraId="2F14C79A" w14:textId="77777777">
      <w:pPr>
        <w:jc w:val="center"/>
      </w:pPr>
      <w:r w:rsidRPr="00DF0BCD">
        <w:t xml:space="preserve">Revised Filing and Reporting Requirements for Interstate Natural Gas Company </w:t>
      </w:r>
    </w:p>
    <w:p w:rsidR="00922B38" w:rsidP="00784184" w14:paraId="080AC518" w14:textId="3553C2FF">
      <w:pPr>
        <w:jc w:val="center"/>
      </w:pPr>
      <w:r w:rsidRPr="00DF0BCD">
        <w:t xml:space="preserve">Rate Schedules and Tariffs </w:t>
      </w:r>
    </w:p>
    <w:p w:rsidR="00D71E09" w:rsidP="00784184" w14:paraId="696C926A" w14:textId="77777777">
      <w:pPr>
        <w:jc w:val="center"/>
      </w:pPr>
    </w:p>
    <w:p w:rsidR="0065751A" w:rsidP="00D71E09" w14:paraId="00BD990B" w14:textId="59C41920">
      <w:pPr>
        <w:jc w:val="center"/>
      </w:pPr>
      <w:r w:rsidRPr="00CA5784">
        <w:t>(Issued November 1</w:t>
      </w:r>
      <w:r>
        <w:t>7</w:t>
      </w:r>
      <w:r w:rsidRPr="00CA5784">
        <w:t>, 2022)</w:t>
      </w:r>
    </w:p>
    <w:p w:rsidR="00D71E09" w:rsidRPr="00395600" w:rsidP="00784184" w14:paraId="3228940A" w14:textId="77777777"/>
    <w:p w:rsidR="00F9403B" w:rsidRPr="00395600" w:rsidP="00784184" w14:paraId="5B5E43F1" w14:textId="77777777">
      <w:pPr>
        <w:spacing w:after="260"/>
      </w:pPr>
      <w:r w:rsidRPr="00AD5134">
        <w:rPr>
          <w:b/>
          <w:bCs/>
        </w:rPr>
        <w:t>AGENCY</w:t>
      </w:r>
      <w:r w:rsidRPr="00395600">
        <w:t>:  Federal Energy Regulatory Commission.</w:t>
      </w:r>
    </w:p>
    <w:p w:rsidR="00F9403B" w:rsidRPr="00395600" w:rsidP="00784184" w14:paraId="4A615C40" w14:textId="22AF0F02">
      <w:pPr>
        <w:spacing w:after="260"/>
      </w:pPr>
      <w:r w:rsidRPr="00AD5134">
        <w:rPr>
          <w:b/>
          <w:bCs/>
        </w:rPr>
        <w:t>ACTION</w:t>
      </w:r>
      <w:r w:rsidRPr="00395600">
        <w:t xml:space="preserve">:  Final </w:t>
      </w:r>
      <w:r>
        <w:t>r</w:t>
      </w:r>
      <w:r w:rsidRPr="00395600">
        <w:t>ule</w:t>
      </w:r>
      <w:r w:rsidR="00447936">
        <w:t>.</w:t>
      </w:r>
    </w:p>
    <w:p w:rsidR="00F9403B" w:rsidRPr="00395600" w:rsidP="00784184" w14:paraId="141CEC14" w14:textId="112ABE11">
      <w:pPr>
        <w:spacing w:line="480" w:lineRule="auto"/>
      </w:pPr>
      <w:r w:rsidRPr="00AD5134">
        <w:rPr>
          <w:b/>
          <w:bCs/>
        </w:rPr>
        <w:t>SUMMARY</w:t>
      </w:r>
      <w:r w:rsidRPr="00395600">
        <w:t xml:space="preserve">:  </w:t>
      </w:r>
      <w:r w:rsidRPr="00BA0E26" w:rsidR="00BA0E26">
        <w:t xml:space="preserve">The Federal Energy Regulatory Commission </w:t>
      </w:r>
      <w:r w:rsidR="00381128">
        <w:t xml:space="preserve">issues this final </w:t>
      </w:r>
      <w:r w:rsidRPr="00BA0E26" w:rsidR="00BA0E26">
        <w:t>rule to</w:t>
      </w:r>
      <w:r w:rsidRPr="00BA0E26" w:rsidR="00BA0E26">
        <w:rPr>
          <w:bCs/>
        </w:rPr>
        <w:t xml:space="preserve"> </w:t>
      </w:r>
      <w:r w:rsidRPr="00BA0E26" w:rsidR="00BA0E26">
        <w:rPr>
          <w:bCs/>
        </w:rPr>
        <w:t xml:space="preserve">require natural gas pipelines </w:t>
      </w:r>
      <w:r w:rsidRPr="00BA0E26" w:rsidR="00BA0E26">
        <w:t xml:space="preserve">to submit all supporting statements, schedules and workpapers in native format (e.g., Microsoft Excel) with all links and formulas </w:t>
      </w:r>
      <w:r w:rsidR="003E7FC5">
        <w:t>included</w:t>
      </w:r>
      <w:r w:rsidRPr="00BA0E26" w:rsidR="003E7FC5">
        <w:t xml:space="preserve"> </w:t>
      </w:r>
      <w:r w:rsidRPr="00BA0E26" w:rsidR="00BA0E26">
        <w:t>when filing a Natural Gas Act section 4 rate case.</w:t>
      </w:r>
      <w:r w:rsidRPr="00BA0E26" w:rsidR="00BA0E26">
        <w:t xml:space="preserve"> </w:t>
      </w:r>
    </w:p>
    <w:p w:rsidR="00BA0E26" w:rsidRPr="00395600" w:rsidP="00784184" w14:paraId="1711890A" w14:textId="5ECD81E4">
      <w:pPr>
        <w:spacing w:line="480" w:lineRule="auto"/>
      </w:pPr>
      <w:r w:rsidRPr="00591753">
        <w:rPr>
          <w:b/>
          <w:bCs/>
        </w:rPr>
        <w:t>DATE</w:t>
      </w:r>
      <w:r>
        <w:rPr>
          <w:b/>
          <w:bCs/>
        </w:rPr>
        <w:t>S</w:t>
      </w:r>
      <w:r w:rsidRPr="00395600">
        <w:t xml:space="preserve">: </w:t>
      </w:r>
      <w:r w:rsidR="00CA5784">
        <w:t xml:space="preserve"> </w:t>
      </w:r>
      <w:r w:rsidRPr="00395600">
        <w:t xml:space="preserve">This rule </w:t>
      </w:r>
      <w:r>
        <w:t xml:space="preserve">is </w:t>
      </w:r>
      <w:r w:rsidRPr="00395600">
        <w:t>effective</w:t>
      </w:r>
      <w:r>
        <w:t xml:space="preserve"> </w:t>
      </w:r>
      <w:r w:rsidRPr="00A440F4">
        <w:rPr>
          <w:b/>
        </w:rPr>
        <w:t xml:space="preserve">[INSERT DATE </w:t>
      </w:r>
      <w:r>
        <w:rPr>
          <w:b/>
        </w:rPr>
        <w:t xml:space="preserve">30 </w:t>
      </w:r>
      <w:r w:rsidRPr="00591753">
        <w:rPr>
          <w:b/>
          <w:bCs/>
        </w:rPr>
        <w:t>DAYS</w:t>
      </w:r>
      <w:r>
        <w:rPr>
          <w:b/>
          <w:bCs/>
        </w:rPr>
        <w:t xml:space="preserve"> </w:t>
      </w:r>
      <w:r w:rsidRPr="00A440F4">
        <w:rPr>
          <w:b/>
        </w:rPr>
        <w:t>AFTER DATE OF PUBLICATION IN THE FEDERAL REGISTER]</w:t>
      </w:r>
    </w:p>
    <w:p w:rsidR="00F9403B" w:rsidP="00784184" w14:paraId="7DE3D910" w14:textId="77777777">
      <w:r w:rsidRPr="00AD5134">
        <w:rPr>
          <w:b/>
          <w:bCs/>
        </w:rPr>
        <w:t>FOR FURTHER INFORMATION CONTACT</w:t>
      </w:r>
      <w:r w:rsidRPr="00395600">
        <w:t>:</w:t>
      </w:r>
    </w:p>
    <w:p w:rsidR="00922B38" w:rsidP="00BA0E26" w14:paraId="0C2FA894" w14:textId="77777777"/>
    <w:p w:rsidR="00BA0E26" w:rsidRPr="00BA0E26" w:rsidP="00BA0E26" w14:paraId="2721D4B7" w14:textId="240C6FF4">
      <w:r w:rsidRPr="00BA0E26">
        <w:t>Tehseen Rana (Technical Information)</w:t>
      </w:r>
    </w:p>
    <w:p w:rsidR="00BA0E26" w:rsidRPr="00BA0E26" w:rsidP="00BA0E26" w14:paraId="57EA2AD9" w14:textId="77777777">
      <w:r w:rsidRPr="00BA0E26">
        <w:t>Office of Energy Market Regulation</w:t>
      </w:r>
    </w:p>
    <w:p w:rsidR="00922B38" w:rsidP="00BA0E26" w14:paraId="041FC52C" w14:textId="6C9930EB">
      <w:r>
        <w:t>Federal Energy Regulatory Commission</w:t>
      </w:r>
    </w:p>
    <w:p w:rsidR="00BA0E26" w:rsidRPr="00BA0E26" w:rsidP="00BA0E26" w14:paraId="4D7AB3C7" w14:textId="37599E6E">
      <w:r w:rsidRPr="00BA0E26">
        <w:t>888 First Street, NE</w:t>
      </w:r>
    </w:p>
    <w:p w:rsidR="00BA0E26" w:rsidRPr="00BA0E26" w:rsidP="00BA0E26" w14:paraId="774FB72D" w14:textId="77777777">
      <w:r w:rsidRPr="00BA0E26">
        <w:t>Washington, DC  20426</w:t>
      </w:r>
    </w:p>
    <w:p w:rsidR="00BA0E26" w:rsidRPr="00BA0E26" w:rsidP="00BA0E26" w14:paraId="48332A0A" w14:textId="77777777">
      <w:r w:rsidRPr="00BA0E26">
        <w:t>(202) 502-8639</w:t>
      </w:r>
    </w:p>
    <w:p w:rsidR="00BA0E26" w:rsidRPr="00BA0E26" w:rsidP="00BA0E26" w14:paraId="6DE0A2AA" w14:textId="6A275F24">
      <w:pPr>
        <w:rPr>
          <w:u w:val="single"/>
        </w:rPr>
      </w:pPr>
      <w:r w:rsidRPr="0049613A">
        <w:t>Tehseen.Rana@ferc.gov</w:t>
      </w:r>
    </w:p>
    <w:p w:rsidR="00BA0E26" w:rsidRPr="00395600" w:rsidP="00784184" w14:paraId="5ED10186" w14:textId="77777777"/>
    <w:p w:rsidR="00BA0E26" w:rsidRPr="00BA0E26" w:rsidP="00BA0E26" w14:paraId="108A64CC" w14:textId="77777777">
      <w:r w:rsidRPr="00BA0E26">
        <w:t>Caitlin Tweed (Legal Information)</w:t>
      </w:r>
    </w:p>
    <w:p w:rsidR="00BA0E26" w:rsidRPr="00BA0E26" w:rsidP="00BA0E26" w14:paraId="2849934B" w14:textId="77777777">
      <w:r w:rsidRPr="00BA0E26">
        <w:t>Office of the General Counsel</w:t>
      </w:r>
    </w:p>
    <w:p w:rsidR="00922B38" w:rsidP="00BA0E26" w14:paraId="4C37B5CF" w14:textId="5E68597B">
      <w:r>
        <w:t>Federal Energy Regulatory Commission</w:t>
      </w:r>
    </w:p>
    <w:p w:rsidR="00BA0E26" w:rsidRPr="00BA0E26" w:rsidP="00BA0E26" w14:paraId="29A46C07" w14:textId="4BF68ACD">
      <w:r w:rsidRPr="00BA0E26">
        <w:t>888 First Street, NE</w:t>
      </w:r>
    </w:p>
    <w:p w:rsidR="00BA0E26" w:rsidRPr="00BA0E26" w:rsidP="00BA0E26" w14:paraId="23D122D5" w14:textId="77777777">
      <w:r w:rsidRPr="00BA0E26">
        <w:t>Washington, DC  20426</w:t>
      </w:r>
    </w:p>
    <w:p w:rsidR="00BA0E26" w:rsidRPr="00BA0E26" w:rsidP="00BA0E26" w14:paraId="29321A80" w14:textId="77777777">
      <w:r w:rsidRPr="00BA0E26">
        <w:t>(202) 502-8073</w:t>
      </w:r>
    </w:p>
    <w:p w:rsidR="00BA0E26" w:rsidRPr="0049613A" w:rsidP="00BA0E26" w14:paraId="6EAF58BA" w14:textId="76554963">
      <w:r w:rsidRPr="0049613A">
        <w:t>Caitlin.Tweed@ferc.gov</w:t>
      </w:r>
    </w:p>
    <w:p w:rsidR="00CA5784" w:rsidP="00784184" w14:paraId="689A5F1F" w14:textId="0379E510"/>
    <w:p w:rsidR="00F9403B" w:rsidRPr="00395600" w:rsidP="00784184" w14:paraId="01208C89" w14:textId="61DCA45D">
      <w:pPr>
        <w:sectPr w:rsidSect="00D71E09">
          <w:headerReference w:type="even" r:id="rId11"/>
          <w:headerReference w:type="default" r:id="rId12"/>
          <w:footerReference w:type="even" r:id="rId13"/>
          <w:footerReference w:type="default" r:id="rId14"/>
          <w:headerReference w:type="first" r:id="rId15"/>
          <w:footerReference w:type="first" r:id="rId16"/>
          <w:pgSz w:w="12240" w:h="15840"/>
          <w:pgMar w:top="864" w:right="1296" w:bottom="1008" w:left="1296" w:header="720" w:footer="720" w:gutter="0"/>
          <w:pgNumType w:fmt="lowerRoman" w:start="1"/>
          <w:cols w:space="720"/>
          <w:titlePg/>
          <w:docGrid w:linePitch="360"/>
        </w:sectPr>
      </w:pPr>
      <w:r w:rsidRPr="00AD5134">
        <w:rPr>
          <w:b/>
          <w:bCs/>
        </w:rPr>
        <w:t>SUPPLEMENTARY INFORMATION</w:t>
      </w:r>
      <w:r w:rsidRPr="00395600">
        <w:t>:</w:t>
      </w:r>
    </w:p>
    <w:p w:rsidR="00FB519D" w:rsidP="00FB519D" w14:paraId="72B90089" w14:textId="77777777">
      <w:pPr>
        <w:jc w:val="center"/>
      </w:pPr>
      <w:r>
        <w:t>181 FERC ¶ 61,121</w:t>
      </w:r>
    </w:p>
    <w:p w:rsidR="00F9403B" w:rsidRPr="00395600" w:rsidP="00784184" w14:paraId="58BC0F60" w14:textId="77777777">
      <w:pPr>
        <w:jc w:val="center"/>
      </w:pPr>
      <w:r w:rsidRPr="00395600">
        <w:t>UNITED STATES OF AMERICA</w:t>
      </w:r>
    </w:p>
    <w:p w:rsidR="00F9403B" w:rsidRPr="00395600" w:rsidP="00784184" w14:paraId="41A6CB24" w14:textId="77777777">
      <w:pPr>
        <w:jc w:val="center"/>
      </w:pPr>
      <w:r w:rsidRPr="00395600">
        <w:t>FEDERAL ENERGY REGULATORY COMMISSION</w:t>
      </w:r>
    </w:p>
    <w:p w:rsidR="00F9403B" w:rsidP="00784184" w14:paraId="36CBED49" w14:textId="29EAB6B3"/>
    <w:p w:rsidR="00131A50" w:rsidRPr="00395600" w:rsidP="00784184" w14:paraId="2C6FADA5" w14:textId="77777777"/>
    <w:p w:rsidR="00554481" w:rsidRPr="00CA5784" w:rsidP="00CA5784" w14:paraId="4AA99B45" w14:textId="1C27E26C">
      <w:pPr>
        <w:widowControl/>
      </w:pPr>
      <w:r w:rsidRPr="00CA5784">
        <w:t>Before Commissioners:  Richard Glick, Chairman;</w:t>
      </w:r>
    </w:p>
    <w:p w:rsidR="00CA5784" w:rsidRPr="00CA5784" w:rsidP="00CA5784" w14:paraId="41260075" w14:textId="2BC5044F">
      <w:pPr>
        <w:widowControl/>
      </w:pPr>
      <w:r w:rsidRPr="00CA5784">
        <w:t xml:space="preserve">                                        James P. Danly, Allison Clements,</w:t>
      </w:r>
    </w:p>
    <w:p w:rsidR="00CA5784" w:rsidRPr="00554481" w:rsidP="00CA5784" w14:paraId="4043054B" w14:textId="662EE9BB">
      <w:pPr>
        <w:widowControl/>
      </w:pPr>
      <w:r w:rsidRPr="00CA5784">
        <w:t xml:space="preserve">                                        Mark C. Christie, and Willie L. Phillips.</w:t>
      </w:r>
    </w:p>
    <w:p w:rsidR="00F9403B" w:rsidRPr="00395600" w:rsidP="00784184" w14:paraId="485ACEC1" w14:textId="67B6750A"/>
    <w:p w:rsidR="00F9403B" w:rsidRPr="00395600" w:rsidP="00784184" w14:paraId="5EBA95A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8"/>
        <w:gridCol w:w="1539"/>
        <w:gridCol w:w="1893"/>
      </w:tblGrid>
      <w:tr w14:paraId="372621E8" w14:textId="77777777" w:rsidTr="00F940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F9403B" w:rsidRPr="00395600" w:rsidP="00CA5784" w14:paraId="370C3C2D" w14:textId="30C9A2D2">
            <w:pPr>
              <w:widowControl/>
              <w:rPr>
                <w:rFonts w:cstheme="minorBidi"/>
                <w:szCs w:val="22"/>
              </w:rPr>
            </w:pPr>
            <w:r w:rsidRPr="0059061C">
              <w:rPr>
                <w:rFonts w:cstheme="minorBidi"/>
              </w:rPr>
              <w:t>Revised Filing and Reporting Requirements for Interstate Natural Gas Company Rate Schedules and Tariffs</w:t>
            </w:r>
          </w:p>
        </w:tc>
        <w:tc>
          <w:tcPr>
            <w:tcW w:w="1560" w:type="dxa"/>
            <w:shd w:val="clear" w:color="auto" w:fill="auto"/>
          </w:tcPr>
          <w:p w:rsidR="00F9403B" w:rsidRPr="00395600" w:rsidP="00CA5784" w14:paraId="6B6D64A2" w14:textId="77777777">
            <w:pPr>
              <w:widowControl/>
              <w:autoSpaceDE/>
              <w:autoSpaceDN/>
              <w:adjustRightInd/>
              <w:jc w:val="right"/>
              <w:rPr>
                <w:rFonts w:cstheme="minorBidi"/>
                <w:szCs w:val="22"/>
              </w:rPr>
            </w:pPr>
            <w:r>
              <w:rPr>
                <w:rFonts w:cstheme="minorBidi"/>
                <w:szCs w:val="22"/>
              </w:rPr>
              <w:t>Docket No.</w:t>
            </w:r>
          </w:p>
        </w:tc>
        <w:tc>
          <w:tcPr>
            <w:tcW w:w="1928" w:type="dxa"/>
            <w:shd w:val="clear" w:color="auto" w:fill="auto"/>
          </w:tcPr>
          <w:p w:rsidR="00F9403B" w:rsidRPr="00395600" w:rsidP="00784184" w14:paraId="5EBA9655" w14:textId="21B086A1">
            <w:pPr>
              <w:widowControl/>
              <w:autoSpaceDE/>
              <w:autoSpaceDN/>
              <w:adjustRightInd/>
              <w:rPr>
                <w:rFonts w:cstheme="minorBidi"/>
                <w:szCs w:val="22"/>
              </w:rPr>
            </w:pPr>
            <w:r>
              <w:rPr>
                <w:rFonts w:cstheme="minorBidi"/>
                <w:szCs w:val="22"/>
              </w:rPr>
              <w:t>RM21-18-000</w:t>
            </w:r>
          </w:p>
        </w:tc>
      </w:tr>
    </w:tbl>
    <w:p w:rsidR="00F9403B" w:rsidRPr="00395600" w:rsidP="00784184" w14:paraId="4CEF91C1" w14:textId="77777777"/>
    <w:p w:rsidR="00F9403B" w:rsidP="00784184" w14:paraId="223A86E2" w14:textId="498603FC">
      <w:pPr>
        <w:jc w:val="center"/>
      </w:pPr>
      <w:r w:rsidRPr="00395600">
        <w:t>ORDER NO.</w:t>
      </w:r>
      <w:r>
        <w:t xml:space="preserve"> </w:t>
      </w:r>
      <w:r w:rsidR="00D71E09">
        <w:t>884</w:t>
      </w:r>
    </w:p>
    <w:p w:rsidR="00F9403B" w:rsidP="00784184" w14:paraId="3A5551DC" w14:textId="77777777">
      <w:pPr>
        <w:jc w:val="center"/>
      </w:pPr>
    </w:p>
    <w:p w:rsidR="00F9403B" w:rsidP="00784184" w14:paraId="763242E1" w14:textId="77777777">
      <w:pPr>
        <w:jc w:val="center"/>
      </w:pPr>
      <w:r w:rsidRPr="00395600">
        <w:t>FINAL RULE</w:t>
      </w:r>
    </w:p>
    <w:p w:rsidR="00F9403B" w:rsidP="00784184" w14:paraId="013CA967" w14:textId="77777777">
      <w:pPr>
        <w:jc w:val="center"/>
      </w:pPr>
    </w:p>
    <w:p w:rsidR="00F9403B" w:rsidP="00CA5784" w14:paraId="0F3B8B0B" w14:textId="5F7193A3">
      <w:pPr>
        <w:widowControl/>
        <w:jc w:val="center"/>
      </w:pPr>
      <w:r w:rsidRPr="00CA5784">
        <w:t>(Issued November 1</w:t>
      </w:r>
      <w:r>
        <w:t>7</w:t>
      </w:r>
      <w:r w:rsidRPr="00CA5784">
        <w:t>, 2022)</w:t>
      </w:r>
    </w:p>
    <w:p w:rsidR="00CA5784" w:rsidRPr="00CA5784" w:rsidP="00CA5784" w14:paraId="39C0DD98" w14:textId="77777777">
      <w:pPr>
        <w:widowControl/>
      </w:pPr>
    </w:p>
    <w:p w:rsidR="00360103" w:rsidP="00F86433" w14:paraId="15B55E9E" w14:textId="53AE9C31">
      <w:pPr>
        <w:pStyle w:val="FERCparanumber"/>
      </w:pPr>
      <w:bookmarkStart w:id="0" w:name="_Start_TOC"/>
      <w:bookmarkStart w:id="1" w:name="Introduction"/>
      <w:bookmarkEnd w:id="0"/>
      <w:bookmarkEnd w:id="1"/>
      <w:r>
        <w:t xml:space="preserve">In this final rule, the Federal Energy Regulatory Commission (Commission) </w:t>
      </w:r>
      <w:r w:rsidR="00B21104">
        <w:t>revises</w:t>
      </w:r>
      <w:r>
        <w:t xml:space="preserve"> the filing and reporting requirements for natural gas pipelines filing a Natural Gas Act (NGA) section 4 rate </w:t>
      </w:r>
      <w:r w:rsidR="009C6B7D">
        <w:t>case</w:t>
      </w:r>
      <w:r>
        <w:t>.</w:t>
      </w:r>
      <w:r>
        <w:rPr>
          <w:b/>
          <w:vertAlign w:val="superscript"/>
        </w:rPr>
        <w:footnoteReference w:id="3"/>
      </w:r>
      <w:r>
        <w:t xml:space="preserve">  As</w:t>
      </w:r>
      <w:r w:rsidR="00454FAE">
        <w:t xml:space="preserve"> </w:t>
      </w:r>
      <w:r>
        <w:t>discussed below, we adopt the Commission’s propos</w:t>
      </w:r>
      <w:r w:rsidR="00715E9D">
        <w:t>al</w:t>
      </w:r>
      <w:r w:rsidR="00454FAE">
        <w:t xml:space="preserve"> </w:t>
      </w:r>
      <w:r>
        <w:t>pursuant</w:t>
      </w:r>
      <w:r w:rsidR="00454FAE">
        <w:t xml:space="preserve"> </w:t>
      </w:r>
      <w:r w:rsidR="00715E9D">
        <w:t>to t</w:t>
      </w:r>
      <w:r>
        <w:t xml:space="preserve">he Notice of Proposed Rulemaking (NOPR) </w:t>
      </w:r>
      <w:r w:rsidR="00715E9D">
        <w:t>issued on May 19, 2022,</w:t>
      </w:r>
      <w:r>
        <w:rPr>
          <w:rStyle w:val="FootnoteReference"/>
        </w:rPr>
        <w:footnoteReference w:id="4"/>
      </w:r>
      <w:r w:rsidR="00715E9D">
        <w:t xml:space="preserve"> </w:t>
      </w:r>
      <w:r w:rsidRPr="00BA0E26">
        <w:t>to</w:t>
      </w:r>
      <w:r w:rsidRPr="00BA0E26">
        <w:rPr>
          <w:bCs/>
        </w:rPr>
        <w:t xml:space="preserve"> </w:t>
      </w:r>
      <w:r>
        <w:rPr>
          <w:bCs/>
        </w:rPr>
        <w:t xml:space="preserve">establish a rule to </w:t>
      </w:r>
      <w:r w:rsidRPr="00BA0E26">
        <w:rPr>
          <w:bCs/>
        </w:rPr>
        <w:t xml:space="preserve">require natural gas pipelines </w:t>
      </w:r>
      <w:r w:rsidRPr="00BA0E26">
        <w:t xml:space="preserve">to submit all supporting statements, schedules and workpapers in native format (e.g., Microsoft Excel) with all links and formulas </w:t>
      </w:r>
      <w:r w:rsidR="008B0393">
        <w:t>included</w:t>
      </w:r>
      <w:r w:rsidRPr="00BA0E26" w:rsidR="008B0393">
        <w:t xml:space="preserve"> </w:t>
      </w:r>
      <w:r w:rsidRPr="00BA0E26">
        <w:t xml:space="preserve">when filing </w:t>
      </w:r>
      <w:r>
        <w:t>an NGA</w:t>
      </w:r>
      <w:r w:rsidRPr="00BA0E26">
        <w:t xml:space="preserve"> section 4 rate case</w:t>
      </w:r>
      <w:r>
        <w:t>.</w:t>
      </w:r>
      <w:r w:rsidR="00C2737C">
        <w:t xml:space="preserve">  </w:t>
      </w:r>
    </w:p>
    <w:p w:rsidR="00F86433" w:rsidP="00CA5784" w14:paraId="43A04BEC" w14:textId="40793C61">
      <w:pPr>
        <w:pStyle w:val="Heading1"/>
        <w:numPr>
          <w:ilvl w:val="0"/>
          <w:numId w:val="45"/>
        </w:numPr>
        <w:spacing w:after="0" w:line="480" w:lineRule="auto"/>
      </w:pPr>
      <w:r>
        <w:t>Background</w:t>
      </w:r>
      <w:bookmarkStart w:id="2" w:name="Background"/>
      <w:bookmarkEnd w:id="2"/>
    </w:p>
    <w:p w:rsidR="00725AF4" w:rsidP="00725AF4" w14:paraId="6F9E24DE" w14:textId="3A063CD6">
      <w:pPr>
        <w:pStyle w:val="FERCparanumber"/>
      </w:pPr>
      <w:r w:rsidRPr="00502A83">
        <w:t xml:space="preserve">When </w:t>
      </w:r>
      <w:r>
        <w:t>a</w:t>
      </w:r>
      <w:r w:rsidRPr="00502A83">
        <w:t xml:space="preserve"> </w:t>
      </w:r>
      <w:r>
        <w:t xml:space="preserve">natural gas </w:t>
      </w:r>
      <w:r w:rsidRPr="00502A83">
        <w:t>pipeline file</w:t>
      </w:r>
      <w:r>
        <w:t>s</w:t>
      </w:r>
      <w:r w:rsidRPr="00502A83">
        <w:t xml:space="preserve"> under NGA section 4 to change </w:t>
      </w:r>
      <w:r>
        <w:t>its</w:t>
      </w:r>
      <w:r w:rsidRPr="00502A83">
        <w:t xml:space="preserve"> rates, the Commission requires the pipeline to provide detailed support for all the components of its cost of service.</w:t>
      </w:r>
      <w:r>
        <w:rPr>
          <w:b/>
          <w:vertAlign w:val="superscript"/>
        </w:rPr>
        <w:footnoteReference w:id="5"/>
      </w:r>
      <w:r>
        <w:t xml:space="preserve">  </w:t>
      </w:r>
    </w:p>
    <w:p w:rsidR="00F86433" w:rsidP="00131A50" w14:paraId="25490029" w14:textId="3162B25A">
      <w:pPr>
        <w:pStyle w:val="FERCparanumber"/>
        <w:ind w:right="-180"/>
      </w:pPr>
      <w:r>
        <w:t xml:space="preserve">Commission regulations require that natural gas pipelines filing general </w:t>
      </w:r>
      <w:r w:rsidR="00137FFD">
        <w:t xml:space="preserve">NGA </w:t>
      </w:r>
      <w:r>
        <w:t>section 4 rate cases provide certain statements (Statements A through P)</w:t>
      </w:r>
      <w:r w:rsidR="00B21104">
        <w:t xml:space="preserve"> and associated schedules</w:t>
      </w:r>
      <w:r>
        <w:t>.</w:t>
      </w:r>
      <w:r>
        <w:rPr>
          <w:rStyle w:val="FootnoteReference"/>
        </w:rPr>
        <w:footnoteReference w:id="6"/>
      </w:r>
      <w:r>
        <w:t xml:space="preserve">  </w:t>
      </w:r>
      <w:r w:rsidRPr="0016548A">
        <w:t>In 199</w:t>
      </w:r>
      <w:r>
        <w:t>5</w:t>
      </w:r>
      <w:r w:rsidRPr="0016548A">
        <w:t xml:space="preserve">, the Commission issued </w:t>
      </w:r>
      <w:r>
        <w:t>its</w:t>
      </w:r>
      <w:r w:rsidRPr="002560DE">
        <w:rPr>
          <w:i/>
          <w:iCs/>
        </w:rPr>
        <w:t xml:space="preserve"> Filing and Reporting Requirements for Interstate Natural Gas Company Rate Schedules and Tariffs</w:t>
      </w:r>
      <w:r w:rsidRPr="00622C00">
        <w:rPr>
          <w:i/>
          <w:iCs/>
        </w:rPr>
        <w:t xml:space="preserve"> </w:t>
      </w:r>
      <w:r w:rsidRPr="00760EBC">
        <w:t>(Order No. 582)</w:t>
      </w:r>
      <w:r w:rsidRPr="0016548A">
        <w:t>, stating that Statements I</w:t>
      </w:r>
      <w:r w:rsidRPr="00475AD3">
        <w:t xml:space="preserve">, </w:t>
      </w:r>
      <w:r w:rsidRPr="0016548A">
        <w:t>J</w:t>
      </w:r>
      <w:r w:rsidRPr="00475AD3">
        <w:t xml:space="preserve"> and a portion of H</w:t>
      </w:r>
      <w:r>
        <w:t xml:space="preserve"> (</w:t>
      </w:r>
      <w:r w:rsidRPr="00475AD3">
        <w:t>containing state tax formulations</w:t>
      </w:r>
      <w:r>
        <w:t>)</w:t>
      </w:r>
      <w:r w:rsidRPr="0016548A">
        <w:t xml:space="preserve"> must be received in spreadsheet format with formulas</w:t>
      </w:r>
      <w:r>
        <w:t xml:space="preserve"> </w:t>
      </w:r>
      <w:r w:rsidRPr="0016548A">
        <w:t>included,</w:t>
      </w:r>
      <w:r>
        <w:rPr>
          <w:rStyle w:val="FootnoteReference"/>
        </w:rPr>
        <w:t xml:space="preserve"> </w:t>
      </w:r>
      <w:r w:rsidRPr="0016548A">
        <w:t>as the</w:t>
      </w:r>
      <w:r>
        <w:t xml:space="preserve"> data provided in the</w:t>
      </w:r>
      <w:r w:rsidRPr="0016548A">
        <w:t xml:space="preserve">se </w:t>
      </w:r>
      <w:r>
        <w:t>statements</w:t>
      </w:r>
      <w:r w:rsidRPr="0016548A">
        <w:t xml:space="preserve"> </w:t>
      </w:r>
      <w:r w:rsidR="00B21104">
        <w:t xml:space="preserve">and schedules </w:t>
      </w:r>
      <w:r w:rsidRPr="0016548A">
        <w:t xml:space="preserve">are essential to understanding </w:t>
      </w:r>
      <w:r>
        <w:t>a</w:t>
      </w:r>
      <w:r w:rsidRPr="0016548A">
        <w:t xml:space="preserve"> </w:t>
      </w:r>
      <w:r>
        <w:t xml:space="preserve">natural gas </w:t>
      </w:r>
      <w:r w:rsidRPr="0016548A">
        <w:t>pipeline’s position with regard to cost allocation and rate design.</w:t>
      </w:r>
      <w:r>
        <w:rPr>
          <w:rStyle w:val="FootnoteReference"/>
        </w:rPr>
        <w:footnoteReference w:id="7"/>
      </w:r>
      <w:r w:rsidRPr="0016548A">
        <w:t xml:space="preserve">  </w:t>
      </w:r>
      <w:r>
        <w:t>The Commission</w:t>
      </w:r>
      <w:r w:rsidRPr="00475AD3">
        <w:t xml:space="preserve"> </w:t>
      </w:r>
      <w:r w:rsidR="00252702">
        <w:t>explained</w:t>
      </w:r>
      <w:r>
        <w:t xml:space="preserve"> </w:t>
      </w:r>
      <w:r w:rsidRPr="0016548A">
        <w:t xml:space="preserve">that </w:t>
      </w:r>
      <w:r>
        <w:t xml:space="preserve">although </w:t>
      </w:r>
      <w:r w:rsidRPr="0016548A">
        <w:t>these spreadsheets c</w:t>
      </w:r>
      <w:r>
        <w:t>ould</w:t>
      </w:r>
      <w:r w:rsidRPr="0016548A">
        <w:t xml:space="preserve"> be obtained through discovery</w:t>
      </w:r>
      <w:r>
        <w:t>,</w:t>
      </w:r>
      <w:r w:rsidRPr="0016548A">
        <w:t xml:space="preserve"> that process is burdensome</w:t>
      </w:r>
      <w:r>
        <w:t xml:space="preserve"> and </w:t>
      </w:r>
      <w:r w:rsidRPr="0016548A">
        <w:t>inhibits better-informed</w:t>
      </w:r>
      <w:r w:rsidR="00CD7770">
        <w:t xml:space="preserve"> comments</w:t>
      </w:r>
      <w:r w:rsidRPr="0016548A">
        <w:t>.</w:t>
      </w:r>
      <w:r>
        <w:rPr>
          <w:rStyle w:val="FootnoteReference"/>
        </w:rPr>
        <w:footnoteReference w:id="8"/>
      </w:r>
      <w:r>
        <w:t xml:space="preserve">  Subsequently, </w:t>
      </w:r>
      <w:r w:rsidRPr="0016548A">
        <w:t xml:space="preserve">the </w:t>
      </w:r>
      <w:r w:rsidRPr="002560DE" w:rsidR="00852C18">
        <w:rPr>
          <w:i/>
          <w:iCs/>
        </w:rPr>
        <w:t>FERC Implementation Guide</w:t>
      </w:r>
      <w:r w:rsidRPr="008C273C" w:rsidR="00852C18">
        <w:t xml:space="preserve"> </w:t>
      </w:r>
      <w:r w:rsidRPr="002560DE" w:rsidR="00852C18">
        <w:rPr>
          <w:i/>
          <w:iCs/>
        </w:rPr>
        <w:t xml:space="preserve">for Electronic </w:t>
      </w:r>
      <w:r w:rsidRPr="002560DE" w:rsidR="00852C18">
        <w:rPr>
          <w:i/>
          <w:iCs/>
        </w:rPr>
        <w:t>Filing of Parts 35, 154, 284, 300 and 341 Tariff Filings</w:t>
      </w:r>
      <w:r w:rsidRPr="008C273C" w:rsidR="00852C18">
        <w:t xml:space="preserve"> (FERC Implementation Guide) </w:t>
      </w:r>
      <w:r>
        <w:t xml:space="preserve">stated </w:t>
      </w:r>
      <w:r w:rsidRPr="0016548A">
        <w:t>that</w:t>
      </w:r>
      <w:r>
        <w:t xml:space="preserve"> the “</w:t>
      </w:r>
      <w:r w:rsidRPr="0016548A">
        <w:t xml:space="preserve">submission of spreadsheets in native </w:t>
      </w:r>
      <w:r>
        <w:t>file f</w:t>
      </w:r>
      <w:r w:rsidRPr="0016548A">
        <w:t>ormat is preferred</w:t>
      </w:r>
      <w:r>
        <w:t xml:space="preserve"> </w:t>
      </w:r>
      <w:r w:rsidRPr="00B5595E">
        <w:t>for Statements A through M</w:t>
      </w:r>
      <w:r>
        <w:t xml:space="preserve">, </w:t>
      </w:r>
      <w:r w:rsidRPr="00D31ADB">
        <w:t xml:space="preserve">including related schedules. </w:t>
      </w:r>
      <w:r>
        <w:t xml:space="preserve"> </w:t>
      </w:r>
      <w:r w:rsidRPr="00D31ADB">
        <w:t>Statements O and P may use any electronic format that renders text, graphics, spreadsheets or data bases that the Commission accepts (the list of FERC Acceptable File Formats is available on</w:t>
      </w:r>
      <w:r>
        <w:t xml:space="preserve"> http://</w:t>
      </w:r>
      <w:r w:rsidRPr="00696189">
        <w:t>www.ferc.gov</w:t>
      </w:r>
      <w:r w:rsidRPr="00D31ADB">
        <w:t>).</w:t>
      </w:r>
      <w:r>
        <w:t>”</w:t>
      </w:r>
      <w:r>
        <w:rPr>
          <w:rStyle w:val="FootnoteReference"/>
        </w:rPr>
        <w:footnoteReference w:id="9"/>
      </w:r>
      <w:r>
        <w:t xml:space="preserve">  Furthermore, for Statements I, J and a portion of H, the FERC Implementation Guide stated that if spreadsheets in native format are not </w:t>
      </w:r>
      <w:r w:rsidRPr="00E70213">
        <w:t>availab</w:t>
      </w:r>
      <w:r w:rsidRPr="00275260">
        <w:t>le</w:t>
      </w:r>
      <w:r w:rsidRPr="00275260" w:rsidR="00654442">
        <w:t>,</w:t>
      </w:r>
      <w:r w:rsidRPr="00275260">
        <w:t xml:space="preserve"> the natural gas pipeline may submit </w:t>
      </w:r>
      <w:r w:rsidRPr="00275260" w:rsidR="007875D2">
        <w:t>those statements</w:t>
      </w:r>
      <w:r w:rsidRPr="00275260">
        <w:t xml:space="preserve"> using</w:t>
      </w:r>
      <w:r>
        <w:t xml:space="preserve"> any of the aforementioned acceptable electronic </w:t>
      </w:r>
      <w:r w:rsidRPr="00D31ADB">
        <w:t>format</w:t>
      </w:r>
      <w:r>
        <w:t xml:space="preserve">s </w:t>
      </w:r>
      <w:r w:rsidR="001519A8">
        <w:t xml:space="preserve">that </w:t>
      </w:r>
      <w:r>
        <w:t>the Commission accepts.</w:t>
      </w:r>
      <w:r>
        <w:rPr>
          <w:rStyle w:val="FootnoteReference"/>
        </w:rPr>
        <w:footnoteReference w:id="10"/>
      </w:r>
    </w:p>
    <w:p w:rsidR="00F86433" w:rsidP="00F86433" w14:paraId="0F5B1282" w14:textId="34836752">
      <w:pPr>
        <w:pStyle w:val="FERCparanumber"/>
      </w:pPr>
      <w:r>
        <w:t xml:space="preserve">In the NOPR, the Commission proposed to </w:t>
      </w:r>
      <w:r w:rsidRPr="00ED51E5">
        <w:t>require natural gas pipelines to submit all statements, schedules and workpapers in native format with formulas and links intact</w:t>
      </w:r>
      <w:r>
        <w:rPr>
          <w:b/>
          <w:bCs/>
          <w:vertAlign w:val="superscript"/>
        </w:rPr>
        <w:footnoteReference w:id="11"/>
      </w:r>
      <w:r w:rsidRPr="00ED51E5">
        <w:t xml:space="preserve"> when filing a general NGA section 4 rate case.  </w:t>
      </w:r>
      <w:r>
        <w:t xml:space="preserve">As the Commission explained in the NOPR, requiring all statements, </w:t>
      </w:r>
      <w:r w:rsidRPr="00ED51E5">
        <w:t>schedules and workpapers to be filed in native format will reconcile any ambiguity in the current requirements</w:t>
      </w:r>
      <w:r w:rsidR="00CA5FE9">
        <w:t>.</w:t>
      </w:r>
      <w:r>
        <w:rPr>
          <w:rStyle w:val="FootnoteReference"/>
        </w:rPr>
        <w:footnoteReference w:id="12"/>
      </w:r>
      <w:r w:rsidR="00CA5FE9">
        <w:t xml:space="preserve">  Moreover, the Commission explained that this requirement would address the information gap that currently exists </w:t>
      </w:r>
      <w:r w:rsidR="00CA5FE9">
        <w:t xml:space="preserve">because, when a pipeline submits a section 4 rate case filing </w:t>
      </w:r>
      <w:r w:rsidRPr="00CA5FE9" w:rsidR="00CA5FE9">
        <w:t>the Commission often cannot verify whether there were underlying links used to develop a spreadsheet or whether a pipeline severed those links before filing its rate case</w:t>
      </w:r>
      <w:r w:rsidR="00CA5FE9">
        <w:t>.</w:t>
      </w:r>
      <w:r>
        <w:rPr>
          <w:rStyle w:val="FootnoteReference"/>
        </w:rPr>
        <w:footnoteReference w:id="13"/>
      </w:r>
      <w:r w:rsidR="00CA5FE9">
        <w:t xml:space="preserve">  </w:t>
      </w:r>
      <w:r w:rsidRPr="00CA5FE9" w:rsidR="00CA5FE9">
        <w:t xml:space="preserve">Furthermore, </w:t>
      </w:r>
      <w:r w:rsidR="00CA5FE9">
        <w:t xml:space="preserve">the Commission </w:t>
      </w:r>
      <w:r w:rsidR="006B6891">
        <w:t>stated</w:t>
      </w:r>
      <w:r w:rsidR="00CA5FE9">
        <w:t xml:space="preserve"> that </w:t>
      </w:r>
      <w:r w:rsidRPr="00CA5FE9" w:rsidR="00CA5FE9">
        <w:t>requiring spreadsheets with links and formulas intact will enable rate case participants to manipulate the cost-of-service components (including billing determinants) to evaluate different rate outcomes without the need to create their own rate models</w:t>
      </w:r>
      <w:r>
        <w:t xml:space="preserve">, </w:t>
      </w:r>
      <w:r w:rsidR="00CA5FE9">
        <w:t>which will expedite settlement negotiations and allow all rate case participants to evaluate the filing on an equal footing.</w:t>
      </w:r>
      <w:r>
        <w:rPr>
          <w:rStyle w:val="FootnoteReference"/>
        </w:rPr>
        <w:footnoteReference w:id="14"/>
      </w:r>
      <w:r w:rsidR="00CA5FE9">
        <w:t xml:space="preserve">  </w:t>
      </w:r>
    </w:p>
    <w:p w:rsidR="00F86433" w:rsidP="00F86433" w14:paraId="33E1CCEF" w14:textId="3FB20D5F">
      <w:pPr>
        <w:pStyle w:val="FERCparanumber"/>
      </w:pPr>
      <w:r>
        <w:t xml:space="preserve">The Commission also </w:t>
      </w:r>
      <w:r w:rsidR="006B6891">
        <w:t xml:space="preserve">stated </w:t>
      </w:r>
      <w:r>
        <w:t xml:space="preserve">that </w:t>
      </w:r>
      <w:r w:rsidRPr="00772A68">
        <w:t>submitting all statements, schedules and workpapers in native format will provide for a timely and comprehensive analysis of a rate case filing.</w:t>
      </w:r>
      <w:r>
        <w:rPr>
          <w:rStyle w:val="FootnoteReference"/>
        </w:rPr>
        <w:footnoteReference w:id="15"/>
      </w:r>
      <w:r>
        <w:t xml:space="preserve">  All interested </w:t>
      </w:r>
      <w:r w:rsidR="003F6D81">
        <w:t>rate case participants</w:t>
      </w:r>
      <w:r>
        <w:t xml:space="preserve"> will be able to evaluate the statements and schedules once they are filed, </w:t>
      </w:r>
      <w:r w:rsidRPr="00E8608C">
        <w:t>rather than needing to wait to</w:t>
      </w:r>
      <w:r>
        <w:t xml:space="preserve"> obtain the information through discovery or to create their own rate models.  </w:t>
      </w:r>
    </w:p>
    <w:p w:rsidR="00D058AF" w:rsidP="00F86433" w14:paraId="313CDB32" w14:textId="5C04F975">
      <w:pPr>
        <w:pStyle w:val="FERCparanumber"/>
      </w:pPr>
      <w:r>
        <w:t xml:space="preserve">Finally, the Commission </w:t>
      </w:r>
      <w:r w:rsidR="006B6891">
        <w:t>stated</w:t>
      </w:r>
      <w:r>
        <w:t xml:space="preserve"> that the current policy on this issue is outdated</w:t>
      </w:r>
      <w:r w:rsidR="007861C9">
        <w:t xml:space="preserve"> because </w:t>
      </w:r>
      <w:r>
        <w:t>information technology has significantly improved since the issuance of Order No. 582 in 1995, and pipelines now routinely develop rate cases using Microsoft Excel and submit them electronically.</w:t>
      </w:r>
      <w:r>
        <w:rPr>
          <w:rStyle w:val="FootnoteReference"/>
        </w:rPr>
        <w:footnoteReference w:id="16"/>
      </w:r>
    </w:p>
    <w:p w:rsidR="00772A68" w:rsidRPr="00ED51E5" w:rsidP="00347D0A" w14:paraId="38597C55" w14:textId="6B3F191F">
      <w:pPr>
        <w:pStyle w:val="FERCparanumber"/>
      </w:pPr>
      <w:r w:rsidRPr="00B53BB4">
        <w:t>The NOPR was published in the Federal Register on May 25, 2022</w:t>
      </w:r>
      <w:r>
        <w:rPr>
          <w:rStyle w:val="FootnoteReference"/>
        </w:rPr>
        <w:footnoteReference w:id="17"/>
      </w:r>
      <w:r>
        <w:t xml:space="preserve"> and established </w:t>
      </w:r>
      <w:r w:rsidRPr="00304801">
        <w:t>a comment date of June 24, 2022.</w:t>
      </w:r>
      <w:r>
        <w:t xml:space="preserve">  </w:t>
      </w:r>
      <w:r w:rsidR="00D058AF">
        <w:t>The Commission received eight comments and two reply comments from a variety of stakeholders.</w:t>
      </w:r>
      <w:r>
        <w:rPr>
          <w:rStyle w:val="FootnoteReference"/>
        </w:rPr>
        <w:footnoteReference w:id="18"/>
      </w:r>
      <w:r w:rsidR="00D058AF">
        <w:t xml:space="preserve">  </w:t>
      </w:r>
      <w:r w:rsidRPr="00E26CE9" w:rsidR="00E26CE9">
        <w:t>XES, National Grid and Exelon, generally support the Commission’s proposal, while Energy Transfer, BHE GT&amp;S, INGAA, Joint Commenters and Public Citizen, also generally support the proposal and request further clarifications.</w:t>
      </w:r>
      <w:r w:rsidRPr="0016548A" w:rsidR="00725AF4">
        <w:t xml:space="preserve">  </w:t>
      </w:r>
      <w:r w:rsidRPr="0016548A" w:rsidR="00725AF4">
        <w:t xml:space="preserve"> </w:t>
      </w:r>
    </w:p>
    <w:p w:rsidR="00F9403B" w:rsidRPr="00395600" w:rsidP="001273BE" w14:paraId="10F8D223" w14:textId="6305B7E0">
      <w:pPr>
        <w:pStyle w:val="Heading1"/>
        <w:numPr>
          <w:ilvl w:val="0"/>
          <w:numId w:val="45"/>
        </w:numPr>
        <w:spacing w:after="0" w:line="480" w:lineRule="auto"/>
      </w:pPr>
      <w:r w:rsidRPr="00395600">
        <w:t>Discussion</w:t>
      </w:r>
    </w:p>
    <w:p w:rsidR="00D95C9F" w:rsidRPr="00275260" w:rsidP="0044189F" w14:paraId="3707087F" w14:textId="505A9183">
      <w:pPr>
        <w:pStyle w:val="FERCparanumber"/>
      </w:pPr>
      <w:bookmarkStart w:id="6" w:name="Discussion"/>
      <w:bookmarkEnd w:id="6"/>
      <w:r>
        <w:t>We adopt the proposal set forth in the NOPR to require</w:t>
      </w:r>
      <w:r w:rsidRPr="00BA0E26">
        <w:rPr>
          <w:bCs/>
        </w:rPr>
        <w:t xml:space="preserve"> natural gas pipelines </w:t>
      </w:r>
      <w:r w:rsidRPr="00BA0E26">
        <w:t xml:space="preserve">to submit all supporting statements, schedules and workpapers in native format with all links and formulas </w:t>
      </w:r>
      <w:r w:rsidR="003E7FC5">
        <w:t>included</w:t>
      </w:r>
      <w:r w:rsidRPr="00BA0E26" w:rsidR="003E7FC5">
        <w:t xml:space="preserve"> </w:t>
      </w:r>
      <w:r w:rsidRPr="00BA0E26">
        <w:t xml:space="preserve">when filing </w:t>
      </w:r>
      <w:r>
        <w:t>an NGA</w:t>
      </w:r>
      <w:r w:rsidRPr="00BA0E26">
        <w:t xml:space="preserve"> section 4 rate case</w:t>
      </w:r>
      <w:r>
        <w:t xml:space="preserve">.  </w:t>
      </w:r>
      <w:r w:rsidRPr="00275260" w:rsidR="001774E9">
        <w:t xml:space="preserve">We </w:t>
      </w:r>
      <w:r w:rsidRPr="00275260" w:rsidR="00356878">
        <w:t>acknowledge</w:t>
      </w:r>
      <w:r w:rsidRPr="00275260" w:rsidR="001774E9">
        <w:t xml:space="preserve"> the </w:t>
      </w:r>
      <w:r w:rsidRPr="00275260" w:rsidR="00356878">
        <w:t>requests from certain</w:t>
      </w:r>
      <w:r w:rsidRPr="00275260" w:rsidR="001774E9">
        <w:t xml:space="preserve"> commenters that the Commission undertake various</w:t>
      </w:r>
      <w:r w:rsidRPr="00275260" w:rsidR="00356878">
        <w:t xml:space="preserve"> additional</w:t>
      </w:r>
      <w:r w:rsidRPr="00275260" w:rsidR="001774E9">
        <w:t xml:space="preserve"> </w:t>
      </w:r>
      <w:r w:rsidRPr="00275260" w:rsidR="007861C9">
        <w:t>initiatives</w:t>
      </w:r>
      <w:r w:rsidRPr="00E8608C" w:rsidR="00356878">
        <w:t>, but we</w:t>
      </w:r>
      <w:r w:rsidRPr="00E8608C" w:rsidR="001774E9">
        <w:t xml:space="preserve"> find that </w:t>
      </w:r>
      <w:r w:rsidRPr="00E8608C" w:rsidR="00356878">
        <w:t xml:space="preserve">those </w:t>
      </w:r>
      <w:r w:rsidRPr="00E8608C" w:rsidR="001774E9">
        <w:t xml:space="preserve">requested initiatives go beyond the scope of this rulemaking, </w:t>
      </w:r>
      <w:r w:rsidRPr="008C3B37" w:rsidR="001774E9">
        <w:t xml:space="preserve">as explained below.  </w:t>
      </w:r>
    </w:p>
    <w:p w:rsidR="007A2492" w:rsidRPr="007A2492" w:rsidP="00CA5784" w14:paraId="2D0936F8" w14:textId="4504FFDB">
      <w:pPr>
        <w:pStyle w:val="Heading2"/>
      </w:pPr>
      <w:r>
        <w:t xml:space="preserve">The Final Rule </w:t>
      </w:r>
      <w:r w:rsidR="00935E90">
        <w:t xml:space="preserve">Imposes </w:t>
      </w:r>
      <w:r w:rsidR="00133587">
        <w:t>a</w:t>
      </w:r>
      <w:r w:rsidR="00935E90">
        <w:t xml:space="preserve"> Reasonable</w:t>
      </w:r>
      <w:r>
        <w:t xml:space="preserve"> Burden</w:t>
      </w:r>
      <w:r w:rsidR="00935E90">
        <w:t xml:space="preserve"> on </w:t>
      </w:r>
      <w:r>
        <w:t xml:space="preserve">Pipelines </w:t>
      </w:r>
    </w:p>
    <w:p w:rsidR="007A2492" w:rsidRPr="001A2421" w:rsidP="00CA5784" w14:paraId="56C6631D" w14:textId="77777777">
      <w:pPr>
        <w:pStyle w:val="Heading3"/>
      </w:pPr>
      <w:r>
        <w:t>Comments</w:t>
      </w:r>
    </w:p>
    <w:p w:rsidR="00932328" w:rsidP="00226ACA" w14:paraId="2EF90890" w14:textId="77928AED">
      <w:pPr>
        <w:pStyle w:val="FERCparanumber"/>
      </w:pPr>
      <w:r>
        <w:t xml:space="preserve">Energy Transfer argues </w:t>
      </w:r>
      <w:r w:rsidR="009E51AD">
        <w:t>that “</w:t>
      </w:r>
      <w:r>
        <w:t xml:space="preserve">the proposed rule takes the </w:t>
      </w:r>
      <w:r w:rsidRPr="00DE70C5">
        <w:t>additional,</w:t>
      </w:r>
      <w:r>
        <w:t xml:space="preserve"> unjust and unreasonable step of requiring a pipeline to create links and formulas in successive documents even if the pipeline did not need or use such links and formulas when it prepared and filed its rate case.</w:t>
      </w:r>
      <w:r w:rsidR="009E51AD">
        <w:t>”</w:t>
      </w:r>
      <w:r>
        <w:rPr>
          <w:rStyle w:val="FootnoteReference"/>
          <w:rFonts w:eastAsia="Calibri"/>
          <w:bCs/>
          <w:szCs w:val="26"/>
        </w:rPr>
        <w:footnoteReference w:id="19"/>
      </w:r>
      <w:r>
        <w:t xml:space="preserve">  Energy Transfer </w:t>
      </w:r>
      <w:r w:rsidR="009E51AD">
        <w:t xml:space="preserve">states </w:t>
      </w:r>
      <w:r>
        <w:t xml:space="preserve">that </w:t>
      </w:r>
      <w:r w:rsidR="009E51AD">
        <w:t>“</w:t>
      </w:r>
      <w:r>
        <w:t xml:space="preserve">requiring a pipeline to </w:t>
      </w:r>
      <w:r w:rsidRPr="009E51AD">
        <w:t>specially</w:t>
      </w:r>
      <w:r>
        <w:t xml:space="preserve"> create and file links or formulas it did not need or use to prepare and file its rate case is arbitrary and </w:t>
      </w:r>
      <w:r w:rsidR="00E043D0">
        <w:t>c</w:t>
      </w:r>
      <w:r>
        <w:t xml:space="preserve">apricious and does not constitute reasoned decision-making because it would </w:t>
      </w:r>
      <w:r w:rsidRPr="00D34E30">
        <w:t>unreasonably shift litigation costs and burdens to interstate natural gas pipelines</w:t>
      </w:r>
      <w:r>
        <w:t>.</w:t>
      </w:r>
      <w:r w:rsidR="009E51AD">
        <w:t>”</w:t>
      </w:r>
      <w:r>
        <w:rPr>
          <w:rStyle w:val="FootnoteReference"/>
          <w:rFonts w:eastAsia="Calibri"/>
          <w:bCs/>
          <w:szCs w:val="26"/>
        </w:rPr>
        <w:footnoteReference w:id="20"/>
      </w:r>
      <w:r w:rsidR="0060351F">
        <w:t xml:space="preserve">  </w:t>
      </w:r>
      <w:r w:rsidR="0018560F">
        <w:t xml:space="preserve">Energy Transfer </w:t>
      </w:r>
      <w:r w:rsidR="00037A7E">
        <w:t xml:space="preserve">further </w:t>
      </w:r>
      <w:r w:rsidR="0018560F">
        <w:t xml:space="preserve">states </w:t>
      </w:r>
      <w:r w:rsidR="00037A7E">
        <w:t xml:space="preserve">that “such costs should </w:t>
      </w:r>
      <w:r w:rsidR="0018560F">
        <w:t>be borne by the limited number of participants involved in rate case litigation that seek to analyze rates in specific detail to litigate their individual rate issues.”</w:t>
      </w:r>
      <w:r>
        <w:rPr>
          <w:rStyle w:val="FootnoteReference"/>
          <w:rFonts w:eastAsia="Calibri"/>
          <w:bCs/>
          <w:szCs w:val="26"/>
        </w:rPr>
        <w:footnoteReference w:id="21"/>
      </w:r>
      <w:r w:rsidR="00037A7E">
        <w:t xml:space="preserve">  </w:t>
      </w:r>
    </w:p>
    <w:p w:rsidR="00470D3D" w:rsidRPr="00613307" w:rsidP="00613307" w14:paraId="3EADE18B" w14:textId="7F5D525F">
      <w:pPr>
        <w:pStyle w:val="FERCparanumber"/>
      </w:pPr>
      <w:r>
        <w:t>Joint Commenters</w:t>
      </w:r>
      <w:r w:rsidRPr="00CF46A4">
        <w:t xml:space="preserve"> </w:t>
      </w:r>
      <w:r>
        <w:t xml:space="preserve">disagree with Energy Transfer, </w:t>
      </w:r>
      <w:r w:rsidRPr="00CF46A4">
        <w:t>argu</w:t>
      </w:r>
      <w:r>
        <w:t>ing</w:t>
      </w:r>
      <w:r w:rsidRPr="00CF46A4">
        <w:t xml:space="preserve"> that the burden </w:t>
      </w:r>
      <w:r>
        <w:t xml:space="preserve">on pipelines </w:t>
      </w:r>
      <w:r w:rsidRPr="00CF46A4">
        <w:t xml:space="preserve">would be limited because Order No. 582 already requires pipelines to provide data for certain statements with formulas included, and subsequent orders reiterate these </w:t>
      </w:r>
      <w:r w:rsidRPr="00CF46A4">
        <w:t>requirements.</w:t>
      </w:r>
      <w:r>
        <w:rPr>
          <w:b/>
          <w:vertAlign w:val="superscript"/>
        </w:rPr>
        <w:footnoteReference w:id="22"/>
      </w:r>
      <w:r w:rsidRPr="00CF46A4">
        <w:t xml:space="preserve">  Second, </w:t>
      </w:r>
      <w:r>
        <w:t>Joint Commenters</w:t>
      </w:r>
      <w:r w:rsidR="0051303F">
        <w:t xml:space="preserve"> argue that </w:t>
      </w:r>
      <w:r w:rsidRPr="00CF46A4">
        <w:t xml:space="preserve">pipelines bear the burden of supporting a rate filing.  Moreover, </w:t>
      </w:r>
      <w:r>
        <w:t>Joint Commenters</w:t>
      </w:r>
      <w:r w:rsidRPr="00CF46A4">
        <w:t xml:space="preserve"> point out that to the extent that pipelines incur additional costs related to complying with any new rule that the Commission issues, pipelines can seek to recover the costs in a rate proceeding, and therefore, the costs are not being shifted impermissibly to the pipelines.</w:t>
      </w:r>
      <w:r>
        <w:rPr>
          <w:b/>
          <w:vertAlign w:val="superscript"/>
        </w:rPr>
        <w:footnoteReference w:id="23"/>
      </w:r>
    </w:p>
    <w:p w:rsidR="00DA38CF" w:rsidP="00DA38CF" w14:paraId="5BC5272E" w14:textId="4C81CC0B">
      <w:pPr>
        <w:pStyle w:val="FERCparanumber"/>
      </w:pPr>
      <w:r>
        <w:t>BHE GT&amp;S requests that the Commission clarify that a natural gas pipeline is not required to create links across statements and schedules where they did not already exist.</w:t>
      </w:r>
      <w:r>
        <w:rPr>
          <w:rStyle w:val="FootnoteReference"/>
        </w:rPr>
        <w:footnoteReference w:id="24"/>
      </w:r>
      <w:r>
        <w:t xml:space="preserve">  BH</w:t>
      </w:r>
      <w:r w:rsidR="008824FC">
        <w:t>E</w:t>
      </w:r>
      <w:r>
        <w:t xml:space="preserve"> GT&amp;S argues that it is not reasonable to require </w:t>
      </w:r>
      <w:r w:rsidR="003F6D81">
        <w:t>rate case participants</w:t>
      </w:r>
      <w:r>
        <w:t xml:space="preserve"> to create links where none exist in the first instance.</w:t>
      </w:r>
    </w:p>
    <w:p w:rsidR="00BA4CB7" w:rsidP="00BA4CB7" w14:paraId="25F7D917" w14:textId="77777777">
      <w:pPr>
        <w:pStyle w:val="Heading4"/>
      </w:pPr>
      <w:r w:rsidRPr="00657945">
        <w:t>Commission Determination</w:t>
      </w:r>
    </w:p>
    <w:p w:rsidR="003D6B5B" w:rsidRPr="00275260" w:rsidP="00275260" w14:paraId="161A6311" w14:textId="3454898C">
      <w:pPr>
        <w:pStyle w:val="FERCparanumber"/>
      </w:pPr>
      <w:r w:rsidRPr="00275260">
        <w:t>We</w:t>
      </w:r>
      <w:r>
        <w:t xml:space="preserve"> disagree with Energy Transfer’s argument that the </w:t>
      </w:r>
      <w:r w:rsidR="00F04D89">
        <w:t xml:space="preserve">NOPR proposal which we adopt in this final </w:t>
      </w:r>
      <w:r>
        <w:t xml:space="preserve">rule is </w:t>
      </w:r>
      <w:r w:rsidR="00F04D89">
        <w:t xml:space="preserve">unjust and </w:t>
      </w:r>
      <w:r w:rsidR="009824E2">
        <w:t>unreasonable</w:t>
      </w:r>
      <w:r>
        <w:t>.  First, we find that th</w:t>
      </w:r>
      <w:r w:rsidR="00F04D89">
        <w:t>is</w:t>
      </w:r>
      <w:r>
        <w:t xml:space="preserve"> </w:t>
      </w:r>
      <w:r w:rsidR="00F04D89">
        <w:t xml:space="preserve">final </w:t>
      </w:r>
      <w:r>
        <w:t>rule does not unreasonably shift litigation costs from intervenors to the pipeline.  The pipeline has the burden under NGA section 4 to support its proposed rates in its case in chief</w:t>
      </w:r>
      <w:r w:rsidR="00A50DCD">
        <w:t>.</w:t>
      </w:r>
      <w:r>
        <w:rPr>
          <w:rStyle w:val="FootnoteReference"/>
        </w:rPr>
        <w:footnoteReference w:id="25"/>
      </w:r>
      <w:r w:rsidR="00A50DCD">
        <w:t xml:space="preserve"> </w:t>
      </w:r>
      <w:r w:rsidR="007340D5">
        <w:t xml:space="preserve"> This </w:t>
      </w:r>
      <w:r w:rsidR="00F04D89">
        <w:t xml:space="preserve">final </w:t>
      </w:r>
      <w:r w:rsidR="007340D5">
        <w:t>rule merely</w:t>
      </w:r>
      <w:r w:rsidR="00A50DCD">
        <w:t xml:space="preserve"> requir</w:t>
      </w:r>
      <w:r w:rsidR="007340D5">
        <w:t>es</w:t>
      </w:r>
      <w:r w:rsidR="00A50DCD">
        <w:t xml:space="preserve"> pipelines to provide intact links and formulas in the workpapers and schedules that </w:t>
      </w:r>
      <w:r w:rsidR="007340D5">
        <w:t>must be included in the case in chief.</w:t>
      </w:r>
      <w:r>
        <w:rPr>
          <w:rStyle w:val="FootnoteReference"/>
        </w:rPr>
        <w:footnoteReference w:id="26"/>
      </w:r>
      <w:r w:rsidR="007340D5">
        <w:t xml:space="preserve">  This </w:t>
      </w:r>
      <w:r w:rsidR="00F04D89">
        <w:t xml:space="preserve">final </w:t>
      </w:r>
      <w:r w:rsidR="007340D5">
        <w:t>rule does not require</w:t>
      </w:r>
      <w:r w:rsidR="00A50DCD">
        <w:t xml:space="preserve"> </w:t>
      </w:r>
      <w:r w:rsidR="00A50DCD">
        <w:t>pipelines</w:t>
      </w:r>
      <w:r w:rsidR="007340D5">
        <w:t xml:space="preserve"> to </w:t>
      </w:r>
      <w:r w:rsidR="00A50DCD">
        <w:t>fund</w:t>
      </w:r>
      <w:r>
        <w:t xml:space="preserve"> the litigation costs of other participants.  </w:t>
      </w:r>
      <w:bookmarkStart w:id="7" w:name="_Hlk117575965"/>
      <w:r>
        <w:t>Moreover, while pipeline</w:t>
      </w:r>
      <w:r w:rsidR="00673948">
        <w:t xml:space="preserve">s </w:t>
      </w:r>
      <w:r>
        <w:t xml:space="preserve">may </w:t>
      </w:r>
      <w:r w:rsidR="00DF66DF">
        <w:t xml:space="preserve">incur </w:t>
      </w:r>
      <w:r>
        <w:t>increased costs to comply with this final rule</w:t>
      </w:r>
      <w:r w:rsidR="000C3EFB">
        <w:t xml:space="preserve">, </w:t>
      </w:r>
      <w:r w:rsidR="00F04D89">
        <w:t xml:space="preserve">we find that </w:t>
      </w:r>
      <w:r w:rsidR="000C3EFB">
        <w:t>any additional burden would be limited</w:t>
      </w:r>
      <w:r>
        <w:t xml:space="preserve">, </w:t>
      </w:r>
      <w:r w:rsidR="00EA4665">
        <w:t xml:space="preserve">and </w:t>
      </w:r>
      <w:r>
        <w:t>pipeline</w:t>
      </w:r>
      <w:r w:rsidR="00673948">
        <w:t>s</w:t>
      </w:r>
      <w:r>
        <w:t xml:space="preserve"> are allowed to recover those costs through </w:t>
      </w:r>
      <w:r w:rsidR="00DF66DF">
        <w:t xml:space="preserve">their </w:t>
      </w:r>
      <w:r>
        <w:t>rates</w:t>
      </w:r>
      <w:bookmarkEnd w:id="7"/>
      <w:r w:rsidR="00DF66DF">
        <w:t>.</w:t>
      </w:r>
      <w:r w:rsidR="00C675A3">
        <w:t xml:space="preserve">  </w:t>
      </w:r>
      <w:r w:rsidRPr="00275260" w:rsidR="0062041F">
        <w:t xml:space="preserve"> </w:t>
      </w:r>
    </w:p>
    <w:p w:rsidR="00DA38CF" w:rsidRPr="002D0D75" w:rsidP="00C765AC" w14:paraId="7C641720" w14:textId="2E384A33">
      <w:pPr>
        <w:pStyle w:val="FERCparanumber"/>
      </w:pPr>
      <w:r>
        <w:t xml:space="preserve">Finally, </w:t>
      </w:r>
      <w:r w:rsidR="00F61310">
        <w:t>we deny</w:t>
      </w:r>
      <w:r>
        <w:t xml:space="preserve"> BHE GT&amp;S’s </w:t>
      </w:r>
      <w:r w:rsidR="00F61310">
        <w:t>request for</w:t>
      </w:r>
      <w:r>
        <w:t xml:space="preserve"> clarification that a natural gas pipeline is not required to create links across statements and schedules where they did not already exist</w:t>
      </w:r>
      <w:r w:rsidR="00F61310">
        <w:t xml:space="preserve">.  Rather, </w:t>
      </w:r>
      <w:r>
        <w:t xml:space="preserve">this final rule </w:t>
      </w:r>
      <w:r w:rsidRPr="00401FC8">
        <w:rPr>
          <w:i/>
          <w:iCs/>
        </w:rPr>
        <w:t>does require</w:t>
      </w:r>
      <w:r>
        <w:t xml:space="preserve"> natural gas pipeline</w:t>
      </w:r>
      <w:r w:rsidR="00D6776F">
        <w:t>s</w:t>
      </w:r>
      <w:r>
        <w:t xml:space="preserve"> to create links </w:t>
      </w:r>
      <w:r w:rsidR="008B0393">
        <w:t xml:space="preserve">and formulas </w:t>
      </w:r>
      <w:r>
        <w:t xml:space="preserve">to show </w:t>
      </w:r>
      <w:r w:rsidR="00303996">
        <w:t>the pipelin</w:t>
      </w:r>
      <w:r w:rsidR="0024558E">
        <w:t>e</w:t>
      </w:r>
      <w:r w:rsidR="00303996">
        <w:t>’s</w:t>
      </w:r>
      <w:r>
        <w:t xml:space="preserve"> progressive calculations</w:t>
      </w:r>
      <w:r w:rsidR="0024558E">
        <w:t xml:space="preserve"> in the supporting statements, schedules and workpapers</w:t>
      </w:r>
      <w:r>
        <w:t>.</w:t>
      </w:r>
    </w:p>
    <w:p w:rsidR="00932328" w:rsidRPr="007A2492" w:rsidP="00CA5784" w14:paraId="29F35BE8" w14:textId="1A3EE53F">
      <w:pPr>
        <w:pStyle w:val="Heading3"/>
        <w:tabs>
          <w:tab w:val="left" w:pos="2160"/>
        </w:tabs>
      </w:pPr>
      <w:r w:rsidRPr="00184319">
        <w:t xml:space="preserve">The </w:t>
      </w:r>
      <w:r>
        <w:t xml:space="preserve">Final Rule </w:t>
      </w:r>
      <w:r w:rsidR="00935E90">
        <w:t xml:space="preserve">Properly Addresses the Information Gap Occurring When Formulas and Links are not Provided </w:t>
      </w:r>
    </w:p>
    <w:p w:rsidR="0018560F" w:rsidP="001E7055" w14:paraId="7994EDE3" w14:textId="6C050AE3">
      <w:pPr>
        <w:pStyle w:val="Heading4"/>
      </w:pPr>
      <w:r w:rsidRPr="00DA38CF">
        <w:t>Comments</w:t>
      </w:r>
      <w:r w:rsidRPr="00E043D0" w:rsidR="001D38E1">
        <w:rPr>
          <w:rStyle w:val="FootnoteReference"/>
          <w:rFonts w:eastAsia="Calibri"/>
          <w:bCs/>
          <w:szCs w:val="26"/>
        </w:rPr>
        <w:t xml:space="preserve"> </w:t>
      </w:r>
    </w:p>
    <w:p w:rsidR="002C0E71" w:rsidP="002F24FB" w14:paraId="0ACC3383" w14:textId="6B249022">
      <w:pPr>
        <w:pStyle w:val="FERCparanumber"/>
      </w:pPr>
      <w:r>
        <w:t>Energy Transfer</w:t>
      </w:r>
      <w:r w:rsidR="00E95DC4">
        <w:t>,</w:t>
      </w:r>
      <w:r>
        <w:t xml:space="preserve"> </w:t>
      </w:r>
      <w:r w:rsidR="00AD2065">
        <w:t>citing the N</w:t>
      </w:r>
      <w:r w:rsidR="00501A7A">
        <w:t>OPR</w:t>
      </w:r>
      <w:r w:rsidR="00E95DC4">
        <w:t>,</w:t>
      </w:r>
      <w:r w:rsidR="00501A7A">
        <w:t xml:space="preserve"> </w:t>
      </w:r>
      <w:r w:rsidR="00AD2065">
        <w:t xml:space="preserve">notes that </w:t>
      </w:r>
      <w:r w:rsidR="00501A7A">
        <w:t xml:space="preserve">the Commission </w:t>
      </w:r>
      <w:r>
        <w:t xml:space="preserve">“seek[s] to address this </w:t>
      </w:r>
      <w:r w:rsidRPr="002E3C07">
        <w:rPr>
          <w:i/>
          <w:iCs/>
        </w:rPr>
        <w:t>information gap</w:t>
      </w:r>
      <w:r>
        <w:t xml:space="preserve"> and require natural gas pipelines to file statements and schedules linking progressive </w:t>
      </w:r>
      <w:r w:rsidRPr="002E3C07">
        <w:rPr>
          <w:i/>
          <w:iCs/>
        </w:rPr>
        <w:t>calculations regardless of how the statements and schedule</w:t>
      </w:r>
      <w:r w:rsidRPr="002E3C07" w:rsidR="000C0381">
        <w:rPr>
          <w:i/>
          <w:iCs/>
        </w:rPr>
        <w:t>s</w:t>
      </w:r>
      <w:r w:rsidRPr="0062667F">
        <w:rPr>
          <w:i/>
          <w:iCs/>
        </w:rPr>
        <w:t xml:space="preserve"> were created</w:t>
      </w:r>
      <w:r>
        <w:t>.”</w:t>
      </w:r>
      <w:r>
        <w:rPr>
          <w:rStyle w:val="FootnoteReference"/>
          <w:rFonts w:eastAsia="Calibri"/>
          <w:bCs/>
          <w:szCs w:val="26"/>
        </w:rPr>
        <w:footnoteReference w:id="27"/>
      </w:r>
      <w:r>
        <w:t xml:space="preserve">  Energy Transfer </w:t>
      </w:r>
      <w:r w:rsidR="00501A7A">
        <w:t xml:space="preserve">contends that </w:t>
      </w:r>
      <w:r>
        <w:t xml:space="preserve">the </w:t>
      </w:r>
      <w:r w:rsidR="00B65D69">
        <w:t>“</w:t>
      </w:r>
      <w:r>
        <w:t xml:space="preserve">Commission’s proposal is based on a false premise because no so-called </w:t>
      </w:r>
      <w:r w:rsidR="005F1BA9">
        <w:t>‘</w:t>
      </w:r>
      <w:r>
        <w:t>information gap</w:t>
      </w:r>
      <w:r w:rsidR="005F1BA9">
        <w:t>’</w:t>
      </w:r>
      <w:r>
        <w:t xml:space="preserve"> exists</w:t>
      </w:r>
      <w:r w:rsidR="00E95DC4">
        <w:t>,</w:t>
      </w:r>
      <w:r>
        <w:t xml:space="preserve"> and all the information and data </w:t>
      </w:r>
      <w:r w:rsidR="00852319">
        <w:t xml:space="preserve">are </w:t>
      </w:r>
      <w:r>
        <w:t>included in the pipeline’s rate case filing.</w:t>
      </w:r>
      <w:r w:rsidR="00B65D69">
        <w:t>”</w:t>
      </w:r>
      <w:r>
        <w:rPr>
          <w:rStyle w:val="FootnoteReference"/>
          <w:rFonts w:eastAsia="Calibri"/>
          <w:bCs/>
          <w:szCs w:val="26"/>
        </w:rPr>
        <w:footnoteReference w:id="28"/>
      </w:r>
      <w:r>
        <w:t xml:space="preserve">  </w:t>
      </w:r>
      <w:r w:rsidR="002E3C07">
        <w:t xml:space="preserve">Energy Transfer further argues that a pipeline may create an Excel file without certain links or formulas because such links or </w:t>
      </w:r>
      <w:r w:rsidR="002E3C07">
        <w:t>formulas are not necessary or helpful to prepare and file the rate case</w:t>
      </w:r>
      <w:r w:rsidR="0062667F">
        <w:t>.</w:t>
      </w:r>
      <w:r>
        <w:rPr>
          <w:rStyle w:val="FootnoteReference"/>
        </w:rPr>
        <w:footnoteReference w:id="29"/>
      </w:r>
      <w:r w:rsidR="0062667F">
        <w:t xml:space="preserve">  Energy Transfer contends</w:t>
      </w:r>
      <w:r w:rsidR="002E3C07">
        <w:t xml:space="preserve"> that a search of the Commission’s orders did not reveal any published orders where the Commission rejected a pipeline’s NGA section 4 rate filing due to the pipeline severing underlying links prior to filing.</w:t>
      </w:r>
      <w:r>
        <w:rPr>
          <w:rStyle w:val="FootnoteReference"/>
        </w:rPr>
        <w:footnoteReference w:id="30"/>
      </w:r>
    </w:p>
    <w:p w:rsidR="004F1CF8" w:rsidRPr="004F1CF8" w:rsidP="00DA38CF" w14:paraId="64F3FAE3" w14:textId="1E171079">
      <w:pPr>
        <w:pStyle w:val="Heading4"/>
      </w:pPr>
      <w:r>
        <w:t>Commission Determination</w:t>
      </w:r>
    </w:p>
    <w:p w:rsidR="007A2492" w:rsidRPr="00983DDB" w:rsidP="007A2492" w14:paraId="49C2CF62" w14:textId="4083446B">
      <w:pPr>
        <w:pStyle w:val="FERCparanumber"/>
      </w:pPr>
      <w:r>
        <w:t>Based on the record developed in this proceeding, w</w:t>
      </w:r>
      <w:r>
        <w:t>e disagree with Energy Transfer</w:t>
      </w:r>
      <w:r w:rsidR="00C675A3">
        <w:t>’s contention</w:t>
      </w:r>
      <w:r>
        <w:t xml:space="preserve"> that an information gap does not exist.  A rate model without formulas and links intact is </w:t>
      </w:r>
      <w:r w:rsidR="003B2307">
        <w:t>much l</w:t>
      </w:r>
      <w:r w:rsidR="00FA1967">
        <w:t xml:space="preserve">ess useful </w:t>
      </w:r>
      <w:r>
        <w:t xml:space="preserve">to </w:t>
      </w:r>
      <w:r w:rsidR="003F6D81">
        <w:t>rate case participants</w:t>
      </w:r>
      <w:r>
        <w:t xml:space="preserve"> who are trying to evaluate a </w:t>
      </w:r>
      <w:r w:rsidR="00673948">
        <w:t xml:space="preserve">natural gas </w:t>
      </w:r>
      <w:r>
        <w:t>pipeline</w:t>
      </w:r>
      <w:r w:rsidR="00673948">
        <w:t xml:space="preserve">’s </w:t>
      </w:r>
      <w:r>
        <w:t xml:space="preserve">rate design, cost allocations, or rate calculations.  When a pipeline files a rate model without formulas and links, </w:t>
      </w:r>
      <w:r w:rsidR="00710658">
        <w:t>rate case participants</w:t>
      </w:r>
      <w:r>
        <w:t xml:space="preserve"> must recreate the </w:t>
      </w:r>
      <w:r w:rsidR="00B37A1D">
        <w:t xml:space="preserve">natural gas </w:t>
      </w:r>
      <w:r>
        <w:t>pipeline</w:t>
      </w:r>
      <w:r w:rsidR="00B37A1D">
        <w:t>’s</w:t>
      </w:r>
      <w:r>
        <w:t xml:space="preserve"> model, which is inefficient and duplicative.  </w:t>
      </w:r>
      <w:r w:rsidRPr="00B61A06">
        <w:t xml:space="preserve">Requiring spreadsheets </w:t>
      </w:r>
      <w:r w:rsidR="005E4F6B">
        <w:t xml:space="preserve">and workpapers to be filed </w:t>
      </w:r>
      <w:r w:rsidRPr="00B61A06">
        <w:t xml:space="preserve">with links and formulas </w:t>
      </w:r>
      <w:r w:rsidRPr="00B61A06" w:rsidR="003E7FC5">
        <w:t>i</w:t>
      </w:r>
      <w:r w:rsidR="003E7FC5">
        <w:t>ncluded</w:t>
      </w:r>
      <w:r w:rsidRPr="00B61A06" w:rsidR="003E7FC5">
        <w:t xml:space="preserve"> </w:t>
      </w:r>
      <w:r w:rsidRPr="00B61A06">
        <w:t xml:space="preserve">will allow rate case </w:t>
      </w:r>
      <w:r w:rsidRPr="00C47166">
        <w:t>participants</w:t>
      </w:r>
      <w:r w:rsidRPr="002A105D">
        <w:t xml:space="preserve"> to manipulate the cost-of-service components and billing determinants </w:t>
      </w:r>
      <w:r w:rsidRPr="00983DDB">
        <w:t xml:space="preserve">without </w:t>
      </w:r>
      <w:r w:rsidRPr="00983DDB" w:rsidR="00244D30">
        <w:t xml:space="preserve">creating </w:t>
      </w:r>
      <w:r w:rsidRPr="00983DDB">
        <w:t xml:space="preserve">their own rate models.  This will expedite settlement negotiations and will allow all rate case participants to evaluate the filing on </w:t>
      </w:r>
      <w:r w:rsidR="00054ABA">
        <w:t xml:space="preserve">an </w:t>
      </w:r>
      <w:r w:rsidRPr="00983DDB">
        <w:t xml:space="preserve">equal footing with the pipeline.  </w:t>
      </w:r>
    </w:p>
    <w:p w:rsidR="007A2492" w:rsidP="007A2492" w14:paraId="519AB82B" w14:textId="06E49810">
      <w:pPr>
        <w:pStyle w:val="FERCparanumber"/>
      </w:pPr>
      <w:r w:rsidRPr="00983DDB">
        <w:t xml:space="preserve">Moreover, under this </w:t>
      </w:r>
      <w:r w:rsidR="00594D61">
        <w:t xml:space="preserve">final </w:t>
      </w:r>
      <w:r w:rsidRPr="00983DDB">
        <w:t>rule</w:t>
      </w:r>
      <w:r w:rsidR="00366BD1">
        <w:t>,</w:t>
      </w:r>
      <w:r w:rsidRPr="00983DDB">
        <w:t xml:space="preserve"> </w:t>
      </w:r>
      <w:r w:rsidR="0069392A">
        <w:t>r</w:t>
      </w:r>
      <w:r w:rsidR="003F6D81">
        <w:t>ate case participants</w:t>
      </w:r>
      <w:r w:rsidRPr="002A105D">
        <w:t xml:space="preserve"> </w:t>
      </w:r>
      <w:r w:rsidR="003301C0">
        <w:t xml:space="preserve">can </w:t>
      </w:r>
      <w:r w:rsidRPr="002A105D">
        <w:t xml:space="preserve">begin </w:t>
      </w:r>
      <w:r w:rsidR="003301C0">
        <w:t>evaluating a natural gas pipeline’s rate design, cost allocations, and rate calculations</w:t>
      </w:r>
      <w:r w:rsidRPr="000763C6" w:rsidR="003301C0">
        <w:t xml:space="preserve"> </w:t>
      </w:r>
      <w:r w:rsidR="003301C0">
        <w:t>immediately in the</w:t>
      </w:r>
      <w:r w:rsidRPr="002A105D">
        <w:t xml:space="preserve"> comment period </w:t>
      </w:r>
      <w:r w:rsidR="000470E5">
        <w:t xml:space="preserve">after </w:t>
      </w:r>
      <w:r w:rsidR="008178D4">
        <w:t>a</w:t>
      </w:r>
      <w:r w:rsidR="000470E5">
        <w:t xml:space="preserve"> pipeline files a section 4 rate case </w:t>
      </w:r>
      <w:r w:rsidRPr="002A105D">
        <w:t>and thus file better-</w:t>
      </w:r>
      <w:r w:rsidRPr="002A105D">
        <w:t xml:space="preserve">informed </w:t>
      </w:r>
      <w:r w:rsidR="000470E5">
        <w:t>comments</w:t>
      </w:r>
      <w:r w:rsidRPr="002A105D">
        <w:t xml:space="preserve">.  Furthermore, </w:t>
      </w:r>
      <w:r w:rsidR="00911C57">
        <w:t xml:space="preserve">requiring pipelines to </w:t>
      </w:r>
      <w:r w:rsidRPr="00983DDB">
        <w:t>file all statements and schedules with formulas and links intact</w:t>
      </w:r>
      <w:r w:rsidR="00911C57">
        <w:t xml:space="preserve"> will enable</w:t>
      </w:r>
      <w:r w:rsidRPr="00983DDB">
        <w:t xml:space="preserve"> all rate case participants to evaluate the filing and any settlement offers from the same baseline, as opposed to all </w:t>
      </w:r>
      <w:r w:rsidR="003F6D81">
        <w:t>rate case participants</w:t>
      </w:r>
      <w:r w:rsidRPr="00983DDB">
        <w:t xml:space="preserve"> creating</w:t>
      </w:r>
      <w:r w:rsidRPr="000763C6">
        <w:t xml:space="preserve"> their own rate models.  Th</w:t>
      </w:r>
      <w:r w:rsidR="00911C57">
        <w:t xml:space="preserve">us, the </w:t>
      </w:r>
      <w:r w:rsidR="00594D61">
        <w:t xml:space="preserve">final </w:t>
      </w:r>
      <w:r w:rsidR="00911C57">
        <w:t xml:space="preserve">rule </w:t>
      </w:r>
      <w:r w:rsidRPr="000763C6">
        <w:t>w</w:t>
      </w:r>
      <w:r w:rsidR="00594D61">
        <w:t>ill</w:t>
      </w:r>
      <w:r w:rsidRPr="000763C6">
        <w:t xml:space="preserve"> streamline the rate case process, including settlement discussions, and avoid </w:t>
      </w:r>
      <w:r w:rsidR="003F6D81">
        <w:t>rate case participants</w:t>
      </w:r>
      <w:r w:rsidRPr="000763C6">
        <w:t xml:space="preserve"> exchanging multiple rounds of discovery and testimony just to understand the rate model’s underlying calculations, which are fundamental to the rate case.</w:t>
      </w:r>
    </w:p>
    <w:p w:rsidR="00CA5360" w:rsidRPr="00CA5360" w:rsidP="00CA5360" w14:paraId="61AEFB31" w14:textId="4350B1CE">
      <w:pPr>
        <w:pStyle w:val="FERCparanumber"/>
      </w:pPr>
      <w:r>
        <w:t xml:space="preserve">Energy Transfer argues that there is no evidence that </w:t>
      </w:r>
      <w:r w:rsidR="00B37A1D">
        <w:t xml:space="preserve">natural gas </w:t>
      </w:r>
      <w:r>
        <w:t>pipeline</w:t>
      </w:r>
      <w:r w:rsidR="00B37A1D">
        <w:t>s</w:t>
      </w:r>
      <w:r>
        <w:t xml:space="preserve"> are severing exi</w:t>
      </w:r>
      <w:r w:rsidR="001400A1">
        <w:t>s</w:t>
      </w:r>
      <w:r>
        <w:t>ting links.</w:t>
      </w:r>
      <w:r>
        <w:rPr>
          <w:rStyle w:val="FootnoteReference"/>
        </w:rPr>
        <w:footnoteReference w:id="31"/>
      </w:r>
      <w:r>
        <w:t xml:space="preserve">  We find this point irrelevant.  </w:t>
      </w:r>
      <w:r w:rsidR="00F706E1">
        <w:t>The development</w:t>
      </w:r>
      <w:r w:rsidRPr="00CA5360">
        <w:t xml:space="preserve"> of a rate </w:t>
      </w:r>
      <w:r w:rsidR="00F706E1">
        <w:t xml:space="preserve">model, </w:t>
      </w:r>
      <w:r w:rsidRPr="00CA5360">
        <w:t>with formulas and links intact</w:t>
      </w:r>
      <w:r w:rsidR="00F706E1">
        <w:t>,</w:t>
      </w:r>
      <w:r w:rsidRPr="00CA5360">
        <w:t xml:space="preserve"> is imperative </w:t>
      </w:r>
      <w:r w:rsidR="00F706E1">
        <w:t>to the proper functioning of the model.  I</w:t>
      </w:r>
      <w:r w:rsidRPr="00CA5360">
        <w:t>f there are severed links</w:t>
      </w:r>
      <w:r w:rsidR="00F706E1">
        <w:t xml:space="preserve"> within the rate model</w:t>
      </w:r>
      <w:r w:rsidR="00C620E5">
        <w:t xml:space="preserve"> then a change in input in one statement will not </w:t>
      </w:r>
      <w:r w:rsidRPr="00CA5360">
        <w:t xml:space="preserve">update to </w:t>
      </w:r>
      <w:r w:rsidR="00C620E5">
        <w:t>its corresponding change on another statement.</w:t>
      </w:r>
      <w:r w:rsidR="00F706E1">
        <w:t xml:space="preserve">  Without this flow through of information, rate case participants </w:t>
      </w:r>
      <w:r w:rsidR="00E2130B">
        <w:t xml:space="preserve">can not properly ascertain the intended rate design, cost allocations, and rate calculations. </w:t>
      </w:r>
    </w:p>
    <w:p w:rsidR="007A2492" w:rsidP="007A2492" w14:paraId="37983418" w14:textId="7E3746C7">
      <w:pPr>
        <w:pStyle w:val="FERCparanumber"/>
      </w:pPr>
      <w:r>
        <w:t>Whether or not pipeline</w:t>
      </w:r>
      <w:r w:rsidR="00B37A1D">
        <w:t>s</w:t>
      </w:r>
      <w:r>
        <w:t xml:space="preserve"> are severing links or the links never existed, there is an information gap between the pipeline and </w:t>
      </w:r>
      <w:r w:rsidR="003F6D81">
        <w:t>rate case participants</w:t>
      </w:r>
      <w:r w:rsidR="001400A1">
        <w:t xml:space="preserve"> involved in a rate case</w:t>
      </w:r>
      <w:r>
        <w:t xml:space="preserve"> if the rate model fails to include links and formulas essential to understanding the rate calculations.  This </w:t>
      </w:r>
      <w:r w:rsidR="00001BDE">
        <w:t>f</w:t>
      </w:r>
      <w:r>
        <w:t xml:space="preserve">inal </w:t>
      </w:r>
      <w:r w:rsidR="00001BDE">
        <w:t>r</w:t>
      </w:r>
      <w:r>
        <w:t>ule seeks to close that gap.</w:t>
      </w:r>
    </w:p>
    <w:p w:rsidR="004364F5" w:rsidP="00DA38CF" w14:paraId="0CDD364C" w14:textId="0A59E422">
      <w:pPr>
        <w:pStyle w:val="Heading3"/>
      </w:pPr>
      <w:r>
        <w:t>The Final Rule Provide</w:t>
      </w:r>
      <w:r w:rsidR="00935E90">
        <w:t>s</w:t>
      </w:r>
      <w:r>
        <w:t xml:space="preserve"> Adequate Notice of Changes in Policy</w:t>
      </w:r>
    </w:p>
    <w:p w:rsidR="004364F5" w:rsidP="004364F5" w14:paraId="1C2A3C85" w14:textId="0CBC0E93">
      <w:pPr>
        <w:pStyle w:val="Heading4"/>
      </w:pPr>
      <w:r>
        <w:t>Comments</w:t>
      </w:r>
    </w:p>
    <w:p w:rsidR="004364F5" w:rsidP="004364F5" w14:paraId="4A6920B2" w14:textId="0ACB95E0">
      <w:pPr>
        <w:pStyle w:val="FERCparanumber"/>
      </w:pPr>
      <w:r>
        <w:t>Energy Transfer states the Commission’s proposal fails to include proposed regulations describing what must be provided in a rate case filing.  Therefore, pipelines would not have any notice in the regulations as to what is being required by the rulemaking unless it separately was aware of this proceeding.</w:t>
      </w:r>
      <w:r>
        <w:rPr>
          <w:rStyle w:val="FootnoteReference"/>
          <w:rFonts w:eastAsia="Calibri"/>
          <w:bCs/>
          <w:szCs w:val="26"/>
        </w:rPr>
        <w:footnoteReference w:id="32"/>
      </w:r>
      <w:r>
        <w:t xml:space="preserve">  Additionally, Energy Transfer claims a “lack of proper notice and lack of specific language in the regulations does not comply with the requirements of the Administrative Procedure Act.”</w:t>
      </w:r>
      <w:r>
        <w:rPr>
          <w:rStyle w:val="FootnoteReference"/>
          <w:rFonts w:eastAsia="Calibri"/>
          <w:bCs/>
          <w:szCs w:val="26"/>
        </w:rPr>
        <w:footnoteReference w:id="33"/>
      </w:r>
    </w:p>
    <w:p w:rsidR="004364F5" w:rsidP="004364F5" w14:paraId="2587CC89" w14:textId="05CE1F59">
      <w:pPr>
        <w:pStyle w:val="Heading4"/>
      </w:pPr>
      <w:r>
        <w:t>Commission Determination</w:t>
      </w:r>
    </w:p>
    <w:p w:rsidR="004364F5" w:rsidRPr="004364F5" w:rsidP="007320C6" w14:paraId="4F954A69" w14:textId="2C7BB9A5">
      <w:pPr>
        <w:pStyle w:val="FERCparanumber"/>
      </w:pPr>
      <w:r>
        <w:t xml:space="preserve">We </w:t>
      </w:r>
      <w:r w:rsidR="009F5E9F">
        <w:t>are not persuaded by</w:t>
      </w:r>
      <w:r>
        <w:t xml:space="preserve"> </w:t>
      </w:r>
      <w:r w:rsidRPr="00AF36E2">
        <w:t>Energy Transfer</w:t>
      </w:r>
      <w:r>
        <w:t>’s argument</w:t>
      </w:r>
      <w:r w:rsidR="00C62CEF">
        <w:t xml:space="preserve"> that the NOPR failed to provide adequate notice</w:t>
      </w:r>
      <w:r w:rsidR="003301A5">
        <w:t xml:space="preserve"> to pipelines of what is being required by th</w:t>
      </w:r>
      <w:r w:rsidR="00EB29D4">
        <w:t>is</w:t>
      </w:r>
      <w:r w:rsidR="003301A5">
        <w:t xml:space="preserve"> rulemaking</w:t>
      </w:r>
      <w:r>
        <w:t xml:space="preserve">.  </w:t>
      </w:r>
      <w:r w:rsidRPr="00FF0AB0" w:rsidR="00C62CEF">
        <w:t>Although</w:t>
      </w:r>
      <w:r w:rsidRPr="00FF0AB0">
        <w:t xml:space="preserve"> the</w:t>
      </w:r>
      <w:r w:rsidRPr="00FF0AB0" w:rsidR="00C62CEF">
        <w:t xml:space="preserve"> NOPR</w:t>
      </w:r>
      <w:r w:rsidRPr="00FF0AB0">
        <w:t xml:space="preserve"> </w:t>
      </w:r>
      <w:r w:rsidRPr="00FF0AB0" w:rsidR="00C62CEF">
        <w:t xml:space="preserve">did </w:t>
      </w:r>
      <w:r w:rsidRPr="00FF0AB0">
        <w:t xml:space="preserve">not include proposed regulations, </w:t>
      </w:r>
      <w:r w:rsidRPr="00FF0AB0" w:rsidR="00C62CEF">
        <w:t xml:space="preserve">the NOPR </w:t>
      </w:r>
      <w:r w:rsidRPr="00EB76C9" w:rsidR="008B3D42">
        <w:t xml:space="preserve">fully </w:t>
      </w:r>
      <w:r w:rsidRPr="00EB76C9" w:rsidR="00C62CEF">
        <w:t>described the proposed</w:t>
      </w:r>
      <w:r w:rsidRPr="00EB76C9" w:rsidR="008B3D42">
        <w:t xml:space="preserve"> filing</w:t>
      </w:r>
      <w:r w:rsidRPr="00EB76C9" w:rsidR="00C62CEF">
        <w:t xml:space="preserve"> requirements.</w:t>
      </w:r>
      <w:r w:rsidRPr="008B0393" w:rsidR="00A43419">
        <w:t xml:space="preserve">  </w:t>
      </w:r>
      <w:r w:rsidR="00E957D0">
        <w:t xml:space="preserve">Furthermore, </w:t>
      </w:r>
      <w:r w:rsidR="00484BC8">
        <w:t xml:space="preserve">the </w:t>
      </w:r>
      <w:r w:rsidR="006D3A90">
        <w:t>Commission</w:t>
      </w:r>
      <w:r w:rsidR="00484BC8">
        <w:t xml:space="preserve">’s </w:t>
      </w:r>
      <w:r w:rsidR="00E957D0">
        <w:t xml:space="preserve">regulations do not </w:t>
      </w:r>
      <w:r w:rsidR="00AC08FB">
        <w:t xml:space="preserve">discuss filing formats, and we see no need </w:t>
      </w:r>
      <w:r w:rsidR="006D3A90">
        <w:t>in this proceeding t</w:t>
      </w:r>
      <w:r w:rsidR="00AC08FB">
        <w:t xml:space="preserve">o add that </w:t>
      </w:r>
      <w:r w:rsidR="00B220AD">
        <w:t xml:space="preserve">level of </w:t>
      </w:r>
      <w:r w:rsidR="00AC08FB">
        <w:t>granularity</w:t>
      </w:r>
      <w:r w:rsidR="005A76A2">
        <w:t xml:space="preserve"> to meet the requirements of the Administrative Procedures Act</w:t>
      </w:r>
      <w:r w:rsidR="00AC08FB">
        <w:t>.</w:t>
      </w:r>
      <w:r>
        <w:rPr>
          <w:rStyle w:val="FootnoteReference"/>
        </w:rPr>
        <w:footnoteReference w:id="34"/>
      </w:r>
      <w:r w:rsidR="00AC08FB">
        <w:t xml:space="preserve">  </w:t>
      </w:r>
      <w:r w:rsidR="00B220AD">
        <w:t xml:space="preserve">While the NGA section 4 requirements </w:t>
      </w:r>
      <w:r w:rsidR="007B2D38">
        <w:t xml:space="preserve">in the regulations </w:t>
      </w:r>
      <w:r w:rsidR="00B220AD">
        <w:t xml:space="preserve">remain the same, technology and procedures evolve.  </w:t>
      </w:r>
      <w:r w:rsidR="00D17654">
        <w:t xml:space="preserve">We </w:t>
      </w:r>
      <w:r w:rsidR="00D17654">
        <w:t>continue to believe it is appropriate for n</w:t>
      </w:r>
      <w:r w:rsidR="00AC08FB">
        <w:t>atural gas pipeline</w:t>
      </w:r>
      <w:r w:rsidR="004B08DA">
        <w:t>s</w:t>
      </w:r>
      <w:r w:rsidR="00910A08">
        <w:t xml:space="preserve"> </w:t>
      </w:r>
      <w:r w:rsidR="00D17654">
        <w:t>to</w:t>
      </w:r>
      <w:r w:rsidR="00F15D32">
        <w:t xml:space="preserve"> rely on</w:t>
      </w:r>
      <w:r w:rsidR="00910A08">
        <w:t xml:space="preserve"> the </w:t>
      </w:r>
      <w:r w:rsidR="006B7513">
        <w:t xml:space="preserve">FERC </w:t>
      </w:r>
      <w:r w:rsidR="00910A08">
        <w:t xml:space="preserve">Implementation Guide for </w:t>
      </w:r>
      <w:r w:rsidR="00CF131F">
        <w:t xml:space="preserve">detailed </w:t>
      </w:r>
      <w:r w:rsidR="00910A08">
        <w:t>guidance on filing requirements</w:t>
      </w:r>
      <w:r w:rsidR="007B2D38">
        <w:t xml:space="preserve"> that goes beyond the regulations.</w:t>
      </w:r>
      <w:r>
        <w:rPr>
          <w:rStyle w:val="FootnoteReference"/>
        </w:rPr>
        <w:footnoteReference w:id="35"/>
      </w:r>
      <w:r w:rsidR="007B2D38">
        <w:t xml:space="preserve">  </w:t>
      </w:r>
      <w:r w:rsidRPr="008B0393" w:rsidR="00A43419">
        <w:t xml:space="preserve">Therefore, </w:t>
      </w:r>
      <w:r w:rsidR="00324191">
        <w:t xml:space="preserve">we find </w:t>
      </w:r>
      <w:r w:rsidRPr="008B0393" w:rsidR="00A43419">
        <w:t>Energy Transfer’s notice arguments unavailing.</w:t>
      </w:r>
    </w:p>
    <w:p w:rsidR="00D932D3" w:rsidRPr="007A2492" w:rsidP="00D6160B" w14:paraId="1EB73A6E" w14:textId="5BA21923">
      <w:pPr>
        <w:pStyle w:val="Heading3"/>
      </w:pPr>
      <w:r>
        <w:t xml:space="preserve">Formulas and Links in </w:t>
      </w:r>
      <w:r w:rsidR="00D6160B">
        <w:t xml:space="preserve">Statements and Schedules </w:t>
      </w:r>
      <w:r>
        <w:t>Filed Publicly</w:t>
      </w:r>
      <w:r>
        <w:t xml:space="preserve"> are Presumed to be Public </w:t>
      </w:r>
    </w:p>
    <w:p w:rsidR="00D932D3" w:rsidRPr="001A2421" w:rsidP="00D6160B" w14:paraId="2E8CC5B7" w14:textId="77777777">
      <w:pPr>
        <w:pStyle w:val="Heading4"/>
      </w:pPr>
      <w:r>
        <w:t>Comments</w:t>
      </w:r>
    </w:p>
    <w:p w:rsidR="00CF46A4" w:rsidP="00CF46A4" w14:paraId="14F0513C" w14:textId="210682B5">
      <w:pPr>
        <w:pStyle w:val="FERCparanumber"/>
      </w:pPr>
      <w:r w:rsidRPr="00C63D57">
        <w:t xml:space="preserve"> </w:t>
      </w:r>
      <w:r>
        <w:t>Joint Commenters</w:t>
      </w:r>
      <w:r w:rsidRPr="00CF46A4">
        <w:t xml:space="preserve"> request that the final rule address the presumption that native format files, with formulas intact</w:t>
      </w:r>
      <w:r w:rsidR="00D26BC4">
        <w:t>,</w:t>
      </w:r>
      <w:r w:rsidRPr="00CF46A4">
        <w:t xml:space="preserve"> of </w:t>
      </w:r>
      <w:r w:rsidR="00FD3B4A">
        <w:t xml:space="preserve">publicly filed </w:t>
      </w:r>
      <w:r w:rsidRPr="00CF46A4">
        <w:t>material should be public</w:t>
      </w:r>
      <w:r w:rsidR="00A10A9F">
        <w:t>ly available</w:t>
      </w:r>
      <w:r w:rsidR="00C779E8">
        <w:t xml:space="preserve">.  </w:t>
      </w:r>
      <w:r w:rsidRPr="00C63D57">
        <w:t xml:space="preserve"> </w:t>
      </w:r>
      <w:r>
        <w:t>Joint Commenters</w:t>
      </w:r>
      <w:r w:rsidRPr="00CF46A4">
        <w:t xml:space="preserve"> note that ratepayers have recently experienced a situation where a pipeline claimed that links in its Excel spreadsheets for </w:t>
      </w:r>
      <w:r w:rsidR="00526848">
        <w:t>s</w:t>
      </w:r>
      <w:r w:rsidRPr="00CF46A4">
        <w:t xml:space="preserve">tatements and related schedules should receive confidential treatment, even though the </w:t>
      </w:r>
      <w:r w:rsidR="005514D4">
        <w:t>statements and schedules</w:t>
      </w:r>
      <w:r w:rsidRPr="00CF46A4" w:rsidR="005514D4">
        <w:t xml:space="preserve"> </w:t>
      </w:r>
      <w:r w:rsidRPr="00CF46A4">
        <w:t xml:space="preserve">themselves </w:t>
      </w:r>
      <w:r w:rsidR="005514D4">
        <w:t xml:space="preserve">(without links) </w:t>
      </w:r>
      <w:r w:rsidRPr="00CF46A4">
        <w:t>had been filed publicly.</w:t>
      </w:r>
      <w:r>
        <w:rPr>
          <w:b/>
          <w:vertAlign w:val="superscript"/>
        </w:rPr>
        <w:footnoteReference w:id="36"/>
      </w:r>
      <w:r w:rsidRPr="00CF46A4">
        <w:t xml:space="preserve">  </w:t>
      </w:r>
      <w:r>
        <w:t>Joint Commenters</w:t>
      </w:r>
      <w:r w:rsidRPr="00CF46A4">
        <w:t xml:space="preserve"> argue that such treatment is unnecessary, and the pipeline’s claim of confidentiality created an additional burden for shippers that hindered the administrative process.  Therefore, </w:t>
      </w:r>
      <w:r>
        <w:t>Joint Commenters</w:t>
      </w:r>
      <w:r w:rsidRPr="00CF46A4">
        <w:t xml:space="preserve"> ask that the final rule clarify that native format files, with links and formulas intact, of </w:t>
      </w:r>
      <w:r w:rsidR="00FD3B4A">
        <w:t xml:space="preserve">publicly filed </w:t>
      </w:r>
      <w:r w:rsidRPr="00CF46A4">
        <w:t>material are presumed to be public</w:t>
      </w:r>
      <w:r w:rsidR="000D76CF">
        <w:t>ly available</w:t>
      </w:r>
      <w:r w:rsidRPr="00CF46A4">
        <w:t>.</w:t>
      </w:r>
    </w:p>
    <w:p w:rsidR="000B77D2" w:rsidP="00D20B9E" w14:paraId="766ED052" w14:textId="4550010D">
      <w:pPr>
        <w:pStyle w:val="FERCparanumber"/>
      </w:pPr>
      <w:r>
        <w:t xml:space="preserve">INGAA opposes </w:t>
      </w:r>
      <w:r w:rsidR="00C63D57">
        <w:t>Joint Commenters</w:t>
      </w:r>
      <w:r>
        <w:t xml:space="preserve">’ request that the final rule implement a blanket denial </w:t>
      </w:r>
      <w:r w:rsidRPr="003E48E6">
        <w:t xml:space="preserve">of any request under </w:t>
      </w:r>
      <w:r w:rsidR="00C602B3">
        <w:t>§</w:t>
      </w:r>
      <w:r w:rsidRPr="003E48E6">
        <w:t xml:space="preserve"> 388.112 for privileged treatment of any portion</w:t>
      </w:r>
      <w:r>
        <w:t xml:space="preserve"> </w:t>
      </w:r>
      <w:r w:rsidRPr="003E48E6">
        <w:t>of the rate model spreadsheets that the Commission is requiring natural gas pipelines to file</w:t>
      </w:r>
      <w:r>
        <w:t xml:space="preserve"> </w:t>
      </w:r>
      <w:r w:rsidRPr="003E48E6">
        <w:t xml:space="preserve">as part of the </w:t>
      </w:r>
      <w:r>
        <w:t>p</w:t>
      </w:r>
      <w:r w:rsidRPr="003E48E6">
        <w:t xml:space="preserve">roposed </w:t>
      </w:r>
      <w:r>
        <w:t>r</w:t>
      </w:r>
      <w:r w:rsidRPr="003E48E6">
        <w:t>ule</w:t>
      </w:r>
      <w:r>
        <w:t>.</w:t>
      </w:r>
      <w:r>
        <w:rPr>
          <w:rStyle w:val="FootnoteReference"/>
          <w:sz w:val="24"/>
          <w:szCs w:val="24"/>
        </w:rPr>
        <w:footnoteReference w:id="37"/>
      </w:r>
      <w:r>
        <w:t xml:space="preserve">  According to INGAA, the </w:t>
      </w:r>
      <w:r w:rsidRPr="00372E31">
        <w:t>statements, schedules and workpapers with formulas and links intact are</w:t>
      </w:r>
      <w:r>
        <w:t xml:space="preserve"> </w:t>
      </w:r>
      <w:r w:rsidRPr="00372E31">
        <w:t>commercial information that certain pipelines treat as private and are provided by those</w:t>
      </w:r>
      <w:r>
        <w:t xml:space="preserve"> </w:t>
      </w:r>
      <w:r w:rsidRPr="00372E31">
        <w:t>pipelines to the Commission with the expectation that</w:t>
      </w:r>
      <w:r>
        <w:t xml:space="preserve"> </w:t>
      </w:r>
      <w:r w:rsidRPr="00372E31">
        <w:t>the information will not be generally available on the public docket for use</w:t>
      </w:r>
      <w:r>
        <w:t xml:space="preserve"> </w:t>
      </w:r>
      <w:r w:rsidRPr="00372E31">
        <w:t>outside of the rate case</w:t>
      </w:r>
      <w:r>
        <w:t>.</w:t>
      </w:r>
      <w:r>
        <w:rPr>
          <w:rStyle w:val="FootnoteReference"/>
          <w:sz w:val="24"/>
          <w:szCs w:val="24"/>
        </w:rPr>
        <w:footnoteReference w:id="38"/>
      </w:r>
      <w:r>
        <w:t xml:space="preserve">  INGAA states that the Commission acknowledged in Order No. 703 that </w:t>
      </w:r>
      <w:r w:rsidR="008D394A">
        <w:t>a</w:t>
      </w:r>
      <w:r w:rsidRPr="00AE40CF">
        <w:t xml:space="preserve"> pipeline is entitled to submit spreadsheets as privileged and only provide the flat files</w:t>
      </w:r>
      <w:r>
        <w:t xml:space="preserve"> </w:t>
      </w:r>
      <w:r w:rsidRPr="00AE40CF">
        <w:t>or a PDF as the public version of the protected information</w:t>
      </w:r>
      <w:r>
        <w:t>.</w:t>
      </w:r>
      <w:r>
        <w:rPr>
          <w:rStyle w:val="FootnoteReference"/>
          <w:sz w:val="24"/>
          <w:szCs w:val="24"/>
        </w:rPr>
        <w:footnoteReference w:id="39"/>
      </w:r>
      <w:r>
        <w:t xml:space="preserve">  INGAA further states that privileged treatment </w:t>
      </w:r>
      <w:r w:rsidRPr="00FE3A52">
        <w:t>of the rate model statements, schedules and workpapers with</w:t>
      </w:r>
      <w:r>
        <w:t xml:space="preserve"> </w:t>
      </w:r>
      <w:r w:rsidRPr="00FE3A52">
        <w:t>formula and links intact is also consistent with the treatment of information as confidential</w:t>
      </w:r>
      <w:r>
        <w:t xml:space="preserve"> </w:t>
      </w:r>
      <w:r w:rsidRPr="00FE3A52">
        <w:t>under the Chief Administrative Law Judge’s Model Protective Order</w:t>
      </w:r>
      <w:r>
        <w:t xml:space="preserve">, and therefore there are already procedures in place to address </w:t>
      </w:r>
      <w:r w:rsidR="00C63D57">
        <w:t>Joint Commenters</w:t>
      </w:r>
      <w:r>
        <w:t>’ concerns about access to privileged information.</w:t>
      </w:r>
      <w:r>
        <w:rPr>
          <w:rStyle w:val="FootnoteReference"/>
          <w:sz w:val="24"/>
          <w:szCs w:val="24"/>
        </w:rPr>
        <w:footnoteReference w:id="40"/>
      </w:r>
    </w:p>
    <w:p w:rsidR="00234601" w:rsidRPr="00CF46A4" w:rsidP="000B77D2" w14:paraId="2E23D0C6" w14:textId="2F9644E9">
      <w:pPr>
        <w:pStyle w:val="FERCparanumber"/>
      </w:pPr>
      <w:r>
        <w:t xml:space="preserve">INGAA argues that there </w:t>
      </w:r>
      <w:r w:rsidRPr="00470E9A">
        <w:t>are many reasons to seek protection of the rate model spreadsheets based on</w:t>
      </w:r>
      <w:r>
        <w:t xml:space="preserve"> </w:t>
      </w:r>
      <w:r w:rsidRPr="00470E9A">
        <w:t>concerns that disclosure may result in competitive disadvantage or other business injury.</w:t>
      </w:r>
      <w:r>
        <w:t xml:space="preserve">  Specifically, INGAA states that it is concerned that </w:t>
      </w:r>
      <w:r w:rsidRPr="002257B7">
        <w:t xml:space="preserve">third parties with no legitimate interest in the ratemaking process may misuse, modify, or </w:t>
      </w:r>
      <w:r w:rsidRPr="002257B7">
        <w:t>misrepresent</w:t>
      </w:r>
      <w:r>
        <w:t xml:space="preserve"> </w:t>
      </w:r>
      <w:r w:rsidRPr="002257B7">
        <w:t>the cost allocation or rate design results contained within</w:t>
      </w:r>
      <w:r>
        <w:t xml:space="preserve"> </w:t>
      </w:r>
      <w:r w:rsidRPr="002257B7">
        <w:t>the spreadsheets in ways that would be difficult or impossible to clarify</w:t>
      </w:r>
      <w:r>
        <w:t xml:space="preserve">.  INGAA argues that such </w:t>
      </w:r>
      <w:r w:rsidRPr="002257B7">
        <w:t>misuse could</w:t>
      </w:r>
      <w:r>
        <w:t xml:space="preserve"> </w:t>
      </w:r>
      <w:r w:rsidRPr="002257B7">
        <w:t>be the basis for unsupported claims that the pipeline is earning more than a reasonable</w:t>
      </w:r>
      <w:r>
        <w:t xml:space="preserve"> </w:t>
      </w:r>
      <w:r w:rsidRPr="002257B7">
        <w:t>return or unfairly allocating costs, which could affect the pipeline’s value to potential</w:t>
      </w:r>
      <w:r>
        <w:t xml:space="preserve"> </w:t>
      </w:r>
      <w:r w:rsidRPr="002257B7">
        <w:t>investors, lenders, shippers</w:t>
      </w:r>
      <w:r>
        <w:t>,</w:t>
      </w:r>
      <w:r w:rsidRPr="002257B7">
        <w:t xml:space="preserve"> or other market participants</w:t>
      </w:r>
      <w:r>
        <w:t>.  INGAA states that any administrative convenience is outweighed by the risk of competitive harm or other business injury resulting from publicly filing proprietary information, and that the Commission and the participants in a rate case already have the unobstructed right to this information.</w:t>
      </w:r>
      <w:r>
        <w:rPr>
          <w:rStyle w:val="FootnoteReference"/>
          <w:sz w:val="24"/>
          <w:szCs w:val="24"/>
        </w:rPr>
        <w:footnoteReference w:id="41"/>
      </w:r>
      <w:r>
        <w:t xml:space="preserve"> </w:t>
      </w:r>
      <w:r w:rsidRPr="00CF46A4">
        <w:t xml:space="preserve"> </w:t>
      </w:r>
    </w:p>
    <w:p w:rsidR="004811B1" w:rsidP="007320C6" w14:paraId="36137F02" w14:textId="77777777">
      <w:pPr>
        <w:pStyle w:val="Heading4"/>
      </w:pPr>
      <w:r w:rsidRPr="00657945">
        <w:t>Commission Determination</w:t>
      </w:r>
    </w:p>
    <w:p w:rsidR="000B77D2" w:rsidP="004811B1" w14:paraId="3D58EF5E" w14:textId="5CBDDEAA">
      <w:pPr>
        <w:pStyle w:val="FERCparanumber"/>
      </w:pPr>
      <w:r>
        <w:t xml:space="preserve">We decline to adopt </w:t>
      </w:r>
      <w:r w:rsidR="00C63D57">
        <w:t>Joint Commenters</w:t>
      </w:r>
      <w:r>
        <w:t xml:space="preserve">’ </w:t>
      </w:r>
      <w:r w:rsidR="008F5EBF">
        <w:t xml:space="preserve">requested </w:t>
      </w:r>
      <w:r>
        <w:t xml:space="preserve">clarification.  </w:t>
      </w:r>
      <w:r w:rsidR="0069392A">
        <w:t xml:space="preserve">A </w:t>
      </w:r>
      <w:r w:rsidR="004811B1">
        <w:t>filer may request confidential treatment</w:t>
      </w:r>
      <w:r w:rsidR="0069392A">
        <w:t xml:space="preserve">, and </w:t>
      </w:r>
      <w:r w:rsidR="008F5EBF">
        <w:t xml:space="preserve">the Commission will evaluate </w:t>
      </w:r>
      <w:r w:rsidR="0069392A">
        <w:t>such requests on a case-by-case basis</w:t>
      </w:r>
      <w:r w:rsidR="004811B1">
        <w:t>.  In such cases, the data sets and spreadsheets should be submitted in both privileged, unredacted form and in public, redacted form, pursuant to 18 CFR 388.112.</w:t>
      </w:r>
      <w:r>
        <w:rPr>
          <w:rStyle w:val="FootnoteReference"/>
        </w:rPr>
        <w:footnoteReference w:id="42"/>
      </w:r>
      <w:r w:rsidR="004811B1">
        <w:t xml:space="preserve">  </w:t>
      </w:r>
      <w:r w:rsidR="004811B1">
        <w:t>As</w:t>
      </w:r>
      <w:r w:rsidRPr="00C63D57" w:rsidR="00C63D57">
        <w:t xml:space="preserve"> </w:t>
      </w:r>
      <w:r w:rsidR="00C63D57">
        <w:t>Joint Commenters</w:t>
      </w:r>
      <w:r w:rsidR="004811B1">
        <w:t xml:space="preserve"> note, </w:t>
      </w:r>
      <w:r w:rsidR="006D39F8">
        <w:t xml:space="preserve">however, </w:t>
      </w:r>
      <w:r w:rsidR="004811B1">
        <w:t xml:space="preserve">the information in a rate model is </w:t>
      </w:r>
      <w:r w:rsidR="0011144A">
        <w:t xml:space="preserve">generally </w:t>
      </w:r>
      <w:r w:rsidR="004811B1">
        <w:t xml:space="preserve">already </w:t>
      </w:r>
      <w:r w:rsidR="004811B1">
        <w:t>public information</w:t>
      </w:r>
      <w:r w:rsidR="00F86DAD">
        <w:t xml:space="preserve"> </w:t>
      </w:r>
      <w:r w:rsidR="004811B1">
        <w:t>and pipeline</w:t>
      </w:r>
      <w:r w:rsidR="00B37A1D">
        <w:t>s</w:t>
      </w:r>
      <w:r w:rsidR="004811B1">
        <w:t xml:space="preserve"> seeking confidential treatment will have the burden of proof that confidential treatment is warranted.</w:t>
      </w:r>
    </w:p>
    <w:p w:rsidR="000B77D2" w:rsidRPr="007A2492" w:rsidP="00365576" w14:paraId="11968CBC" w14:textId="02E5638A">
      <w:pPr>
        <w:pStyle w:val="Heading3"/>
      </w:pPr>
      <w:r>
        <w:t xml:space="preserve">Formulas and Links Must be Maintained Only Between Schedules and Workpapers Filed in the Same Rate Case </w:t>
      </w:r>
    </w:p>
    <w:p w:rsidR="000B77D2" w:rsidRPr="001A2421" w:rsidP="00365576" w14:paraId="3C623E37" w14:textId="77777777">
      <w:pPr>
        <w:pStyle w:val="Heading4"/>
      </w:pPr>
      <w:r>
        <w:t>Comments</w:t>
      </w:r>
    </w:p>
    <w:p w:rsidR="00CF46A4" w:rsidP="00CF46A4" w14:paraId="4BF16AEB" w14:textId="264FCBCB">
      <w:pPr>
        <w:pStyle w:val="FERCparanumber"/>
      </w:pPr>
      <w:r>
        <w:t xml:space="preserve">INGAA requests that the Commission clarify that “formulas and links intact” means formulas and links within and between statements, schedules and workpapers </w:t>
      </w:r>
      <w:r w:rsidRPr="00544297">
        <w:rPr>
          <w:i/>
          <w:iCs/>
        </w:rPr>
        <w:t>filed in the same rate case</w:t>
      </w:r>
      <w:r>
        <w:t>, not formulas contained in or links to spreadsheets not required as part of the initial filing.</w:t>
      </w:r>
      <w:r>
        <w:rPr>
          <w:rStyle w:val="FootnoteReference"/>
          <w:sz w:val="24"/>
          <w:szCs w:val="24"/>
        </w:rPr>
        <w:footnoteReference w:id="43"/>
      </w:r>
      <w:r>
        <w:t xml:space="preserve">  INGAA states that the Commission recognized this distinction in Order No. 582 between formulas in workpapers and statements submitted in the rate case and </w:t>
      </w:r>
      <w:r w:rsidRPr="00236341">
        <w:t>formulas located in or links to separate</w:t>
      </w:r>
      <w:r>
        <w:t xml:space="preserve"> </w:t>
      </w:r>
      <w:r w:rsidRPr="00236341">
        <w:t>spreadsheets not submitted as part of the pipeline’s filing</w:t>
      </w:r>
      <w:r>
        <w:t>, and asserts that the Commission rejected a suggestion that pipelines must produce the “</w:t>
      </w:r>
      <w:r w:rsidRPr="00236341">
        <w:t>underlying spreadsheets, models, and databases relied upon to prepare</w:t>
      </w:r>
      <w:r>
        <w:t xml:space="preserve"> </w:t>
      </w:r>
      <w:r w:rsidRPr="00236341">
        <w:t>the filing in an electronic format</w:t>
      </w:r>
      <w:r>
        <w:t>” upon request.</w:t>
      </w:r>
      <w:r>
        <w:rPr>
          <w:rStyle w:val="FootnoteReference"/>
          <w:sz w:val="24"/>
          <w:szCs w:val="24"/>
        </w:rPr>
        <w:footnoteReference w:id="44"/>
      </w:r>
      <w:r>
        <w:t xml:space="preserve">  </w:t>
      </w:r>
    </w:p>
    <w:p w:rsidR="00996ECD" w:rsidP="00FE7B37" w14:paraId="14466FF4" w14:textId="706DD202">
      <w:pPr>
        <w:pStyle w:val="FERCparanumber"/>
      </w:pPr>
      <w:r>
        <w:t xml:space="preserve">In addition, </w:t>
      </w:r>
      <w:r w:rsidR="00CF46A4">
        <w:t xml:space="preserve">INGAA states that the Commission should continue to permit pipelines to file Statements O and P in any manner consistent with the current </w:t>
      </w:r>
      <w:r w:rsidR="007A1856">
        <w:t xml:space="preserve">FERC </w:t>
      </w:r>
      <w:r w:rsidR="00CF46A4">
        <w:t>Implementation Guide, specifically in “</w:t>
      </w:r>
      <w:r w:rsidRPr="00015B25" w:rsidR="00CF46A4">
        <w:t>any electronic format that renders text, graphics,</w:t>
      </w:r>
      <w:r w:rsidR="00CF46A4">
        <w:t xml:space="preserve"> </w:t>
      </w:r>
      <w:r w:rsidRPr="00015B25" w:rsidR="00CF46A4">
        <w:t>spreadsheets or data bases that the Commission accepts</w:t>
      </w:r>
      <w:r w:rsidR="00CF46A4">
        <w:t>.”</w:t>
      </w:r>
      <w:r>
        <w:rPr>
          <w:rStyle w:val="FootnoteReference"/>
          <w:sz w:val="24"/>
          <w:szCs w:val="24"/>
        </w:rPr>
        <w:footnoteReference w:id="45"/>
      </w:r>
      <w:r w:rsidR="00CF46A4">
        <w:t xml:space="preserve">  INGAA argues that these </w:t>
      </w:r>
      <w:r w:rsidRPr="002F1933" w:rsidR="00CF46A4">
        <w:t>statements do not contain links within the statement or to</w:t>
      </w:r>
      <w:r w:rsidR="00CF46A4">
        <w:t xml:space="preserve"> </w:t>
      </w:r>
      <w:r w:rsidRPr="002F1933" w:rsidR="00CF46A4">
        <w:t>other statements, and the submission of Statements O and P in native format will not enable</w:t>
      </w:r>
      <w:r w:rsidR="00CF46A4">
        <w:t xml:space="preserve"> </w:t>
      </w:r>
      <w:r w:rsidRPr="002F1933" w:rsidR="00CF46A4">
        <w:t>participants in the rate proceeding to more easily manipulate information or to analyze the</w:t>
      </w:r>
      <w:r w:rsidR="00CF46A4">
        <w:t xml:space="preserve"> s</w:t>
      </w:r>
      <w:r w:rsidRPr="002F1933" w:rsidR="00CF46A4">
        <w:t>tatements in a more timely or comprehensive manner</w:t>
      </w:r>
      <w:r w:rsidR="00CF46A4">
        <w:t>.</w:t>
      </w:r>
      <w:r>
        <w:rPr>
          <w:rStyle w:val="FootnoteReference"/>
          <w:sz w:val="24"/>
          <w:szCs w:val="24"/>
        </w:rPr>
        <w:footnoteReference w:id="46"/>
      </w:r>
      <w:r w:rsidR="00CF46A4">
        <w:t xml:space="preserve">  Furthermore, INGAA requests that the Commission clarify that the proposed rule </w:t>
      </w:r>
      <w:r w:rsidRPr="00DA6BED" w:rsidR="00CF46A4">
        <w:t xml:space="preserve">does not </w:t>
      </w:r>
      <w:r w:rsidRPr="005623BC" w:rsidR="00CF46A4">
        <w:rPr>
          <w:i/>
          <w:iCs/>
        </w:rPr>
        <w:t>expand</w:t>
      </w:r>
      <w:r w:rsidRPr="00DA6BED" w:rsidR="00CF46A4">
        <w:t xml:space="preserve"> the information that pipelines must submit when initiating an NGA </w:t>
      </w:r>
      <w:r w:rsidR="00CF46A4">
        <w:t>s</w:t>
      </w:r>
      <w:r w:rsidRPr="00DA6BED" w:rsidR="00CF46A4">
        <w:t>ection 4 rate</w:t>
      </w:r>
      <w:r w:rsidR="00CF46A4">
        <w:t xml:space="preserve"> </w:t>
      </w:r>
      <w:r w:rsidRPr="00DA6BED" w:rsidR="00CF46A4">
        <w:t>case</w:t>
      </w:r>
      <w:r w:rsidR="00CF46A4">
        <w:t xml:space="preserve">, but </w:t>
      </w:r>
      <w:r w:rsidRPr="00DA6BED" w:rsidR="00CF46A4">
        <w:t>modifies the format of the</w:t>
      </w:r>
      <w:r w:rsidR="00CF46A4">
        <w:t xml:space="preserve"> </w:t>
      </w:r>
      <w:r w:rsidRPr="00DA6BED" w:rsidR="00CF46A4">
        <w:t>statements, schedules, and workpapers currently required by the Commission’s regulations</w:t>
      </w:r>
      <w:r w:rsidR="00CF46A4">
        <w:t>.</w:t>
      </w:r>
      <w:r>
        <w:rPr>
          <w:rStyle w:val="FootnoteReference"/>
          <w:sz w:val="24"/>
          <w:szCs w:val="24"/>
        </w:rPr>
        <w:footnoteReference w:id="47"/>
      </w:r>
    </w:p>
    <w:p w:rsidR="005623BC" w:rsidP="00447936" w14:paraId="211224BA" w14:textId="77777777">
      <w:pPr>
        <w:pStyle w:val="Heading4"/>
      </w:pPr>
      <w:r w:rsidRPr="00657945">
        <w:t>Commission Determination</w:t>
      </w:r>
    </w:p>
    <w:p w:rsidR="00F20BC1" w14:paraId="5EEAA786" w14:textId="172A10C9">
      <w:pPr>
        <w:pStyle w:val="FERCparanumber"/>
      </w:pPr>
      <w:r>
        <w:t>We affirm that th</w:t>
      </w:r>
      <w:r w:rsidR="00577D3E">
        <w:t>e</w:t>
      </w:r>
      <w:r>
        <w:t xml:space="preserve"> </w:t>
      </w:r>
      <w:r w:rsidR="00001BDE">
        <w:t>f</w:t>
      </w:r>
      <w:r>
        <w:t xml:space="preserve">inal </w:t>
      </w:r>
      <w:r w:rsidR="00001BDE">
        <w:t>r</w:t>
      </w:r>
      <w:r>
        <w:t>ule’s requirement that rate models be filed with “formulas and links intact” applies to statements, schedule</w:t>
      </w:r>
      <w:r w:rsidR="00E77173">
        <w:t>s</w:t>
      </w:r>
      <w:r>
        <w:t xml:space="preserve">, and workpapers filed in the same rate case and not to formulas contained in or links to spreadsheets not required as part of the initial filing.  </w:t>
      </w:r>
      <w:r w:rsidR="00C71B37">
        <w:t xml:space="preserve">However, </w:t>
      </w:r>
      <w:r w:rsidR="00E77173">
        <w:t xml:space="preserve">we clarify that </w:t>
      </w:r>
      <w:r w:rsidR="00C71B37">
        <w:t xml:space="preserve">to the extent a </w:t>
      </w:r>
      <w:r w:rsidR="00B37A1D">
        <w:t xml:space="preserve">natural gas </w:t>
      </w:r>
      <w:r w:rsidR="00C71B37">
        <w:t xml:space="preserve">pipeline creates a workpaper </w:t>
      </w:r>
      <w:r w:rsidR="005854C0">
        <w:t>to</w:t>
      </w:r>
      <w:r w:rsidR="00C71B37">
        <w:t xml:space="preserve"> create a statement or schedule required by </w:t>
      </w:r>
      <w:r w:rsidR="00765EE4">
        <w:t>§</w:t>
      </w:r>
      <w:r w:rsidR="00C71B37">
        <w:t xml:space="preserve"> 154.312 of the Commission’s regulations</w:t>
      </w:r>
      <w:r w:rsidR="00B6473E">
        <w:t xml:space="preserve"> (e.g., an allocation workpaper that informs the I Schedules)</w:t>
      </w:r>
      <w:r w:rsidR="00C71B37">
        <w:t xml:space="preserve">, </w:t>
      </w:r>
      <w:r w:rsidR="00C84A53">
        <w:t>the</w:t>
      </w:r>
      <w:r w:rsidR="00C71B37">
        <w:t xml:space="preserve"> pipeline must file that workpaper with formulas and links intact</w:t>
      </w:r>
      <w:r w:rsidR="001D64D2">
        <w:t>, as that workpaper is essential to understanding the rate model’s inputs and calculations</w:t>
      </w:r>
      <w:r w:rsidR="005854C0">
        <w:t>.  This includes links</w:t>
      </w:r>
      <w:r w:rsidR="00C71B37">
        <w:t xml:space="preserve"> </w:t>
      </w:r>
      <w:r w:rsidR="00C71B37">
        <w:t>within the workpaper, and between the workpaper and the statement or schedule that relies on that workpaper.</w:t>
      </w:r>
      <w:r>
        <w:t xml:space="preserve"> </w:t>
      </w:r>
    </w:p>
    <w:p w:rsidR="00996ECD" w:rsidP="00F55A52" w14:paraId="237CA740" w14:textId="58E157BA">
      <w:pPr>
        <w:pStyle w:val="FERCparanumber"/>
      </w:pPr>
      <w:r>
        <w:t xml:space="preserve">We </w:t>
      </w:r>
      <w:r w:rsidR="00577D3E">
        <w:t xml:space="preserve">grant the request to </w:t>
      </w:r>
      <w:r>
        <w:t xml:space="preserve">clarify that Statements O and P </w:t>
      </w:r>
      <w:r w:rsidRPr="00F20BC1">
        <w:t>do not contain links within the statement or to other statements</w:t>
      </w:r>
      <w:r>
        <w:t xml:space="preserve"> or schedules, and therefore may continue to be filed in any manner consistent with the </w:t>
      </w:r>
      <w:r w:rsidR="000732FA">
        <w:t xml:space="preserve">FERC </w:t>
      </w:r>
      <w:r>
        <w:t>Implementation Guide for these statement</w:t>
      </w:r>
      <w:r w:rsidR="00851094">
        <w:t>s</w:t>
      </w:r>
      <w:r>
        <w:t>.</w:t>
      </w:r>
      <w:r w:rsidRPr="00851094" w:rsidR="00851094">
        <w:t xml:space="preserve"> </w:t>
      </w:r>
      <w:r w:rsidR="00851094">
        <w:t xml:space="preserve"> </w:t>
      </w:r>
      <w:r w:rsidR="006D39F8">
        <w:t xml:space="preserve">We also affirm that this final rule does not expand the information </w:t>
      </w:r>
      <w:r w:rsidRPr="00851094" w:rsidR="006D39F8">
        <w:t xml:space="preserve">that pipelines must submit when initiating an NGA section 4 </w:t>
      </w:r>
      <w:r w:rsidR="006D39F8">
        <w:t xml:space="preserve">general </w:t>
      </w:r>
      <w:r w:rsidRPr="00851094" w:rsidR="006D39F8">
        <w:t>rate case</w:t>
      </w:r>
      <w:r w:rsidR="006D39F8">
        <w:t xml:space="preserve"> but clarifies the format requirements with which such information must comply.  </w:t>
      </w:r>
    </w:p>
    <w:p w:rsidR="00A94728" w:rsidP="00A94728" w14:paraId="338A42D8" w14:textId="04B86C49">
      <w:pPr>
        <w:pStyle w:val="Heading3"/>
        <w:rPr>
          <w:bCs/>
        </w:rPr>
      </w:pPr>
      <w:r>
        <w:t>Application of the Final Rule to</w:t>
      </w:r>
      <w:r w:rsidRPr="001A2421">
        <w:t xml:space="preserve"> </w:t>
      </w:r>
      <w:r>
        <w:t xml:space="preserve">Other </w:t>
      </w:r>
      <w:r w:rsidR="003F6D81">
        <w:t>Rate case participants</w:t>
      </w:r>
      <w:r>
        <w:t xml:space="preserve"> and Scenarios is Beyond the Scope of this Proceeding </w:t>
      </w:r>
    </w:p>
    <w:p w:rsidR="00A94728" w:rsidRPr="001A2421" w:rsidP="00A94728" w14:paraId="5A333634" w14:textId="77777777">
      <w:pPr>
        <w:pStyle w:val="Heading4"/>
        <w:spacing w:after="0"/>
      </w:pPr>
      <w:r>
        <w:t>Comments</w:t>
      </w:r>
    </w:p>
    <w:p w:rsidR="00A94728" w:rsidP="00A94728" w14:paraId="79B34BA5" w14:textId="77777777"/>
    <w:p w:rsidR="00A94728" w:rsidP="00A94728" w14:paraId="6E69E237" w14:textId="4B3CE1BA">
      <w:pPr>
        <w:pStyle w:val="FERCparanumber"/>
      </w:pPr>
      <w:r w:rsidRPr="00420FCC">
        <w:t xml:space="preserve">BHE GT&amp;S </w:t>
      </w:r>
      <w:r>
        <w:t>requests</w:t>
      </w:r>
      <w:r w:rsidRPr="00420FCC">
        <w:t xml:space="preserve"> </w:t>
      </w:r>
      <w:r>
        <w:t xml:space="preserve">that the Commission clarify that the requirement for natural gas pipelines to provide </w:t>
      </w:r>
      <w:r w:rsidRPr="00020482">
        <w:t>supporting statements, schedules and workpapers in native format</w:t>
      </w:r>
      <w:r>
        <w:t xml:space="preserve"> </w:t>
      </w:r>
      <w:r w:rsidRPr="00420FCC">
        <w:t xml:space="preserve">should </w:t>
      </w:r>
      <w:r>
        <w:t xml:space="preserve">“also </w:t>
      </w:r>
      <w:r w:rsidRPr="00420FCC">
        <w:t>apply equally to all parties, including Commission staff and intervenors, when submitting rate case materials.</w:t>
      </w:r>
      <w:r>
        <w:t>”</w:t>
      </w:r>
      <w:r>
        <w:rPr>
          <w:rStyle w:val="FootnoteReference"/>
        </w:rPr>
        <w:footnoteReference w:id="48"/>
      </w:r>
      <w:r>
        <w:t xml:space="preserve">  Specifically, BHE GT&amp;S states that the Commission </w:t>
      </w:r>
      <w:r w:rsidRPr="00420FCC">
        <w:t>should clarify that the</w:t>
      </w:r>
      <w:r>
        <w:t xml:space="preserve"> changes proposed in the NOPR should apply equally to </w:t>
      </w:r>
      <w:r w:rsidRPr="00420FCC">
        <w:t xml:space="preserve">parties submitting a complaint requesting the initiation of a proceeding under </w:t>
      </w:r>
      <w:r>
        <w:t xml:space="preserve">NGA section 5, </w:t>
      </w:r>
      <w:r w:rsidRPr="00420FCC">
        <w:t xml:space="preserve">as well as to information submitted by Commission staff or other </w:t>
      </w:r>
      <w:r>
        <w:t xml:space="preserve">stakeholders </w:t>
      </w:r>
      <w:r w:rsidRPr="00420FCC">
        <w:t>in rebuttal to a</w:t>
      </w:r>
      <w:r>
        <w:t>n</w:t>
      </w:r>
      <w:r w:rsidRPr="00420FCC">
        <w:t xml:space="preserve"> </w:t>
      </w:r>
      <w:r w:rsidRPr="006956BC">
        <w:t xml:space="preserve">NGA section 4 </w:t>
      </w:r>
      <w:r w:rsidRPr="00420FCC">
        <w:t xml:space="preserve">rate case.  </w:t>
      </w:r>
    </w:p>
    <w:p w:rsidR="00E65A31" w:rsidP="00E65A31" w14:paraId="79AC8637" w14:textId="77777777">
      <w:pPr>
        <w:pStyle w:val="FERCparanumber"/>
        <w:numPr>
          <w:ilvl w:val="0"/>
          <w:numId w:val="0"/>
        </w:numPr>
      </w:pPr>
    </w:p>
    <w:p w:rsidR="00A94728" w:rsidP="00A94728" w14:paraId="6F1839C2" w14:textId="77777777">
      <w:pPr>
        <w:pStyle w:val="FERCparanumber"/>
        <w:numPr>
          <w:ilvl w:val="7"/>
          <w:numId w:val="26"/>
        </w:numPr>
        <w:rPr>
          <w:b/>
          <w:bCs/>
          <w:u w:val="single"/>
        </w:rPr>
      </w:pPr>
      <w:r w:rsidRPr="007A2492">
        <w:rPr>
          <w:b/>
          <w:bCs/>
          <w:u w:val="single"/>
        </w:rPr>
        <w:t>Commission Determination</w:t>
      </w:r>
    </w:p>
    <w:p w:rsidR="00A94728" w:rsidP="00A94728" w14:paraId="0F6CC955" w14:textId="1308F9FE">
      <w:pPr>
        <w:pStyle w:val="FERCparanumber"/>
      </w:pPr>
      <w:r w:rsidRPr="00CB4BB8">
        <w:t xml:space="preserve">The NOPR did not propose </w:t>
      </w:r>
      <w:r>
        <w:t xml:space="preserve">to require </w:t>
      </w:r>
      <w:r w:rsidR="003F6D81">
        <w:t>rate case participants</w:t>
      </w:r>
      <w:r>
        <w:t xml:space="preserve"> to</w:t>
      </w:r>
      <w:r w:rsidRPr="00420FCC">
        <w:t xml:space="preserve"> </w:t>
      </w:r>
      <w:r>
        <w:t xml:space="preserve">provide </w:t>
      </w:r>
      <w:r w:rsidRPr="00020482">
        <w:t>supporting statements, schedules and workpapers in native format</w:t>
      </w:r>
      <w:r w:rsidRPr="00420FCC">
        <w:t xml:space="preserve"> </w:t>
      </w:r>
      <w:r>
        <w:t>during</w:t>
      </w:r>
      <w:r w:rsidRPr="00420FCC">
        <w:t xml:space="preserve"> </w:t>
      </w:r>
      <w:r>
        <w:t xml:space="preserve">NGA section 5 proceedings as </w:t>
      </w:r>
      <w:r w:rsidR="0039173B">
        <w:t xml:space="preserve">suggested </w:t>
      </w:r>
      <w:r w:rsidRPr="00CB4BB8" w:rsidR="0039173B">
        <w:t>by</w:t>
      </w:r>
      <w:r w:rsidRPr="00CB4BB8">
        <w:t xml:space="preserve"> </w:t>
      </w:r>
      <w:r>
        <w:t>BHE GT&amp;S</w:t>
      </w:r>
      <w:r w:rsidRPr="00CB4BB8">
        <w:t>.</w:t>
      </w:r>
      <w:r w:rsidR="008A1577">
        <w:t xml:space="preserve"> </w:t>
      </w:r>
      <w:r>
        <w:t xml:space="preserve"> </w:t>
      </w:r>
      <w:r w:rsidR="003527D7">
        <w:t>W</w:t>
      </w:r>
      <w:r>
        <w:t>e decline to apply the final rule to NGA section 5 complaint cases, as they are outside the scope of this proceeding.  The final rule applies solely to</w:t>
      </w:r>
      <w:r w:rsidR="00CB044A">
        <w:t xml:space="preserve"> natural gas pipelines filing</w:t>
      </w:r>
      <w:r>
        <w:t xml:space="preserve"> general NGA section 4 rate cases.  Moreover, we decline to require all </w:t>
      </w:r>
      <w:r w:rsidR="003F6D81">
        <w:t>rate case participants</w:t>
      </w:r>
      <w:r>
        <w:t xml:space="preserve"> to a general NGA section 4 rate case to comply with the final rule.  In an NGA section 4 rate case, the pipeline has the burden of proof to justify its change in rates.  If a rate case is fully litigated at hearing, natural gas pipeline</w:t>
      </w:r>
      <w:r w:rsidR="00D6776F">
        <w:t>s</w:t>
      </w:r>
      <w:r>
        <w:t xml:space="preserve"> may seek rate models with links and formulas </w:t>
      </w:r>
      <w:r w:rsidR="003E7FC5">
        <w:t xml:space="preserve">included </w:t>
      </w:r>
      <w:r>
        <w:t>from other participants through discovery</w:t>
      </w:r>
      <w:r w:rsidR="00811525">
        <w:t>.</w:t>
      </w:r>
      <w:r>
        <w:t xml:space="preserve"> </w:t>
      </w:r>
    </w:p>
    <w:p w:rsidR="00A94728" w:rsidP="00A94728" w14:paraId="5B746D1C" w14:textId="77777777">
      <w:pPr>
        <w:pStyle w:val="Heading3"/>
        <w:rPr>
          <w:bCs/>
        </w:rPr>
      </w:pPr>
      <w:r>
        <w:t>Additional Changes to</w:t>
      </w:r>
      <w:r>
        <w:rPr>
          <w:bCs/>
        </w:rPr>
        <w:t xml:space="preserve"> Reporting Requirements are Beyond the Scope of this Proceeding </w:t>
      </w:r>
    </w:p>
    <w:p w:rsidR="00A94728" w:rsidRPr="001A2421" w:rsidP="00CA5784" w14:paraId="1C8AC3F5" w14:textId="77777777">
      <w:pPr>
        <w:pStyle w:val="FERCparanumber"/>
        <w:numPr>
          <w:ilvl w:val="7"/>
          <w:numId w:val="33"/>
        </w:numPr>
        <w:ind w:hanging="720"/>
        <w:rPr>
          <w:b/>
          <w:bCs/>
          <w:u w:val="single"/>
        </w:rPr>
      </w:pPr>
      <w:r>
        <w:rPr>
          <w:b/>
          <w:bCs/>
          <w:u w:val="single"/>
        </w:rPr>
        <w:t>Comments</w:t>
      </w:r>
    </w:p>
    <w:p w:rsidR="00A94728" w:rsidP="00A94728" w14:paraId="128C605A" w14:textId="50703557">
      <w:pPr>
        <w:pStyle w:val="FERCparanumber"/>
      </w:pPr>
      <w:r>
        <w:t>Public Citizen argues that a</w:t>
      </w:r>
      <w:r w:rsidRPr="00E259EC">
        <w:t xml:space="preserve">dditional disclosure improvements are required to ensure the public has access to accurate information about the </w:t>
      </w:r>
      <w:r>
        <w:t xml:space="preserve">shippers </w:t>
      </w:r>
      <w:r w:rsidRPr="00E259EC">
        <w:t xml:space="preserve">that secure shipping capacity on </w:t>
      </w:r>
      <w:r>
        <w:t xml:space="preserve">natural gas </w:t>
      </w:r>
      <w:r w:rsidRPr="00E259EC">
        <w:t>pipelines.</w:t>
      </w:r>
      <w:r>
        <w:t xml:space="preserve">  Public Citizen states that c</w:t>
      </w:r>
      <w:r w:rsidRPr="00E259EC">
        <w:t>urrently the Commission’s regulations at 18 CFR § 284.13(b)</w:t>
      </w:r>
      <w:r>
        <w:t xml:space="preserve"> </w:t>
      </w:r>
      <w:r w:rsidRPr="00E259EC">
        <w:t xml:space="preserve">delegate such reporting to the pipelines, allowing </w:t>
      </w:r>
      <w:r>
        <w:t>natural gas p</w:t>
      </w:r>
      <w:r w:rsidRPr="00E259EC">
        <w:t>ipeline</w:t>
      </w:r>
      <w:r>
        <w:t>s</w:t>
      </w:r>
      <w:r w:rsidRPr="00E259EC">
        <w:t xml:space="preserve"> to post shipper information on their website, rather than having the Commission publish such information in a centralized format on </w:t>
      </w:r>
      <w:r>
        <w:t>the Commission’s</w:t>
      </w:r>
      <w:r w:rsidRPr="00E259EC">
        <w:t xml:space="preserve"> website.</w:t>
      </w:r>
      <w:r>
        <w:t xml:space="preserve">  Public Citizen further argues that natural gas p</w:t>
      </w:r>
      <w:r w:rsidRPr="00E259EC">
        <w:t>ipeline</w:t>
      </w:r>
      <w:r>
        <w:t>s’</w:t>
      </w:r>
      <w:r w:rsidRPr="00E259EC">
        <w:t xml:space="preserve"> compliance with </w:t>
      </w:r>
      <w:r w:rsidRPr="00E259EC" w:rsidR="00C21918">
        <w:t>18 CFR § 284.13(b)</w:t>
      </w:r>
      <w:r w:rsidRPr="00E259EC">
        <w:t xml:space="preserve"> </w:t>
      </w:r>
      <w:r>
        <w:t xml:space="preserve">is </w:t>
      </w:r>
      <w:r w:rsidRPr="00E259EC">
        <w:t xml:space="preserve">haphazard, with </w:t>
      </w:r>
      <w:r>
        <w:t xml:space="preserve">natural gas </w:t>
      </w:r>
      <w:r w:rsidRPr="00E259EC">
        <w:t>pipeline</w:t>
      </w:r>
      <w:r>
        <w:t xml:space="preserve">s </w:t>
      </w:r>
      <w:r w:rsidRPr="00E259EC">
        <w:t xml:space="preserve">prioritizing </w:t>
      </w:r>
      <w:r w:rsidRPr="00E259EC">
        <w:t xml:space="preserve">their own website content and making it difficult to find the </w:t>
      </w:r>
      <w:r>
        <w:t>Commission</w:t>
      </w:r>
      <w:r w:rsidR="00F47761">
        <w:t>-</w:t>
      </w:r>
      <w:r w:rsidRPr="00E259EC">
        <w:t>required disclosures</w:t>
      </w:r>
      <w:r>
        <w:t xml:space="preserve">.  Public Citizen contends that the Commission’s rule requiring pipelines to archive such information for only 90 days impedes the public interest, because most pipelines charge </w:t>
      </w:r>
      <w:r w:rsidR="003316EE">
        <w:t>a fee</w:t>
      </w:r>
      <w:r>
        <w:t xml:space="preserve"> to access material older than 90 days.  In addition, Public Citizen argues that it is difficult to locate shipper information on many pipeline websites.  Therefore, Public Citizen requests that</w:t>
      </w:r>
      <w:r w:rsidRPr="00856FA6">
        <w:t xml:space="preserve"> the Commission expand th</w:t>
      </w:r>
      <w:r>
        <w:t>e</w:t>
      </w:r>
      <w:r w:rsidRPr="00856FA6">
        <w:t xml:space="preserve"> </w:t>
      </w:r>
      <w:r>
        <w:t xml:space="preserve">final rule </w:t>
      </w:r>
      <w:r w:rsidRPr="00856FA6">
        <w:t xml:space="preserve">to </w:t>
      </w:r>
      <w:r w:rsidR="00734DC1">
        <w:t>include</w:t>
      </w:r>
      <w:r w:rsidRPr="00856FA6">
        <w:t xml:space="preserve"> </w:t>
      </w:r>
      <w:r>
        <w:t xml:space="preserve">natural gas </w:t>
      </w:r>
      <w:r w:rsidRPr="00856FA6">
        <w:t>pipeline</w:t>
      </w:r>
      <w:r>
        <w:t xml:space="preserve"> </w:t>
      </w:r>
      <w:r w:rsidRPr="00856FA6">
        <w:t>reporting requirements</w:t>
      </w:r>
      <w:r w:rsidR="00BA591A">
        <w:t>.  Public Citizen suggest that</w:t>
      </w:r>
      <w:r w:rsidRPr="00856FA6">
        <w:t xml:space="preserve"> </w:t>
      </w:r>
      <w:r>
        <w:t>the Commission</w:t>
      </w:r>
      <w:r w:rsidRPr="00856FA6">
        <w:t xml:space="preserve"> post shipper</w:t>
      </w:r>
      <w:r>
        <w:t xml:space="preserve"> data</w:t>
      </w:r>
      <w:r w:rsidRPr="00856FA6">
        <w:t xml:space="preserve"> and other information on </w:t>
      </w:r>
      <w:r>
        <w:t>the Commission’s</w:t>
      </w:r>
      <w:r w:rsidRPr="00856FA6">
        <w:t xml:space="preserve"> website and provide the public with free archival access.</w:t>
      </w:r>
    </w:p>
    <w:p w:rsidR="00A94728" w:rsidP="00CA5784" w14:paraId="2E592813" w14:textId="77777777">
      <w:pPr>
        <w:pStyle w:val="FERCparanumber"/>
        <w:numPr>
          <w:ilvl w:val="7"/>
          <w:numId w:val="33"/>
        </w:numPr>
        <w:ind w:hanging="720"/>
        <w:rPr>
          <w:b/>
          <w:bCs/>
          <w:u w:val="single"/>
        </w:rPr>
      </w:pPr>
      <w:r w:rsidRPr="00657945">
        <w:rPr>
          <w:b/>
          <w:bCs/>
          <w:u w:val="single"/>
        </w:rPr>
        <w:t>Commission Determination</w:t>
      </w:r>
    </w:p>
    <w:p w:rsidR="00A94728" w:rsidRPr="00395600" w:rsidP="00A94728" w14:paraId="2B0718E6" w14:textId="7BBB1F45">
      <w:pPr>
        <w:pStyle w:val="FERCparanumber"/>
      </w:pPr>
      <w:r>
        <w:t xml:space="preserve">We decline to expand the final rule as Public Citizen requests.  The NOPR did not propose reforms related to these issues raised by Public Citizen.  </w:t>
      </w:r>
      <w:r w:rsidRPr="00F847FE">
        <w:t xml:space="preserve">The final rule is </w:t>
      </w:r>
      <w:r>
        <w:t xml:space="preserve">intended to improve the efficiency of general NGA section 4 rate cases, </w:t>
      </w:r>
      <w:r w:rsidRPr="00F847FE">
        <w:t xml:space="preserve">not to </w:t>
      </w:r>
      <w:r w:rsidR="00C84A53">
        <w:t>revise</w:t>
      </w:r>
      <w:r w:rsidRPr="00F847FE" w:rsidR="00C84A53">
        <w:t xml:space="preserve"> </w:t>
      </w:r>
      <w:r>
        <w:t>separate and unrelated</w:t>
      </w:r>
      <w:r w:rsidRPr="00F847FE">
        <w:t xml:space="preserve"> reporting requirements already set forth in the Commission</w:t>
      </w:r>
      <w:r>
        <w:t>’</w:t>
      </w:r>
      <w:r w:rsidRPr="00F847FE">
        <w:t>s regulations.</w:t>
      </w:r>
      <w:r>
        <w:t xml:space="preserve">  Therefore, </w:t>
      </w:r>
      <w:r w:rsidRPr="00F847FE">
        <w:t xml:space="preserve">Public Citizen’s concerns are </w:t>
      </w:r>
      <w:r>
        <w:t xml:space="preserve">outside the </w:t>
      </w:r>
      <w:r w:rsidRPr="00F847FE">
        <w:t>scope of this proceeding</w:t>
      </w:r>
      <w:r>
        <w:t xml:space="preserve"> and </w:t>
      </w:r>
      <w:r w:rsidR="009F6DA9">
        <w:t>we decline to address them at this time</w:t>
      </w:r>
      <w:r w:rsidRPr="00F847FE">
        <w:t>.</w:t>
      </w:r>
    </w:p>
    <w:p w:rsidR="00F9403B" w:rsidP="001273BE" w14:paraId="45858070" w14:textId="77777777">
      <w:pPr>
        <w:pStyle w:val="Heading1"/>
        <w:numPr>
          <w:ilvl w:val="0"/>
          <w:numId w:val="45"/>
        </w:numPr>
        <w:spacing w:after="0" w:line="480" w:lineRule="auto"/>
      </w:pPr>
      <w:r w:rsidRPr="00395600">
        <w:t>Information Collection Statement</w:t>
      </w:r>
    </w:p>
    <w:p w:rsidR="00C61A95" w:rsidRPr="00865AEB" w:rsidP="00C61A95" w14:paraId="47386AA5" w14:textId="16FEC7BE">
      <w:pPr>
        <w:pStyle w:val="FERCparanumber"/>
      </w:pPr>
      <w:r w:rsidRPr="00865AEB">
        <w:t xml:space="preserve">The information collection requirements contained in this </w:t>
      </w:r>
      <w:r w:rsidR="001443D1">
        <w:t>final rule</w:t>
      </w:r>
      <w:r w:rsidR="000C354D">
        <w:t xml:space="preserve"> </w:t>
      </w:r>
      <w:r w:rsidRPr="00865AEB">
        <w:t>are subject to review by the Office of Management and Budget (OMB) under section 3507(d) of the Paperwork Reduction Act of 1995.</w:t>
      </w:r>
      <w:r>
        <w:rPr>
          <w:b/>
          <w:vertAlign w:val="superscript"/>
        </w:rPr>
        <w:footnoteReference w:id="49"/>
      </w:r>
      <w:r w:rsidRPr="00865AEB">
        <w:t xml:space="preserve">  OMB’s regulations require approval of certain </w:t>
      </w:r>
      <w:r w:rsidRPr="00865AEB">
        <w:t>information collection requirements imposed by agency rules.</w:t>
      </w:r>
      <w:r>
        <w:rPr>
          <w:b/>
          <w:vertAlign w:val="superscript"/>
        </w:rPr>
        <w:footnoteReference w:id="50"/>
      </w:r>
      <w:r w:rsidRPr="009621E6">
        <w:rPr>
          <w:b/>
        </w:rPr>
        <w:t xml:space="preserve"> </w:t>
      </w:r>
      <w:r w:rsidRPr="005C31DD">
        <w:t xml:space="preserve"> </w:t>
      </w:r>
      <w:r w:rsidRPr="00865AEB">
        <w:t>Upon approval of a collection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w:t>
      </w:r>
    </w:p>
    <w:p w:rsidR="00C61A95" w:rsidP="00C61A95" w14:paraId="3A92E7CB" w14:textId="3F321250">
      <w:pPr>
        <w:pStyle w:val="FERCparanumber"/>
      </w:pPr>
      <w:r>
        <w:t xml:space="preserve">This </w:t>
      </w:r>
      <w:r w:rsidR="001443D1">
        <w:t>f</w:t>
      </w:r>
      <w:r>
        <w:t xml:space="preserve">inal </w:t>
      </w:r>
      <w:r w:rsidR="001443D1">
        <w:t>r</w:t>
      </w:r>
      <w:r>
        <w:t>ule modif</w:t>
      </w:r>
      <w:r w:rsidR="00A15F2D">
        <w:t>ies</w:t>
      </w:r>
      <w:r>
        <w:t xml:space="preserve"> the currently approved information collection associated with FERC-545, </w:t>
      </w:r>
      <w:r w:rsidRPr="00496DBF">
        <w:t xml:space="preserve">Gas Pipeline Rates: </w:t>
      </w:r>
      <w:r w:rsidR="00765EE4">
        <w:t xml:space="preserve"> </w:t>
      </w:r>
      <w:r w:rsidRPr="00496DBF">
        <w:t xml:space="preserve">Rate Change (Non-Formal) (OMB Control </w:t>
      </w:r>
      <w:r w:rsidR="00765EE4">
        <w:br/>
      </w:r>
      <w:r w:rsidRPr="00496DBF">
        <w:t>No. 1902-0154) (FERC-545) </w:t>
      </w:r>
      <w:r>
        <w:t xml:space="preserve">by updating the requirements for submitting a rate case under section 4 of the NGA. </w:t>
      </w:r>
    </w:p>
    <w:p w:rsidR="00C61A95" w:rsidRPr="00486DD1" w:rsidP="00765EE4" w14:paraId="37580767" w14:textId="04515B94">
      <w:pPr>
        <w:pStyle w:val="FERCparanumber"/>
        <w:ind w:right="-450"/>
      </w:pPr>
      <w:r w:rsidRPr="00486DD1">
        <w:t xml:space="preserve">Interested persons may obtain information on the reporting requirements by contacting Ellen Brown, Office of the Executive Director, Federal Energy Regulatory Commission, </w:t>
      </w:r>
      <w:r w:rsidR="00765EE4">
        <w:t xml:space="preserve">    </w:t>
      </w:r>
      <w:r w:rsidRPr="00486DD1">
        <w:t>888 First Street, NE, Washington, DC  20426 via email (</w:t>
      </w:r>
      <w:r w:rsidRPr="00765EE4">
        <w:t>DataClearance@ferc.gov</w:t>
      </w:r>
      <w:r w:rsidRPr="00486DD1">
        <w:t>) or telephone (202) 502-8663).</w:t>
      </w:r>
    </w:p>
    <w:p w:rsidR="00C61A95" w:rsidRPr="00FE11A4" w:rsidP="00C61A95" w14:paraId="32FFE124" w14:textId="3D3EB477">
      <w:pPr>
        <w:pStyle w:val="FERCparanumber"/>
      </w:pPr>
      <w:r w:rsidRPr="00FE11A4">
        <w:t>In the NOPR, t</w:t>
      </w:r>
      <w:r w:rsidRPr="00FE11A4">
        <w:t>he Commission solicit</w:t>
      </w:r>
      <w:r w:rsidRPr="00FE11A4">
        <w:t>ed</w:t>
      </w:r>
      <w:r w:rsidRPr="00FE11A4">
        <w:t xml:space="preserve">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C61A95" w:rsidP="00C61A95" w14:paraId="56D92447" w14:textId="19AFCD7B">
      <w:pPr>
        <w:pStyle w:val="FERCparanumber"/>
      </w:pPr>
      <w:r w:rsidRPr="00F55810">
        <w:rPr>
          <w:u w:val="single"/>
        </w:rPr>
        <w:t>Title</w:t>
      </w:r>
      <w:r>
        <w:t>:  Gas Pipeline Rates: Rate Change (Non-Formal)</w:t>
      </w:r>
    </w:p>
    <w:p w:rsidR="00C61A95" w:rsidP="00CA5784" w14:paraId="6351936E" w14:textId="42816A84">
      <w:pPr>
        <w:pStyle w:val="FERCparanumber"/>
        <w:ind w:right="-270"/>
      </w:pPr>
      <w:r w:rsidRPr="00F55810">
        <w:rPr>
          <w:u w:val="single"/>
        </w:rPr>
        <w:t>Action</w:t>
      </w:r>
      <w:r>
        <w:t>:  Modification of collection of information in accordance with RM21-18-000.</w:t>
      </w:r>
    </w:p>
    <w:p w:rsidR="00C61A95" w:rsidP="00C61A95" w14:paraId="4B91C26B" w14:textId="77777777">
      <w:pPr>
        <w:pStyle w:val="FERCparanumber"/>
      </w:pPr>
      <w:r w:rsidRPr="00F55810">
        <w:rPr>
          <w:u w:val="single"/>
        </w:rPr>
        <w:t>OMB Control N</w:t>
      </w:r>
      <w:r>
        <w:rPr>
          <w:u w:val="single"/>
        </w:rPr>
        <w:t>o</w:t>
      </w:r>
      <w:r w:rsidRPr="00F55810">
        <w:rPr>
          <w:u w:val="single"/>
        </w:rPr>
        <w:t>.</w:t>
      </w:r>
      <w:r>
        <w:t xml:space="preserve">:  </w:t>
      </w:r>
      <w:r w:rsidRPr="002258EE">
        <w:t>1902-0154</w:t>
      </w:r>
    </w:p>
    <w:p w:rsidR="00C61A95" w:rsidP="00D97468" w14:paraId="31DC6C72" w14:textId="77777777">
      <w:pPr>
        <w:pStyle w:val="FERCparanumber"/>
        <w:ind w:right="-180"/>
      </w:pPr>
      <w:r w:rsidRPr="00F55810">
        <w:rPr>
          <w:u w:val="single"/>
        </w:rPr>
        <w:t>Respondents for this Rulemaking</w:t>
      </w:r>
      <w:r>
        <w:t>:  Gas pipelines filing an NGA section 4 rate case.</w:t>
      </w:r>
    </w:p>
    <w:p w:rsidR="00C61A95" w:rsidP="00C61A95" w14:paraId="703928A1" w14:textId="043E4356">
      <w:pPr>
        <w:pStyle w:val="FERCparanumber"/>
      </w:pPr>
      <w:r w:rsidRPr="00F55810">
        <w:rPr>
          <w:u w:val="single"/>
        </w:rPr>
        <w:t>Frequency of Information Collection</w:t>
      </w:r>
      <w:r>
        <w:t>:  As needed for section 4 rate cases.</w:t>
      </w:r>
    </w:p>
    <w:p w:rsidR="00C61A95" w:rsidP="00C61A95" w14:paraId="5BD892CF" w14:textId="2B1A663A">
      <w:pPr>
        <w:pStyle w:val="FERCparanumber"/>
      </w:pPr>
      <w:r w:rsidRPr="00F55810">
        <w:rPr>
          <w:u w:val="single"/>
        </w:rPr>
        <w:t>Necessity of Information</w:t>
      </w:r>
      <w:r>
        <w:t>: Th</w:t>
      </w:r>
      <w:r w:rsidR="00CF7BA4">
        <w:t>is</w:t>
      </w:r>
      <w:r>
        <w:t xml:space="preserve"> </w:t>
      </w:r>
      <w:r w:rsidR="001443D1">
        <w:t>f</w:t>
      </w:r>
      <w:r>
        <w:t xml:space="preserve">inal </w:t>
      </w:r>
      <w:r w:rsidR="001443D1">
        <w:t>r</w:t>
      </w:r>
      <w:r>
        <w:t>ule require</w:t>
      </w:r>
      <w:r w:rsidR="00CF7BA4">
        <w:t>s</w:t>
      </w:r>
      <w:r>
        <w:t xml:space="preserve"> all statements, schedules and workpapers submitted during a section 4 rate case to be submitted in native format with all links and formulas intact.  The modification to this collection is intended to reduce the overall burden for all </w:t>
      </w:r>
      <w:r w:rsidR="003F6D81">
        <w:t>rate case participants</w:t>
      </w:r>
      <w:r>
        <w:t xml:space="preserve"> involved in a section 4 rate case.  </w:t>
      </w:r>
    </w:p>
    <w:p w:rsidR="00C61A95" w:rsidP="00C61A95" w14:paraId="1E8505D0" w14:textId="77777777">
      <w:pPr>
        <w:pStyle w:val="FERCparanumber"/>
      </w:pPr>
      <w:r w:rsidRPr="00F55810">
        <w:rPr>
          <w:u w:val="single"/>
        </w:rPr>
        <w:t>Internal Review</w:t>
      </w:r>
      <w:r>
        <w:t>:  The Commission has reviewed the changes and has determined that such changes are necessary.  These requirements conform to the Commission’s need for efficient information collection, communication, and management within the energy industry.  The Commission has specific, objective support for the burden estimates associated with the information collection requirements.</w:t>
      </w:r>
    </w:p>
    <w:p w:rsidR="00C61A95" w:rsidP="00C61A95" w14:paraId="703CC4A4" w14:textId="55517647">
      <w:pPr>
        <w:pStyle w:val="FERCparanumber"/>
      </w:pPr>
      <w:r>
        <w:t xml:space="preserve">The Commission estimates that the </w:t>
      </w:r>
      <w:r w:rsidR="001443D1">
        <w:t>f</w:t>
      </w:r>
      <w:r>
        <w:t xml:space="preserve">inal </w:t>
      </w:r>
      <w:r w:rsidR="001443D1">
        <w:t>r</w:t>
      </w:r>
      <w:r>
        <w:t>ule will affect the burden</w:t>
      </w:r>
      <w:r>
        <w:rPr>
          <w:b/>
          <w:vertAlign w:val="superscript"/>
        </w:rPr>
        <w:footnoteReference w:id="51"/>
      </w:r>
      <w:r>
        <w:t xml:space="preserve"> and cost</w:t>
      </w:r>
      <w:r>
        <w:rPr>
          <w:b/>
          <w:vertAlign w:val="superscript"/>
        </w:rPr>
        <w:footnoteReference w:id="52"/>
      </w:r>
      <w:r>
        <w:t xml:space="preserve"> as follows:</w:t>
      </w:r>
    </w:p>
    <w:tbl>
      <w:tblPr>
        <w:tblStyle w:val="TableGrid1"/>
        <w:tblW w:w="0" w:type="auto"/>
        <w:tblInd w:w="0" w:type="dxa"/>
        <w:tblLayout w:type="fixed"/>
        <w:tblLook w:val="04A0"/>
      </w:tblPr>
      <w:tblGrid>
        <w:gridCol w:w="1795"/>
        <w:gridCol w:w="1530"/>
        <w:gridCol w:w="1440"/>
        <w:gridCol w:w="1440"/>
        <w:gridCol w:w="1260"/>
        <w:gridCol w:w="1885"/>
      </w:tblGrid>
      <w:tr w14:paraId="428BE6BC" w14:textId="77777777" w:rsidTr="00045C9A">
        <w:tblPrEx>
          <w:tblW w:w="0" w:type="auto"/>
          <w:tblInd w:w="0" w:type="dxa"/>
          <w:tblLayout w:type="fixed"/>
          <w:tblLook w:val="04A0"/>
        </w:tblPrEx>
        <w:trPr>
          <w:trHeight w:val="143"/>
        </w:trPr>
        <w:tc>
          <w:tcPr>
            <w:tcW w:w="935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1A95" w:rsidP="00045C9A" w14:paraId="6650BDBD" w14:textId="182A15E4">
            <w:pPr>
              <w:jc w:val="center"/>
              <w:rPr>
                <w:b/>
                <w:bCs/>
              </w:rPr>
            </w:pPr>
            <w:r>
              <w:rPr>
                <w:b/>
                <w:bCs/>
              </w:rPr>
              <w:t>Modifications to FERC 545 from Final Rule in Docket No. RM21-18-000</w:t>
            </w:r>
          </w:p>
        </w:tc>
      </w:tr>
      <w:tr w14:paraId="4B020B0B" w14:textId="77777777" w:rsidTr="00045C9A">
        <w:tblPrEx>
          <w:tblW w:w="0" w:type="auto"/>
          <w:tblInd w:w="0" w:type="dxa"/>
          <w:tblLayout w:type="fixed"/>
          <w:tblLook w:val="04A0"/>
        </w:tblPrEx>
        <w:trPr>
          <w:trHeight w:val="197"/>
        </w:trPr>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1A95" w:rsidP="00045C9A" w14:paraId="0C1F836E" w14:textId="77777777">
            <w:pPr>
              <w:widowControl/>
              <w:jc w:val="center"/>
              <w:rPr>
                <w:rFonts w:eastAsia="Calibri"/>
                <w:b/>
                <w:bCs/>
                <w:sz w:val="24"/>
              </w:rPr>
            </w:pPr>
            <w:r>
              <w:rPr>
                <w:rFonts w:eastAsia="Calibri"/>
                <w:b/>
                <w:bCs/>
                <w:sz w:val="24"/>
              </w:rPr>
              <w:t>A.</w:t>
            </w:r>
          </w:p>
          <w:p w:rsidR="00C61A95" w:rsidP="00045C9A" w14:paraId="3001D13A" w14:textId="77777777">
            <w:pPr>
              <w:widowControl/>
              <w:jc w:val="center"/>
              <w:rPr>
                <w:rFonts w:eastAsia="Calibri"/>
                <w:b/>
                <w:bCs/>
                <w:sz w:val="24"/>
              </w:rPr>
            </w:pPr>
            <w:r>
              <w:rPr>
                <w:rFonts w:eastAsia="Calibri"/>
                <w:b/>
                <w:bCs/>
                <w:sz w:val="24"/>
              </w:rPr>
              <w:t>Area of Modification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1A95" w:rsidP="00045C9A" w14:paraId="50C475BC" w14:textId="77777777">
            <w:pPr>
              <w:widowControl/>
              <w:jc w:val="center"/>
              <w:rPr>
                <w:rFonts w:eastAsia="Calibri"/>
                <w:b/>
                <w:bCs/>
                <w:sz w:val="24"/>
              </w:rPr>
            </w:pPr>
            <w:r>
              <w:rPr>
                <w:rFonts w:eastAsia="Calibri"/>
                <w:b/>
                <w:bCs/>
                <w:sz w:val="24"/>
              </w:rPr>
              <w:t>B.</w:t>
            </w:r>
          </w:p>
          <w:p w:rsidR="00C61A95" w:rsidP="00045C9A" w14:paraId="1BE59B12" w14:textId="77777777">
            <w:pPr>
              <w:widowControl/>
              <w:jc w:val="center"/>
              <w:rPr>
                <w:rFonts w:eastAsia="Calibri"/>
                <w:b/>
                <w:bCs/>
                <w:sz w:val="24"/>
              </w:rPr>
            </w:pPr>
            <w:r>
              <w:rPr>
                <w:rFonts w:eastAsia="Calibri"/>
                <w:b/>
                <w:bCs/>
                <w:sz w:val="24"/>
              </w:rPr>
              <w:t>Number of Respondents</w:t>
            </w:r>
          </w:p>
          <w:p w:rsidR="00C61A95" w:rsidP="00045C9A" w14:paraId="527AB8FC" w14:textId="77777777">
            <w:pPr>
              <w:widowControl/>
              <w:jc w:val="center"/>
              <w:rPr>
                <w:rFonts w:eastAsia="Calibri"/>
                <w:b/>
                <w:bCs/>
                <w:sz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1A95" w:rsidP="00045C9A" w14:paraId="49178545" w14:textId="77777777">
            <w:pPr>
              <w:widowControl/>
              <w:jc w:val="center"/>
              <w:rPr>
                <w:rFonts w:eastAsia="Calibri"/>
                <w:b/>
                <w:bCs/>
                <w:sz w:val="24"/>
              </w:rPr>
            </w:pPr>
            <w:r>
              <w:rPr>
                <w:rFonts w:eastAsia="Calibri"/>
                <w:b/>
                <w:bCs/>
                <w:sz w:val="24"/>
              </w:rPr>
              <w:t>C.</w:t>
            </w:r>
          </w:p>
          <w:p w:rsidR="00C61A95" w:rsidP="00045C9A" w14:paraId="26608D39" w14:textId="77777777">
            <w:pPr>
              <w:widowControl/>
              <w:jc w:val="center"/>
              <w:rPr>
                <w:rFonts w:eastAsia="Calibri"/>
                <w:b/>
                <w:bCs/>
                <w:sz w:val="24"/>
              </w:rPr>
            </w:pPr>
            <w:r>
              <w:rPr>
                <w:rFonts w:eastAsia="Calibri"/>
                <w:b/>
                <w:bCs/>
                <w:sz w:val="24"/>
              </w:rPr>
              <w:t>Annual Estimated Number of Responses per Respondent</w:t>
            </w:r>
          </w:p>
          <w:p w:rsidR="00C61A95" w:rsidP="00045C9A" w14:paraId="61167F6C" w14:textId="77777777">
            <w:pPr>
              <w:widowControl/>
              <w:jc w:val="center"/>
              <w:rPr>
                <w:rFonts w:eastAsia="Calibri"/>
                <w:b/>
                <w:bCs/>
                <w:sz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1A95" w:rsidP="00045C9A" w14:paraId="37234985" w14:textId="77777777">
            <w:pPr>
              <w:widowControl/>
              <w:jc w:val="center"/>
              <w:rPr>
                <w:rFonts w:eastAsia="Calibri"/>
                <w:b/>
                <w:bCs/>
                <w:sz w:val="24"/>
              </w:rPr>
            </w:pPr>
            <w:r>
              <w:rPr>
                <w:rFonts w:eastAsia="Calibri"/>
                <w:b/>
                <w:bCs/>
                <w:sz w:val="24"/>
              </w:rPr>
              <w:t>D.</w:t>
            </w:r>
          </w:p>
          <w:p w:rsidR="00C61A95" w:rsidP="00045C9A" w14:paraId="5FC853BF" w14:textId="77777777">
            <w:pPr>
              <w:widowControl/>
              <w:jc w:val="center"/>
              <w:rPr>
                <w:rFonts w:eastAsia="Calibri"/>
                <w:b/>
                <w:bCs/>
                <w:sz w:val="24"/>
              </w:rPr>
            </w:pPr>
            <w:r>
              <w:rPr>
                <w:rFonts w:eastAsia="Calibri"/>
                <w:b/>
                <w:bCs/>
                <w:sz w:val="24"/>
              </w:rPr>
              <w:t>Annual Estimated Number of Responses</w:t>
            </w:r>
          </w:p>
          <w:p w:rsidR="00C61A95" w:rsidP="00045C9A" w14:paraId="2341BDD3" w14:textId="77777777">
            <w:pPr>
              <w:widowControl/>
              <w:jc w:val="center"/>
              <w:rPr>
                <w:rFonts w:eastAsia="Calibri"/>
                <w:b/>
                <w:bCs/>
                <w:sz w:val="24"/>
              </w:rPr>
            </w:pPr>
            <w:r>
              <w:rPr>
                <w:rFonts w:eastAsia="Calibri"/>
                <w:b/>
                <w:bCs/>
                <w:sz w:val="24"/>
              </w:rPr>
              <w:t>(Column B X Column C)</w:t>
            </w:r>
          </w:p>
          <w:p w:rsidR="00C61A95" w:rsidP="00045C9A" w14:paraId="2C1C0FA9" w14:textId="77777777">
            <w:pPr>
              <w:widowControl/>
              <w:jc w:val="center"/>
              <w:rPr>
                <w:rFonts w:eastAsia="Calibri"/>
                <w:b/>
                <w:bCs/>
                <w:sz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1A95" w:rsidP="00045C9A" w14:paraId="4B918F39" w14:textId="77777777">
            <w:pPr>
              <w:widowControl/>
              <w:jc w:val="center"/>
              <w:rPr>
                <w:rFonts w:eastAsia="Calibri"/>
                <w:b/>
                <w:bCs/>
                <w:sz w:val="24"/>
              </w:rPr>
            </w:pPr>
            <w:r>
              <w:rPr>
                <w:rFonts w:eastAsia="Calibri"/>
                <w:b/>
                <w:bCs/>
                <w:sz w:val="24"/>
              </w:rPr>
              <w:t>E.</w:t>
            </w:r>
          </w:p>
          <w:p w:rsidR="00C61A95" w:rsidP="00045C9A" w14:paraId="2A306CD4" w14:textId="77777777">
            <w:pPr>
              <w:widowControl/>
              <w:jc w:val="center"/>
              <w:rPr>
                <w:rFonts w:eastAsia="Calibri"/>
                <w:b/>
                <w:bCs/>
                <w:sz w:val="24"/>
              </w:rPr>
            </w:pPr>
            <w:r>
              <w:rPr>
                <w:rFonts w:eastAsia="Calibri"/>
                <w:b/>
                <w:bCs/>
                <w:sz w:val="24"/>
              </w:rPr>
              <w:t>Average Burden Hours &amp; Cost per Response</w:t>
            </w:r>
          </w:p>
          <w:p w:rsidR="00C61A95" w:rsidP="00045C9A" w14:paraId="1ECBC2CE" w14:textId="77777777">
            <w:pPr>
              <w:widowControl/>
              <w:jc w:val="center"/>
              <w:rPr>
                <w:rFonts w:eastAsia="Calibri"/>
                <w:b/>
                <w:bCs/>
                <w:sz w:val="24"/>
              </w:rPr>
            </w:pP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61A95" w:rsidP="00045C9A" w14:paraId="09FD1EBF" w14:textId="77777777">
            <w:pPr>
              <w:widowControl/>
              <w:jc w:val="center"/>
              <w:rPr>
                <w:rFonts w:eastAsia="Calibri"/>
                <w:b/>
                <w:bCs/>
                <w:sz w:val="24"/>
              </w:rPr>
            </w:pPr>
            <w:r>
              <w:rPr>
                <w:rFonts w:eastAsia="Calibri"/>
                <w:b/>
                <w:bCs/>
                <w:sz w:val="24"/>
              </w:rPr>
              <w:t>F.</w:t>
            </w:r>
          </w:p>
          <w:p w:rsidR="00C61A95" w:rsidP="00045C9A" w14:paraId="4E914AEB" w14:textId="77777777">
            <w:pPr>
              <w:widowControl/>
              <w:jc w:val="center"/>
              <w:rPr>
                <w:rFonts w:eastAsia="Calibri"/>
                <w:b/>
                <w:bCs/>
                <w:sz w:val="24"/>
              </w:rPr>
            </w:pPr>
            <w:r>
              <w:rPr>
                <w:rFonts w:eastAsia="Calibri"/>
                <w:b/>
                <w:bCs/>
                <w:sz w:val="24"/>
              </w:rPr>
              <w:t>Total Estimated Burden Hours &amp; Total Estimated Cost</w:t>
            </w:r>
          </w:p>
          <w:p w:rsidR="00C61A95" w:rsidP="00045C9A" w14:paraId="36F408CA" w14:textId="77777777">
            <w:pPr>
              <w:widowControl/>
              <w:jc w:val="center"/>
              <w:rPr>
                <w:rFonts w:eastAsia="Calibri"/>
                <w:b/>
                <w:bCs/>
                <w:sz w:val="24"/>
              </w:rPr>
            </w:pPr>
            <w:r>
              <w:rPr>
                <w:rFonts w:eastAsia="Calibri"/>
                <w:b/>
                <w:bCs/>
                <w:sz w:val="24"/>
              </w:rPr>
              <w:t>(Column D x Column E)</w:t>
            </w:r>
          </w:p>
        </w:tc>
      </w:tr>
      <w:tr w14:paraId="324F660D" w14:textId="77777777" w:rsidTr="00045C9A">
        <w:tblPrEx>
          <w:tblW w:w="0" w:type="auto"/>
          <w:tblInd w:w="0" w:type="dxa"/>
          <w:tblLayout w:type="fixed"/>
          <w:tblLook w:val="04A0"/>
        </w:tblPrEx>
        <w:trPr>
          <w:trHeight w:val="197"/>
        </w:trPr>
        <w:tc>
          <w:tcPr>
            <w:tcW w:w="935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61A95" w:rsidP="00045C9A" w14:paraId="286E80C9" w14:textId="77777777">
            <w:pPr>
              <w:widowControl/>
              <w:jc w:val="center"/>
              <w:rPr>
                <w:rFonts w:eastAsia="Calibri"/>
                <w:b/>
                <w:bCs/>
                <w:sz w:val="24"/>
              </w:rPr>
            </w:pPr>
            <w:r>
              <w:rPr>
                <w:rFonts w:eastAsia="Calibri"/>
                <w:b/>
                <w:bCs/>
                <w:sz w:val="24"/>
              </w:rPr>
              <w:t>Section 4 Rate Case</w:t>
            </w:r>
          </w:p>
        </w:tc>
      </w:tr>
    </w:tbl>
    <w:tbl>
      <w:tblPr>
        <w:tblW w:w="9345" w:type="dxa"/>
        <w:tblInd w:w="5" w:type="dxa"/>
        <w:tblLayout w:type="fixed"/>
        <w:tblLook w:val="04A0"/>
      </w:tblPr>
      <w:tblGrid>
        <w:gridCol w:w="1790"/>
        <w:gridCol w:w="1529"/>
        <w:gridCol w:w="1439"/>
        <w:gridCol w:w="1439"/>
        <w:gridCol w:w="1259"/>
        <w:gridCol w:w="1889"/>
      </w:tblGrid>
      <w:tr w14:paraId="65661787" w14:textId="77777777" w:rsidTr="00045C9A">
        <w:tblPrEx>
          <w:tblW w:w="9345" w:type="dxa"/>
          <w:tblInd w:w="5" w:type="dxa"/>
          <w:tblLayout w:type="fixed"/>
          <w:tblLook w:val="04A0"/>
        </w:tblPrEx>
        <w:trPr>
          <w:trHeight w:val="2115"/>
        </w:trPr>
        <w:tc>
          <w:tcPr>
            <w:tcW w:w="1790" w:type="dxa"/>
            <w:tcBorders>
              <w:top w:val="nil"/>
              <w:left w:val="single" w:sz="4" w:space="0" w:color="auto"/>
              <w:bottom w:val="single" w:sz="4" w:space="0" w:color="auto"/>
              <w:right w:val="single" w:sz="4" w:space="0" w:color="auto"/>
            </w:tcBorders>
            <w:vAlign w:val="center"/>
            <w:hideMark/>
          </w:tcPr>
          <w:p w:rsidR="00C61A95" w:rsidP="00045C9A" w14:paraId="2B0AE20E" w14:textId="77777777">
            <w:pPr>
              <w:widowControl/>
              <w:spacing w:after="160" w:line="256" w:lineRule="auto"/>
              <w:rPr>
                <w:rFonts w:eastAsia="Times New Roman"/>
                <w:color w:val="000000"/>
                <w:sz w:val="24"/>
                <w:szCs w:val="26"/>
              </w:rPr>
            </w:pPr>
            <w:r>
              <w:rPr>
                <w:rFonts w:eastAsia="Times New Roman"/>
                <w:color w:val="000000"/>
                <w:sz w:val="24"/>
                <w:szCs w:val="26"/>
              </w:rPr>
              <w:t>FERC 545: Annual Section 4 Rate Cases</w:t>
            </w:r>
          </w:p>
        </w:tc>
        <w:tc>
          <w:tcPr>
            <w:tcW w:w="1529" w:type="dxa"/>
            <w:tcBorders>
              <w:top w:val="nil"/>
              <w:left w:val="nil"/>
              <w:bottom w:val="single" w:sz="4" w:space="0" w:color="auto"/>
              <w:right w:val="single" w:sz="4" w:space="0" w:color="auto"/>
            </w:tcBorders>
            <w:vAlign w:val="center"/>
            <w:hideMark/>
          </w:tcPr>
          <w:p w:rsidR="00C61A95" w:rsidP="00045C9A" w14:paraId="5B8F0B0D" w14:textId="77777777">
            <w:pPr>
              <w:widowControl/>
              <w:spacing w:after="160" w:line="256" w:lineRule="auto"/>
              <w:jc w:val="right"/>
              <w:rPr>
                <w:rFonts w:eastAsia="Times New Roman"/>
                <w:color w:val="000000"/>
                <w:sz w:val="24"/>
                <w:szCs w:val="26"/>
              </w:rPr>
            </w:pPr>
            <w:r>
              <w:rPr>
                <w:rFonts w:eastAsia="Times New Roman"/>
                <w:color w:val="000000"/>
                <w:sz w:val="24"/>
                <w:szCs w:val="26"/>
              </w:rPr>
              <w:t>8</w:t>
            </w:r>
          </w:p>
        </w:tc>
        <w:tc>
          <w:tcPr>
            <w:tcW w:w="1439" w:type="dxa"/>
            <w:tcBorders>
              <w:top w:val="nil"/>
              <w:left w:val="nil"/>
              <w:bottom w:val="single" w:sz="4" w:space="0" w:color="auto"/>
              <w:right w:val="single" w:sz="4" w:space="0" w:color="auto"/>
            </w:tcBorders>
            <w:vAlign w:val="center"/>
            <w:hideMark/>
          </w:tcPr>
          <w:p w:rsidR="00C61A95" w:rsidP="00045C9A" w14:paraId="19A7D501" w14:textId="77777777">
            <w:pPr>
              <w:widowControl/>
              <w:spacing w:after="160" w:line="256" w:lineRule="auto"/>
              <w:jc w:val="right"/>
              <w:rPr>
                <w:rFonts w:eastAsia="Times New Roman"/>
                <w:color w:val="000000"/>
                <w:sz w:val="24"/>
                <w:szCs w:val="26"/>
              </w:rPr>
            </w:pPr>
            <w:r>
              <w:rPr>
                <w:rFonts w:eastAsia="Times New Roman"/>
                <w:color w:val="000000"/>
                <w:sz w:val="24"/>
                <w:szCs w:val="26"/>
              </w:rPr>
              <w:t>1</w:t>
            </w:r>
          </w:p>
        </w:tc>
        <w:tc>
          <w:tcPr>
            <w:tcW w:w="1439" w:type="dxa"/>
            <w:tcBorders>
              <w:top w:val="nil"/>
              <w:left w:val="single" w:sz="4" w:space="0" w:color="auto"/>
              <w:bottom w:val="single" w:sz="4" w:space="0" w:color="auto"/>
              <w:right w:val="single" w:sz="4" w:space="0" w:color="auto"/>
            </w:tcBorders>
            <w:vAlign w:val="center"/>
            <w:hideMark/>
          </w:tcPr>
          <w:p w:rsidR="00C61A95" w:rsidP="00045C9A" w14:paraId="56A354B0" w14:textId="77777777">
            <w:pPr>
              <w:widowControl/>
              <w:spacing w:after="160" w:line="256" w:lineRule="auto"/>
              <w:jc w:val="right"/>
              <w:rPr>
                <w:rFonts w:eastAsia="Times New Roman"/>
                <w:color w:val="000000"/>
                <w:sz w:val="24"/>
                <w:szCs w:val="26"/>
              </w:rPr>
            </w:pPr>
            <w:r>
              <w:rPr>
                <w:rFonts w:eastAsia="Times New Roman"/>
                <w:color w:val="000000"/>
                <w:sz w:val="24"/>
                <w:szCs w:val="26"/>
              </w:rPr>
              <w:t>8</w:t>
            </w:r>
          </w:p>
        </w:tc>
        <w:tc>
          <w:tcPr>
            <w:tcW w:w="1259" w:type="dxa"/>
            <w:tcBorders>
              <w:top w:val="nil"/>
              <w:left w:val="nil"/>
              <w:bottom w:val="single" w:sz="4" w:space="0" w:color="auto"/>
              <w:right w:val="single" w:sz="4" w:space="0" w:color="auto"/>
            </w:tcBorders>
            <w:vAlign w:val="center"/>
            <w:hideMark/>
          </w:tcPr>
          <w:p w:rsidR="00C61A95" w:rsidP="00045C9A" w14:paraId="52F4CF29" w14:textId="483BCE9A">
            <w:pPr>
              <w:widowControl/>
              <w:spacing w:after="160" w:line="256" w:lineRule="auto"/>
              <w:jc w:val="right"/>
              <w:rPr>
                <w:rFonts w:eastAsia="Times New Roman"/>
                <w:color w:val="000000"/>
                <w:sz w:val="24"/>
                <w:szCs w:val="26"/>
              </w:rPr>
            </w:pPr>
            <w:r>
              <w:rPr>
                <w:rFonts w:eastAsia="Times New Roman"/>
                <w:color w:val="000000"/>
                <w:sz w:val="24"/>
                <w:szCs w:val="26"/>
              </w:rPr>
              <w:t>100 hours; $</w:t>
            </w:r>
            <w:r w:rsidR="000A1230">
              <w:rPr>
                <w:rFonts w:eastAsia="Times New Roman"/>
                <w:color w:val="000000"/>
                <w:sz w:val="24"/>
                <w:szCs w:val="26"/>
              </w:rPr>
              <w:t>10,300</w:t>
            </w:r>
          </w:p>
        </w:tc>
        <w:tc>
          <w:tcPr>
            <w:tcW w:w="1889" w:type="dxa"/>
            <w:tcBorders>
              <w:top w:val="nil"/>
              <w:left w:val="nil"/>
              <w:bottom w:val="single" w:sz="4" w:space="0" w:color="auto"/>
              <w:right w:val="single" w:sz="4" w:space="0" w:color="auto"/>
            </w:tcBorders>
            <w:vAlign w:val="center"/>
            <w:hideMark/>
          </w:tcPr>
          <w:p w:rsidR="00C61A95" w:rsidRPr="003C0302" w:rsidP="00045C9A" w14:paraId="14BC2EF7" w14:textId="77777777">
            <w:pPr>
              <w:widowControl/>
              <w:spacing w:line="256" w:lineRule="auto"/>
              <w:jc w:val="right"/>
              <w:rPr>
                <w:rFonts w:eastAsia="Times New Roman"/>
                <w:color w:val="000000"/>
                <w:sz w:val="24"/>
                <w:szCs w:val="26"/>
              </w:rPr>
            </w:pPr>
            <w:r w:rsidRPr="003C0302">
              <w:rPr>
                <w:rFonts w:eastAsia="Times New Roman"/>
                <w:color w:val="000000"/>
                <w:sz w:val="24"/>
                <w:szCs w:val="26"/>
              </w:rPr>
              <w:t>800 h</w:t>
            </w:r>
            <w:r>
              <w:rPr>
                <w:rFonts w:eastAsia="Times New Roman"/>
                <w:color w:val="000000"/>
                <w:sz w:val="24"/>
                <w:szCs w:val="26"/>
              </w:rPr>
              <w:t>ours</w:t>
            </w:r>
            <w:r w:rsidRPr="003C0302">
              <w:rPr>
                <w:rFonts w:eastAsia="Times New Roman"/>
                <w:color w:val="000000"/>
                <w:sz w:val="24"/>
                <w:szCs w:val="26"/>
              </w:rPr>
              <w:t>;</w:t>
            </w:r>
          </w:p>
          <w:p w:rsidR="00C61A95" w:rsidP="00045C9A" w14:paraId="12626FC2" w14:textId="76647A77">
            <w:pPr>
              <w:widowControl/>
              <w:spacing w:after="100" w:afterAutospacing="1" w:line="256" w:lineRule="auto"/>
              <w:jc w:val="right"/>
              <w:rPr>
                <w:rFonts w:eastAsia="Times New Roman"/>
                <w:color w:val="000000"/>
                <w:sz w:val="24"/>
                <w:szCs w:val="26"/>
              </w:rPr>
            </w:pPr>
            <w:r>
              <w:rPr>
                <w:rFonts w:eastAsia="Times New Roman"/>
                <w:color w:val="000000"/>
                <w:sz w:val="24"/>
                <w:szCs w:val="26"/>
              </w:rPr>
              <w:t>$</w:t>
            </w:r>
            <w:r w:rsidR="000A1230">
              <w:rPr>
                <w:rFonts w:eastAsia="Times New Roman"/>
                <w:color w:val="000000"/>
                <w:sz w:val="24"/>
                <w:szCs w:val="26"/>
              </w:rPr>
              <w:t>82,400</w:t>
            </w:r>
          </w:p>
        </w:tc>
      </w:tr>
    </w:tbl>
    <w:p w:rsidR="00C61A95" w:rsidP="00C61A95" w14:paraId="18A17CC6" w14:textId="77777777">
      <w:pPr>
        <w:pStyle w:val="FERCparanumber"/>
        <w:numPr>
          <w:ilvl w:val="0"/>
          <w:numId w:val="0"/>
        </w:numPr>
        <w:tabs>
          <w:tab w:val="left" w:pos="720"/>
        </w:tabs>
      </w:pPr>
    </w:p>
    <w:p w:rsidR="00C61A95" w:rsidP="00C61A95" w14:paraId="063C6C89" w14:textId="2FD99A8A">
      <w:pPr>
        <w:pStyle w:val="FERCparanumber"/>
      </w:pPr>
      <w:bookmarkStart w:id="8" w:name="_Hlk54341558"/>
      <w:r>
        <w:t xml:space="preserve">For the purposes of estimating burden in this </w:t>
      </w:r>
      <w:r w:rsidR="001443D1">
        <w:t>f</w:t>
      </w:r>
      <w:r>
        <w:t xml:space="preserve">inal </w:t>
      </w:r>
      <w:r w:rsidR="001443D1">
        <w:t>r</w:t>
      </w:r>
      <w:r>
        <w:t xml:space="preserve">ule, in the table above, we conservatively estimate the annual total of general section 4 rate cases to be eight.  This number is higher than the Commission’s average number of section 4 rate cases, but we created our estimate to allow for </w:t>
      </w:r>
      <w:r w:rsidR="000D31B5">
        <w:t xml:space="preserve">potential </w:t>
      </w:r>
      <w:r>
        <w:t xml:space="preserve">additional rate case submissions.  </w:t>
      </w:r>
      <w:bookmarkEnd w:id="8"/>
    </w:p>
    <w:p w:rsidR="00C61A95" w:rsidRPr="00F33E3A" w:rsidP="00C61A95" w14:paraId="571C6483" w14:textId="3B4A71C1">
      <w:pPr>
        <w:pStyle w:val="FERCparanumber"/>
      </w:pPr>
      <w:r w:rsidRPr="00F33E3A">
        <w:t xml:space="preserve">FERC-545 is required to implement </w:t>
      </w:r>
      <w:r>
        <w:t xml:space="preserve">rates pursuant to </w:t>
      </w:r>
      <w:r w:rsidRPr="00F33E3A">
        <w:t>sections 4, 5, and 16 of NGA, (15 USC 717c</w:t>
      </w:r>
      <w:r>
        <w:t>&amp;</w:t>
      </w:r>
      <w:r w:rsidRPr="00F33E3A">
        <w:t xml:space="preserve"> 717o, PL 75 688, 52 Stat. 822 and 830).  NGA </w:t>
      </w:r>
      <w:r>
        <w:t>s</w:t>
      </w:r>
      <w:r w:rsidRPr="00F33E3A">
        <w:t xml:space="preserve">ections 4, 5, and </w:t>
      </w:r>
      <w:r>
        <w:t>1</w:t>
      </w:r>
      <w:r w:rsidRPr="00F33E3A">
        <w:t>6 authorize the Commission to inquire into rate structures and methodologies and to set rat</w:t>
      </w:r>
      <w:r w:rsidRPr="000262CA">
        <w:t xml:space="preserve">es at a just and reasonable level.  Specifically, a natural gas </w:t>
      </w:r>
      <w:r>
        <w:t xml:space="preserve">pipeline </w:t>
      </w:r>
      <w:r w:rsidRPr="000262CA">
        <w:t>must obtain Commission authorization for all rates and charges made, demanded, or received in connection with the transportation or sale of natural gas in interstate commerce.</w:t>
      </w:r>
      <w:r>
        <w:t xml:space="preserve">  The </w:t>
      </w:r>
      <w:r>
        <w:t xml:space="preserve">modification as described in this </w:t>
      </w:r>
      <w:r w:rsidR="001443D1">
        <w:t>f</w:t>
      </w:r>
      <w:r>
        <w:t xml:space="preserve">inal </w:t>
      </w:r>
      <w:r w:rsidR="001443D1">
        <w:t>r</w:t>
      </w:r>
      <w:r>
        <w:t>ule in Docket No. RM21-18-000 only impacts filings under section 4 of the NGA.  The collections associated with sections 5 and 16 remain unchanged.</w:t>
      </w:r>
    </w:p>
    <w:p w:rsidR="00F9403B" w:rsidRPr="00395600" w:rsidP="001273BE" w14:paraId="0187381B" w14:textId="77777777">
      <w:pPr>
        <w:pStyle w:val="Heading1"/>
        <w:numPr>
          <w:ilvl w:val="0"/>
          <w:numId w:val="45"/>
        </w:numPr>
        <w:spacing w:after="0" w:line="480" w:lineRule="auto"/>
      </w:pPr>
      <w:r w:rsidRPr="00395600">
        <w:t>Environmental Analysis</w:t>
      </w:r>
    </w:p>
    <w:p w:rsidR="00C61A95" w:rsidRPr="00B61165" w:rsidP="00C61A95" w14:paraId="38660A05" w14:textId="41E08F8E">
      <w:pPr>
        <w:pStyle w:val="FERCparanumber"/>
      </w:pPr>
      <w:r w:rsidRPr="00395600">
        <w:t>The Commission is required to prepare an Environmental Assessment or an Environmental Impact Statement for any action that may have a significant adverse effect on the human environment.</w:t>
      </w:r>
      <w:r>
        <w:rPr>
          <w:rStyle w:val="FootnoteReference"/>
        </w:rPr>
        <w:footnoteReference w:id="53"/>
      </w:r>
      <w:r w:rsidRPr="00395600">
        <w:t xml:space="preserve"> </w:t>
      </w:r>
      <w:r w:rsidR="00080981">
        <w:t xml:space="preserve"> </w:t>
      </w:r>
      <w:r w:rsidRPr="00596D8F">
        <w:t>The actions proposed to be taken here fall within categorical exclusions in the Commission</w:t>
      </w:r>
      <w:r>
        <w:t>’</w:t>
      </w:r>
      <w:r w:rsidRPr="00596D8F">
        <w:t>s regulations for rules regarding information gathering, analysis, and dissemination, and for rules regarding sales, exchange, and transportation of natural gas that require no construction of facilities.</w:t>
      </w:r>
      <w:r>
        <w:rPr>
          <w:rStyle w:val="FootnoteReference"/>
        </w:rPr>
        <w:footnoteReference w:id="54"/>
      </w:r>
      <w:r w:rsidRPr="00596D8F">
        <w:t xml:space="preserve">  Therefore, an environmental review is unnecessary and has not been prepared in this rulemaking.</w:t>
      </w:r>
    </w:p>
    <w:p w:rsidR="00F9403B" w:rsidRPr="00395600" w:rsidP="001273BE" w14:paraId="3B2CC727" w14:textId="77777777">
      <w:pPr>
        <w:pStyle w:val="Heading1"/>
        <w:numPr>
          <w:ilvl w:val="0"/>
          <w:numId w:val="45"/>
        </w:numPr>
        <w:spacing w:after="0" w:line="480" w:lineRule="auto"/>
      </w:pPr>
      <w:r w:rsidRPr="00395600">
        <w:t>Regulatory Flexibility Act</w:t>
      </w:r>
    </w:p>
    <w:p w:rsidR="001178CE" w:rsidRPr="001178CE" w:rsidP="001178CE" w14:paraId="2B1333C8" w14:textId="1D12BEF4">
      <w:pPr>
        <w:pStyle w:val="FERCparanumber"/>
      </w:pPr>
      <w:r w:rsidRPr="00395600">
        <w:t>The Regulatory Flexibilit</w:t>
      </w:r>
      <w:r w:rsidRPr="00550FF9">
        <w:rPr>
          <w:rStyle w:val="FERCparanumberChar"/>
        </w:rPr>
        <w:t>y</w:t>
      </w:r>
      <w:r w:rsidRPr="00395600">
        <w:t xml:space="preserve"> Act of 1980 (RFA)</w:t>
      </w:r>
      <w:r>
        <w:rPr>
          <w:rStyle w:val="FootnoteReference"/>
        </w:rPr>
        <w:footnoteReference w:id="55"/>
      </w:r>
      <w:r w:rsidRPr="00395600">
        <w:t xml:space="preserve"> generally requires a description and analysis of final rules that will have significant economic impact on a substantial number of small entities.</w:t>
      </w:r>
      <w:r w:rsidRPr="001178CE">
        <w:t xml:space="preserve"> </w:t>
      </w:r>
      <w:r w:rsidR="005273B5">
        <w:t xml:space="preserve"> </w:t>
      </w:r>
      <w:r w:rsidRPr="001178CE">
        <w:t xml:space="preserve">The Commission intends to pose the least possible burden on all entities both large and small. </w:t>
      </w:r>
    </w:p>
    <w:p w:rsidR="001178CE" w:rsidRPr="001178CE" w:rsidP="001178CE" w14:paraId="1AB63D2D" w14:textId="3AB9C6C5">
      <w:pPr>
        <w:widowControl/>
        <w:numPr>
          <w:ilvl w:val="0"/>
          <w:numId w:val="11"/>
        </w:numPr>
        <w:spacing w:line="480" w:lineRule="auto"/>
      </w:pPr>
      <w:r w:rsidRPr="001178CE">
        <w:t xml:space="preserve">The </w:t>
      </w:r>
      <w:r w:rsidR="001443D1">
        <w:t>f</w:t>
      </w:r>
      <w:r>
        <w:t xml:space="preserve">inal </w:t>
      </w:r>
      <w:r w:rsidR="001443D1">
        <w:t>r</w:t>
      </w:r>
      <w:r>
        <w:t>ule</w:t>
      </w:r>
      <w:r w:rsidRPr="001178CE">
        <w:t xml:space="preserve"> only applies to natural gas pipelines who file a section 4 rate case.  There are a total of 145 entities that may file a rate change and may be impacted by the </w:t>
      </w:r>
      <w:r w:rsidR="001443D1">
        <w:t>f</w:t>
      </w:r>
      <w:r>
        <w:t xml:space="preserve">inal </w:t>
      </w:r>
      <w:r w:rsidR="001443D1">
        <w:t>r</w:t>
      </w:r>
      <w:r>
        <w:t>ule.</w:t>
      </w:r>
      <w:r w:rsidRPr="001178CE">
        <w:t xml:space="preserve">  The Small Business Administration (SBA) defines a small entity in the category of, “Pipeline Transportation of Natural Gas”</w:t>
      </w:r>
      <w:r>
        <w:rPr>
          <w:b/>
          <w:vertAlign w:val="superscript"/>
        </w:rPr>
        <w:footnoteReference w:id="56"/>
      </w:r>
      <w:r w:rsidRPr="001178CE">
        <w:t xml:space="preserve"> by entities with fewer than </w:t>
      </w:r>
      <w:r w:rsidR="00B31B2A">
        <w:t xml:space="preserve">     </w:t>
      </w:r>
      <w:r w:rsidRPr="001178CE">
        <w:t xml:space="preserve">$30 million of annual receipts.  Out of the total number of entities, only five are small entities </w:t>
      </w:r>
      <w:r w:rsidR="000D31B5">
        <w:t xml:space="preserve">as defined by the SBA </w:t>
      </w:r>
      <w:r w:rsidRPr="001178CE">
        <w:t xml:space="preserve">(~3% of the total population).  We estimate the annual additional costs of filing a section 4 rate case to be </w:t>
      </w:r>
      <w:r w:rsidR="000B4A09">
        <w:t>$10,300</w:t>
      </w:r>
      <w:r w:rsidRPr="001178CE">
        <w:t xml:space="preserve">.  We further estimate an average of eight responses per year and conservatively estimate that one may be a small entity.  Therefore, the proposed rule does not pose a significant change to small entities.  </w:t>
      </w:r>
    </w:p>
    <w:p w:rsidR="00F9403B" w:rsidRPr="00395600" w:rsidP="001273BE" w14:paraId="32CD64A1" w14:textId="77777777">
      <w:pPr>
        <w:pStyle w:val="Heading1"/>
        <w:numPr>
          <w:ilvl w:val="0"/>
          <w:numId w:val="45"/>
        </w:numPr>
        <w:spacing w:after="0" w:line="480" w:lineRule="auto"/>
      </w:pPr>
      <w:bookmarkStart w:id="9" w:name="Comment"/>
      <w:bookmarkEnd w:id="9"/>
      <w:r w:rsidRPr="00395600">
        <w:t xml:space="preserve">Document </w:t>
      </w:r>
      <w:r w:rsidRPr="00550FF9">
        <w:t>Availability</w:t>
      </w:r>
    </w:p>
    <w:p w:rsidR="0021449B" w:rsidRPr="00B61165" w:rsidP="00B31B2A" w14:paraId="25365FCE" w14:textId="3F1012B0">
      <w:pPr>
        <w:pStyle w:val="FERCparanumber"/>
        <w:ind w:right="-270"/>
      </w:pPr>
      <w:r w:rsidRPr="00D547AA">
        <w:t xml:space="preserve">In addition to publishing the full text of this document in the </w:t>
      </w:r>
      <w:r w:rsidRPr="00E32A5E">
        <w:rPr>
          <w:i/>
          <w:iCs/>
        </w:rPr>
        <w:t>Federal Register</w:t>
      </w:r>
      <w:r w:rsidRPr="00D547AA">
        <w:t>, the Commission provides all interested persons an opportunity to view and/or print the contents of this document via the Internet through the Commission</w:t>
      </w:r>
      <w:r>
        <w:t>’</w:t>
      </w:r>
      <w:r w:rsidRPr="00D547AA">
        <w:t>s Home Page (</w:t>
      </w:r>
      <w:r w:rsidRPr="00B31B2A">
        <w:t>http://www.ferc.gov</w:t>
      </w:r>
      <w:r w:rsidRPr="00D547AA">
        <w:t xml:space="preserve">).  </w:t>
      </w:r>
    </w:p>
    <w:p w:rsidR="0021449B" w:rsidRPr="00B61165" w:rsidP="0021449B" w14:paraId="657E7D49" w14:textId="77777777">
      <w:pPr>
        <w:pStyle w:val="FERCparanumber"/>
      </w:pPr>
      <w:r w:rsidRPr="00B61165">
        <w:t>From the Commission</w:t>
      </w:r>
      <w:r>
        <w:t>’</w:t>
      </w:r>
      <w:r w:rsidRPr="00B61165">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F9403B" w:rsidRPr="00395600" w:rsidP="00F9403B" w14:paraId="441089F0" w14:textId="3299083D">
      <w:pPr>
        <w:pStyle w:val="FERCparanumber"/>
      </w:pPr>
      <w:r w:rsidRPr="00395600">
        <w:t xml:space="preserve">User assistance is available for eLibrary and the FERC’s website during normal business hours from FERC Online Support at 202-502-6652 (toll free at 1-866-208-3676) or email at </w:t>
      </w:r>
      <w:r w:rsidRPr="00B31B2A">
        <w:t>ferconlinesupport@ferc.gov</w:t>
      </w:r>
      <w:r w:rsidRPr="00395600">
        <w:t xml:space="preserve">, or the Public Reference Room at (202) 502-8371, TTY (202)502-8659.  E-mail the Public Reference Room at </w:t>
      </w:r>
      <w:r w:rsidRPr="00B31B2A">
        <w:t>public.referenceroom@ferc.gov</w:t>
      </w:r>
      <w:r w:rsidRPr="00395600">
        <w:t>.</w:t>
      </w:r>
    </w:p>
    <w:p w:rsidR="00F9403B" w:rsidRPr="00395600" w:rsidP="001273BE" w14:paraId="49889700" w14:textId="77777777">
      <w:pPr>
        <w:pStyle w:val="Heading1"/>
        <w:numPr>
          <w:ilvl w:val="0"/>
          <w:numId w:val="45"/>
        </w:numPr>
        <w:spacing w:after="0" w:line="480" w:lineRule="auto"/>
      </w:pPr>
      <w:r w:rsidRPr="00395600">
        <w:t>Effective Date and Congressional Notification</w:t>
      </w:r>
    </w:p>
    <w:p w:rsidR="00042AE2" w:rsidP="00042AE2" w14:paraId="1F30E42A" w14:textId="6E81D8EA">
      <w:pPr>
        <w:pStyle w:val="FERCparanumber"/>
      </w:pPr>
      <w:r>
        <w:t xml:space="preserve">This final rule is </w:t>
      </w:r>
      <w:r w:rsidRPr="00395600" w:rsidR="00F9403B">
        <w:t xml:space="preserve">effective [insert date 30 days from publication in Federal Register for non-major rules and 60 days from the later of the date Congress receives the agency notice or the date the rule is published in the Federal Register]. </w:t>
      </w:r>
      <w:r>
        <w:t xml:space="preserve"> </w:t>
      </w:r>
      <w:r w:rsidRPr="00395600" w:rsidR="00F9403B">
        <w:t>The Commission has determined, with the concurrence of the Administrator of the Office of Information and Regulatory Affairs of OMB, that this rule</w:t>
      </w:r>
      <w:r w:rsidR="006B3C2A">
        <w:t xml:space="preserve"> is not</w:t>
      </w:r>
      <w:r w:rsidRPr="00395600" w:rsidR="00F9403B">
        <w:t xml:space="preserve"> a “major rule” as defined in section 351 of the Small Business Regulatory Enforcement Fairness Act of 1996.</w:t>
      </w:r>
    </w:p>
    <w:p w:rsidR="00DE45EC" w:rsidP="00E65A31" w14:paraId="39854021" w14:textId="77777777">
      <w:pPr>
        <w:spacing w:line="480" w:lineRule="auto"/>
        <w:ind w:right="-270"/>
      </w:pPr>
    </w:p>
    <w:p w:rsidR="0021449B" w:rsidP="00E65A31" w14:paraId="00583543" w14:textId="24891206">
      <w:pPr>
        <w:spacing w:line="480" w:lineRule="auto"/>
        <w:ind w:right="-270"/>
      </w:pPr>
      <w:r w:rsidRPr="00B61165">
        <w:t>By the Commission.</w:t>
      </w:r>
      <w:r w:rsidR="00E65A31">
        <w:t xml:space="preserve">  Commissioner Danly is concurring with a separate statement attached.</w:t>
      </w:r>
    </w:p>
    <w:p w:rsidR="0021449B" w:rsidP="0021449B" w14:paraId="52FFF7D9" w14:textId="334BCAEA">
      <w:pPr>
        <w:widowControl/>
      </w:pPr>
      <w:r w:rsidRPr="00066C0F">
        <w:t>(S E A L)</w:t>
      </w:r>
    </w:p>
    <w:p w:rsidR="0021449B" w:rsidRPr="00066C0F" w:rsidP="0021449B" w14:paraId="40D415A0" w14:textId="77777777">
      <w:pPr>
        <w:widowControl/>
      </w:pPr>
    </w:p>
    <w:p w:rsidR="00FF32A1" w:rsidP="00B31B2A" w14:paraId="6B8A8560" w14:textId="367378B0">
      <w:pPr>
        <w:pStyle w:val="FootnoteText"/>
        <w:widowControl/>
        <w:spacing w:after="0"/>
        <w:ind w:firstLine="0"/>
        <w:rPr>
          <w:szCs w:val="22"/>
        </w:rPr>
      </w:pPr>
    </w:p>
    <w:p w:rsidR="00B31B2A" w:rsidP="00B31B2A" w14:paraId="06E9BA41" w14:textId="4F9AF993">
      <w:pPr>
        <w:pStyle w:val="FootnoteText"/>
        <w:widowControl/>
        <w:spacing w:after="0"/>
        <w:ind w:firstLine="0"/>
      </w:pPr>
    </w:p>
    <w:p w:rsidR="00B31B2A" w:rsidP="00B31B2A" w14:paraId="07654B75" w14:textId="540C6CD1">
      <w:pPr>
        <w:pStyle w:val="FootnoteText"/>
        <w:widowControl/>
        <w:spacing w:after="0"/>
        <w:ind w:firstLine="0"/>
      </w:pPr>
    </w:p>
    <w:p w:rsidR="00B31B2A" w:rsidP="00B31B2A" w14:paraId="7BB7794B" w14:textId="48B53D9D">
      <w:pPr>
        <w:pStyle w:val="FootnoteText"/>
        <w:widowControl/>
        <w:spacing w:after="0"/>
        <w:ind w:firstLine="0"/>
      </w:pPr>
    </w:p>
    <w:p w:rsidR="00B31B2A" w:rsidRPr="00B31B2A" w:rsidP="00B31B2A" w14:paraId="6C09842D" w14:textId="01EDDCE6">
      <w:pPr>
        <w:widowControl/>
        <w:ind w:firstLine="2174"/>
        <w:jc w:val="center"/>
      </w:pPr>
      <w:r w:rsidRPr="00B31B2A">
        <w:t>Kimberly D. Bose,</w:t>
      </w:r>
    </w:p>
    <w:p w:rsidR="00B31B2A" w:rsidRPr="00B31B2A" w:rsidP="00B31B2A" w14:paraId="3554BE36" w14:textId="1D40221F">
      <w:pPr>
        <w:widowControl/>
        <w:ind w:firstLine="2174"/>
        <w:jc w:val="center"/>
      </w:pPr>
      <w:r w:rsidRPr="00B31B2A">
        <w:t>Secretary.</w:t>
      </w:r>
    </w:p>
    <w:p w:rsidR="00B31B2A" w:rsidP="00B31B2A" w14:paraId="3B63E250" w14:textId="54905EEC">
      <w:pPr>
        <w:pStyle w:val="FootnoteText"/>
        <w:widowControl/>
        <w:spacing w:after="0"/>
        <w:ind w:firstLine="0"/>
      </w:pPr>
    </w:p>
    <w:p w:rsidR="004A7143" w:rsidP="00B31B2A" w14:paraId="41967759" w14:textId="446D7596">
      <w:pPr>
        <w:pStyle w:val="FootnoteText"/>
        <w:widowControl/>
        <w:spacing w:after="0"/>
        <w:ind w:firstLine="0"/>
      </w:pPr>
    </w:p>
    <w:p w:rsidR="004A7143" w:rsidP="00B31B2A" w14:paraId="57BE3FA5" w14:textId="77777777">
      <w:pPr>
        <w:pStyle w:val="FootnoteText"/>
        <w:widowControl/>
        <w:spacing w:after="0"/>
        <w:ind w:firstLine="0"/>
        <w:sectPr w:rsidSect="00F9403B">
          <w:headerReference w:type="even" r:id="rId17"/>
          <w:headerReference w:type="default" r:id="rId18"/>
          <w:headerReference w:type="first" r:id="rId19"/>
          <w:pgSz w:w="12240" w:h="15840"/>
          <w:pgMar w:top="1440" w:right="1440" w:bottom="1440" w:left="1440" w:header="720" w:footer="720" w:gutter="0"/>
          <w:pgNumType w:fmt="numberInDash" w:start="1"/>
          <w:cols w:space="720"/>
          <w:titlePg/>
          <w:docGrid w:linePitch="360"/>
        </w:sectPr>
      </w:pPr>
    </w:p>
    <w:p w:rsidR="004A7143" w:rsidRPr="004A7143" w:rsidP="004A7143" w14:paraId="15551A59" w14:textId="77777777">
      <w:pPr>
        <w:jc w:val="center"/>
      </w:pPr>
      <w:r w:rsidRPr="004A7143">
        <w:t>UNITED STATES OF AMERICA</w:t>
      </w:r>
    </w:p>
    <w:p w:rsidR="004A7143" w:rsidRPr="004A7143" w:rsidP="004A7143" w14:paraId="7CE078A8" w14:textId="77777777">
      <w:pPr>
        <w:jc w:val="center"/>
      </w:pPr>
      <w:r w:rsidRPr="004A7143">
        <w:t>FEDERAL ENERGY REGULATORY COMMISSION</w:t>
      </w:r>
    </w:p>
    <w:p w:rsidR="004A7143" w:rsidRPr="004A7143" w:rsidP="004A7143" w14:paraId="4A81CB4D"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8"/>
        <w:gridCol w:w="1533"/>
        <w:gridCol w:w="1889"/>
      </w:tblGrid>
      <w:tr w14:paraId="34079CC1" w14:textId="77777777" w:rsidTr="00DE43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8" w:type="dxa"/>
            <w:shd w:val="clear" w:color="auto" w:fill="auto"/>
          </w:tcPr>
          <w:p w:rsidR="004A7143" w:rsidRPr="004A7143" w:rsidP="004A7143" w14:paraId="706135FE" w14:textId="77777777">
            <w:pPr>
              <w:widowControl/>
              <w:rPr>
                <w:rFonts w:cstheme="minorBidi"/>
              </w:rPr>
            </w:pPr>
            <w:r w:rsidRPr="004A7143">
              <w:rPr>
                <w:rFonts w:cstheme="minorBidi"/>
              </w:rPr>
              <w:t>Revised Filing and Reporting Requirements for Interstate Natural Gas Company Rate Schedules and Tariffs</w:t>
            </w:r>
          </w:p>
          <w:p w:rsidR="004A7143" w:rsidRPr="004A7143" w:rsidP="004A7143" w14:paraId="5C613620" w14:textId="77777777">
            <w:pPr>
              <w:widowControl/>
              <w:rPr>
                <w:rFonts w:eastAsiaTheme="minorHAnsi"/>
              </w:rPr>
            </w:pPr>
          </w:p>
        </w:tc>
        <w:tc>
          <w:tcPr>
            <w:tcW w:w="1533" w:type="dxa"/>
            <w:shd w:val="clear" w:color="auto" w:fill="auto"/>
          </w:tcPr>
          <w:p w:rsidR="004A7143" w:rsidRPr="004A7143" w:rsidP="00657A36" w14:paraId="18665659" w14:textId="77777777">
            <w:pPr>
              <w:widowControl/>
              <w:jc w:val="right"/>
              <w:rPr>
                <w:rFonts w:eastAsiaTheme="minorHAnsi"/>
              </w:rPr>
            </w:pPr>
            <w:r w:rsidRPr="004A7143">
              <w:rPr>
                <w:rFonts w:cstheme="minorBidi"/>
              </w:rPr>
              <w:t>Docket No.</w:t>
            </w:r>
          </w:p>
        </w:tc>
        <w:tc>
          <w:tcPr>
            <w:tcW w:w="1889" w:type="dxa"/>
            <w:shd w:val="clear" w:color="auto" w:fill="auto"/>
            <w:tcMar>
              <w:left w:w="144" w:type="dxa"/>
            </w:tcMar>
          </w:tcPr>
          <w:p w:rsidR="004A7143" w:rsidRPr="004A7143" w:rsidP="004419DA" w14:paraId="290B5D50" w14:textId="77777777">
            <w:pPr>
              <w:widowControl/>
              <w:ind w:left="-60"/>
              <w:rPr>
                <w:rFonts w:eastAsiaTheme="minorHAnsi"/>
              </w:rPr>
            </w:pPr>
            <w:r w:rsidRPr="004A7143">
              <w:rPr>
                <w:rFonts w:cstheme="minorBidi"/>
              </w:rPr>
              <w:t>RM21-18-000</w:t>
            </w:r>
          </w:p>
        </w:tc>
      </w:tr>
    </w:tbl>
    <w:p w:rsidR="004A7143" w:rsidRPr="004A7143" w:rsidP="004A7143" w14:paraId="23157806" w14:textId="77777777"/>
    <w:p w:rsidR="004A7143" w:rsidRPr="004A7143" w:rsidP="004A7143" w14:paraId="09AA44D7" w14:textId="77777777">
      <w:pPr>
        <w:jc w:val="center"/>
      </w:pPr>
    </w:p>
    <w:p w:rsidR="004A7143" w:rsidRPr="004A7143" w:rsidP="004A7143" w14:paraId="641FAA98" w14:textId="77777777">
      <w:pPr>
        <w:jc w:val="center"/>
      </w:pPr>
      <w:r w:rsidRPr="004A7143">
        <w:t>(Issued November 17, 2022)</w:t>
      </w:r>
    </w:p>
    <w:p w:rsidR="004A7143" w:rsidRPr="004A7143" w:rsidP="004A7143" w14:paraId="2DE075CB" w14:textId="77777777">
      <w:pPr>
        <w:rPr>
          <w:bCs/>
        </w:rPr>
      </w:pPr>
    </w:p>
    <w:p w:rsidR="004A7143" w:rsidRPr="004A7143" w:rsidP="004A7143" w14:paraId="1713A7CB" w14:textId="77777777">
      <w:pPr>
        <w:rPr>
          <w:bCs/>
        </w:rPr>
      </w:pPr>
      <w:bookmarkStart w:id="10" w:name="Commissioner"/>
      <w:bookmarkEnd w:id="10"/>
      <w:r w:rsidRPr="004A7143">
        <w:rPr>
          <w:bCs/>
        </w:rPr>
        <w:t xml:space="preserve">DANLY, Commissioner, </w:t>
      </w:r>
      <w:r w:rsidRPr="004A7143">
        <w:rPr>
          <w:bCs/>
          <w:i/>
        </w:rPr>
        <w:t>concurring</w:t>
      </w:r>
      <w:r w:rsidRPr="004A7143">
        <w:rPr>
          <w:bCs/>
        </w:rPr>
        <w:t xml:space="preserve">: </w:t>
      </w:r>
    </w:p>
    <w:p w:rsidR="004A7143" w:rsidRPr="004A7143" w:rsidP="004A7143" w14:paraId="6818CF51" w14:textId="77777777">
      <w:pPr>
        <w:rPr>
          <w:bCs/>
        </w:rPr>
      </w:pPr>
    </w:p>
    <w:p w:rsidR="004A7143" w:rsidRPr="004A7143" w:rsidP="004A7143" w14:paraId="1AD63596" w14:textId="77777777">
      <w:pPr>
        <w:ind w:firstLine="720"/>
      </w:pPr>
      <w:bookmarkStart w:id="11" w:name="Action1"/>
      <w:bookmarkEnd w:id="11"/>
      <w:r w:rsidRPr="004A7143">
        <w:t>I concur with today’s final rule as I believe it complies with the Natural Gas Act and the Administrative Procedure Act.</w:t>
      </w:r>
      <w:r>
        <w:rPr>
          <w:b/>
          <w:vertAlign w:val="superscript"/>
        </w:rPr>
        <w:footnoteReference w:id="57"/>
      </w:r>
      <w:r w:rsidRPr="004A7143">
        <w:t xml:space="preserve">  I write separately to express my apprehension that the Commission does not fully appreciate the burden that will be incurred, or how long it will take, for jurisdictional entities to come into compliance.</w:t>
      </w:r>
      <w:r>
        <w:rPr>
          <w:b/>
          <w:vertAlign w:val="superscript"/>
        </w:rPr>
        <w:footnoteReference w:id="58"/>
      </w:r>
      <w:r w:rsidRPr="004A7143">
        <w:t xml:space="preserve">  It is my understanding that some pipeline companies currently create each statement and its supporting schedules using different software that do not, by themselves, link.  Requiring links may require a pipeline company to upgrade existing, or implement entirely new, software systems—tasks which oftentimes are neither simple nor inexpensive.  And while “pipelines are allowed to recover those costs through their rates,”</w:t>
      </w:r>
      <w:r>
        <w:rPr>
          <w:b/>
          <w:vertAlign w:val="superscript"/>
        </w:rPr>
        <w:footnoteReference w:id="59"/>
      </w:r>
      <w:r w:rsidRPr="004A7143">
        <w:t xml:space="preserve"> I would have preferred to have solicited additional comment on the cost and timing of the software upgrades that this rule might require in order to better inform our decision on whether and when to impose these changes.</w:t>
      </w:r>
    </w:p>
    <w:p w:rsidR="004A7143" w:rsidRPr="004A7143" w:rsidP="004A7143" w14:paraId="26D28932" w14:textId="77777777">
      <w:pPr>
        <w:ind w:firstLine="720"/>
      </w:pPr>
    </w:p>
    <w:p w:rsidR="004A7143" w:rsidRPr="004A7143" w:rsidP="004A7143" w14:paraId="75E60480" w14:textId="77777777">
      <w:pPr>
        <w:ind w:firstLine="720"/>
      </w:pPr>
      <w:r w:rsidRPr="004A7143">
        <w:t>For these reasons, I respectfully concur.</w:t>
      </w:r>
    </w:p>
    <w:p w:rsidR="004A7143" w:rsidRPr="004A7143" w:rsidP="004A7143" w14:paraId="14478B54" w14:textId="77777777"/>
    <w:p w:rsidR="004A7143" w:rsidRPr="004A7143" w:rsidP="004A7143" w14:paraId="17B8CD7D" w14:textId="77777777"/>
    <w:p w:rsidR="004A7143" w:rsidRPr="004A7143" w:rsidP="004A7143" w14:paraId="27B00230" w14:textId="77777777">
      <w:r w:rsidRPr="004A7143">
        <w:t>________________________</w:t>
      </w:r>
    </w:p>
    <w:p w:rsidR="004A7143" w:rsidRPr="004A7143" w:rsidP="004A7143" w14:paraId="2650B3BF" w14:textId="77777777">
      <w:pPr>
        <w:widowControl/>
      </w:pPr>
      <w:r w:rsidRPr="004A7143">
        <w:t>James P. Danly</w:t>
      </w:r>
    </w:p>
    <w:p w:rsidR="004A7143" w:rsidRPr="004A7143" w:rsidP="004A7143" w14:paraId="010C64BB" w14:textId="77777777">
      <w:pPr>
        <w:widowControl/>
      </w:pPr>
      <w:r w:rsidRPr="004A7143">
        <w:t>Commissioner</w:t>
      </w:r>
    </w:p>
    <w:p w:rsidR="004A7143" w:rsidRPr="004A7143" w:rsidP="004A7143" w14:paraId="53811234" w14:textId="77777777"/>
    <w:p w:rsidR="004A7143" w:rsidRPr="0003382F" w:rsidP="00B31B2A" w14:paraId="3644D6AE" w14:textId="09ECAD3A">
      <w:pPr>
        <w:pStyle w:val="FootnoteText"/>
        <w:widowControl/>
        <w:spacing w:after="0"/>
        <w:ind w:firstLine="0"/>
      </w:pPr>
    </w:p>
    <w:sectPr w:rsidSect="008156FE">
      <w:headerReference w:type="even" r:id="rId20"/>
      <w:headerReference w:type="default" r:id="rId21"/>
      <w:headerReference w:type="first" r:id="rId22"/>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1181D" w:rsidP="0048020B" w14:paraId="155E3C8C" w14:textId="77777777">
      <w:r>
        <w:separator/>
      </w:r>
    </w:p>
  </w:endnote>
  <w:endnote w:type="continuationSeparator" w:id="1">
    <w:p w:rsidR="0001181D" w:rsidP="0048020B" w14:paraId="1738DB77" w14:textId="77777777">
      <w:r>
        <w:continuationSeparator/>
      </w:r>
    </w:p>
  </w:endnote>
  <w:endnote w:type="continuationNotice" w:id="2">
    <w:p w:rsidR="00E73C08" w14:paraId="172713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CF8" w14:paraId="63D772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CF8" w14:paraId="06A9F5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CF8" w14:paraId="05422E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181D" w:rsidP="0048020B" w14:paraId="788FBA61" w14:textId="77777777">
      <w:r>
        <w:separator/>
      </w:r>
    </w:p>
  </w:footnote>
  <w:footnote w:type="continuationSeparator" w:id="1">
    <w:p w:rsidR="0001181D" w:rsidP="0048020B" w14:paraId="11B73CCE" w14:textId="77777777">
      <w:r>
        <w:continuationSeparator/>
      </w:r>
    </w:p>
  </w:footnote>
  <w:footnote w:type="continuationNotice" w:id="2">
    <w:p w:rsidR="0001181D" w:rsidRPr="00BB69A5" w:rsidP="00BB69A5" w14:paraId="68F07022" w14:textId="77777777">
      <w:pPr>
        <w:spacing w:line="20" w:lineRule="exact"/>
        <w:rPr>
          <w:sz w:val="2"/>
        </w:rPr>
      </w:pPr>
    </w:p>
  </w:footnote>
  <w:footnote w:id="3">
    <w:p w:rsidR="00707270" w:rsidP="00707270" w14:paraId="153AAF2B" w14:textId="77777777">
      <w:pPr>
        <w:pStyle w:val="FootnoteText"/>
      </w:pPr>
      <w:r>
        <w:rPr>
          <w:rStyle w:val="FootnoteReference"/>
        </w:rPr>
        <w:footnoteRef/>
      </w:r>
      <w:r>
        <w:t xml:space="preserve"> </w:t>
      </w:r>
      <w:r w:rsidRPr="00A72369">
        <w:t>15 U.S.</w:t>
      </w:r>
      <w:r>
        <w:t>C.</w:t>
      </w:r>
      <w:r w:rsidRPr="00A72369">
        <w:t xml:space="preserve"> 717c</w:t>
      </w:r>
      <w:r>
        <w:t>.</w:t>
      </w:r>
    </w:p>
  </w:footnote>
  <w:footnote w:id="4">
    <w:p w:rsidR="00715E9D" w14:paraId="0FCA479D" w14:textId="4A707120">
      <w:pPr>
        <w:pStyle w:val="FootnoteText"/>
      </w:pPr>
      <w:r>
        <w:rPr>
          <w:rStyle w:val="FootnoteReference"/>
        </w:rPr>
        <w:footnoteRef/>
      </w:r>
      <w:r>
        <w:t xml:space="preserve"> </w:t>
      </w:r>
      <w:r w:rsidRPr="00483034">
        <w:rPr>
          <w:i/>
          <w:iCs/>
        </w:rPr>
        <w:t xml:space="preserve">Revised Filing </w:t>
      </w:r>
      <w:r w:rsidR="00E857AA">
        <w:rPr>
          <w:i/>
          <w:iCs/>
        </w:rPr>
        <w:t>&amp;</w:t>
      </w:r>
      <w:r w:rsidRPr="00483034" w:rsidR="00E857AA">
        <w:rPr>
          <w:i/>
          <w:iCs/>
        </w:rPr>
        <w:t xml:space="preserve"> </w:t>
      </w:r>
      <w:r w:rsidRPr="00483034">
        <w:rPr>
          <w:i/>
          <w:iCs/>
        </w:rPr>
        <w:t xml:space="preserve">Reporting Requirements for Interstate </w:t>
      </w:r>
      <w:r w:rsidRPr="00483034" w:rsidR="00E857AA">
        <w:rPr>
          <w:i/>
          <w:iCs/>
        </w:rPr>
        <w:t>Nat</w:t>
      </w:r>
      <w:r w:rsidR="00E857AA">
        <w:rPr>
          <w:i/>
          <w:iCs/>
        </w:rPr>
        <w:t>.</w:t>
      </w:r>
      <w:r w:rsidRPr="00483034" w:rsidR="00E857AA">
        <w:rPr>
          <w:i/>
          <w:iCs/>
        </w:rPr>
        <w:t xml:space="preserve"> </w:t>
      </w:r>
      <w:r w:rsidRPr="00483034">
        <w:rPr>
          <w:i/>
          <w:iCs/>
        </w:rPr>
        <w:t xml:space="preserve">Gas </w:t>
      </w:r>
      <w:r w:rsidRPr="00483034" w:rsidR="00E857AA">
        <w:rPr>
          <w:i/>
          <w:iCs/>
        </w:rPr>
        <w:t>Co</w:t>
      </w:r>
      <w:r w:rsidR="00E857AA">
        <w:rPr>
          <w:i/>
          <w:iCs/>
        </w:rPr>
        <w:t>.</w:t>
      </w:r>
      <w:r w:rsidRPr="00483034" w:rsidR="00E857AA">
        <w:rPr>
          <w:i/>
          <w:iCs/>
        </w:rPr>
        <w:t xml:space="preserve"> </w:t>
      </w:r>
      <w:r w:rsidRPr="00483034">
        <w:rPr>
          <w:i/>
          <w:iCs/>
        </w:rPr>
        <w:t xml:space="preserve">Rate Schedules </w:t>
      </w:r>
      <w:r w:rsidR="00E857AA">
        <w:rPr>
          <w:i/>
          <w:iCs/>
        </w:rPr>
        <w:t>&amp;</w:t>
      </w:r>
      <w:r w:rsidRPr="00483034" w:rsidR="00E857AA">
        <w:rPr>
          <w:i/>
          <w:iCs/>
        </w:rPr>
        <w:t xml:space="preserve"> </w:t>
      </w:r>
      <w:r w:rsidRPr="00483034">
        <w:rPr>
          <w:i/>
          <w:iCs/>
        </w:rPr>
        <w:t>Tariffs</w:t>
      </w:r>
      <w:r w:rsidRPr="00483034">
        <w:t xml:space="preserve">, </w:t>
      </w:r>
      <w:r w:rsidRPr="00483034" w:rsidR="00013C89">
        <w:t xml:space="preserve">87 </w:t>
      </w:r>
      <w:r w:rsidR="00E105B7">
        <w:t>FR</w:t>
      </w:r>
      <w:r w:rsidRPr="00483034" w:rsidR="00013C89">
        <w:t xml:space="preserve"> 31783 (May 25, 2022)</w:t>
      </w:r>
      <w:r w:rsidR="00696189">
        <w:t>,</w:t>
      </w:r>
      <w:r w:rsidRPr="00483034" w:rsidR="00013C89">
        <w:t xml:space="preserve"> </w:t>
      </w:r>
      <w:r w:rsidR="00135B40">
        <w:t>(</w:t>
      </w:r>
      <w:r w:rsidRPr="00483034">
        <w:t>179 FERC ¶ 61,114</w:t>
      </w:r>
      <w:r w:rsidRPr="00E70213" w:rsidR="00013C89">
        <w:t>)</w:t>
      </w:r>
      <w:r w:rsidRPr="00483034">
        <w:t xml:space="preserve"> </w:t>
      </w:r>
      <w:r w:rsidR="00696189">
        <w:t>(2022</w:t>
      </w:r>
      <w:r w:rsidRPr="00E70213" w:rsidR="00696189">
        <w:t>)</w:t>
      </w:r>
      <w:r w:rsidRPr="00483034" w:rsidR="00696189">
        <w:t xml:space="preserve"> </w:t>
      </w:r>
      <w:r w:rsidRPr="00483034">
        <w:t>(</w:t>
      </w:r>
      <w:r w:rsidRPr="00E70213" w:rsidR="00013C89">
        <w:t>NOPR)</w:t>
      </w:r>
      <w:r w:rsidRPr="00483034">
        <w:t>.</w:t>
      </w:r>
    </w:p>
  </w:footnote>
  <w:footnote w:id="5">
    <w:p w:rsidR="00725AF4" w:rsidP="00725AF4" w14:paraId="0ACBAB4E" w14:textId="77777777">
      <w:pPr>
        <w:pStyle w:val="FootnoteText"/>
      </w:pPr>
      <w:r>
        <w:rPr>
          <w:rStyle w:val="FootnoteReference"/>
        </w:rPr>
        <w:footnoteRef/>
      </w:r>
      <w:r>
        <w:t xml:space="preserve"> 18 CFR 154.312 &amp; 154.313 (2021).   </w:t>
      </w:r>
    </w:p>
  </w:footnote>
  <w:footnote w:id="6">
    <w:p w:rsidR="00725AF4" w:rsidP="00725AF4" w14:paraId="7F5226AD" w14:textId="77777777">
      <w:pPr>
        <w:pStyle w:val="FootnoteText"/>
      </w:pPr>
      <w:r>
        <w:rPr>
          <w:rStyle w:val="FootnoteReference"/>
        </w:rPr>
        <w:footnoteRef/>
      </w:r>
      <w:r>
        <w:t xml:space="preserve"> 18 CFR 154.312.  </w:t>
      </w:r>
    </w:p>
  </w:footnote>
  <w:footnote w:id="7">
    <w:p w:rsidR="00725AF4" w:rsidRPr="006975CA" w:rsidP="00696189" w14:paraId="0DA2C432" w14:textId="2BB143AF">
      <w:pPr>
        <w:pStyle w:val="FootnoteText"/>
        <w:ind w:right="-360"/>
      </w:pPr>
      <w:r>
        <w:rPr>
          <w:rStyle w:val="FootnoteReference"/>
        </w:rPr>
        <w:footnoteRef/>
      </w:r>
      <w:r>
        <w:t xml:space="preserve"> </w:t>
      </w:r>
      <w:bookmarkStart w:id="3" w:name="_Hlk116371650"/>
      <w:r w:rsidRPr="006975CA">
        <w:rPr>
          <w:i/>
          <w:iCs/>
        </w:rPr>
        <w:t xml:space="preserve">Filing </w:t>
      </w:r>
      <w:r w:rsidR="001A4B9D">
        <w:rPr>
          <w:i/>
          <w:iCs/>
        </w:rPr>
        <w:t>&amp;</w:t>
      </w:r>
      <w:r w:rsidRPr="006975CA">
        <w:rPr>
          <w:i/>
          <w:iCs/>
        </w:rPr>
        <w:t xml:space="preserve"> Reporting Requirements for Interstate Nat</w:t>
      </w:r>
      <w:r>
        <w:rPr>
          <w:i/>
          <w:iCs/>
        </w:rPr>
        <w:t>.</w:t>
      </w:r>
      <w:r w:rsidRPr="006975CA">
        <w:rPr>
          <w:i/>
          <w:iCs/>
        </w:rPr>
        <w:t xml:space="preserve"> Gas Co</w:t>
      </w:r>
      <w:r>
        <w:rPr>
          <w:i/>
          <w:iCs/>
        </w:rPr>
        <w:t>.</w:t>
      </w:r>
      <w:r w:rsidRPr="006975CA">
        <w:rPr>
          <w:i/>
          <w:iCs/>
        </w:rPr>
        <w:t xml:space="preserve"> Rate Schedules</w:t>
      </w:r>
      <w:r>
        <w:rPr>
          <w:i/>
          <w:iCs/>
        </w:rPr>
        <w:t xml:space="preserve"> &amp;</w:t>
      </w:r>
      <w:r w:rsidRPr="006975CA">
        <w:rPr>
          <w:i/>
          <w:iCs/>
        </w:rPr>
        <w:t xml:space="preserve"> Tariffs</w:t>
      </w:r>
      <w:r>
        <w:t xml:space="preserve">, Order No. 582, </w:t>
      </w:r>
      <w:r w:rsidRPr="005E508E">
        <w:t xml:space="preserve">60 </w:t>
      </w:r>
      <w:r>
        <w:t>FR</w:t>
      </w:r>
      <w:r w:rsidRPr="005E508E">
        <w:t xml:space="preserve"> 52,960, </w:t>
      </w:r>
      <w:r>
        <w:t xml:space="preserve">52,994 (Oct. 11, 1995), </w:t>
      </w:r>
      <w:r w:rsidRPr="00D37787">
        <w:t>FERC Stats.</w:t>
      </w:r>
      <w:r>
        <w:t xml:space="preserve"> &amp;</w:t>
      </w:r>
      <w:r w:rsidRPr="00D37787">
        <w:t xml:space="preserve"> Regs. ¶ 31,025</w:t>
      </w:r>
      <w:r>
        <w:t xml:space="preserve"> </w:t>
      </w:r>
      <w:r w:rsidRPr="005E508E">
        <w:t xml:space="preserve">(1995) </w:t>
      </w:r>
      <w:r w:rsidR="00696189">
        <w:t xml:space="preserve">(cross-referenced at </w:t>
      </w:r>
      <w:r w:rsidRPr="006E49D6" w:rsidR="00696189">
        <w:t>72 FERC ¶ 61,300</w:t>
      </w:r>
      <w:r w:rsidR="00696189">
        <w:t xml:space="preserve">), </w:t>
      </w:r>
      <w:r w:rsidRPr="00217DFB">
        <w:rPr>
          <w:i/>
          <w:iCs/>
        </w:rPr>
        <w:t>order on clarification</w:t>
      </w:r>
      <w:r w:rsidRPr="005E508E">
        <w:t>, 76 FERC ¶ 61,077 (1996).</w:t>
      </w:r>
      <w:bookmarkEnd w:id="3"/>
    </w:p>
  </w:footnote>
  <w:footnote w:id="8">
    <w:p w:rsidR="00725AF4" w:rsidP="00725AF4" w14:paraId="384D63B1" w14:textId="2003A799">
      <w:pPr>
        <w:pStyle w:val="FootnoteText"/>
      </w:pPr>
      <w:r>
        <w:rPr>
          <w:rStyle w:val="FootnoteReference"/>
        </w:rPr>
        <w:footnoteRef/>
      </w:r>
      <w:r>
        <w:t xml:space="preserve"> In Order No. 703, the Commission confirmed th</w:t>
      </w:r>
      <w:r w:rsidR="00CA5FE9">
        <w:t>e</w:t>
      </w:r>
      <w:r>
        <w:t xml:space="preserve"> requirement that pipelines submit </w:t>
      </w:r>
      <w:r w:rsidRPr="00A304C5">
        <w:t>spreadsheets in native format for Statements I, J and a portion of H, including intact formulas.</w:t>
      </w:r>
      <w:r w:rsidRPr="00A304C5">
        <w:rPr>
          <w:i/>
          <w:iCs/>
        </w:rPr>
        <w:t xml:space="preserve"> </w:t>
      </w:r>
      <w:r>
        <w:rPr>
          <w:i/>
          <w:iCs/>
        </w:rPr>
        <w:t xml:space="preserve"> </w:t>
      </w:r>
      <w:bookmarkStart w:id="4" w:name="_Hlk116371778"/>
      <w:r w:rsidRPr="009C467A">
        <w:rPr>
          <w:i/>
          <w:iCs/>
        </w:rPr>
        <w:t>Filing Via the Internet</w:t>
      </w:r>
      <w:r>
        <w:t xml:space="preserve">, Order No. 703, 72 FR 65659 (Nov. 23, 2007), </w:t>
      </w:r>
      <w:r w:rsidRPr="009C467A">
        <w:t>121 FERC ¶ 61,171</w:t>
      </w:r>
      <w:r w:rsidR="00922B38">
        <w:t>,</w:t>
      </w:r>
      <w:r>
        <w:t xml:space="preserve"> at P 26 (2007).</w:t>
      </w:r>
      <w:bookmarkEnd w:id="4"/>
    </w:p>
  </w:footnote>
  <w:footnote w:id="9">
    <w:p w:rsidR="00131A50" w:rsidP="004E1853" w14:paraId="2D361554" w14:textId="77777777">
      <w:pPr>
        <w:pStyle w:val="FootnoteText"/>
        <w:spacing w:after="0"/>
        <w:rPr>
          <w:i/>
          <w:iCs/>
        </w:rPr>
      </w:pPr>
      <w:r>
        <w:rPr>
          <w:rStyle w:val="FootnoteReference"/>
        </w:rPr>
        <w:footnoteRef/>
      </w:r>
      <w:r>
        <w:t xml:space="preserve"> </w:t>
      </w:r>
      <w:r w:rsidRPr="00E72B7C">
        <w:rPr>
          <w:i/>
          <w:iCs/>
        </w:rPr>
        <w:t xml:space="preserve">FERC Implementation Guide for Electronic Filing of Parts 35, 154, 284, </w:t>
      </w:r>
    </w:p>
    <w:p w:rsidR="00725AF4" w:rsidP="00131A50" w14:paraId="0BF6599E" w14:textId="0388ABDE">
      <w:pPr>
        <w:pStyle w:val="FootnoteText"/>
        <w:ind w:firstLine="0"/>
      </w:pPr>
      <w:r w:rsidRPr="00E72B7C">
        <w:rPr>
          <w:i/>
          <w:iCs/>
        </w:rPr>
        <w:t xml:space="preserve">300 </w:t>
      </w:r>
      <w:r w:rsidR="00172B6D">
        <w:rPr>
          <w:i/>
          <w:iCs/>
        </w:rPr>
        <w:t>&amp;</w:t>
      </w:r>
      <w:r w:rsidRPr="00E72B7C" w:rsidR="00172B6D">
        <w:rPr>
          <w:i/>
          <w:iCs/>
        </w:rPr>
        <w:t xml:space="preserve"> </w:t>
      </w:r>
      <w:r w:rsidRPr="00E72B7C">
        <w:rPr>
          <w:i/>
          <w:iCs/>
        </w:rPr>
        <w:t>341 Tariff Filings</w:t>
      </w:r>
      <w:r w:rsidRPr="00E72B7C">
        <w:t xml:space="preserve"> (2016).</w:t>
      </w:r>
    </w:p>
  </w:footnote>
  <w:footnote w:id="10">
    <w:p w:rsidR="00725AF4" w:rsidP="00725AF4" w14:paraId="04D8AD7C" w14:textId="77777777">
      <w:pPr>
        <w:pStyle w:val="FootnoteText"/>
      </w:pPr>
      <w:r>
        <w:rPr>
          <w:rStyle w:val="FootnoteReference"/>
        </w:rPr>
        <w:footnoteRef/>
      </w:r>
      <w:r>
        <w:t xml:space="preserve"> </w:t>
      </w:r>
      <w:r w:rsidRPr="00BA17F9">
        <w:rPr>
          <w:i/>
          <w:iCs/>
        </w:rPr>
        <w:t>Id.</w:t>
      </w:r>
    </w:p>
  </w:footnote>
  <w:footnote w:id="11">
    <w:p w:rsidR="00F86433" w:rsidP="004E1853" w14:paraId="31711E47" w14:textId="066B8E02">
      <w:pPr>
        <w:pStyle w:val="FootnoteText"/>
        <w:ind w:right="-90"/>
      </w:pPr>
      <w:r>
        <w:rPr>
          <w:rStyle w:val="FootnoteReference"/>
        </w:rPr>
        <w:footnoteRef/>
      </w:r>
      <w:r>
        <w:t xml:space="preserve"> “Formulas and links intact” include formulas and links within individual spreadsheets and between spreadsheets.  For example,</w:t>
      </w:r>
      <w:r w:rsidR="00EE4261">
        <w:t xml:space="preserve"> the Commission explained that</w:t>
      </w:r>
      <w:r>
        <w:t xml:space="preserve"> </w:t>
      </w:r>
      <w:r w:rsidRPr="00EE4261">
        <w:t>the proposal</w:t>
      </w:r>
      <w:r>
        <w:t xml:space="preserve"> w</w:t>
      </w:r>
      <w:r w:rsidR="00EE4261">
        <w:t>ould</w:t>
      </w:r>
      <w:r>
        <w:t xml:space="preserve"> require that formulas and links within Schedule I-2 be intact within Schedule I-2, and intact for any progressive calculations that flow data from Schedule I-2.</w:t>
      </w:r>
    </w:p>
  </w:footnote>
  <w:footnote w:id="12">
    <w:p w:rsidR="00CA5FE9" w14:paraId="33D98E83" w14:textId="094910EE">
      <w:pPr>
        <w:pStyle w:val="FootnoteText"/>
      </w:pPr>
      <w:r>
        <w:rPr>
          <w:rStyle w:val="FootnoteReference"/>
        </w:rPr>
        <w:footnoteRef/>
      </w:r>
      <w:r>
        <w:t xml:space="preserve"> NOPR, 179 FERC ¶ 61,114 at P 6. </w:t>
      </w:r>
    </w:p>
  </w:footnote>
  <w:footnote w:id="13">
    <w:p w:rsidR="00CA5FE9" w:rsidRPr="00E70213" w14:paraId="05B19019" w14:textId="33C75DAD">
      <w:pPr>
        <w:pStyle w:val="FootnoteText"/>
        <w:rPr>
          <w:i/>
          <w:iCs/>
        </w:rPr>
      </w:pPr>
      <w:r>
        <w:rPr>
          <w:rStyle w:val="FootnoteReference"/>
        </w:rPr>
        <w:footnoteRef/>
      </w:r>
      <w:r>
        <w:t xml:space="preserve"> </w:t>
      </w:r>
      <w:r>
        <w:rPr>
          <w:i/>
          <w:iCs/>
        </w:rPr>
        <w:t>Id.</w:t>
      </w:r>
    </w:p>
  </w:footnote>
  <w:footnote w:id="14">
    <w:p w:rsidR="00CA5FE9" w:rsidRPr="00E70213" w14:paraId="72A8F940" w14:textId="6477ACC2">
      <w:pPr>
        <w:pStyle w:val="FootnoteText"/>
        <w:rPr>
          <w:i/>
          <w:iCs/>
        </w:rPr>
      </w:pPr>
      <w:r>
        <w:rPr>
          <w:rStyle w:val="FootnoteReference"/>
        </w:rPr>
        <w:footnoteRef/>
      </w:r>
      <w:r>
        <w:t xml:space="preserve"> </w:t>
      </w:r>
      <w:r>
        <w:rPr>
          <w:i/>
          <w:iCs/>
        </w:rPr>
        <w:t xml:space="preserve">Id. </w:t>
      </w:r>
    </w:p>
  </w:footnote>
  <w:footnote w:id="15">
    <w:p w:rsidR="00900B2F" w14:paraId="2B42FF55" w14:textId="50F2B361">
      <w:pPr>
        <w:pStyle w:val="FootnoteText"/>
      </w:pPr>
      <w:r>
        <w:rPr>
          <w:rStyle w:val="FootnoteReference"/>
        </w:rPr>
        <w:footnoteRef/>
      </w:r>
      <w:r>
        <w:t xml:space="preserve"> </w:t>
      </w:r>
      <w:r w:rsidRPr="00FE11A4" w:rsidR="00F3421B">
        <w:rPr>
          <w:i/>
          <w:iCs/>
        </w:rPr>
        <w:t>Id.</w:t>
      </w:r>
      <w:r w:rsidR="006B679A">
        <w:t xml:space="preserve"> P 7. </w:t>
      </w:r>
    </w:p>
  </w:footnote>
  <w:footnote w:id="16">
    <w:p w:rsidR="00900B2F" w14:paraId="77E5829B" w14:textId="2B5103D3">
      <w:pPr>
        <w:pStyle w:val="FootnoteText"/>
      </w:pPr>
      <w:r>
        <w:rPr>
          <w:rStyle w:val="FootnoteReference"/>
        </w:rPr>
        <w:footnoteRef/>
      </w:r>
      <w:r>
        <w:t xml:space="preserve"> </w:t>
      </w:r>
      <w:r w:rsidR="006B679A">
        <w:rPr>
          <w:i/>
          <w:iCs/>
        </w:rPr>
        <w:t xml:space="preserve">Id. </w:t>
      </w:r>
      <w:r w:rsidR="006B679A">
        <w:t xml:space="preserve">P 8. </w:t>
      </w:r>
    </w:p>
  </w:footnote>
  <w:footnote w:id="17">
    <w:p w:rsidR="00F16BBC" w:rsidP="00F16BBC" w14:paraId="0BD170BE" w14:textId="5FA21B2F">
      <w:pPr>
        <w:pStyle w:val="FootnoteText"/>
      </w:pPr>
      <w:r>
        <w:rPr>
          <w:rStyle w:val="FootnoteReference"/>
        </w:rPr>
        <w:footnoteRef/>
      </w:r>
      <w:r>
        <w:t xml:space="preserve"> </w:t>
      </w:r>
      <w:bookmarkStart w:id="5" w:name="_Hlk116539060"/>
      <w:r w:rsidRPr="00B53BB4">
        <w:rPr>
          <w:i/>
          <w:iCs/>
        </w:rPr>
        <w:t xml:space="preserve">Revised Filing </w:t>
      </w:r>
      <w:r w:rsidR="0000460B">
        <w:rPr>
          <w:i/>
          <w:iCs/>
        </w:rPr>
        <w:t>&amp;</w:t>
      </w:r>
      <w:r w:rsidRPr="00B53BB4" w:rsidR="0000460B">
        <w:rPr>
          <w:i/>
          <w:iCs/>
        </w:rPr>
        <w:t xml:space="preserve"> </w:t>
      </w:r>
      <w:r w:rsidRPr="00B53BB4">
        <w:rPr>
          <w:i/>
          <w:iCs/>
        </w:rPr>
        <w:t xml:space="preserve">Reporting Requirements for Interstate </w:t>
      </w:r>
      <w:r w:rsidRPr="00B53BB4" w:rsidR="0000460B">
        <w:rPr>
          <w:i/>
          <w:iCs/>
        </w:rPr>
        <w:t>Nat</w:t>
      </w:r>
      <w:r w:rsidR="0000460B">
        <w:rPr>
          <w:i/>
          <w:iCs/>
        </w:rPr>
        <w:t>.</w:t>
      </w:r>
      <w:r w:rsidRPr="00B53BB4" w:rsidR="0000460B">
        <w:rPr>
          <w:i/>
          <w:iCs/>
        </w:rPr>
        <w:t xml:space="preserve"> </w:t>
      </w:r>
      <w:r w:rsidRPr="00B53BB4">
        <w:rPr>
          <w:i/>
          <w:iCs/>
        </w:rPr>
        <w:t xml:space="preserve">Gas </w:t>
      </w:r>
      <w:r w:rsidRPr="00B53BB4" w:rsidR="0000460B">
        <w:rPr>
          <w:i/>
          <w:iCs/>
        </w:rPr>
        <w:t>Co</w:t>
      </w:r>
      <w:r w:rsidR="0000460B">
        <w:rPr>
          <w:i/>
          <w:iCs/>
        </w:rPr>
        <w:t>.</w:t>
      </w:r>
      <w:r w:rsidRPr="00B53BB4" w:rsidR="0000460B">
        <w:rPr>
          <w:i/>
          <w:iCs/>
        </w:rPr>
        <w:t xml:space="preserve"> </w:t>
      </w:r>
      <w:r w:rsidRPr="00B53BB4">
        <w:rPr>
          <w:i/>
          <w:iCs/>
        </w:rPr>
        <w:t xml:space="preserve">Rate Schedules </w:t>
      </w:r>
      <w:r w:rsidR="002A4CE8">
        <w:rPr>
          <w:i/>
          <w:iCs/>
        </w:rPr>
        <w:t>&amp;</w:t>
      </w:r>
      <w:r w:rsidRPr="00B53BB4" w:rsidR="002A4CE8">
        <w:rPr>
          <w:i/>
          <w:iCs/>
        </w:rPr>
        <w:t xml:space="preserve"> </w:t>
      </w:r>
      <w:r w:rsidRPr="00B53BB4">
        <w:rPr>
          <w:i/>
          <w:iCs/>
        </w:rPr>
        <w:t>Tariffs</w:t>
      </w:r>
      <w:r w:rsidRPr="00B53BB4">
        <w:t xml:space="preserve">, 87 </w:t>
      </w:r>
      <w:r w:rsidR="00EF0370">
        <w:t>FR</w:t>
      </w:r>
      <w:r w:rsidRPr="00B53BB4">
        <w:t xml:space="preserve"> 31783 (May 25, 2022</w:t>
      </w:r>
      <w:r w:rsidRPr="00696189" w:rsidR="00696189">
        <w:t>), 179 FERC ¶ 61,114 (2022)</w:t>
      </w:r>
      <w:r w:rsidRPr="00B53BB4">
        <w:t>.</w:t>
      </w:r>
      <w:bookmarkEnd w:id="5"/>
    </w:p>
  </w:footnote>
  <w:footnote w:id="18">
    <w:p w:rsidR="00D058AF" w:rsidP="000B499C" w14:paraId="3B3DACCC" w14:textId="2151EB07">
      <w:pPr>
        <w:pStyle w:val="FootnoteText"/>
        <w:ind w:right="-90"/>
      </w:pPr>
      <w:r>
        <w:rPr>
          <w:rStyle w:val="FootnoteReference"/>
        </w:rPr>
        <w:footnoteRef/>
      </w:r>
      <w:r>
        <w:t xml:space="preserve"> Comments were submitted by Xcel Energy Services Inc. on behalf of the Xcel Energy Operating Companies (XES); t</w:t>
      </w:r>
      <w:r w:rsidRPr="00A674E1">
        <w:t>he Brooklyn Union Gas Company d/b/a National Grid NY</w:t>
      </w:r>
      <w:r>
        <w:t>,</w:t>
      </w:r>
      <w:r w:rsidRPr="00A674E1">
        <w:t xml:space="preserve"> KeySpan Gas East Corporation d/b/a National Grid</w:t>
      </w:r>
      <w:r>
        <w:t>,</w:t>
      </w:r>
      <w:r w:rsidRPr="00A674E1">
        <w:t xml:space="preserve"> Boston Gas Company d/b/a National Grid</w:t>
      </w:r>
      <w:r>
        <w:t>,</w:t>
      </w:r>
      <w:r w:rsidRPr="00A674E1">
        <w:t xml:space="preserve"> and Niagara Mohawk Power Corporation d/b/a National Grid </w:t>
      </w:r>
      <w:r>
        <w:t xml:space="preserve">(collectively, National Grid); Exelon Corporation, on behalf of its local gas distribution company subsidiaries Baltimore Gas and Electric Company, Delmarva Power and Light Company, and PECO Energy Company (Exelon); Energy Transfer LP (Energy Transfer); BHE GT&amp;S, LLC and its gas transmission and storage entities, which include Eastern Gas Transmission and Storage, Inc., Cove Point LNG, LP, and Carolina Gas Transmission, LLC (BHE GT&amp;S); the Interstate Natural Gas Association of America (INGAA); the American Gas Association, American Public Gas Association, American Forest &amp; Paper Association, Industrial Energy Consumers of America, Process Gas Consumers Group, and Natural Gas Supply Association (collectively, </w:t>
      </w:r>
      <w:r w:rsidR="00042AE2">
        <w:t>Joint Commenters</w:t>
      </w:r>
      <w:r>
        <w:t xml:space="preserve">); and Public Citizen, Inc. (Public Citizen). </w:t>
      </w:r>
    </w:p>
  </w:footnote>
  <w:footnote w:id="19">
    <w:p w:rsidR="002C0E71" w:rsidRPr="007E04EB" w:rsidP="002C0E71" w14:paraId="592B0046" w14:textId="77777777">
      <w:pPr>
        <w:pStyle w:val="FootnoteText"/>
        <w:spacing w:line="360" w:lineRule="auto"/>
        <w:rPr>
          <w:szCs w:val="26"/>
        </w:rPr>
      </w:pPr>
      <w:r w:rsidRPr="007E04EB">
        <w:rPr>
          <w:rStyle w:val="FootnoteReference"/>
          <w:szCs w:val="26"/>
        </w:rPr>
        <w:footnoteRef/>
      </w:r>
      <w:r w:rsidRPr="007E04EB">
        <w:rPr>
          <w:szCs w:val="26"/>
        </w:rPr>
        <w:t xml:space="preserve"> Energy Transfer Comments at 2.</w:t>
      </w:r>
    </w:p>
  </w:footnote>
  <w:footnote w:id="20">
    <w:p w:rsidR="002C0E71" w:rsidRPr="007D48C9" w:rsidP="002C0E71" w14:paraId="61B65F5C" w14:textId="77777777">
      <w:pPr>
        <w:pStyle w:val="FootnoteText"/>
        <w:spacing w:line="360" w:lineRule="auto"/>
        <w:rPr>
          <w:szCs w:val="26"/>
        </w:rPr>
      </w:pPr>
      <w:r w:rsidRPr="007D48C9">
        <w:rPr>
          <w:rStyle w:val="FootnoteReference"/>
          <w:szCs w:val="26"/>
        </w:rPr>
        <w:footnoteRef/>
      </w:r>
      <w:r w:rsidRPr="007D48C9">
        <w:rPr>
          <w:szCs w:val="26"/>
        </w:rPr>
        <w:t xml:space="preserve"> </w:t>
      </w:r>
      <w:r w:rsidRPr="00FE7B37">
        <w:rPr>
          <w:i/>
          <w:iCs/>
          <w:szCs w:val="26"/>
        </w:rPr>
        <w:t>Id</w:t>
      </w:r>
      <w:r w:rsidRPr="007D48C9">
        <w:rPr>
          <w:szCs w:val="26"/>
        </w:rPr>
        <w:t>.</w:t>
      </w:r>
    </w:p>
  </w:footnote>
  <w:footnote w:id="21">
    <w:p w:rsidR="0018560F" w:rsidRPr="00D81DFB" w:rsidP="0018560F" w14:paraId="22944047" w14:textId="28FD9F32">
      <w:pPr>
        <w:pStyle w:val="FootnoteText"/>
        <w:spacing w:line="360" w:lineRule="auto"/>
        <w:rPr>
          <w:szCs w:val="26"/>
        </w:rPr>
      </w:pPr>
      <w:r w:rsidRPr="00D81DFB">
        <w:rPr>
          <w:rStyle w:val="FootnoteReference"/>
          <w:szCs w:val="26"/>
        </w:rPr>
        <w:footnoteRef/>
      </w:r>
      <w:r w:rsidRPr="00D81DFB">
        <w:rPr>
          <w:szCs w:val="26"/>
        </w:rPr>
        <w:t xml:space="preserve"> </w:t>
      </w:r>
      <w:r w:rsidR="00C11888">
        <w:rPr>
          <w:i/>
          <w:iCs/>
          <w:szCs w:val="26"/>
        </w:rPr>
        <w:t>Id</w:t>
      </w:r>
      <w:r w:rsidRPr="00D81DFB">
        <w:rPr>
          <w:szCs w:val="26"/>
        </w:rPr>
        <w:t>.</w:t>
      </w:r>
    </w:p>
  </w:footnote>
  <w:footnote w:id="22">
    <w:p w:rsidR="00470D3D" w:rsidRPr="00101176" w:rsidP="00470D3D" w14:paraId="07969AEB" w14:textId="7F41F71C">
      <w:pPr>
        <w:pStyle w:val="FootnoteText"/>
      </w:pPr>
      <w:r>
        <w:rPr>
          <w:rStyle w:val="FootnoteReference"/>
        </w:rPr>
        <w:footnoteRef/>
      </w:r>
      <w:r>
        <w:t xml:space="preserve"> </w:t>
      </w:r>
      <w:r w:rsidRPr="00C63D57" w:rsidR="00C63D57">
        <w:t>Joint Commenters</w:t>
      </w:r>
      <w:r>
        <w:t xml:space="preserve"> Reply Comment</w:t>
      </w:r>
      <w:r w:rsidR="003F6D81">
        <w:t>s</w:t>
      </w:r>
      <w:r>
        <w:t xml:space="preserve"> at 5 (citing </w:t>
      </w:r>
      <w:r w:rsidRPr="003E7FC5">
        <w:t>Order No. 582</w:t>
      </w:r>
      <w:r w:rsidRPr="003E7FC5" w:rsidR="001C1C8B">
        <w:t>,</w:t>
      </w:r>
      <w:r w:rsidRPr="003E7FC5">
        <w:t xml:space="preserve"> </w:t>
      </w:r>
      <w:r w:rsidRPr="003E7FC5" w:rsidR="001C1C8B">
        <w:t xml:space="preserve">FERC Stats. </w:t>
      </w:r>
      <w:r w:rsidR="00696189">
        <w:t xml:space="preserve">&amp; </w:t>
      </w:r>
      <w:r w:rsidRPr="003E7FC5" w:rsidR="001C1C8B">
        <w:t xml:space="preserve"> Regs</w:t>
      </w:r>
      <w:r w:rsidRPr="003E7FC5" w:rsidR="00483034">
        <w:t>.</w:t>
      </w:r>
      <w:r w:rsidRPr="003E7FC5" w:rsidR="001C1C8B">
        <w:t xml:space="preserve"> ¶ 31,025</w:t>
      </w:r>
      <w:r w:rsidRPr="003E7FC5" w:rsidR="00F3403C">
        <w:t xml:space="preserve">, </w:t>
      </w:r>
      <w:r w:rsidR="001A3D2D">
        <w:t>at 31,435</w:t>
      </w:r>
      <w:r>
        <w:t xml:space="preserve">).  </w:t>
      </w:r>
    </w:p>
  </w:footnote>
  <w:footnote w:id="23">
    <w:p w:rsidR="00470D3D" w:rsidRPr="008672EF" w:rsidP="00470D3D" w14:paraId="37C1EAA2" w14:textId="77777777">
      <w:pPr>
        <w:pStyle w:val="FootnoteText"/>
      </w:pPr>
      <w:r>
        <w:rPr>
          <w:rStyle w:val="FootnoteReference"/>
        </w:rPr>
        <w:footnoteRef/>
      </w:r>
      <w:r>
        <w:t xml:space="preserve"> </w:t>
      </w:r>
      <w:r>
        <w:rPr>
          <w:i/>
          <w:iCs/>
        </w:rPr>
        <w:t xml:space="preserve">Id. </w:t>
      </w:r>
      <w:r>
        <w:t xml:space="preserve">at 7-8. </w:t>
      </w:r>
    </w:p>
  </w:footnote>
  <w:footnote w:id="24">
    <w:p w:rsidR="00DA38CF" w14:paraId="25371778" w14:textId="7424CA0F">
      <w:pPr>
        <w:pStyle w:val="FootnoteText"/>
      </w:pPr>
      <w:r>
        <w:rPr>
          <w:rStyle w:val="FootnoteReference"/>
        </w:rPr>
        <w:footnoteRef/>
      </w:r>
      <w:r>
        <w:t xml:space="preserve"> BHE GT&amp;S Comment</w:t>
      </w:r>
      <w:r w:rsidR="003F6D81">
        <w:t>s</w:t>
      </w:r>
      <w:r>
        <w:t xml:space="preserve"> at 4. </w:t>
      </w:r>
    </w:p>
  </w:footnote>
  <w:footnote w:id="25">
    <w:p w:rsidR="00A50DCD" w14:paraId="4C4A2483" w14:textId="0E91323B">
      <w:pPr>
        <w:pStyle w:val="FootnoteText"/>
      </w:pPr>
      <w:r>
        <w:rPr>
          <w:rStyle w:val="FootnoteReference"/>
        </w:rPr>
        <w:footnoteRef/>
      </w:r>
      <w:r>
        <w:t xml:space="preserve"> 15 U</w:t>
      </w:r>
      <w:r w:rsidR="0051303F">
        <w:t>.</w:t>
      </w:r>
      <w:r>
        <w:t>S</w:t>
      </w:r>
      <w:r w:rsidR="0051303F">
        <w:t>.</w:t>
      </w:r>
      <w:r>
        <w:t>C</w:t>
      </w:r>
      <w:r w:rsidR="0051303F">
        <w:t>.</w:t>
      </w:r>
      <w:r>
        <w:t xml:space="preserve"> 717c(e).  </w:t>
      </w:r>
    </w:p>
  </w:footnote>
  <w:footnote w:id="26">
    <w:p w:rsidR="00C326B3" w14:paraId="026BB910" w14:textId="5E046F2A">
      <w:pPr>
        <w:pStyle w:val="FootnoteText"/>
      </w:pPr>
      <w:r>
        <w:rPr>
          <w:rStyle w:val="FootnoteReference"/>
        </w:rPr>
        <w:footnoteRef/>
      </w:r>
      <w:r>
        <w:t xml:space="preserve"> 18 CFR 154.312</w:t>
      </w:r>
      <w:r w:rsidR="007842B8">
        <w:t xml:space="preserve"> </w:t>
      </w:r>
      <w:r w:rsidR="006D3A90">
        <w:t>to</w:t>
      </w:r>
      <w:r w:rsidR="007842B8">
        <w:t xml:space="preserve"> 154.314</w:t>
      </w:r>
      <w:r w:rsidR="006D3A90">
        <w:t xml:space="preserve"> (2021)</w:t>
      </w:r>
      <w:r>
        <w:t>.</w:t>
      </w:r>
    </w:p>
  </w:footnote>
  <w:footnote w:id="27">
    <w:p w:rsidR="002C0E71" w:rsidRPr="0095381C" w:rsidP="002C0E71" w14:paraId="2C7535C6" w14:textId="04382301">
      <w:pPr>
        <w:pStyle w:val="FootnoteText"/>
        <w:spacing w:line="360" w:lineRule="auto"/>
        <w:rPr>
          <w:szCs w:val="26"/>
        </w:rPr>
      </w:pPr>
      <w:r w:rsidRPr="0095381C">
        <w:rPr>
          <w:rStyle w:val="FootnoteReference"/>
          <w:szCs w:val="26"/>
        </w:rPr>
        <w:footnoteRef/>
      </w:r>
      <w:r w:rsidRPr="0095381C">
        <w:rPr>
          <w:szCs w:val="26"/>
        </w:rPr>
        <w:t xml:space="preserve"> </w:t>
      </w:r>
      <w:r w:rsidRPr="003E7FC5" w:rsidR="00A16C77">
        <w:rPr>
          <w:szCs w:val="26"/>
        </w:rPr>
        <w:t>NOPR</w:t>
      </w:r>
      <w:r w:rsidRPr="003E7FC5" w:rsidR="006B679A">
        <w:rPr>
          <w:szCs w:val="26"/>
        </w:rPr>
        <w:t>, 179 FERC ¶ 61,114</w:t>
      </w:r>
      <w:r w:rsidRPr="003E7FC5" w:rsidR="00A16C77">
        <w:rPr>
          <w:szCs w:val="26"/>
        </w:rPr>
        <w:t xml:space="preserve"> a</w:t>
      </w:r>
      <w:r w:rsidRPr="003E7FC5">
        <w:rPr>
          <w:szCs w:val="26"/>
        </w:rPr>
        <w:t xml:space="preserve">t </w:t>
      </w:r>
      <w:r w:rsidRPr="003E7FC5" w:rsidR="006B679A">
        <w:rPr>
          <w:szCs w:val="26"/>
        </w:rPr>
        <w:t xml:space="preserve">P </w:t>
      </w:r>
      <w:r w:rsidRPr="003E7FC5">
        <w:rPr>
          <w:szCs w:val="26"/>
        </w:rPr>
        <w:t>6</w:t>
      </w:r>
      <w:r w:rsidR="00CD577C">
        <w:rPr>
          <w:szCs w:val="26"/>
        </w:rPr>
        <w:t xml:space="preserve"> (emphasis added)</w:t>
      </w:r>
      <w:r w:rsidRPr="0095381C">
        <w:rPr>
          <w:szCs w:val="26"/>
        </w:rPr>
        <w:t>.</w:t>
      </w:r>
    </w:p>
  </w:footnote>
  <w:footnote w:id="28">
    <w:p w:rsidR="002C0E71" w:rsidP="00CA5784" w14:paraId="40FBADD9" w14:textId="1FF50A4D">
      <w:pPr>
        <w:pStyle w:val="FootnoteText"/>
      </w:pPr>
      <w:r w:rsidRPr="0095381C">
        <w:rPr>
          <w:rStyle w:val="FootnoteReference"/>
          <w:szCs w:val="26"/>
        </w:rPr>
        <w:footnoteRef/>
      </w:r>
      <w:r w:rsidRPr="0095381C">
        <w:rPr>
          <w:szCs w:val="26"/>
        </w:rPr>
        <w:t xml:space="preserve"> Energy Transfer Comments at 4.</w:t>
      </w:r>
    </w:p>
  </w:footnote>
  <w:footnote w:id="29">
    <w:p w:rsidR="0062667F" w14:paraId="74BA66D4" w14:textId="43777F25">
      <w:pPr>
        <w:pStyle w:val="FootnoteText"/>
      </w:pPr>
      <w:r>
        <w:rPr>
          <w:rStyle w:val="FootnoteReference"/>
        </w:rPr>
        <w:footnoteRef/>
      </w:r>
      <w:r>
        <w:t xml:space="preserve"> </w:t>
      </w:r>
      <w:r>
        <w:rPr>
          <w:i/>
          <w:iCs/>
        </w:rPr>
        <w:t>Id.</w:t>
      </w:r>
    </w:p>
  </w:footnote>
  <w:footnote w:id="30">
    <w:p w:rsidR="002E3C07" w:rsidRPr="0062667F" w14:paraId="1E444DB2" w14:textId="5A559085">
      <w:pPr>
        <w:pStyle w:val="FootnoteText"/>
      </w:pPr>
      <w:r>
        <w:rPr>
          <w:rStyle w:val="FootnoteReference"/>
        </w:rPr>
        <w:footnoteRef/>
      </w:r>
      <w:r>
        <w:t xml:space="preserve"> </w:t>
      </w:r>
      <w:r>
        <w:rPr>
          <w:i/>
          <w:iCs/>
        </w:rPr>
        <w:t xml:space="preserve">Id. </w:t>
      </w:r>
      <w:r>
        <w:t>at n.13.</w:t>
      </w:r>
    </w:p>
  </w:footnote>
  <w:footnote w:id="31">
    <w:p w:rsidR="00DA38CF" w:rsidRPr="0062041F" w14:paraId="75A37E6F" w14:textId="0BE9F5E6">
      <w:pPr>
        <w:pStyle w:val="FootnoteText"/>
      </w:pPr>
      <w:r>
        <w:rPr>
          <w:rStyle w:val="FootnoteReference"/>
        </w:rPr>
        <w:footnoteRef/>
      </w:r>
      <w:r>
        <w:t xml:space="preserve"> </w:t>
      </w:r>
      <w:r w:rsidR="005E4F6B">
        <w:rPr>
          <w:i/>
          <w:iCs/>
        </w:rPr>
        <w:t xml:space="preserve">Id. </w:t>
      </w:r>
      <w:r w:rsidR="005E4F6B">
        <w:t xml:space="preserve">at 5. </w:t>
      </w:r>
    </w:p>
  </w:footnote>
  <w:footnote w:id="32">
    <w:p w:rsidR="004364F5" w:rsidRPr="009C72ED" w:rsidP="004364F5" w14:paraId="3E182C33" w14:textId="77777777">
      <w:pPr>
        <w:pStyle w:val="FootnoteText"/>
        <w:spacing w:line="360" w:lineRule="auto"/>
        <w:rPr>
          <w:szCs w:val="26"/>
        </w:rPr>
      </w:pPr>
      <w:r w:rsidRPr="009C72ED">
        <w:rPr>
          <w:rStyle w:val="FootnoteReference"/>
          <w:szCs w:val="26"/>
        </w:rPr>
        <w:footnoteRef/>
      </w:r>
      <w:r w:rsidRPr="009C72ED">
        <w:rPr>
          <w:szCs w:val="26"/>
        </w:rPr>
        <w:t xml:space="preserve"> </w:t>
      </w:r>
      <w:r w:rsidRPr="00FE7B37">
        <w:rPr>
          <w:i/>
          <w:iCs/>
          <w:szCs w:val="26"/>
        </w:rPr>
        <w:t>Id</w:t>
      </w:r>
      <w:r>
        <w:rPr>
          <w:szCs w:val="26"/>
        </w:rPr>
        <w:t>.</w:t>
      </w:r>
      <w:r w:rsidRPr="009C72ED">
        <w:rPr>
          <w:szCs w:val="26"/>
        </w:rPr>
        <w:t xml:space="preserve"> at 10.</w:t>
      </w:r>
    </w:p>
  </w:footnote>
  <w:footnote w:id="33">
    <w:p w:rsidR="004364F5" w:rsidRPr="0043709B" w:rsidP="004364F5" w14:paraId="40646AB5" w14:textId="77777777">
      <w:pPr>
        <w:pStyle w:val="FootnoteText"/>
        <w:spacing w:line="360" w:lineRule="auto"/>
        <w:rPr>
          <w:szCs w:val="26"/>
        </w:rPr>
      </w:pPr>
      <w:r w:rsidRPr="0043709B">
        <w:rPr>
          <w:rStyle w:val="FootnoteReference"/>
          <w:szCs w:val="26"/>
        </w:rPr>
        <w:footnoteRef/>
      </w:r>
      <w:r w:rsidRPr="0043709B">
        <w:rPr>
          <w:szCs w:val="26"/>
        </w:rPr>
        <w:t xml:space="preserve"> </w:t>
      </w:r>
      <w:r w:rsidRPr="00FE7B37">
        <w:rPr>
          <w:i/>
          <w:iCs/>
          <w:szCs w:val="26"/>
        </w:rPr>
        <w:t>Id</w:t>
      </w:r>
      <w:r w:rsidRPr="0043709B">
        <w:rPr>
          <w:szCs w:val="26"/>
        </w:rPr>
        <w:t>.</w:t>
      </w:r>
    </w:p>
  </w:footnote>
  <w:footnote w:id="34">
    <w:p w:rsidR="00BB70A7" w:rsidRPr="003A1321" w:rsidP="00C602B3" w14:paraId="6BAF8D4F" w14:textId="73509672">
      <w:pPr>
        <w:pStyle w:val="FootnoteText"/>
        <w:ind w:right="-270"/>
      </w:pPr>
      <w:r>
        <w:rPr>
          <w:rStyle w:val="FootnoteReference"/>
        </w:rPr>
        <w:footnoteRef/>
      </w:r>
      <w:r>
        <w:t xml:space="preserve"> </w:t>
      </w:r>
      <w:r>
        <w:rPr>
          <w:i/>
          <w:iCs/>
        </w:rPr>
        <w:t>See, e.g</w:t>
      </w:r>
      <w:r w:rsidRPr="00446A1B">
        <w:rPr>
          <w:i/>
          <w:iCs/>
        </w:rPr>
        <w:t>.,</w:t>
      </w:r>
      <w:r w:rsidRPr="00446A1B" w:rsidR="00453385">
        <w:rPr>
          <w:szCs w:val="22"/>
        </w:rPr>
        <w:t xml:space="preserve"> </w:t>
      </w:r>
      <w:r w:rsidRPr="00420364" w:rsidR="00696189">
        <w:rPr>
          <w:i/>
          <w:iCs/>
        </w:rPr>
        <w:t>Pub</w:t>
      </w:r>
      <w:r w:rsidR="00696189">
        <w:rPr>
          <w:i/>
          <w:iCs/>
        </w:rPr>
        <w:t>.</w:t>
      </w:r>
      <w:r w:rsidRPr="00420364" w:rsidR="00696189">
        <w:rPr>
          <w:i/>
          <w:iCs/>
        </w:rPr>
        <w:t xml:space="preserve"> Util</w:t>
      </w:r>
      <w:r w:rsidR="00696189">
        <w:rPr>
          <w:i/>
          <w:iCs/>
        </w:rPr>
        <w:t>.</w:t>
      </w:r>
      <w:r w:rsidRPr="00420364" w:rsidR="00696189">
        <w:rPr>
          <w:i/>
          <w:iCs/>
        </w:rPr>
        <w:t xml:space="preserve"> </w:t>
      </w:r>
      <w:r w:rsidRPr="00420364" w:rsidR="00453385">
        <w:rPr>
          <w:i/>
          <w:iCs/>
        </w:rPr>
        <w:t xml:space="preserve">Transmission Rate Changes to Address Accumulated Deferred Income Taxes, </w:t>
      </w:r>
      <w:r w:rsidRPr="00420364" w:rsidR="00453385">
        <w:t>Order No. 864, 84 FR 65,281</w:t>
      </w:r>
      <w:r w:rsidR="003F79F7">
        <w:t xml:space="preserve"> (Nov. 27, 2019)</w:t>
      </w:r>
      <w:r w:rsidR="00C602B3">
        <w:t>,</w:t>
      </w:r>
      <w:r w:rsidR="003F79F7">
        <w:t xml:space="preserve"> </w:t>
      </w:r>
      <w:r w:rsidRPr="00420364" w:rsidR="00453385">
        <w:t>169 FERC ¶ 61,139</w:t>
      </w:r>
      <w:r w:rsidR="00C602B3">
        <w:t xml:space="preserve"> (2019</w:t>
      </w:r>
      <w:r w:rsidR="003F79F7">
        <w:t xml:space="preserve">), </w:t>
      </w:r>
      <w:r w:rsidR="003F79F7">
        <w:rPr>
          <w:i/>
          <w:iCs/>
        </w:rPr>
        <w:t>order on reh’g and clarification</w:t>
      </w:r>
      <w:r w:rsidR="003F79F7">
        <w:t>, 171 FERC ¶ 61,033 (2020)</w:t>
      </w:r>
      <w:r w:rsidRPr="00FD19A6" w:rsidR="00453385">
        <w:rPr>
          <w:i/>
          <w:iCs/>
        </w:rPr>
        <w:t>.</w:t>
      </w:r>
      <w:r w:rsidRPr="00420364" w:rsidR="00453385">
        <w:rPr>
          <w:i/>
          <w:iCs/>
        </w:rPr>
        <w:t xml:space="preserve"> </w:t>
      </w:r>
      <w:r w:rsidR="00AF0E07">
        <w:t xml:space="preserve"> </w:t>
      </w:r>
      <w:r w:rsidR="003A1321">
        <w:t xml:space="preserve">While not revising any regulatory text, the Commission is using the process provided for rulemaking proceedings, as defined in 5 U.S.C. 551(4)-(5).  </w:t>
      </w:r>
    </w:p>
  </w:footnote>
  <w:footnote w:id="35">
    <w:p w:rsidR="007B2D38" w:rsidP="007B2D38" w14:paraId="1FFEAFA2" w14:textId="77B80F8F">
      <w:pPr>
        <w:pStyle w:val="FootnoteText"/>
      </w:pPr>
      <w:r>
        <w:rPr>
          <w:rStyle w:val="FootnoteReference"/>
        </w:rPr>
        <w:footnoteRef/>
      </w:r>
      <w:r>
        <w:t xml:space="preserve"> </w:t>
      </w:r>
      <w:r w:rsidRPr="007D4902">
        <w:rPr>
          <w:i/>
          <w:iCs/>
        </w:rPr>
        <w:t>See also</w:t>
      </w:r>
      <w:r>
        <w:t xml:space="preserve"> </w:t>
      </w:r>
      <w:r w:rsidRPr="00910A08">
        <w:rPr>
          <w:i/>
          <w:iCs/>
        </w:rPr>
        <w:t>Tex</w:t>
      </w:r>
      <w:r w:rsidR="00130AD7">
        <w:rPr>
          <w:i/>
          <w:iCs/>
        </w:rPr>
        <w:t>.</w:t>
      </w:r>
      <w:r w:rsidRPr="00910A08">
        <w:rPr>
          <w:i/>
          <w:iCs/>
        </w:rPr>
        <w:t xml:space="preserve"> E</w:t>
      </w:r>
      <w:r w:rsidR="00130AD7">
        <w:rPr>
          <w:i/>
          <w:iCs/>
        </w:rPr>
        <w:t>.</w:t>
      </w:r>
      <w:r w:rsidRPr="00910A08">
        <w:rPr>
          <w:i/>
          <w:iCs/>
        </w:rPr>
        <w:t xml:space="preserve"> Transmission, LP</w:t>
      </w:r>
      <w:r w:rsidRPr="00910A08">
        <w:t>, 165 FERC ¶ 61,287, at P 31 (2018)</w:t>
      </w:r>
      <w:r>
        <w:t xml:space="preserve">; </w:t>
      </w:r>
      <w:r w:rsidRPr="00910A08">
        <w:rPr>
          <w:i/>
          <w:iCs/>
        </w:rPr>
        <w:t>E</w:t>
      </w:r>
      <w:r w:rsidR="0023106D">
        <w:rPr>
          <w:i/>
          <w:iCs/>
        </w:rPr>
        <w:t>.</w:t>
      </w:r>
      <w:r w:rsidRPr="00910A08">
        <w:rPr>
          <w:i/>
          <w:iCs/>
        </w:rPr>
        <w:t xml:space="preserve"> Tenn</w:t>
      </w:r>
      <w:r w:rsidR="0023106D">
        <w:rPr>
          <w:i/>
          <w:iCs/>
        </w:rPr>
        <w:t>.</w:t>
      </w:r>
      <w:r w:rsidRPr="00910A08">
        <w:rPr>
          <w:i/>
          <w:iCs/>
        </w:rPr>
        <w:t xml:space="preserve"> Nat</w:t>
      </w:r>
      <w:r w:rsidR="0023106D">
        <w:rPr>
          <w:i/>
          <w:iCs/>
        </w:rPr>
        <w:t>.</w:t>
      </w:r>
      <w:r w:rsidRPr="00910A08">
        <w:rPr>
          <w:i/>
          <w:iCs/>
        </w:rPr>
        <w:t xml:space="preserve"> Gas, LLC</w:t>
      </w:r>
      <w:r w:rsidRPr="00910A08">
        <w:t>, 172 FERC ¶ 61,114, at PP 33-34 (2020).</w:t>
      </w:r>
    </w:p>
  </w:footnote>
  <w:footnote w:id="36">
    <w:p w:rsidR="00CF46A4" w:rsidRPr="007240F6" w:rsidP="00CF46A4" w14:paraId="35CB66E2" w14:textId="1AFF59C7">
      <w:pPr>
        <w:pStyle w:val="FootnoteText"/>
      </w:pPr>
      <w:r>
        <w:rPr>
          <w:rStyle w:val="FootnoteReference"/>
        </w:rPr>
        <w:footnoteRef/>
      </w:r>
      <w:r>
        <w:t xml:space="preserve"> </w:t>
      </w:r>
      <w:r w:rsidRPr="00C63D57" w:rsidR="00C63D57">
        <w:t>Joint Commenters</w:t>
      </w:r>
      <w:r w:rsidR="001B2B1B">
        <w:t xml:space="preserve"> Comme</w:t>
      </w:r>
      <w:r w:rsidR="001C2829">
        <w:t>n</w:t>
      </w:r>
      <w:r w:rsidR="001B2B1B">
        <w:t>ts</w:t>
      </w:r>
      <w:r>
        <w:rPr>
          <w:i/>
          <w:iCs/>
        </w:rPr>
        <w:t xml:space="preserve"> </w:t>
      </w:r>
      <w:r>
        <w:t>at 11</w:t>
      </w:r>
      <w:r w:rsidR="001B2B1B">
        <w:t>-12</w:t>
      </w:r>
      <w:r>
        <w:t xml:space="preserve">.  </w:t>
      </w:r>
    </w:p>
  </w:footnote>
  <w:footnote w:id="37">
    <w:p w:rsidR="000B77D2" w:rsidRPr="00C00140" w:rsidP="000B77D2" w14:paraId="30CF76C3" w14:textId="77777777">
      <w:pPr>
        <w:pStyle w:val="FootnoteText"/>
      </w:pPr>
      <w:r w:rsidRPr="00C00140">
        <w:rPr>
          <w:rStyle w:val="FootnoteReference"/>
        </w:rPr>
        <w:footnoteRef/>
      </w:r>
      <w:r w:rsidRPr="00C00140">
        <w:t xml:space="preserve"> INGAA Reply Comments at 2.</w:t>
      </w:r>
    </w:p>
  </w:footnote>
  <w:footnote w:id="38">
    <w:p w:rsidR="000B77D2" w:rsidRPr="00C00140" w:rsidP="000B77D2" w14:paraId="220BEEF5" w14:textId="60CD04C0">
      <w:pPr>
        <w:pStyle w:val="FootnoteText"/>
      </w:pPr>
      <w:r w:rsidRPr="00C00140">
        <w:rPr>
          <w:rStyle w:val="FootnoteReference"/>
        </w:rPr>
        <w:footnoteRef/>
      </w:r>
      <w:r w:rsidRPr="00C00140">
        <w:t xml:space="preserve"> </w:t>
      </w:r>
      <w:r w:rsidR="004026AB">
        <w:rPr>
          <w:i/>
          <w:iCs/>
        </w:rPr>
        <w:t xml:space="preserve">Id. </w:t>
      </w:r>
      <w:r w:rsidRPr="00C00140">
        <w:t xml:space="preserve">at 4 (citing </w:t>
      </w:r>
      <w:r w:rsidRPr="00C00140">
        <w:rPr>
          <w:i/>
          <w:iCs/>
        </w:rPr>
        <w:t>Seife v. Food &amp; Drug Admin.</w:t>
      </w:r>
      <w:r w:rsidRPr="00C00140">
        <w:t xml:space="preserve">, 492 F. Supp. 3d 269, 276-77 (S.D.N.Y. 2020) (limited disclosures </w:t>
      </w:r>
      <w:r w:rsidRPr="00372E31">
        <w:t>subject to nondisclosure agreements and “not made to the general public, do not preclude Exemption 4</w:t>
      </w:r>
      <w:r w:rsidRPr="00C00140">
        <w:t xml:space="preserve"> protection”)</w:t>
      </w:r>
      <w:r w:rsidR="00790EF8">
        <w:t>)</w:t>
      </w:r>
      <w:r w:rsidRPr="00C00140">
        <w:t>.</w:t>
      </w:r>
    </w:p>
  </w:footnote>
  <w:footnote w:id="39">
    <w:p w:rsidR="000B77D2" w:rsidRPr="00C00140" w:rsidP="000B77D2" w14:paraId="3EDAF7DC" w14:textId="20B0800E">
      <w:pPr>
        <w:pStyle w:val="FootnoteText"/>
      </w:pPr>
      <w:r w:rsidRPr="00C00140">
        <w:rPr>
          <w:rStyle w:val="FootnoteReference"/>
        </w:rPr>
        <w:footnoteRef/>
      </w:r>
      <w:r w:rsidRPr="00C00140">
        <w:t xml:space="preserve"> </w:t>
      </w:r>
      <w:r w:rsidR="001B2B1B">
        <w:rPr>
          <w:i/>
          <w:iCs/>
        </w:rPr>
        <w:t xml:space="preserve">Id. </w:t>
      </w:r>
      <w:r w:rsidRPr="00C00140">
        <w:t xml:space="preserve">at 4-5 </w:t>
      </w:r>
      <w:r w:rsidRPr="003E7FC5">
        <w:t>(citing Order No. 703, 121 FERC ¶ 61,171</w:t>
      </w:r>
      <w:r w:rsidRPr="003E7FC5" w:rsidR="001C1C8B">
        <w:t xml:space="preserve"> at P 26</w:t>
      </w:r>
      <w:r w:rsidRPr="003E7FC5" w:rsidR="006B679A">
        <w:t>)</w:t>
      </w:r>
      <w:r w:rsidRPr="00C00140">
        <w:t>.</w:t>
      </w:r>
    </w:p>
  </w:footnote>
  <w:footnote w:id="40">
    <w:p w:rsidR="000B77D2" w:rsidRPr="00C00140" w:rsidP="000B77D2" w14:paraId="71637801" w14:textId="73EB4BEE">
      <w:pPr>
        <w:pStyle w:val="FootnoteText"/>
      </w:pPr>
      <w:r w:rsidRPr="00C00140">
        <w:rPr>
          <w:rStyle w:val="FootnoteReference"/>
        </w:rPr>
        <w:footnoteRef/>
      </w:r>
      <w:r w:rsidRPr="00C00140">
        <w:t xml:space="preserve"> </w:t>
      </w:r>
      <w:r w:rsidRPr="000D233A" w:rsidR="00F94F0E">
        <w:rPr>
          <w:i/>
          <w:iCs/>
        </w:rPr>
        <w:t>Id.</w:t>
      </w:r>
      <w:r w:rsidRPr="00C00140">
        <w:t xml:space="preserve"> at 5-6.</w:t>
      </w:r>
    </w:p>
  </w:footnote>
  <w:footnote w:id="41">
    <w:p w:rsidR="000B77D2" w:rsidP="000B77D2" w14:paraId="0FFFAA57" w14:textId="6BB09B65">
      <w:pPr>
        <w:pStyle w:val="FootnoteText"/>
      </w:pPr>
      <w:r w:rsidRPr="00C00140">
        <w:rPr>
          <w:rStyle w:val="FootnoteReference"/>
        </w:rPr>
        <w:footnoteRef/>
      </w:r>
      <w:r w:rsidRPr="00C00140">
        <w:t xml:space="preserve"> </w:t>
      </w:r>
      <w:r w:rsidR="002C6102">
        <w:rPr>
          <w:i/>
          <w:iCs/>
        </w:rPr>
        <w:t xml:space="preserve">Id. </w:t>
      </w:r>
      <w:r w:rsidRPr="00C00140">
        <w:t>at 6.</w:t>
      </w:r>
    </w:p>
  </w:footnote>
  <w:footnote w:id="42">
    <w:p w:rsidR="004811B1" w:rsidP="004811B1" w14:paraId="6B41ADCD" w14:textId="317BD8A8">
      <w:pPr>
        <w:pStyle w:val="FootnoteText"/>
      </w:pPr>
      <w:r>
        <w:rPr>
          <w:rStyle w:val="FootnoteReference"/>
        </w:rPr>
        <w:footnoteRef/>
      </w:r>
      <w:r>
        <w:t xml:space="preserve"> </w:t>
      </w:r>
      <w:r w:rsidRPr="00355A6E">
        <w:rPr>
          <w:i/>
          <w:iCs/>
        </w:rPr>
        <w:t>See</w:t>
      </w:r>
      <w:r w:rsidRPr="00F24081">
        <w:t xml:space="preserve"> </w:t>
      </w:r>
      <w:r w:rsidRPr="00EB76C9">
        <w:t>Order No. 582</w:t>
      </w:r>
      <w:r w:rsidRPr="00EB76C9" w:rsidR="001C1C8B">
        <w:t xml:space="preserve">, </w:t>
      </w:r>
      <w:r w:rsidRPr="00EB76C9" w:rsidR="008248A8">
        <w:t xml:space="preserve">FERC Stats. &amp; Regs. ¶ 31,025, </w:t>
      </w:r>
      <w:r w:rsidR="00D97468">
        <w:t>at 31,435,</w:t>
      </w:r>
      <w:r w:rsidRPr="00EB76C9">
        <w:t xml:space="preserve"> Order No. 703</w:t>
      </w:r>
      <w:r w:rsidRPr="00EB76C9" w:rsidR="001C1C8B">
        <w:t>, 121 FERC ¶ 61,171</w:t>
      </w:r>
      <w:r w:rsidRPr="00EB76C9">
        <w:t xml:space="preserve"> at P 26</w:t>
      </w:r>
      <w:r w:rsidRPr="0011144A">
        <w:t>.</w:t>
      </w:r>
    </w:p>
  </w:footnote>
  <w:footnote w:id="43">
    <w:p w:rsidR="00CF46A4" w:rsidRPr="001C01E1" w:rsidP="00CF46A4" w14:paraId="0FF92F21" w14:textId="7B283F77">
      <w:pPr>
        <w:pStyle w:val="FootnoteText"/>
      </w:pPr>
      <w:r w:rsidRPr="001C01E1">
        <w:rPr>
          <w:rStyle w:val="FootnoteReference"/>
        </w:rPr>
        <w:footnoteRef/>
      </w:r>
      <w:r w:rsidRPr="001C01E1">
        <w:t xml:space="preserve"> INGAA Comments at 2 </w:t>
      </w:r>
      <w:r w:rsidRPr="00275260">
        <w:t>(citing Order No. 582</w:t>
      </w:r>
      <w:r w:rsidRPr="00275260" w:rsidR="00495A0B">
        <w:t xml:space="preserve">, </w:t>
      </w:r>
      <w:r w:rsidRPr="00275260" w:rsidR="0096053F">
        <w:t xml:space="preserve">FERC Stats. &amp; Regs. ¶ 31,025, </w:t>
      </w:r>
      <w:r w:rsidR="00D97468">
        <w:t>at 31,435</w:t>
      </w:r>
      <w:r w:rsidRPr="00275260">
        <w:t>).</w:t>
      </w:r>
    </w:p>
  </w:footnote>
  <w:footnote w:id="44">
    <w:p w:rsidR="00CF46A4" w:rsidRPr="001C01E1" w:rsidP="00D97468" w14:paraId="6591B949" w14:textId="646AC462">
      <w:pPr>
        <w:pStyle w:val="FootnoteText"/>
        <w:ind w:right="-90"/>
      </w:pPr>
      <w:r w:rsidRPr="001C01E1">
        <w:rPr>
          <w:rStyle w:val="FootnoteReference"/>
        </w:rPr>
        <w:footnoteRef/>
      </w:r>
      <w:r w:rsidRPr="001C01E1">
        <w:t xml:space="preserve"> </w:t>
      </w:r>
      <w:r w:rsidRPr="000D233A" w:rsidR="00F94F0E">
        <w:rPr>
          <w:i/>
          <w:iCs/>
        </w:rPr>
        <w:t>Id.</w:t>
      </w:r>
      <w:r w:rsidRPr="000D233A">
        <w:t xml:space="preserve"> at</w:t>
      </w:r>
      <w:r w:rsidRPr="001C01E1">
        <w:t xml:space="preserve"> 3 (</w:t>
      </w:r>
      <w:r w:rsidRPr="00275260">
        <w:t>citing Order No. 582</w:t>
      </w:r>
      <w:r w:rsidRPr="00275260" w:rsidR="001C1C8B">
        <w:t xml:space="preserve">, FERC Stats. </w:t>
      </w:r>
      <w:r w:rsidR="00D97468">
        <w:t>&amp;</w:t>
      </w:r>
      <w:r w:rsidRPr="00275260" w:rsidR="00D97468">
        <w:t xml:space="preserve"> Regs. ¶ 31,025</w:t>
      </w:r>
      <w:r w:rsidR="00D97468">
        <w:t xml:space="preserve"> at 31,435</w:t>
      </w:r>
      <w:r w:rsidRPr="00275260">
        <w:t>).  INGAA also states that the Commission stated th</w:t>
      </w:r>
      <w:r w:rsidRPr="001C01E1">
        <w:t xml:space="preserve">at this information “may be discoverable at hearing if found necessary in a particular case.”  </w:t>
      </w:r>
      <w:r w:rsidRPr="001C01E1">
        <w:rPr>
          <w:i/>
          <w:iCs/>
        </w:rPr>
        <w:t>Id</w:t>
      </w:r>
      <w:r w:rsidRPr="001C01E1">
        <w:t>.</w:t>
      </w:r>
    </w:p>
  </w:footnote>
  <w:footnote w:id="45">
    <w:p w:rsidR="000B499C" w:rsidP="0070008D" w14:paraId="479C65B1" w14:textId="77777777">
      <w:pPr>
        <w:pStyle w:val="FootnoteText"/>
      </w:pPr>
      <w:r w:rsidRPr="001C01E1">
        <w:rPr>
          <w:rStyle w:val="FootnoteReference"/>
        </w:rPr>
        <w:footnoteRef/>
      </w:r>
      <w:r w:rsidRPr="001C01E1">
        <w:t xml:space="preserve"> </w:t>
      </w:r>
      <w:r w:rsidR="00922B38">
        <w:rPr>
          <w:i/>
          <w:iCs/>
        </w:rPr>
        <w:t>Id.</w:t>
      </w:r>
      <w:r w:rsidRPr="001C01E1">
        <w:t xml:space="preserve"> at 4 (citing </w:t>
      </w:r>
      <w:r w:rsidRPr="001C01E1">
        <w:rPr>
          <w:i/>
          <w:iCs/>
        </w:rPr>
        <w:t>FERC Implementation Guide for Elec</w:t>
      </w:r>
      <w:r w:rsidR="00C602B3">
        <w:rPr>
          <w:i/>
          <w:iCs/>
        </w:rPr>
        <w:t>.</w:t>
      </w:r>
      <w:r w:rsidRPr="001C01E1">
        <w:rPr>
          <w:i/>
          <w:iCs/>
        </w:rPr>
        <w:t xml:space="preserve"> Filing of Parts 35, </w:t>
      </w:r>
      <w:r>
        <w:rPr>
          <w:i/>
          <w:iCs/>
        </w:rPr>
        <w:t xml:space="preserve">       </w:t>
      </w:r>
      <w:r w:rsidRPr="001C01E1">
        <w:rPr>
          <w:i/>
          <w:iCs/>
        </w:rPr>
        <w:t xml:space="preserve">154, 284, 300 </w:t>
      </w:r>
      <w:r w:rsidR="00764AF5">
        <w:rPr>
          <w:i/>
          <w:iCs/>
        </w:rPr>
        <w:t>&amp;</w:t>
      </w:r>
      <w:r w:rsidRPr="001C01E1" w:rsidR="00764AF5">
        <w:rPr>
          <w:i/>
          <w:iCs/>
        </w:rPr>
        <w:t xml:space="preserve"> </w:t>
      </w:r>
      <w:r w:rsidRPr="001C01E1">
        <w:rPr>
          <w:i/>
          <w:iCs/>
        </w:rPr>
        <w:t>341 Tariff Filings</w:t>
      </w:r>
      <w:r w:rsidR="00765EE4">
        <w:t>,</w:t>
      </w:r>
      <w:r w:rsidRPr="001C01E1">
        <w:t xml:space="preserve"> </w:t>
      </w:r>
      <w:r w:rsidRPr="000D233A">
        <w:t xml:space="preserve">Order </w:t>
      </w:r>
      <w:r w:rsidRPr="000D233A" w:rsidR="008C4054">
        <w:t>No.</w:t>
      </w:r>
      <w:r w:rsidR="008C4054">
        <w:t xml:space="preserve"> </w:t>
      </w:r>
      <w:r w:rsidRPr="00275260">
        <w:t>703</w:t>
      </w:r>
      <w:r w:rsidRPr="00275260" w:rsidR="001C1C8B">
        <w:t xml:space="preserve">, </w:t>
      </w:r>
      <w:r w:rsidRPr="00E55DC7" w:rsidR="00765EE4">
        <w:t>72 FR 65659</w:t>
      </w:r>
      <w:r w:rsidR="00765EE4">
        <w:t xml:space="preserve"> (Nov. 23, 2007), </w:t>
      </w:r>
      <w:r>
        <w:t xml:space="preserve">       </w:t>
      </w:r>
    </w:p>
    <w:p w:rsidR="000B499C" w:rsidP="0070008D" w14:paraId="5E0A6C15" w14:textId="77777777">
      <w:pPr>
        <w:pStyle w:val="FootnoteText"/>
      </w:pPr>
    </w:p>
    <w:p w:rsidR="00CF46A4" w:rsidRPr="001C01E1" w:rsidP="000B499C" w14:paraId="5B3DCA1A" w14:textId="55F61EDA">
      <w:pPr>
        <w:pStyle w:val="FootnoteText"/>
        <w:ind w:firstLine="0"/>
      </w:pPr>
      <w:r w:rsidRPr="00275260">
        <w:t>121 FERC ¶ 61,171</w:t>
      </w:r>
      <w:r w:rsidRPr="00275260">
        <w:t xml:space="preserve"> at P 24 (“Submission</w:t>
      </w:r>
      <w:r w:rsidRPr="001C01E1">
        <w:t xml:space="preserve"> of text documents will be permissible in native or in</w:t>
      </w:r>
      <w:r w:rsidR="0070008D">
        <w:t xml:space="preserve"> </w:t>
      </w:r>
      <w:r w:rsidRPr="001C01E1">
        <w:t>searchable format.”)).</w:t>
      </w:r>
    </w:p>
  </w:footnote>
  <w:footnote w:id="46">
    <w:p w:rsidR="00CF46A4" w:rsidRPr="001C01E1" w:rsidP="00CF46A4" w14:paraId="6C7F4027" w14:textId="47702AC1">
      <w:pPr>
        <w:pStyle w:val="FootnoteText"/>
      </w:pPr>
      <w:r w:rsidRPr="001C01E1">
        <w:rPr>
          <w:rStyle w:val="FootnoteReference"/>
        </w:rPr>
        <w:footnoteRef/>
      </w:r>
      <w:r w:rsidRPr="001C01E1">
        <w:t xml:space="preserve"> </w:t>
      </w:r>
      <w:r w:rsidR="00922B38">
        <w:rPr>
          <w:i/>
          <w:iCs/>
        </w:rPr>
        <w:t>Id.</w:t>
      </w:r>
    </w:p>
  </w:footnote>
  <w:footnote w:id="47">
    <w:p w:rsidR="00CF46A4" w:rsidP="00CF46A4" w14:paraId="68CD09E8" w14:textId="5B560060">
      <w:pPr>
        <w:pStyle w:val="FootnoteText"/>
      </w:pPr>
      <w:r w:rsidRPr="001C01E1">
        <w:rPr>
          <w:rStyle w:val="FootnoteReference"/>
        </w:rPr>
        <w:footnoteRef/>
      </w:r>
      <w:r w:rsidRPr="001C01E1">
        <w:t xml:space="preserve"> </w:t>
      </w:r>
      <w:r w:rsidR="002C08D6">
        <w:rPr>
          <w:i/>
          <w:iCs/>
        </w:rPr>
        <w:t xml:space="preserve">Id. </w:t>
      </w:r>
      <w:r w:rsidRPr="001C01E1">
        <w:t>at 5.</w:t>
      </w:r>
    </w:p>
  </w:footnote>
  <w:footnote w:id="48">
    <w:p w:rsidR="00A94728" w:rsidP="00A94728" w14:paraId="7EFD25D0" w14:textId="77777777">
      <w:pPr>
        <w:pStyle w:val="FootnoteText"/>
      </w:pPr>
      <w:r>
        <w:rPr>
          <w:rStyle w:val="FootnoteReference"/>
        </w:rPr>
        <w:footnoteRef/>
      </w:r>
      <w:r>
        <w:t xml:space="preserve">  </w:t>
      </w:r>
      <w:r w:rsidRPr="00D34FD9">
        <w:rPr>
          <w:szCs w:val="26"/>
        </w:rPr>
        <w:t>BHE GT&amp;S Comments at 2.</w:t>
      </w:r>
    </w:p>
  </w:footnote>
  <w:footnote w:id="49">
    <w:p w:rsidR="00C61A95" w:rsidP="00C61A95" w14:paraId="34331FB1" w14:textId="77777777">
      <w:pPr>
        <w:pStyle w:val="FootnoteText"/>
      </w:pPr>
      <w:r>
        <w:rPr>
          <w:rStyle w:val="FootnoteReference"/>
        </w:rPr>
        <w:footnoteRef/>
      </w:r>
      <w:r>
        <w:t xml:space="preserve"> 44 U.S.C. 3507(d).</w:t>
      </w:r>
    </w:p>
  </w:footnote>
  <w:footnote w:id="50">
    <w:p w:rsidR="00C61A95" w:rsidP="00C61A95" w14:paraId="28538911" w14:textId="77777777">
      <w:pPr>
        <w:pStyle w:val="FootnoteText"/>
      </w:pPr>
      <w:r>
        <w:rPr>
          <w:rStyle w:val="FootnoteReference"/>
        </w:rPr>
        <w:footnoteRef/>
      </w:r>
      <w:r>
        <w:t xml:space="preserve"> 5 CFR 1320.11 (2021).</w:t>
      </w:r>
    </w:p>
  </w:footnote>
  <w:footnote w:id="51">
    <w:p w:rsidR="00C61A95" w:rsidP="00C61A95" w14:paraId="7748DDE3" w14:textId="0DBDE4B1">
      <w:pPr>
        <w:pStyle w:val="FootnoteText"/>
      </w:pPr>
      <w:r>
        <w:rPr>
          <w:rStyle w:val="FootnoteReference"/>
        </w:rPr>
        <w:footnoteRef/>
      </w:r>
      <w:r>
        <w:t xml:space="preserve"> “Burden” is the total time, effort, or financial resources expended by persons to generate, maintain, retain, disclose or provide information to or for a </w:t>
      </w:r>
      <w:r w:rsidR="00192DEC">
        <w:t>federal</w:t>
      </w:r>
      <w:r>
        <w:t xml:space="preserve"> agency.  For further explanation of what is included in the information collection burden, refer to        5 CFR 1320.3.</w:t>
      </w:r>
    </w:p>
  </w:footnote>
  <w:footnote w:id="52">
    <w:p w:rsidR="00C61A95" w:rsidP="00C61A95" w14:paraId="417547AC" w14:textId="290E2BB1">
      <w:pPr>
        <w:pStyle w:val="FootnoteText"/>
        <w:widowControl/>
        <w:spacing w:after="0"/>
      </w:pPr>
      <w:r>
        <w:rPr>
          <w:rStyle w:val="FootnoteReference"/>
        </w:rPr>
        <w:footnoteRef/>
      </w:r>
      <w:r>
        <w:t xml:space="preserve"> </w:t>
      </w:r>
      <w:r w:rsidRPr="002161A4">
        <w:t xml:space="preserve">The estimated hourly cost (salary plus benefits) provided in this section is </w:t>
      </w:r>
      <w:r w:rsidR="0062304E">
        <w:t xml:space="preserve">   </w:t>
      </w:r>
      <w:r w:rsidRPr="002161A4">
        <w:t xml:space="preserve">based on the salary figures for May 2021 posted by the Bureau of Labor Statistics for the Utilities sector (available at </w:t>
      </w:r>
      <w:r w:rsidRPr="00765EE4">
        <w:t>https://www.bls.gov/oes/current/naics3_221000.htm</w:t>
      </w:r>
      <w:r w:rsidRPr="002161A4">
        <w:t xml:space="preserve">) and scaled to reflect benefits using the relative importance of employer costs for employee compensation from </w:t>
      </w:r>
      <w:r w:rsidR="00192DEC">
        <w:t>March</w:t>
      </w:r>
      <w:r w:rsidRPr="002161A4">
        <w:t xml:space="preserve"> 202</w:t>
      </w:r>
      <w:r w:rsidR="00192DEC">
        <w:t>2</w:t>
      </w:r>
      <w:r w:rsidRPr="002161A4">
        <w:t xml:space="preserve"> (available at </w:t>
      </w:r>
      <w:r w:rsidRPr="00765EE4">
        <w:t>https://www.bls.gov/news.release/ecec.nr0.htm</w:t>
      </w:r>
      <w:r w:rsidRPr="002161A4">
        <w:t xml:space="preserve">).  The hourly estimates for salary plus benefits are: </w:t>
      </w:r>
      <w:r>
        <w:t xml:space="preserve"> </w:t>
      </w:r>
      <w:r w:rsidRPr="002161A4">
        <w:t>Computer and Information Systems Manager (Occupation Code:</w:t>
      </w:r>
      <w:r>
        <w:t xml:space="preserve">  </w:t>
      </w:r>
      <w:r w:rsidRPr="002161A4">
        <w:t>11-3021), $1</w:t>
      </w:r>
      <w:r w:rsidR="00192DEC">
        <w:t>11.63</w:t>
      </w:r>
      <w:r>
        <w:t xml:space="preserve">; </w:t>
      </w:r>
      <w:r w:rsidRPr="002161A4">
        <w:t>Computer and Information Analysts (Occupation Code:</w:t>
      </w:r>
      <w:r>
        <w:t xml:space="preserve">  </w:t>
      </w:r>
      <w:r w:rsidRPr="002161A4">
        <w:t>15-1</w:t>
      </w:r>
      <w:r w:rsidR="00192DEC">
        <w:t>210)</w:t>
      </w:r>
      <w:r w:rsidRPr="002161A4">
        <w:t>, $</w:t>
      </w:r>
      <w:r w:rsidR="00192DEC">
        <w:t>76.35</w:t>
      </w:r>
      <w:r>
        <w:t xml:space="preserve">; </w:t>
      </w:r>
      <w:r w:rsidRPr="002161A4">
        <w:t>Electrical Engineer (Occupation Code:</w:t>
      </w:r>
      <w:r>
        <w:t xml:space="preserve">  </w:t>
      </w:r>
      <w:r w:rsidR="00192DEC">
        <w:t>1</w:t>
      </w:r>
      <w:r w:rsidRPr="002161A4">
        <w:t>7-2071), $7</w:t>
      </w:r>
      <w:r w:rsidR="00192DEC">
        <w:t>7.02</w:t>
      </w:r>
      <w:r>
        <w:t xml:space="preserve">; </w:t>
      </w:r>
      <w:r w:rsidRPr="002161A4">
        <w:t>Legal (Occupation Code:</w:t>
      </w:r>
      <w:r>
        <w:t xml:space="preserve">  </w:t>
      </w:r>
      <w:r w:rsidR="00765EE4">
        <w:t xml:space="preserve">    </w:t>
      </w:r>
      <w:r w:rsidRPr="002161A4">
        <w:t>23-0000), $14</w:t>
      </w:r>
      <w:r w:rsidR="00192DEC">
        <w:t>5.35</w:t>
      </w:r>
      <w:r>
        <w:t xml:space="preserve">.  </w:t>
      </w:r>
      <w:r w:rsidRPr="002161A4">
        <w:t>The average hourly cost (salary plus benefits)</w:t>
      </w:r>
      <w:r>
        <w:t xml:space="preserve"> </w:t>
      </w:r>
      <w:r w:rsidRPr="002161A4">
        <w:t>weighting all of t</w:t>
      </w:r>
      <w:r>
        <w:t xml:space="preserve">he above </w:t>
      </w:r>
      <w:r w:rsidRPr="002161A4">
        <w:t>skill sets evenly, is $</w:t>
      </w:r>
      <w:r w:rsidR="00192DEC">
        <w:t>102.59</w:t>
      </w:r>
      <w:r w:rsidRPr="002161A4">
        <w:t>.</w:t>
      </w:r>
      <w:r>
        <w:t xml:space="preserve">  </w:t>
      </w:r>
      <w:r w:rsidRPr="002161A4">
        <w:t>We round it to $</w:t>
      </w:r>
      <w:r w:rsidR="00192DEC">
        <w:t>103</w:t>
      </w:r>
      <w:r w:rsidRPr="002161A4">
        <w:t>/hour.</w:t>
      </w:r>
      <w:r>
        <w:t xml:space="preserve"> </w:t>
      </w:r>
    </w:p>
  </w:footnote>
  <w:footnote w:id="53">
    <w:p w:rsidR="00F9403B" w:rsidRPr="00A972FF" w:rsidP="00F9403B" w14:paraId="2E49F862" w14:textId="03A1FC2C">
      <w:pPr>
        <w:pStyle w:val="FootnoteText"/>
      </w:pPr>
      <w:r w:rsidRPr="00F9403B">
        <w:rPr>
          <w:rStyle w:val="FootnoteReference"/>
        </w:rPr>
        <w:footnoteRef/>
      </w:r>
      <w:r w:rsidRPr="00A972FF">
        <w:t xml:space="preserve"> </w:t>
      </w:r>
      <w:r>
        <w:rPr>
          <w:i/>
          <w:iCs/>
        </w:rPr>
        <w:t>Regul</w:t>
      </w:r>
      <w:r w:rsidRPr="00870368">
        <w:rPr>
          <w:i/>
          <w:iCs/>
        </w:rPr>
        <w:t>s</w:t>
      </w:r>
      <w:r w:rsidR="00FA090C">
        <w:rPr>
          <w:i/>
          <w:iCs/>
        </w:rPr>
        <w:t>.</w:t>
      </w:r>
      <w:r w:rsidRPr="00870368">
        <w:rPr>
          <w:i/>
          <w:iCs/>
        </w:rPr>
        <w:t xml:space="preserve"> Implementing the </w:t>
      </w:r>
      <w:r w:rsidR="00FA090C">
        <w:rPr>
          <w:i/>
          <w:iCs/>
        </w:rPr>
        <w:t xml:space="preserve">Nat’l Env’t </w:t>
      </w:r>
      <w:r>
        <w:rPr>
          <w:i/>
          <w:iCs/>
        </w:rPr>
        <w:t>Pol</w:t>
      </w:r>
      <w:r w:rsidR="00FA090C">
        <w:rPr>
          <w:i/>
          <w:iCs/>
        </w:rPr>
        <w:t>’</w:t>
      </w:r>
      <w:r>
        <w:rPr>
          <w:i/>
          <w:iCs/>
        </w:rPr>
        <w:t>y</w:t>
      </w:r>
      <w:r w:rsidRPr="00870368">
        <w:rPr>
          <w:i/>
          <w:iCs/>
        </w:rPr>
        <w:t xml:space="preserve"> Act</w:t>
      </w:r>
      <w:r w:rsidRPr="00A972FF">
        <w:t>, Ord</w:t>
      </w:r>
      <w:r>
        <w:t>er</w:t>
      </w:r>
      <w:r w:rsidRPr="00A972FF">
        <w:t xml:space="preserve"> No. 486,</w:t>
      </w:r>
      <w:r>
        <w:t xml:space="preserve"> </w:t>
      </w:r>
      <w:r w:rsidRPr="00A972FF">
        <w:t>52 FR 47897 (Dec. 17, 1987), FERC Stats. &amp; Regs. ¶</w:t>
      </w:r>
      <w:r>
        <w:t> </w:t>
      </w:r>
      <w:r w:rsidRPr="00A972FF">
        <w:t>30,783 (1987)</w:t>
      </w:r>
      <w:r>
        <w:t xml:space="preserve"> (cross-referenced at </w:t>
      </w:r>
      <w:r w:rsidRPr="00870368">
        <w:t>41 FERC ¶</w:t>
      </w:r>
      <w:r>
        <w:t> </w:t>
      </w:r>
      <w:r w:rsidRPr="00870368">
        <w:t>61,284</w:t>
      </w:r>
      <w:r>
        <w:t>)</w:t>
      </w:r>
      <w:r w:rsidRPr="00A972FF">
        <w:t>.</w:t>
      </w:r>
    </w:p>
  </w:footnote>
  <w:footnote w:id="54">
    <w:p w:rsidR="00C61A95" w:rsidRPr="00597AE0" w:rsidP="00C61A95" w14:paraId="101A8309" w14:textId="77777777">
      <w:pPr>
        <w:pStyle w:val="FootnoteText"/>
      </w:pPr>
      <w:r w:rsidRPr="00597AE0">
        <w:rPr>
          <w:b/>
          <w:vertAlign w:val="superscript"/>
        </w:rPr>
        <w:footnoteRef/>
      </w:r>
      <w:r w:rsidRPr="00597AE0">
        <w:t xml:space="preserve"> </w:t>
      </w:r>
      <w:r w:rsidRPr="00597AE0">
        <w:rPr>
          <w:i/>
        </w:rPr>
        <w:t>See</w:t>
      </w:r>
      <w:r w:rsidRPr="00597AE0">
        <w:t xml:space="preserve"> 18 CFR 380.4(a)(2)(ii), 380.4(a)(5) </w:t>
      </w:r>
      <w:r>
        <w:t>&amp;</w:t>
      </w:r>
      <w:r w:rsidRPr="00597AE0">
        <w:t xml:space="preserve"> 380.4(a)(27)</w:t>
      </w:r>
      <w:r>
        <w:t xml:space="preserve"> (2021)</w:t>
      </w:r>
      <w:r w:rsidRPr="00597AE0">
        <w:t>.</w:t>
      </w:r>
    </w:p>
  </w:footnote>
  <w:footnote w:id="55">
    <w:p w:rsidR="00F9403B" w:rsidRPr="00A972FF" w:rsidP="00F9403B" w14:paraId="66CA8A83" w14:textId="77777777">
      <w:pPr>
        <w:pStyle w:val="FootnoteText"/>
      </w:pPr>
      <w:r w:rsidRPr="00F9403B">
        <w:rPr>
          <w:rStyle w:val="FootnoteReference"/>
        </w:rPr>
        <w:footnoteRef/>
      </w:r>
      <w:r w:rsidRPr="00A972FF">
        <w:t xml:space="preserve"> 5 U.S.C. 601-612.</w:t>
      </w:r>
    </w:p>
  </w:footnote>
  <w:footnote w:id="56">
    <w:p w:rsidR="001178CE" w:rsidP="00B31B2A" w14:paraId="11DE60E5" w14:textId="60A79FAF">
      <w:pPr>
        <w:pStyle w:val="FootnoteText"/>
        <w:ind w:right="-270"/>
      </w:pPr>
      <w:r>
        <w:rPr>
          <w:rStyle w:val="FootnoteReference"/>
        </w:rPr>
        <w:footnoteRef/>
      </w:r>
      <w:r>
        <w:t xml:space="preserve"> Small Business Administration NAICS Category 486210, “Pipeline Transportation of Natural Gas” under 13 CFR Chapter 1 Part 121</w:t>
      </w:r>
      <w:r w:rsidR="00F4244D">
        <w:t>.</w:t>
      </w:r>
    </w:p>
  </w:footnote>
  <w:footnote w:id="57">
    <w:p w:rsidR="004A7143" w:rsidP="004A7143" w14:paraId="19A43E8B" w14:textId="77777777">
      <w:pPr>
        <w:pStyle w:val="FootnoteText"/>
      </w:pPr>
      <w:r>
        <w:rPr>
          <w:rStyle w:val="FootnoteReference"/>
        </w:rPr>
        <w:footnoteRef/>
      </w:r>
      <w:r>
        <w:t xml:space="preserve"> </w:t>
      </w:r>
      <w:r w:rsidRPr="00C30C79">
        <w:rPr>
          <w:i/>
          <w:iCs/>
        </w:rPr>
        <w:t>Revised Filing &amp; Reporting Requirements for Interstate Nat. Gas Co. Rate Schedules &amp; Tariffs</w:t>
      </w:r>
      <w:r w:rsidRPr="00C30C79">
        <w:t>,</w:t>
      </w:r>
      <w:r>
        <w:t xml:space="preserve"> 181 FERC ¶ 61,121 (2022).</w:t>
      </w:r>
    </w:p>
  </w:footnote>
  <w:footnote w:id="58">
    <w:p w:rsidR="004A7143" w:rsidP="004A7143" w14:paraId="4D001DC8" w14:textId="77777777">
      <w:pPr>
        <w:pStyle w:val="FootnoteText"/>
      </w:pPr>
      <w:r>
        <w:rPr>
          <w:rStyle w:val="FootnoteReference"/>
        </w:rPr>
        <w:footnoteRef/>
      </w:r>
      <w:r>
        <w:t xml:space="preserve"> </w:t>
      </w:r>
      <w:r>
        <w:rPr>
          <w:i/>
          <w:iCs/>
        </w:rPr>
        <w:t xml:space="preserve">Id. </w:t>
      </w:r>
      <w:r>
        <w:t>P 12 (</w:t>
      </w:r>
      <w:r w:rsidRPr="00401DD3">
        <w:t>“</w:t>
      </w:r>
      <w:r>
        <w:t xml:space="preserve">Moreover, </w:t>
      </w:r>
      <w:r w:rsidRPr="00401DD3">
        <w:t>while pipelines may incur increased costs to comply with this final rule</w:t>
      </w:r>
      <w:r>
        <w:t xml:space="preserve">, we find that </w:t>
      </w:r>
      <w:r w:rsidRPr="00401DD3">
        <w:t>any additional burden would be limited.</w:t>
      </w:r>
      <w:r>
        <w:t> . . .</w:t>
      </w:r>
      <w:r w:rsidRPr="00401DD3">
        <w:t>”</w:t>
      </w:r>
      <w:r>
        <w:t>).</w:t>
      </w:r>
    </w:p>
  </w:footnote>
  <w:footnote w:id="59">
    <w:p w:rsidR="004A7143" w:rsidRPr="00401DD3" w:rsidP="004A7143" w14:paraId="18835FD8" w14:textId="77777777">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403B" w:rsidP="00784184" w14:paraId="10651A6A" w14:textId="42E223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481">
      <w:rPr>
        <w:rStyle w:val="PageNumber"/>
        <w:noProof/>
      </w:rPr>
      <w:t>i</w:t>
    </w:r>
    <w:r>
      <w:rPr>
        <w:rStyle w:val="PageNumber"/>
      </w:rPr>
      <w:fldChar w:fldCharType="end"/>
    </w:r>
  </w:p>
  <w:p w:rsidR="00F9403B" w:rsidP="00784184" w14:paraId="11B31F7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403B" w:rsidP="00F9403B" w14:paraId="1D665583" w14:textId="325B83FC">
    <w:pPr>
      <w:pStyle w:val="Header"/>
      <w:tabs>
        <w:tab w:val="clear" w:pos="4680"/>
      </w:tabs>
      <w:spacing w:after="240"/>
    </w:pPr>
    <w:r>
      <w:t xml:space="preserve">Docket No. </w:t>
    </w:r>
    <w:r w:rsidR="00922B38">
      <w:t>RM21-18-000</w:t>
    </w:r>
    <w:r>
      <w:t xml:space="preserve"> </w:t>
    </w:r>
    <w:r>
      <w:tab/>
    </w:r>
    <w:r>
      <w:fldChar w:fldCharType="begin"/>
    </w:r>
    <w:r>
      <w:instrText xml:space="preserve"> PAGE  \* MERGEFORMAT </w:instrText>
    </w:r>
    <w:r>
      <w:fldChar w:fldCharType="separate"/>
    </w:r>
    <w:r>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0CF8" w14:paraId="3669F5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17F7227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7EF2CF2D"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F9403B" w14:paraId="403B9D12" w14:textId="4DAEF3C1">
    <w:pPr>
      <w:pStyle w:val="Header"/>
      <w:tabs>
        <w:tab w:val="clear" w:pos="4680"/>
      </w:tabs>
      <w:spacing w:after="240"/>
    </w:pPr>
    <w:r>
      <w:t>Docket No.</w:t>
    </w:r>
    <w:r w:rsidR="00576082">
      <w:t xml:space="preserve"> RM21-18-000</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EC3F55" w14:paraId="529123CC" w14:textId="77777777">
    <w:pPr>
      <w:pStyle w:val="Header"/>
      <w:tabs>
        <w:tab w:val="clear" w:pos="468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C448F1" w14:paraId="0300A15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EB">
      <w:rPr>
        <w:rStyle w:val="PageNumber"/>
        <w:noProof/>
      </w:rPr>
      <w:t>- 1 -</w:t>
    </w:r>
    <w:r>
      <w:rPr>
        <w:rStyle w:val="PageNumber"/>
      </w:rPr>
      <w:fldChar w:fldCharType="end"/>
    </w:r>
  </w:p>
  <w:p w:rsidR="0048020B" w:rsidP="00C448F1" w14:paraId="4A39243F" w14:textId="77777777">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04E" w:rsidP="008156FE" w14:paraId="1532FCCA" w14:textId="77777777">
    <w:pPr>
      <w:pStyle w:val="Header"/>
      <w:tabs>
        <w:tab w:val="clear" w:pos="4680"/>
      </w:tabs>
      <w:spacing w:after="240"/>
    </w:pPr>
    <w:r>
      <w:t>Docket Nos. CP14-517-001, et al.</w:t>
    </w:r>
    <w:r>
      <w:tab/>
    </w:r>
    <w:r>
      <w:fldChar w:fldCharType="begin"/>
    </w:r>
    <w:r>
      <w:instrText xml:space="preserve"> PAGE  \* MERGEFORMAT </w:instrText>
    </w:r>
    <w:r>
      <w:fldChar w:fldCharType="separate"/>
    </w:r>
    <w:r>
      <w:rPr>
        <w:noProof/>
      </w:rPr>
      <w:t>- 3 -</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EC3F55" w14:paraId="291DAD0B"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60E6B85"/>
    <w:multiLevelType w:val="hybridMultilevel"/>
    <w:tmpl w:val="F6804548"/>
    <w:lvl w:ilvl="0">
      <w:start w:val="1"/>
      <w:numFmt w:val="upperRoman"/>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8E59D0"/>
    <w:multiLevelType w:val="multilevel"/>
    <w:tmpl w:val="6FAA5308"/>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063B0F"/>
    <w:multiLevelType w:val="hybridMultilevel"/>
    <w:tmpl w:val="B66A8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7F43AE"/>
    <w:multiLevelType w:val="multilevel"/>
    <w:tmpl w:val="0409001D"/>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8">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9">
    <w:nsid w:val="22B005B8"/>
    <w:multiLevelType w:val="hybridMultilevel"/>
    <w:tmpl w:val="5AB06F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B6615A5"/>
    <w:multiLevelType w:val="multilevel"/>
    <w:tmpl w:val="0409001D"/>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5B1D5B"/>
    <w:multiLevelType w:val="hybridMultilevel"/>
    <w:tmpl w:val="EB12D61A"/>
    <w:lvl w:ilvl="0">
      <w:start w:val="1"/>
      <w:numFmt w:val="upperLett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26285F"/>
    <w:multiLevelType w:val="multilevel"/>
    <w:tmpl w:val="E938B3AE"/>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42530A"/>
    <w:multiLevelType w:val="multilevel"/>
    <w:tmpl w:val="C2D2642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B165162"/>
    <w:multiLevelType w:val="multilevel"/>
    <w:tmpl w:val="CC7C61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1D944A9"/>
    <w:multiLevelType w:val="multilevel"/>
    <w:tmpl w:val="BC7EA65C"/>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EA41B2"/>
    <w:multiLevelType w:val="hybridMultilevel"/>
    <w:tmpl w:val="19E48A5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C31069"/>
    <w:multiLevelType w:val="hybridMultilevel"/>
    <w:tmpl w:val="5A12D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6502FF"/>
    <w:multiLevelType w:val="multilevel"/>
    <w:tmpl w:val="DDEEA63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0">
    <w:nsid w:val="65860BA8"/>
    <w:multiLevelType w:val="multilevel"/>
    <w:tmpl w:val="E938B3AE"/>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3">
    <w:nsid w:val="77EF6220"/>
    <w:multiLevelType w:val="multilevel"/>
    <w:tmpl w:val="961C263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1"/>
  </w:num>
  <w:num w:numId="13">
    <w:abstractNumId w:val="17"/>
  </w:num>
  <w:num w:numId="14">
    <w:abstractNumId w:val="32"/>
  </w:num>
  <w:num w:numId="15">
    <w:abstractNumId w:val="2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18"/>
  </w:num>
  <w:num w:numId="20">
    <w:abstractNumId w:val="14"/>
  </w:num>
  <w:num w:numId="21">
    <w:abstractNumId w:val="35"/>
  </w:num>
  <w:num w:numId="22">
    <w:abstractNumId w:val="23"/>
  </w:num>
  <w:num w:numId="23">
    <w:abstractNumId w:val="19"/>
  </w:num>
  <w:num w:numId="24">
    <w:abstractNumId w:val="15"/>
  </w:num>
  <w:num w:numId="25">
    <w:abstractNumId w:val="21"/>
  </w:num>
  <w:num w:numId="26">
    <w:abstractNumId w:val="12"/>
  </w:num>
  <w:num w:numId="27">
    <w:abstractNumId w:val="24"/>
  </w:num>
  <w:num w:numId="28">
    <w:abstractNumId w:val="34"/>
  </w:num>
  <w:num w:numId="29">
    <w:abstractNumId w:val="34"/>
  </w:num>
  <w:num w:numId="30">
    <w:abstractNumId w:val="34"/>
  </w:num>
  <w:num w:numId="31">
    <w:abstractNumId w:val="34"/>
  </w:num>
  <w:num w:numId="32">
    <w:abstractNumId w:val="25"/>
  </w:num>
  <w:num w:numId="33">
    <w:abstractNumId w:val="33"/>
  </w:num>
  <w:num w:numId="34">
    <w:abstractNumId w:val="16"/>
  </w:num>
  <w:num w:numId="35">
    <w:abstractNumId w:val="20"/>
  </w:num>
  <w:num w:numId="36">
    <w:abstractNumId w:val="34"/>
  </w:num>
  <w:num w:numId="37">
    <w:abstractNumId w:val="30"/>
  </w:num>
  <w:num w:numId="38">
    <w:abstractNumId w:val="22"/>
  </w:num>
  <w:num w:numId="39">
    <w:abstractNumId w:val="26"/>
  </w:num>
  <w:num w:numId="40">
    <w:abstractNumId w:val="28"/>
  </w:num>
  <w:num w:numId="41">
    <w:abstractNumId w:val="29"/>
  </w:num>
  <w:num w:numId="42">
    <w:abstractNumId w:val="29"/>
  </w:num>
  <w:num w:numId="43">
    <w:abstractNumId w:val="29"/>
  </w:num>
  <w:num w:numId="44">
    <w:abstractNumId w:val="27"/>
  </w:num>
  <w:num w:numId="45">
    <w:abstractNumId w:val="11"/>
  </w:num>
  <w:num w:numId="46">
    <w:abstractNumId w:val="34"/>
  </w:num>
  <w:num w:numId="47">
    <w:abstractNumId w:val="34"/>
  </w:num>
  <w:num w:numId="48">
    <w:abstractNumId w:val="34"/>
  </w:num>
  <w:num w:numId="49">
    <w:abstractNumId w:val="34"/>
  </w:num>
  <w:num w:numId="50">
    <w:abstractNumId w:val="34"/>
  </w:num>
  <w:num w:numId="51">
    <w:abstractNumId w:val="34"/>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3B"/>
    <w:rsid w:val="00001BDE"/>
    <w:rsid w:val="00003340"/>
    <w:rsid w:val="0000460B"/>
    <w:rsid w:val="0000731D"/>
    <w:rsid w:val="00010FA6"/>
    <w:rsid w:val="0001181D"/>
    <w:rsid w:val="000118C8"/>
    <w:rsid w:val="00013C89"/>
    <w:rsid w:val="00014258"/>
    <w:rsid w:val="000143AA"/>
    <w:rsid w:val="00015B25"/>
    <w:rsid w:val="0002042F"/>
    <w:rsid w:val="00020482"/>
    <w:rsid w:val="000222E0"/>
    <w:rsid w:val="00022A33"/>
    <w:rsid w:val="00023100"/>
    <w:rsid w:val="0002355F"/>
    <w:rsid w:val="000235F4"/>
    <w:rsid w:val="00024E7D"/>
    <w:rsid w:val="000262CA"/>
    <w:rsid w:val="00026815"/>
    <w:rsid w:val="00026E48"/>
    <w:rsid w:val="00026F27"/>
    <w:rsid w:val="00027774"/>
    <w:rsid w:val="0003133B"/>
    <w:rsid w:val="0003382F"/>
    <w:rsid w:val="00037A7E"/>
    <w:rsid w:val="000428C4"/>
    <w:rsid w:val="0004299F"/>
    <w:rsid w:val="00042AE2"/>
    <w:rsid w:val="00043535"/>
    <w:rsid w:val="00044FDB"/>
    <w:rsid w:val="00045C9A"/>
    <w:rsid w:val="0004624A"/>
    <w:rsid w:val="0004657D"/>
    <w:rsid w:val="000470E5"/>
    <w:rsid w:val="0005135D"/>
    <w:rsid w:val="00051FB5"/>
    <w:rsid w:val="00053898"/>
    <w:rsid w:val="00054A68"/>
    <w:rsid w:val="00054ABA"/>
    <w:rsid w:val="000550DC"/>
    <w:rsid w:val="00055F5F"/>
    <w:rsid w:val="00060C78"/>
    <w:rsid w:val="0006117F"/>
    <w:rsid w:val="00062732"/>
    <w:rsid w:val="00066C0F"/>
    <w:rsid w:val="00070525"/>
    <w:rsid w:val="00070857"/>
    <w:rsid w:val="00070948"/>
    <w:rsid w:val="000732FA"/>
    <w:rsid w:val="0007377C"/>
    <w:rsid w:val="0007636C"/>
    <w:rsid w:val="000763C6"/>
    <w:rsid w:val="00080937"/>
    <w:rsid w:val="00080981"/>
    <w:rsid w:val="00080FA7"/>
    <w:rsid w:val="00081150"/>
    <w:rsid w:val="0008179D"/>
    <w:rsid w:val="0008478C"/>
    <w:rsid w:val="00084A31"/>
    <w:rsid w:val="000852D1"/>
    <w:rsid w:val="00086D98"/>
    <w:rsid w:val="0008778D"/>
    <w:rsid w:val="0009189C"/>
    <w:rsid w:val="00092634"/>
    <w:rsid w:val="00094E2F"/>
    <w:rsid w:val="00097C05"/>
    <w:rsid w:val="000A08F5"/>
    <w:rsid w:val="000A1230"/>
    <w:rsid w:val="000A1516"/>
    <w:rsid w:val="000A3D2F"/>
    <w:rsid w:val="000A3D40"/>
    <w:rsid w:val="000A4708"/>
    <w:rsid w:val="000A4AB3"/>
    <w:rsid w:val="000A5D7B"/>
    <w:rsid w:val="000A6835"/>
    <w:rsid w:val="000A6C08"/>
    <w:rsid w:val="000A75FD"/>
    <w:rsid w:val="000B0FBF"/>
    <w:rsid w:val="000B1100"/>
    <w:rsid w:val="000B32B2"/>
    <w:rsid w:val="000B4124"/>
    <w:rsid w:val="000B499C"/>
    <w:rsid w:val="000B4A09"/>
    <w:rsid w:val="000B7088"/>
    <w:rsid w:val="000B77D2"/>
    <w:rsid w:val="000B7C24"/>
    <w:rsid w:val="000B7E62"/>
    <w:rsid w:val="000C0253"/>
    <w:rsid w:val="000C0381"/>
    <w:rsid w:val="000C1FCA"/>
    <w:rsid w:val="000C354D"/>
    <w:rsid w:val="000C3CC4"/>
    <w:rsid w:val="000C3EFB"/>
    <w:rsid w:val="000C4A0B"/>
    <w:rsid w:val="000C6869"/>
    <w:rsid w:val="000D00B7"/>
    <w:rsid w:val="000D0EE6"/>
    <w:rsid w:val="000D1D4B"/>
    <w:rsid w:val="000D1FB6"/>
    <w:rsid w:val="000D1FBB"/>
    <w:rsid w:val="000D233A"/>
    <w:rsid w:val="000D31B5"/>
    <w:rsid w:val="000D3FD2"/>
    <w:rsid w:val="000D739B"/>
    <w:rsid w:val="000D76CF"/>
    <w:rsid w:val="000D7DD4"/>
    <w:rsid w:val="000D7E4E"/>
    <w:rsid w:val="000D7E96"/>
    <w:rsid w:val="000E065C"/>
    <w:rsid w:val="000E0857"/>
    <w:rsid w:val="000E0FB3"/>
    <w:rsid w:val="000E2BFA"/>
    <w:rsid w:val="000E52B5"/>
    <w:rsid w:val="000E6F2A"/>
    <w:rsid w:val="000F2DC1"/>
    <w:rsid w:val="000F336F"/>
    <w:rsid w:val="000F372C"/>
    <w:rsid w:val="000F603B"/>
    <w:rsid w:val="000F6403"/>
    <w:rsid w:val="000F6C7F"/>
    <w:rsid w:val="00100E1B"/>
    <w:rsid w:val="00101107"/>
    <w:rsid w:val="00101176"/>
    <w:rsid w:val="00102736"/>
    <w:rsid w:val="0010290F"/>
    <w:rsid w:val="00102B58"/>
    <w:rsid w:val="00104F76"/>
    <w:rsid w:val="0011144A"/>
    <w:rsid w:val="00111C66"/>
    <w:rsid w:val="001178CE"/>
    <w:rsid w:val="00120603"/>
    <w:rsid w:val="001208A2"/>
    <w:rsid w:val="001209EF"/>
    <w:rsid w:val="00121CF2"/>
    <w:rsid w:val="001236E4"/>
    <w:rsid w:val="0012411C"/>
    <w:rsid w:val="00124C66"/>
    <w:rsid w:val="00124F9A"/>
    <w:rsid w:val="0012713F"/>
    <w:rsid w:val="001273BE"/>
    <w:rsid w:val="00127478"/>
    <w:rsid w:val="001279B9"/>
    <w:rsid w:val="00127AA7"/>
    <w:rsid w:val="0013007B"/>
    <w:rsid w:val="00130AD7"/>
    <w:rsid w:val="00130CCE"/>
    <w:rsid w:val="00130D7A"/>
    <w:rsid w:val="00130F97"/>
    <w:rsid w:val="001313E0"/>
    <w:rsid w:val="00131A50"/>
    <w:rsid w:val="00132697"/>
    <w:rsid w:val="00132D57"/>
    <w:rsid w:val="00133587"/>
    <w:rsid w:val="00133B8A"/>
    <w:rsid w:val="00135B40"/>
    <w:rsid w:val="001372EC"/>
    <w:rsid w:val="00137FFD"/>
    <w:rsid w:val="001400A1"/>
    <w:rsid w:val="001421AA"/>
    <w:rsid w:val="001443D1"/>
    <w:rsid w:val="00146074"/>
    <w:rsid w:val="00146A50"/>
    <w:rsid w:val="001512A7"/>
    <w:rsid w:val="001519A8"/>
    <w:rsid w:val="00151C21"/>
    <w:rsid w:val="001520D4"/>
    <w:rsid w:val="001540D5"/>
    <w:rsid w:val="001549DE"/>
    <w:rsid w:val="00154C7A"/>
    <w:rsid w:val="00156900"/>
    <w:rsid w:val="0016531B"/>
    <w:rsid w:val="0016548A"/>
    <w:rsid w:val="00165DF9"/>
    <w:rsid w:val="001700EE"/>
    <w:rsid w:val="00170D26"/>
    <w:rsid w:val="00172B6D"/>
    <w:rsid w:val="00174818"/>
    <w:rsid w:val="0017696A"/>
    <w:rsid w:val="0017701D"/>
    <w:rsid w:val="001774E9"/>
    <w:rsid w:val="00177681"/>
    <w:rsid w:val="0017798D"/>
    <w:rsid w:val="0018092B"/>
    <w:rsid w:val="001833DD"/>
    <w:rsid w:val="00184319"/>
    <w:rsid w:val="00184CAB"/>
    <w:rsid w:val="00185039"/>
    <w:rsid w:val="0018560F"/>
    <w:rsid w:val="00185EBC"/>
    <w:rsid w:val="00186952"/>
    <w:rsid w:val="0018758C"/>
    <w:rsid w:val="00191617"/>
    <w:rsid w:val="0019292E"/>
    <w:rsid w:val="00192DEC"/>
    <w:rsid w:val="00193ABA"/>
    <w:rsid w:val="001960DD"/>
    <w:rsid w:val="001A06F6"/>
    <w:rsid w:val="001A182B"/>
    <w:rsid w:val="001A1DE9"/>
    <w:rsid w:val="001A2421"/>
    <w:rsid w:val="001A2AF1"/>
    <w:rsid w:val="001A2B1B"/>
    <w:rsid w:val="001A33D6"/>
    <w:rsid w:val="001A350E"/>
    <w:rsid w:val="001A3D2D"/>
    <w:rsid w:val="001A4B9D"/>
    <w:rsid w:val="001A563A"/>
    <w:rsid w:val="001B042B"/>
    <w:rsid w:val="001B1B6D"/>
    <w:rsid w:val="001B1FE9"/>
    <w:rsid w:val="001B2AE9"/>
    <w:rsid w:val="001B2B1B"/>
    <w:rsid w:val="001B2C6D"/>
    <w:rsid w:val="001B2DF9"/>
    <w:rsid w:val="001B362D"/>
    <w:rsid w:val="001B36CD"/>
    <w:rsid w:val="001B3BBE"/>
    <w:rsid w:val="001B4FB2"/>
    <w:rsid w:val="001C01E1"/>
    <w:rsid w:val="001C0DA3"/>
    <w:rsid w:val="001C1C8B"/>
    <w:rsid w:val="001C2829"/>
    <w:rsid w:val="001C2FBB"/>
    <w:rsid w:val="001D264B"/>
    <w:rsid w:val="001D31C2"/>
    <w:rsid w:val="001D38E1"/>
    <w:rsid w:val="001D3B0D"/>
    <w:rsid w:val="001D64D2"/>
    <w:rsid w:val="001D7927"/>
    <w:rsid w:val="001E3956"/>
    <w:rsid w:val="001E59F9"/>
    <w:rsid w:val="001E7055"/>
    <w:rsid w:val="001E7A8F"/>
    <w:rsid w:val="001F51A0"/>
    <w:rsid w:val="001F5CC6"/>
    <w:rsid w:val="002004D8"/>
    <w:rsid w:val="00200AB2"/>
    <w:rsid w:val="00202BC3"/>
    <w:rsid w:val="00203911"/>
    <w:rsid w:val="002072CF"/>
    <w:rsid w:val="00211765"/>
    <w:rsid w:val="002136E7"/>
    <w:rsid w:val="00213DA9"/>
    <w:rsid w:val="0021449B"/>
    <w:rsid w:val="002153C6"/>
    <w:rsid w:val="002161A4"/>
    <w:rsid w:val="00217DFB"/>
    <w:rsid w:val="002206DB"/>
    <w:rsid w:val="00220E24"/>
    <w:rsid w:val="0022182D"/>
    <w:rsid w:val="00223F0E"/>
    <w:rsid w:val="00224859"/>
    <w:rsid w:val="0022524C"/>
    <w:rsid w:val="002257B7"/>
    <w:rsid w:val="002258EE"/>
    <w:rsid w:val="00225A12"/>
    <w:rsid w:val="00225F3A"/>
    <w:rsid w:val="002261B3"/>
    <w:rsid w:val="00226ACA"/>
    <w:rsid w:val="0023106D"/>
    <w:rsid w:val="002318B6"/>
    <w:rsid w:val="00233CEF"/>
    <w:rsid w:val="00233FD0"/>
    <w:rsid w:val="00234601"/>
    <w:rsid w:val="002352B0"/>
    <w:rsid w:val="002354E4"/>
    <w:rsid w:val="00236341"/>
    <w:rsid w:val="00237222"/>
    <w:rsid w:val="00237536"/>
    <w:rsid w:val="0024035B"/>
    <w:rsid w:val="00240493"/>
    <w:rsid w:val="00240E5C"/>
    <w:rsid w:val="00242DBF"/>
    <w:rsid w:val="00243942"/>
    <w:rsid w:val="0024407A"/>
    <w:rsid w:val="0024498D"/>
    <w:rsid w:val="00244D30"/>
    <w:rsid w:val="0024558E"/>
    <w:rsid w:val="002464E8"/>
    <w:rsid w:val="0024710C"/>
    <w:rsid w:val="00252702"/>
    <w:rsid w:val="00253776"/>
    <w:rsid w:val="00255417"/>
    <w:rsid w:val="002560DE"/>
    <w:rsid w:val="00257900"/>
    <w:rsid w:val="00257989"/>
    <w:rsid w:val="00260517"/>
    <w:rsid w:val="002609A0"/>
    <w:rsid w:val="00262FED"/>
    <w:rsid w:val="00267328"/>
    <w:rsid w:val="0027387F"/>
    <w:rsid w:val="00274963"/>
    <w:rsid w:val="00275260"/>
    <w:rsid w:val="00280826"/>
    <w:rsid w:val="00280A4F"/>
    <w:rsid w:val="002817CE"/>
    <w:rsid w:val="00283AA6"/>
    <w:rsid w:val="0028432C"/>
    <w:rsid w:val="00284E46"/>
    <w:rsid w:val="002857E2"/>
    <w:rsid w:val="00285E97"/>
    <w:rsid w:val="00286C89"/>
    <w:rsid w:val="00287067"/>
    <w:rsid w:val="002870A9"/>
    <w:rsid w:val="00287473"/>
    <w:rsid w:val="00290ABD"/>
    <w:rsid w:val="00292DAB"/>
    <w:rsid w:val="00293398"/>
    <w:rsid w:val="002935B5"/>
    <w:rsid w:val="00293E05"/>
    <w:rsid w:val="00294347"/>
    <w:rsid w:val="002A0B4A"/>
    <w:rsid w:val="002A105D"/>
    <w:rsid w:val="002A34C1"/>
    <w:rsid w:val="002A4CE8"/>
    <w:rsid w:val="002A5C43"/>
    <w:rsid w:val="002A729E"/>
    <w:rsid w:val="002A7FB5"/>
    <w:rsid w:val="002B0B48"/>
    <w:rsid w:val="002B262D"/>
    <w:rsid w:val="002B35F2"/>
    <w:rsid w:val="002B6125"/>
    <w:rsid w:val="002C08D6"/>
    <w:rsid w:val="002C0E71"/>
    <w:rsid w:val="002C390C"/>
    <w:rsid w:val="002C5166"/>
    <w:rsid w:val="002C57E5"/>
    <w:rsid w:val="002C6102"/>
    <w:rsid w:val="002C634E"/>
    <w:rsid w:val="002C7704"/>
    <w:rsid w:val="002C7F13"/>
    <w:rsid w:val="002D0D75"/>
    <w:rsid w:val="002D1528"/>
    <w:rsid w:val="002D1EC2"/>
    <w:rsid w:val="002D206A"/>
    <w:rsid w:val="002D358E"/>
    <w:rsid w:val="002D55D7"/>
    <w:rsid w:val="002D6576"/>
    <w:rsid w:val="002D65B3"/>
    <w:rsid w:val="002D7D6B"/>
    <w:rsid w:val="002E020C"/>
    <w:rsid w:val="002E1ADE"/>
    <w:rsid w:val="002E2247"/>
    <w:rsid w:val="002E3C07"/>
    <w:rsid w:val="002E4E8A"/>
    <w:rsid w:val="002E6090"/>
    <w:rsid w:val="002E7931"/>
    <w:rsid w:val="002F0221"/>
    <w:rsid w:val="002F04B5"/>
    <w:rsid w:val="002F08DF"/>
    <w:rsid w:val="002F1933"/>
    <w:rsid w:val="002F24FB"/>
    <w:rsid w:val="002F52A9"/>
    <w:rsid w:val="002F5885"/>
    <w:rsid w:val="002F5913"/>
    <w:rsid w:val="002F6053"/>
    <w:rsid w:val="002F6969"/>
    <w:rsid w:val="003003D7"/>
    <w:rsid w:val="00301436"/>
    <w:rsid w:val="00301D68"/>
    <w:rsid w:val="003031DA"/>
    <w:rsid w:val="00303996"/>
    <w:rsid w:val="00304801"/>
    <w:rsid w:val="00310058"/>
    <w:rsid w:val="00312651"/>
    <w:rsid w:val="00313634"/>
    <w:rsid w:val="00313994"/>
    <w:rsid w:val="00316901"/>
    <w:rsid w:val="00320390"/>
    <w:rsid w:val="00322F05"/>
    <w:rsid w:val="00324191"/>
    <w:rsid w:val="00324F79"/>
    <w:rsid w:val="003266DB"/>
    <w:rsid w:val="00327401"/>
    <w:rsid w:val="003301A5"/>
    <w:rsid w:val="003301C0"/>
    <w:rsid w:val="00330D13"/>
    <w:rsid w:val="003316EE"/>
    <w:rsid w:val="00331A5B"/>
    <w:rsid w:val="0033371E"/>
    <w:rsid w:val="003346EB"/>
    <w:rsid w:val="00334B12"/>
    <w:rsid w:val="00335933"/>
    <w:rsid w:val="00336333"/>
    <w:rsid w:val="003370E4"/>
    <w:rsid w:val="003437BD"/>
    <w:rsid w:val="00343D67"/>
    <w:rsid w:val="003478CF"/>
    <w:rsid w:val="00347D0A"/>
    <w:rsid w:val="00350E98"/>
    <w:rsid w:val="00350FC8"/>
    <w:rsid w:val="003520AD"/>
    <w:rsid w:val="003527D7"/>
    <w:rsid w:val="00355A6E"/>
    <w:rsid w:val="00356733"/>
    <w:rsid w:val="00356878"/>
    <w:rsid w:val="0035712A"/>
    <w:rsid w:val="00360103"/>
    <w:rsid w:val="003608E7"/>
    <w:rsid w:val="00360AA1"/>
    <w:rsid w:val="00364E6F"/>
    <w:rsid w:val="00364EF7"/>
    <w:rsid w:val="0036500A"/>
    <w:rsid w:val="0036523A"/>
    <w:rsid w:val="00365576"/>
    <w:rsid w:val="00366BD1"/>
    <w:rsid w:val="003670DF"/>
    <w:rsid w:val="00372E31"/>
    <w:rsid w:val="00374532"/>
    <w:rsid w:val="00374868"/>
    <w:rsid w:val="00375DF4"/>
    <w:rsid w:val="00375F20"/>
    <w:rsid w:val="00376313"/>
    <w:rsid w:val="00381128"/>
    <w:rsid w:val="00383004"/>
    <w:rsid w:val="003830CE"/>
    <w:rsid w:val="00384403"/>
    <w:rsid w:val="003857D9"/>
    <w:rsid w:val="00385E2D"/>
    <w:rsid w:val="0039115D"/>
    <w:rsid w:val="0039173B"/>
    <w:rsid w:val="0039262E"/>
    <w:rsid w:val="003937F3"/>
    <w:rsid w:val="003938C0"/>
    <w:rsid w:val="003938DB"/>
    <w:rsid w:val="00395600"/>
    <w:rsid w:val="00395DB5"/>
    <w:rsid w:val="00397796"/>
    <w:rsid w:val="003A06D9"/>
    <w:rsid w:val="003A1021"/>
    <w:rsid w:val="003A1321"/>
    <w:rsid w:val="003A159D"/>
    <w:rsid w:val="003A15D6"/>
    <w:rsid w:val="003A44B8"/>
    <w:rsid w:val="003A5145"/>
    <w:rsid w:val="003A7C19"/>
    <w:rsid w:val="003B2307"/>
    <w:rsid w:val="003B2445"/>
    <w:rsid w:val="003B4057"/>
    <w:rsid w:val="003B677B"/>
    <w:rsid w:val="003B6797"/>
    <w:rsid w:val="003B6A5F"/>
    <w:rsid w:val="003B7E9A"/>
    <w:rsid w:val="003B7F05"/>
    <w:rsid w:val="003B7F52"/>
    <w:rsid w:val="003C0302"/>
    <w:rsid w:val="003C073A"/>
    <w:rsid w:val="003C396F"/>
    <w:rsid w:val="003C3A1E"/>
    <w:rsid w:val="003C505B"/>
    <w:rsid w:val="003C6F0F"/>
    <w:rsid w:val="003C71CF"/>
    <w:rsid w:val="003C7342"/>
    <w:rsid w:val="003C789D"/>
    <w:rsid w:val="003D4A56"/>
    <w:rsid w:val="003D56B9"/>
    <w:rsid w:val="003D5827"/>
    <w:rsid w:val="003D6552"/>
    <w:rsid w:val="003D6B5B"/>
    <w:rsid w:val="003D7866"/>
    <w:rsid w:val="003D7B2C"/>
    <w:rsid w:val="003E087D"/>
    <w:rsid w:val="003E1917"/>
    <w:rsid w:val="003E259A"/>
    <w:rsid w:val="003E48E6"/>
    <w:rsid w:val="003E5211"/>
    <w:rsid w:val="003E7FC5"/>
    <w:rsid w:val="003F31D2"/>
    <w:rsid w:val="003F3716"/>
    <w:rsid w:val="003F3DC0"/>
    <w:rsid w:val="003F4845"/>
    <w:rsid w:val="003F4DBE"/>
    <w:rsid w:val="003F4EF2"/>
    <w:rsid w:val="003F557E"/>
    <w:rsid w:val="003F6D81"/>
    <w:rsid w:val="003F796D"/>
    <w:rsid w:val="003F79F7"/>
    <w:rsid w:val="003F7CC5"/>
    <w:rsid w:val="00400D68"/>
    <w:rsid w:val="00401A63"/>
    <w:rsid w:val="00401DD3"/>
    <w:rsid w:val="00401FC8"/>
    <w:rsid w:val="0040205A"/>
    <w:rsid w:val="004026AB"/>
    <w:rsid w:val="0040293C"/>
    <w:rsid w:val="004054D7"/>
    <w:rsid w:val="004063AB"/>
    <w:rsid w:val="004067AD"/>
    <w:rsid w:val="00407EE0"/>
    <w:rsid w:val="00414806"/>
    <w:rsid w:val="0041687E"/>
    <w:rsid w:val="00420364"/>
    <w:rsid w:val="00420B4C"/>
    <w:rsid w:val="00420FCC"/>
    <w:rsid w:val="004226ED"/>
    <w:rsid w:val="004244AF"/>
    <w:rsid w:val="00424B78"/>
    <w:rsid w:val="00427636"/>
    <w:rsid w:val="00427A94"/>
    <w:rsid w:val="00431FFB"/>
    <w:rsid w:val="004326D7"/>
    <w:rsid w:val="004335E8"/>
    <w:rsid w:val="004364F5"/>
    <w:rsid w:val="00436A3E"/>
    <w:rsid w:val="0043709B"/>
    <w:rsid w:val="0043766C"/>
    <w:rsid w:val="00440D78"/>
    <w:rsid w:val="0044189F"/>
    <w:rsid w:val="004419DA"/>
    <w:rsid w:val="00441A2A"/>
    <w:rsid w:val="004420F6"/>
    <w:rsid w:val="00442791"/>
    <w:rsid w:val="0044359A"/>
    <w:rsid w:val="00443F83"/>
    <w:rsid w:val="00444F65"/>
    <w:rsid w:val="00446720"/>
    <w:rsid w:val="00446A1B"/>
    <w:rsid w:val="004476C6"/>
    <w:rsid w:val="00447936"/>
    <w:rsid w:val="00450005"/>
    <w:rsid w:val="0045130C"/>
    <w:rsid w:val="00453385"/>
    <w:rsid w:val="00453578"/>
    <w:rsid w:val="00454A58"/>
    <w:rsid w:val="00454FAE"/>
    <w:rsid w:val="00455214"/>
    <w:rsid w:val="00456136"/>
    <w:rsid w:val="00456D5A"/>
    <w:rsid w:val="00456F3F"/>
    <w:rsid w:val="0046133D"/>
    <w:rsid w:val="00464328"/>
    <w:rsid w:val="00464BE8"/>
    <w:rsid w:val="00465ECC"/>
    <w:rsid w:val="00470CC1"/>
    <w:rsid w:val="00470D3D"/>
    <w:rsid w:val="00470E9A"/>
    <w:rsid w:val="00472B3A"/>
    <w:rsid w:val="00472C9B"/>
    <w:rsid w:val="00473A5E"/>
    <w:rsid w:val="00473ADA"/>
    <w:rsid w:val="00474B30"/>
    <w:rsid w:val="004758A9"/>
    <w:rsid w:val="00475AD3"/>
    <w:rsid w:val="00476273"/>
    <w:rsid w:val="0047676E"/>
    <w:rsid w:val="00477399"/>
    <w:rsid w:val="0048020B"/>
    <w:rsid w:val="004811B1"/>
    <w:rsid w:val="00482B96"/>
    <w:rsid w:val="00483034"/>
    <w:rsid w:val="00484BC8"/>
    <w:rsid w:val="00485126"/>
    <w:rsid w:val="004864DA"/>
    <w:rsid w:val="00486868"/>
    <w:rsid w:val="00486DD1"/>
    <w:rsid w:val="004872BC"/>
    <w:rsid w:val="004874A4"/>
    <w:rsid w:val="00494355"/>
    <w:rsid w:val="00494945"/>
    <w:rsid w:val="00494FD2"/>
    <w:rsid w:val="00495A0B"/>
    <w:rsid w:val="00495CC2"/>
    <w:rsid w:val="00495DEB"/>
    <w:rsid w:val="00495E07"/>
    <w:rsid w:val="00495F95"/>
    <w:rsid w:val="0049613A"/>
    <w:rsid w:val="00496DBF"/>
    <w:rsid w:val="00497F70"/>
    <w:rsid w:val="004A03E5"/>
    <w:rsid w:val="004A503D"/>
    <w:rsid w:val="004A6174"/>
    <w:rsid w:val="004A7143"/>
    <w:rsid w:val="004B08DA"/>
    <w:rsid w:val="004B1115"/>
    <w:rsid w:val="004B13AF"/>
    <w:rsid w:val="004B141F"/>
    <w:rsid w:val="004B1697"/>
    <w:rsid w:val="004B4A8D"/>
    <w:rsid w:val="004B6B6E"/>
    <w:rsid w:val="004B7C83"/>
    <w:rsid w:val="004C0E28"/>
    <w:rsid w:val="004C1144"/>
    <w:rsid w:val="004C15B4"/>
    <w:rsid w:val="004C190E"/>
    <w:rsid w:val="004C456B"/>
    <w:rsid w:val="004C4D5F"/>
    <w:rsid w:val="004C529E"/>
    <w:rsid w:val="004D25EE"/>
    <w:rsid w:val="004D3439"/>
    <w:rsid w:val="004D35E8"/>
    <w:rsid w:val="004D4FF1"/>
    <w:rsid w:val="004D5410"/>
    <w:rsid w:val="004D5444"/>
    <w:rsid w:val="004D614C"/>
    <w:rsid w:val="004D62E7"/>
    <w:rsid w:val="004E1853"/>
    <w:rsid w:val="004E1DAE"/>
    <w:rsid w:val="004E25A6"/>
    <w:rsid w:val="004E495E"/>
    <w:rsid w:val="004F1CF8"/>
    <w:rsid w:val="004F2350"/>
    <w:rsid w:val="004F5759"/>
    <w:rsid w:val="004F6475"/>
    <w:rsid w:val="004F7405"/>
    <w:rsid w:val="0050001C"/>
    <w:rsid w:val="00501A7A"/>
    <w:rsid w:val="00502030"/>
    <w:rsid w:val="00502A83"/>
    <w:rsid w:val="00502C8B"/>
    <w:rsid w:val="00503FC1"/>
    <w:rsid w:val="005047DF"/>
    <w:rsid w:val="00505598"/>
    <w:rsid w:val="00505F39"/>
    <w:rsid w:val="00506D38"/>
    <w:rsid w:val="00512773"/>
    <w:rsid w:val="0051303F"/>
    <w:rsid w:val="00513E14"/>
    <w:rsid w:val="005154C1"/>
    <w:rsid w:val="005162AB"/>
    <w:rsid w:val="00517361"/>
    <w:rsid w:val="0052031B"/>
    <w:rsid w:val="00521122"/>
    <w:rsid w:val="005215CB"/>
    <w:rsid w:val="00521F9E"/>
    <w:rsid w:val="0052351B"/>
    <w:rsid w:val="00526848"/>
    <w:rsid w:val="00527161"/>
    <w:rsid w:val="005273AC"/>
    <w:rsid w:val="005273B5"/>
    <w:rsid w:val="00533D9E"/>
    <w:rsid w:val="00541146"/>
    <w:rsid w:val="00542577"/>
    <w:rsid w:val="00542814"/>
    <w:rsid w:val="00544297"/>
    <w:rsid w:val="00545CC2"/>
    <w:rsid w:val="00546238"/>
    <w:rsid w:val="00547D3F"/>
    <w:rsid w:val="00550CB7"/>
    <w:rsid w:val="00550FF9"/>
    <w:rsid w:val="005514D4"/>
    <w:rsid w:val="00551912"/>
    <w:rsid w:val="00552271"/>
    <w:rsid w:val="0055287D"/>
    <w:rsid w:val="00552A11"/>
    <w:rsid w:val="00553CE5"/>
    <w:rsid w:val="00554481"/>
    <w:rsid w:val="005577D9"/>
    <w:rsid w:val="00561DA8"/>
    <w:rsid w:val="00562105"/>
    <w:rsid w:val="005623BC"/>
    <w:rsid w:val="00562CB2"/>
    <w:rsid w:val="00571D6D"/>
    <w:rsid w:val="00572F46"/>
    <w:rsid w:val="00573724"/>
    <w:rsid w:val="00574A02"/>
    <w:rsid w:val="00576082"/>
    <w:rsid w:val="00576A54"/>
    <w:rsid w:val="00577D3E"/>
    <w:rsid w:val="00577DC6"/>
    <w:rsid w:val="00580920"/>
    <w:rsid w:val="00580FB1"/>
    <w:rsid w:val="005816F4"/>
    <w:rsid w:val="00581BDF"/>
    <w:rsid w:val="00583257"/>
    <w:rsid w:val="00585174"/>
    <w:rsid w:val="005854C0"/>
    <w:rsid w:val="00587B48"/>
    <w:rsid w:val="0059038C"/>
    <w:rsid w:val="0059061C"/>
    <w:rsid w:val="00590B0B"/>
    <w:rsid w:val="00591753"/>
    <w:rsid w:val="005921E2"/>
    <w:rsid w:val="0059247F"/>
    <w:rsid w:val="00593DD5"/>
    <w:rsid w:val="00594D61"/>
    <w:rsid w:val="00594E87"/>
    <w:rsid w:val="005950E5"/>
    <w:rsid w:val="0059664B"/>
    <w:rsid w:val="00596D8F"/>
    <w:rsid w:val="00597309"/>
    <w:rsid w:val="00597489"/>
    <w:rsid w:val="00597AE0"/>
    <w:rsid w:val="005A1772"/>
    <w:rsid w:val="005A2D88"/>
    <w:rsid w:val="005A2EA3"/>
    <w:rsid w:val="005A4CD3"/>
    <w:rsid w:val="005A6F7C"/>
    <w:rsid w:val="005A76A2"/>
    <w:rsid w:val="005B132F"/>
    <w:rsid w:val="005B15EB"/>
    <w:rsid w:val="005B18B2"/>
    <w:rsid w:val="005B38E7"/>
    <w:rsid w:val="005B40A6"/>
    <w:rsid w:val="005C0180"/>
    <w:rsid w:val="005C01B7"/>
    <w:rsid w:val="005C0CF8"/>
    <w:rsid w:val="005C1AB0"/>
    <w:rsid w:val="005C31DD"/>
    <w:rsid w:val="005C4FB6"/>
    <w:rsid w:val="005D2A79"/>
    <w:rsid w:val="005D3004"/>
    <w:rsid w:val="005D30B0"/>
    <w:rsid w:val="005D3D39"/>
    <w:rsid w:val="005D3F93"/>
    <w:rsid w:val="005D54E3"/>
    <w:rsid w:val="005D787E"/>
    <w:rsid w:val="005D7C39"/>
    <w:rsid w:val="005E13DF"/>
    <w:rsid w:val="005E2B55"/>
    <w:rsid w:val="005E387D"/>
    <w:rsid w:val="005E3B75"/>
    <w:rsid w:val="005E3D15"/>
    <w:rsid w:val="005E4C65"/>
    <w:rsid w:val="005E4F6B"/>
    <w:rsid w:val="005E508E"/>
    <w:rsid w:val="005F0FE8"/>
    <w:rsid w:val="005F1BA9"/>
    <w:rsid w:val="005F2946"/>
    <w:rsid w:val="005F3058"/>
    <w:rsid w:val="005F34C6"/>
    <w:rsid w:val="005F4318"/>
    <w:rsid w:val="005F4F8E"/>
    <w:rsid w:val="005F54A4"/>
    <w:rsid w:val="005F71D1"/>
    <w:rsid w:val="0060035F"/>
    <w:rsid w:val="0060351F"/>
    <w:rsid w:val="00607205"/>
    <w:rsid w:val="006074E4"/>
    <w:rsid w:val="0061116B"/>
    <w:rsid w:val="006112D1"/>
    <w:rsid w:val="006112FA"/>
    <w:rsid w:val="006119BB"/>
    <w:rsid w:val="00611BDB"/>
    <w:rsid w:val="00611F78"/>
    <w:rsid w:val="00613307"/>
    <w:rsid w:val="00614664"/>
    <w:rsid w:val="006150FD"/>
    <w:rsid w:val="006177F8"/>
    <w:rsid w:val="00620205"/>
    <w:rsid w:val="0062041F"/>
    <w:rsid w:val="00622C00"/>
    <w:rsid w:val="00622D42"/>
    <w:rsid w:val="00622F63"/>
    <w:rsid w:val="0062304E"/>
    <w:rsid w:val="00623402"/>
    <w:rsid w:val="00624B34"/>
    <w:rsid w:val="00625B93"/>
    <w:rsid w:val="0062667F"/>
    <w:rsid w:val="00626AD6"/>
    <w:rsid w:val="006308E9"/>
    <w:rsid w:val="00630F65"/>
    <w:rsid w:val="00633563"/>
    <w:rsid w:val="00634706"/>
    <w:rsid w:val="00636271"/>
    <w:rsid w:val="0063676A"/>
    <w:rsid w:val="00643C5A"/>
    <w:rsid w:val="006454AD"/>
    <w:rsid w:val="00647808"/>
    <w:rsid w:val="00650060"/>
    <w:rsid w:val="006502FA"/>
    <w:rsid w:val="00651D06"/>
    <w:rsid w:val="00653D8D"/>
    <w:rsid w:val="00654442"/>
    <w:rsid w:val="00655A79"/>
    <w:rsid w:val="00657278"/>
    <w:rsid w:val="0065751A"/>
    <w:rsid w:val="00657945"/>
    <w:rsid w:val="00657A36"/>
    <w:rsid w:val="006629CB"/>
    <w:rsid w:val="00662BC9"/>
    <w:rsid w:val="00663FFE"/>
    <w:rsid w:val="00667B22"/>
    <w:rsid w:val="006701A3"/>
    <w:rsid w:val="006710C1"/>
    <w:rsid w:val="0067164B"/>
    <w:rsid w:val="0067178E"/>
    <w:rsid w:val="0067304E"/>
    <w:rsid w:val="00673948"/>
    <w:rsid w:val="006745E5"/>
    <w:rsid w:val="0067499E"/>
    <w:rsid w:val="00674DFC"/>
    <w:rsid w:val="00677A0E"/>
    <w:rsid w:val="00681181"/>
    <w:rsid w:val="00681392"/>
    <w:rsid w:val="00681E7A"/>
    <w:rsid w:val="00682099"/>
    <w:rsid w:val="00683C4A"/>
    <w:rsid w:val="006849ED"/>
    <w:rsid w:val="0068552C"/>
    <w:rsid w:val="00685A22"/>
    <w:rsid w:val="00686648"/>
    <w:rsid w:val="00690DB2"/>
    <w:rsid w:val="0069376A"/>
    <w:rsid w:val="006937AA"/>
    <w:rsid w:val="0069392A"/>
    <w:rsid w:val="00694F3D"/>
    <w:rsid w:val="00695467"/>
    <w:rsid w:val="006956BC"/>
    <w:rsid w:val="006960E6"/>
    <w:rsid w:val="00696189"/>
    <w:rsid w:val="006975CA"/>
    <w:rsid w:val="006A18B6"/>
    <w:rsid w:val="006A1AC8"/>
    <w:rsid w:val="006A1EDC"/>
    <w:rsid w:val="006A4342"/>
    <w:rsid w:val="006A5B0F"/>
    <w:rsid w:val="006A5ED6"/>
    <w:rsid w:val="006A5FF3"/>
    <w:rsid w:val="006B20EE"/>
    <w:rsid w:val="006B2868"/>
    <w:rsid w:val="006B3A26"/>
    <w:rsid w:val="006B3C2A"/>
    <w:rsid w:val="006B3FDA"/>
    <w:rsid w:val="006B4826"/>
    <w:rsid w:val="006B5B8D"/>
    <w:rsid w:val="006B679A"/>
    <w:rsid w:val="006B6891"/>
    <w:rsid w:val="006B7513"/>
    <w:rsid w:val="006C1614"/>
    <w:rsid w:val="006C1D8C"/>
    <w:rsid w:val="006C4295"/>
    <w:rsid w:val="006C493E"/>
    <w:rsid w:val="006C4C63"/>
    <w:rsid w:val="006C51D5"/>
    <w:rsid w:val="006D1873"/>
    <w:rsid w:val="006D1E49"/>
    <w:rsid w:val="006D2553"/>
    <w:rsid w:val="006D39F8"/>
    <w:rsid w:val="006D3A90"/>
    <w:rsid w:val="006D432E"/>
    <w:rsid w:val="006D5035"/>
    <w:rsid w:val="006D5B0E"/>
    <w:rsid w:val="006D60A2"/>
    <w:rsid w:val="006D6767"/>
    <w:rsid w:val="006D6A12"/>
    <w:rsid w:val="006E1CF4"/>
    <w:rsid w:val="006E4894"/>
    <w:rsid w:val="006E49D6"/>
    <w:rsid w:val="006E6044"/>
    <w:rsid w:val="006F0AFA"/>
    <w:rsid w:val="006F0ED6"/>
    <w:rsid w:val="006F1B52"/>
    <w:rsid w:val="006F27A6"/>
    <w:rsid w:val="006F312F"/>
    <w:rsid w:val="006F39A4"/>
    <w:rsid w:val="006F42DE"/>
    <w:rsid w:val="006F5A83"/>
    <w:rsid w:val="006F5F40"/>
    <w:rsid w:val="006F7EED"/>
    <w:rsid w:val="0070008D"/>
    <w:rsid w:val="00702648"/>
    <w:rsid w:val="00705B33"/>
    <w:rsid w:val="0070615E"/>
    <w:rsid w:val="00706C4B"/>
    <w:rsid w:val="00707270"/>
    <w:rsid w:val="00710658"/>
    <w:rsid w:val="00710A58"/>
    <w:rsid w:val="007116AC"/>
    <w:rsid w:val="007124A2"/>
    <w:rsid w:val="007133ED"/>
    <w:rsid w:val="00715E9D"/>
    <w:rsid w:val="00721A6B"/>
    <w:rsid w:val="007230D6"/>
    <w:rsid w:val="00723E4B"/>
    <w:rsid w:val="007240F6"/>
    <w:rsid w:val="00724553"/>
    <w:rsid w:val="0072563F"/>
    <w:rsid w:val="00725AF4"/>
    <w:rsid w:val="0072601A"/>
    <w:rsid w:val="00731FF1"/>
    <w:rsid w:val="007320C6"/>
    <w:rsid w:val="00732CFA"/>
    <w:rsid w:val="00732E2C"/>
    <w:rsid w:val="00733398"/>
    <w:rsid w:val="007340D5"/>
    <w:rsid w:val="00734468"/>
    <w:rsid w:val="00734741"/>
    <w:rsid w:val="00734DC1"/>
    <w:rsid w:val="00735ECF"/>
    <w:rsid w:val="007368A2"/>
    <w:rsid w:val="00736A90"/>
    <w:rsid w:val="00736DE9"/>
    <w:rsid w:val="007379F4"/>
    <w:rsid w:val="00737B91"/>
    <w:rsid w:val="007407CF"/>
    <w:rsid w:val="0074127D"/>
    <w:rsid w:val="00741A5E"/>
    <w:rsid w:val="00742439"/>
    <w:rsid w:val="00743A10"/>
    <w:rsid w:val="007449B9"/>
    <w:rsid w:val="007465A9"/>
    <w:rsid w:val="0075338B"/>
    <w:rsid w:val="00754A0D"/>
    <w:rsid w:val="007552C1"/>
    <w:rsid w:val="007562E2"/>
    <w:rsid w:val="00757699"/>
    <w:rsid w:val="007577C2"/>
    <w:rsid w:val="00760EBC"/>
    <w:rsid w:val="00762F2B"/>
    <w:rsid w:val="0076328E"/>
    <w:rsid w:val="007649CC"/>
    <w:rsid w:val="00764AF5"/>
    <w:rsid w:val="0076561E"/>
    <w:rsid w:val="00765EE4"/>
    <w:rsid w:val="007661B0"/>
    <w:rsid w:val="00771E40"/>
    <w:rsid w:val="0077297B"/>
    <w:rsid w:val="00772A68"/>
    <w:rsid w:val="00773353"/>
    <w:rsid w:val="0077655B"/>
    <w:rsid w:val="0077687F"/>
    <w:rsid w:val="00780A45"/>
    <w:rsid w:val="007818B6"/>
    <w:rsid w:val="00783073"/>
    <w:rsid w:val="007830B0"/>
    <w:rsid w:val="00783842"/>
    <w:rsid w:val="0078404D"/>
    <w:rsid w:val="00784184"/>
    <w:rsid w:val="007842B8"/>
    <w:rsid w:val="007861C9"/>
    <w:rsid w:val="00786EF7"/>
    <w:rsid w:val="007875D2"/>
    <w:rsid w:val="007876E3"/>
    <w:rsid w:val="00790EF8"/>
    <w:rsid w:val="00791F59"/>
    <w:rsid w:val="007928AD"/>
    <w:rsid w:val="00794724"/>
    <w:rsid w:val="007A0174"/>
    <w:rsid w:val="007A09D5"/>
    <w:rsid w:val="007A0BB2"/>
    <w:rsid w:val="007A1685"/>
    <w:rsid w:val="007A1856"/>
    <w:rsid w:val="007A1D42"/>
    <w:rsid w:val="007A2492"/>
    <w:rsid w:val="007A4C28"/>
    <w:rsid w:val="007A5131"/>
    <w:rsid w:val="007A5FF6"/>
    <w:rsid w:val="007A7860"/>
    <w:rsid w:val="007A7ACF"/>
    <w:rsid w:val="007A7E8C"/>
    <w:rsid w:val="007B1956"/>
    <w:rsid w:val="007B2D38"/>
    <w:rsid w:val="007B4019"/>
    <w:rsid w:val="007B66A0"/>
    <w:rsid w:val="007B6E4E"/>
    <w:rsid w:val="007B71E9"/>
    <w:rsid w:val="007B7371"/>
    <w:rsid w:val="007C1702"/>
    <w:rsid w:val="007C3CC0"/>
    <w:rsid w:val="007C3E62"/>
    <w:rsid w:val="007C41D1"/>
    <w:rsid w:val="007C48C7"/>
    <w:rsid w:val="007C64DA"/>
    <w:rsid w:val="007C661B"/>
    <w:rsid w:val="007C69D6"/>
    <w:rsid w:val="007D2CEB"/>
    <w:rsid w:val="007D3591"/>
    <w:rsid w:val="007D48C9"/>
    <w:rsid w:val="007D4902"/>
    <w:rsid w:val="007D6683"/>
    <w:rsid w:val="007E04EB"/>
    <w:rsid w:val="007E24D9"/>
    <w:rsid w:val="007E47B7"/>
    <w:rsid w:val="007E4E0D"/>
    <w:rsid w:val="007E4E68"/>
    <w:rsid w:val="007E586D"/>
    <w:rsid w:val="007E6167"/>
    <w:rsid w:val="007E622B"/>
    <w:rsid w:val="007E65CB"/>
    <w:rsid w:val="007E74C5"/>
    <w:rsid w:val="007F0E34"/>
    <w:rsid w:val="007F32C6"/>
    <w:rsid w:val="007F4465"/>
    <w:rsid w:val="007F5C23"/>
    <w:rsid w:val="007F6368"/>
    <w:rsid w:val="007F70EF"/>
    <w:rsid w:val="007F7B7F"/>
    <w:rsid w:val="00803936"/>
    <w:rsid w:val="008043DE"/>
    <w:rsid w:val="0080498D"/>
    <w:rsid w:val="00805BB4"/>
    <w:rsid w:val="0080606A"/>
    <w:rsid w:val="008065F0"/>
    <w:rsid w:val="00807C2F"/>
    <w:rsid w:val="00810B67"/>
    <w:rsid w:val="00810FFB"/>
    <w:rsid w:val="00811525"/>
    <w:rsid w:val="008129C6"/>
    <w:rsid w:val="00812E0A"/>
    <w:rsid w:val="0081352B"/>
    <w:rsid w:val="008140C1"/>
    <w:rsid w:val="00814514"/>
    <w:rsid w:val="00814D8C"/>
    <w:rsid w:val="008156FE"/>
    <w:rsid w:val="008178D4"/>
    <w:rsid w:val="0082017D"/>
    <w:rsid w:val="00820E8D"/>
    <w:rsid w:val="008237E2"/>
    <w:rsid w:val="008248A8"/>
    <w:rsid w:val="00825266"/>
    <w:rsid w:val="008255E4"/>
    <w:rsid w:val="008276BB"/>
    <w:rsid w:val="00827BAD"/>
    <w:rsid w:val="00830497"/>
    <w:rsid w:val="00830639"/>
    <w:rsid w:val="008309C9"/>
    <w:rsid w:val="00830BC7"/>
    <w:rsid w:val="0083212D"/>
    <w:rsid w:val="008335E3"/>
    <w:rsid w:val="00833F37"/>
    <w:rsid w:val="008342ED"/>
    <w:rsid w:val="00834DCB"/>
    <w:rsid w:val="00835B8D"/>
    <w:rsid w:val="00836673"/>
    <w:rsid w:val="00836AE4"/>
    <w:rsid w:val="00840C01"/>
    <w:rsid w:val="00840C42"/>
    <w:rsid w:val="0084101C"/>
    <w:rsid w:val="0084167C"/>
    <w:rsid w:val="00844F10"/>
    <w:rsid w:val="00845186"/>
    <w:rsid w:val="00845BBC"/>
    <w:rsid w:val="00847131"/>
    <w:rsid w:val="00847871"/>
    <w:rsid w:val="008478FD"/>
    <w:rsid w:val="00847F2B"/>
    <w:rsid w:val="00847FC0"/>
    <w:rsid w:val="00850048"/>
    <w:rsid w:val="0085011F"/>
    <w:rsid w:val="00850A2E"/>
    <w:rsid w:val="00851094"/>
    <w:rsid w:val="00851127"/>
    <w:rsid w:val="008513D8"/>
    <w:rsid w:val="00851434"/>
    <w:rsid w:val="00851D54"/>
    <w:rsid w:val="00852319"/>
    <w:rsid w:val="00852C18"/>
    <w:rsid w:val="00852C25"/>
    <w:rsid w:val="00853ABF"/>
    <w:rsid w:val="008551F9"/>
    <w:rsid w:val="00855D43"/>
    <w:rsid w:val="008561D7"/>
    <w:rsid w:val="00856C4D"/>
    <w:rsid w:val="00856FA6"/>
    <w:rsid w:val="008607B4"/>
    <w:rsid w:val="00860B22"/>
    <w:rsid w:val="00861074"/>
    <w:rsid w:val="00861AFA"/>
    <w:rsid w:val="00862618"/>
    <w:rsid w:val="008636FC"/>
    <w:rsid w:val="00863DB6"/>
    <w:rsid w:val="00865ADF"/>
    <w:rsid w:val="00865AEB"/>
    <w:rsid w:val="00865B86"/>
    <w:rsid w:val="0086671F"/>
    <w:rsid w:val="0086708D"/>
    <w:rsid w:val="008672EF"/>
    <w:rsid w:val="00870368"/>
    <w:rsid w:val="00871164"/>
    <w:rsid w:val="00873BC6"/>
    <w:rsid w:val="00874709"/>
    <w:rsid w:val="00874FB1"/>
    <w:rsid w:val="008771CC"/>
    <w:rsid w:val="008771F4"/>
    <w:rsid w:val="00880902"/>
    <w:rsid w:val="00880CBC"/>
    <w:rsid w:val="00880EAB"/>
    <w:rsid w:val="00881E3C"/>
    <w:rsid w:val="008824FC"/>
    <w:rsid w:val="008833BE"/>
    <w:rsid w:val="0088740E"/>
    <w:rsid w:val="00891CB8"/>
    <w:rsid w:val="00892A4E"/>
    <w:rsid w:val="00894A27"/>
    <w:rsid w:val="00896A4C"/>
    <w:rsid w:val="00896EBA"/>
    <w:rsid w:val="0089797F"/>
    <w:rsid w:val="008A1577"/>
    <w:rsid w:val="008A1B83"/>
    <w:rsid w:val="008A23C9"/>
    <w:rsid w:val="008A3831"/>
    <w:rsid w:val="008A39F8"/>
    <w:rsid w:val="008A41CC"/>
    <w:rsid w:val="008A6C18"/>
    <w:rsid w:val="008B0393"/>
    <w:rsid w:val="008B0688"/>
    <w:rsid w:val="008B087E"/>
    <w:rsid w:val="008B0B3A"/>
    <w:rsid w:val="008B1BC9"/>
    <w:rsid w:val="008B32A9"/>
    <w:rsid w:val="008B3D42"/>
    <w:rsid w:val="008B3F0F"/>
    <w:rsid w:val="008B47CB"/>
    <w:rsid w:val="008B4D5D"/>
    <w:rsid w:val="008C0083"/>
    <w:rsid w:val="008C273C"/>
    <w:rsid w:val="008C2EDB"/>
    <w:rsid w:val="008C3B37"/>
    <w:rsid w:val="008C3FB5"/>
    <w:rsid w:val="008C4054"/>
    <w:rsid w:val="008C5062"/>
    <w:rsid w:val="008C6C9A"/>
    <w:rsid w:val="008C701E"/>
    <w:rsid w:val="008D1B64"/>
    <w:rsid w:val="008D212F"/>
    <w:rsid w:val="008D394A"/>
    <w:rsid w:val="008D4162"/>
    <w:rsid w:val="008D43B2"/>
    <w:rsid w:val="008D4E54"/>
    <w:rsid w:val="008E0C63"/>
    <w:rsid w:val="008E0D58"/>
    <w:rsid w:val="008E39EF"/>
    <w:rsid w:val="008E4C89"/>
    <w:rsid w:val="008E51AF"/>
    <w:rsid w:val="008E5432"/>
    <w:rsid w:val="008E548A"/>
    <w:rsid w:val="008E74A2"/>
    <w:rsid w:val="008F2941"/>
    <w:rsid w:val="008F2FEF"/>
    <w:rsid w:val="008F4B82"/>
    <w:rsid w:val="008F5EBF"/>
    <w:rsid w:val="008F65A5"/>
    <w:rsid w:val="009006A6"/>
    <w:rsid w:val="00900B2F"/>
    <w:rsid w:val="009016D7"/>
    <w:rsid w:val="00902C0F"/>
    <w:rsid w:val="00903AC3"/>
    <w:rsid w:val="00903ED1"/>
    <w:rsid w:val="0090412E"/>
    <w:rsid w:val="00904536"/>
    <w:rsid w:val="0090478A"/>
    <w:rsid w:val="00904BAD"/>
    <w:rsid w:val="009054B0"/>
    <w:rsid w:val="00906083"/>
    <w:rsid w:val="009102A7"/>
    <w:rsid w:val="00910A08"/>
    <w:rsid w:val="00911C57"/>
    <w:rsid w:val="00911D86"/>
    <w:rsid w:val="00912D14"/>
    <w:rsid w:val="00913A93"/>
    <w:rsid w:val="009144B5"/>
    <w:rsid w:val="009146F6"/>
    <w:rsid w:val="00915863"/>
    <w:rsid w:val="00916ED7"/>
    <w:rsid w:val="00917E05"/>
    <w:rsid w:val="0092111B"/>
    <w:rsid w:val="00922B38"/>
    <w:rsid w:val="00922E70"/>
    <w:rsid w:val="00926E69"/>
    <w:rsid w:val="0093079F"/>
    <w:rsid w:val="00930EF7"/>
    <w:rsid w:val="0093125C"/>
    <w:rsid w:val="009317B8"/>
    <w:rsid w:val="00932328"/>
    <w:rsid w:val="0093320B"/>
    <w:rsid w:val="00935E90"/>
    <w:rsid w:val="009360D6"/>
    <w:rsid w:val="00936282"/>
    <w:rsid w:val="00936510"/>
    <w:rsid w:val="00940358"/>
    <w:rsid w:val="009412D3"/>
    <w:rsid w:val="00941336"/>
    <w:rsid w:val="00945E92"/>
    <w:rsid w:val="0094622A"/>
    <w:rsid w:val="00946509"/>
    <w:rsid w:val="009466EE"/>
    <w:rsid w:val="0094698E"/>
    <w:rsid w:val="0095023D"/>
    <w:rsid w:val="00950759"/>
    <w:rsid w:val="00951BAF"/>
    <w:rsid w:val="0095381C"/>
    <w:rsid w:val="00954A68"/>
    <w:rsid w:val="009575E1"/>
    <w:rsid w:val="0096053F"/>
    <w:rsid w:val="00960BC7"/>
    <w:rsid w:val="00962129"/>
    <w:rsid w:val="009621E6"/>
    <w:rsid w:val="009632C9"/>
    <w:rsid w:val="00964625"/>
    <w:rsid w:val="009659BF"/>
    <w:rsid w:val="009667EE"/>
    <w:rsid w:val="009720B6"/>
    <w:rsid w:val="009729B4"/>
    <w:rsid w:val="0097316B"/>
    <w:rsid w:val="0097354A"/>
    <w:rsid w:val="00973D4C"/>
    <w:rsid w:val="00974FAA"/>
    <w:rsid w:val="00976875"/>
    <w:rsid w:val="00977184"/>
    <w:rsid w:val="0097718F"/>
    <w:rsid w:val="009802C9"/>
    <w:rsid w:val="009824E2"/>
    <w:rsid w:val="009831D9"/>
    <w:rsid w:val="00983DDB"/>
    <w:rsid w:val="00984A8F"/>
    <w:rsid w:val="00984E23"/>
    <w:rsid w:val="00985ABF"/>
    <w:rsid w:val="00990654"/>
    <w:rsid w:val="00991685"/>
    <w:rsid w:val="009927FA"/>
    <w:rsid w:val="00995546"/>
    <w:rsid w:val="0099595B"/>
    <w:rsid w:val="009967F2"/>
    <w:rsid w:val="00996ECD"/>
    <w:rsid w:val="00997790"/>
    <w:rsid w:val="009A1FA6"/>
    <w:rsid w:val="009A2169"/>
    <w:rsid w:val="009A2B6F"/>
    <w:rsid w:val="009A3C9A"/>
    <w:rsid w:val="009A66D0"/>
    <w:rsid w:val="009B01FC"/>
    <w:rsid w:val="009B0BBE"/>
    <w:rsid w:val="009B1BFE"/>
    <w:rsid w:val="009B5E23"/>
    <w:rsid w:val="009B6CD6"/>
    <w:rsid w:val="009B7367"/>
    <w:rsid w:val="009C1437"/>
    <w:rsid w:val="009C467A"/>
    <w:rsid w:val="009C6B7D"/>
    <w:rsid w:val="009C72ED"/>
    <w:rsid w:val="009D33FF"/>
    <w:rsid w:val="009D3401"/>
    <w:rsid w:val="009D3F76"/>
    <w:rsid w:val="009D5CE0"/>
    <w:rsid w:val="009E0EA2"/>
    <w:rsid w:val="009E214D"/>
    <w:rsid w:val="009E28EC"/>
    <w:rsid w:val="009E315A"/>
    <w:rsid w:val="009E3A14"/>
    <w:rsid w:val="009E4841"/>
    <w:rsid w:val="009E4864"/>
    <w:rsid w:val="009E51AD"/>
    <w:rsid w:val="009E78E7"/>
    <w:rsid w:val="009E7983"/>
    <w:rsid w:val="009E79AB"/>
    <w:rsid w:val="009F2E31"/>
    <w:rsid w:val="009F3430"/>
    <w:rsid w:val="009F3F1F"/>
    <w:rsid w:val="009F4FB3"/>
    <w:rsid w:val="009F53D8"/>
    <w:rsid w:val="009F5E9F"/>
    <w:rsid w:val="009F679F"/>
    <w:rsid w:val="009F6DA9"/>
    <w:rsid w:val="009F71D1"/>
    <w:rsid w:val="009F777C"/>
    <w:rsid w:val="00A00DD6"/>
    <w:rsid w:val="00A017BA"/>
    <w:rsid w:val="00A01EFD"/>
    <w:rsid w:val="00A0237C"/>
    <w:rsid w:val="00A026DF"/>
    <w:rsid w:val="00A03A5F"/>
    <w:rsid w:val="00A04100"/>
    <w:rsid w:val="00A05E95"/>
    <w:rsid w:val="00A066DE"/>
    <w:rsid w:val="00A075C8"/>
    <w:rsid w:val="00A10A9F"/>
    <w:rsid w:val="00A10B65"/>
    <w:rsid w:val="00A117B5"/>
    <w:rsid w:val="00A141E5"/>
    <w:rsid w:val="00A15581"/>
    <w:rsid w:val="00A1593F"/>
    <w:rsid w:val="00A15B57"/>
    <w:rsid w:val="00A15F2D"/>
    <w:rsid w:val="00A16C77"/>
    <w:rsid w:val="00A202ED"/>
    <w:rsid w:val="00A20B6E"/>
    <w:rsid w:val="00A218EC"/>
    <w:rsid w:val="00A21F92"/>
    <w:rsid w:val="00A22B61"/>
    <w:rsid w:val="00A23463"/>
    <w:rsid w:val="00A24D91"/>
    <w:rsid w:val="00A2536F"/>
    <w:rsid w:val="00A263F4"/>
    <w:rsid w:val="00A26AF6"/>
    <w:rsid w:val="00A27F1E"/>
    <w:rsid w:val="00A304C5"/>
    <w:rsid w:val="00A30AF9"/>
    <w:rsid w:val="00A30DB3"/>
    <w:rsid w:val="00A31296"/>
    <w:rsid w:val="00A313FC"/>
    <w:rsid w:val="00A330E3"/>
    <w:rsid w:val="00A344A6"/>
    <w:rsid w:val="00A34799"/>
    <w:rsid w:val="00A403E9"/>
    <w:rsid w:val="00A406DC"/>
    <w:rsid w:val="00A41119"/>
    <w:rsid w:val="00A42EC9"/>
    <w:rsid w:val="00A43419"/>
    <w:rsid w:val="00A4347E"/>
    <w:rsid w:val="00A4381E"/>
    <w:rsid w:val="00A440F4"/>
    <w:rsid w:val="00A44321"/>
    <w:rsid w:val="00A4630E"/>
    <w:rsid w:val="00A47DE3"/>
    <w:rsid w:val="00A50DCD"/>
    <w:rsid w:val="00A5227A"/>
    <w:rsid w:val="00A5386B"/>
    <w:rsid w:val="00A55A52"/>
    <w:rsid w:val="00A55DE0"/>
    <w:rsid w:val="00A57701"/>
    <w:rsid w:val="00A57D42"/>
    <w:rsid w:val="00A60BBB"/>
    <w:rsid w:val="00A60C83"/>
    <w:rsid w:val="00A613B3"/>
    <w:rsid w:val="00A621CA"/>
    <w:rsid w:val="00A62DAD"/>
    <w:rsid w:val="00A63A99"/>
    <w:rsid w:val="00A65F1E"/>
    <w:rsid w:val="00A66D81"/>
    <w:rsid w:val="00A674E1"/>
    <w:rsid w:val="00A70C14"/>
    <w:rsid w:val="00A718CB"/>
    <w:rsid w:val="00A72369"/>
    <w:rsid w:val="00A739AD"/>
    <w:rsid w:val="00A74452"/>
    <w:rsid w:val="00A74549"/>
    <w:rsid w:val="00A74709"/>
    <w:rsid w:val="00A77BAD"/>
    <w:rsid w:val="00A80964"/>
    <w:rsid w:val="00A82D01"/>
    <w:rsid w:val="00A83111"/>
    <w:rsid w:val="00A84047"/>
    <w:rsid w:val="00A84492"/>
    <w:rsid w:val="00A855AA"/>
    <w:rsid w:val="00A85982"/>
    <w:rsid w:val="00A871DA"/>
    <w:rsid w:val="00A90123"/>
    <w:rsid w:val="00A9270A"/>
    <w:rsid w:val="00A934C1"/>
    <w:rsid w:val="00A94728"/>
    <w:rsid w:val="00A94DD7"/>
    <w:rsid w:val="00A972FF"/>
    <w:rsid w:val="00AA15A5"/>
    <w:rsid w:val="00AA22FC"/>
    <w:rsid w:val="00AA266A"/>
    <w:rsid w:val="00AA4511"/>
    <w:rsid w:val="00AB0683"/>
    <w:rsid w:val="00AB179B"/>
    <w:rsid w:val="00AB197C"/>
    <w:rsid w:val="00AB199E"/>
    <w:rsid w:val="00AB2265"/>
    <w:rsid w:val="00AB2DA9"/>
    <w:rsid w:val="00AB5052"/>
    <w:rsid w:val="00AB5560"/>
    <w:rsid w:val="00AB7121"/>
    <w:rsid w:val="00AC08FB"/>
    <w:rsid w:val="00AC1700"/>
    <w:rsid w:val="00AC20C4"/>
    <w:rsid w:val="00AC2558"/>
    <w:rsid w:val="00AC2F1A"/>
    <w:rsid w:val="00AC58FC"/>
    <w:rsid w:val="00AC7D76"/>
    <w:rsid w:val="00AD0FF4"/>
    <w:rsid w:val="00AD2065"/>
    <w:rsid w:val="00AD27DD"/>
    <w:rsid w:val="00AD3183"/>
    <w:rsid w:val="00AD48BE"/>
    <w:rsid w:val="00AD5134"/>
    <w:rsid w:val="00AD5928"/>
    <w:rsid w:val="00AD5E69"/>
    <w:rsid w:val="00AD7AA1"/>
    <w:rsid w:val="00AE16EC"/>
    <w:rsid w:val="00AE3C3A"/>
    <w:rsid w:val="00AE40CF"/>
    <w:rsid w:val="00AE46F0"/>
    <w:rsid w:val="00AE615B"/>
    <w:rsid w:val="00AE6F40"/>
    <w:rsid w:val="00AE7B86"/>
    <w:rsid w:val="00AE7BA0"/>
    <w:rsid w:val="00AF03B4"/>
    <w:rsid w:val="00AF0E07"/>
    <w:rsid w:val="00AF2305"/>
    <w:rsid w:val="00AF2A93"/>
    <w:rsid w:val="00AF2BD8"/>
    <w:rsid w:val="00AF36E2"/>
    <w:rsid w:val="00AF3FA5"/>
    <w:rsid w:val="00AF46AA"/>
    <w:rsid w:val="00AF4BF8"/>
    <w:rsid w:val="00AF535F"/>
    <w:rsid w:val="00AF5D98"/>
    <w:rsid w:val="00AF7307"/>
    <w:rsid w:val="00B03A57"/>
    <w:rsid w:val="00B044C6"/>
    <w:rsid w:val="00B05898"/>
    <w:rsid w:val="00B0694E"/>
    <w:rsid w:val="00B11281"/>
    <w:rsid w:val="00B11FF2"/>
    <w:rsid w:val="00B12FC5"/>
    <w:rsid w:val="00B134C9"/>
    <w:rsid w:val="00B14F99"/>
    <w:rsid w:val="00B17288"/>
    <w:rsid w:val="00B21104"/>
    <w:rsid w:val="00B220AD"/>
    <w:rsid w:val="00B2222C"/>
    <w:rsid w:val="00B24758"/>
    <w:rsid w:val="00B25B65"/>
    <w:rsid w:val="00B26221"/>
    <w:rsid w:val="00B27A34"/>
    <w:rsid w:val="00B31B2A"/>
    <w:rsid w:val="00B31DD8"/>
    <w:rsid w:val="00B32E6F"/>
    <w:rsid w:val="00B34E32"/>
    <w:rsid w:val="00B34F63"/>
    <w:rsid w:val="00B35670"/>
    <w:rsid w:val="00B363A5"/>
    <w:rsid w:val="00B378AC"/>
    <w:rsid w:val="00B37A1D"/>
    <w:rsid w:val="00B4012B"/>
    <w:rsid w:val="00B4050B"/>
    <w:rsid w:val="00B40CD9"/>
    <w:rsid w:val="00B40EDB"/>
    <w:rsid w:val="00B43126"/>
    <w:rsid w:val="00B447CB"/>
    <w:rsid w:val="00B468CF"/>
    <w:rsid w:val="00B5275C"/>
    <w:rsid w:val="00B532B9"/>
    <w:rsid w:val="00B53A21"/>
    <w:rsid w:val="00B53B49"/>
    <w:rsid w:val="00B53BB4"/>
    <w:rsid w:val="00B548FA"/>
    <w:rsid w:val="00B54A0A"/>
    <w:rsid w:val="00B5595E"/>
    <w:rsid w:val="00B564A5"/>
    <w:rsid w:val="00B56FF3"/>
    <w:rsid w:val="00B57AFD"/>
    <w:rsid w:val="00B57EA9"/>
    <w:rsid w:val="00B60363"/>
    <w:rsid w:val="00B61165"/>
    <w:rsid w:val="00B61A06"/>
    <w:rsid w:val="00B63B2F"/>
    <w:rsid w:val="00B641B5"/>
    <w:rsid w:val="00B641F8"/>
    <w:rsid w:val="00B64399"/>
    <w:rsid w:val="00B6473E"/>
    <w:rsid w:val="00B65D69"/>
    <w:rsid w:val="00B67E2D"/>
    <w:rsid w:val="00B719AE"/>
    <w:rsid w:val="00B7228A"/>
    <w:rsid w:val="00B72A4B"/>
    <w:rsid w:val="00B74C50"/>
    <w:rsid w:val="00B75CDF"/>
    <w:rsid w:val="00B7662E"/>
    <w:rsid w:val="00B82086"/>
    <w:rsid w:val="00B84442"/>
    <w:rsid w:val="00B86746"/>
    <w:rsid w:val="00B91263"/>
    <w:rsid w:val="00B927E5"/>
    <w:rsid w:val="00B975F3"/>
    <w:rsid w:val="00BA0E26"/>
    <w:rsid w:val="00BA17F9"/>
    <w:rsid w:val="00BA1E11"/>
    <w:rsid w:val="00BA4CB7"/>
    <w:rsid w:val="00BA5639"/>
    <w:rsid w:val="00BA591A"/>
    <w:rsid w:val="00BA59C2"/>
    <w:rsid w:val="00BA5CB2"/>
    <w:rsid w:val="00BA60FC"/>
    <w:rsid w:val="00BB0864"/>
    <w:rsid w:val="00BB260D"/>
    <w:rsid w:val="00BB3B42"/>
    <w:rsid w:val="00BB69A5"/>
    <w:rsid w:val="00BB70A7"/>
    <w:rsid w:val="00BB7DCE"/>
    <w:rsid w:val="00BC0EFB"/>
    <w:rsid w:val="00BC19CE"/>
    <w:rsid w:val="00BC21EE"/>
    <w:rsid w:val="00BC65D8"/>
    <w:rsid w:val="00BC6EEB"/>
    <w:rsid w:val="00BD1415"/>
    <w:rsid w:val="00BD316B"/>
    <w:rsid w:val="00BD40D0"/>
    <w:rsid w:val="00BD4653"/>
    <w:rsid w:val="00BD4BDC"/>
    <w:rsid w:val="00BD560B"/>
    <w:rsid w:val="00BD6475"/>
    <w:rsid w:val="00BD787C"/>
    <w:rsid w:val="00BE2499"/>
    <w:rsid w:val="00BE4E7F"/>
    <w:rsid w:val="00BE5C95"/>
    <w:rsid w:val="00BE5EA2"/>
    <w:rsid w:val="00BE6721"/>
    <w:rsid w:val="00BF0271"/>
    <w:rsid w:val="00BF06DD"/>
    <w:rsid w:val="00BF0E39"/>
    <w:rsid w:val="00BF12C4"/>
    <w:rsid w:val="00BF2C0E"/>
    <w:rsid w:val="00BF47B8"/>
    <w:rsid w:val="00BF5E81"/>
    <w:rsid w:val="00BF65CA"/>
    <w:rsid w:val="00BF6EDB"/>
    <w:rsid w:val="00C00140"/>
    <w:rsid w:val="00C01123"/>
    <w:rsid w:val="00C0325D"/>
    <w:rsid w:val="00C03A44"/>
    <w:rsid w:val="00C0758A"/>
    <w:rsid w:val="00C1110D"/>
    <w:rsid w:val="00C11888"/>
    <w:rsid w:val="00C11A50"/>
    <w:rsid w:val="00C127B1"/>
    <w:rsid w:val="00C134B7"/>
    <w:rsid w:val="00C15E87"/>
    <w:rsid w:val="00C16AB1"/>
    <w:rsid w:val="00C175D0"/>
    <w:rsid w:val="00C2096B"/>
    <w:rsid w:val="00C21918"/>
    <w:rsid w:val="00C21A8D"/>
    <w:rsid w:val="00C21E2C"/>
    <w:rsid w:val="00C22705"/>
    <w:rsid w:val="00C22D8B"/>
    <w:rsid w:val="00C24DB0"/>
    <w:rsid w:val="00C260FF"/>
    <w:rsid w:val="00C26B1C"/>
    <w:rsid w:val="00C2737C"/>
    <w:rsid w:val="00C274AA"/>
    <w:rsid w:val="00C276BD"/>
    <w:rsid w:val="00C27C56"/>
    <w:rsid w:val="00C30C79"/>
    <w:rsid w:val="00C326B3"/>
    <w:rsid w:val="00C32965"/>
    <w:rsid w:val="00C3426D"/>
    <w:rsid w:val="00C34B38"/>
    <w:rsid w:val="00C37BB7"/>
    <w:rsid w:val="00C40E52"/>
    <w:rsid w:val="00C448F1"/>
    <w:rsid w:val="00C44ADA"/>
    <w:rsid w:val="00C46060"/>
    <w:rsid w:val="00C47166"/>
    <w:rsid w:val="00C50711"/>
    <w:rsid w:val="00C523C6"/>
    <w:rsid w:val="00C525BA"/>
    <w:rsid w:val="00C53065"/>
    <w:rsid w:val="00C54204"/>
    <w:rsid w:val="00C555F7"/>
    <w:rsid w:val="00C55EF8"/>
    <w:rsid w:val="00C56446"/>
    <w:rsid w:val="00C602B3"/>
    <w:rsid w:val="00C60863"/>
    <w:rsid w:val="00C60B16"/>
    <w:rsid w:val="00C61A95"/>
    <w:rsid w:val="00C61CC6"/>
    <w:rsid w:val="00C61F54"/>
    <w:rsid w:val="00C620E5"/>
    <w:rsid w:val="00C6285D"/>
    <w:rsid w:val="00C62CEF"/>
    <w:rsid w:val="00C639E3"/>
    <w:rsid w:val="00C63D57"/>
    <w:rsid w:val="00C640E3"/>
    <w:rsid w:val="00C65486"/>
    <w:rsid w:val="00C675A3"/>
    <w:rsid w:val="00C675FE"/>
    <w:rsid w:val="00C70563"/>
    <w:rsid w:val="00C71292"/>
    <w:rsid w:val="00C71484"/>
    <w:rsid w:val="00C716CA"/>
    <w:rsid w:val="00C71B37"/>
    <w:rsid w:val="00C72305"/>
    <w:rsid w:val="00C726ED"/>
    <w:rsid w:val="00C735A7"/>
    <w:rsid w:val="00C765AC"/>
    <w:rsid w:val="00C76FAC"/>
    <w:rsid w:val="00C771BE"/>
    <w:rsid w:val="00C779E8"/>
    <w:rsid w:val="00C82264"/>
    <w:rsid w:val="00C84A53"/>
    <w:rsid w:val="00C8566F"/>
    <w:rsid w:val="00C859AE"/>
    <w:rsid w:val="00C87C43"/>
    <w:rsid w:val="00C9201D"/>
    <w:rsid w:val="00C93B0E"/>
    <w:rsid w:val="00C979D0"/>
    <w:rsid w:val="00CA2334"/>
    <w:rsid w:val="00CA32BF"/>
    <w:rsid w:val="00CA410E"/>
    <w:rsid w:val="00CA447E"/>
    <w:rsid w:val="00CA5360"/>
    <w:rsid w:val="00CA5784"/>
    <w:rsid w:val="00CA5EE3"/>
    <w:rsid w:val="00CA5FE9"/>
    <w:rsid w:val="00CB031D"/>
    <w:rsid w:val="00CB044A"/>
    <w:rsid w:val="00CB0CDF"/>
    <w:rsid w:val="00CB0FE7"/>
    <w:rsid w:val="00CB1DDE"/>
    <w:rsid w:val="00CB27FD"/>
    <w:rsid w:val="00CB28FE"/>
    <w:rsid w:val="00CB4BB8"/>
    <w:rsid w:val="00CB528D"/>
    <w:rsid w:val="00CB60C8"/>
    <w:rsid w:val="00CB635C"/>
    <w:rsid w:val="00CB7321"/>
    <w:rsid w:val="00CB7E0A"/>
    <w:rsid w:val="00CC3027"/>
    <w:rsid w:val="00CC421B"/>
    <w:rsid w:val="00CC45E9"/>
    <w:rsid w:val="00CD1BC6"/>
    <w:rsid w:val="00CD27EE"/>
    <w:rsid w:val="00CD4DE4"/>
    <w:rsid w:val="00CD577C"/>
    <w:rsid w:val="00CD7770"/>
    <w:rsid w:val="00CE10BD"/>
    <w:rsid w:val="00CE1F17"/>
    <w:rsid w:val="00CE47C1"/>
    <w:rsid w:val="00CE4A77"/>
    <w:rsid w:val="00CE72D5"/>
    <w:rsid w:val="00CE7F13"/>
    <w:rsid w:val="00CF131F"/>
    <w:rsid w:val="00CF19D1"/>
    <w:rsid w:val="00CF26BF"/>
    <w:rsid w:val="00CF3FB2"/>
    <w:rsid w:val="00CF46A4"/>
    <w:rsid w:val="00CF54EB"/>
    <w:rsid w:val="00CF6511"/>
    <w:rsid w:val="00CF66A7"/>
    <w:rsid w:val="00CF7BA4"/>
    <w:rsid w:val="00D004BE"/>
    <w:rsid w:val="00D00DBC"/>
    <w:rsid w:val="00D02231"/>
    <w:rsid w:val="00D02F9D"/>
    <w:rsid w:val="00D03586"/>
    <w:rsid w:val="00D03B28"/>
    <w:rsid w:val="00D05726"/>
    <w:rsid w:val="00D058AF"/>
    <w:rsid w:val="00D075C6"/>
    <w:rsid w:val="00D14AD6"/>
    <w:rsid w:val="00D14FB9"/>
    <w:rsid w:val="00D15F75"/>
    <w:rsid w:val="00D16F98"/>
    <w:rsid w:val="00D17654"/>
    <w:rsid w:val="00D17A03"/>
    <w:rsid w:val="00D20B9E"/>
    <w:rsid w:val="00D213E9"/>
    <w:rsid w:val="00D218DF"/>
    <w:rsid w:val="00D21C60"/>
    <w:rsid w:val="00D222EE"/>
    <w:rsid w:val="00D22CB7"/>
    <w:rsid w:val="00D259B7"/>
    <w:rsid w:val="00D26BC4"/>
    <w:rsid w:val="00D30E72"/>
    <w:rsid w:val="00D31ADB"/>
    <w:rsid w:val="00D33358"/>
    <w:rsid w:val="00D33B6C"/>
    <w:rsid w:val="00D3454C"/>
    <w:rsid w:val="00D34E30"/>
    <w:rsid w:val="00D34FD9"/>
    <w:rsid w:val="00D36785"/>
    <w:rsid w:val="00D37787"/>
    <w:rsid w:val="00D379AA"/>
    <w:rsid w:val="00D37F45"/>
    <w:rsid w:val="00D4105E"/>
    <w:rsid w:val="00D42E24"/>
    <w:rsid w:val="00D46107"/>
    <w:rsid w:val="00D479BE"/>
    <w:rsid w:val="00D50854"/>
    <w:rsid w:val="00D50899"/>
    <w:rsid w:val="00D512E3"/>
    <w:rsid w:val="00D53689"/>
    <w:rsid w:val="00D53748"/>
    <w:rsid w:val="00D54158"/>
    <w:rsid w:val="00D547AA"/>
    <w:rsid w:val="00D551F5"/>
    <w:rsid w:val="00D5688B"/>
    <w:rsid w:val="00D56AF6"/>
    <w:rsid w:val="00D60DAA"/>
    <w:rsid w:val="00D6160B"/>
    <w:rsid w:val="00D627C7"/>
    <w:rsid w:val="00D63D53"/>
    <w:rsid w:val="00D664B4"/>
    <w:rsid w:val="00D6776F"/>
    <w:rsid w:val="00D71E09"/>
    <w:rsid w:val="00D72181"/>
    <w:rsid w:val="00D7396F"/>
    <w:rsid w:val="00D7523E"/>
    <w:rsid w:val="00D764CF"/>
    <w:rsid w:val="00D76A33"/>
    <w:rsid w:val="00D773BD"/>
    <w:rsid w:val="00D81338"/>
    <w:rsid w:val="00D81AF1"/>
    <w:rsid w:val="00D81DFB"/>
    <w:rsid w:val="00D82D22"/>
    <w:rsid w:val="00D843D7"/>
    <w:rsid w:val="00D84E4B"/>
    <w:rsid w:val="00D85C54"/>
    <w:rsid w:val="00D90345"/>
    <w:rsid w:val="00D906AD"/>
    <w:rsid w:val="00D90713"/>
    <w:rsid w:val="00D9114E"/>
    <w:rsid w:val="00D9182E"/>
    <w:rsid w:val="00D92A4E"/>
    <w:rsid w:val="00D92E6F"/>
    <w:rsid w:val="00D932D3"/>
    <w:rsid w:val="00D95BB2"/>
    <w:rsid w:val="00D95C9F"/>
    <w:rsid w:val="00D97468"/>
    <w:rsid w:val="00D97D5E"/>
    <w:rsid w:val="00DA2460"/>
    <w:rsid w:val="00DA38CF"/>
    <w:rsid w:val="00DA4017"/>
    <w:rsid w:val="00DA5B94"/>
    <w:rsid w:val="00DA67D6"/>
    <w:rsid w:val="00DA6BED"/>
    <w:rsid w:val="00DA72DC"/>
    <w:rsid w:val="00DB16ED"/>
    <w:rsid w:val="00DB499A"/>
    <w:rsid w:val="00DB5AD0"/>
    <w:rsid w:val="00DB5C76"/>
    <w:rsid w:val="00DB7C3A"/>
    <w:rsid w:val="00DC0159"/>
    <w:rsid w:val="00DC0500"/>
    <w:rsid w:val="00DC21A9"/>
    <w:rsid w:val="00DC5090"/>
    <w:rsid w:val="00DC5186"/>
    <w:rsid w:val="00DD1675"/>
    <w:rsid w:val="00DD1854"/>
    <w:rsid w:val="00DD2B27"/>
    <w:rsid w:val="00DD2F32"/>
    <w:rsid w:val="00DD46EB"/>
    <w:rsid w:val="00DD69DD"/>
    <w:rsid w:val="00DD6D90"/>
    <w:rsid w:val="00DD776A"/>
    <w:rsid w:val="00DE261E"/>
    <w:rsid w:val="00DE35DB"/>
    <w:rsid w:val="00DE366B"/>
    <w:rsid w:val="00DE45EC"/>
    <w:rsid w:val="00DE70C5"/>
    <w:rsid w:val="00DE7144"/>
    <w:rsid w:val="00DF0BCD"/>
    <w:rsid w:val="00DF2221"/>
    <w:rsid w:val="00DF3569"/>
    <w:rsid w:val="00DF37AC"/>
    <w:rsid w:val="00DF5651"/>
    <w:rsid w:val="00DF66DF"/>
    <w:rsid w:val="00DF67B7"/>
    <w:rsid w:val="00DF7179"/>
    <w:rsid w:val="00E00362"/>
    <w:rsid w:val="00E03117"/>
    <w:rsid w:val="00E043D0"/>
    <w:rsid w:val="00E078D9"/>
    <w:rsid w:val="00E105B7"/>
    <w:rsid w:val="00E13DC8"/>
    <w:rsid w:val="00E1655A"/>
    <w:rsid w:val="00E17785"/>
    <w:rsid w:val="00E17ADD"/>
    <w:rsid w:val="00E20ADD"/>
    <w:rsid w:val="00E21066"/>
    <w:rsid w:val="00E2130B"/>
    <w:rsid w:val="00E216A6"/>
    <w:rsid w:val="00E259EC"/>
    <w:rsid w:val="00E26CE9"/>
    <w:rsid w:val="00E27096"/>
    <w:rsid w:val="00E2749E"/>
    <w:rsid w:val="00E32A5E"/>
    <w:rsid w:val="00E332F7"/>
    <w:rsid w:val="00E35B18"/>
    <w:rsid w:val="00E36F79"/>
    <w:rsid w:val="00E374E0"/>
    <w:rsid w:val="00E416D1"/>
    <w:rsid w:val="00E4654A"/>
    <w:rsid w:val="00E47430"/>
    <w:rsid w:val="00E4775F"/>
    <w:rsid w:val="00E50484"/>
    <w:rsid w:val="00E523F8"/>
    <w:rsid w:val="00E52DB1"/>
    <w:rsid w:val="00E553E1"/>
    <w:rsid w:val="00E55DC7"/>
    <w:rsid w:val="00E612FF"/>
    <w:rsid w:val="00E6233B"/>
    <w:rsid w:val="00E641AB"/>
    <w:rsid w:val="00E659B3"/>
    <w:rsid w:val="00E65A31"/>
    <w:rsid w:val="00E66428"/>
    <w:rsid w:val="00E66FEA"/>
    <w:rsid w:val="00E70213"/>
    <w:rsid w:val="00E72B7C"/>
    <w:rsid w:val="00E73C08"/>
    <w:rsid w:val="00E74D2E"/>
    <w:rsid w:val="00E77173"/>
    <w:rsid w:val="00E775E4"/>
    <w:rsid w:val="00E814AC"/>
    <w:rsid w:val="00E81C52"/>
    <w:rsid w:val="00E82A7A"/>
    <w:rsid w:val="00E857AA"/>
    <w:rsid w:val="00E85E1B"/>
    <w:rsid w:val="00E8608C"/>
    <w:rsid w:val="00E867B4"/>
    <w:rsid w:val="00E877F3"/>
    <w:rsid w:val="00E87F29"/>
    <w:rsid w:val="00E917E1"/>
    <w:rsid w:val="00E9253B"/>
    <w:rsid w:val="00E92C22"/>
    <w:rsid w:val="00E92F00"/>
    <w:rsid w:val="00E931E3"/>
    <w:rsid w:val="00E933AB"/>
    <w:rsid w:val="00E950E7"/>
    <w:rsid w:val="00E957D0"/>
    <w:rsid w:val="00E95DC4"/>
    <w:rsid w:val="00E9665D"/>
    <w:rsid w:val="00E9758C"/>
    <w:rsid w:val="00E97592"/>
    <w:rsid w:val="00E97F4A"/>
    <w:rsid w:val="00EA1BEC"/>
    <w:rsid w:val="00EA295C"/>
    <w:rsid w:val="00EA2A81"/>
    <w:rsid w:val="00EA35D6"/>
    <w:rsid w:val="00EA37FC"/>
    <w:rsid w:val="00EA4665"/>
    <w:rsid w:val="00EA6E29"/>
    <w:rsid w:val="00EA7477"/>
    <w:rsid w:val="00EA77F3"/>
    <w:rsid w:val="00EB2037"/>
    <w:rsid w:val="00EB29D4"/>
    <w:rsid w:val="00EB3E00"/>
    <w:rsid w:val="00EB5D6A"/>
    <w:rsid w:val="00EB76C9"/>
    <w:rsid w:val="00EC2977"/>
    <w:rsid w:val="00EC3F55"/>
    <w:rsid w:val="00EC4B91"/>
    <w:rsid w:val="00EC5D8C"/>
    <w:rsid w:val="00EC64D0"/>
    <w:rsid w:val="00ED0125"/>
    <w:rsid w:val="00ED06F0"/>
    <w:rsid w:val="00ED1FD5"/>
    <w:rsid w:val="00ED488F"/>
    <w:rsid w:val="00ED4D12"/>
    <w:rsid w:val="00ED51E5"/>
    <w:rsid w:val="00ED698F"/>
    <w:rsid w:val="00EE00AB"/>
    <w:rsid w:val="00EE134E"/>
    <w:rsid w:val="00EE4261"/>
    <w:rsid w:val="00EE79C9"/>
    <w:rsid w:val="00EF0370"/>
    <w:rsid w:val="00EF2497"/>
    <w:rsid w:val="00EF5E29"/>
    <w:rsid w:val="00EF6E86"/>
    <w:rsid w:val="00F0000F"/>
    <w:rsid w:val="00F00AF7"/>
    <w:rsid w:val="00F01066"/>
    <w:rsid w:val="00F02A32"/>
    <w:rsid w:val="00F02C06"/>
    <w:rsid w:val="00F033E6"/>
    <w:rsid w:val="00F04D89"/>
    <w:rsid w:val="00F05F9A"/>
    <w:rsid w:val="00F062D9"/>
    <w:rsid w:val="00F0659E"/>
    <w:rsid w:val="00F07694"/>
    <w:rsid w:val="00F07BDD"/>
    <w:rsid w:val="00F107CE"/>
    <w:rsid w:val="00F12D19"/>
    <w:rsid w:val="00F1412A"/>
    <w:rsid w:val="00F14B9B"/>
    <w:rsid w:val="00F1588F"/>
    <w:rsid w:val="00F15D32"/>
    <w:rsid w:val="00F16BBC"/>
    <w:rsid w:val="00F171EE"/>
    <w:rsid w:val="00F20BC1"/>
    <w:rsid w:val="00F22974"/>
    <w:rsid w:val="00F24081"/>
    <w:rsid w:val="00F31712"/>
    <w:rsid w:val="00F3385A"/>
    <w:rsid w:val="00F33E3A"/>
    <w:rsid w:val="00F3403C"/>
    <w:rsid w:val="00F3421B"/>
    <w:rsid w:val="00F34F73"/>
    <w:rsid w:val="00F36E4A"/>
    <w:rsid w:val="00F42328"/>
    <w:rsid w:val="00F4244D"/>
    <w:rsid w:val="00F42546"/>
    <w:rsid w:val="00F42671"/>
    <w:rsid w:val="00F47761"/>
    <w:rsid w:val="00F4799E"/>
    <w:rsid w:val="00F50567"/>
    <w:rsid w:val="00F50CB0"/>
    <w:rsid w:val="00F51D9F"/>
    <w:rsid w:val="00F54657"/>
    <w:rsid w:val="00F5552A"/>
    <w:rsid w:val="00F55810"/>
    <w:rsid w:val="00F55A52"/>
    <w:rsid w:val="00F56DC0"/>
    <w:rsid w:val="00F57E92"/>
    <w:rsid w:val="00F60452"/>
    <w:rsid w:val="00F612C8"/>
    <w:rsid w:val="00F61310"/>
    <w:rsid w:val="00F61DE6"/>
    <w:rsid w:val="00F62A18"/>
    <w:rsid w:val="00F62FD5"/>
    <w:rsid w:val="00F66FE7"/>
    <w:rsid w:val="00F7000C"/>
    <w:rsid w:val="00F706E1"/>
    <w:rsid w:val="00F71008"/>
    <w:rsid w:val="00F71CF5"/>
    <w:rsid w:val="00F72AE6"/>
    <w:rsid w:val="00F75823"/>
    <w:rsid w:val="00F7719B"/>
    <w:rsid w:val="00F77DC4"/>
    <w:rsid w:val="00F81978"/>
    <w:rsid w:val="00F819DF"/>
    <w:rsid w:val="00F81DAA"/>
    <w:rsid w:val="00F82ACC"/>
    <w:rsid w:val="00F83E64"/>
    <w:rsid w:val="00F847FE"/>
    <w:rsid w:val="00F84A29"/>
    <w:rsid w:val="00F86433"/>
    <w:rsid w:val="00F86DAD"/>
    <w:rsid w:val="00F91231"/>
    <w:rsid w:val="00F913C1"/>
    <w:rsid w:val="00F91475"/>
    <w:rsid w:val="00F93AF4"/>
    <w:rsid w:val="00F9403B"/>
    <w:rsid w:val="00F94128"/>
    <w:rsid w:val="00F94F0E"/>
    <w:rsid w:val="00F95015"/>
    <w:rsid w:val="00F95F06"/>
    <w:rsid w:val="00F97EFD"/>
    <w:rsid w:val="00FA090C"/>
    <w:rsid w:val="00FA1967"/>
    <w:rsid w:val="00FA226C"/>
    <w:rsid w:val="00FA5090"/>
    <w:rsid w:val="00FA5A84"/>
    <w:rsid w:val="00FA72A2"/>
    <w:rsid w:val="00FA77E7"/>
    <w:rsid w:val="00FA7F99"/>
    <w:rsid w:val="00FB1ABC"/>
    <w:rsid w:val="00FB1DEC"/>
    <w:rsid w:val="00FB37F3"/>
    <w:rsid w:val="00FB48D4"/>
    <w:rsid w:val="00FB519D"/>
    <w:rsid w:val="00FB59B4"/>
    <w:rsid w:val="00FB65C9"/>
    <w:rsid w:val="00FC0871"/>
    <w:rsid w:val="00FC0EAE"/>
    <w:rsid w:val="00FC13CF"/>
    <w:rsid w:val="00FC2012"/>
    <w:rsid w:val="00FC27B2"/>
    <w:rsid w:val="00FC351C"/>
    <w:rsid w:val="00FC36E3"/>
    <w:rsid w:val="00FC4DA2"/>
    <w:rsid w:val="00FC5373"/>
    <w:rsid w:val="00FC59F9"/>
    <w:rsid w:val="00FD19A6"/>
    <w:rsid w:val="00FD3B4A"/>
    <w:rsid w:val="00FD3D3B"/>
    <w:rsid w:val="00FD4046"/>
    <w:rsid w:val="00FD5392"/>
    <w:rsid w:val="00FD5D4F"/>
    <w:rsid w:val="00FD7E80"/>
    <w:rsid w:val="00FE040D"/>
    <w:rsid w:val="00FE04C3"/>
    <w:rsid w:val="00FE06D3"/>
    <w:rsid w:val="00FE11A4"/>
    <w:rsid w:val="00FE3A52"/>
    <w:rsid w:val="00FE508E"/>
    <w:rsid w:val="00FE519C"/>
    <w:rsid w:val="00FE57C2"/>
    <w:rsid w:val="00FE7B37"/>
    <w:rsid w:val="00FF00BE"/>
    <w:rsid w:val="00FF0A60"/>
    <w:rsid w:val="00FF0AB0"/>
    <w:rsid w:val="00FF32A1"/>
    <w:rsid w:val="00FF41BA"/>
    <w:rsid w:val="00FF4E89"/>
    <w:rsid w:val="00FF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649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4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F9403B"/>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F9403B"/>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F9403B"/>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F9403B"/>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F9403B"/>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F9403B"/>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F9403B"/>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F9403B"/>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F9403B"/>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uiPriority w:val="99"/>
    <w:rsid w:val="00725AF4"/>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043535"/>
    <w:rPr>
      <w:color w:val="954F72" w:themeColor="followedHyperlink"/>
      <w:u w:val="single"/>
    </w:rPr>
  </w:style>
  <w:style w:type="paragraph" w:styleId="Revision">
    <w:name w:val="Revision"/>
    <w:hidden/>
    <w:uiPriority w:val="99"/>
    <w:semiHidden/>
    <w:rsid w:val="009E51AD"/>
    <w:pPr>
      <w:spacing w:after="0" w:line="240" w:lineRule="auto"/>
    </w:pPr>
    <w:rPr>
      <w:rFonts w:ascii="Times New Roman" w:hAnsi="Times New Roman" w:cs="Times New Roman"/>
      <w:sz w:val="26"/>
    </w:rPr>
  </w:style>
  <w:style w:type="character" w:customStyle="1" w:styleId="Heading3Char">
    <w:name w:val="Heading 3 Char"/>
    <w:basedOn w:val="DefaultParagraphFont"/>
    <w:link w:val="Heading3"/>
    <w:uiPriority w:val="9"/>
    <w:rsid w:val="0067178E"/>
    <w:rPr>
      <w:rFonts w:ascii="Times New Roman" w:hAnsi="Times New Roman" w:eastAsiaTheme="majorEastAsia" w:cs="Times New Roman"/>
      <w:b/>
      <w:kern w:val="32"/>
      <w:sz w:val="26"/>
      <w:szCs w:val="24"/>
      <w:u w:val="single"/>
    </w:rPr>
  </w:style>
  <w:style w:type="character" w:customStyle="1" w:styleId="Heading4Char">
    <w:name w:val="Heading 4 Char"/>
    <w:basedOn w:val="DefaultParagraphFont"/>
    <w:link w:val="Heading4"/>
    <w:uiPriority w:val="9"/>
    <w:rsid w:val="0067178E"/>
    <w:rPr>
      <w:rFonts w:ascii="Times New Roman" w:hAnsi="Times New Roman" w:eastAsiaTheme="majorEastAsia" w:cs="Times New Roman"/>
      <w:b/>
      <w:iCs/>
      <w:kern w:val="32"/>
      <w:sz w:val="26"/>
      <w:u w:val="single"/>
    </w:rPr>
  </w:style>
  <w:style w:type="table" w:customStyle="1" w:styleId="TableGrid1">
    <w:name w:val="Table Grid1"/>
    <w:basedOn w:val="TableNormal"/>
    <w:uiPriority w:val="39"/>
    <w:rsid w:val="00C61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B2A84A3A-AFEE-42F5-80D8-F828BD26ACC4}">
  <ds:schemaRefs>
    <ds:schemaRef ds:uri="http://schemas.microsoft.com/sharepoint/v3/contenttype/forms"/>
  </ds:schemaRefs>
</ds:datastoreItem>
</file>

<file path=customXml/itemProps2.xml><?xml version="1.0" encoding="utf-8"?>
<ds:datastoreItem xmlns:ds="http://schemas.openxmlformats.org/officeDocument/2006/customXml" ds:itemID="{39F2F41D-6817-4006-B564-C462037F1AD3}">
  <ds:schemaRefs>
    <ds:schemaRef ds:uri="Microsoft.SharePoint.Taxonomy.ContentTypeSyn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0DDB1A68-BE71-4CB8-A82D-62F16FAFE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D3E405-645E-4161-90E5-2291CE60D9C7}">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2022-11-29T12:00:00Z</dcterms:created>
  <dcterms:modified xsi:type="dcterms:W3CDTF">2022-11-29T12:00:00Z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ActionId">
    <vt:lpwstr>08952e79-6f3e-4129-9d12-7abe9830b4ab</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2022-11-29T12:00:19Z</vt:lpwstr>
  </property>
  <property fmtid="{D5CDD505-2E9C-101B-9397-08002B2CF9AE}" pid="9" name="MSIP_Label_6155a89b-0f08-4a93-8ea2-8a916d6643b5_SiteId">
    <vt:lpwstr>19caa9e9-04ff-43fa-885f-d77fac387903</vt:lpwstr>
  </property>
</Properties>
</file>