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07C8" w:rsidRPr="009D7235" w14:paraId="31E25827" w14:textId="77777777">
      <w:pPr>
        <w:widowControl w:val="0"/>
        <w:jc w:val="center"/>
        <w:outlineLvl w:val="0"/>
        <w:rPr>
          <w:rFonts w:ascii="Times New Roman" w:hAnsi="Times New Roman"/>
          <w:b/>
        </w:rPr>
      </w:pPr>
      <w:r w:rsidRPr="009D7235">
        <w:rPr>
          <w:rFonts w:ascii="Times New Roman" w:hAnsi="Times New Roman"/>
          <w:b/>
        </w:rPr>
        <w:t>SUPPORTING STATEMENT FOR</w:t>
      </w:r>
    </w:p>
    <w:p w:rsidR="003907C8" w:rsidRPr="009D7235" w14:paraId="535CAD01" w14:textId="77777777">
      <w:pPr>
        <w:widowControl w:val="0"/>
        <w:jc w:val="center"/>
        <w:outlineLvl w:val="0"/>
        <w:rPr>
          <w:rFonts w:ascii="Times New Roman" w:hAnsi="Times New Roman"/>
        </w:rPr>
      </w:pPr>
      <w:r w:rsidRPr="009D7235">
        <w:rPr>
          <w:rFonts w:ascii="Times New Roman" w:hAnsi="Times New Roman"/>
          <w:b/>
        </w:rPr>
        <w:t>AN INFORMATION COLLECTION REQUEST (ICR)</w:t>
      </w:r>
    </w:p>
    <w:p w:rsidR="00D84265" w:rsidRPr="009D7235" w:rsidP="00B4634C" w14:paraId="128EB2A6" w14:textId="77777777">
      <w:pPr>
        <w:pStyle w:val="Heading2"/>
        <w:rPr>
          <w:rFonts w:ascii="Times New Roman" w:hAnsi="Times New Roman" w:cs="Times New Roman"/>
        </w:rPr>
      </w:pPr>
    </w:p>
    <w:p w:rsidR="003907C8" w:rsidRPr="009D7235" w:rsidP="00B4634C" w14:paraId="71C38F16" w14:textId="10908017">
      <w:pPr>
        <w:pStyle w:val="Heading2"/>
        <w:rPr>
          <w:rFonts w:ascii="Times New Roman" w:hAnsi="Times New Roman" w:cs="Times New Roman"/>
        </w:rPr>
      </w:pPr>
      <w:r w:rsidRPr="009D7235">
        <w:rPr>
          <w:rFonts w:ascii="Times New Roman" w:hAnsi="Times New Roman" w:cs="Times New Roman"/>
        </w:rPr>
        <w:t>Title of the Information Collection</w:t>
      </w:r>
    </w:p>
    <w:p w:rsidR="003907C8" w:rsidRPr="009D7235" w14:paraId="7655451C" w14:textId="77777777">
      <w:pPr>
        <w:widowControl w:val="0"/>
        <w:rPr>
          <w:rFonts w:ascii="Times New Roman" w:hAnsi="Times New Roman"/>
        </w:rPr>
      </w:pPr>
    </w:p>
    <w:p w:rsidR="003907C8" w:rsidRPr="009D7235" w:rsidP="008B38E7" w14:paraId="404948C5" w14:textId="3401D247">
      <w:pPr>
        <w:pStyle w:val="Heading3"/>
        <w:rPr>
          <w:rFonts w:ascii="Times New Roman" w:hAnsi="Times New Roman" w:cs="Times New Roman"/>
          <w:b w:val="0"/>
          <w:bCs/>
        </w:rPr>
      </w:pPr>
      <w:r w:rsidRPr="009D7235">
        <w:rPr>
          <w:rFonts w:ascii="Times New Roman" w:hAnsi="Times New Roman" w:cs="Times New Roman"/>
        </w:rPr>
        <w:tab/>
        <w:t>Title:</w:t>
      </w:r>
      <w:r w:rsidRPr="009D7235">
        <w:rPr>
          <w:rFonts w:ascii="Times New Roman" w:hAnsi="Times New Roman" w:cs="Times New Roman"/>
        </w:rPr>
        <w:tab/>
      </w:r>
      <w:r w:rsidRPr="009D7235" w:rsidR="008B38E7">
        <w:rPr>
          <w:rFonts w:ascii="Times New Roman" w:hAnsi="Times New Roman" w:cs="Times New Roman"/>
          <w:b w:val="0"/>
          <w:bCs/>
        </w:rPr>
        <w:t>Recordkeeping Requirements for Producers of Pesticides 40 CFR Part 169</w:t>
      </w:r>
    </w:p>
    <w:p w:rsidR="00B4634C" w:rsidRPr="009D7235" w:rsidP="00363546" w14:paraId="3FF80323" w14:textId="38004683">
      <w:pPr>
        <w:pStyle w:val="Heading3"/>
        <w:rPr>
          <w:rFonts w:ascii="Times New Roman" w:hAnsi="Times New Roman" w:cs="Times New Roman"/>
          <w:lang w:val="es-PR"/>
        </w:rPr>
      </w:pPr>
      <w:r w:rsidRPr="009D7235">
        <w:rPr>
          <w:rFonts w:ascii="Times New Roman" w:hAnsi="Times New Roman" w:cs="Times New Roman"/>
        </w:rPr>
        <w:tab/>
      </w:r>
      <w:r w:rsidRPr="009D7235">
        <w:rPr>
          <w:rFonts w:ascii="Times New Roman" w:hAnsi="Times New Roman" w:cs="Times New Roman"/>
          <w:lang w:val="es-PR"/>
        </w:rPr>
        <w:t>EPA ICR No.</w:t>
      </w:r>
      <w:r w:rsidRPr="009D7235">
        <w:rPr>
          <w:rFonts w:ascii="Times New Roman" w:hAnsi="Times New Roman" w:cs="Times New Roman"/>
          <w:lang w:val="es-PR"/>
        </w:rPr>
        <w:t>:</w:t>
      </w:r>
      <w:r w:rsidRPr="009D7235">
        <w:rPr>
          <w:rFonts w:ascii="Times New Roman" w:hAnsi="Times New Roman" w:cs="Times New Roman"/>
          <w:lang w:val="es-PR"/>
        </w:rPr>
        <w:t xml:space="preserve">  </w:t>
      </w:r>
      <w:r w:rsidRPr="009D7235" w:rsidR="008B38E7">
        <w:rPr>
          <w:rFonts w:ascii="Times New Roman" w:hAnsi="Times New Roman" w:cs="Times New Roman"/>
          <w:b w:val="0"/>
          <w:bCs/>
        </w:rPr>
        <w:t>0143.1</w:t>
      </w:r>
      <w:r w:rsidRPr="009D7235" w:rsidR="000A5221">
        <w:rPr>
          <w:rFonts w:ascii="Times New Roman" w:hAnsi="Times New Roman" w:cs="Times New Roman"/>
          <w:b w:val="0"/>
          <w:bCs/>
        </w:rPr>
        <w:t>4</w:t>
      </w:r>
    </w:p>
    <w:p w:rsidR="003907C8" w:rsidRPr="009D7235" w:rsidP="00363546" w14:paraId="0E88FB40" w14:textId="323DDA0C">
      <w:pPr>
        <w:pStyle w:val="Heading3"/>
        <w:rPr>
          <w:rFonts w:ascii="Times New Roman" w:hAnsi="Times New Roman" w:cs="Times New Roman"/>
        </w:rPr>
      </w:pPr>
      <w:r w:rsidRPr="009D7235">
        <w:rPr>
          <w:rFonts w:ascii="Times New Roman" w:hAnsi="Times New Roman" w:cs="Times New Roman"/>
        </w:rPr>
        <w:tab/>
      </w:r>
      <w:r w:rsidRPr="009D7235">
        <w:rPr>
          <w:rFonts w:ascii="Times New Roman" w:hAnsi="Times New Roman" w:cs="Times New Roman"/>
          <w:lang w:val="es-PR"/>
        </w:rPr>
        <w:t>OMB Control No.</w:t>
      </w:r>
      <w:r w:rsidRPr="009D7235">
        <w:rPr>
          <w:rFonts w:ascii="Times New Roman" w:hAnsi="Times New Roman" w:cs="Times New Roman"/>
          <w:lang w:val="es-PR"/>
        </w:rPr>
        <w:t>:</w:t>
      </w:r>
      <w:r w:rsidRPr="009D7235">
        <w:rPr>
          <w:rFonts w:ascii="Times New Roman" w:hAnsi="Times New Roman" w:cs="Times New Roman"/>
          <w:lang w:val="es-PR"/>
        </w:rPr>
        <w:t xml:space="preserve">  </w:t>
      </w:r>
      <w:r w:rsidRPr="009D7235" w:rsidR="008B38E7">
        <w:rPr>
          <w:rFonts w:ascii="Times New Roman" w:hAnsi="Times New Roman" w:cs="Times New Roman"/>
          <w:b w:val="0"/>
          <w:bCs/>
        </w:rPr>
        <w:t>2070–0028</w:t>
      </w:r>
    </w:p>
    <w:p w:rsidR="00B4634C" w:rsidRPr="009D7235" w:rsidP="00363546" w14:paraId="4D100BE9" w14:textId="60A3E7D1">
      <w:pPr>
        <w:pStyle w:val="Heading3"/>
        <w:rPr>
          <w:rFonts w:ascii="Times New Roman" w:hAnsi="Times New Roman" w:cs="Times New Roman"/>
        </w:rPr>
      </w:pPr>
      <w:r w:rsidRPr="009D7235">
        <w:rPr>
          <w:rFonts w:ascii="Times New Roman" w:hAnsi="Times New Roman" w:cs="Times New Roman"/>
        </w:rPr>
        <w:tab/>
        <w:t xml:space="preserve">Docket ID No.: </w:t>
      </w:r>
      <w:r w:rsidRPr="009D7235" w:rsidR="008B38E7">
        <w:rPr>
          <w:rFonts w:ascii="Times New Roman" w:hAnsi="Times New Roman" w:cs="Times New Roman"/>
          <w:b w:val="0"/>
          <w:bCs/>
        </w:rPr>
        <w:t>EPA-HQ-OECA-2017-0640</w:t>
      </w:r>
    </w:p>
    <w:p w:rsidR="008B38E7" w:rsidRPr="009D7235" w:rsidP="008B38E7" w14:paraId="1B6FFB70" w14:textId="77777777">
      <w:pPr>
        <w:rPr>
          <w:rFonts w:ascii="Times New Roman" w:hAnsi="Times New Roman"/>
        </w:rPr>
      </w:pPr>
    </w:p>
    <w:p w:rsidR="003907C8" w:rsidRPr="009D7235" w:rsidP="00363546" w14:paraId="381B84F7" w14:textId="77777777">
      <w:pPr>
        <w:rPr>
          <w:rFonts w:ascii="Times New Roman" w:hAnsi="Times New Roman"/>
        </w:rPr>
      </w:pPr>
    </w:p>
    <w:p w:rsidR="003907C8" w:rsidRPr="009D7235" w:rsidP="00B4634C" w14:paraId="12C8D2D9" w14:textId="15C9684B">
      <w:pPr>
        <w:pStyle w:val="Heading2"/>
        <w:rPr>
          <w:rFonts w:ascii="Times New Roman" w:hAnsi="Times New Roman" w:cs="Times New Roman"/>
        </w:rPr>
      </w:pPr>
      <w:r w:rsidRPr="009D7235">
        <w:rPr>
          <w:rFonts w:ascii="Times New Roman" w:hAnsi="Times New Roman" w:cs="Times New Roman"/>
        </w:rPr>
        <w:t>Short Characterization/Abstract</w:t>
      </w:r>
    </w:p>
    <w:p w:rsidR="000E1F12" w:rsidRPr="009D7235" w:rsidP="000E1F12" w14:paraId="48CD62E7" w14:textId="2D69C2E9">
      <w:pPr>
        <w:rPr>
          <w:rFonts w:ascii="Times New Roman" w:hAnsi="Times New Roman"/>
          <w:sz w:val="22"/>
          <w:szCs w:val="22"/>
        </w:rPr>
      </w:pPr>
      <w:r w:rsidRPr="009D7235">
        <w:rPr>
          <w:rFonts w:ascii="Times New Roman" w:hAnsi="Times New Roman"/>
          <w:sz w:val="22"/>
          <w:szCs w:val="22"/>
        </w:rPr>
        <w:t xml:space="preserve">This is a renewal of a currently approved Information Collection Request (ICR) that covers the information collection activities under the Recordkeeping Requirements for Producers found at 40 CFR part 169. These regulations issued under </w:t>
      </w:r>
      <w:r w:rsidR="005C3FEE">
        <w:rPr>
          <w:rFonts w:ascii="Times New Roman" w:hAnsi="Times New Roman"/>
          <w:sz w:val="22"/>
          <w:szCs w:val="22"/>
        </w:rPr>
        <w:t xml:space="preserve">the </w:t>
      </w:r>
      <w:r w:rsidRPr="009D7235" w:rsidR="005F6F5B">
        <w:rPr>
          <w:rFonts w:ascii="Times New Roman" w:hAnsi="Times New Roman"/>
          <w:sz w:val="22"/>
          <w:szCs w:val="22"/>
        </w:rPr>
        <w:t>Federal Insecticide, Fungicide and Rodenticide Act (FIFRA)</w:t>
      </w:r>
      <w:r w:rsidRPr="009D7235">
        <w:rPr>
          <w:rFonts w:ascii="Times New Roman" w:hAnsi="Times New Roman"/>
          <w:sz w:val="22"/>
          <w:szCs w:val="22"/>
        </w:rPr>
        <w:t xml:space="preserve"> section 8 s</w:t>
      </w:r>
      <w:r w:rsidRPr="009D7235" w:rsidR="00454232">
        <w:rPr>
          <w:rFonts w:ascii="Times New Roman" w:hAnsi="Times New Roman"/>
          <w:sz w:val="22"/>
          <w:szCs w:val="22"/>
        </w:rPr>
        <w:t>tate</w:t>
      </w:r>
      <w:r w:rsidRPr="009D7235">
        <w:rPr>
          <w:rFonts w:ascii="Times New Roman" w:hAnsi="Times New Roman"/>
          <w:sz w:val="22"/>
          <w:szCs w:val="22"/>
        </w:rPr>
        <w:t xml:space="preserve"> that the Administrator of the Environmental Protection Agency may prescribe regulations requiring pesticide producers, registrants</w:t>
      </w:r>
      <w:r w:rsidRPr="009D7235" w:rsidR="00D37D23">
        <w:rPr>
          <w:rFonts w:ascii="Times New Roman" w:hAnsi="Times New Roman"/>
          <w:sz w:val="22"/>
          <w:szCs w:val="22"/>
        </w:rPr>
        <w:t>,</w:t>
      </w:r>
      <w:r w:rsidRPr="009D7235">
        <w:rPr>
          <w:rFonts w:ascii="Times New Roman" w:hAnsi="Times New Roman"/>
          <w:sz w:val="22"/>
          <w:szCs w:val="22"/>
        </w:rPr>
        <w:t xml:space="preserve"> and applicants for registration to maintain such records with </w:t>
      </w:r>
      <w:r w:rsidRPr="009D7235" w:rsidR="00454232">
        <w:rPr>
          <w:rFonts w:ascii="Times New Roman" w:hAnsi="Times New Roman"/>
          <w:sz w:val="22"/>
          <w:szCs w:val="22"/>
        </w:rPr>
        <w:t>specifies</w:t>
      </w:r>
      <w:r w:rsidRPr="009D7235">
        <w:rPr>
          <w:rFonts w:ascii="Times New Roman" w:hAnsi="Times New Roman"/>
          <w:sz w:val="22"/>
          <w:szCs w:val="22"/>
        </w:rPr>
        <w:t xml:space="preserve"> the records that pesticide producers must keep and how to dispose of them. Under FIFRA section 8, producers must make such records available for inspection and copying. </w:t>
      </w:r>
    </w:p>
    <w:p w:rsidR="00454232" w:rsidRPr="009D7235" w:rsidP="00454232" w14:paraId="236BB452" w14:textId="77777777">
      <w:pPr>
        <w:pStyle w:val="NormalWeb"/>
        <w:spacing w:before="0" w:beforeAutospacing="0" w:after="0" w:afterAutospacing="0"/>
        <w:rPr>
          <w:sz w:val="22"/>
          <w:szCs w:val="22"/>
        </w:rPr>
      </w:pPr>
    </w:p>
    <w:p w:rsidR="000E1F12" w:rsidRPr="009D7235" w:rsidP="00454232" w14:paraId="0A580699" w14:textId="4D673D3F">
      <w:pPr>
        <w:pStyle w:val="NormalWeb"/>
        <w:spacing w:before="0" w:beforeAutospacing="0" w:after="0" w:afterAutospacing="0"/>
        <w:rPr>
          <w:sz w:val="22"/>
          <w:szCs w:val="22"/>
        </w:rPr>
      </w:pPr>
      <w:r w:rsidRPr="009D7235">
        <w:rPr>
          <w:sz w:val="22"/>
          <w:szCs w:val="22"/>
        </w:rPr>
        <w:t xml:space="preserve">Producers must maintain records on production data for pesticides, devices, or active ingredients (including pesticides produced pursuant to an experimental use permit); receipt by the producer of pesticides, devices, or active ingredients used in producing pesticides; delivery, moving, or holding of pesticides; inventory; domestic advertising for restricted use pesticides; guarantees; exports; disposal; human testing; and tolerance petitions. These records generally consist of the material produced </w:t>
      </w:r>
      <w:r w:rsidRPr="009D7235">
        <w:rPr>
          <w:sz w:val="22"/>
          <w:szCs w:val="22"/>
        </w:rPr>
        <w:t>during the course of</w:t>
      </w:r>
      <w:r w:rsidRPr="009D7235">
        <w:rPr>
          <w:sz w:val="22"/>
          <w:szCs w:val="22"/>
        </w:rPr>
        <w:t xml:space="preserve"> ordinary business activity and are maintained in the location, manner, and duration as is generally prudent for such records in the course of ordinary business activity. </w:t>
      </w:r>
    </w:p>
    <w:p w:rsidR="00454232" w:rsidRPr="009D7235" w:rsidP="00454232" w14:paraId="01581276" w14:textId="2AC8E527">
      <w:pPr>
        <w:pStyle w:val="NormalWeb"/>
        <w:spacing w:before="0" w:beforeAutospacing="0" w:after="0" w:afterAutospacing="0"/>
        <w:rPr>
          <w:sz w:val="22"/>
          <w:szCs w:val="22"/>
        </w:rPr>
      </w:pPr>
    </w:p>
    <w:p w:rsidR="00454232" w:rsidRPr="009D7235" w:rsidP="00454232" w14:paraId="77536BF6" w14:textId="66C66938">
      <w:pPr>
        <w:rPr>
          <w:rFonts w:ascii="Times New Roman" w:hAnsi="Times New Roman"/>
          <w:sz w:val="22"/>
          <w:szCs w:val="22"/>
        </w:rPr>
      </w:pPr>
      <w:r w:rsidRPr="009D7235">
        <w:rPr>
          <w:rFonts w:ascii="Times New Roman" w:hAnsi="Times New Roman"/>
          <w:sz w:val="22"/>
          <w:szCs w:val="22"/>
        </w:rPr>
        <w:t xml:space="preserve">Respondents are required to maintain records of receipt, production, shipping, and inventory for two years. Records regarding testing of registered pesticides must be maintained for the life of the pesticide registration, as such data are necessary to support the regulatory decision. </w:t>
      </w:r>
    </w:p>
    <w:p w:rsidR="00454232" w:rsidRPr="009D7235" w:rsidP="00454232" w14:paraId="4EEDFD5B" w14:textId="77777777">
      <w:pPr>
        <w:pStyle w:val="NormalWeb"/>
        <w:spacing w:before="0" w:beforeAutospacing="0" w:after="0" w:afterAutospacing="0"/>
        <w:rPr>
          <w:sz w:val="22"/>
          <w:szCs w:val="22"/>
        </w:rPr>
      </w:pPr>
    </w:p>
    <w:p w:rsidR="000E1F12" w:rsidRPr="009D7235" w:rsidP="70E55E22" w14:paraId="54D9167C" w14:textId="7BDEBA13">
      <w:pPr>
        <w:pStyle w:val="NormalWeb"/>
        <w:spacing w:before="0" w:beforeAutospacing="0" w:after="0" w:afterAutospacing="0"/>
        <w:rPr>
          <w:sz w:val="22"/>
          <w:szCs w:val="22"/>
        </w:rPr>
      </w:pPr>
      <w:r w:rsidRPr="009D7235">
        <w:rPr>
          <w:sz w:val="22"/>
          <w:szCs w:val="22"/>
        </w:rPr>
        <w:t xml:space="preserve">These records are subject to both call-in by EPA and on-site inspection by EPA and its representatives. EPA has not established a regular schedule for the collection of these records, there is no reporting. The businesses subject to the pesticide producer recordkeeping regulations includes producers of any pesticide, device or active ingredient as well as distributors, carriers and pesticide dealers. The records </w:t>
      </w:r>
      <w:r w:rsidRPr="009D7235">
        <w:rPr>
          <w:sz w:val="22"/>
          <w:szCs w:val="22"/>
        </w:rPr>
        <w:t>have to</w:t>
      </w:r>
      <w:r w:rsidRPr="009D7235">
        <w:rPr>
          <w:sz w:val="22"/>
          <w:szCs w:val="22"/>
        </w:rPr>
        <w:t xml:space="preserve"> be maintained by the owners and operators of such businesses and made available to inspectors to ensure that businesses are in compliance with recordkeeping requirements. These inspections are generally conducted by the states, which enforce FIFRA regulations through cooperative agreements with EPA.</w:t>
      </w:r>
    </w:p>
    <w:p w:rsidR="006D7D6D" w:rsidRPr="009D7235" w:rsidP="00B857D2" w14:paraId="3B4CDFAA" w14:textId="17092AF3">
      <w:pPr>
        <w:pStyle w:val="NormalWeb"/>
        <w:spacing w:before="0" w:beforeAutospacing="0" w:after="0" w:afterAutospacing="0"/>
        <w:ind w:firstLine="720"/>
        <w:rPr>
          <w:b/>
        </w:rPr>
      </w:pPr>
      <w:r w:rsidRPr="009D7235">
        <w:rPr>
          <w:sz w:val="22"/>
          <w:szCs w:val="22"/>
        </w:rPr>
        <w:br/>
      </w:r>
      <w:r w:rsidRPr="009D7235">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9D7235" w:rsidR="003907C8">
        <w:rPr>
          <w:b/>
        </w:rPr>
        <w:tab/>
      </w:r>
    </w:p>
    <w:p w:rsidR="00E75C67" w:rsidRPr="009D7235" w:rsidP="006D7D6D" w14:paraId="142953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E75C67" w:rsidRPr="009D7235" w:rsidP="00E75C67" w14:paraId="6432B20A" w14:textId="6E40ABC8">
      <w:pPr>
        <w:pStyle w:val="NormalWeb"/>
        <w:spacing w:before="0" w:beforeAutospacing="0" w:after="0" w:afterAutospacing="0"/>
        <w:ind w:firstLine="720"/>
        <w:rPr>
          <w:sz w:val="22"/>
          <w:szCs w:val="22"/>
        </w:rPr>
      </w:pPr>
      <w:r w:rsidRPr="009D7235">
        <w:rPr>
          <w:sz w:val="22"/>
          <w:szCs w:val="22"/>
        </w:rPr>
        <w:br/>
      </w:r>
    </w:p>
    <w:p w:rsidR="003907C8" w:rsidRPr="009D7235" w:rsidP="001A41F6" w14:paraId="4C5D5713" w14:textId="462C6E30">
      <w:pPr>
        <w:pStyle w:val="Heading1"/>
        <w:numPr>
          <w:ilvl w:val="0"/>
          <w:numId w:val="0"/>
        </w:numPr>
        <w:rPr>
          <w:rFonts w:ascii="Times New Roman" w:hAnsi="Times New Roman" w:cs="Times New Roman"/>
        </w:rPr>
      </w:pPr>
      <w:r w:rsidRPr="009D7235">
        <w:rPr>
          <w:rFonts w:ascii="Times New Roman" w:hAnsi="Times New Roman" w:cs="Times New Roman"/>
          <w:bCs/>
          <w:sz w:val="22"/>
          <w:szCs w:val="22"/>
        </w:rPr>
        <w:t>The statutory authority for these collection activities is found in section 8 of FIFRA, 7 U.S.C. 136f</w:t>
      </w:r>
      <w:r w:rsidRPr="009D7235" w:rsidR="00B97D55">
        <w:rPr>
          <w:rFonts w:ascii="Times New Roman" w:hAnsi="Times New Roman" w:cs="Times New Roman"/>
          <w:bCs/>
          <w:sz w:val="22"/>
          <w:szCs w:val="22"/>
        </w:rPr>
        <w:t xml:space="preserve">. The </w:t>
      </w:r>
      <w:r w:rsidRPr="009D7235" w:rsidR="00FA61B3">
        <w:rPr>
          <w:rFonts w:ascii="Times New Roman" w:hAnsi="Times New Roman" w:cs="Times New Roman"/>
          <w:bCs/>
          <w:sz w:val="22"/>
          <w:szCs w:val="22"/>
        </w:rPr>
        <w:t xml:space="preserve">pesticide producer recordkeeping </w:t>
      </w:r>
      <w:r w:rsidRPr="009D7235" w:rsidR="00B97D55">
        <w:rPr>
          <w:rFonts w:ascii="Times New Roman" w:hAnsi="Times New Roman" w:cs="Times New Roman"/>
          <w:bCs/>
          <w:sz w:val="22"/>
          <w:szCs w:val="22"/>
        </w:rPr>
        <w:t>regulations are contained in Title 40 of the Code of Federal Regulations (CFR) parts 169.</w:t>
      </w:r>
      <w:r w:rsidRPr="009D7235" w:rsidR="00AE563D">
        <w:rPr>
          <w:rFonts w:ascii="Times New Roman" w:hAnsi="Times New Roman" w:cs="Times New Roman"/>
          <w:bCs/>
          <w:sz w:val="22"/>
          <w:szCs w:val="22"/>
        </w:rPr>
        <w:t xml:space="preserve"> See Attachment</w:t>
      </w:r>
      <w:r w:rsidRPr="009D7235" w:rsidR="00454232">
        <w:rPr>
          <w:rFonts w:ascii="Times New Roman" w:hAnsi="Times New Roman" w:cs="Times New Roman"/>
          <w:bCs/>
          <w:sz w:val="22"/>
          <w:szCs w:val="22"/>
        </w:rPr>
        <w:t>s</w:t>
      </w:r>
      <w:r w:rsidRPr="009D7235" w:rsidR="00AE563D">
        <w:rPr>
          <w:rFonts w:ascii="Times New Roman" w:hAnsi="Times New Roman" w:cs="Times New Roman"/>
          <w:bCs/>
          <w:sz w:val="22"/>
          <w:szCs w:val="22"/>
        </w:rPr>
        <w:t xml:space="preserve"> A</w:t>
      </w:r>
      <w:r w:rsidRPr="009D7235" w:rsidR="00454232">
        <w:rPr>
          <w:rFonts w:ascii="Times New Roman" w:hAnsi="Times New Roman" w:cs="Times New Roman"/>
          <w:bCs/>
          <w:sz w:val="22"/>
          <w:szCs w:val="22"/>
        </w:rPr>
        <w:t xml:space="preserve"> and B</w:t>
      </w:r>
      <w:r w:rsidRPr="009D7235" w:rsidR="00AE563D">
        <w:rPr>
          <w:rFonts w:ascii="Times New Roman" w:hAnsi="Times New Roman" w:cs="Times New Roman"/>
          <w:bCs/>
          <w:sz w:val="22"/>
          <w:szCs w:val="22"/>
        </w:rPr>
        <w:t>.</w:t>
      </w:r>
      <w:r w:rsidRPr="009D7235" w:rsidR="00100B12">
        <w:rPr>
          <w:rFonts w:ascii="Times New Roman" w:hAnsi="Times New Roman" w:cs="Times New Roman"/>
        </w:rPr>
        <w:t>2. Indicate how, by whom, and for what purpose the information is to be used. Except for a new collection, indicate the actual use the agency has made of the information received from the current collection.</w:t>
      </w:r>
    </w:p>
    <w:p w:rsidR="00E75C67" w:rsidRPr="009D7235" w:rsidP="00E75C67" w14:paraId="770DAF1D" w14:textId="2F8C80DF">
      <w:pPr>
        <w:rPr>
          <w:rFonts w:ascii="Times New Roman" w:hAnsi="Times New Roman"/>
        </w:rPr>
      </w:pPr>
      <w:r w:rsidRPr="009D7235">
        <w:rPr>
          <w:rFonts w:ascii="Times New Roman" w:hAnsi="Times New Roman"/>
        </w:rPr>
        <w:t>EPA or its representative (i.e., the states) will use records that are required to be maintained to verify compliance with the regulations.  Although records maintained under the regulations are subject to call-in by EPA, the Agency does not expect to conduct routine call-</w:t>
      </w:r>
      <w:r w:rsidRPr="009D7235" w:rsidR="00943E75">
        <w:rPr>
          <w:rFonts w:ascii="Times New Roman" w:hAnsi="Times New Roman"/>
        </w:rPr>
        <w:t xml:space="preserve">ins. </w:t>
      </w:r>
      <w:r w:rsidRPr="009D7235">
        <w:rPr>
          <w:rFonts w:ascii="Times New Roman" w:hAnsi="Times New Roman"/>
        </w:rPr>
        <w:t xml:space="preserve">Instead, the records will be reviewed during routine establishment inspections. These inspections are generally conducted by the states, which enforce FIFRA regulations through cooperative agreements with EPA. In addition, the requirement to keep records </w:t>
      </w:r>
      <w:r w:rsidRPr="009D7235" w:rsidR="00E915D9">
        <w:rPr>
          <w:rFonts w:ascii="Times New Roman" w:hAnsi="Times New Roman"/>
        </w:rPr>
        <w:t xml:space="preserve">may </w:t>
      </w:r>
      <w:r w:rsidRPr="009D7235">
        <w:rPr>
          <w:rFonts w:ascii="Times New Roman" w:hAnsi="Times New Roman"/>
        </w:rPr>
        <w:t xml:space="preserve">foster regulatory compliance because facilities know they could be inspected and would need to furnish the records. </w:t>
      </w:r>
    </w:p>
    <w:p w:rsidR="00AE563D" w:rsidRPr="009D7235" w:rsidP="00E75C67" w14:paraId="04872B30" w14:textId="77777777">
      <w:pPr>
        <w:rPr>
          <w:rFonts w:ascii="Times New Roman" w:hAnsi="Times New Roman"/>
        </w:rPr>
      </w:pPr>
    </w:p>
    <w:p w:rsidR="00E75C67" w:rsidRPr="009D7235" w:rsidP="00E75C67" w14:paraId="52F7E373" w14:textId="11AEA1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FIFRA Section 8(a) states that the Administrator may prescribe regulations requiring producers, registrants, and applicants for registration to maintain such records with respect to their operations and the pesticides and devices produced as the Administrator determines are necessary for the effective enforcement of FIFRA and to make such records available for inspection and copying. FIFRA Section 12(a)(2)(B)(</w:t>
      </w:r>
      <w:r w:rsidRPr="009D7235">
        <w:rPr>
          <w:rFonts w:ascii="Times New Roman" w:hAnsi="Times New Roman"/>
          <w:bCs/>
        </w:rPr>
        <w:t>i</w:t>
      </w:r>
      <w:r w:rsidRPr="009D7235">
        <w:rPr>
          <w:rFonts w:ascii="Times New Roman" w:hAnsi="Times New Roman"/>
          <w:bCs/>
        </w:rPr>
        <w:t xml:space="preserve">) provides that it is unlawful for any person to refuse to prepare, maintain, or submit any records required by or under Section 8 of the Act. </w:t>
      </w:r>
    </w:p>
    <w:p w:rsidR="00E75C67" w:rsidRPr="009D7235" w:rsidP="00E75C67" w14:paraId="0ADD87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100B12" w:rsidRPr="009D7235" w:rsidP="7C699B3B" w14:paraId="1257CF57" w14:textId="42D44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 xml:space="preserve">EPA must be able to examine and copy records </w:t>
      </w:r>
      <w:r w:rsidRPr="009D7235" w:rsidR="7A4AB580">
        <w:rPr>
          <w:rFonts w:ascii="Times New Roman" w:hAnsi="Times New Roman"/>
        </w:rPr>
        <w:t>of</w:t>
      </w:r>
      <w:r w:rsidRPr="009D7235">
        <w:rPr>
          <w:rFonts w:ascii="Times New Roman" w:hAnsi="Times New Roman"/>
        </w:rPr>
        <w:t xml:space="preserve"> pesticide producers demonstrating the identity, production, receipt, shipment, inventory, advertisement, and guarantees with respect to all domestically sold or distributed pesticides. This is necessary to determine that such products </w:t>
      </w:r>
      <w:r w:rsidRPr="009D7235">
        <w:rPr>
          <w:rFonts w:ascii="Times New Roman" w:hAnsi="Times New Roman"/>
        </w:rPr>
        <w:t>are in compliance with</w:t>
      </w:r>
      <w:r w:rsidRPr="009D7235">
        <w:rPr>
          <w:rFonts w:ascii="Times New Roman" w:hAnsi="Times New Roman"/>
        </w:rPr>
        <w:t xml:space="preserve"> FIFRA and to support enforcement action against </w:t>
      </w:r>
      <w:r w:rsidR="005C3FEE">
        <w:rPr>
          <w:rFonts w:ascii="Times New Roman" w:hAnsi="Times New Roman"/>
        </w:rPr>
        <w:t>the producers of the products</w:t>
      </w:r>
      <w:r w:rsidRPr="009D7235">
        <w:rPr>
          <w:rFonts w:ascii="Times New Roman" w:hAnsi="Times New Roman"/>
        </w:rPr>
        <w:t xml:space="preserve"> if they are not. EPA must be able to examine and copy records with respect to exported pesticides </w:t>
      </w:r>
      <w:r w:rsidRPr="009D7235">
        <w:rPr>
          <w:rFonts w:ascii="Times New Roman" w:hAnsi="Times New Roman"/>
        </w:rPr>
        <w:t>in order to</w:t>
      </w:r>
      <w:r w:rsidRPr="009D7235">
        <w:rPr>
          <w:rFonts w:ascii="Times New Roman" w:hAnsi="Times New Roman"/>
        </w:rPr>
        <w:t xml:space="preserve"> determine that products that have been exported are in compliance with labeling and foreign purchaser specification and acknowledgment requirements, and to take enforcement action against exporters who do not comply with FIFRA requirements. EPA must be able to examine records of pesticide disposal in order to protect public health and the environment should it be necessary to locate such disposal sites. EPA must be able to access records regarding testing on humans to protect the health and safety of such testing subjects should potential adverse effects become known. EPA must be able to access records regarding testing of registered pesticides to determine the integrity of such information, and the subsequent validity of regulatory decisions based on such information that allow the continued sale and distribution of specific pesticide products. These data may be used by enforcement and compliance officers at the federal and state level, and by regulatory officials at the federal and state level.</w:t>
      </w:r>
    </w:p>
    <w:p w:rsidR="00965D6B" w:rsidRPr="009D7235" w:rsidP="000107E3" w14:paraId="7540355C" w14:textId="3B4BFE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965D6B" w:rsidRPr="009D7235" w:rsidP="00965D6B" w14:paraId="6D6BE2E0" w14:textId="2601B9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4EBE" w:rsidRPr="009D7235" w:rsidP="00965D6B" w14:paraId="2B33056E" w14:textId="3AFF8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454232" w:rsidRPr="009D7235" w:rsidP="00454232" w14:paraId="5CB4DF36" w14:textId="6A615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EPA does not collect any information under this information collection</w:t>
      </w:r>
      <w:r w:rsidRPr="009D7235" w:rsidR="00DF274B">
        <w:rPr>
          <w:rFonts w:ascii="Times New Roman" w:hAnsi="Times New Roman"/>
        </w:rPr>
        <w:t xml:space="preserve"> request</w:t>
      </w:r>
      <w:r w:rsidRPr="009D7235">
        <w:rPr>
          <w:rFonts w:ascii="Times New Roman" w:hAnsi="Times New Roman"/>
        </w:rPr>
        <w:t xml:space="preserve">. All information subject to this collection request is to be gathered and maintained by </w:t>
      </w:r>
      <w:r w:rsidRPr="009D7235" w:rsidR="002130E0">
        <w:rPr>
          <w:rFonts w:ascii="Times New Roman" w:hAnsi="Times New Roman"/>
        </w:rPr>
        <w:t>pesticide producers.</w:t>
      </w:r>
    </w:p>
    <w:p w:rsidR="00454232" w:rsidRPr="009D7235" w:rsidP="00454232" w14:paraId="461105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4EBE" w:rsidRPr="009D7235" w:rsidP="00A74EBE" w14:paraId="7A8503DA" w14:textId="3A3248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 xml:space="preserve">Producers determine how best to comply with the requirements for recordkeeping under </w:t>
      </w:r>
      <w:r w:rsidRPr="009D7235" w:rsidR="002130E0">
        <w:rPr>
          <w:rFonts w:ascii="Times New Roman" w:hAnsi="Times New Roman"/>
        </w:rPr>
        <w:t xml:space="preserve">40 CFR </w:t>
      </w:r>
      <w:r w:rsidRPr="009D7235" w:rsidR="002130E0">
        <w:rPr>
          <w:rFonts w:ascii="Times New Roman" w:hAnsi="Times New Roman"/>
        </w:rPr>
        <w:t>part 169</w:t>
      </w:r>
      <w:r w:rsidRPr="009D7235">
        <w:rPr>
          <w:rFonts w:ascii="Times New Roman" w:hAnsi="Times New Roman"/>
        </w:rPr>
        <w:t xml:space="preserve">. They may collect and store the required data electronically. The Agency, through State, headquarters or EPA Regional inspectors, may periodically audit or review the data at sites chosen by individual producers. Other than review during periodic inspections, those records will generally not be submitted to the Agency unless the Agency requests them for a specific reason, such as a need to review research data supporting a registration or in the preparation of an enforcement case. </w:t>
      </w:r>
    </w:p>
    <w:p w:rsidR="00454232" w:rsidRPr="009D7235" w:rsidP="00A74EBE" w14:paraId="7680F304" w14:textId="4BF7E8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D6B" w:rsidRPr="009D7235" w:rsidP="00965D6B" w14:paraId="69DD902F" w14:textId="01E2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4. Describe efforts to identify duplication. Show specifically why any similar information already available cannot be used or modified for use for the purposes described in Item 2 above.</w:t>
      </w:r>
    </w:p>
    <w:p w:rsidR="003907C8" w:rsidRPr="009D7235" w14:paraId="4ADB64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E563D" w:rsidRPr="009D7235" w:rsidP="00E75C67" w14:paraId="69BA9F1C" w14:textId="78EB4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 xml:space="preserve">Duplication is not an issue because these records are generally unique to the requirements of the federal pesticide law (FIFRA) and to specific pesticide products.  EPA is the primary Federal Agency that regulates pesticide producers. To the extent that companies may already retain these records as part of its management practices, any potential duplication will facilitate their compliance with the regulation. These records may be reproduced at the time of an </w:t>
      </w:r>
      <w:r w:rsidRPr="009D7235" w:rsidR="002130E0">
        <w:rPr>
          <w:rFonts w:ascii="Times New Roman" w:hAnsi="Times New Roman"/>
        </w:rPr>
        <w:t>inspection,</w:t>
      </w:r>
      <w:r w:rsidRPr="009D7235">
        <w:rPr>
          <w:rFonts w:ascii="Times New Roman" w:hAnsi="Times New Roman"/>
        </w:rPr>
        <w:t xml:space="preserve"> but EPA does not require a producer to submit these records to the Agency. Therefore, there is no duplication of effort.</w:t>
      </w:r>
    </w:p>
    <w:p w:rsidR="00A74EBE" w:rsidRPr="009D7235" w:rsidP="00E75C67" w14:paraId="36CE0E67" w14:textId="1A0B46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D6B" w:rsidRPr="009D7235" w:rsidP="00965D6B" w14:paraId="18491EAE" w14:textId="70C598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5. If the collection of information impacts small businesses or other small entities, describe any methods used to minimize burden.</w:t>
      </w:r>
    </w:p>
    <w:p w:rsidR="00E75C67" w:rsidRPr="009D7235" w:rsidP="00965D6B" w14:paraId="678ABC5C" w14:textId="5068F3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75C67" w:rsidRPr="009D7235" w:rsidP="00E75C67" w14:paraId="2E64CAAB" w14:textId="38226FD1">
      <w:pPr>
        <w:rPr>
          <w:rFonts w:ascii="Times New Roman" w:hAnsi="Times New Roman"/>
          <w:bCs/>
        </w:rPr>
      </w:pPr>
      <w:r w:rsidRPr="009D7235">
        <w:rPr>
          <w:rFonts w:ascii="Times New Roman" w:hAnsi="Times New Roman"/>
          <w:bCs/>
        </w:rPr>
        <w:t xml:space="preserve">The information to be recorded is straightforward and can be maintained by facilities in the manner they see fit, as long as the records are available for review during routine establishment inspections by EPA or the states. </w:t>
      </w:r>
      <w:r w:rsidRPr="009D7235">
        <w:rPr>
          <w:rFonts w:ascii="Times New Roman" w:hAnsi="Times New Roman"/>
          <w:bCs/>
        </w:rPr>
        <w:t xml:space="preserve">The information collected under this ICR does not negatively impact small businesses, </w:t>
      </w:r>
      <w:r w:rsidRPr="009D7235">
        <w:rPr>
          <w:rFonts w:ascii="Times New Roman" w:hAnsi="Times New Roman"/>
          <w:bCs/>
        </w:rPr>
        <w:t xml:space="preserve">because </w:t>
      </w:r>
      <w:r w:rsidRPr="009D7235">
        <w:rPr>
          <w:rFonts w:ascii="Times New Roman" w:hAnsi="Times New Roman"/>
          <w:bCs/>
        </w:rPr>
        <w:t xml:space="preserve">the records required to be maintained are those which qualify as “customary and usual business activity.” To the extent that larger businesses can use economies of scale to reduce their burden, the overall burden will be reduced. However, even though the recordkeeping and reporting requirements are the same for small and larger businesses, the Agency considers these requirements the minimum needed to ensure compliance and, therefore, cannot reduce them further for small businesses. </w:t>
      </w:r>
    </w:p>
    <w:p w:rsidR="00A8614E" w:rsidRPr="009D7235" w:rsidP="00E75C67" w14:paraId="72A94417" w14:textId="62A62116">
      <w:pPr>
        <w:rPr>
          <w:rFonts w:ascii="Times New Roman" w:hAnsi="Times New Roman"/>
          <w:bCs/>
        </w:rPr>
      </w:pPr>
    </w:p>
    <w:p w:rsidR="00AD7375" w:rsidRPr="009D7235" w:rsidP="00AD7375" w14:paraId="0411019C" w14:textId="69F571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00A8614E" w:rsidRPr="009D7235" w:rsidP="00AD7375" w14:paraId="1E9FEC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A8614E" w:rsidRPr="009D7235" w:rsidP="00AD7375" w14:paraId="0810F1DB" w14:textId="692C32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Not applicable. There is no collection activity. Records are generated when certain activities take place, related to the production and distribution of pesticides and pesticidal devices, and, if necessary, information will be collected periodically without a set schedule for compliance assurance</w:t>
      </w:r>
      <w:r w:rsidRPr="009D7235" w:rsidR="00BA66C5">
        <w:rPr>
          <w:rFonts w:ascii="Times New Roman" w:hAnsi="Times New Roman"/>
          <w:bCs/>
        </w:rPr>
        <w:t xml:space="preserve">. </w:t>
      </w:r>
    </w:p>
    <w:p w:rsidR="00AD7375" w:rsidRPr="009D7235" w:rsidP="00AD7375" w14:paraId="57F74D5D" w14:textId="3E5F58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E75C67" w:rsidRPr="009D7235" w:rsidP="00AD7375" w14:paraId="6AE18B39" w14:textId="075CAD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 xml:space="preserve">EPA must be able to examine and copy records at pesticide producers demonstrating the identity, production, receipt, shipment, inventory, advertisement, and guarantees with respect to all domestically sold or distributed pesticides. This is necessary to determine that such products </w:t>
      </w:r>
      <w:r w:rsidRPr="009D7235">
        <w:rPr>
          <w:rFonts w:ascii="Times New Roman" w:hAnsi="Times New Roman"/>
          <w:bCs/>
        </w:rPr>
        <w:t>are in compliance with</w:t>
      </w:r>
      <w:r w:rsidRPr="009D7235">
        <w:rPr>
          <w:rFonts w:ascii="Times New Roman" w:hAnsi="Times New Roman"/>
          <w:bCs/>
        </w:rPr>
        <w:t xml:space="preserve"> FIFRA and to support enforcement action against the products producers if they are not. EPA must be able to examine and copy records with respect to exported pesticides </w:t>
      </w:r>
      <w:r w:rsidRPr="009D7235">
        <w:rPr>
          <w:rFonts w:ascii="Times New Roman" w:hAnsi="Times New Roman"/>
          <w:bCs/>
        </w:rPr>
        <w:t>in order to</w:t>
      </w:r>
      <w:r w:rsidRPr="009D7235">
        <w:rPr>
          <w:rFonts w:ascii="Times New Roman" w:hAnsi="Times New Roman"/>
          <w:bCs/>
        </w:rPr>
        <w:t xml:space="preserve"> determine that products that have been exported are in compliance with labeling and foreign purchaser specification and acknowledgment requirements, and to take enforcement action against exporters who do not comply with FIFRA requirements. EPA must be able to </w:t>
      </w:r>
      <w:r w:rsidRPr="009D7235">
        <w:rPr>
          <w:rFonts w:ascii="Times New Roman" w:hAnsi="Times New Roman"/>
          <w:bCs/>
        </w:rPr>
        <w:t>examine records of pesticide disposal in order to protect public health and the environment should it be necessary to locate such disposal sites. EPA must be able to access records regarding testing on humans to protect the health and safety of such testing subjects should potential adverse effects become known. EPA must be able to access records regarding testing of registered pesticides to determine the integrity of such information, and the subsequent validity of regulatory decisions based on such information that allow the continued sale and distribution of specific pesticide products. These data may be used by enforcement and compliance officers at the federal and state level, and by regulatory officials at the federal and state level.</w:t>
      </w:r>
    </w:p>
    <w:p w:rsidR="00E75C67" w:rsidRPr="009D7235" w:rsidP="00AD7375" w14:paraId="09747CE5" w14:textId="54E80D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AD7375" w:rsidRPr="009D7235" w:rsidP="00AD7375" w14:paraId="2AF91DF4" w14:textId="32856F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7. Explain any special circumstances that would cause an information collection to be conducted in a manner:</w:t>
      </w:r>
    </w:p>
    <w:p w:rsidR="00AD7375" w:rsidRPr="009D7235" w:rsidP="00AD7375" w14:paraId="31FED403" w14:textId="441E1024">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requiring respondents to report information to the agency more often than </w:t>
      </w:r>
      <w:r w:rsidRPr="009D7235">
        <w:rPr>
          <w:rFonts w:ascii="Times New Roman" w:hAnsi="Times New Roman"/>
          <w:b/>
        </w:rPr>
        <w:t>quarterly;</w:t>
      </w:r>
    </w:p>
    <w:p w:rsidR="00AD7375" w:rsidRPr="009D7235" w:rsidP="00AD7375" w14:paraId="5E1E2D24"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requiring respondents to prepare a written response to a collection of information in fewer than 30 days after receipt of </w:t>
      </w:r>
      <w:r w:rsidRPr="009D7235">
        <w:rPr>
          <w:rFonts w:ascii="Times New Roman" w:hAnsi="Times New Roman"/>
          <w:b/>
        </w:rPr>
        <w:t>it;</w:t>
      </w:r>
    </w:p>
    <w:p w:rsidR="00AD7375" w:rsidRPr="009D7235" w:rsidP="00AD7375" w14:paraId="153D9589"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requiring respondents to submit more than an original and two copies of any </w:t>
      </w:r>
      <w:r w:rsidRPr="009D7235">
        <w:rPr>
          <w:rFonts w:ascii="Times New Roman" w:hAnsi="Times New Roman"/>
          <w:b/>
        </w:rPr>
        <w:t>document;</w:t>
      </w:r>
    </w:p>
    <w:p w:rsidR="00AD7375" w:rsidRPr="009D7235" w:rsidP="00AD7375" w14:paraId="2F17A350"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requiring respondents to retain records, other than health, medical, government contract, grant-in-aid, or tax records, for more than three </w:t>
      </w:r>
      <w:r w:rsidRPr="009D7235">
        <w:rPr>
          <w:rFonts w:ascii="Times New Roman" w:hAnsi="Times New Roman"/>
          <w:b/>
        </w:rPr>
        <w:t>years;</w:t>
      </w:r>
      <w:r w:rsidRPr="009D7235">
        <w:rPr>
          <w:rFonts w:ascii="Times New Roman" w:hAnsi="Times New Roman"/>
          <w:b/>
        </w:rPr>
        <w:t xml:space="preserve"> </w:t>
      </w:r>
    </w:p>
    <w:p w:rsidR="00AD7375" w:rsidRPr="009D7235" w:rsidP="00AD7375" w14:paraId="04EBB310"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in connection with a statistical survey, that is not designed to produce valid and reliable results that can be generalized to the universe of </w:t>
      </w:r>
      <w:r w:rsidRPr="009D7235">
        <w:rPr>
          <w:rFonts w:ascii="Times New Roman" w:hAnsi="Times New Roman"/>
          <w:b/>
        </w:rPr>
        <w:t>study;</w:t>
      </w:r>
    </w:p>
    <w:p w:rsidR="00AD7375" w:rsidRPr="009D7235" w:rsidP="00AD7375" w14:paraId="68FF1747"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requiring the use of a statistical data classification that has not been reviewed and approved by </w:t>
      </w:r>
      <w:r w:rsidRPr="009D7235">
        <w:rPr>
          <w:rFonts w:ascii="Times New Roman" w:hAnsi="Times New Roman"/>
          <w:b/>
        </w:rPr>
        <w:t>OMB;</w:t>
      </w:r>
    </w:p>
    <w:p w:rsidR="00AD7375" w:rsidRPr="009D7235" w:rsidP="00AD7375" w14:paraId="3CA10F2F"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7375" w:rsidRPr="009D7235" w:rsidP="00AD7375" w14:paraId="69688DFE" w14:textId="7E2CBD7B">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2D5749" w:rsidRPr="009D7235" w:rsidP="002D5749" w14:paraId="396D69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00454C" w:rsidRPr="009D7235" w:rsidP="002D5749" w14:paraId="647244BB" w14:textId="63DCDC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The only guideline established under the Paperwork Reduction Act (PRA) that may be exceeded in this collection is the time period for retaining records.  The PRA guidelines specify that an Agency must provide justification when requiring data other than health, medical or tax records be retained for more than three years</w:t>
      </w:r>
      <w:r w:rsidRPr="009D7235" w:rsidR="008A7C77">
        <w:rPr>
          <w:rFonts w:ascii="Times New Roman" w:hAnsi="Times New Roman"/>
          <w:bCs/>
        </w:rPr>
        <w:t xml:space="preserve">. </w:t>
      </w:r>
      <w:r w:rsidRPr="009D7235">
        <w:rPr>
          <w:rFonts w:ascii="Times New Roman" w:hAnsi="Times New Roman"/>
          <w:bCs/>
        </w:rPr>
        <w:t>This is discussed below.</w:t>
      </w:r>
    </w:p>
    <w:p w:rsidR="0000454C" w:rsidRPr="009D7235" w:rsidP="002D5749" w14:paraId="628C98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2D5749" w:rsidRPr="009D7235" w:rsidP="002D5749" w14:paraId="0451C625" w14:textId="29740F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Each record required relates to a separate, discrete business activity. Each record is generated only once in the course of each activity. It would not be possible to reduce the collection frequency without removing certain activities from compliance altogether.</w:t>
      </w:r>
    </w:p>
    <w:p w:rsidR="00A74EBE" w:rsidRPr="009D7235" w:rsidP="002D5749" w14:paraId="013CA8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F341A6" w:rsidRPr="009D7235" w:rsidP="00F341A6" w14:paraId="4C4C502F" w14:textId="344C1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8. If applicable, provide a copy and identify the date and page number of </w:t>
      </w:r>
      <w:r w:rsidRPr="009D7235" w:rsidR="00BA66C5">
        <w:rPr>
          <w:rFonts w:ascii="Times New Roman" w:hAnsi="Times New Roman"/>
          <w:b/>
        </w:rPr>
        <w:t>publications</w:t>
      </w:r>
      <w:r w:rsidRPr="009D7235">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9D7235" w:rsidR="00943E75">
        <w:rPr>
          <w:rFonts w:ascii="Times New Roman" w:hAnsi="Times New Roman"/>
          <w:b/>
        </w:rPr>
        <w:t xml:space="preserve">. </w:t>
      </w:r>
      <w:r w:rsidRPr="009D7235">
        <w:rPr>
          <w:rFonts w:ascii="Times New Roman" w:hAnsi="Times New Roman"/>
          <w:b/>
        </w:rPr>
        <w:t xml:space="preserve">Specifically address comments received on cost and hour burden. </w:t>
      </w:r>
    </w:p>
    <w:p w:rsidR="00F341A6" w:rsidRPr="009D7235" w:rsidP="00F341A6" w14:paraId="545385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F341A6" w:rsidRPr="009D7235" w:rsidP="00F341A6" w14:paraId="493493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Describe efforts to consult with persons outside the agency to obtain their views on the availability of data, frequency of collection, the clarity of instructions and recordkeeping, </w:t>
      </w:r>
      <w:r w:rsidRPr="009D7235">
        <w:rPr>
          <w:rFonts w:ascii="Times New Roman" w:hAnsi="Times New Roman"/>
          <w:b/>
        </w:rPr>
        <w:t>disclosure, or reporting format (if any), and on the data elements to be recorded, disclosed, or reported.</w:t>
      </w:r>
    </w:p>
    <w:p w:rsidR="00F341A6" w:rsidRPr="009D7235" w:rsidP="00F341A6" w14:paraId="545651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2D5749" w:rsidRPr="009D7235" w:rsidP="00F341A6" w14:paraId="624F07BC" w14:textId="400D1E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07E3" w:rsidRPr="009D7235" w:rsidP="000107E3" w14:paraId="4A190BBB" w14:textId="28A772A0">
      <w:pPr>
        <w:rPr>
          <w:rFonts w:ascii="Times New Roman" w:hAnsi="Times New Roman"/>
        </w:rPr>
      </w:pPr>
    </w:p>
    <w:p w:rsidR="002130E0" w:rsidRPr="009D7235" w:rsidP="002130E0" w14:paraId="2A467A6F" w14:textId="2775C515">
      <w:pPr>
        <w:rPr>
          <w:rFonts w:ascii="Times New Roman" w:hAnsi="Times New Roman"/>
          <w:i/>
          <w:iCs/>
        </w:rPr>
      </w:pPr>
      <w:r w:rsidRPr="009D7235">
        <w:rPr>
          <w:rFonts w:ascii="Times New Roman" w:hAnsi="Times New Roman"/>
        </w:rPr>
        <w:t xml:space="preserve">Prior to submission to OMB, this ICR was made available to the public for comment through a Federal Register notice. The public had 60 days to provide comments. EPA did receive one comment in response to the previously provided public review opportunity issued in the Federal Register on September 7, 2022 (87 FR 54,687). </w:t>
      </w:r>
    </w:p>
    <w:p w:rsidR="002130E0" w:rsidRPr="009D7235" w:rsidP="002130E0" w14:paraId="6CD3CE76" w14:textId="77777777">
      <w:pPr>
        <w:rPr>
          <w:rFonts w:ascii="Times New Roman" w:hAnsi="Times New Roman"/>
        </w:rPr>
      </w:pPr>
    </w:p>
    <w:p w:rsidR="002130E0" w:rsidRPr="009D7235" w:rsidP="002130E0" w14:paraId="1B9655EC" w14:textId="371988C4">
      <w:pPr>
        <w:rPr>
          <w:rFonts w:ascii="Times New Roman" w:hAnsi="Times New Roman"/>
        </w:rPr>
      </w:pPr>
      <w:r w:rsidRPr="009D7235">
        <w:rPr>
          <w:rFonts w:ascii="Times New Roman" w:hAnsi="Times New Roman"/>
        </w:rPr>
        <w:t>Under 5 CFR 1320.8(d)(1) OMB requires agencies to consult with potential ICR respondents and data users about specific aspects of ICRs before submitting an original or renewal ICR to OMB for review and approval. In accordance with this regulation, EPA pursued additional consultations with interested parties during the development of the renewal of this collection.</w:t>
      </w:r>
    </w:p>
    <w:p w:rsidR="002130E0" w:rsidRPr="009D7235" w:rsidP="002130E0" w14:paraId="716AF9B3" w14:textId="77777777">
      <w:pPr>
        <w:rPr>
          <w:rFonts w:ascii="Times New Roman" w:hAnsi="Times New Roman"/>
        </w:rPr>
      </w:pPr>
    </w:p>
    <w:p w:rsidR="002130E0" w:rsidRPr="009D7235" w:rsidP="002130E0" w14:paraId="0ED53AAD" w14:textId="0C475E87">
      <w:pPr>
        <w:rPr>
          <w:rFonts w:ascii="Times New Roman" w:hAnsi="Times New Roman"/>
        </w:rPr>
      </w:pPr>
      <w:r w:rsidRPr="009D7235">
        <w:rPr>
          <w:rFonts w:ascii="Times New Roman" w:hAnsi="Times New Roman"/>
        </w:rPr>
        <w:t>EPA contacted the following pesticide companies with questions regarding the</w:t>
      </w:r>
      <w:r w:rsidRPr="009D7235" w:rsidR="001D3A21">
        <w:rPr>
          <w:rFonts w:ascii="Times New Roman" w:hAnsi="Times New Roman"/>
        </w:rPr>
        <w:t xml:space="preserve"> </w:t>
      </w:r>
      <w:r w:rsidRPr="009D7235">
        <w:rPr>
          <w:rFonts w:ascii="Times New Roman" w:hAnsi="Times New Roman"/>
        </w:rPr>
        <w:t>ICR:</w:t>
      </w:r>
    </w:p>
    <w:p w:rsidR="002130E0" w:rsidRPr="009D7235" w:rsidP="002130E0" w14:paraId="2538BB77" w14:textId="77777777">
      <w:pPr>
        <w:rPr>
          <w:rFonts w:ascii="Times New Roman" w:hAnsi="Times New Roman"/>
        </w:rPr>
      </w:pPr>
    </w:p>
    <w:p w:rsidR="00311A4B" w:rsidRPr="009D7235" w:rsidP="00D82FED" w14:paraId="51312598" w14:textId="19458A7E">
      <w:pPr>
        <w:pStyle w:val="ListParagraph"/>
        <w:numPr>
          <w:ilvl w:val="0"/>
          <w:numId w:val="33"/>
        </w:numPr>
        <w:rPr>
          <w:rFonts w:ascii="Times New Roman" w:hAnsi="Times New Roman"/>
        </w:rPr>
      </w:pPr>
      <w:r w:rsidRPr="009D7235">
        <w:rPr>
          <w:rFonts w:ascii="Times New Roman" w:hAnsi="Times New Roman"/>
        </w:rPr>
        <w:t>Kimberly York, Syngenta Crop Protection, LLC</w:t>
      </w:r>
    </w:p>
    <w:p w:rsidR="00311A4B" w:rsidRPr="009D7235" w:rsidP="00D82FED" w14:paraId="657C1BF2" w14:textId="77777777">
      <w:pPr>
        <w:pStyle w:val="ListParagraph"/>
        <w:numPr>
          <w:ilvl w:val="0"/>
          <w:numId w:val="33"/>
        </w:numPr>
        <w:rPr>
          <w:rFonts w:ascii="Times New Roman" w:hAnsi="Times New Roman"/>
        </w:rPr>
      </w:pPr>
      <w:r w:rsidRPr="009D7235">
        <w:rPr>
          <w:rFonts w:ascii="Times New Roman" w:hAnsi="Times New Roman"/>
        </w:rPr>
        <w:t>Tami Jones-Jefferson, Corteva Agriscience LLC</w:t>
      </w:r>
    </w:p>
    <w:p w:rsidR="00311A4B" w:rsidRPr="009D7235" w:rsidP="00D82FED" w14:paraId="65490A0C" w14:textId="77777777">
      <w:pPr>
        <w:pStyle w:val="ListParagraph"/>
        <w:numPr>
          <w:ilvl w:val="0"/>
          <w:numId w:val="33"/>
        </w:numPr>
        <w:rPr>
          <w:rFonts w:ascii="Times New Roman" w:hAnsi="Times New Roman"/>
        </w:rPr>
      </w:pPr>
      <w:r w:rsidRPr="009D7235">
        <w:rPr>
          <w:rFonts w:ascii="Times New Roman" w:hAnsi="Times New Roman"/>
        </w:rPr>
        <w:t>Amanda Burwell, Stepan Company</w:t>
      </w:r>
    </w:p>
    <w:p w:rsidR="00311A4B" w:rsidRPr="009D7235" w:rsidP="00D82FED" w14:paraId="3E136738" w14:textId="77777777">
      <w:pPr>
        <w:pStyle w:val="ListParagraph"/>
        <w:numPr>
          <w:ilvl w:val="0"/>
          <w:numId w:val="33"/>
        </w:numPr>
        <w:rPr>
          <w:rFonts w:ascii="Times New Roman" w:hAnsi="Times New Roman"/>
        </w:rPr>
      </w:pPr>
      <w:r w:rsidRPr="009D7235">
        <w:rPr>
          <w:rFonts w:ascii="Times New Roman" w:hAnsi="Times New Roman"/>
        </w:rPr>
        <w:t xml:space="preserve">Dr. Nina Ellen Jenkins, </w:t>
      </w:r>
      <w:r w:rsidRPr="009D7235">
        <w:rPr>
          <w:rFonts w:ascii="Times New Roman" w:hAnsi="Times New Roman"/>
        </w:rPr>
        <w:t>Conidio</w:t>
      </w:r>
      <w:r w:rsidRPr="009D7235">
        <w:rPr>
          <w:rFonts w:ascii="Times New Roman" w:hAnsi="Times New Roman"/>
        </w:rPr>
        <w:t xml:space="preserve"> Tec</w:t>
      </w:r>
    </w:p>
    <w:p w:rsidR="002130E0" w:rsidRPr="009D7235" w:rsidP="00D82FED" w14:paraId="7E3F2133" w14:textId="023222A8">
      <w:pPr>
        <w:pStyle w:val="ListParagraph"/>
        <w:numPr>
          <w:ilvl w:val="0"/>
          <w:numId w:val="33"/>
        </w:numPr>
        <w:rPr>
          <w:rFonts w:ascii="Times New Roman" w:hAnsi="Times New Roman"/>
        </w:rPr>
      </w:pPr>
      <w:r w:rsidRPr="009D7235">
        <w:rPr>
          <w:rFonts w:ascii="Times New Roman" w:hAnsi="Times New Roman"/>
        </w:rPr>
        <w:t xml:space="preserve">Jeff </w:t>
      </w:r>
      <w:r w:rsidRPr="009D7235">
        <w:rPr>
          <w:rFonts w:ascii="Times New Roman" w:hAnsi="Times New Roman"/>
        </w:rPr>
        <w:t>Stroburg</w:t>
      </w:r>
      <w:r w:rsidRPr="009D7235">
        <w:rPr>
          <w:rFonts w:ascii="Times New Roman" w:hAnsi="Times New Roman"/>
        </w:rPr>
        <w:t>, Southern States Cooperative, Inc.</w:t>
      </w:r>
    </w:p>
    <w:p w:rsidR="00311A4B" w:rsidRPr="009D7235" w:rsidP="00311A4B" w14:paraId="5868308A" w14:textId="77777777">
      <w:pPr>
        <w:rPr>
          <w:rFonts w:ascii="Times New Roman" w:hAnsi="Times New Roman"/>
        </w:rPr>
      </w:pPr>
    </w:p>
    <w:p w:rsidR="002130E0" w:rsidRPr="009D7235" w:rsidP="002130E0" w14:paraId="56E9A2A1" w14:textId="202F4FC6">
      <w:pPr>
        <w:rPr>
          <w:rFonts w:ascii="Times New Roman" w:hAnsi="Times New Roman"/>
        </w:rPr>
      </w:pPr>
      <w:r w:rsidRPr="009D7235">
        <w:rPr>
          <w:rFonts w:ascii="Times New Roman" w:hAnsi="Times New Roman"/>
        </w:rPr>
        <w:t>The questions EPA asked included:</w:t>
      </w:r>
    </w:p>
    <w:p w:rsidR="005A4BAE" w:rsidRPr="009D7235" w:rsidP="002130E0" w14:paraId="52140FA2" w14:textId="77777777">
      <w:pPr>
        <w:rPr>
          <w:rFonts w:ascii="Times New Roman" w:hAnsi="Times New Roman"/>
        </w:rPr>
      </w:pPr>
    </w:p>
    <w:p w:rsidR="002130E0" w:rsidRPr="009D7235" w:rsidP="00D82FED" w14:paraId="5C10D321" w14:textId="4195B4AD">
      <w:pPr>
        <w:ind w:left="720"/>
        <w:rPr>
          <w:rFonts w:ascii="Times New Roman" w:hAnsi="Times New Roman"/>
        </w:rPr>
      </w:pPr>
      <w:r w:rsidRPr="009D7235">
        <w:rPr>
          <w:rFonts w:ascii="Times New Roman" w:hAnsi="Times New Roman"/>
        </w:rPr>
        <w:t>1.</w:t>
      </w:r>
      <w:r w:rsidRPr="009D7235">
        <w:rPr>
          <w:rFonts w:ascii="Times New Roman" w:hAnsi="Times New Roman"/>
        </w:rPr>
        <w:tab/>
      </w:r>
      <w:r w:rsidRPr="009D7235" w:rsidR="00343CA0">
        <w:rPr>
          <w:rFonts w:ascii="Times New Roman" w:hAnsi="Times New Roman"/>
        </w:rPr>
        <w:t>As part of this ICR renewal, EPA reassessed who typically preforms the activities necessary to comply with 40 CFR part 169. In previous ICR burden analysis, EPA assumed that most of the recordkeeping activities were performed by managers and clerical staff. For this renewal, EPA recognized that there may be four different types of employees involved in meeting the recordkeeping requirements. EPA assumes that Managers, Compliance Officers, Computer Technicians, and Data Entry staff help pesticide producers and distributors comply with 40 CFR part 169. What categories of staff help your company comply with 40 CFR part 169?</w:t>
      </w:r>
    </w:p>
    <w:p w:rsidR="002130E0" w:rsidRPr="009D7235" w:rsidP="00343CA0" w14:paraId="13920845" w14:textId="6E8F1FDA">
      <w:pPr>
        <w:ind w:left="720"/>
        <w:rPr>
          <w:rFonts w:ascii="Times New Roman" w:hAnsi="Times New Roman"/>
        </w:rPr>
      </w:pPr>
      <w:r w:rsidRPr="009D7235">
        <w:rPr>
          <w:rFonts w:ascii="Times New Roman" w:hAnsi="Times New Roman"/>
        </w:rPr>
        <w:t>2.</w:t>
      </w:r>
      <w:r w:rsidRPr="009D7235">
        <w:rPr>
          <w:rFonts w:ascii="Times New Roman" w:hAnsi="Times New Roman"/>
        </w:rPr>
        <w:tab/>
      </w:r>
      <w:r w:rsidRPr="009D7235" w:rsidR="00343CA0">
        <w:rPr>
          <w:rFonts w:ascii="Times New Roman" w:hAnsi="Times New Roman"/>
        </w:rPr>
        <w:t>On the following activities, how long did you or staff spend on completing each of the following aspects associated with complying with 40 CFR part 169—Books and Records of Pesticide Production and Distribution?</w:t>
      </w:r>
    </w:p>
    <w:p w:rsidR="00343CA0" w:rsidRPr="009D7235" w:rsidP="00343CA0" w14:paraId="679C85A1" w14:textId="77777777">
      <w:pPr>
        <w:ind w:left="720"/>
        <w:rPr>
          <w:rFonts w:ascii="Times New Roman" w:hAnsi="Times New Roman"/>
        </w:rPr>
      </w:pPr>
      <w:r w:rsidRPr="009D7235">
        <w:rPr>
          <w:rFonts w:ascii="Times New Roman" w:hAnsi="Times New Roman"/>
        </w:rPr>
        <w:t>3.</w:t>
      </w:r>
      <w:r w:rsidRPr="009D7235">
        <w:rPr>
          <w:rFonts w:ascii="Times New Roman" w:hAnsi="Times New Roman"/>
        </w:rPr>
        <w:tab/>
        <w:t>Are there activities EPA is missing?</w:t>
      </w:r>
    </w:p>
    <w:p w:rsidR="00343CA0" w:rsidRPr="009D7235" w:rsidP="00311A4B" w14:paraId="03C5D227" w14:textId="0E287824">
      <w:pPr>
        <w:ind w:left="720"/>
        <w:rPr>
          <w:rFonts w:ascii="Times New Roman" w:hAnsi="Times New Roman"/>
        </w:rPr>
      </w:pPr>
      <w:r w:rsidRPr="009D7235">
        <w:rPr>
          <w:rFonts w:ascii="Times New Roman" w:hAnsi="Times New Roman"/>
        </w:rPr>
        <w:t>4.</w:t>
      </w:r>
      <w:r w:rsidRPr="009D7235">
        <w:rPr>
          <w:rFonts w:ascii="Times New Roman" w:hAnsi="Times New Roman"/>
        </w:rPr>
        <w:tab/>
        <w:t>Would you like to mention anything specific to this issue in your experience, which was not asked in the survey?</w:t>
      </w:r>
    </w:p>
    <w:p w:rsidR="002130E0" w:rsidRPr="009D7235" w:rsidP="002130E0" w14:paraId="645401FA" w14:textId="77777777">
      <w:pPr>
        <w:rPr>
          <w:rFonts w:ascii="Times New Roman" w:hAnsi="Times New Roman"/>
        </w:rPr>
      </w:pPr>
    </w:p>
    <w:p w:rsidR="0000454C" w:rsidRPr="009D7235" w:rsidP="000107E3" w14:paraId="34CC628C" w14:textId="57304B6C">
      <w:pPr>
        <w:rPr>
          <w:rFonts w:ascii="Times New Roman" w:hAnsi="Times New Roman"/>
        </w:rPr>
      </w:pPr>
      <w:r w:rsidRPr="009D7235">
        <w:rPr>
          <w:rFonts w:ascii="Times New Roman" w:hAnsi="Times New Roman"/>
        </w:rPr>
        <w:t>EPA did not receive responses to the questions posed.</w:t>
      </w:r>
    </w:p>
    <w:p w:rsidR="00936E05" w:rsidRPr="009D7235" w:rsidP="00197581" w14:paraId="2C8CCDD2" w14:textId="77777777">
      <w:pPr>
        <w:autoSpaceDE w:val="0"/>
        <w:autoSpaceDN w:val="0"/>
        <w:adjustRightInd w:val="0"/>
        <w:rPr>
          <w:rFonts w:ascii="Times New Roman" w:hAnsi="Times New Roman"/>
          <w:b/>
        </w:rPr>
      </w:pPr>
    </w:p>
    <w:p w:rsidR="001F452C" w:rsidRPr="009D7235" w:rsidP="001F452C" w14:paraId="75A32BE3" w14:textId="68BF88C2">
      <w:pPr>
        <w:rPr>
          <w:rFonts w:ascii="Times New Roman" w:hAnsi="Times New Roman"/>
          <w:b/>
        </w:rPr>
      </w:pPr>
      <w:r w:rsidRPr="009D7235">
        <w:rPr>
          <w:rFonts w:ascii="Times New Roman" w:hAnsi="Times New Roman"/>
          <w:b/>
        </w:rPr>
        <w:t>9. Explain any decision to provide any payment or gift to respondents, other than remuneration of contractors or grantees.</w:t>
      </w:r>
    </w:p>
    <w:p w:rsidR="001F452C" w:rsidRPr="009D7235" w:rsidP="001F452C" w14:paraId="16EE688D" w14:textId="068E74D3">
      <w:pPr>
        <w:rPr>
          <w:rFonts w:ascii="Times New Roman" w:hAnsi="Times New Roman"/>
          <w:b/>
        </w:rPr>
      </w:pPr>
    </w:p>
    <w:p w:rsidR="00C90318" w:rsidRPr="009D7235" w:rsidP="001F452C" w14:paraId="2224863D" w14:textId="36B13CBF">
      <w:pPr>
        <w:rPr>
          <w:rFonts w:ascii="Times New Roman" w:hAnsi="Times New Roman"/>
          <w:szCs w:val="24"/>
        </w:rPr>
      </w:pPr>
      <w:r w:rsidRPr="009D7235">
        <w:rPr>
          <w:rFonts w:ascii="Times New Roman" w:hAnsi="Times New Roman"/>
          <w:szCs w:val="24"/>
        </w:rPr>
        <w:t>This question is not applicable to this ICR.</w:t>
      </w:r>
    </w:p>
    <w:p w:rsidR="00C90318" w:rsidRPr="009D7235" w:rsidP="001F452C" w14:paraId="746D9846" w14:textId="77777777">
      <w:pPr>
        <w:rPr>
          <w:rFonts w:ascii="Times New Roman" w:hAnsi="Times New Roman"/>
          <w:b/>
        </w:rPr>
      </w:pPr>
    </w:p>
    <w:p w:rsidR="001F452C" w:rsidRPr="009D7235" w:rsidP="001F452C" w14:paraId="16E73BF4" w14:textId="7BAAA7B6">
      <w:pPr>
        <w:rPr>
          <w:rFonts w:ascii="Times New Roman" w:hAnsi="Times New Roman"/>
          <w:b/>
        </w:rPr>
      </w:pPr>
      <w:r w:rsidRPr="009D7235">
        <w:rPr>
          <w:rFonts w:ascii="Times New Roman" w:hAnsi="Times New Roman"/>
          <w:b/>
        </w:rPr>
        <w:t xml:space="preserve">10. Describe any assurance of confidentiality provided to respondents and the basis for the assurance in statute, regulation, or agency policy. If the collection requires a </w:t>
      </w:r>
      <w:r w:rsidRPr="009D7235" w:rsidR="00943E75">
        <w:rPr>
          <w:rFonts w:ascii="Times New Roman" w:hAnsi="Times New Roman"/>
          <w:b/>
        </w:rPr>
        <w:t>system of records notice (SORN)</w:t>
      </w:r>
      <w:r w:rsidRPr="009D7235">
        <w:rPr>
          <w:rFonts w:ascii="Times New Roman" w:hAnsi="Times New Roman"/>
          <w:b/>
        </w:rPr>
        <w:t xml:space="preserve"> or privacy impact assessment (PIA), those should be cited and described here.</w:t>
      </w:r>
    </w:p>
    <w:p w:rsidR="003907C8" w:rsidRPr="009D7235" w14:paraId="36786E81" w14:textId="50BFEF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00454C" w:rsidRPr="009D7235" w:rsidP="0000454C" w14:paraId="7118E8B1" w14:textId="209D9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In some cases, the pesticide producer records may contain confidential business information (CBI) as defined in FIFRA, but the other records do not contain CBI</w:t>
      </w:r>
      <w:r w:rsidRPr="009D7235" w:rsidR="00943E75">
        <w:rPr>
          <w:rFonts w:ascii="Times New Roman" w:hAnsi="Times New Roman"/>
          <w:bCs/>
        </w:rPr>
        <w:t xml:space="preserve">. </w:t>
      </w:r>
      <w:r w:rsidRPr="009D7235">
        <w:rPr>
          <w:rFonts w:ascii="Times New Roman" w:hAnsi="Times New Roman"/>
          <w:bCs/>
        </w:rPr>
        <w:t>If the producers submit CBI, such information is protected from disclosure under FIFRA Section 10</w:t>
      </w:r>
      <w:r w:rsidRPr="009D7235" w:rsidR="00943E75">
        <w:rPr>
          <w:rFonts w:ascii="Times New Roman" w:hAnsi="Times New Roman"/>
          <w:bCs/>
        </w:rPr>
        <w:t xml:space="preserve">. </w:t>
      </w:r>
      <w:r w:rsidRPr="009D7235">
        <w:rPr>
          <w:rFonts w:ascii="Times New Roman" w:hAnsi="Times New Roman"/>
          <w:bCs/>
        </w:rPr>
        <w:t>CBI data submitted to the EPA is handled strictly in accordance with the provisions of the FIFRA Confidential Business Information Security Manual.</w:t>
      </w:r>
    </w:p>
    <w:p w:rsidR="0000454C" w:rsidRPr="009D7235" w:rsidP="0000454C" w14:paraId="63A3D5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00454C" w:rsidRPr="009D7235" w:rsidP="0000454C" w14:paraId="0683BF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D7235">
        <w:rPr>
          <w:rFonts w:ascii="Times New Roman" w:hAnsi="Times New Roman"/>
          <w:bCs/>
        </w:rPr>
        <w:t xml:space="preserve">Since EPA does not anticipate a collection or call-in of the retained records covered by this ICR, the information in those records would not leave the possession of the affected businesses. </w:t>
      </w:r>
    </w:p>
    <w:p w:rsidR="0000454C" w:rsidRPr="009D7235" w:rsidP="0000454C" w14:paraId="6DB1B3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1F452C" w:rsidRPr="009D7235" w:rsidP="001F452C" w14:paraId="199A1898" w14:textId="4FC5E2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66DA" w:rsidRPr="009D7235" w14:paraId="648907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9D7235" w:rsidP="007066DA" w14:paraId="52498F44" w14:textId="759C7F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Not applicable. No information of a sensitive or private nature is requested in this information collection activity.</w:t>
      </w:r>
    </w:p>
    <w:p w:rsidR="005F793C" w:rsidRPr="009D7235" w:rsidP="007066DA" w14:paraId="0DBCE3F6" w14:textId="228208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F793C" w:rsidRPr="009D7235" w:rsidP="005F793C" w14:paraId="27B1FC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bookmarkStart w:id="0" w:name="_Hlk116458672"/>
      <w:r w:rsidRPr="009D7235">
        <w:rPr>
          <w:rFonts w:ascii="Times New Roman" w:hAnsi="Times New Roman"/>
          <w:b/>
        </w:rPr>
        <w:t>12. Provide estimates of the hour burden of the collection of information. The statement should:</w:t>
      </w:r>
    </w:p>
    <w:p w:rsidR="005F793C" w:rsidRPr="009D7235" w:rsidP="005F793C" w14:paraId="7F003914" w14:textId="0FD99B23">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F793C" w:rsidRPr="009D7235" w:rsidP="005F793C" w14:paraId="527851D0" w14:textId="77777777">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If this request for approval covers more than one form, provide separate hour burden estimates for each form and aggregate the hour burdens.</w:t>
      </w:r>
    </w:p>
    <w:p w:rsidR="005F793C" w:rsidRPr="009D7235" w:rsidP="005F793C" w14:paraId="719359B7" w14:textId="112ED233">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9D7235" w:rsidR="00D82FED">
        <w:rPr>
          <w:rFonts w:ascii="Times New Roman" w:hAnsi="Times New Roman"/>
          <w:b/>
        </w:rPr>
        <w:t>.’</w:t>
      </w:r>
    </w:p>
    <w:bookmarkEnd w:id="0"/>
    <w:p w:rsidR="00A74EBE" w:rsidRPr="009D7235" w:rsidP="00A74EBE" w14:paraId="1FD663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56DE0" w:rsidRPr="009D7235" w:rsidP="00915DD8" w14:paraId="196CD655" w14:textId="4923E0B2">
      <w:pPr>
        <w:rPr>
          <w:rFonts w:ascii="Times New Roman" w:hAnsi="Times New Roman"/>
        </w:rPr>
      </w:pPr>
      <w:r w:rsidRPr="009D7235">
        <w:rPr>
          <w:rFonts w:ascii="Times New Roman" w:hAnsi="Times New Roman"/>
        </w:rPr>
        <w:t xml:space="preserve">The regulated community affected by </w:t>
      </w:r>
      <w:r w:rsidRPr="009D7235" w:rsidR="00454232">
        <w:rPr>
          <w:rFonts w:ascii="Times New Roman" w:hAnsi="Times New Roman"/>
        </w:rPr>
        <w:t>the producer recordkeeping</w:t>
      </w:r>
      <w:r w:rsidRPr="009D7235">
        <w:rPr>
          <w:rFonts w:ascii="Times New Roman" w:hAnsi="Times New Roman"/>
        </w:rPr>
        <w:t xml:space="preserve"> regulations includes businesses that </w:t>
      </w:r>
      <w:r w:rsidRPr="009D7235" w:rsidR="00454232">
        <w:rPr>
          <w:rFonts w:ascii="Times New Roman" w:hAnsi="Times New Roman"/>
        </w:rPr>
        <w:t>produce</w:t>
      </w:r>
      <w:r w:rsidRPr="009D7235" w:rsidR="008F01FD">
        <w:rPr>
          <w:rFonts w:ascii="Times New Roman" w:hAnsi="Times New Roman"/>
        </w:rPr>
        <w:t>, sell</w:t>
      </w:r>
      <w:r w:rsidRPr="009D7235" w:rsidR="00454232">
        <w:rPr>
          <w:rFonts w:ascii="Times New Roman" w:hAnsi="Times New Roman"/>
        </w:rPr>
        <w:t xml:space="preserve"> or distribute</w:t>
      </w:r>
      <w:r w:rsidRPr="009D7235">
        <w:rPr>
          <w:rFonts w:ascii="Times New Roman" w:hAnsi="Times New Roman"/>
        </w:rPr>
        <w:t xml:space="preserve"> pesticide products or </w:t>
      </w:r>
      <w:r w:rsidRPr="009D7235" w:rsidR="00454232">
        <w:rPr>
          <w:rFonts w:ascii="Times New Roman" w:hAnsi="Times New Roman"/>
        </w:rPr>
        <w:t>devices.</w:t>
      </w:r>
      <w:r w:rsidRPr="009D7235">
        <w:rPr>
          <w:rFonts w:ascii="Times New Roman" w:hAnsi="Times New Roman"/>
        </w:rPr>
        <w:t xml:space="preserve"> The affected businesses are pesticide producers, classified as North American Industry Classification System (NAICS) </w:t>
      </w:r>
      <w:r w:rsidRPr="009D7235" w:rsidR="008A7C77">
        <w:rPr>
          <w:rFonts w:ascii="Times New Roman" w:hAnsi="Times New Roman"/>
        </w:rPr>
        <w:t>AICS 3250A1 - Chemical Manufacturing (3251, 3252, 3253, and 3259 only)</w:t>
      </w:r>
      <w:r w:rsidRPr="009D7235">
        <w:rPr>
          <w:rFonts w:ascii="Times New Roman" w:hAnsi="Times New Roman"/>
        </w:rPr>
        <w:t>,</w:t>
      </w:r>
    </w:p>
    <w:p w:rsidR="00F56DE0" w:rsidRPr="009D7235" w:rsidP="00915DD8" w14:paraId="035389CD" w14:textId="77777777">
      <w:pPr>
        <w:rPr>
          <w:rFonts w:ascii="Times New Roman" w:hAnsi="Times New Roman"/>
        </w:rPr>
      </w:pPr>
    </w:p>
    <w:p w:rsidR="00915DD8" w:rsidRPr="009D7235" w:rsidP="7C699B3B" w14:paraId="5EDACEBE" w14:textId="507DDC9E">
      <w:pPr>
        <w:rPr>
          <w:rFonts w:ascii="Times New Roman" w:hAnsi="Times New Roman"/>
        </w:rPr>
      </w:pPr>
      <w:r w:rsidRPr="009D7235">
        <w:rPr>
          <w:rFonts w:ascii="Times New Roman" w:hAnsi="Times New Roman"/>
        </w:rPr>
        <w:t xml:space="preserve">The records that must be maintained for purposes of </w:t>
      </w:r>
      <w:r w:rsidRPr="009D7235" w:rsidR="00454232">
        <w:rPr>
          <w:rFonts w:ascii="Times New Roman" w:hAnsi="Times New Roman"/>
        </w:rPr>
        <w:t>40 CFR part 169</w:t>
      </w:r>
      <w:r w:rsidRPr="009D7235">
        <w:rPr>
          <w:rFonts w:ascii="Times New Roman" w:hAnsi="Times New Roman"/>
        </w:rPr>
        <w:t xml:space="preserve"> are generally those that a responsible company would maintain as good business practice. It is estimated that the burden for a producer to prepare for the possibility of an on-site EPA inspection of those records, is </w:t>
      </w:r>
      <w:r w:rsidRPr="009D7235" w:rsidR="00041F22">
        <w:rPr>
          <w:rFonts w:ascii="Times New Roman" w:hAnsi="Times New Roman"/>
        </w:rPr>
        <w:t>1.75</w:t>
      </w:r>
      <w:r w:rsidRPr="009D7235" w:rsidR="00564B49">
        <w:rPr>
          <w:rFonts w:ascii="Times New Roman" w:hAnsi="Times New Roman"/>
        </w:rPr>
        <w:t xml:space="preserve"> </w:t>
      </w:r>
      <w:r w:rsidRPr="009D7235">
        <w:rPr>
          <w:rFonts w:ascii="Times New Roman" w:hAnsi="Times New Roman"/>
        </w:rPr>
        <w:t xml:space="preserve">hours per year. While </w:t>
      </w:r>
      <w:r w:rsidRPr="009D7235" w:rsidR="00041F22">
        <w:rPr>
          <w:rFonts w:ascii="Times New Roman" w:hAnsi="Times New Roman"/>
        </w:rPr>
        <w:t>an additional</w:t>
      </w:r>
      <w:r w:rsidRPr="009D7235">
        <w:rPr>
          <w:rFonts w:ascii="Times New Roman" w:hAnsi="Times New Roman"/>
        </w:rPr>
        <w:t xml:space="preserve"> burden </w:t>
      </w:r>
      <w:r w:rsidRPr="009D7235" w:rsidR="00041F22">
        <w:rPr>
          <w:rFonts w:ascii="Times New Roman" w:hAnsi="Times New Roman"/>
        </w:rPr>
        <w:t xml:space="preserve">will </w:t>
      </w:r>
      <w:r w:rsidRPr="009D7235">
        <w:rPr>
          <w:rFonts w:ascii="Times New Roman" w:hAnsi="Times New Roman"/>
        </w:rPr>
        <w:t>fall upon a company undergoing an inspection</w:t>
      </w:r>
      <w:r w:rsidRPr="009D7235" w:rsidR="00BA66C5">
        <w:rPr>
          <w:rFonts w:ascii="Times New Roman" w:hAnsi="Times New Roman"/>
        </w:rPr>
        <w:t xml:space="preserve"> </w:t>
      </w:r>
      <w:r w:rsidRPr="009D7235" w:rsidR="00041F22">
        <w:rPr>
          <w:rFonts w:ascii="Times New Roman" w:hAnsi="Times New Roman"/>
        </w:rPr>
        <w:t>to locate and present the records</w:t>
      </w:r>
      <w:r w:rsidRPr="009D7235">
        <w:rPr>
          <w:rFonts w:ascii="Times New Roman" w:hAnsi="Times New Roman"/>
        </w:rPr>
        <w:t xml:space="preserve">, a given company </w:t>
      </w:r>
      <w:r w:rsidRPr="009D7235" w:rsidR="45CDA63B">
        <w:rPr>
          <w:rFonts w:ascii="Times New Roman" w:hAnsi="Times New Roman"/>
        </w:rPr>
        <w:t>is unlikely to</w:t>
      </w:r>
      <w:r w:rsidRPr="009D7235">
        <w:rPr>
          <w:rFonts w:ascii="Times New Roman" w:hAnsi="Times New Roman"/>
        </w:rPr>
        <w:t xml:space="preserve"> undergo an inspection more often than once every two to three years. </w:t>
      </w:r>
    </w:p>
    <w:p w:rsidR="00454232" w:rsidRPr="009D7235" w:rsidP="00915DD8" w14:paraId="413E8736" w14:textId="16D5FCE9">
      <w:pPr>
        <w:rPr>
          <w:rFonts w:ascii="Times New Roman" w:hAnsi="Times New Roman"/>
        </w:rPr>
      </w:pPr>
    </w:p>
    <w:p w:rsidR="00454232" w:rsidRPr="009D7235" w:rsidP="7C699B3B" w14:paraId="2A542567" w14:textId="718235ED">
      <w:pPr>
        <w:rPr>
          <w:rFonts w:ascii="Times New Roman" w:hAnsi="Times New Roman"/>
        </w:rPr>
      </w:pPr>
      <w:bookmarkStart w:id="1" w:name="_Hlk119421100"/>
      <w:r w:rsidRPr="009D7235">
        <w:rPr>
          <w:rFonts w:ascii="Times New Roman" w:hAnsi="Times New Roman"/>
        </w:rPr>
        <w:t xml:space="preserve">Approximately </w:t>
      </w:r>
      <w:r w:rsidRPr="009D7235" w:rsidR="005A4BAE">
        <w:rPr>
          <w:rFonts w:ascii="Times New Roman" w:hAnsi="Times New Roman"/>
        </w:rPr>
        <w:t>19,</w:t>
      </w:r>
      <w:r w:rsidRPr="009D7235" w:rsidR="00F84F49">
        <w:rPr>
          <w:rFonts w:ascii="Times New Roman" w:hAnsi="Times New Roman"/>
        </w:rPr>
        <w:t xml:space="preserve">027 </w:t>
      </w:r>
      <w:r w:rsidRPr="009D7235" w:rsidR="005A4BAE">
        <w:rPr>
          <w:rFonts w:ascii="Times New Roman" w:hAnsi="Times New Roman"/>
        </w:rPr>
        <w:t>respondents</w:t>
      </w:r>
      <w:r w:rsidRPr="009D7235">
        <w:rPr>
          <w:rFonts w:ascii="Times New Roman" w:hAnsi="Times New Roman"/>
        </w:rPr>
        <w:t xml:space="preserve"> are currently subject to this requirement, and it is estimated that 80</w:t>
      </w:r>
      <w:r w:rsidRPr="009D7235" w:rsidR="00F84F49">
        <w:rPr>
          <w:rFonts w:ascii="Times New Roman" w:hAnsi="Times New Roman"/>
        </w:rPr>
        <w:t>8</w:t>
      </w:r>
      <w:r w:rsidRPr="009D7235">
        <w:rPr>
          <w:rFonts w:ascii="Times New Roman" w:hAnsi="Times New Roman"/>
        </w:rPr>
        <w:t xml:space="preserve"> additional respondents per year will become subject to this requirement in the next three years. The estimate of </w:t>
      </w:r>
      <w:r w:rsidRPr="009D7235" w:rsidR="004528E2">
        <w:rPr>
          <w:rFonts w:ascii="Times New Roman" w:hAnsi="Times New Roman"/>
        </w:rPr>
        <w:t xml:space="preserve">the </w:t>
      </w:r>
      <w:r w:rsidRPr="009D7235">
        <w:rPr>
          <w:rFonts w:ascii="Times New Roman" w:hAnsi="Times New Roman"/>
        </w:rPr>
        <w:t>number of respondents is based on the number</w:t>
      </w:r>
      <w:r w:rsidRPr="009D7235" w:rsidR="71F95ED4">
        <w:rPr>
          <w:rFonts w:ascii="Times New Roman" w:hAnsi="Times New Roman"/>
        </w:rPr>
        <w:t xml:space="preserve"> of</w:t>
      </w:r>
      <w:r w:rsidRPr="009D7235">
        <w:rPr>
          <w:rFonts w:ascii="Times New Roman" w:hAnsi="Times New Roman"/>
        </w:rPr>
        <w:t xml:space="preserve"> registered </w:t>
      </w:r>
      <w:r w:rsidRPr="009D7235" w:rsidR="002130E0">
        <w:rPr>
          <w:rFonts w:ascii="Times New Roman" w:hAnsi="Times New Roman"/>
        </w:rPr>
        <w:t>active pesticide</w:t>
      </w:r>
      <w:r w:rsidRPr="009D7235">
        <w:rPr>
          <w:rFonts w:ascii="Times New Roman" w:hAnsi="Times New Roman"/>
        </w:rPr>
        <w:t xml:space="preserve"> </w:t>
      </w:r>
      <w:r w:rsidRPr="009D7235">
        <w:rPr>
          <w:rFonts w:ascii="Times New Roman" w:hAnsi="Times New Roman"/>
        </w:rPr>
        <w:t>producers, which</w:t>
      </w:r>
      <w:r w:rsidRPr="009D7235">
        <w:rPr>
          <w:rFonts w:ascii="Times New Roman" w:hAnsi="Times New Roman"/>
        </w:rPr>
        <w:t xml:space="preserve"> defines the entire universe of legal producers of pesticides for sale or distribution in the United States.</w:t>
      </w:r>
      <w:bookmarkEnd w:id="1"/>
      <w:r w:rsidRPr="009D7235">
        <w:rPr>
          <w:rFonts w:ascii="Times New Roman" w:hAnsi="Times New Roman"/>
        </w:rPr>
        <w:t xml:space="preserve"> The estimated change is based on extrapolation from trends in the number of reported producers over the last five years. EPA consider</w:t>
      </w:r>
      <w:r w:rsidRPr="009D7235" w:rsidR="006A17A2">
        <w:rPr>
          <w:rFonts w:ascii="Times New Roman" w:hAnsi="Times New Roman"/>
        </w:rPr>
        <w:t>s the activities under this ICR</w:t>
      </w:r>
      <w:r w:rsidRPr="009D7235">
        <w:rPr>
          <w:rFonts w:ascii="Times New Roman" w:hAnsi="Times New Roman"/>
        </w:rPr>
        <w:t xml:space="preserve"> to be customary business practices.</w:t>
      </w:r>
      <w:r w:rsidRPr="009D7235" w:rsidR="006A17A2">
        <w:rPr>
          <w:rFonts w:ascii="Times New Roman" w:hAnsi="Times New Roman"/>
        </w:rPr>
        <w:t xml:space="preserve"> EPA estimated the costs based on the limited </w:t>
      </w:r>
      <w:r w:rsidRPr="009D7235" w:rsidR="00041F22">
        <w:rPr>
          <w:rFonts w:ascii="Times New Roman" w:hAnsi="Times New Roman"/>
        </w:rPr>
        <w:t>activities</w:t>
      </w:r>
      <w:r w:rsidRPr="009D7235" w:rsidR="006A17A2">
        <w:rPr>
          <w:rFonts w:ascii="Times New Roman" w:hAnsi="Times New Roman"/>
        </w:rPr>
        <w:t xml:space="preserve"> need</w:t>
      </w:r>
      <w:r w:rsidRPr="009D7235" w:rsidR="4EDC3922">
        <w:rPr>
          <w:rFonts w:ascii="Times New Roman" w:hAnsi="Times New Roman"/>
        </w:rPr>
        <w:t>ed</w:t>
      </w:r>
      <w:r w:rsidRPr="009D7235" w:rsidR="006A17A2">
        <w:rPr>
          <w:rFonts w:ascii="Times New Roman" w:hAnsi="Times New Roman"/>
        </w:rPr>
        <w:t xml:space="preserve"> to understand the regulations at 40 CFR part 169 and their integration into the producer’s customary business practices. </w:t>
      </w:r>
    </w:p>
    <w:p w:rsidR="00915DD8" w:rsidRPr="009D7235" w:rsidP="00915DD8" w14:paraId="055B3A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51D10" w:rsidRPr="009D7235" w:rsidP="0022465B" w14:paraId="7EC8E838" w14:textId="0FA0ED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 xml:space="preserve">The regulated community affected by the producer recordkeeping regulations includes businesses that produce, sell or distribute pesticide products or devices. </w:t>
      </w:r>
      <w:r w:rsidRPr="009D7235">
        <w:rPr>
          <w:rFonts w:ascii="Times New Roman" w:hAnsi="Times New Roman"/>
        </w:rPr>
        <w:t>This ICR uses estimates of labor rates and associated costs based on Department of Commerce Bureau of Labor Statistics estimates. Specifically, this ICR uses the May 20</w:t>
      </w:r>
      <w:r w:rsidRPr="009D7235" w:rsidR="006A17A2">
        <w:rPr>
          <w:rFonts w:ascii="Times New Roman" w:hAnsi="Times New Roman"/>
        </w:rPr>
        <w:t>21</w:t>
      </w:r>
      <w:r w:rsidRPr="009D7235">
        <w:rPr>
          <w:rFonts w:ascii="Times New Roman" w:hAnsi="Times New Roman"/>
        </w:rPr>
        <w:t xml:space="preserve"> National Industry-Specific Occupational Employment and Wage Estimates for the</w:t>
      </w:r>
      <w:r w:rsidRPr="009D7235" w:rsidR="006A17A2">
        <w:rPr>
          <w:rFonts w:ascii="Times New Roman" w:hAnsi="Times New Roman"/>
        </w:rPr>
        <w:t xml:space="preserve"> North American Industry Classification System (NAICS) AICS 3250A1 </w:t>
      </w:r>
      <w:r w:rsidRPr="009D7235">
        <w:rPr>
          <w:rFonts w:ascii="Times New Roman" w:hAnsi="Times New Roman"/>
        </w:rPr>
        <w:t xml:space="preserve">— </w:t>
      </w:r>
      <w:r w:rsidRPr="009D7235" w:rsidR="006A17A2">
        <w:rPr>
          <w:rFonts w:ascii="Times New Roman" w:hAnsi="Times New Roman"/>
        </w:rPr>
        <w:t>Chemical Manufacturing (3251, 3252, 3253, and 3259 only)</w:t>
      </w:r>
      <w:r w:rsidRPr="009D7235">
        <w:rPr>
          <w:rFonts w:ascii="Times New Roman" w:hAnsi="Times New Roman"/>
        </w:rPr>
        <w:t>. The mean hourly wage rates for NAICS code 325</w:t>
      </w:r>
      <w:r w:rsidRPr="009D7235">
        <w:rPr>
          <w:rFonts w:ascii="Times New Roman" w:hAnsi="Times New Roman"/>
        </w:rPr>
        <w:t>0A1</w:t>
      </w:r>
      <w:r w:rsidRPr="009D7235">
        <w:rPr>
          <w:rFonts w:ascii="Times New Roman" w:hAnsi="Times New Roman"/>
        </w:rPr>
        <w:t xml:space="preserve"> </w:t>
      </w:r>
      <w:r w:rsidRPr="009D7235">
        <w:rPr>
          <w:rFonts w:ascii="Times New Roman" w:hAnsi="Times New Roman"/>
        </w:rPr>
        <w:t>were:</w:t>
      </w:r>
      <w:r w:rsidRPr="009D7235">
        <w:rPr>
          <w:rFonts w:ascii="Times New Roman" w:hAnsi="Times New Roman"/>
        </w:rPr>
        <w:t xml:space="preserve"> management, $</w:t>
      </w:r>
      <w:r w:rsidRPr="009D7235">
        <w:rPr>
          <w:rFonts w:ascii="Times New Roman" w:hAnsi="Times New Roman"/>
        </w:rPr>
        <w:t>69.64</w:t>
      </w:r>
      <w:r w:rsidRPr="009D7235">
        <w:rPr>
          <w:rFonts w:ascii="Times New Roman" w:hAnsi="Times New Roman"/>
        </w:rPr>
        <w:t xml:space="preserve">; </w:t>
      </w:r>
      <w:r w:rsidRPr="009D7235">
        <w:rPr>
          <w:rFonts w:ascii="Times New Roman" w:hAnsi="Times New Roman"/>
        </w:rPr>
        <w:t>compliance officer, $38.31; computer and mathematical operations, $44.71</w:t>
      </w:r>
      <w:r w:rsidRPr="009D7235">
        <w:rPr>
          <w:rFonts w:ascii="Times New Roman" w:hAnsi="Times New Roman"/>
        </w:rPr>
        <w:t xml:space="preserve">; </w:t>
      </w:r>
      <w:r w:rsidRPr="009D7235" w:rsidR="000970B6">
        <w:rPr>
          <w:rFonts w:ascii="Times New Roman" w:hAnsi="Times New Roman"/>
        </w:rPr>
        <w:t>and data</w:t>
      </w:r>
      <w:r w:rsidRPr="009D7235">
        <w:rPr>
          <w:rFonts w:ascii="Times New Roman" w:hAnsi="Times New Roman"/>
        </w:rPr>
        <w:t xml:space="preserve"> entry and information processing workers, $17.30</w:t>
      </w:r>
      <w:r w:rsidRPr="009D7235">
        <w:rPr>
          <w:rFonts w:ascii="Times New Roman" w:hAnsi="Times New Roman"/>
        </w:rPr>
        <w:t>. A factor of 1.6 was added to adjust for benefit costs, resulting in respective total labor costs of $</w:t>
      </w:r>
      <w:r w:rsidRPr="009D7235" w:rsidR="00041F22">
        <w:rPr>
          <w:rFonts w:ascii="Times New Roman" w:hAnsi="Times New Roman"/>
        </w:rPr>
        <w:t>111.42, $61.30, 71.54, and $27.68</w:t>
      </w:r>
      <w:r w:rsidRPr="009D7235">
        <w:rPr>
          <w:rFonts w:ascii="Times New Roman" w:hAnsi="Times New Roman"/>
        </w:rPr>
        <w:t>.</w:t>
      </w:r>
    </w:p>
    <w:p w:rsidR="00041F22" w:rsidRPr="009D7235" w:rsidP="0022465B" w14:paraId="41FA6090" w14:textId="3D575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041F22" w:rsidRPr="009D7235" w:rsidP="0022465B" w14:paraId="53AE3C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sectPr w:rsidSect="00533D7A">
          <w:headerReference w:type="default" r:id="rId9"/>
          <w:footerReference w:type="even" r:id="rId10"/>
          <w:footerReference w:type="default" r:id="rId11"/>
          <w:endnotePr>
            <w:numFmt w:val="lowerLetter"/>
          </w:endnotePr>
          <w:type w:val="continuous"/>
          <w:pgSz w:w="12240" w:h="15840"/>
          <w:pgMar w:top="1088" w:right="1440" w:bottom="1080" w:left="1440" w:header="540" w:footer="573" w:gutter="0"/>
          <w:cols w:space="720"/>
          <w:docGrid w:linePitch="326"/>
        </w:sectPr>
      </w:pPr>
    </w:p>
    <w:p w:rsidR="00041F22" w:rsidRPr="009D7235" w:rsidP="0022465B" w14:paraId="5A3876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915DD8" w:rsidRPr="009D7235" w:rsidP="0022465B" w14:paraId="545FFE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bl>
      <w:tblPr>
        <w:tblW w:w="14660" w:type="dxa"/>
        <w:jc w:val="center"/>
        <w:tblLayout w:type="fixed"/>
        <w:tblLook w:val="04A0"/>
      </w:tblPr>
      <w:tblGrid>
        <w:gridCol w:w="1156"/>
        <w:gridCol w:w="994"/>
        <w:gridCol w:w="1170"/>
        <w:gridCol w:w="1170"/>
        <w:gridCol w:w="990"/>
        <w:gridCol w:w="1080"/>
        <w:gridCol w:w="1080"/>
        <w:gridCol w:w="900"/>
        <w:gridCol w:w="900"/>
        <w:gridCol w:w="900"/>
        <w:gridCol w:w="900"/>
        <w:gridCol w:w="661"/>
        <w:gridCol w:w="959"/>
        <w:gridCol w:w="810"/>
        <w:gridCol w:w="990"/>
      </w:tblGrid>
      <w:tr w14:paraId="7ACE4CC4" w14:textId="77777777" w:rsidTr="00C47E03">
        <w:tblPrEx>
          <w:tblW w:w="14660" w:type="dxa"/>
          <w:jc w:val="center"/>
          <w:tblLayout w:type="fixed"/>
          <w:tblLook w:val="04A0"/>
        </w:tblPrEx>
        <w:trPr>
          <w:trHeight w:val="744"/>
          <w:jc w:val="center"/>
        </w:trPr>
        <w:tc>
          <w:tcPr>
            <w:tcW w:w="1156" w:type="dxa"/>
            <w:vMerge w:val="restart"/>
            <w:tcBorders>
              <w:top w:val="single" w:sz="8" w:space="0" w:color="auto"/>
              <w:left w:val="single" w:sz="8" w:space="0" w:color="auto"/>
              <w:bottom w:val="nil"/>
              <w:right w:val="nil"/>
            </w:tcBorders>
            <w:shd w:val="clear" w:color="auto" w:fill="auto"/>
            <w:vAlign w:val="center"/>
            <w:hideMark/>
          </w:tcPr>
          <w:p w:rsidR="00C47E03" w:rsidRPr="00C47E03" w:rsidP="00C47E03" w14:paraId="7094E20D" w14:textId="77777777">
            <w:pPr>
              <w:jc w:val="center"/>
              <w:rPr>
                <w:rFonts w:ascii="Calibri" w:hAnsi="Calibri" w:cs="Calibri"/>
                <w:sz w:val="16"/>
                <w:szCs w:val="16"/>
              </w:rPr>
            </w:pPr>
            <w:bookmarkStart w:id="2" w:name="_Hlk116458648"/>
            <w:r w:rsidRPr="00C47E03">
              <w:rPr>
                <w:rFonts w:ascii="Calibri" w:hAnsi="Calibri" w:cs="Calibri"/>
                <w:sz w:val="16"/>
                <w:szCs w:val="16"/>
              </w:rPr>
              <w:t>Activity</w:t>
            </w:r>
          </w:p>
        </w:tc>
        <w:tc>
          <w:tcPr>
            <w:tcW w:w="994"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rsidR="00C47E03" w:rsidRPr="00C47E03" w:rsidP="00C47E03" w14:paraId="1AB10C1A" w14:textId="77777777">
            <w:pPr>
              <w:jc w:val="center"/>
              <w:rPr>
                <w:rFonts w:ascii="Calibri" w:hAnsi="Calibri" w:cs="Calibri"/>
                <w:sz w:val="16"/>
                <w:szCs w:val="16"/>
              </w:rPr>
            </w:pPr>
            <w:r w:rsidRPr="00C47E03">
              <w:rPr>
                <w:rFonts w:ascii="Calibri" w:hAnsi="Calibri" w:cs="Calibri"/>
                <w:sz w:val="16"/>
                <w:szCs w:val="16"/>
              </w:rPr>
              <w:t>Management (11-000) Hours Per Response</w:t>
            </w:r>
          </w:p>
        </w:tc>
        <w:tc>
          <w:tcPr>
            <w:tcW w:w="117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C47E03" w:rsidRPr="00C47E03" w:rsidP="00C47E03" w14:paraId="152A1332" w14:textId="77777777">
            <w:pPr>
              <w:jc w:val="center"/>
              <w:rPr>
                <w:rFonts w:ascii="Calibri" w:hAnsi="Calibri" w:cs="Calibri"/>
                <w:sz w:val="16"/>
                <w:szCs w:val="16"/>
              </w:rPr>
            </w:pPr>
            <w:r w:rsidRPr="00C47E03">
              <w:rPr>
                <w:rFonts w:ascii="Calibri" w:hAnsi="Calibri" w:cs="Calibri"/>
                <w:sz w:val="16"/>
                <w:szCs w:val="16"/>
              </w:rPr>
              <w:t>Total Management Hours</w:t>
            </w:r>
          </w:p>
        </w:tc>
        <w:tc>
          <w:tcPr>
            <w:tcW w:w="1170" w:type="dxa"/>
            <w:tcBorders>
              <w:top w:val="single" w:sz="8" w:space="0" w:color="auto"/>
              <w:left w:val="nil"/>
              <w:bottom w:val="nil"/>
              <w:right w:val="single" w:sz="8" w:space="0" w:color="auto"/>
            </w:tcBorders>
            <w:shd w:val="clear" w:color="000000" w:fill="D9D9D9"/>
            <w:vAlign w:val="center"/>
            <w:hideMark/>
          </w:tcPr>
          <w:p w:rsidR="00C47E03" w:rsidRPr="00C47E03" w:rsidP="00C47E03" w14:paraId="0A2F1F2A" w14:textId="77777777">
            <w:pPr>
              <w:jc w:val="center"/>
              <w:rPr>
                <w:rFonts w:ascii="Calibri" w:hAnsi="Calibri" w:cs="Calibri"/>
                <w:sz w:val="16"/>
                <w:szCs w:val="16"/>
              </w:rPr>
            </w:pPr>
            <w:r w:rsidRPr="00C47E03">
              <w:rPr>
                <w:rFonts w:ascii="Calibri" w:hAnsi="Calibri" w:cs="Calibri"/>
                <w:sz w:val="16"/>
                <w:szCs w:val="16"/>
              </w:rPr>
              <w:t xml:space="preserve">Management Costs </w:t>
            </w:r>
          </w:p>
        </w:tc>
        <w:tc>
          <w:tcPr>
            <w:tcW w:w="99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rsidR="00C47E03" w:rsidP="00C47E03" w14:paraId="28675CB0" w14:textId="77777777">
            <w:pPr>
              <w:jc w:val="center"/>
              <w:rPr>
                <w:rFonts w:ascii="Calibri" w:hAnsi="Calibri" w:cs="Calibri"/>
                <w:sz w:val="16"/>
                <w:szCs w:val="16"/>
              </w:rPr>
            </w:pPr>
            <w:r w:rsidRPr="00C47E03">
              <w:rPr>
                <w:rFonts w:ascii="Calibri" w:hAnsi="Calibri" w:cs="Calibri"/>
                <w:sz w:val="16"/>
                <w:szCs w:val="16"/>
              </w:rPr>
              <w:t xml:space="preserve">Compliance Officer </w:t>
            </w:r>
          </w:p>
          <w:p w:rsidR="00C47E03" w:rsidRPr="00C47E03" w:rsidP="00C47E03" w14:paraId="4CCB3200" w14:textId="73925BE4">
            <w:pPr>
              <w:jc w:val="center"/>
              <w:rPr>
                <w:rFonts w:ascii="Calibri" w:hAnsi="Calibri" w:cs="Calibri"/>
                <w:sz w:val="16"/>
                <w:szCs w:val="16"/>
              </w:rPr>
            </w:pPr>
            <w:r w:rsidRPr="00C47E03">
              <w:rPr>
                <w:rFonts w:ascii="Calibri" w:hAnsi="Calibri" w:cs="Calibri"/>
                <w:sz w:val="16"/>
                <w:szCs w:val="16"/>
              </w:rPr>
              <w:t>(13-1041) Hours Per Response</w:t>
            </w:r>
          </w:p>
        </w:tc>
        <w:tc>
          <w:tcPr>
            <w:tcW w:w="108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C47E03" w:rsidRPr="00C47E03" w:rsidP="00C47E03" w14:paraId="2A49F621" w14:textId="77777777">
            <w:pPr>
              <w:jc w:val="center"/>
              <w:rPr>
                <w:rFonts w:ascii="Calibri" w:hAnsi="Calibri" w:cs="Calibri"/>
                <w:sz w:val="16"/>
                <w:szCs w:val="16"/>
              </w:rPr>
            </w:pPr>
            <w:r w:rsidRPr="00C47E03">
              <w:rPr>
                <w:rFonts w:ascii="Calibri" w:hAnsi="Calibri" w:cs="Calibri"/>
                <w:sz w:val="16"/>
                <w:szCs w:val="16"/>
              </w:rPr>
              <w:t>Total Compliance Officer Hours</w:t>
            </w:r>
          </w:p>
        </w:tc>
        <w:tc>
          <w:tcPr>
            <w:tcW w:w="1080" w:type="dxa"/>
            <w:tcBorders>
              <w:top w:val="single" w:sz="8" w:space="0" w:color="auto"/>
              <w:left w:val="nil"/>
              <w:bottom w:val="nil"/>
              <w:right w:val="single" w:sz="8" w:space="0" w:color="auto"/>
            </w:tcBorders>
            <w:shd w:val="clear" w:color="000000" w:fill="D9D9D9"/>
            <w:vAlign w:val="center"/>
            <w:hideMark/>
          </w:tcPr>
          <w:p w:rsidR="00C47E03" w:rsidRPr="00C47E03" w:rsidP="00C47E03" w14:paraId="72741871" w14:textId="77777777">
            <w:pPr>
              <w:jc w:val="center"/>
              <w:rPr>
                <w:rFonts w:ascii="Calibri" w:hAnsi="Calibri" w:cs="Calibri"/>
                <w:sz w:val="16"/>
                <w:szCs w:val="16"/>
              </w:rPr>
            </w:pPr>
            <w:r w:rsidRPr="00C47E03">
              <w:rPr>
                <w:rFonts w:ascii="Calibri" w:hAnsi="Calibri" w:cs="Calibri"/>
                <w:sz w:val="16"/>
                <w:szCs w:val="16"/>
              </w:rPr>
              <w:t>Compliance Officer Costs</w:t>
            </w:r>
          </w:p>
        </w:tc>
        <w:tc>
          <w:tcPr>
            <w:tcW w:w="90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rsidR="00C47E03" w:rsidRPr="00C47E03" w:rsidP="00C47E03" w14:paraId="6ADA99B0" w14:textId="27C5A375">
            <w:pPr>
              <w:jc w:val="center"/>
              <w:rPr>
                <w:rFonts w:ascii="Calibri" w:hAnsi="Calibri" w:cs="Calibri"/>
                <w:sz w:val="16"/>
                <w:szCs w:val="16"/>
              </w:rPr>
            </w:pPr>
            <w:r w:rsidRPr="00C47E03">
              <w:rPr>
                <w:rFonts w:ascii="Calibri" w:hAnsi="Calibri" w:cs="Calibri"/>
                <w:sz w:val="16"/>
                <w:szCs w:val="16"/>
              </w:rPr>
              <w:t>Computer (15-000) Hours Per Response</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C47E03" w:rsidRPr="00C47E03" w:rsidP="00C47E03" w14:paraId="5F46F1D7" w14:textId="77777777">
            <w:pPr>
              <w:jc w:val="center"/>
              <w:rPr>
                <w:rFonts w:ascii="Calibri" w:hAnsi="Calibri" w:cs="Calibri"/>
                <w:sz w:val="16"/>
                <w:szCs w:val="16"/>
              </w:rPr>
            </w:pPr>
            <w:r w:rsidRPr="00C47E03">
              <w:rPr>
                <w:rFonts w:ascii="Calibri" w:hAnsi="Calibri" w:cs="Calibri"/>
                <w:sz w:val="16"/>
                <w:szCs w:val="16"/>
              </w:rPr>
              <w:t>Total Computer Hours</w:t>
            </w:r>
          </w:p>
        </w:tc>
        <w:tc>
          <w:tcPr>
            <w:tcW w:w="900" w:type="dxa"/>
            <w:tcBorders>
              <w:top w:val="single" w:sz="8" w:space="0" w:color="auto"/>
              <w:left w:val="nil"/>
              <w:bottom w:val="nil"/>
              <w:right w:val="single" w:sz="8" w:space="0" w:color="auto"/>
            </w:tcBorders>
            <w:shd w:val="clear" w:color="000000" w:fill="D9D9D9"/>
            <w:vAlign w:val="center"/>
            <w:hideMark/>
          </w:tcPr>
          <w:p w:rsidR="00C47E03" w:rsidRPr="00C47E03" w:rsidP="00C47E03" w14:paraId="3FB8BD84" w14:textId="77777777">
            <w:pPr>
              <w:jc w:val="center"/>
              <w:rPr>
                <w:rFonts w:ascii="Calibri" w:hAnsi="Calibri" w:cs="Calibri"/>
                <w:sz w:val="16"/>
                <w:szCs w:val="16"/>
              </w:rPr>
            </w:pPr>
            <w:r w:rsidRPr="00C47E03">
              <w:rPr>
                <w:rFonts w:ascii="Calibri" w:hAnsi="Calibri" w:cs="Calibri"/>
                <w:sz w:val="16"/>
                <w:szCs w:val="16"/>
              </w:rPr>
              <w:t>Computer Costs</w:t>
            </w:r>
          </w:p>
        </w:tc>
        <w:tc>
          <w:tcPr>
            <w:tcW w:w="90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rsidR="00C47E03" w:rsidRPr="00C47E03" w:rsidP="00C47E03" w14:paraId="2D4B46D3" w14:textId="33F7E766">
            <w:pPr>
              <w:jc w:val="center"/>
              <w:rPr>
                <w:rFonts w:ascii="Calibri" w:hAnsi="Calibri" w:cs="Calibri"/>
                <w:sz w:val="16"/>
                <w:szCs w:val="16"/>
              </w:rPr>
            </w:pPr>
            <w:r w:rsidRPr="00C47E03">
              <w:rPr>
                <w:rFonts w:ascii="Calibri" w:hAnsi="Calibri" w:cs="Calibri"/>
                <w:sz w:val="16"/>
                <w:szCs w:val="16"/>
              </w:rPr>
              <w:t>Data Entry (43-9020) Hours Per Response</w:t>
            </w:r>
          </w:p>
        </w:tc>
        <w:tc>
          <w:tcPr>
            <w:tcW w:w="661"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C47E03" w:rsidRPr="00C47E03" w:rsidP="00C47E03" w14:paraId="3BE8C646" w14:textId="77777777">
            <w:pPr>
              <w:jc w:val="center"/>
              <w:rPr>
                <w:rFonts w:ascii="Calibri" w:hAnsi="Calibri" w:cs="Calibri"/>
                <w:sz w:val="16"/>
                <w:szCs w:val="16"/>
              </w:rPr>
            </w:pPr>
            <w:r w:rsidRPr="00C47E03">
              <w:rPr>
                <w:rFonts w:ascii="Calibri" w:hAnsi="Calibri" w:cs="Calibri"/>
                <w:sz w:val="16"/>
                <w:szCs w:val="16"/>
              </w:rPr>
              <w:t>Total Data Hours</w:t>
            </w:r>
          </w:p>
        </w:tc>
        <w:tc>
          <w:tcPr>
            <w:tcW w:w="959" w:type="dxa"/>
            <w:tcBorders>
              <w:top w:val="single" w:sz="8" w:space="0" w:color="auto"/>
              <w:left w:val="nil"/>
              <w:bottom w:val="nil"/>
              <w:right w:val="single" w:sz="8" w:space="0" w:color="auto"/>
            </w:tcBorders>
            <w:shd w:val="clear" w:color="000000" w:fill="D9D9D9"/>
            <w:vAlign w:val="center"/>
            <w:hideMark/>
          </w:tcPr>
          <w:p w:rsidR="00C47E03" w:rsidRPr="00C47E03" w:rsidP="00C47E03" w14:paraId="6C0B390E" w14:textId="77777777">
            <w:pPr>
              <w:jc w:val="center"/>
              <w:rPr>
                <w:rFonts w:ascii="Calibri" w:hAnsi="Calibri" w:cs="Calibri"/>
                <w:sz w:val="16"/>
                <w:szCs w:val="16"/>
              </w:rPr>
            </w:pPr>
            <w:r w:rsidRPr="00C47E03">
              <w:rPr>
                <w:rFonts w:ascii="Calibri" w:hAnsi="Calibri" w:cs="Calibri"/>
                <w:sz w:val="16"/>
                <w:szCs w:val="16"/>
              </w:rPr>
              <w:t>Data Entry Costs</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C47E03" w:rsidRPr="00C47E03" w:rsidP="00C47E03" w14:paraId="0598AED2" w14:textId="77777777">
            <w:pPr>
              <w:jc w:val="center"/>
              <w:rPr>
                <w:rFonts w:ascii="Calibri" w:hAnsi="Calibri" w:cs="Calibri"/>
                <w:b/>
                <w:bCs/>
                <w:sz w:val="16"/>
                <w:szCs w:val="16"/>
              </w:rPr>
            </w:pPr>
            <w:r w:rsidRPr="00C47E03">
              <w:rPr>
                <w:rFonts w:ascii="Calibri" w:hAnsi="Calibri" w:cs="Calibri"/>
                <w:b/>
                <w:bCs/>
                <w:sz w:val="16"/>
                <w:szCs w:val="16"/>
              </w:rPr>
              <w:t>Total Hours</w:t>
            </w:r>
          </w:p>
        </w:tc>
        <w:tc>
          <w:tcPr>
            <w:tcW w:w="99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C47E03" w:rsidRPr="00C47E03" w:rsidP="00C47E03" w14:paraId="4D7774F2" w14:textId="77777777">
            <w:pPr>
              <w:jc w:val="center"/>
              <w:rPr>
                <w:rFonts w:ascii="Calibri" w:hAnsi="Calibri" w:cs="Calibri"/>
                <w:b/>
                <w:bCs/>
                <w:sz w:val="16"/>
                <w:szCs w:val="16"/>
              </w:rPr>
            </w:pPr>
            <w:r w:rsidRPr="00C47E03">
              <w:rPr>
                <w:rFonts w:ascii="Calibri" w:hAnsi="Calibri" w:cs="Calibri"/>
                <w:b/>
                <w:bCs/>
                <w:sz w:val="16"/>
                <w:szCs w:val="16"/>
              </w:rPr>
              <w:t>Total Costs</w:t>
            </w:r>
          </w:p>
        </w:tc>
      </w:tr>
      <w:tr w14:paraId="2ED1D486" w14:textId="77777777" w:rsidTr="00C47E03">
        <w:tblPrEx>
          <w:tblW w:w="14660" w:type="dxa"/>
          <w:jc w:val="center"/>
          <w:tblLayout w:type="fixed"/>
          <w:tblLook w:val="04A0"/>
        </w:tblPrEx>
        <w:trPr>
          <w:trHeight w:val="666"/>
          <w:jc w:val="center"/>
        </w:trPr>
        <w:tc>
          <w:tcPr>
            <w:tcW w:w="1156" w:type="dxa"/>
            <w:vMerge/>
            <w:tcBorders>
              <w:top w:val="single" w:sz="8" w:space="0" w:color="auto"/>
              <w:left w:val="single" w:sz="8" w:space="0" w:color="auto"/>
              <w:bottom w:val="nil"/>
              <w:right w:val="nil"/>
            </w:tcBorders>
            <w:vAlign w:val="center"/>
            <w:hideMark/>
          </w:tcPr>
          <w:p w:rsidR="00C47E03" w:rsidRPr="00C47E03" w:rsidP="00C47E03" w14:paraId="5763E7C6" w14:textId="77777777">
            <w:pPr>
              <w:rPr>
                <w:rFonts w:ascii="Calibri" w:hAnsi="Calibri" w:cs="Calibri"/>
                <w:sz w:val="16"/>
                <w:szCs w:val="16"/>
              </w:rPr>
            </w:pPr>
          </w:p>
        </w:tc>
        <w:tc>
          <w:tcPr>
            <w:tcW w:w="994"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2EBF786A" w14:textId="77777777">
            <w:pPr>
              <w:rPr>
                <w:rFonts w:ascii="Calibri" w:hAnsi="Calibri" w:cs="Calibri"/>
                <w:sz w:val="16"/>
                <w:szCs w:val="16"/>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027B3A0D" w14:textId="77777777">
            <w:pPr>
              <w:rPr>
                <w:rFonts w:ascii="Calibri" w:hAnsi="Calibri" w:cs="Calibri"/>
                <w:sz w:val="16"/>
                <w:szCs w:val="16"/>
              </w:rPr>
            </w:pPr>
          </w:p>
        </w:tc>
        <w:tc>
          <w:tcPr>
            <w:tcW w:w="1170" w:type="dxa"/>
            <w:tcBorders>
              <w:top w:val="nil"/>
              <w:left w:val="nil"/>
              <w:bottom w:val="nil"/>
              <w:right w:val="single" w:sz="8" w:space="0" w:color="auto"/>
            </w:tcBorders>
            <w:shd w:val="clear" w:color="000000" w:fill="D9D9D9"/>
            <w:vAlign w:val="center"/>
            <w:hideMark/>
          </w:tcPr>
          <w:p w:rsidR="00C47E03" w:rsidRPr="00C47E03" w:rsidP="00C47E03" w14:paraId="4C6EB966" w14:textId="77777777">
            <w:pPr>
              <w:jc w:val="center"/>
              <w:rPr>
                <w:rFonts w:ascii="Calibri" w:hAnsi="Calibri" w:cs="Calibri"/>
                <w:sz w:val="16"/>
                <w:szCs w:val="16"/>
              </w:rPr>
            </w:pPr>
            <w:r w:rsidRPr="00C47E03">
              <w:rPr>
                <w:rFonts w:ascii="Calibri" w:hAnsi="Calibri" w:cs="Calibri"/>
                <w:sz w:val="16"/>
                <w:szCs w:val="16"/>
              </w:rPr>
              <w:t>at loaded hourly rate of:</w:t>
            </w:r>
          </w:p>
        </w:tc>
        <w:tc>
          <w:tcPr>
            <w:tcW w:w="990"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4ECB4C22" w14:textId="77777777">
            <w:pPr>
              <w:rPr>
                <w:rFonts w:ascii="Calibri" w:hAnsi="Calibri" w:cs="Calibri"/>
                <w:sz w:val="16"/>
                <w:szCs w:val="16"/>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6834892B" w14:textId="77777777">
            <w:pPr>
              <w:rPr>
                <w:rFonts w:ascii="Calibri" w:hAnsi="Calibri" w:cs="Calibri"/>
                <w:sz w:val="16"/>
                <w:szCs w:val="16"/>
              </w:rPr>
            </w:pPr>
          </w:p>
        </w:tc>
        <w:tc>
          <w:tcPr>
            <w:tcW w:w="1080" w:type="dxa"/>
            <w:tcBorders>
              <w:top w:val="nil"/>
              <w:left w:val="nil"/>
              <w:bottom w:val="nil"/>
              <w:right w:val="single" w:sz="8" w:space="0" w:color="auto"/>
            </w:tcBorders>
            <w:shd w:val="clear" w:color="000000" w:fill="D9D9D9"/>
            <w:vAlign w:val="center"/>
            <w:hideMark/>
          </w:tcPr>
          <w:p w:rsidR="00C47E03" w:rsidRPr="00C47E03" w:rsidP="00C47E03" w14:paraId="427F2823" w14:textId="77777777">
            <w:pPr>
              <w:jc w:val="center"/>
              <w:rPr>
                <w:rFonts w:ascii="Calibri" w:hAnsi="Calibri" w:cs="Calibri"/>
                <w:sz w:val="16"/>
                <w:szCs w:val="16"/>
              </w:rPr>
            </w:pPr>
            <w:r w:rsidRPr="00C47E03">
              <w:rPr>
                <w:rFonts w:ascii="Calibri" w:hAnsi="Calibri" w:cs="Calibri"/>
                <w:sz w:val="16"/>
                <w:szCs w:val="16"/>
              </w:rPr>
              <w:t>at loaded hourly rate of:</w:t>
            </w:r>
          </w:p>
        </w:tc>
        <w:tc>
          <w:tcPr>
            <w:tcW w:w="900"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2333A7AD" w14:textId="77777777">
            <w:pPr>
              <w:rPr>
                <w:rFonts w:ascii="Calibri" w:hAnsi="Calibri" w:cs="Calibri"/>
                <w:sz w:val="16"/>
                <w:szCs w:val="16"/>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0FB44CFA" w14:textId="77777777">
            <w:pPr>
              <w:rPr>
                <w:rFonts w:ascii="Calibri" w:hAnsi="Calibri" w:cs="Calibri"/>
                <w:sz w:val="16"/>
                <w:szCs w:val="16"/>
              </w:rPr>
            </w:pPr>
          </w:p>
        </w:tc>
        <w:tc>
          <w:tcPr>
            <w:tcW w:w="900" w:type="dxa"/>
            <w:tcBorders>
              <w:top w:val="nil"/>
              <w:left w:val="nil"/>
              <w:bottom w:val="nil"/>
              <w:right w:val="single" w:sz="8" w:space="0" w:color="auto"/>
            </w:tcBorders>
            <w:shd w:val="clear" w:color="000000" w:fill="D9D9D9"/>
            <w:vAlign w:val="center"/>
            <w:hideMark/>
          </w:tcPr>
          <w:p w:rsidR="00C47E03" w:rsidRPr="00C47E03" w:rsidP="00C47E03" w14:paraId="12F9BDFB" w14:textId="77777777">
            <w:pPr>
              <w:jc w:val="center"/>
              <w:rPr>
                <w:rFonts w:ascii="Calibri" w:hAnsi="Calibri" w:cs="Calibri"/>
                <w:sz w:val="16"/>
                <w:szCs w:val="16"/>
              </w:rPr>
            </w:pPr>
            <w:r w:rsidRPr="00C47E03">
              <w:rPr>
                <w:rFonts w:ascii="Calibri" w:hAnsi="Calibri" w:cs="Calibri"/>
                <w:sz w:val="16"/>
                <w:szCs w:val="16"/>
              </w:rPr>
              <w:t>at loaded hourly rate of:</w:t>
            </w:r>
          </w:p>
        </w:tc>
        <w:tc>
          <w:tcPr>
            <w:tcW w:w="900"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11FA11A4" w14:textId="77777777">
            <w:pPr>
              <w:rPr>
                <w:rFonts w:ascii="Calibri" w:hAnsi="Calibri" w:cs="Calibri"/>
                <w:sz w:val="16"/>
                <w:szCs w:val="16"/>
              </w:rPr>
            </w:pPr>
          </w:p>
        </w:tc>
        <w:tc>
          <w:tcPr>
            <w:tcW w:w="661"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418370AF" w14:textId="77777777">
            <w:pPr>
              <w:rPr>
                <w:rFonts w:ascii="Calibri" w:hAnsi="Calibri" w:cs="Calibri"/>
                <w:sz w:val="16"/>
                <w:szCs w:val="16"/>
              </w:rPr>
            </w:pPr>
          </w:p>
        </w:tc>
        <w:tc>
          <w:tcPr>
            <w:tcW w:w="959" w:type="dxa"/>
            <w:tcBorders>
              <w:top w:val="nil"/>
              <w:left w:val="nil"/>
              <w:bottom w:val="nil"/>
              <w:right w:val="single" w:sz="8" w:space="0" w:color="auto"/>
            </w:tcBorders>
            <w:shd w:val="clear" w:color="000000" w:fill="D9D9D9"/>
            <w:vAlign w:val="center"/>
            <w:hideMark/>
          </w:tcPr>
          <w:p w:rsidR="00C47E03" w:rsidRPr="00C47E03" w:rsidP="00C47E03" w14:paraId="6A86B493" w14:textId="77777777">
            <w:pPr>
              <w:jc w:val="center"/>
              <w:rPr>
                <w:rFonts w:ascii="Calibri" w:hAnsi="Calibri" w:cs="Calibri"/>
                <w:sz w:val="16"/>
                <w:szCs w:val="16"/>
              </w:rPr>
            </w:pPr>
            <w:r w:rsidRPr="00C47E03">
              <w:rPr>
                <w:rFonts w:ascii="Calibri" w:hAnsi="Calibri" w:cs="Calibri"/>
                <w:sz w:val="16"/>
                <w:szCs w:val="16"/>
              </w:rPr>
              <w:t>at loaded hourly rate of:</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C47E03" w:rsidRPr="00C47E03" w:rsidP="00C47E03" w14:paraId="4CCA64C9" w14:textId="77777777">
            <w:pPr>
              <w:rPr>
                <w:rFonts w:ascii="Calibri" w:hAnsi="Calibri" w:cs="Calibri"/>
                <w:b/>
                <w:bCs/>
                <w:sz w:val="16"/>
                <w:szCs w:val="16"/>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C47E03" w:rsidRPr="00C47E03" w:rsidP="00C47E03" w14:paraId="0B8956C1" w14:textId="77777777">
            <w:pPr>
              <w:rPr>
                <w:rFonts w:ascii="Calibri" w:hAnsi="Calibri" w:cs="Calibri"/>
                <w:b/>
                <w:bCs/>
                <w:sz w:val="16"/>
                <w:szCs w:val="16"/>
              </w:rPr>
            </w:pPr>
          </w:p>
        </w:tc>
      </w:tr>
      <w:tr w14:paraId="0EC40D26" w14:textId="77777777" w:rsidTr="00C47E03">
        <w:tblPrEx>
          <w:tblW w:w="14660" w:type="dxa"/>
          <w:jc w:val="center"/>
          <w:tblLayout w:type="fixed"/>
          <w:tblLook w:val="04A0"/>
        </w:tblPrEx>
        <w:trPr>
          <w:trHeight w:val="274"/>
          <w:jc w:val="center"/>
        </w:trPr>
        <w:tc>
          <w:tcPr>
            <w:tcW w:w="1156" w:type="dxa"/>
            <w:vMerge/>
            <w:tcBorders>
              <w:top w:val="single" w:sz="8" w:space="0" w:color="auto"/>
              <w:left w:val="single" w:sz="8" w:space="0" w:color="auto"/>
              <w:bottom w:val="nil"/>
              <w:right w:val="nil"/>
            </w:tcBorders>
            <w:vAlign w:val="center"/>
            <w:hideMark/>
          </w:tcPr>
          <w:p w:rsidR="00C47E03" w:rsidRPr="00C47E03" w:rsidP="00C47E03" w14:paraId="42D2EB2D" w14:textId="77777777">
            <w:pPr>
              <w:rPr>
                <w:rFonts w:ascii="Calibri" w:hAnsi="Calibri" w:cs="Calibri"/>
                <w:sz w:val="16"/>
                <w:szCs w:val="16"/>
              </w:rPr>
            </w:pPr>
          </w:p>
        </w:tc>
        <w:tc>
          <w:tcPr>
            <w:tcW w:w="994"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3094F6AA" w14:textId="77777777">
            <w:pPr>
              <w:rPr>
                <w:rFonts w:ascii="Calibri" w:hAnsi="Calibri" w:cs="Calibri"/>
                <w:sz w:val="16"/>
                <w:szCs w:val="16"/>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5DC79F03" w14:textId="77777777">
            <w:pPr>
              <w:rPr>
                <w:rFonts w:ascii="Calibri" w:hAnsi="Calibri" w:cs="Calibri"/>
                <w:sz w:val="16"/>
                <w:szCs w:val="16"/>
              </w:rPr>
            </w:pPr>
          </w:p>
        </w:tc>
        <w:tc>
          <w:tcPr>
            <w:tcW w:w="1170" w:type="dxa"/>
            <w:tcBorders>
              <w:top w:val="nil"/>
              <w:left w:val="nil"/>
              <w:bottom w:val="single" w:sz="8" w:space="0" w:color="auto"/>
              <w:right w:val="single" w:sz="8" w:space="0" w:color="auto"/>
            </w:tcBorders>
            <w:shd w:val="clear" w:color="000000" w:fill="D9D9D9"/>
            <w:vAlign w:val="center"/>
            <w:hideMark/>
          </w:tcPr>
          <w:p w:rsidR="00C47E03" w:rsidRPr="00C47E03" w:rsidP="00C47E03" w14:paraId="4E2C2C53" w14:textId="02813C5D">
            <w:pPr>
              <w:jc w:val="center"/>
              <w:rPr>
                <w:rFonts w:ascii="Calibri" w:hAnsi="Calibri" w:cs="Calibri"/>
                <w:sz w:val="16"/>
                <w:szCs w:val="16"/>
              </w:rPr>
            </w:pPr>
            <w:r w:rsidRPr="00C47E03">
              <w:rPr>
                <w:rFonts w:ascii="Calibri" w:hAnsi="Calibri" w:cs="Calibri"/>
                <w:sz w:val="16"/>
                <w:szCs w:val="16"/>
              </w:rPr>
              <w:t xml:space="preserve"> $          111.42 </w:t>
            </w:r>
          </w:p>
        </w:tc>
        <w:tc>
          <w:tcPr>
            <w:tcW w:w="990"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0FAD5E1F" w14:textId="77777777">
            <w:pPr>
              <w:rPr>
                <w:rFonts w:ascii="Calibri" w:hAnsi="Calibri" w:cs="Calibri"/>
                <w:sz w:val="16"/>
                <w:szCs w:val="16"/>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0900894E" w14:textId="77777777">
            <w:pPr>
              <w:rPr>
                <w:rFonts w:ascii="Calibri" w:hAnsi="Calibri" w:cs="Calibri"/>
                <w:sz w:val="16"/>
                <w:szCs w:val="16"/>
              </w:rPr>
            </w:pPr>
          </w:p>
        </w:tc>
        <w:tc>
          <w:tcPr>
            <w:tcW w:w="1080" w:type="dxa"/>
            <w:tcBorders>
              <w:top w:val="nil"/>
              <w:left w:val="nil"/>
              <w:bottom w:val="single" w:sz="8" w:space="0" w:color="auto"/>
              <w:right w:val="single" w:sz="8" w:space="0" w:color="auto"/>
            </w:tcBorders>
            <w:shd w:val="clear" w:color="000000" w:fill="D9D9D9"/>
            <w:vAlign w:val="center"/>
            <w:hideMark/>
          </w:tcPr>
          <w:p w:rsidR="00C47E03" w:rsidRPr="00C47E03" w:rsidP="00C47E03" w14:paraId="74A03818" w14:textId="77777777">
            <w:pPr>
              <w:jc w:val="center"/>
              <w:rPr>
                <w:rFonts w:ascii="Calibri" w:hAnsi="Calibri" w:cs="Calibri"/>
                <w:sz w:val="16"/>
                <w:szCs w:val="16"/>
              </w:rPr>
            </w:pPr>
            <w:r w:rsidRPr="00C47E03">
              <w:rPr>
                <w:rFonts w:ascii="Calibri" w:hAnsi="Calibri" w:cs="Calibri"/>
                <w:sz w:val="16"/>
                <w:szCs w:val="16"/>
              </w:rPr>
              <w:t xml:space="preserve"> $         61.30 </w:t>
            </w:r>
          </w:p>
        </w:tc>
        <w:tc>
          <w:tcPr>
            <w:tcW w:w="900"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4194EADA" w14:textId="77777777">
            <w:pPr>
              <w:rPr>
                <w:rFonts w:ascii="Calibri" w:hAnsi="Calibri" w:cs="Calibri"/>
                <w:sz w:val="16"/>
                <w:szCs w:val="16"/>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09028A09" w14:textId="77777777">
            <w:pPr>
              <w:rPr>
                <w:rFonts w:ascii="Calibri" w:hAnsi="Calibri" w:cs="Calibri"/>
                <w:sz w:val="16"/>
                <w:szCs w:val="16"/>
              </w:rPr>
            </w:pPr>
          </w:p>
        </w:tc>
        <w:tc>
          <w:tcPr>
            <w:tcW w:w="900" w:type="dxa"/>
            <w:tcBorders>
              <w:top w:val="nil"/>
              <w:left w:val="nil"/>
              <w:bottom w:val="single" w:sz="8" w:space="0" w:color="auto"/>
              <w:right w:val="single" w:sz="8" w:space="0" w:color="auto"/>
            </w:tcBorders>
            <w:shd w:val="clear" w:color="000000" w:fill="D9D9D9"/>
            <w:vAlign w:val="center"/>
            <w:hideMark/>
          </w:tcPr>
          <w:p w:rsidR="00C47E03" w:rsidRPr="00C47E03" w:rsidP="00C47E03" w14:paraId="417630C5" w14:textId="32F56419">
            <w:pPr>
              <w:jc w:val="center"/>
              <w:rPr>
                <w:rFonts w:ascii="Calibri" w:hAnsi="Calibri" w:cs="Calibri"/>
                <w:sz w:val="16"/>
                <w:szCs w:val="16"/>
              </w:rPr>
            </w:pPr>
            <w:r w:rsidRPr="00C47E03">
              <w:rPr>
                <w:rFonts w:ascii="Calibri" w:hAnsi="Calibri" w:cs="Calibri"/>
                <w:sz w:val="16"/>
                <w:szCs w:val="16"/>
              </w:rPr>
              <w:t xml:space="preserve"> $     71.54 </w:t>
            </w:r>
          </w:p>
        </w:tc>
        <w:tc>
          <w:tcPr>
            <w:tcW w:w="900" w:type="dxa"/>
            <w:vMerge/>
            <w:tcBorders>
              <w:top w:val="single" w:sz="8" w:space="0" w:color="auto"/>
              <w:left w:val="single" w:sz="8" w:space="0" w:color="auto"/>
              <w:bottom w:val="single" w:sz="8" w:space="0" w:color="000000"/>
              <w:right w:val="single" w:sz="4" w:space="0" w:color="auto"/>
            </w:tcBorders>
            <w:vAlign w:val="center"/>
            <w:hideMark/>
          </w:tcPr>
          <w:p w:rsidR="00C47E03" w:rsidRPr="00C47E03" w:rsidP="00C47E03" w14:paraId="6E39C390" w14:textId="77777777">
            <w:pPr>
              <w:rPr>
                <w:rFonts w:ascii="Calibri" w:hAnsi="Calibri" w:cs="Calibri"/>
                <w:sz w:val="16"/>
                <w:szCs w:val="16"/>
              </w:rPr>
            </w:pPr>
          </w:p>
        </w:tc>
        <w:tc>
          <w:tcPr>
            <w:tcW w:w="661" w:type="dxa"/>
            <w:vMerge/>
            <w:tcBorders>
              <w:top w:val="single" w:sz="8" w:space="0" w:color="auto"/>
              <w:left w:val="single" w:sz="4" w:space="0" w:color="auto"/>
              <w:bottom w:val="single" w:sz="8" w:space="0" w:color="000000"/>
              <w:right w:val="single" w:sz="4" w:space="0" w:color="auto"/>
            </w:tcBorders>
            <w:vAlign w:val="center"/>
            <w:hideMark/>
          </w:tcPr>
          <w:p w:rsidR="00C47E03" w:rsidRPr="00C47E03" w:rsidP="00C47E03" w14:paraId="39106EE3" w14:textId="77777777">
            <w:pPr>
              <w:rPr>
                <w:rFonts w:ascii="Calibri" w:hAnsi="Calibri" w:cs="Calibri"/>
                <w:sz w:val="16"/>
                <w:szCs w:val="16"/>
              </w:rPr>
            </w:pPr>
          </w:p>
        </w:tc>
        <w:tc>
          <w:tcPr>
            <w:tcW w:w="959" w:type="dxa"/>
            <w:tcBorders>
              <w:top w:val="nil"/>
              <w:left w:val="nil"/>
              <w:bottom w:val="single" w:sz="8" w:space="0" w:color="auto"/>
              <w:right w:val="single" w:sz="8" w:space="0" w:color="auto"/>
            </w:tcBorders>
            <w:shd w:val="clear" w:color="000000" w:fill="D9D9D9"/>
            <w:vAlign w:val="center"/>
            <w:hideMark/>
          </w:tcPr>
          <w:p w:rsidR="00C47E03" w:rsidRPr="00C47E03" w:rsidP="00C47E03" w14:paraId="467AD2CE" w14:textId="77777777">
            <w:pPr>
              <w:jc w:val="center"/>
              <w:rPr>
                <w:rFonts w:ascii="Calibri" w:hAnsi="Calibri" w:cs="Calibri"/>
                <w:sz w:val="16"/>
                <w:szCs w:val="16"/>
              </w:rPr>
            </w:pPr>
            <w:r w:rsidRPr="00C47E03">
              <w:rPr>
                <w:rFonts w:ascii="Calibri" w:hAnsi="Calibri" w:cs="Calibri"/>
                <w:sz w:val="16"/>
                <w:szCs w:val="16"/>
              </w:rPr>
              <w:t xml:space="preserve"> $     27.68 </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C47E03" w:rsidRPr="00C47E03" w:rsidP="00C47E03" w14:paraId="70F60897" w14:textId="77777777">
            <w:pPr>
              <w:rPr>
                <w:rFonts w:ascii="Calibri" w:hAnsi="Calibri" w:cs="Calibri"/>
                <w:b/>
                <w:bCs/>
                <w:sz w:val="16"/>
                <w:szCs w:val="16"/>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C47E03" w:rsidRPr="00C47E03" w:rsidP="00C47E03" w14:paraId="29B48E4E" w14:textId="77777777">
            <w:pPr>
              <w:rPr>
                <w:rFonts w:ascii="Calibri" w:hAnsi="Calibri" w:cs="Calibri"/>
                <w:b/>
                <w:bCs/>
                <w:sz w:val="16"/>
                <w:szCs w:val="16"/>
              </w:rPr>
            </w:pPr>
          </w:p>
        </w:tc>
      </w:tr>
      <w:tr w14:paraId="2D84F5D4" w14:textId="77777777" w:rsidTr="00C47E03">
        <w:tblPrEx>
          <w:tblW w:w="14660" w:type="dxa"/>
          <w:jc w:val="center"/>
          <w:tblLayout w:type="fixed"/>
          <w:tblLook w:val="04A0"/>
        </w:tblPrEx>
        <w:trPr>
          <w:trHeight w:val="261"/>
          <w:jc w:val="center"/>
        </w:trPr>
        <w:tc>
          <w:tcPr>
            <w:tcW w:w="1156" w:type="dxa"/>
            <w:tcBorders>
              <w:top w:val="single" w:sz="8" w:space="0" w:color="auto"/>
              <w:left w:val="single" w:sz="8" w:space="0" w:color="auto"/>
              <w:bottom w:val="nil"/>
              <w:right w:val="single" w:sz="8" w:space="0" w:color="auto"/>
            </w:tcBorders>
            <w:shd w:val="clear" w:color="auto" w:fill="auto"/>
            <w:vAlign w:val="center"/>
            <w:hideMark/>
          </w:tcPr>
          <w:p w:rsidR="00C47E03" w:rsidRPr="00C47E03" w:rsidP="00C47E03" w14:paraId="123910DF" w14:textId="77777777">
            <w:pPr>
              <w:rPr>
                <w:rFonts w:ascii="Calibri" w:hAnsi="Calibri" w:cs="Calibri"/>
                <w:color w:val="000000"/>
                <w:sz w:val="16"/>
                <w:szCs w:val="16"/>
                <w:u w:val="single"/>
              </w:rPr>
            </w:pPr>
            <w:r w:rsidRPr="00C47E03">
              <w:rPr>
                <w:rFonts w:ascii="Calibri" w:hAnsi="Calibri" w:cs="Calibri"/>
                <w:color w:val="000000"/>
                <w:sz w:val="16"/>
                <w:szCs w:val="16"/>
                <w:u w:val="single"/>
              </w:rPr>
              <w:t>a.  Read regulation</w:t>
            </w:r>
          </w:p>
        </w:tc>
        <w:tc>
          <w:tcPr>
            <w:tcW w:w="994"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3248F8FB" w14:textId="77777777">
            <w:pPr>
              <w:jc w:val="right"/>
              <w:rPr>
                <w:rFonts w:ascii="Calibri" w:hAnsi="Calibri" w:cs="Calibri"/>
                <w:sz w:val="16"/>
                <w:szCs w:val="16"/>
              </w:rPr>
            </w:pPr>
            <w:r w:rsidRPr="00C47E03">
              <w:rPr>
                <w:rFonts w:ascii="Calibri" w:hAnsi="Calibri" w:cs="Calibri"/>
                <w:sz w:val="16"/>
                <w:szCs w:val="16"/>
              </w:rPr>
              <w:t>0.1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348470FA" w14:textId="77777777">
            <w:pPr>
              <w:jc w:val="right"/>
              <w:rPr>
                <w:rFonts w:ascii="Calibri" w:hAnsi="Calibri" w:cs="Calibri"/>
                <w:sz w:val="16"/>
                <w:szCs w:val="16"/>
              </w:rPr>
            </w:pPr>
            <w:r w:rsidRPr="00C47E03">
              <w:rPr>
                <w:rFonts w:ascii="Calibri" w:hAnsi="Calibri" w:cs="Calibri"/>
                <w:sz w:val="16"/>
                <w:szCs w:val="16"/>
              </w:rPr>
              <w:t>1,903</w:t>
            </w:r>
          </w:p>
        </w:tc>
        <w:tc>
          <w:tcPr>
            <w:tcW w:w="117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57EEFEB6" w14:textId="77777777">
            <w:pPr>
              <w:jc w:val="right"/>
              <w:rPr>
                <w:rFonts w:ascii="Calibri" w:hAnsi="Calibri" w:cs="Calibri"/>
                <w:sz w:val="16"/>
                <w:szCs w:val="16"/>
              </w:rPr>
            </w:pPr>
            <w:r w:rsidRPr="00C47E03">
              <w:rPr>
                <w:rFonts w:ascii="Calibri" w:hAnsi="Calibri" w:cs="Calibri"/>
                <w:sz w:val="16"/>
                <w:szCs w:val="16"/>
              </w:rPr>
              <w:t xml:space="preserve"> $        212,006 </w:t>
            </w:r>
          </w:p>
        </w:tc>
        <w:tc>
          <w:tcPr>
            <w:tcW w:w="99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06AE686F" w14:textId="77777777">
            <w:pPr>
              <w:jc w:val="right"/>
              <w:rPr>
                <w:rFonts w:ascii="Calibri" w:hAnsi="Calibri" w:cs="Calibri"/>
                <w:sz w:val="16"/>
                <w:szCs w:val="16"/>
              </w:rPr>
            </w:pPr>
            <w:r w:rsidRPr="00C47E03">
              <w:rPr>
                <w:rFonts w:ascii="Calibri" w:hAnsi="Calibri" w:cs="Calibri"/>
                <w:sz w:val="16"/>
                <w:szCs w:val="16"/>
              </w:rPr>
              <w:t xml:space="preserve">          0.40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6BE91568" w14:textId="77777777">
            <w:pPr>
              <w:jc w:val="right"/>
              <w:rPr>
                <w:rFonts w:ascii="Calibri" w:hAnsi="Calibri" w:cs="Calibri"/>
                <w:sz w:val="16"/>
                <w:szCs w:val="16"/>
              </w:rPr>
            </w:pPr>
            <w:r w:rsidRPr="00C47E03">
              <w:rPr>
                <w:rFonts w:ascii="Calibri" w:hAnsi="Calibri" w:cs="Calibri"/>
                <w:sz w:val="16"/>
                <w:szCs w:val="16"/>
              </w:rPr>
              <w:t>7,611</w:t>
            </w:r>
          </w:p>
        </w:tc>
        <w:tc>
          <w:tcPr>
            <w:tcW w:w="108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67E721A0" w14:textId="77777777">
            <w:pPr>
              <w:jc w:val="right"/>
              <w:rPr>
                <w:rFonts w:ascii="Calibri" w:hAnsi="Calibri" w:cs="Calibri"/>
                <w:sz w:val="16"/>
                <w:szCs w:val="16"/>
              </w:rPr>
            </w:pPr>
            <w:r w:rsidRPr="00C47E03">
              <w:rPr>
                <w:rFonts w:ascii="Calibri" w:hAnsi="Calibri" w:cs="Calibri"/>
                <w:sz w:val="16"/>
                <w:szCs w:val="16"/>
              </w:rPr>
              <w:t xml:space="preserve"> $     466,512 </w:t>
            </w:r>
          </w:p>
        </w:tc>
        <w:tc>
          <w:tcPr>
            <w:tcW w:w="90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2901F83A" w14:textId="77777777">
            <w:pPr>
              <w:jc w:val="right"/>
              <w:rPr>
                <w:rFonts w:ascii="Calibri" w:hAnsi="Calibri" w:cs="Calibri"/>
                <w:sz w:val="16"/>
                <w:szCs w:val="16"/>
              </w:rPr>
            </w:pPr>
            <w:r w:rsidRPr="00C47E03">
              <w:rPr>
                <w:rFonts w:ascii="Calibri" w:hAnsi="Calibri" w:cs="Calibri"/>
                <w:sz w:val="16"/>
                <w:szCs w:val="16"/>
              </w:rPr>
              <w:t>0</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4B9CA1A3" w14:textId="77777777">
            <w:pPr>
              <w:jc w:val="right"/>
              <w:rPr>
                <w:rFonts w:ascii="Calibri" w:hAnsi="Calibri" w:cs="Calibri"/>
                <w:sz w:val="16"/>
                <w:szCs w:val="16"/>
              </w:rPr>
            </w:pPr>
            <w:r w:rsidRPr="00C47E03">
              <w:rPr>
                <w:rFonts w:ascii="Calibri" w:hAnsi="Calibri" w:cs="Calibri"/>
                <w:sz w:val="16"/>
                <w:szCs w:val="16"/>
              </w:rPr>
              <w:t>0</w:t>
            </w:r>
          </w:p>
        </w:tc>
        <w:tc>
          <w:tcPr>
            <w:tcW w:w="90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52F1B884" w14:textId="77777777">
            <w:pPr>
              <w:jc w:val="right"/>
              <w:rPr>
                <w:rFonts w:ascii="Calibri" w:hAnsi="Calibri" w:cs="Calibri"/>
                <w:sz w:val="16"/>
                <w:szCs w:val="16"/>
              </w:rPr>
            </w:pPr>
            <w:r w:rsidRPr="00C47E03">
              <w:rPr>
                <w:rFonts w:ascii="Calibri" w:hAnsi="Calibri" w:cs="Calibri"/>
                <w:sz w:val="16"/>
                <w:szCs w:val="16"/>
              </w:rPr>
              <w:t xml:space="preserve"> $             -   </w:t>
            </w:r>
          </w:p>
        </w:tc>
        <w:tc>
          <w:tcPr>
            <w:tcW w:w="90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1E4072AD" w14:textId="77777777">
            <w:pPr>
              <w:jc w:val="right"/>
              <w:rPr>
                <w:rFonts w:ascii="Calibri" w:hAnsi="Calibri" w:cs="Calibri"/>
                <w:sz w:val="16"/>
                <w:szCs w:val="16"/>
              </w:rPr>
            </w:pPr>
            <w:r w:rsidRPr="00C47E03">
              <w:rPr>
                <w:rFonts w:ascii="Calibri" w:hAnsi="Calibri" w:cs="Calibri"/>
                <w:sz w:val="16"/>
                <w:szCs w:val="16"/>
              </w:rPr>
              <w:t>0</w:t>
            </w:r>
          </w:p>
        </w:tc>
        <w:tc>
          <w:tcPr>
            <w:tcW w:w="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297C1EB5" w14:textId="77777777">
            <w:pPr>
              <w:jc w:val="right"/>
              <w:rPr>
                <w:rFonts w:ascii="Calibri" w:hAnsi="Calibri" w:cs="Calibri"/>
                <w:sz w:val="16"/>
                <w:szCs w:val="16"/>
              </w:rPr>
            </w:pPr>
            <w:r w:rsidRPr="00C47E03">
              <w:rPr>
                <w:rFonts w:ascii="Calibri" w:hAnsi="Calibri" w:cs="Calibri"/>
                <w:sz w:val="16"/>
                <w:szCs w:val="16"/>
              </w:rPr>
              <w:t>0</w:t>
            </w:r>
          </w:p>
        </w:tc>
        <w:tc>
          <w:tcPr>
            <w:tcW w:w="959"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19B2C0A6" w14:textId="77777777">
            <w:pPr>
              <w:jc w:val="right"/>
              <w:rPr>
                <w:rFonts w:ascii="Calibri" w:hAnsi="Calibri" w:cs="Calibri"/>
                <w:sz w:val="16"/>
                <w:szCs w:val="16"/>
              </w:rPr>
            </w:pPr>
            <w:r w:rsidRPr="00C47E03">
              <w:rPr>
                <w:rFonts w:ascii="Calibri" w:hAnsi="Calibri" w:cs="Calibri"/>
                <w:sz w:val="16"/>
                <w:szCs w:val="16"/>
              </w:rPr>
              <w:t xml:space="preserve"> $            -   </w:t>
            </w:r>
          </w:p>
        </w:tc>
        <w:tc>
          <w:tcPr>
            <w:tcW w:w="810"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C47E03" w:rsidRPr="00C47E03" w:rsidP="00C47E03" w14:paraId="7995714D" w14:textId="77777777">
            <w:pPr>
              <w:jc w:val="right"/>
              <w:rPr>
                <w:rFonts w:ascii="Calibri" w:hAnsi="Calibri" w:cs="Calibri"/>
                <w:b/>
                <w:bCs/>
                <w:sz w:val="16"/>
                <w:szCs w:val="16"/>
              </w:rPr>
            </w:pPr>
            <w:r w:rsidRPr="00C47E03">
              <w:rPr>
                <w:rFonts w:ascii="Calibri" w:hAnsi="Calibri" w:cs="Calibri"/>
                <w:b/>
                <w:bCs/>
                <w:sz w:val="16"/>
                <w:szCs w:val="16"/>
              </w:rPr>
              <w:t>9,513.50</w:t>
            </w:r>
          </w:p>
        </w:tc>
        <w:tc>
          <w:tcPr>
            <w:tcW w:w="990"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C47E03" w:rsidRPr="00C47E03" w:rsidP="00C47E03" w14:paraId="75287E5F" w14:textId="671E0D20">
            <w:pPr>
              <w:jc w:val="right"/>
              <w:rPr>
                <w:rFonts w:ascii="Calibri" w:hAnsi="Calibri" w:cs="Calibri"/>
                <w:b/>
                <w:bCs/>
                <w:sz w:val="16"/>
                <w:szCs w:val="16"/>
              </w:rPr>
            </w:pPr>
            <w:r w:rsidRPr="00C47E03">
              <w:rPr>
                <w:rFonts w:ascii="Calibri" w:hAnsi="Calibri" w:cs="Calibri"/>
                <w:b/>
                <w:bCs/>
                <w:sz w:val="16"/>
                <w:szCs w:val="16"/>
              </w:rPr>
              <w:t xml:space="preserve"> $   678,518 </w:t>
            </w:r>
          </w:p>
        </w:tc>
      </w:tr>
      <w:tr w14:paraId="7AAD0234" w14:textId="77777777" w:rsidTr="00C47E03">
        <w:tblPrEx>
          <w:tblW w:w="14660" w:type="dxa"/>
          <w:jc w:val="center"/>
          <w:tblLayout w:type="fixed"/>
          <w:tblLook w:val="04A0"/>
        </w:tblPrEx>
        <w:trPr>
          <w:trHeight w:val="378"/>
          <w:jc w:val="center"/>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C47E03" w:rsidRPr="00C47E03" w:rsidP="00C47E03" w14:paraId="60D78E78" w14:textId="77777777">
            <w:pPr>
              <w:jc w:val="right"/>
              <w:rPr>
                <w:rFonts w:ascii="Calibri" w:hAnsi="Calibri" w:cs="Calibri"/>
                <w:color w:val="000000"/>
                <w:sz w:val="16"/>
                <w:szCs w:val="16"/>
              </w:rPr>
            </w:pPr>
            <w:r w:rsidRPr="00C47E03">
              <w:rPr>
                <w:rFonts w:ascii="Calibri" w:hAnsi="Calibri" w:cs="Calibri"/>
                <w:color w:val="000000"/>
                <w:sz w:val="16"/>
                <w:szCs w:val="16"/>
              </w:rPr>
              <w:t>Respondents: 19,027</w:t>
            </w:r>
          </w:p>
        </w:tc>
        <w:tc>
          <w:tcPr>
            <w:tcW w:w="994" w:type="dxa"/>
            <w:vMerge/>
            <w:tcBorders>
              <w:top w:val="nil"/>
              <w:left w:val="single" w:sz="8" w:space="0" w:color="auto"/>
              <w:bottom w:val="single" w:sz="4" w:space="0" w:color="auto"/>
              <w:right w:val="single" w:sz="4" w:space="0" w:color="auto"/>
            </w:tcBorders>
            <w:vAlign w:val="center"/>
            <w:hideMark/>
          </w:tcPr>
          <w:p w:rsidR="00C47E03" w:rsidRPr="00C47E03" w:rsidP="00C47E03" w14:paraId="4881843C" w14:textId="77777777">
            <w:pPr>
              <w:jc w:val="right"/>
              <w:rPr>
                <w:rFonts w:ascii="Calibri" w:hAnsi="Calibri" w:cs="Calibri"/>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C47E03" w:rsidRPr="00C47E03" w:rsidP="00C47E03" w14:paraId="2BBAC831" w14:textId="77777777">
            <w:pPr>
              <w:jc w:val="right"/>
              <w:rPr>
                <w:rFonts w:ascii="Calibri" w:hAnsi="Calibri" w:cs="Calibri"/>
                <w:sz w:val="16"/>
                <w:szCs w:val="16"/>
              </w:rPr>
            </w:pPr>
          </w:p>
        </w:tc>
        <w:tc>
          <w:tcPr>
            <w:tcW w:w="1170" w:type="dxa"/>
            <w:vMerge/>
            <w:tcBorders>
              <w:top w:val="nil"/>
              <w:left w:val="single" w:sz="4" w:space="0" w:color="auto"/>
              <w:bottom w:val="single" w:sz="4" w:space="0" w:color="auto"/>
              <w:right w:val="single" w:sz="8" w:space="0" w:color="auto"/>
            </w:tcBorders>
            <w:vAlign w:val="center"/>
            <w:hideMark/>
          </w:tcPr>
          <w:p w:rsidR="00C47E03" w:rsidRPr="00C47E03" w:rsidP="00C47E03" w14:paraId="379EC3D6" w14:textId="77777777">
            <w:pPr>
              <w:jc w:val="right"/>
              <w:rPr>
                <w:rFonts w:ascii="Calibri" w:hAnsi="Calibri" w:cs="Calibri"/>
                <w:sz w:val="16"/>
                <w:szCs w:val="16"/>
              </w:rPr>
            </w:pPr>
          </w:p>
        </w:tc>
        <w:tc>
          <w:tcPr>
            <w:tcW w:w="990" w:type="dxa"/>
            <w:vMerge/>
            <w:tcBorders>
              <w:top w:val="nil"/>
              <w:left w:val="single" w:sz="8" w:space="0" w:color="auto"/>
              <w:bottom w:val="single" w:sz="4" w:space="0" w:color="auto"/>
              <w:right w:val="single" w:sz="4" w:space="0" w:color="auto"/>
            </w:tcBorders>
            <w:vAlign w:val="center"/>
            <w:hideMark/>
          </w:tcPr>
          <w:p w:rsidR="00C47E03" w:rsidRPr="00C47E03" w:rsidP="00C47E03" w14:paraId="60CBBFE2" w14:textId="77777777">
            <w:pPr>
              <w:jc w:val="right"/>
              <w:rPr>
                <w:rFonts w:ascii="Calibri" w:hAnsi="Calibri" w:cs="Calibri"/>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47E03" w:rsidRPr="00C47E03" w:rsidP="00C47E03" w14:paraId="038D2476" w14:textId="77777777">
            <w:pPr>
              <w:jc w:val="right"/>
              <w:rPr>
                <w:rFonts w:ascii="Calibri" w:hAnsi="Calibri" w:cs="Calibri"/>
                <w:sz w:val="16"/>
                <w:szCs w:val="16"/>
              </w:rPr>
            </w:pPr>
          </w:p>
        </w:tc>
        <w:tc>
          <w:tcPr>
            <w:tcW w:w="1080" w:type="dxa"/>
            <w:vMerge/>
            <w:tcBorders>
              <w:top w:val="nil"/>
              <w:left w:val="single" w:sz="4" w:space="0" w:color="auto"/>
              <w:bottom w:val="single" w:sz="4" w:space="0" w:color="auto"/>
              <w:right w:val="single" w:sz="8" w:space="0" w:color="auto"/>
            </w:tcBorders>
            <w:vAlign w:val="center"/>
            <w:hideMark/>
          </w:tcPr>
          <w:p w:rsidR="00C47E03" w:rsidRPr="00C47E03" w:rsidP="00C47E03" w14:paraId="58BC70CC" w14:textId="77777777">
            <w:pPr>
              <w:jc w:val="right"/>
              <w:rPr>
                <w:rFonts w:ascii="Calibri" w:hAnsi="Calibri" w:cs="Calibri"/>
                <w:sz w:val="16"/>
                <w:szCs w:val="16"/>
              </w:rPr>
            </w:pPr>
          </w:p>
        </w:tc>
        <w:tc>
          <w:tcPr>
            <w:tcW w:w="900" w:type="dxa"/>
            <w:vMerge/>
            <w:tcBorders>
              <w:top w:val="nil"/>
              <w:left w:val="single" w:sz="8" w:space="0" w:color="auto"/>
              <w:bottom w:val="single" w:sz="4" w:space="0" w:color="auto"/>
              <w:right w:val="single" w:sz="4" w:space="0" w:color="auto"/>
            </w:tcBorders>
            <w:vAlign w:val="center"/>
            <w:hideMark/>
          </w:tcPr>
          <w:p w:rsidR="00C47E03" w:rsidRPr="00C47E03" w:rsidP="00C47E03" w14:paraId="50402936" w14:textId="77777777">
            <w:pPr>
              <w:jc w:val="right"/>
              <w:rPr>
                <w:rFonts w:ascii="Calibri" w:hAnsi="Calibri" w:cs="Calibri"/>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47E03" w:rsidRPr="00C47E03" w:rsidP="00C47E03" w14:paraId="4879D40F" w14:textId="77777777">
            <w:pPr>
              <w:jc w:val="right"/>
              <w:rPr>
                <w:rFonts w:ascii="Calibri" w:hAnsi="Calibri" w:cs="Calibri"/>
                <w:sz w:val="16"/>
                <w:szCs w:val="16"/>
              </w:rPr>
            </w:pPr>
          </w:p>
        </w:tc>
        <w:tc>
          <w:tcPr>
            <w:tcW w:w="900" w:type="dxa"/>
            <w:vMerge/>
            <w:tcBorders>
              <w:top w:val="nil"/>
              <w:left w:val="single" w:sz="4" w:space="0" w:color="auto"/>
              <w:bottom w:val="single" w:sz="4" w:space="0" w:color="auto"/>
              <w:right w:val="single" w:sz="8" w:space="0" w:color="auto"/>
            </w:tcBorders>
            <w:vAlign w:val="center"/>
            <w:hideMark/>
          </w:tcPr>
          <w:p w:rsidR="00C47E03" w:rsidRPr="00C47E03" w:rsidP="00C47E03" w14:paraId="04C91C51" w14:textId="77777777">
            <w:pPr>
              <w:jc w:val="right"/>
              <w:rPr>
                <w:rFonts w:ascii="Calibri" w:hAnsi="Calibri" w:cs="Calibri"/>
                <w:sz w:val="16"/>
                <w:szCs w:val="16"/>
              </w:rPr>
            </w:pPr>
          </w:p>
        </w:tc>
        <w:tc>
          <w:tcPr>
            <w:tcW w:w="900" w:type="dxa"/>
            <w:vMerge/>
            <w:tcBorders>
              <w:top w:val="nil"/>
              <w:left w:val="single" w:sz="8" w:space="0" w:color="auto"/>
              <w:bottom w:val="single" w:sz="4" w:space="0" w:color="auto"/>
              <w:right w:val="single" w:sz="4" w:space="0" w:color="auto"/>
            </w:tcBorders>
            <w:vAlign w:val="center"/>
            <w:hideMark/>
          </w:tcPr>
          <w:p w:rsidR="00C47E03" w:rsidRPr="00C47E03" w:rsidP="00C47E03" w14:paraId="3250133D" w14:textId="77777777">
            <w:pPr>
              <w:jc w:val="right"/>
              <w:rPr>
                <w:rFonts w:ascii="Calibri" w:hAnsi="Calibri" w:cs="Calibri"/>
                <w:sz w:val="16"/>
                <w:szCs w:val="16"/>
              </w:rPr>
            </w:pPr>
          </w:p>
        </w:tc>
        <w:tc>
          <w:tcPr>
            <w:tcW w:w="661" w:type="dxa"/>
            <w:vMerge/>
            <w:tcBorders>
              <w:top w:val="nil"/>
              <w:left w:val="single" w:sz="4" w:space="0" w:color="auto"/>
              <w:bottom w:val="single" w:sz="4" w:space="0" w:color="auto"/>
              <w:right w:val="single" w:sz="4" w:space="0" w:color="auto"/>
            </w:tcBorders>
            <w:vAlign w:val="center"/>
            <w:hideMark/>
          </w:tcPr>
          <w:p w:rsidR="00C47E03" w:rsidRPr="00C47E03" w:rsidP="00C47E03" w14:paraId="44FECD66" w14:textId="77777777">
            <w:pPr>
              <w:jc w:val="right"/>
              <w:rPr>
                <w:rFonts w:ascii="Calibri" w:hAnsi="Calibri" w:cs="Calibri"/>
                <w:sz w:val="16"/>
                <w:szCs w:val="16"/>
              </w:rPr>
            </w:pPr>
          </w:p>
        </w:tc>
        <w:tc>
          <w:tcPr>
            <w:tcW w:w="959" w:type="dxa"/>
            <w:vMerge/>
            <w:tcBorders>
              <w:top w:val="nil"/>
              <w:left w:val="single" w:sz="4" w:space="0" w:color="auto"/>
              <w:bottom w:val="single" w:sz="4" w:space="0" w:color="auto"/>
              <w:right w:val="single" w:sz="8" w:space="0" w:color="auto"/>
            </w:tcBorders>
            <w:vAlign w:val="center"/>
            <w:hideMark/>
          </w:tcPr>
          <w:p w:rsidR="00C47E03" w:rsidRPr="00C47E03" w:rsidP="00C47E03" w14:paraId="7E1A8B68" w14:textId="77777777">
            <w:pPr>
              <w:jc w:val="right"/>
              <w:rPr>
                <w:rFonts w:ascii="Calibri" w:hAnsi="Calibri" w:cs="Calibri"/>
                <w:sz w:val="16"/>
                <w:szCs w:val="16"/>
              </w:rPr>
            </w:pPr>
          </w:p>
        </w:tc>
        <w:tc>
          <w:tcPr>
            <w:tcW w:w="810" w:type="dxa"/>
            <w:vMerge/>
            <w:tcBorders>
              <w:top w:val="nil"/>
              <w:left w:val="single" w:sz="8" w:space="0" w:color="auto"/>
              <w:bottom w:val="single" w:sz="4" w:space="0" w:color="auto"/>
              <w:right w:val="single" w:sz="8" w:space="0" w:color="auto"/>
            </w:tcBorders>
            <w:vAlign w:val="center"/>
            <w:hideMark/>
          </w:tcPr>
          <w:p w:rsidR="00C47E03" w:rsidRPr="00C47E03" w:rsidP="00C47E03" w14:paraId="5B630E50" w14:textId="77777777">
            <w:pPr>
              <w:jc w:val="right"/>
              <w:rPr>
                <w:rFonts w:ascii="Calibri" w:hAnsi="Calibri" w:cs="Calibri"/>
                <w:b/>
                <w:bCs/>
                <w:sz w:val="16"/>
                <w:szCs w:val="16"/>
              </w:rPr>
            </w:pPr>
          </w:p>
        </w:tc>
        <w:tc>
          <w:tcPr>
            <w:tcW w:w="990" w:type="dxa"/>
            <w:vMerge/>
            <w:tcBorders>
              <w:top w:val="nil"/>
              <w:left w:val="single" w:sz="8" w:space="0" w:color="auto"/>
              <w:bottom w:val="single" w:sz="4" w:space="0" w:color="auto"/>
              <w:right w:val="single" w:sz="8" w:space="0" w:color="auto"/>
            </w:tcBorders>
            <w:vAlign w:val="center"/>
            <w:hideMark/>
          </w:tcPr>
          <w:p w:rsidR="00C47E03" w:rsidRPr="00C47E03" w:rsidP="00C47E03" w14:paraId="022904E2" w14:textId="77777777">
            <w:pPr>
              <w:jc w:val="right"/>
              <w:rPr>
                <w:rFonts w:ascii="Calibri" w:hAnsi="Calibri" w:cs="Calibri"/>
                <w:b/>
                <w:bCs/>
                <w:sz w:val="16"/>
                <w:szCs w:val="16"/>
              </w:rPr>
            </w:pPr>
          </w:p>
        </w:tc>
      </w:tr>
      <w:tr w14:paraId="3B0F861B" w14:textId="77777777" w:rsidTr="00C47E03">
        <w:tblPrEx>
          <w:tblW w:w="14660" w:type="dxa"/>
          <w:jc w:val="center"/>
          <w:tblLayout w:type="fixed"/>
          <w:tblLook w:val="04A0"/>
        </w:tblPrEx>
        <w:trPr>
          <w:trHeight w:val="666"/>
          <w:jc w:val="center"/>
        </w:trPr>
        <w:tc>
          <w:tcPr>
            <w:tcW w:w="1156" w:type="dxa"/>
            <w:tcBorders>
              <w:top w:val="nil"/>
              <w:left w:val="single" w:sz="8" w:space="0" w:color="auto"/>
              <w:bottom w:val="nil"/>
              <w:right w:val="single" w:sz="8" w:space="0" w:color="auto"/>
            </w:tcBorders>
            <w:shd w:val="clear" w:color="auto" w:fill="auto"/>
            <w:vAlign w:val="center"/>
            <w:hideMark/>
          </w:tcPr>
          <w:p w:rsidR="00C47E03" w:rsidRPr="00C47E03" w:rsidP="00C47E03" w14:paraId="5A3A7642" w14:textId="77777777">
            <w:pPr>
              <w:rPr>
                <w:rFonts w:ascii="Calibri" w:hAnsi="Calibri" w:cs="Calibri"/>
                <w:color w:val="000000"/>
                <w:sz w:val="16"/>
                <w:szCs w:val="16"/>
                <w:u w:val="single"/>
              </w:rPr>
            </w:pPr>
            <w:r w:rsidRPr="00C47E03">
              <w:rPr>
                <w:rFonts w:ascii="Calibri" w:hAnsi="Calibri" w:cs="Calibri"/>
                <w:color w:val="000000"/>
                <w:sz w:val="16"/>
                <w:szCs w:val="16"/>
                <w:u w:val="single"/>
              </w:rPr>
              <w:t>b.  Develop recordkeeping system and procedures</w:t>
            </w:r>
          </w:p>
        </w:tc>
        <w:tc>
          <w:tcPr>
            <w:tcW w:w="994"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0FD7AC01" w14:textId="77777777">
            <w:pPr>
              <w:jc w:val="right"/>
              <w:rPr>
                <w:rFonts w:ascii="Calibri" w:hAnsi="Calibri" w:cs="Calibri"/>
                <w:sz w:val="16"/>
                <w:szCs w:val="16"/>
              </w:rPr>
            </w:pPr>
            <w:r w:rsidRPr="00C47E03">
              <w:rPr>
                <w:rFonts w:ascii="Calibri" w:hAnsi="Calibri" w:cs="Calibri"/>
                <w:sz w:val="16"/>
                <w:szCs w:val="16"/>
              </w:rPr>
              <w:t>0.05</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5FEE56A9" w14:textId="77777777">
            <w:pPr>
              <w:jc w:val="right"/>
              <w:rPr>
                <w:rFonts w:ascii="Calibri" w:hAnsi="Calibri" w:cs="Calibri"/>
                <w:sz w:val="16"/>
                <w:szCs w:val="16"/>
              </w:rPr>
            </w:pPr>
            <w:r w:rsidRPr="00C47E03">
              <w:rPr>
                <w:rFonts w:ascii="Calibri" w:hAnsi="Calibri" w:cs="Calibri"/>
                <w:sz w:val="16"/>
                <w:szCs w:val="16"/>
              </w:rPr>
              <w:t>40</w:t>
            </w:r>
          </w:p>
        </w:tc>
        <w:tc>
          <w:tcPr>
            <w:tcW w:w="117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557F895B" w14:textId="5E319B73">
            <w:pPr>
              <w:jc w:val="right"/>
              <w:rPr>
                <w:rFonts w:ascii="Calibri" w:hAnsi="Calibri" w:cs="Calibri"/>
                <w:sz w:val="16"/>
                <w:szCs w:val="16"/>
              </w:rPr>
            </w:pPr>
            <w:r w:rsidRPr="00C47E03">
              <w:rPr>
                <w:rFonts w:ascii="Calibri" w:hAnsi="Calibri" w:cs="Calibri"/>
                <w:sz w:val="16"/>
                <w:szCs w:val="16"/>
              </w:rPr>
              <w:t xml:space="preserve"> $            4,502 </w:t>
            </w:r>
          </w:p>
        </w:tc>
        <w:tc>
          <w:tcPr>
            <w:tcW w:w="99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18C53A7C" w14:textId="77777777">
            <w:pPr>
              <w:jc w:val="right"/>
              <w:rPr>
                <w:rFonts w:ascii="Calibri" w:hAnsi="Calibri" w:cs="Calibri"/>
                <w:sz w:val="16"/>
                <w:szCs w:val="16"/>
              </w:rPr>
            </w:pPr>
            <w:r w:rsidRPr="00C47E03">
              <w:rPr>
                <w:rFonts w:ascii="Calibri" w:hAnsi="Calibri" w:cs="Calibri"/>
                <w:sz w:val="16"/>
                <w:szCs w:val="16"/>
              </w:rPr>
              <w:t xml:space="preserve">          0.20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61615307" w14:textId="77777777">
            <w:pPr>
              <w:jc w:val="right"/>
              <w:rPr>
                <w:rFonts w:ascii="Calibri" w:hAnsi="Calibri" w:cs="Calibri"/>
                <w:sz w:val="16"/>
                <w:szCs w:val="16"/>
              </w:rPr>
            </w:pPr>
            <w:r w:rsidRPr="00C47E03">
              <w:rPr>
                <w:rFonts w:ascii="Calibri" w:hAnsi="Calibri" w:cs="Calibri"/>
                <w:sz w:val="16"/>
                <w:szCs w:val="16"/>
              </w:rPr>
              <w:t>162</w:t>
            </w:r>
          </w:p>
        </w:tc>
        <w:tc>
          <w:tcPr>
            <w:tcW w:w="108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6DBB2548" w14:textId="77777777">
            <w:pPr>
              <w:jc w:val="right"/>
              <w:rPr>
                <w:rFonts w:ascii="Calibri" w:hAnsi="Calibri" w:cs="Calibri"/>
                <w:sz w:val="16"/>
                <w:szCs w:val="16"/>
              </w:rPr>
            </w:pPr>
            <w:r w:rsidRPr="00C47E03">
              <w:rPr>
                <w:rFonts w:ascii="Calibri" w:hAnsi="Calibri" w:cs="Calibri"/>
                <w:sz w:val="16"/>
                <w:szCs w:val="16"/>
              </w:rPr>
              <w:t xml:space="preserve"> $         9,905 </w:t>
            </w:r>
          </w:p>
        </w:tc>
        <w:tc>
          <w:tcPr>
            <w:tcW w:w="90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3F923105" w14:textId="77777777">
            <w:pPr>
              <w:jc w:val="right"/>
              <w:rPr>
                <w:rFonts w:ascii="Calibri" w:hAnsi="Calibri" w:cs="Calibri"/>
                <w:sz w:val="16"/>
                <w:szCs w:val="16"/>
              </w:rPr>
            </w:pPr>
            <w:r w:rsidRPr="00C47E03">
              <w:rPr>
                <w:rFonts w:ascii="Calibri" w:hAnsi="Calibri" w:cs="Calibri"/>
                <w:sz w:val="16"/>
                <w:szCs w:val="16"/>
              </w:rPr>
              <w:t>0.75</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666F5C03" w14:textId="77777777">
            <w:pPr>
              <w:jc w:val="right"/>
              <w:rPr>
                <w:rFonts w:ascii="Calibri" w:hAnsi="Calibri" w:cs="Calibri"/>
                <w:sz w:val="16"/>
                <w:szCs w:val="16"/>
              </w:rPr>
            </w:pPr>
            <w:r w:rsidRPr="00C47E03">
              <w:rPr>
                <w:rFonts w:ascii="Calibri" w:hAnsi="Calibri" w:cs="Calibri"/>
                <w:sz w:val="16"/>
                <w:szCs w:val="16"/>
              </w:rPr>
              <w:t>606</w:t>
            </w:r>
          </w:p>
        </w:tc>
        <w:tc>
          <w:tcPr>
            <w:tcW w:w="90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5929DF11" w14:textId="77777777">
            <w:pPr>
              <w:jc w:val="right"/>
              <w:rPr>
                <w:rFonts w:ascii="Calibri" w:hAnsi="Calibri" w:cs="Calibri"/>
                <w:sz w:val="16"/>
                <w:szCs w:val="16"/>
              </w:rPr>
            </w:pPr>
            <w:r w:rsidRPr="00C47E03">
              <w:rPr>
                <w:rFonts w:ascii="Calibri" w:hAnsi="Calibri" w:cs="Calibri"/>
                <w:sz w:val="16"/>
                <w:szCs w:val="16"/>
              </w:rPr>
              <w:t xml:space="preserve"> $   43,351 </w:t>
            </w:r>
          </w:p>
        </w:tc>
        <w:tc>
          <w:tcPr>
            <w:tcW w:w="90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47E03" w:rsidRPr="00C47E03" w:rsidP="00C47E03" w14:paraId="365F724F" w14:textId="77777777">
            <w:pPr>
              <w:jc w:val="right"/>
              <w:rPr>
                <w:rFonts w:ascii="Calibri" w:hAnsi="Calibri" w:cs="Calibri"/>
                <w:sz w:val="16"/>
                <w:szCs w:val="16"/>
              </w:rPr>
            </w:pPr>
            <w:r w:rsidRPr="00C47E03">
              <w:rPr>
                <w:rFonts w:ascii="Calibri" w:hAnsi="Calibri" w:cs="Calibri"/>
                <w:sz w:val="16"/>
                <w:szCs w:val="16"/>
              </w:rPr>
              <w:t>0</w:t>
            </w:r>
          </w:p>
        </w:tc>
        <w:tc>
          <w:tcPr>
            <w:tcW w:w="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E03" w:rsidRPr="00C47E03" w:rsidP="00C47E03" w14:paraId="06B10018" w14:textId="77777777">
            <w:pPr>
              <w:jc w:val="right"/>
              <w:rPr>
                <w:rFonts w:ascii="Calibri" w:hAnsi="Calibri" w:cs="Calibri"/>
                <w:sz w:val="16"/>
                <w:szCs w:val="16"/>
              </w:rPr>
            </w:pPr>
            <w:r w:rsidRPr="00C47E03">
              <w:rPr>
                <w:rFonts w:ascii="Calibri" w:hAnsi="Calibri" w:cs="Calibri"/>
                <w:sz w:val="16"/>
                <w:szCs w:val="16"/>
              </w:rPr>
              <w:t>0</w:t>
            </w:r>
          </w:p>
        </w:tc>
        <w:tc>
          <w:tcPr>
            <w:tcW w:w="959"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47E03" w:rsidRPr="00C47E03" w:rsidP="00C47E03" w14:paraId="4F5D3F75" w14:textId="77777777">
            <w:pPr>
              <w:jc w:val="right"/>
              <w:rPr>
                <w:rFonts w:ascii="Calibri" w:hAnsi="Calibri" w:cs="Calibri"/>
                <w:sz w:val="16"/>
                <w:szCs w:val="16"/>
              </w:rPr>
            </w:pPr>
            <w:r w:rsidRPr="00C47E03">
              <w:rPr>
                <w:rFonts w:ascii="Calibri" w:hAnsi="Calibri" w:cs="Calibri"/>
                <w:sz w:val="16"/>
                <w:szCs w:val="16"/>
              </w:rPr>
              <w:t xml:space="preserve"> $            -   </w:t>
            </w:r>
          </w:p>
        </w:tc>
        <w:tc>
          <w:tcPr>
            <w:tcW w:w="810"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C47E03" w:rsidRPr="00C47E03" w:rsidP="00C47E03" w14:paraId="475841D2" w14:textId="77777777">
            <w:pPr>
              <w:jc w:val="right"/>
              <w:rPr>
                <w:rFonts w:ascii="Calibri" w:hAnsi="Calibri" w:cs="Calibri"/>
                <w:b/>
                <w:bCs/>
                <w:sz w:val="16"/>
                <w:szCs w:val="16"/>
              </w:rPr>
            </w:pPr>
            <w:r w:rsidRPr="00C47E03">
              <w:rPr>
                <w:rFonts w:ascii="Calibri" w:hAnsi="Calibri" w:cs="Calibri"/>
                <w:b/>
                <w:bCs/>
                <w:sz w:val="16"/>
                <w:szCs w:val="16"/>
              </w:rPr>
              <w:t>808.00</w:t>
            </w:r>
          </w:p>
        </w:tc>
        <w:tc>
          <w:tcPr>
            <w:tcW w:w="990"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C47E03" w:rsidRPr="00C47E03" w:rsidP="00C47E03" w14:paraId="1FE1F8B9" w14:textId="06EA80EF">
            <w:pPr>
              <w:jc w:val="right"/>
              <w:rPr>
                <w:rFonts w:ascii="Calibri" w:hAnsi="Calibri" w:cs="Calibri"/>
                <w:b/>
                <w:bCs/>
                <w:sz w:val="16"/>
                <w:szCs w:val="16"/>
              </w:rPr>
            </w:pPr>
            <w:r w:rsidRPr="00C47E03">
              <w:rPr>
                <w:rFonts w:ascii="Calibri" w:hAnsi="Calibri" w:cs="Calibri"/>
                <w:b/>
                <w:bCs/>
                <w:sz w:val="16"/>
                <w:szCs w:val="16"/>
              </w:rPr>
              <w:t xml:space="preserve"> $     57,758 </w:t>
            </w:r>
          </w:p>
        </w:tc>
      </w:tr>
      <w:tr w14:paraId="055F23C7" w14:textId="77777777" w:rsidTr="00C47E03">
        <w:tblPrEx>
          <w:tblW w:w="14660" w:type="dxa"/>
          <w:jc w:val="center"/>
          <w:tblLayout w:type="fixed"/>
          <w:tblLook w:val="04A0"/>
        </w:tblPrEx>
        <w:trPr>
          <w:trHeight w:val="339"/>
          <w:jc w:val="center"/>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C47E03" w:rsidRPr="00C47E03" w:rsidP="00C47E03" w14:paraId="5D989CCA" w14:textId="77777777">
            <w:pPr>
              <w:jc w:val="right"/>
              <w:rPr>
                <w:rFonts w:ascii="Calibri" w:hAnsi="Calibri" w:cs="Calibri"/>
                <w:color w:val="000000"/>
                <w:sz w:val="16"/>
                <w:szCs w:val="16"/>
              </w:rPr>
            </w:pPr>
            <w:r w:rsidRPr="00C47E03">
              <w:rPr>
                <w:rFonts w:ascii="Calibri" w:hAnsi="Calibri" w:cs="Calibri"/>
                <w:color w:val="000000"/>
                <w:sz w:val="16"/>
                <w:szCs w:val="16"/>
              </w:rPr>
              <w:t>Respondents: 808</w:t>
            </w:r>
          </w:p>
        </w:tc>
        <w:tc>
          <w:tcPr>
            <w:tcW w:w="994" w:type="dxa"/>
            <w:vMerge/>
            <w:tcBorders>
              <w:top w:val="nil"/>
              <w:left w:val="single" w:sz="8" w:space="0" w:color="auto"/>
              <w:bottom w:val="single" w:sz="4" w:space="0" w:color="auto"/>
              <w:right w:val="single" w:sz="4" w:space="0" w:color="auto"/>
            </w:tcBorders>
            <w:vAlign w:val="center"/>
            <w:hideMark/>
          </w:tcPr>
          <w:p w:rsidR="00C47E03" w:rsidRPr="00C47E03" w:rsidP="00C47E03" w14:paraId="42C3C933" w14:textId="77777777">
            <w:pPr>
              <w:jc w:val="right"/>
              <w:rPr>
                <w:rFonts w:ascii="Calibri" w:hAnsi="Calibri" w:cs="Calibri"/>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C47E03" w:rsidRPr="00C47E03" w:rsidP="00C47E03" w14:paraId="6C0A7EDE" w14:textId="77777777">
            <w:pPr>
              <w:jc w:val="right"/>
              <w:rPr>
                <w:rFonts w:ascii="Calibri" w:hAnsi="Calibri" w:cs="Calibri"/>
                <w:sz w:val="16"/>
                <w:szCs w:val="16"/>
              </w:rPr>
            </w:pPr>
          </w:p>
        </w:tc>
        <w:tc>
          <w:tcPr>
            <w:tcW w:w="1170" w:type="dxa"/>
            <w:vMerge/>
            <w:tcBorders>
              <w:top w:val="nil"/>
              <w:left w:val="single" w:sz="4" w:space="0" w:color="auto"/>
              <w:bottom w:val="single" w:sz="4" w:space="0" w:color="auto"/>
              <w:right w:val="single" w:sz="8" w:space="0" w:color="auto"/>
            </w:tcBorders>
            <w:vAlign w:val="center"/>
            <w:hideMark/>
          </w:tcPr>
          <w:p w:rsidR="00C47E03" w:rsidRPr="00C47E03" w:rsidP="00C47E03" w14:paraId="69B20694" w14:textId="77777777">
            <w:pPr>
              <w:jc w:val="right"/>
              <w:rPr>
                <w:rFonts w:ascii="Calibri" w:hAnsi="Calibri" w:cs="Calibri"/>
                <w:sz w:val="16"/>
                <w:szCs w:val="16"/>
              </w:rPr>
            </w:pPr>
          </w:p>
        </w:tc>
        <w:tc>
          <w:tcPr>
            <w:tcW w:w="990" w:type="dxa"/>
            <w:vMerge/>
            <w:tcBorders>
              <w:top w:val="nil"/>
              <w:left w:val="single" w:sz="8" w:space="0" w:color="auto"/>
              <w:bottom w:val="single" w:sz="4" w:space="0" w:color="auto"/>
              <w:right w:val="single" w:sz="4" w:space="0" w:color="auto"/>
            </w:tcBorders>
            <w:vAlign w:val="center"/>
            <w:hideMark/>
          </w:tcPr>
          <w:p w:rsidR="00C47E03" w:rsidRPr="00C47E03" w:rsidP="00C47E03" w14:paraId="6DB34663" w14:textId="77777777">
            <w:pPr>
              <w:jc w:val="right"/>
              <w:rPr>
                <w:rFonts w:ascii="Calibri" w:hAnsi="Calibri" w:cs="Calibri"/>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47E03" w:rsidRPr="00C47E03" w:rsidP="00C47E03" w14:paraId="11A03004" w14:textId="77777777">
            <w:pPr>
              <w:jc w:val="right"/>
              <w:rPr>
                <w:rFonts w:ascii="Calibri" w:hAnsi="Calibri" w:cs="Calibri"/>
                <w:sz w:val="16"/>
                <w:szCs w:val="16"/>
              </w:rPr>
            </w:pPr>
          </w:p>
        </w:tc>
        <w:tc>
          <w:tcPr>
            <w:tcW w:w="1080" w:type="dxa"/>
            <w:vMerge/>
            <w:tcBorders>
              <w:top w:val="nil"/>
              <w:left w:val="single" w:sz="4" w:space="0" w:color="auto"/>
              <w:bottom w:val="single" w:sz="4" w:space="0" w:color="auto"/>
              <w:right w:val="single" w:sz="8" w:space="0" w:color="auto"/>
            </w:tcBorders>
            <w:vAlign w:val="center"/>
            <w:hideMark/>
          </w:tcPr>
          <w:p w:rsidR="00C47E03" w:rsidRPr="00C47E03" w:rsidP="00C47E03" w14:paraId="495EBA3B" w14:textId="77777777">
            <w:pPr>
              <w:jc w:val="right"/>
              <w:rPr>
                <w:rFonts w:ascii="Calibri" w:hAnsi="Calibri" w:cs="Calibri"/>
                <w:sz w:val="16"/>
                <w:szCs w:val="16"/>
              </w:rPr>
            </w:pPr>
          </w:p>
        </w:tc>
        <w:tc>
          <w:tcPr>
            <w:tcW w:w="900" w:type="dxa"/>
            <w:vMerge/>
            <w:tcBorders>
              <w:top w:val="nil"/>
              <w:left w:val="single" w:sz="8" w:space="0" w:color="auto"/>
              <w:bottom w:val="single" w:sz="4" w:space="0" w:color="auto"/>
              <w:right w:val="single" w:sz="4" w:space="0" w:color="auto"/>
            </w:tcBorders>
            <w:vAlign w:val="center"/>
            <w:hideMark/>
          </w:tcPr>
          <w:p w:rsidR="00C47E03" w:rsidRPr="00C47E03" w:rsidP="00C47E03" w14:paraId="521B4CCA" w14:textId="77777777">
            <w:pPr>
              <w:jc w:val="right"/>
              <w:rPr>
                <w:rFonts w:ascii="Calibri" w:hAnsi="Calibri" w:cs="Calibri"/>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47E03" w:rsidRPr="00C47E03" w:rsidP="00C47E03" w14:paraId="7C5DB5AC" w14:textId="77777777">
            <w:pPr>
              <w:jc w:val="right"/>
              <w:rPr>
                <w:rFonts w:ascii="Calibri" w:hAnsi="Calibri" w:cs="Calibri"/>
                <w:sz w:val="16"/>
                <w:szCs w:val="16"/>
              </w:rPr>
            </w:pPr>
          </w:p>
        </w:tc>
        <w:tc>
          <w:tcPr>
            <w:tcW w:w="900" w:type="dxa"/>
            <w:vMerge/>
            <w:tcBorders>
              <w:top w:val="nil"/>
              <w:left w:val="single" w:sz="4" w:space="0" w:color="auto"/>
              <w:bottom w:val="single" w:sz="4" w:space="0" w:color="auto"/>
              <w:right w:val="single" w:sz="8" w:space="0" w:color="auto"/>
            </w:tcBorders>
            <w:vAlign w:val="center"/>
            <w:hideMark/>
          </w:tcPr>
          <w:p w:rsidR="00C47E03" w:rsidRPr="00C47E03" w:rsidP="00C47E03" w14:paraId="320F94F3" w14:textId="77777777">
            <w:pPr>
              <w:jc w:val="right"/>
              <w:rPr>
                <w:rFonts w:ascii="Calibri" w:hAnsi="Calibri" w:cs="Calibri"/>
                <w:sz w:val="16"/>
                <w:szCs w:val="16"/>
              </w:rPr>
            </w:pPr>
          </w:p>
        </w:tc>
        <w:tc>
          <w:tcPr>
            <w:tcW w:w="900" w:type="dxa"/>
            <w:vMerge/>
            <w:tcBorders>
              <w:top w:val="nil"/>
              <w:left w:val="single" w:sz="8" w:space="0" w:color="auto"/>
              <w:bottom w:val="single" w:sz="4" w:space="0" w:color="auto"/>
              <w:right w:val="single" w:sz="4" w:space="0" w:color="auto"/>
            </w:tcBorders>
            <w:vAlign w:val="center"/>
            <w:hideMark/>
          </w:tcPr>
          <w:p w:rsidR="00C47E03" w:rsidRPr="00C47E03" w:rsidP="00C47E03" w14:paraId="1AD205B9" w14:textId="77777777">
            <w:pPr>
              <w:jc w:val="right"/>
              <w:rPr>
                <w:rFonts w:ascii="Calibri" w:hAnsi="Calibri" w:cs="Calibri"/>
                <w:sz w:val="16"/>
                <w:szCs w:val="16"/>
              </w:rPr>
            </w:pPr>
          </w:p>
        </w:tc>
        <w:tc>
          <w:tcPr>
            <w:tcW w:w="661" w:type="dxa"/>
            <w:vMerge/>
            <w:tcBorders>
              <w:top w:val="nil"/>
              <w:left w:val="single" w:sz="4" w:space="0" w:color="auto"/>
              <w:bottom w:val="single" w:sz="4" w:space="0" w:color="auto"/>
              <w:right w:val="single" w:sz="4" w:space="0" w:color="auto"/>
            </w:tcBorders>
            <w:vAlign w:val="center"/>
            <w:hideMark/>
          </w:tcPr>
          <w:p w:rsidR="00C47E03" w:rsidRPr="00C47E03" w:rsidP="00C47E03" w14:paraId="06323CB6" w14:textId="77777777">
            <w:pPr>
              <w:jc w:val="right"/>
              <w:rPr>
                <w:rFonts w:ascii="Calibri" w:hAnsi="Calibri" w:cs="Calibri"/>
                <w:sz w:val="16"/>
                <w:szCs w:val="16"/>
              </w:rPr>
            </w:pPr>
          </w:p>
        </w:tc>
        <w:tc>
          <w:tcPr>
            <w:tcW w:w="959" w:type="dxa"/>
            <w:vMerge/>
            <w:tcBorders>
              <w:top w:val="nil"/>
              <w:left w:val="single" w:sz="4" w:space="0" w:color="auto"/>
              <w:bottom w:val="single" w:sz="4" w:space="0" w:color="auto"/>
              <w:right w:val="single" w:sz="8" w:space="0" w:color="auto"/>
            </w:tcBorders>
            <w:vAlign w:val="center"/>
            <w:hideMark/>
          </w:tcPr>
          <w:p w:rsidR="00C47E03" w:rsidRPr="00C47E03" w:rsidP="00C47E03" w14:paraId="504FD5ED" w14:textId="77777777">
            <w:pPr>
              <w:jc w:val="right"/>
              <w:rPr>
                <w:rFonts w:ascii="Calibri" w:hAnsi="Calibri" w:cs="Calibri"/>
                <w:sz w:val="16"/>
                <w:szCs w:val="16"/>
              </w:rPr>
            </w:pPr>
          </w:p>
        </w:tc>
        <w:tc>
          <w:tcPr>
            <w:tcW w:w="810" w:type="dxa"/>
            <w:vMerge/>
            <w:tcBorders>
              <w:top w:val="nil"/>
              <w:left w:val="single" w:sz="8" w:space="0" w:color="auto"/>
              <w:bottom w:val="single" w:sz="4" w:space="0" w:color="auto"/>
              <w:right w:val="single" w:sz="8" w:space="0" w:color="auto"/>
            </w:tcBorders>
            <w:vAlign w:val="center"/>
            <w:hideMark/>
          </w:tcPr>
          <w:p w:rsidR="00C47E03" w:rsidRPr="00C47E03" w:rsidP="00C47E03" w14:paraId="21CECDB3" w14:textId="77777777">
            <w:pPr>
              <w:jc w:val="right"/>
              <w:rPr>
                <w:rFonts w:ascii="Calibri" w:hAnsi="Calibri" w:cs="Calibri"/>
                <w:b/>
                <w:bCs/>
                <w:sz w:val="16"/>
                <w:szCs w:val="16"/>
              </w:rPr>
            </w:pPr>
          </w:p>
        </w:tc>
        <w:tc>
          <w:tcPr>
            <w:tcW w:w="990" w:type="dxa"/>
            <w:vMerge/>
            <w:tcBorders>
              <w:top w:val="nil"/>
              <w:left w:val="single" w:sz="8" w:space="0" w:color="auto"/>
              <w:bottom w:val="single" w:sz="4" w:space="0" w:color="auto"/>
              <w:right w:val="single" w:sz="8" w:space="0" w:color="auto"/>
            </w:tcBorders>
            <w:vAlign w:val="center"/>
            <w:hideMark/>
          </w:tcPr>
          <w:p w:rsidR="00C47E03" w:rsidRPr="00C47E03" w:rsidP="00C47E03" w14:paraId="15B61563" w14:textId="77777777">
            <w:pPr>
              <w:jc w:val="right"/>
              <w:rPr>
                <w:rFonts w:ascii="Calibri" w:hAnsi="Calibri" w:cs="Calibri"/>
                <w:b/>
                <w:bCs/>
                <w:sz w:val="16"/>
                <w:szCs w:val="16"/>
              </w:rPr>
            </w:pPr>
          </w:p>
        </w:tc>
      </w:tr>
      <w:tr w14:paraId="5244D11F" w14:textId="77777777" w:rsidTr="00C47E03">
        <w:tblPrEx>
          <w:tblW w:w="14660" w:type="dxa"/>
          <w:jc w:val="center"/>
          <w:tblLayout w:type="fixed"/>
          <w:tblLook w:val="04A0"/>
        </w:tblPrEx>
        <w:trPr>
          <w:trHeight w:val="705"/>
          <w:jc w:val="center"/>
        </w:trPr>
        <w:tc>
          <w:tcPr>
            <w:tcW w:w="1156" w:type="dxa"/>
            <w:tcBorders>
              <w:top w:val="nil"/>
              <w:left w:val="single" w:sz="8" w:space="0" w:color="auto"/>
              <w:bottom w:val="nil"/>
              <w:right w:val="single" w:sz="8" w:space="0" w:color="auto"/>
            </w:tcBorders>
            <w:shd w:val="clear" w:color="auto" w:fill="auto"/>
            <w:vAlign w:val="center"/>
            <w:hideMark/>
          </w:tcPr>
          <w:p w:rsidR="00C47E03" w:rsidRPr="00C47E03" w:rsidP="00C47E03" w14:paraId="2DEC2E3C" w14:textId="77777777">
            <w:pPr>
              <w:rPr>
                <w:rFonts w:ascii="Calibri" w:hAnsi="Calibri" w:cs="Calibri"/>
                <w:color w:val="000000"/>
                <w:sz w:val="16"/>
                <w:szCs w:val="16"/>
                <w:u w:val="single"/>
              </w:rPr>
            </w:pPr>
            <w:r w:rsidRPr="00C47E03">
              <w:rPr>
                <w:rFonts w:ascii="Calibri" w:hAnsi="Calibri" w:cs="Calibri"/>
                <w:color w:val="000000"/>
                <w:sz w:val="16"/>
                <w:szCs w:val="16"/>
                <w:u w:val="single"/>
              </w:rPr>
              <w:t>c.  Store, File, or Maintain the Information</w:t>
            </w:r>
          </w:p>
        </w:tc>
        <w:tc>
          <w:tcPr>
            <w:tcW w:w="994" w:type="dxa"/>
            <w:vMerge w:val="restart"/>
            <w:tcBorders>
              <w:top w:val="nil"/>
              <w:left w:val="single" w:sz="8" w:space="0" w:color="auto"/>
              <w:bottom w:val="double" w:sz="6" w:space="0" w:color="000000"/>
              <w:right w:val="single" w:sz="4" w:space="0" w:color="auto"/>
            </w:tcBorders>
            <w:shd w:val="clear" w:color="auto" w:fill="auto"/>
            <w:noWrap/>
            <w:vAlign w:val="center"/>
            <w:hideMark/>
          </w:tcPr>
          <w:p w:rsidR="00C47E03" w:rsidRPr="00C47E03" w:rsidP="00C47E03" w14:paraId="58B67C54" w14:textId="77777777">
            <w:pPr>
              <w:jc w:val="right"/>
              <w:rPr>
                <w:rFonts w:ascii="Calibri" w:hAnsi="Calibri" w:cs="Calibri"/>
                <w:sz w:val="16"/>
                <w:szCs w:val="16"/>
              </w:rPr>
            </w:pPr>
            <w:r w:rsidRPr="00C47E03">
              <w:rPr>
                <w:rFonts w:ascii="Calibri" w:hAnsi="Calibri" w:cs="Calibri"/>
                <w:sz w:val="16"/>
                <w:szCs w:val="16"/>
              </w:rPr>
              <w:t>0</w:t>
            </w:r>
          </w:p>
        </w:tc>
        <w:tc>
          <w:tcPr>
            <w:tcW w:w="117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C47E03" w:rsidRPr="00C47E03" w:rsidP="00C47E03" w14:paraId="6BCC75C2" w14:textId="77777777">
            <w:pPr>
              <w:jc w:val="right"/>
              <w:rPr>
                <w:rFonts w:ascii="Calibri" w:hAnsi="Calibri" w:cs="Calibri"/>
                <w:sz w:val="16"/>
                <w:szCs w:val="16"/>
              </w:rPr>
            </w:pPr>
            <w:r w:rsidRPr="00C47E03">
              <w:rPr>
                <w:rFonts w:ascii="Calibri" w:hAnsi="Calibri" w:cs="Calibri"/>
                <w:sz w:val="16"/>
                <w:szCs w:val="16"/>
              </w:rPr>
              <w:t>0</w:t>
            </w:r>
          </w:p>
        </w:tc>
        <w:tc>
          <w:tcPr>
            <w:tcW w:w="1170" w:type="dxa"/>
            <w:vMerge w:val="restart"/>
            <w:tcBorders>
              <w:top w:val="nil"/>
              <w:left w:val="single" w:sz="4" w:space="0" w:color="auto"/>
              <w:bottom w:val="double" w:sz="6" w:space="0" w:color="000000"/>
              <w:right w:val="single" w:sz="8" w:space="0" w:color="auto"/>
            </w:tcBorders>
            <w:shd w:val="clear" w:color="auto" w:fill="auto"/>
            <w:noWrap/>
            <w:vAlign w:val="center"/>
            <w:hideMark/>
          </w:tcPr>
          <w:p w:rsidR="00C47E03" w:rsidRPr="00C47E03" w:rsidP="00C47E03" w14:paraId="1DCE8C1D" w14:textId="77777777">
            <w:pPr>
              <w:jc w:val="right"/>
              <w:rPr>
                <w:rFonts w:ascii="Calibri" w:hAnsi="Calibri" w:cs="Calibri"/>
                <w:sz w:val="16"/>
                <w:szCs w:val="16"/>
              </w:rPr>
            </w:pPr>
            <w:r w:rsidRPr="00C47E03">
              <w:rPr>
                <w:rFonts w:ascii="Calibri" w:hAnsi="Calibri" w:cs="Calibri"/>
                <w:sz w:val="16"/>
                <w:szCs w:val="16"/>
              </w:rPr>
              <w:t xml:space="preserve"> $                    -   </w:t>
            </w:r>
          </w:p>
        </w:tc>
        <w:tc>
          <w:tcPr>
            <w:tcW w:w="990" w:type="dxa"/>
            <w:vMerge w:val="restart"/>
            <w:tcBorders>
              <w:top w:val="nil"/>
              <w:left w:val="single" w:sz="8" w:space="0" w:color="auto"/>
              <w:bottom w:val="double" w:sz="6" w:space="0" w:color="000000"/>
              <w:right w:val="single" w:sz="4" w:space="0" w:color="auto"/>
            </w:tcBorders>
            <w:shd w:val="clear" w:color="auto" w:fill="auto"/>
            <w:noWrap/>
            <w:vAlign w:val="center"/>
            <w:hideMark/>
          </w:tcPr>
          <w:p w:rsidR="00C47E03" w:rsidRPr="00C47E03" w:rsidP="00C47E03" w14:paraId="17E1F919" w14:textId="77777777">
            <w:pPr>
              <w:jc w:val="right"/>
              <w:rPr>
                <w:rFonts w:ascii="Calibri" w:hAnsi="Calibri" w:cs="Calibri"/>
                <w:sz w:val="16"/>
                <w:szCs w:val="16"/>
              </w:rPr>
            </w:pPr>
            <w:r w:rsidRPr="00C47E03">
              <w:rPr>
                <w:rFonts w:ascii="Calibri" w:hAnsi="Calibri" w:cs="Calibri"/>
                <w:sz w:val="16"/>
                <w:szCs w:val="16"/>
              </w:rPr>
              <w:t>0</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C47E03" w:rsidRPr="00C47E03" w:rsidP="00C47E03" w14:paraId="531DEF46" w14:textId="77777777">
            <w:pPr>
              <w:jc w:val="right"/>
              <w:rPr>
                <w:rFonts w:ascii="Calibri" w:hAnsi="Calibri" w:cs="Calibri"/>
                <w:sz w:val="16"/>
                <w:szCs w:val="16"/>
              </w:rPr>
            </w:pPr>
            <w:r w:rsidRPr="00C47E03">
              <w:rPr>
                <w:rFonts w:ascii="Calibri" w:hAnsi="Calibri" w:cs="Calibri"/>
                <w:sz w:val="16"/>
                <w:szCs w:val="16"/>
              </w:rPr>
              <w:t>0</w:t>
            </w:r>
          </w:p>
        </w:tc>
        <w:tc>
          <w:tcPr>
            <w:tcW w:w="1080" w:type="dxa"/>
            <w:vMerge w:val="restart"/>
            <w:tcBorders>
              <w:top w:val="nil"/>
              <w:left w:val="single" w:sz="4" w:space="0" w:color="auto"/>
              <w:bottom w:val="double" w:sz="6" w:space="0" w:color="000000"/>
              <w:right w:val="single" w:sz="8" w:space="0" w:color="auto"/>
            </w:tcBorders>
            <w:shd w:val="clear" w:color="auto" w:fill="auto"/>
            <w:noWrap/>
            <w:vAlign w:val="center"/>
            <w:hideMark/>
          </w:tcPr>
          <w:p w:rsidR="00C47E03" w:rsidRPr="00C47E03" w:rsidP="00C47E03" w14:paraId="3E713D4D" w14:textId="77777777">
            <w:pPr>
              <w:jc w:val="right"/>
              <w:rPr>
                <w:rFonts w:ascii="Calibri" w:hAnsi="Calibri" w:cs="Calibri"/>
                <w:sz w:val="16"/>
                <w:szCs w:val="16"/>
              </w:rPr>
            </w:pPr>
            <w:r w:rsidRPr="00C47E03">
              <w:rPr>
                <w:rFonts w:ascii="Calibri" w:hAnsi="Calibri" w:cs="Calibri"/>
                <w:sz w:val="16"/>
                <w:szCs w:val="16"/>
              </w:rPr>
              <w:t xml:space="preserve"> $                -   </w:t>
            </w:r>
          </w:p>
        </w:tc>
        <w:tc>
          <w:tcPr>
            <w:tcW w:w="900" w:type="dxa"/>
            <w:vMerge w:val="restart"/>
            <w:tcBorders>
              <w:top w:val="nil"/>
              <w:left w:val="single" w:sz="8" w:space="0" w:color="auto"/>
              <w:bottom w:val="double" w:sz="6" w:space="0" w:color="000000"/>
              <w:right w:val="single" w:sz="4" w:space="0" w:color="auto"/>
            </w:tcBorders>
            <w:shd w:val="clear" w:color="auto" w:fill="auto"/>
            <w:noWrap/>
            <w:vAlign w:val="center"/>
            <w:hideMark/>
          </w:tcPr>
          <w:p w:rsidR="00C47E03" w:rsidRPr="00C47E03" w:rsidP="00C47E03" w14:paraId="194989E4" w14:textId="77777777">
            <w:pPr>
              <w:jc w:val="right"/>
              <w:rPr>
                <w:rFonts w:ascii="Calibri" w:hAnsi="Calibri" w:cs="Calibri"/>
                <w:sz w:val="16"/>
                <w:szCs w:val="16"/>
              </w:rPr>
            </w:pPr>
            <w:r w:rsidRPr="00C47E03">
              <w:rPr>
                <w:rFonts w:ascii="Calibri" w:hAnsi="Calibri" w:cs="Calibri"/>
                <w:sz w:val="16"/>
                <w:szCs w:val="16"/>
              </w:rPr>
              <w:t>0.05</w:t>
            </w:r>
          </w:p>
        </w:tc>
        <w:tc>
          <w:tcPr>
            <w:tcW w:w="90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C47E03" w:rsidRPr="00C47E03" w:rsidP="00C47E03" w14:paraId="353BBE47" w14:textId="77777777">
            <w:pPr>
              <w:jc w:val="right"/>
              <w:rPr>
                <w:rFonts w:ascii="Calibri" w:hAnsi="Calibri" w:cs="Calibri"/>
                <w:sz w:val="16"/>
                <w:szCs w:val="16"/>
              </w:rPr>
            </w:pPr>
            <w:r w:rsidRPr="00C47E03">
              <w:rPr>
                <w:rFonts w:ascii="Calibri" w:hAnsi="Calibri" w:cs="Calibri"/>
                <w:sz w:val="16"/>
                <w:szCs w:val="16"/>
              </w:rPr>
              <w:t>951</w:t>
            </w:r>
          </w:p>
        </w:tc>
        <w:tc>
          <w:tcPr>
            <w:tcW w:w="900" w:type="dxa"/>
            <w:vMerge w:val="restart"/>
            <w:tcBorders>
              <w:top w:val="nil"/>
              <w:left w:val="single" w:sz="4" w:space="0" w:color="auto"/>
              <w:bottom w:val="double" w:sz="6" w:space="0" w:color="000000"/>
              <w:right w:val="single" w:sz="8" w:space="0" w:color="auto"/>
            </w:tcBorders>
            <w:shd w:val="clear" w:color="auto" w:fill="auto"/>
            <w:noWrap/>
            <w:vAlign w:val="center"/>
            <w:hideMark/>
          </w:tcPr>
          <w:p w:rsidR="00C47E03" w:rsidRPr="00C47E03" w:rsidP="00C47E03" w14:paraId="4FFF8A73" w14:textId="77777777">
            <w:pPr>
              <w:jc w:val="right"/>
              <w:rPr>
                <w:rFonts w:ascii="Calibri" w:hAnsi="Calibri" w:cs="Calibri"/>
                <w:sz w:val="16"/>
                <w:szCs w:val="16"/>
              </w:rPr>
            </w:pPr>
            <w:r w:rsidRPr="00C47E03">
              <w:rPr>
                <w:rFonts w:ascii="Calibri" w:hAnsi="Calibri" w:cs="Calibri"/>
                <w:sz w:val="16"/>
                <w:szCs w:val="16"/>
              </w:rPr>
              <w:t xml:space="preserve"> $   68,056 </w:t>
            </w:r>
          </w:p>
        </w:tc>
        <w:tc>
          <w:tcPr>
            <w:tcW w:w="900" w:type="dxa"/>
            <w:vMerge w:val="restart"/>
            <w:tcBorders>
              <w:top w:val="nil"/>
              <w:left w:val="single" w:sz="8" w:space="0" w:color="auto"/>
              <w:bottom w:val="double" w:sz="6" w:space="0" w:color="000000"/>
              <w:right w:val="single" w:sz="4" w:space="0" w:color="auto"/>
            </w:tcBorders>
            <w:shd w:val="clear" w:color="auto" w:fill="auto"/>
            <w:noWrap/>
            <w:vAlign w:val="center"/>
            <w:hideMark/>
          </w:tcPr>
          <w:p w:rsidR="00C47E03" w:rsidRPr="00C47E03" w:rsidP="00C47E03" w14:paraId="196F43C2" w14:textId="77777777">
            <w:pPr>
              <w:jc w:val="right"/>
              <w:rPr>
                <w:rFonts w:ascii="Calibri" w:hAnsi="Calibri" w:cs="Calibri"/>
                <w:sz w:val="16"/>
                <w:szCs w:val="16"/>
              </w:rPr>
            </w:pPr>
            <w:r w:rsidRPr="00C47E03">
              <w:rPr>
                <w:rFonts w:ascii="Calibri" w:hAnsi="Calibri" w:cs="Calibri"/>
                <w:sz w:val="16"/>
                <w:szCs w:val="16"/>
              </w:rPr>
              <w:t>0.2</w:t>
            </w:r>
          </w:p>
        </w:tc>
        <w:tc>
          <w:tcPr>
            <w:tcW w:w="66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C47E03" w:rsidRPr="00C47E03" w:rsidP="00C47E03" w14:paraId="5C87251E" w14:textId="77777777">
            <w:pPr>
              <w:jc w:val="right"/>
              <w:rPr>
                <w:rFonts w:ascii="Calibri" w:hAnsi="Calibri" w:cs="Calibri"/>
                <w:sz w:val="16"/>
                <w:szCs w:val="16"/>
              </w:rPr>
            </w:pPr>
            <w:r w:rsidRPr="00C47E03">
              <w:rPr>
                <w:rFonts w:ascii="Calibri" w:hAnsi="Calibri" w:cs="Calibri"/>
                <w:sz w:val="16"/>
                <w:szCs w:val="16"/>
              </w:rPr>
              <w:t>3,805</w:t>
            </w:r>
          </w:p>
        </w:tc>
        <w:tc>
          <w:tcPr>
            <w:tcW w:w="959" w:type="dxa"/>
            <w:vMerge w:val="restart"/>
            <w:tcBorders>
              <w:top w:val="nil"/>
              <w:left w:val="single" w:sz="4" w:space="0" w:color="auto"/>
              <w:bottom w:val="double" w:sz="6" w:space="0" w:color="000000"/>
              <w:right w:val="single" w:sz="8" w:space="0" w:color="auto"/>
            </w:tcBorders>
            <w:shd w:val="clear" w:color="auto" w:fill="auto"/>
            <w:noWrap/>
            <w:vAlign w:val="center"/>
            <w:hideMark/>
          </w:tcPr>
          <w:p w:rsidR="00C47E03" w:rsidRPr="00C47E03" w:rsidP="00C47E03" w14:paraId="47A7E037" w14:textId="77777777">
            <w:pPr>
              <w:jc w:val="right"/>
              <w:rPr>
                <w:rFonts w:ascii="Calibri" w:hAnsi="Calibri" w:cs="Calibri"/>
                <w:sz w:val="16"/>
                <w:szCs w:val="16"/>
              </w:rPr>
            </w:pPr>
            <w:r w:rsidRPr="00C47E03">
              <w:rPr>
                <w:rFonts w:ascii="Calibri" w:hAnsi="Calibri" w:cs="Calibri"/>
                <w:sz w:val="16"/>
                <w:szCs w:val="16"/>
              </w:rPr>
              <w:t xml:space="preserve"> $ 105,333 </w:t>
            </w:r>
          </w:p>
        </w:tc>
        <w:tc>
          <w:tcPr>
            <w:tcW w:w="810" w:type="dxa"/>
            <w:vMerge w:val="restart"/>
            <w:tcBorders>
              <w:top w:val="nil"/>
              <w:left w:val="single" w:sz="8" w:space="0" w:color="auto"/>
              <w:bottom w:val="double" w:sz="6" w:space="0" w:color="000000"/>
              <w:right w:val="single" w:sz="8" w:space="0" w:color="auto"/>
            </w:tcBorders>
            <w:shd w:val="clear" w:color="auto" w:fill="auto"/>
            <w:noWrap/>
            <w:vAlign w:val="center"/>
            <w:hideMark/>
          </w:tcPr>
          <w:p w:rsidR="00C47E03" w:rsidRPr="00C47E03" w:rsidP="00C47E03" w14:paraId="0E51828A" w14:textId="77777777">
            <w:pPr>
              <w:jc w:val="right"/>
              <w:rPr>
                <w:rFonts w:ascii="Calibri" w:hAnsi="Calibri" w:cs="Calibri"/>
                <w:b/>
                <w:bCs/>
                <w:sz w:val="16"/>
                <w:szCs w:val="16"/>
              </w:rPr>
            </w:pPr>
            <w:r w:rsidRPr="00C47E03">
              <w:rPr>
                <w:rFonts w:ascii="Calibri" w:hAnsi="Calibri" w:cs="Calibri"/>
                <w:b/>
                <w:bCs/>
                <w:sz w:val="16"/>
                <w:szCs w:val="16"/>
              </w:rPr>
              <w:t>4,756.75</w:t>
            </w:r>
          </w:p>
        </w:tc>
        <w:tc>
          <w:tcPr>
            <w:tcW w:w="990" w:type="dxa"/>
            <w:vMerge w:val="restart"/>
            <w:tcBorders>
              <w:top w:val="nil"/>
              <w:left w:val="single" w:sz="8" w:space="0" w:color="auto"/>
              <w:bottom w:val="double" w:sz="6" w:space="0" w:color="000000"/>
              <w:right w:val="single" w:sz="8" w:space="0" w:color="auto"/>
            </w:tcBorders>
            <w:shd w:val="clear" w:color="auto" w:fill="auto"/>
            <w:noWrap/>
            <w:vAlign w:val="center"/>
            <w:hideMark/>
          </w:tcPr>
          <w:p w:rsidR="00C47E03" w:rsidRPr="00C47E03" w:rsidP="00C47E03" w14:paraId="68099277" w14:textId="6D611169">
            <w:pPr>
              <w:jc w:val="right"/>
              <w:rPr>
                <w:rFonts w:ascii="Calibri" w:hAnsi="Calibri" w:cs="Calibri"/>
                <w:b/>
                <w:bCs/>
                <w:sz w:val="16"/>
                <w:szCs w:val="16"/>
              </w:rPr>
            </w:pPr>
            <w:r w:rsidRPr="00C47E03">
              <w:rPr>
                <w:rFonts w:ascii="Calibri" w:hAnsi="Calibri" w:cs="Calibri"/>
                <w:b/>
                <w:bCs/>
                <w:sz w:val="16"/>
                <w:szCs w:val="16"/>
              </w:rPr>
              <w:t xml:space="preserve"> $   173,389 </w:t>
            </w:r>
          </w:p>
        </w:tc>
      </w:tr>
      <w:tr w14:paraId="2F513B22" w14:textId="77777777" w:rsidTr="00C47E03">
        <w:tblPrEx>
          <w:tblW w:w="14660" w:type="dxa"/>
          <w:jc w:val="center"/>
          <w:tblLayout w:type="fixed"/>
          <w:tblLook w:val="04A0"/>
        </w:tblPrEx>
        <w:trPr>
          <w:trHeight w:val="274"/>
          <w:jc w:val="center"/>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C47E03" w:rsidRPr="00C47E03" w:rsidP="00C47E03" w14:paraId="35176FB3" w14:textId="77777777">
            <w:pPr>
              <w:jc w:val="right"/>
              <w:rPr>
                <w:rFonts w:ascii="Calibri" w:hAnsi="Calibri" w:cs="Calibri"/>
                <w:color w:val="000000"/>
                <w:sz w:val="16"/>
                <w:szCs w:val="16"/>
              </w:rPr>
            </w:pPr>
            <w:r w:rsidRPr="00C47E03">
              <w:rPr>
                <w:rFonts w:ascii="Calibri" w:hAnsi="Calibri" w:cs="Calibri"/>
                <w:color w:val="000000"/>
                <w:sz w:val="16"/>
                <w:szCs w:val="16"/>
              </w:rPr>
              <w:t>Respondents: 19,027</w:t>
            </w:r>
          </w:p>
        </w:tc>
        <w:tc>
          <w:tcPr>
            <w:tcW w:w="994" w:type="dxa"/>
            <w:vMerge/>
            <w:tcBorders>
              <w:top w:val="nil"/>
              <w:left w:val="single" w:sz="8" w:space="0" w:color="auto"/>
              <w:bottom w:val="double" w:sz="6" w:space="0" w:color="000000"/>
              <w:right w:val="single" w:sz="4" w:space="0" w:color="auto"/>
            </w:tcBorders>
            <w:vAlign w:val="center"/>
            <w:hideMark/>
          </w:tcPr>
          <w:p w:rsidR="00C47E03" w:rsidRPr="00C47E03" w:rsidP="00C47E03" w14:paraId="5F24ECE8" w14:textId="77777777">
            <w:pPr>
              <w:jc w:val="right"/>
              <w:rPr>
                <w:rFonts w:ascii="Calibri" w:hAnsi="Calibri" w:cs="Calibri"/>
                <w:sz w:val="16"/>
                <w:szCs w:val="16"/>
              </w:rPr>
            </w:pPr>
          </w:p>
        </w:tc>
        <w:tc>
          <w:tcPr>
            <w:tcW w:w="1170" w:type="dxa"/>
            <w:vMerge/>
            <w:tcBorders>
              <w:top w:val="nil"/>
              <w:left w:val="single" w:sz="4" w:space="0" w:color="auto"/>
              <w:bottom w:val="double" w:sz="6" w:space="0" w:color="000000"/>
              <w:right w:val="single" w:sz="4" w:space="0" w:color="auto"/>
            </w:tcBorders>
            <w:vAlign w:val="center"/>
            <w:hideMark/>
          </w:tcPr>
          <w:p w:rsidR="00C47E03" w:rsidRPr="00C47E03" w:rsidP="00C47E03" w14:paraId="26A17A0B" w14:textId="77777777">
            <w:pPr>
              <w:jc w:val="right"/>
              <w:rPr>
                <w:rFonts w:ascii="Calibri" w:hAnsi="Calibri" w:cs="Calibri"/>
                <w:sz w:val="16"/>
                <w:szCs w:val="16"/>
              </w:rPr>
            </w:pPr>
          </w:p>
        </w:tc>
        <w:tc>
          <w:tcPr>
            <w:tcW w:w="1170" w:type="dxa"/>
            <w:vMerge/>
            <w:tcBorders>
              <w:top w:val="nil"/>
              <w:left w:val="single" w:sz="4" w:space="0" w:color="auto"/>
              <w:bottom w:val="double" w:sz="6" w:space="0" w:color="000000"/>
              <w:right w:val="single" w:sz="8" w:space="0" w:color="auto"/>
            </w:tcBorders>
            <w:vAlign w:val="center"/>
            <w:hideMark/>
          </w:tcPr>
          <w:p w:rsidR="00C47E03" w:rsidRPr="00C47E03" w:rsidP="00C47E03" w14:paraId="1BD3B1D8" w14:textId="77777777">
            <w:pPr>
              <w:jc w:val="right"/>
              <w:rPr>
                <w:rFonts w:ascii="Calibri" w:hAnsi="Calibri" w:cs="Calibri"/>
                <w:sz w:val="16"/>
                <w:szCs w:val="16"/>
              </w:rPr>
            </w:pPr>
          </w:p>
        </w:tc>
        <w:tc>
          <w:tcPr>
            <w:tcW w:w="990" w:type="dxa"/>
            <w:vMerge/>
            <w:tcBorders>
              <w:top w:val="nil"/>
              <w:left w:val="single" w:sz="8" w:space="0" w:color="auto"/>
              <w:bottom w:val="double" w:sz="6" w:space="0" w:color="000000"/>
              <w:right w:val="single" w:sz="4" w:space="0" w:color="auto"/>
            </w:tcBorders>
            <w:vAlign w:val="center"/>
            <w:hideMark/>
          </w:tcPr>
          <w:p w:rsidR="00C47E03" w:rsidRPr="00C47E03" w:rsidP="00C47E03" w14:paraId="235A67A3" w14:textId="77777777">
            <w:pPr>
              <w:jc w:val="right"/>
              <w:rPr>
                <w:rFonts w:ascii="Calibri" w:hAnsi="Calibri" w:cs="Calibri"/>
                <w:sz w:val="16"/>
                <w:szCs w:val="16"/>
              </w:rPr>
            </w:pPr>
          </w:p>
        </w:tc>
        <w:tc>
          <w:tcPr>
            <w:tcW w:w="1080" w:type="dxa"/>
            <w:vMerge/>
            <w:tcBorders>
              <w:top w:val="nil"/>
              <w:left w:val="single" w:sz="4" w:space="0" w:color="auto"/>
              <w:bottom w:val="double" w:sz="6" w:space="0" w:color="000000"/>
              <w:right w:val="single" w:sz="4" w:space="0" w:color="auto"/>
            </w:tcBorders>
            <w:vAlign w:val="center"/>
            <w:hideMark/>
          </w:tcPr>
          <w:p w:rsidR="00C47E03" w:rsidRPr="00C47E03" w:rsidP="00C47E03" w14:paraId="5E46AC95" w14:textId="77777777">
            <w:pPr>
              <w:jc w:val="right"/>
              <w:rPr>
                <w:rFonts w:ascii="Calibri" w:hAnsi="Calibri" w:cs="Calibri"/>
                <w:sz w:val="16"/>
                <w:szCs w:val="16"/>
              </w:rPr>
            </w:pPr>
          </w:p>
        </w:tc>
        <w:tc>
          <w:tcPr>
            <w:tcW w:w="1080" w:type="dxa"/>
            <w:vMerge/>
            <w:tcBorders>
              <w:top w:val="nil"/>
              <w:left w:val="single" w:sz="4" w:space="0" w:color="auto"/>
              <w:bottom w:val="double" w:sz="6" w:space="0" w:color="000000"/>
              <w:right w:val="single" w:sz="8" w:space="0" w:color="auto"/>
            </w:tcBorders>
            <w:vAlign w:val="center"/>
            <w:hideMark/>
          </w:tcPr>
          <w:p w:rsidR="00C47E03" w:rsidRPr="00C47E03" w:rsidP="00C47E03" w14:paraId="5857BE33" w14:textId="77777777">
            <w:pPr>
              <w:jc w:val="right"/>
              <w:rPr>
                <w:rFonts w:ascii="Calibri" w:hAnsi="Calibri" w:cs="Calibri"/>
                <w:sz w:val="16"/>
                <w:szCs w:val="16"/>
              </w:rPr>
            </w:pPr>
          </w:p>
        </w:tc>
        <w:tc>
          <w:tcPr>
            <w:tcW w:w="900" w:type="dxa"/>
            <w:vMerge/>
            <w:tcBorders>
              <w:top w:val="nil"/>
              <w:left w:val="single" w:sz="8" w:space="0" w:color="auto"/>
              <w:bottom w:val="double" w:sz="6" w:space="0" w:color="000000"/>
              <w:right w:val="single" w:sz="4" w:space="0" w:color="auto"/>
            </w:tcBorders>
            <w:vAlign w:val="center"/>
            <w:hideMark/>
          </w:tcPr>
          <w:p w:rsidR="00C47E03" w:rsidRPr="00C47E03" w:rsidP="00C47E03" w14:paraId="39287DD9" w14:textId="77777777">
            <w:pPr>
              <w:jc w:val="right"/>
              <w:rPr>
                <w:rFonts w:ascii="Calibri" w:hAnsi="Calibri" w:cs="Calibri"/>
                <w:sz w:val="16"/>
                <w:szCs w:val="16"/>
              </w:rPr>
            </w:pPr>
          </w:p>
        </w:tc>
        <w:tc>
          <w:tcPr>
            <w:tcW w:w="900" w:type="dxa"/>
            <w:vMerge/>
            <w:tcBorders>
              <w:top w:val="nil"/>
              <w:left w:val="single" w:sz="4" w:space="0" w:color="auto"/>
              <w:bottom w:val="double" w:sz="6" w:space="0" w:color="000000"/>
              <w:right w:val="single" w:sz="4" w:space="0" w:color="auto"/>
            </w:tcBorders>
            <w:vAlign w:val="center"/>
            <w:hideMark/>
          </w:tcPr>
          <w:p w:rsidR="00C47E03" w:rsidRPr="00C47E03" w:rsidP="00C47E03" w14:paraId="6170C712" w14:textId="77777777">
            <w:pPr>
              <w:jc w:val="right"/>
              <w:rPr>
                <w:rFonts w:ascii="Calibri" w:hAnsi="Calibri" w:cs="Calibri"/>
                <w:sz w:val="16"/>
                <w:szCs w:val="16"/>
              </w:rPr>
            </w:pPr>
          </w:p>
        </w:tc>
        <w:tc>
          <w:tcPr>
            <w:tcW w:w="900" w:type="dxa"/>
            <w:vMerge/>
            <w:tcBorders>
              <w:top w:val="nil"/>
              <w:left w:val="single" w:sz="4" w:space="0" w:color="auto"/>
              <w:bottom w:val="double" w:sz="6" w:space="0" w:color="000000"/>
              <w:right w:val="single" w:sz="8" w:space="0" w:color="auto"/>
            </w:tcBorders>
            <w:vAlign w:val="center"/>
            <w:hideMark/>
          </w:tcPr>
          <w:p w:rsidR="00C47E03" w:rsidRPr="00C47E03" w:rsidP="00C47E03" w14:paraId="3E91E431" w14:textId="77777777">
            <w:pPr>
              <w:jc w:val="right"/>
              <w:rPr>
                <w:rFonts w:ascii="Calibri" w:hAnsi="Calibri" w:cs="Calibri"/>
                <w:sz w:val="16"/>
                <w:szCs w:val="16"/>
              </w:rPr>
            </w:pPr>
          </w:p>
        </w:tc>
        <w:tc>
          <w:tcPr>
            <w:tcW w:w="900" w:type="dxa"/>
            <w:vMerge/>
            <w:tcBorders>
              <w:top w:val="nil"/>
              <w:left w:val="single" w:sz="8" w:space="0" w:color="auto"/>
              <w:bottom w:val="double" w:sz="6" w:space="0" w:color="000000"/>
              <w:right w:val="single" w:sz="4" w:space="0" w:color="auto"/>
            </w:tcBorders>
            <w:vAlign w:val="center"/>
            <w:hideMark/>
          </w:tcPr>
          <w:p w:rsidR="00C47E03" w:rsidRPr="00C47E03" w:rsidP="00C47E03" w14:paraId="7DEBFFCB" w14:textId="77777777">
            <w:pPr>
              <w:jc w:val="right"/>
              <w:rPr>
                <w:rFonts w:ascii="Calibri" w:hAnsi="Calibri" w:cs="Calibri"/>
                <w:sz w:val="16"/>
                <w:szCs w:val="16"/>
              </w:rPr>
            </w:pPr>
          </w:p>
        </w:tc>
        <w:tc>
          <w:tcPr>
            <w:tcW w:w="661" w:type="dxa"/>
            <w:vMerge/>
            <w:tcBorders>
              <w:top w:val="nil"/>
              <w:left w:val="single" w:sz="4" w:space="0" w:color="auto"/>
              <w:bottom w:val="double" w:sz="6" w:space="0" w:color="000000"/>
              <w:right w:val="single" w:sz="4" w:space="0" w:color="auto"/>
            </w:tcBorders>
            <w:vAlign w:val="center"/>
            <w:hideMark/>
          </w:tcPr>
          <w:p w:rsidR="00C47E03" w:rsidRPr="00C47E03" w:rsidP="00C47E03" w14:paraId="61C10056" w14:textId="77777777">
            <w:pPr>
              <w:jc w:val="right"/>
              <w:rPr>
                <w:rFonts w:ascii="Calibri" w:hAnsi="Calibri" w:cs="Calibri"/>
                <w:sz w:val="16"/>
                <w:szCs w:val="16"/>
              </w:rPr>
            </w:pPr>
          </w:p>
        </w:tc>
        <w:tc>
          <w:tcPr>
            <w:tcW w:w="959" w:type="dxa"/>
            <w:vMerge/>
            <w:tcBorders>
              <w:top w:val="nil"/>
              <w:left w:val="single" w:sz="4" w:space="0" w:color="auto"/>
              <w:bottom w:val="double" w:sz="6" w:space="0" w:color="000000"/>
              <w:right w:val="single" w:sz="8" w:space="0" w:color="auto"/>
            </w:tcBorders>
            <w:vAlign w:val="center"/>
            <w:hideMark/>
          </w:tcPr>
          <w:p w:rsidR="00C47E03" w:rsidRPr="00C47E03" w:rsidP="00C47E03" w14:paraId="4436CB2B" w14:textId="77777777">
            <w:pPr>
              <w:jc w:val="right"/>
              <w:rPr>
                <w:rFonts w:ascii="Calibri" w:hAnsi="Calibri" w:cs="Calibri"/>
                <w:sz w:val="16"/>
                <w:szCs w:val="16"/>
              </w:rPr>
            </w:pPr>
          </w:p>
        </w:tc>
        <w:tc>
          <w:tcPr>
            <w:tcW w:w="810" w:type="dxa"/>
            <w:vMerge/>
            <w:tcBorders>
              <w:top w:val="nil"/>
              <w:left w:val="single" w:sz="8" w:space="0" w:color="auto"/>
              <w:bottom w:val="double" w:sz="6" w:space="0" w:color="000000"/>
              <w:right w:val="single" w:sz="8" w:space="0" w:color="auto"/>
            </w:tcBorders>
            <w:vAlign w:val="center"/>
            <w:hideMark/>
          </w:tcPr>
          <w:p w:rsidR="00C47E03" w:rsidRPr="00C47E03" w:rsidP="00C47E03" w14:paraId="051D07FE" w14:textId="77777777">
            <w:pPr>
              <w:jc w:val="right"/>
              <w:rPr>
                <w:rFonts w:ascii="Calibri" w:hAnsi="Calibri" w:cs="Calibri"/>
                <w:b/>
                <w:bCs/>
                <w:sz w:val="16"/>
                <w:szCs w:val="16"/>
              </w:rPr>
            </w:pPr>
          </w:p>
        </w:tc>
        <w:tc>
          <w:tcPr>
            <w:tcW w:w="990" w:type="dxa"/>
            <w:vMerge/>
            <w:tcBorders>
              <w:top w:val="nil"/>
              <w:left w:val="single" w:sz="8" w:space="0" w:color="auto"/>
              <w:bottom w:val="double" w:sz="6" w:space="0" w:color="000000"/>
              <w:right w:val="single" w:sz="8" w:space="0" w:color="auto"/>
            </w:tcBorders>
            <w:vAlign w:val="center"/>
            <w:hideMark/>
          </w:tcPr>
          <w:p w:rsidR="00C47E03" w:rsidRPr="00C47E03" w:rsidP="00C47E03" w14:paraId="45C846CF" w14:textId="77777777">
            <w:pPr>
              <w:jc w:val="right"/>
              <w:rPr>
                <w:rFonts w:ascii="Calibri" w:hAnsi="Calibri" w:cs="Calibri"/>
                <w:b/>
                <w:bCs/>
                <w:sz w:val="16"/>
                <w:szCs w:val="16"/>
              </w:rPr>
            </w:pPr>
          </w:p>
        </w:tc>
      </w:tr>
      <w:tr w14:paraId="1B05CB6B" w14:textId="77777777" w:rsidTr="00C47E03">
        <w:tblPrEx>
          <w:tblW w:w="14660" w:type="dxa"/>
          <w:jc w:val="center"/>
          <w:tblLayout w:type="fixed"/>
          <w:tblLook w:val="04A0"/>
        </w:tblPrEx>
        <w:trPr>
          <w:trHeight w:val="274"/>
          <w:jc w:val="center"/>
        </w:trPr>
        <w:tc>
          <w:tcPr>
            <w:tcW w:w="1156" w:type="dxa"/>
            <w:tcBorders>
              <w:top w:val="nil"/>
              <w:left w:val="nil"/>
              <w:bottom w:val="nil"/>
              <w:right w:val="nil"/>
            </w:tcBorders>
            <w:shd w:val="clear" w:color="auto" w:fill="auto"/>
            <w:vAlign w:val="center"/>
            <w:hideMark/>
          </w:tcPr>
          <w:p w:rsidR="00C47E03" w:rsidRPr="00C47E03" w:rsidP="00C47E03" w14:paraId="5A564936" w14:textId="77777777">
            <w:pPr>
              <w:jc w:val="right"/>
              <w:rPr>
                <w:rFonts w:ascii="Calibri" w:hAnsi="Calibri" w:cs="Calibri"/>
                <w:color w:val="000000"/>
                <w:sz w:val="16"/>
                <w:szCs w:val="16"/>
              </w:rPr>
            </w:pPr>
            <w:r w:rsidRPr="00C47E03">
              <w:rPr>
                <w:rFonts w:ascii="Calibri" w:hAnsi="Calibri" w:cs="Calibri"/>
                <w:color w:val="000000"/>
                <w:sz w:val="16"/>
                <w:szCs w:val="16"/>
              </w:rPr>
              <w:t>Total:</w:t>
            </w:r>
          </w:p>
        </w:tc>
        <w:tc>
          <w:tcPr>
            <w:tcW w:w="994" w:type="dxa"/>
            <w:tcBorders>
              <w:top w:val="nil"/>
              <w:left w:val="single" w:sz="8" w:space="0" w:color="auto"/>
              <w:bottom w:val="single" w:sz="8" w:space="0" w:color="auto"/>
              <w:right w:val="single" w:sz="4" w:space="0" w:color="auto"/>
            </w:tcBorders>
            <w:shd w:val="clear" w:color="auto" w:fill="auto"/>
            <w:noWrap/>
            <w:vAlign w:val="center"/>
            <w:hideMark/>
          </w:tcPr>
          <w:p w:rsidR="00C47E03" w:rsidRPr="00C47E03" w:rsidP="00C47E03" w14:paraId="3B438FDC" w14:textId="77777777">
            <w:pPr>
              <w:jc w:val="right"/>
              <w:rPr>
                <w:rFonts w:ascii="Calibri" w:hAnsi="Calibri" w:cs="Calibri"/>
                <w:sz w:val="16"/>
                <w:szCs w:val="16"/>
              </w:rPr>
            </w:pPr>
            <w:r w:rsidRPr="00C47E03">
              <w:rPr>
                <w:rFonts w:ascii="Calibri" w:hAnsi="Calibri" w:cs="Calibri"/>
                <w:sz w:val="16"/>
                <w:szCs w:val="16"/>
              </w:rPr>
              <w:t>0.15</w:t>
            </w:r>
          </w:p>
        </w:tc>
        <w:tc>
          <w:tcPr>
            <w:tcW w:w="1170"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29F2AC56" w14:textId="77777777">
            <w:pPr>
              <w:jc w:val="right"/>
              <w:rPr>
                <w:rFonts w:ascii="Calibri" w:hAnsi="Calibri" w:cs="Calibri"/>
                <w:sz w:val="16"/>
                <w:szCs w:val="16"/>
              </w:rPr>
            </w:pPr>
            <w:r w:rsidRPr="00C47E03">
              <w:rPr>
                <w:rFonts w:ascii="Calibri" w:hAnsi="Calibri" w:cs="Calibri"/>
                <w:sz w:val="16"/>
                <w:szCs w:val="16"/>
              </w:rPr>
              <w:t>1,943</w:t>
            </w:r>
          </w:p>
        </w:tc>
        <w:tc>
          <w:tcPr>
            <w:tcW w:w="1170" w:type="dxa"/>
            <w:tcBorders>
              <w:top w:val="nil"/>
              <w:left w:val="nil"/>
              <w:bottom w:val="single" w:sz="8" w:space="0" w:color="auto"/>
              <w:right w:val="single" w:sz="8" w:space="0" w:color="auto"/>
            </w:tcBorders>
            <w:shd w:val="clear" w:color="auto" w:fill="auto"/>
            <w:noWrap/>
            <w:vAlign w:val="center"/>
            <w:hideMark/>
          </w:tcPr>
          <w:p w:rsidR="00C47E03" w:rsidRPr="00C47E03" w:rsidP="00C47E03" w14:paraId="5DCA28AC" w14:textId="2AB57FC2">
            <w:pPr>
              <w:jc w:val="right"/>
              <w:rPr>
                <w:rFonts w:ascii="Calibri" w:hAnsi="Calibri" w:cs="Calibri"/>
                <w:sz w:val="16"/>
                <w:szCs w:val="16"/>
              </w:rPr>
            </w:pPr>
            <w:r w:rsidRPr="00C47E03">
              <w:rPr>
                <w:rFonts w:ascii="Calibri" w:hAnsi="Calibri" w:cs="Calibri"/>
                <w:sz w:val="16"/>
                <w:szCs w:val="16"/>
              </w:rPr>
              <w:t xml:space="preserve"> $ 216,508 </w:t>
            </w:r>
          </w:p>
        </w:tc>
        <w:tc>
          <w:tcPr>
            <w:tcW w:w="990"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2F8728A0" w14:textId="77777777">
            <w:pPr>
              <w:jc w:val="right"/>
              <w:rPr>
                <w:rFonts w:ascii="Calibri" w:hAnsi="Calibri" w:cs="Calibri"/>
                <w:sz w:val="16"/>
                <w:szCs w:val="16"/>
              </w:rPr>
            </w:pPr>
            <w:r w:rsidRPr="00C47E03">
              <w:rPr>
                <w:rFonts w:ascii="Calibri" w:hAnsi="Calibri" w:cs="Calibri"/>
                <w:sz w:val="16"/>
                <w:szCs w:val="16"/>
              </w:rPr>
              <w:t>0.60</w:t>
            </w:r>
          </w:p>
        </w:tc>
        <w:tc>
          <w:tcPr>
            <w:tcW w:w="1080"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6F2E494E" w14:textId="77777777">
            <w:pPr>
              <w:jc w:val="right"/>
              <w:rPr>
                <w:rFonts w:ascii="Calibri" w:hAnsi="Calibri" w:cs="Calibri"/>
                <w:sz w:val="16"/>
                <w:szCs w:val="16"/>
              </w:rPr>
            </w:pPr>
            <w:r w:rsidRPr="00C47E03">
              <w:rPr>
                <w:rFonts w:ascii="Calibri" w:hAnsi="Calibri" w:cs="Calibri"/>
                <w:sz w:val="16"/>
                <w:szCs w:val="16"/>
              </w:rPr>
              <w:t>7,772</w:t>
            </w:r>
          </w:p>
        </w:tc>
        <w:tc>
          <w:tcPr>
            <w:tcW w:w="1080" w:type="dxa"/>
            <w:tcBorders>
              <w:top w:val="nil"/>
              <w:left w:val="nil"/>
              <w:bottom w:val="single" w:sz="8" w:space="0" w:color="auto"/>
              <w:right w:val="single" w:sz="8" w:space="0" w:color="auto"/>
            </w:tcBorders>
            <w:shd w:val="clear" w:color="auto" w:fill="auto"/>
            <w:noWrap/>
            <w:vAlign w:val="center"/>
            <w:hideMark/>
          </w:tcPr>
          <w:p w:rsidR="00C47E03" w:rsidRPr="00C47E03" w:rsidP="00C47E03" w14:paraId="5DBF249A" w14:textId="77777777">
            <w:pPr>
              <w:jc w:val="right"/>
              <w:rPr>
                <w:rFonts w:ascii="Calibri" w:hAnsi="Calibri" w:cs="Calibri"/>
                <w:sz w:val="16"/>
                <w:szCs w:val="16"/>
              </w:rPr>
            </w:pPr>
            <w:r w:rsidRPr="00C47E03">
              <w:rPr>
                <w:rFonts w:ascii="Calibri" w:hAnsi="Calibri" w:cs="Calibri"/>
                <w:sz w:val="16"/>
                <w:szCs w:val="16"/>
              </w:rPr>
              <w:t xml:space="preserve"> $     476,417 </w:t>
            </w:r>
          </w:p>
        </w:tc>
        <w:tc>
          <w:tcPr>
            <w:tcW w:w="900"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08EC1E1C" w14:textId="77777777">
            <w:pPr>
              <w:jc w:val="right"/>
              <w:rPr>
                <w:rFonts w:ascii="Calibri" w:hAnsi="Calibri" w:cs="Calibri"/>
                <w:sz w:val="16"/>
                <w:szCs w:val="16"/>
              </w:rPr>
            </w:pPr>
            <w:r w:rsidRPr="00C47E03">
              <w:rPr>
                <w:rFonts w:ascii="Calibri" w:hAnsi="Calibri" w:cs="Calibri"/>
                <w:sz w:val="16"/>
                <w:szCs w:val="16"/>
              </w:rPr>
              <w:t>0.80</w:t>
            </w:r>
          </w:p>
        </w:tc>
        <w:tc>
          <w:tcPr>
            <w:tcW w:w="900"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654BDCCE" w14:textId="77777777">
            <w:pPr>
              <w:jc w:val="right"/>
              <w:rPr>
                <w:rFonts w:ascii="Calibri" w:hAnsi="Calibri" w:cs="Calibri"/>
                <w:sz w:val="16"/>
                <w:szCs w:val="16"/>
              </w:rPr>
            </w:pPr>
            <w:r w:rsidRPr="00C47E03">
              <w:rPr>
                <w:rFonts w:ascii="Calibri" w:hAnsi="Calibri" w:cs="Calibri"/>
                <w:sz w:val="16"/>
                <w:szCs w:val="16"/>
              </w:rPr>
              <w:t>1,557</w:t>
            </w:r>
          </w:p>
        </w:tc>
        <w:tc>
          <w:tcPr>
            <w:tcW w:w="900" w:type="dxa"/>
            <w:tcBorders>
              <w:top w:val="nil"/>
              <w:left w:val="nil"/>
              <w:bottom w:val="single" w:sz="8" w:space="0" w:color="auto"/>
              <w:right w:val="single" w:sz="8" w:space="0" w:color="auto"/>
            </w:tcBorders>
            <w:shd w:val="clear" w:color="auto" w:fill="auto"/>
            <w:noWrap/>
            <w:vAlign w:val="center"/>
            <w:hideMark/>
          </w:tcPr>
          <w:p w:rsidR="00C47E03" w:rsidRPr="00C47E03" w:rsidP="00C47E03" w14:paraId="2A62B35D" w14:textId="77777777">
            <w:pPr>
              <w:jc w:val="right"/>
              <w:rPr>
                <w:rFonts w:ascii="Calibri" w:hAnsi="Calibri" w:cs="Calibri"/>
                <w:sz w:val="16"/>
                <w:szCs w:val="16"/>
              </w:rPr>
            </w:pPr>
            <w:r w:rsidRPr="00C47E03">
              <w:rPr>
                <w:rFonts w:ascii="Calibri" w:hAnsi="Calibri" w:cs="Calibri"/>
                <w:sz w:val="16"/>
                <w:szCs w:val="16"/>
              </w:rPr>
              <w:t xml:space="preserve"> $ 111,407 </w:t>
            </w:r>
          </w:p>
        </w:tc>
        <w:tc>
          <w:tcPr>
            <w:tcW w:w="900"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2787B92C" w14:textId="77777777">
            <w:pPr>
              <w:jc w:val="right"/>
              <w:rPr>
                <w:rFonts w:ascii="Calibri" w:hAnsi="Calibri" w:cs="Calibri"/>
                <w:sz w:val="16"/>
                <w:szCs w:val="16"/>
              </w:rPr>
            </w:pPr>
            <w:r w:rsidRPr="00C47E03">
              <w:rPr>
                <w:rFonts w:ascii="Calibri" w:hAnsi="Calibri" w:cs="Calibri"/>
                <w:sz w:val="16"/>
                <w:szCs w:val="16"/>
              </w:rPr>
              <w:t>0.20</w:t>
            </w:r>
          </w:p>
        </w:tc>
        <w:tc>
          <w:tcPr>
            <w:tcW w:w="661" w:type="dxa"/>
            <w:tcBorders>
              <w:top w:val="nil"/>
              <w:left w:val="nil"/>
              <w:bottom w:val="single" w:sz="8" w:space="0" w:color="auto"/>
              <w:right w:val="single" w:sz="4" w:space="0" w:color="auto"/>
            </w:tcBorders>
            <w:shd w:val="clear" w:color="auto" w:fill="auto"/>
            <w:noWrap/>
            <w:vAlign w:val="center"/>
            <w:hideMark/>
          </w:tcPr>
          <w:p w:rsidR="00C47E03" w:rsidRPr="00C47E03" w:rsidP="00C47E03" w14:paraId="1CD7A447" w14:textId="77777777">
            <w:pPr>
              <w:jc w:val="right"/>
              <w:rPr>
                <w:rFonts w:ascii="Calibri" w:hAnsi="Calibri" w:cs="Calibri"/>
                <w:sz w:val="16"/>
                <w:szCs w:val="16"/>
              </w:rPr>
            </w:pPr>
            <w:r w:rsidRPr="00C47E03">
              <w:rPr>
                <w:rFonts w:ascii="Calibri" w:hAnsi="Calibri" w:cs="Calibri"/>
                <w:sz w:val="16"/>
                <w:szCs w:val="16"/>
              </w:rPr>
              <w:t>3,805</w:t>
            </w:r>
          </w:p>
        </w:tc>
        <w:tc>
          <w:tcPr>
            <w:tcW w:w="959" w:type="dxa"/>
            <w:tcBorders>
              <w:top w:val="nil"/>
              <w:left w:val="nil"/>
              <w:bottom w:val="single" w:sz="8" w:space="0" w:color="auto"/>
              <w:right w:val="single" w:sz="8" w:space="0" w:color="auto"/>
            </w:tcBorders>
            <w:shd w:val="clear" w:color="auto" w:fill="auto"/>
            <w:noWrap/>
            <w:vAlign w:val="center"/>
            <w:hideMark/>
          </w:tcPr>
          <w:p w:rsidR="00C47E03" w:rsidRPr="00C47E03" w:rsidP="00C47E03" w14:paraId="17C602B9" w14:textId="77777777">
            <w:pPr>
              <w:jc w:val="right"/>
              <w:rPr>
                <w:rFonts w:ascii="Calibri" w:hAnsi="Calibri" w:cs="Calibri"/>
                <w:sz w:val="16"/>
                <w:szCs w:val="16"/>
              </w:rPr>
            </w:pPr>
            <w:r w:rsidRPr="00C47E03">
              <w:rPr>
                <w:rFonts w:ascii="Calibri" w:hAnsi="Calibri" w:cs="Calibri"/>
                <w:sz w:val="16"/>
                <w:szCs w:val="16"/>
              </w:rPr>
              <w:t xml:space="preserve"> $ 105,333 </w:t>
            </w:r>
          </w:p>
        </w:tc>
        <w:tc>
          <w:tcPr>
            <w:tcW w:w="810" w:type="dxa"/>
            <w:tcBorders>
              <w:top w:val="nil"/>
              <w:left w:val="nil"/>
              <w:bottom w:val="single" w:sz="8" w:space="0" w:color="auto"/>
              <w:right w:val="single" w:sz="8" w:space="0" w:color="auto"/>
            </w:tcBorders>
            <w:shd w:val="clear" w:color="auto" w:fill="auto"/>
            <w:noWrap/>
            <w:vAlign w:val="center"/>
            <w:hideMark/>
          </w:tcPr>
          <w:p w:rsidR="00C47E03" w:rsidRPr="00C47E03" w:rsidP="00C47E03" w14:paraId="22633F43" w14:textId="77777777">
            <w:pPr>
              <w:jc w:val="right"/>
              <w:rPr>
                <w:rFonts w:ascii="Calibri" w:hAnsi="Calibri" w:cs="Calibri"/>
                <w:b/>
                <w:bCs/>
                <w:sz w:val="16"/>
                <w:szCs w:val="16"/>
              </w:rPr>
            </w:pPr>
            <w:r w:rsidRPr="00C47E03">
              <w:rPr>
                <w:rFonts w:ascii="Calibri" w:hAnsi="Calibri" w:cs="Calibri"/>
                <w:b/>
                <w:bCs/>
                <w:sz w:val="16"/>
                <w:szCs w:val="16"/>
              </w:rPr>
              <w:t>15,078</w:t>
            </w:r>
          </w:p>
        </w:tc>
        <w:tc>
          <w:tcPr>
            <w:tcW w:w="990" w:type="dxa"/>
            <w:tcBorders>
              <w:top w:val="nil"/>
              <w:left w:val="nil"/>
              <w:bottom w:val="single" w:sz="8" w:space="0" w:color="auto"/>
              <w:right w:val="single" w:sz="8" w:space="0" w:color="auto"/>
            </w:tcBorders>
            <w:shd w:val="clear" w:color="auto" w:fill="auto"/>
            <w:noWrap/>
            <w:vAlign w:val="center"/>
            <w:hideMark/>
          </w:tcPr>
          <w:p w:rsidR="00C47E03" w:rsidRPr="00C47E03" w:rsidP="00C47E03" w14:paraId="547EAED4" w14:textId="3FE5D903">
            <w:pPr>
              <w:jc w:val="right"/>
              <w:rPr>
                <w:rFonts w:ascii="Calibri" w:hAnsi="Calibri" w:cs="Calibri"/>
                <w:b/>
                <w:bCs/>
                <w:sz w:val="16"/>
                <w:szCs w:val="16"/>
              </w:rPr>
            </w:pPr>
            <w:r w:rsidRPr="00C47E03">
              <w:rPr>
                <w:rFonts w:ascii="Calibri" w:hAnsi="Calibri" w:cs="Calibri"/>
                <w:b/>
                <w:bCs/>
                <w:sz w:val="16"/>
                <w:szCs w:val="16"/>
              </w:rPr>
              <w:t xml:space="preserve"> $   909,665 </w:t>
            </w:r>
          </w:p>
        </w:tc>
      </w:tr>
    </w:tbl>
    <w:p w:rsidR="00041F22" w:rsidRPr="009D7235" w:rsidP="0022465B" w14:paraId="5E42CA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sectPr w:rsidSect="00C47E03">
          <w:endnotePr>
            <w:numFmt w:val="lowerLetter"/>
          </w:endnotePr>
          <w:pgSz w:w="15840" w:h="12240" w:orient="landscape"/>
          <w:pgMar w:top="720" w:right="720" w:bottom="720" w:left="720" w:header="540" w:footer="573" w:gutter="0"/>
          <w:cols w:space="720"/>
          <w:docGrid w:linePitch="326"/>
        </w:sectPr>
      </w:pPr>
    </w:p>
    <w:p w:rsidR="0022465B" w:rsidRPr="009D7235" w:rsidP="0022465B" w14:paraId="0C55434D" w14:textId="5679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13. Provide an estimate for the total annual cost burden to respondents or record keepers resulting from the collection of information. (Do not include the cost of any hour burden already reflected on the burden worksheet).</w:t>
      </w:r>
    </w:p>
    <w:p w:rsidR="0022465B" w:rsidRPr="009D7235" w:rsidP="0022465B" w14:paraId="706EA2F8" w14:textId="77777777">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D7235">
        <w:rPr>
          <w:rFonts w:ascii="Times New Roman" w:hAnsi="Times New Roman"/>
          <w:b/>
        </w:rPr>
        <w:t>take into account</w:t>
      </w:r>
      <w:r w:rsidRPr="009D7235">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2465B" w:rsidRPr="009D7235" w:rsidP="0022465B" w14:paraId="040E1267" w14:textId="77777777">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2465B" w:rsidRPr="009D7235" w:rsidP="0022465B" w14:paraId="05D2E544" w14:textId="7522BD87">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2"/>
    <w:p w:rsidR="0022465B" w:rsidRPr="009D7235" w:rsidP="0022465B" w14:paraId="000D3592"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915DD8" w:rsidRPr="009D7235" w:rsidP="00915DD8" w14:paraId="541B7EC5" w14:textId="0401EE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9D7235">
        <w:rPr>
          <w:rFonts w:ascii="Times New Roman" w:hAnsi="Times New Roman"/>
          <w:sz w:val="22"/>
          <w:szCs w:val="22"/>
        </w:rPr>
        <w:t>The only type of industry costs associated with</w:t>
      </w:r>
      <w:r w:rsidRPr="009D7235" w:rsidR="008F01FD">
        <w:rPr>
          <w:rFonts w:ascii="Times New Roman" w:hAnsi="Times New Roman"/>
          <w:sz w:val="22"/>
          <w:szCs w:val="22"/>
        </w:rPr>
        <w:t xml:space="preserve"> complying with</w:t>
      </w:r>
      <w:r w:rsidRPr="009D7235">
        <w:rPr>
          <w:rFonts w:ascii="Times New Roman" w:hAnsi="Times New Roman"/>
          <w:sz w:val="22"/>
          <w:szCs w:val="22"/>
        </w:rPr>
        <w:t xml:space="preserve"> the ICR activity </w:t>
      </w:r>
      <w:r w:rsidRPr="009D7235" w:rsidR="008F01FD">
        <w:rPr>
          <w:rFonts w:ascii="Times New Roman" w:hAnsi="Times New Roman"/>
          <w:sz w:val="22"/>
          <w:szCs w:val="22"/>
        </w:rPr>
        <w:t>are</w:t>
      </w:r>
      <w:r w:rsidRPr="009D7235">
        <w:rPr>
          <w:rFonts w:ascii="Times New Roman" w:hAnsi="Times New Roman"/>
          <w:sz w:val="22"/>
          <w:szCs w:val="22"/>
        </w:rPr>
        <w:t xml:space="preserve"> labor costs. There are no capital/start-up or O&amp;M costs.</w:t>
      </w:r>
    </w:p>
    <w:p w:rsidR="00915DD8" w:rsidRPr="009D7235" w:rsidP="0022465B" w14:paraId="0F7D0F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46D04" w:rsidRPr="009D7235" w:rsidP="00846D04" w14:paraId="5996D7D4" w14:textId="3DDB3E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15DD8" w:rsidRPr="009D7235" w:rsidP="00846D04" w14:paraId="1EFF8CDF" w14:textId="4CCC1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9D7235" w:rsidP="4A269272" w14:paraId="59D910BA" w14:textId="64F681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There is no direct cost to EPA. EPA or duly authorized state inspectors only collects this information as part of an inspection or other compliance monitoring activity.</w:t>
      </w:r>
      <w:r w:rsidRPr="009D7235" w:rsidR="00F56DE0">
        <w:rPr>
          <w:rFonts w:ascii="Times New Roman" w:hAnsi="Times New Roman"/>
        </w:rPr>
        <w:t xml:space="preserve"> EPA does not anticipate collecting or calling-in the records retained to comply with the producer recordkeeping regulations. The data maintained by pesticide producers will be available for review by EPA or its designee to ensure compliance with the regulations </w:t>
      </w:r>
      <w:r w:rsidRPr="009D7235" w:rsidR="0009524E">
        <w:rPr>
          <w:rFonts w:ascii="Times New Roman" w:hAnsi="Times New Roman"/>
        </w:rPr>
        <w:t>during an inspection</w:t>
      </w:r>
      <w:r w:rsidRPr="009D7235" w:rsidR="00F56DE0">
        <w:rPr>
          <w:rFonts w:ascii="Times New Roman" w:hAnsi="Times New Roman"/>
        </w:rPr>
        <w:t xml:space="preserve">.  </w:t>
      </w:r>
    </w:p>
    <w:p w:rsidR="00F56DE0" w:rsidRPr="009D7235" w:rsidP="00F56DE0" w14:paraId="4A6E68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6C57" w:rsidRPr="009D7235" w:rsidP="00867B55" w14:paraId="25234FE4" w14:textId="06AF2C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D7235">
        <w:rPr>
          <w:rFonts w:ascii="Times New Roman" w:hAnsi="Times New Roman"/>
          <w:b/>
        </w:rPr>
        <w:t>15. Explain the reasons for any program changes or adjustments reported on the burden worksheet (in hour or cost burden.)</w:t>
      </w:r>
    </w:p>
    <w:p w:rsidR="00915DD8" w:rsidRPr="009D7235" w:rsidP="00867B55" w14:paraId="095149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855E3" w:rsidRPr="009D7235" w:rsidP="4A269272" w14:paraId="6F5539F4" w14:textId="570CC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7235">
        <w:rPr>
          <w:rFonts w:ascii="Times New Roman" w:hAnsi="Times New Roman"/>
        </w:rPr>
        <w:t xml:space="preserve">There is a decrease of 42,054 hours in the total estimated respondent burden compared with the ICR currently approved by OMB. This decrease is a result of our reassessment of the assumptions used to estimate the burden of this ICR. Adjustments resulted from corrections of clerical or computational errors in the previous ICR renewal supporting statement. Further </w:t>
      </w:r>
      <w:r w:rsidRPr="009D7235">
        <w:rPr>
          <w:rFonts w:ascii="Times New Roman" w:hAnsi="Times New Roman"/>
        </w:rPr>
        <w:t>adjustments to the burden estimates resulted from (1) adjustments in the salary computation for industry to reflect current wage scales</w:t>
      </w:r>
      <w:r w:rsidRPr="009D7235" w:rsidR="00F84F49">
        <w:rPr>
          <w:rFonts w:ascii="Times New Roman" w:hAnsi="Times New Roman"/>
        </w:rPr>
        <w:t>;</w:t>
      </w:r>
      <w:r w:rsidRPr="009D7235">
        <w:rPr>
          <w:rFonts w:ascii="Times New Roman" w:hAnsi="Times New Roman"/>
        </w:rPr>
        <w:t xml:space="preserve"> (2) adjustments for inflation</w:t>
      </w:r>
      <w:r w:rsidRPr="009D7235" w:rsidR="00F84F49">
        <w:rPr>
          <w:rFonts w:ascii="Times New Roman" w:hAnsi="Times New Roman"/>
        </w:rPr>
        <w:t>;</w:t>
      </w:r>
      <w:r w:rsidRPr="009D7235">
        <w:rPr>
          <w:rFonts w:ascii="Times New Roman" w:hAnsi="Times New Roman"/>
        </w:rPr>
        <w:t xml:space="preserve"> and (3) adjustment to the number of respondents.</w:t>
      </w:r>
    </w:p>
    <w:p w:rsidR="00ED7DA8" w:rsidRPr="009D7235" w:rsidP="00641E8D" w14:paraId="39F28BF0" w14:textId="28EF4AA2">
      <w:pPr>
        <w:rPr>
          <w:rFonts w:ascii="Times New Roman" w:hAnsi="Times New Roman"/>
        </w:rPr>
      </w:pPr>
    </w:p>
    <w:p w:rsidR="00ED7DA8" w:rsidRPr="009D7235" w:rsidP="00ED7DA8" w14:paraId="7F0EF786" w14:textId="7393E090">
      <w:pPr>
        <w:rPr>
          <w:rFonts w:ascii="Times New Roman" w:hAnsi="Times New Roman"/>
          <w:b/>
        </w:rPr>
      </w:pPr>
      <w:r w:rsidRPr="009D7235">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C1850" w:rsidRPr="009D7235" w:rsidP="00ED7DA8" w14:paraId="0B1AE3F6" w14:textId="09F5BE53">
      <w:pPr>
        <w:rPr>
          <w:rFonts w:ascii="Times New Roman" w:hAnsi="Times New Roman"/>
          <w:b/>
        </w:rPr>
      </w:pPr>
    </w:p>
    <w:p w:rsidR="00DC1850" w:rsidRPr="009D7235" w:rsidP="00ED7DA8" w14:paraId="33932FA0" w14:textId="01FBEE62">
      <w:pPr>
        <w:rPr>
          <w:rFonts w:ascii="Times New Roman" w:hAnsi="Times New Roman"/>
          <w:b/>
        </w:rPr>
      </w:pPr>
      <w:r w:rsidRPr="009D7235">
        <w:rPr>
          <w:rFonts w:ascii="Times New Roman" w:hAnsi="Times New Roman"/>
        </w:rPr>
        <w:t>Not applicable. The activity is conducted only as needed by EPA or state inspections, or upon the determination of the respondent. There is no set schedule for the collection of this information.</w:t>
      </w:r>
    </w:p>
    <w:p w:rsidR="00ED7DA8" w:rsidRPr="009D7235" w:rsidP="00ED7DA8" w14:paraId="691314DB" w14:textId="1C13F53F">
      <w:pPr>
        <w:rPr>
          <w:rFonts w:ascii="Times New Roman" w:hAnsi="Times New Roman"/>
          <w:b/>
        </w:rPr>
      </w:pPr>
    </w:p>
    <w:p w:rsidR="00ED7DA8" w:rsidRPr="009D7235" w:rsidP="00ED7DA8" w14:paraId="44B423A4" w14:textId="020DB419">
      <w:pPr>
        <w:rPr>
          <w:rFonts w:ascii="Times New Roman" w:hAnsi="Times New Roman"/>
          <w:b/>
        </w:rPr>
      </w:pPr>
      <w:r w:rsidRPr="009D7235">
        <w:rPr>
          <w:rFonts w:ascii="Times New Roman" w:hAnsi="Times New Roman"/>
          <w:b/>
        </w:rPr>
        <w:t>17. If seeking approval to not display the expiration date for OMB approval of the information collection, explain the reasons that display would be inappropriate.</w:t>
      </w:r>
    </w:p>
    <w:p w:rsidR="00ED7DA8" w:rsidRPr="009D7235" w:rsidP="00ED7DA8" w14:paraId="695667CD" w14:textId="1AE3DB97">
      <w:pPr>
        <w:rPr>
          <w:rFonts w:ascii="Times New Roman" w:hAnsi="Times New Roman"/>
          <w:b/>
        </w:rPr>
      </w:pPr>
    </w:p>
    <w:p w:rsidR="00C90318" w:rsidRPr="009D7235" w:rsidP="00C90318" w14:paraId="3B693806" w14:textId="39CAB6EF">
      <w:pPr>
        <w:rPr>
          <w:rFonts w:ascii="Times New Roman" w:hAnsi="Times New Roman"/>
          <w:szCs w:val="24"/>
        </w:rPr>
      </w:pPr>
      <w:r w:rsidRPr="009D7235">
        <w:rPr>
          <w:rFonts w:ascii="Times New Roman" w:hAnsi="Times New Roman"/>
          <w:szCs w:val="24"/>
        </w:rPr>
        <w:t>This question is not applicable to this ICR.</w:t>
      </w:r>
    </w:p>
    <w:p w:rsidR="00C90318" w:rsidRPr="009D7235" w:rsidP="00ED7DA8" w14:paraId="326BF085" w14:textId="77777777">
      <w:pPr>
        <w:rPr>
          <w:rFonts w:ascii="Times New Roman" w:hAnsi="Times New Roman"/>
          <w:b/>
        </w:rPr>
      </w:pPr>
    </w:p>
    <w:p w:rsidR="00ED7DA8" w:rsidRPr="009D7235" w:rsidP="00ED7DA8" w14:paraId="4D436C27" w14:textId="69E11FDD">
      <w:pPr>
        <w:rPr>
          <w:rFonts w:ascii="Times New Roman" w:hAnsi="Times New Roman"/>
          <w:b/>
        </w:rPr>
      </w:pPr>
      <w:r w:rsidRPr="009D7235">
        <w:rPr>
          <w:rFonts w:ascii="Times New Roman" w:hAnsi="Times New Roman"/>
          <w:b/>
        </w:rPr>
        <w:t>18.Explain each exception to the topics of the certification statement identified in “Certification for Paperwork Reduction Act Submissions.”</w:t>
      </w:r>
    </w:p>
    <w:p w:rsidR="00C90318" w:rsidRPr="009D7235" w:rsidP="00C90318" w14:paraId="79D6EE73" w14:textId="77777777">
      <w:pPr>
        <w:rPr>
          <w:rFonts w:ascii="Times New Roman" w:hAnsi="Times New Roman"/>
          <w:szCs w:val="24"/>
        </w:rPr>
      </w:pPr>
    </w:p>
    <w:p w:rsidR="002E57DB" w:rsidRPr="009D7235" w:rsidP="002E57DB" w14:paraId="66E657E7" w14:textId="77777777">
      <w:pPr>
        <w:rPr>
          <w:rFonts w:ascii="Times New Roman" w:hAnsi="Times New Roman"/>
          <w:szCs w:val="24"/>
        </w:rPr>
      </w:pPr>
      <w:r w:rsidRPr="009D7235">
        <w:rPr>
          <w:rFonts w:ascii="Times New Roman" w:hAnsi="Times New Roman"/>
          <w:szCs w:val="24"/>
        </w:rPr>
        <w:t>EPA does not request an exception to the certification of this information collection.</w:t>
      </w:r>
    </w:p>
    <w:p w:rsidR="003907C8" w:rsidRPr="009D7235" w:rsidP="002E57DB" w14:paraId="3741139A" w14:textId="05FFED53">
      <w:pPr>
        <w:pStyle w:val="Heading1"/>
        <w:numPr>
          <w:ilvl w:val="0"/>
          <w:numId w:val="0"/>
        </w:numPr>
        <w:rPr>
          <w:rFonts w:ascii="Times New Roman" w:hAnsi="Times New Roman" w:cs="Times New Roman"/>
        </w:rPr>
      </w:pPr>
      <w:r w:rsidRPr="009D7235">
        <w:rPr>
          <w:rFonts w:ascii="Times New Roman" w:hAnsi="Times New Roman" w:cs="Times New Roman"/>
        </w:rPr>
        <w:t xml:space="preserve">List of </w:t>
      </w:r>
      <w:r w:rsidRPr="009D7235" w:rsidR="00C74888">
        <w:rPr>
          <w:rFonts w:ascii="Times New Roman" w:hAnsi="Times New Roman" w:cs="Times New Roman"/>
        </w:rPr>
        <w:t>Attachments for</w:t>
      </w:r>
      <w:r w:rsidRPr="009D7235">
        <w:rPr>
          <w:rFonts w:ascii="Times New Roman" w:hAnsi="Times New Roman" w:cs="Times New Roman"/>
        </w:rPr>
        <w:t xml:space="preserve"> </w:t>
      </w:r>
      <w:r w:rsidRPr="009D7235" w:rsidR="004240B4">
        <w:rPr>
          <w:rFonts w:ascii="Times New Roman" w:hAnsi="Times New Roman" w:cs="Times New Roman"/>
        </w:rPr>
        <w:t>t</w:t>
      </w:r>
      <w:r w:rsidRPr="009D7235">
        <w:rPr>
          <w:rFonts w:ascii="Times New Roman" w:hAnsi="Times New Roman" w:cs="Times New Roman"/>
        </w:rPr>
        <w:t>h</w:t>
      </w:r>
      <w:r w:rsidRPr="009D7235" w:rsidR="004240B4">
        <w:rPr>
          <w:rFonts w:ascii="Times New Roman" w:hAnsi="Times New Roman" w:cs="Times New Roman"/>
        </w:rPr>
        <w:t>is</w:t>
      </w:r>
      <w:r w:rsidRPr="009D7235" w:rsidR="00FA068E">
        <w:rPr>
          <w:rFonts w:ascii="Times New Roman" w:hAnsi="Times New Roman" w:cs="Times New Roman"/>
        </w:rPr>
        <w:t xml:space="preserve"> Supporting Statemen</w:t>
      </w:r>
      <w:r w:rsidRPr="009D7235" w:rsidR="00BB4C7B">
        <w:rPr>
          <w:rFonts w:ascii="Times New Roman" w:hAnsi="Times New Roman" w:cs="Times New Roman"/>
        </w:rPr>
        <w:t>t</w:t>
      </w:r>
    </w:p>
    <w:p w:rsidR="00454232" w:rsidRPr="009D7235" w:rsidP="00454232" w14:paraId="464035BC" w14:textId="4BB4F805">
      <w:pPr>
        <w:rPr>
          <w:rFonts w:ascii="Times New Roman" w:hAnsi="Times New Roman"/>
        </w:rPr>
      </w:pPr>
      <w:r w:rsidRPr="009D7235">
        <w:rPr>
          <w:rFonts w:ascii="Times New Roman" w:hAnsi="Times New Roman"/>
        </w:rPr>
        <w:t>7 USC 136f</w:t>
      </w:r>
    </w:p>
    <w:p w:rsidR="00454232" w:rsidRPr="009D7235" w:rsidP="00454232" w14:paraId="5DE31A6E" w14:textId="10EAB2F9">
      <w:pPr>
        <w:rPr>
          <w:rFonts w:ascii="Times New Roman" w:hAnsi="Times New Roman"/>
        </w:rPr>
      </w:pPr>
      <w:r w:rsidRPr="009D7235">
        <w:rPr>
          <w:rFonts w:ascii="Times New Roman" w:hAnsi="Times New Roman"/>
        </w:rPr>
        <w:t>40 CFR 169</w:t>
      </w:r>
    </w:p>
    <w:p w:rsidR="00454232" w:rsidRPr="009D7235" w:rsidP="00454232" w14:paraId="16E0C2D7" w14:textId="3AAAAB1F">
      <w:pPr>
        <w:rPr>
          <w:rFonts w:ascii="Times New Roman" w:hAnsi="Times New Roman"/>
        </w:rPr>
      </w:pPr>
      <w:r w:rsidRPr="009D7235">
        <w:rPr>
          <w:rFonts w:ascii="Times New Roman" w:hAnsi="Times New Roman"/>
        </w:rPr>
        <w:t>87 FR 54,687</w:t>
      </w:r>
    </w:p>
    <w:sectPr w:rsidSect="00041F22">
      <w:endnotePr>
        <w:numFmt w:val="lowerLetter"/>
      </w:endnotePr>
      <w:pgSz w:w="12240" w:h="15840"/>
      <w:pgMar w:top="1088" w:right="1440" w:bottom="1080" w:left="1440" w:header="540" w:footer="57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65" w:rsidRPr="00AE332C" w:rsidP="00AE332C" w14:paraId="21EB53E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65" w:rsidRPr="00AE332C" w:rsidP="00B4634C" w14:paraId="3F5857CC" w14:textId="2020E742">
    <w:pPr>
      <w:pStyle w:val="Footer"/>
      <w:spacing w:before="120"/>
      <w:jc w:val="center"/>
      <w:rPr>
        <w:rFonts w:ascii="Times New Roman" w:hAnsi="Times New Roman"/>
        <w:szCs w:val="24"/>
      </w:rP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3261" w14:paraId="6A988AFB" w14:textId="6C6E8275">
    <w:pPr>
      <w:pStyle w:val="Header"/>
    </w:pPr>
    <w:r>
      <w:tab/>
    </w:r>
    <w:r>
      <w:tab/>
    </w:r>
  </w:p>
  <w:p w:rsidR="00D84265" w:rsidP="00B4634C" w14:paraId="46277C2E" w14:textId="7648846D">
    <w:pPr>
      <w:pStyle w:val="Header"/>
      <w:tabs>
        <w:tab w:val="left" w:pos="5040"/>
        <w:tab w:val="left" w:pos="5760"/>
        <w:tab w:val="left" w:pos="648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multilevel"/>
    <w:tmpl w:val="8912E260"/>
    <w:lvl w:ilvl="0">
      <w:start w:val="1"/>
      <w:numFmt w:val="decimal"/>
      <w:suff w:val="nothing"/>
      <w:lvlText w:val="%1"/>
      <w:lvlJc w:val="left"/>
    </w:lvl>
    <w:lvl w:ilvl="1">
      <w:start w:val="1"/>
      <w:numFmt w:val="decimal"/>
      <w:suff w:val="nothing"/>
      <w:lvlText w:val="%2"/>
      <w:lvlJc w:val="left"/>
      <w:rPr>
        <w:rFonts w:ascii="Helvetica" w:hAnsi="Helvetica"/>
        <w:vertAlign w:val="superscript"/>
      </w:rPr>
    </w:lvl>
    <w:lvl w:ilvl="2">
      <w:start w:val="1"/>
      <w:numFmt w:val="decimal"/>
      <w:suff w:val="nothing"/>
      <w:lvlText w:val="%3"/>
      <w:lvlJc w:val="left"/>
      <w:rPr>
        <w:rFonts w:ascii="Helvetica" w:hAnsi="Helvetica"/>
        <w:vertAlign w:val="superscript"/>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3114644"/>
    <w:multiLevelType w:val="hybridMultilevel"/>
    <w:tmpl w:val="D8C80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4769A2"/>
    <w:multiLevelType w:val="hybridMultilevel"/>
    <w:tmpl w:val="EF10CA6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BE03FFC"/>
    <w:multiLevelType w:val="hybridMultilevel"/>
    <w:tmpl w:val="8BA818E4"/>
    <w:lvl w:ilvl="0">
      <w:start w:val="1"/>
      <w:numFmt w:val="decimal"/>
      <w:pStyle w:val="Heading1"/>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6C18E8"/>
    <w:multiLevelType w:val="hybridMultilevel"/>
    <w:tmpl w:val="6F1E3C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840C22"/>
    <w:multiLevelType w:val="hybridMultilevel"/>
    <w:tmpl w:val="62722C16"/>
    <w:lvl w:ilvl="0">
      <w:start w:val="1"/>
      <w:numFmt w:val="bullet"/>
      <w:lvlText w:val=""/>
      <w:lvlJc w:val="left"/>
      <w:pPr>
        <w:tabs>
          <w:tab w:val="num" w:pos="432"/>
        </w:tabs>
        <w:ind w:left="432"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7B6803"/>
    <w:multiLevelType w:val="hybridMultilevel"/>
    <w:tmpl w:val="100CF8E0"/>
    <w:lvl w:ilvl="0">
      <w:start w:val="1"/>
      <w:numFmt w:val="bullet"/>
      <w:lvlText w:val=""/>
      <w:lvlJc w:val="left"/>
      <w:pPr>
        <w:tabs>
          <w:tab w:val="num" w:pos="1152"/>
        </w:tabs>
        <w:ind w:left="1152"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1BDE4B16"/>
    <w:multiLevelType w:val="hybridMultilevel"/>
    <w:tmpl w:val="BD20F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AD05B5"/>
    <w:multiLevelType w:val="hybridMultilevel"/>
    <w:tmpl w:val="2CFE5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35F36DC"/>
    <w:multiLevelType w:val="hybridMultilevel"/>
    <w:tmpl w:val="CD66809C"/>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3AA5FD7"/>
    <w:multiLevelType w:val="hybridMultilevel"/>
    <w:tmpl w:val="70108DC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17203F"/>
    <w:multiLevelType w:val="hybridMultilevel"/>
    <w:tmpl w:val="81645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DCA551C"/>
    <w:multiLevelType w:val="hybridMultilevel"/>
    <w:tmpl w:val="B5BA4DC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7521D7"/>
    <w:multiLevelType w:val="hybridMultilevel"/>
    <w:tmpl w:val="62ACE9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92208B1"/>
    <w:multiLevelType w:val="hybridMultilevel"/>
    <w:tmpl w:val="ABA21A54"/>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A592DF5"/>
    <w:multiLevelType w:val="hybridMultilevel"/>
    <w:tmpl w:val="886283C4"/>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C070D3"/>
    <w:multiLevelType w:val="hybridMultilevel"/>
    <w:tmpl w:val="C11843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BE04E3A"/>
    <w:multiLevelType w:val="hybridMultilevel"/>
    <w:tmpl w:val="9E3E51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1976D77"/>
    <w:multiLevelType w:val="hybridMultilevel"/>
    <w:tmpl w:val="240EA1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AA1220"/>
    <w:multiLevelType w:val="hybridMultilevel"/>
    <w:tmpl w:val="C3FE6F4C"/>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8676984"/>
    <w:multiLevelType w:val="hybridMultilevel"/>
    <w:tmpl w:val="07326F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FAD5455"/>
    <w:multiLevelType w:val="hybridMultilevel"/>
    <w:tmpl w:val="167CF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5D438B"/>
    <w:multiLevelType w:val="hybridMultilevel"/>
    <w:tmpl w:val="FE767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6247DA"/>
    <w:multiLevelType w:val="hybridMultilevel"/>
    <w:tmpl w:val="54D02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C87D53"/>
    <w:multiLevelType w:val="hybridMultilevel"/>
    <w:tmpl w:val="38543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E5484A"/>
    <w:multiLevelType w:val="hybridMultilevel"/>
    <w:tmpl w:val="7B5AA618"/>
    <w:lvl w:ilvl="0">
      <w:start w:val="2"/>
      <w:numFmt w:val="upp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0">
    <w:nsid w:val="733215DE"/>
    <w:multiLevelType w:val="hybridMultilevel"/>
    <w:tmpl w:val="211A3D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C675132"/>
    <w:multiLevelType w:val="hybridMultilevel"/>
    <w:tmpl w:val="4E00B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7CA634AE"/>
    <w:multiLevelType w:val="hybridMultilevel"/>
    <w:tmpl w:val="07D23E3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24"/>
  </w:num>
  <w:num w:numId="7">
    <w:abstractNumId w:val="29"/>
  </w:num>
  <w:num w:numId="8">
    <w:abstractNumId w:val="19"/>
  </w:num>
  <w:num w:numId="9">
    <w:abstractNumId w:val="8"/>
  </w:num>
  <w:num w:numId="10">
    <w:abstractNumId w:val="6"/>
  </w:num>
  <w:num w:numId="11">
    <w:abstractNumId w:val="14"/>
  </w:num>
  <w:num w:numId="12">
    <w:abstractNumId w:val="32"/>
  </w:num>
  <w:num w:numId="13">
    <w:abstractNumId w:val="15"/>
  </w:num>
  <w:num w:numId="14">
    <w:abstractNumId w:val="17"/>
  </w:num>
  <w:num w:numId="15">
    <w:abstractNumId w:val="31"/>
  </w:num>
  <w:num w:numId="16">
    <w:abstractNumId w:val="9"/>
  </w:num>
  <w:num w:numId="17">
    <w:abstractNumId w:val="10"/>
  </w:num>
  <w:num w:numId="18">
    <w:abstractNumId w:val="18"/>
  </w:num>
  <w:num w:numId="19">
    <w:abstractNumId w:val="23"/>
  </w:num>
  <w:num w:numId="20">
    <w:abstractNumId w:val="13"/>
  </w:num>
  <w:num w:numId="21">
    <w:abstractNumId w:val="12"/>
  </w:num>
  <w:num w:numId="22">
    <w:abstractNumId w:val="20"/>
  </w:num>
  <w:num w:numId="23">
    <w:abstractNumId w:val="30"/>
  </w:num>
  <w:num w:numId="24">
    <w:abstractNumId w:val="21"/>
  </w:num>
  <w:num w:numId="25">
    <w:abstractNumId w:val="25"/>
  </w:num>
  <w:num w:numId="26">
    <w:abstractNumId w:val="22"/>
  </w:num>
  <w:num w:numId="27">
    <w:abstractNumId w:val="16"/>
  </w:num>
  <w:num w:numId="28">
    <w:abstractNumId w:val="7"/>
  </w:num>
  <w:num w:numId="29">
    <w:abstractNumId w:val="5"/>
  </w:num>
  <w:num w:numId="30">
    <w:abstractNumId w:val="26"/>
  </w:num>
  <w:num w:numId="31">
    <w:abstractNumId w:val="27"/>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CF"/>
    <w:rsid w:val="00002357"/>
    <w:rsid w:val="0000454C"/>
    <w:rsid w:val="00004EF9"/>
    <w:rsid w:val="00005CCE"/>
    <w:rsid w:val="00005F0D"/>
    <w:rsid w:val="00007835"/>
    <w:rsid w:val="000107E3"/>
    <w:rsid w:val="000117B4"/>
    <w:rsid w:val="000238EA"/>
    <w:rsid w:val="00024BCB"/>
    <w:rsid w:val="0002583F"/>
    <w:rsid w:val="00025B53"/>
    <w:rsid w:val="00031FAA"/>
    <w:rsid w:val="000350D7"/>
    <w:rsid w:val="000364DE"/>
    <w:rsid w:val="00036F66"/>
    <w:rsid w:val="00037A2B"/>
    <w:rsid w:val="00037BC4"/>
    <w:rsid w:val="00041F22"/>
    <w:rsid w:val="00044209"/>
    <w:rsid w:val="000544B5"/>
    <w:rsid w:val="00054F51"/>
    <w:rsid w:val="00061967"/>
    <w:rsid w:val="00061C73"/>
    <w:rsid w:val="00066100"/>
    <w:rsid w:val="0006652C"/>
    <w:rsid w:val="000678BB"/>
    <w:rsid w:val="000715E0"/>
    <w:rsid w:val="00075337"/>
    <w:rsid w:val="0007776F"/>
    <w:rsid w:val="000822F7"/>
    <w:rsid w:val="00086331"/>
    <w:rsid w:val="0008636A"/>
    <w:rsid w:val="000903E2"/>
    <w:rsid w:val="00091CF2"/>
    <w:rsid w:val="00094D75"/>
    <w:rsid w:val="0009524E"/>
    <w:rsid w:val="00095E54"/>
    <w:rsid w:val="000969C0"/>
    <w:rsid w:val="000970B6"/>
    <w:rsid w:val="00097F1B"/>
    <w:rsid w:val="000A0F58"/>
    <w:rsid w:val="000A11F9"/>
    <w:rsid w:val="000A29E3"/>
    <w:rsid w:val="000A5221"/>
    <w:rsid w:val="000B4166"/>
    <w:rsid w:val="000B41DB"/>
    <w:rsid w:val="000B5C76"/>
    <w:rsid w:val="000C0410"/>
    <w:rsid w:val="000C0821"/>
    <w:rsid w:val="000C504A"/>
    <w:rsid w:val="000D1399"/>
    <w:rsid w:val="000D34A9"/>
    <w:rsid w:val="000D4348"/>
    <w:rsid w:val="000D5C4B"/>
    <w:rsid w:val="000D5F76"/>
    <w:rsid w:val="000D6807"/>
    <w:rsid w:val="000D77E5"/>
    <w:rsid w:val="000D7B47"/>
    <w:rsid w:val="000E070A"/>
    <w:rsid w:val="000E1F12"/>
    <w:rsid w:val="000E3528"/>
    <w:rsid w:val="000E4270"/>
    <w:rsid w:val="000E5E81"/>
    <w:rsid w:val="000E7249"/>
    <w:rsid w:val="000E788E"/>
    <w:rsid w:val="000F1727"/>
    <w:rsid w:val="000F22E7"/>
    <w:rsid w:val="000F69CF"/>
    <w:rsid w:val="000F7B6B"/>
    <w:rsid w:val="00100B12"/>
    <w:rsid w:val="00102704"/>
    <w:rsid w:val="001141DB"/>
    <w:rsid w:val="00114FE4"/>
    <w:rsid w:val="00117F10"/>
    <w:rsid w:val="00121358"/>
    <w:rsid w:val="0012649F"/>
    <w:rsid w:val="00126675"/>
    <w:rsid w:val="00127ACD"/>
    <w:rsid w:val="00130528"/>
    <w:rsid w:val="00135B83"/>
    <w:rsid w:val="00140F44"/>
    <w:rsid w:val="00141497"/>
    <w:rsid w:val="00142942"/>
    <w:rsid w:val="001438B9"/>
    <w:rsid w:val="00143AA5"/>
    <w:rsid w:val="00145809"/>
    <w:rsid w:val="0015083F"/>
    <w:rsid w:val="00151D10"/>
    <w:rsid w:val="00157ECD"/>
    <w:rsid w:val="00162763"/>
    <w:rsid w:val="00164C24"/>
    <w:rsid w:val="00166EF6"/>
    <w:rsid w:val="00167D81"/>
    <w:rsid w:val="00173B63"/>
    <w:rsid w:val="00184268"/>
    <w:rsid w:val="0018546B"/>
    <w:rsid w:val="00194979"/>
    <w:rsid w:val="0019739C"/>
    <w:rsid w:val="00197581"/>
    <w:rsid w:val="001A0AA0"/>
    <w:rsid w:val="001A4072"/>
    <w:rsid w:val="001A41F6"/>
    <w:rsid w:val="001A4CA2"/>
    <w:rsid w:val="001B0597"/>
    <w:rsid w:val="001B1E62"/>
    <w:rsid w:val="001B3F10"/>
    <w:rsid w:val="001B65DD"/>
    <w:rsid w:val="001C399F"/>
    <w:rsid w:val="001C6CF4"/>
    <w:rsid w:val="001C7E91"/>
    <w:rsid w:val="001D0F1C"/>
    <w:rsid w:val="001D0FFE"/>
    <w:rsid w:val="001D31CD"/>
    <w:rsid w:val="001D3A21"/>
    <w:rsid w:val="001D41C4"/>
    <w:rsid w:val="001D5FD4"/>
    <w:rsid w:val="001E1AD6"/>
    <w:rsid w:val="001F167D"/>
    <w:rsid w:val="001F452C"/>
    <w:rsid w:val="00203264"/>
    <w:rsid w:val="0020528B"/>
    <w:rsid w:val="0020548D"/>
    <w:rsid w:val="00206BC7"/>
    <w:rsid w:val="00206F3D"/>
    <w:rsid w:val="002130E0"/>
    <w:rsid w:val="002151CF"/>
    <w:rsid w:val="00221780"/>
    <w:rsid w:val="002233CC"/>
    <w:rsid w:val="0022465B"/>
    <w:rsid w:val="0022620C"/>
    <w:rsid w:val="002372FA"/>
    <w:rsid w:val="00241CE7"/>
    <w:rsid w:val="00246B56"/>
    <w:rsid w:val="00266218"/>
    <w:rsid w:val="00267348"/>
    <w:rsid w:val="002708D1"/>
    <w:rsid w:val="00272BFB"/>
    <w:rsid w:val="00277A79"/>
    <w:rsid w:val="00277AC1"/>
    <w:rsid w:val="00280A04"/>
    <w:rsid w:val="002820C0"/>
    <w:rsid w:val="00283BC8"/>
    <w:rsid w:val="00284512"/>
    <w:rsid w:val="0028481C"/>
    <w:rsid w:val="002876F8"/>
    <w:rsid w:val="00290B9C"/>
    <w:rsid w:val="002962F4"/>
    <w:rsid w:val="002B09D9"/>
    <w:rsid w:val="002B46ED"/>
    <w:rsid w:val="002B63E0"/>
    <w:rsid w:val="002C0559"/>
    <w:rsid w:val="002C1F67"/>
    <w:rsid w:val="002C2C26"/>
    <w:rsid w:val="002C4BB2"/>
    <w:rsid w:val="002C69D1"/>
    <w:rsid w:val="002C70C8"/>
    <w:rsid w:val="002D3409"/>
    <w:rsid w:val="002D5749"/>
    <w:rsid w:val="002E4D2D"/>
    <w:rsid w:val="002E57DB"/>
    <w:rsid w:val="002E69B6"/>
    <w:rsid w:val="002E6F3C"/>
    <w:rsid w:val="002F1C06"/>
    <w:rsid w:val="003007A5"/>
    <w:rsid w:val="0030173F"/>
    <w:rsid w:val="00304DF5"/>
    <w:rsid w:val="003068FE"/>
    <w:rsid w:val="0030706E"/>
    <w:rsid w:val="00311A4B"/>
    <w:rsid w:val="00316719"/>
    <w:rsid w:val="00316D20"/>
    <w:rsid w:val="003220F5"/>
    <w:rsid w:val="003243D3"/>
    <w:rsid w:val="003252FE"/>
    <w:rsid w:val="0032764A"/>
    <w:rsid w:val="003336A3"/>
    <w:rsid w:val="00336457"/>
    <w:rsid w:val="00336DD1"/>
    <w:rsid w:val="00337276"/>
    <w:rsid w:val="00343CA0"/>
    <w:rsid w:val="00351EC8"/>
    <w:rsid w:val="0035319F"/>
    <w:rsid w:val="00353452"/>
    <w:rsid w:val="003538B0"/>
    <w:rsid w:val="003558D3"/>
    <w:rsid w:val="00355F62"/>
    <w:rsid w:val="00356506"/>
    <w:rsid w:val="00363546"/>
    <w:rsid w:val="0036433D"/>
    <w:rsid w:val="003648FE"/>
    <w:rsid w:val="00364C5B"/>
    <w:rsid w:val="00372694"/>
    <w:rsid w:val="003761C0"/>
    <w:rsid w:val="00377008"/>
    <w:rsid w:val="00380980"/>
    <w:rsid w:val="00381FD5"/>
    <w:rsid w:val="00383C12"/>
    <w:rsid w:val="00387688"/>
    <w:rsid w:val="003907C8"/>
    <w:rsid w:val="00394266"/>
    <w:rsid w:val="003967DB"/>
    <w:rsid w:val="00396843"/>
    <w:rsid w:val="003A2A8C"/>
    <w:rsid w:val="003A605D"/>
    <w:rsid w:val="003B5DB3"/>
    <w:rsid w:val="003C2C21"/>
    <w:rsid w:val="003C2CBD"/>
    <w:rsid w:val="003C4C91"/>
    <w:rsid w:val="003C5989"/>
    <w:rsid w:val="003D1500"/>
    <w:rsid w:val="003E281F"/>
    <w:rsid w:val="003E5343"/>
    <w:rsid w:val="003E6DC8"/>
    <w:rsid w:val="003E7531"/>
    <w:rsid w:val="003E770B"/>
    <w:rsid w:val="003E7DA5"/>
    <w:rsid w:val="003F1B2E"/>
    <w:rsid w:val="003F2C28"/>
    <w:rsid w:val="003F5CDD"/>
    <w:rsid w:val="00400153"/>
    <w:rsid w:val="0040053E"/>
    <w:rsid w:val="0040599A"/>
    <w:rsid w:val="004167BB"/>
    <w:rsid w:val="00420ABB"/>
    <w:rsid w:val="00423CF6"/>
    <w:rsid w:val="004240B4"/>
    <w:rsid w:val="00427BA4"/>
    <w:rsid w:val="004360EB"/>
    <w:rsid w:val="00443E84"/>
    <w:rsid w:val="00446B2A"/>
    <w:rsid w:val="004472A9"/>
    <w:rsid w:val="004528E2"/>
    <w:rsid w:val="00454232"/>
    <w:rsid w:val="00460A68"/>
    <w:rsid w:val="004625D6"/>
    <w:rsid w:val="00463DFD"/>
    <w:rsid w:val="00465025"/>
    <w:rsid w:val="00467534"/>
    <w:rsid w:val="00471011"/>
    <w:rsid w:val="00475B57"/>
    <w:rsid w:val="00477FB6"/>
    <w:rsid w:val="0048031F"/>
    <w:rsid w:val="00480F8E"/>
    <w:rsid w:val="00482135"/>
    <w:rsid w:val="00492CD6"/>
    <w:rsid w:val="00494AE5"/>
    <w:rsid w:val="0049666E"/>
    <w:rsid w:val="004A1CBC"/>
    <w:rsid w:val="004A1DE7"/>
    <w:rsid w:val="004A378B"/>
    <w:rsid w:val="004A49A0"/>
    <w:rsid w:val="004B168C"/>
    <w:rsid w:val="004B22B6"/>
    <w:rsid w:val="004B5F62"/>
    <w:rsid w:val="004B6A2D"/>
    <w:rsid w:val="004C104E"/>
    <w:rsid w:val="004C2B31"/>
    <w:rsid w:val="004C7D30"/>
    <w:rsid w:val="004D23CC"/>
    <w:rsid w:val="004D6307"/>
    <w:rsid w:val="004D7D3F"/>
    <w:rsid w:val="004E1A38"/>
    <w:rsid w:val="004E1C60"/>
    <w:rsid w:val="004E2C75"/>
    <w:rsid w:val="004F08E1"/>
    <w:rsid w:val="00501D74"/>
    <w:rsid w:val="00504674"/>
    <w:rsid w:val="005052E8"/>
    <w:rsid w:val="005076D5"/>
    <w:rsid w:val="00510A48"/>
    <w:rsid w:val="005123BA"/>
    <w:rsid w:val="00517B77"/>
    <w:rsid w:val="005221BC"/>
    <w:rsid w:val="00526CD4"/>
    <w:rsid w:val="00530DCF"/>
    <w:rsid w:val="00531C43"/>
    <w:rsid w:val="00533D7A"/>
    <w:rsid w:val="0054047D"/>
    <w:rsid w:val="00542A06"/>
    <w:rsid w:val="00543CFF"/>
    <w:rsid w:val="005464F7"/>
    <w:rsid w:val="00553261"/>
    <w:rsid w:val="00553E83"/>
    <w:rsid w:val="0055664E"/>
    <w:rsid w:val="00561640"/>
    <w:rsid w:val="00564B49"/>
    <w:rsid w:val="00566760"/>
    <w:rsid w:val="005704D5"/>
    <w:rsid w:val="00570D01"/>
    <w:rsid w:val="00573576"/>
    <w:rsid w:val="00575610"/>
    <w:rsid w:val="00577CDE"/>
    <w:rsid w:val="00580992"/>
    <w:rsid w:val="00581F57"/>
    <w:rsid w:val="0058246D"/>
    <w:rsid w:val="0058723B"/>
    <w:rsid w:val="005875E7"/>
    <w:rsid w:val="00592A29"/>
    <w:rsid w:val="005943CA"/>
    <w:rsid w:val="00594A71"/>
    <w:rsid w:val="005A06F9"/>
    <w:rsid w:val="005A4BAE"/>
    <w:rsid w:val="005A5B54"/>
    <w:rsid w:val="005A6A56"/>
    <w:rsid w:val="005B3841"/>
    <w:rsid w:val="005B49DA"/>
    <w:rsid w:val="005B4B75"/>
    <w:rsid w:val="005B4DBE"/>
    <w:rsid w:val="005B60F4"/>
    <w:rsid w:val="005B7C38"/>
    <w:rsid w:val="005C0F4A"/>
    <w:rsid w:val="005C119E"/>
    <w:rsid w:val="005C3358"/>
    <w:rsid w:val="005C3FEE"/>
    <w:rsid w:val="005C4BDC"/>
    <w:rsid w:val="005D080F"/>
    <w:rsid w:val="005D5B8B"/>
    <w:rsid w:val="005D68D5"/>
    <w:rsid w:val="005D6B21"/>
    <w:rsid w:val="005E0597"/>
    <w:rsid w:val="005E3EE3"/>
    <w:rsid w:val="005F1A5A"/>
    <w:rsid w:val="005F6F5B"/>
    <w:rsid w:val="005F793C"/>
    <w:rsid w:val="006005F8"/>
    <w:rsid w:val="0060172D"/>
    <w:rsid w:val="00603911"/>
    <w:rsid w:val="00603F03"/>
    <w:rsid w:val="00604465"/>
    <w:rsid w:val="0060641A"/>
    <w:rsid w:val="006102EC"/>
    <w:rsid w:val="006118A1"/>
    <w:rsid w:val="00617CD3"/>
    <w:rsid w:val="006203A7"/>
    <w:rsid w:val="006211D3"/>
    <w:rsid w:val="00621A6D"/>
    <w:rsid w:val="00624751"/>
    <w:rsid w:val="006259AF"/>
    <w:rsid w:val="00627518"/>
    <w:rsid w:val="00635DB8"/>
    <w:rsid w:val="00640726"/>
    <w:rsid w:val="00641E8D"/>
    <w:rsid w:val="00647564"/>
    <w:rsid w:val="0065275A"/>
    <w:rsid w:val="00660683"/>
    <w:rsid w:val="00672CE5"/>
    <w:rsid w:val="00672F24"/>
    <w:rsid w:val="00675137"/>
    <w:rsid w:val="00680CE6"/>
    <w:rsid w:val="006814D6"/>
    <w:rsid w:val="00682EB9"/>
    <w:rsid w:val="0068407B"/>
    <w:rsid w:val="00693C7B"/>
    <w:rsid w:val="00695A2A"/>
    <w:rsid w:val="006A17A2"/>
    <w:rsid w:val="006B0E2D"/>
    <w:rsid w:val="006B4A1E"/>
    <w:rsid w:val="006B4CE7"/>
    <w:rsid w:val="006C2D6F"/>
    <w:rsid w:val="006C2E66"/>
    <w:rsid w:val="006D1842"/>
    <w:rsid w:val="006D3145"/>
    <w:rsid w:val="006D662F"/>
    <w:rsid w:val="006D7D6D"/>
    <w:rsid w:val="006E4982"/>
    <w:rsid w:val="006E55C5"/>
    <w:rsid w:val="006E6AFE"/>
    <w:rsid w:val="006F3CE9"/>
    <w:rsid w:val="00700268"/>
    <w:rsid w:val="00703F26"/>
    <w:rsid w:val="007066DA"/>
    <w:rsid w:val="007118FB"/>
    <w:rsid w:val="00712AAA"/>
    <w:rsid w:val="00713BBF"/>
    <w:rsid w:val="00730EA8"/>
    <w:rsid w:val="007337EE"/>
    <w:rsid w:val="007346EB"/>
    <w:rsid w:val="00741FAD"/>
    <w:rsid w:val="00745D4A"/>
    <w:rsid w:val="00746FF5"/>
    <w:rsid w:val="0074779A"/>
    <w:rsid w:val="00750983"/>
    <w:rsid w:val="00750C1B"/>
    <w:rsid w:val="00751CF6"/>
    <w:rsid w:val="00751DD5"/>
    <w:rsid w:val="00755193"/>
    <w:rsid w:val="00756C57"/>
    <w:rsid w:val="00760CF0"/>
    <w:rsid w:val="007614DE"/>
    <w:rsid w:val="0076553B"/>
    <w:rsid w:val="00774830"/>
    <w:rsid w:val="00775E2A"/>
    <w:rsid w:val="00776E24"/>
    <w:rsid w:val="00785A22"/>
    <w:rsid w:val="007874A8"/>
    <w:rsid w:val="007933AF"/>
    <w:rsid w:val="007942A9"/>
    <w:rsid w:val="00794B25"/>
    <w:rsid w:val="007974FE"/>
    <w:rsid w:val="007A099C"/>
    <w:rsid w:val="007A2EBA"/>
    <w:rsid w:val="007A7CB6"/>
    <w:rsid w:val="007B0661"/>
    <w:rsid w:val="007B1740"/>
    <w:rsid w:val="007B21A5"/>
    <w:rsid w:val="007B2F35"/>
    <w:rsid w:val="007B495D"/>
    <w:rsid w:val="007C08CD"/>
    <w:rsid w:val="007C0A8C"/>
    <w:rsid w:val="007C2632"/>
    <w:rsid w:val="007C50D7"/>
    <w:rsid w:val="007D0F1E"/>
    <w:rsid w:val="007D5B38"/>
    <w:rsid w:val="007E1BD9"/>
    <w:rsid w:val="007E4E5C"/>
    <w:rsid w:val="007E51D6"/>
    <w:rsid w:val="007E783D"/>
    <w:rsid w:val="007F03B0"/>
    <w:rsid w:val="007F4CCE"/>
    <w:rsid w:val="007F5402"/>
    <w:rsid w:val="007F6200"/>
    <w:rsid w:val="007F7FE6"/>
    <w:rsid w:val="00801F02"/>
    <w:rsid w:val="00803184"/>
    <w:rsid w:val="0080788D"/>
    <w:rsid w:val="0081457D"/>
    <w:rsid w:val="00815048"/>
    <w:rsid w:val="00817392"/>
    <w:rsid w:val="00821C00"/>
    <w:rsid w:val="00825842"/>
    <w:rsid w:val="00826B27"/>
    <w:rsid w:val="00827FA9"/>
    <w:rsid w:val="00835BEF"/>
    <w:rsid w:val="00836E23"/>
    <w:rsid w:val="008373F3"/>
    <w:rsid w:val="00840208"/>
    <w:rsid w:val="008430EA"/>
    <w:rsid w:val="00845C41"/>
    <w:rsid w:val="00846D04"/>
    <w:rsid w:val="00850C14"/>
    <w:rsid w:val="008510E8"/>
    <w:rsid w:val="008533E6"/>
    <w:rsid w:val="0085380C"/>
    <w:rsid w:val="00853A6C"/>
    <w:rsid w:val="00853E72"/>
    <w:rsid w:val="00856A41"/>
    <w:rsid w:val="008575ED"/>
    <w:rsid w:val="00857CE9"/>
    <w:rsid w:val="00865BBE"/>
    <w:rsid w:val="00865C3A"/>
    <w:rsid w:val="00867B55"/>
    <w:rsid w:val="00871692"/>
    <w:rsid w:val="008738FF"/>
    <w:rsid w:val="00874225"/>
    <w:rsid w:val="0087552F"/>
    <w:rsid w:val="00880E81"/>
    <w:rsid w:val="00886301"/>
    <w:rsid w:val="0089000D"/>
    <w:rsid w:val="00891CC3"/>
    <w:rsid w:val="008948D9"/>
    <w:rsid w:val="00896823"/>
    <w:rsid w:val="008A7C77"/>
    <w:rsid w:val="008B1699"/>
    <w:rsid w:val="008B23C6"/>
    <w:rsid w:val="008B38E7"/>
    <w:rsid w:val="008B6011"/>
    <w:rsid w:val="008C22D5"/>
    <w:rsid w:val="008C237C"/>
    <w:rsid w:val="008C2F38"/>
    <w:rsid w:val="008C368D"/>
    <w:rsid w:val="008D4ECB"/>
    <w:rsid w:val="008D5246"/>
    <w:rsid w:val="008E01B0"/>
    <w:rsid w:val="008E2B06"/>
    <w:rsid w:val="008E307C"/>
    <w:rsid w:val="008E4663"/>
    <w:rsid w:val="008E5622"/>
    <w:rsid w:val="008F01FD"/>
    <w:rsid w:val="008F2DD6"/>
    <w:rsid w:val="009025AA"/>
    <w:rsid w:val="009044B6"/>
    <w:rsid w:val="00910610"/>
    <w:rsid w:val="00914C6D"/>
    <w:rsid w:val="0091526F"/>
    <w:rsid w:val="00915DD8"/>
    <w:rsid w:val="00915EB7"/>
    <w:rsid w:val="00916A7D"/>
    <w:rsid w:val="00917E91"/>
    <w:rsid w:val="00922334"/>
    <w:rsid w:val="00931F7F"/>
    <w:rsid w:val="00932596"/>
    <w:rsid w:val="009333B2"/>
    <w:rsid w:val="00933B85"/>
    <w:rsid w:val="00934201"/>
    <w:rsid w:val="00935080"/>
    <w:rsid w:val="009354B0"/>
    <w:rsid w:val="009355E2"/>
    <w:rsid w:val="00936519"/>
    <w:rsid w:val="00936E05"/>
    <w:rsid w:val="00937407"/>
    <w:rsid w:val="00943E75"/>
    <w:rsid w:val="009441CD"/>
    <w:rsid w:val="00944F8B"/>
    <w:rsid w:val="009456C9"/>
    <w:rsid w:val="00946975"/>
    <w:rsid w:val="00947799"/>
    <w:rsid w:val="00952F5A"/>
    <w:rsid w:val="00953D1C"/>
    <w:rsid w:val="009609F1"/>
    <w:rsid w:val="00961482"/>
    <w:rsid w:val="00965D6B"/>
    <w:rsid w:val="009678CF"/>
    <w:rsid w:val="0097055C"/>
    <w:rsid w:val="00970A57"/>
    <w:rsid w:val="009726E6"/>
    <w:rsid w:val="00972A5A"/>
    <w:rsid w:val="00973558"/>
    <w:rsid w:val="0098232F"/>
    <w:rsid w:val="00983CC3"/>
    <w:rsid w:val="0098702D"/>
    <w:rsid w:val="00987B8D"/>
    <w:rsid w:val="0099115F"/>
    <w:rsid w:val="00991D69"/>
    <w:rsid w:val="00992DA1"/>
    <w:rsid w:val="00995E53"/>
    <w:rsid w:val="00996EF6"/>
    <w:rsid w:val="009A4CC0"/>
    <w:rsid w:val="009A5E54"/>
    <w:rsid w:val="009A65B9"/>
    <w:rsid w:val="009B054E"/>
    <w:rsid w:val="009B2123"/>
    <w:rsid w:val="009B274E"/>
    <w:rsid w:val="009B7E02"/>
    <w:rsid w:val="009C07DE"/>
    <w:rsid w:val="009C108A"/>
    <w:rsid w:val="009C276D"/>
    <w:rsid w:val="009C40D1"/>
    <w:rsid w:val="009C4DFD"/>
    <w:rsid w:val="009C5974"/>
    <w:rsid w:val="009D12AB"/>
    <w:rsid w:val="009D314F"/>
    <w:rsid w:val="009D7235"/>
    <w:rsid w:val="009D76C9"/>
    <w:rsid w:val="009E2422"/>
    <w:rsid w:val="009E518C"/>
    <w:rsid w:val="009E6F1D"/>
    <w:rsid w:val="00A03B26"/>
    <w:rsid w:val="00A03DFE"/>
    <w:rsid w:val="00A04248"/>
    <w:rsid w:val="00A065CA"/>
    <w:rsid w:val="00A071CD"/>
    <w:rsid w:val="00A16BB6"/>
    <w:rsid w:val="00A177F3"/>
    <w:rsid w:val="00A2766C"/>
    <w:rsid w:val="00A27A89"/>
    <w:rsid w:val="00A3291C"/>
    <w:rsid w:val="00A32AF1"/>
    <w:rsid w:val="00A3380B"/>
    <w:rsid w:val="00A452AF"/>
    <w:rsid w:val="00A5235C"/>
    <w:rsid w:val="00A5297E"/>
    <w:rsid w:val="00A53DE9"/>
    <w:rsid w:val="00A556E2"/>
    <w:rsid w:val="00A56087"/>
    <w:rsid w:val="00A57FF9"/>
    <w:rsid w:val="00A610BD"/>
    <w:rsid w:val="00A61358"/>
    <w:rsid w:val="00A62511"/>
    <w:rsid w:val="00A6601F"/>
    <w:rsid w:val="00A72225"/>
    <w:rsid w:val="00A74EBE"/>
    <w:rsid w:val="00A75188"/>
    <w:rsid w:val="00A820FF"/>
    <w:rsid w:val="00A8614E"/>
    <w:rsid w:val="00A8698C"/>
    <w:rsid w:val="00A90AFA"/>
    <w:rsid w:val="00A915DC"/>
    <w:rsid w:val="00A939CC"/>
    <w:rsid w:val="00A93BE4"/>
    <w:rsid w:val="00AA502A"/>
    <w:rsid w:val="00AA5595"/>
    <w:rsid w:val="00AA6B5B"/>
    <w:rsid w:val="00AA74DF"/>
    <w:rsid w:val="00AA7E87"/>
    <w:rsid w:val="00AB451A"/>
    <w:rsid w:val="00AB46D5"/>
    <w:rsid w:val="00AC0026"/>
    <w:rsid w:val="00AC0920"/>
    <w:rsid w:val="00AC2573"/>
    <w:rsid w:val="00AD00A0"/>
    <w:rsid w:val="00AD1987"/>
    <w:rsid w:val="00AD3EDE"/>
    <w:rsid w:val="00AD5F70"/>
    <w:rsid w:val="00AD7375"/>
    <w:rsid w:val="00AE06C5"/>
    <w:rsid w:val="00AE32F7"/>
    <w:rsid w:val="00AE332C"/>
    <w:rsid w:val="00AE39FA"/>
    <w:rsid w:val="00AE563D"/>
    <w:rsid w:val="00AE63E1"/>
    <w:rsid w:val="00AF1597"/>
    <w:rsid w:val="00AF25DF"/>
    <w:rsid w:val="00AF42AF"/>
    <w:rsid w:val="00B07885"/>
    <w:rsid w:val="00B10CF6"/>
    <w:rsid w:val="00B11A0E"/>
    <w:rsid w:val="00B16526"/>
    <w:rsid w:val="00B17595"/>
    <w:rsid w:val="00B22546"/>
    <w:rsid w:val="00B25801"/>
    <w:rsid w:val="00B30F40"/>
    <w:rsid w:val="00B31569"/>
    <w:rsid w:val="00B3386C"/>
    <w:rsid w:val="00B33A63"/>
    <w:rsid w:val="00B34ECF"/>
    <w:rsid w:val="00B40906"/>
    <w:rsid w:val="00B419E9"/>
    <w:rsid w:val="00B42824"/>
    <w:rsid w:val="00B42F26"/>
    <w:rsid w:val="00B445EB"/>
    <w:rsid w:val="00B4634C"/>
    <w:rsid w:val="00B50E46"/>
    <w:rsid w:val="00B512CC"/>
    <w:rsid w:val="00B51B72"/>
    <w:rsid w:val="00B51DF2"/>
    <w:rsid w:val="00B5323B"/>
    <w:rsid w:val="00B559BA"/>
    <w:rsid w:val="00B62D78"/>
    <w:rsid w:val="00B836D8"/>
    <w:rsid w:val="00B855E3"/>
    <w:rsid w:val="00B857D2"/>
    <w:rsid w:val="00B877A9"/>
    <w:rsid w:val="00B8780C"/>
    <w:rsid w:val="00B907BE"/>
    <w:rsid w:val="00B93D63"/>
    <w:rsid w:val="00B9496E"/>
    <w:rsid w:val="00B95C67"/>
    <w:rsid w:val="00B97D55"/>
    <w:rsid w:val="00B97FEB"/>
    <w:rsid w:val="00BA19A4"/>
    <w:rsid w:val="00BA66C5"/>
    <w:rsid w:val="00BB05C3"/>
    <w:rsid w:val="00BB2C47"/>
    <w:rsid w:val="00BB32F1"/>
    <w:rsid w:val="00BB37F5"/>
    <w:rsid w:val="00BB4873"/>
    <w:rsid w:val="00BB4C7B"/>
    <w:rsid w:val="00BB58E5"/>
    <w:rsid w:val="00BB7E3E"/>
    <w:rsid w:val="00BC1907"/>
    <w:rsid w:val="00BC34EF"/>
    <w:rsid w:val="00BC5EB3"/>
    <w:rsid w:val="00BD0123"/>
    <w:rsid w:val="00BD3DF2"/>
    <w:rsid w:val="00BD3E9A"/>
    <w:rsid w:val="00BD4445"/>
    <w:rsid w:val="00BD75E0"/>
    <w:rsid w:val="00BE2743"/>
    <w:rsid w:val="00BF0B53"/>
    <w:rsid w:val="00BF3E0B"/>
    <w:rsid w:val="00BF40B4"/>
    <w:rsid w:val="00BF57DE"/>
    <w:rsid w:val="00C02DF0"/>
    <w:rsid w:val="00C11A1A"/>
    <w:rsid w:val="00C127F7"/>
    <w:rsid w:val="00C20C62"/>
    <w:rsid w:val="00C23491"/>
    <w:rsid w:val="00C258E5"/>
    <w:rsid w:val="00C30703"/>
    <w:rsid w:val="00C30D2C"/>
    <w:rsid w:val="00C35516"/>
    <w:rsid w:val="00C36D61"/>
    <w:rsid w:val="00C375CB"/>
    <w:rsid w:val="00C42573"/>
    <w:rsid w:val="00C44AA4"/>
    <w:rsid w:val="00C44D8C"/>
    <w:rsid w:val="00C46D2C"/>
    <w:rsid w:val="00C47E03"/>
    <w:rsid w:val="00C511E7"/>
    <w:rsid w:val="00C523F5"/>
    <w:rsid w:val="00C54648"/>
    <w:rsid w:val="00C57F04"/>
    <w:rsid w:val="00C63E5C"/>
    <w:rsid w:val="00C7341C"/>
    <w:rsid w:val="00C738B7"/>
    <w:rsid w:val="00C74888"/>
    <w:rsid w:val="00C84784"/>
    <w:rsid w:val="00C86A4A"/>
    <w:rsid w:val="00C90318"/>
    <w:rsid w:val="00C92C73"/>
    <w:rsid w:val="00C92CEA"/>
    <w:rsid w:val="00C939A1"/>
    <w:rsid w:val="00C96D31"/>
    <w:rsid w:val="00CA39D2"/>
    <w:rsid w:val="00CA540E"/>
    <w:rsid w:val="00CB4642"/>
    <w:rsid w:val="00CC2DB7"/>
    <w:rsid w:val="00CD423D"/>
    <w:rsid w:val="00CE0C57"/>
    <w:rsid w:val="00CE2715"/>
    <w:rsid w:val="00CE3094"/>
    <w:rsid w:val="00CE41DD"/>
    <w:rsid w:val="00CF3B8C"/>
    <w:rsid w:val="00CF5E84"/>
    <w:rsid w:val="00D01FD3"/>
    <w:rsid w:val="00D02284"/>
    <w:rsid w:val="00D03B38"/>
    <w:rsid w:val="00D061C7"/>
    <w:rsid w:val="00D063DB"/>
    <w:rsid w:val="00D12D75"/>
    <w:rsid w:val="00D17DC2"/>
    <w:rsid w:val="00D20DC1"/>
    <w:rsid w:val="00D22F69"/>
    <w:rsid w:val="00D27DD5"/>
    <w:rsid w:val="00D327ED"/>
    <w:rsid w:val="00D3398A"/>
    <w:rsid w:val="00D34604"/>
    <w:rsid w:val="00D35573"/>
    <w:rsid w:val="00D3628E"/>
    <w:rsid w:val="00D37D23"/>
    <w:rsid w:val="00D41AF4"/>
    <w:rsid w:val="00D424E1"/>
    <w:rsid w:val="00D55A6A"/>
    <w:rsid w:val="00D60C9D"/>
    <w:rsid w:val="00D63DE8"/>
    <w:rsid w:val="00D65B04"/>
    <w:rsid w:val="00D67F74"/>
    <w:rsid w:val="00D73740"/>
    <w:rsid w:val="00D82FED"/>
    <w:rsid w:val="00D83A0E"/>
    <w:rsid w:val="00D84265"/>
    <w:rsid w:val="00D8477A"/>
    <w:rsid w:val="00D84CCA"/>
    <w:rsid w:val="00D850C0"/>
    <w:rsid w:val="00D95431"/>
    <w:rsid w:val="00D965A3"/>
    <w:rsid w:val="00DA61B3"/>
    <w:rsid w:val="00DB2133"/>
    <w:rsid w:val="00DB5FC8"/>
    <w:rsid w:val="00DC1850"/>
    <w:rsid w:val="00DD284F"/>
    <w:rsid w:val="00DD4CB7"/>
    <w:rsid w:val="00DD5578"/>
    <w:rsid w:val="00DD62FE"/>
    <w:rsid w:val="00DD68AF"/>
    <w:rsid w:val="00DE6386"/>
    <w:rsid w:val="00DE7241"/>
    <w:rsid w:val="00DE7CE5"/>
    <w:rsid w:val="00DF274B"/>
    <w:rsid w:val="00E00307"/>
    <w:rsid w:val="00E00E0F"/>
    <w:rsid w:val="00E050D1"/>
    <w:rsid w:val="00E075ED"/>
    <w:rsid w:val="00E12DED"/>
    <w:rsid w:val="00E154A1"/>
    <w:rsid w:val="00E16B91"/>
    <w:rsid w:val="00E22371"/>
    <w:rsid w:val="00E23F5D"/>
    <w:rsid w:val="00E302FB"/>
    <w:rsid w:val="00E4471C"/>
    <w:rsid w:val="00E4641C"/>
    <w:rsid w:val="00E5677D"/>
    <w:rsid w:val="00E63FE6"/>
    <w:rsid w:val="00E6761E"/>
    <w:rsid w:val="00E678D7"/>
    <w:rsid w:val="00E7068D"/>
    <w:rsid w:val="00E72126"/>
    <w:rsid w:val="00E74F1C"/>
    <w:rsid w:val="00E75C67"/>
    <w:rsid w:val="00E777D9"/>
    <w:rsid w:val="00E77DB6"/>
    <w:rsid w:val="00E827A1"/>
    <w:rsid w:val="00E84DDF"/>
    <w:rsid w:val="00E87870"/>
    <w:rsid w:val="00E915D9"/>
    <w:rsid w:val="00E92085"/>
    <w:rsid w:val="00E94C70"/>
    <w:rsid w:val="00E95E96"/>
    <w:rsid w:val="00E9732F"/>
    <w:rsid w:val="00EB03CE"/>
    <w:rsid w:val="00EB1BBF"/>
    <w:rsid w:val="00EB68CF"/>
    <w:rsid w:val="00EB7B64"/>
    <w:rsid w:val="00EC17A0"/>
    <w:rsid w:val="00EC1808"/>
    <w:rsid w:val="00EC1EAD"/>
    <w:rsid w:val="00EC2B7C"/>
    <w:rsid w:val="00EC2DF3"/>
    <w:rsid w:val="00EC2E7D"/>
    <w:rsid w:val="00EC3575"/>
    <w:rsid w:val="00EC7BD3"/>
    <w:rsid w:val="00ED0F09"/>
    <w:rsid w:val="00ED325D"/>
    <w:rsid w:val="00ED7DA8"/>
    <w:rsid w:val="00EE27BB"/>
    <w:rsid w:val="00EE4573"/>
    <w:rsid w:val="00EE6C9A"/>
    <w:rsid w:val="00EE78FD"/>
    <w:rsid w:val="00EF1356"/>
    <w:rsid w:val="00EF363D"/>
    <w:rsid w:val="00EF7BCC"/>
    <w:rsid w:val="00F06E42"/>
    <w:rsid w:val="00F17656"/>
    <w:rsid w:val="00F234C5"/>
    <w:rsid w:val="00F249BE"/>
    <w:rsid w:val="00F24D68"/>
    <w:rsid w:val="00F2590C"/>
    <w:rsid w:val="00F341A6"/>
    <w:rsid w:val="00F34D0D"/>
    <w:rsid w:val="00F35B2E"/>
    <w:rsid w:val="00F42F7D"/>
    <w:rsid w:val="00F453F2"/>
    <w:rsid w:val="00F461DB"/>
    <w:rsid w:val="00F52875"/>
    <w:rsid w:val="00F565EA"/>
    <w:rsid w:val="00F56DE0"/>
    <w:rsid w:val="00F63AA1"/>
    <w:rsid w:val="00F641C8"/>
    <w:rsid w:val="00F64F3C"/>
    <w:rsid w:val="00F65C6B"/>
    <w:rsid w:val="00F76346"/>
    <w:rsid w:val="00F7653F"/>
    <w:rsid w:val="00F8230A"/>
    <w:rsid w:val="00F84F49"/>
    <w:rsid w:val="00F84FB9"/>
    <w:rsid w:val="00F867DB"/>
    <w:rsid w:val="00F87C03"/>
    <w:rsid w:val="00F94EBB"/>
    <w:rsid w:val="00F96D3B"/>
    <w:rsid w:val="00F97574"/>
    <w:rsid w:val="00FA068E"/>
    <w:rsid w:val="00FA34ED"/>
    <w:rsid w:val="00FA61B3"/>
    <w:rsid w:val="00FB1392"/>
    <w:rsid w:val="00FB28EC"/>
    <w:rsid w:val="00FB3D4B"/>
    <w:rsid w:val="00FB4691"/>
    <w:rsid w:val="00FB52A9"/>
    <w:rsid w:val="00FC0486"/>
    <w:rsid w:val="00FC197F"/>
    <w:rsid w:val="00FC34D4"/>
    <w:rsid w:val="00FC4140"/>
    <w:rsid w:val="00FC4214"/>
    <w:rsid w:val="00FC57DB"/>
    <w:rsid w:val="00FC793E"/>
    <w:rsid w:val="00FD1F3D"/>
    <w:rsid w:val="00FD3389"/>
    <w:rsid w:val="00FD62EE"/>
    <w:rsid w:val="00FE1E6D"/>
    <w:rsid w:val="00FE223E"/>
    <w:rsid w:val="00FE2C81"/>
    <w:rsid w:val="00FE39C6"/>
    <w:rsid w:val="00FE42B5"/>
    <w:rsid w:val="00FE566E"/>
    <w:rsid w:val="00FE7D93"/>
    <w:rsid w:val="00FF37B4"/>
    <w:rsid w:val="00FF5E0E"/>
    <w:rsid w:val="2048018E"/>
    <w:rsid w:val="22081410"/>
    <w:rsid w:val="3D6137C7"/>
    <w:rsid w:val="45CDA63B"/>
    <w:rsid w:val="4A269272"/>
    <w:rsid w:val="4EDC3922"/>
    <w:rsid w:val="5E6DF856"/>
    <w:rsid w:val="6A23CE5E"/>
    <w:rsid w:val="6B5FB47E"/>
    <w:rsid w:val="6D256C0B"/>
    <w:rsid w:val="70E55E22"/>
    <w:rsid w:val="71F95ED4"/>
    <w:rsid w:val="7A4AB580"/>
    <w:rsid w:val="7C699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41A0A9"/>
  <w15:docId w15:val="{922F32CA-6508-4938-A048-537064C8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5C67"/>
    <w:rPr>
      <w:rFonts w:asciiTheme="minorHAnsi" w:hAnsiTheme="minorHAnsi"/>
      <w:sz w:val="24"/>
    </w:rPr>
  </w:style>
  <w:style w:type="paragraph" w:styleId="Heading1">
    <w:name w:val="heading 1"/>
    <w:basedOn w:val="Normal"/>
    <w:next w:val="Normal"/>
    <w:link w:val="Heading1Char"/>
    <w:qFormat/>
    <w:rsid w:val="00AE563D"/>
    <w:pPr>
      <w:keepNext/>
      <w:keepLines/>
      <w:numPr>
        <w:numId w:val="28"/>
      </w:numPr>
      <w:spacing w:before="360" w:after="120"/>
      <w:outlineLvl w:val="0"/>
    </w:pPr>
    <w:rPr>
      <w:rFonts w:eastAsiaTheme="majorEastAsia" w:cstheme="majorBidi"/>
      <w:b/>
      <w:szCs w:val="32"/>
    </w:rPr>
  </w:style>
  <w:style w:type="paragraph" w:styleId="Heading2">
    <w:name w:val="heading 2"/>
    <w:basedOn w:val="Normal"/>
    <w:next w:val="Normal"/>
    <w:link w:val="Heading2Char"/>
    <w:unhideWhenUsed/>
    <w:qFormat/>
    <w:rsid w:val="000E1F12"/>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363546"/>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363546"/>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FE4"/>
    <w:pPr>
      <w:tabs>
        <w:tab w:val="center" w:pos="4320"/>
        <w:tab w:val="right" w:pos="8640"/>
      </w:tabs>
    </w:pPr>
    <w:rPr>
      <w:sz w:val="20"/>
    </w:rPr>
  </w:style>
  <w:style w:type="paragraph" w:customStyle="1" w:styleId="26">
    <w:name w:val="_26"/>
    <w:basedOn w:val="Normal"/>
    <w:rsid w:val="00114FE4"/>
    <w:pPr>
      <w:widowControl w:val="0"/>
    </w:pPr>
  </w:style>
  <w:style w:type="paragraph" w:customStyle="1" w:styleId="25">
    <w:name w:val="_25"/>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114FE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114FE4"/>
    <w:pPr>
      <w:widowControl w:val="0"/>
      <w:tabs>
        <w:tab w:val="left" w:pos="6480"/>
        <w:tab w:val="left" w:pos="7200"/>
        <w:tab w:val="left" w:pos="7920"/>
        <w:tab w:val="left" w:pos="8640"/>
      </w:tabs>
      <w:ind w:left="6480" w:hanging="720"/>
    </w:pPr>
  </w:style>
  <w:style w:type="paragraph" w:customStyle="1" w:styleId="Level1">
    <w:name w:val="Level 1"/>
    <w:basedOn w:val="Normal"/>
    <w:rsid w:val="00114FE4"/>
    <w:pPr>
      <w:widowControl w:val="0"/>
    </w:pPr>
  </w:style>
  <w:style w:type="paragraph" w:customStyle="1" w:styleId="17">
    <w:name w:val="_17"/>
    <w:basedOn w:val="Normal"/>
    <w:rsid w:val="00114FE4"/>
    <w:pPr>
      <w:widowControl w:val="0"/>
    </w:pPr>
  </w:style>
  <w:style w:type="paragraph" w:customStyle="1" w:styleId="16">
    <w:name w:val="_16"/>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114FE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114FE4"/>
    <w:pPr>
      <w:widowControl w:val="0"/>
      <w:tabs>
        <w:tab w:val="left" w:pos="6480"/>
        <w:tab w:val="left" w:pos="7200"/>
        <w:tab w:val="left" w:pos="7920"/>
        <w:tab w:val="left" w:pos="8640"/>
      </w:tabs>
      <w:ind w:left="6480" w:hanging="720"/>
    </w:pPr>
  </w:style>
  <w:style w:type="paragraph" w:customStyle="1" w:styleId="8">
    <w:name w:val="_8"/>
    <w:basedOn w:val="Normal"/>
    <w:rsid w:val="00114FE4"/>
    <w:pPr>
      <w:widowControl w:val="0"/>
    </w:pPr>
  </w:style>
  <w:style w:type="paragraph" w:customStyle="1" w:styleId="7">
    <w:name w:val="_7"/>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114FE4"/>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114FE4"/>
    <w:pPr>
      <w:widowControl w:val="0"/>
      <w:tabs>
        <w:tab w:val="left" w:pos="6480"/>
        <w:tab w:val="left" w:pos="7200"/>
        <w:tab w:val="left" w:pos="7920"/>
        <w:tab w:val="left" w:pos="8640"/>
      </w:tabs>
      <w:ind w:left="6480" w:hanging="720"/>
    </w:pPr>
  </w:style>
  <w:style w:type="paragraph" w:customStyle="1" w:styleId="1Paragraph">
    <w:name w:val="1Paragraph"/>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Paragraph">
    <w:name w:val="2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Paragraph">
    <w:name w:val="3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Paragraph">
    <w:name w:val="4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Paragraph">
    <w:name w:val="5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Paragraph">
    <w:name w:val="6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Paragraph">
    <w:name w:val="7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Paragraph">
    <w:name w:val="8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1AutoList1">
    <w:name w:val="1AutoList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AutoList1">
    <w:name w:val="2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AutoList1">
    <w:name w:val="3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AutoList1">
    <w:name w:val="4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AutoList1">
    <w:name w:val="5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AutoList1">
    <w:name w:val="6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AutoList1">
    <w:name w:val="7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AutoList1">
    <w:name w:val="8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0">
    <w:name w:val="_0"/>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10">
    <w:name w:val="_110"/>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7">
    <w:name w:val="_27"/>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30">
    <w:name w:val="_3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40">
    <w:name w:val="_4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50">
    <w:name w:val="_5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0">
    <w:name w:val="_6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0">
    <w:name w:val="_7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80">
    <w:name w:val="_80"/>
    <w:basedOn w:val="Normal"/>
    <w:rsid w:val="00114FE4"/>
    <w:pPr>
      <w:widowControl w:val="0"/>
    </w:pPr>
  </w:style>
  <w:style w:type="paragraph" w:customStyle="1" w:styleId="90">
    <w:name w:val="_90"/>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00">
    <w:name w:val="_100"/>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111">
    <w:name w:val="_111"/>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120">
    <w:name w:val="_12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130">
    <w:name w:val="_13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140">
    <w:name w:val="_14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50">
    <w:name w:val="_15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60">
    <w:name w:val="_16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170">
    <w:name w:val="_170"/>
    <w:basedOn w:val="Normal"/>
    <w:rsid w:val="00114FE4"/>
    <w:pPr>
      <w:widowControl w:val="0"/>
    </w:pPr>
  </w:style>
  <w:style w:type="paragraph" w:customStyle="1" w:styleId="180">
    <w:name w:val="_180"/>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90">
    <w:name w:val="_190"/>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00">
    <w:name w:val="_200"/>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210">
    <w:name w:val="_21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220">
    <w:name w:val="_22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230">
    <w:name w:val="_23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40">
    <w:name w:val="_24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50">
    <w:name w:val="_250"/>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pPr>
  </w:style>
  <w:style w:type="paragraph" w:customStyle="1" w:styleId="260">
    <w:name w:val="_260"/>
    <w:basedOn w:val="Normal"/>
    <w:rsid w:val="00114FE4"/>
    <w:pPr>
      <w:widowControl w:val="0"/>
    </w:pPr>
  </w:style>
  <w:style w:type="paragraph" w:styleId="Footer">
    <w:name w:val="footer"/>
    <w:basedOn w:val="Normal"/>
    <w:link w:val="FooterChar"/>
    <w:uiPriority w:val="99"/>
    <w:rsid w:val="00114FE4"/>
    <w:pPr>
      <w:tabs>
        <w:tab w:val="center" w:pos="4320"/>
        <w:tab w:val="right" w:pos="8640"/>
      </w:tabs>
    </w:pPr>
    <w:rPr>
      <w:sz w:val="20"/>
    </w:rPr>
  </w:style>
  <w:style w:type="table" w:styleId="TableGrid">
    <w:name w:val="Table Grid"/>
    <w:basedOn w:val="TableNormal"/>
    <w:rsid w:val="00114F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4FE4"/>
    <w:rPr>
      <w:rFonts w:ascii="Tahoma" w:hAnsi="Tahoma" w:cs="Tahoma"/>
      <w:sz w:val="16"/>
      <w:szCs w:val="16"/>
    </w:rPr>
  </w:style>
  <w:style w:type="character" w:styleId="Hyperlink">
    <w:name w:val="Hyperlink"/>
    <w:basedOn w:val="DefaultParagraphFont"/>
    <w:rsid w:val="00114FE4"/>
    <w:rPr>
      <w:color w:val="0000FF"/>
      <w:u w:val="single"/>
    </w:rPr>
  </w:style>
  <w:style w:type="paragraph" w:styleId="FootnoteText">
    <w:name w:val="footnote text"/>
    <w:basedOn w:val="Normal"/>
    <w:semiHidden/>
    <w:rsid w:val="00114FE4"/>
    <w:rPr>
      <w:sz w:val="20"/>
    </w:rPr>
  </w:style>
  <w:style w:type="character" w:styleId="FootnoteReference">
    <w:name w:val="footnote reference"/>
    <w:basedOn w:val="DefaultParagraphFont"/>
    <w:semiHidden/>
    <w:rsid w:val="00114FE4"/>
    <w:rPr>
      <w:vertAlign w:val="superscript"/>
    </w:rPr>
  </w:style>
  <w:style w:type="paragraph" w:styleId="DocumentMap">
    <w:name w:val="Document Map"/>
    <w:basedOn w:val="Normal"/>
    <w:semiHidden/>
    <w:rsid w:val="00114FE4"/>
    <w:pPr>
      <w:shd w:val="clear" w:color="auto" w:fill="000080"/>
    </w:pPr>
    <w:rPr>
      <w:rFonts w:ascii="Tahoma" w:hAnsi="Tahoma" w:cs="Tahoma"/>
    </w:rPr>
  </w:style>
  <w:style w:type="character" w:styleId="PageNumber">
    <w:name w:val="page number"/>
    <w:basedOn w:val="DefaultParagraphFont"/>
    <w:rsid w:val="00206BC7"/>
  </w:style>
  <w:style w:type="character" w:styleId="FollowedHyperlink">
    <w:name w:val="FollowedHyperlink"/>
    <w:basedOn w:val="DefaultParagraphFont"/>
    <w:rsid w:val="00865BBE"/>
    <w:rPr>
      <w:color w:val="800080"/>
      <w:u w:val="single"/>
    </w:rPr>
  </w:style>
  <w:style w:type="character" w:styleId="CommentReference">
    <w:name w:val="annotation reference"/>
    <w:basedOn w:val="DefaultParagraphFont"/>
    <w:semiHidden/>
    <w:rsid w:val="000544B5"/>
    <w:rPr>
      <w:sz w:val="16"/>
      <w:szCs w:val="16"/>
    </w:rPr>
  </w:style>
  <w:style w:type="paragraph" w:styleId="CommentText">
    <w:name w:val="annotation text"/>
    <w:basedOn w:val="Normal"/>
    <w:semiHidden/>
    <w:rsid w:val="000544B5"/>
    <w:rPr>
      <w:sz w:val="20"/>
    </w:rPr>
  </w:style>
  <w:style w:type="paragraph" w:styleId="CommentSubject">
    <w:name w:val="annotation subject"/>
    <w:basedOn w:val="CommentText"/>
    <w:next w:val="CommentText"/>
    <w:semiHidden/>
    <w:rsid w:val="000544B5"/>
    <w:rPr>
      <w:b/>
      <w:bCs/>
    </w:rPr>
  </w:style>
  <w:style w:type="character" w:customStyle="1" w:styleId="FooterChar">
    <w:name w:val="Footer Char"/>
    <w:basedOn w:val="DefaultParagraphFont"/>
    <w:link w:val="Footer"/>
    <w:uiPriority w:val="99"/>
    <w:rsid w:val="00BF57DE"/>
    <w:rPr>
      <w:rFonts w:ascii="Arial" w:hAnsi="Arial"/>
    </w:rPr>
  </w:style>
  <w:style w:type="paragraph" w:styleId="Revision">
    <w:name w:val="Revision"/>
    <w:hidden/>
    <w:uiPriority w:val="99"/>
    <w:semiHidden/>
    <w:rsid w:val="000A29E3"/>
    <w:rPr>
      <w:rFonts w:ascii="Arial" w:hAnsi="Arial"/>
      <w:sz w:val="24"/>
    </w:rPr>
  </w:style>
  <w:style w:type="paragraph" w:styleId="ListParagraph">
    <w:name w:val="List Paragraph"/>
    <w:basedOn w:val="Normal"/>
    <w:uiPriority w:val="34"/>
    <w:qFormat/>
    <w:rsid w:val="000D34A9"/>
    <w:pPr>
      <w:ind w:left="720"/>
      <w:contextualSpacing/>
    </w:pPr>
  </w:style>
  <w:style w:type="character" w:customStyle="1" w:styleId="Heading1Char">
    <w:name w:val="Heading 1 Char"/>
    <w:basedOn w:val="DefaultParagraphFont"/>
    <w:link w:val="Heading1"/>
    <w:rsid w:val="00AE563D"/>
    <w:rPr>
      <w:rFonts w:asciiTheme="minorHAnsi" w:eastAsiaTheme="majorEastAsia" w:hAnsiTheme="minorHAnsi" w:cstheme="majorBidi"/>
      <w:b/>
      <w:sz w:val="24"/>
      <w:szCs w:val="32"/>
    </w:rPr>
  </w:style>
  <w:style w:type="character" w:customStyle="1" w:styleId="Heading2Char">
    <w:name w:val="Heading 2 Char"/>
    <w:basedOn w:val="DefaultParagraphFont"/>
    <w:link w:val="Heading2"/>
    <w:rsid w:val="000E1F12"/>
    <w:rPr>
      <w:rFonts w:asciiTheme="minorHAnsi" w:eastAsiaTheme="majorEastAsia" w:hAnsiTheme="minorHAnsi" w:cstheme="majorBidi"/>
      <w:b/>
      <w:sz w:val="24"/>
      <w:szCs w:val="26"/>
    </w:rPr>
  </w:style>
  <w:style w:type="character" w:customStyle="1" w:styleId="Heading3Char">
    <w:name w:val="Heading 3 Char"/>
    <w:basedOn w:val="DefaultParagraphFont"/>
    <w:link w:val="Heading3"/>
    <w:rsid w:val="00363546"/>
    <w:rPr>
      <w:rFonts w:ascii="Arial" w:hAnsi="Arial" w:eastAsiaTheme="majorEastAsia" w:cstheme="majorBidi"/>
      <w:b/>
      <w:color w:val="000000" w:themeColor="text1"/>
      <w:sz w:val="24"/>
      <w:szCs w:val="24"/>
    </w:rPr>
  </w:style>
  <w:style w:type="character" w:customStyle="1" w:styleId="Heading4Char">
    <w:name w:val="Heading 4 Char"/>
    <w:basedOn w:val="DefaultParagraphFont"/>
    <w:link w:val="Heading4"/>
    <w:rsid w:val="00363546"/>
    <w:rPr>
      <w:rFonts w:ascii="Arial" w:hAnsi="Arial" w:eastAsiaTheme="majorEastAsia" w:cstheme="majorBidi"/>
      <w:i/>
      <w:iCs/>
      <w:sz w:val="24"/>
    </w:rPr>
  </w:style>
  <w:style w:type="character" w:styleId="UnresolvedMention">
    <w:name w:val="Unresolved Mention"/>
    <w:basedOn w:val="DefaultParagraphFont"/>
    <w:uiPriority w:val="99"/>
    <w:unhideWhenUsed/>
    <w:rsid w:val="00641E8D"/>
    <w:rPr>
      <w:color w:val="605E5C"/>
      <w:shd w:val="clear" w:color="auto" w:fill="E1DFDD"/>
    </w:rPr>
  </w:style>
  <w:style w:type="character" w:customStyle="1" w:styleId="HeaderChar">
    <w:name w:val="Header Char"/>
    <w:basedOn w:val="DefaultParagraphFont"/>
    <w:link w:val="Header"/>
    <w:uiPriority w:val="99"/>
    <w:rsid w:val="00553261"/>
    <w:rPr>
      <w:rFonts w:ascii="Arial" w:hAnsi="Arial"/>
    </w:rPr>
  </w:style>
  <w:style w:type="paragraph" w:styleId="NormalWeb">
    <w:name w:val="Normal (Web)"/>
    <w:basedOn w:val="Normal"/>
    <w:rsid w:val="00E75C67"/>
    <w:pPr>
      <w:spacing w:before="100" w:beforeAutospacing="1" w:after="100" w:afterAutospacing="1"/>
    </w:pPr>
    <w:rPr>
      <w:rFonts w:ascii="Times New Roman" w:hAnsi="Times New Roman"/>
      <w:szCs w:val="24"/>
    </w:rPr>
  </w:style>
  <w:style w:type="character" w:customStyle="1" w:styleId="pagelinks">
    <w:name w:val="pagelinks"/>
    <w:basedOn w:val="DefaultParagraphFont"/>
    <w:rsid w:val="00E75C67"/>
  </w:style>
  <w:style w:type="character" w:styleId="Mention">
    <w:name w:val="Mention"/>
    <w:basedOn w:val="DefaultParagraphFont"/>
    <w:uiPriority w:val="99"/>
    <w:unhideWhenUsed/>
    <w:rsid w:val="005D68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2779</FRN_x0020_List_x0020_Item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3842a17c668c62dd0ee0fef238ddde84">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7031fe5f4b13df03a9b4c95c61ffaf5d"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CB6F8-1962-4002-8AA6-F905EF0C5F49}">
  <ds:schemaRefs>
    <ds:schemaRef ds:uri="http://schemas.openxmlformats.org/officeDocument/2006/bibliography"/>
  </ds:schemaRefs>
</ds:datastoreItem>
</file>

<file path=customXml/itemProps2.xml><?xml version="1.0" encoding="utf-8"?>
<ds:datastoreItem xmlns:ds="http://schemas.openxmlformats.org/officeDocument/2006/customXml" ds:itemID="{896E4F8C-2344-43F4-888B-C20E69D2B43C}">
  <ds:schemaRefs>
    <ds:schemaRef ds:uri="Microsoft.SharePoint.Taxonomy.ContentTypeSync"/>
  </ds:schemaRefs>
</ds:datastoreItem>
</file>

<file path=customXml/itemProps3.xml><?xml version="1.0" encoding="utf-8"?>
<ds:datastoreItem xmlns:ds="http://schemas.openxmlformats.org/officeDocument/2006/customXml" ds:itemID="{FF9B12A2-EB8F-4279-AF17-D1FC502E6022}">
  <ds:schemaRefs>
    <ds:schemaRef ds:uri="http://schemas.microsoft.com/sharepoint/v3/contenttype/forms"/>
  </ds:schemaRefs>
</ds:datastoreItem>
</file>

<file path=customXml/itemProps4.xml><?xml version="1.0" encoding="utf-8"?>
<ds:datastoreItem xmlns:ds="http://schemas.openxmlformats.org/officeDocument/2006/customXml" ds:itemID="{ADE3ABB6-0E33-437A-A819-E95BE8DB2E48}">
  <ds:schemaRefs>
    <ds:schemaRef ds:uri="4ffa91fb-a0ff-4ac5-b2db-65c790d184a4"/>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sharepoint.v3"/>
    <ds:schemaRef ds:uri="a5d1ca4e-0a3f-4119-b619-e20b93ebd1aa"/>
    <ds:schemaRef ds:uri="118f882f-1e32-4cf2-ad69-9de43d57f4c6"/>
    <ds:schemaRef ds:uri="http://www.w3.org/XML/1998/namespace"/>
  </ds:schemaRefs>
</ds:datastoreItem>
</file>

<file path=customXml/itemProps5.xml><?xml version="1.0" encoding="utf-8"?>
<ds:datastoreItem xmlns:ds="http://schemas.openxmlformats.org/officeDocument/2006/customXml" ds:itemID="{8BCEECD0-42EB-477D-874A-DF949AE4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4163</Words>
  <Characters>23674</Characters>
  <Application>Microsoft Office Word</Application>
  <DocSecurity>0</DocSecurity>
  <Lines>607</Lines>
  <Paragraphs>209</Paragraphs>
  <ScaleCrop>false</ScaleCrop>
  <HeadingPairs>
    <vt:vector size="2" baseType="variant">
      <vt:variant>
        <vt:lpstr>Title</vt:lpstr>
      </vt:variant>
      <vt:variant>
        <vt:i4>1</vt:i4>
      </vt:variant>
    </vt:vector>
  </HeadingPairs>
  <TitlesOfParts>
    <vt:vector size="1" baseType="lpstr">
      <vt:lpstr>V:\EFB\DISPOSAL\Regs - 2003\ICRs\ICR Container Dec 16 2003</vt:lpstr>
    </vt:vector>
  </TitlesOfParts>
  <Company>EPA</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V:\EFB\DISPOSAL\Regs - 2003\ICRs\ICR Container Dec 16 2003</dc:title>
  <dc:creator>jandreas</dc:creator>
  <cp:lastModifiedBy>Schultz, Eric</cp:lastModifiedBy>
  <cp:revision>4</cp:revision>
  <cp:lastPrinted>2019-11-19T13:18:00Z</cp:lastPrinted>
  <dcterms:created xsi:type="dcterms:W3CDTF">2022-11-21T19:36:00Z</dcterms:created>
  <dcterms:modified xsi:type="dcterms:W3CDTF">2022-11-29T02:10:00Z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GrammarlyDocumentId">
    <vt:lpwstr>518e9948b59bbe0dab6b9342bd6ea0ecab8d7d3d51851cc4b1de2e488dae5ae4</vt:lpwstr>
  </property>
</Properties>
</file>