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7E92" w:rsidP="007621A6" w14:paraId="4F338E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rFonts w:ascii="Helvetica" w:hAnsi="Helvetica"/>
          <w:b/>
          <w:color w:val="000000"/>
          <w:sz w:val="20"/>
          <w:szCs w:val="20"/>
        </w:rPr>
      </w:pPr>
      <w:r w:rsidRPr="00937AC5">
        <w:rPr>
          <w:rFonts w:ascii="Helvetica" w:hAnsi="Helvetica"/>
          <w:b/>
          <w:color w:val="000000"/>
          <w:sz w:val="20"/>
          <w:szCs w:val="20"/>
        </w:rPr>
        <w:t>Supporting Statement for Paperwork Reduction Act Submissions</w:t>
      </w:r>
    </w:p>
    <w:p w:rsidR="007621A6" w:rsidRPr="007621A6" w:rsidP="007621A6" w14:paraId="07FDC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rFonts w:ascii="Helvetica" w:hAnsi="Helvetica"/>
          <w:b/>
          <w:color w:val="000000"/>
          <w:sz w:val="20"/>
          <w:szCs w:val="20"/>
        </w:rPr>
      </w:pPr>
      <w:r>
        <w:rPr>
          <w:rFonts w:ascii="Helvetica" w:hAnsi="Helvetica"/>
          <w:b/>
          <w:color w:val="000000"/>
          <w:sz w:val="20"/>
          <w:szCs w:val="20"/>
        </w:rPr>
        <w:t xml:space="preserve">New Construction </w:t>
      </w:r>
      <w:r w:rsidRPr="00937AC5" w:rsidR="00327E92">
        <w:rPr>
          <w:rFonts w:ascii="Helvetica" w:hAnsi="Helvetica"/>
          <w:b/>
          <w:color w:val="000000"/>
          <w:sz w:val="20"/>
          <w:szCs w:val="20"/>
        </w:rPr>
        <w:t>Subterranean Termite</w:t>
      </w:r>
      <w:r>
        <w:rPr>
          <w:rFonts w:ascii="Helvetica" w:hAnsi="Helvetica"/>
          <w:b/>
          <w:color w:val="000000"/>
          <w:sz w:val="20"/>
          <w:szCs w:val="20"/>
        </w:rPr>
        <w:t xml:space="preserve"> Protection for New Homes</w:t>
      </w:r>
    </w:p>
    <w:p w:rsidR="009E118C" w:rsidRPr="00937AC5" w:rsidP="007621A6" w14:paraId="2D47BD0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rFonts w:ascii="Helvetica" w:hAnsi="Helvetica"/>
          <w:b/>
          <w:color w:val="000000"/>
          <w:sz w:val="20"/>
          <w:szCs w:val="20"/>
        </w:rPr>
      </w:pPr>
      <w:r w:rsidRPr="00937AC5">
        <w:rPr>
          <w:rFonts w:ascii="Helvetica" w:hAnsi="Helvetica"/>
          <w:b/>
          <w:color w:val="000000"/>
          <w:sz w:val="20"/>
          <w:szCs w:val="20"/>
        </w:rPr>
        <w:t>OMB Control Number 2502-</w:t>
      </w:r>
      <w:r w:rsidRPr="00937AC5" w:rsidR="00816F58">
        <w:rPr>
          <w:rFonts w:ascii="Helvetica" w:hAnsi="Helvetica"/>
          <w:b/>
          <w:color w:val="000000"/>
          <w:sz w:val="20"/>
          <w:szCs w:val="20"/>
        </w:rPr>
        <w:t>0525</w:t>
      </w:r>
    </w:p>
    <w:p w:rsidR="009E118C" w:rsidP="007621A6" w14:paraId="342C7E5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rFonts w:ascii="Helvetica" w:hAnsi="Helvetica"/>
          <w:b/>
          <w:color w:val="000000"/>
          <w:sz w:val="20"/>
          <w:szCs w:val="20"/>
        </w:rPr>
      </w:pPr>
      <w:r w:rsidRPr="00937AC5">
        <w:rPr>
          <w:rFonts w:ascii="Helvetica" w:hAnsi="Helvetica"/>
          <w:b/>
          <w:color w:val="000000"/>
          <w:sz w:val="20"/>
          <w:szCs w:val="20"/>
        </w:rPr>
        <w:t>Form HUD</w:t>
      </w:r>
      <w:r w:rsidR="00904D42">
        <w:rPr>
          <w:rFonts w:ascii="Helvetica" w:hAnsi="Helvetica"/>
          <w:b/>
          <w:color w:val="000000"/>
          <w:sz w:val="20"/>
          <w:szCs w:val="20"/>
        </w:rPr>
        <w:t>-</w:t>
      </w:r>
      <w:r w:rsidRPr="00937AC5">
        <w:rPr>
          <w:rFonts w:ascii="Helvetica" w:hAnsi="Helvetica"/>
          <w:b/>
          <w:color w:val="000000"/>
          <w:sz w:val="20"/>
          <w:szCs w:val="20"/>
        </w:rPr>
        <w:t>NPMA-99-A and Form HUD</w:t>
      </w:r>
      <w:r w:rsidR="00904D42">
        <w:rPr>
          <w:rFonts w:ascii="Helvetica" w:hAnsi="Helvetica"/>
          <w:b/>
          <w:color w:val="000000"/>
          <w:sz w:val="20"/>
          <w:szCs w:val="20"/>
        </w:rPr>
        <w:t>-</w:t>
      </w:r>
      <w:r w:rsidRPr="00937AC5">
        <w:rPr>
          <w:rFonts w:ascii="Helvetica" w:hAnsi="Helvetica"/>
          <w:b/>
          <w:color w:val="000000"/>
          <w:sz w:val="20"/>
          <w:szCs w:val="20"/>
        </w:rPr>
        <w:t>NPMA-99-B</w:t>
      </w:r>
    </w:p>
    <w:p w:rsidR="007621A6" w:rsidRPr="00937AC5" w:rsidP="007621A6" w14:paraId="29F737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rFonts w:ascii="Helvetica" w:hAnsi="Helvetica"/>
          <w:b/>
          <w:color w:val="000000"/>
          <w:sz w:val="20"/>
          <w:szCs w:val="20"/>
        </w:rPr>
      </w:pPr>
    </w:p>
    <w:p w:rsidR="00F0519E" w:rsidRPr="00937AC5" w:rsidP="00937AC5" w14:paraId="0C269026" w14:textId="77777777">
      <w:pPr>
        <w:numPr>
          <w:ilvl w:val="0"/>
          <w:numId w:val="9"/>
        </w:numPr>
        <w:rPr>
          <w:rFonts w:ascii="Times New Roman" w:hAnsi="Times New Roman"/>
          <w:b/>
          <w:bCs/>
          <w:sz w:val="20"/>
          <w:szCs w:val="20"/>
        </w:rPr>
      </w:pPr>
      <w:r w:rsidRPr="00937AC5">
        <w:rPr>
          <w:rFonts w:ascii="Times New Roman" w:hAnsi="Times New Roman"/>
          <w:b/>
          <w:bCs/>
          <w:sz w:val="20"/>
          <w:szCs w:val="20"/>
        </w:rPr>
        <w:t>JUSTIFICATION</w:t>
      </w:r>
    </w:p>
    <w:p w:rsidR="00F0519E" w:rsidRPr="00937AC5" w:rsidP="007621A6" w14:paraId="3E74AF23" w14:textId="77777777">
      <w:pPr>
        <w:numPr>
          <w:ilvl w:val="0"/>
          <w:numId w:val="11"/>
        </w:numPr>
        <w:ind w:left="360"/>
        <w:rPr>
          <w:rFonts w:ascii="Times New Roman" w:hAnsi="Times New Roman"/>
          <w:sz w:val="20"/>
          <w:szCs w:val="20"/>
        </w:rPr>
      </w:pPr>
      <w:r w:rsidRPr="00937AC5">
        <w:rPr>
          <w:rFonts w:ascii="Times New Roman" w:hAnsi="Times New Roman"/>
          <w:sz w:val="20"/>
          <w:szCs w:val="20"/>
        </w:rPr>
        <w:t xml:space="preserve">HUD regulations at 24 CFR 200.926d(b)(3) require that the sites for HUD insured structures must be free of </w:t>
      </w:r>
      <w:r w:rsidR="00A90610">
        <w:rPr>
          <w:rFonts w:ascii="Times New Roman" w:hAnsi="Times New Roman"/>
          <w:sz w:val="20"/>
          <w:szCs w:val="20"/>
        </w:rPr>
        <w:t xml:space="preserve">hazards </w:t>
      </w:r>
      <w:r w:rsidR="00EC0F6E">
        <w:rPr>
          <w:rFonts w:ascii="Times New Roman" w:hAnsi="Times New Roman"/>
          <w:sz w:val="20"/>
          <w:szCs w:val="20"/>
        </w:rPr>
        <w:t>such as termites</w:t>
      </w:r>
      <w:r w:rsidRPr="00937AC5">
        <w:rPr>
          <w:rFonts w:ascii="Times New Roman" w:hAnsi="Times New Roman"/>
          <w:sz w:val="20"/>
          <w:szCs w:val="20"/>
        </w:rPr>
        <w:t xml:space="preserve">.  The HUD-NPMA-99-A requires the builder to certify that all required treatment for termites was performed by an authorized pest control company with the builder’s guarantee of the treated area against infestation for one year.  The form HUD-NPMA-99-B requires a licensed pest control company to provide to the builder a record of specific treatment information </w:t>
      </w:r>
      <w:r w:rsidR="00260371">
        <w:rPr>
          <w:rFonts w:ascii="Times New Roman" w:hAnsi="Times New Roman"/>
          <w:sz w:val="20"/>
          <w:szCs w:val="20"/>
        </w:rPr>
        <w:t>for the prevention of termites.</w:t>
      </w:r>
      <w:r w:rsidRPr="00937AC5">
        <w:rPr>
          <w:rFonts w:ascii="Times New Roman" w:hAnsi="Times New Roman"/>
          <w:sz w:val="20"/>
          <w:szCs w:val="20"/>
        </w:rPr>
        <w:t xml:space="preserve">  When applicable the HUD-NPMA-99-B must accompany the HUD-NPMA-99-A.</w:t>
      </w:r>
    </w:p>
    <w:p w:rsidR="00F0519E" w:rsidRPr="00937AC5" w:rsidP="007621A6" w14:paraId="1D6FA76F" w14:textId="77777777">
      <w:pPr>
        <w:numPr>
          <w:ilvl w:val="0"/>
          <w:numId w:val="11"/>
        </w:numPr>
        <w:ind w:left="360"/>
        <w:rPr>
          <w:rFonts w:ascii="Times New Roman" w:hAnsi="Times New Roman"/>
          <w:sz w:val="20"/>
          <w:szCs w:val="20"/>
        </w:rPr>
      </w:pPr>
      <w:r>
        <w:rPr>
          <w:rFonts w:ascii="Times New Roman" w:hAnsi="Times New Roman"/>
          <w:sz w:val="20"/>
          <w:szCs w:val="20"/>
        </w:rPr>
        <w:t>The</w:t>
      </w:r>
      <w:r w:rsidR="00A04855">
        <w:rPr>
          <w:rFonts w:ascii="Times New Roman" w:hAnsi="Times New Roman"/>
          <w:sz w:val="20"/>
          <w:szCs w:val="20"/>
        </w:rPr>
        <w:t xml:space="preserve"> collected information on the</w:t>
      </w:r>
      <w:r>
        <w:rPr>
          <w:rFonts w:ascii="Times New Roman" w:hAnsi="Times New Roman"/>
          <w:sz w:val="20"/>
          <w:szCs w:val="20"/>
        </w:rPr>
        <w:t xml:space="preserve"> forms also serve</w:t>
      </w:r>
      <w:r w:rsidR="00A04855">
        <w:rPr>
          <w:rFonts w:ascii="Times New Roman" w:hAnsi="Times New Roman"/>
          <w:sz w:val="20"/>
          <w:szCs w:val="20"/>
        </w:rPr>
        <w:t>s</w:t>
      </w:r>
      <w:r>
        <w:rPr>
          <w:rFonts w:ascii="Times New Roman" w:hAnsi="Times New Roman"/>
          <w:sz w:val="20"/>
          <w:szCs w:val="20"/>
        </w:rPr>
        <w:t xml:space="preserve"> as records of </w:t>
      </w:r>
      <w:r w:rsidR="00A04855">
        <w:rPr>
          <w:rFonts w:ascii="Times New Roman" w:hAnsi="Times New Roman"/>
          <w:sz w:val="20"/>
          <w:szCs w:val="20"/>
        </w:rPr>
        <w:t xml:space="preserve">termite </w:t>
      </w:r>
      <w:r>
        <w:rPr>
          <w:rFonts w:ascii="Times New Roman" w:hAnsi="Times New Roman"/>
          <w:sz w:val="20"/>
          <w:szCs w:val="20"/>
        </w:rPr>
        <w:t>treatment for specific homes for the b</w:t>
      </w:r>
      <w:r w:rsidRPr="00937AC5" w:rsidR="00000000">
        <w:rPr>
          <w:rFonts w:ascii="Times New Roman" w:hAnsi="Times New Roman"/>
          <w:sz w:val="20"/>
          <w:szCs w:val="20"/>
        </w:rPr>
        <w:t>uilders, pest control companies, mortgage lenders</w:t>
      </w:r>
      <w:r w:rsidR="00A04855">
        <w:rPr>
          <w:rFonts w:ascii="Times New Roman" w:hAnsi="Times New Roman"/>
          <w:sz w:val="20"/>
          <w:szCs w:val="20"/>
        </w:rPr>
        <w:t xml:space="preserve">, </w:t>
      </w:r>
      <w:r w:rsidRPr="00937AC5" w:rsidR="00A04855">
        <w:rPr>
          <w:rFonts w:ascii="Times New Roman" w:hAnsi="Times New Roman"/>
          <w:sz w:val="20"/>
          <w:szCs w:val="20"/>
        </w:rPr>
        <w:t>homebuyers,</w:t>
      </w:r>
      <w:r w:rsidRPr="00937AC5" w:rsidR="00000000">
        <w:rPr>
          <w:rFonts w:ascii="Times New Roman" w:hAnsi="Times New Roman"/>
          <w:sz w:val="20"/>
          <w:szCs w:val="20"/>
        </w:rPr>
        <w:t xml:space="preserve"> </w:t>
      </w:r>
      <w:r w:rsidR="00A04855">
        <w:rPr>
          <w:rFonts w:ascii="Times New Roman" w:hAnsi="Times New Roman"/>
          <w:sz w:val="20"/>
          <w:szCs w:val="20"/>
        </w:rPr>
        <w:t xml:space="preserve">and </w:t>
      </w:r>
      <w:r w:rsidRPr="00937AC5" w:rsidR="00000000">
        <w:rPr>
          <w:rFonts w:ascii="Times New Roman" w:hAnsi="Times New Roman"/>
          <w:sz w:val="20"/>
          <w:szCs w:val="20"/>
        </w:rPr>
        <w:t>HUD</w:t>
      </w:r>
      <w:r w:rsidR="00A04855">
        <w:rPr>
          <w:rFonts w:ascii="Times New Roman" w:hAnsi="Times New Roman"/>
          <w:sz w:val="20"/>
          <w:szCs w:val="20"/>
        </w:rPr>
        <w:t>.</w:t>
      </w:r>
      <w:r w:rsidRPr="00937AC5" w:rsidR="00000000">
        <w:rPr>
          <w:rFonts w:ascii="Times New Roman" w:hAnsi="Times New Roman"/>
          <w:sz w:val="20"/>
          <w:szCs w:val="20"/>
        </w:rPr>
        <w:t xml:space="preserve">  </w:t>
      </w:r>
      <w:r w:rsidRPr="00937AC5" w:rsidR="006F6D6C">
        <w:rPr>
          <w:rFonts w:ascii="Times New Roman" w:hAnsi="Times New Roman"/>
          <w:sz w:val="20"/>
          <w:szCs w:val="20"/>
        </w:rPr>
        <w:t>The current OMB Inventory of 12,948 understate</w:t>
      </w:r>
      <w:r w:rsidR="006F6D6C">
        <w:rPr>
          <w:rFonts w:ascii="Times New Roman" w:hAnsi="Times New Roman"/>
          <w:sz w:val="20"/>
          <w:szCs w:val="20"/>
        </w:rPr>
        <w:t>s</w:t>
      </w:r>
      <w:r w:rsidRPr="00937AC5" w:rsidR="006F6D6C">
        <w:rPr>
          <w:rFonts w:ascii="Times New Roman" w:hAnsi="Times New Roman"/>
          <w:sz w:val="20"/>
          <w:szCs w:val="20"/>
        </w:rPr>
        <w:t xml:space="preserve"> the actual figures</w:t>
      </w:r>
      <w:r w:rsidR="006F6D6C">
        <w:rPr>
          <w:rFonts w:ascii="Times New Roman" w:hAnsi="Times New Roman"/>
          <w:sz w:val="20"/>
          <w:szCs w:val="20"/>
        </w:rPr>
        <w:t xml:space="preserve"> from HUD’s Single Family Data Warehouse (SFDW) cited here</w:t>
      </w:r>
      <w:r w:rsidRPr="00937AC5" w:rsidR="006F6D6C">
        <w:rPr>
          <w:rFonts w:ascii="Times New Roman" w:hAnsi="Times New Roman"/>
          <w:sz w:val="20"/>
          <w:szCs w:val="20"/>
        </w:rPr>
        <w:t xml:space="preserve">. According to HUD’s Data, </w:t>
      </w:r>
      <w:r w:rsidR="006F6D6C">
        <w:rPr>
          <w:rFonts w:ascii="Times New Roman" w:hAnsi="Times New Roman"/>
          <w:sz w:val="20"/>
          <w:szCs w:val="20"/>
        </w:rPr>
        <w:t>the following new homes have been endorsed for FHA mortgage insurance. D</w:t>
      </w:r>
      <w:r w:rsidRPr="00937AC5" w:rsidR="006F6D6C">
        <w:rPr>
          <w:rFonts w:ascii="Times New Roman" w:hAnsi="Times New Roman"/>
          <w:sz w:val="20"/>
          <w:szCs w:val="20"/>
        </w:rPr>
        <w:t xml:space="preserve">uring Fiscal Year 2019, 74,464 new homes were constructed based Construction Code 1: New Construction and Construction Code 5: New Construction Less than 1 Year old. </w:t>
      </w:r>
      <w:r w:rsidR="006F6D6C">
        <w:rPr>
          <w:rFonts w:ascii="Times New Roman" w:hAnsi="Times New Roman"/>
          <w:sz w:val="20"/>
          <w:szCs w:val="20"/>
        </w:rPr>
        <w:t>In the</w:t>
      </w:r>
      <w:r w:rsidRPr="00937AC5" w:rsidR="006F6D6C">
        <w:rPr>
          <w:rFonts w:ascii="Times New Roman" w:hAnsi="Times New Roman"/>
          <w:sz w:val="20"/>
          <w:szCs w:val="20"/>
        </w:rPr>
        <w:t xml:space="preserve"> Fiscal Year 2020, 98,141 new homes were constructed with Construction Code 1: New Construction and Construction Code 5: New Construction Less than 1 Year old in HUD’s dataset.  Further, during Fiscal Year 2021, 93,630 new homes were constructed </w:t>
      </w:r>
      <w:r w:rsidR="006F6D6C">
        <w:rPr>
          <w:rFonts w:ascii="Times New Roman" w:hAnsi="Times New Roman"/>
          <w:sz w:val="20"/>
          <w:szCs w:val="20"/>
        </w:rPr>
        <w:t xml:space="preserve">based on </w:t>
      </w:r>
      <w:r w:rsidRPr="00937AC5" w:rsidR="006F6D6C">
        <w:rPr>
          <w:rFonts w:ascii="Times New Roman" w:hAnsi="Times New Roman"/>
          <w:sz w:val="20"/>
          <w:szCs w:val="20"/>
        </w:rPr>
        <w:t xml:space="preserve">Construction Code 1: New Construction and Construction Code 5: New Construction Less than 1 Year old. As of April 2022, 40,546 new homes have been constructed. </w:t>
      </w:r>
      <w:r w:rsidR="006F6D6C">
        <w:rPr>
          <w:rFonts w:ascii="Times New Roman" w:hAnsi="Times New Roman"/>
          <w:sz w:val="20"/>
          <w:szCs w:val="20"/>
        </w:rPr>
        <w:t xml:space="preserve">For this renewal time, </w:t>
      </w:r>
      <w:r w:rsidRPr="00937AC5" w:rsidR="006F6D6C">
        <w:rPr>
          <w:rFonts w:ascii="Times New Roman" w:hAnsi="Times New Roman"/>
          <w:sz w:val="20"/>
          <w:szCs w:val="20"/>
        </w:rPr>
        <w:t xml:space="preserve">2021 fiscal year </w:t>
      </w:r>
      <w:r w:rsidR="006F6D6C">
        <w:rPr>
          <w:rFonts w:ascii="Times New Roman" w:hAnsi="Times New Roman"/>
          <w:sz w:val="20"/>
          <w:szCs w:val="20"/>
        </w:rPr>
        <w:t xml:space="preserve">inventory </w:t>
      </w:r>
      <w:r w:rsidRPr="00937AC5" w:rsidR="006F6D6C">
        <w:rPr>
          <w:rFonts w:ascii="Times New Roman" w:hAnsi="Times New Roman"/>
          <w:sz w:val="20"/>
          <w:szCs w:val="20"/>
        </w:rPr>
        <w:t xml:space="preserve">data </w:t>
      </w:r>
      <w:r w:rsidR="006F6D6C">
        <w:rPr>
          <w:rFonts w:ascii="Times New Roman" w:hAnsi="Times New Roman"/>
          <w:sz w:val="20"/>
          <w:szCs w:val="20"/>
        </w:rPr>
        <w:t xml:space="preserve">of 93,630 </w:t>
      </w:r>
      <w:r w:rsidRPr="00937AC5" w:rsidR="006F6D6C">
        <w:rPr>
          <w:rFonts w:ascii="Times New Roman" w:hAnsi="Times New Roman"/>
          <w:sz w:val="20"/>
          <w:szCs w:val="20"/>
        </w:rPr>
        <w:t xml:space="preserve">is used in the estimation of burden hours with the expectation that </w:t>
      </w:r>
      <w:r w:rsidR="006F6D6C">
        <w:rPr>
          <w:rFonts w:ascii="Times New Roman" w:hAnsi="Times New Roman"/>
          <w:sz w:val="20"/>
          <w:szCs w:val="20"/>
        </w:rPr>
        <w:t xml:space="preserve">future </w:t>
      </w:r>
      <w:r w:rsidRPr="00937AC5" w:rsidR="006F6D6C">
        <w:rPr>
          <w:rFonts w:ascii="Times New Roman" w:hAnsi="Times New Roman"/>
          <w:sz w:val="20"/>
          <w:szCs w:val="20"/>
        </w:rPr>
        <w:t xml:space="preserve">FHA insured financing of new homes will at least be at </w:t>
      </w:r>
      <w:r w:rsidR="006F6D6C">
        <w:rPr>
          <w:rFonts w:ascii="Times New Roman" w:hAnsi="Times New Roman"/>
          <w:sz w:val="20"/>
          <w:szCs w:val="20"/>
        </w:rPr>
        <w:t xml:space="preserve">this </w:t>
      </w:r>
      <w:r w:rsidRPr="00937AC5" w:rsidR="006F6D6C">
        <w:rPr>
          <w:rFonts w:ascii="Times New Roman" w:hAnsi="Times New Roman"/>
          <w:sz w:val="20"/>
          <w:szCs w:val="20"/>
        </w:rPr>
        <w:t>2021 level.</w:t>
      </w:r>
      <w:r w:rsidR="006F6D6C">
        <w:rPr>
          <w:rFonts w:ascii="Times New Roman" w:hAnsi="Times New Roman"/>
          <w:sz w:val="20"/>
          <w:szCs w:val="20"/>
        </w:rPr>
        <w:t xml:space="preserve"> </w:t>
      </w:r>
      <w:r w:rsidR="00260371">
        <w:rPr>
          <w:rFonts w:ascii="Times New Roman" w:hAnsi="Times New Roman"/>
          <w:sz w:val="20"/>
          <w:szCs w:val="20"/>
        </w:rPr>
        <w:t>T</w:t>
      </w:r>
      <w:r w:rsidRPr="00937AC5" w:rsidR="001565A8">
        <w:rPr>
          <w:rFonts w:ascii="Times New Roman" w:hAnsi="Times New Roman"/>
          <w:sz w:val="20"/>
          <w:szCs w:val="20"/>
        </w:rPr>
        <w:t xml:space="preserve">he </w:t>
      </w:r>
      <w:r w:rsidR="00B66D32">
        <w:rPr>
          <w:rFonts w:ascii="Times New Roman" w:hAnsi="Times New Roman"/>
          <w:sz w:val="20"/>
          <w:szCs w:val="20"/>
        </w:rPr>
        <w:t xml:space="preserve">total endorsed new construction </w:t>
      </w:r>
      <w:r w:rsidR="006F6D6C">
        <w:rPr>
          <w:rFonts w:ascii="Times New Roman" w:hAnsi="Times New Roman"/>
          <w:sz w:val="20"/>
          <w:szCs w:val="20"/>
        </w:rPr>
        <w:t xml:space="preserve">figure </w:t>
      </w:r>
      <w:r w:rsidR="00B66D32">
        <w:rPr>
          <w:rFonts w:ascii="Times New Roman" w:hAnsi="Times New Roman"/>
          <w:sz w:val="20"/>
          <w:szCs w:val="20"/>
        </w:rPr>
        <w:t xml:space="preserve">for FY 2021 </w:t>
      </w:r>
      <w:r w:rsidR="006F6D6C">
        <w:rPr>
          <w:rFonts w:ascii="Times New Roman" w:hAnsi="Times New Roman"/>
          <w:sz w:val="20"/>
          <w:szCs w:val="20"/>
        </w:rPr>
        <w:t>of</w:t>
      </w:r>
      <w:r w:rsidR="00B66D32">
        <w:rPr>
          <w:rFonts w:ascii="Times New Roman" w:hAnsi="Times New Roman"/>
          <w:sz w:val="20"/>
          <w:szCs w:val="20"/>
        </w:rPr>
        <w:t xml:space="preserve"> 93</w:t>
      </w:r>
      <w:r w:rsidR="00DB3611">
        <w:rPr>
          <w:rFonts w:ascii="Times New Roman" w:hAnsi="Times New Roman"/>
          <w:sz w:val="20"/>
          <w:szCs w:val="20"/>
        </w:rPr>
        <w:t>,</w:t>
      </w:r>
      <w:r w:rsidR="00B66D32">
        <w:rPr>
          <w:rFonts w:ascii="Times New Roman" w:hAnsi="Times New Roman"/>
          <w:sz w:val="20"/>
          <w:szCs w:val="20"/>
        </w:rPr>
        <w:t>630</w:t>
      </w:r>
      <w:r w:rsidR="00DB3611">
        <w:rPr>
          <w:rFonts w:ascii="Times New Roman" w:hAnsi="Times New Roman"/>
          <w:sz w:val="20"/>
          <w:szCs w:val="20"/>
        </w:rPr>
        <w:t xml:space="preserve"> is utilized </w:t>
      </w:r>
      <w:r w:rsidR="005258FC">
        <w:rPr>
          <w:rFonts w:ascii="Times New Roman" w:hAnsi="Times New Roman"/>
          <w:sz w:val="20"/>
          <w:szCs w:val="20"/>
        </w:rPr>
        <w:t>in the estimation of the burden</w:t>
      </w:r>
      <w:r w:rsidRPr="00937AC5" w:rsidR="005258FC">
        <w:rPr>
          <w:rFonts w:ascii="Times New Roman" w:hAnsi="Times New Roman"/>
          <w:sz w:val="20"/>
          <w:szCs w:val="20"/>
        </w:rPr>
        <w:t xml:space="preserve"> hours</w:t>
      </w:r>
      <w:r w:rsidR="005258FC">
        <w:rPr>
          <w:rFonts w:ascii="Times New Roman" w:hAnsi="Times New Roman"/>
          <w:sz w:val="20"/>
          <w:szCs w:val="20"/>
        </w:rPr>
        <w:t xml:space="preserve"> </w:t>
      </w:r>
      <w:r w:rsidR="00DB3611">
        <w:rPr>
          <w:rFonts w:ascii="Times New Roman" w:hAnsi="Times New Roman"/>
          <w:sz w:val="20"/>
          <w:szCs w:val="20"/>
        </w:rPr>
        <w:t xml:space="preserve">because it is most current full year data available in HUD’s </w:t>
      </w:r>
      <w:r w:rsidR="006F6D6C">
        <w:rPr>
          <w:rFonts w:ascii="Times New Roman" w:hAnsi="Times New Roman"/>
          <w:sz w:val="20"/>
          <w:szCs w:val="20"/>
        </w:rPr>
        <w:t>SFDW</w:t>
      </w:r>
      <w:r w:rsidRPr="00937AC5" w:rsidR="00E86D11">
        <w:rPr>
          <w:rFonts w:ascii="Times New Roman" w:hAnsi="Times New Roman"/>
          <w:sz w:val="20"/>
          <w:szCs w:val="20"/>
        </w:rPr>
        <w:t>.</w:t>
      </w:r>
    </w:p>
    <w:p w:rsidR="00F0519E" w:rsidRPr="00937AC5" w:rsidP="007621A6" w14:paraId="5F771F5E" w14:textId="77777777">
      <w:pPr>
        <w:numPr>
          <w:ilvl w:val="0"/>
          <w:numId w:val="11"/>
        </w:numPr>
        <w:ind w:left="360"/>
        <w:rPr>
          <w:rFonts w:ascii="Times New Roman" w:hAnsi="Times New Roman"/>
          <w:sz w:val="20"/>
          <w:szCs w:val="20"/>
        </w:rPr>
      </w:pPr>
      <w:r w:rsidRPr="00937AC5">
        <w:rPr>
          <w:rFonts w:ascii="Times New Roman" w:hAnsi="Times New Roman"/>
          <w:sz w:val="20"/>
          <w:szCs w:val="20"/>
        </w:rPr>
        <w:t>The collection of the requested information does not involve the use of</w:t>
      </w:r>
      <w:r w:rsidRPr="00937AC5" w:rsidR="00E86D11">
        <w:rPr>
          <w:rFonts w:ascii="Times New Roman" w:hAnsi="Times New Roman"/>
          <w:sz w:val="20"/>
          <w:szCs w:val="20"/>
        </w:rPr>
        <w:t xml:space="preserve"> </w:t>
      </w:r>
      <w:r w:rsidRPr="00937AC5">
        <w:rPr>
          <w:rFonts w:ascii="Times New Roman" w:hAnsi="Times New Roman"/>
          <w:sz w:val="20"/>
          <w:szCs w:val="20"/>
        </w:rPr>
        <w:t xml:space="preserve">automated, electronic, </w:t>
      </w:r>
      <w:r w:rsidRPr="00937AC5" w:rsidR="00724F07">
        <w:rPr>
          <w:rFonts w:ascii="Times New Roman" w:hAnsi="Times New Roman"/>
          <w:sz w:val="20"/>
          <w:szCs w:val="20"/>
        </w:rPr>
        <w:t>mechanical,</w:t>
      </w:r>
      <w:r w:rsidRPr="00937AC5">
        <w:rPr>
          <w:rFonts w:ascii="Times New Roman" w:hAnsi="Times New Roman"/>
          <w:sz w:val="20"/>
          <w:szCs w:val="20"/>
        </w:rPr>
        <w:t xml:space="preserve"> or other forms of information technology.  The form </w:t>
      </w:r>
      <w:r w:rsidR="002842DD">
        <w:rPr>
          <w:rFonts w:ascii="Times New Roman" w:hAnsi="Times New Roman"/>
          <w:sz w:val="20"/>
          <w:szCs w:val="20"/>
        </w:rPr>
        <w:t xml:space="preserve">HUD-NPMA-99-A </w:t>
      </w:r>
      <w:r w:rsidRPr="00937AC5">
        <w:rPr>
          <w:rFonts w:ascii="Times New Roman" w:hAnsi="Times New Roman"/>
          <w:sz w:val="20"/>
          <w:szCs w:val="20"/>
        </w:rPr>
        <w:t xml:space="preserve">requires the signature of the builder and must be submitted as part of the case binder for FHA endorsement.  </w:t>
      </w:r>
      <w:r w:rsidR="002842DD">
        <w:rPr>
          <w:rFonts w:ascii="Times New Roman" w:hAnsi="Times New Roman"/>
          <w:sz w:val="20"/>
          <w:szCs w:val="20"/>
        </w:rPr>
        <w:t xml:space="preserve">The form HUD-NPMA-99-B requires the signature of the licensed pest control company. </w:t>
      </w:r>
      <w:r w:rsidRPr="00937AC5">
        <w:rPr>
          <w:rFonts w:ascii="Times New Roman" w:hAnsi="Times New Roman"/>
          <w:sz w:val="20"/>
          <w:szCs w:val="20"/>
        </w:rPr>
        <w:t xml:space="preserve">The forms are available on the HUD website in a .pdf fillable format that can be saved and submitted electronically. </w:t>
      </w:r>
    </w:p>
    <w:p w:rsidR="00F0519E" w:rsidRPr="00937AC5" w:rsidP="007621A6" w14:paraId="77FB5560" w14:textId="77777777">
      <w:pPr>
        <w:numPr>
          <w:ilvl w:val="0"/>
          <w:numId w:val="11"/>
        </w:numPr>
        <w:ind w:left="360"/>
        <w:rPr>
          <w:rFonts w:ascii="Times New Roman" w:hAnsi="Times New Roman"/>
          <w:sz w:val="20"/>
          <w:szCs w:val="20"/>
        </w:rPr>
      </w:pPr>
      <w:r w:rsidRPr="00937AC5">
        <w:rPr>
          <w:rFonts w:ascii="Times New Roman" w:hAnsi="Times New Roman"/>
          <w:sz w:val="20"/>
          <w:szCs w:val="20"/>
        </w:rPr>
        <w:t>The collected information is not duplicative.</w:t>
      </w:r>
    </w:p>
    <w:p w:rsidR="00F0519E" w:rsidRPr="00937AC5" w:rsidP="007621A6" w14:paraId="00074A3A" w14:textId="77777777">
      <w:pPr>
        <w:numPr>
          <w:ilvl w:val="0"/>
          <w:numId w:val="11"/>
        </w:numPr>
        <w:ind w:left="360"/>
        <w:rPr>
          <w:rFonts w:ascii="Times New Roman" w:hAnsi="Times New Roman"/>
          <w:sz w:val="20"/>
          <w:szCs w:val="20"/>
        </w:rPr>
      </w:pPr>
      <w:r w:rsidRPr="00937AC5">
        <w:rPr>
          <w:rFonts w:ascii="Times New Roman" w:hAnsi="Times New Roman"/>
          <w:sz w:val="20"/>
          <w:szCs w:val="20"/>
        </w:rPr>
        <w:t>A number of builders and pest inspectors operate as small businesses, however due to the very limited amount of time required in the collection</w:t>
      </w:r>
      <w:r w:rsidR="00C809D4">
        <w:rPr>
          <w:rFonts w:ascii="Times New Roman" w:hAnsi="Times New Roman"/>
          <w:sz w:val="20"/>
          <w:szCs w:val="20"/>
        </w:rPr>
        <w:t>,</w:t>
      </w:r>
      <w:r w:rsidRPr="00937AC5">
        <w:rPr>
          <w:rFonts w:ascii="Times New Roman" w:hAnsi="Times New Roman"/>
          <w:sz w:val="20"/>
          <w:szCs w:val="20"/>
        </w:rPr>
        <w:t xml:space="preserve"> the impact on small business is deemed minimal.   </w:t>
      </w:r>
    </w:p>
    <w:p w:rsidR="00F0519E" w:rsidRPr="00937AC5" w:rsidP="007621A6" w14:paraId="32B73A69" w14:textId="77777777">
      <w:pPr>
        <w:numPr>
          <w:ilvl w:val="0"/>
          <w:numId w:val="11"/>
        </w:numPr>
        <w:ind w:left="360"/>
        <w:rPr>
          <w:rFonts w:ascii="Times New Roman" w:hAnsi="Times New Roman"/>
          <w:sz w:val="20"/>
          <w:szCs w:val="20"/>
        </w:rPr>
      </w:pPr>
      <w:r>
        <w:rPr>
          <w:rFonts w:ascii="Times New Roman" w:hAnsi="Times New Roman"/>
          <w:sz w:val="20"/>
          <w:szCs w:val="20"/>
        </w:rPr>
        <w:t>The</w:t>
      </w:r>
      <w:r w:rsidRPr="00937AC5" w:rsidR="00000000">
        <w:rPr>
          <w:rFonts w:ascii="Times New Roman" w:hAnsi="Times New Roman"/>
          <w:sz w:val="20"/>
          <w:szCs w:val="20"/>
        </w:rPr>
        <w:t xml:space="preserve"> requested data is collected </w:t>
      </w:r>
      <w:r w:rsidR="003B5EA7">
        <w:rPr>
          <w:rFonts w:ascii="Times New Roman" w:hAnsi="Times New Roman"/>
          <w:sz w:val="20"/>
          <w:szCs w:val="20"/>
        </w:rPr>
        <w:t xml:space="preserve">to protect </w:t>
      </w:r>
      <w:r w:rsidRPr="00937AC5" w:rsidR="00000000">
        <w:rPr>
          <w:rFonts w:ascii="Times New Roman" w:hAnsi="Times New Roman"/>
          <w:sz w:val="20"/>
          <w:szCs w:val="20"/>
        </w:rPr>
        <w:t>new home purchasers</w:t>
      </w:r>
      <w:r>
        <w:rPr>
          <w:rFonts w:ascii="Times New Roman" w:hAnsi="Times New Roman"/>
          <w:sz w:val="20"/>
          <w:szCs w:val="20"/>
        </w:rPr>
        <w:t>, lenders,</w:t>
      </w:r>
      <w:r w:rsidRPr="00937AC5" w:rsidR="00000000">
        <w:rPr>
          <w:rFonts w:ascii="Times New Roman" w:hAnsi="Times New Roman"/>
          <w:sz w:val="20"/>
          <w:szCs w:val="20"/>
        </w:rPr>
        <w:t xml:space="preserve"> and HUD</w:t>
      </w:r>
      <w:r w:rsidR="003B5EA7">
        <w:rPr>
          <w:rFonts w:ascii="Times New Roman" w:hAnsi="Times New Roman"/>
          <w:sz w:val="20"/>
          <w:szCs w:val="20"/>
        </w:rPr>
        <w:t>.</w:t>
      </w:r>
    </w:p>
    <w:p w:rsidR="00F0519E" w:rsidRPr="00937AC5" w:rsidP="007621A6" w14:paraId="3A488F7C" w14:textId="77777777">
      <w:pPr>
        <w:numPr>
          <w:ilvl w:val="0"/>
          <w:numId w:val="11"/>
        </w:numPr>
        <w:ind w:left="360"/>
        <w:rPr>
          <w:rFonts w:ascii="Times New Roman" w:hAnsi="Times New Roman"/>
          <w:sz w:val="20"/>
          <w:szCs w:val="20"/>
        </w:rPr>
      </w:pPr>
      <w:r w:rsidRPr="00937AC5">
        <w:rPr>
          <w:rFonts w:ascii="Times New Roman" w:hAnsi="Times New Roman"/>
          <w:sz w:val="20"/>
          <w:szCs w:val="20"/>
        </w:rPr>
        <w:t>No special circumstances are envisioned that would cause the information collection to be conducted in any of the enumerated manners.</w:t>
      </w:r>
    </w:p>
    <w:p w:rsidR="00904D42" w:rsidP="007621A6" w14:paraId="0CB55826" w14:textId="53E42177">
      <w:pPr>
        <w:numPr>
          <w:ilvl w:val="0"/>
          <w:numId w:val="11"/>
        </w:numPr>
        <w:ind w:left="360"/>
        <w:rPr>
          <w:rFonts w:ascii="Times New Roman" w:hAnsi="Times New Roman"/>
          <w:sz w:val="20"/>
          <w:szCs w:val="20"/>
        </w:rPr>
      </w:pPr>
      <w:r w:rsidRPr="00937AC5">
        <w:rPr>
          <w:rFonts w:ascii="Times New Roman" w:hAnsi="Times New Roman"/>
          <w:sz w:val="20"/>
          <w:szCs w:val="20"/>
        </w:rPr>
        <w:t xml:space="preserve">Information collected is conducted in a manner consistent with the guidelines of 5 CFR 1320.8 (d).  The Notice announcing this collection of information </w:t>
      </w:r>
      <w:r w:rsidR="003B5EA7">
        <w:rPr>
          <w:rFonts w:ascii="Times New Roman" w:hAnsi="Times New Roman"/>
          <w:sz w:val="20"/>
          <w:szCs w:val="20"/>
        </w:rPr>
        <w:t xml:space="preserve">will </w:t>
      </w:r>
      <w:r w:rsidRPr="00937AC5">
        <w:rPr>
          <w:rFonts w:ascii="Times New Roman" w:hAnsi="Times New Roman"/>
          <w:sz w:val="20"/>
          <w:szCs w:val="20"/>
        </w:rPr>
        <w:t>appear in the Federal Register</w:t>
      </w:r>
      <w:r w:rsidR="00CE6E16">
        <w:rPr>
          <w:rFonts w:ascii="Times New Roman" w:hAnsi="Times New Roman"/>
          <w:sz w:val="20"/>
          <w:szCs w:val="20"/>
        </w:rPr>
        <w:t xml:space="preserve">: </w:t>
      </w:r>
      <w:r w:rsidRPr="00CE6E16" w:rsidR="00CE6E16">
        <w:rPr>
          <w:rFonts w:ascii="Times New Roman" w:hAnsi="Times New Roman"/>
          <w:sz w:val="20"/>
          <w:szCs w:val="20"/>
        </w:rPr>
        <w:t>Wednesday</w:t>
      </w:r>
      <w:r w:rsidR="00CE6E16">
        <w:rPr>
          <w:rFonts w:ascii="Times New Roman" w:hAnsi="Times New Roman"/>
          <w:sz w:val="20"/>
          <w:szCs w:val="20"/>
        </w:rPr>
        <w:t>,</w:t>
      </w:r>
      <w:r w:rsidRPr="00CE6E16" w:rsidR="00CE6E16">
        <w:rPr>
          <w:rFonts w:ascii="Times New Roman" w:hAnsi="Times New Roman"/>
          <w:sz w:val="20"/>
          <w:szCs w:val="20"/>
        </w:rPr>
        <w:t xml:space="preserve"> August 3</w:t>
      </w:r>
      <w:r w:rsidR="00CE6E16">
        <w:rPr>
          <w:rFonts w:ascii="Times New Roman" w:hAnsi="Times New Roman"/>
          <w:sz w:val="20"/>
          <w:szCs w:val="20"/>
        </w:rPr>
        <w:t>1, 2022. (</w:t>
      </w:r>
      <w:r w:rsidRPr="00937AC5">
        <w:rPr>
          <w:rFonts w:ascii="Times New Roman" w:hAnsi="Times New Roman"/>
          <w:sz w:val="20"/>
          <w:szCs w:val="20"/>
        </w:rPr>
        <w:t xml:space="preserve">Volume </w:t>
      </w:r>
      <w:r w:rsidR="00CE6E16">
        <w:rPr>
          <w:rFonts w:ascii="Times New Roman" w:hAnsi="Times New Roman"/>
          <w:sz w:val="20"/>
          <w:szCs w:val="20"/>
        </w:rPr>
        <w:t>87</w:t>
      </w:r>
      <w:r w:rsidRPr="00937AC5">
        <w:rPr>
          <w:rFonts w:ascii="Times New Roman" w:hAnsi="Times New Roman"/>
          <w:sz w:val="20"/>
          <w:szCs w:val="20"/>
        </w:rPr>
        <w:t>, N</w:t>
      </w:r>
      <w:r w:rsidRPr="00937AC5" w:rsidR="002E3D71">
        <w:rPr>
          <w:rFonts w:ascii="Times New Roman" w:hAnsi="Times New Roman"/>
          <w:sz w:val="20"/>
          <w:szCs w:val="20"/>
        </w:rPr>
        <w:t>umber</w:t>
      </w:r>
      <w:r w:rsidRPr="00937AC5">
        <w:rPr>
          <w:rFonts w:ascii="Times New Roman" w:hAnsi="Times New Roman"/>
          <w:sz w:val="20"/>
          <w:szCs w:val="20"/>
        </w:rPr>
        <w:t xml:space="preserve"> </w:t>
      </w:r>
      <w:r w:rsidR="00CE6E16">
        <w:rPr>
          <w:rFonts w:ascii="Times New Roman" w:hAnsi="Times New Roman"/>
          <w:sz w:val="20"/>
          <w:szCs w:val="20"/>
        </w:rPr>
        <w:t>168</w:t>
      </w:r>
      <w:r w:rsidRPr="00937AC5" w:rsidR="002E3D71">
        <w:rPr>
          <w:rFonts w:ascii="Times New Roman" w:hAnsi="Times New Roman"/>
          <w:sz w:val="20"/>
          <w:szCs w:val="20"/>
        </w:rPr>
        <w:t>,</w:t>
      </w:r>
      <w:r w:rsidRPr="00937AC5">
        <w:rPr>
          <w:rFonts w:ascii="Times New Roman" w:hAnsi="Times New Roman"/>
          <w:sz w:val="20"/>
          <w:szCs w:val="20"/>
        </w:rPr>
        <w:t xml:space="preserve"> </w:t>
      </w:r>
      <w:r w:rsidRPr="00937AC5" w:rsidR="002E3D71">
        <w:rPr>
          <w:rFonts w:ascii="Times New Roman" w:hAnsi="Times New Roman"/>
          <w:sz w:val="20"/>
          <w:szCs w:val="20"/>
        </w:rPr>
        <w:t>P</w:t>
      </w:r>
      <w:r w:rsidRPr="00937AC5">
        <w:rPr>
          <w:rFonts w:ascii="Times New Roman" w:hAnsi="Times New Roman"/>
          <w:sz w:val="20"/>
          <w:szCs w:val="20"/>
        </w:rPr>
        <w:t xml:space="preserve">age </w:t>
      </w:r>
      <w:r w:rsidR="00CE6E16">
        <w:rPr>
          <w:rFonts w:ascii="Times New Roman" w:hAnsi="Times New Roman"/>
          <w:sz w:val="20"/>
          <w:szCs w:val="20"/>
        </w:rPr>
        <w:t>5383</w:t>
      </w:r>
      <w:r w:rsidRPr="00937AC5">
        <w:rPr>
          <w:rFonts w:ascii="Times New Roman" w:hAnsi="Times New Roman"/>
          <w:sz w:val="20"/>
          <w:szCs w:val="20"/>
        </w:rPr>
        <w:t xml:space="preserve">).  </w:t>
      </w:r>
      <w:r w:rsidR="00CE6E16">
        <w:rPr>
          <w:rFonts w:ascii="Times New Roman" w:hAnsi="Times New Roman"/>
          <w:sz w:val="20"/>
          <w:szCs w:val="20"/>
        </w:rPr>
        <w:t xml:space="preserve">A </w:t>
      </w:r>
      <w:r w:rsidRPr="00CE6E16" w:rsidR="00CE6E16">
        <w:rPr>
          <w:rFonts w:ascii="Times New Roman" w:hAnsi="Times New Roman"/>
          <w:sz w:val="20"/>
          <w:szCs w:val="20"/>
        </w:rPr>
        <w:t>comment was received</w:t>
      </w:r>
      <w:r w:rsidR="00CE6E16">
        <w:rPr>
          <w:rFonts w:ascii="Times New Roman" w:hAnsi="Times New Roman"/>
          <w:sz w:val="20"/>
          <w:szCs w:val="20"/>
        </w:rPr>
        <w:t>.</w:t>
      </w:r>
    </w:p>
    <w:p w:rsidR="00F0519E" w:rsidRPr="00FB7407" w:rsidP="00904D42" w14:paraId="240363F3" w14:textId="77777777">
      <w:pPr>
        <w:ind w:left="360"/>
        <w:rPr>
          <w:rFonts w:ascii="Times New Roman" w:hAnsi="Times New Roman"/>
          <w:sz w:val="20"/>
          <w:szCs w:val="20"/>
        </w:rPr>
      </w:pPr>
      <w:r>
        <w:rPr>
          <w:rFonts w:ascii="Times New Roman" w:hAnsi="Times New Roman"/>
          <w:sz w:val="20"/>
          <w:szCs w:val="20"/>
        </w:rPr>
        <w:t xml:space="preserve">The forms are from </w:t>
      </w:r>
      <w:r w:rsidRPr="00FB7407" w:rsidR="00000000">
        <w:rPr>
          <w:rFonts w:ascii="Times New Roman" w:hAnsi="Times New Roman"/>
          <w:sz w:val="20"/>
          <w:szCs w:val="20"/>
        </w:rPr>
        <w:t xml:space="preserve">National Pest Management Association </w:t>
      </w:r>
      <w:r w:rsidR="003B5EA7">
        <w:rPr>
          <w:rFonts w:ascii="Times New Roman" w:hAnsi="Times New Roman"/>
          <w:sz w:val="20"/>
          <w:szCs w:val="20"/>
        </w:rPr>
        <w:t xml:space="preserve">(NPMA) </w:t>
      </w:r>
      <w:r>
        <w:rPr>
          <w:rFonts w:ascii="Times New Roman" w:hAnsi="Times New Roman"/>
          <w:sz w:val="20"/>
          <w:szCs w:val="20"/>
        </w:rPr>
        <w:t xml:space="preserve">and </w:t>
      </w:r>
      <w:r w:rsidRPr="00FB7407" w:rsidR="00000000">
        <w:rPr>
          <w:rFonts w:ascii="Times New Roman" w:hAnsi="Times New Roman"/>
          <w:sz w:val="20"/>
          <w:szCs w:val="20"/>
        </w:rPr>
        <w:t xml:space="preserve">are industry standards and are necessary for new construction. </w:t>
      </w:r>
    </w:p>
    <w:p w:rsidR="00F0519E" w:rsidRPr="00937AC5" w:rsidP="007621A6" w14:paraId="311E3952" w14:textId="77777777">
      <w:pPr>
        <w:ind w:left="360"/>
        <w:rPr>
          <w:rFonts w:ascii="Times New Roman" w:hAnsi="Times New Roman"/>
          <w:sz w:val="20"/>
          <w:szCs w:val="20"/>
        </w:rPr>
      </w:pPr>
      <w:r>
        <w:rPr>
          <w:rFonts w:ascii="Times New Roman" w:hAnsi="Times New Roman"/>
          <w:sz w:val="20"/>
          <w:szCs w:val="20"/>
        </w:rPr>
        <w:t>C</w:t>
      </w:r>
      <w:r w:rsidRPr="00937AC5" w:rsidR="00000000">
        <w:rPr>
          <w:rFonts w:ascii="Times New Roman" w:hAnsi="Times New Roman"/>
          <w:sz w:val="20"/>
          <w:szCs w:val="20"/>
        </w:rPr>
        <w:t>onsult</w:t>
      </w:r>
      <w:r>
        <w:rPr>
          <w:rFonts w:ascii="Times New Roman" w:hAnsi="Times New Roman"/>
          <w:sz w:val="20"/>
          <w:szCs w:val="20"/>
        </w:rPr>
        <w:t xml:space="preserve">ed </w:t>
      </w:r>
      <w:r w:rsidRPr="00937AC5" w:rsidR="00000000">
        <w:rPr>
          <w:rFonts w:ascii="Times New Roman" w:hAnsi="Times New Roman"/>
          <w:sz w:val="20"/>
          <w:szCs w:val="20"/>
        </w:rPr>
        <w:t>with HUD staff in all four HUD Homeownership Centers</w:t>
      </w:r>
      <w:r w:rsidR="003B5EA7">
        <w:rPr>
          <w:rFonts w:ascii="Times New Roman" w:hAnsi="Times New Roman"/>
          <w:sz w:val="20"/>
          <w:szCs w:val="20"/>
        </w:rPr>
        <w:t xml:space="preserve"> </w:t>
      </w:r>
      <w:r w:rsidR="00B66D32">
        <w:rPr>
          <w:rFonts w:ascii="Times New Roman" w:hAnsi="Times New Roman"/>
          <w:sz w:val="20"/>
          <w:szCs w:val="20"/>
        </w:rPr>
        <w:t xml:space="preserve">(HOCs) </w:t>
      </w:r>
      <w:r w:rsidR="003B5EA7">
        <w:rPr>
          <w:rFonts w:ascii="Times New Roman" w:hAnsi="Times New Roman"/>
          <w:sz w:val="20"/>
          <w:szCs w:val="20"/>
        </w:rPr>
        <w:t xml:space="preserve">where the forms are reviewed by HUD </w:t>
      </w:r>
      <w:r w:rsidR="00006080">
        <w:rPr>
          <w:rFonts w:ascii="Times New Roman" w:hAnsi="Times New Roman"/>
          <w:sz w:val="20"/>
          <w:szCs w:val="20"/>
        </w:rPr>
        <w:t>staff.</w:t>
      </w:r>
    </w:p>
    <w:p w:rsidR="00F0519E" w:rsidRPr="00FB7407" w:rsidP="007621A6" w14:paraId="6F89C2AC" w14:textId="77777777">
      <w:pPr>
        <w:numPr>
          <w:ilvl w:val="0"/>
          <w:numId w:val="13"/>
        </w:numPr>
        <w:spacing w:after="0"/>
        <w:ind w:left="720"/>
        <w:rPr>
          <w:rFonts w:ascii="Times New Roman" w:hAnsi="Times New Roman"/>
          <w:sz w:val="20"/>
          <w:szCs w:val="20"/>
        </w:rPr>
      </w:pPr>
      <w:r w:rsidRPr="00FB7407">
        <w:rPr>
          <w:rFonts w:ascii="Times New Roman" w:hAnsi="Times New Roman"/>
          <w:sz w:val="20"/>
          <w:szCs w:val="20"/>
        </w:rPr>
        <w:t xml:space="preserve">Linn Lawrence: </w:t>
      </w:r>
      <w:hyperlink r:id="rId4" w:history="1">
        <w:r w:rsidRPr="00FB7407">
          <w:rPr>
            <w:rFonts w:ascii="Times New Roman" w:hAnsi="Times New Roman"/>
            <w:sz w:val="20"/>
            <w:szCs w:val="20"/>
          </w:rPr>
          <w:t>Linn.Lawrence@hud.gov</w:t>
        </w:r>
      </w:hyperlink>
      <w:r w:rsidRPr="00FB7407">
        <w:rPr>
          <w:rFonts w:ascii="Times New Roman" w:hAnsi="Times New Roman"/>
          <w:sz w:val="20"/>
          <w:szCs w:val="20"/>
        </w:rPr>
        <w:t xml:space="preserve"> of Atlanta Homeownership Center, (678) 732-2657</w:t>
      </w:r>
    </w:p>
    <w:p w:rsidR="00F0519E" w:rsidRPr="00FB7407" w:rsidP="007621A6" w14:paraId="12FE300E" w14:textId="77777777">
      <w:pPr>
        <w:numPr>
          <w:ilvl w:val="0"/>
          <w:numId w:val="13"/>
        </w:numPr>
        <w:spacing w:after="0"/>
        <w:ind w:left="720"/>
        <w:rPr>
          <w:rFonts w:ascii="Times New Roman" w:hAnsi="Times New Roman"/>
          <w:sz w:val="20"/>
          <w:szCs w:val="20"/>
        </w:rPr>
      </w:pPr>
      <w:r w:rsidRPr="00FB7407">
        <w:rPr>
          <w:rFonts w:ascii="Times New Roman" w:hAnsi="Times New Roman"/>
          <w:sz w:val="20"/>
          <w:szCs w:val="20"/>
        </w:rPr>
        <w:t xml:space="preserve">Karina A. Batkalin: </w:t>
      </w:r>
      <w:hyperlink r:id="rId5" w:history="1">
        <w:r w:rsidRPr="00FB7407">
          <w:rPr>
            <w:rFonts w:ascii="Times New Roman" w:hAnsi="Times New Roman"/>
            <w:sz w:val="20"/>
            <w:szCs w:val="20"/>
          </w:rPr>
          <w:t>Karina.A.Batkalin@hud.gov</w:t>
        </w:r>
      </w:hyperlink>
      <w:r w:rsidRPr="00FB7407">
        <w:rPr>
          <w:rFonts w:ascii="Times New Roman" w:hAnsi="Times New Roman"/>
          <w:sz w:val="20"/>
          <w:szCs w:val="20"/>
        </w:rPr>
        <w:t xml:space="preserve"> of Denver Homeownership Center, (303) 839-2653</w:t>
      </w:r>
    </w:p>
    <w:p w:rsidR="00F0519E" w:rsidRPr="00FB7407" w:rsidP="007621A6" w14:paraId="3C864E65" w14:textId="77777777">
      <w:pPr>
        <w:numPr>
          <w:ilvl w:val="0"/>
          <w:numId w:val="13"/>
        </w:numPr>
        <w:spacing w:after="0"/>
        <w:ind w:left="720"/>
        <w:rPr>
          <w:rFonts w:ascii="Times New Roman" w:hAnsi="Times New Roman"/>
          <w:sz w:val="20"/>
          <w:szCs w:val="20"/>
        </w:rPr>
      </w:pPr>
      <w:r w:rsidRPr="00FB7407">
        <w:rPr>
          <w:rFonts w:ascii="Times New Roman" w:hAnsi="Times New Roman"/>
          <w:sz w:val="20"/>
          <w:szCs w:val="20"/>
        </w:rPr>
        <w:t xml:space="preserve">Andrew </w:t>
      </w:r>
      <w:r w:rsidRPr="00FB7407">
        <w:rPr>
          <w:rFonts w:ascii="Times New Roman" w:hAnsi="Times New Roman"/>
          <w:sz w:val="20"/>
          <w:szCs w:val="20"/>
        </w:rPr>
        <w:t>Cianci</w:t>
      </w:r>
      <w:r w:rsidRPr="00FB7407">
        <w:rPr>
          <w:rFonts w:ascii="Times New Roman" w:hAnsi="Times New Roman"/>
          <w:sz w:val="20"/>
          <w:szCs w:val="20"/>
        </w:rPr>
        <w:t xml:space="preserve">: </w:t>
      </w:r>
      <w:hyperlink r:id="rId6" w:history="1">
        <w:r w:rsidRPr="00FB7407">
          <w:rPr>
            <w:rFonts w:ascii="Times New Roman" w:hAnsi="Times New Roman"/>
            <w:sz w:val="20"/>
            <w:szCs w:val="20"/>
          </w:rPr>
          <w:t>Andrew.Cianci@hud.gov</w:t>
        </w:r>
      </w:hyperlink>
      <w:r w:rsidRPr="00FB7407">
        <w:rPr>
          <w:rFonts w:ascii="Times New Roman" w:hAnsi="Times New Roman"/>
          <w:sz w:val="20"/>
          <w:szCs w:val="20"/>
        </w:rPr>
        <w:t xml:space="preserve"> of Philadelphia Homeownership Center, (215) 861-7687</w:t>
      </w:r>
    </w:p>
    <w:p w:rsidR="00F0519E" w:rsidRPr="00FB7407" w:rsidP="007621A6" w14:paraId="077A5335" w14:textId="77777777">
      <w:pPr>
        <w:numPr>
          <w:ilvl w:val="0"/>
          <w:numId w:val="13"/>
        </w:numPr>
        <w:spacing w:after="0"/>
        <w:ind w:left="720"/>
        <w:rPr>
          <w:rFonts w:ascii="Times New Roman" w:hAnsi="Times New Roman"/>
          <w:sz w:val="20"/>
          <w:szCs w:val="20"/>
        </w:rPr>
      </w:pPr>
      <w:r w:rsidRPr="00FB7407">
        <w:rPr>
          <w:rFonts w:ascii="Times New Roman" w:hAnsi="Times New Roman"/>
          <w:sz w:val="20"/>
          <w:szCs w:val="20"/>
        </w:rPr>
        <w:t xml:space="preserve">Donald D. Doan: </w:t>
      </w:r>
      <w:hyperlink r:id="rId7" w:history="1">
        <w:r w:rsidRPr="00FB7407">
          <w:rPr>
            <w:rFonts w:ascii="Times New Roman" w:hAnsi="Times New Roman"/>
            <w:sz w:val="20"/>
            <w:szCs w:val="20"/>
          </w:rPr>
          <w:t>Donald.D.Doan@hud.gov</w:t>
        </w:r>
      </w:hyperlink>
      <w:r w:rsidRPr="00FB7407">
        <w:rPr>
          <w:rFonts w:ascii="Times New Roman" w:hAnsi="Times New Roman"/>
          <w:sz w:val="20"/>
          <w:szCs w:val="20"/>
        </w:rPr>
        <w:t xml:space="preserve"> of Santa Ana Homeownership Center, (714) 955-0705</w:t>
      </w:r>
    </w:p>
    <w:p w:rsidR="00F0519E" w:rsidRPr="00937AC5" w:rsidP="007621A6" w14:paraId="7AD6DBE9" w14:textId="77777777">
      <w:pPr>
        <w:ind w:left="360"/>
        <w:rPr>
          <w:rFonts w:ascii="Times New Roman" w:hAnsi="Times New Roman"/>
          <w:sz w:val="20"/>
          <w:szCs w:val="20"/>
        </w:rPr>
      </w:pPr>
      <w:r w:rsidRPr="00937AC5">
        <w:rPr>
          <w:rFonts w:ascii="Times New Roman" w:hAnsi="Times New Roman"/>
          <w:sz w:val="20"/>
          <w:szCs w:val="20"/>
        </w:rPr>
        <w:t xml:space="preserve">The above HUD staff </w:t>
      </w:r>
      <w:r w:rsidR="00B66D32">
        <w:rPr>
          <w:rFonts w:ascii="Times New Roman" w:hAnsi="Times New Roman"/>
          <w:sz w:val="20"/>
          <w:szCs w:val="20"/>
        </w:rPr>
        <w:t xml:space="preserve">in the HOCs </w:t>
      </w:r>
      <w:r w:rsidRPr="00937AC5" w:rsidR="0041412D">
        <w:rPr>
          <w:rFonts w:ascii="Times New Roman" w:hAnsi="Times New Roman"/>
          <w:sz w:val="20"/>
          <w:szCs w:val="20"/>
        </w:rPr>
        <w:t>indicated t</w:t>
      </w:r>
      <w:r w:rsidRPr="00937AC5">
        <w:rPr>
          <w:rFonts w:ascii="Times New Roman" w:hAnsi="Times New Roman"/>
          <w:sz w:val="20"/>
          <w:szCs w:val="20"/>
        </w:rPr>
        <w:t xml:space="preserve">hat </w:t>
      </w:r>
      <w:r w:rsidRPr="00937AC5" w:rsidR="0041412D">
        <w:rPr>
          <w:rFonts w:ascii="Times New Roman" w:hAnsi="Times New Roman"/>
          <w:sz w:val="20"/>
          <w:szCs w:val="20"/>
        </w:rPr>
        <w:t xml:space="preserve">for the </w:t>
      </w:r>
      <w:r w:rsidRPr="00937AC5">
        <w:rPr>
          <w:rFonts w:ascii="Times New Roman" w:hAnsi="Times New Roman"/>
          <w:sz w:val="20"/>
          <w:szCs w:val="20"/>
        </w:rPr>
        <w:t xml:space="preserve">post technical review, Subterranean Termite Builder’s Guarantee and New Construction Subterranean Termite Service Record forms are reviewed in each endorsed case binder </w:t>
      </w:r>
      <w:r w:rsidR="003B62F3">
        <w:rPr>
          <w:rFonts w:ascii="Times New Roman" w:hAnsi="Times New Roman"/>
          <w:sz w:val="20"/>
          <w:szCs w:val="20"/>
        </w:rPr>
        <w:t xml:space="preserve">of properties </w:t>
      </w:r>
      <w:r w:rsidRPr="00937AC5">
        <w:rPr>
          <w:rFonts w:ascii="Times New Roman" w:hAnsi="Times New Roman"/>
          <w:sz w:val="20"/>
          <w:szCs w:val="20"/>
        </w:rPr>
        <w:t>for new construction loans.</w:t>
      </w:r>
      <w:r w:rsidR="001E6400">
        <w:rPr>
          <w:rFonts w:ascii="Times New Roman" w:hAnsi="Times New Roman"/>
          <w:sz w:val="20"/>
          <w:szCs w:val="20"/>
        </w:rPr>
        <w:t xml:space="preserve">  </w:t>
      </w:r>
    </w:p>
    <w:p w:rsidR="00F0519E" w:rsidRPr="00937AC5" w:rsidP="007621A6" w14:paraId="1FBF7AAC" w14:textId="77777777">
      <w:pPr>
        <w:numPr>
          <w:ilvl w:val="0"/>
          <w:numId w:val="11"/>
        </w:numPr>
        <w:ind w:left="360"/>
        <w:rPr>
          <w:rFonts w:ascii="Times New Roman" w:hAnsi="Times New Roman"/>
          <w:sz w:val="20"/>
          <w:szCs w:val="20"/>
        </w:rPr>
      </w:pPr>
      <w:r w:rsidRPr="00937AC5">
        <w:rPr>
          <w:rFonts w:ascii="Times New Roman" w:hAnsi="Times New Roman"/>
          <w:sz w:val="20"/>
          <w:szCs w:val="20"/>
        </w:rPr>
        <w:t>No payments or gifts are to be provided to respondents.</w:t>
      </w:r>
    </w:p>
    <w:p w:rsidR="00F0519E" w:rsidRPr="00937AC5" w:rsidP="007621A6" w14:paraId="0FD1EA3C" w14:textId="77777777">
      <w:pPr>
        <w:numPr>
          <w:ilvl w:val="0"/>
          <w:numId w:val="11"/>
        </w:numPr>
        <w:ind w:left="360"/>
        <w:rPr>
          <w:rFonts w:ascii="Times New Roman" w:hAnsi="Times New Roman"/>
          <w:sz w:val="20"/>
          <w:szCs w:val="20"/>
        </w:rPr>
      </w:pPr>
      <w:r w:rsidRPr="00937AC5">
        <w:rPr>
          <w:rFonts w:ascii="Times New Roman" w:hAnsi="Times New Roman"/>
          <w:sz w:val="20"/>
          <w:szCs w:val="20"/>
        </w:rPr>
        <w:t>Confidentiality is not assured for the data involved.</w:t>
      </w:r>
    </w:p>
    <w:p w:rsidR="00F0519E" w:rsidRPr="00937AC5" w:rsidP="007621A6" w14:paraId="0313B9CC" w14:textId="77777777">
      <w:pPr>
        <w:numPr>
          <w:ilvl w:val="0"/>
          <w:numId w:val="11"/>
        </w:numPr>
        <w:ind w:left="360"/>
        <w:rPr>
          <w:rFonts w:ascii="Times New Roman" w:hAnsi="Times New Roman"/>
          <w:sz w:val="20"/>
          <w:szCs w:val="20"/>
        </w:rPr>
      </w:pPr>
      <w:r w:rsidRPr="00937AC5">
        <w:rPr>
          <w:rFonts w:ascii="Times New Roman" w:hAnsi="Times New Roman"/>
          <w:sz w:val="20"/>
          <w:szCs w:val="20"/>
        </w:rPr>
        <w:t>There are no sensitive questions involved in this collection.</w:t>
      </w:r>
    </w:p>
    <w:p w:rsidR="00F0519E" w:rsidRPr="00FB7407" w:rsidP="007621A6" w14:paraId="26CB6ADA" w14:textId="77777777">
      <w:pPr>
        <w:numPr>
          <w:ilvl w:val="0"/>
          <w:numId w:val="11"/>
        </w:numPr>
        <w:ind w:left="360"/>
        <w:rPr>
          <w:rFonts w:ascii="Times New Roman" w:hAnsi="Times New Roman"/>
          <w:sz w:val="20"/>
          <w:szCs w:val="20"/>
        </w:rPr>
      </w:pPr>
      <w:r w:rsidRPr="00FB7407">
        <w:rPr>
          <w:rFonts w:ascii="Times New Roman" w:hAnsi="Times New Roman"/>
          <w:sz w:val="20"/>
          <w:szCs w:val="20"/>
        </w:rPr>
        <w:t>Respondent burden &amp; costs:</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000"/>
      </w:tblPr>
      <w:tblGrid>
        <w:gridCol w:w="1779"/>
        <w:gridCol w:w="1306"/>
        <w:gridCol w:w="1166"/>
        <w:gridCol w:w="1189"/>
        <w:gridCol w:w="1090"/>
        <w:gridCol w:w="961"/>
        <w:gridCol w:w="1090"/>
        <w:gridCol w:w="1355"/>
      </w:tblGrid>
      <w:tr w14:paraId="73BCDD9E" w14:textId="77777777" w:rsidTr="00FB7407">
        <w:tblPrEx>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000"/>
        </w:tblPrEx>
        <w:trPr>
          <w:trHeight w:val="1004"/>
          <w:jc w:val="center"/>
        </w:trPr>
        <w:tc>
          <w:tcPr>
            <w:tcW w:w="1779" w:type="dxa"/>
          </w:tcPr>
          <w:p w:rsidR="00F0519E" w:rsidRPr="001D667A" w:rsidP="00927963" w14:paraId="64CEF953" w14:textId="77777777">
            <w:pPr>
              <w:jc w:val="center"/>
              <w:rPr>
                <w:rFonts w:ascii="Times New Roman" w:hAnsi="Times New Roman"/>
                <w:b/>
                <w:bCs/>
                <w:sz w:val="20"/>
                <w:szCs w:val="20"/>
              </w:rPr>
            </w:pPr>
            <w:r w:rsidRPr="001D667A">
              <w:rPr>
                <w:rFonts w:ascii="Times New Roman" w:hAnsi="Times New Roman"/>
                <w:b/>
                <w:bCs/>
                <w:sz w:val="20"/>
                <w:szCs w:val="20"/>
              </w:rPr>
              <w:t>Information Collection</w:t>
            </w:r>
          </w:p>
        </w:tc>
        <w:tc>
          <w:tcPr>
            <w:tcW w:w="1306" w:type="dxa"/>
          </w:tcPr>
          <w:p w:rsidR="00F0519E" w:rsidRPr="001D667A" w:rsidP="00927963" w14:paraId="733FC49C" w14:textId="77777777">
            <w:pPr>
              <w:jc w:val="center"/>
              <w:rPr>
                <w:rFonts w:ascii="Times New Roman" w:hAnsi="Times New Roman"/>
                <w:b/>
                <w:bCs/>
                <w:sz w:val="20"/>
                <w:szCs w:val="20"/>
              </w:rPr>
            </w:pPr>
            <w:r w:rsidRPr="001D667A">
              <w:rPr>
                <w:rFonts w:ascii="Times New Roman" w:hAnsi="Times New Roman"/>
                <w:b/>
                <w:bCs/>
                <w:sz w:val="20"/>
                <w:szCs w:val="20"/>
              </w:rPr>
              <w:t>Number of Respondents</w:t>
            </w:r>
          </w:p>
        </w:tc>
        <w:tc>
          <w:tcPr>
            <w:tcW w:w="1166" w:type="dxa"/>
          </w:tcPr>
          <w:p w:rsidR="00F0519E" w:rsidRPr="001D667A" w:rsidP="00927963" w14:paraId="70667E3E" w14:textId="77777777">
            <w:pPr>
              <w:jc w:val="center"/>
              <w:rPr>
                <w:rFonts w:ascii="Times New Roman" w:hAnsi="Times New Roman"/>
                <w:b/>
                <w:bCs/>
                <w:sz w:val="20"/>
                <w:szCs w:val="20"/>
              </w:rPr>
            </w:pPr>
            <w:r w:rsidRPr="001D667A">
              <w:rPr>
                <w:rFonts w:ascii="Times New Roman" w:hAnsi="Times New Roman"/>
                <w:b/>
                <w:bCs/>
                <w:sz w:val="20"/>
                <w:szCs w:val="20"/>
              </w:rPr>
              <w:t>Frequency of Response</w:t>
            </w:r>
          </w:p>
        </w:tc>
        <w:tc>
          <w:tcPr>
            <w:tcW w:w="1189" w:type="dxa"/>
          </w:tcPr>
          <w:p w:rsidR="00F0519E" w:rsidRPr="001D667A" w:rsidP="00FB7407" w14:paraId="27060E2E" w14:textId="77777777">
            <w:pPr>
              <w:jc w:val="center"/>
              <w:rPr>
                <w:rFonts w:ascii="Times New Roman" w:hAnsi="Times New Roman"/>
                <w:b/>
                <w:bCs/>
                <w:sz w:val="20"/>
                <w:szCs w:val="20"/>
              </w:rPr>
            </w:pPr>
            <w:r w:rsidRPr="001D667A">
              <w:rPr>
                <w:rFonts w:ascii="Times New Roman" w:hAnsi="Times New Roman"/>
                <w:b/>
                <w:bCs/>
                <w:sz w:val="20"/>
                <w:szCs w:val="20"/>
              </w:rPr>
              <w:t>Responses</w:t>
            </w:r>
            <w:r w:rsidRPr="001D667A" w:rsidR="00FB7407">
              <w:rPr>
                <w:rFonts w:ascii="Times New Roman" w:hAnsi="Times New Roman"/>
                <w:b/>
                <w:bCs/>
                <w:sz w:val="20"/>
                <w:szCs w:val="20"/>
              </w:rPr>
              <w:t xml:space="preserve"> </w:t>
            </w:r>
            <w:r w:rsidRPr="001D667A">
              <w:rPr>
                <w:rFonts w:ascii="Times New Roman" w:hAnsi="Times New Roman"/>
                <w:b/>
                <w:bCs/>
                <w:sz w:val="20"/>
                <w:szCs w:val="20"/>
              </w:rPr>
              <w:t>Per Annum</w:t>
            </w:r>
          </w:p>
        </w:tc>
        <w:tc>
          <w:tcPr>
            <w:tcW w:w="1090" w:type="dxa"/>
          </w:tcPr>
          <w:p w:rsidR="00F0519E" w:rsidRPr="001D667A" w:rsidP="00927963" w14:paraId="2E5AC5B7" w14:textId="77777777">
            <w:pPr>
              <w:jc w:val="center"/>
              <w:rPr>
                <w:rFonts w:ascii="Times New Roman" w:hAnsi="Times New Roman"/>
                <w:b/>
                <w:bCs/>
                <w:sz w:val="20"/>
                <w:szCs w:val="20"/>
              </w:rPr>
            </w:pPr>
            <w:r w:rsidRPr="001D667A">
              <w:rPr>
                <w:rFonts w:ascii="Times New Roman" w:hAnsi="Times New Roman"/>
                <w:b/>
                <w:bCs/>
                <w:sz w:val="20"/>
                <w:szCs w:val="20"/>
              </w:rPr>
              <w:t>Burden Hour Per Response</w:t>
            </w:r>
          </w:p>
        </w:tc>
        <w:tc>
          <w:tcPr>
            <w:tcW w:w="961" w:type="dxa"/>
          </w:tcPr>
          <w:p w:rsidR="00F0519E" w:rsidRPr="001D667A" w:rsidP="00927963" w14:paraId="6B5FD080" w14:textId="77777777">
            <w:pPr>
              <w:jc w:val="center"/>
              <w:rPr>
                <w:rFonts w:ascii="Times New Roman" w:hAnsi="Times New Roman"/>
                <w:b/>
                <w:bCs/>
                <w:sz w:val="20"/>
                <w:szCs w:val="20"/>
              </w:rPr>
            </w:pPr>
            <w:r w:rsidRPr="001D667A">
              <w:rPr>
                <w:rFonts w:ascii="Times New Roman" w:hAnsi="Times New Roman"/>
                <w:b/>
                <w:bCs/>
                <w:sz w:val="20"/>
                <w:szCs w:val="20"/>
              </w:rPr>
              <w:t>Annual Burden Hours</w:t>
            </w:r>
          </w:p>
        </w:tc>
        <w:tc>
          <w:tcPr>
            <w:tcW w:w="1090" w:type="dxa"/>
          </w:tcPr>
          <w:p w:rsidR="00F0519E" w:rsidRPr="001D667A" w:rsidP="00927963" w14:paraId="55CEA23B" w14:textId="77777777">
            <w:pPr>
              <w:jc w:val="center"/>
              <w:rPr>
                <w:rFonts w:ascii="Times New Roman" w:hAnsi="Times New Roman"/>
                <w:b/>
                <w:bCs/>
                <w:sz w:val="20"/>
                <w:szCs w:val="20"/>
              </w:rPr>
            </w:pPr>
            <w:r w:rsidRPr="001D667A">
              <w:rPr>
                <w:rFonts w:ascii="Times New Roman" w:hAnsi="Times New Roman"/>
                <w:b/>
                <w:bCs/>
                <w:sz w:val="20"/>
                <w:szCs w:val="20"/>
              </w:rPr>
              <w:t>Hourly Cost Per Response</w:t>
            </w:r>
          </w:p>
        </w:tc>
        <w:tc>
          <w:tcPr>
            <w:tcW w:w="1355" w:type="dxa"/>
          </w:tcPr>
          <w:p w:rsidR="00F0519E" w:rsidRPr="001D667A" w:rsidP="00937AC5" w14:paraId="73328247" w14:textId="77777777">
            <w:pPr>
              <w:jc w:val="center"/>
              <w:rPr>
                <w:rFonts w:ascii="Times New Roman" w:hAnsi="Times New Roman"/>
                <w:b/>
                <w:bCs/>
                <w:sz w:val="20"/>
                <w:szCs w:val="20"/>
              </w:rPr>
            </w:pPr>
            <w:r w:rsidRPr="001D667A">
              <w:rPr>
                <w:rFonts w:ascii="Times New Roman" w:hAnsi="Times New Roman"/>
                <w:b/>
                <w:bCs/>
                <w:sz w:val="20"/>
                <w:szCs w:val="20"/>
              </w:rPr>
              <w:t>Annual Cost</w:t>
            </w:r>
            <w:r w:rsidRPr="001D667A" w:rsidR="00D01735">
              <w:rPr>
                <w:rFonts w:ascii="Times New Roman" w:hAnsi="Times New Roman"/>
                <w:b/>
                <w:bCs/>
                <w:sz w:val="20"/>
                <w:szCs w:val="20"/>
              </w:rPr>
              <w:t xml:space="preserve"> (rounded to nearest $)</w:t>
            </w:r>
          </w:p>
        </w:tc>
      </w:tr>
      <w:tr w14:paraId="5C200638" w14:textId="77777777" w:rsidTr="001D667A">
        <w:tblPrEx>
          <w:tblW w:w="9936" w:type="dxa"/>
          <w:jc w:val="center"/>
          <w:tblCellMar>
            <w:top w:w="86" w:type="dxa"/>
          </w:tblCellMar>
          <w:tblLook w:val="0000"/>
        </w:tblPrEx>
        <w:trPr>
          <w:trHeight w:val="576"/>
          <w:jc w:val="center"/>
        </w:trPr>
        <w:tc>
          <w:tcPr>
            <w:tcW w:w="1779" w:type="dxa"/>
            <w:tcBorders>
              <w:bottom w:val="single" w:sz="4" w:space="0" w:color="auto"/>
            </w:tcBorders>
            <w:vAlign w:val="bottom"/>
          </w:tcPr>
          <w:p w:rsidR="00F0519E" w:rsidRPr="00937AC5" w:rsidP="00FB7407" w14:paraId="2F8EF21B" w14:textId="77777777">
            <w:pPr>
              <w:rPr>
                <w:rFonts w:ascii="Times New Roman" w:hAnsi="Times New Roman"/>
                <w:sz w:val="20"/>
                <w:szCs w:val="20"/>
              </w:rPr>
            </w:pPr>
            <w:r w:rsidRPr="00937AC5">
              <w:rPr>
                <w:rFonts w:ascii="Times New Roman" w:hAnsi="Times New Roman"/>
                <w:sz w:val="20"/>
                <w:szCs w:val="20"/>
              </w:rPr>
              <w:t>HUD-NP</w:t>
            </w:r>
            <w:r w:rsidRPr="00937AC5" w:rsidR="008E399D">
              <w:rPr>
                <w:rFonts w:ascii="Times New Roman" w:hAnsi="Times New Roman"/>
                <w:sz w:val="20"/>
                <w:szCs w:val="20"/>
              </w:rPr>
              <w:t>M</w:t>
            </w:r>
            <w:r w:rsidRPr="00937AC5">
              <w:rPr>
                <w:rFonts w:ascii="Times New Roman" w:hAnsi="Times New Roman"/>
                <w:sz w:val="20"/>
                <w:szCs w:val="20"/>
              </w:rPr>
              <w:t>A-99-A</w:t>
            </w:r>
          </w:p>
        </w:tc>
        <w:tc>
          <w:tcPr>
            <w:tcW w:w="1306" w:type="dxa"/>
            <w:tcBorders>
              <w:bottom w:val="single" w:sz="4" w:space="0" w:color="auto"/>
            </w:tcBorders>
            <w:vAlign w:val="bottom"/>
          </w:tcPr>
          <w:p w:rsidR="00F0519E" w:rsidRPr="00937AC5" w:rsidP="00FB7407" w14:paraId="19EACB74" w14:textId="77777777">
            <w:pPr>
              <w:rPr>
                <w:rFonts w:ascii="Times New Roman" w:hAnsi="Times New Roman"/>
                <w:sz w:val="20"/>
                <w:szCs w:val="20"/>
              </w:rPr>
            </w:pPr>
            <w:r>
              <w:rPr>
                <w:rFonts w:ascii="Times New Roman" w:hAnsi="Times New Roman"/>
                <w:sz w:val="20"/>
                <w:szCs w:val="20"/>
              </w:rPr>
              <w:t>93,630</w:t>
            </w:r>
          </w:p>
        </w:tc>
        <w:tc>
          <w:tcPr>
            <w:tcW w:w="1166" w:type="dxa"/>
            <w:tcBorders>
              <w:bottom w:val="single" w:sz="4" w:space="0" w:color="auto"/>
            </w:tcBorders>
            <w:vAlign w:val="bottom"/>
          </w:tcPr>
          <w:p w:rsidR="00F0519E" w:rsidRPr="00937AC5" w:rsidP="00FB7407" w14:paraId="5F8BEC38" w14:textId="77777777">
            <w:pPr>
              <w:rPr>
                <w:rFonts w:ascii="Times New Roman" w:hAnsi="Times New Roman"/>
                <w:sz w:val="20"/>
                <w:szCs w:val="20"/>
              </w:rPr>
            </w:pPr>
            <w:r w:rsidRPr="00937AC5">
              <w:rPr>
                <w:rFonts w:ascii="Times New Roman" w:hAnsi="Times New Roman"/>
                <w:sz w:val="20"/>
                <w:szCs w:val="20"/>
              </w:rPr>
              <w:t>1</w:t>
            </w:r>
          </w:p>
        </w:tc>
        <w:tc>
          <w:tcPr>
            <w:tcW w:w="1189" w:type="dxa"/>
            <w:tcBorders>
              <w:bottom w:val="single" w:sz="4" w:space="0" w:color="auto"/>
            </w:tcBorders>
            <w:vAlign w:val="bottom"/>
          </w:tcPr>
          <w:p w:rsidR="00F0519E" w:rsidRPr="00937AC5" w:rsidP="00FB7407" w14:paraId="15F1FA56" w14:textId="77777777">
            <w:pPr>
              <w:rPr>
                <w:rFonts w:ascii="Times New Roman" w:hAnsi="Times New Roman"/>
                <w:sz w:val="20"/>
                <w:szCs w:val="20"/>
              </w:rPr>
            </w:pPr>
            <w:r>
              <w:rPr>
                <w:rFonts w:ascii="Times New Roman" w:hAnsi="Times New Roman"/>
                <w:sz w:val="20"/>
                <w:szCs w:val="20"/>
              </w:rPr>
              <w:t>93,630</w:t>
            </w:r>
          </w:p>
        </w:tc>
        <w:tc>
          <w:tcPr>
            <w:tcW w:w="1090" w:type="dxa"/>
            <w:tcBorders>
              <w:bottom w:val="single" w:sz="4" w:space="0" w:color="auto"/>
            </w:tcBorders>
            <w:vAlign w:val="bottom"/>
          </w:tcPr>
          <w:p w:rsidR="00F0519E" w:rsidRPr="00937AC5" w:rsidP="00FB7407" w14:paraId="7F1D6E7C" w14:textId="77777777">
            <w:pPr>
              <w:rPr>
                <w:rFonts w:ascii="Times New Roman" w:hAnsi="Times New Roman"/>
                <w:sz w:val="20"/>
                <w:szCs w:val="20"/>
              </w:rPr>
            </w:pPr>
            <w:r w:rsidRPr="00937AC5">
              <w:rPr>
                <w:rFonts w:ascii="Times New Roman" w:hAnsi="Times New Roman"/>
                <w:sz w:val="20"/>
                <w:szCs w:val="20"/>
              </w:rPr>
              <w:t>.083</w:t>
            </w:r>
          </w:p>
        </w:tc>
        <w:tc>
          <w:tcPr>
            <w:tcW w:w="961" w:type="dxa"/>
            <w:tcBorders>
              <w:bottom w:val="single" w:sz="4" w:space="0" w:color="auto"/>
            </w:tcBorders>
            <w:vAlign w:val="bottom"/>
          </w:tcPr>
          <w:p w:rsidR="00F0519E" w:rsidRPr="00937AC5" w:rsidP="00FB7407" w14:paraId="2724828F" w14:textId="77777777">
            <w:pPr>
              <w:rPr>
                <w:rFonts w:ascii="Times New Roman" w:hAnsi="Times New Roman"/>
                <w:sz w:val="20"/>
                <w:szCs w:val="20"/>
              </w:rPr>
            </w:pPr>
            <w:r>
              <w:rPr>
                <w:rFonts w:ascii="Times New Roman" w:hAnsi="Times New Roman"/>
                <w:sz w:val="20"/>
                <w:szCs w:val="20"/>
              </w:rPr>
              <w:t>7,771.3</w:t>
            </w:r>
          </w:p>
        </w:tc>
        <w:tc>
          <w:tcPr>
            <w:tcW w:w="1090" w:type="dxa"/>
            <w:tcBorders>
              <w:bottom w:val="single" w:sz="4" w:space="0" w:color="auto"/>
            </w:tcBorders>
            <w:vAlign w:val="bottom"/>
          </w:tcPr>
          <w:p w:rsidR="00F0519E" w:rsidRPr="00937AC5" w:rsidP="00FB7407" w14:paraId="3EB17700" w14:textId="77777777">
            <w:pPr>
              <w:rPr>
                <w:rFonts w:ascii="Times New Roman" w:hAnsi="Times New Roman"/>
                <w:sz w:val="20"/>
                <w:szCs w:val="20"/>
              </w:rPr>
            </w:pPr>
            <w:r w:rsidRPr="00937AC5">
              <w:rPr>
                <w:rFonts w:ascii="Times New Roman" w:hAnsi="Times New Roman"/>
                <w:sz w:val="20"/>
                <w:szCs w:val="20"/>
              </w:rPr>
              <w:t>$24.00</w:t>
            </w:r>
          </w:p>
        </w:tc>
        <w:tc>
          <w:tcPr>
            <w:tcW w:w="1355" w:type="dxa"/>
            <w:tcBorders>
              <w:bottom w:val="single" w:sz="4" w:space="0" w:color="auto"/>
            </w:tcBorders>
            <w:vAlign w:val="bottom"/>
          </w:tcPr>
          <w:p w:rsidR="00F0519E" w:rsidRPr="00937AC5" w:rsidP="00FB7407" w14:paraId="392F06AE" w14:textId="77777777">
            <w:pPr>
              <w:rPr>
                <w:rFonts w:ascii="Times New Roman" w:hAnsi="Times New Roman"/>
                <w:sz w:val="20"/>
                <w:szCs w:val="20"/>
              </w:rPr>
            </w:pPr>
            <w:r w:rsidRPr="00937AC5">
              <w:rPr>
                <w:rFonts w:ascii="Times New Roman" w:hAnsi="Times New Roman"/>
                <w:sz w:val="20"/>
                <w:szCs w:val="20"/>
              </w:rPr>
              <w:t>$</w:t>
            </w:r>
            <w:r w:rsidR="00B76F1D">
              <w:rPr>
                <w:rFonts w:ascii="Times New Roman" w:hAnsi="Times New Roman"/>
                <w:sz w:val="20"/>
                <w:szCs w:val="20"/>
              </w:rPr>
              <w:t>186,511</w:t>
            </w:r>
          </w:p>
        </w:tc>
      </w:tr>
      <w:tr w14:paraId="217A4CDD" w14:textId="77777777" w:rsidTr="001D667A">
        <w:tblPrEx>
          <w:tblW w:w="9936" w:type="dxa"/>
          <w:jc w:val="center"/>
          <w:tblCellMar>
            <w:top w:w="86" w:type="dxa"/>
          </w:tblCellMar>
          <w:tblLook w:val="0000"/>
        </w:tblPrEx>
        <w:trPr>
          <w:trHeight w:val="576"/>
          <w:jc w:val="center"/>
        </w:trPr>
        <w:tc>
          <w:tcPr>
            <w:tcW w:w="1779" w:type="dxa"/>
            <w:tcBorders>
              <w:bottom w:val="single" w:sz="18" w:space="0" w:color="auto"/>
            </w:tcBorders>
            <w:vAlign w:val="bottom"/>
          </w:tcPr>
          <w:p w:rsidR="00F0519E" w:rsidRPr="00FB7407" w:rsidP="00FB7407" w14:paraId="539B7759" w14:textId="77777777">
            <w:pPr>
              <w:rPr>
                <w:rFonts w:ascii="Times New Roman" w:hAnsi="Times New Roman"/>
                <w:sz w:val="20"/>
                <w:szCs w:val="20"/>
              </w:rPr>
            </w:pPr>
            <w:r w:rsidRPr="00FB7407">
              <w:rPr>
                <w:rFonts w:ascii="Times New Roman" w:hAnsi="Times New Roman"/>
                <w:sz w:val="20"/>
                <w:szCs w:val="20"/>
              </w:rPr>
              <w:t>HUD-NP</w:t>
            </w:r>
            <w:r w:rsidRPr="00FB7407" w:rsidR="008E399D">
              <w:rPr>
                <w:rFonts w:ascii="Times New Roman" w:hAnsi="Times New Roman"/>
                <w:sz w:val="20"/>
                <w:szCs w:val="20"/>
              </w:rPr>
              <w:t>M</w:t>
            </w:r>
            <w:r w:rsidRPr="00FB7407">
              <w:rPr>
                <w:rFonts w:ascii="Times New Roman" w:hAnsi="Times New Roman"/>
                <w:sz w:val="20"/>
                <w:szCs w:val="20"/>
              </w:rPr>
              <w:t>A-99-B</w:t>
            </w:r>
          </w:p>
        </w:tc>
        <w:tc>
          <w:tcPr>
            <w:tcW w:w="1306" w:type="dxa"/>
            <w:tcBorders>
              <w:bottom w:val="single" w:sz="18" w:space="0" w:color="auto"/>
            </w:tcBorders>
            <w:vAlign w:val="bottom"/>
          </w:tcPr>
          <w:p w:rsidR="00F0519E" w:rsidRPr="00FB7407" w:rsidP="00FB7407" w14:paraId="0E3E657B" w14:textId="77777777">
            <w:pPr>
              <w:rPr>
                <w:rFonts w:ascii="Times New Roman" w:hAnsi="Times New Roman"/>
                <w:sz w:val="20"/>
                <w:szCs w:val="20"/>
              </w:rPr>
            </w:pPr>
            <w:r>
              <w:rPr>
                <w:rFonts w:ascii="Times New Roman" w:hAnsi="Times New Roman"/>
                <w:sz w:val="20"/>
                <w:szCs w:val="20"/>
              </w:rPr>
              <w:t>93,630</w:t>
            </w:r>
          </w:p>
        </w:tc>
        <w:tc>
          <w:tcPr>
            <w:tcW w:w="1166" w:type="dxa"/>
            <w:tcBorders>
              <w:bottom w:val="single" w:sz="18" w:space="0" w:color="auto"/>
            </w:tcBorders>
            <w:vAlign w:val="bottom"/>
          </w:tcPr>
          <w:p w:rsidR="00F0519E" w:rsidRPr="00FB7407" w:rsidP="00FB7407" w14:paraId="0AC7D27D" w14:textId="77777777">
            <w:pPr>
              <w:rPr>
                <w:rFonts w:ascii="Times New Roman" w:hAnsi="Times New Roman"/>
                <w:sz w:val="20"/>
                <w:szCs w:val="20"/>
              </w:rPr>
            </w:pPr>
            <w:r w:rsidRPr="00FB7407">
              <w:rPr>
                <w:rFonts w:ascii="Times New Roman" w:hAnsi="Times New Roman"/>
                <w:sz w:val="20"/>
                <w:szCs w:val="20"/>
              </w:rPr>
              <w:t>1</w:t>
            </w:r>
          </w:p>
        </w:tc>
        <w:tc>
          <w:tcPr>
            <w:tcW w:w="1189" w:type="dxa"/>
            <w:tcBorders>
              <w:bottom w:val="single" w:sz="18" w:space="0" w:color="auto"/>
            </w:tcBorders>
            <w:vAlign w:val="bottom"/>
          </w:tcPr>
          <w:p w:rsidR="00F0519E" w:rsidRPr="00FB7407" w:rsidP="00FB7407" w14:paraId="2EE2BEBB" w14:textId="77777777">
            <w:pPr>
              <w:rPr>
                <w:rFonts w:ascii="Times New Roman" w:hAnsi="Times New Roman"/>
                <w:sz w:val="20"/>
                <w:szCs w:val="20"/>
              </w:rPr>
            </w:pPr>
            <w:r>
              <w:rPr>
                <w:rFonts w:ascii="Times New Roman" w:hAnsi="Times New Roman"/>
                <w:sz w:val="20"/>
                <w:szCs w:val="20"/>
              </w:rPr>
              <w:t>93,630</w:t>
            </w:r>
          </w:p>
        </w:tc>
        <w:tc>
          <w:tcPr>
            <w:tcW w:w="1090" w:type="dxa"/>
            <w:tcBorders>
              <w:bottom w:val="single" w:sz="18" w:space="0" w:color="auto"/>
            </w:tcBorders>
            <w:vAlign w:val="bottom"/>
          </w:tcPr>
          <w:p w:rsidR="00F0519E" w:rsidRPr="00FB7407" w:rsidP="00FB7407" w14:paraId="4BBBE40D" w14:textId="77777777">
            <w:pPr>
              <w:rPr>
                <w:rFonts w:ascii="Times New Roman" w:hAnsi="Times New Roman"/>
                <w:sz w:val="20"/>
                <w:szCs w:val="20"/>
              </w:rPr>
            </w:pPr>
            <w:r w:rsidRPr="00FB7407">
              <w:rPr>
                <w:rFonts w:ascii="Times New Roman" w:hAnsi="Times New Roman"/>
                <w:sz w:val="20"/>
                <w:szCs w:val="20"/>
              </w:rPr>
              <w:t>.25</w:t>
            </w:r>
          </w:p>
        </w:tc>
        <w:tc>
          <w:tcPr>
            <w:tcW w:w="961" w:type="dxa"/>
            <w:tcBorders>
              <w:bottom w:val="single" w:sz="18" w:space="0" w:color="auto"/>
            </w:tcBorders>
            <w:vAlign w:val="bottom"/>
          </w:tcPr>
          <w:p w:rsidR="00F0519E" w:rsidRPr="00FB7407" w:rsidP="00FB7407" w14:paraId="02289195" w14:textId="77777777">
            <w:pPr>
              <w:rPr>
                <w:rFonts w:ascii="Times New Roman" w:hAnsi="Times New Roman"/>
                <w:sz w:val="20"/>
                <w:szCs w:val="20"/>
              </w:rPr>
            </w:pPr>
            <w:r>
              <w:rPr>
                <w:rFonts w:ascii="Times New Roman" w:hAnsi="Times New Roman"/>
                <w:sz w:val="20"/>
                <w:szCs w:val="20"/>
              </w:rPr>
              <w:t>2</w:t>
            </w:r>
            <w:r w:rsidR="00974ECC">
              <w:rPr>
                <w:rFonts w:ascii="Times New Roman" w:hAnsi="Times New Roman"/>
                <w:sz w:val="20"/>
                <w:szCs w:val="20"/>
              </w:rPr>
              <w:t>3,</w:t>
            </w:r>
            <w:r>
              <w:rPr>
                <w:rFonts w:ascii="Times New Roman" w:hAnsi="Times New Roman"/>
                <w:sz w:val="20"/>
                <w:szCs w:val="20"/>
              </w:rPr>
              <w:t>40</w:t>
            </w:r>
            <w:r w:rsidRPr="00FB7407" w:rsidR="002F685E">
              <w:rPr>
                <w:rFonts w:ascii="Times New Roman" w:hAnsi="Times New Roman"/>
                <w:sz w:val="20"/>
                <w:szCs w:val="20"/>
              </w:rPr>
              <w:t>7</w:t>
            </w:r>
            <w:r>
              <w:rPr>
                <w:rFonts w:ascii="Times New Roman" w:hAnsi="Times New Roman"/>
                <w:sz w:val="20"/>
                <w:szCs w:val="20"/>
              </w:rPr>
              <w:t>.5</w:t>
            </w:r>
          </w:p>
        </w:tc>
        <w:tc>
          <w:tcPr>
            <w:tcW w:w="1090" w:type="dxa"/>
            <w:tcBorders>
              <w:bottom w:val="single" w:sz="18" w:space="0" w:color="auto"/>
            </w:tcBorders>
            <w:vAlign w:val="bottom"/>
          </w:tcPr>
          <w:p w:rsidR="00F0519E" w:rsidRPr="00FB7407" w:rsidP="00FB7407" w14:paraId="69659FD9" w14:textId="77777777">
            <w:pPr>
              <w:rPr>
                <w:rFonts w:ascii="Times New Roman" w:hAnsi="Times New Roman"/>
                <w:sz w:val="20"/>
                <w:szCs w:val="20"/>
              </w:rPr>
            </w:pPr>
            <w:r w:rsidRPr="00FB7407">
              <w:rPr>
                <w:rFonts w:ascii="Times New Roman" w:hAnsi="Times New Roman"/>
                <w:sz w:val="20"/>
                <w:szCs w:val="20"/>
              </w:rPr>
              <w:t>$24.00</w:t>
            </w:r>
          </w:p>
        </w:tc>
        <w:tc>
          <w:tcPr>
            <w:tcW w:w="1355" w:type="dxa"/>
            <w:tcBorders>
              <w:bottom w:val="single" w:sz="18" w:space="0" w:color="auto"/>
            </w:tcBorders>
            <w:vAlign w:val="bottom"/>
          </w:tcPr>
          <w:p w:rsidR="00F0519E" w:rsidRPr="00FB7407" w:rsidP="00FB7407" w14:paraId="7AB233CE" w14:textId="77777777">
            <w:pPr>
              <w:rPr>
                <w:rFonts w:ascii="Times New Roman" w:hAnsi="Times New Roman"/>
                <w:sz w:val="20"/>
                <w:szCs w:val="20"/>
              </w:rPr>
            </w:pPr>
            <w:r w:rsidRPr="00FB7407">
              <w:rPr>
                <w:rFonts w:ascii="Times New Roman" w:hAnsi="Times New Roman"/>
                <w:sz w:val="20"/>
                <w:szCs w:val="20"/>
              </w:rPr>
              <w:t>$</w:t>
            </w:r>
            <w:r w:rsidR="00B76F1D">
              <w:rPr>
                <w:rFonts w:ascii="Times New Roman" w:hAnsi="Times New Roman"/>
                <w:sz w:val="20"/>
                <w:szCs w:val="20"/>
              </w:rPr>
              <w:t>561,780</w:t>
            </w:r>
          </w:p>
        </w:tc>
      </w:tr>
      <w:tr w14:paraId="57980519" w14:textId="77777777" w:rsidTr="007621A6">
        <w:tblPrEx>
          <w:tblW w:w="9936" w:type="dxa"/>
          <w:jc w:val="center"/>
          <w:tblCellMar>
            <w:top w:w="86" w:type="dxa"/>
          </w:tblCellMar>
          <w:tblLook w:val="0000"/>
        </w:tblPrEx>
        <w:trPr>
          <w:trHeight w:val="292"/>
          <w:jc w:val="center"/>
        </w:trPr>
        <w:tc>
          <w:tcPr>
            <w:tcW w:w="1779" w:type="dxa"/>
            <w:tcBorders>
              <w:top w:val="single" w:sz="18" w:space="0" w:color="auto"/>
              <w:bottom w:val="single" w:sz="18" w:space="0" w:color="auto"/>
            </w:tcBorders>
            <w:vAlign w:val="center"/>
          </w:tcPr>
          <w:p w:rsidR="00F0519E" w:rsidRPr="00937AC5" w:rsidP="00FB7407" w14:paraId="6BE38AD5" w14:textId="77777777">
            <w:pPr>
              <w:rPr>
                <w:rFonts w:ascii="Times New Roman" w:hAnsi="Times New Roman"/>
                <w:b/>
                <w:bCs/>
                <w:sz w:val="20"/>
                <w:szCs w:val="20"/>
              </w:rPr>
            </w:pPr>
            <w:r w:rsidRPr="00937AC5">
              <w:rPr>
                <w:rFonts w:ascii="Times New Roman" w:hAnsi="Times New Roman"/>
                <w:b/>
                <w:bCs/>
                <w:sz w:val="20"/>
                <w:szCs w:val="20"/>
              </w:rPr>
              <w:t>Totals</w:t>
            </w:r>
          </w:p>
        </w:tc>
        <w:tc>
          <w:tcPr>
            <w:tcW w:w="1306" w:type="dxa"/>
            <w:tcBorders>
              <w:top w:val="single" w:sz="18" w:space="0" w:color="auto"/>
              <w:bottom w:val="single" w:sz="18" w:space="0" w:color="auto"/>
            </w:tcBorders>
            <w:vAlign w:val="center"/>
          </w:tcPr>
          <w:p w:rsidR="00F0519E" w:rsidRPr="00937AC5" w:rsidP="00FB7407" w14:paraId="1351F156" w14:textId="77777777">
            <w:pPr>
              <w:rPr>
                <w:rFonts w:ascii="Times New Roman" w:hAnsi="Times New Roman"/>
                <w:b/>
                <w:bCs/>
                <w:sz w:val="20"/>
                <w:szCs w:val="20"/>
              </w:rPr>
            </w:pPr>
            <w:r>
              <w:rPr>
                <w:rFonts w:ascii="Times New Roman" w:hAnsi="Times New Roman"/>
                <w:b/>
                <w:bCs/>
                <w:sz w:val="20"/>
                <w:szCs w:val="20"/>
              </w:rPr>
              <w:t>187,</w:t>
            </w:r>
            <w:r w:rsidR="00494252">
              <w:rPr>
                <w:rFonts w:ascii="Times New Roman" w:hAnsi="Times New Roman"/>
                <w:b/>
                <w:bCs/>
                <w:sz w:val="20"/>
                <w:szCs w:val="20"/>
              </w:rPr>
              <w:t>26</w:t>
            </w:r>
            <w:r>
              <w:rPr>
                <w:rFonts w:ascii="Times New Roman" w:hAnsi="Times New Roman"/>
                <w:b/>
                <w:bCs/>
                <w:sz w:val="20"/>
                <w:szCs w:val="20"/>
              </w:rPr>
              <w:t>0</w:t>
            </w:r>
          </w:p>
        </w:tc>
        <w:tc>
          <w:tcPr>
            <w:tcW w:w="1166" w:type="dxa"/>
            <w:tcBorders>
              <w:top w:val="single" w:sz="18" w:space="0" w:color="auto"/>
              <w:bottom w:val="single" w:sz="18" w:space="0" w:color="auto"/>
            </w:tcBorders>
            <w:vAlign w:val="center"/>
          </w:tcPr>
          <w:p w:rsidR="00F0519E" w:rsidRPr="00937AC5" w:rsidP="00FB7407" w14:paraId="49A42FB5" w14:textId="77777777">
            <w:pPr>
              <w:rPr>
                <w:rFonts w:ascii="Times New Roman" w:hAnsi="Times New Roman"/>
                <w:b/>
                <w:bCs/>
                <w:sz w:val="20"/>
                <w:szCs w:val="20"/>
              </w:rPr>
            </w:pPr>
          </w:p>
        </w:tc>
        <w:tc>
          <w:tcPr>
            <w:tcW w:w="1189" w:type="dxa"/>
            <w:tcBorders>
              <w:top w:val="single" w:sz="18" w:space="0" w:color="auto"/>
              <w:bottom w:val="single" w:sz="18" w:space="0" w:color="auto"/>
            </w:tcBorders>
            <w:vAlign w:val="center"/>
          </w:tcPr>
          <w:p w:rsidR="00F0519E" w:rsidRPr="00937AC5" w:rsidP="00FB7407" w14:paraId="3AC706D3" w14:textId="77777777">
            <w:pPr>
              <w:rPr>
                <w:rFonts w:ascii="Times New Roman" w:hAnsi="Times New Roman"/>
                <w:b/>
                <w:bCs/>
                <w:sz w:val="20"/>
                <w:szCs w:val="20"/>
              </w:rPr>
            </w:pPr>
            <w:r>
              <w:rPr>
                <w:rFonts w:ascii="Times New Roman" w:hAnsi="Times New Roman"/>
                <w:b/>
                <w:bCs/>
                <w:sz w:val="20"/>
                <w:szCs w:val="20"/>
              </w:rPr>
              <w:t>187,260</w:t>
            </w:r>
          </w:p>
        </w:tc>
        <w:tc>
          <w:tcPr>
            <w:tcW w:w="1090" w:type="dxa"/>
            <w:tcBorders>
              <w:top w:val="single" w:sz="18" w:space="0" w:color="auto"/>
              <w:bottom w:val="single" w:sz="18" w:space="0" w:color="auto"/>
            </w:tcBorders>
            <w:vAlign w:val="center"/>
          </w:tcPr>
          <w:p w:rsidR="00F0519E" w:rsidRPr="00937AC5" w:rsidP="00FB7407" w14:paraId="005D9EDA" w14:textId="77777777">
            <w:pPr>
              <w:rPr>
                <w:rFonts w:ascii="Times New Roman" w:hAnsi="Times New Roman"/>
                <w:b/>
                <w:bCs/>
                <w:sz w:val="20"/>
                <w:szCs w:val="20"/>
              </w:rPr>
            </w:pPr>
          </w:p>
        </w:tc>
        <w:tc>
          <w:tcPr>
            <w:tcW w:w="961" w:type="dxa"/>
            <w:tcBorders>
              <w:top w:val="single" w:sz="18" w:space="0" w:color="auto"/>
              <w:bottom w:val="single" w:sz="18" w:space="0" w:color="auto"/>
            </w:tcBorders>
            <w:vAlign w:val="center"/>
          </w:tcPr>
          <w:p w:rsidR="00F0519E" w:rsidRPr="00937AC5" w:rsidP="00FB7407" w14:paraId="22A3CEA3" w14:textId="77777777">
            <w:pPr>
              <w:rPr>
                <w:rFonts w:ascii="Times New Roman" w:hAnsi="Times New Roman"/>
                <w:b/>
                <w:bCs/>
                <w:sz w:val="20"/>
                <w:szCs w:val="20"/>
              </w:rPr>
            </w:pPr>
            <w:r>
              <w:rPr>
                <w:rFonts w:ascii="Times New Roman" w:hAnsi="Times New Roman"/>
                <w:b/>
                <w:bCs/>
                <w:sz w:val="20"/>
                <w:szCs w:val="20"/>
              </w:rPr>
              <w:t>31,</w:t>
            </w:r>
            <w:r w:rsidR="00C0538B">
              <w:rPr>
                <w:rFonts w:ascii="Times New Roman" w:hAnsi="Times New Roman"/>
                <w:b/>
                <w:bCs/>
                <w:sz w:val="20"/>
                <w:szCs w:val="20"/>
              </w:rPr>
              <w:t>178.8</w:t>
            </w:r>
          </w:p>
        </w:tc>
        <w:tc>
          <w:tcPr>
            <w:tcW w:w="1090" w:type="dxa"/>
            <w:tcBorders>
              <w:top w:val="single" w:sz="18" w:space="0" w:color="auto"/>
              <w:bottom w:val="single" w:sz="18" w:space="0" w:color="auto"/>
            </w:tcBorders>
            <w:vAlign w:val="center"/>
          </w:tcPr>
          <w:p w:rsidR="00F0519E" w:rsidRPr="00937AC5" w:rsidP="00FB7407" w14:paraId="013B1AF6" w14:textId="77777777">
            <w:pPr>
              <w:rPr>
                <w:rFonts w:ascii="Times New Roman" w:hAnsi="Times New Roman"/>
                <w:b/>
                <w:bCs/>
                <w:sz w:val="20"/>
                <w:szCs w:val="20"/>
              </w:rPr>
            </w:pPr>
          </w:p>
        </w:tc>
        <w:tc>
          <w:tcPr>
            <w:tcW w:w="1355" w:type="dxa"/>
            <w:tcBorders>
              <w:top w:val="single" w:sz="18" w:space="0" w:color="auto"/>
              <w:bottom w:val="single" w:sz="18" w:space="0" w:color="auto"/>
            </w:tcBorders>
            <w:vAlign w:val="center"/>
          </w:tcPr>
          <w:p w:rsidR="00F0519E" w:rsidRPr="00937AC5" w:rsidP="00FB7407" w14:paraId="538605C4" w14:textId="77777777">
            <w:pPr>
              <w:rPr>
                <w:rFonts w:ascii="Times New Roman" w:hAnsi="Times New Roman"/>
                <w:b/>
                <w:bCs/>
                <w:sz w:val="20"/>
                <w:szCs w:val="20"/>
              </w:rPr>
            </w:pPr>
            <w:r w:rsidRPr="00937AC5">
              <w:rPr>
                <w:rFonts w:ascii="Times New Roman" w:hAnsi="Times New Roman"/>
                <w:b/>
                <w:bCs/>
                <w:sz w:val="20"/>
                <w:szCs w:val="20"/>
              </w:rPr>
              <w:t>$</w:t>
            </w:r>
            <w:r w:rsidR="00B76F1D">
              <w:rPr>
                <w:rFonts w:ascii="Times New Roman" w:hAnsi="Times New Roman"/>
                <w:b/>
                <w:bCs/>
                <w:sz w:val="20"/>
                <w:szCs w:val="20"/>
              </w:rPr>
              <w:t>748,291</w:t>
            </w:r>
          </w:p>
        </w:tc>
      </w:tr>
      <w:tr w14:paraId="24640DF1" w14:textId="77777777" w:rsidTr="00F45BC0">
        <w:tblPrEx>
          <w:tblW w:w="9936" w:type="dxa"/>
          <w:jc w:val="center"/>
          <w:tblCellMar>
            <w:top w:w="86" w:type="dxa"/>
          </w:tblCellMar>
          <w:tblLook w:val="0000"/>
        </w:tblPrEx>
        <w:trPr>
          <w:trHeight w:val="403"/>
          <w:jc w:val="center"/>
        </w:trPr>
        <w:tc>
          <w:tcPr>
            <w:tcW w:w="9936" w:type="dxa"/>
            <w:gridSpan w:val="8"/>
            <w:tcBorders>
              <w:top w:val="single" w:sz="18" w:space="0" w:color="auto"/>
            </w:tcBorders>
            <w:vAlign w:val="center"/>
          </w:tcPr>
          <w:p w:rsidR="001D667A" w:rsidRPr="006A45C9" w:rsidP="00FB7407" w14:paraId="7E086DAA" w14:textId="77777777">
            <w:pPr>
              <w:rPr>
                <w:rFonts w:ascii="Times New Roman" w:hAnsi="Times New Roman"/>
                <w:sz w:val="16"/>
                <w:szCs w:val="16"/>
              </w:rPr>
            </w:pPr>
            <w:r>
              <w:rPr>
                <w:rFonts w:ascii="Times New Roman" w:hAnsi="Times New Roman"/>
                <w:sz w:val="16"/>
                <w:szCs w:val="16"/>
              </w:rPr>
              <w:t xml:space="preserve">The </w:t>
            </w:r>
            <w:r w:rsidR="00DB3611">
              <w:rPr>
                <w:rFonts w:ascii="Times New Roman" w:hAnsi="Times New Roman"/>
                <w:sz w:val="16"/>
                <w:szCs w:val="16"/>
              </w:rPr>
              <w:t xml:space="preserve">available full year data of </w:t>
            </w:r>
            <w:r w:rsidR="001F2A6B">
              <w:rPr>
                <w:rFonts w:ascii="Times New Roman" w:hAnsi="Times New Roman"/>
                <w:sz w:val="16"/>
                <w:szCs w:val="16"/>
              </w:rPr>
              <w:t xml:space="preserve">93,630 </w:t>
            </w:r>
            <w:r w:rsidR="006A45C9">
              <w:rPr>
                <w:rFonts w:ascii="Times New Roman" w:hAnsi="Times New Roman"/>
                <w:sz w:val="16"/>
                <w:szCs w:val="16"/>
              </w:rPr>
              <w:t xml:space="preserve">New Construction </w:t>
            </w:r>
            <w:r>
              <w:rPr>
                <w:rFonts w:ascii="Times New Roman" w:hAnsi="Times New Roman"/>
                <w:sz w:val="16"/>
                <w:szCs w:val="16"/>
              </w:rPr>
              <w:t xml:space="preserve">properties </w:t>
            </w:r>
            <w:r w:rsidR="00DB3611">
              <w:rPr>
                <w:rFonts w:ascii="Times New Roman" w:hAnsi="Times New Roman"/>
                <w:sz w:val="16"/>
                <w:szCs w:val="16"/>
              </w:rPr>
              <w:t xml:space="preserve">requiring </w:t>
            </w:r>
            <w:r>
              <w:rPr>
                <w:rFonts w:ascii="Times New Roman" w:hAnsi="Times New Roman"/>
                <w:sz w:val="16"/>
                <w:szCs w:val="16"/>
              </w:rPr>
              <w:t xml:space="preserve">termite </w:t>
            </w:r>
            <w:r w:rsidR="00DB3611">
              <w:rPr>
                <w:rFonts w:ascii="Times New Roman" w:hAnsi="Times New Roman"/>
                <w:sz w:val="16"/>
                <w:szCs w:val="16"/>
              </w:rPr>
              <w:t xml:space="preserve">review is </w:t>
            </w:r>
            <w:r w:rsidR="001F2A6B">
              <w:rPr>
                <w:rFonts w:ascii="Times New Roman" w:hAnsi="Times New Roman"/>
                <w:sz w:val="16"/>
                <w:szCs w:val="16"/>
              </w:rPr>
              <w:t xml:space="preserve">based on FY </w:t>
            </w:r>
            <w:r w:rsidR="00DB3611">
              <w:rPr>
                <w:rFonts w:ascii="Times New Roman" w:hAnsi="Times New Roman"/>
                <w:sz w:val="16"/>
                <w:szCs w:val="16"/>
              </w:rPr>
              <w:t xml:space="preserve">2021 </w:t>
            </w:r>
            <w:r w:rsidR="001F2A6B">
              <w:rPr>
                <w:rFonts w:ascii="Times New Roman" w:hAnsi="Times New Roman"/>
                <w:sz w:val="16"/>
                <w:szCs w:val="16"/>
              </w:rPr>
              <w:t xml:space="preserve">information, according to HUD’s </w:t>
            </w:r>
            <w:r w:rsidR="003A45D7">
              <w:rPr>
                <w:rFonts w:ascii="Times New Roman" w:hAnsi="Times New Roman"/>
                <w:sz w:val="16"/>
                <w:szCs w:val="16"/>
              </w:rPr>
              <w:t>SFDW</w:t>
            </w:r>
            <w:r w:rsidRPr="006A45C9" w:rsidR="00000000">
              <w:rPr>
                <w:rFonts w:ascii="Times New Roman" w:hAnsi="Times New Roman"/>
                <w:sz w:val="16"/>
                <w:szCs w:val="16"/>
              </w:rPr>
              <w:t>. Wage information: Source: US Bureau of Labor Statistics, Occupational Employ and Wage Statistics, May 2021</w:t>
            </w:r>
            <w:r w:rsidR="00C77C29">
              <w:rPr>
                <w:rFonts w:ascii="Times New Roman" w:hAnsi="Times New Roman"/>
                <w:sz w:val="16"/>
                <w:szCs w:val="16"/>
              </w:rPr>
              <w:t xml:space="preserve"> </w:t>
            </w:r>
            <w:r w:rsidR="00904D42">
              <w:rPr>
                <w:rFonts w:ascii="Times New Roman" w:hAnsi="Times New Roman"/>
                <w:sz w:val="16"/>
                <w:szCs w:val="16"/>
              </w:rPr>
              <w:t>and</w:t>
            </w:r>
            <w:r w:rsidRPr="006A45C9" w:rsidR="00000000">
              <w:rPr>
                <w:rFonts w:ascii="Times New Roman" w:hAnsi="Times New Roman"/>
                <w:sz w:val="16"/>
                <w:szCs w:val="16"/>
              </w:rPr>
              <w:t xml:space="preserve"> adjusted for Total Compensation factor.</w:t>
            </w:r>
          </w:p>
        </w:tc>
      </w:tr>
    </w:tbl>
    <w:p w:rsidR="001D667A" w:rsidP="001D667A" w14:paraId="2D77A1B5" w14:textId="77777777">
      <w:pPr>
        <w:overflowPunct w:val="0"/>
        <w:autoSpaceDE w:val="0"/>
        <w:autoSpaceDN w:val="0"/>
        <w:adjustRightInd w:val="0"/>
        <w:spacing w:after="0" w:line="240" w:lineRule="auto"/>
        <w:ind w:left="360"/>
        <w:textAlignment w:val="baseline"/>
        <w:rPr>
          <w:rFonts w:ascii="Times New Roman" w:hAnsi="Times New Roman"/>
          <w:sz w:val="20"/>
          <w:szCs w:val="20"/>
        </w:rPr>
      </w:pPr>
    </w:p>
    <w:p w:rsidR="00F0519E" w:rsidRPr="00937AC5" w:rsidP="007621A6" w14:paraId="61835759" w14:textId="77777777">
      <w:pPr>
        <w:numPr>
          <w:ilvl w:val="0"/>
          <w:numId w:val="11"/>
        </w:numPr>
        <w:ind w:left="360"/>
        <w:rPr>
          <w:rFonts w:ascii="Times New Roman" w:hAnsi="Times New Roman"/>
          <w:sz w:val="20"/>
          <w:szCs w:val="20"/>
        </w:rPr>
      </w:pPr>
      <w:r w:rsidRPr="00937AC5">
        <w:rPr>
          <w:rFonts w:ascii="Times New Roman" w:hAnsi="Times New Roman"/>
          <w:sz w:val="20"/>
          <w:szCs w:val="20"/>
        </w:rPr>
        <w:t>There are no additional costs to the respondents.</w:t>
      </w:r>
    </w:p>
    <w:p w:rsidR="00F0519E" w:rsidRPr="00937AC5" w:rsidP="007621A6" w14:paraId="06BACCD3" w14:textId="77777777">
      <w:pPr>
        <w:numPr>
          <w:ilvl w:val="0"/>
          <w:numId w:val="11"/>
        </w:numPr>
        <w:ind w:left="360"/>
        <w:rPr>
          <w:rFonts w:ascii="Times New Roman" w:hAnsi="Times New Roman"/>
          <w:sz w:val="20"/>
          <w:szCs w:val="20"/>
        </w:rPr>
      </w:pPr>
      <w:r w:rsidRPr="00937AC5">
        <w:rPr>
          <w:rFonts w:ascii="Times New Roman" w:hAnsi="Times New Roman"/>
          <w:sz w:val="20"/>
          <w:szCs w:val="20"/>
        </w:rPr>
        <w:t xml:space="preserve">Annual Cost to </w:t>
      </w:r>
      <w:r w:rsidRPr="00937AC5" w:rsidR="00AF6250">
        <w:rPr>
          <w:rFonts w:ascii="Times New Roman" w:hAnsi="Times New Roman"/>
          <w:sz w:val="20"/>
          <w:szCs w:val="20"/>
        </w:rPr>
        <w:t>HUD</w:t>
      </w:r>
      <w:r w:rsidRPr="00937AC5">
        <w:rPr>
          <w:rFonts w:ascii="Times New Roman" w:hAnsi="Times New Roman"/>
          <w:sz w:val="20"/>
          <w:szCs w:val="20"/>
        </w:rPr>
        <w:t>:</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8"/>
        <w:gridCol w:w="1399"/>
        <w:gridCol w:w="1512"/>
        <w:gridCol w:w="1512"/>
        <w:gridCol w:w="1512"/>
        <w:gridCol w:w="1512"/>
      </w:tblGrid>
      <w:tr w14:paraId="27ECA879" w14:textId="77777777" w:rsidTr="001D667A">
        <w:tblPrEx>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1868" w:type="dxa"/>
          </w:tcPr>
          <w:p w:rsidR="00F0519E" w:rsidRPr="001D667A" w:rsidP="001D667A" w14:paraId="475065D0" w14:textId="77777777">
            <w:pPr>
              <w:keepNext/>
              <w:keepLines/>
              <w:tabs>
                <w:tab w:val="left" w:pos="360"/>
              </w:tabs>
              <w:spacing w:before="40" w:after="40"/>
              <w:jc w:val="center"/>
              <w:rPr>
                <w:rFonts w:ascii="Times New Roman" w:hAnsi="Times New Roman"/>
                <w:b/>
                <w:bCs/>
                <w:color w:val="000000"/>
                <w:sz w:val="20"/>
                <w:szCs w:val="20"/>
              </w:rPr>
            </w:pPr>
            <w:r w:rsidRPr="001D667A">
              <w:rPr>
                <w:rFonts w:ascii="Times New Roman" w:hAnsi="Times New Roman"/>
                <w:b/>
                <w:bCs/>
                <w:color w:val="000000"/>
                <w:sz w:val="20"/>
                <w:szCs w:val="20"/>
              </w:rPr>
              <w:t>Information Collection</w:t>
            </w:r>
          </w:p>
        </w:tc>
        <w:tc>
          <w:tcPr>
            <w:tcW w:w="1399" w:type="dxa"/>
          </w:tcPr>
          <w:p w:rsidR="00F0519E" w:rsidRPr="001D667A" w:rsidP="001D667A" w14:paraId="725EA803" w14:textId="77777777">
            <w:pPr>
              <w:keepNext/>
              <w:keepLines/>
              <w:tabs>
                <w:tab w:val="left" w:pos="360"/>
              </w:tabs>
              <w:spacing w:before="40" w:after="40"/>
              <w:jc w:val="center"/>
              <w:rPr>
                <w:rFonts w:ascii="Times New Roman" w:hAnsi="Times New Roman"/>
                <w:b/>
                <w:bCs/>
                <w:color w:val="000000"/>
                <w:sz w:val="20"/>
                <w:szCs w:val="20"/>
              </w:rPr>
            </w:pPr>
            <w:r w:rsidRPr="001D667A">
              <w:rPr>
                <w:rFonts w:ascii="Times New Roman" w:hAnsi="Times New Roman"/>
                <w:b/>
                <w:bCs/>
                <w:color w:val="000000"/>
                <w:sz w:val="20"/>
                <w:szCs w:val="20"/>
              </w:rPr>
              <w:t>Number of Responses</w:t>
            </w:r>
          </w:p>
        </w:tc>
        <w:tc>
          <w:tcPr>
            <w:tcW w:w="1512" w:type="dxa"/>
          </w:tcPr>
          <w:p w:rsidR="00F0519E" w:rsidRPr="001D667A" w:rsidP="001D667A" w14:paraId="346077EC" w14:textId="77777777">
            <w:pPr>
              <w:keepNext/>
              <w:keepLines/>
              <w:tabs>
                <w:tab w:val="left" w:pos="360"/>
              </w:tabs>
              <w:spacing w:before="40" w:after="40"/>
              <w:jc w:val="center"/>
              <w:rPr>
                <w:rFonts w:ascii="Times New Roman" w:hAnsi="Times New Roman"/>
                <w:b/>
                <w:bCs/>
                <w:color w:val="000000"/>
                <w:sz w:val="20"/>
                <w:szCs w:val="20"/>
              </w:rPr>
            </w:pPr>
            <w:r w:rsidRPr="001D667A">
              <w:rPr>
                <w:rFonts w:ascii="Times New Roman" w:hAnsi="Times New Roman"/>
                <w:b/>
                <w:bCs/>
                <w:color w:val="000000"/>
                <w:sz w:val="20"/>
                <w:szCs w:val="20"/>
              </w:rPr>
              <w:t>Hours per Response</w:t>
            </w:r>
          </w:p>
        </w:tc>
        <w:tc>
          <w:tcPr>
            <w:tcW w:w="1512" w:type="dxa"/>
          </w:tcPr>
          <w:p w:rsidR="00F0519E" w:rsidRPr="001D667A" w:rsidP="001D667A" w14:paraId="73E563E2" w14:textId="77777777">
            <w:pPr>
              <w:keepNext/>
              <w:keepLines/>
              <w:tabs>
                <w:tab w:val="left" w:pos="360"/>
              </w:tabs>
              <w:spacing w:before="40" w:after="40"/>
              <w:jc w:val="center"/>
              <w:rPr>
                <w:rFonts w:ascii="Times New Roman" w:hAnsi="Times New Roman"/>
                <w:b/>
                <w:bCs/>
                <w:color w:val="000000"/>
                <w:sz w:val="20"/>
                <w:szCs w:val="20"/>
              </w:rPr>
            </w:pPr>
            <w:r w:rsidRPr="001D667A">
              <w:rPr>
                <w:rFonts w:ascii="Times New Roman" w:hAnsi="Times New Roman"/>
                <w:b/>
                <w:bCs/>
                <w:color w:val="000000"/>
                <w:sz w:val="20"/>
                <w:szCs w:val="20"/>
              </w:rPr>
              <w:t>Total Annual Hours</w:t>
            </w:r>
            <w:r w:rsidRPr="001D667A" w:rsidR="00D65371">
              <w:rPr>
                <w:rFonts w:ascii="Times New Roman" w:hAnsi="Times New Roman"/>
                <w:b/>
                <w:bCs/>
                <w:color w:val="000000"/>
                <w:sz w:val="20"/>
                <w:szCs w:val="20"/>
              </w:rPr>
              <w:t xml:space="preserve"> (+-)</w:t>
            </w:r>
          </w:p>
        </w:tc>
        <w:tc>
          <w:tcPr>
            <w:tcW w:w="1512" w:type="dxa"/>
          </w:tcPr>
          <w:p w:rsidR="00F0519E" w:rsidRPr="001D667A" w:rsidP="001D667A" w14:paraId="4235DC6C" w14:textId="77777777">
            <w:pPr>
              <w:keepNext/>
              <w:keepLines/>
              <w:tabs>
                <w:tab w:val="left" w:pos="360"/>
              </w:tabs>
              <w:spacing w:before="40" w:after="40"/>
              <w:jc w:val="center"/>
              <w:rPr>
                <w:rFonts w:ascii="Times New Roman" w:hAnsi="Times New Roman"/>
                <w:b/>
                <w:bCs/>
                <w:color w:val="000000"/>
                <w:sz w:val="20"/>
                <w:szCs w:val="20"/>
              </w:rPr>
            </w:pPr>
            <w:r w:rsidRPr="001D667A">
              <w:rPr>
                <w:rFonts w:ascii="Times New Roman" w:hAnsi="Times New Roman"/>
                <w:b/>
                <w:bCs/>
                <w:color w:val="000000"/>
                <w:sz w:val="20"/>
                <w:szCs w:val="20"/>
              </w:rPr>
              <w:t>Hourly Cost</w:t>
            </w:r>
          </w:p>
        </w:tc>
        <w:tc>
          <w:tcPr>
            <w:tcW w:w="1512" w:type="dxa"/>
          </w:tcPr>
          <w:p w:rsidR="00F0519E" w:rsidRPr="001D667A" w:rsidP="001D667A" w14:paraId="2755F6E0" w14:textId="77777777">
            <w:pPr>
              <w:keepNext/>
              <w:keepLines/>
              <w:tabs>
                <w:tab w:val="left" w:pos="360"/>
              </w:tabs>
              <w:spacing w:before="40" w:after="40"/>
              <w:jc w:val="center"/>
              <w:rPr>
                <w:rFonts w:ascii="Times New Roman" w:hAnsi="Times New Roman"/>
                <w:b/>
                <w:bCs/>
                <w:color w:val="000000"/>
                <w:sz w:val="20"/>
                <w:szCs w:val="20"/>
              </w:rPr>
            </w:pPr>
            <w:r w:rsidRPr="001D667A">
              <w:rPr>
                <w:rFonts w:ascii="Times New Roman" w:hAnsi="Times New Roman"/>
                <w:b/>
                <w:bCs/>
                <w:color w:val="000000"/>
                <w:sz w:val="20"/>
                <w:szCs w:val="20"/>
              </w:rPr>
              <w:t>Total Annual Cost</w:t>
            </w:r>
            <w:r w:rsidRPr="001D667A" w:rsidR="00FB3C51">
              <w:rPr>
                <w:rFonts w:ascii="Times New Roman" w:hAnsi="Times New Roman"/>
                <w:b/>
                <w:bCs/>
                <w:color w:val="000000"/>
                <w:sz w:val="20"/>
                <w:szCs w:val="20"/>
              </w:rPr>
              <w:t xml:space="preserve"> (rounded to $)</w:t>
            </w:r>
          </w:p>
        </w:tc>
      </w:tr>
      <w:tr w14:paraId="7E7EC8B8" w14:textId="77777777" w:rsidTr="001D667A">
        <w:tblPrEx>
          <w:tblW w:w="9315" w:type="dxa"/>
          <w:jc w:val="center"/>
          <w:tblLook w:val="0000"/>
        </w:tblPrEx>
        <w:trPr>
          <w:trHeight w:val="432"/>
          <w:jc w:val="center"/>
        </w:trPr>
        <w:tc>
          <w:tcPr>
            <w:tcW w:w="1868" w:type="dxa"/>
            <w:vAlign w:val="center"/>
          </w:tcPr>
          <w:p w:rsidR="00F0519E" w:rsidRPr="001D667A" w:rsidP="001D667A" w14:paraId="3D07ED2B" w14:textId="77777777">
            <w:pPr>
              <w:keepNext/>
              <w:keepLines/>
              <w:tabs>
                <w:tab w:val="left" w:pos="360"/>
              </w:tabs>
              <w:spacing w:before="40" w:after="40"/>
              <w:jc w:val="center"/>
              <w:rPr>
                <w:rFonts w:ascii="Times New Roman" w:hAnsi="Times New Roman"/>
                <w:color w:val="000000"/>
                <w:sz w:val="20"/>
                <w:szCs w:val="20"/>
              </w:rPr>
            </w:pPr>
            <w:r w:rsidRPr="001D667A">
              <w:rPr>
                <w:rFonts w:ascii="Times New Roman" w:hAnsi="Times New Roman"/>
                <w:color w:val="000000"/>
                <w:sz w:val="20"/>
                <w:szCs w:val="20"/>
              </w:rPr>
              <w:t>HUD-NP</w:t>
            </w:r>
            <w:r w:rsidRPr="001D667A" w:rsidR="00E41B2E">
              <w:rPr>
                <w:rFonts w:ascii="Times New Roman" w:hAnsi="Times New Roman"/>
                <w:color w:val="000000"/>
                <w:sz w:val="20"/>
                <w:szCs w:val="20"/>
              </w:rPr>
              <w:t>M</w:t>
            </w:r>
            <w:r w:rsidRPr="001D667A">
              <w:rPr>
                <w:rFonts w:ascii="Times New Roman" w:hAnsi="Times New Roman"/>
                <w:color w:val="000000"/>
                <w:sz w:val="20"/>
                <w:szCs w:val="20"/>
              </w:rPr>
              <w:t>A-99-A</w:t>
            </w:r>
          </w:p>
        </w:tc>
        <w:tc>
          <w:tcPr>
            <w:tcW w:w="1399" w:type="dxa"/>
            <w:vAlign w:val="center"/>
          </w:tcPr>
          <w:p w:rsidR="00F0519E" w:rsidRPr="00937AC5" w:rsidP="001D667A" w14:paraId="742261D6" w14:textId="77777777">
            <w:pPr>
              <w:keepNext/>
              <w:keepLines/>
              <w:tabs>
                <w:tab w:val="left" w:pos="360"/>
              </w:tabs>
              <w:spacing w:before="40" w:after="40"/>
              <w:jc w:val="center"/>
              <w:rPr>
                <w:rFonts w:ascii="Times New Roman" w:hAnsi="Times New Roman"/>
                <w:color w:val="000000"/>
                <w:sz w:val="20"/>
                <w:szCs w:val="20"/>
              </w:rPr>
            </w:pPr>
            <w:r>
              <w:rPr>
                <w:rFonts w:ascii="Times New Roman" w:hAnsi="Times New Roman"/>
                <w:color w:val="000000"/>
                <w:sz w:val="20"/>
                <w:szCs w:val="20"/>
              </w:rPr>
              <w:t>9,360</w:t>
            </w:r>
          </w:p>
        </w:tc>
        <w:tc>
          <w:tcPr>
            <w:tcW w:w="1512" w:type="dxa"/>
            <w:vAlign w:val="center"/>
          </w:tcPr>
          <w:p w:rsidR="00F0519E" w:rsidRPr="00937AC5" w:rsidP="001D667A" w14:paraId="66103910" w14:textId="77777777">
            <w:pPr>
              <w:keepNext/>
              <w:keepLines/>
              <w:tabs>
                <w:tab w:val="left" w:pos="360"/>
              </w:tabs>
              <w:spacing w:before="40" w:after="40"/>
              <w:jc w:val="center"/>
              <w:rPr>
                <w:rFonts w:ascii="Times New Roman" w:hAnsi="Times New Roman"/>
                <w:color w:val="000000"/>
                <w:sz w:val="20"/>
                <w:szCs w:val="20"/>
              </w:rPr>
            </w:pPr>
            <w:r w:rsidRPr="00937AC5">
              <w:rPr>
                <w:rFonts w:ascii="Times New Roman" w:hAnsi="Times New Roman"/>
                <w:color w:val="000000"/>
                <w:sz w:val="20"/>
                <w:szCs w:val="20"/>
              </w:rPr>
              <w:t>0.083</w:t>
            </w:r>
          </w:p>
        </w:tc>
        <w:tc>
          <w:tcPr>
            <w:tcW w:w="1512" w:type="dxa"/>
            <w:vAlign w:val="center"/>
          </w:tcPr>
          <w:p w:rsidR="00F0519E" w:rsidRPr="00937AC5" w:rsidP="001D667A" w14:paraId="176A116D" w14:textId="77777777">
            <w:pPr>
              <w:keepNext/>
              <w:keepLines/>
              <w:tabs>
                <w:tab w:val="left" w:pos="360"/>
              </w:tabs>
              <w:spacing w:before="40" w:after="40"/>
              <w:jc w:val="center"/>
              <w:rPr>
                <w:rFonts w:ascii="Times New Roman" w:hAnsi="Times New Roman"/>
                <w:color w:val="000000"/>
                <w:sz w:val="20"/>
                <w:szCs w:val="20"/>
              </w:rPr>
            </w:pPr>
            <w:r>
              <w:rPr>
                <w:rFonts w:ascii="Times New Roman" w:hAnsi="Times New Roman"/>
                <w:color w:val="000000"/>
                <w:sz w:val="20"/>
                <w:szCs w:val="20"/>
              </w:rPr>
              <w:t>776.9</w:t>
            </w:r>
          </w:p>
        </w:tc>
        <w:tc>
          <w:tcPr>
            <w:tcW w:w="1512" w:type="dxa"/>
            <w:vAlign w:val="center"/>
          </w:tcPr>
          <w:p w:rsidR="00F0519E" w:rsidRPr="00937AC5" w:rsidP="001D667A" w14:paraId="5B2B4AAD" w14:textId="77777777">
            <w:pPr>
              <w:keepNext/>
              <w:keepLines/>
              <w:tabs>
                <w:tab w:val="left" w:pos="360"/>
              </w:tabs>
              <w:spacing w:before="40" w:after="40"/>
              <w:jc w:val="center"/>
              <w:rPr>
                <w:rFonts w:ascii="Times New Roman" w:hAnsi="Times New Roman"/>
                <w:color w:val="000000"/>
                <w:sz w:val="20"/>
                <w:szCs w:val="20"/>
              </w:rPr>
            </w:pPr>
            <w:r w:rsidRPr="00937AC5">
              <w:rPr>
                <w:rFonts w:ascii="Times New Roman" w:hAnsi="Times New Roman"/>
                <w:color w:val="000000"/>
                <w:sz w:val="20"/>
                <w:szCs w:val="20"/>
              </w:rPr>
              <w:t>$4</w:t>
            </w:r>
            <w:r w:rsidRPr="00937AC5" w:rsidR="00FB3C51">
              <w:rPr>
                <w:rFonts w:ascii="Times New Roman" w:hAnsi="Times New Roman"/>
                <w:color w:val="000000"/>
                <w:sz w:val="20"/>
                <w:szCs w:val="20"/>
              </w:rPr>
              <w:t>1</w:t>
            </w:r>
            <w:r w:rsidRPr="00937AC5">
              <w:rPr>
                <w:rFonts w:ascii="Times New Roman" w:hAnsi="Times New Roman"/>
                <w:color w:val="000000"/>
                <w:sz w:val="20"/>
                <w:szCs w:val="20"/>
              </w:rPr>
              <w:t>.</w:t>
            </w:r>
            <w:r w:rsidRPr="00937AC5" w:rsidR="00FB3C51">
              <w:rPr>
                <w:rFonts w:ascii="Times New Roman" w:hAnsi="Times New Roman"/>
                <w:color w:val="000000"/>
                <w:sz w:val="20"/>
                <w:szCs w:val="20"/>
              </w:rPr>
              <w:t>8</w:t>
            </w:r>
            <w:r w:rsidRPr="00937AC5">
              <w:rPr>
                <w:rFonts w:ascii="Times New Roman" w:hAnsi="Times New Roman"/>
                <w:color w:val="000000"/>
                <w:sz w:val="20"/>
                <w:szCs w:val="20"/>
              </w:rPr>
              <w:t>3</w:t>
            </w:r>
          </w:p>
        </w:tc>
        <w:tc>
          <w:tcPr>
            <w:tcW w:w="1512" w:type="dxa"/>
            <w:vAlign w:val="center"/>
          </w:tcPr>
          <w:p w:rsidR="00F0519E" w:rsidRPr="00937AC5" w:rsidP="001D667A" w14:paraId="26DCC503" w14:textId="77777777">
            <w:pPr>
              <w:keepNext/>
              <w:keepLines/>
              <w:tabs>
                <w:tab w:val="left" w:pos="360"/>
              </w:tabs>
              <w:spacing w:before="40" w:after="40"/>
              <w:jc w:val="center"/>
              <w:rPr>
                <w:rFonts w:ascii="Times New Roman" w:hAnsi="Times New Roman"/>
                <w:color w:val="000000"/>
                <w:sz w:val="20"/>
                <w:szCs w:val="20"/>
              </w:rPr>
            </w:pPr>
            <w:r w:rsidRPr="00937AC5">
              <w:rPr>
                <w:rFonts w:ascii="Times New Roman" w:hAnsi="Times New Roman"/>
                <w:color w:val="000000"/>
                <w:sz w:val="20"/>
                <w:szCs w:val="20"/>
              </w:rPr>
              <w:t>$</w:t>
            </w:r>
            <w:r w:rsidR="00C0538B">
              <w:rPr>
                <w:rFonts w:ascii="Times New Roman" w:hAnsi="Times New Roman"/>
                <w:color w:val="000000"/>
                <w:sz w:val="20"/>
                <w:szCs w:val="20"/>
              </w:rPr>
              <w:t>32,498</w:t>
            </w:r>
          </w:p>
        </w:tc>
      </w:tr>
      <w:tr w14:paraId="43E6ED99" w14:textId="77777777" w:rsidTr="001D667A">
        <w:tblPrEx>
          <w:tblW w:w="9315" w:type="dxa"/>
          <w:jc w:val="center"/>
          <w:tblLook w:val="0000"/>
        </w:tblPrEx>
        <w:trPr>
          <w:trHeight w:val="432"/>
          <w:jc w:val="center"/>
        </w:trPr>
        <w:tc>
          <w:tcPr>
            <w:tcW w:w="1868" w:type="dxa"/>
            <w:vAlign w:val="center"/>
          </w:tcPr>
          <w:p w:rsidR="00F0519E" w:rsidRPr="001D667A" w:rsidP="001D667A" w14:paraId="60E749BB" w14:textId="77777777">
            <w:pPr>
              <w:keepNext/>
              <w:keepLines/>
              <w:tabs>
                <w:tab w:val="left" w:pos="360"/>
              </w:tabs>
              <w:spacing w:before="40" w:after="40"/>
              <w:jc w:val="center"/>
              <w:rPr>
                <w:rFonts w:ascii="Times New Roman" w:hAnsi="Times New Roman"/>
                <w:color w:val="000000"/>
                <w:sz w:val="20"/>
                <w:szCs w:val="20"/>
              </w:rPr>
            </w:pPr>
            <w:r w:rsidRPr="001D667A">
              <w:rPr>
                <w:rFonts w:ascii="Times New Roman" w:hAnsi="Times New Roman"/>
                <w:color w:val="000000"/>
                <w:sz w:val="20"/>
                <w:szCs w:val="20"/>
              </w:rPr>
              <w:t>HUD-NP</w:t>
            </w:r>
            <w:r w:rsidRPr="001D667A" w:rsidR="00E41B2E">
              <w:rPr>
                <w:rFonts w:ascii="Times New Roman" w:hAnsi="Times New Roman"/>
                <w:color w:val="000000"/>
                <w:sz w:val="20"/>
                <w:szCs w:val="20"/>
              </w:rPr>
              <w:t>M</w:t>
            </w:r>
            <w:r w:rsidRPr="001D667A">
              <w:rPr>
                <w:rFonts w:ascii="Times New Roman" w:hAnsi="Times New Roman"/>
                <w:color w:val="000000"/>
                <w:sz w:val="20"/>
                <w:szCs w:val="20"/>
              </w:rPr>
              <w:t>A-99-B</w:t>
            </w:r>
          </w:p>
        </w:tc>
        <w:tc>
          <w:tcPr>
            <w:tcW w:w="1399" w:type="dxa"/>
            <w:vAlign w:val="center"/>
          </w:tcPr>
          <w:p w:rsidR="00F0519E" w:rsidRPr="00937AC5" w:rsidP="001D667A" w14:paraId="240473C3" w14:textId="77777777">
            <w:pPr>
              <w:keepNext/>
              <w:keepLines/>
              <w:tabs>
                <w:tab w:val="left" w:pos="360"/>
              </w:tabs>
              <w:spacing w:before="40" w:after="40"/>
              <w:jc w:val="center"/>
              <w:rPr>
                <w:rFonts w:ascii="Times New Roman" w:hAnsi="Times New Roman"/>
                <w:color w:val="000000"/>
                <w:sz w:val="20"/>
                <w:szCs w:val="20"/>
              </w:rPr>
            </w:pPr>
            <w:r>
              <w:rPr>
                <w:rFonts w:ascii="Times New Roman" w:hAnsi="Times New Roman"/>
                <w:color w:val="000000"/>
                <w:sz w:val="20"/>
                <w:szCs w:val="20"/>
              </w:rPr>
              <w:t>9,360</w:t>
            </w:r>
          </w:p>
        </w:tc>
        <w:tc>
          <w:tcPr>
            <w:tcW w:w="1512" w:type="dxa"/>
            <w:vAlign w:val="center"/>
          </w:tcPr>
          <w:p w:rsidR="00F0519E" w:rsidRPr="00937AC5" w:rsidP="001D667A" w14:paraId="59D9B7BC" w14:textId="77777777">
            <w:pPr>
              <w:keepNext/>
              <w:keepLines/>
              <w:tabs>
                <w:tab w:val="left" w:pos="360"/>
              </w:tabs>
              <w:spacing w:before="40" w:after="40"/>
              <w:jc w:val="center"/>
              <w:rPr>
                <w:rFonts w:ascii="Times New Roman" w:hAnsi="Times New Roman"/>
                <w:color w:val="000000"/>
                <w:sz w:val="20"/>
                <w:szCs w:val="20"/>
              </w:rPr>
            </w:pPr>
            <w:r w:rsidRPr="00937AC5">
              <w:rPr>
                <w:rFonts w:ascii="Times New Roman" w:hAnsi="Times New Roman"/>
                <w:color w:val="000000"/>
                <w:sz w:val="20"/>
                <w:szCs w:val="20"/>
              </w:rPr>
              <w:t>0.083</w:t>
            </w:r>
          </w:p>
        </w:tc>
        <w:tc>
          <w:tcPr>
            <w:tcW w:w="1512" w:type="dxa"/>
            <w:vAlign w:val="center"/>
          </w:tcPr>
          <w:p w:rsidR="00F0519E" w:rsidRPr="00937AC5" w:rsidP="001D667A" w14:paraId="106A9478" w14:textId="77777777">
            <w:pPr>
              <w:keepNext/>
              <w:keepLines/>
              <w:tabs>
                <w:tab w:val="left" w:pos="360"/>
              </w:tabs>
              <w:spacing w:before="40" w:after="40"/>
              <w:jc w:val="center"/>
              <w:rPr>
                <w:rFonts w:ascii="Times New Roman" w:hAnsi="Times New Roman"/>
                <w:color w:val="000000"/>
                <w:sz w:val="20"/>
                <w:szCs w:val="20"/>
              </w:rPr>
            </w:pPr>
            <w:r>
              <w:rPr>
                <w:rFonts w:ascii="Times New Roman" w:hAnsi="Times New Roman"/>
                <w:color w:val="000000"/>
                <w:sz w:val="20"/>
                <w:szCs w:val="20"/>
              </w:rPr>
              <w:t>776.9</w:t>
            </w:r>
          </w:p>
        </w:tc>
        <w:tc>
          <w:tcPr>
            <w:tcW w:w="1512" w:type="dxa"/>
            <w:vAlign w:val="center"/>
          </w:tcPr>
          <w:p w:rsidR="00F0519E" w:rsidRPr="00937AC5" w:rsidP="001D667A" w14:paraId="63CE8C05" w14:textId="77777777">
            <w:pPr>
              <w:keepNext/>
              <w:keepLines/>
              <w:tabs>
                <w:tab w:val="left" w:pos="360"/>
              </w:tabs>
              <w:spacing w:before="40" w:after="40"/>
              <w:jc w:val="center"/>
              <w:rPr>
                <w:rFonts w:ascii="Times New Roman" w:hAnsi="Times New Roman"/>
                <w:color w:val="000000"/>
                <w:sz w:val="20"/>
                <w:szCs w:val="20"/>
              </w:rPr>
            </w:pPr>
            <w:r w:rsidRPr="00937AC5">
              <w:rPr>
                <w:rFonts w:ascii="Times New Roman" w:hAnsi="Times New Roman"/>
                <w:color w:val="000000"/>
                <w:sz w:val="20"/>
                <w:szCs w:val="20"/>
              </w:rPr>
              <w:t>$4</w:t>
            </w:r>
            <w:r w:rsidRPr="00937AC5" w:rsidR="00FB3C51">
              <w:rPr>
                <w:rFonts w:ascii="Times New Roman" w:hAnsi="Times New Roman"/>
                <w:color w:val="000000"/>
                <w:sz w:val="20"/>
                <w:szCs w:val="20"/>
              </w:rPr>
              <w:t>1</w:t>
            </w:r>
            <w:r w:rsidRPr="00937AC5">
              <w:rPr>
                <w:rFonts w:ascii="Times New Roman" w:hAnsi="Times New Roman"/>
                <w:color w:val="000000"/>
                <w:sz w:val="20"/>
                <w:szCs w:val="20"/>
              </w:rPr>
              <w:t>.</w:t>
            </w:r>
            <w:r w:rsidRPr="00937AC5" w:rsidR="00FB3C51">
              <w:rPr>
                <w:rFonts w:ascii="Times New Roman" w:hAnsi="Times New Roman"/>
                <w:color w:val="000000"/>
                <w:sz w:val="20"/>
                <w:szCs w:val="20"/>
              </w:rPr>
              <w:t>8</w:t>
            </w:r>
            <w:r w:rsidRPr="00937AC5">
              <w:rPr>
                <w:rFonts w:ascii="Times New Roman" w:hAnsi="Times New Roman"/>
                <w:color w:val="000000"/>
                <w:sz w:val="20"/>
                <w:szCs w:val="20"/>
              </w:rPr>
              <w:t>3</w:t>
            </w:r>
          </w:p>
        </w:tc>
        <w:tc>
          <w:tcPr>
            <w:tcW w:w="1512" w:type="dxa"/>
            <w:vAlign w:val="center"/>
          </w:tcPr>
          <w:p w:rsidR="00F0519E" w:rsidRPr="00937AC5" w:rsidP="001D667A" w14:paraId="05DE8026" w14:textId="77777777">
            <w:pPr>
              <w:keepNext/>
              <w:keepLines/>
              <w:tabs>
                <w:tab w:val="left" w:pos="360"/>
              </w:tabs>
              <w:spacing w:before="40" w:after="40"/>
              <w:jc w:val="center"/>
              <w:rPr>
                <w:rFonts w:ascii="Times New Roman" w:hAnsi="Times New Roman"/>
                <w:color w:val="000000"/>
                <w:sz w:val="20"/>
                <w:szCs w:val="20"/>
              </w:rPr>
            </w:pPr>
            <w:r w:rsidRPr="00937AC5">
              <w:rPr>
                <w:rFonts w:ascii="Times New Roman" w:hAnsi="Times New Roman"/>
                <w:color w:val="000000"/>
                <w:sz w:val="20"/>
                <w:szCs w:val="20"/>
              </w:rPr>
              <w:t>$</w:t>
            </w:r>
            <w:r w:rsidR="00B66D32">
              <w:rPr>
                <w:rFonts w:ascii="Times New Roman" w:hAnsi="Times New Roman"/>
                <w:color w:val="000000"/>
                <w:sz w:val="20"/>
                <w:szCs w:val="20"/>
              </w:rPr>
              <w:t>32,498</w:t>
            </w:r>
          </w:p>
        </w:tc>
      </w:tr>
      <w:tr w14:paraId="66A4A444" w14:textId="77777777" w:rsidTr="00F45BC0">
        <w:tblPrEx>
          <w:tblW w:w="9315" w:type="dxa"/>
          <w:jc w:val="center"/>
          <w:tblLook w:val="0000"/>
        </w:tblPrEx>
        <w:trPr>
          <w:trHeight w:val="432"/>
          <w:jc w:val="center"/>
        </w:trPr>
        <w:tc>
          <w:tcPr>
            <w:tcW w:w="9315" w:type="dxa"/>
            <w:gridSpan w:val="6"/>
            <w:vAlign w:val="center"/>
          </w:tcPr>
          <w:p w:rsidR="001D667A" w:rsidRPr="00937AC5" w:rsidP="001D667A" w14:paraId="0D35DE7A" w14:textId="77777777">
            <w:pPr>
              <w:keepNext/>
              <w:keepLines/>
              <w:tabs>
                <w:tab w:val="left" w:pos="360"/>
              </w:tabs>
              <w:spacing w:before="40" w:after="40"/>
              <w:rPr>
                <w:rFonts w:ascii="Times New Roman" w:hAnsi="Times New Roman"/>
                <w:color w:val="000000"/>
                <w:sz w:val="20"/>
                <w:szCs w:val="20"/>
              </w:rPr>
            </w:pPr>
            <w:r w:rsidRPr="007621A6">
              <w:rPr>
                <w:rFonts w:ascii="Times New Roman" w:hAnsi="Times New Roman"/>
                <w:sz w:val="18"/>
                <w:szCs w:val="18"/>
              </w:rPr>
              <w:t>Estimated av</w:t>
            </w:r>
            <w:r w:rsidR="00904D42">
              <w:rPr>
                <w:rFonts w:ascii="Times New Roman" w:hAnsi="Times New Roman"/>
                <w:sz w:val="18"/>
                <w:szCs w:val="18"/>
              </w:rPr>
              <w:t>era</w:t>
            </w:r>
            <w:r w:rsidRPr="007621A6">
              <w:rPr>
                <w:rFonts w:ascii="Times New Roman" w:hAnsi="Times New Roman"/>
                <w:sz w:val="18"/>
                <w:szCs w:val="18"/>
              </w:rPr>
              <w:t>g</w:t>
            </w:r>
            <w:r w:rsidR="00904D42">
              <w:rPr>
                <w:rFonts w:ascii="Times New Roman" w:hAnsi="Times New Roman"/>
                <w:sz w:val="18"/>
                <w:szCs w:val="18"/>
              </w:rPr>
              <w:t>e</w:t>
            </w:r>
            <w:r w:rsidRPr="007621A6">
              <w:rPr>
                <w:rFonts w:ascii="Times New Roman" w:hAnsi="Times New Roman"/>
                <w:sz w:val="18"/>
                <w:szCs w:val="18"/>
              </w:rPr>
              <w:t xml:space="preserve"> annual cost to HUD: GS-12 / Housing Program Specialist’s review of 10% of FHA insured loans.</w:t>
            </w:r>
          </w:p>
        </w:tc>
      </w:tr>
    </w:tbl>
    <w:p w:rsidR="00503057" w:rsidRPr="00937AC5" w:rsidP="00F0519E" w14:paraId="553EBC83" w14:textId="77777777">
      <w:pPr>
        <w:rPr>
          <w:rFonts w:ascii="Times New Roman" w:hAnsi="Times New Roman"/>
          <w:sz w:val="20"/>
          <w:szCs w:val="20"/>
        </w:rPr>
      </w:pPr>
    </w:p>
    <w:p w:rsidR="00F0519E" w:rsidRPr="00937AC5" w:rsidP="007621A6" w14:paraId="62D2D870" w14:textId="77777777">
      <w:pPr>
        <w:numPr>
          <w:ilvl w:val="0"/>
          <w:numId w:val="11"/>
        </w:numPr>
        <w:ind w:left="360"/>
        <w:rPr>
          <w:rFonts w:ascii="Times New Roman" w:hAnsi="Times New Roman"/>
          <w:sz w:val="20"/>
          <w:szCs w:val="20"/>
        </w:rPr>
      </w:pPr>
      <w:r w:rsidRPr="00937AC5">
        <w:rPr>
          <w:rFonts w:ascii="Times New Roman" w:hAnsi="Times New Roman"/>
          <w:sz w:val="20"/>
          <w:szCs w:val="20"/>
        </w:rPr>
        <w:t>This is an extension of a currently approved collection</w:t>
      </w:r>
      <w:r w:rsidR="0096613B">
        <w:rPr>
          <w:rFonts w:ascii="Times New Roman" w:hAnsi="Times New Roman"/>
          <w:sz w:val="20"/>
          <w:szCs w:val="20"/>
        </w:rPr>
        <w:t xml:space="preserve"> with </w:t>
      </w:r>
      <w:r w:rsidR="00810E72">
        <w:rPr>
          <w:rFonts w:ascii="Times New Roman" w:hAnsi="Times New Roman"/>
          <w:sz w:val="20"/>
          <w:szCs w:val="20"/>
        </w:rPr>
        <w:t xml:space="preserve">minor </w:t>
      </w:r>
      <w:r w:rsidR="0096613B">
        <w:rPr>
          <w:rFonts w:ascii="Times New Roman" w:hAnsi="Times New Roman"/>
          <w:sz w:val="20"/>
          <w:szCs w:val="20"/>
        </w:rPr>
        <w:t>revis</w:t>
      </w:r>
      <w:r w:rsidR="00810E72">
        <w:rPr>
          <w:rFonts w:ascii="Times New Roman" w:hAnsi="Times New Roman"/>
          <w:sz w:val="20"/>
          <w:szCs w:val="20"/>
        </w:rPr>
        <w:t>ions to</w:t>
      </w:r>
      <w:r w:rsidR="0096613B">
        <w:rPr>
          <w:rFonts w:ascii="Times New Roman" w:hAnsi="Times New Roman"/>
          <w:sz w:val="20"/>
          <w:szCs w:val="20"/>
        </w:rPr>
        <w:t xml:space="preserve"> </w:t>
      </w:r>
      <w:r w:rsidR="00B66D32">
        <w:rPr>
          <w:rFonts w:ascii="Times New Roman" w:hAnsi="Times New Roman"/>
          <w:sz w:val="20"/>
          <w:szCs w:val="20"/>
        </w:rPr>
        <w:t xml:space="preserve">form </w:t>
      </w:r>
      <w:r w:rsidR="0096613B">
        <w:rPr>
          <w:rFonts w:ascii="Times New Roman" w:hAnsi="Times New Roman"/>
          <w:sz w:val="20"/>
          <w:szCs w:val="20"/>
        </w:rPr>
        <w:t xml:space="preserve">HUD-NPMA-99-A and </w:t>
      </w:r>
      <w:r w:rsidR="003A45D7">
        <w:rPr>
          <w:rFonts w:ascii="Times New Roman" w:hAnsi="Times New Roman"/>
          <w:sz w:val="20"/>
          <w:szCs w:val="20"/>
        </w:rPr>
        <w:t xml:space="preserve">form </w:t>
      </w:r>
      <w:r w:rsidR="00810E72">
        <w:rPr>
          <w:rFonts w:ascii="Times New Roman" w:hAnsi="Times New Roman"/>
          <w:sz w:val="20"/>
          <w:szCs w:val="20"/>
        </w:rPr>
        <w:t xml:space="preserve">HUD-NPMA-99-B to reflect current </w:t>
      </w:r>
      <w:r w:rsidR="001F2A6B">
        <w:rPr>
          <w:rFonts w:ascii="Times New Roman" w:hAnsi="Times New Roman"/>
          <w:sz w:val="20"/>
          <w:szCs w:val="20"/>
        </w:rPr>
        <w:t xml:space="preserve">available </w:t>
      </w:r>
      <w:r w:rsidR="00810E72">
        <w:rPr>
          <w:rFonts w:ascii="Times New Roman" w:hAnsi="Times New Roman"/>
          <w:sz w:val="20"/>
          <w:szCs w:val="20"/>
        </w:rPr>
        <w:t>information.</w:t>
      </w:r>
      <w:r w:rsidR="00B66D32">
        <w:rPr>
          <w:rFonts w:ascii="Times New Roman" w:hAnsi="Times New Roman"/>
          <w:sz w:val="20"/>
          <w:szCs w:val="20"/>
        </w:rPr>
        <w:t xml:space="preserve"> </w:t>
      </w:r>
    </w:p>
    <w:p w:rsidR="00F0519E" w:rsidRPr="00937AC5" w:rsidP="007621A6" w14:paraId="4DC61B46" w14:textId="77777777">
      <w:pPr>
        <w:numPr>
          <w:ilvl w:val="0"/>
          <w:numId w:val="11"/>
        </w:numPr>
        <w:ind w:left="360"/>
        <w:rPr>
          <w:rFonts w:ascii="Times New Roman" w:hAnsi="Times New Roman"/>
          <w:sz w:val="20"/>
          <w:szCs w:val="20"/>
        </w:rPr>
      </w:pPr>
      <w:r w:rsidRPr="00937AC5">
        <w:rPr>
          <w:rFonts w:ascii="Times New Roman" w:hAnsi="Times New Roman"/>
          <w:sz w:val="20"/>
          <w:szCs w:val="20"/>
        </w:rPr>
        <w:t>The information collected will not be published.</w:t>
      </w:r>
    </w:p>
    <w:p w:rsidR="00F0519E" w:rsidRPr="00937AC5" w:rsidP="007621A6" w14:paraId="44113D6C" w14:textId="77777777">
      <w:pPr>
        <w:numPr>
          <w:ilvl w:val="0"/>
          <w:numId w:val="11"/>
        </w:numPr>
        <w:ind w:left="360"/>
        <w:rPr>
          <w:rFonts w:ascii="Times New Roman" w:hAnsi="Times New Roman"/>
          <w:sz w:val="20"/>
          <w:szCs w:val="20"/>
        </w:rPr>
      </w:pPr>
      <w:r w:rsidRPr="00937AC5">
        <w:rPr>
          <w:rFonts w:ascii="Times New Roman" w:hAnsi="Times New Roman"/>
          <w:sz w:val="20"/>
          <w:szCs w:val="20"/>
        </w:rPr>
        <w:t>HUD is not seeking approval to avoid displaying the expiration date for this OMB approval.</w:t>
      </w:r>
    </w:p>
    <w:p w:rsidR="00F0519E" w:rsidRPr="00937AC5" w:rsidP="007621A6" w14:paraId="646E2EC6" w14:textId="77777777">
      <w:pPr>
        <w:numPr>
          <w:ilvl w:val="0"/>
          <w:numId w:val="11"/>
        </w:numPr>
        <w:ind w:left="360"/>
        <w:rPr>
          <w:rFonts w:ascii="Times New Roman" w:hAnsi="Times New Roman"/>
          <w:sz w:val="20"/>
          <w:szCs w:val="20"/>
        </w:rPr>
      </w:pPr>
      <w:r w:rsidRPr="00937AC5">
        <w:rPr>
          <w:rFonts w:ascii="Times New Roman" w:hAnsi="Times New Roman"/>
          <w:sz w:val="20"/>
          <w:szCs w:val="20"/>
        </w:rPr>
        <w:t>There are no exceptions to the certification statement identified in item 19 of the OMB 83-I.</w:t>
      </w:r>
    </w:p>
    <w:p w:rsidR="00F0519E" w:rsidRPr="00937AC5" w:rsidP="001D667A" w14:paraId="72055A43" w14:textId="77777777">
      <w:pPr>
        <w:numPr>
          <w:ilvl w:val="0"/>
          <w:numId w:val="9"/>
        </w:numPr>
        <w:rPr>
          <w:rFonts w:ascii="Times New Roman" w:hAnsi="Times New Roman"/>
          <w:b/>
          <w:bCs/>
          <w:sz w:val="20"/>
          <w:szCs w:val="20"/>
        </w:rPr>
      </w:pPr>
      <w:r w:rsidRPr="00937AC5">
        <w:rPr>
          <w:rFonts w:ascii="Times New Roman" w:hAnsi="Times New Roman"/>
          <w:b/>
          <w:bCs/>
          <w:sz w:val="20"/>
          <w:szCs w:val="20"/>
        </w:rPr>
        <w:t>Collections of Information Employing Statistical Methods.</w:t>
      </w:r>
    </w:p>
    <w:p w:rsidR="009E118C" w:rsidRPr="00937AC5" w:rsidP="00F0519E" w14:paraId="5264B1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color w:val="000000"/>
          <w:sz w:val="20"/>
          <w:szCs w:val="20"/>
        </w:rPr>
      </w:pPr>
      <w:r w:rsidRPr="00937AC5">
        <w:rPr>
          <w:rFonts w:ascii="Times New Roman" w:hAnsi="Times New Roman"/>
          <w:sz w:val="20"/>
          <w:szCs w:val="20"/>
        </w:rPr>
        <w:tab/>
        <w:t>This information collection does not employ statistical methods</w:t>
      </w:r>
      <w:r w:rsidR="001C0D4F">
        <w:rPr>
          <w:rFonts w:ascii="Times New Roman" w:hAnsi="Times New Roman"/>
          <w:sz w:val="20"/>
          <w:szCs w:val="20"/>
        </w:rPr>
        <w:t>.</w:t>
      </w:r>
    </w:p>
    <w:sectPr w:rsidSect="00075224">
      <w:headerReference w:type="even" r:id="rId8"/>
      <w:headerReference w:type="default" r:id="rId9"/>
      <w:footerReference w:type="even" r:id="rId10"/>
      <w:footerReference w:type="default" r:id="rId11"/>
      <w:headerReference w:type="first" r:id="rId12"/>
      <w:footerReference w:type="first" r:id="rId13"/>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CB304C2"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sidR="00000000">
      <w:rPr>
        <w:rStyle w:val="PageNumber"/>
      </w:rPr>
      <w:fldChar w:fldCharType="separate"/>
    </w:r>
    <w:r>
      <w:rPr>
        <w:rStyle w:val="PageNumber"/>
      </w:rPr>
      <w:fldChar w:fldCharType="end"/>
    </w:r>
  </w:p>
  <w:p w:rsidR="0066398E" w14:paraId="6ACA42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17CC58FE"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B7253E">
      <w:rPr>
        <w:rStyle w:val="PageNumber"/>
        <w:noProof/>
      </w:rPr>
      <w:t>1</w:t>
    </w:r>
    <w:r>
      <w:rPr>
        <w:rStyle w:val="PageNumber"/>
      </w:rPr>
      <w:fldChar w:fldCharType="end"/>
    </w:r>
  </w:p>
  <w:p w:rsidR="0066398E" w:rsidP="00075224" w14:paraId="157EB48F"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67A" w14:paraId="060513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67A" w14:paraId="537C34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67A" w14:paraId="41BC2D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67A" w14:paraId="40CB01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38972DA5"/>
    <w:multiLevelType w:val="hybridMultilevel"/>
    <w:tmpl w:val="7C6CB66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68349D"/>
    <w:multiLevelType w:val="hybridMultilevel"/>
    <w:tmpl w:val="406E0E9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2003D07"/>
    <w:multiLevelType w:val="hybridMultilevel"/>
    <w:tmpl w:val="387697F0"/>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B4C62A6"/>
    <w:multiLevelType w:val="hybridMultilevel"/>
    <w:tmpl w:val="B390382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C80017"/>
    <w:multiLevelType w:val="hybridMultilevel"/>
    <w:tmpl w:val="47AC0E66"/>
    <w:lvl w:ilvl="0">
      <w:start w:val="13"/>
      <w:numFmt w:val="decimal"/>
      <w:lvlText w:val="%1."/>
      <w:lvlJc w:val="left"/>
      <w:pPr>
        <w:tabs>
          <w:tab w:val="num" w:pos="2880"/>
        </w:tabs>
        <w:ind w:left="2880" w:hanging="360"/>
      </w:pPr>
      <w:rPr>
        <w:rFonts w:hint="default"/>
      </w:rPr>
    </w:lvl>
    <w:lvl w:ilvl="1" w:tentative="1">
      <w:start w:val="1"/>
      <w:numFmt w:val="lowerLetter"/>
      <w:lvlText w:val="%2."/>
      <w:lvlJc w:val="left"/>
      <w:pPr>
        <w:tabs>
          <w:tab w:val="num" w:pos="2790"/>
        </w:tabs>
        <w:ind w:left="2790" w:hanging="360"/>
      </w:pPr>
    </w:lvl>
    <w:lvl w:ilvl="2" w:tentative="1">
      <w:start w:val="1"/>
      <w:numFmt w:val="lowerRoman"/>
      <w:lvlText w:val="%3."/>
      <w:lvlJc w:val="right"/>
      <w:pPr>
        <w:tabs>
          <w:tab w:val="num" w:pos="3510"/>
        </w:tabs>
        <w:ind w:left="3510" w:hanging="180"/>
      </w:pPr>
    </w:lvl>
    <w:lvl w:ilvl="3" w:tentative="1">
      <w:start w:val="1"/>
      <w:numFmt w:val="decimal"/>
      <w:lvlText w:val="%4."/>
      <w:lvlJc w:val="left"/>
      <w:pPr>
        <w:tabs>
          <w:tab w:val="num" w:pos="4230"/>
        </w:tabs>
        <w:ind w:left="4230" w:hanging="360"/>
      </w:pPr>
    </w:lvl>
    <w:lvl w:ilvl="4" w:tentative="1">
      <w:start w:val="1"/>
      <w:numFmt w:val="lowerLetter"/>
      <w:lvlText w:val="%5."/>
      <w:lvlJc w:val="left"/>
      <w:pPr>
        <w:tabs>
          <w:tab w:val="num" w:pos="4950"/>
        </w:tabs>
        <w:ind w:left="4950" w:hanging="360"/>
      </w:pPr>
    </w:lvl>
    <w:lvl w:ilvl="5" w:tentative="1">
      <w:start w:val="1"/>
      <w:numFmt w:val="lowerRoman"/>
      <w:lvlText w:val="%6."/>
      <w:lvlJc w:val="right"/>
      <w:pPr>
        <w:tabs>
          <w:tab w:val="num" w:pos="5670"/>
        </w:tabs>
        <w:ind w:left="5670" w:hanging="180"/>
      </w:pPr>
    </w:lvl>
    <w:lvl w:ilvl="6" w:tentative="1">
      <w:start w:val="1"/>
      <w:numFmt w:val="decimal"/>
      <w:lvlText w:val="%7."/>
      <w:lvlJc w:val="left"/>
      <w:pPr>
        <w:tabs>
          <w:tab w:val="num" w:pos="6390"/>
        </w:tabs>
        <w:ind w:left="6390" w:hanging="360"/>
      </w:pPr>
    </w:lvl>
    <w:lvl w:ilvl="7" w:tentative="1">
      <w:start w:val="1"/>
      <w:numFmt w:val="lowerLetter"/>
      <w:lvlText w:val="%8."/>
      <w:lvlJc w:val="left"/>
      <w:pPr>
        <w:tabs>
          <w:tab w:val="num" w:pos="7110"/>
        </w:tabs>
        <w:ind w:left="7110" w:hanging="360"/>
      </w:pPr>
    </w:lvl>
    <w:lvl w:ilvl="8" w:tentative="1">
      <w:start w:val="1"/>
      <w:numFmt w:val="lowerRoman"/>
      <w:lvlText w:val="%9."/>
      <w:lvlJc w:val="right"/>
      <w:pPr>
        <w:tabs>
          <w:tab w:val="num" w:pos="7830"/>
        </w:tabs>
        <w:ind w:left="7830" w:hanging="180"/>
      </w:pPr>
    </w:lvl>
  </w:abstractNum>
  <w:abstractNum w:abstractNumId="7">
    <w:nsid w:val="5B6631B5"/>
    <w:multiLevelType w:val="hybridMultilevel"/>
    <w:tmpl w:val="30385A38"/>
    <w:lvl w:ilvl="0">
      <w:start w:val="1"/>
      <w:numFmt w:val="lowerLetter"/>
      <w:lvlText w:val="%1."/>
      <w:lvlJc w:val="left"/>
      <w:pPr>
        <w:tabs>
          <w:tab w:val="num" w:pos="1380"/>
        </w:tabs>
        <w:ind w:left="1380" w:hanging="360"/>
      </w:pPr>
      <w:rPr>
        <w:rFonts w:hint="default"/>
      </w:rPr>
    </w:lvl>
    <w:lvl w:ilvl="1" w:tentative="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8">
    <w:nsid w:val="696878C8"/>
    <w:multiLevelType w:val="hybridMultilevel"/>
    <w:tmpl w:val="268C34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667778866">
    <w:abstractNumId w:val="1"/>
  </w:num>
  <w:num w:numId="2" w16cid:durableId="831264098">
    <w:abstractNumId w:val="11"/>
  </w:num>
  <w:num w:numId="3" w16cid:durableId="1861970305">
    <w:abstractNumId w:val="0"/>
  </w:num>
  <w:num w:numId="4" w16cid:durableId="1081412805">
    <w:abstractNumId w:val="10"/>
  </w:num>
  <w:num w:numId="5" w16cid:durableId="984746144">
    <w:abstractNumId w:val="9"/>
  </w:num>
  <w:num w:numId="6" w16cid:durableId="526873334">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51349516">
    <w:abstractNumId w:val="7"/>
  </w:num>
  <w:num w:numId="8" w16cid:durableId="1795056848">
    <w:abstractNumId w:val="6"/>
  </w:num>
  <w:num w:numId="9" w16cid:durableId="486826310">
    <w:abstractNumId w:val="4"/>
  </w:num>
  <w:num w:numId="10" w16cid:durableId="434638502">
    <w:abstractNumId w:val="2"/>
  </w:num>
  <w:num w:numId="11" w16cid:durableId="1500727684">
    <w:abstractNumId w:val="8"/>
  </w:num>
  <w:num w:numId="12" w16cid:durableId="29379422">
    <w:abstractNumId w:val="5"/>
  </w:num>
  <w:num w:numId="13" w16cid:durableId="1443920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27FE"/>
    <w:rsid w:val="00006080"/>
    <w:rsid w:val="00075224"/>
    <w:rsid w:val="000934C4"/>
    <w:rsid w:val="000B4874"/>
    <w:rsid w:val="000B4EE5"/>
    <w:rsid w:val="000B568A"/>
    <w:rsid w:val="000B6333"/>
    <w:rsid w:val="000F75C5"/>
    <w:rsid w:val="00107C29"/>
    <w:rsid w:val="00125F44"/>
    <w:rsid w:val="001430C3"/>
    <w:rsid w:val="00154E0F"/>
    <w:rsid w:val="001565A8"/>
    <w:rsid w:val="00162F93"/>
    <w:rsid w:val="00164BAE"/>
    <w:rsid w:val="00167FD2"/>
    <w:rsid w:val="00174045"/>
    <w:rsid w:val="00193597"/>
    <w:rsid w:val="001C0D4F"/>
    <w:rsid w:val="001C6560"/>
    <w:rsid w:val="001D35F4"/>
    <w:rsid w:val="001D667A"/>
    <w:rsid w:val="001E1A1C"/>
    <w:rsid w:val="001E4C9C"/>
    <w:rsid w:val="001E6400"/>
    <w:rsid w:val="001F2A6B"/>
    <w:rsid w:val="002570BF"/>
    <w:rsid w:val="00260371"/>
    <w:rsid w:val="002607BB"/>
    <w:rsid w:val="00261C99"/>
    <w:rsid w:val="00275926"/>
    <w:rsid w:val="002842DD"/>
    <w:rsid w:val="0029110D"/>
    <w:rsid w:val="00296DF2"/>
    <w:rsid w:val="002A18C9"/>
    <w:rsid w:val="002C1C6E"/>
    <w:rsid w:val="002D10C4"/>
    <w:rsid w:val="002E3388"/>
    <w:rsid w:val="002E3D71"/>
    <w:rsid w:val="002F685E"/>
    <w:rsid w:val="00302474"/>
    <w:rsid w:val="00306E36"/>
    <w:rsid w:val="00320358"/>
    <w:rsid w:val="00327E92"/>
    <w:rsid w:val="0034435D"/>
    <w:rsid w:val="0038495D"/>
    <w:rsid w:val="00390640"/>
    <w:rsid w:val="003A45D7"/>
    <w:rsid w:val="003B5EA7"/>
    <w:rsid w:val="003B62F3"/>
    <w:rsid w:val="003C400F"/>
    <w:rsid w:val="003F4D24"/>
    <w:rsid w:val="0041412D"/>
    <w:rsid w:val="00441DD1"/>
    <w:rsid w:val="00461B7C"/>
    <w:rsid w:val="00472C48"/>
    <w:rsid w:val="004939BF"/>
    <w:rsid w:val="00494252"/>
    <w:rsid w:val="004A0977"/>
    <w:rsid w:val="004A37AC"/>
    <w:rsid w:val="004A6DF9"/>
    <w:rsid w:val="0050120C"/>
    <w:rsid w:val="00503057"/>
    <w:rsid w:val="005133AC"/>
    <w:rsid w:val="005258FC"/>
    <w:rsid w:val="00530861"/>
    <w:rsid w:val="00575D07"/>
    <w:rsid w:val="005A6EB8"/>
    <w:rsid w:val="005C451D"/>
    <w:rsid w:val="005C5C25"/>
    <w:rsid w:val="005D21A4"/>
    <w:rsid w:val="00617835"/>
    <w:rsid w:val="0066398E"/>
    <w:rsid w:val="00666CF0"/>
    <w:rsid w:val="006717F4"/>
    <w:rsid w:val="006917B7"/>
    <w:rsid w:val="006A389A"/>
    <w:rsid w:val="006A45C9"/>
    <w:rsid w:val="006F05A6"/>
    <w:rsid w:val="006F6D6C"/>
    <w:rsid w:val="00711F61"/>
    <w:rsid w:val="00724F07"/>
    <w:rsid w:val="00741B05"/>
    <w:rsid w:val="007621A6"/>
    <w:rsid w:val="00797FB9"/>
    <w:rsid w:val="007B4963"/>
    <w:rsid w:val="007F3D2D"/>
    <w:rsid w:val="00801540"/>
    <w:rsid w:val="00810E72"/>
    <w:rsid w:val="00813020"/>
    <w:rsid w:val="00816F58"/>
    <w:rsid w:val="008532E6"/>
    <w:rsid w:val="00884842"/>
    <w:rsid w:val="0089420B"/>
    <w:rsid w:val="008973D5"/>
    <w:rsid w:val="008E399D"/>
    <w:rsid w:val="0090069F"/>
    <w:rsid w:val="009040D9"/>
    <w:rsid w:val="00904D42"/>
    <w:rsid w:val="00907551"/>
    <w:rsid w:val="00927963"/>
    <w:rsid w:val="00934001"/>
    <w:rsid w:val="00937AC5"/>
    <w:rsid w:val="0096613B"/>
    <w:rsid w:val="00974ECC"/>
    <w:rsid w:val="009814CB"/>
    <w:rsid w:val="00982371"/>
    <w:rsid w:val="00984D08"/>
    <w:rsid w:val="009A09EC"/>
    <w:rsid w:val="009A3A5E"/>
    <w:rsid w:val="009A4A85"/>
    <w:rsid w:val="009E118C"/>
    <w:rsid w:val="009F04C9"/>
    <w:rsid w:val="009F0787"/>
    <w:rsid w:val="009F6197"/>
    <w:rsid w:val="00A04741"/>
    <w:rsid w:val="00A04855"/>
    <w:rsid w:val="00A30176"/>
    <w:rsid w:val="00A50661"/>
    <w:rsid w:val="00A57632"/>
    <w:rsid w:val="00A90610"/>
    <w:rsid w:val="00A939E8"/>
    <w:rsid w:val="00AA04EA"/>
    <w:rsid w:val="00AA6E4E"/>
    <w:rsid w:val="00AA7309"/>
    <w:rsid w:val="00AF6250"/>
    <w:rsid w:val="00B1610B"/>
    <w:rsid w:val="00B46356"/>
    <w:rsid w:val="00B66D32"/>
    <w:rsid w:val="00B7253E"/>
    <w:rsid w:val="00B76F1D"/>
    <w:rsid w:val="00C02A46"/>
    <w:rsid w:val="00C0538B"/>
    <w:rsid w:val="00C755F2"/>
    <w:rsid w:val="00C77C29"/>
    <w:rsid w:val="00C809D4"/>
    <w:rsid w:val="00C9345A"/>
    <w:rsid w:val="00CA72DD"/>
    <w:rsid w:val="00CD5A3A"/>
    <w:rsid w:val="00CE6E16"/>
    <w:rsid w:val="00CE7551"/>
    <w:rsid w:val="00D01735"/>
    <w:rsid w:val="00D127E8"/>
    <w:rsid w:val="00D24218"/>
    <w:rsid w:val="00D530F9"/>
    <w:rsid w:val="00D65371"/>
    <w:rsid w:val="00D675DF"/>
    <w:rsid w:val="00D720B2"/>
    <w:rsid w:val="00D81037"/>
    <w:rsid w:val="00DA5736"/>
    <w:rsid w:val="00DB3611"/>
    <w:rsid w:val="00DB491F"/>
    <w:rsid w:val="00DC1E6C"/>
    <w:rsid w:val="00DF0722"/>
    <w:rsid w:val="00DF2776"/>
    <w:rsid w:val="00E41B2E"/>
    <w:rsid w:val="00E4637A"/>
    <w:rsid w:val="00E53DE7"/>
    <w:rsid w:val="00E647ED"/>
    <w:rsid w:val="00E7310D"/>
    <w:rsid w:val="00E81921"/>
    <w:rsid w:val="00E86D11"/>
    <w:rsid w:val="00E87916"/>
    <w:rsid w:val="00E87C04"/>
    <w:rsid w:val="00EC0F6E"/>
    <w:rsid w:val="00EC4984"/>
    <w:rsid w:val="00ED0143"/>
    <w:rsid w:val="00F0519E"/>
    <w:rsid w:val="00F3203C"/>
    <w:rsid w:val="00F43BD5"/>
    <w:rsid w:val="00F448DB"/>
    <w:rsid w:val="00F45BC0"/>
    <w:rsid w:val="00F4725D"/>
    <w:rsid w:val="00FB3C51"/>
    <w:rsid w:val="00FB73E0"/>
    <w:rsid w:val="00FB7407"/>
  </w:rsid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14:docId w14:val="4412AB95"/>
  <w15:docId w15:val="{8E43F916-5163-4DEE-9CCB-8AE3BDB1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5D07"/>
    <w:rPr>
      <w:rFonts w:ascii="Segoe UI" w:hAnsi="Segoe UI" w:cs="Segoe UI"/>
      <w:sz w:val="18"/>
      <w:szCs w:val="18"/>
    </w:rPr>
  </w:style>
  <w:style w:type="paragraph" w:styleId="BodyTextIndent">
    <w:name w:val="Body Text Indent"/>
    <w:basedOn w:val="Normal"/>
    <w:link w:val="BodyTextIndentChar"/>
    <w:rsid w:val="00F0519E"/>
    <w:pPr>
      <w:spacing w:after="0" w:line="240" w:lineRule="auto"/>
      <w:ind w:left="360"/>
    </w:pPr>
    <w:rPr>
      <w:rFonts w:ascii="Courier New" w:hAnsi="Courier New" w:cs="Courier New"/>
      <w:sz w:val="24"/>
      <w:szCs w:val="24"/>
    </w:rPr>
  </w:style>
  <w:style w:type="character" w:customStyle="1" w:styleId="BodyTextIndentChar">
    <w:name w:val="Body Text Indent Char"/>
    <w:link w:val="BodyTextIndent"/>
    <w:rsid w:val="00F0519E"/>
    <w:rPr>
      <w:rFonts w:ascii="Courier New" w:hAnsi="Courier New" w:cs="Courier New"/>
      <w:sz w:val="24"/>
      <w:szCs w:val="24"/>
    </w:rPr>
  </w:style>
  <w:style w:type="paragraph" w:styleId="BodyTextIndent2">
    <w:name w:val="Body Text Indent 2"/>
    <w:basedOn w:val="Normal"/>
    <w:link w:val="BodyTextIndent2Char"/>
    <w:rsid w:val="00F0519E"/>
    <w:pPr>
      <w:spacing w:after="0" w:line="240" w:lineRule="auto"/>
      <w:ind w:left="720" w:hanging="720"/>
    </w:pPr>
    <w:rPr>
      <w:rFonts w:ascii="Courier New" w:hAnsi="Courier New" w:cs="Courier New"/>
      <w:sz w:val="24"/>
      <w:szCs w:val="24"/>
    </w:rPr>
  </w:style>
  <w:style w:type="character" w:customStyle="1" w:styleId="BodyTextIndent2Char">
    <w:name w:val="Body Text Indent 2 Char"/>
    <w:link w:val="BodyTextIndent2"/>
    <w:rsid w:val="00F0519E"/>
    <w:rPr>
      <w:rFonts w:ascii="Courier New" w:hAnsi="Courier New" w:cs="Courier New"/>
      <w:sz w:val="24"/>
      <w:szCs w:val="24"/>
    </w:rPr>
  </w:style>
  <w:style w:type="paragraph" w:styleId="PlainText">
    <w:name w:val="Plain Text"/>
    <w:basedOn w:val="Normal"/>
    <w:link w:val="PlainTextChar"/>
    <w:uiPriority w:val="99"/>
    <w:unhideWhenUsed/>
    <w:rsid w:val="00F0519E"/>
    <w:pPr>
      <w:spacing w:after="0" w:line="240" w:lineRule="auto"/>
    </w:pPr>
    <w:rPr>
      <w:rFonts w:ascii="Consolas" w:eastAsia="Calibri" w:hAnsi="Consolas"/>
      <w:sz w:val="21"/>
      <w:szCs w:val="21"/>
    </w:rPr>
  </w:style>
  <w:style w:type="character" w:customStyle="1" w:styleId="PlainTextChar">
    <w:name w:val="Plain Text Char"/>
    <w:link w:val="PlainText"/>
    <w:uiPriority w:val="99"/>
    <w:rsid w:val="00F0519E"/>
    <w:rPr>
      <w:rFonts w:ascii="Consolas" w:eastAsia="Calibri" w:hAnsi="Consolas"/>
      <w:sz w:val="21"/>
      <w:szCs w:val="21"/>
    </w:rPr>
  </w:style>
  <w:style w:type="character" w:styleId="Hyperlink">
    <w:name w:val="Hyperlink"/>
    <w:unhideWhenUsed/>
    <w:rsid w:val="00F051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inn.Lawrence@hud.gov" TargetMode="External" /><Relationship Id="rId5" Type="http://schemas.openxmlformats.org/officeDocument/2006/relationships/hyperlink" Target="mailto:Karina.A.Batkalin@hud.gov" TargetMode="External" /><Relationship Id="rId6" Type="http://schemas.openxmlformats.org/officeDocument/2006/relationships/hyperlink" Target="mailto:Andrew.Cianci@hud.gov" TargetMode="External" /><Relationship Id="rId7" Type="http://schemas.openxmlformats.org/officeDocument/2006/relationships/hyperlink" Target="mailto:Donald.D.Doan@hud.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Sanders, Kim N</cp:lastModifiedBy>
  <cp:revision>2</cp:revision>
  <cp:lastPrinted>2019-04-05T14:30:00Z</cp:lastPrinted>
  <dcterms:created xsi:type="dcterms:W3CDTF">2023-01-10T21:56:00Z</dcterms:created>
  <dcterms:modified xsi:type="dcterms:W3CDTF">2023-01-10T21:56:00Z</dcterms:modified>
</cp:coreProperties>
</file>