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05F9" w:rsidRPr="001C1CCB" w:rsidP="00753BCE" w14:paraId="01B90249" w14:textId="09CC3473">
      <w:pPr>
        <w:jc w:val="center"/>
        <w:rPr>
          <w:rFonts w:ascii="Times New (W1)" w:hAnsi="Times New (W1)"/>
          <w:b/>
          <w:sz w:val="24"/>
          <w:szCs w:val="24"/>
        </w:rPr>
      </w:pPr>
      <w:r w:rsidRPr="001C1CCB">
        <w:rPr>
          <w:rFonts w:ascii="Times New (W1)" w:hAnsi="Times New (W1)"/>
          <w:b/>
          <w:sz w:val="24"/>
          <w:szCs w:val="24"/>
        </w:rPr>
        <w:t>Supporting Statement for Paperwork Reduction Act Submissions</w:t>
      </w:r>
    </w:p>
    <w:p w:rsidR="00753BCE" w:rsidRPr="001C1CCB" w:rsidP="00753BCE" w14:paraId="319956A7" w14:textId="77777777">
      <w:pPr>
        <w:jc w:val="center"/>
        <w:rPr>
          <w:rFonts w:ascii="Times New (W1)" w:hAnsi="Times New (W1)"/>
          <w:b/>
          <w:sz w:val="24"/>
          <w:szCs w:val="24"/>
        </w:rPr>
      </w:pPr>
    </w:p>
    <w:p w:rsidR="00753BCE" w:rsidRPr="001C1CCB" w:rsidP="00753BCE" w14:paraId="629E1DFC" w14:textId="4E990C02">
      <w:pPr>
        <w:jc w:val="center"/>
        <w:rPr>
          <w:rFonts w:ascii="Times New (W1)" w:hAnsi="Times New (W1)"/>
          <w:b/>
          <w:sz w:val="24"/>
          <w:szCs w:val="24"/>
        </w:rPr>
      </w:pPr>
      <w:r w:rsidRPr="001C1CCB">
        <w:rPr>
          <w:rFonts w:ascii="Times New (W1)" w:hAnsi="Times New (W1)"/>
          <w:b/>
          <w:sz w:val="24"/>
          <w:szCs w:val="24"/>
        </w:rPr>
        <w:t>Multifamily Accelerated Processing (MAP)</w:t>
      </w:r>
      <w:r w:rsidRPr="001C1CCB" w:rsidR="00A00FAA">
        <w:rPr>
          <w:rFonts w:ascii="Times New (W1)" w:hAnsi="Times New (W1)"/>
          <w:b/>
          <w:sz w:val="24"/>
          <w:szCs w:val="24"/>
        </w:rPr>
        <w:t xml:space="preserve"> Guide</w:t>
      </w:r>
      <w:r w:rsidRPr="001C1CCB" w:rsidR="006B3E40">
        <w:rPr>
          <w:rFonts w:ascii="Times New Roman" w:hAnsi="Times New Roman"/>
          <w:b/>
          <w:color w:val="000000"/>
          <w:sz w:val="24"/>
          <w:szCs w:val="24"/>
        </w:rPr>
        <w:t xml:space="preserve">, </w:t>
      </w:r>
      <w:r w:rsidRPr="001C1CCB" w:rsidR="00645530">
        <w:rPr>
          <w:rFonts w:ascii="Times New Roman" w:hAnsi="Times New Roman"/>
          <w:b/>
          <w:color w:val="000000"/>
          <w:sz w:val="24"/>
          <w:szCs w:val="24"/>
        </w:rPr>
        <w:t>44</w:t>
      </w:r>
      <w:r w:rsidRPr="001C1CCB" w:rsidR="006B3E40">
        <w:rPr>
          <w:rFonts w:ascii="Times New Roman" w:hAnsi="Times New Roman"/>
          <w:b/>
          <w:color w:val="000000"/>
          <w:sz w:val="24"/>
          <w:szCs w:val="24"/>
        </w:rPr>
        <w:t>30.G</w:t>
      </w:r>
    </w:p>
    <w:p w:rsidR="00753BCE" w:rsidRPr="001C1CCB" w:rsidP="00753BCE" w14:paraId="66F12ACE" w14:textId="77777777">
      <w:pPr>
        <w:jc w:val="center"/>
        <w:rPr>
          <w:rFonts w:ascii="Times New (W1)" w:hAnsi="Times New (W1)"/>
          <w:b/>
          <w:sz w:val="24"/>
          <w:szCs w:val="24"/>
        </w:rPr>
      </w:pPr>
    </w:p>
    <w:p w:rsidR="00753BCE" w:rsidRPr="001C1CCB" w:rsidP="00753BCE" w14:paraId="4D040E02" w14:textId="77777777">
      <w:pPr>
        <w:jc w:val="center"/>
        <w:rPr>
          <w:rFonts w:ascii="Times New (W1)" w:hAnsi="Times New (W1)"/>
          <w:b/>
          <w:sz w:val="24"/>
          <w:szCs w:val="24"/>
        </w:rPr>
      </w:pPr>
      <w:r w:rsidRPr="001C1CCB">
        <w:rPr>
          <w:rFonts w:ascii="Times New (W1)" w:hAnsi="Times New (W1)"/>
          <w:b/>
          <w:sz w:val="24"/>
          <w:szCs w:val="24"/>
        </w:rPr>
        <w:t>OMB Control No.:  2502-0541</w:t>
      </w:r>
    </w:p>
    <w:p w:rsidR="004505F9" w:rsidRPr="001C1CCB" w:rsidP="004505F9" w14:paraId="2F9A2F28" w14:textId="77777777">
      <w:pPr>
        <w:rPr>
          <w:rFonts w:ascii="Times New (W1)" w:hAnsi="Times New (W1)"/>
          <w:sz w:val="24"/>
        </w:rPr>
      </w:pPr>
    </w:p>
    <w:p w:rsidR="004505F9" w:rsidRPr="001C1CCB" w:rsidP="008F247F" w14:paraId="490FCF7F" w14:textId="77777777">
      <w:pPr>
        <w:ind w:firstLine="0"/>
        <w:rPr>
          <w:rFonts w:ascii="Times New (W1)" w:hAnsi="Times New (W1)"/>
          <w:b/>
          <w:sz w:val="28"/>
        </w:rPr>
      </w:pPr>
      <w:r w:rsidRPr="001C1CCB">
        <w:rPr>
          <w:rFonts w:ascii="Times New (W1)" w:hAnsi="Times New (W1)"/>
          <w:b/>
          <w:sz w:val="28"/>
        </w:rPr>
        <w:t>A.  Justification</w:t>
      </w:r>
    </w:p>
    <w:p w:rsidR="004505F9" w:rsidRPr="001C1CCB" w:rsidP="004505F9" w14:paraId="7E981D4A" w14:textId="77777777">
      <w:pPr>
        <w:rPr>
          <w:rFonts w:ascii="Times New (W1)" w:hAnsi="Times New (W1)"/>
          <w:sz w:val="24"/>
        </w:rPr>
      </w:pPr>
    </w:p>
    <w:p w:rsidR="004505F9" w:rsidRPr="001C1CCB" w:rsidP="004505F9" w14:paraId="2CA89E23" w14:textId="77777777">
      <w:pPr>
        <w:ind w:left="720" w:hanging="360"/>
        <w:jc w:val="both"/>
        <w:rPr>
          <w:rFonts w:ascii="Times New (W1)" w:hAnsi="Times New (W1)"/>
          <w:sz w:val="24"/>
        </w:rPr>
      </w:pPr>
      <w:r w:rsidRPr="001C1CCB">
        <w:rPr>
          <w:rFonts w:ascii="Times New (W1)" w:hAnsi="Times New (W1)"/>
          <w:sz w:val="24"/>
        </w:rPr>
        <w:t>1.</w:t>
      </w:r>
      <w:r w:rsidRPr="001C1CCB">
        <w:rPr>
          <w:rFonts w:ascii="Times New (W1)" w:hAnsi="Times New (W1)"/>
          <w:sz w:val="24"/>
        </w:rPr>
        <w:tab/>
      </w:r>
      <w:r w:rsidRPr="001C1CCB">
        <w:rPr>
          <w:rFonts w:ascii="Times New (W1)" w:hAnsi="Times New (W1)"/>
          <w:sz w:val="24"/>
          <w:u w:val="single"/>
        </w:rPr>
        <w:t>Circumstances that make the collection of information necessary</w:t>
      </w:r>
      <w:r w:rsidRPr="001C1CCB">
        <w:rPr>
          <w:rFonts w:ascii="Times New (W1)" w:hAnsi="Times New (W1)"/>
          <w:sz w:val="24"/>
        </w:rPr>
        <w:t>.</w:t>
      </w:r>
    </w:p>
    <w:p w:rsidR="00F06694" w:rsidRPr="001C1CCB" w:rsidP="009A5693" w14:paraId="1151DA8B" w14:textId="17C60C38">
      <w:pPr>
        <w:pStyle w:val="paragraph"/>
        <w:ind w:left="720"/>
        <w:jc w:val="both"/>
        <w:textAlignment w:val="baseline"/>
      </w:pPr>
      <w:r w:rsidRPr="001C1CCB">
        <w:rPr>
          <w:rStyle w:val="normaltextrun1"/>
        </w:rPr>
        <w:t>Multifamily Accelerated Processing (MAP)</w:t>
      </w:r>
      <w:r w:rsidRPr="001C1CCB" w:rsidR="00A00FAA">
        <w:rPr>
          <w:rStyle w:val="normaltextrun1"/>
        </w:rPr>
        <w:t xml:space="preserve"> Guide</w:t>
      </w:r>
      <w:r w:rsidRPr="001C1CCB">
        <w:rPr>
          <w:rStyle w:val="normaltextrun1"/>
        </w:rPr>
        <w:t xml:space="preserve"> is designed to establish uniform national standards for Federal Housing Administration (FHA) approved lenders to prepare, process and submit loan applications for FHA multifamily mortgage insurance.  The MAP Guide provides - in one volume with appendices – guidance for HUD staff, lenders, third party consultants, borrowers, and other industry participants.  Topics include mortgage insurance program descriptions, borrower and lender eligibility requirements, application requirements, underwriting standards for all technical disciplines and construction loan administration requirements. The MAP Guide applies only to FHA multifamily mortgage insurance programs.  Except to the extent lender monitoring or enforcement activities overlap, Section 232 and other programs administered by the Office of Healthcare Programs are not addressed by the MAP Guide. </w:t>
      </w:r>
      <w:r w:rsidRPr="001C1CCB">
        <w:rPr>
          <w:rStyle w:val="eop"/>
        </w:rPr>
        <w:t> </w:t>
      </w:r>
    </w:p>
    <w:p w:rsidR="00F06694" w:rsidRPr="001C1CCB" w:rsidP="00F06694" w14:paraId="0C39C969" w14:textId="77777777">
      <w:pPr>
        <w:pStyle w:val="paragraph"/>
        <w:jc w:val="both"/>
        <w:textAlignment w:val="baseline"/>
        <w:rPr>
          <w:rStyle w:val="normaltextrun1"/>
        </w:rPr>
      </w:pPr>
    </w:p>
    <w:p w:rsidR="00FE3025" w:rsidRPr="001C1CCB" w:rsidP="000E4572" w14:paraId="11F6F888" w14:textId="42CBDFBF">
      <w:pPr>
        <w:ind w:left="720" w:firstLine="0"/>
        <w:jc w:val="both"/>
        <w:rPr>
          <w:rStyle w:val="normaltextrun1"/>
          <w:rFonts w:ascii="Times New Roman" w:hAnsi="Times New Roman"/>
          <w:sz w:val="24"/>
          <w:szCs w:val="24"/>
        </w:rPr>
      </w:pPr>
      <w:r w:rsidRPr="001C1CCB">
        <w:rPr>
          <w:rStyle w:val="normaltextrun1"/>
          <w:rFonts w:ascii="Times New Roman" w:hAnsi="Times New Roman"/>
          <w:sz w:val="24"/>
          <w:szCs w:val="24"/>
        </w:rPr>
        <w:t xml:space="preserve">HUD </w:t>
      </w:r>
      <w:r w:rsidRPr="001C1CCB" w:rsidR="00742893">
        <w:rPr>
          <w:rStyle w:val="normaltextrun1"/>
          <w:rFonts w:ascii="Times New Roman" w:hAnsi="Times New Roman"/>
          <w:sz w:val="24"/>
          <w:szCs w:val="24"/>
        </w:rPr>
        <w:t>prepared t</w:t>
      </w:r>
      <w:r w:rsidRPr="001C1CCB" w:rsidR="00844A34">
        <w:rPr>
          <w:rStyle w:val="normaltextrun1"/>
          <w:rFonts w:ascii="Times New Roman" w:hAnsi="Times New Roman"/>
          <w:sz w:val="24"/>
          <w:szCs w:val="24"/>
        </w:rPr>
        <w:t xml:space="preserve">his Supporting Statement </w:t>
      </w:r>
      <w:r w:rsidRPr="001C1CCB" w:rsidR="00742893">
        <w:rPr>
          <w:rStyle w:val="normaltextrun1"/>
          <w:rFonts w:ascii="Times New Roman" w:hAnsi="Times New Roman"/>
          <w:sz w:val="24"/>
          <w:szCs w:val="24"/>
        </w:rPr>
        <w:t>because</w:t>
      </w:r>
      <w:r w:rsidRPr="001C1CCB" w:rsidR="000A4DCD">
        <w:rPr>
          <w:rStyle w:val="normaltextrun1"/>
          <w:rFonts w:ascii="Times New Roman" w:hAnsi="Times New Roman"/>
          <w:sz w:val="24"/>
          <w:szCs w:val="24"/>
        </w:rPr>
        <w:t xml:space="preserve"> HUD is amending certain portions of the </w:t>
      </w:r>
      <w:r w:rsidRPr="001C1CCB" w:rsidR="007E0D3E">
        <w:rPr>
          <w:rStyle w:val="normaltextrun1"/>
          <w:rFonts w:ascii="Times New Roman" w:hAnsi="Times New Roman"/>
          <w:sz w:val="24"/>
          <w:szCs w:val="24"/>
        </w:rPr>
        <w:t xml:space="preserve">MAP </w:t>
      </w:r>
      <w:r w:rsidRPr="001C1CCB" w:rsidR="000A4DCD">
        <w:rPr>
          <w:rStyle w:val="normaltextrun1"/>
          <w:rFonts w:ascii="Times New Roman" w:hAnsi="Times New Roman"/>
          <w:sz w:val="24"/>
          <w:szCs w:val="24"/>
        </w:rPr>
        <w:t xml:space="preserve">Guide </w:t>
      </w:r>
      <w:r w:rsidRPr="001C1CCB" w:rsidR="00270F8B">
        <w:rPr>
          <w:rStyle w:val="normaltextrun1"/>
          <w:rFonts w:ascii="Times New Roman" w:hAnsi="Times New Roman"/>
          <w:sz w:val="24"/>
          <w:szCs w:val="24"/>
        </w:rPr>
        <w:t xml:space="preserve">consistent </w:t>
      </w:r>
      <w:r w:rsidRPr="001C1CCB" w:rsidR="00C8797E">
        <w:rPr>
          <w:rStyle w:val="normaltextrun1"/>
          <w:rFonts w:ascii="Times New Roman" w:hAnsi="Times New Roman"/>
          <w:sz w:val="24"/>
          <w:szCs w:val="24"/>
        </w:rPr>
        <w:t xml:space="preserve">with </w:t>
      </w:r>
      <w:r w:rsidRPr="001C1CCB" w:rsidR="004C534A">
        <w:rPr>
          <w:rStyle w:val="normaltextrun1"/>
          <w:rFonts w:ascii="Times New Roman" w:hAnsi="Times New Roman"/>
          <w:sz w:val="24"/>
          <w:szCs w:val="24"/>
        </w:rPr>
        <w:t>and as describe</w:t>
      </w:r>
      <w:r w:rsidRPr="001C1CCB" w:rsidR="001144F0">
        <w:rPr>
          <w:rStyle w:val="normaltextrun1"/>
          <w:rFonts w:ascii="Times New Roman" w:hAnsi="Times New Roman"/>
          <w:sz w:val="24"/>
          <w:szCs w:val="24"/>
        </w:rPr>
        <w:t>d</w:t>
      </w:r>
      <w:r w:rsidRPr="001C1CCB" w:rsidR="004C534A">
        <w:rPr>
          <w:rStyle w:val="normaltextrun1"/>
          <w:rFonts w:ascii="Times New Roman" w:hAnsi="Times New Roman"/>
          <w:sz w:val="24"/>
          <w:szCs w:val="24"/>
        </w:rPr>
        <w:t xml:space="preserve"> in a </w:t>
      </w:r>
      <w:r w:rsidRPr="001C1CCB" w:rsidR="00C8797E">
        <w:rPr>
          <w:rStyle w:val="normaltextrun1"/>
          <w:rFonts w:ascii="Times New Roman" w:hAnsi="Times New Roman"/>
          <w:sz w:val="24"/>
          <w:szCs w:val="24"/>
        </w:rPr>
        <w:t>Mortgagee Letter</w:t>
      </w:r>
      <w:r w:rsidRPr="001C1CCB" w:rsidR="00742893">
        <w:rPr>
          <w:rStyle w:val="normaltextrun1"/>
          <w:rFonts w:ascii="Times New Roman" w:hAnsi="Times New Roman"/>
          <w:sz w:val="24"/>
          <w:szCs w:val="24"/>
        </w:rPr>
        <w:t xml:space="preserve"> </w:t>
      </w:r>
      <w:r w:rsidRPr="001C1CCB" w:rsidR="007629FC">
        <w:rPr>
          <w:rStyle w:val="normaltextrun1"/>
          <w:rFonts w:ascii="Times New Roman" w:hAnsi="Times New Roman"/>
          <w:sz w:val="24"/>
          <w:szCs w:val="24"/>
        </w:rPr>
        <w:t>2022-## (yet to be numbered)</w:t>
      </w:r>
      <w:r w:rsidRPr="001C1CCB" w:rsidR="00A53DDA">
        <w:rPr>
          <w:rStyle w:val="normaltextrun1"/>
          <w:rFonts w:ascii="Times New Roman" w:hAnsi="Times New Roman"/>
          <w:sz w:val="24"/>
          <w:szCs w:val="24"/>
        </w:rPr>
        <w:t>. The Mortgagee Letter deletes the existing Appendices A.5.10 an</w:t>
      </w:r>
      <w:r w:rsidRPr="001C1CCB" w:rsidR="00FD09CD">
        <w:rPr>
          <w:rStyle w:val="normaltextrun1"/>
          <w:rFonts w:ascii="Times New Roman" w:hAnsi="Times New Roman"/>
          <w:sz w:val="24"/>
          <w:szCs w:val="24"/>
        </w:rPr>
        <w:t>d</w:t>
      </w:r>
      <w:r w:rsidRPr="001C1CCB" w:rsidR="00A53DDA">
        <w:rPr>
          <w:rStyle w:val="normaltextrun1"/>
          <w:rFonts w:ascii="Times New Roman" w:hAnsi="Times New Roman"/>
          <w:sz w:val="24"/>
          <w:szCs w:val="24"/>
        </w:rPr>
        <w:t xml:space="preserve"> A.5.11</w:t>
      </w:r>
      <w:r w:rsidRPr="001C1CCB" w:rsidR="00AD2409">
        <w:rPr>
          <w:rStyle w:val="normaltextrun1"/>
          <w:rFonts w:ascii="Times New Roman" w:hAnsi="Times New Roman"/>
          <w:sz w:val="24"/>
          <w:szCs w:val="24"/>
        </w:rPr>
        <w:t xml:space="preserve"> and </w:t>
      </w:r>
      <w:r w:rsidRPr="001C1CCB" w:rsidR="00BD2EF8">
        <w:rPr>
          <w:rStyle w:val="normaltextrun1"/>
          <w:rFonts w:ascii="Times New Roman" w:hAnsi="Times New Roman"/>
          <w:sz w:val="24"/>
          <w:szCs w:val="24"/>
        </w:rPr>
        <w:t>subs</w:t>
      </w:r>
      <w:r w:rsidRPr="001C1CCB" w:rsidR="00D81CA7">
        <w:rPr>
          <w:rStyle w:val="normaltextrun1"/>
          <w:rFonts w:ascii="Times New Roman" w:hAnsi="Times New Roman"/>
          <w:sz w:val="24"/>
          <w:szCs w:val="24"/>
        </w:rPr>
        <w:t>t</w:t>
      </w:r>
      <w:r w:rsidRPr="001C1CCB" w:rsidR="00BD2EF8">
        <w:rPr>
          <w:rStyle w:val="normaltextrun1"/>
          <w:rFonts w:ascii="Times New Roman" w:hAnsi="Times New Roman"/>
          <w:sz w:val="24"/>
          <w:szCs w:val="24"/>
        </w:rPr>
        <w:t>itu</w:t>
      </w:r>
      <w:r w:rsidRPr="001C1CCB" w:rsidR="00D81CA7">
        <w:rPr>
          <w:rStyle w:val="normaltextrun1"/>
          <w:rFonts w:ascii="Times New Roman" w:hAnsi="Times New Roman"/>
          <w:sz w:val="24"/>
          <w:szCs w:val="24"/>
        </w:rPr>
        <w:t>t</w:t>
      </w:r>
      <w:r w:rsidRPr="001C1CCB" w:rsidR="00BD2EF8">
        <w:rPr>
          <w:rStyle w:val="normaltextrun1"/>
          <w:rFonts w:ascii="Times New Roman" w:hAnsi="Times New Roman"/>
          <w:sz w:val="24"/>
          <w:szCs w:val="24"/>
        </w:rPr>
        <w:t>es</w:t>
      </w:r>
      <w:r w:rsidRPr="001C1CCB" w:rsidR="00AD2409">
        <w:rPr>
          <w:rStyle w:val="normaltextrun1"/>
          <w:rFonts w:ascii="Times New Roman" w:hAnsi="Times New Roman"/>
          <w:sz w:val="24"/>
          <w:szCs w:val="24"/>
        </w:rPr>
        <w:t xml:space="preserve"> a new Appendix </w:t>
      </w:r>
      <w:r w:rsidRPr="001C1CCB" w:rsidR="005210A5">
        <w:rPr>
          <w:rStyle w:val="normaltextrun1"/>
          <w:rFonts w:ascii="Times New Roman" w:hAnsi="Times New Roman"/>
          <w:sz w:val="24"/>
          <w:szCs w:val="24"/>
        </w:rPr>
        <w:t xml:space="preserve">identified as </w:t>
      </w:r>
      <w:r w:rsidRPr="001C1CCB" w:rsidR="00AD2409">
        <w:rPr>
          <w:rStyle w:val="normaltextrun1"/>
          <w:rFonts w:ascii="Times New Roman" w:hAnsi="Times New Roman"/>
          <w:sz w:val="24"/>
          <w:szCs w:val="24"/>
        </w:rPr>
        <w:t>A.5.10</w:t>
      </w:r>
      <w:r w:rsidRPr="001C1CCB" w:rsidR="005210A5">
        <w:rPr>
          <w:rStyle w:val="normaltextrun1"/>
          <w:rFonts w:ascii="Times New Roman" w:hAnsi="Times New Roman"/>
          <w:sz w:val="24"/>
          <w:szCs w:val="24"/>
        </w:rPr>
        <w:t xml:space="preserve"> together with various changes in other portions of the MAP Guide needed to conform </w:t>
      </w:r>
      <w:r w:rsidRPr="001C1CCB" w:rsidR="004E7F45">
        <w:rPr>
          <w:rStyle w:val="normaltextrun1"/>
          <w:rFonts w:ascii="Times New Roman" w:hAnsi="Times New Roman"/>
          <w:sz w:val="24"/>
          <w:szCs w:val="24"/>
        </w:rPr>
        <w:t xml:space="preserve">the document to the new Appendix A.5.10.  The subject of the </w:t>
      </w:r>
      <w:r w:rsidRPr="001C1CCB" w:rsidR="00690B09">
        <w:rPr>
          <w:rStyle w:val="normaltextrun1"/>
          <w:rFonts w:ascii="Times New Roman" w:hAnsi="Times New Roman"/>
          <w:sz w:val="24"/>
          <w:szCs w:val="24"/>
        </w:rPr>
        <w:t xml:space="preserve">Mortgagee Letter and the </w:t>
      </w:r>
      <w:r w:rsidRPr="001C1CCB" w:rsidR="00C24333">
        <w:rPr>
          <w:rStyle w:val="normaltextrun1"/>
          <w:rFonts w:ascii="Times New Roman" w:hAnsi="Times New Roman"/>
          <w:sz w:val="24"/>
          <w:szCs w:val="24"/>
        </w:rPr>
        <w:t xml:space="preserve">consequent </w:t>
      </w:r>
      <w:r w:rsidRPr="001C1CCB" w:rsidR="00690B09">
        <w:rPr>
          <w:rStyle w:val="normaltextrun1"/>
          <w:rFonts w:ascii="Times New Roman" w:hAnsi="Times New Roman"/>
          <w:sz w:val="24"/>
          <w:szCs w:val="24"/>
        </w:rPr>
        <w:t>changes to the MAP Guide is</w:t>
      </w:r>
      <w:r w:rsidRPr="001C1CCB" w:rsidR="00CC394D">
        <w:rPr>
          <w:rStyle w:val="normaltextrun1"/>
          <w:rFonts w:ascii="Times New Roman" w:hAnsi="Times New Roman"/>
          <w:sz w:val="24"/>
          <w:szCs w:val="24"/>
        </w:rPr>
        <w:t xml:space="preserve"> a “Revised Method for Calculation of Cost Not Attributable to </w:t>
      </w:r>
      <w:r w:rsidRPr="001C1CCB" w:rsidR="00480C48">
        <w:rPr>
          <w:rStyle w:val="normaltextrun1"/>
          <w:rFonts w:ascii="Times New Roman" w:hAnsi="Times New Roman"/>
          <w:sz w:val="24"/>
          <w:szCs w:val="24"/>
        </w:rPr>
        <w:t>Dwelling</w:t>
      </w:r>
      <w:r w:rsidRPr="001C1CCB" w:rsidR="0038215A">
        <w:rPr>
          <w:rStyle w:val="normaltextrun1"/>
          <w:rFonts w:ascii="Times New Roman" w:hAnsi="Times New Roman"/>
          <w:sz w:val="24"/>
          <w:szCs w:val="24"/>
        </w:rPr>
        <w:t xml:space="preserve"> Units.”</w:t>
      </w:r>
      <w:r w:rsidRPr="001C1CCB" w:rsidR="00AD2409">
        <w:rPr>
          <w:rStyle w:val="normaltextrun1"/>
          <w:rFonts w:ascii="Times New Roman" w:hAnsi="Times New Roman"/>
          <w:sz w:val="24"/>
          <w:szCs w:val="24"/>
        </w:rPr>
        <w:t xml:space="preserve"> </w:t>
      </w:r>
      <w:r w:rsidRPr="001C1CCB" w:rsidR="00BB01B2">
        <w:rPr>
          <w:rStyle w:val="normaltextrun1"/>
          <w:rFonts w:ascii="Times New Roman" w:hAnsi="Times New Roman"/>
          <w:sz w:val="24"/>
          <w:szCs w:val="24"/>
        </w:rPr>
        <w:t>Apart from the changes specifically enumerated in the Mortgagee Letter</w:t>
      </w:r>
      <w:r w:rsidRPr="001C1CCB" w:rsidR="00A04E33">
        <w:rPr>
          <w:rStyle w:val="normaltextrun1"/>
          <w:rFonts w:ascii="Times New Roman" w:hAnsi="Times New Roman"/>
          <w:sz w:val="24"/>
          <w:szCs w:val="24"/>
        </w:rPr>
        <w:t xml:space="preserve">, there are no other changes to the MAP Guide </w:t>
      </w:r>
      <w:r w:rsidRPr="001C1CCB" w:rsidR="003B29F7">
        <w:rPr>
          <w:rStyle w:val="normaltextrun1"/>
          <w:rFonts w:ascii="Times New Roman" w:hAnsi="Times New Roman"/>
          <w:sz w:val="24"/>
          <w:szCs w:val="24"/>
        </w:rPr>
        <w:t xml:space="preserve">covered by this Supporting Statement. </w:t>
      </w:r>
      <w:r w:rsidRPr="001C1CCB" w:rsidR="004E4FB8">
        <w:rPr>
          <w:rStyle w:val="normaltextrun1"/>
          <w:rFonts w:ascii="Times New Roman" w:hAnsi="Times New Roman"/>
          <w:sz w:val="24"/>
          <w:szCs w:val="24"/>
        </w:rPr>
        <w:t xml:space="preserve">(See </w:t>
      </w:r>
      <w:r w:rsidRPr="001C1CCB" w:rsidR="00B16351">
        <w:rPr>
          <w:rStyle w:val="normaltextrun1"/>
          <w:rFonts w:ascii="Times New Roman" w:hAnsi="Times New Roman"/>
          <w:sz w:val="24"/>
          <w:szCs w:val="24"/>
        </w:rPr>
        <w:t>proposed Mortgagee Letter, attached</w:t>
      </w:r>
      <w:r w:rsidRPr="001C1CCB">
        <w:rPr>
          <w:rStyle w:val="normaltextrun1"/>
          <w:rFonts w:ascii="Times New Roman" w:hAnsi="Times New Roman"/>
          <w:sz w:val="24"/>
          <w:szCs w:val="24"/>
        </w:rPr>
        <w:t>).</w:t>
      </w:r>
    </w:p>
    <w:p w:rsidR="00FE3025" w:rsidRPr="001C1CCB" w:rsidP="000E4572" w14:paraId="56C4306E" w14:textId="77777777">
      <w:pPr>
        <w:ind w:left="720" w:firstLine="0"/>
        <w:jc w:val="both"/>
        <w:rPr>
          <w:rStyle w:val="normaltextrun1"/>
          <w:rFonts w:ascii="Times New Roman" w:hAnsi="Times New Roman"/>
          <w:sz w:val="24"/>
          <w:szCs w:val="24"/>
        </w:rPr>
      </w:pPr>
    </w:p>
    <w:p w:rsidR="000379F0" w:rsidRPr="001C1CCB" w:rsidP="000E4572" w14:paraId="3892D0DE" w14:textId="57EB9B3C">
      <w:pPr>
        <w:ind w:left="720" w:firstLine="0"/>
        <w:jc w:val="both"/>
        <w:rPr>
          <w:rStyle w:val="normaltextrun1"/>
          <w:rFonts w:ascii="Times New Roman" w:hAnsi="Times New Roman"/>
          <w:sz w:val="24"/>
          <w:szCs w:val="24"/>
        </w:rPr>
      </w:pPr>
      <w:r w:rsidRPr="001C1CCB">
        <w:rPr>
          <w:rStyle w:val="normaltextrun1"/>
          <w:rFonts w:ascii="Times New Roman" w:hAnsi="Times New Roman"/>
          <w:sz w:val="24"/>
          <w:szCs w:val="24"/>
        </w:rPr>
        <w:t xml:space="preserve">The </w:t>
      </w:r>
      <w:r w:rsidRPr="001C1CCB" w:rsidR="00460574">
        <w:rPr>
          <w:rStyle w:val="normaltextrun1"/>
          <w:rFonts w:ascii="Times New Roman" w:hAnsi="Times New Roman"/>
          <w:sz w:val="24"/>
          <w:szCs w:val="24"/>
        </w:rPr>
        <w:t>result of the change is a minor overall reduction in burden hours for lenders</w:t>
      </w:r>
      <w:r w:rsidRPr="001C1CCB" w:rsidR="0033137C">
        <w:rPr>
          <w:rStyle w:val="normaltextrun1"/>
          <w:rFonts w:ascii="Times New Roman" w:hAnsi="Times New Roman"/>
          <w:sz w:val="24"/>
          <w:szCs w:val="24"/>
        </w:rPr>
        <w:t xml:space="preserve">, </w:t>
      </w:r>
      <w:r w:rsidRPr="001C1CCB" w:rsidR="00460574">
        <w:rPr>
          <w:rStyle w:val="normaltextrun1"/>
          <w:rFonts w:ascii="Times New Roman" w:hAnsi="Times New Roman"/>
          <w:sz w:val="24"/>
          <w:szCs w:val="24"/>
        </w:rPr>
        <w:t>lender third parties</w:t>
      </w:r>
      <w:r w:rsidRPr="001C1CCB" w:rsidR="00DE7351">
        <w:rPr>
          <w:rStyle w:val="normaltextrun1"/>
          <w:rFonts w:ascii="Times New Roman" w:hAnsi="Times New Roman"/>
          <w:sz w:val="24"/>
          <w:szCs w:val="24"/>
        </w:rPr>
        <w:t xml:space="preserve"> </w:t>
      </w:r>
      <w:r w:rsidRPr="001C1CCB" w:rsidR="003D5C1A">
        <w:rPr>
          <w:rStyle w:val="normaltextrun1"/>
          <w:rFonts w:ascii="Times New Roman" w:hAnsi="Times New Roman"/>
          <w:sz w:val="24"/>
          <w:szCs w:val="24"/>
        </w:rPr>
        <w:t>and</w:t>
      </w:r>
      <w:r w:rsidRPr="001C1CCB" w:rsidR="00DE7351">
        <w:rPr>
          <w:rStyle w:val="normaltextrun1"/>
          <w:rFonts w:ascii="Times New Roman" w:hAnsi="Times New Roman"/>
          <w:sz w:val="24"/>
          <w:szCs w:val="24"/>
        </w:rPr>
        <w:t xml:space="preserve"> HUD staff, by comparison with the 2020 MAP Guide</w:t>
      </w:r>
      <w:r w:rsidRPr="001C1CCB" w:rsidR="00B84463">
        <w:rPr>
          <w:rStyle w:val="normaltextrun1"/>
          <w:rFonts w:ascii="Times New Roman" w:hAnsi="Times New Roman"/>
          <w:sz w:val="24"/>
          <w:szCs w:val="24"/>
        </w:rPr>
        <w:t xml:space="preserve">.  However, these minor overall changes are concentrated in a small number of loan applications </w:t>
      </w:r>
      <w:r w:rsidRPr="001C1CCB" w:rsidR="00AC20D1">
        <w:rPr>
          <w:rStyle w:val="normaltextrun1"/>
          <w:rFonts w:ascii="Times New Roman" w:hAnsi="Times New Roman"/>
          <w:sz w:val="24"/>
          <w:szCs w:val="24"/>
        </w:rPr>
        <w:t>and the lenders and staff who work on these applications</w:t>
      </w:r>
      <w:r w:rsidRPr="001C1CCB" w:rsidR="0049508A">
        <w:rPr>
          <w:rStyle w:val="normaltextrun1"/>
          <w:rFonts w:ascii="Times New Roman" w:hAnsi="Times New Roman"/>
          <w:sz w:val="24"/>
          <w:szCs w:val="24"/>
        </w:rPr>
        <w:t>,</w:t>
      </w:r>
      <w:r w:rsidRPr="001C1CCB" w:rsidR="0012149D">
        <w:rPr>
          <w:rStyle w:val="normaltextrun1"/>
          <w:rFonts w:ascii="Times New Roman" w:hAnsi="Times New Roman"/>
          <w:sz w:val="24"/>
          <w:szCs w:val="24"/>
        </w:rPr>
        <w:t xml:space="preserve"> and thus</w:t>
      </w:r>
      <w:r w:rsidRPr="001C1CCB" w:rsidR="00554CBD">
        <w:rPr>
          <w:rStyle w:val="normaltextrun1"/>
          <w:rFonts w:ascii="Times New Roman" w:hAnsi="Times New Roman"/>
          <w:sz w:val="24"/>
          <w:szCs w:val="24"/>
        </w:rPr>
        <w:t xml:space="preserve"> for those cases</w:t>
      </w:r>
      <w:r w:rsidRPr="001C1CCB" w:rsidR="0049508A">
        <w:rPr>
          <w:rStyle w:val="normaltextrun1"/>
          <w:rFonts w:ascii="Times New Roman" w:hAnsi="Times New Roman"/>
          <w:sz w:val="24"/>
          <w:szCs w:val="24"/>
        </w:rPr>
        <w:t>,</w:t>
      </w:r>
      <w:r w:rsidRPr="001C1CCB" w:rsidR="0012149D">
        <w:rPr>
          <w:rStyle w:val="normaltextrun1"/>
          <w:rFonts w:ascii="Times New Roman" w:hAnsi="Times New Roman"/>
          <w:sz w:val="24"/>
          <w:szCs w:val="24"/>
        </w:rPr>
        <w:t xml:space="preserve"> provide</w:t>
      </w:r>
      <w:r w:rsidRPr="001C1CCB" w:rsidR="0049508A">
        <w:rPr>
          <w:rStyle w:val="normaltextrun1"/>
          <w:rFonts w:ascii="Times New Roman" w:hAnsi="Times New Roman"/>
          <w:sz w:val="24"/>
          <w:szCs w:val="24"/>
        </w:rPr>
        <w:t>s</w:t>
      </w:r>
      <w:r w:rsidRPr="001C1CCB" w:rsidR="0012149D">
        <w:rPr>
          <w:rStyle w:val="normaltextrun1"/>
          <w:rFonts w:ascii="Times New Roman" w:hAnsi="Times New Roman"/>
          <w:sz w:val="24"/>
          <w:szCs w:val="24"/>
        </w:rPr>
        <w:t xml:space="preserve"> significant efficiencies, </w:t>
      </w:r>
      <w:r w:rsidRPr="001C1CCB" w:rsidR="00866D80">
        <w:rPr>
          <w:rStyle w:val="normaltextrun1"/>
          <w:rFonts w:ascii="Times New Roman" w:hAnsi="Times New Roman"/>
          <w:sz w:val="24"/>
          <w:szCs w:val="24"/>
        </w:rPr>
        <w:t>time savings, greater</w:t>
      </w:r>
      <w:r w:rsidRPr="001C1CCB" w:rsidR="00EA277A">
        <w:rPr>
          <w:rStyle w:val="normaltextrun1"/>
          <w:rFonts w:ascii="Times New Roman" w:hAnsi="Times New Roman"/>
          <w:sz w:val="24"/>
          <w:szCs w:val="24"/>
        </w:rPr>
        <w:t xml:space="preserve"> certainty </w:t>
      </w:r>
      <w:r w:rsidRPr="001C1CCB" w:rsidR="00003AFB">
        <w:rPr>
          <w:rStyle w:val="normaltextrun1"/>
          <w:rFonts w:ascii="Times New Roman" w:hAnsi="Times New Roman"/>
          <w:sz w:val="24"/>
          <w:szCs w:val="24"/>
        </w:rPr>
        <w:t>and predictability of statutory limit</w:t>
      </w:r>
      <w:r w:rsidRPr="001C1CCB" w:rsidR="007C4049">
        <w:rPr>
          <w:rStyle w:val="normaltextrun1"/>
          <w:rFonts w:ascii="Times New Roman" w:hAnsi="Times New Roman"/>
          <w:sz w:val="24"/>
          <w:szCs w:val="24"/>
        </w:rPr>
        <w:t>ed mortgage amounts</w:t>
      </w:r>
      <w:r w:rsidRPr="001C1CCB" w:rsidR="000925D8">
        <w:rPr>
          <w:rStyle w:val="normaltextrun1"/>
          <w:rFonts w:ascii="Times New Roman" w:hAnsi="Times New Roman"/>
          <w:sz w:val="24"/>
          <w:szCs w:val="24"/>
        </w:rPr>
        <w:t xml:space="preserve"> and eliminates disputes</w:t>
      </w:r>
      <w:r w:rsidRPr="001C1CCB" w:rsidR="00E1038F">
        <w:rPr>
          <w:rStyle w:val="normaltextrun1"/>
          <w:rFonts w:ascii="Times New Roman" w:hAnsi="Times New Roman"/>
          <w:sz w:val="24"/>
          <w:szCs w:val="24"/>
        </w:rPr>
        <w:t xml:space="preserve"> about which spaces are or are not attributable to </w:t>
      </w:r>
      <w:r w:rsidRPr="001C1CCB" w:rsidR="0056600C">
        <w:rPr>
          <w:rStyle w:val="normaltextrun1"/>
          <w:rFonts w:ascii="Times New Roman" w:hAnsi="Times New Roman"/>
          <w:sz w:val="24"/>
          <w:szCs w:val="24"/>
        </w:rPr>
        <w:t>dwelling units</w:t>
      </w:r>
      <w:r w:rsidRPr="001C1CCB" w:rsidR="00AC20D1">
        <w:rPr>
          <w:rStyle w:val="normaltextrun1"/>
          <w:rFonts w:ascii="Times New Roman" w:hAnsi="Times New Roman"/>
          <w:sz w:val="24"/>
          <w:szCs w:val="24"/>
        </w:rPr>
        <w:t>.</w:t>
      </w:r>
      <w:r w:rsidRPr="001C1CCB" w:rsidR="00CB4D60">
        <w:rPr>
          <w:rStyle w:val="normaltextrun1"/>
          <w:rFonts w:ascii="Times New Roman" w:hAnsi="Times New Roman"/>
          <w:sz w:val="24"/>
          <w:szCs w:val="24"/>
        </w:rPr>
        <w:t xml:space="preserve">  (See </w:t>
      </w:r>
      <w:r w:rsidRPr="001C1CCB" w:rsidR="005E4AE5">
        <w:rPr>
          <w:rStyle w:val="normaltextrun1"/>
          <w:rFonts w:ascii="Times New Roman" w:hAnsi="Times New Roman"/>
          <w:sz w:val="24"/>
          <w:szCs w:val="24"/>
        </w:rPr>
        <w:t>the executive summary memo to the FHA Commissione</w:t>
      </w:r>
      <w:r w:rsidRPr="001C1CCB" w:rsidR="004D2DBE">
        <w:rPr>
          <w:rStyle w:val="normaltextrun1"/>
          <w:rFonts w:ascii="Times New Roman" w:hAnsi="Times New Roman"/>
          <w:sz w:val="24"/>
          <w:szCs w:val="24"/>
        </w:rPr>
        <w:t>r</w:t>
      </w:r>
      <w:r w:rsidRPr="001C1CCB" w:rsidR="009D65B5">
        <w:rPr>
          <w:rStyle w:val="normaltextrun1"/>
          <w:rFonts w:ascii="Times New Roman" w:hAnsi="Times New Roman"/>
          <w:sz w:val="24"/>
          <w:szCs w:val="24"/>
        </w:rPr>
        <w:t xml:space="preserve">, </w:t>
      </w:r>
      <w:r w:rsidRPr="001C1CCB" w:rsidR="006D3B3D">
        <w:rPr>
          <w:rStyle w:val="normaltextrun1"/>
          <w:rFonts w:ascii="Times New Roman" w:hAnsi="Times New Roman"/>
          <w:sz w:val="24"/>
          <w:szCs w:val="24"/>
        </w:rPr>
        <w:t xml:space="preserve">attached </w:t>
      </w:r>
      <w:r w:rsidRPr="001C1CCB" w:rsidR="004D2DBE">
        <w:rPr>
          <w:rStyle w:val="normaltextrun1"/>
          <w:rFonts w:ascii="Times New Roman" w:hAnsi="Times New Roman"/>
          <w:sz w:val="24"/>
          <w:szCs w:val="24"/>
        </w:rPr>
        <w:t xml:space="preserve">for </w:t>
      </w:r>
      <w:r w:rsidRPr="001C1CCB" w:rsidR="00C775B5">
        <w:rPr>
          <w:rStyle w:val="normaltextrun1"/>
          <w:rFonts w:ascii="Times New Roman" w:hAnsi="Times New Roman"/>
          <w:sz w:val="24"/>
          <w:szCs w:val="24"/>
        </w:rPr>
        <w:t xml:space="preserve">more detailed description of business purposes and </w:t>
      </w:r>
      <w:r w:rsidRPr="001C1CCB" w:rsidR="00C14578">
        <w:rPr>
          <w:rStyle w:val="normaltextrun1"/>
          <w:rFonts w:ascii="Times New Roman" w:hAnsi="Times New Roman"/>
          <w:sz w:val="24"/>
          <w:szCs w:val="24"/>
        </w:rPr>
        <w:t xml:space="preserve">efficiencies of the proposed </w:t>
      </w:r>
      <w:r w:rsidRPr="001C1CCB" w:rsidR="006D3B3D">
        <w:rPr>
          <w:rStyle w:val="normaltextrun1"/>
          <w:rFonts w:ascii="Times New Roman" w:hAnsi="Times New Roman"/>
          <w:sz w:val="24"/>
          <w:szCs w:val="24"/>
        </w:rPr>
        <w:t>change.)</w:t>
      </w:r>
    </w:p>
    <w:p w:rsidR="007C1AF5" w:rsidRPr="001C1CCB" w:rsidP="000E4572" w14:paraId="2FCDC74A" w14:textId="046339B4">
      <w:pPr>
        <w:ind w:left="720" w:firstLine="0"/>
        <w:jc w:val="both"/>
        <w:rPr>
          <w:rStyle w:val="normaltextrun1"/>
          <w:rFonts w:ascii="Times New Roman" w:hAnsi="Times New Roman"/>
          <w:sz w:val="24"/>
          <w:szCs w:val="24"/>
        </w:rPr>
      </w:pPr>
    </w:p>
    <w:p w:rsidR="007C1AF5" w:rsidRPr="001C1CCB" w:rsidP="000E4572" w14:paraId="6DA95D5E" w14:textId="3590BB86">
      <w:pPr>
        <w:ind w:left="720" w:firstLine="0"/>
        <w:jc w:val="both"/>
        <w:rPr>
          <w:rStyle w:val="normaltextrun1"/>
          <w:rFonts w:ascii="Times New Roman" w:hAnsi="Times New Roman"/>
          <w:sz w:val="24"/>
          <w:szCs w:val="24"/>
        </w:rPr>
      </w:pPr>
      <w:r w:rsidRPr="001C1CCB">
        <w:rPr>
          <w:rStyle w:val="normaltextrun1"/>
          <w:rFonts w:ascii="Times New Roman" w:hAnsi="Times New Roman"/>
          <w:sz w:val="24"/>
          <w:szCs w:val="24"/>
        </w:rPr>
        <w:t xml:space="preserve">HUD also </w:t>
      </w:r>
      <w:r w:rsidRPr="001C1CCB" w:rsidR="007A638A">
        <w:rPr>
          <w:rStyle w:val="normaltextrun1"/>
          <w:rFonts w:ascii="Times New Roman" w:hAnsi="Times New Roman"/>
          <w:sz w:val="24"/>
          <w:szCs w:val="24"/>
        </w:rPr>
        <w:t xml:space="preserve">points out that this Supporting Statement </w:t>
      </w:r>
      <w:r w:rsidRPr="001C1CCB" w:rsidR="003E5876">
        <w:rPr>
          <w:rStyle w:val="normaltextrun1"/>
          <w:rFonts w:ascii="Times New Roman" w:hAnsi="Times New Roman"/>
          <w:sz w:val="24"/>
          <w:szCs w:val="24"/>
        </w:rPr>
        <w:t xml:space="preserve">initiates a change in how HUD manages </w:t>
      </w:r>
      <w:r w:rsidRPr="001C1CCB" w:rsidR="006D0342">
        <w:rPr>
          <w:rStyle w:val="normaltextrun1"/>
          <w:rFonts w:ascii="Times New Roman" w:hAnsi="Times New Roman"/>
          <w:sz w:val="24"/>
          <w:szCs w:val="24"/>
        </w:rPr>
        <w:t xml:space="preserve">amendments to the MAP Guide. </w:t>
      </w:r>
      <w:r w:rsidRPr="001C1CCB" w:rsidR="006647C3">
        <w:rPr>
          <w:rStyle w:val="normaltextrun1"/>
          <w:rFonts w:ascii="Times New Roman" w:hAnsi="Times New Roman"/>
          <w:sz w:val="24"/>
          <w:szCs w:val="24"/>
        </w:rPr>
        <w:t>Previously</w:t>
      </w:r>
      <w:r w:rsidRPr="001C1CCB" w:rsidR="006D0342">
        <w:rPr>
          <w:rStyle w:val="normaltextrun1"/>
          <w:rFonts w:ascii="Times New Roman" w:hAnsi="Times New Roman"/>
          <w:sz w:val="24"/>
          <w:szCs w:val="24"/>
        </w:rPr>
        <w:t xml:space="preserve">, HUD sought to </w:t>
      </w:r>
      <w:r w:rsidRPr="001C1CCB" w:rsidR="009901F2">
        <w:rPr>
          <w:rStyle w:val="normaltextrun1"/>
          <w:rFonts w:ascii="Times New Roman" w:hAnsi="Times New Roman"/>
          <w:sz w:val="24"/>
          <w:szCs w:val="24"/>
        </w:rPr>
        <w:t xml:space="preserve">implement a general revision of the entire MAP Guide on a triennial calendar consistent with the </w:t>
      </w:r>
      <w:r w:rsidRPr="001C1CCB" w:rsidR="00E11BA0">
        <w:rPr>
          <w:rStyle w:val="normaltextrun1"/>
          <w:rFonts w:ascii="Times New Roman" w:hAnsi="Times New Roman"/>
          <w:sz w:val="24"/>
          <w:szCs w:val="24"/>
        </w:rPr>
        <w:t xml:space="preserve">duration of the OMB </w:t>
      </w:r>
      <w:r w:rsidRPr="001C1CCB" w:rsidR="00137425">
        <w:rPr>
          <w:rStyle w:val="normaltextrun1"/>
          <w:rFonts w:ascii="Times New Roman" w:hAnsi="Times New Roman"/>
          <w:sz w:val="24"/>
          <w:szCs w:val="24"/>
        </w:rPr>
        <w:t>Control Number.  However, when last approved</w:t>
      </w:r>
      <w:r w:rsidRPr="001C1CCB" w:rsidR="00A225D1">
        <w:rPr>
          <w:rStyle w:val="normaltextrun1"/>
          <w:rFonts w:ascii="Times New Roman" w:hAnsi="Times New Roman"/>
          <w:sz w:val="24"/>
          <w:szCs w:val="24"/>
        </w:rPr>
        <w:t xml:space="preserve"> HUD and OMB </w:t>
      </w:r>
      <w:r w:rsidRPr="001C1CCB" w:rsidR="00066182">
        <w:rPr>
          <w:rStyle w:val="normaltextrun1"/>
          <w:rFonts w:ascii="Times New Roman" w:hAnsi="Times New Roman"/>
          <w:sz w:val="24"/>
          <w:szCs w:val="24"/>
        </w:rPr>
        <w:t xml:space="preserve">concluded that this approach was cumbersome, </w:t>
      </w:r>
      <w:r w:rsidRPr="001C1CCB" w:rsidR="00823C2B">
        <w:rPr>
          <w:rStyle w:val="normaltextrun1"/>
          <w:rFonts w:ascii="Times New Roman" w:hAnsi="Times New Roman"/>
          <w:sz w:val="24"/>
          <w:szCs w:val="24"/>
        </w:rPr>
        <w:t xml:space="preserve">exhausting and too large an undertaking as a singular </w:t>
      </w:r>
      <w:r w:rsidRPr="001C1CCB" w:rsidR="00531763">
        <w:rPr>
          <w:rStyle w:val="normaltextrun1"/>
          <w:rFonts w:ascii="Times New Roman" w:hAnsi="Times New Roman"/>
          <w:sz w:val="24"/>
          <w:szCs w:val="24"/>
        </w:rPr>
        <w:t xml:space="preserve">review. </w:t>
      </w:r>
      <w:r w:rsidRPr="001C1CCB" w:rsidR="003A5E49">
        <w:rPr>
          <w:rStyle w:val="normaltextrun1"/>
          <w:rFonts w:ascii="Times New Roman" w:hAnsi="Times New Roman"/>
          <w:sz w:val="24"/>
          <w:szCs w:val="24"/>
        </w:rPr>
        <w:t xml:space="preserve">(See </w:t>
      </w:r>
      <w:r w:rsidRPr="001C1CCB" w:rsidR="00D84923">
        <w:rPr>
          <w:rStyle w:val="normaltextrun1"/>
          <w:rFonts w:ascii="Times New Roman" w:hAnsi="Times New Roman"/>
          <w:sz w:val="24"/>
          <w:szCs w:val="24"/>
        </w:rPr>
        <w:t>“</w:t>
      </w:r>
      <w:r w:rsidRPr="001C1CCB" w:rsidR="00B56F1F">
        <w:rPr>
          <w:rStyle w:val="normaltextrun1"/>
          <w:rFonts w:ascii="Times New Roman" w:hAnsi="Times New Roman"/>
          <w:sz w:val="24"/>
          <w:szCs w:val="24"/>
        </w:rPr>
        <w:t>Notice of Office of Management and Budget Action</w:t>
      </w:r>
      <w:r w:rsidRPr="001C1CCB" w:rsidR="00D84923">
        <w:rPr>
          <w:rStyle w:val="normaltextrun1"/>
          <w:rFonts w:ascii="Times New Roman" w:hAnsi="Times New Roman"/>
          <w:sz w:val="24"/>
          <w:szCs w:val="24"/>
        </w:rPr>
        <w:t>”</w:t>
      </w:r>
      <w:r w:rsidRPr="001C1CCB" w:rsidR="00B56F1F">
        <w:rPr>
          <w:rStyle w:val="normaltextrun1"/>
          <w:rFonts w:ascii="Times New Roman" w:hAnsi="Times New Roman"/>
          <w:sz w:val="24"/>
          <w:szCs w:val="24"/>
        </w:rPr>
        <w:t xml:space="preserve"> dated 12/15/2020</w:t>
      </w:r>
      <w:r w:rsidRPr="001C1CCB" w:rsidR="008A475B">
        <w:rPr>
          <w:rStyle w:val="normaltextrun1"/>
          <w:rFonts w:ascii="Times New Roman" w:hAnsi="Times New Roman"/>
          <w:sz w:val="24"/>
          <w:szCs w:val="24"/>
        </w:rPr>
        <w:t>, attached.)</w:t>
      </w:r>
      <w:r w:rsidRPr="001C1CCB" w:rsidR="00531763">
        <w:rPr>
          <w:rStyle w:val="normaltextrun1"/>
          <w:rFonts w:ascii="Times New Roman" w:hAnsi="Times New Roman"/>
          <w:sz w:val="24"/>
          <w:szCs w:val="24"/>
        </w:rPr>
        <w:t xml:space="preserve"> </w:t>
      </w:r>
      <w:r w:rsidRPr="001C1CCB" w:rsidR="00402D9E">
        <w:rPr>
          <w:rStyle w:val="normaltextrun1"/>
          <w:rFonts w:ascii="Times New Roman" w:hAnsi="Times New Roman"/>
          <w:sz w:val="24"/>
          <w:szCs w:val="24"/>
        </w:rPr>
        <w:t xml:space="preserve">This </w:t>
      </w:r>
      <w:r w:rsidRPr="001C1CCB" w:rsidR="003A5E49">
        <w:rPr>
          <w:rStyle w:val="normaltextrun1"/>
          <w:rFonts w:ascii="Times New Roman" w:hAnsi="Times New Roman"/>
          <w:sz w:val="24"/>
          <w:szCs w:val="24"/>
        </w:rPr>
        <w:t>renewal request initiates</w:t>
      </w:r>
      <w:r w:rsidRPr="001C1CCB" w:rsidR="00756CFD">
        <w:rPr>
          <w:rStyle w:val="normaltextrun1"/>
          <w:rFonts w:ascii="Times New Roman" w:hAnsi="Times New Roman"/>
          <w:sz w:val="24"/>
          <w:szCs w:val="24"/>
        </w:rPr>
        <w:t xml:space="preserve"> </w:t>
      </w:r>
      <w:r w:rsidRPr="001C1CCB" w:rsidR="0094426E">
        <w:rPr>
          <w:rStyle w:val="normaltextrun1"/>
          <w:rFonts w:ascii="Times New Roman" w:hAnsi="Times New Roman"/>
          <w:sz w:val="24"/>
          <w:szCs w:val="24"/>
        </w:rPr>
        <w:t>a</w:t>
      </w:r>
      <w:r w:rsidRPr="001C1CCB" w:rsidR="00531763">
        <w:rPr>
          <w:rStyle w:val="normaltextrun1"/>
          <w:rFonts w:ascii="Times New Roman" w:hAnsi="Times New Roman"/>
          <w:sz w:val="24"/>
          <w:szCs w:val="24"/>
        </w:rPr>
        <w:t xml:space="preserve"> new method of </w:t>
      </w:r>
      <w:r w:rsidRPr="001C1CCB" w:rsidR="00127751">
        <w:rPr>
          <w:rStyle w:val="normaltextrun1"/>
          <w:rFonts w:ascii="Times New Roman" w:hAnsi="Times New Roman"/>
          <w:sz w:val="24"/>
          <w:szCs w:val="24"/>
        </w:rPr>
        <w:t xml:space="preserve">continuous, or periodic renewal of the OMB Control Number </w:t>
      </w:r>
      <w:r w:rsidRPr="001C1CCB" w:rsidR="00992AEB">
        <w:rPr>
          <w:rStyle w:val="normaltextrun1"/>
          <w:rFonts w:ascii="Times New Roman" w:hAnsi="Times New Roman"/>
          <w:sz w:val="24"/>
          <w:szCs w:val="24"/>
        </w:rPr>
        <w:t xml:space="preserve">as and when amendments </w:t>
      </w:r>
      <w:r w:rsidRPr="001C1CCB" w:rsidR="00ED50AF">
        <w:rPr>
          <w:rStyle w:val="normaltextrun1"/>
          <w:rFonts w:ascii="Times New Roman" w:hAnsi="Times New Roman"/>
          <w:sz w:val="24"/>
          <w:szCs w:val="24"/>
        </w:rPr>
        <w:t xml:space="preserve">are proposed </w:t>
      </w:r>
      <w:r w:rsidRPr="001C1CCB" w:rsidR="0094426E">
        <w:rPr>
          <w:rStyle w:val="normaltextrun1"/>
          <w:rFonts w:ascii="Times New Roman" w:hAnsi="Times New Roman"/>
          <w:sz w:val="24"/>
          <w:szCs w:val="24"/>
        </w:rPr>
        <w:t xml:space="preserve">wherein the proposed Mortgagee Letter </w:t>
      </w:r>
      <w:r w:rsidRPr="001C1CCB" w:rsidR="00EF354E">
        <w:rPr>
          <w:rStyle w:val="normaltextrun1"/>
          <w:rFonts w:ascii="Times New Roman" w:hAnsi="Times New Roman"/>
          <w:sz w:val="24"/>
          <w:szCs w:val="24"/>
        </w:rPr>
        <w:t>details the first such amendment.</w:t>
      </w:r>
      <w:r w:rsidRPr="001C1CCB" w:rsidR="0094426E">
        <w:rPr>
          <w:rStyle w:val="normaltextrun1"/>
          <w:rFonts w:ascii="Times New Roman" w:hAnsi="Times New Roman"/>
          <w:sz w:val="24"/>
          <w:szCs w:val="24"/>
        </w:rPr>
        <w:t xml:space="preserve"> </w:t>
      </w:r>
      <w:r w:rsidRPr="001C1CCB" w:rsidR="00737A5D">
        <w:rPr>
          <w:rStyle w:val="normaltextrun1"/>
          <w:rFonts w:ascii="Times New Roman" w:hAnsi="Times New Roman"/>
          <w:sz w:val="24"/>
          <w:szCs w:val="24"/>
        </w:rPr>
        <w:t>An intended consequence is that with each ame</w:t>
      </w:r>
      <w:r w:rsidRPr="001C1CCB" w:rsidR="002806D6">
        <w:rPr>
          <w:rStyle w:val="normaltextrun1"/>
          <w:rFonts w:ascii="Times New Roman" w:hAnsi="Times New Roman"/>
          <w:sz w:val="24"/>
          <w:szCs w:val="24"/>
        </w:rPr>
        <w:t>ndment, the expiration of the OMB Control Number will be extended to a new three</w:t>
      </w:r>
      <w:r w:rsidRPr="001C1CCB" w:rsidR="008C6638">
        <w:rPr>
          <w:rStyle w:val="normaltextrun1"/>
          <w:rFonts w:ascii="Times New Roman" w:hAnsi="Times New Roman"/>
          <w:sz w:val="24"/>
          <w:szCs w:val="24"/>
        </w:rPr>
        <w:t>-</w:t>
      </w:r>
      <w:r w:rsidRPr="001C1CCB" w:rsidR="002806D6">
        <w:rPr>
          <w:rStyle w:val="normaltextrun1"/>
          <w:rFonts w:ascii="Times New Roman" w:hAnsi="Times New Roman"/>
          <w:sz w:val="24"/>
          <w:szCs w:val="24"/>
        </w:rPr>
        <w:t>year period</w:t>
      </w:r>
      <w:r w:rsidRPr="001C1CCB" w:rsidR="00174785">
        <w:rPr>
          <w:rStyle w:val="normaltextrun1"/>
          <w:rFonts w:ascii="Times New Roman" w:hAnsi="Times New Roman"/>
          <w:sz w:val="24"/>
          <w:szCs w:val="24"/>
        </w:rPr>
        <w:t xml:space="preserve">, thus </w:t>
      </w:r>
      <w:r w:rsidRPr="001C1CCB" w:rsidR="00637C3D">
        <w:rPr>
          <w:rStyle w:val="normaltextrun1"/>
          <w:rFonts w:ascii="Times New Roman" w:hAnsi="Times New Roman"/>
          <w:sz w:val="24"/>
          <w:szCs w:val="24"/>
        </w:rPr>
        <w:t xml:space="preserve">eliminating the </w:t>
      </w:r>
      <w:r w:rsidRPr="001C1CCB" w:rsidR="00BD4E2B">
        <w:rPr>
          <w:rStyle w:val="normaltextrun1"/>
          <w:rFonts w:ascii="Times New Roman" w:hAnsi="Times New Roman"/>
          <w:sz w:val="24"/>
          <w:szCs w:val="24"/>
        </w:rPr>
        <w:t>tr</w:t>
      </w:r>
      <w:r w:rsidRPr="001C1CCB" w:rsidR="00444B90">
        <w:rPr>
          <w:rStyle w:val="normaltextrun1"/>
          <w:rFonts w:ascii="Times New Roman" w:hAnsi="Times New Roman"/>
          <w:sz w:val="24"/>
          <w:szCs w:val="24"/>
        </w:rPr>
        <w:t xml:space="preserve">iennial need for a comprehensive MAP Guide revision incorporating all changes </w:t>
      </w:r>
      <w:r w:rsidRPr="001C1CCB" w:rsidR="00536596">
        <w:rPr>
          <w:rStyle w:val="normaltextrun1"/>
          <w:rFonts w:ascii="Times New Roman" w:hAnsi="Times New Roman"/>
          <w:sz w:val="24"/>
          <w:szCs w:val="24"/>
        </w:rPr>
        <w:t xml:space="preserve">made by various intervening Mortgagee Letters or Housing Notices </w:t>
      </w:r>
      <w:r w:rsidRPr="001C1CCB" w:rsidR="00501E5B">
        <w:rPr>
          <w:rStyle w:val="normaltextrun1"/>
          <w:rFonts w:ascii="Times New Roman" w:hAnsi="Times New Roman"/>
          <w:sz w:val="24"/>
          <w:szCs w:val="24"/>
        </w:rPr>
        <w:t xml:space="preserve">as well as other changes HUD deems warranted by intervening business experience or changes in </w:t>
      </w:r>
      <w:r w:rsidRPr="001C1CCB" w:rsidR="00585451">
        <w:rPr>
          <w:rStyle w:val="normaltextrun1"/>
          <w:rFonts w:ascii="Times New Roman" w:hAnsi="Times New Roman"/>
          <w:sz w:val="24"/>
          <w:szCs w:val="24"/>
        </w:rPr>
        <w:t>multifamily business practice.</w:t>
      </w:r>
      <w:r w:rsidRPr="001C1CCB" w:rsidR="0024553E">
        <w:rPr>
          <w:rStyle w:val="normaltextrun1"/>
          <w:rFonts w:ascii="Times New Roman" w:hAnsi="Times New Roman"/>
          <w:sz w:val="24"/>
          <w:szCs w:val="24"/>
        </w:rPr>
        <w:t xml:space="preserve">  </w:t>
      </w:r>
      <w:r w:rsidRPr="001C1CCB" w:rsidR="00A107A9">
        <w:rPr>
          <w:rStyle w:val="normaltextrun1"/>
          <w:rFonts w:ascii="Times New Roman" w:hAnsi="Times New Roman"/>
          <w:sz w:val="24"/>
          <w:szCs w:val="24"/>
        </w:rPr>
        <w:t>Over time, HUD intends to consolidate the MAP Guide OMB Control Number (</w:t>
      </w:r>
      <w:r w:rsidRPr="001C1CCB" w:rsidR="00637BC1">
        <w:rPr>
          <w:rStyle w:val="normaltextrun1"/>
          <w:rFonts w:ascii="Times New Roman" w:hAnsi="Times New Roman"/>
          <w:sz w:val="24"/>
          <w:szCs w:val="24"/>
        </w:rPr>
        <w:t xml:space="preserve">2502-0541) with other control numbers for the multiple HUD forms </w:t>
      </w:r>
      <w:r w:rsidRPr="001C1CCB" w:rsidR="00EC29AB">
        <w:rPr>
          <w:rStyle w:val="normaltextrun1"/>
          <w:rFonts w:ascii="Times New Roman" w:hAnsi="Times New Roman"/>
          <w:sz w:val="24"/>
          <w:szCs w:val="24"/>
        </w:rPr>
        <w:t xml:space="preserve">used </w:t>
      </w:r>
      <w:r w:rsidRPr="001C1CCB" w:rsidR="005D63B0">
        <w:rPr>
          <w:rStyle w:val="normaltextrun1"/>
          <w:rFonts w:ascii="Times New Roman" w:hAnsi="Times New Roman"/>
          <w:sz w:val="24"/>
          <w:szCs w:val="24"/>
        </w:rPr>
        <w:t>for lender</w:t>
      </w:r>
      <w:r w:rsidRPr="001C1CCB" w:rsidR="002A3899">
        <w:rPr>
          <w:rStyle w:val="normaltextrun1"/>
          <w:rFonts w:ascii="Times New Roman" w:hAnsi="Times New Roman"/>
          <w:sz w:val="24"/>
          <w:szCs w:val="24"/>
        </w:rPr>
        <w:t>s’</w:t>
      </w:r>
      <w:r w:rsidRPr="001C1CCB" w:rsidR="00A032C0">
        <w:rPr>
          <w:rStyle w:val="normaltextrun1"/>
          <w:rFonts w:ascii="Times New Roman" w:hAnsi="Times New Roman"/>
          <w:sz w:val="24"/>
          <w:szCs w:val="24"/>
        </w:rPr>
        <w:t xml:space="preserve"> </w:t>
      </w:r>
      <w:r w:rsidRPr="001C1CCB" w:rsidR="002A3899">
        <w:rPr>
          <w:rStyle w:val="normaltextrun1"/>
          <w:rFonts w:ascii="Times New Roman" w:hAnsi="Times New Roman"/>
          <w:sz w:val="24"/>
          <w:szCs w:val="24"/>
        </w:rPr>
        <w:t>m</w:t>
      </w:r>
      <w:r w:rsidRPr="001C1CCB" w:rsidR="00EC29AB">
        <w:rPr>
          <w:rStyle w:val="normaltextrun1"/>
          <w:rFonts w:ascii="Times New Roman" w:hAnsi="Times New Roman"/>
          <w:sz w:val="24"/>
          <w:szCs w:val="24"/>
        </w:rPr>
        <w:t xml:space="preserve">ultifamily insured mortgage </w:t>
      </w:r>
      <w:r w:rsidRPr="001C1CCB" w:rsidR="00D979D3">
        <w:rPr>
          <w:rStyle w:val="normaltextrun1"/>
          <w:rFonts w:ascii="Times New Roman" w:hAnsi="Times New Roman"/>
          <w:sz w:val="24"/>
          <w:szCs w:val="24"/>
        </w:rPr>
        <w:t xml:space="preserve">applications such that amendments to the MAP </w:t>
      </w:r>
      <w:r w:rsidRPr="001C1CCB" w:rsidR="00D979D3">
        <w:rPr>
          <w:rStyle w:val="normaltextrun1"/>
          <w:rFonts w:ascii="Times New Roman" w:hAnsi="Times New Roman"/>
          <w:sz w:val="24"/>
          <w:szCs w:val="24"/>
        </w:rPr>
        <w:t xml:space="preserve">Guide and to any of </w:t>
      </w:r>
      <w:r w:rsidRPr="001C1CCB" w:rsidR="00CF3ED2">
        <w:rPr>
          <w:rStyle w:val="normaltextrun1"/>
          <w:rFonts w:ascii="Times New Roman" w:hAnsi="Times New Roman"/>
          <w:sz w:val="24"/>
          <w:szCs w:val="24"/>
        </w:rPr>
        <w:t xml:space="preserve">the forms required by the MAP Guide are </w:t>
      </w:r>
      <w:r w:rsidRPr="001C1CCB" w:rsidR="006B65F5">
        <w:rPr>
          <w:rStyle w:val="normaltextrun1"/>
          <w:rFonts w:ascii="Times New Roman" w:hAnsi="Times New Roman"/>
          <w:sz w:val="24"/>
          <w:szCs w:val="24"/>
        </w:rPr>
        <w:t xml:space="preserve">considered together, </w:t>
      </w:r>
      <w:r w:rsidRPr="001C1CCB" w:rsidR="006B65F5">
        <w:rPr>
          <w:rStyle w:val="normaltextrun1"/>
          <w:rFonts w:ascii="Times New Roman" w:hAnsi="Times New Roman"/>
          <w:sz w:val="24"/>
          <w:szCs w:val="24"/>
        </w:rPr>
        <w:t>as</w:t>
      </w:r>
      <w:r w:rsidRPr="001C1CCB" w:rsidR="006B65F5">
        <w:rPr>
          <w:rStyle w:val="normaltextrun1"/>
          <w:rFonts w:ascii="Times New Roman" w:hAnsi="Times New Roman"/>
          <w:sz w:val="24"/>
          <w:szCs w:val="24"/>
        </w:rPr>
        <w:t xml:space="preserve"> and when amendments are proposed.</w:t>
      </w:r>
    </w:p>
    <w:p w:rsidR="000379F0" w:rsidRPr="001C1CCB" w:rsidP="000E4572" w14:paraId="50805639" w14:textId="77777777">
      <w:pPr>
        <w:ind w:left="720" w:firstLine="0"/>
        <w:jc w:val="both"/>
        <w:rPr>
          <w:rStyle w:val="normaltextrun1"/>
          <w:rFonts w:ascii="Times New Roman" w:hAnsi="Times New Roman"/>
          <w:sz w:val="24"/>
          <w:szCs w:val="24"/>
        </w:rPr>
      </w:pPr>
    </w:p>
    <w:p w:rsidR="009A3109" w:rsidRPr="001C1CCB" w:rsidP="000E4572" w14:paraId="5F3D06E5" w14:textId="77777777">
      <w:pPr>
        <w:ind w:left="720" w:firstLine="0"/>
        <w:jc w:val="both"/>
        <w:rPr>
          <w:rStyle w:val="normaltextrun1"/>
          <w:rFonts w:ascii="Times New Roman" w:hAnsi="Times New Roman"/>
          <w:sz w:val="24"/>
          <w:szCs w:val="24"/>
        </w:rPr>
      </w:pPr>
    </w:p>
    <w:p w:rsidR="00F06694" w:rsidRPr="001C1CCB" w:rsidP="000E4572" w14:paraId="1FF07C7D" w14:textId="64B5FC1E">
      <w:pPr>
        <w:ind w:left="720" w:firstLine="0"/>
        <w:jc w:val="both"/>
        <w:rPr>
          <w:rFonts w:ascii="Times New Roman" w:hAnsi="Times New Roman"/>
          <w:sz w:val="24"/>
          <w:szCs w:val="24"/>
        </w:rPr>
      </w:pPr>
      <w:r w:rsidRPr="001C1CCB">
        <w:rPr>
          <w:rStyle w:val="normaltextrun1"/>
          <w:rFonts w:ascii="Times New Roman" w:hAnsi="Times New Roman"/>
          <w:sz w:val="24"/>
          <w:szCs w:val="24"/>
        </w:rPr>
        <w:t xml:space="preserve">The </w:t>
      </w:r>
      <w:r w:rsidRPr="001C1CCB" w:rsidR="00597A43">
        <w:rPr>
          <w:rStyle w:val="normaltextrun1"/>
          <w:rFonts w:ascii="Times New Roman" w:hAnsi="Times New Roman"/>
          <w:sz w:val="24"/>
          <w:szCs w:val="24"/>
        </w:rPr>
        <w:t xml:space="preserve">2020 MAP </w:t>
      </w:r>
      <w:r w:rsidRPr="001C1CCB">
        <w:rPr>
          <w:rStyle w:val="normaltextrun1"/>
          <w:rFonts w:ascii="Times New Roman" w:hAnsi="Times New Roman"/>
          <w:sz w:val="24"/>
          <w:szCs w:val="24"/>
        </w:rPr>
        <w:t xml:space="preserve">Guide </w:t>
      </w:r>
      <w:r w:rsidRPr="001C1CCB" w:rsidR="00597A43">
        <w:rPr>
          <w:rStyle w:val="normaltextrun1"/>
          <w:rFonts w:ascii="Times New Roman" w:hAnsi="Times New Roman"/>
          <w:sz w:val="24"/>
          <w:szCs w:val="24"/>
        </w:rPr>
        <w:t>was</w:t>
      </w:r>
      <w:r w:rsidRPr="001C1CCB">
        <w:rPr>
          <w:rStyle w:val="normaltextrun1"/>
          <w:rFonts w:ascii="Times New Roman" w:hAnsi="Times New Roman"/>
          <w:sz w:val="24"/>
          <w:szCs w:val="24"/>
        </w:rPr>
        <w:t xml:space="preserve"> updated to reflect various organizational, policy and processing changes implemented since the </w:t>
      </w:r>
      <w:r w:rsidRPr="001C1CCB" w:rsidR="00B7679A">
        <w:rPr>
          <w:rStyle w:val="normaltextrun1"/>
          <w:rFonts w:ascii="Times New Roman" w:hAnsi="Times New Roman"/>
          <w:sz w:val="24"/>
          <w:szCs w:val="24"/>
        </w:rPr>
        <w:t xml:space="preserve">prior </w:t>
      </w:r>
      <w:r w:rsidRPr="001C1CCB">
        <w:rPr>
          <w:rStyle w:val="normaltextrun1"/>
          <w:rFonts w:ascii="Times New Roman" w:hAnsi="Times New Roman"/>
          <w:sz w:val="24"/>
          <w:szCs w:val="24"/>
        </w:rPr>
        <w:t>edition was published in 2016.  Examples include</w:t>
      </w:r>
      <w:r w:rsidRPr="001C1CCB" w:rsidR="00C82711">
        <w:rPr>
          <w:rStyle w:val="normaltextrun1"/>
          <w:rFonts w:ascii="Times New Roman" w:hAnsi="Times New Roman"/>
          <w:sz w:val="24"/>
          <w:szCs w:val="24"/>
        </w:rPr>
        <w:t>d</w:t>
      </w:r>
      <w:r w:rsidRPr="001C1CCB">
        <w:rPr>
          <w:rStyle w:val="normaltextrun1"/>
          <w:rFonts w:ascii="Times New Roman" w:hAnsi="Times New Roman"/>
          <w:sz w:val="24"/>
          <w:szCs w:val="24"/>
        </w:rPr>
        <w:t xml:space="preserve"> electronic submission of data in a standardized format, the consolidation of HUD Field Offices to Regional Centers and Satellite Offices, workload sharing, and a “risk-based” underwriting approach.  The goal of MAP is to provide a consistent, expedited mortgage insurance application process at each HUD Multifamily Regional Center or Satellite Office.  All MAP eligible projects must be submitted using MAP processing unless a waiver is granted to process under Traditional Application Processing (TAP).  Such waiver approval authority is retained by HUD Headquarters’ Director of Multifamily Production.  Additionally, two new</w:t>
      </w:r>
      <w:r w:rsidRPr="001C1CCB">
        <w:rPr>
          <w:rFonts w:ascii="Times New Roman" w:hAnsi="Times New Roman"/>
          <w:sz w:val="24"/>
          <w:szCs w:val="24"/>
        </w:rPr>
        <w:t xml:space="preserve"> chapters were added to </w:t>
      </w:r>
      <w:r w:rsidRPr="001C1CCB" w:rsidR="008B5971">
        <w:rPr>
          <w:rFonts w:ascii="Times New Roman" w:hAnsi="Times New Roman"/>
          <w:sz w:val="24"/>
          <w:szCs w:val="24"/>
        </w:rPr>
        <w:t xml:space="preserve">the 2020 </w:t>
      </w:r>
      <w:r w:rsidRPr="001C1CCB">
        <w:rPr>
          <w:rFonts w:ascii="Times New Roman" w:hAnsi="Times New Roman"/>
          <w:sz w:val="24"/>
          <w:szCs w:val="24"/>
        </w:rPr>
        <w:t>edition of the Guide: T</w:t>
      </w:r>
      <w:r w:rsidRPr="001C1CCB">
        <w:rPr>
          <w:rStyle w:val="normaltextrun1"/>
          <w:rFonts w:ascii="Times New Roman" w:hAnsi="Times New Roman"/>
          <w:sz w:val="24"/>
          <w:szCs w:val="24"/>
        </w:rPr>
        <w:t>he Water and Energy Conservation chapter and the Closing Guide chapter.</w:t>
      </w:r>
      <w:r w:rsidRPr="001C1CCB" w:rsidR="00C073F7">
        <w:rPr>
          <w:rStyle w:val="normaltextrun1"/>
          <w:rFonts w:ascii="Times New Roman" w:hAnsi="Times New Roman"/>
          <w:sz w:val="24"/>
          <w:szCs w:val="24"/>
        </w:rPr>
        <w:t xml:space="preserve">  The </w:t>
      </w:r>
      <w:r w:rsidRPr="001C1CCB" w:rsidR="00DC034E">
        <w:rPr>
          <w:rStyle w:val="normaltextrun1"/>
          <w:rFonts w:ascii="Times New Roman" w:hAnsi="Times New Roman"/>
          <w:sz w:val="24"/>
          <w:szCs w:val="24"/>
        </w:rPr>
        <w:t xml:space="preserve">amendments now proposed concern only </w:t>
      </w:r>
      <w:r w:rsidRPr="001C1CCB" w:rsidR="008F4B73">
        <w:rPr>
          <w:rStyle w:val="normaltextrun1"/>
          <w:rFonts w:ascii="Times New Roman" w:hAnsi="Times New Roman"/>
          <w:sz w:val="24"/>
          <w:szCs w:val="24"/>
        </w:rPr>
        <w:t xml:space="preserve">a revised method for calculating “costs not attributable to dwelling units” as fully detailed </w:t>
      </w:r>
      <w:r w:rsidRPr="001C1CCB" w:rsidR="00865071">
        <w:rPr>
          <w:rStyle w:val="normaltextrun1"/>
          <w:rFonts w:ascii="Times New Roman" w:hAnsi="Times New Roman"/>
          <w:sz w:val="24"/>
          <w:szCs w:val="24"/>
        </w:rPr>
        <w:t xml:space="preserve">in the </w:t>
      </w:r>
      <w:r w:rsidRPr="001C1CCB" w:rsidR="00CF0280">
        <w:rPr>
          <w:rStyle w:val="normaltextrun1"/>
          <w:rFonts w:ascii="Times New Roman" w:hAnsi="Times New Roman"/>
          <w:sz w:val="24"/>
          <w:szCs w:val="24"/>
        </w:rPr>
        <w:t>Mortgagee Letter, attached.</w:t>
      </w:r>
    </w:p>
    <w:p w:rsidR="00E87C2C" w:rsidRPr="001C1CCB" w:rsidP="00F06694" w14:paraId="65BA25BD" w14:textId="23C1BB04">
      <w:pPr>
        <w:spacing w:before="120" w:after="120"/>
        <w:ind w:left="720" w:firstLine="0"/>
        <w:jc w:val="both"/>
        <w:rPr>
          <w:rFonts w:ascii="Times New (W1)" w:hAnsi="Times New (W1)"/>
          <w:sz w:val="24"/>
        </w:rPr>
      </w:pPr>
      <w:r w:rsidRPr="001C1CCB">
        <w:rPr>
          <w:rStyle w:val="normaltextrun1"/>
          <w:rFonts w:ascii="Times New Roman" w:hAnsi="Times New Roman"/>
          <w:sz w:val="24"/>
          <w:szCs w:val="24"/>
        </w:rPr>
        <w:t xml:space="preserve">Statutory authority for the implementation of MAP is contained in the basic insuring authority for each of the programs covered in the MAP Guide, </w:t>
      </w:r>
      <w:r w:rsidRPr="001C1CCB" w:rsidR="004B55D0">
        <w:rPr>
          <w:rStyle w:val="normaltextrun1"/>
          <w:rFonts w:ascii="Times New Roman" w:hAnsi="Times New Roman"/>
          <w:sz w:val="24"/>
          <w:szCs w:val="24"/>
        </w:rPr>
        <w:t>e.g.,</w:t>
      </w:r>
      <w:r w:rsidRPr="001C1CCB">
        <w:rPr>
          <w:rStyle w:val="normaltextrun1"/>
          <w:rFonts w:ascii="Times New Roman" w:hAnsi="Times New Roman"/>
          <w:sz w:val="24"/>
          <w:szCs w:val="24"/>
        </w:rPr>
        <w:t xml:space="preserve"> National Housing Act, 12 U.S.C. §§ 220, 221(d)(4), 231, 241(a), 223(a)(7), and 223(f).  Additionally, Section 211 of the National Housing Act and Section 7(d) of the Department of HUD Act authorize the Secretary to make such rules and regulations as may be necessary to carry out the provisions of the National Housing Act.  The FHA requirements listed in HUD regulations covering each MAP eligible program are included and more fully explained in this MAP Guide</w:t>
      </w:r>
      <w:r w:rsidRPr="001C1CCB" w:rsidR="00032F45">
        <w:rPr>
          <w:rStyle w:val="normaltextrun1"/>
          <w:rFonts w:ascii="Times New Roman" w:hAnsi="Times New Roman"/>
          <w:sz w:val="24"/>
          <w:szCs w:val="24"/>
        </w:rPr>
        <w:t>.</w:t>
      </w:r>
    </w:p>
    <w:p w:rsidR="00EA396A" w:rsidRPr="001C1CCB" w:rsidP="00864536" w14:paraId="52E7FBFD" w14:textId="4B19D6B8">
      <w:pPr>
        <w:spacing w:before="120" w:after="120"/>
        <w:ind w:left="720" w:firstLine="0"/>
        <w:jc w:val="both"/>
        <w:rPr>
          <w:rStyle w:val="normaltextrun1"/>
          <w:rFonts w:ascii="Times New Roman" w:hAnsi="Times New Roman"/>
          <w:sz w:val="24"/>
          <w:szCs w:val="24"/>
          <w:shd w:val="clear" w:color="auto" w:fill="FFFFFF"/>
        </w:rPr>
      </w:pPr>
      <w:r w:rsidRPr="001C1CCB">
        <w:rPr>
          <w:rFonts w:ascii="Times New Roman" w:hAnsi="Times New Roman"/>
          <w:sz w:val="24"/>
          <w:szCs w:val="24"/>
        </w:rPr>
        <w:t>T</w:t>
      </w:r>
      <w:r w:rsidRPr="001C1CCB">
        <w:rPr>
          <w:rStyle w:val="normaltextrun1"/>
          <w:rFonts w:ascii="Times New Roman" w:hAnsi="Times New Roman"/>
          <w:sz w:val="24"/>
          <w:szCs w:val="24"/>
        </w:rPr>
        <w:t xml:space="preserve">he MAP program requires that lenders and underwriters be skilled in underwriting multifamily housing loans and in preparing applications for FHA multifamily mortgage insurance.  To ensure that goal is met, MAP Lenders and MAP Underwriters must be approved by HUD’s Multifamily Asset and Counterparty Oversight Division (“MACOD”). </w:t>
      </w:r>
      <w:r w:rsidRPr="001C1CCB">
        <w:rPr>
          <w:rFonts w:ascii="Times New Roman" w:hAnsi="Times New Roman"/>
          <w:sz w:val="24"/>
          <w:szCs w:val="24"/>
        </w:rPr>
        <w:t xml:space="preserve"> </w:t>
      </w:r>
      <w:r w:rsidRPr="001C1CCB">
        <w:rPr>
          <w:rStyle w:val="normaltextrun1"/>
          <w:rFonts w:ascii="Times New Roman" w:hAnsi="Times New Roman"/>
          <w:sz w:val="24"/>
          <w:szCs w:val="24"/>
        </w:rPr>
        <w:t xml:space="preserve">Approval of a MAP Lender or Underwriter by MACOD is on a nationwide basis and the MAP Lender and its approved Underwriter may </w:t>
      </w:r>
      <w:r w:rsidRPr="001C1CCB" w:rsidR="00611931">
        <w:rPr>
          <w:rStyle w:val="normaltextrun1"/>
          <w:rFonts w:ascii="Times New Roman" w:hAnsi="Times New Roman"/>
          <w:sz w:val="24"/>
          <w:szCs w:val="24"/>
        </w:rPr>
        <w:t xml:space="preserve">originate and </w:t>
      </w:r>
      <w:r w:rsidRPr="001C1CCB" w:rsidR="00BB04AB">
        <w:rPr>
          <w:rStyle w:val="normaltextrun1"/>
          <w:rFonts w:ascii="Times New Roman" w:hAnsi="Times New Roman"/>
          <w:sz w:val="24"/>
          <w:szCs w:val="24"/>
        </w:rPr>
        <w:t>underwrite MAP</w:t>
      </w:r>
      <w:r w:rsidRPr="001C1CCB">
        <w:rPr>
          <w:rStyle w:val="normaltextrun1"/>
          <w:rFonts w:ascii="Times New Roman" w:hAnsi="Times New Roman"/>
          <w:sz w:val="24"/>
          <w:szCs w:val="24"/>
        </w:rPr>
        <w:t xml:space="preserve"> loans regardless of which HUD area office will review the MAP application.  MAP approval does not expire, but by accepting the opportunity to participate in the MAP program, the MAP Lender and Underwriter agree that their MAP loans will be subject to post-endorsement review by MACOD and that, if they fail to meet HUD standards for underwriting loans, their MAP designation may be terminated in accordance with </w:t>
      </w:r>
      <w:r w:rsidRPr="001C1CCB">
        <w:rPr>
          <w:rStyle w:val="normaltextrun1"/>
          <w:rFonts w:ascii="Times New Roman" w:hAnsi="Times New Roman"/>
          <w:sz w:val="24"/>
          <w:szCs w:val="24"/>
          <w:shd w:val="clear" w:color="auto" w:fill="FFFFFF"/>
        </w:rPr>
        <w:t xml:space="preserve">the Quality Assurance and Enforcement Actions Chapter.  </w:t>
      </w:r>
    </w:p>
    <w:p w:rsidR="00A15357" w:rsidRPr="001C1CCB" w:rsidP="00EA396A" w14:paraId="1C3A5D2D" w14:textId="6A0F4401">
      <w:pPr>
        <w:spacing w:before="120" w:after="120"/>
        <w:ind w:left="720" w:firstLine="0"/>
        <w:jc w:val="both"/>
        <w:rPr>
          <w:rFonts w:ascii="Times New Roman" w:hAnsi="Times New Roman"/>
          <w:spacing w:val="4"/>
          <w:sz w:val="24"/>
          <w:szCs w:val="24"/>
          <w:shd w:val="clear" w:color="auto" w:fill="FFFFFF"/>
        </w:rPr>
      </w:pPr>
      <w:r w:rsidRPr="001C1CCB">
        <w:rPr>
          <w:rStyle w:val="normaltextrun1"/>
          <w:rFonts w:ascii="Times New Roman" w:hAnsi="Times New Roman"/>
          <w:sz w:val="24"/>
          <w:szCs w:val="24"/>
        </w:rPr>
        <w:t>Approval by MACOD as a MAP Lender is a prerequisite to participation in the MAP program, but MAP approval does not obviate the need to have an experienced team process each application. The MAP Lender is responsible for ensuring that all third</w:t>
      </w:r>
      <w:r w:rsidRPr="001C1CCB" w:rsidR="00C43710">
        <w:rPr>
          <w:rStyle w:val="normaltextrun1"/>
          <w:rFonts w:ascii="Times New Roman" w:hAnsi="Times New Roman"/>
          <w:sz w:val="24"/>
          <w:szCs w:val="24"/>
        </w:rPr>
        <w:t>-</w:t>
      </w:r>
      <w:r w:rsidRPr="001C1CCB">
        <w:rPr>
          <w:rStyle w:val="normaltextrun1"/>
          <w:rFonts w:ascii="Times New Roman" w:hAnsi="Times New Roman"/>
          <w:sz w:val="24"/>
          <w:szCs w:val="24"/>
        </w:rPr>
        <w:t>party contractors meet the requirements outlined in the MAP Guide, including the USPAP appraiser competency provision and jurisdictional certification requirements, and that</w:t>
      </w:r>
      <w:r w:rsidRPr="001C1CCB" w:rsidR="005D7B8A">
        <w:rPr>
          <w:rStyle w:val="normaltextrun1"/>
          <w:rFonts w:ascii="Times New Roman" w:hAnsi="Times New Roman"/>
          <w:sz w:val="24"/>
          <w:szCs w:val="24"/>
        </w:rPr>
        <w:t>-</w:t>
      </w:r>
      <w:r w:rsidRPr="001C1CCB">
        <w:rPr>
          <w:rStyle w:val="normaltextrun1"/>
          <w:rFonts w:ascii="Times New Roman" w:hAnsi="Times New Roman"/>
          <w:sz w:val="24"/>
          <w:szCs w:val="24"/>
        </w:rPr>
        <w:t>third party contractors do not have any identity of interest with the Borrower/sponsor or any affiliated entity. If the HUD office has concerns regarding the MAP Lender’s, its Underwriter’s or its third-party contractor’s past performance or capabilities, the office consults with MACOD for additional monitoring or for a potential enforcement action</w:t>
      </w:r>
      <w:r w:rsidRPr="001C1CCB" w:rsidR="00763ED0">
        <w:rPr>
          <w:rStyle w:val="normaltextrun1"/>
          <w:rFonts w:ascii="Times New Roman" w:hAnsi="Times New Roman"/>
          <w:sz w:val="24"/>
          <w:szCs w:val="24"/>
        </w:rPr>
        <w:t>.</w:t>
      </w:r>
    </w:p>
    <w:p w:rsidR="004A0F2B" w:rsidRPr="001C1CCB" w:rsidP="004A0F2B" w14:paraId="6BEA6998" w14:textId="255D2553">
      <w:pPr>
        <w:spacing w:before="120" w:after="120"/>
        <w:ind w:left="720" w:firstLine="0"/>
        <w:jc w:val="both"/>
        <w:rPr>
          <w:rFonts w:ascii="Times New (W1)" w:hAnsi="Times New (W1)"/>
          <w:sz w:val="24"/>
        </w:rPr>
      </w:pPr>
      <w:r w:rsidRPr="001C1CCB">
        <w:rPr>
          <w:rFonts w:ascii="Times New (W1)" w:hAnsi="Times New (W1)"/>
          <w:sz w:val="24"/>
        </w:rPr>
        <w:t>Multiple</w:t>
      </w:r>
      <w:r w:rsidRPr="001C1CCB">
        <w:rPr>
          <w:rFonts w:ascii="Times New (W1)" w:hAnsi="Times New (W1)"/>
          <w:sz w:val="24"/>
        </w:rPr>
        <w:t xml:space="preserve"> HUD Forms are referenced throughout the MAP Guide.  This collection uses the following Forms that are covered under other information collections listed below for the FHA multifamily mortgage insurance application process.  These Forms used in the application process include gathering, retention, recordkeeping, and reporting.  The Department continues to work on instruments for the MAP Guide under other collections.   Listed below are the Forms and their OMB Approval numbers:</w:t>
      </w:r>
    </w:p>
    <w:p w:rsidR="00CD29DE" w:rsidRPr="001C1CCB" w:rsidP="00CD29DE" w14:paraId="72CBF078" w14:textId="48F09CA2">
      <w:pPr>
        <w:ind w:left="360"/>
        <w:jc w:val="both"/>
        <w:rPr>
          <w:rFonts w:ascii="Times New (W1)" w:hAnsi="Times New (W1)"/>
          <w:b/>
          <w:sz w:val="20"/>
          <w:szCs w:val="20"/>
        </w:rPr>
      </w:pPr>
      <w:r w:rsidRPr="001C1CCB">
        <w:rPr>
          <w:rFonts w:ascii="Times New (W1)" w:hAnsi="Times New (W1)"/>
          <w:b/>
          <w:sz w:val="20"/>
          <w:szCs w:val="20"/>
        </w:rPr>
        <w:tab/>
      </w:r>
    </w:p>
    <w:p w:rsidR="00CD29DE" w:rsidRPr="001C1CCB" w:rsidP="00CD29DE" w14:paraId="14D52355" w14:textId="77777777">
      <w:pPr>
        <w:ind w:left="360"/>
        <w:jc w:val="both"/>
        <w:rPr>
          <w:rFonts w:ascii="Times New (W1)" w:hAnsi="Times New (W1)"/>
          <w:b/>
          <w:sz w:val="20"/>
          <w:szCs w:val="20"/>
        </w:rPr>
      </w:pPr>
      <w:r w:rsidRPr="001C1CCB">
        <w:rPr>
          <w:rFonts w:ascii="Times New (W1)" w:hAnsi="Times New (W1)"/>
          <w:b/>
          <w:sz w:val="20"/>
          <w:szCs w:val="20"/>
        </w:rPr>
        <w:t>OMB Approval No. 2502-0005 – HUD 92201-A</w:t>
      </w:r>
    </w:p>
    <w:p w:rsidR="00CD29DE" w:rsidRPr="001C1CCB" w:rsidP="008E369A" w14:paraId="0EAE8E25" w14:textId="2B690137">
      <w:pPr>
        <w:ind w:left="360"/>
        <w:jc w:val="both"/>
        <w:rPr>
          <w:rFonts w:ascii="Times New (W1)" w:hAnsi="Times New (W1)"/>
          <w:b/>
          <w:sz w:val="20"/>
          <w:szCs w:val="20"/>
        </w:rPr>
      </w:pPr>
      <w:r w:rsidRPr="001C1CCB">
        <w:rPr>
          <w:rFonts w:ascii="Times New (W1)" w:hAnsi="Times New (W1)"/>
          <w:b/>
          <w:sz w:val="20"/>
          <w:szCs w:val="20"/>
        </w:rPr>
        <w:t>OMB Approval No. 2501-0009 – HUD 11</w:t>
      </w:r>
    </w:p>
    <w:p w:rsidR="00CD29DE" w:rsidRPr="001C1CCB" w:rsidP="00CD29DE" w14:paraId="598FE374" w14:textId="77777777">
      <w:pPr>
        <w:ind w:left="360"/>
        <w:jc w:val="both"/>
        <w:rPr>
          <w:rFonts w:ascii="Times New (W1)" w:hAnsi="Times New (W1)"/>
          <w:b/>
          <w:sz w:val="20"/>
          <w:szCs w:val="20"/>
        </w:rPr>
      </w:pPr>
      <w:r w:rsidRPr="001C1CCB">
        <w:rPr>
          <w:rFonts w:ascii="Times New (W1)" w:hAnsi="Times New (W1)"/>
          <w:b/>
          <w:sz w:val="20"/>
          <w:szCs w:val="20"/>
        </w:rPr>
        <w:t>OMB Approval No. 2529-0013 – HUD 935.2A</w:t>
      </w:r>
    </w:p>
    <w:p w:rsidR="00CD29DE" w:rsidRPr="001C1CCB" w:rsidP="00CD29DE" w14:paraId="0015B3F5" w14:textId="77777777">
      <w:pPr>
        <w:ind w:left="360"/>
        <w:jc w:val="both"/>
        <w:rPr>
          <w:rFonts w:ascii="Times New (W1)" w:hAnsi="Times New (W1)"/>
          <w:b/>
          <w:sz w:val="20"/>
          <w:szCs w:val="20"/>
        </w:rPr>
      </w:pPr>
    </w:p>
    <w:p w:rsidR="00CD29DE" w:rsidRPr="001C1CCB" w:rsidP="00CD29DE" w14:paraId="5BA5772C" w14:textId="77777777">
      <w:pPr>
        <w:ind w:left="360"/>
        <w:jc w:val="both"/>
        <w:rPr>
          <w:rFonts w:ascii="Times New (W1)" w:hAnsi="Times New (W1)"/>
          <w:b/>
          <w:sz w:val="20"/>
          <w:szCs w:val="20"/>
        </w:rPr>
      </w:pPr>
    </w:p>
    <w:p w:rsidR="00CD29DE" w:rsidRPr="001C1CCB" w:rsidP="00CD29DE" w14:paraId="75D9C386" w14:textId="77777777">
      <w:pPr>
        <w:ind w:left="360"/>
        <w:jc w:val="both"/>
        <w:rPr>
          <w:rFonts w:ascii="Times New (W1)" w:hAnsi="Times New (W1)"/>
          <w:b/>
          <w:sz w:val="20"/>
          <w:szCs w:val="20"/>
        </w:rPr>
      </w:pPr>
    </w:p>
    <w:p w:rsidR="00CD29DE" w:rsidRPr="001C1CCB" w:rsidP="00CA5039" w14:paraId="3E2EF2C7" w14:textId="77777777">
      <w:pPr>
        <w:ind w:left="720" w:firstLine="0"/>
        <w:jc w:val="both"/>
        <w:rPr>
          <w:rFonts w:ascii="Times New (W1)" w:hAnsi="Times New (W1)"/>
          <w:b/>
          <w:sz w:val="20"/>
          <w:szCs w:val="20"/>
        </w:rPr>
      </w:pPr>
      <w:r w:rsidRPr="001C1CCB">
        <w:rPr>
          <w:rFonts w:ascii="Times New (W1)" w:hAnsi="Times New (W1)"/>
          <w:b/>
          <w:sz w:val="20"/>
          <w:szCs w:val="20"/>
        </w:rPr>
        <w:t>OMB Approval No. 2502-0029 –   Multifamily Project Application (MAP) and Construction Prior to Initial Endorsement</w:t>
      </w:r>
    </w:p>
    <w:p w:rsidR="00CD29DE" w:rsidRPr="001C1CCB" w:rsidP="00CD29DE" w14:paraId="47E4865B" w14:textId="77777777">
      <w:pPr>
        <w:ind w:left="360"/>
        <w:jc w:val="both"/>
        <w:rPr>
          <w:rFonts w:ascii="Times New (W1)" w:hAnsi="Times New (W1)"/>
          <w:b/>
          <w:sz w:val="20"/>
          <w:szCs w:val="20"/>
        </w:rPr>
      </w:pPr>
      <w:r w:rsidRPr="001C1CCB">
        <w:rPr>
          <w:rFonts w:ascii="Times New (W1)" w:hAnsi="Times New (W1)"/>
          <w:b/>
          <w:sz w:val="20"/>
          <w:szCs w:val="20"/>
        </w:rPr>
        <w:t>OMB Approval No. 2502-0112 – HUD 92330</w:t>
      </w:r>
    </w:p>
    <w:p w:rsidR="00CD29DE" w:rsidRPr="001C1CCB" w:rsidP="00CD29DE" w14:paraId="06550270" w14:textId="77777777">
      <w:pPr>
        <w:ind w:left="360"/>
        <w:jc w:val="both"/>
        <w:rPr>
          <w:rFonts w:ascii="Times New (W1)" w:hAnsi="Times New (W1)"/>
          <w:b/>
          <w:sz w:val="20"/>
          <w:szCs w:val="20"/>
        </w:rPr>
      </w:pPr>
      <w:r w:rsidRPr="001C1CCB">
        <w:rPr>
          <w:rFonts w:ascii="Times New (W1)" w:hAnsi="Times New (W1)"/>
          <w:b/>
          <w:sz w:val="20"/>
          <w:szCs w:val="20"/>
        </w:rPr>
        <w:t>OMB Approval No. 2502-0305 – HUD 9832; HUD 9839B; HUD 9839C</w:t>
      </w:r>
    </w:p>
    <w:p w:rsidR="00CD29DE" w:rsidRPr="001C1CCB" w:rsidP="00CD29DE" w14:paraId="40A61390" w14:textId="77777777">
      <w:pPr>
        <w:ind w:left="360"/>
        <w:jc w:val="both"/>
        <w:rPr>
          <w:rFonts w:ascii="Times New (W1)" w:hAnsi="Times New (W1)"/>
          <w:b/>
          <w:sz w:val="20"/>
          <w:szCs w:val="20"/>
        </w:rPr>
      </w:pPr>
      <w:r w:rsidRPr="001C1CCB">
        <w:rPr>
          <w:rFonts w:ascii="Times New (W1)" w:hAnsi="Times New (W1)"/>
          <w:b/>
          <w:sz w:val="20"/>
          <w:szCs w:val="20"/>
        </w:rPr>
        <w:t>OMB Approval No. 2502-0505 – Capital Needs Assessment CNA e-Tool</w:t>
      </w:r>
    </w:p>
    <w:p w:rsidR="00CD29DE" w:rsidRPr="001C1CCB" w:rsidP="00CD29DE" w14:paraId="1EFE2336" w14:textId="77777777">
      <w:pPr>
        <w:ind w:left="360"/>
        <w:jc w:val="both"/>
        <w:rPr>
          <w:rFonts w:ascii="Times New (W1)" w:hAnsi="Times New (W1)"/>
          <w:b/>
          <w:sz w:val="20"/>
          <w:szCs w:val="20"/>
        </w:rPr>
      </w:pPr>
      <w:r w:rsidRPr="001C1CCB">
        <w:rPr>
          <w:rFonts w:ascii="Times New (W1)" w:hAnsi="Times New (W1)"/>
          <w:b/>
          <w:sz w:val="20"/>
          <w:szCs w:val="20"/>
        </w:rPr>
        <w:t xml:space="preserve">OMB Approval No. </w:t>
      </w:r>
      <w:r w:rsidRPr="001C1CCB">
        <w:rPr>
          <w:rFonts w:ascii="Times New (W1)" w:hAnsi="Times New (W1)"/>
          <w:b/>
          <w:bCs/>
          <w:sz w:val="20"/>
          <w:szCs w:val="20"/>
        </w:rPr>
        <w:t>2502-0598</w:t>
      </w:r>
      <w:r w:rsidRPr="001C1CCB">
        <w:rPr>
          <w:rFonts w:ascii="Times New (W1)" w:hAnsi="Times New (W1)"/>
          <w:b/>
          <w:sz w:val="20"/>
          <w:szCs w:val="20"/>
        </w:rPr>
        <w:t xml:space="preserve"> - Multifamily Closing Document PRA collection</w:t>
      </w:r>
    </w:p>
    <w:p w:rsidR="00CD29DE" w:rsidRPr="001C1CCB" w:rsidP="00CD29DE" w14:paraId="16999B0C" w14:textId="77777777">
      <w:pPr>
        <w:ind w:left="360"/>
        <w:jc w:val="both"/>
        <w:rPr>
          <w:rFonts w:ascii="Times New (W1)" w:hAnsi="Times New (W1)"/>
          <w:b/>
          <w:sz w:val="20"/>
          <w:szCs w:val="20"/>
        </w:rPr>
      </w:pPr>
      <w:r w:rsidRPr="001C1CCB">
        <w:rPr>
          <w:rFonts w:ascii="Times New (W1)" w:hAnsi="Times New (W1)"/>
          <w:b/>
          <w:sz w:val="20"/>
          <w:szCs w:val="20"/>
        </w:rPr>
        <w:t>OMB Approval No. 2506-0202 - HUD Environmental Review Online System (HEROS)</w:t>
      </w:r>
    </w:p>
    <w:p w:rsidR="00CD29DE" w:rsidRPr="001C1CCB" w:rsidP="00CD29DE" w14:paraId="1DDDD954" w14:textId="3BC1C36D">
      <w:pPr>
        <w:ind w:left="360"/>
        <w:jc w:val="both"/>
        <w:rPr>
          <w:rFonts w:ascii="Times New (W1)" w:hAnsi="Times New (W1)"/>
          <w:b/>
          <w:sz w:val="20"/>
          <w:szCs w:val="20"/>
        </w:rPr>
      </w:pPr>
      <w:r w:rsidRPr="001C1CCB">
        <w:rPr>
          <w:rFonts w:ascii="Times New (W1)" w:hAnsi="Times New (W1)"/>
          <w:b/>
          <w:sz w:val="20"/>
          <w:szCs w:val="20"/>
        </w:rPr>
        <w:t>OMB Approval No. 2060-0347 – Portfolio Manager (EPA) Related to energy usage and consumption characteristics</w:t>
      </w:r>
    </w:p>
    <w:p w:rsidR="00560B28" w:rsidRPr="001C1CCB" w:rsidP="00CD29DE" w14:paraId="13730EFB" w14:textId="6F744A39">
      <w:pPr>
        <w:ind w:left="360"/>
        <w:jc w:val="both"/>
        <w:rPr>
          <w:rFonts w:ascii="Times New (W1)" w:hAnsi="Times New (W1)"/>
          <w:b/>
          <w:sz w:val="20"/>
          <w:szCs w:val="20"/>
        </w:rPr>
      </w:pPr>
      <w:r w:rsidRPr="001C1CCB">
        <w:rPr>
          <w:rFonts w:ascii="Times New (W1)" w:hAnsi="Times New (W1)"/>
          <w:b/>
          <w:sz w:val="20"/>
          <w:szCs w:val="20"/>
        </w:rPr>
        <w:t xml:space="preserve">OMB Approval No. </w:t>
      </w:r>
      <w:r w:rsidRPr="001C1CCB" w:rsidR="00C0321F">
        <w:rPr>
          <w:rFonts w:ascii="Times New (W1)" w:hAnsi="Times New (W1)"/>
          <w:b/>
          <w:sz w:val="20"/>
          <w:szCs w:val="20"/>
        </w:rPr>
        <w:t>2502-0620 – Catalyst Multifamily Application Portal</w:t>
      </w:r>
    </w:p>
    <w:p w:rsidR="00421F93" w:rsidRPr="001C1CCB" w:rsidP="004A0F2B" w14:paraId="1BD0109D" w14:textId="1B3DF653">
      <w:pPr>
        <w:ind w:left="720" w:firstLine="0"/>
        <w:jc w:val="both"/>
        <w:rPr>
          <w:rFonts w:ascii="Times New (W1)" w:hAnsi="Times New (W1)"/>
          <w:sz w:val="20"/>
          <w:szCs w:val="20"/>
        </w:rPr>
      </w:pPr>
    </w:p>
    <w:p w:rsidR="001B0B9C" w:rsidRPr="001C1CCB" w:rsidP="004A0F2B" w14:paraId="331F8467" w14:textId="2DDE8FBB">
      <w:pPr>
        <w:ind w:left="720" w:firstLine="0"/>
        <w:jc w:val="both"/>
        <w:rPr>
          <w:rFonts w:ascii="Times New (W1)" w:hAnsi="Times New (W1)"/>
          <w:sz w:val="24"/>
          <w:szCs w:val="24"/>
        </w:rPr>
      </w:pPr>
      <w:r w:rsidRPr="001C1CCB">
        <w:rPr>
          <w:rFonts w:ascii="Times New (W1)" w:hAnsi="Times New (W1)"/>
          <w:sz w:val="24"/>
          <w:szCs w:val="24"/>
        </w:rPr>
        <w:t>As</w:t>
      </w:r>
      <w:r w:rsidRPr="001C1CCB" w:rsidR="000A2149">
        <w:rPr>
          <w:rFonts w:ascii="Times New (W1)" w:hAnsi="Times New (W1)"/>
          <w:sz w:val="24"/>
          <w:szCs w:val="24"/>
        </w:rPr>
        <w:t xml:space="preserve"> noted</w:t>
      </w:r>
      <w:r w:rsidRPr="001C1CCB" w:rsidR="00986315">
        <w:rPr>
          <w:rFonts w:ascii="Times New (W1)" w:hAnsi="Times New (W1)"/>
          <w:sz w:val="24"/>
          <w:szCs w:val="24"/>
        </w:rPr>
        <w:t xml:space="preserve">, HUD intends over time </w:t>
      </w:r>
      <w:r w:rsidRPr="001C1CCB" w:rsidR="00F96764">
        <w:rPr>
          <w:rFonts w:ascii="Times New (W1)" w:hAnsi="Times New (W1)"/>
          <w:sz w:val="24"/>
          <w:szCs w:val="24"/>
        </w:rPr>
        <w:t xml:space="preserve">and where possible </w:t>
      </w:r>
      <w:r w:rsidRPr="001C1CCB" w:rsidR="00986315">
        <w:rPr>
          <w:rFonts w:ascii="Times New (W1)" w:hAnsi="Times New (W1)"/>
          <w:sz w:val="24"/>
          <w:szCs w:val="24"/>
        </w:rPr>
        <w:t xml:space="preserve">to consolidate the MAP Guide </w:t>
      </w:r>
      <w:r w:rsidRPr="001C1CCB" w:rsidR="00CE3D46">
        <w:rPr>
          <w:rFonts w:ascii="Times New (W1)" w:hAnsi="Times New (W1)"/>
          <w:sz w:val="24"/>
          <w:szCs w:val="24"/>
        </w:rPr>
        <w:t xml:space="preserve">with </w:t>
      </w:r>
      <w:r w:rsidRPr="001C1CCB" w:rsidR="00F96764">
        <w:rPr>
          <w:rFonts w:ascii="Times New (W1)" w:hAnsi="Times New (W1)"/>
          <w:sz w:val="24"/>
          <w:szCs w:val="24"/>
        </w:rPr>
        <w:t xml:space="preserve">the forms </w:t>
      </w:r>
      <w:r w:rsidRPr="001C1CCB" w:rsidR="00B17608">
        <w:rPr>
          <w:rFonts w:ascii="Times New (W1)" w:hAnsi="Times New (W1)"/>
          <w:sz w:val="24"/>
          <w:szCs w:val="24"/>
        </w:rPr>
        <w:t xml:space="preserve">the Guide requires </w:t>
      </w:r>
      <w:r w:rsidRPr="001C1CCB" w:rsidR="00B17608">
        <w:rPr>
          <w:rFonts w:ascii="Times New (W1)" w:hAnsi="Times New (W1)"/>
          <w:sz w:val="24"/>
          <w:szCs w:val="24"/>
        </w:rPr>
        <w:t>so as to</w:t>
      </w:r>
      <w:r w:rsidRPr="001C1CCB" w:rsidR="00B17608">
        <w:rPr>
          <w:rFonts w:ascii="Times New (W1)" w:hAnsi="Times New (W1)"/>
          <w:sz w:val="24"/>
          <w:szCs w:val="24"/>
        </w:rPr>
        <w:t xml:space="preserve"> facilitate more coordinated </w:t>
      </w:r>
      <w:r w:rsidRPr="001C1CCB" w:rsidR="00815477">
        <w:rPr>
          <w:rFonts w:ascii="Times New (W1)" w:hAnsi="Times New (W1)"/>
          <w:sz w:val="24"/>
          <w:szCs w:val="24"/>
        </w:rPr>
        <w:t>review and periodic amendments.</w:t>
      </w:r>
    </w:p>
    <w:p w:rsidR="001B0B9C" w:rsidRPr="001C1CCB" w:rsidP="004A0F2B" w14:paraId="08917F3E" w14:textId="77777777">
      <w:pPr>
        <w:ind w:left="720" w:firstLine="0"/>
        <w:jc w:val="both"/>
        <w:rPr>
          <w:rFonts w:ascii="Times New (W1)" w:hAnsi="Times New (W1)"/>
          <w:sz w:val="20"/>
          <w:szCs w:val="20"/>
        </w:rPr>
      </w:pPr>
    </w:p>
    <w:p w:rsidR="00BF0145" w:rsidRPr="001C1CCB" w:rsidP="00864536" w14:paraId="714A73C0" w14:textId="77777777">
      <w:pPr>
        <w:spacing w:before="120"/>
        <w:ind w:left="720" w:hanging="360"/>
        <w:jc w:val="both"/>
        <w:rPr>
          <w:rFonts w:ascii="Times New (W1)" w:hAnsi="Times New (W1)"/>
          <w:sz w:val="24"/>
        </w:rPr>
      </w:pPr>
      <w:r w:rsidRPr="001C1CCB">
        <w:rPr>
          <w:rFonts w:ascii="Times New (W1)" w:hAnsi="Times New (W1)"/>
          <w:sz w:val="24"/>
        </w:rPr>
        <w:t>2.</w:t>
      </w:r>
      <w:r w:rsidRPr="001C1CCB">
        <w:rPr>
          <w:rFonts w:ascii="Times New (W1)" w:hAnsi="Times New (W1)"/>
          <w:sz w:val="24"/>
        </w:rPr>
        <w:tab/>
      </w:r>
      <w:r w:rsidRPr="001C1CCB">
        <w:rPr>
          <w:rFonts w:ascii="Times New (W1)" w:hAnsi="Times New (W1)"/>
          <w:sz w:val="24"/>
          <w:u w:val="single"/>
        </w:rPr>
        <w:t>By whom, and for what purpose is the information to be used</w:t>
      </w:r>
      <w:r w:rsidRPr="001C1CCB">
        <w:rPr>
          <w:rFonts w:ascii="Times New (W1)" w:hAnsi="Times New (W1)"/>
          <w:sz w:val="24"/>
        </w:rPr>
        <w:t>?</w:t>
      </w:r>
    </w:p>
    <w:p w:rsidR="00B23305" w:rsidRPr="001C1CCB" w:rsidP="00DA6041" w14:paraId="7D0A3F10" w14:textId="561FF968">
      <w:pPr>
        <w:spacing w:before="120" w:after="120"/>
        <w:ind w:left="720" w:firstLine="0"/>
        <w:jc w:val="both"/>
        <w:rPr>
          <w:rFonts w:ascii="Times New (W1)" w:hAnsi="Times New (W1)"/>
          <w:sz w:val="24"/>
        </w:rPr>
      </w:pPr>
      <w:r w:rsidRPr="001C1CCB">
        <w:rPr>
          <w:rFonts w:ascii="Times New (W1)" w:hAnsi="Times New (W1)"/>
          <w:sz w:val="24"/>
        </w:rPr>
        <w:t xml:space="preserve">This MAP Guide outlines the basic instructions, requirements, and processing procedures for a multifamily rental project loan application from the pre-application phase of processing through firm commitment issuance, </w:t>
      </w:r>
      <w:r w:rsidRPr="001C1CCB" w:rsidR="008E085F">
        <w:rPr>
          <w:rFonts w:ascii="Times New (W1)" w:hAnsi="Times New (W1)"/>
          <w:sz w:val="24"/>
        </w:rPr>
        <w:t xml:space="preserve">and </w:t>
      </w:r>
      <w:r w:rsidRPr="001C1CCB" w:rsidR="004A32F9">
        <w:rPr>
          <w:rFonts w:ascii="Times New (W1)" w:hAnsi="Times New (W1)"/>
          <w:sz w:val="24"/>
        </w:rPr>
        <w:t>endorsement</w:t>
      </w:r>
      <w:r w:rsidRPr="001C1CCB" w:rsidR="002C102D">
        <w:rPr>
          <w:rFonts w:ascii="Times New (W1)" w:hAnsi="Times New (W1)"/>
          <w:sz w:val="24"/>
        </w:rPr>
        <w:t xml:space="preserve"> (aka, “closing</w:t>
      </w:r>
      <w:r w:rsidRPr="001C1CCB" w:rsidR="00BB04AB">
        <w:rPr>
          <w:rFonts w:ascii="Times New (W1)" w:hAnsi="Times New (W1)"/>
          <w:sz w:val="24"/>
        </w:rPr>
        <w:t>”) of</w:t>
      </w:r>
      <w:r w:rsidRPr="001C1CCB" w:rsidR="004A32F9">
        <w:rPr>
          <w:rFonts w:ascii="Times New (W1)" w:hAnsi="Times New (W1)"/>
          <w:sz w:val="24"/>
        </w:rPr>
        <w:t xml:space="preserve"> the loan for FHA insurance.  For </w:t>
      </w:r>
      <w:r w:rsidRPr="001C1CCB" w:rsidR="003C3741">
        <w:rPr>
          <w:rFonts w:ascii="Times New (W1)" w:hAnsi="Times New (W1)"/>
          <w:sz w:val="24"/>
        </w:rPr>
        <w:t xml:space="preserve">refinance or acquisition </w:t>
      </w:r>
      <w:r w:rsidRPr="001C1CCB" w:rsidR="0020663F">
        <w:rPr>
          <w:rFonts w:ascii="Times New (W1)" w:hAnsi="Times New (W1)"/>
          <w:sz w:val="24"/>
        </w:rPr>
        <w:t>(purchase) loans for existing projects a single endorseme</w:t>
      </w:r>
      <w:r w:rsidRPr="001C1CCB" w:rsidR="002C102D">
        <w:rPr>
          <w:rFonts w:ascii="Times New (W1)" w:hAnsi="Times New (W1)"/>
          <w:sz w:val="24"/>
        </w:rPr>
        <w:t>nt</w:t>
      </w:r>
      <w:r w:rsidRPr="001C1CCB" w:rsidR="00A06455">
        <w:rPr>
          <w:rFonts w:ascii="Times New (W1)" w:hAnsi="Times New (W1)"/>
          <w:sz w:val="24"/>
        </w:rPr>
        <w:t xml:space="preserve"> follows a Firm Commitment</w:t>
      </w:r>
      <w:r w:rsidRPr="001C1CCB" w:rsidR="00153BB4">
        <w:rPr>
          <w:rFonts w:ascii="Times New (W1)" w:hAnsi="Times New (W1)"/>
          <w:sz w:val="24"/>
        </w:rPr>
        <w:t xml:space="preserve"> with a repair escrow funded </w:t>
      </w:r>
      <w:r w:rsidRPr="001C1CCB" w:rsidR="00306EA8">
        <w:rPr>
          <w:rFonts w:ascii="Times New (W1)" w:hAnsi="Times New (W1)"/>
          <w:sz w:val="24"/>
        </w:rPr>
        <w:t xml:space="preserve">to pay </w:t>
      </w:r>
      <w:r w:rsidRPr="001C1CCB" w:rsidR="00153BB4">
        <w:rPr>
          <w:rFonts w:ascii="Times New (W1)" w:hAnsi="Times New (W1)"/>
          <w:sz w:val="24"/>
        </w:rPr>
        <w:t xml:space="preserve">for any </w:t>
      </w:r>
      <w:r w:rsidRPr="001C1CCB" w:rsidR="00306EA8">
        <w:rPr>
          <w:rFonts w:ascii="Times New (W1)" w:hAnsi="Times New (W1)"/>
          <w:sz w:val="24"/>
        </w:rPr>
        <w:t xml:space="preserve">pending </w:t>
      </w:r>
      <w:r w:rsidRPr="001C1CCB" w:rsidR="00153BB4">
        <w:rPr>
          <w:rFonts w:ascii="Times New (W1)" w:hAnsi="Times New (W1)"/>
          <w:sz w:val="24"/>
        </w:rPr>
        <w:t>repairs or alterations deemed necessary</w:t>
      </w:r>
      <w:r w:rsidRPr="001C1CCB" w:rsidR="002D7D17">
        <w:rPr>
          <w:rFonts w:ascii="Times New (W1)" w:hAnsi="Times New (W1)"/>
          <w:sz w:val="24"/>
        </w:rPr>
        <w:t xml:space="preserve"> as a condition HUD’s Firm Commitment.  </w:t>
      </w:r>
      <w:r w:rsidRPr="001C1CCB" w:rsidR="009472CD">
        <w:rPr>
          <w:rFonts w:ascii="Times New (W1)" w:hAnsi="Times New (W1)"/>
          <w:sz w:val="24"/>
        </w:rPr>
        <w:t xml:space="preserve">For </w:t>
      </w:r>
      <w:r w:rsidRPr="001C1CCB">
        <w:rPr>
          <w:rFonts w:ascii="Times New (W1)" w:hAnsi="Times New (W1)"/>
          <w:sz w:val="24"/>
        </w:rPr>
        <w:t>construction</w:t>
      </w:r>
      <w:r w:rsidRPr="001C1CCB" w:rsidR="009472CD">
        <w:rPr>
          <w:rFonts w:ascii="Times New (W1)" w:hAnsi="Times New (W1)"/>
          <w:sz w:val="24"/>
        </w:rPr>
        <w:t xml:space="preserve"> loans</w:t>
      </w:r>
      <w:r w:rsidRPr="001C1CCB">
        <w:rPr>
          <w:rFonts w:ascii="Times New (W1)" w:hAnsi="Times New (W1)"/>
          <w:sz w:val="24"/>
        </w:rPr>
        <w:t xml:space="preserve">, </w:t>
      </w:r>
      <w:r w:rsidRPr="001C1CCB" w:rsidR="007758D6">
        <w:rPr>
          <w:rFonts w:ascii="Times New (W1)" w:hAnsi="Times New (W1)"/>
          <w:sz w:val="24"/>
        </w:rPr>
        <w:t>the Firm Commitment is followed by an initial endorsement</w:t>
      </w:r>
      <w:r w:rsidRPr="001C1CCB" w:rsidR="009A0E21">
        <w:rPr>
          <w:rFonts w:ascii="Times New (W1)" w:hAnsi="Times New (W1)"/>
          <w:sz w:val="24"/>
        </w:rPr>
        <w:t xml:space="preserve">, followed by </w:t>
      </w:r>
      <w:r w:rsidRPr="001C1CCB" w:rsidR="00ED0AF6">
        <w:rPr>
          <w:rFonts w:ascii="Times New (W1)" w:hAnsi="Times New (W1)"/>
          <w:sz w:val="24"/>
        </w:rPr>
        <w:t>the execution of the proposed construction and/or substantial rehabilitation</w:t>
      </w:r>
      <w:r w:rsidRPr="001C1CCB" w:rsidR="0064198F">
        <w:rPr>
          <w:rFonts w:ascii="Times New (W1)" w:hAnsi="Times New (W1)"/>
          <w:sz w:val="24"/>
        </w:rPr>
        <w:t xml:space="preserve"> during a prescribed construction period </w:t>
      </w:r>
      <w:r w:rsidRPr="001C1CCB" w:rsidR="00193694">
        <w:rPr>
          <w:rFonts w:ascii="Times New (W1)" w:hAnsi="Times New (W1)"/>
          <w:sz w:val="24"/>
        </w:rPr>
        <w:t xml:space="preserve">administered by the lender and HUD. </w:t>
      </w:r>
      <w:r w:rsidRPr="001C1CCB" w:rsidR="0024626F">
        <w:rPr>
          <w:rFonts w:ascii="Times New (W1)" w:hAnsi="Times New (W1)"/>
          <w:sz w:val="24"/>
        </w:rPr>
        <w:t xml:space="preserve">Most commonly, funds are disbursed </w:t>
      </w:r>
      <w:r w:rsidRPr="001C1CCB" w:rsidR="00DA6D43">
        <w:rPr>
          <w:rFonts w:ascii="Times New (W1)" w:hAnsi="Times New (W1)"/>
          <w:sz w:val="24"/>
        </w:rPr>
        <w:t xml:space="preserve">as insured advances of the loan </w:t>
      </w:r>
      <w:r w:rsidRPr="001C1CCB" w:rsidR="00DA6D43">
        <w:rPr>
          <w:rFonts w:ascii="Times New (W1)" w:hAnsi="Times New (W1)"/>
          <w:sz w:val="24"/>
        </w:rPr>
        <w:t>on a monthly basis</w:t>
      </w:r>
      <w:r w:rsidRPr="001C1CCB" w:rsidR="00DA6D43">
        <w:rPr>
          <w:rFonts w:ascii="Times New (W1)" w:hAnsi="Times New (W1)"/>
          <w:sz w:val="24"/>
        </w:rPr>
        <w:t xml:space="preserve"> consistent with </w:t>
      </w:r>
      <w:r w:rsidRPr="001C1CCB" w:rsidR="002977D5">
        <w:rPr>
          <w:rFonts w:ascii="Times New (W1)" w:hAnsi="Times New (W1)"/>
          <w:sz w:val="24"/>
        </w:rPr>
        <w:t>construction progress.  But there is a</w:t>
      </w:r>
      <w:r w:rsidRPr="001C1CCB" w:rsidR="000E478F">
        <w:rPr>
          <w:rFonts w:ascii="Times New (W1)" w:hAnsi="Times New (W1)"/>
          <w:sz w:val="24"/>
        </w:rPr>
        <w:t xml:space="preserve"> rarely used</w:t>
      </w:r>
      <w:r w:rsidRPr="001C1CCB" w:rsidR="002977D5">
        <w:rPr>
          <w:rFonts w:ascii="Times New (W1)" w:hAnsi="Times New (W1)"/>
          <w:sz w:val="24"/>
        </w:rPr>
        <w:t xml:space="preserve"> option for “insurance upon completion”</w:t>
      </w:r>
      <w:r w:rsidRPr="001C1CCB" w:rsidR="006A2E2E">
        <w:rPr>
          <w:rFonts w:ascii="Times New (W1)" w:hAnsi="Times New (W1)"/>
          <w:sz w:val="24"/>
        </w:rPr>
        <w:t xml:space="preserve"> wherein the borrower funds all construction until the insured loan is fully funded upon completion</w:t>
      </w:r>
      <w:r w:rsidRPr="001C1CCB" w:rsidR="000E478F">
        <w:rPr>
          <w:rFonts w:ascii="Times New (W1)" w:hAnsi="Times New (W1)"/>
          <w:sz w:val="24"/>
        </w:rPr>
        <w:t xml:space="preserve">.  </w:t>
      </w:r>
      <w:r w:rsidRPr="001C1CCB" w:rsidR="000654F8">
        <w:rPr>
          <w:rFonts w:ascii="Times New (W1)" w:hAnsi="Times New (W1)"/>
          <w:sz w:val="24"/>
        </w:rPr>
        <w:t xml:space="preserve">All costs must be </w:t>
      </w:r>
      <w:r w:rsidRPr="001C1CCB" w:rsidR="00415F3A">
        <w:rPr>
          <w:rFonts w:ascii="Times New (W1)" w:hAnsi="Times New (W1)"/>
          <w:sz w:val="24"/>
        </w:rPr>
        <w:t>certified,</w:t>
      </w:r>
      <w:r w:rsidRPr="001C1CCB" w:rsidR="000654F8">
        <w:rPr>
          <w:rFonts w:ascii="Times New (W1)" w:hAnsi="Times New (W1)"/>
          <w:sz w:val="24"/>
        </w:rPr>
        <w:t xml:space="preserve"> and borrower</w:t>
      </w:r>
      <w:r w:rsidRPr="001C1CCB" w:rsidR="002E6A16">
        <w:rPr>
          <w:rFonts w:ascii="Times New (W1)" w:hAnsi="Times New (W1)"/>
          <w:sz w:val="24"/>
        </w:rPr>
        <w:t>’s</w:t>
      </w:r>
      <w:r w:rsidRPr="001C1CCB" w:rsidR="000654F8">
        <w:rPr>
          <w:rFonts w:ascii="Times New (W1)" w:hAnsi="Times New (W1)"/>
          <w:sz w:val="24"/>
        </w:rPr>
        <w:t xml:space="preserve"> </w:t>
      </w:r>
      <w:r w:rsidRPr="001C1CCB" w:rsidR="002E6A16">
        <w:rPr>
          <w:rFonts w:ascii="Times New (W1)" w:hAnsi="Times New (W1)"/>
          <w:sz w:val="24"/>
        </w:rPr>
        <w:t xml:space="preserve">program </w:t>
      </w:r>
      <w:r w:rsidRPr="001C1CCB" w:rsidR="000654F8">
        <w:rPr>
          <w:rFonts w:ascii="Times New (W1)" w:hAnsi="Times New (W1)"/>
          <w:sz w:val="24"/>
        </w:rPr>
        <w:t>obligat</w:t>
      </w:r>
      <w:r w:rsidRPr="001C1CCB" w:rsidR="007936A5">
        <w:rPr>
          <w:rFonts w:ascii="Times New (W1)" w:hAnsi="Times New (W1)"/>
          <w:sz w:val="24"/>
        </w:rPr>
        <w:t>i</w:t>
      </w:r>
      <w:r w:rsidRPr="001C1CCB" w:rsidR="000654F8">
        <w:rPr>
          <w:rFonts w:ascii="Times New (W1)" w:hAnsi="Times New (W1)"/>
          <w:sz w:val="24"/>
        </w:rPr>
        <w:t xml:space="preserve">ons met </w:t>
      </w:r>
      <w:r w:rsidRPr="001C1CCB" w:rsidR="00F96B56">
        <w:rPr>
          <w:rFonts w:ascii="Times New (W1)" w:hAnsi="Times New (W1)"/>
          <w:sz w:val="24"/>
        </w:rPr>
        <w:t xml:space="preserve">as a condition </w:t>
      </w:r>
      <w:r w:rsidRPr="001C1CCB" w:rsidR="002E6A16">
        <w:rPr>
          <w:rFonts w:ascii="Times New (W1)" w:hAnsi="Times New (W1)"/>
          <w:sz w:val="24"/>
        </w:rPr>
        <w:t xml:space="preserve">precedent </w:t>
      </w:r>
      <w:r w:rsidRPr="001C1CCB" w:rsidR="00BB04AB">
        <w:rPr>
          <w:rFonts w:ascii="Times New (W1)" w:hAnsi="Times New (W1)"/>
          <w:sz w:val="24"/>
        </w:rPr>
        <w:t>to final</w:t>
      </w:r>
      <w:r w:rsidRPr="001C1CCB">
        <w:rPr>
          <w:rFonts w:ascii="Times New (W1)" w:hAnsi="Times New (W1)"/>
          <w:sz w:val="24"/>
        </w:rPr>
        <w:t xml:space="preserve"> endorsement</w:t>
      </w:r>
      <w:r w:rsidRPr="001C1CCB" w:rsidR="00AE2137">
        <w:rPr>
          <w:rFonts w:ascii="Times New (W1)" w:hAnsi="Times New (W1)"/>
          <w:sz w:val="24"/>
        </w:rPr>
        <w:t>.</w:t>
      </w:r>
      <w:r w:rsidRPr="001C1CCB">
        <w:rPr>
          <w:rFonts w:ascii="Times New (W1)" w:hAnsi="Times New (W1)"/>
          <w:sz w:val="24"/>
        </w:rPr>
        <w:t xml:space="preserve">  The Department </w:t>
      </w:r>
      <w:r w:rsidRPr="001C1CCB">
        <w:rPr>
          <w:rFonts w:ascii="Times New Roman" w:hAnsi="Times New Roman"/>
          <w:sz w:val="24"/>
          <w:szCs w:val="23"/>
        </w:rPr>
        <w:t xml:space="preserve">places confidence in the lender’s integrity and competence to prepare much of the documentation for a loan submission for mortgage insurance.  </w:t>
      </w:r>
      <w:r w:rsidRPr="001C1CCB">
        <w:rPr>
          <w:rFonts w:ascii="Times New (W1)" w:hAnsi="Times New (W1)"/>
          <w:sz w:val="24"/>
        </w:rPr>
        <w:t>The MAP Lender assumes the responsibility for underwriting the loan to include the preparation of narrative reports, gathering of data, collection of information, the review of reports and data prepared by licensed</w:t>
      </w:r>
      <w:r w:rsidRPr="001C1CCB" w:rsidR="00D41A12">
        <w:rPr>
          <w:rFonts w:ascii="Times New (W1)" w:hAnsi="Times New (W1)"/>
          <w:sz w:val="24"/>
        </w:rPr>
        <w:t xml:space="preserve"> or otherwise qualified</w:t>
      </w:r>
      <w:r w:rsidRPr="001C1CCB">
        <w:rPr>
          <w:rFonts w:ascii="Times New (W1)" w:hAnsi="Times New (W1)"/>
          <w:sz w:val="24"/>
        </w:rPr>
        <w:t xml:space="preserve"> professionals (Appraisers, Architects, Cost Analysts, Underwriters, etc.), and the completion of applicable HUD Forms.  The completed package is then submitted to the local HUD Multifamily Housing office for review by the Department for the possible issuance of a Firm Commitment.</w:t>
      </w:r>
      <w:r w:rsidRPr="001C1CCB" w:rsidR="00DD007F">
        <w:rPr>
          <w:rFonts w:ascii="Times New (W1)" w:hAnsi="Times New (W1)"/>
          <w:sz w:val="24"/>
        </w:rPr>
        <w:t xml:space="preserve"> Lenders are responsible for </w:t>
      </w:r>
      <w:r w:rsidRPr="001C1CCB" w:rsidR="00B05CC2">
        <w:rPr>
          <w:rFonts w:ascii="Times New (W1)" w:hAnsi="Times New (W1)"/>
          <w:sz w:val="24"/>
        </w:rPr>
        <w:t xml:space="preserve">administering construction with periodic inspections, </w:t>
      </w:r>
      <w:r w:rsidRPr="001C1CCB" w:rsidR="00B05CC2">
        <w:rPr>
          <w:rFonts w:ascii="Times New (W1)" w:hAnsi="Times New (W1)"/>
          <w:sz w:val="24"/>
        </w:rPr>
        <w:t>report</w:t>
      </w:r>
      <w:r w:rsidRPr="001C1CCB" w:rsidR="006F2D35">
        <w:rPr>
          <w:rFonts w:ascii="Times New (W1)" w:hAnsi="Times New (W1)"/>
          <w:sz w:val="24"/>
        </w:rPr>
        <w:t>s</w:t>
      </w:r>
      <w:r w:rsidRPr="001C1CCB" w:rsidR="006F2D35">
        <w:rPr>
          <w:rFonts w:ascii="Times New (W1)" w:hAnsi="Times New (W1)"/>
          <w:sz w:val="24"/>
        </w:rPr>
        <w:t xml:space="preserve"> and HUD approvals of </w:t>
      </w:r>
      <w:r w:rsidRPr="001C1CCB" w:rsidR="003C24EF">
        <w:rPr>
          <w:rFonts w:ascii="Times New (W1)" w:hAnsi="Times New (W1)"/>
          <w:sz w:val="24"/>
        </w:rPr>
        <w:t>insured advances consistent with the MAP Guide</w:t>
      </w:r>
    </w:p>
    <w:p w:rsidR="00213D21" w:rsidRPr="001C1CCB" w:rsidP="00213D21" w14:paraId="717A7B4C" w14:textId="77777777">
      <w:pPr>
        <w:rPr>
          <w:rFonts w:ascii="Times New Roman" w:hAnsi="Times New Roman"/>
          <w:sz w:val="24"/>
          <w:szCs w:val="24"/>
        </w:rPr>
      </w:pPr>
    </w:p>
    <w:p w:rsidR="00E3337F" w:rsidRPr="001C1CCB" w:rsidP="00213D21" w14:paraId="4230D510" w14:textId="77777777">
      <w:pPr>
        <w:ind w:left="720" w:firstLine="0"/>
        <w:rPr>
          <w:rFonts w:ascii="Times New Roman" w:hAnsi="Times New Roman"/>
          <w:sz w:val="24"/>
          <w:szCs w:val="24"/>
        </w:rPr>
      </w:pPr>
    </w:p>
    <w:p w:rsidR="00435447" w:rsidRPr="001C1CCB" w:rsidP="00435447" w14:paraId="2E82BDFC" w14:textId="217D20E0">
      <w:pPr>
        <w:spacing w:before="120"/>
        <w:ind w:left="720" w:firstLine="0"/>
        <w:jc w:val="both"/>
        <w:rPr>
          <w:rFonts w:ascii="Times New Roman" w:hAnsi="Times New Roman"/>
          <w:b/>
          <w:bCs/>
          <w:color w:val="000000"/>
          <w:sz w:val="24"/>
        </w:rPr>
      </w:pPr>
      <w:r w:rsidRPr="001C1CCB">
        <w:rPr>
          <w:rFonts w:ascii="Times New Roman" w:hAnsi="Times New Roman"/>
          <w:b/>
          <w:bCs/>
          <w:color w:val="000000"/>
          <w:sz w:val="24"/>
        </w:rPr>
        <w:t>S</w:t>
      </w:r>
      <w:r w:rsidRPr="001C1CCB" w:rsidR="00EB29EB">
        <w:rPr>
          <w:rFonts w:ascii="Times New Roman" w:hAnsi="Times New Roman"/>
          <w:b/>
          <w:bCs/>
          <w:color w:val="000000"/>
          <w:sz w:val="24"/>
        </w:rPr>
        <w:t xml:space="preserve">treamline </w:t>
      </w:r>
      <w:r w:rsidRPr="001C1CCB">
        <w:rPr>
          <w:rFonts w:ascii="Times New Roman" w:hAnsi="Times New Roman"/>
          <w:b/>
          <w:bCs/>
          <w:color w:val="000000"/>
          <w:sz w:val="24"/>
        </w:rPr>
        <w:t>P</w:t>
      </w:r>
      <w:r w:rsidRPr="001C1CCB" w:rsidR="00EB29EB">
        <w:rPr>
          <w:rFonts w:ascii="Times New Roman" w:hAnsi="Times New Roman"/>
          <w:b/>
          <w:bCs/>
          <w:color w:val="000000"/>
          <w:sz w:val="24"/>
        </w:rPr>
        <w:t xml:space="preserve">rocedures </w:t>
      </w:r>
    </w:p>
    <w:p w:rsidR="00080330" w:rsidRPr="001C1CCB" w:rsidP="005978A4" w14:paraId="690A64E6" w14:textId="00322055">
      <w:pPr>
        <w:spacing w:after="120"/>
        <w:ind w:left="720" w:firstLine="0"/>
        <w:jc w:val="both"/>
        <w:rPr>
          <w:rFonts w:ascii="Times New Roman" w:hAnsi="Times New Roman"/>
          <w:color w:val="000000"/>
          <w:sz w:val="24"/>
        </w:rPr>
      </w:pPr>
      <w:r w:rsidRPr="001C1CCB">
        <w:rPr>
          <w:rFonts w:ascii="Times New Roman" w:hAnsi="Times New Roman"/>
          <w:color w:val="000000"/>
          <w:sz w:val="24"/>
        </w:rPr>
        <w:t xml:space="preserve">While </w:t>
      </w:r>
      <w:r w:rsidRPr="001C1CCB" w:rsidR="00D87E46">
        <w:rPr>
          <w:rFonts w:ascii="Times New Roman" w:hAnsi="Times New Roman"/>
          <w:color w:val="000000"/>
          <w:sz w:val="24"/>
        </w:rPr>
        <w:t xml:space="preserve">reforming only a specific procedure </w:t>
      </w:r>
      <w:r w:rsidRPr="001C1CCB" w:rsidR="004270C5">
        <w:rPr>
          <w:rFonts w:ascii="Times New Roman" w:hAnsi="Times New Roman"/>
          <w:color w:val="000000"/>
          <w:sz w:val="24"/>
        </w:rPr>
        <w:t xml:space="preserve">for </w:t>
      </w:r>
      <w:r w:rsidRPr="001C1CCB" w:rsidR="00D87E46">
        <w:rPr>
          <w:rFonts w:ascii="Times New Roman" w:hAnsi="Times New Roman"/>
          <w:color w:val="000000"/>
          <w:sz w:val="24"/>
        </w:rPr>
        <w:t>calculat</w:t>
      </w:r>
      <w:r w:rsidRPr="001C1CCB" w:rsidR="004270C5">
        <w:rPr>
          <w:rFonts w:ascii="Times New Roman" w:hAnsi="Times New Roman"/>
          <w:color w:val="000000"/>
          <w:sz w:val="24"/>
        </w:rPr>
        <w:t>ion of</w:t>
      </w:r>
      <w:r w:rsidRPr="001C1CCB" w:rsidR="00D87E46">
        <w:rPr>
          <w:rFonts w:ascii="Times New Roman" w:hAnsi="Times New Roman"/>
          <w:color w:val="000000"/>
          <w:sz w:val="24"/>
        </w:rPr>
        <w:t xml:space="preserve"> the sta</w:t>
      </w:r>
      <w:r w:rsidRPr="001C1CCB" w:rsidR="004270C5">
        <w:rPr>
          <w:rFonts w:ascii="Times New Roman" w:hAnsi="Times New Roman"/>
          <w:color w:val="000000"/>
          <w:sz w:val="24"/>
        </w:rPr>
        <w:t>tutory limited mortgage amount, t</w:t>
      </w:r>
      <w:r w:rsidRPr="001C1CCB" w:rsidR="00CC6D37">
        <w:rPr>
          <w:rFonts w:ascii="Times New Roman" w:hAnsi="Times New Roman"/>
          <w:color w:val="000000"/>
          <w:sz w:val="24"/>
        </w:rPr>
        <w:t xml:space="preserve">he proposed amendment </w:t>
      </w:r>
      <w:r w:rsidRPr="001C1CCB" w:rsidR="002F4BAB">
        <w:rPr>
          <w:rFonts w:ascii="Times New Roman" w:hAnsi="Times New Roman"/>
          <w:color w:val="000000"/>
          <w:sz w:val="24"/>
        </w:rPr>
        <w:t>i</w:t>
      </w:r>
      <w:r w:rsidRPr="001C1CCB" w:rsidR="004C36B3">
        <w:rPr>
          <w:rFonts w:ascii="Times New Roman" w:hAnsi="Times New Roman"/>
          <w:color w:val="000000"/>
          <w:sz w:val="24"/>
        </w:rPr>
        <w:t>s a continuation of HUD’s effort to streamline its business practices and procedures</w:t>
      </w:r>
      <w:r w:rsidRPr="001C1CCB" w:rsidR="00840C23">
        <w:rPr>
          <w:rFonts w:ascii="Times New Roman" w:hAnsi="Times New Roman"/>
          <w:color w:val="000000"/>
          <w:sz w:val="24"/>
        </w:rPr>
        <w:t xml:space="preserve">.  </w:t>
      </w:r>
      <w:r w:rsidRPr="001C1CCB" w:rsidR="00DB5D95">
        <w:rPr>
          <w:rFonts w:ascii="Times New Roman" w:hAnsi="Times New Roman"/>
          <w:color w:val="000000"/>
          <w:sz w:val="24"/>
        </w:rPr>
        <w:t>Consistent with the 2020 MAP Guide, a</w:t>
      </w:r>
      <w:r w:rsidRPr="001C1CCB">
        <w:rPr>
          <w:rFonts w:ascii="Times New Roman" w:hAnsi="Times New Roman"/>
          <w:color w:val="000000"/>
          <w:sz w:val="24"/>
        </w:rPr>
        <w:t xml:space="preserve">pproved MAP Lenders also can be approved to underwrite and submit mortgage insurance applications under streamline procedures.  The </w:t>
      </w:r>
      <w:r w:rsidRPr="001C1CCB">
        <w:rPr>
          <w:rStyle w:val="Emphasis"/>
          <w:rFonts w:ascii="Times New Roman" w:hAnsi="Times New Roman"/>
          <w:b w:val="0"/>
          <w:color w:val="000000"/>
          <w:sz w:val="24"/>
        </w:rPr>
        <w:t>Housing and Economic Recovery Act of 2008(HERA)</w:t>
      </w:r>
      <w:r w:rsidRPr="001C1CCB">
        <w:rPr>
          <w:rStyle w:val="Emphasis"/>
          <w:rFonts w:ascii="Times New Roman" w:hAnsi="Times New Roman"/>
          <w:color w:val="000000"/>
          <w:sz w:val="24"/>
        </w:rPr>
        <w:t xml:space="preserve"> </w:t>
      </w:r>
      <w:r w:rsidRPr="001C1CCB">
        <w:rPr>
          <w:rFonts w:ascii="Times New Roman" w:hAnsi="Times New Roman"/>
          <w:color w:val="000000"/>
          <w:sz w:val="24"/>
        </w:rPr>
        <w:t xml:space="preserve">required FHA to streamline mortgage insurance applications for projects with equity from the </w:t>
      </w:r>
      <w:r w:rsidRPr="001C1CCB">
        <w:rPr>
          <w:rFonts w:ascii="Times New Roman" w:hAnsi="Times New Roman"/>
          <w:b/>
          <w:bCs/>
          <w:sz w:val="24"/>
        </w:rPr>
        <w:t>Low-Income Housing Tax Credit (LIHTC) program</w:t>
      </w:r>
      <w:r w:rsidRPr="001C1CCB">
        <w:rPr>
          <w:rFonts w:ascii="Times New Roman" w:hAnsi="Times New Roman"/>
          <w:color w:val="000000"/>
          <w:sz w:val="24"/>
        </w:rPr>
        <w:t xml:space="preserve">.  HUD launched an accelerated approval process under the Section 221(d)(4) LIHTC Pilot program for new construction and substantial rehabilitation multi-family rental properties assisted with LIHTC.  The Section 221(d)(4) LIHTC Pilot program provides permanent financing on transactions that are low risk, to allow FHA to significantly streamline the review process and create efficiencies without increasing risk.  The streamlining procedures will permit low risk new construction and substantial rehabilitation applications (including preservation of federally assisted/Section 8, new LIHTC and re-syndications) to be </w:t>
      </w:r>
      <w:r w:rsidRPr="001C1CCB" w:rsidR="00864536">
        <w:rPr>
          <w:rFonts w:ascii="Times New Roman" w:hAnsi="Times New Roman"/>
          <w:color w:val="000000"/>
          <w:sz w:val="24"/>
        </w:rPr>
        <w:t>reviewed within</w:t>
      </w:r>
      <w:r w:rsidRPr="001C1CCB">
        <w:rPr>
          <w:rFonts w:ascii="Times New Roman" w:hAnsi="Times New Roman"/>
          <w:color w:val="000000"/>
          <w:sz w:val="24"/>
        </w:rPr>
        <w:t xml:space="preserve"> 30-60 days and closed within 90-120 days.</w:t>
      </w:r>
    </w:p>
    <w:p w:rsidR="00080330" w:rsidRPr="001C1CCB" w:rsidP="00864536" w14:paraId="4ECDAB17" w14:textId="77777777">
      <w:pPr>
        <w:spacing w:before="120" w:after="120"/>
        <w:ind w:left="720" w:firstLine="0"/>
        <w:jc w:val="both"/>
        <w:rPr>
          <w:rFonts w:ascii="Times New Roman" w:hAnsi="Times New Roman"/>
          <w:color w:val="000000"/>
          <w:sz w:val="24"/>
        </w:rPr>
      </w:pPr>
      <w:r w:rsidRPr="001C1CCB">
        <w:rPr>
          <w:rFonts w:ascii="Times New Roman" w:hAnsi="Times New Roman"/>
          <w:color w:val="000000"/>
          <w:sz w:val="24"/>
        </w:rPr>
        <w:t>Reducing the time required to review and approve applications helps align FHA-insured financing with the LIHTC Program standards including the need to meet strict time deadlines.  HUD can assist MAP Lenders to meet bond closing or other LIHTC performance deadlines that may result in forfeit of the credit allocation or bond reservation and may impair the borrower’s ability to secure tax credits for future transactions.  The Department has the potential to successfully cut the time it takes to approve these lower risk LIHTC projects and to dramatically increase the production of affordable rental projects nationwide.</w:t>
      </w:r>
    </w:p>
    <w:p w:rsidR="00265514" w:rsidRPr="001C1CCB" w:rsidP="009B69C1" w14:paraId="502C3309" w14:textId="77777777">
      <w:pPr>
        <w:ind w:left="720" w:firstLine="0"/>
        <w:jc w:val="both"/>
        <w:rPr>
          <w:rFonts w:ascii="Times New (W1)" w:hAnsi="Times New (W1)"/>
          <w:sz w:val="20"/>
          <w:szCs w:val="20"/>
        </w:rPr>
      </w:pPr>
    </w:p>
    <w:p w:rsidR="00612F3A" w:rsidRPr="001C1CCB" w:rsidP="00612F3A" w14:paraId="4AAEB0F8" w14:textId="44634B2D">
      <w:pPr>
        <w:spacing w:before="120"/>
        <w:ind w:left="720" w:firstLine="0"/>
        <w:jc w:val="both"/>
        <w:rPr>
          <w:rFonts w:ascii="Times New Roman" w:hAnsi="Times New Roman"/>
          <w:b/>
          <w:sz w:val="24"/>
          <w:szCs w:val="24"/>
        </w:rPr>
      </w:pPr>
      <w:r w:rsidRPr="001C1CCB">
        <w:rPr>
          <w:rFonts w:ascii="Times New Roman" w:hAnsi="Times New Roman"/>
          <w:b/>
          <w:sz w:val="24"/>
          <w:szCs w:val="24"/>
        </w:rPr>
        <w:t xml:space="preserve">Volume of </w:t>
      </w:r>
      <w:r w:rsidRPr="001C1CCB">
        <w:rPr>
          <w:rFonts w:ascii="Times New Roman" w:hAnsi="Times New Roman"/>
          <w:b/>
          <w:sz w:val="24"/>
          <w:szCs w:val="24"/>
        </w:rPr>
        <w:t>Firm Commitment</w:t>
      </w:r>
      <w:r w:rsidRPr="001C1CCB">
        <w:rPr>
          <w:rFonts w:ascii="Times New Roman" w:hAnsi="Times New Roman"/>
          <w:b/>
          <w:sz w:val="24"/>
          <w:szCs w:val="24"/>
        </w:rPr>
        <w:t xml:space="preserve">s and </w:t>
      </w:r>
      <w:r w:rsidRPr="001C1CCB">
        <w:rPr>
          <w:rFonts w:ascii="Times New Roman" w:hAnsi="Times New Roman"/>
          <w:b/>
          <w:sz w:val="24"/>
          <w:szCs w:val="24"/>
        </w:rPr>
        <w:t>Extension</w:t>
      </w:r>
      <w:r w:rsidRPr="001C1CCB" w:rsidR="00C65DC9">
        <w:rPr>
          <w:rFonts w:ascii="Times New Roman" w:hAnsi="Times New Roman"/>
          <w:b/>
          <w:sz w:val="24"/>
          <w:szCs w:val="24"/>
        </w:rPr>
        <w:t>s</w:t>
      </w:r>
      <w:r w:rsidRPr="001C1CCB" w:rsidR="003E1AF7">
        <w:rPr>
          <w:rFonts w:ascii="Times New Roman" w:hAnsi="Times New Roman"/>
          <w:b/>
          <w:sz w:val="24"/>
          <w:szCs w:val="24"/>
        </w:rPr>
        <w:t>, Amendments</w:t>
      </w:r>
      <w:r w:rsidRPr="001C1CCB" w:rsidR="00C65DC9">
        <w:rPr>
          <w:rFonts w:ascii="Times New Roman" w:hAnsi="Times New Roman"/>
          <w:b/>
          <w:sz w:val="24"/>
          <w:szCs w:val="24"/>
        </w:rPr>
        <w:t xml:space="preserve"> Issued</w:t>
      </w:r>
      <w:r w:rsidRPr="001C1CCB" w:rsidR="004538ED">
        <w:rPr>
          <w:rFonts w:ascii="Times New Roman" w:hAnsi="Times New Roman"/>
          <w:b/>
          <w:sz w:val="24"/>
          <w:szCs w:val="24"/>
        </w:rPr>
        <w:t>-</w:t>
      </w:r>
      <w:r w:rsidRPr="001C1CCB" w:rsidR="005E4616">
        <w:rPr>
          <w:rFonts w:ascii="Times New Roman" w:hAnsi="Times New Roman"/>
          <w:b/>
          <w:sz w:val="24"/>
          <w:szCs w:val="24"/>
        </w:rPr>
        <w:t>Calendar Years 2019-2021</w:t>
      </w:r>
    </w:p>
    <w:p w:rsidR="000243AC" w:rsidRPr="001C1CCB" w:rsidP="00FA3EBA" w14:paraId="55A557EA" w14:textId="77777777">
      <w:pPr>
        <w:spacing w:after="240"/>
        <w:ind w:left="720" w:firstLine="0"/>
        <w:jc w:val="both"/>
        <w:rPr>
          <w:rFonts w:ascii="Times New Roman" w:hAnsi="Times New Roman"/>
          <w:color w:val="000000"/>
          <w:sz w:val="24"/>
          <w:szCs w:val="24"/>
        </w:rPr>
      </w:pPr>
    </w:p>
    <w:p w:rsidR="005E4616" w:rsidRPr="001C1CCB" w:rsidP="00FA3EBA" w14:paraId="6832D461" w14:textId="0B805764">
      <w:pPr>
        <w:spacing w:after="240"/>
        <w:ind w:left="720" w:firstLine="0"/>
        <w:jc w:val="both"/>
        <w:rPr>
          <w:rFonts w:ascii="Times New Roman" w:hAnsi="Times New Roman"/>
          <w:color w:val="000000"/>
          <w:sz w:val="24"/>
          <w:szCs w:val="24"/>
        </w:rPr>
      </w:pPr>
      <w:r w:rsidRPr="001C1CCB">
        <w:rPr>
          <w:rFonts w:ascii="Times New Roman" w:hAnsi="Times New Roman"/>
          <w:color w:val="000000"/>
          <w:sz w:val="24"/>
          <w:szCs w:val="24"/>
        </w:rPr>
        <w:t xml:space="preserve">HUD’s multifamily insurance programs </w:t>
      </w:r>
      <w:r w:rsidRPr="001C1CCB" w:rsidR="002F37E0">
        <w:rPr>
          <w:rFonts w:ascii="Times New Roman" w:hAnsi="Times New Roman"/>
          <w:color w:val="000000"/>
          <w:sz w:val="24"/>
          <w:szCs w:val="24"/>
        </w:rPr>
        <w:t xml:space="preserve">cover a wide range of eligible acquisition, </w:t>
      </w:r>
      <w:r w:rsidRPr="001C1CCB" w:rsidR="00CC0D81">
        <w:rPr>
          <w:rFonts w:ascii="Times New Roman" w:hAnsi="Times New Roman"/>
          <w:color w:val="000000"/>
          <w:sz w:val="24"/>
          <w:szCs w:val="24"/>
        </w:rPr>
        <w:t xml:space="preserve">new </w:t>
      </w:r>
      <w:r w:rsidRPr="001C1CCB" w:rsidR="002F37E0">
        <w:rPr>
          <w:rFonts w:ascii="Times New Roman" w:hAnsi="Times New Roman"/>
          <w:color w:val="000000"/>
          <w:sz w:val="24"/>
          <w:szCs w:val="24"/>
        </w:rPr>
        <w:t xml:space="preserve">construction, </w:t>
      </w:r>
      <w:r w:rsidRPr="001C1CCB" w:rsidR="00CC0D81">
        <w:rPr>
          <w:rFonts w:ascii="Times New Roman" w:hAnsi="Times New Roman"/>
          <w:color w:val="000000"/>
          <w:sz w:val="24"/>
          <w:szCs w:val="24"/>
        </w:rPr>
        <w:t>substantial rehabilitation, refinance</w:t>
      </w:r>
      <w:r w:rsidRPr="001C1CCB" w:rsidR="00CE30B0">
        <w:rPr>
          <w:rFonts w:ascii="Times New Roman" w:hAnsi="Times New Roman"/>
          <w:color w:val="000000"/>
          <w:sz w:val="24"/>
          <w:szCs w:val="24"/>
        </w:rPr>
        <w:t xml:space="preserve">, repair and alteration and similar project related </w:t>
      </w:r>
      <w:r w:rsidRPr="001C1CCB" w:rsidR="00B51CF1">
        <w:rPr>
          <w:rFonts w:ascii="Times New Roman" w:hAnsi="Times New Roman"/>
          <w:color w:val="000000"/>
          <w:sz w:val="24"/>
          <w:szCs w:val="24"/>
        </w:rPr>
        <w:t>financing activities.  The mix of these activities in any given year is a function of many market factors</w:t>
      </w:r>
      <w:r w:rsidRPr="001C1CCB" w:rsidR="00725BE5">
        <w:rPr>
          <w:rFonts w:ascii="Times New Roman" w:hAnsi="Times New Roman"/>
          <w:color w:val="000000"/>
          <w:sz w:val="24"/>
          <w:szCs w:val="24"/>
        </w:rPr>
        <w:t xml:space="preserve"> influencing borrowers’ choice of </w:t>
      </w:r>
      <w:r w:rsidRPr="001C1CCB" w:rsidR="002534ED">
        <w:rPr>
          <w:rFonts w:ascii="Times New Roman" w:hAnsi="Times New Roman"/>
          <w:color w:val="000000"/>
          <w:sz w:val="24"/>
          <w:szCs w:val="24"/>
        </w:rPr>
        <w:t>activities and financing solutions</w:t>
      </w:r>
      <w:r w:rsidRPr="001C1CCB" w:rsidR="00933805">
        <w:rPr>
          <w:rFonts w:ascii="Times New Roman" w:hAnsi="Times New Roman"/>
          <w:color w:val="000000"/>
          <w:sz w:val="24"/>
          <w:szCs w:val="24"/>
        </w:rPr>
        <w:t xml:space="preserve">.  </w:t>
      </w:r>
      <w:r w:rsidRPr="001C1CCB" w:rsidR="00A77151">
        <w:rPr>
          <w:rFonts w:ascii="Times New Roman" w:hAnsi="Times New Roman"/>
          <w:color w:val="000000"/>
          <w:sz w:val="24"/>
          <w:szCs w:val="24"/>
        </w:rPr>
        <w:t>In addition</w:t>
      </w:r>
      <w:r w:rsidRPr="001C1CCB" w:rsidR="00127A8A">
        <w:rPr>
          <w:rFonts w:ascii="Times New Roman" w:hAnsi="Times New Roman"/>
          <w:color w:val="000000"/>
          <w:sz w:val="24"/>
          <w:szCs w:val="24"/>
        </w:rPr>
        <w:t>.</w:t>
      </w:r>
      <w:r w:rsidRPr="001C1CCB" w:rsidR="00A77151">
        <w:rPr>
          <w:rFonts w:ascii="Times New Roman" w:hAnsi="Times New Roman"/>
          <w:color w:val="000000"/>
          <w:sz w:val="24"/>
          <w:szCs w:val="24"/>
        </w:rPr>
        <w:t xml:space="preserve"> the creditworthiness of borrowers </w:t>
      </w:r>
      <w:r w:rsidRPr="001C1CCB" w:rsidR="00D5410F">
        <w:rPr>
          <w:rFonts w:ascii="Times New Roman" w:hAnsi="Times New Roman"/>
          <w:color w:val="000000"/>
          <w:sz w:val="24"/>
          <w:szCs w:val="24"/>
        </w:rPr>
        <w:t xml:space="preserve">and the complexity of </w:t>
      </w:r>
      <w:r w:rsidRPr="001C1CCB" w:rsidR="00127A8A">
        <w:rPr>
          <w:rFonts w:ascii="Times New Roman" w:hAnsi="Times New Roman"/>
          <w:color w:val="000000"/>
          <w:sz w:val="24"/>
          <w:szCs w:val="24"/>
        </w:rPr>
        <w:t xml:space="preserve">individual transactions vary widely.  </w:t>
      </w:r>
      <w:r w:rsidRPr="001C1CCB" w:rsidR="00BD15B6">
        <w:rPr>
          <w:rFonts w:ascii="Times New Roman" w:hAnsi="Times New Roman"/>
          <w:color w:val="000000"/>
          <w:sz w:val="24"/>
          <w:szCs w:val="24"/>
        </w:rPr>
        <w:t xml:space="preserve">Accordingly, </w:t>
      </w:r>
      <w:r w:rsidRPr="001C1CCB" w:rsidR="00AD02BD">
        <w:rPr>
          <w:rFonts w:ascii="Times New Roman" w:hAnsi="Times New Roman"/>
          <w:color w:val="000000"/>
          <w:sz w:val="24"/>
          <w:szCs w:val="24"/>
        </w:rPr>
        <w:t xml:space="preserve">the </w:t>
      </w:r>
      <w:r w:rsidRPr="001C1CCB" w:rsidR="00933805">
        <w:rPr>
          <w:rFonts w:ascii="Times New Roman" w:hAnsi="Times New Roman"/>
          <w:color w:val="000000"/>
          <w:sz w:val="24"/>
          <w:szCs w:val="24"/>
        </w:rPr>
        <w:t xml:space="preserve">burden of an </w:t>
      </w:r>
      <w:r w:rsidRPr="001C1CCB" w:rsidR="00720E7D">
        <w:rPr>
          <w:rFonts w:ascii="Times New Roman" w:hAnsi="Times New Roman"/>
          <w:color w:val="000000"/>
          <w:sz w:val="24"/>
          <w:szCs w:val="24"/>
        </w:rPr>
        <w:t xml:space="preserve">“average” or “typical” </w:t>
      </w:r>
      <w:r w:rsidRPr="001C1CCB" w:rsidR="00523A1F">
        <w:rPr>
          <w:rFonts w:ascii="Times New Roman" w:hAnsi="Times New Roman"/>
          <w:color w:val="000000"/>
          <w:sz w:val="24"/>
          <w:szCs w:val="24"/>
        </w:rPr>
        <w:t xml:space="preserve">insured mortgage </w:t>
      </w:r>
      <w:r w:rsidRPr="001C1CCB" w:rsidR="00720E7D">
        <w:rPr>
          <w:rFonts w:ascii="Times New Roman" w:hAnsi="Times New Roman"/>
          <w:color w:val="000000"/>
          <w:sz w:val="24"/>
          <w:szCs w:val="24"/>
        </w:rPr>
        <w:t xml:space="preserve">transaction </w:t>
      </w:r>
      <w:r w:rsidRPr="001C1CCB" w:rsidR="00BD15B6">
        <w:rPr>
          <w:rFonts w:ascii="Times New Roman" w:hAnsi="Times New Roman"/>
          <w:color w:val="000000"/>
          <w:sz w:val="24"/>
          <w:szCs w:val="24"/>
        </w:rPr>
        <w:t>is a m</w:t>
      </w:r>
      <w:r w:rsidRPr="001C1CCB" w:rsidR="004B1DEE">
        <w:rPr>
          <w:rFonts w:ascii="Times New Roman" w:hAnsi="Times New Roman"/>
          <w:color w:val="000000"/>
          <w:sz w:val="24"/>
          <w:szCs w:val="24"/>
        </w:rPr>
        <w:t>oving target</w:t>
      </w:r>
      <w:r w:rsidRPr="001C1CCB" w:rsidR="00F50449">
        <w:rPr>
          <w:rFonts w:ascii="Times New Roman" w:hAnsi="Times New Roman"/>
          <w:color w:val="000000"/>
          <w:sz w:val="24"/>
          <w:szCs w:val="24"/>
        </w:rPr>
        <w:t xml:space="preserve"> </w:t>
      </w:r>
      <w:r w:rsidRPr="001C1CCB" w:rsidR="00633263">
        <w:rPr>
          <w:rFonts w:ascii="Times New Roman" w:hAnsi="Times New Roman"/>
          <w:color w:val="000000"/>
          <w:sz w:val="24"/>
          <w:szCs w:val="24"/>
        </w:rPr>
        <w:t>derived from</w:t>
      </w:r>
      <w:r w:rsidRPr="001C1CCB" w:rsidR="0077006D">
        <w:rPr>
          <w:rFonts w:ascii="Times New Roman" w:hAnsi="Times New Roman"/>
          <w:color w:val="000000"/>
          <w:sz w:val="24"/>
          <w:szCs w:val="24"/>
        </w:rPr>
        <w:t xml:space="preserve"> estimates and extrapolations based in </w:t>
      </w:r>
      <w:r w:rsidRPr="001C1CCB" w:rsidR="007473FD">
        <w:rPr>
          <w:rFonts w:ascii="Times New Roman" w:hAnsi="Times New Roman"/>
          <w:color w:val="000000"/>
          <w:sz w:val="24"/>
          <w:szCs w:val="24"/>
        </w:rPr>
        <w:t>p</w:t>
      </w:r>
      <w:r w:rsidRPr="001C1CCB" w:rsidR="0077006D">
        <w:rPr>
          <w:rFonts w:ascii="Times New Roman" w:hAnsi="Times New Roman"/>
          <w:color w:val="000000"/>
          <w:sz w:val="24"/>
          <w:szCs w:val="24"/>
        </w:rPr>
        <w:t xml:space="preserve">art on the actual </w:t>
      </w:r>
      <w:r w:rsidRPr="001C1CCB" w:rsidR="007473FD">
        <w:rPr>
          <w:rFonts w:ascii="Times New Roman" w:hAnsi="Times New Roman"/>
          <w:color w:val="000000"/>
          <w:sz w:val="24"/>
          <w:szCs w:val="24"/>
        </w:rPr>
        <w:t>results of the past three calendar years.</w:t>
      </w:r>
      <w:r w:rsidRPr="001C1CCB" w:rsidR="00402EDB">
        <w:rPr>
          <w:rFonts w:ascii="Times New Roman" w:hAnsi="Times New Roman"/>
          <w:color w:val="000000"/>
          <w:sz w:val="24"/>
          <w:szCs w:val="24"/>
        </w:rPr>
        <w:t xml:space="preserve">  Here are those results</w:t>
      </w:r>
      <w:r>
        <w:rPr>
          <w:rStyle w:val="FootnoteReference"/>
          <w:rFonts w:ascii="Times New Roman" w:hAnsi="Times New Roman"/>
          <w:color w:val="000000"/>
          <w:sz w:val="24"/>
          <w:szCs w:val="24"/>
        </w:rPr>
        <w:footnoteReference w:id="3"/>
      </w:r>
      <w:r w:rsidRPr="001C1CCB" w:rsidR="00402EDB">
        <w:rPr>
          <w:rFonts w:ascii="Times New Roman" w:hAnsi="Times New Roman"/>
          <w:color w:val="000000"/>
          <w:sz w:val="24"/>
          <w:szCs w:val="24"/>
        </w:rPr>
        <w:t>:</w:t>
      </w:r>
    </w:p>
    <w:p w:rsidR="004538ED" w:rsidRPr="001C1CCB" w:rsidP="00FA3EBA" w14:paraId="4E4559BD" w14:textId="406C65E9">
      <w:pPr>
        <w:spacing w:after="240"/>
        <w:ind w:left="720" w:firstLine="0"/>
        <w:jc w:val="both"/>
        <w:rPr>
          <w:rFonts w:ascii="Times New Roman" w:hAnsi="Times New Roman"/>
          <w:color w:val="000000"/>
          <w:sz w:val="24"/>
          <w:szCs w:val="24"/>
        </w:rPr>
      </w:pPr>
      <w:r w:rsidRPr="001C1CCB">
        <w:rPr>
          <w:noProof/>
        </w:rPr>
        <w:drawing>
          <wp:inline distT="0" distB="0" distL="0" distR="0">
            <wp:extent cx="6391275" cy="1985438"/>
            <wp:effectExtent l="19050" t="19050" r="952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413124" cy="1992225"/>
                    </a:xfrm>
                    <a:prstGeom prst="rect">
                      <a:avLst/>
                    </a:prstGeom>
                    <a:noFill/>
                    <a:ln>
                      <a:solidFill>
                        <a:schemeClr val="tx1">
                          <a:lumMod val="95000"/>
                          <a:lumOff val="5000"/>
                        </a:schemeClr>
                      </a:solidFill>
                    </a:ln>
                  </pic:spPr>
                </pic:pic>
              </a:graphicData>
            </a:graphic>
          </wp:inline>
        </w:drawing>
      </w:r>
    </w:p>
    <w:p w:rsidR="00612F3A" w:rsidRPr="001C1CCB" w:rsidP="00FA3EBA" w14:paraId="2AC7E5A0" w14:textId="305594DC">
      <w:pPr>
        <w:spacing w:after="240"/>
        <w:ind w:left="720" w:firstLine="0"/>
        <w:jc w:val="both"/>
        <w:rPr>
          <w:rFonts w:ascii="Times New Roman" w:hAnsi="Times New Roman"/>
          <w:b/>
          <w:sz w:val="18"/>
          <w:szCs w:val="18"/>
        </w:rPr>
      </w:pPr>
      <w:r w:rsidRPr="001C1CCB">
        <w:rPr>
          <w:rFonts w:ascii="Times New Roman" w:hAnsi="Times New Roman"/>
          <w:color w:val="000000"/>
          <w:sz w:val="24"/>
          <w:szCs w:val="24"/>
        </w:rPr>
        <w:t xml:space="preserve">Firm Commitments are issued for a term of 60 calendar days by the HUD Field staff.  The </w:t>
      </w:r>
      <w:r w:rsidRPr="001C1CCB" w:rsidR="00A9340D">
        <w:rPr>
          <w:rFonts w:ascii="Times New Roman" w:hAnsi="Times New Roman"/>
          <w:color w:val="000000"/>
          <w:sz w:val="24"/>
          <w:szCs w:val="24"/>
        </w:rPr>
        <w:t xml:space="preserve">MAP Lender, on behalf of the borrower, </w:t>
      </w:r>
      <w:r w:rsidRPr="001C1CCB" w:rsidR="00686A1A">
        <w:rPr>
          <w:rFonts w:ascii="Times New Roman" w:hAnsi="Times New Roman"/>
          <w:color w:val="000000"/>
          <w:sz w:val="24"/>
          <w:szCs w:val="24"/>
        </w:rPr>
        <w:t xml:space="preserve">may </w:t>
      </w:r>
      <w:r w:rsidRPr="001C1CCB">
        <w:rPr>
          <w:rFonts w:ascii="Times New Roman" w:hAnsi="Times New Roman"/>
          <w:color w:val="000000"/>
          <w:sz w:val="24"/>
          <w:szCs w:val="24"/>
        </w:rPr>
        <w:t>request an extension</w:t>
      </w:r>
      <w:r w:rsidRPr="001C1CCB" w:rsidR="009762A0">
        <w:rPr>
          <w:rFonts w:ascii="Times New Roman" w:hAnsi="Times New Roman"/>
          <w:color w:val="000000"/>
          <w:sz w:val="24"/>
          <w:szCs w:val="24"/>
        </w:rPr>
        <w:t xml:space="preserve"> of the term of the Firm or for an Amendment of the Fir</w:t>
      </w:r>
      <w:r w:rsidRPr="001C1CCB" w:rsidR="008D05A7">
        <w:rPr>
          <w:rFonts w:ascii="Times New Roman" w:hAnsi="Times New Roman"/>
          <w:color w:val="000000"/>
          <w:sz w:val="24"/>
          <w:szCs w:val="24"/>
        </w:rPr>
        <w:t>m</w:t>
      </w:r>
      <w:r w:rsidRPr="001C1CCB">
        <w:rPr>
          <w:rFonts w:ascii="Times New Roman" w:hAnsi="Times New Roman"/>
          <w:color w:val="000000"/>
          <w:sz w:val="24"/>
          <w:szCs w:val="24"/>
        </w:rPr>
        <w:t xml:space="preserve"> Commitment </w:t>
      </w:r>
      <w:r w:rsidRPr="001C1CCB" w:rsidR="008D05A7">
        <w:rPr>
          <w:rFonts w:ascii="Times New Roman" w:hAnsi="Times New Roman"/>
          <w:color w:val="000000"/>
          <w:sz w:val="24"/>
          <w:szCs w:val="24"/>
        </w:rPr>
        <w:t xml:space="preserve">as may be required </w:t>
      </w:r>
      <w:r w:rsidRPr="001C1CCB" w:rsidR="004A5B84">
        <w:rPr>
          <w:rFonts w:ascii="Times New Roman" w:hAnsi="Times New Roman"/>
          <w:color w:val="000000"/>
          <w:sz w:val="24"/>
          <w:szCs w:val="24"/>
        </w:rPr>
        <w:t xml:space="preserve">to accommodate changed circumstances or unexpected delays. </w:t>
      </w:r>
      <w:r w:rsidRPr="001C1CCB">
        <w:rPr>
          <w:rFonts w:ascii="Times New Roman" w:hAnsi="Times New Roman"/>
          <w:color w:val="000000"/>
          <w:sz w:val="24"/>
          <w:szCs w:val="24"/>
        </w:rPr>
        <w:t xml:space="preserve"> The Regional Center Director (or their designee in accordance with delegated authority) </w:t>
      </w:r>
      <w:r w:rsidRPr="001C1CCB" w:rsidR="006A334C">
        <w:rPr>
          <w:rFonts w:ascii="Times New Roman" w:hAnsi="Times New Roman"/>
          <w:color w:val="000000"/>
          <w:sz w:val="24"/>
          <w:szCs w:val="24"/>
        </w:rPr>
        <w:t xml:space="preserve">will act on these requests </w:t>
      </w:r>
      <w:r w:rsidRPr="001C1CCB" w:rsidR="009844CB">
        <w:rPr>
          <w:rFonts w:ascii="Times New Roman" w:hAnsi="Times New Roman"/>
          <w:color w:val="000000"/>
          <w:sz w:val="24"/>
          <w:szCs w:val="24"/>
        </w:rPr>
        <w:t xml:space="preserve">which require a written submission by the lender detailing the </w:t>
      </w:r>
      <w:r w:rsidRPr="001C1CCB" w:rsidR="00CD0DA2">
        <w:rPr>
          <w:rFonts w:ascii="Times New Roman" w:hAnsi="Times New Roman"/>
          <w:color w:val="000000"/>
          <w:sz w:val="24"/>
          <w:szCs w:val="24"/>
        </w:rPr>
        <w:t xml:space="preserve">explanation for delay or the rationale for an amendment.  </w:t>
      </w:r>
    </w:p>
    <w:p w:rsidR="00612F3A" w:rsidRPr="001C1CCB" w:rsidP="00612F3A" w14:paraId="51C0E232" w14:textId="77777777">
      <w:pPr>
        <w:spacing w:before="120"/>
        <w:ind w:left="720" w:firstLine="0"/>
        <w:jc w:val="both"/>
        <w:rPr>
          <w:rFonts w:ascii="Times New Roman" w:hAnsi="Times New Roman"/>
          <w:b/>
          <w:sz w:val="24"/>
          <w:szCs w:val="24"/>
        </w:rPr>
      </w:pPr>
      <w:r w:rsidRPr="001C1CCB">
        <w:rPr>
          <w:rFonts w:ascii="Times New Roman" w:hAnsi="Times New Roman"/>
          <w:b/>
          <w:sz w:val="24"/>
          <w:szCs w:val="24"/>
        </w:rPr>
        <w:t>Lender’s Underwriter Narrative Report</w:t>
      </w:r>
    </w:p>
    <w:p w:rsidR="00612F3A" w:rsidRPr="001C1CCB" w:rsidP="003B6F56" w14:paraId="6FB28568" w14:textId="6FCDC02F">
      <w:pPr>
        <w:overflowPunct w:val="0"/>
        <w:autoSpaceDE w:val="0"/>
        <w:autoSpaceDN w:val="0"/>
        <w:adjustRightInd w:val="0"/>
        <w:spacing w:after="80"/>
        <w:ind w:left="720" w:firstLine="0"/>
        <w:jc w:val="both"/>
        <w:textAlignment w:val="baseline"/>
        <w:outlineLvl w:val="0"/>
        <w:rPr>
          <w:rFonts w:ascii="Times New Roman" w:hAnsi="Times New Roman"/>
          <w:sz w:val="24"/>
          <w:szCs w:val="20"/>
        </w:rPr>
      </w:pPr>
      <w:r w:rsidRPr="001C1CCB">
        <w:rPr>
          <w:rFonts w:ascii="Times New Roman" w:hAnsi="Times New Roman"/>
          <w:sz w:val="24"/>
          <w:szCs w:val="20"/>
        </w:rPr>
        <w:t xml:space="preserve">The MAP program delegates due diligence and underwriting responsibility to MAP approved Underwriters </w:t>
      </w:r>
      <w:r w:rsidRPr="001C1CCB" w:rsidR="009B6BA0">
        <w:rPr>
          <w:rFonts w:ascii="Times New Roman" w:hAnsi="Times New Roman"/>
          <w:sz w:val="24"/>
          <w:szCs w:val="20"/>
        </w:rPr>
        <w:t xml:space="preserve">employed by </w:t>
      </w:r>
      <w:r w:rsidRPr="001C1CCB" w:rsidR="00F00D78">
        <w:rPr>
          <w:rFonts w:ascii="Times New Roman" w:hAnsi="Times New Roman"/>
          <w:sz w:val="24"/>
          <w:szCs w:val="20"/>
        </w:rPr>
        <w:t xml:space="preserve">approved </w:t>
      </w:r>
      <w:r w:rsidRPr="001C1CCB" w:rsidR="00BB04AB">
        <w:rPr>
          <w:rFonts w:ascii="Times New Roman" w:hAnsi="Times New Roman"/>
          <w:sz w:val="24"/>
          <w:szCs w:val="20"/>
        </w:rPr>
        <w:t>multifamily lenders</w:t>
      </w:r>
      <w:r w:rsidRPr="001C1CCB">
        <w:rPr>
          <w:rFonts w:ascii="Times New Roman" w:hAnsi="Times New Roman"/>
          <w:sz w:val="24"/>
          <w:szCs w:val="20"/>
        </w:rPr>
        <w:t xml:space="preserve">.  The MAP approved Underwriter is expected to be completely familiar with the contents of the MAP Guide, have demonstrated experience and mastery of commercial lending practices and real estate finance, and have a working knowledge of HUD regulatory and statutory authority. </w:t>
      </w:r>
      <w:r w:rsidRPr="001C1CCB" w:rsidR="005F1A72">
        <w:rPr>
          <w:rFonts w:ascii="Times New Roman" w:hAnsi="Times New Roman"/>
          <w:sz w:val="24"/>
          <w:szCs w:val="20"/>
        </w:rPr>
        <w:t xml:space="preserve"> In addition, the </w:t>
      </w:r>
      <w:r w:rsidRPr="001C1CCB" w:rsidR="00830805">
        <w:rPr>
          <w:rFonts w:ascii="Times New Roman" w:hAnsi="Times New Roman"/>
          <w:sz w:val="24"/>
          <w:szCs w:val="20"/>
        </w:rPr>
        <w:t xml:space="preserve">Underwriter is expected to visit and inspect the proposed site </w:t>
      </w:r>
      <w:r w:rsidRPr="001C1CCB" w:rsidR="00F406A5">
        <w:rPr>
          <w:rFonts w:ascii="Times New Roman" w:hAnsi="Times New Roman"/>
          <w:sz w:val="24"/>
          <w:szCs w:val="20"/>
        </w:rPr>
        <w:t xml:space="preserve">and/or the existing property and its surroundings </w:t>
      </w:r>
      <w:r w:rsidRPr="001C1CCB" w:rsidR="00F406A5">
        <w:rPr>
          <w:rFonts w:ascii="Times New Roman" w:hAnsi="Times New Roman"/>
          <w:sz w:val="24"/>
          <w:szCs w:val="20"/>
        </w:rPr>
        <w:t>so as to</w:t>
      </w:r>
      <w:r w:rsidRPr="001C1CCB" w:rsidR="00F406A5">
        <w:rPr>
          <w:rFonts w:ascii="Times New Roman" w:hAnsi="Times New Roman"/>
          <w:sz w:val="24"/>
          <w:szCs w:val="20"/>
        </w:rPr>
        <w:t xml:space="preserve"> be familiar with the </w:t>
      </w:r>
      <w:r w:rsidRPr="001C1CCB" w:rsidR="00F01B13">
        <w:rPr>
          <w:rFonts w:ascii="Times New Roman" w:hAnsi="Times New Roman"/>
          <w:sz w:val="24"/>
          <w:szCs w:val="20"/>
        </w:rPr>
        <w:t xml:space="preserve">property and its surrounding </w:t>
      </w:r>
      <w:r w:rsidRPr="001C1CCB" w:rsidR="008F29EC">
        <w:rPr>
          <w:rFonts w:ascii="Times New Roman" w:hAnsi="Times New Roman"/>
          <w:sz w:val="24"/>
          <w:szCs w:val="20"/>
        </w:rPr>
        <w:t>influences and neighborhood features</w:t>
      </w:r>
      <w:r w:rsidRPr="001C1CCB" w:rsidR="005E0A14">
        <w:rPr>
          <w:rFonts w:ascii="Times New Roman" w:hAnsi="Times New Roman"/>
          <w:sz w:val="24"/>
          <w:szCs w:val="20"/>
        </w:rPr>
        <w:t xml:space="preserve"> and capable of assessing the validity and accuracy of the due diligence </w:t>
      </w:r>
      <w:r w:rsidRPr="001C1CCB" w:rsidR="00AD6B6A">
        <w:rPr>
          <w:rFonts w:ascii="Times New Roman" w:hAnsi="Times New Roman"/>
          <w:sz w:val="24"/>
          <w:szCs w:val="20"/>
        </w:rPr>
        <w:t xml:space="preserve">reports prepared by the lender’s third-party consultants. </w:t>
      </w:r>
      <w:r w:rsidRPr="001C1CCB">
        <w:rPr>
          <w:rFonts w:ascii="Times New Roman" w:hAnsi="Times New Roman"/>
          <w:sz w:val="24"/>
          <w:szCs w:val="20"/>
        </w:rPr>
        <w:t xml:space="preserve">HUD retains commitment authority and responsibility for final determination of acceptable risk to the insurance fund, as well as certain technical </w:t>
      </w:r>
      <w:r w:rsidRPr="001C1CCB">
        <w:rPr>
          <w:rFonts w:ascii="Times New Roman" w:hAnsi="Times New Roman"/>
          <w:sz w:val="24"/>
          <w:szCs w:val="20"/>
        </w:rPr>
        <w:t xml:space="preserve">and compliance responsibilities.  This in no way relieves the MAP Lender from </w:t>
      </w:r>
      <w:r w:rsidRPr="001C1CCB" w:rsidR="00C53B77">
        <w:rPr>
          <w:rFonts w:ascii="Times New Roman" w:hAnsi="Times New Roman"/>
          <w:sz w:val="24"/>
          <w:szCs w:val="20"/>
        </w:rPr>
        <w:t xml:space="preserve">the </w:t>
      </w:r>
      <w:r w:rsidRPr="001C1CCB">
        <w:rPr>
          <w:rFonts w:ascii="Times New Roman" w:hAnsi="Times New Roman"/>
          <w:sz w:val="24"/>
          <w:szCs w:val="20"/>
        </w:rPr>
        <w:t xml:space="preserve">responsibility </w:t>
      </w:r>
      <w:r w:rsidRPr="001C1CCB" w:rsidR="00C53B77">
        <w:rPr>
          <w:rFonts w:ascii="Times New Roman" w:hAnsi="Times New Roman"/>
          <w:sz w:val="24"/>
          <w:szCs w:val="20"/>
        </w:rPr>
        <w:t xml:space="preserve">of </w:t>
      </w:r>
      <w:r w:rsidRPr="001C1CCB">
        <w:rPr>
          <w:rFonts w:ascii="Times New Roman" w:hAnsi="Times New Roman"/>
          <w:sz w:val="24"/>
          <w:szCs w:val="20"/>
        </w:rPr>
        <w:t>underwriting and programmatic compliance.</w:t>
      </w:r>
    </w:p>
    <w:p w:rsidR="00612F3A" w:rsidRPr="001C1CCB" w:rsidP="003B6F56" w14:paraId="2EB4E08B" w14:textId="77777777">
      <w:pPr>
        <w:overflowPunct w:val="0"/>
        <w:autoSpaceDE w:val="0"/>
        <w:autoSpaceDN w:val="0"/>
        <w:adjustRightInd w:val="0"/>
        <w:spacing w:before="80" w:after="80"/>
        <w:ind w:left="720" w:firstLine="0"/>
        <w:jc w:val="both"/>
        <w:textAlignment w:val="baseline"/>
        <w:outlineLvl w:val="0"/>
        <w:rPr>
          <w:rFonts w:ascii="Times New Roman" w:hAnsi="Times New Roman"/>
          <w:sz w:val="24"/>
          <w:szCs w:val="20"/>
        </w:rPr>
      </w:pPr>
      <w:r w:rsidRPr="001C1CCB">
        <w:rPr>
          <w:rFonts w:ascii="Times New Roman" w:hAnsi="Times New Roman"/>
          <w:sz w:val="24"/>
          <w:szCs w:val="20"/>
        </w:rPr>
        <w:t xml:space="preserve">The basic function of a MAP approved Underwriter is to objectively evaluate factors in making a credit approval recommendation, for example: </w:t>
      </w:r>
      <w:r w:rsidRPr="001C1CCB" w:rsidR="007F47CB">
        <w:rPr>
          <w:rFonts w:ascii="Times New Roman" w:hAnsi="Times New Roman"/>
          <w:sz w:val="24"/>
          <w:szCs w:val="20"/>
        </w:rPr>
        <w:t xml:space="preserve"> c</w:t>
      </w:r>
      <w:r w:rsidRPr="001C1CCB">
        <w:rPr>
          <w:rFonts w:ascii="Times New Roman" w:hAnsi="Times New Roman"/>
          <w:sz w:val="24"/>
          <w:szCs w:val="20"/>
        </w:rPr>
        <w:t xml:space="preserve">haracter, creditworthiness, competence, and capacity of the borrower and development team members; </w:t>
      </w:r>
      <w:r w:rsidRPr="001C1CCB" w:rsidR="007F47CB">
        <w:rPr>
          <w:rFonts w:ascii="Times New Roman" w:hAnsi="Times New Roman"/>
          <w:sz w:val="24"/>
          <w:szCs w:val="20"/>
        </w:rPr>
        <w:t>c</w:t>
      </w:r>
      <w:r w:rsidRPr="001C1CCB">
        <w:rPr>
          <w:rFonts w:ascii="Times New Roman" w:hAnsi="Times New Roman"/>
          <w:sz w:val="24"/>
          <w:szCs w:val="20"/>
        </w:rPr>
        <w:t xml:space="preserve">ash flow sufficient to service the proposed loan; </w:t>
      </w:r>
      <w:r w:rsidRPr="001C1CCB" w:rsidR="007F47CB">
        <w:rPr>
          <w:rFonts w:ascii="Times New Roman" w:hAnsi="Times New Roman"/>
          <w:sz w:val="24"/>
          <w:szCs w:val="20"/>
        </w:rPr>
        <w:t>c</w:t>
      </w:r>
      <w:r w:rsidRPr="001C1CCB">
        <w:rPr>
          <w:rFonts w:ascii="Times New Roman" w:hAnsi="Times New Roman"/>
          <w:sz w:val="24"/>
          <w:szCs w:val="20"/>
        </w:rPr>
        <w:t xml:space="preserve">ollateral quality, including valuation, physical condition, environmental </w:t>
      </w:r>
      <w:r w:rsidRPr="001C1CCB">
        <w:rPr>
          <w:rFonts w:ascii="Times New Roman" w:hAnsi="Times New Roman"/>
          <w:sz w:val="24"/>
          <w:szCs w:val="20"/>
        </w:rPr>
        <w:t>factors</w:t>
      </w:r>
      <w:r w:rsidRPr="001C1CCB">
        <w:rPr>
          <w:rFonts w:ascii="Times New Roman" w:hAnsi="Times New Roman"/>
          <w:sz w:val="24"/>
          <w:szCs w:val="20"/>
        </w:rPr>
        <w:t xml:space="preserve"> and location; </w:t>
      </w:r>
      <w:r w:rsidRPr="001C1CCB" w:rsidR="007F47CB">
        <w:rPr>
          <w:rFonts w:ascii="Times New Roman" w:hAnsi="Times New Roman"/>
          <w:sz w:val="24"/>
          <w:szCs w:val="20"/>
        </w:rPr>
        <w:t>c</w:t>
      </w:r>
      <w:r w:rsidRPr="001C1CCB">
        <w:rPr>
          <w:rFonts w:ascii="Times New Roman" w:hAnsi="Times New Roman"/>
          <w:sz w:val="24"/>
          <w:szCs w:val="20"/>
        </w:rPr>
        <w:t>ompliance with HUD program and processing requirements.  The Underwriter must identify all material risks and weaknesses, with appropriate mitigat</w:t>
      </w:r>
      <w:r w:rsidRPr="001C1CCB" w:rsidR="007F47CB">
        <w:rPr>
          <w:rFonts w:ascii="Times New Roman" w:hAnsi="Times New Roman"/>
          <w:sz w:val="24"/>
          <w:szCs w:val="20"/>
        </w:rPr>
        <w:t>ing factors</w:t>
      </w:r>
      <w:r w:rsidRPr="001C1CCB">
        <w:rPr>
          <w:rFonts w:ascii="Times New Roman" w:hAnsi="Times New Roman"/>
          <w:sz w:val="24"/>
          <w:szCs w:val="20"/>
        </w:rPr>
        <w:t xml:space="preserve"> including quantitative analysis and stress testing to identify the impact of “worst case” scenarios.  If a transaction recommended by a lender is properly underwritten and processed, and is complete and technically compliant, HUD’s role is to review the application and the lender can assume a timely determination. </w:t>
      </w:r>
    </w:p>
    <w:p w:rsidR="00612F3A" w:rsidRPr="001C1CCB" w:rsidP="003B6F56" w14:paraId="6C16EE6A" w14:textId="359F017D">
      <w:pPr>
        <w:ind w:left="720" w:firstLine="0"/>
        <w:jc w:val="both"/>
        <w:rPr>
          <w:rFonts w:ascii="Times New Roman" w:hAnsi="Times New Roman"/>
          <w:sz w:val="24"/>
          <w:szCs w:val="20"/>
        </w:rPr>
      </w:pPr>
      <w:r w:rsidRPr="001C1CCB">
        <w:rPr>
          <w:rFonts w:ascii="Times New Roman" w:hAnsi="Times New Roman"/>
          <w:sz w:val="24"/>
          <w:szCs w:val="20"/>
        </w:rPr>
        <w:t xml:space="preserve">If the application fails to identify material underwriting risks and </w:t>
      </w:r>
      <w:r w:rsidRPr="001C1CCB" w:rsidR="007F47CB">
        <w:rPr>
          <w:rFonts w:ascii="Times New Roman" w:hAnsi="Times New Roman"/>
          <w:sz w:val="24"/>
          <w:szCs w:val="20"/>
        </w:rPr>
        <w:t>mitigating factors</w:t>
      </w:r>
      <w:r w:rsidRPr="001C1CCB">
        <w:rPr>
          <w:rFonts w:ascii="Times New Roman" w:hAnsi="Times New Roman"/>
          <w:sz w:val="24"/>
          <w:szCs w:val="20"/>
        </w:rPr>
        <w:t>, or has material processing or compliance deficiencies, HUD has the option to reject the application, re-underwrite it and approve with conditions, or return the application to the lender for modifications to address deficiencies.</w:t>
      </w:r>
    </w:p>
    <w:p w:rsidR="00BF504C" w:rsidRPr="001C1CCB" w:rsidP="00612F3A" w14:paraId="3008E690" w14:textId="77777777">
      <w:pPr>
        <w:ind w:left="720" w:firstLine="0"/>
        <w:jc w:val="both"/>
        <w:rPr>
          <w:rFonts w:ascii="Times New (W1)" w:hAnsi="Times New (W1)"/>
          <w:sz w:val="20"/>
          <w:szCs w:val="20"/>
        </w:rPr>
      </w:pPr>
    </w:p>
    <w:p w:rsidR="005978A4" w:rsidRPr="001C1CCB" w:rsidP="005978A4" w14:paraId="66446B42" w14:textId="77777777">
      <w:pPr>
        <w:spacing w:before="120"/>
        <w:ind w:left="720" w:firstLine="0"/>
        <w:jc w:val="both"/>
        <w:rPr>
          <w:rFonts w:ascii="Times New Roman" w:hAnsi="Times New Roman"/>
          <w:sz w:val="24"/>
          <w:szCs w:val="24"/>
        </w:rPr>
      </w:pPr>
      <w:r w:rsidRPr="001C1CCB">
        <w:rPr>
          <w:rFonts w:ascii="Times New Roman" w:hAnsi="Times New Roman"/>
          <w:b/>
          <w:sz w:val="24"/>
          <w:szCs w:val="24"/>
        </w:rPr>
        <w:t>Detailed</w:t>
      </w:r>
      <w:r w:rsidRPr="001C1CCB" w:rsidR="008C2491">
        <w:rPr>
          <w:rFonts w:ascii="Times New Roman" w:hAnsi="Times New Roman"/>
          <w:b/>
          <w:sz w:val="24"/>
          <w:szCs w:val="24"/>
        </w:rPr>
        <w:t xml:space="preserve"> Scope of</w:t>
      </w:r>
      <w:r w:rsidRPr="001C1CCB">
        <w:rPr>
          <w:rFonts w:ascii="Times New Roman" w:hAnsi="Times New Roman"/>
          <w:b/>
          <w:sz w:val="24"/>
          <w:szCs w:val="24"/>
        </w:rPr>
        <w:t xml:space="preserve"> Work Write-up</w:t>
      </w:r>
    </w:p>
    <w:p w:rsidR="00D54917" w:rsidRPr="001C1CCB" w:rsidP="005978A4" w14:paraId="77840C7A" w14:textId="5534D10B">
      <w:pPr>
        <w:spacing w:after="120"/>
        <w:ind w:left="720" w:firstLine="0"/>
        <w:jc w:val="both"/>
        <w:rPr>
          <w:rFonts w:ascii="Times New Roman" w:hAnsi="Times New Roman"/>
          <w:sz w:val="24"/>
          <w:szCs w:val="24"/>
        </w:rPr>
      </w:pPr>
      <w:r w:rsidRPr="001C1CCB">
        <w:rPr>
          <w:rFonts w:ascii="Times New Roman" w:hAnsi="Times New Roman"/>
          <w:sz w:val="24"/>
          <w:szCs w:val="24"/>
        </w:rPr>
        <w:t>Existing properties undergoing substantial rehabilitation require a written due diligence summary description of the project prepared by MAP Lender’s project architect and/or construction analyst.  The Work Write-up outlines all the proposed construction work at the property and should address the findings from onsite inspections and other due diligence required to properly evaluate areas of deficiency and other necessary improvements.  A preliminary draft of a Write-up is used to develop the detailed plans and specifications (construction documents) by the architect.  The final Scope of Work Write-up should accurately outline all the construction activities illustrated in the architect’s final set of construction documents ensuring that the property’s identified rehabilitation needs are fully addressed</w:t>
      </w:r>
      <w:r w:rsidRPr="001C1CCB">
        <w:rPr>
          <w:rFonts w:ascii="Times New Roman" w:hAnsi="Times New Roman"/>
          <w:sz w:val="24"/>
          <w:szCs w:val="24"/>
        </w:rPr>
        <w:t xml:space="preserve">. </w:t>
      </w:r>
    </w:p>
    <w:p w:rsidR="005978A4" w:rsidRPr="001C1CCB" w:rsidP="005978A4" w14:paraId="47212820" w14:textId="77777777">
      <w:pPr>
        <w:spacing w:before="120"/>
        <w:ind w:left="720" w:firstLine="0"/>
        <w:jc w:val="both"/>
        <w:rPr>
          <w:rFonts w:ascii="Times New Roman" w:hAnsi="Times New Roman"/>
          <w:b/>
          <w:sz w:val="24"/>
          <w:szCs w:val="24"/>
        </w:rPr>
      </w:pPr>
      <w:r w:rsidRPr="001C1CCB">
        <w:rPr>
          <w:rFonts w:ascii="Times New Roman" w:hAnsi="Times New Roman"/>
          <w:b/>
          <w:sz w:val="24"/>
          <w:szCs w:val="24"/>
        </w:rPr>
        <w:t>Market Studies</w:t>
      </w:r>
    </w:p>
    <w:p w:rsidR="00C40834" w:rsidRPr="001C1CCB" w:rsidP="00615BA2" w14:paraId="6BEB6288" w14:textId="34DEBAD9">
      <w:pPr>
        <w:ind w:left="720" w:firstLine="0"/>
        <w:jc w:val="both"/>
        <w:rPr>
          <w:rFonts w:ascii="Times New Roman" w:hAnsi="Times New Roman"/>
          <w:sz w:val="24"/>
          <w:szCs w:val="24"/>
        </w:rPr>
      </w:pPr>
      <w:r w:rsidRPr="001C1CCB">
        <w:rPr>
          <w:rFonts w:ascii="Times New Roman" w:hAnsi="Times New Roman"/>
          <w:sz w:val="24"/>
          <w:szCs w:val="24"/>
        </w:rPr>
        <w:t xml:space="preserve">All proposed construction loans require </w:t>
      </w:r>
      <w:r w:rsidRPr="001C1CCB" w:rsidR="00745C9F">
        <w:rPr>
          <w:rFonts w:ascii="Times New Roman" w:hAnsi="Times New Roman"/>
          <w:sz w:val="24"/>
          <w:szCs w:val="24"/>
        </w:rPr>
        <w:t>a market study</w:t>
      </w:r>
      <w:r w:rsidRPr="001C1CCB" w:rsidR="00BA5166">
        <w:rPr>
          <w:rFonts w:ascii="Times New Roman" w:hAnsi="Times New Roman"/>
          <w:sz w:val="24"/>
          <w:szCs w:val="24"/>
        </w:rPr>
        <w:t>.</w:t>
      </w:r>
      <w:r w:rsidRPr="001C1CCB" w:rsidR="000B27D7">
        <w:rPr>
          <w:rFonts w:ascii="Times New Roman" w:hAnsi="Times New Roman"/>
          <w:sz w:val="24"/>
          <w:szCs w:val="24"/>
        </w:rPr>
        <w:t xml:space="preserve">  </w:t>
      </w:r>
      <w:r w:rsidRPr="001C1CCB" w:rsidR="00FC7430">
        <w:rPr>
          <w:rFonts w:ascii="Times New Roman" w:hAnsi="Times New Roman"/>
          <w:sz w:val="24"/>
          <w:szCs w:val="24"/>
        </w:rPr>
        <w:t xml:space="preserve">The purpose of the market study is to assure that there is enough sustainable demand for additional units without adversely impacting the existing supply, </w:t>
      </w:r>
      <w:r w:rsidRPr="001C1CCB" w:rsidR="00DA7870">
        <w:rPr>
          <w:rFonts w:ascii="Times New Roman" w:hAnsi="Times New Roman"/>
          <w:sz w:val="24"/>
          <w:szCs w:val="24"/>
        </w:rPr>
        <w:t>to</w:t>
      </w:r>
      <w:r w:rsidRPr="001C1CCB" w:rsidR="00FC7430">
        <w:rPr>
          <w:rFonts w:ascii="Times New Roman" w:hAnsi="Times New Roman"/>
          <w:sz w:val="24"/>
          <w:szCs w:val="24"/>
        </w:rPr>
        <w:t xml:space="preserve"> maintain a balanced overall market.  The focus of the market study is on the overall demand within a defined market area, and of the proposed project’s ability to capture and sustain a share of the total or incremental demand.</w:t>
      </w:r>
      <w:r w:rsidRPr="001C1CCB" w:rsidR="008B0088">
        <w:rPr>
          <w:rFonts w:ascii="Times New Roman" w:hAnsi="Times New Roman"/>
          <w:sz w:val="24"/>
          <w:szCs w:val="24"/>
        </w:rPr>
        <w:t xml:space="preserve"> </w:t>
      </w:r>
      <w:r w:rsidRPr="001C1CCB" w:rsidR="002F173C">
        <w:rPr>
          <w:rFonts w:ascii="Times New Roman" w:hAnsi="Times New Roman"/>
          <w:sz w:val="24"/>
          <w:szCs w:val="24"/>
        </w:rPr>
        <w:t>For</w:t>
      </w:r>
      <w:r w:rsidRPr="001C1CCB" w:rsidR="006C79C9">
        <w:rPr>
          <w:rFonts w:ascii="Times New Roman" w:hAnsi="Times New Roman"/>
          <w:sz w:val="24"/>
          <w:szCs w:val="24"/>
        </w:rPr>
        <w:t xml:space="preserve"> existing project</w:t>
      </w:r>
      <w:r w:rsidRPr="001C1CCB" w:rsidR="002F173C">
        <w:rPr>
          <w:rFonts w:ascii="Times New Roman" w:hAnsi="Times New Roman"/>
          <w:sz w:val="24"/>
          <w:szCs w:val="24"/>
        </w:rPr>
        <w:t>s</w:t>
      </w:r>
      <w:r w:rsidRPr="001C1CCB" w:rsidR="006C79C9">
        <w:rPr>
          <w:rFonts w:ascii="Times New Roman" w:hAnsi="Times New Roman"/>
          <w:sz w:val="24"/>
          <w:szCs w:val="24"/>
        </w:rPr>
        <w:t xml:space="preserve"> proposed for refinance or purchase</w:t>
      </w:r>
      <w:r w:rsidRPr="001C1CCB" w:rsidR="002F173C">
        <w:rPr>
          <w:rFonts w:ascii="Times New Roman" w:hAnsi="Times New Roman"/>
          <w:sz w:val="24"/>
          <w:szCs w:val="24"/>
        </w:rPr>
        <w:t xml:space="preserve">, Lenders and HUD rely on </w:t>
      </w:r>
      <w:r w:rsidRPr="001C1CCB" w:rsidR="0035066B">
        <w:rPr>
          <w:rFonts w:ascii="Times New Roman" w:hAnsi="Times New Roman"/>
          <w:sz w:val="24"/>
          <w:szCs w:val="24"/>
        </w:rPr>
        <w:t>the property</w:t>
      </w:r>
      <w:r w:rsidRPr="001C1CCB" w:rsidR="00EB6567">
        <w:rPr>
          <w:rFonts w:ascii="Times New Roman" w:hAnsi="Times New Roman"/>
          <w:sz w:val="24"/>
          <w:szCs w:val="24"/>
        </w:rPr>
        <w:t>’s rental</w:t>
      </w:r>
      <w:r w:rsidRPr="001C1CCB" w:rsidR="0035066B">
        <w:rPr>
          <w:rFonts w:ascii="Times New Roman" w:hAnsi="Times New Roman"/>
          <w:sz w:val="24"/>
          <w:szCs w:val="24"/>
        </w:rPr>
        <w:t xml:space="preserve"> history and the appraisal </w:t>
      </w:r>
      <w:r w:rsidRPr="001C1CCB" w:rsidR="00EB6567">
        <w:rPr>
          <w:rFonts w:ascii="Times New Roman" w:hAnsi="Times New Roman"/>
          <w:sz w:val="24"/>
          <w:szCs w:val="24"/>
        </w:rPr>
        <w:t xml:space="preserve">to determine relevant market </w:t>
      </w:r>
      <w:r w:rsidRPr="001C1CCB" w:rsidR="00BB04AB">
        <w:rPr>
          <w:rFonts w:ascii="Times New Roman" w:hAnsi="Times New Roman"/>
          <w:sz w:val="24"/>
          <w:szCs w:val="24"/>
        </w:rPr>
        <w:t>conditions but</w:t>
      </w:r>
      <w:r w:rsidRPr="001C1CCB" w:rsidR="00EB6567">
        <w:rPr>
          <w:rFonts w:ascii="Times New Roman" w:hAnsi="Times New Roman"/>
          <w:sz w:val="24"/>
          <w:szCs w:val="24"/>
        </w:rPr>
        <w:t xml:space="preserve"> reserve the right to require </w:t>
      </w:r>
      <w:r w:rsidRPr="001C1CCB" w:rsidR="00615BA2">
        <w:rPr>
          <w:rFonts w:ascii="Times New Roman" w:hAnsi="Times New Roman"/>
          <w:sz w:val="24"/>
          <w:szCs w:val="24"/>
        </w:rPr>
        <w:t xml:space="preserve">a market study if the property </w:t>
      </w:r>
      <w:r w:rsidRPr="001C1CCB" w:rsidR="006C79C9">
        <w:rPr>
          <w:rFonts w:ascii="Times New Roman" w:hAnsi="Times New Roman"/>
          <w:sz w:val="24"/>
          <w:szCs w:val="24"/>
        </w:rPr>
        <w:t>is located in</w:t>
      </w:r>
      <w:r w:rsidRPr="001C1CCB" w:rsidR="006C79C9">
        <w:rPr>
          <w:rFonts w:ascii="Times New Roman" w:hAnsi="Times New Roman"/>
          <w:sz w:val="24"/>
          <w:szCs w:val="24"/>
        </w:rPr>
        <w:t xml:space="preserve"> a we</w:t>
      </w:r>
      <w:r w:rsidRPr="001C1CCB" w:rsidR="007847DD">
        <w:rPr>
          <w:rFonts w:ascii="Times New Roman" w:hAnsi="Times New Roman"/>
          <w:sz w:val="24"/>
          <w:szCs w:val="24"/>
        </w:rPr>
        <w:t>a</w:t>
      </w:r>
      <w:r w:rsidRPr="001C1CCB" w:rsidR="006C79C9">
        <w:rPr>
          <w:rFonts w:ascii="Times New Roman" w:hAnsi="Times New Roman"/>
          <w:sz w:val="24"/>
          <w:szCs w:val="24"/>
        </w:rPr>
        <w:t xml:space="preserve">k or </w:t>
      </w:r>
      <w:r w:rsidRPr="001C1CCB" w:rsidR="007847DD">
        <w:rPr>
          <w:rFonts w:ascii="Times New Roman" w:hAnsi="Times New Roman"/>
          <w:sz w:val="24"/>
          <w:szCs w:val="24"/>
        </w:rPr>
        <w:t>unstable rental market</w:t>
      </w:r>
      <w:r w:rsidRPr="001C1CCB" w:rsidR="00615BA2">
        <w:rPr>
          <w:rFonts w:ascii="Times New Roman" w:hAnsi="Times New Roman"/>
          <w:sz w:val="24"/>
          <w:szCs w:val="24"/>
        </w:rPr>
        <w:t>.</w:t>
      </w:r>
    </w:p>
    <w:p w:rsidR="00C40834" w:rsidRPr="001C1CCB" w:rsidP="00615BA2" w14:paraId="1038A68C" w14:textId="77777777">
      <w:pPr>
        <w:ind w:left="720" w:firstLine="0"/>
        <w:jc w:val="both"/>
        <w:rPr>
          <w:rFonts w:ascii="Times New Roman" w:hAnsi="Times New Roman"/>
          <w:sz w:val="24"/>
          <w:szCs w:val="24"/>
        </w:rPr>
      </w:pPr>
    </w:p>
    <w:p w:rsidR="00E53F22" w:rsidRPr="001C1CCB" w:rsidP="005978A4" w14:paraId="15DB6ECE" w14:textId="77777777">
      <w:pPr>
        <w:ind w:left="360"/>
        <w:jc w:val="both"/>
        <w:rPr>
          <w:rFonts w:ascii="Times New Roman" w:hAnsi="Times New Roman"/>
          <w:sz w:val="24"/>
          <w:szCs w:val="24"/>
        </w:rPr>
      </w:pPr>
    </w:p>
    <w:p w:rsidR="00D54917" w:rsidRPr="001C1CCB" w:rsidP="00D54917" w14:paraId="5E2B234B" w14:textId="2A7429DC">
      <w:pPr>
        <w:spacing w:before="120" w:after="120"/>
        <w:ind w:left="720" w:firstLine="0"/>
        <w:jc w:val="both"/>
        <w:rPr>
          <w:rFonts w:ascii="Times New (W1)" w:hAnsi="Times New (W1)"/>
          <w:b/>
          <w:sz w:val="24"/>
          <w:u w:val="single"/>
        </w:rPr>
      </w:pPr>
      <w:r w:rsidRPr="001C1CCB">
        <w:rPr>
          <w:rFonts w:ascii="Times New (W1)" w:hAnsi="Times New (W1)"/>
          <w:b/>
          <w:sz w:val="24"/>
          <w:u w:val="single"/>
        </w:rPr>
        <w:t>Standard Practice Forms</w:t>
      </w:r>
    </w:p>
    <w:p w:rsidR="00C124F6" w:rsidRPr="001C1CCB" w:rsidP="00D54917" w14:paraId="4576A71A" w14:textId="6C8EA1C3">
      <w:pPr>
        <w:spacing w:before="120" w:after="120"/>
        <w:ind w:left="720" w:firstLine="0"/>
        <w:jc w:val="both"/>
        <w:rPr>
          <w:rFonts w:ascii="Times New (W1)" w:hAnsi="Times New (W1)"/>
          <w:bCs/>
          <w:sz w:val="24"/>
        </w:rPr>
      </w:pPr>
      <w:r w:rsidRPr="001C1CCB">
        <w:rPr>
          <w:rFonts w:ascii="Times New (W1)" w:hAnsi="Times New (W1)"/>
          <w:bCs/>
          <w:sz w:val="24"/>
        </w:rPr>
        <w:t xml:space="preserve">Because </w:t>
      </w:r>
      <w:r w:rsidRPr="001C1CCB" w:rsidR="000B0107">
        <w:rPr>
          <w:rFonts w:ascii="Times New (W1)" w:hAnsi="Times New (W1)"/>
          <w:bCs/>
          <w:sz w:val="24"/>
        </w:rPr>
        <w:t>HUD’s multifamily mortgage insurance business is a subset of the</w:t>
      </w:r>
      <w:r w:rsidRPr="001C1CCB" w:rsidR="001055BA">
        <w:rPr>
          <w:rFonts w:ascii="Times New (W1)" w:hAnsi="Times New (W1)"/>
          <w:bCs/>
          <w:sz w:val="24"/>
        </w:rPr>
        <w:t xml:space="preserve"> commercial real estate finance industry, many industry</w:t>
      </w:r>
      <w:r w:rsidRPr="001C1CCB" w:rsidR="00BB04AB">
        <w:rPr>
          <w:rFonts w:ascii="Times New (W1)" w:hAnsi="Times New (W1)"/>
          <w:bCs/>
          <w:sz w:val="24"/>
        </w:rPr>
        <w:t>-</w:t>
      </w:r>
      <w:r w:rsidRPr="001C1CCB" w:rsidR="001055BA">
        <w:rPr>
          <w:rFonts w:ascii="Times New (W1)" w:hAnsi="Times New (W1)"/>
          <w:bCs/>
          <w:sz w:val="24"/>
        </w:rPr>
        <w:t xml:space="preserve">standard due diligence practices, </w:t>
      </w:r>
      <w:r w:rsidRPr="001C1CCB" w:rsidR="009332A6">
        <w:rPr>
          <w:rFonts w:ascii="Times New (W1)" w:hAnsi="Times New (W1)"/>
          <w:bCs/>
          <w:sz w:val="24"/>
        </w:rPr>
        <w:t>procedures</w:t>
      </w:r>
      <w:r w:rsidRPr="001C1CCB" w:rsidR="009332A6">
        <w:rPr>
          <w:rFonts w:ascii="Times New (W1)" w:hAnsi="Times New (W1)"/>
          <w:bCs/>
          <w:sz w:val="24"/>
        </w:rPr>
        <w:t xml:space="preserve"> and standards are used by</w:t>
      </w:r>
      <w:r w:rsidRPr="001C1CCB" w:rsidR="005D5EA4">
        <w:rPr>
          <w:rFonts w:ascii="Times New (W1)" w:hAnsi="Times New (W1)"/>
          <w:bCs/>
          <w:sz w:val="24"/>
        </w:rPr>
        <w:t xml:space="preserve"> Lenders and HUD to evaluate multifamily properties proposed for mortgage insurance.</w:t>
      </w:r>
      <w:r w:rsidRPr="001C1CCB" w:rsidR="005A5759">
        <w:rPr>
          <w:rFonts w:ascii="Times New (W1)" w:hAnsi="Times New (W1)"/>
          <w:bCs/>
          <w:sz w:val="24"/>
        </w:rPr>
        <w:t xml:space="preserve">  The primary </w:t>
      </w:r>
      <w:r w:rsidRPr="001C1CCB" w:rsidR="00BB5A0B">
        <w:rPr>
          <w:rFonts w:ascii="Times New (W1)" w:hAnsi="Times New (W1)"/>
          <w:bCs/>
          <w:sz w:val="24"/>
        </w:rPr>
        <w:t>examples of these are the following:</w:t>
      </w:r>
    </w:p>
    <w:p w:rsidR="00773F57" w:rsidRPr="001C1CCB" w:rsidP="00773F57" w14:paraId="12E82F6B" w14:textId="77777777">
      <w:pPr>
        <w:ind w:left="720" w:firstLine="0"/>
        <w:jc w:val="both"/>
        <w:rPr>
          <w:rFonts w:ascii="Times New Roman" w:hAnsi="Times New Roman"/>
          <w:sz w:val="24"/>
          <w:szCs w:val="24"/>
        </w:rPr>
      </w:pPr>
      <w:r w:rsidRPr="001C1CCB">
        <w:rPr>
          <w:rFonts w:ascii="Times New Roman" w:hAnsi="Times New Roman"/>
          <w:b/>
          <w:sz w:val="24"/>
          <w:szCs w:val="24"/>
        </w:rPr>
        <w:t>Drawings &amp; Specifications</w:t>
      </w:r>
    </w:p>
    <w:p w:rsidR="00820B61" w:rsidRPr="001C1CCB" w:rsidP="00503F28" w14:paraId="37F5D282" w14:textId="0FAED449">
      <w:pPr>
        <w:spacing w:after="120"/>
        <w:ind w:left="720" w:firstLine="0"/>
        <w:jc w:val="both"/>
        <w:rPr>
          <w:rFonts w:ascii="Times New Roman" w:hAnsi="Times New Roman"/>
          <w:b/>
          <w:sz w:val="24"/>
          <w:szCs w:val="24"/>
        </w:rPr>
      </w:pPr>
      <w:r w:rsidRPr="001C1CCB">
        <w:rPr>
          <w:rFonts w:ascii="Times New Roman" w:hAnsi="Times New Roman"/>
          <w:sz w:val="24"/>
          <w:szCs w:val="24"/>
        </w:rPr>
        <w:t xml:space="preserve">The MAP Lender will provide drawings and specifications </w:t>
      </w:r>
      <w:r w:rsidRPr="001C1CCB" w:rsidR="00F3611D">
        <w:rPr>
          <w:rFonts w:ascii="Times New Roman" w:hAnsi="Times New Roman"/>
          <w:sz w:val="24"/>
          <w:szCs w:val="24"/>
        </w:rPr>
        <w:t>(construction documents) completed by the project architect</w:t>
      </w:r>
      <w:r w:rsidRPr="001C1CCB">
        <w:rPr>
          <w:rFonts w:ascii="Times New Roman" w:hAnsi="Times New Roman"/>
          <w:sz w:val="24"/>
          <w:szCs w:val="24"/>
        </w:rPr>
        <w:t xml:space="preserve"> for </w:t>
      </w:r>
      <w:r w:rsidRPr="001C1CCB" w:rsidR="00503F28">
        <w:rPr>
          <w:rFonts w:ascii="Times New Roman" w:hAnsi="Times New Roman"/>
          <w:sz w:val="24"/>
          <w:szCs w:val="24"/>
        </w:rPr>
        <w:t xml:space="preserve">each </w:t>
      </w:r>
      <w:r w:rsidRPr="001C1CCB" w:rsidR="00B92D00">
        <w:rPr>
          <w:rFonts w:ascii="Times New Roman" w:hAnsi="Times New Roman"/>
          <w:sz w:val="24"/>
          <w:szCs w:val="24"/>
        </w:rPr>
        <w:t xml:space="preserve">new construction or substantial rehabilitation </w:t>
      </w:r>
      <w:r w:rsidRPr="001C1CCB">
        <w:rPr>
          <w:rFonts w:ascii="Times New Roman" w:hAnsi="Times New Roman"/>
          <w:sz w:val="24"/>
          <w:szCs w:val="24"/>
        </w:rPr>
        <w:t xml:space="preserve">eligible </w:t>
      </w:r>
      <w:r w:rsidRPr="001C1CCB" w:rsidR="00B92D00">
        <w:rPr>
          <w:rFonts w:ascii="Times New Roman" w:hAnsi="Times New Roman"/>
          <w:sz w:val="24"/>
          <w:szCs w:val="24"/>
        </w:rPr>
        <w:t xml:space="preserve">under the </w:t>
      </w:r>
      <w:r w:rsidRPr="001C1CCB">
        <w:rPr>
          <w:rFonts w:ascii="Times New Roman" w:hAnsi="Times New Roman"/>
          <w:sz w:val="24"/>
          <w:szCs w:val="24"/>
        </w:rPr>
        <w:t>Section of the Act.  The lender must hire a qualified construction analyst(s) with experience in multifamily construction to review the drawings and specifications prepared by the project architect and any related agreements for design and/or construction services</w:t>
      </w:r>
      <w:r w:rsidRPr="001C1CCB" w:rsidR="00300001">
        <w:rPr>
          <w:rFonts w:ascii="Times New Roman" w:hAnsi="Times New Roman"/>
          <w:sz w:val="24"/>
          <w:szCs w:val="24"/>
        </w:rPr>
        <w:t xml:space="preserve"> for compliance with the MAP Guide requirements</w:t>
      </w:r>
      <w:r w:rsidRPr="001C1CCB">
        <w:rPr>
          <w:rFonts w:ascii="Times New Roman" w:hAnsi="Times New Roman"/>
          <w:sz w:val="24"/>
          <w:szCs w:val="24"/>
        </w:rPr>
        <w:t xml:space="preserve">.  The </w:t>
      </w:r>
      <w:r w:rsidRPr="001C1CCB" w:rsidR="002701E7">
        <w:rPr>
          <w:rFonts w:ascii="Times New Roman" w:hAnsi="Times New Roman"/>
          <w:sz w:val="24"/>
          <w:szCs w:val="24"/>
        </w:rPr>
        <w:t>construction documents must conform</w:t>
      </w:r>
      <w:r w:rsidRPr="001C1CCB">
        <w:rPr>
          <w:rFonts w:ascii="Times New Roman" w:hAnsi="Times New Roman"/>
          <w:sz w:val="24"/>
          <w:szCs w:val="24"/>
        </w:rPr>
        <w:t xml:space="preserve"> with local building standards and construction methods, relevant national or international building codes and standards</w:t>
      </w:r>
      <w:r w:rsidRPr="001C1CCB" w:rsidR="000358FD">
        <w:rPr>
          <w:rFonts w:ascii="Times New Roman" w:hAnsi="Times New Roman"/>
          <w:sz w:val="24"/>
          <w:szCs w:val="24"/>
        </w:rPr>
        <w:t xml:space="preserve"> for each design</w:t>
      </w:r>
      <w:r w:rsidRPr="001C1CCB">
        <w:rPr>
          <w:rFonts w:ascii="Times New Roman" w:hAnsi="Times New Roman"/>
          <w:sz w:val="24"/>
          <w:szCs w:val="24"/>
        </w:rPr>
        <w:t xml:space="preserve"> category </w:t>
      </w:r>
      <w:r w:rsidRPr="001C1CCB" w:rsidR="002E600B">
        <w:rPr>
          <w:rFonts w:ascii="Times New Roman" w:hAnsi="Times New Roman"/>
          <w:sz w:val="24"/>
          <w:szCs w:val="24"/>
        </w:rPr>
        <w:t xml:space="preserve">such as </w:t>
      </w:r>
      <w:r w:rsidRPr="001C1CCB">
        <w:rPr>
          <w:rFonts w:ascii="Times New Roman" w:hAnsi="Times New Roman"/>
          <w:sz w:val="24"/>
          <w:szCs w:val="24"/>
        </w:rPr>
        <w:t xml:space="preserve">Architectural, </w:t>
      </w:r>
      <w:r w:rsidRPr="001C1CCB" w:rsidR="005F0974">
        <w:rPr>
          <w:rFonts w:ascii="Times New Roman" w:hAnsi="Times New Roman"/>
          <w:sz w:val="24"/>
          <w:szCs w:val="24"/>
        </w:rPr>
        <w:t>Civil</w:t>
      </w:r>
      <w:r w:rsidRPr="001C1CCB">
        <w:rPr>
          <w:rFonts w:ascii="Times New Roman" w:hAnsi="Times New Roman"/>
          <w:sz w:val="24"/>
          <w:szCs w:val="24"/>
        </w:rPr>
        <w:t xml:space="preserve">, Structural, </w:t>
      </w:r>
      <w:r w:rsidRPr="001C1CCB" w:rsidR="005F0974">
        <w:rPr>
          <w:rFonts w:ascii="Times New Roman" w:hAnsi="Times New Roman"/>
          <w:sz w:val="24"/>
          <w:szCs w:val="24"/>
        </w:rPr>
        <w:t>Mechanical</w:t>
      </w:r>
      <w:r w:rsidRPr="001C1CCB" w:rsidR="00BF06E2">
        <w:rPr>
          <w:rFonts w:ascii="Times New Roman" w:hAnsi="Times New Roman"/>
          <w:sz w:val="24"/>
          <w:szCs w:val="24"/>
        </w:rPr>
        <w:t>,</w:t>
      </w:r>
      <w:r w:rsidRPr="001C1CCB">
        <w:rPr>
          <w:rFonts w:ascii="Times New Roman" w:hAnsi="Times New Roman"/>
          <w:sz w:val="24"/>
          <w:szCs w:val="24"/>
        </w:rPr>
        <w:t xml:space="preserve"> Electrical,</w:t>
      </w:r>
      <w:r w:rsidRPr="001C1CCB" w:rsidR="00BF06E2">
        <w:rPr>
          <w:rFonts w:ascii="Times New Roman" w:hAnsi="Times New Roman"/>
          <w:sz w:val="24"/>
          <w:szCs w:val="24"/>
        </w:rPr>
        <w:t xml:space="preserve"> Plumbing</w:t>
      </w:r>
      <w:r w:rsidRPr="001C1CCB">
        <w:rPr>
          <w:rFonts w:ascii="Times New Roman" w:hAnsi="Times New Roman"/>
          <w:sz w:val="24"/>
          <w:szCs w:val="24"/>
        </w:rPr>
        <w:t xml:space="preserve"> etc</w:t>
      </w:r>
      <w:r w:rsidRPr="001C1CCB" w:rsidR="00503F28">
        <w:rPr>
          <w:rFonts w:ascii="Times New Roman" w:hAnsi="Times New Roman"/>
          <w:sz w:val="24"/>
          <w:szCs w:val="24"/>
        </w:rPr>
        <w:t>.</w:t>
      </w:r>
      <w:r w:rsidRPr="001C1CCB" w:rsidR="00BF06E2">
        <w:rPr>
          <w:rFonts w:ascii="Times New Roman" w:hAnsi="Times New Roman"/>
          <w:sz w:val="24"/>
          <w:szCs w:val="24"/>
        </w:rPr>
        <w:t xml:space="preserve">  </w:t>
      </w:r>
      <w:r w:rsidRPr="001C1CCB" w:rsidR="000F5387">
        <w:rPr>
          <w:rFonts w:ascii="Times New Roman" w:hAnsi="Times New Roman"/>
          <w:sz w:val="24"/>
          <w:szCs w:val="24"/>
        </w:rPr>
        <w:t>The site survey drawings must be completed by a qualified surveyor and conform to the</w:t>
      </w:r>
      <w:r w:rsidRPr="001C1CCB">
        <w:rPr>
          <w:rFonts w:ascii="Times New Roman" w:hAnsi="Times New Roman"/>
          <w:sz w:val="24"/>
          <w:szCs w:val="24"/>
        </w:rPr>
        <w:t xml:space="preserve"> ALTA/ACSM Land Title Survey ALTA/</w:t>
      </w:r>
      <w:r w:rsidRPr="001C1CCB" w:rsidR="00E2260D">
        <w:rPr>
          <w:rFonts w:ascii="Times New Roman" w:hAnsi="Times New Roman"/>
          <w:sz w:val="24"/>
          <w:szCs w:val="24"/>
        </w:rPr>
        <w:t xml:space="preserve">NSPS </w:t>
      </w:r>
      <w:r w:rsidRPr="001C1CCB">
        <w:rPr>
          <w:rFonts w:ascii="Times New Roman" w:hAnsi="Times New Roman"/>
          <w:sz w:val="24"/>
          <w:szCs w:val="24"/>
        </w:rPr>
        <w:t xml:space="preserve">Minimum Standard </w:t>
      </w:r>
      <w:r w:rsidRPr="001C1CCB">
        <w:rPr>
          <w:rFonts w:ascii="Times New Roman" w:hAnsi="Times New Roman"/>
          <w:sz w:val="24"/>
          <w:szCs w:val="24"/>
        </w:rPr>
        <w:t>Detail Requirements</w:t>
      </w:r>
      <w:r w:rsidRPr="001C1CCB" w:rsidR="00E45599">
        <w:rPr>
          <w:rFonts w:ascii="Times New Roman" w:hAnsi="Times New Roman"/>
          <w:sz w:val="24"/>
          <w:szCs w:val="24"/>
        </w:rPr>
        <w:t xml:space="preserve">.  </w:t>
      </w:r>
      <w:r w:rsidRPr="001C1CCB" w:rsidR="00B8483D">
        <w:rPr>
          <w:rFonts w:ascii="Times New Roman" w:hAnsi="Times New Roman"/>
          <w:sz w:val="24"/>
          <w:szCs w:val="24"/>
        </w:rPr>
        <w:t xml:space="preserve">A completed form HUD-91073M Surveyor’s Report must be attached.  </w:t>
      </w:r>
      <w:r w:rsidRPr="001C1CCB">
        <w:rPr>
          <w:rFonts w:ascii="Times New Roman" w:hAnsi="Times New Roman"/>
          <w:sz w:val="24"/>
          <w:szCs w:val="24"/>
        </w:rPr>
        <w:t xml:space="preserve">A complete set of drawings and specifications </w:t>
      </w:r>
      <w:r w:rsidRPr="001C1CCB" w:rsidR="00E45599">
        <w:rPr>
          <w:rFonts w:ascii="Times New Roman" w:hAnsi="Times New Roman"/>
          <w:sz w:val="24"/>
          <w:szCs w:val="24"/>
        </w:rPr>
        <w:t>are submitted with each application</w:t>
      </w:r>
      <w:r w:rsidRPr="001C1CCB" w:rsidR="00F76B2B">
        <w:rPr>
          <w:rFonts w:ascii="Times New Roman" w:hAnsi="Times New Roman"/>
          <w:sz w:val="24"/>
          <w:szCs w:val="24"/>
        </w:rPr>
        <w:t xml:space="preserve"> for Firm Commitment</w:t>
      </w:r>
      <w:r w:rsidRPr="001C1CCB" w:rsidR="00E45599">
        <w:rPr>
          <w:rFonts w:ascii="Times New Roman" w:hAnsi="Times New Roman"/>
          <w:sz w:val="24"/>
          <w:szCs w:val="24"/>
        </w:rPr>
        <w:t>.</w:t>
      </w:r>
      <w:r w:rsidRPr="001C1CCB" w:rsidR="005C669C">
        <w:rPr>
          <w:rFonts w:ascii="Times New Roman" w:hAnsi="Times New Roman"/>
          <w:sz w:val="24"/>
          <w:szCs w:val="24"/>
        </w:rPr>
        <w:t xml:space="preserve"> HUD describes requirements for drawings and specifications </w:t>
      </w:r>
      <w:r w:rsidRPr="001C1CCB" w:rsidR="00992C5B">
        <w:rPr>
          <w:rFonts w:ascii="Times New Roman" w:hAnsi="Times New Roman"/>
          <w:sz w:val="24"/>
          <w:szCs w:val="24"/>
        </w:rPr>
        <w:t xml:space="preserve">for </w:t>
      </w:r>
      <w:r w:rsidRPr="001C1CCB" w:rsidR="008840CC">
        <w:rPr>
          <w:rFonts w:ascii="Times New Roman" w:hAnsi="Times New Roman"/>
          <w:sz w:val="24"/>
          <w:szCs w:val="24"/>
        </w:rPr>
        <w:t>its</w:t>
      </w:r>
      <w:r w:rsidRPr="001C1CCB" w:rsidR="00992C5B">
        <w:rPr>
          <w:rFonts w:ascii="Times New Roman" w:hAnsi="Times New Roman"/>
          <w:sz w:val="24"/>
          <w:szCs w:val="24"/>
        </w:rPr>
        <w:t xml:space="preserve"> various programs in Chapter 5 of the MAP Guide and in its Appendi</w:t>
      </w:r>
      <w:r w:rsidRPr="001C1CCB" w:rsidR="00DE5223">
        <w:rPr>
          <w:rFonts w:ascii="Times New Roman" w:hAnsi="Times New Roman"/>
          <w:sz w:val="24"/>
          <w:szCs w:val="24"/>
        </w:rPr>
        <w:t>ces</w:t>
      </w:r>
      <w:r w:rsidRPr="001C1CCB" w:rsidR="00992C5B">
        <w:rPr>
          <w:rFonts w:ascii="Times New Roman" w:hAnsi="Times New Roman"/>
          <w:sz w:val="24"/>
          <w:szCs w:val="24"/>
        </w:rPr>
        <w:t xml:space="preserve"> A.5.</w:t>
      </w:r>
      <w:r w:rsidRPr="001C1CCB" w:rsidR="00DE5223">
        <w:rPr>
          <w:rFonts w:ascii="Times New Roman" w:hAnsi="Times New Roman"/>
          <w:sz w:val="24"/>
          <w:szCs w:val="24"/>
        </w:rPr>
        <w:t xml:space="preserve">4 and A.5.5. </w:t>
      </w:r>
    </w:p>
    <w:p w:rsidR="006924ED" w:rsidRPr="001C1CCB" w:rsidP="006924ED" w14:paraId="67173A6E" w14:textId="77777777">
      <w:pPr>
        <w:spacing w:before="120"/>
        <w:ind w:left="720" w:firstLine="0"/>
        <w:jc w:val="both"/>
        <w:rPr>
          <w:rFonts w:ascii="Times New Roman" w:hAnsi="Times New Roman"/>
          <w:b/>
          <w:sz w:val="24"/>
          <w:szCs w:val="24"/>
        </w:rPr>
      </w:pPr>
      <w:r w:rsidRPr="001C1CCB">
        <w:rPr>
          <w:rFonts w:ascii="Times New Roman" w:hAnsi="Times New Roman"/>
          <w:b/>
          <w:sz w:val="24"/>
          <w:szCs w:val="24"/>
        </w:rPr>
        <w:t>The American Institute of Architects (AIA) Standard Forms of Agreements and HUD Amendments</w:t>
      </w:r>
    </w:p>
    <w:p w:rsidR="00C60889" w:rsidRPr="001C1CCB" w:rsidP="006924ED" w14:paraId="45EE1FB2" w14:textId="072DCD5C">
      <w:pPr>
        <w:spacing w:after="120"/>
        <w:ind w:left="720" w:firstLine="0"/>
        <w:jc w:val="both"/>
        <w:rPr>
          <w:rFonts w:ascii="Times New Roman" w:hAnsi="Times New Roman"/>
          <w:b/>
          <w:sz w:val="24"/>
          <w:szCs w:val="24"/>
        </w:rPr>
      </w:pPr>
      <w:r w:rsidRPr="001C1CCB">
        <w:rPr>
          <w:rFonts w:ascii="Times New Roman" w:hAnsi="Times New Roman"/>
          <w:sz w:val="24"/>
          <w:szCs w:val="24"/>
        </w:rPr>
        <w:t>The form of contract required between the owner, project architect, and general contractor when employed for the MAP Guide transactions must be the AIA Standard Forms of Agreements. These forms are widely used by the industry for construction projects.  For new construction and substantial rehabilitation projects, the required AIA forms are B108 (between the architect and the owner) and A201 (general conditions). The form HUD-92408-M (current collection 2502-0589) specifies further HUD requirements and must be attached to B108.</w:t>
      </w:r>
      <w:r w:rsidRPr="001C1CCB" w:rsidR="00F5575C">
        <w:rPr>
          <w:rFonts w:ascii="Times New Roman" w:hAnsi="Times New Roman"/>
          <w:sz w:val="24"/>
          <w:szCs w:val="24"/>
        </w:rPr>
        <w:t xml:space="preserve"> When refinance or purchase loans involve repairs exceeding $15,000 per unit</w:t>
      </w:r>
      <w:r w:rsidRPr="001C1CCB" w:rsidR="00993083">
        <w:rPr>
          <w:rFonts w:ascii="Times New Roman" w:hAnsi="Times New Roman"/>
          <w:sz w:val="24"/>
          <w:szCs w:val="24"/>
        </w:rPr>
        <w:t xml:space="preserve"> HUD requires a graduated scale of documentation consistent with the </w:t>
      </w:r>
      <w:r w:rsidRPr="001C1CCB" w:rsidR="00A915E4">
        <w:rPr>
          <w:rFonts w:ascii="Times New Roman" w:hAnsi="Times New Roman"/>
          <w:sz w:val="24"/>
          <w:szCs w:val="24"/>
        </w:rPr>
        <w:t>increasing scale of repairs and alterations.</w:t>
      </w:r>
      <w:r w:rsidRPr="001C1CCB" w:rsidR="008C1097">
        <w:rPr>
          <w:rFonts w:ascii="Times New Roman" w:hAnsi="Times New Roman"/>
          <w:sz w:val="24"/>
          <w:szCs w:val="24"/>
        </w:rPr>
        <w:t xml:space="preserve"> Required forms of Owner/Architect Agreements and Owner/General Contactor agreements are described in MAP Guide Chapter 5</w:t>
      </w:r>
      <w:r w:rsidRPr="001C1CCB" w:rsidR="00826CA1">
        <w:rPr>
          <w:rFonts w:ascii="Times New Roman" w:hAnsi="Times New Roman"/>
          <w:sz w:val="24"/>
          <w:szCs w:val="24"/>
        </w:rPr>
        <w:t>.</w:t>
      </w:r>
    </w:p>
    <w:p w:rsidR="006924ED" w:rsidRPr="001C1CCB" w:rsidP="006924ED" w14:paraId="7F48FB13" w14:textId="77777777">
      <w:pPr>
        <w:spacing w:before="120"/>
        <w:ind w:left="720" w:firstLine="0"/>
        <w:jc w:val="both"/>
        <w:rPr>
          <w:rFonts w:ascii="Times New Roman" w:hAnsi="Times New Roman"/>
          <w:b/>
        </w:rPr>
      </w:pPr>
      <w:r w:rsidRPr="001C1CCB">
        <w:rPr>
          <w:rFonts w:ascii="Times New Roman" w:hAnsi="Times New Roman"/>
          <w:b/>
        </w:rPr>
        <w:t>Appraisers &amp; Market Analyst</w:t>
      </w:r>
    </w:p>
    <w:p w:rsidR="00820B61" w:rsidRPr="001C1CCB" w:rsidP="00FA3EBA" w14:paraId="6C998C08" w14:textId="0BD4BA9B">
      <w:pPr>
        <w:spacing w:after="240"/>
        <w:ind w:left="720" w:firstLine="0"/>
        <w:jc w:val="both"/>
        <w:rPr>
          <w:rFonts w:ascii="Times New Roman" w:hAnsi="Times New Roman"/>
          <w:sz w:val="24"/>
          <w:szCs w:val="24"/>
        </w:rPr>
      </w:pPr>
      <w:r w:rsidRPr="001C1CCB">
        <w:rPr>
          <w:rFonts w:ascii="Times New Roman" w:hAnsi="Times New Roman"/>
          <w:spacing w:val="-4"/>
          <w:sz w:val="24"/>
          <w:szCs w:val="24"/>
        </w:rPr>
        <w:t>MAP Lender</w:t>
      </w:r>
      <w:r w:rsidRPr="001C1CCB">
        <w:rPr>
          <w:rFonts w:ascii="Times New Roman" w:hAnsi="Times New Roman"/>
          <w:spacing w:val="-4"/>
          <w:sz w:val="24"/>
          <w:szCs w:val="24"/>
        </w:rPr>
        <w:t>s</w:t>
      </w:r>
      <w:r w:rsidRPr="001C1CCB">
        <w:rPr>
          <w:rFonts w:ascii="Times New Roman" w:hAnsi="Times New Roman"/>
          <w:spacing w:val="-4"/>
          <w:sz w:val="24"/>
          <w:szCs w:val="24"/>
        </w:rPr>
        <w:t xml:space="preserve"> are</w:t>
      </w:r>
      <w:r w:rsidRPr="001C1CCB">
        <w:rPr>
          <w:rFonts w:ascii="Times New Roman" w:hAnsi="Times New Roman"/>
          <w:spacing w:val="-4"/>
          <w:sz w:val="24"/>
          <w:szCs w:val="24"/>
        </w:rPr>
        <w:t xml:space="preserve"> responsible </w:t>
      </w:r>
      <w:r w:rsidRPr="001C1CCB">
        <w:rPr>
          <w:rFonts w:ascii="Times New Roman" w:hAnsi="Times New Roman"/>
          <w:spacing w:val="-4"/>
          <w:sz w:val="24"/>
          <w:szCs w:val="24"/>
        </w:rPr>
        <w:t>for</w:t>
      </w:r>
      <w:r w:rsidRPr="001C1CCB">
        <w:rPr>
          <w:rFonts w:ascii="Times New Roman" w:hAnsi="Times New Roman"/>
          <w:spacing w:val="-4"/>
          <w:sz w:val="24"/>
          <w:szCs w:val="24"/>
        </w:rPr>
        <w:t xml:space="preserve"> </w:t>
      </w:r>
      <w:r w:rsidRPr="001C1CCB">
        <w:rPr>
          <w:rFonts w:ascii="Times New Roman" w:hAnsi="Times New Roman"/>
          <w:spacing w:val="-4"/>
          <w:sz w:val="24"/>
          <w:szCs w:val="24"/>
        </w:rPr>
        <w:t xml:space="preserve">the </w:t>
      </w:r>
      <w:r w:rsidRPr="001C1CCB">
        <w:rPr>
          <w:rFonts w:ascii="Times New Roman" w:hAnsi="Times New Roman"/>
          <w:spacing w:val="-4"/>
          <w:sz w:val="24"/>
          <w:szCs w:val="24"/>
        </w:rPr>
        <w:t xml:space="preserve">selection and approval </w:t>
      </w:r>
      <w:r w:rsidRPr="001C1CCB">
        <w:rPr>
          <w:rFonts w:ascii="Times New Roman" w:hAnsi="Times New Roman"/>
          <w:spacing w:val="-4"/>
          <w:sz w:val="24"/>
          <w:szCs w:val="24"/>
        </w:rPr>
        <w:t xml:space="preserve">of </w:t>
      </w:r>
      <w:r w:rsidRPr="001C1CCB">
        <w:rPr>
          <w:rFonts w:ascii="Times New Roman" w:hAnsi="Times New Roman"/>
          <w:spacing w:val="-4"/>
          <w:sz w:val="24"/>
          <w:szCs w:val="24"/>
        </w:rPr>
        <w:t xml:space="preserve">appraisers and market analysts who are familiar with MAP guidelines.  </w:t>
      </w:r>
      <w:r w:rsidRPr="001C1CCB">
        <w:rPr>
          <w:rFonts w:ascii="Times New Roman" w:hAnsi="Times New Roman"/>
          <w:sz w:val="24"/>
          <w:szCs w:val="24"/>
        </w:rPr>
        <w:t>A lender will locate a Certified General Appraiser from the Appraisal Subcommittee of the Federal Financial Institutions Examination Council</w:t>
      </w:r>
      <w:r w:rsidRPr="001C1CCB" w:rsidR="00BE2999">
        <w:rPr>
          <w:rFonts w:ascii="Times New Roman" w:hAnsi="Times New Roman"/>
          <w:sz w:val="24"/>
          <w:szCs w:val="24"/>
        </w:rPr>
        <w:t xml:space="preserve"> (FFIEC).  The FFIEC</w:t>
      </w:r>
      <w:r w:rsidRPr="001C1CCB">
        <w:rPr>
          <w:rFonts w:ascii="Times New Roman" w:hAnsi="Times New Roman"/>
          <w:sz w:val="24"/>
          <w:szCs w:val="24"/>
        </w:rPr>
        <w:t xml:space="preserve"> maintains a national registry of Certified General Appraisers who are authorized, under Federal law, to perform appraisals in connection with federally related transactions.</w:t>
      </w:r>
      <w:r w:rsidRPr="001C1CCB">
        <w:rPr>
          <w:rFonts w:ascii="Times New Roman" w:hAnsi="Times New Roman"/>
          <w:spacing w:val="-4"/>
          <w:sz w:val="24"/>
          <w:szCs w:val="24"/>
        </w:rPr>
        <w:t xml:space="preserve"> </w:t>
      </w:r>
      <w:r w:rsidRPr="001C1CCB">
        <w:rPr>
          <w:rFonts w:ascii="Times New Roman" w:hAnsi="Times New Roman"/>
          <w:sz w:val="24"/>
          <w:szCs w:val="24"/>
          <w:shd w:val="clear" w:color="auto" w:fill="FFFFFF"/>
        </w:rPr>
        <w:t xml:space="preserve">The appraiser or the market analyst must be independent of and may not be affiliated with the loan originator, broker, developer, borrower, MAP Lender or any individual or institution involved in any other financial role in the application.  </w:t>
      </w:r>
      <w:r w:rsidRPr="001C1CCB">
        <w:rPr>
          <w:rFonts w:ascii="Times New Roman" w:hAnsi="Times New Roman"/>
          <w:spacing w:val="-4"/>
          <w:sz w:val="24"/>
          <w:szCs w:val="24"/>
        </w:rPr>
        <w:t xml:space="preserve">Lenders </w:t>
      </w:r>
      <w:r w:rsidRPr="001C1CCB">
        <w:rPr>
          <w:rFonts w:ascii="Times New Roman" w:hAnsi="Times New Roman"/>
          <w:spacing w:val="-4"/>
          <w:sz w:val="24"/>
          <w:szCs w:val="24"/>
          <w:shd w:val="clear" w:color="auto" w:fill="FFFFFF"/>
        </w:rPr>
        <w:t>must</w:t>
      </w:r>
      <w:r w:rsidRPr="001C1CCB">
        <w:rPr>
          <w:rFonts w:ascii="Times New Roman" w:hAnsi="Times New Roman"/>
          <w:spacing w:val="-4"/>
          <w:sz w:val="24"/>
          <w:szCs w:val="24"/>
        </w:rPr>
        <w:t xml:space="preserve"> ensure that each appraiser and market analyst selected </w:t>
      </w:r>
      <w:r w:rsidRPr="001C1CCB" w:rsidR="00C45E05">
        <w:rPr>
          <w:rFonts w:ascii="Times New Roman" w:hAnsi="Times New Roman"/>
          <w:spacing w:val="-4"/>
          <w:sz w:val="24"/>
          <w:szCs w:val="24"/>
        </w:rPr>
        <w:t>are</w:t>
      </w:r>
      <w:r w:rsidRPr="001C1CCB">
        <w:rPr>
          <w:rFonts w:ascii="Times New Roman" w:hAnsi="Times New Roman"/>
          <w:spacing w:val="-4"/>
          <w:sz w:val="24"/>
          <w:szCs w:val="24"/>
        </w:rPr>
        <w:t xml:space="preserve"> qualified to appraise or perform market analyses, respectively, for multifamily properties.  The lenders will perform their due diligence by reviewing their education, quality, and frequency of multifamily appraisal experience, sample appraisals and market studies, professional affiliations, and state licenses or certifications.  The appraiser is required to complete and sign various HUD forms related to the appraisal, </w:t>
      </w:r>
      <w:r w:rsidRPr="001C1CCB" w:rsidR="008840CC">
        <w:rPr>
          <w:rFonts w:ascii="Times New Roman" w:hAnsi="Times New Roman"/>
          <w:spacing w:val="-4"/>
          <w:sz w:val="24"/>
          <w:szCs w:val="24"/>
        </w:rPr>
        <w:t>i.e.,</w:t>
      </w:r>
      <w:r w:rsidRPr="001C1CCB">
        <w:rPr>
          <w:rFonts w:ascii="Times New Roman" w:hAnsi="Times New Roman"/>
          <w:spacing w:val="-4"/>
          <w:sz w:val="24"/>
          <w:szCs w:val="24"/>
        </w:rPr>
        <w:t xml:space="preserve"> </w:t>
      </w:r>
      <w:r w:rsidRPr="001C1CCB" w:rsidR="00C45E05">
        <w:rPr>
          <w:rFonts w:ascii="Times New Roman" w:hAnsi="Times New Roman"/>
          <w:spacing w:val="-4"/>
          <w:sz w:val="24"/>
          <w:szCs w:val="24"/>
        </w:rPr>
        <w:t xml:space="preserve">Forms </w:t>
      </w:r>
      <w:r w:rsidRPr="001C1CCB">
        <w:rPr>
          <w:rFonts w:ascii="Times New Roman" w:hAnsi="Times New Roman"/>
          <w:spacing w:val="-4"/>
          <w:sz w:val="24"/>
          <w:szCs w:val="24"/>
        </w:rPr>
        <w:t xml:space="preserve">HUD-92264, </w:t>
      </w:r>
      <w:r w:rsidRPr="001C1CCB" w:rsidR="00C45E05">
        <w:rPr>
          <w:rFonts w:ascii="Times New Roman" w:hAnsi="Times New Roman"/>
          <w:spacing w:val="-4"/>
          <w:sz w:val="24"/>
          <w:szCs w:val="24"/>
        </w:rPr>
        <w:t>-</w:t>
      </w:r>
      <w:r w:rsidRPr="001C1CCB">
        <w:rPr>
          <w:rFonts w:ascii="Times New Roman" w:hAnsi="Times New Roman"/>
          <w:spacing w:val="-4"/>
          <w:sz w:val="24"/>
          <w:szCs w:val="24"/>
        </w:rPr>
        <w:t xml:space="preserve">92273, </w:t>
      </w:r>
      <w:r w:rsidRPr="001C1CCB" w:rsidR="00C45E05">
        <w:rPr>
          <w:rFonts w:ascii="Times New Roman" w:hAnsi="Times New Roman"/>
          <w:spacing w:val="-4"/>
          <w:sz w:val="24"/>
          <w:szCs w:val="24"/>
        </w:rPr>
        <w:t>-</w:t>
      </w:r>
      <w:r w:rsidRPr="001C1CCB">
        <w:rPr>
          <w:rFonts w:ascii="Times New Roman" w:hAnsi="Times New Roman"/>
          <w:spacing w:val="-4"/>
          <w:sz w:val="24"/>
          <w:szCs w:val="24"/>
        </w:rPr>
        <w:t>92274</w:t>
      </w:r>
      <w:r w:rsidRPr="001C1CCB" w:rsidR="00782CF3">
        <w:rPr>
          <w:rFonts w:ascii="Times New Roman" w:hAnsi="Times New Roman"/>
          <w:spacing w:val="-4"/>
          <w:sz w:val="24"/>
          <w:szCs w:val="24"/>
        </w:rPr>
        <w:t xml:space="preserve"> </w:t>
      </w:r>
      <w:r w:rsidRPr="001C1CCB" w:rsidR="00782CF3">
        <w:rPr>
          <w:rFonts w:ascii="Times New Roman" w:hAnsi="Times New Roman"/>
          <w:spacing w:val="4"/>
          <w:sz w:val="24"/>
          <w:szCs w:val="24"/>
          <w:shd w:val="clear" w:color="auto" w:fill="FFFFFF"/>
        </w:rPr>
        <w:t>(current collection 2502-0029)</w:t>
      </w:r>
      <w:r w:rsidRPr="001C1CCB">
        <w:rPr>
          <w:rFonts w:ascii="Times New Roman" w:hAnsi="Times New Roman"/>
          <w:spacing w:val="-4"/>
          <w:sz w:val="24"/>
          <w:szCs w:val="24"/>
        </w:rPr>
        <w:t xml:space="preserve"> etc.</w:t>
      </w:r>
      <w:r w:rsidRPr="001C1CCB" w:rsidR="000D54BE">
        <w:rPr>
          <w:rFonts w:ascii="Times New Roman" w:hAnsi="Times New Roman"/>
          <w:spacing w:val="-4"/>
          <w:sz w:val="24"/>
          <w:szCs w:val="24"/>
        </w:rPr>
        <w:t xml:space="preserve"> Qualifications and experience of appraisers and market analysts </w:t>
      </w:r>
      <w:r w:rsidRPr="001C1CCB" w:rsidR="00174286">
        <w:rPr>
          <w:rFonts w:ascii="Times New Roman" w:hAnsi="Times New Roman"/>
          <w:spacing w:val="-4"/>
          <w:sz w:val="24"/>
          <w:szCs w:val="24"/>
        </w:rPr>
        <w:t xml:space="preserve">Lenders may retain as consultants are </w:t>
      </w:r>
      <w:r w:rsidRPr="001C1CCB" w:rsidR="00A64795">
        <w:rPr>
          <w:rFonts w:ascii="Times New Roman" w:hAnsi="Times New Roman"/>
          <w:spacing w:val="-4"/>
          <w:sz w:val="24"/>
          <w:szCs w:val="24"/>
        </w:rPr>
        <w:t>described in MAP Guide Chapter 7.</w:t>
      </w:r>
      <w:r w:rsidRPr="001C1CCB" w:rsidR="000D54BE">
        <w:rPr>
          <w:rFonts w:ascii="Times New Roman" w:hAnsi="Times New Roman"/>
          <w:i/>
          <w:spacing w:val="-4"/>
          <w:sz w:val="24"/>
          <w:szCs w:val="24"/>
        </w:rPr>
        <w:t xml:space="preserve"> </w:t>
      </w:r>
    </w:p>
    <w:p w:rsidR="006924ED" w:rsidRPr="001C1CCB" w:rsidP="00D14F19" w14:paraId="4FD58A08" w14:textId="77777777">
      <w:pPr>
        <w:spacing w:before="120"/>
        <w:ind w:left="720" w:firstLine="0"/>
        <w:jc w:val="both"/>
        <w:rPr>
          <w:rFonts w:ascii="Times New Roman" w:hAnsi="Times New Roman"/>
          <w:bCs/>
          <w:sz w:val="24"/>
          <w:szCs w:val="24"/>
        </w:rPr>
      </w:pPr>
      <w:r w:rsidRPr="001C1CCB">
        <w:rPr>
          <w:rFonts w:ascii="Times New Roman" w:hAnsi="Times New Roman"/>
          <w:b/>
          <w:sz w:val="24"/>
          <w:szCs w:val="24"/>
        </w:rPr>
        <w:t>Appraisals</w:t>
      </w:r>
    </w:p>
    <w:p w:rsidR="00820B61" w:rsidRPr="001C1CCB" w:rsidP="00D14F19" w14:paraId="599E01B2" w14:textId="19453170">
      <w:pPr>
        <w:spacing w:after="120"/>
        <w:ind w:left="720" w:firstLine="0"/>
        <w:jc w:val="both"/>
        <w:rPr>
          <w:rFonts w:ascii="Times New Roman" w:hAnsi="Times New Roman"/>
          <w:i/>
          <w:sz w:val="24"/>
          <w:szCs w:val="24"/>
        </w:rPr>
      </w:pPr>
      <w:r w:rsidRPr="001C1CCB">
        <w:rPr>
          <w:rFonts w:ascii="Times New Roman" w:hAnsi="Times New Roman"/>
          <w:bCs/>
          <w:sz w:val="24"/>
          <w:szCs w:val="24"/>
        </w:rPr>
        <w:t>Appr</w:t>
      </w:r>
      <w:r w:rsidRPr="001C1CCB" w:rsidR="00D14F19">
        <w:rPr>
          <w:rFonts w:ascii="Times New Roman" w:hAnsi="Times New Roman"/>
          <w:bCs/>
          <w:sz w:val="24"/>
          <w:szCs w:val="24"/>
        </w:rPr>
        <w:t>aisals</w:t>
      </w:r>
      <w:r w:rsidRPr="001C1CCB">
        <w:rPr>
          <w:rFonts w:ascii="Times New Roman" w:hAnsi="Times New Roman"/>
          <w:sz w:val="24"/>
          <w:szCs w:val="24"/>
        </w:rPr>
        <w:t xml:space="preserve"> </w:t>
      </w:r>
      <w:r w:rsidRPr="001C1CCB" w:rsidR="00BA4F8D">
        <w:rPr>
          <w:rFonts w:ascii="Times New Roman" w:hAnsi="Times New Roman"/>
          <w:sz w:val="24"/>
          <w:szCs w:val="24"/>
        </w:rPr>
        <w:t xml:space="preserve">that HUD </w:t>
      </w:r>
      <w:r w:rsidRPr="001C1CCB" w:rsidR="00A023F4">
        <w:rPr>
          <w:rFonts w:ascii="Times New Roman" w:hAnsi="Times New Roman"/>
          <w:sz w:val="24"/>
          <w:szCs w:val="24"/>
        </w:rPr>
        <w:t>receives from</w:t>
      </w:r>
      <w:r w:rsidRPr="001C1CCB">
        <w:rPr>
          <w:rFonts w:ascii="Times New Roman" w:hAnsi="Times New Roman"/>
          <w:sz w:val="24"/>
          <w:szCs w:val="24"/>
        </w:rPr>
        <w:t xml:space="preserve"> MAP Lenders </w:t>
      </w:r>
      <w:r w:rsidRPr="001C1CCB" w:rsidR="00C45E05">
        <w:rPr>
          <w:rFonts w:ascii="Times New Roman" w:hAnsi="Times New Roman"/>
          <w:sz w:val="24"/>
          <w:szCs w:val="24"/>
        </w:rPr>
        <w:t>must be</w:t>
      </w:r>
      <w:r w:rsidRPr="001C1CCB">
        <w:rPr>
          <w:rFonts w:ascii="Times New Roman" w:hAnsi="Times New Roman"/>
          <w:sz w:val="24"/>
          <w:szCs w:val="24"/>
        </w:rPr>
        <w:t xml:space="preserve"> maintained </w:t>
      </w:r>
      <w:r w:rsidRPr="001C1CCB" w:rsidR="00C45E05">
        <w:rPr>
          <w:rFonts w:ascii="Times New Roman" w:hAnsi="Times New Roman"/>
          <w:sz w:val="24"/>
          <w:szCs w:val="24"/>
        </w:rPr>
        <w:t xml:space="preserve">according to </w:t>
      </w:r>
      <w:r w:rsidRPr="001C1CCB">
        <w:rPr>
          <w:rFonts w:ascii="Times New Roman" w:hAnsi="Times New Roman"/>
          <w:sz w:val="24"/>
          <w:szCs w:val="24"/>
        </w:rPr>
        <w:t>the Department</w:t>
      </w:r>
      <w:r w:rsidRPr="001C1CCB" w:rsidR="00C45E05">
        <w:rPr>
          <w:rFonts w:ascii="Times New Roman" w:hAnsi="Times New Roman"/>
          <w:sz w:val="24"/>
          <w:szCs w:val="24"/>
        </w:rPr>
        <w:t>’</w:t>
      </w:r>
      <w:r w:rsidRPr="001C1CCB">
        <w:rPr>
          <w:rFonts w:ascii="Times New Roman" w:hAnsi="Times New Roman"/>
          <w:sz w:val="24"/>
          <w:szCs w:val="24"/>
        </w:rPr>
        <w:t>s record keeping rule</w:t>
      </w:r>
      <w:r w:rsidRPr="001C1CCB" w:rsidR="00C45E05">
        <w:rPr>
          <w:rFonts w:ascii="Times New Roman" w:hAnsi="Times New Roman"/>
          <w:sz w:val="24"/>
          <w:szCs w:val="24"/>
        </w:rPr>
        <w:t>s</w:t>
      </w:r>
      <w:r w:rsidRPr="001C1CCB">
        <w:rPr>
          <w:rFonts w:ascii="Times New Roman" w:hAnsi="Times New Roman"/>
          <w:sz w:val="24"/>
          <w:szCs w:val="24"/>
        </w:rPr>
        <w:t>.  The</w:t>
      </w:r>
      <w:r w:rsidRPr="001C1CCB" w:rsidR="00C45E05">
        <w:rPr>
          <w:rFonts w:ascii="Times New Roman" w:hAnsi="Times New Roman"/>
          <w:sz w:val="24"/>
          <w:szCs w:val="24"/>
        </w:rPr>
        <w:t>se</w:t>
      </w:r>
      <w:r w:rsidRPr="001C1CCB">
        <w:rPr>
          <w:rFonts w:ascii="Times New Roman" w:hAnsi="Times New Roman"/>
          <w:sz w:val="24"/>
          <w:szCs w:val="24"/>
        </w:rPr>
        <w:t xml:space="preserve"> rule</w:t>
      </w:r>
      <w:r w:rsidRPr="001C1CCB" w:rsidR="00C45E05">
        <w:rPr>
          <w:rFonts w:ascii="Times New Roman" w:hAnsi="Times New Roman"/>
          <w:sz w:val="24"/>
          <w:szCs w:val="24"/>
        </w:rPr>
        <w:t>s</w:t>
      </w:r>
      <w:r w:rsidRPr="001C1CCB">
        <w:rPr>
          <w:rFonts w:ascii="Times New Roman" w:hAnsi="Times New Roman"/>
          <w:sz w:val="24"/>
          <w:szCs w:val="24"/>
        </w:rPr>
        <w:t xml:space="preserve"> do not mandate that a</w:t>
      </w:r>
      <w:r w:rsidRPr="001C1CCB" w:rsidR="00A023F4">
        <w:rPr>
          <w:rFonts w:ascii="Times New Roman" w:hAnsi="Times New Roman"/>
          <w:sz w:val="24"/>
          <w:szCs w:val="24"/>
        </w:rPr>
        <w:t xml:space="preserve"> HUD staff</w:t>
      </w:r>
      <w:r w:rsidRPr="001C1CCB" w:rsidR="00E87615">
        <w:rPr>
          <w:rFonts w:ascii="Times New Roman" w:hAnsi="Times New Roman"/>
          <w:sz w:val="24"/>
          <w:szCs w:val="24"/>
        </w:rPr>
        <w:t xml:space="preserve"> review</w:t>
      </w:r>
      <w:r w:rsidRPr="001C1CCB">
        <w:rPr>
          <w:rFonts w:ascii="Times New Roman" w:hAnsi="Times New Roman"/>
          <w:sz w:val="24"/>
          <w:szCs w:val="24"/>
        </w:rPr>
        <w:t xml:space="preserve"> appraiser have possession of assignment work-files.  The Department does not permit permanent personal possession of records relating to a review appraiser's work.  The Department retains these records for far more than the time required under USPAP and will, with due process of law, cooperate with appraiser regulatory agencies, professional peer review committees, and assist</w:t>
      </w:r>
      <w:r w:rsidRPr="001C1CCB" w:rsidR="0066643C">
        <w:rPr>
          <w:rFonts w:ascii="Times New Roman" w:hAnsi="Times New Roman"/>
          <w:sz w:val="24"/>
          <w:szCs w:val="24"/>
        </w:rPr>
        <w:t xml:space="preserve">ing individuals in </w:t>
      </w:r>
      <w:r w:rsidRPr="001C1CCB">
        <w:rPr>
          <w:rFonts w:ascii="Times New Roman" w:hAnsi="Times New Roman"/>
          <w:sz w:val="24"/>
          <w:szCs w:val="24"/>
        </w:rPr>
        <w:t>obtaining a professional designation.  Appraiser work-files will be maintained in the local HUD office and records should be stored on the local or regional network drive.  Paper records should be scanned as needed.</w:t>
      </w:r>
    </w:p>
    <w:p w:rsidR="000F01B6" w:rsidRPr="001C1CCB" w:rsidP="00820B61" w14:paraId="325480F0" w14:textId="56529AD2">
      <w:pPr>
        <w:spacing w:before="120" w:after="120"/>
        <w:ind w:left="720" w:firstLine="0"/>
        <w:jc w:val="both"/>
        <w:rPr>
          <w:rFonts w:ascii="Times New Roman" w:hAnsi="Times New Roman"/>
          <w:bCs/>
          <w:sz w:val="24"/>
          <w:szCs w:val="24"/>
        </w:rPr>
      </w:pPr>
      <w:r w:rsidRPr="001C1CCB">
        <w:rPr>
          <w:rFonts w:ascii="Times New Roman" w:hAnsi="Times New Roman"/>
          <w:bCs/>
          <w:sz w:val="24"/>
          <w:szCs w:val="24"/>
        </w:rPr>
        <w:t>By statute, appraisals submitted in support of an application for HUD mortgage insurance must comply with the Uniform Standards of Professional Appraisal Practice (USPAP).</w:t>
      </w:r>
      <w:r w:rsidRPr="001C1CCB" w:rsidR="006925D9">
        <w:rPr>
          <w:rFonts w:ascii="Times New Roman" w:hAnsi="Times New Roman"/>
          <w:bCs/>
          <w:sz w:val="24"/>
          <w:szCs w:val="24"/>
        </w:rPr>
        <w:t xml:space="preserve">  Detailed instructions by program for appraisal work are described in MAP Guide Chapter 7.</w:t>
      </w:r>
    </w:p>
    <w:p w:rsidR="00D14F19" w:rsidRPr="001C1CCB" w:rsidP="00D14F19" w14:paraId="5E8C6C9D" w14:textId="1E8A007A">
      <w:pPr>
        <w:spacing w:before="120"/>
        <w:ind w:left="720" w:firstLine="0"/>
        <w:jc w:val="both"/>
        <w:rPr>
          <w:rFonts w:ascii="Times New Roman" w:hAnsi="Times New Roman"/>
          <w:b/>
          <w:sz w:val="24"/>
          <w:szCs w:val="24"/>
        </w:rPr>
      </w:pPr>
      <w:r w:rsidRPr="001C1CCB">
        <w:rPr>
          <w:rFonts w:ascii="Times New Roman" w:hAnsi="Times New Roman"/>
          <w:b/>
          <w:sz w:val="24"/>
          <w:szCs w:val="24"/>
        </w:rPr>
        <w:t>Capital Needs Assessment (CNA)</w:t>
      </w:r>
    </w:p>
    <w:p w:rsidR="00452097" w:rsidRPr="001C1CCB" w:rsidP="00D14F19" w14:paraId="60007EE2" w14:textId="0E864E90">
      <w:pPr>
        <w:spacing w:after="120"/>
        <w:ind w:left="720" w:firstLine="0"/>
        <w:jc w:val="both"/>
        <w:rPr>
          <w:rFonts w:ascii="Times New Roman" w:hAnsi="Times New Roman"/>
          <w:b/>
          <w:sz w:val="24"/>
          <w:szCs w:val="24"/>
        </w:rPr>
      </w:pPr>
      <w:r w:rsidRPr="001C1CCB">
        <w:rPr>
          <w:rFonts w:ascii="Times New Roman" w:hAnsi="Times New Roman"/>
          <w:sz w:val="24"/>
          <w:szCs w:val="24"/>
        </w:rPr>
        <w:t xml:space="preserve">Applications for projects to be insured under MAP loan programs require a </w:t>
      </w:r>
      <w:r w:rsidRPr="001C1CCB">
        <w:rPr>
          <w:rFonts w:ascii="Times New Roman" w:eastAsia="Calibri" w:hAnsi="Times New Roman"/>
          <w:sz w:val="24"/>
          <w:szCs w:val="24"/>
        </w:rPr>
        <w:t>Capital Needs Assessment (CNA)</w:t>
      </w:r>
      <w:r w:rsidRPr="001C1CCB" w:rsidR="00894186">
        <w:rPr>
          <w:rFonts w:ascii="Times New Roman" w:eastAsia="Calibri" w:hAnsi="Times New Roman"/>
          <w:sz w:val="24"/>
          <w:szCs w:val="24"/>
        </w:rPr>
        <w:t>.</w:t>
      </w:r>
      <w:r w:rsidRPr="001C1CCB">
        <w:rPr>
          <w:rFonts w:ascii="Times New Roman" w:eastAsia="Calibri" w:hAnsi="Times New Roman"/>
          <w:sz w:val="24"/>
          <w:szCs w:val="24"/>
        </w:rPr>
        <w:t xml:space="preserve"> </w:t>
      </w:r>
      <w:r w:rsidRPr="001C1CCB" w:rsidR="00894186">
        <w:rPr>
          <w:rFonts w:ascii="Times New Roman" w:eastAsia="Calibri" w:hAnsi="Times New Roman"/>
          <w:sz w:val="24"/>
          <w:szCs w:val="24"/>
        </w:rPr>
        <w:t xml:space="preserve">A CNA </w:t>
      </w:r>
      <w:r w:rsidRPr="001C1CCB">
        <w:rPr>
          <w:rFonts w:ascii="Times New Roman" w:eastAsia="Calibri" w:hAnsi="Times New Roman"/>
          <w:sz w:val="24"/>
          <w:szCs w:val="24"/>
        </w:rPr>
        <w:t xml:space="preserve">is a due diligence report describing the physical inventory of a multifamily property and characterizing the condition and expected durability of that inventory for budgeting for identified repairs and future capital replacements.  A CNA includes a financial plan or annual schedule of anticipated capital costs and corresponding funding needed to meet expected costs.  </w:t>
      </w:r>
    </w:p>
    <w:p w:rsidR="00452097" w:rsidRPr="001C1CCB" w:rsidP="00452097" w14:paraId="0E108104" w14:textId="107E177B">
      <w:pPr>
        <w:pStyle w:val="ListParagraph"/>
        <w:overflowPunct w:val="0"/>
        <w:autoSpaceDE w:val="0"/>
        <w:autoSpaceDN w:val="0"/>
        <w:adjustRightInd w:val="0"/>
        <w:spacing w:before="120" w:after="120"/>
        <w:ind w:firstLine="0"/>
        <w:jc w:val="both"/>
        <w:textAlignment w:val="baseline"/>
        <w:outlineLvl w:val="1"/>
        <w:rPr>
          <w:rFonts w:ascii="Times New Roman" w:hAnsi="Times New Roman"/>
          <w:sz w:val="24"/>
          <w:szCs w:val="24"/>
        </w:rPr>
      </w:pPr>
      <w:r w:rsidRPr="001C1CCB">
        <w:rPr>
          <w:rFonts w:ascii="Times New Roman" w:hAnsi="Times New Roman"/>
          <w:sz w:val="24"/>
          <w:szCs w:val="24"/>
        </w:rPr>
        <w:t xml:space="preserve">When prepared for an existing property a CNA requires an on-site physical inspection.  It is the primary means of identifying immediate physical needs or deficiencies and specifying the work, location and expected cost of the repairs, replacements and/or alterations required to address immediate needs of the property.  CNAs of existing buildings must at a minimum meet the requirements of the </w:t>
      </w:r>
      <w:r w:rsidRPr="001C1CCB" w:rsidR="008840CC">
        <w:rPr>
          <w:rFonts w:ascii="Times New Roman" w:hAnsi="Times New Roman"/>
          <w:sz w:val="24"/>
          <w:szCs w:val="24"/>
        </w:rPr>
        <w:t>industry standard</w:t>
      </w:r>
      <w:r w:rsidRPr="001C1CCB">
        <w:rPr>
          <w:rFonts w:ascii="Times New Roman" w:hAnsi="Times New Roman"/>
          <w:sz w:val="24"/>
          <w:szCs w:val="24"/>
        </w:rPr>
        <w:t xml:space="preserve"> ASTM E 2018-08 for the preparation of needs assessments.  When prepared for a property to-be-built as new construction or undergoing substantial rehabilitation, a CNA is only an inventory of the </w:t>
      </w:r>
      <w:bookmarkStart w:id="0" w:name="_Hlk41470931"/>
      <w:r w:rsidRPr="001C1CCB" w:rsidR="003C4D14">
        <w:rPr>
          <w:rFonts w:ascii="Times New Roman" w:hAnsi="Times New Roman"/>
          <w:sz w:val="24"/>
          <w:szCs w:val="24"/>
        </w:rPr>
        <w:t xml:space="preserve">proposed </w:t>
      </w:r>
      <w:r w:rsidRPr="001C1CCB">
        <w:rPr>
          <w:rFonts w:ascii="Times New Roman" w:hAnsi="Times New Roman"/>
          <w:sz w:val="24"/>
          <w:szCs w:val="24"/>
        </w:rPr>
        <w:t>physical composition of the property (</w:t>
      </w:r>
      <w:r w:rsidRPr="001C1CCB" w:rsidR="008840CC">
        <w:rPr>
          <w:rFonts w:ascii="Times New Roman" w:hAnsi="Times New Roman"/>
          <w:sz w:val="24"/>
          <w:szCs w:val="24"/>
        </w:rPr>
        <w:t>e.g.,</w:t>
      </w:r>
      <w:r w:rsidRPr="001C1CCB">
        <w:rPr>
          <w:rFonts w:ascii="Times New Roman" w:hAnsi="Times New Roman"/>
          <w:sz w:val="24"/>
          <w:szCs w:val="24"/>
        </w:rPr>
        <w:t xml:space="preserve"> </w:t>
      </w:r>
      <w:bookmarkEnd w:id="0"/>
      <w:r w:rsidRPr="001C1CCB">
        <w:rPr>
          <w:rFonts w:ascii="Times New Roman" w:hAnsi="Times New Roman"/>
          <w:sz w:val="24"/>
          <w:szCs w:val="24"/>
        </w:rPr>
        <w:t>buildings, units, components, quantities) and an estimate of the expected durability of the various components with a corresponding plan to finance future capital needs as they are expected to occur.</w:t>
      </w:r>
    </w:p>
    <w:p w:rsidR="00452097" w:rsidRPr="001C1CCB" w:rsidP="00452097" w14:paraId="2A3232EC" w14:textId="77777777">
      <w:pPr>
        <w:pStyle w:val="ListParagraph"/>
        <w:overflowPunct w:val="0"/>
        <w:autoSpaceDE w:val="0"/>
        <w:autoSpaceDN w:val="0"/>
        <w:adjustRightInd w:val="0"/>
        <w:spacing w:after="120"/>
        <w:ind w:firstLine="0"/>
        <w:jc w:val="both"/>
        <w:textAlignment w:val="baseline"/>
        <w:outlineLvl w:val="1"/>
        <w:rPr>
          <w:rFonts w:ascii="Times New Roman" w:eastAsia="Calibri" w:hAnsi="Times New Roman"/>
          <w:sz w:val="24"/>
          <w:szCs w:val="24"/>
        </w:rPr>
      </w:pPr>
    </w:p>
    <w:p w:rsidR="00452097" w:rsidRPr="001C1CCB" w:rsidP="00452097" w14:paraId="62D8519D" w14:textId="576C4EC4">
      <w:pPr>
        <w:pStyle w:val="ListParagraph"/>
        <w:overflowPunct w:val="0"/>
        <w:autoSpaceDE w:val="0"/>
        <w:autoSpaceDN w:val="0"/>
        <w:adjustRightInd w:val="0"/>
        <w:spacing w:after="120"/>
        <w:ind w:firstLine="0"/>
        <w:jc w:val="both"/>
        <w:textAlignment w:val="baseline"/>
        <w:outlineLvl w:val="1"/>
        <w:rPr>
          <w:rFonts w:ascii="Times New Roman" w:eastAsia="Calibri" w:hAnsi="Times New Roman"/>
          <w:sz w:val="24"/>
          <w:szCs w:val="24"/>
        </w:rPr>
      </w:pPr>
      <w:r w:rsidRPr="001C1CCB">
        <w:rPr>
          <w:rFonts w:ascii="Times New Roman" w:hAnsi="Times New Roman"/>
          <w:sz w:val="24"/>
          <w:szCs w:val="24"/>
        </w:rPr>
        <w:t>These CNAs may be prepared by, or under the supervision of</w:t>
      </w:r>
      <w:r w:rsidRPr="001C1CCB" w:rsidR="0013578F">
        <w:rPr>
          <w:rFonts w:ascii="Times New Roman" w:hAnsi="Times New Roman"/>
          <w:sz w:val="24"/>
          <w:szCs w:val="24"/>
        </w:rPr>
        <w:t>,</w:t>
      </w:r>
      <w:r w:rsidRPr="001C1CCB">
        <w:rPr>
          <w:rFonts w:ascii="Times New Roman" w:hAnsi="Times New Roman"/>
          <w:sz w:val="24"/>
          <w:szCs w:val="24"/>
        </w:rPr>
        <w:t xml:space="preserve"> the borrower’s project architect or the lender’s needs assessor or construction analyst.</w:t>
      </w:r>
      <w:r w:rsidRPr="001C1CCB">
        <w:rPr>
          <w:rFonts w:ascii="Times New Roman" w:eastAsia="Calibri" w:hAnsi="Times New Roman"/>
          <w:sz w:val="24"/>
          <w:szCs w:val="24"/>
        </w:rPr>
        <w:t xml:space="preserve">  The MAP Lender will submit the CNA in the loan application for FHA-insured mortgage to the local HUD Offices, and the HUD Branch Chief, Underwriter and Construction Analyst</w:t>
      </w:r>
      <w:r w:rsidRPr="001C1CCB" w:rsidR="003C6049">
        <w:rPr>
          <w:rFonts w:ascii="Times New Roman" w:eastAsia="Calibri" w:hAnsi="Times New Roman"/>
          <w:sz w:val="24"/>
          <w:szCs w:val="24"/>
        </w:rPr>
        <w:t>,</w:t>
      </w:r>
      <w:r w:rsidRPr="001C1CCB">
        <w:rPr>
          <w:rFonts w:ascii="Times New Roman" w:eastAsia="Calibri" w:hAnsi="Times New Roman"/>
          <w:sz w:val="24"/>
          <w:szCs w:val="24"/>
        </w:rPr>
        <w:t xml:space="preserve"> will review the CNA.</w:t>
      </w:r>
      <w:r w:rsidRPr="001C1CCB">
        <w:rPr>
          <w:rFonts w:eastAsia="Calibri"/>
        </w:rPr>
        <w:t xml:space="preserve">  </w:t>
      </w:r>
      <w:r w:rsidRPr="001C1CCB">
        <w:rPr>
          <w:rFonts w:ascii="Times New Roman" w:eastAsia="Calibri" w:hAnsi="Times New Roman"/>
          <w:sz w:val="24"/>
          <w:szCs w:val="24"/>
        </w:rPr>
        <w:t xml:space="preserve">All CNAs must be submitted to HUD using HUD’s </w:t>
      </w:r>
      <w:r w:rsidRPr="001C1CCB" w:rsidR="005D494E">
        <w:rPr>
          <w:rFonts w:ascii="Times New Roman" w:eastAsia="Calibri" w:hAnsi="Times New Roman"/>
          <w:sz w:val="24"/>
          <w:szCs w:val="24"/>
        </w:rPr>
        <w:t xml:space="preserve">automated </w:t>
      </w:r>
      <w:r w:rsidRPr="001C1CCB">
        <w:rPr>
          <w:rFonts w:ascii="Times New Roman" w:eastAsia="Calibri" w:hAnsi="Times New Roman"/>
          <w:sz w:val="24"/>
          <w:szCs w:val="24"/>
        </w:rPr>
        <w:t>online application called CNA e-Tool.  CNAs and the CNA e-Tool are covered by a separate PRA submission with OMB Approval Number 2502-0505. This separate treatment is because CNAs are used for other multifamily purposes apart from insured mortgage applications pursuant to the MAP Guide</w:t>
      </w:r>
      <w:r w:rsidRPr="001C1CCB" w:rsidR="000C06B6">
        <w:rPr>
          <w:rFonts w:ascii="Times New Roman" w:eastAsia="Calibri" w:hAnsi="Times New Roman"/>
          <w:sz w:val="24"/>
          <w:szCs w:val="24"/>
        </w:rPr>
        <w:t>.</w:t>
      </w:r>
    </w:p>
    <w:p w:rsidR="00967370" w:rsidRPr="001C1CCB" w:rsidP="00452097" w14:paraId="414D7DBC" w14:textId="54DD70DC">
      <w:pPr>
        <w:pStyle w:val="ListParagraph"/>
        <w:overflowPunct w:val="0"/>
        <w:autoSpaceDE w:val="0"/>
        <w:autoSpaceDN w:val="0"/>
        <w:adjustRightInd w:val="0"/>
        <w:spacing w:after="120"/>
        <w:ind w:firstLine="0"/>
        <w:jc w:val="both"/>
        <w:textAlignment w:val="baseline"/>
        <w:outlineLvl w:val="1"/>
        <w:rPr>
          <w:rFonts w:ascii="Times New Roman" w:eastAsia="Calibri" w:hAnsi="Times New Roman"/>
          <w:sz w:val="24"/>
          <w:szCs w:val="24"/>
        </w:rPr>
      </w:pPr>
    </w:p>
    <w:p w:rsidR="00967370" w:rsidRPr="001C1CCB" w:rsidP="00452097" w14:paraId="4E3F8069" w14:textId="26661137">
      <w:pPr>
        <w:pStyle w:val="ListParagraph"/>
        <w:overflowPunct w:val="0"/>
        <w:autoSpaceDE w:val="0"/>
        <w:autoSpaceDN w:val="0"/>
        <w:adjustRightInd w:val="0"/>
        <w:spacing w:after="120"/>
        <w:ind w:firstLine="0"/>
        <w:jc w:val="both"/>
        <w:textAlignment w:val="baseline"/>
        <w:outlineLvl w:val="1"/>
        <w:rPr>
          <w:color w:val="000000"/>
        </w:rPr>
      </w:pPr>
      <w:r w:rsidRPr="001C1CCB">
        <w:rPr>
          <w:rFonts w:ascii="Times New Roman" w:eastAsia="Calibri" w:hAnsi="Times New Roman"/>
          <w:sz w:val="24"/>
          <w:szCs w:val="24"/>
        </w:rPr>
        <w:t xml:space="preserve">Detailed instructions for use of </w:t>
      </w:r>
      <w:r w:rsidRPr="001C1CCB" w:rsidR="007F46EB">
        <w:rPr>
          <w:rFonts w:ascii="Times New Roman" w:eastAsia="Calibri" w:hAnsi="Times New Roman"/>
          <w:sz w:val="24"/>
          <w:szCs w:val="24"/>
        </w:rPr>
        <w:t>CNAs and the</w:t>
      </w:r>
      <w:r w:rsidRPr="001C1CCB">
        <w:rPr>
          <w:rFonts w:ascii="Times New Roman" w:eastAsia="Calibri" w:hAnsi="Times New Roman"/>
          <w:sz w:val="24"/>
          <w:szCs w:val="24"/>
        </w:rPr>
        <w:t xml:space="preserve"> CNA e-Tool </w:t>
      </w:r>
      <w:r w:rsidRPr="001C1CCB" w:rsidR="007F46EB">
        <w:rPr>
          <w:rFonts w:ascii="Times New Roman" w:eastAsia="Calibri" w:hAnsi="Times New Roman"/>
          <w:sz w:val="24"/>
          <w:szCs w:val="24"/>
        </w:rPr>
        <w:t xml:space="preserve">in HUD multifamily mortgage insurance programs </w:t>
      </w:r>
      <w:r w:rsidRPr="001C1CCB" w:rsidR="008840CC">
        <w:rPr>
          <w:rFonts w:ascii="Times New Roman" w:eastAsia="Calibri" w:hAnsi="Times New Roman"/>
          <w:sz w:val="24"/>
          <w:szCs w:val="24"/>
        </w:rPr>
        <w:t>are</w:t>
      </w:r>
      <w:r w:rsidRPr="001C1CCB" w:rsidR="00972444">
        <w:rPr>
          <w:rFonts w:ascii="Times New Roman" w:eastAsia="Calibri" w:hAnsi="Times New Roman"/>
          <w:sz w:val="24"/>
          <w:szCs w:val="24"/>
        </w:rPr>
        <w:t xml:space="preserve"> found in MAP Guide Chapter 5 and its Appendix A.5.7.</w:t>
      </w:r>
    </w:p>
    <w:p w:rsidR="00D14F19" w:rsidRPr="001C1CCB" w:rsidP="00A93139" w14:paraId="6DDFD20F" w14:textId="77777777">
      <w:pPr>
        <w:spacing w:before="120"/>
        <w:ind w:left="720" w:firstLine="0"/>
        <w:jc w:val="both"/>
        <w:rPr>
          <w:rFonts w:ascii="Times New Roman" w:hAnsi="Times New Roman"/>
          <w:bCs/>
          <w:sz w:val="24"/>
          <w:szCs w:val="24"/>
        </w:rPr>
      </w:pPr>
      <w:r w:rsidRPr="001C1CCB">
        <w:rPr>
          <w:rFonts w:ascii="Times New Roman" w:hAnsi="Times New Roman"/>
          <w:b/>
          <w:sz w:val="24"/>
          <w:szCs w:val="24"/>
        </w:rPr>
        <w:t>Green Building Certifications</w:t>
      </w:r>
    </w:p>
    <w:p w:rsidR="00F64FC7" w:rsidRPr="001C1CCB" w:rsidP="00A93139" w14:paraId="1D397C2C" w14:textId="71168B71">
      <w:pPr>
        <w:spacing w:after="120"/>
        <w:ind w:left="720" w:firstLine="0"/>
        <w:jc w:val="both"/>
        <w:rPr>
          <w:rFonts w:ascii="Times New Roman" w:hAnsi="Times New Roman"/>
          <w:sz w:val="24"/>
          <w:szCs w:val="24"/>
        </w:rPr>
      </w:pPr>
      <w:r w:rsidRPr="001C1CCB">
        <w:rPr>
          <w:rFonts w:ascii="Times New Roman" w:hAnsi="Times New Roman"/>
          <w:bCs/>
          <w:sz w:val="24"/>
          <w:szCs w:val="24"/>
        </w:rPr>
        <w:t>Certifications</w:t>
      </w:r>
      <w:r w:rsidRPr="001C1CCB">
        <w:rPr>
          <w:rFonts w:ascii="Times New Roman" w:hAnsi="Times New Roman"/>
          <w:b/>
          <w:sz w:val="24"/>
          <w:szCs w:val="24"/>
        </w:rPr>
        <w:t xml:space="preserve"> </w:t>
      </w:r>
      <w:r w:rsidRPr="001C1CCB">
        <w:rPr>
          <w:rFonts w:ascii="Times New Roman" w:hAnsi="Times New Roman"/>
          <w:bCs/>
          <w:sz w:val="24"/>
          <w:szCs w:val="24"/>
        </w:rPr>
        <w:t xml:space="preserve">may be obtained by borrowers and provided to HUD through lenders </w:t>
      </w:r>
      <w:r w:rsidRPr="001C1CCB">
        <w:rPr>
          <w:rFonts w:ascii="Times New Roman" w:hAnsi="Times New Roman"/>
          <w:bCs/>
          <w:sz w:val="24"/>
          <w:szCs w:val="24"/>
        </w:rPr>
        <w:t>in order to</w:t>
      </w:r>
      <w:r w:rsidRPr="001C1CCB">
        <w:rPr>
          <w:rFonts w:ascii="Times New Roman" w:hAnsi="Times New Roman"/>
          <w:bCs/>
          <w:sz w:val="24"/>
          <w:szCs w:val="24"/>
        </w:rPr>
        <w:t xml:space="preserve"> qualify an insured mortgage for a Green MIP Rate consistent with </w:t>
      </w:r>
      <w:r w:rsidRPr="001C1CCB">
        <w:rPr>
          <w:rFonts w:ascii="Times New Roman" w:hAnsi="Times New Roman"/>
          <w:sz w:val="24"/>
          <w:szCs w:val="24"/>
        </w:rPr>
        <w:t xml:space="preserve">Federal Register, 81 FR, page 18473 (“MIP Notice”), Section D as detailed Chapter 6 of the MAP Guide.  HUD’s MIP Notice recognized multiple national standards applicable to varying circumstances (i.e., new construction, rehabilitation, remodeling, etc.) While varying in detail, each recognized certification program establishes a standard practice for evaluating building energy performance and calibrating a level of superior performance that merits the certification and thus the Green MIP rate.  Borrowers may choose to qualify for the Green MIP rate by selecting and obtaining one of the recognized certifications. For new construction and most substantial rehabilitation proposals, the proposed design must achieve an estimated building performance that is superior to existing base building codes, typically by 15%.  For existing buildings, borrowers must propose repairs and alterations that will improve benchmarked existing building performance, also typically by 15%.  Recognized certifications obtained prior to but within 15 years of application for a Green MIP loan are accepted.  Owners of existing properties seeking a certification as an element of their loan application must use an industry standard procedure for benchmarking which is a software application known as Portfolio Manager, a free service provided by the U.S. Environmental Protection Agency. In addition, they must inform the design of repairs and alterations by conducting an energy audit consistent with the national standard practice for such audits published by the American Society of Heating, Refrigeration and Air Conditioning Engineers (ASHRAE).  It is the borrower’s choice to apply for a Green MIP rate and if the borrower exercises this option, the certifications and qualifying measures are standard practices HUD has identified as best suited to provide this Green MIP option for multifamily insured mortgage programs. </w:t>
      </w:r>
    </w:p>
    <w:p w:rsidR="00F64FC7" w:rsidRPr="001C1CCB" w:rsidP="00F64FC7" w14:paraId="415D604D" w14:textId="772654D2">
      <w:pPr>
        <w:spacing w:before="120" w:after="120"/>
        <w:ind w:left="720" w:firstLine="0"/>
        <w:jc w:val="both"/>
        <w:rPr>
          <w:rFonts w:ascii="Times New Roman" w:hAnsi="Times New Roman"/>
          <w:bCs/>
          <w:i/>
          <w:sz w:val="24"/>
          <w:szCs w:val="24"/>
        </w:rPr>
      </w:pPr>
      <w:r w:rsidRPr="001C1CCB">
        <w:rPr>
          <w:rFonts w:ascii="Times New Roman" w:hAnsi="Times New Roman"/>
          <w:bCs/>
          <w:sz w:val="24"/>
          <w:szCs w:val="24"/>
        </w:rPr>
        <w:t>The borrower’s intent to seek a Green MIP rate and its selection of a Green Building Certification are memorialized on the form HUD-</w:t>
      </w:r>
      <w:r w:rsidRPr="001C1CCB" w:rsidR="0046702E">
        <w:rPr>
          <w:rFonts w:ascii="Times New Roman" w:hAnsi="Times New Roman"/>
          <w:bCs/>
          <w:sz w:val="24"/>
          <w:szCs w:val="24"/>
        </w:rPr>
        <w:t>9107</w:t>
      </w:r>
      <w:r w:rsidRPr="001C1CCB" w:rsidR="00A10DDE">
        <w:rPr>
          <w:rFonts w:ascii="Times New Roman" w:hAnsi="Times New Roman"/>
          <w:bCs/>
          <w:sz w:val="24"/>
          <w:szCs w:val="24"/>
        </w:rPr>
        <w:t xml:space="preserve">0M, the </w:t>
      </w:r>
      <w:r w:rsidRPr="001C1CCB" w:rsidR="00BB6921">
        <w:rPr>
          <w:rFonts w:ascii="Times New Roman" w:hAnsi="Times New Roman"/>
          <w:bCs/>
          <w:sz w:val="24"/>
          <w:szCs w:val="24"/>
        </w:rPr>
        <w:t>borrower’s Consolidated Certifications,</w:t>
      </w:r>
      <w:r w:rsidRPr="001C1CCB" w:rsidR="00F20014">
        <w:rPr>
          <w:rFonts w:ascii="Times New Roman" w:hAnsi="Times New Roman"/>
          <w:bCs/>
          <w:sz w:val="24"/>
          <w:szCs w:val="24"/>
        </w:rPr>
        <w:t xml:space="preserve"> (OMB </w:t>
      </w:r>
      <w:r w:rsidRPr="001C1CCB" w:rsidR="00335310">
        <w:rPr>
          <w:rFonts w:ascii="Times New Roman" w:hAnsi="Times New Roman"/>
          <w:bCs/>
          <w:sz w:val="24"/>
          <w:szCs w:val="24"/>
        </w:rPr>
        <w:t>2502-0598)</w:t>
      </w:r>
      <w:r w:rsidRPr="001C1CCB" w:rsidR="00BB6921">
        <w:rPr>
          <w:rFonts w:ascii="Times New Roman" w:hAnsi="Times New Roman"/>
          <w:bCs/>
          <w:sz w:val="24"/>
          <w:szCs w:val="24"/>
        </w:rPr>
        <w:t xml:space="preserve"> </w:t>
      </w:r>
      <w:r w:rsidRPr="001C1CCB">
        <w:rPr>
          <w:rFonts w:ascii="Times New Roman" w:hAnsi="Times New Roman"/>
          <w:bCs/>
          <w:sz w:val="24"/>
          <w:szCs w:val="24"/>
        </w:rPr>
        <w:t xml:space="preserve">and the borrower’s ongoing building performance commitments are described in the Regulatory Agreement </w:t>
      </w:r>
      <w:r w:rsidRPr="001C1CCB" w:rsidR="00F306EB">
        <w:rPr>
          <w:rFonts w:ascii="Times New Roman" w:hAnsi="Times New Roman"/>
          <w:bCs/>
          <w:sz w:val="24"/>
          <w:szCs w:val="24"/>
        </w:rPr>
        <w:t>R</w:t>
      </w:r>
      <w:r w:rsidRPr="001C1CCB">
        <w:rPr>
          <w:rFonts w:ascii="Times New Roman" w:hAnsi="Times New Roman"/>
          <w:bCs/>
          <w:sz w:val="24"/>
          <w:szCs w:val="24"/>
        </w:rPr>
        <w:t xml:space="preserve">ider 5 which is form </w:t>
      </w:r>
      <w:r w:rsidRPr="001C1CCB" w:rsidR="00A8431B">
        <w:rPr>
          <w:rFonts w:ascii="Times New Roman" w:hAnsi="Times New Roman"/>
          <w:bCs/>
          <w:sz w:val="24"/>
          <w:szCs w:val="24"/>
        </w:rPr>
        <w:t>HUD-</w:t>
      </w:r>
      <w:r w:rsidRPr="001C1CCB">
        <w:rPr>
          <w:rFonts w:ascii="Times New Roman" w:hAnsi="Times New Roman"/>
          <w:bCs/>
          <w:sz w:val="24"/>
          <w:szCs w:val="24"/>
        </w:rPr>
        <w:t>92466 R-5</w:t>
      </w:r>
      <w:r w:rsidRPr="001C1CCB" w:rsidR="00335310">
        <w:rPr>
          <w:rFonts w:ascii="Times New Roman" w:hAnsi="Times New Roman"/>
          <w:bCs/>
          <w:sz w:val="24"/>
          <w:szCs w:val="24"/>
        </w:rPr>
        <w:t xml:space="preserve">, OMB </w:t>
      </w:r>
      <w:r w:rsidRPr="001C1CCB" w:rsidR="008E1CDA">
        <w:rPr>
          <w:rFonts w:ascii="Times New Roman" w:hAnsi="Times New Roman"/>
          <w:bCs/>
          <w:sz w:val="24"/>
          <w:szCs w:val="24"/>
        </w:rPr>
        <w:t>2502-0029</w:t>
      </w:r>
      <w:r w:rsidRPr="001C1CCB">
        <w:rPr>
          <w:rFonts w:ascii="Times New Roman" w:hAnsi="Times New Roman"/>
          <w:bCs/>
          <w:sz w:val="24"/>
          <w:szCs w:val="24"/>
        </w:rPr>
        <w:t xml:space="preserve">.  </w:t>
      </w:r>
    </w:p>
    <w:p w:rsidR="00E011EE" w:rsidRPr="001C1CCB" w:rsidP="00E510A3" w14:paraId="6B8707C2" w14:textId="1490F5C0">
      <w:pPr>
        <w:spacing w:before="120"/>
        <w:ind w:left="720" w:firstLine="0"/>
        <w:jc w:val="both"/>
        <w:rPr>
          <w:rFonts w:ascii="Times New Roman" w:hAnsi="Times New Roman"/>
          <w:b/>
          <w:sz w:val="24"/>
          <w:szCs w:val="24"/>
        </w:rPr>
      </w:pPr>
      <w:r w:rsidRPr="001C1CCB">
        <w:rPr>
          <w:rFonts w:ascii="Times New Roman" w:hAnsi="Times New Roman"/>
          <w:b/>
          <w:sz w:val="24"/>
          <w:szCs w:val="24"/>
        </w:rPr>
        <w:t>Third Party</w:t>
      </w:r>
      <w:r w:rsidRPr="001C1CCB">
        <w:rPr>
          <w:rFonts w:ascii="Times New Roman" w:hAnsi="Times New Roman"/>
          <w:sz w:val="24"/>
          <w:szCs w:val="24"/>
        </w:rPr>
        <w:t xml:space="preserve"> </w:t>
      </w:r>
      <w:r w:rsidRPr="001C1CCB">
        <w:rPr>
          <w:rFonts w:ascii="Times New Roman" w:hAnsi="Times New Roman"/>
          <w:b/>
          <w:sz w:val="24"/>
          <w:szCs w:val="24"/>
        </w:rPr>
        <w:t>Professionals</w:t>
      </w:r>
    </w:p>
    <w:p w:rsidR="00443C63" w:rsidRPr="001C1CCB" w:rsidP="00A05CC5" w14:paraId="1ABE0B6F" w14:textId="0DC9BC90">
      <w:pPr>
        <w:spacing w:after="120"/>
        <w:ind w:left="720" w:firstLine="0"/>
        <w:jc w:val="both"/>
        <w:rPr>
          <w:rFonts w:ascii="Times New Roman" w:hAnsi="Times New Roman"/>
          <w:sz w:val="24"/>
          <w:szCs w:val="24"/>
        </w:rPr>
      </w:pPr>
      <w:r w:rsidRPr="001C1CCB">
        <w:rPr>
          <w:rFonts w:ascii="Times New Roman" w:hAnsi="Times New Roman"/>
          <w:spacing w:val="-4"/>
          <w:sz w:val="24"/>
          <w:szCs w:val="24"/>
        </w:rPr>
        <w:t>MAP Lenders are expected and authorized to hire third party contractors for appraisal, architecture and cost, market analysis, environmental reports and environmental site assessments, and specialized reports related to any of these technical disciplines.</w:t>
      </w:r>
      <w:r w:rsidRPr="001C1CCB">
        <w:rPr>
          <w:rFonts w:cs="Calibri"/>
          <w:sz w:val="18"/>
          <w:szCs w:val="18"/>
        </w:rPr>
        <w:t xml:space="preserve"> </w:t>
      </w:r>
      <w:r w:rsidRPr="001C1CCB" w:rsidR="00A24F66">
        <w:rPr>
          <w:rFonts w:cs="Calibri"/>
          <w:sz w:val="18"/>
          <w:szCs w:val="18"/>
        </w:rPr>
        <w:t xml:space="preserve"> </w:t>
      </w:r>
      <w:r w:rsidRPr="001C1CCB" w:rsidR="00072BA2">
        <w:rPr>
          <w:rFonts w:ascii="Times New Roman" w:hAnsi="Times New Roman"/>
          <w:sz w:val="24"/>
          <w:szCs w:val="24"/>
        </w:rPr>
        <w:t xml:space="preserve">The duties and responsibilities of the MAP Underwriter, associated with </w:t>
      </w:r>
      <w:r w:rsidRPr="001C1CCB" w:rsidR="00072BA2">
        <w:rPr>
          <w:rFonts w:ascii="Times New Roman" w:hAnsi="Times New Roman"/>
          <w:sz w:val="24"/>
          <w:szCs w:val="24"/>
        </w:rPr>
        <w:t>MAP application underwriting, are to</w:t>
      </w:r>
      <w:r w:rsidRPr="001C1CCB">
        <w:rPr>
          <w:rFonts w:cs="Calibri"/>
          <w:sz w:val="18"/>
          <w:szCs w:val="18"/>
        </w:rPr>
        <w:t xml:space="preserve"> </w:t>
      </w:r>
      <w:r w:rsidRPr="001C1CCB" w:rsidR="00180EAD">
        <w:rPr>
          <w:rFonts w:ascii="Times New Roman" w:hAnsi="Times New Roman"/>
          <w:sz w:val="24"/>
          <w:szCs w:val="24"/>
        </w:rPr>
        <w:t xml:space="preserve">engage </w:t>
      </w:r>
      <w:r w:rsidRPr="001C1CCB">
        <w:rPr>
          <w:rFonts w:ascii="Times New Roman" w:hAnsi="Times New Roman"/>
          <w:sz w:val="24"/>
          <w:szCs w:val="24"/>
        </w:rPr>
        <w:t xml:space="preserve">all </w:t>
      </w:r>
      <w:r w:rsidRPr="001C1CCB" w:rsidR="00DA7870">
        <w:rPr>
          <w:rFonts w:ascii="Times New Roman" w:hAnsi="Times New Roman"/>
          <w:sz w:val="24"/>
          <w:szCs w:val="24"/>
        </w:rPr>
        <w:t>third-party</w:t>
      </w:r>
      <w:r w:rsidRPr="001C1CCB">
        <w:rPr>
          <w:rFonts w:ascii="Times New Roman" w:hAnsi="Times New Roman"/>
          <w:sz w:val="24"/>
          <w:szCs w:val="24"/>
        </w:rPr>
        <w:t xml:space="preserve"> consultants and analysts, provide oversight and effective supervision of work performed under their contracts to ensure their deliverables meet MAP Guide requirements</w:t>
      </w:r>
      <w:r w:rsidRPr="001C1CCB" w:rsidR="000548D6">
        <w:rPr>
          <w:rFonts w:ascii="Times New Roman" w:hAnsi="Times New Roman"/>
          <w:sz w:val="24"/>
          <w:szCs w:val="24"/>
        </w:rPr>
        <w:t xml:space="preserve">.  </w:t>
      </w:r>
      <w:r w:rsidRPr="001C1CCB" w:rsidR="00EF3EE0">
        <w:rPr>
          <w:rFonts w:ascii="Times New Roman" w:hAnsi="Times New Roman"/>
          <w:sz w:val="24"/>
          <w:szCs w:val="24"/>
        </w:rPr>
        <w:t xml:space="preserve">The underwriter must consider and reconcile </w:t>
      </w:r>
      <w:r w:rsidRPr="001C1CCB" w:rsidR="00B45368">
        <w:rPr>
          <w:rFonts w:ascii="Times New Roman" w:hAnsi="Times New Roman"/>
          <w:sz w:val="24"/>
          <w:szCs w:val="24"/>
        </w:rPr>
        <w:t xml:space="preserve">all due diligence reports in their </w:t>
      </w:r>
      <w:r w:rsidRPr="001C1CCB">
        <w:rPr>
          <w:rFonts w:ascii="Times New Roman" w:hAnsi="Times New Roman"/>
          <w:sz w:val="24"/>
          <w:szCs w:val="24"/>
        </w:rPr>
        <w:t xml:space="preserve">underwriting recommendation.  </w:t>
      </w:r>
    </w:p>
    <w:p w:rsidR="00A332F4" w:rsidRPr="001C1CCB" w:rsidP="00A332F4" w14:paraId="07C952DB" w14:textId="3F47CCE7">
      <w:pPr>
        <w:spacing w:after="120"/>
        <w:ind w:left="720" w:firstLine="0"/>
        <w:jc w:val="both"/>
        <w:rPr>
          <w:rFonts w:ascii="Times New Roman" w:hAnsi="Times New Roman"/>
          <w:sz w:val="24"/>
          <w:szCs w:val="24"/>
        </w:rPr>
      </w:pPr>
      <w:r w:rsidRPr="001C1CCB">
        <w:rPr>
          <w:rFonts w:ascii="Times New Roman" w:hAnsi="Times New Roman"/>
          <w:sz w:val="24"/>
          <w:szCs w:val="24"/>
          <w:u w:val="single"/>
          <w:shd w:val="clear" w:color="auto" w:fill="FFFFFF"/>
        </w:rPr>
        <w:t>Construction Analysts</w:t>
      </w:r>
      <w:r w:rsidRPr="001C1CCB">
        <w:rPr>
          <w:rFonts w:ascii="Times New Roman" w:hAnsi="Times New Roman"/>
          <w:sz w:val="24"/>
          <w:szCs w:val="24"/>
          <w:shd w:val="clear" w:color="auto" w:fill="FFFFFF"/>
        </w:rPr>
        <w:t xml:space="preserve"> </w:t>
      </w:r>
      <w:r w:rsidRPr="001C1CCB">
        <w:rPr>
          <w:rFonts w:ascii="Times New Roman" w:hAnsi="Times New Roman"/>
          <w:sz w:val="24"/>
          <w:szCs w:val="24"/>
        </w:rPr>
        <w:t xml:space="preserve">should be </w:t>
      </w:r>
      <w:r w:rsidRPr="001C1CCB" w:rsidR="0066643C">
        <w:rPr>
          <w:rFonts w:ascii="Times New Roman" w:hAnsi="Times New Roman"/>
          <w:sz w:val="24"/>
          <w:szCs w:val="24"/>
        </w:rPr>
        <w:t xml:space="preserve">either </w:t>
      </w:r>
      <w:r w:rsidRPr="001C1CCB">
        <w:rPr>
          <w:rFonts w:ascii="Times New Roman" w:hAnsi="Times New Roman"/>
          <w:sz w:val="24"/>
          <w:szCs w:val="24"/>
        </w:rPr>
        <w:t xml:space="preserve">a licensed or registered architect or physical engineer </w:t>
      </w:r>
      <w:r w:rsidRPr="001C1CCB" w:rsidR="0066643C">
        <w:rPr>
          <w:rFonts w:ascii="Times New Roman" w:hAnsi="Times New Roman"/>
          <w:sz w:val="24"/>
          <w:szCs w:val="24"/>
        </w:rPr>
        <w:t>and</w:t>
      </w:r>
      <w:r w:rsidRPr="001C1CCB">
        <w:rPr>
          <w:rFonts w:ascii="Times New Roman" w:hAnsi="Times New Roman"/>
          <w:sz w:val="24"/>
          <w:szCs w:val="24"/>
        </w:rPr>
        <w:t xml:space="preserve"> must, at a minimum, have a degree (BS or BA) in architecture, civil or structural engineering or construction with five years of experience in design, construction, or development of multifamily buildings.  </w:t>
      </w:r>
      <w:r w:rsidRPr="001C1CCB" w:rsidR="0066643C">
        <w:rPr>
          <w:rFonts w:ascii="Times New Roman" w:hAnsi="Times New Roman"/>
          <w:sz w:val="24"/>
          <w:szCs w:val="24"/>
        </w:rPr>
        <w:t>A</w:t>
      </w:r>
      <w:r w:rsidRPr="001C1CCB">
        <w:rPr>
          <w:rFonts w:ascii="Times New Roman" w:hAnsi="Times New Roman"/>
          <w:sz w:val="24"/>
          <w:szCs w:val="24"/>
        </w:rPr>
        <w:t xml:space="preserve"> qualified construction analyst </w:t>
      </w:r>
      <w:r w:rsidRPr="001C1CCB" w:rsidR="0066643C">
        <w:rPr>
          <w:rFonts w:ascii="Times New Roman" w:hAnsi="Times New Roman"/>
          <w:sz w:val="24"/>
          <w:szCs w:val="24"/>
        </w:rPr>
        <w:t xml:space="preserve">needs </w:t>
      </w:r>
      <w:r w:rsidRPr="001C1CCB">
        <w:rPr>
          <w:rFonts w:ascii="Times New Roman" w:hAnsi="Times New Roman"/>
          <w:sz w:val="24"/>
          <w:szCs w:val="24"/>
        </w:rPr>
        <w:t xml:space="preserve">to review the drawings and specifications prepared by the project architect and any related agreements for design and/or construction services. The analyst must be knowledgeable and experienced with local building standards and construction methods, relevant national or international building codes and standards (e.g., International Existing Building Code, International Energy Conservation Code) and specific statutory or regulatory requirements for multifamily housing (e.g., Federal Fair Housing Accessibility Guidelines and the Uniform Federal Accessibility Standards). In all cases the lender must </w:t>
      </w:r>
      <w:r w:rsidRPr="001C1CCB" w:rsidR="00B84D64">
        <w:rPr>
          <w:rFonts w:ascii="Times New Roman" w:hAnsi="Times New Roman"/>
          <w:sz w:val="24"/>
          <w:szCs w:val="24"/>
        </w:rPr>
        <w:t xml:space="preserve">ensure </w:t>
      </w:r>
      <w:r w:rsidRPr="001C1CCB">
        <w:rPr>
          <w:rFonts w:ascii="Times New Roman" w:hAnsi="Times New Roman"/>
          <w:sz w:val="24"/>
          <w:szCs w:val="24"/>
        </w:rPr>
        <w:t xml:space="preserve">that the work experience of the construction analyst is consistent with the scale, scope, materials, </w:t>
      </w:r>
      <w:r w:rsidRPr="001C1CCB" w:rsidR="009E6DEB">
        <w:rPr>
          <w:rFonts w:ascii="Times New Roman" w:hAnsi="Times New Roman"/>
          <w:sz w:val="24"/>
          <w:szCs w:val="24"/>
        </w:rPr>
        <w:t>methods,</w:t>
      </w:r>
      <w:r w:rsidRPr="001C1CCB">
        <w:rPr>
          <w:rFonts w:ascii="Times New Roman" w:hAnsi="Times New Roman"/>
          <w:sz w:val="24"/>
          <w:szCs w:val="24"/>
        </w:rPr>
        <w:t xml:space="preserve"> and technologies proposed for or existing at the property.</w:t>
      </w:r>
    </w:p>
    <w:p w:rsidR="00A25AD4" w:rsidRPr="001C1CCB" w:rsidP="00A332F4" w14:paraId="517C5182" w14:textId="5645BCAE">
      <w:pPr>
        <w:spacing w:after="120"/>
        <w:ind w:left="720" w:firstLine="0"/>
        <w:jc w:val="both"/>
        <w:rPr>
          <w:rFonts w:cs="Calibri"/>
          <w:sz w:val="18"/>
          <w:szCs w:val="18"/>
        </w:rPr>
      </w:pPr>
      <w:r w:rsidRPr="001C1CCB">
        <w:rPr>
          <w:rFonts w:ascii="Times New Roman" w:hAnsi="Times New Roman"/>
          <w:sz w:val="24"/>
          <w:szCs w:val="24"/>
        </w:rPr>
        <w:t xml:space="preserve">The </w:t>
      </w:r>
      <w:r w:rsidRPr="001C1CCB">
        <w:rPr>
          <w:rFonts w:ascii="Times New Roman" w:hAnsi="Times New Roman"/>
          <w:sz w:val="24"/>
          <w:szCs w:val="24"/>
          <w:shd w:val="clear" w:color="auto" w:fill="FFFFFF"/>
        </w:rPr>
        <w:t>Construction Analysts must</w:t>
      </w:r>
      <w:r w:rsidRPr="001C1CCB" w:rsidR="00890250">
        <w:rPr>
          <w:rFonts w:ascii="Times New Roman" w:hAnsi="Times New Roman"/>
          <w:sz w:val="24"/>
          <w:szCs w:val="24"/>
          <w:shd w:val="clear" w:color="auto" w:fill="FFFFFF"/>
        </w:rPr>
        <w:t xml:space="preserve"> evaluate</w:t>
      </w:r>
      <w:r w:rsidRPr="001C1CCB">
        <w:rPr>
          <w:rFonts w:ascii="Times New Roman" w:hAnsi="Times New Roman"/>
          <w:sz w:val="24"/>
          <w:szCs w:val="24"/>
          <w:shd w:val="clear" w:color="auto" w:fill="FFFFFF"/>
        </w:rPr>
        <w:t xml:space="preserve">:  </w:t>
      </w:r>
      <w:r w:rsidRPr="001C1CCB">
        <w:rPr>
          <w:rFonts w:ascii="Times New Roman" w:hAnsi="Times New Roman"/>
          <w:sz w:val="24"/>
          <w:szCs w:val="24"/>
        </w:rPr>
        <w:t>site</w:t>
      </w:r>
      <w:r w:rsidRPr="001C1CCB" w:rsidR="00B76CD6">
        <w:rPr>
          <w:rFonts w:ascii="Times New Roman" w:hAnsi="Times New Roman"/>
          <w:sz w:val="24"/>
          <w:szCs w:val="24"/>
        </w:rPr>
        <w:t xml:space="preserve">, </w:t>
      </w:r>
      <w:r w:rsidRPr="001C1CCB" w:rsidR="00A57CA9">
        <w:rPr>
          <w:rFonts w:ascii="Times New Roman" w:hAnsi="Times New Roman"/>
          <w:sz w:val="24"/>
          <w:szCs w:val="24"/>
        </w:rPr>
        <w:t>conditions based on inspection;</w:t>
      </w:r>
      <w:r w:rsidRPr="001C1CCB" w:rsidR="00DF1FCE">
        <w:rPr>
          <w:rFonts w:ascii="Times New Roman" w:hAnsi="Times New Roman"/>
          <w:sz w:val="24"/>
          <w:szCs w:val="24"/>
        </w:rPr>
        <w:t xml:space="preserve"> </w:t>
      </w:r>
      <w:r w:rsidRPr="001C1CCB" w:rsidR="00B76CD6">
        <w:rPr>
          <w:rFonts w:ascii="Times New Roman" w:hAnsi="Times New Roman"/>
          <w:sz w:val="24"/>
          <w:szCs w:val="24"/>
        </w:rPr>
        <w:t>the design of proposed and/or existing buildings</w:t>
      </w:r>
      <w:r w:rsidRPr="001C1CCB" w:rsidR="00DF1FCE">
        <w:rPr>
          <w:rFonts w:ascii="Times New Roman" w:hAnsi="Times New Roman"/>
          <w:sz w:val="24"/>
          <w:szCs w:val="24"/>
        </w:rPr>
        <w:t>;</w:t>
      </w:r>
      <w:r w:rsidRPr="001C1CCB" w:rsidR="00B76CD6">
        <w:rPr>
          <w:rFonts w:ascii="Times New Roman" w:hAnsi="Times New Roman"/>
          <w:sz w:val="24"/>
          <w:szCs w:val="24"/>
        </w:rPr>
        <w:t xml:space="preserve"> construction materials,</w:t>
      </w:r>
      <w:r w:rsidRPr="001C1CCB">
        <w:rPr>
          <w:rFonts w:ascii="Times New Roman" w:hAnsi="Times New Roman"/>
          <w:sz w:val="24"/>
          <w:szCs w:val="24"/>
        </w:rPr>
        <w:t xml:space="preserve"> </w:t>
      </w:r>
      <w:r w:rsidRPr="001C1CCB" w:rsidR="00B76CD6">
        <w:rPr>
          <w:rFonts w:ascii="Times New Roman" w:hAnsi="Times New Roman"/>
          <w:sz w:val="24"/>
          <w:szCs w:val="24"/>
        </w:rPr>
        <w:t xml:space="preserve">methods </w:t>
      </w:r>
      <w:r w:rsidRPr="001C1CCB" w:rsidR="00086608">
        <w:rPr>
          <w:rFonts w:ascii="Times New Roman" w:hAnsi="Times New Roman"/>
          <w:sz w:val="24"/>
          <w:szCs w:val="24"/>
        </w:rPr>
        <w:t xml:space="preserve">and </w:t>
      </w:r>
      <w:r w:rsidRPr="001C1CCB" w:rsidR="00B76CD6">
        <w:rPr>
          <w:rFonts w:ascii="Times New Roman" w:hAnsi="Times New Roman"/>
          <w:sz w:val="24"/>
          <w:szCs w:val="24"/>
        </w:rPr>
        <w:t xml:space="preserve">technologies </w:t>
      </w:r>
      <w:r w:rsidRPr="001C1CCB" w:rsidR="00086608">
        <w:rPr>
          <w:rFonts w:ascii="Times New Roman" w:hAnsi="Times New Roman"/>
          <w:sz w:val="24"/>
          <w:szCs w:val="24"/>
        </w:rPr>
        <w:t>;</w:t>
      </w:r>
      <w:r w:rsidRPr="001C1CCB" w:rsidR="00B76CD6">
        <w:rPr>
          <w:rFonts w:ascii="Times New Roman" w:hAnsi="Times New Roman"/>
          <w:sz w:val="24"/>
          <w:szCs w:val="24"/>
        </w:rPr>
        <w:t xml:space="preserve"> the </w:t>
      </w:r>
      <w:r w:rsidRPr="001C1CCB" w:rsidR="00815C07">
        <w:rPr>
          <w:rFonts w:ascii="Times New Roman" w:hAnsi="Times New Roman"/>
          <w:sz w:val="24"/>
          <w:szCs w:val="24"/>
        </w:rPr>
        <w:t>development team’s experience and capacity; agreements and contracts between the owner and the development team; construction documents (i.e., drawings and specifications), cost and schedule for accuracy, feasibility and conformance with HUD’s design and energy efficiency requirements; and, other relevant MAP Guide requirements</w:t>
      </w:r>
      <w:r w:rsidRPr="001C1CCB" w:rsidR="00B45E01">
        <w:rPr>
          <w:rFonts w:ascii="Times New Roman" w:hAnsi="Times New Roman"/>
          <w:sz w:val="24"/>
          <w:szCs w:val="24"/>
        </w:rPr>
        <w:t>.</w:t>
      </w:r>
    </w:p>
    <w:p w:rsidR="00A332F4" w:rsidRPr="001C1CCB" w:rsidP="00D54917" w14:paraId="294FB9AD" w14:textId="08CE4FFB">
      <w:pPr>
        <w:spacing w:after="120"/>
        <w:ind w:left="720" w:firstLine="0"/>
        <w:jc w:val="both"/>
        <w:rPr>
          <w:rFonts w:cs="Calibri"/>
          <w:sz w:val="18"/>
          <w:szCs w:val="18"/>
        </w:rPr>
      </w:pPr>
      <w:r w:rsidRPr="001C1CCB">
        <w:rPr>
          <w:rFonts w:ascii="Times New Roman" w:hAnsi="Times New Roman"/>
          <w:sz w:val="24"/>
          <w:szCs w:val="24"/>
          <w:u w:val="single"/>
        </w:rPr>
        <w:t xml:space="preserve">The </w:t>
      </w:r>
      <w:r w:rsidRPr="001C1CCB" w:rsidR="00755589">
        <w:rPr>
          <w:rFonts w:ascii="Times New Roman" w:hAnsi="Times New Roman"/>
          <w:sz w:val="24"/>
          <w:szCs w:val="24"/>
          <w:u w:val="single"/>
        </w:rPr>
        <w:t>Needs Assessor</w:t>
      </w:r>
      <w:r w:rsidRPr="001C1CCB" w:rsidR="00755589">
        <w:rPr>
          <w:rFonts w:ascii="Times New Roman" w:hAnsi="Times New Roman"/>
          <w:sz w:val="24"/>
          <w:szCs w:val="24"/>
        </w:rPr>
        <w:t xml:space="preserve"> selected by the MAP Lender must have education, professional </w:t>
      </w:r>
      <w:r w:rsidRPr="001C1CCB" w:rsidR="009E6DEB">
        <w:rPr>
          <w:rFonts w:ascii="Times New Roman" w:hAnsi="Times New Roman"/>
          <w:sz w:val="24"/>
          <w:szCs w:val="24"/>
        </w:rPr>
        <w:t>credentials,</w:t>
      </w:r>
      <w:r w:rsidRPr="001C1CCB" w:rsidR="00755589">
        <w:rPr>
          <w:rFonts w:ascii="Times New Roman" w:hAnsi="Times New Roman"/>
          <w:sz w:val="24"/>
          <w:szCs w:val="24"/>
        </w:rPr>
        <w:t xml:space="preserve"> and field experience appropriate to the assignment considering the age, size, type of building systems, construction methods, and location of the property.  </w:t>
      </w:r>
      <w:r w:rsidRPr="001C1CCB" w:rsidR="00C53C0C">
        <w:rPr>
          <w:rFonts w:ascii="Times New Roman" w:hAnsi="Times New Roman"/>
          <w:sz w:val="24"/>
          <w:szCs w:val="24"/>
        </w:rPr>
        <w:t>The</w:t>
      </w:r>
      <w:r w:rsidRPr="001C1CCB" w:rsidR="00B9397F">
        <w:rPr>
          <w:rFonts w:ascii="Times New Roman" w:hAnsi="Times New Roman"/>
          <w:sz w:val="24"/>
          <w:szCs w:val="24"/>
        </w:rPr>
        <w:t xml:space="preserve"> </w:t>
      </w:r>
      <w:r w:rsidRPr="001C1CCB" w:rsidR="00755589">
        <w:rPr>
          <w:rFonts w:ascii="Times New Roman" w:hAnsi="Times New Roman"/>
          <w:sz w:val="24"/>
          <w:szCs w:val="24"/>
        </w:rPr>
        <w:t xml:space="preserve">needs assessor and any related consultants employed to prepare the capital needs assessment (CNA) </w:t>
      </w:r>
      <w:r w:rsidRPr="001C1CCB" w:rsidR="00616247">
        <w:rPr>
          <w:rFonts w:ascii="Times New Roman" w:hAnsi="Times New Roman"/>
          <w:sz w:val="24"/>
          <w:szCs w:val="24"/>
        </w:rPr>
        <w:t>must meet the qualifications</w:t>
      </w:r>
      <w:r w:rsidRPr="001C1CCB" w:rsidR="00755589">
        <w:rPr>
          <w:rFonts w:ascii="Times New Roman" w:hAnsi="Times New Roman"/>
          <w:sz w:val="24"/>
          <w:szCs w:val="24"/>
        </w:rPr>
        <w:t xml:space="preserve"> described in ASTM E 2018-08 Appendix XI.1.  The needs assessor m</w:t>
      </w:r>
      <w:r w:rsidRPr="001C1CCB">
        <w:rPr>
          <w:rFonts w:ascii="Times New Roman" w:hAnsi="Times New Roman"/>
          <w:sz w:val="24"/>
          <w:szCs w:val="24"/>
        </w:rPr>
        <w:t>ust</w:t>
      </w:r>
      <w:r w:rsidRPr="001C1CCB" w:rsidR="00755589">
        <w:rPr>
          <w:rFonts w:ascii="Times New Roman" w:hAnsi="Times New Roman"/>
          <w:sz w:val="24"/>
          <w:szCs w:val="24"/>
        </w:rPr>
        <w:t xml:space="preserve"> have no identity-of-interest with the lender or the borrower or its </w:t>
      </w:r>
      <w:r w:rsidRPr="001C1CCB" w:rsidR="009E6DEB">
        <w:rPr>
          <w:rFonts w:ascii="Times New Roman" w:hAnsi="Times New Roman"/>
          <w:sz w:val="24"/>
          <w:szCs w:val="24"/>
        </w:rPr>
        <w:t>principals and</w:t>
      </w:r>
      <w:r w:rsidRPr="001C1CCB" w:rsidR="00755589">
        <w:rPr>
          <w:rFonts w:ascii="Times New Roman" w:hAnsi="Times New Roman"/>
          <w:sz w:val="24"/>
          <w:szCs w:val="24"/>
        </w:rPr>
        <w:t xml:space="preserve"> may not have any personal or business relationship with the borrower, or its principals that would create a conflict of interest.  </w:t>
      </w:r>
    </w:p>
    <w:p w:rsidR="001F675E" w:rsidRPr="001C1CCB" w:rsidP="001F675E" w14:paraId="7292E654" w14:textId="3EA439EE">
      <w:pPr>
        <w:spacing w:after="120"/>
        <w:ind w:left="720" w:firstLine="0"/>
        <w:jc w:val="both"/>
        <w:rPr>
          <w:rFonts w:cs="Calibri"/>
          <w:sz w:val="18"/>
          <w:szCs w:val="18"/>
        </w:rPr>
      </w:pPr>
      <w:r w:rsidRPr="001C1CCB">
        <w:rPr>
          <w:rFonts w:ascii="Times New Roman" w:hAnsi="Times New Roman"/>
          <w:sz w:val="24"/>
          <w:szCs w:val="24"/>
          <w:u w:val="single"/>
        </w:rPr>
        <w:t xml:space="preserve">Energy </w:t>
      </w:r>
      <w:r w:rsidRPr="001C1CCB" w:rsidR="008840CC">
        <w:rPr>
          <w:rFonts w:ascii="Times New Roman" w:hAnsi="Times New Roman"/>
          <w:sz w:val="24"/>
          <w:szCs w:val="24"/>
          <w:u w:val="single"/>
        </w:rPr>
        <w:t>Professionals</w:t>
      </w:r>
      <w:r w:rsidRPr="001C1CCB" w:rsidR="008840CC">
        <w:rPr>
          <w:rFonts w:cs="Calibri"/>
          <w:sz w:val="18"/>
          <w:szCs w:val="18"/>
        </w:rPr>
        <w:t xml:space="preserve"> </w:t>
      </w:r>
      <w:r w:rsidRPr="001C1CCB" w:rsidR="008840CC">
        <w:rPr>
          <w:rFonts w:ascii="Times New Roman" w:hAnsi="Times New Roman"/>
          <w:sz w:val="24"/>
          <w:szCs w:val="24"/>
        </w:rPr>
        <w:t>must</w:t>
      </w:r>
      <w:r w:rsidRPr="001C1CCB" w:rsidR="00FA1FE0">
        <w:rPr>
          <w:rFonts w:ascii="Times New Roman" w:hAnsi="Times New Roman"/>
          <w:sz w:val="24"/>
          <w:szCs w:val="24"/>
        </w:rPr>
        <w:t xml:space="preserve"> be engaged by the borrower for all applications </w:t>
      </w:r>
      <w:r w:rsidRPr="001C1CCB" w:rsidR="000E0574">
        <w:rPr>
          <w:rFonts w:ascii="Times New Roman" w:hAnsi="Times New Roman"/>
          <w:sz w:val="24"/>
          <w:szCs w:val="24"/>
        </w:rPr>
        <w:t>request</w:t>
      </w:r>
      <w:r w:rsidRPr="001C1CCB" w:rsidR="00FA1FE0">
        <w:rPr>
          <w:rFonts w:ascii="Times New Roman" w:hAnsi="Times New Roman"/>
          <w:sz w:val="24"/>
          <w:szCs w:val="24"/>
        </w:rPr>
        <w:t xml:space="preserve">ing </w:t>
      </w:r>
      <w:r w:rsidRPr="001C1CCB" w:rsidR="002F034A">
        <w:rPr>
          <w:rFonts w:ascii="Times New Roman" w:hAnsi="Times New Roman"/>
          <w:sz w:val="24"/>
          <w:szCs w:val="24"/>
        </w:rPr>
        <w:t>a</w:t>
      </w:r>
      <w:r w:rsidRPr="001C1CCB" w:rsidR="00FA1FE0">
        <w:rPr>
          <w:rFonts w:ascii="Times New Roman" w:hAnsi="Times New Roman"/>
          <w:sz w:val="24"/>
          <w:szCs w:val="24"/>
        </w:rPr>
        <w:t xml:space="preserve"> green mortgage insurance premium rate (“Green MIP”) as published in the Federal Register, 81 FR, page 18473 (“MIP Notice”), Section D, and/or underwriting</w:t>
      </w:r>
      <w:r w:rsidRPr="001C1CCB" w:rsidR="009A53DC">
        <w:rPr>
          <w:rFonts w:ascii="Times New Roman" w:hAnsi="Times New Roman"/>
          <w:sz w:val="24"/>
          <w:szCs w:val="24"/>
        </w:rPr>
        <w:t xml:space="preserve"> of</w:t>
      </w:r>
      <w:r w:rsidRPr="001C1CCB" w:rsidR="00FA1FE0">
        <w:rPr>
          <w:rFonts w:ascii="Times New Roman" w:hAnsi="Times New Roman"/>
          <w:sz w:val="24"/>
          <w:szCs w:val="24"/>
        </w:rPr>
        <w:t xml:space="preserve"> reduced operating expenses </w:t>
      </w:r>
      <w:r w:rsidRPr="001C1CCB" w:rsidR="00DB0DC3">
        <w:rPr>
          <w:rFonts w:ascii="Times New Roman" w:hAnsi="Times New Roman"/>
          <w:sz w:val="24"/>
          <w:szCs w:val="24"/>
        </w:rPr>
        <w:t xml:space="preserve">to be achieved </w:t>
      </w:r>
      <w:r w:rsidRPr="001C1CCB" w:rsidR="00FA1FE0">
        <w:rPr>
          <w:rFonts w:ascii="Times New Roman" w:hAnsi="Times New Roman"/>
          <w:sz w:val="24"/>
          <w:szCs w:val="24"/>
        </w:rPr>
        <w:t xml:space="preserve">with </w:t>
      </w:r>
      <w:r w:rsidRPr="001C1CCB" w:rsidR="001706E5">
        <w:rPr>
          <w:rFonts w:ascii="Times New Roman" w:hAnsi="Times New Roman"/>
          <w:sz w:val="24"/>
          <w:szCs w:val="24"/>
        </w:rPr>
        <w:t xml:space="preserve">specified </w:t>
      </w:r>
      <w:r w:rsidRPr="001C1CCB" w:rsidR="00FA1FE0">
        <w:rPr>
          <w:rFonts w:ascii="Times New Roman" w:hAnsi="Times New Roman"/>
          <w:sz w:val="24"/>
          <w:szCs w:val="24"/>
        </w:rPr>
        <w:t xml:space="preserve">energy efficiency utility </w:t>
      </w:r>
      <w:r w:rsidRPr="001C1CCB" w:rsidR="001706E5">
        <w:rPr>
          <w:rFonts w:ascii="Times New Roman" w:hAnsi="Times New Roman"/>
          <w:sz w:val="24"/>
          <w:szCs w:val="24"/>
        </w:rPr>
        <w:t>repairs and alternations</w:t>
      </w:r>
      <w:r w:rsidRPr="001C1CCB" w:rsidR="00FA1FE0">
        <w:rPr>
          <w:rFonts w:ascii="Times New Roman" w:hAnsi="Times New Roman"/>
          <w:sz w:val="24"/>
          <w:szCs w:val="24"/>
        </w:rPr>
        <w:t xml:space="preserve">.  The energy professional’s primary tasks </w:t>
      </w:r>
      <w:r w:rsidRPr="001C1CCB" w:rsidR="006F739D">
        <w:rPr>
          <w:rFonts w:ascii="Times New Roman" w:hAnsi="Times New Roman"/>
          <w:sz w:val="24"/>
          <w:szCs w:val="24"/>
        </w:rPr>
        <w:t>include</w:t>
      </w:r>
      <w:r w:rsidRPr="001C1CCB" w:rsidR="00FA1FE0">
        <w:rPr>
          <w:rFonts w:ascii="Times New Roman" w:hAnsi="Times New Roman"/>
          <w:sz w:val="24"/>
          <w:szCs w:val="24"/>
        </w:rPr>
        <w:t xml:space="preserve"> benchmarking energy consumption at the property; managing EPA’s Portfolio Manager® online application for annual reporting; conducting site inspections and energy audits; using energy modeling to estimate energy </w:t>
      </w:r>
      <w:r w:rsidRPr="001C1CCB" w:rsidR="00E075BE">
        <w:rPr>
          <w:rFonts w:ascii="Times New Roman" w:hAnsi="Times New Roman"/>
          <w:sz w:val="24"/>
          <w:szCs w:val="24"/>
        </w:rPr>
        <w:t xml:space="preserve">use </w:t>
      </w:r>
      <w:r w:rsidRPr="001C1CCB" w:rsidR="00FA1FE0">
        <w:rPr>
          <w:rFonts w:ascii="Times New Roman" w:hAnsi="Times New Roman"/>
          <w:sz w:val="24"/>
          <w:szCs w:val="24"/>
        </w:rPr>
        <w:t xml:space="preserve">data; </w:t>
      </w:r>
      <w:r w:rsidRPr="001C1CCB" w:rsidR="00E075BE">
        <w:rPr>
          <w:rFonts w:ascii="Times New Roman" w:hAnsi="Times New Roman"/>
          <w:sz w:val="24"/>
          <w:szCs w:val="24"/>
        </w:rPr>
        <w:t xml:space="preserve">and assisting </w:t>
      </w:r>
      <w:r w:rsidRPr="001C1CCB" w:rsidR="00FA1FE0">
        <w:rPr>
          <w:rFonts w:ascii="Times New Roman" w:hAnsi="Times New Roman"/>
          <w:sz w:val="24"/>
          <w:szCs w:val="24"/>
        </w:rPr>
        <w:t>the owner and owner’s development team</w:t>
      </w:r>
      <w:r w:rsidRPr="001C1CCB" w:rsidR="00E075BE">
        <w:rPr>
          <w:rFonts w:ascii="Times New Roman" w:hAnsi="Times New Roman"/>
          <w:sz w:val="24"/>
          <w:szCs w:val="24"/>
        </w:rPr>
        <w:t xml:space="preserve"> to obtain a recognized green building </w:t>
      </w:r>
      <w:r w:rsidRPr="001C1CCB" w:rsidR="002A47D2">
        <w:rPr>
          <w:rFonts w:ascii="Times New Roman" w:hAnsi="Times New Roman"/>
          <w:sz w:val="24"/>
          <w:szCs w:val="24"/>
        </w:rPr>
        <w:t>certification</w:t>
      </w:r>
      <w:r w:rsidRPr="001C1CCB" w:rsidR="00894388">
        <w:rPr>
          <w:rFonts w:ascii="Times New Roman" w:hAnsi="Times New Roman"/>
          <w:sz w:val="24"/>
          <w:szCs w:val="24"/>
        </w:rPr>
        <w:t xml:space="preserve">. </w:t>
      </w:r>
      <w:r w:rsidRPr="001C1CCB" w:rsidR="00DD3672">
        <w:rPr>
          <w:rFonts w:ascii="Times New Roman" w:hAnsi="Times New Roman"/>
          <w:sz w:val="24"/>
          <w:szCs w:val="24"/>
        </w:rPr>
        <w:t>When preparing Energy Audits</w:t>
      </w:r>
      <w:r w:rsidRPr="001C1CCB" w:rsidR="00A05674">
        <w:rPr>
          <w:rFonts w:ascii="Times New Roman" w:hAnsi="Times New Roman"/>
          <w:sz w:val="24"/>
          <w:szCs w:val="24"/>
        </w:rPr>
        <w:t xml:space="preserve">, Energy Professionals must adhere to ASHRAE Energy Audit </w:t>
      </w:r>
      <w:r w:rsidRPr="001C1CCB" w:rsidR="0006434C">
        <w:rPr>
          <w:rFonts w:ascii="Times New Roman" w:hAnsi="Times New Roman"/>
          <w:sz w:val="24"/>
          <w:szCs w:val="24"/>
        </w:rPr>
        <w:t>standards and procedures, which are a national standard of practice.</w:t>
      </w:r>
      <w:r w:rsidRPr="001C1CCB" w:rsidR="00894388">
        <w:rPr>
          <w:rFonts w:ascii="Times New Roman" w:hAnsi="Times New Roman"/>
          <w:sz w:val="24"/>
          <w:szCs w:val="24"/>
        </w:rPr>
        <w:t xml:space="preserve"> </w:t>
      </w:r>
      <w:r w:rsidRPr="001C1CCB" w:rsidR="008214D7">
        <w:rPr>
          <w:rFonts w:ascii="Times New Roman" w:hAnsi="Times New Roman"/>
          <w:sz w:val="24"/>
          <w:szCs w:val="24"/>
        </w:rPr>
        <w:t xml:space="preserve">Energy professionals must be persons with not less than three years work experience evaluating utility consumption in multifamily buildings and employing energy modeling and benchmarking software, including specifically EPA’s Portfolio Manager® and related ENERGY STAR® resources and products. Energy professionals must have professional certifications or credentials appropriate for analyzing multifamily properties and must remain current with new energy monitoring, measurement methods, and technologies.  </w:t>
      </w:r>
      <w:r w:rsidRPr="001C1CCB">
        <w:rPr>
          <w:rFonts w:ascii="Times New Roman" w:hAnsi="Times New Roman"/>
          <w:sz w:val="24"/>
          <w:szCs w:val="24"/>
        </w:rPr>
        <w:t xml:space="preserve"> </w:t>
      </w:r>
      <w:r w:rsidRPr="001C1CCB" w:rsidR="008214D7">
        <w:rPr>
          <w:rFonts w:ascii="Times New Roman" w:hAnsi="Times New Roman"/>
          <w:sz w:val="24"/>
          <w:szCs w:val="24"/>
        </w:rPr>
        <w:t xml:space="preserve">Appropriate </w:t>
      </w:r>
      <w:r w:rsidRPr="001C1CCB">
        <w:rPr>
          <w:rFonts w:ascii="Times New Roman" w:hAnsi="Times New Roman"/>
          <w:sz w:val="24"/>
          <w:szCs w:val="24"/>
        </w:rPr>
        <w:t>professional certifications or credentials including one or more of the following:</w:t>
      </w:r>
    </w:p>
    <w:p w:rsidR="001F675E" w:rsidRPr="001C1CCB" w:rsidP="00357E48" w14:paraId="42F9374C" w14:textId="57CC1EBE">
      <w:pPr>
        <w:pStyle w:val="ListParagraph"/>
        <w:numPr>
          <w:ilvl w:val="0"/>
          <w:numId w:val="22"/>
        </w:numPr>
        <w:overflowPunct w:val="0"/>
        <w:autoSpaceDE w:val="0"/>
        <w:autoSpaceDN w:val="0"/>
        <w:adjustRightInd w:val="0"/>
        <w:spacing w:before="80" w:after="80"/>
        <w:ind w:left="1080"/>
        <w:jc w:val="both"/>
        <w:textAlignment w:val="baseline"/>
        <w:outlineLvl w:val="2"/>
        <w:rPr>
          <w:rFonts w:ascii="Times New Roman" w:hAnsi="Times New Roman"/>
          <w:sz w:val="24"/>
          <w:szCs w:val="24"/>
        </w:rPr>
      </w:pPr>
      <w:r w:rsidRPr="001C1CCB">
        <w:rPr>
          <w:rFonts w:ascii="Times New Roman" w:hAnsi="Times New Roman"/>
          <w:sz w:val="24"/>
          <w:szCs w:val="24"/>
        </w:rPr>
        <w:t>Registered architect</w:t>
      </w:r>
      <w:r w:rsidRPr="001C1CCB" w:rsidR="00F95305">
        <w:rPr>
          <w:rFonts w:ascii="Times New Roman" w:hAnsi="Times New Roman"/>
          <w:sz w:val="24"/>
          <w:szCs w:val="24"/>
        </w:rPr>
        <w:t xml:space="preserve"> </w:t>
      </w:r>
      <w:r w:rsidRPr="001C1CCB" w:rsidR="009E6DEB">
        <w:rPr>
          <w:rFonts w:ascii="Times New Roman" w:hAnsi="Times New Roman"/>
          <w:sz w:val="24"/>
          <w:szCs w:val="24"/>
        </w:rPr>
        <w:t>or licensed</w:t>
      </w:r>
      <w:r w:rsidRPr="001C1CCB">
        <w:rPr>
          <w:rFonts w:ascii="Times New Roman" w:hAnsi="Times New Roman"/>
          <w:sz w:val="24"/>
          <w:szCs w:val="24"/>
        </w:rPr>
        <w:t xml:space="preserve"> professional engineer</w:t>
      </w:r>
      <w:r w:rsidRPr="001C1CCB" w:rsidR="00FE5080">
        <w:rPr>
          <w:rFonts w:ascii="Times New Roman" w:hAnsi="Times New Roman"/>
          <w:sz w:val="24"/>
          <w:szCs w:val="24"/>
        </w:rPr>
        <w:t xml:space="preserve"> (PE) with requisite energy </w:t>
      </w:r>
      <w:r w:rsidRPr="001C1CCB" w:rsidR="006F739D">
        <w:rPr>
          <w:rFonts w:ascii="Times New Roman" w:hAnsi="Times New Roman"/>
          <w:sz w:val="24"/>
          <w:szCs w:val="24"/>
        </w:rPr>
        <w:t>experiences.</w:t>
      </w:r>
    </w:p>
    <w:p w:rsidR="001F675E" w:rsidRPr="001C1CCB" w:rsidP="001F675E" w14:paraId="6DCB3C1E" w14:textId="0DC06A3A">
      <w:pPr>
        <w:pStyle w:val="ListParagraph"/>
        <w:numPr>
          <w:ilvl w:val="0"/>
          <w:numId w:val="22"/>
        </w:numPr>
        <w:overflowPunct w:val="0"/>
        <w:autoSpaceDE w:val="0"/>
        <w:autoSpaceDN w:val="0"/>
        <w:adjustRightInd w:val="0"/>
        <w:spacing w:before="80" w:after="80"/>
        <w:ind w:left="1080"/>
        <w:jc w:val="both"/>
        <w:textAlignment w:val="baseline"/>
        <w:outlineLvl w:val="2"/>
        <w:rPr>
          <w:rFonts w:ascii="Times New Roman" w:hAnsi="Times New Roman"/>
          <w:sz w:val="24"/>
          <w:szCs w:val="24"/>
        </w:rPr>
      </w:pPr>
      <w:r w:rsidRPr="001C1CCB">
        <w:rPr>
          <w:rFonts w:ascii="Times New Roman" w:hAnsi="Times New Roman"/>
          <w:sz w:val="24"/>
          <w:szCs w:val="24"/>
        </w:rPr>
        <w:t xml:space="preserve">American Energy Engineers Association’s Certified Energy Manager (CEM) or Certified Energy Auditor (CEA) </w:t>
      </w:r>
      <w:r w:rsidRPr="001C1CCB" w:rsidR="00061684">
        <w:rPr>
          <w:rFonts w:ascii="Times New Roman" w:hAnsi="Times New Roman"/>
          <w:sz w:val="24"/>
          <w:szCs w:val="24"/>
        </w:rPr>
        <w:t>designations.</w:t>
      </w:r>
    </w:p>
    <w:p w:rsidR="001F675E" w:rsidRPr="001C1CCB" w:rsidP="001F675E" w14:paraId="28CE3F1D" w14:textId="0FD7D1BE">
      <w:pPr>
        <w:pStyle w:val="ListParagraph"/>
        <w:numPr>
          <w:ilvl w:val="0"/>
          <w:numId w:val="22"/>
        </w:numPr>
        <w:overflowPunct w:val="0"/>
        <w:autoSpaceDE w:val="0"/>
        <w:autoSpaceDN w:val="0"/>
        <w:adjustRightInd w:val="0"/>
        <w:spacing w:before="80" w:after="80"/>
        <w:ind w:left="1080"/>
        <w:jc w:val="both"/>
        <w:textAlignment w:val="baseline"/>
        <w:outlineLvl w:val="2"/>
        <w:rPr>
          <w:rFonts w:ascii="Times New Roman" w:hAnsi="Times New Roman"/>
          <w:sz w:val="24"/>
          <w:szCs w:val="24"/>
        </w:rPr>
      </w:pPr>
      <w:r w:rsidRPr="001C1CCB">
        <w:rPr>
          <w:rFonts w:ascii="Times New Roman" w:hAnsi="Times New Roman"/>
          <w:sz w:val="24"/>
          <w:szCs w:val="24"/>
        </w:rPr>
        <w:t xml:space="preserve">American Society of Heating, Refrigerating and Air Conditioning Engineers (ASHRAE) High Performance Building Design Professional (HPBDP) </w:t>
      </w:r>
      <w:r w:rsidRPr="001C1CCB" w:rsidR="00061684">
        <w:rPr>
          <w:rFonts w:ascii="Times New Roman" w:hAnsi="Times New Roman"/>
          <w:sz w:val="24"/>
          <w:szCs w:val="24"/>
        </w:rPr>
        <w:t>designation.</w:t>
      </w:r>
    </w:p>
    <w:p w:rsidR="001F1CBD" w:rsidRPr="001C1CCB" w:rsidP="001F1CBD" w14:paraId="57EBECE5" w14:textId="488B6A1F">
      <w:pPr>
        <w:pStyle w:val="ListParagraph"/>
        <w:numPr>
          <w:ilvl w:val="0"/>
          <w:numId w:val="22"/>
        </w:numPr>
        <w:overflowPunct w:val="0"/>
        <w:autoSpaceDE w:val="0"/>
        <w:autoSpaceDN w:val="0"/>
        <w:adjustRightInd w:val="0"/>
        <w:spacing w:before="80" w:after="80"/>
        <w:ind w:left="1080"/>
        <w:jc w:val="both"/>
        <w:textAlignment w:val="baseline"/>
        <w:outlineLvl w:val="2"/>
        <w:rPr>
          <w:rFonts w:ascii="Times New Roman" w:hAnsi="Times New Roman"/>
          <w:sz w:val="24"/>
          <w:szCs w:val="24"/>
        </w:rPr>
      </w:pPr>
      <w:r w:rsidRPr="001C1CCB">
        <w:rPr>
          <w:rFonts w:ascii="Times New Roman" w:hAnsi="Times New Roman"/>
          <w:sz w:val="24"/>
          <w:szCs w:val="24"/>
        </w:rPr>
        <w:t xml:space="preserve">Building Performance Institute (BPI) Multifamily Building Analyst (MFBA) </w:t>
      </w:r>
      <w:r w:rsidRPr="001C1CCB" w:rsidR="00061684">
        <w:rPr>
          <w:rFonts w:ascii="Times New Roman" w:hAnsi="Times New Roman"/>
          <w:sz w:val="24"/>
          <w:szCs w:val="24"/>
        </w:rPr>
        <w:t>designation.</w:t>
      </w:r>
    </w:p>
    <w:p w:rsidR="00755589" w:rsidRPr="001C1CCB" w:rsidP="001F1CBD" w14:paraId="4BA667A7" w14:textId="563204B8">
      <w:pPr>
        <w:pStyle w:val="ListParagraph"/>
        <w:numPr>
          <w:ilvl w:val="0"/>
          <w:numId w:val="22"/>
        </w:numPr>
        <w:overflowPunct w:val="0"/>
        <w:autoSpaceDE w:val="0"/>
        <w:autoSpaceDN w:val="0"/>
        <w:adjustRightInd w:val="0"/>
        <w:spacing w:before="80" w:after="80"/>
        <w:ind w:left="1080"/>
        <w:jc w:val="both"/>
        <w:textAlignment w:val="baseline"/>
        <w:outlineLvl w:val="2"/>
        <w:rPr>
          <w:rFonts w:ascii="Times New Roman" w:hAnsi="Times New Roman"/>
          <w:sz w:val="24"/>
          <w:szCs w:val="24"/>
        </w:rPr>
      </w:pPr>
      <w:r w:rsidRPr="001C1CCB">
        <w:rPr>
          <w:rFonts w:ascii="Times New Roman" w:hAnsi="Times New Roman"/>
          <w:sz w:val="24"/>
          <w:szCs w:val="24"/>
        </w:rPr>
        <w:t>Residential Energy Services Network (RESNET) Home Energy Rating System (HERS) Rater.</w:t>
      </w:r>
    </w:p>
    <w:p w:rsidR="00C16655" w:rsidRPr="001C1CCB" w:rsidP="00D54917" w14:paraId="556276BB" w14:textId="77777777">
      <w:pPr>
        <w:spacing w:after="120"/>
        <w:ind w:left="720" w:firstLine="0"/>
        <w:jc w:val="both"/>
        <w:rPr>
          <w:rFonts w:ascii="Times New Roman" w:hAnsi="Times New Roman"/>
          <w:sz w:val="24"/>
          <w:szCs w:val="24"/>
        </w:rPr>
      </w:pPr>
    </w:p>
    <w:p w:rsidR="00C16655" w:rsidRPr="001C1CCB" w:rsidP="00D54917" w14:paraId="5369D9FC" w14:textId="14CEBCD2">
      <w:pPr>
        <w:spacing w:after="120"/>
        <w:ind w:left="720" w:firstLine="0"/>
        <w:jc w:val="both"/>
        <w:rPr>
          <w:rFonts w:ascii="Times New Roman" w:hAnsi="Times New Roman"/>
          <w:sz w:val="24"/>
          <w:szCs w:val="24"/>
        </w:rPr>
      </w:pPr>
      <w:r w:rsidRPr="001C1CCB">
        <w:rPr>
          <w:rFonts w:ascii="Times New Roman" w:hAnsi="Times New Roman"/>
          <w:sz w:val="24"/>
          <w:szCs w:val="24"/>
          <w:u w:val="single"/>
        </w:rPr>
        <w:t>Environmental Professionals</w:t>
      </w:r>
      <w:r w:rsidRPr="001C1CCB">
        <w:rPr>
          <w:rFonts w:ascii="Times New Roman" w:hAnsi="Times New Roman"/>
          <w:sz w:val="24"/>
          <w:szCs w:val="24"/>
        </w:rPr>
        <w:t xml:space="preserve">. All applications for insured mortgages must submit an environmental review using the HUD Environmental Review Online System (HEROS) </w:t>
      </w:r>
      <w:r w:rsidRPr="001C1CCB">
        <w:rPr>
          <w:rFonts w:ascii="Times New Roman" w:hAnsi="Times New Roman"/>
          <w:sz w:val="24"/>
          <w:szCs w:val="24"/>
        </w:rPr>
        <w:t>in order to</w:t>
      </w:r>
      <w:r w:rsidRPr="001C1CCB">
        <w:rPr>
          <w:rFonts w:ascii="Times New Roman" w:hAnsi="Times New Roman"/>
          <w:sz w:val="24"/>
          <w:szCs w:val="24"/>
        </w:rPr>
        <w:t xml:space="preserve"> comply with the National Environmental Policy Act of 1969 (42 U.S.C 4321 et seq.) (NEPA), HUD regulations implementing NEPA at 24 CFR Part 50 including related Federal Laws and Authorities at 24 CFR 50.4 and 50.3(i), and specific MAP environmental requirements.  The MAP Lender will generally select the environmental professionals and must verify that the professionals used are qualified for their assigned responsibilities.  Professionals preparing Phase I and Phase II Environmental Site Assessments must meet the qualification requirements in the latest versions of ASTM E1527 and E1903, respectively. Professionals may be required to evaluate technical areas, such as lead-based paint, asbestos, radon, noise, wetlands, flooding, endangered species, historic preservation, soil stability conditions, engineered fall distances, pipeline hazards, or other areas.  These professionals must meet the license and certification standards laid out in MAP </w:t>
      </w:r>
      <w:r w:rsidRPr="001C1CCB" w:rsidR="007712E9">
        <w:rPr>
          <w:rFonts w:ascii="Times New Roman" w:hAnsi="Times New Roman"/>
          <w:sz w:val="24"/>
          <w:szCs w:val="24"/>
        </w:rPr>
        <w:t xml:space="preserve">Guide Chapter 9 </w:t>
      </w:r>
      <w:r w:rsidRPr="001C1CCB">
        <w:rPr>
          <w:rFonts w:ascii="Times New Roman" w:hAnsi="Times New Roman"/>
          <w:sz w:val="24"/>
          <w:szCs w:val="24"/>
        </w:rPr>
        <w:t>Section 9.6.</w:t>
      </w:r>
    </w:p>
    <w:p w:rsidR="0056166F" w:rsidRPr="001C1CCB" w:rsidP="00D54917" w14:paraId="5A2E8194" w14:textId="6BF4E22A">
      <w:pPr>
        <w:spacing w:after="120"/>
        <w:ind w:left="720" w:firstLine="0"/>
        <w:jc w:val="both"/>
        <w:rPr>
          <w:rFonts w:ascii="Times New Roman" w:hAnsi="Times New Roman"/>
          <w:sz w:val="24"/>
          <w:szCs w:val="24"/>
        </w:rPr>
      </w:pPr>
      <w:r w:rsidRPr="001C1CCB">
        <w:rPr>
          <w:rFonts w:ascii="Times New Roman" w:hAnsi="Times New Roman"/>
          <w:sz w:val="24"/>
          <w:szCs w:val="24"/>
        </w:rPr>
        <w:t>M</w:t>
      </w:r>
      <w:r w:rsidRPr="001C1CCB">
        <w:rPr>
          <w:rFonts w:ascii="Times New Roman" w:hAnsi="Times New Roman"/>
          <w:sz w:val="24"/>
          <w:szCs w:val="24"/>
        </w:rPr>
        <w:t>ost of the environmental review is covered by the PRA for HEROS (OMB Approval No. 2506-0202</w:t>
      </w:r>
      <w:r w:rsidRPr="001C1CCB">
        <w:rPr>
          <w:rFonts w:ascii="Times New Roman" w:hAnsi="Times New Roman"/>
          <w:b/>
          <w:bCs/>
          <w:sz w:val="24"/>
          <w:szCs w:val="24"/>
        </w:rPr>
        <w:t xml:space="preserve"> </w:t>
      </w:r>
      <w:r w:rsidRPr="001C1CCB">
        <w:rPr>
          <w:rFonts w:ascii="Times New Roman" w:hAnsi="Times New Roman"/>
          <w:sz w:val="24"/>
          <w:szCs w:val="24"/>
        </w:rPr>
        <w:t>– HUD Environmental Review Online System).  The Lead Based Paint requirements stem from the regulations at 24 CFR Part 35.  The Radon and Asbestos requirements follow national standards (ANSI-AARST for radon and ASTM for Asbestos.)</w:t>
      </w:r>
    </w:p>
    <w:p w:rsidR="00624E37" w:rsidRPr="001C1CCB" w:rsidP="00FA3EBA" w14:paraId="49E34C8E" w14:textId="26F4FA13">
      <w:pPr>
        <w:spacing w:after="240"/>
        <w:ind w:left="720" w:firstLine="0"/>
        <w:jc w:val="both"/>
        <w:rPr>
          <w:rFonts w:ascii="Times New Roman" w:hAnsi="Times New Roman"/>
          <w:sz w:val="24"/>
          <w:szCs w:val="24"/>
        </w:rPr>
      </w:pPr>
      <w:r w:rsidRPr="001C1CCB">
        <w:rPr>
          <w:rFonts w:ascii="Times New Roman" w:hAnsi="Times New Roman"/>
          <w:sz w:val="24"/>
          <w:szCs w:val="24"/>
        </w:rPr>
        <w:t>Other Technical Specialists engaged by the borrower, the project architect</w:t>
      </w:r>
      <w:r w:rsidRPr="001C1CCB" w:rsidR="00E3504E">
        <w:rPr>
          <w:rFonts w:ascii="Times New Roman" w:hAnsi="Times New Roman"/>
          <w:sz w:val="24"/>
          <w:szCs w:val="24"/>
        </w:rPr>
        <w:t>,</w:t>
      </w:r>
      <w:r w:rsidRPr="001C1CCB">
        <w:rPr>
          <w:rFonts w:ascii="Times New Roman" w:hAnsi="Times New Roman"/>
          <w:sz w:val="24"/>
          <w:szCs w:val="24"/>
        </w:rPr>
        <w:t xml:space="preserve"> or the MAP Lender to </w:t>
      </w:r>
      <w:r w:rsidRPr="001C1CCB" w:rsidR="006204B3">
        <w:rPr>
          <w:rFonts w:ascii="Times New Roman" w:hAnsi="Times New Roman"/>
          <w:sz w:val="24"/>
          <w:szCs w:val="24"/>
        </w:rPr>
        <w:t>prepare</w:t>
      </w:r>
      <w:r w:rsidRPr="001C1CCB">
        <w:rPr>
          <w:rFonts w:ascii="Times New Roman" w:hAnsi="Times New Roman"/>
          <w:sz w:val="24"/>
          <w:szCs w:val="24"/>
        </w:rPr>
        <w:t xml:space="preserve"> or review of </w:t>
      </w:r>
      <w:r w:rsidRPr="001C1CCB" w:rsidR="0086226E">
        <w:rPr>
          <w:rFonts w:ascii="Times New Roman" w:hAnsi="Times New Roman"/>
          <w:sz w:val="24"/>
          <w:szCs w:val="24"/>
        </w:rPr>
        <w:t xml:space="preserve">architectural </w:t>
      </w:r>
      <w:r w:rsidRPr="001C1CCB">
        <w:rPr>
          <w:rFonts w:ascii="Times New Roman" w:hAnsi="Times New Roman"/>
          <w:sz w:val="24"/>
          <w:szCs w:val="24"/>
        </w:rPr>
        <w:t>plans and specifications may include mechanical, structural, sanitary, geo-technical or civil engineers.  When engaged for services</w:t>
      </w:r>
      <w:r w:rsidRPr="001C1CCB" w:rsidR="008D51EB">
        <w:rPr>
          <w:rFonts w:ascii="Times New Roman" w:hAnsi="Times New Roman"/>
          <w:sz w:val="24"/>
          <w:szCs w:val="24"/>
        </w:rPr>
        <w:t>,</w:t>
      </w:r>
      <w:r w:rsidRPr="001C1CCB">
        <w:rPr>
          <w:rFonts w:ascii="Times New Roman" w:hAnsi="Times New Roman"/>
          <w:sz w:val="24"/>
          <w:szCs w:val="24"/>
        </w:rPr>
        <w:t xml:space="preserve"> a principal of the technical specialist firm must be a licensed or registered professional</w:t>
      </w:r>
      <w:r w:rsidRPr="001C1CCB" w:rsidR="0051700D">
        <w:rPr>
          <w:rFonts w:ascii="Times New Roman" w:hAnsi="Times New Roman"/>
          <w:sz w:val="24"/>
          <w:szCs w:val="24"/>
        </w:rPr>
        <w:t xml:space="preserve"> and </w:t>
      </w:r>
      <w:r w:rsidRPr="001C1CCB">
        <w:rPr>
          <w:rFonts w:ascii="Times New Roman" w:hAnsi="Times New Roman"/>
          <w:sz w:val="24"/>
          <w:szCs w:val="24"/>
        </w:rPr>
        <w:t xml:space="preserve">must </w:t>
      </w:r>
      <w:r w:rsidRPr="001C1CCB" w:rsidR="00286504">
        <w:rPr>
          <w:rFonts w:ascii="Times New Roman" w:hAnsi="Times New Roman"/>
          <w:sz w:val="24"/>
          <w:szCs w:val="24"/>
        </w:rPr>
        <w:t>affix and sign relevant professional seal(s) on</w:t>
      </w:r>
      <w:r w:rsidRPr="001C1CCB">
        <w:rPr>
          <w:rFonts w:ascii="Times New Roman" w:hAnsi="Times New Roman"/>
          <w:sz w:val="24"/>
          <w:szCs w:val="24"/>
        </w:rPr>
        <w:t xml:space="preserve"> any </w:t>
      </w:r>
      <w:r w:rsidRPr="001C1CCB" w:rsidR="001B382A">
        <w:rPr>
          <w:rFonts w:ascii="Times New Roman" w:hAnsi="Times New Roman"/>
          <w:sz w:val="24"/>
          <w:szCs w:val="24"/>
        </w:rPr>
        <w:t xml:space="preserve">deliverable </w:t>
      </w:r>
      <w:r w:rsidRPr="001C1CCB">
        <w:rPr>
          <w:rFonts w:ascii="Times New Roman" w:hAnsi="Times New Roman"/>
          <w:sz w:val="24"/>
          <w:szCs w:val="24"/>
        </w:rPr>
        <w:t>resulting report</w:t>
      </w:r>
      <w:r w:rsidRPr="001C1CCB" w:rsidR="0080390B">
        <w:rPr>
          <w:rFonts w:ascii="Times New Roman" w:hAnsi="Times New Roman"/>
          <w:sz w:val="24"/>
          <w:szCs w:val="24"/>
        </w:rPr>
        <w:t>s</w:t>
      </w:r>
      <w:r w:rsidRPr="001C1CCB">
        <w:rPr>
          <w:rFonts w:ascii="Times New Roman" w:hAnsi="Times New Roman"/>
          <w:sz w:val="24"/>
          <w:szCs w:val="24"/>
        </w:rPr>
        <w:t xml:space="preserve"> or </w:t>
      </w:r>
      <w:r w:rsidRPr="001C1CCB" w:rsidR="00C54A5F">
        <w:rPr>
          <w:rFonts w:ascii="Times New Roman" w:hAnsi="Times New Roman"/>
          <w:sz w:val="24"/>
          <w:szCs w:val="24"/>
        </w:rPr>
        <w:t xml:space="preserve">official </w:t>
      </w:r>
      <w:r w:rsidRPr="001C1CCB">
        <w:rPr>
          <w:rFonts w:ascii="Times New Roman" w:hAnsi="Times New Roman"/>
          <w:sz w:val="24"/>
          <w:szCs w:val="24"/>
        </w:rPr>
        <w:t>opinion</w:t>
      </w:r>
      <w:r w:rsidRPr="001C1CCB" w:rsidR="002631F3">
        <w:rPr>
          <w:rFonts w:ascii="Times New Roman" w:hAnsi="Times New Roman"/>
          <w:sz w:val="24"/>
          <w:szCs w:val="24"/>
        </w:rPr>
        <w:t>s</w:t>
      </w:r>
      <w:r w:rsidRPr="001C1CCB">
        <w:rPr>
          <w:rFonts w:ascii="Times New Roman" w:hAnsi="Times New Roman"/>
          <w:sz w:val="24"/>
          <w:szCs w:val="24"/>
        </w:rPr>
        <w:t>.</w:t>
      </w:r>
    </w:p>
    <w:p w:rsidR="009C7333" w:rsidRPr="001C1CCB" w:rsidP="009C7333" w14:paraId="33D68746" w14:textId="77777777">
      <w:pPr>
        <w:ind w:left="720" w:firstLine="0"/>
        <w:jc w:val="both"/>
        <w:rPr>
          <w:rFonts w:ascii="Times New Roman" w:hAnsi="Times New Roman"/>
          <w:b/>
          <w:sz w:val="24"/>
          <w:szCs w:val="24"/>
        </w:rPr>
      </w:pPr>
      <w:r w:rsidRPr="001C1CCB">
        <w:rPr>
          <w:rFonts w:ascii="Times New Roman" w:hAnsi="Times New Roman"/>
          <w:b/>
          <w:sz w:val="24"/>
          <w:szCs w:val="24"/>
        </w:rPr>
        <w:t xml:space="preserve">Certifications by </w:t>
      </w:r>
      <w:r w:rsidRPr="001C1CCB" w:rsidR="004330AB">
        <w:rPr>
          <w:rFonts w:ascii="Times New Roman" w:hAnsi="Times New Roman"/>
          <w:b/>
          <w:sz w:val="24"/>
          <w:szCs w:val="24"/>
        </w:rPr>
        <w:t>T</w:t>
      </w:r>
      <w:r w:rsidRPr="001C1CCB">
        <w:rPr>
          <w:rFonts w:ascii="Times New Roman" w:hAnsi="Times New Roman"/>
          <w:b/>
          <w:sz w:val="24"/>
          <w:szCs w:val="24"/>
        </w:rPr>
        <w:t xml:space="preserve">hird </w:t>
      </w:r>
      <w:r w:rsidRPr="001C1CCB" w:rsidR="004330AB">
        <w:rPr>
          <w:rFonts w:ascii="Times New Roman" w:hAnsi="Times New Roman"/>
          <w:b/>
          <w:sz w:val="24"/>
          <w:szCs w:val="24"/>
        </w:rPr>
        <w:t>P</w:t>
      </w:r>
      <w:r w:rsidRPr="001C1CCB">
        <w:rPr>
          <w:rFonts w:ascii="Times New Roman" w:hAnsi="Times New Roman"/>
          <w:b/>
          <w:sz w:val="24"/>
          <w:szCs w:val="24"/>
        </w:rPr>
        <w:t xml:space="preserve">arty </w:t>
      </w:r>
      <w:r w:rsidRPr="001C1CCB" w:rsidR="004330AB">
        <w:rPr>
          <w:rFonts w:ascii="Times New Roman" w:hAnsi="Times New Roman"/>
          <w:b/>
          <w:sz w:val="24"/>
          <w:szCs w:val="24"/>
        </w:rPr>
        <w:t>P</w:t>
      </w:r>
      <w:r w:rsidRPr="001C1CCB">
        <w:rPr>
          <w:rFonts w:ascii="Times New Roman" w:hAnsi="Times New Roman"/>
          <w:b/>
          <w:sz w:val="24"/>
          <w:szCs w:val="24"/>
        </w:rPr>
        <w:t>rofessionals</w:t>
      </w:r>
    </w:p>
    <w:p w:rsidR="003332D3" w:rsidRPr="001C1CCB" w:rsidP="009C7333" w14:paraId="2FFCCA17" w14:textId="45BF80A3">
      <w:pPr>
        <w:spacing w:after="120"/>
        <w:ind w:left="720" w:firstLine="0"/>
        <w:jc w:val="both"/>
        <w:rPr>
          <w:rFonts w:ascii="Times New Roman" w:hAnsi="Times New Roman"/>
          <w:bCs/>
          <w:sz w:val="24"/>
          <w:szCs w:val="24"/>
        </w:rPr>
      </w:pPr>
      <w:r w:rsidRPr="001C1CCB">
        <w:rPr>
          <w:rFonts w:ascii="Times New Roman" w:hAnsi="Times New Roman"/>
          <w:bCs/>
          <w:sz w:val="24"/>
          <w:szCs w:val="24"/>
        </w:rPr>
        <w:t>By statute, appraisals submitted in support of an application for HUD mortgage insurance must comply with the Uniform Standards of Professional Appraisal Practice (USPAP).  USPAP requires a certification and specifies the content of the certification.  We require this additional certification because our appraisals must be prepared in compliance with fair housing and anti-discrimination laws.</w:t>
      </w:r>
    </w:p>
    <w:p w:rsidR="003332D3" w:rsidRPr="001C1CCB" w:rsidP="00D54917" w14:paraId="0FE19A6B" w14:textId="77777777">
      <w:pPr>
        <w:spacing w:before="120" w:after="120"/>
        <w:ind w:left="720" w:firstLine="0"/>
        <w:jc w:val="both"/>
        <w:rPr>
          <w:rFonts w:ascii="Times New Roman" w:hAnsi="Times New Roman"/>
          <w:bCs/>
          <w:sz w:val="24"/>
          <w:szCs w:val="24"/>
        </w:rPr>
      </w:pPr>
      <w:r w:rsidRPr="001C1CCB">
        <w:rPr>
          <w:rFonts w:ascii="Times New Roman" w:hAnsi="Times New Roman"/>
          <w:bCs/>
          <w:sz w:val="24"/>
          <w:szCs w:val="24"/>
        </w:rPr>
        <w:t>Other Certifications</w:t>
      </w:r>
      <w:r w:rsidRPr="001C1CCB" w:rsidR="00744455">
        <w:rPr>
          <w:rFonts w:ascii="Times New Roman" w:hAnsi="Times New Roman"/>
          <w:bCs/>
          <w:sz w:val="24"/>
          <w:szCs w:val="24"/>
        </w:rPr>
        <w:t xml:space="preserve"> </w:t>
      </w:r>
      <w:r w:rsidRPr="001C1CCB">
        <w:rPr>
          <w:rFonts w:ascii="Times New Roman" w:hAnsi="Times New Roman"/>
          <w:bCs/>
          <w:sz w:val="24"/>
          <w:szCs w:val="24"/>
        </w:rPr>
        <w:t xml:space="preserve">– </w:t>
      </w:r>
      <w:r w:rsidRPr="001C1CCB" w:rsidR="00DA7870">
        <w:rPr>
          <w:rFonts w:ascii="Times New Roman" w:hAnsi="Times New Roman"/>
          <w:bCs/>
          <w:sz w:val="24"/>
          <w:szCs w:val="24"/>
        </w:rPr>
        <w:t>To</w:t>
      </w:r>
      <w:r w:rsidRPr="001C1CCB">
        <w:rPr>
          <w:rFonts w:ascii="Times New Roman" w:hAnsi="Times New Roman"/>
          <w:bCs/>
          <w:sz w:val="24"/>
          <w:szCs w:val="24"/>
        </w:rPr>
        <w:t xml:space="preserve"> reduce the number of exhibits submitted in loan closing packages and to reduce HUD staff review, HUD created the Consolidated Certification – Borrower, </w:t>
      </w:r>
      <w:r w:rsidRPr="001C1CCB" w:rsidR="00EE0162">
        <w:rPr>
          <w:rFonts w:ascii="Times New Roman" w:hAnsi="Times New Roman"/>
          <w:bCs/>
          <w:sz w:val="24"/>
          <w:szCs w:val="24"/>
        </w:rPr>
        <w:t xml:space="preserve">Form </w:t>
      </w:r>
      <w:r w:rsidRPr="001C1CCB">
        <w:rPr>
          <w:rFonts w:ascii="Times New Roman" w:hAnsi="Times New Roman"/>
          <w:bCs/>
          <w:sz w:val="24"/>
          <w:szCs w:val="24"/>
        </w:rPr>
        <w:t>HUD-9107</w:t>
      </w:r>
      <w:r w:rsidRPr="001C1CCB" w:rsidR="00E43E4E">
        <w:rPr>
          <w:rFonts w:ascii="Times New Roman" w:hAnsi="Times New Roman"/>
          <w:bCs/>
          <w:sz w:val="24"/>
          <w:szCs w:val="24"/>
        </w:rPr>
        <w:t>0</w:t>
      </w:r>
      <w:r w:rsidRPr="001C1CCB">
        <w:rPr>
          <w:rFonts w:ascii="Times New Roman" w:hAnsi="Times New Roman"/>
          <w:bCs/>
          <w:sz w:val="24"/>
          <w:szCs w:val="24"/>
        </w:rPr>
        <w:t xml:space="preserve">M </w:t>
      </w:r>
      <w:r w:rsidRPr="001C1CCB" w:rsidR="00782CF3">
        <w:rPr>
          <w:rFonts w:ascii="Times New Roman" w:hAnsi="Times New Roman"/>
          <w:spacing w:val="4"/>
          <w:sz w:val="24"/>
          <w:szCs w:val="24"/>
          <w:shd w:val="clear" w:color="auto" w:fill="FFFFFF"/>
        </w:rPr>
        <w:t xml:space="preserve">(current </w:t>
      </w:r>
      <w:r w:rsidRPr="001C1CCB" w:rsidR="00E43E4E">
        <w:rPr>
          <w:rFonts w:ascii="Times New Roman" w:hAnsi="Times New Roman"/>
          <w:spacing w:val="4"/>
          <w:sz w:val="24"/>
          <w:szCs w:val="24"/>
          <w:shd w:val="clear" w:color="auto" w:fill="FFFFFF"/>
        </w:rPr>
        <w:t>collection 2502-0</w:t>
      </w:r>
      <w:r w:rsidRPr="001C1CCB" w:rsidR="00782CF3">
        <w:rPr>
          <w:rFonts w:ascii="Times New Roman" w:hAnsi="Times New Roman"/>
          <w:spacing w:val="4"/>
          <w:sz w:val="24"/>
          <w:szCs w:val="24"/>
          <w:shd w:val="clear" w:color="auto" w:fill="FFFFFF"/>
        </w:rPr>
        <w:t>5</w:t>
      </w:r>
      <w:r w:rsidRPr="001C1CCB" w:rsidR="00E43E4E">
        <w:rPr>
          <w:rFonts w:ascii="Times New Roman" w:hAnsi="Times New Roman"/>
          <w:spacing w:val="4"/>
          <w:sz w:val="24"/>
          <w:szCs w:val="24"/>
          <w:shd w:val="clear" w:color="auto" w:fill="FFFFFF"/>
        </w:rPr>
        <w:t>98</w:t>
      </w:r>
      <w:r w:rsidRPr="001C1CCB">
        <w:rPr>
          <w:rFonts w:ascii="Times New Roman" w:hAnsi="Times New Roman"/>
          <w:bCs/>
          <w:sz w:val="24"/>
          <w:szCs w:val="24"/>
        </w:rPr>
        <w:t>)</w:t>
      </w:r>
      <w:r w:rsidRPr="001C1CCB" w:rsidR="00BF4EEF">
        <w:rPr>
          <w:rFonts w:ascii="Times New Roman" w:hAnsi="Times New Roman"/>
          <w:bCs/>
          <w:sz w:val="24"/>
          <w:szCs w:val="24"/>
        </w:rPr>
        <w:t xml:space="preserve"> to capture in one document one signature of the borrower</w:t>
      </w:r>
      <w:r w:rsidRPr="001C1CCB">
        <w:rPr>
          <w:rFonts w:ascii="Times New Roman" w:hAnsi="Times New Roman"/>
          <w:bCs/>
          <w:sz w:val="24"/>
          <w:szCs w:val="24"/>
        </w:rPr>
        <w:t xml:space="preserve">.  </w:t>
      </w:r>
      <w:r w:rsidRPr="001C1CCB" w:rsidR="00B80F28">
        <w:rPr>
          <w:rFonts w:ascii="Times New Roman" w:hAnsi="Times New Roman"/>
          <w:bCs/>
          <w:sz w:val="24"/>
          <w:szCs w:val="24"/>
        </w:rPr>
        <w:t xml:space="preserve">Previously HUD required separate written statements and three documents requesting the borrower to execute its compliance with National Housing Act provisions, compliance with fair housing and civil rights acts, equal employment opportunity, consent to release credit information, participation in the </w:t>
      </w:r>
      <w:r w:rsidRPr="001C1CCB" w:rsidR="00BA565E">
        <w:rPr>
          <w:rFonts w:ascii="Times New Roman" w:hAnsi="Times New Roman"/>
          <w:bCs/>
          <w:sz w:val="24"/>
          <w:szCs w:val="24"/>
        </w:rPr>
        <w:t>low-income</w:t>
      </w:r>
      <w:r w:rsidRPr="001C1CCB" w:rsidR="00B80F28">
        <w:rPr>
          <w:rFonts w:ascii="Times New Roman" w:hAnsi="Times New Roman"/>
          <w:bCs/>
          <w:sz w:val="24"/>
          <w:szCs w:val="24"/>
        </w:rPr>
        <w:t xml:space="preserve"> housing tax credit program, disclosure of any identity of interest</w:t>
      </w:r>
      <w:r w:rsidRPr="001C1CCB" w:rsidR="00F324D8">
        <w:rPr>
          <w:rFonts w:ascii="Times New Roman" w:hAnsi="Times New Roman"/>
          <w:bCs/>
          <w:sz w:val="24"/>
          <w:szCs w:val="24"/>
        </w:rPr>
        <w:t>, and disclosure of no lobbying.</w:t>
      </w:r>
      <w:r w:rsidRPr="001C1CCB" w:rsidR="00B80F28">
        <w:rPr>
          <w:rFonts w:ascii="Times New Roman" w:hAnsi="Times New Roman"/>
          <w:bCs/>
          <w:sz w:val="24"/>
          <w:szCs w:val="24"/>
        </w:rPr>
        <w:t xml:space="preserve">  </w:t>
      </w:r>
      <w:r w:rsidRPr="001C1CCB">
        <w:rPr>
          <w:rFonts w:ascii="Times New Roman" w:hAnsi="Times New Roman"/>
          <w:bCs/>
          <w:sz w:val="24"/>
          <w:szCs w:val="24"/>
        </w:rPr>
        <w:t>Th</w:t>
      </w:r>
      <w:r w:rsidRPr="001C1CCB" w:rsidR="00F324D8">
        <w:rPr>
          <w:rFonts w:ascii="Times New Roman" w:hAnsi="Times New Roman"/>
          <w:bCs/>
          <w:sz w:val="24"/>
          <w:szCs w:val="24"/>
        </w:rPr>
        <w:t>e</w:t>
      </w:r>
      <w:r w:rsidRPr="001C1CCB">
        <w:rPr>
          <w:rFonts w:ascii="Times New Roman" w:hAnsi="Times New Roman"/>
          <w:bCs/>
          <w:sz w:val="24"/>
          <w:szCs w:val="24"/>
        </w:rPr>
        <w:t xml:space="preserve"> form contains seven (7) </w:t>
      </w:r>
      <w:r w:rsidRPr="001C1CCB" w:rsidR="00BF4EEF">
        <w:rPr>
          <w:rFonts w:ascii="Times New Roman" w:hAnsi="Times New Roman"/>
          <w:bCs/>
          <w:sz w:val="24"/>
          <w:szCs w:val="24"/>
        </w:rPr>
        <w:t>certifications</w:t>
      </w:r>
      <w:r w:rsidRPr="001C1CCB">
        <w:rPr>
          <w:rFonts w:ascii="Times New Roman" w:hAnsi="Times New Roman"/>
          <w:bCs/>
          <w:sz w:val="24"/>
          <w:szCs w:val="24"/>
        </w:rPr>
        <w:t xml:space="preserve"> </w:t>
      </w:r>
      <w:r w:rsidRPr="001C1CCB" w:rsidR="00F324D8">
        <w:rPr>
          <w:rFonts w:ascii="Times New Roman" w:hAnsi="Times New Roman"/>
          <w:bCs/>
          <w:sz w:val="24"/>
          <w:szCs w:val="24"/>
        </w:rPr>
        <w:t xml:space="preserve">requiring </w:t>
      </w:r>
      <w:r w:rsidRPr="001C1CCB">
        <w:rPr>
          <w:rFonts w:ascii="Times New Roman" w:hAnsi="Times New Roman"/>
          <w:bCs/>
          <w:sz w:val="24"/>
          <w:szCs w:val="24"/>
        </w:rPr>
        <w:t>one signature.</w:t>
      </w:r>
    </w:p>
    <w:p w:rsidR="00750BFF" w:rsidRPr="001C1CCB" w:rsidP="00750BFF" w14:paraId="5CEDA7FA" w14:textId="4EB417BA">
      <w:pPr>
        <w:spacing w:before="120"/>
        <w:ind w:left="720" w:firstLine="0"/>
        <w:jc w:val="both"/>
        <w:rPr>
          <w:rFonts w:ascii="Times New Roman" w:hAnsi="Times New Roman"/>
          <w:b/>
          <w:sz w:val="24"/>
          <w:szCs w:val="24"/>
        </w:rPr>
      </w:pPr>
      <w:r w:rsidRPr="001C1CCB">
        <w:rPr>
          <w:rFonts w:ascii="Times New Roman" w:hAnsi="Times New Roman"/>
          <w:b/>
          <w:sz w:val="24"/>
          <w:szCs w:val="24"/>
        </w:rPr>
        <w:t>HUD Inspector</w:t>
      </w:r>
      <w:r w:rsidRPr="001C1CCB" w:rsidR="00047DCC">
        <w:rPr>
          <w:rFonts w:ascii="Times New Roman" w:hAnsi="Times New Roman"/>
          <w:b/>
          <w:sz w:val="24"/>
          <w:szCs w:val="24"/>
        </w:rPr>
        <w:t>s</w:t>
      </w:r>
    </w:p>
    <w:p w:rsidR="00FE15E5" w:rsidRPr="001C1CCB" w:rsidP="00750BFF" w14:paraId="0E50DF2D" w14:textId="6B965E35">
      <w:pPr>
        <w:ind w:left="720" w:firstLine="0"/>
        <w:rPr>
          <w:rFonts w:ascii="Times New Roman" w:eastAsia="Calibri" w:hAnsi="Times New Roman"/>
          <w:color w:val="000000"/>
          <w:sz w:val="24"/>
          <w:szCs w:val="24"/>
        </w:rPr>
      </w:pPr>
      <w:r w:rsidRPr="001C1CCB">
        <w:rPr>
          <w:rFonts w:ascii="Times New Roman" w:hAnsi="Times New Roman"/>
          <w:sz w:val="24"/>
          <w:szCs w:val="24"/>
        </w:rPr>
        <w:t xml:space="preserve">The HUD Inspector is an independent third party contracted </w:t>
      </w:r>
      <w:r w:rsidRPr="001C1CCB" w:rsidR="0020769B">
        <w:rPr>
          <w:rFonts w:ascii="Times New Roman" w:hAnsi="Times New Roman"/>
          <w:sz w:val="24"/>
          <w:szCs w:val="24"/>
        </w:rPr>
        <w:t>by HUD</w:t>
      </w:r>
      <w:r w:rsidRPr="001C1CCB" w:rsidR="000B435E">
        <w:rPr>
          <w:rFonts w:ascii="Times New Roman" w:hAnsi="Times New Roman"/>
          <w:sz w:val="24"/>
          <w:szCs w:val="24"/>
        </w:rPr>
        <w:t xml:space="preserve"> to</w:t>
      </w:r>
      <w:r w:rsidRPr="001C1CCB">
        <w:rPr>
          <w:rFonts w:ascii="Times New Roman" w:hAnsi="Times New Roman"/>
          <w:sz w:val="24"/>
          <w:szCs w:val="24"/>
        </w:rPr>
        <w:t xml:space="preserve"> monitor </w:t>
      </w:r>
      <w:r w:rsidRPr="001C1CCB" w:rsidR="0013629F">
        <w:rPr>
          <w:rFonts w:ascii="Times New Roman" w:hAnsi="Times New Roman"/>
          <w:sz w:val="24"/>
          <w:szCs w:val="24"/>
        </w:rPr>
        <w:t xml:space="preserve">new </w:t>
      </w:r>
      <w:r w:rsidRPr="001C1CCB">
        <w:rPr>
          <w:rFonts w:ascii="Times New Roman" w:hAnsi="Times New Roman"/>
          <w:sz w:val="24"/>
          <w:szCs w:val="24"/>
        </w:rPr>
        <w:t>construction</w:t>
      </w:r>
      <w:r w:rsidRPr="001C1CCB" w:rsidR="0013629F">
        <w:rPr>
          <w:rFonts w:ascii="Times New Roman" w:hAnsi="Times New Roman"/>
          <w:sz w:val="24"/>
          <w:szCs w:val="24"/>
        </w:rPr>
        <w:t xml:space="preserve"> </w:t>
      </w:r>
      <w:r w:rsidRPr="001C1CCB" w:rsidR="008B2B06">
        <w:rPr>
          <w:rFonts w:ascii="Times New Roman" w:hAnsi="Times New Roman"/>
          <w:sz w:val="24"/>
          <w:szCs w:val="24"/>
        </w:rPr>
        <w:t>and substantial</w:t>
      </w:r>
      <w:r w:rsidRPr="001C1CCB" w:rsidR="0013629F">
        <w:rPr>
          <w:rFonts w:ascii="Times New Roman" w:hAnsi="Times New Roman"/>
          <w:sz w:val="24"/>
          <w:szCs w:val="24"/>
        </w:rPr>
        <w:t xml:space="preserve"> rehabilitation </w:t>
      </w:r>
      <w:r w:rsidRPr="001C1CCB" w:rsidR="00CD3539">
        <w:rPr>
          <w:rFonts w:ascii="Times New Roman" w:hAnsi="Times New Roman"/>
          <w:sz w:val="24"/>
          <w:szCs w:val="24"/>
        </w:rPr>
        <w:t>financed by</w:t>
      </w:r>
      <w:r w:rsidRPr="001C1CCB" w:rsidR="0013629F">
        <w:rPr>
          <w:rFonts w:ascii="Times New Roman" w:hAnsi="Times New Roman"/>
          <w:sz w:val="24"/>
          <w:szCs w:val="24"/>
        </w:rPr>
        <w:t xml:space="preserve"> </w:t>
      </w:r>
      <w:r w:rsidRPr="001C1CCB" w:rsidR="00CD3539">
        <w:rPr>
          <w:rFonts w:ascii="Times New Roman" w:hAnsi="Times New Roman"/>
          <w:sz w:val="24"/>
          <w:szCs w:val="24"/>
        </w:rPr>
        <w:t>HUD construction loans</w:t>
      </w:r>
      <w:r w:rsidRPr="001C1CCB" w:rsidR="009C7333">
        <w:rPr>
          <w:rFonts w:ascii="Times New Roman" w:hAnsi="Times New Roman"/>
          <w:sz w:val="24"/>
          <w:szCs w:val="24"/>
        </w:rPr>
        <w:t>,</w:t>
      </w:r>
      <w:r w:rsidRPr="001C1CCB">
        <w:rPr>
          <w:rFonts w:ascii="Times New Roman" w:hAnsi="Times New Roman"/>
          <w:sz w:val="24"/>
          <w:szCs w:val="24"/>
        </w:rPr>
        <w:t xml:space="preserve"> and </w:t>
      </w:r>
      <w:r w:rsidRPr="001C1CCB" w:rsidR="00CD3539">
        <w:rPr>
          <w:rFonts w:ascii="Times New Roman" w:hAnsi="Times New Roman"/>
          <w:sz w:val="24"/>
          <w:szCs w:val="24"/>
        </w:rPr>
        <w:t>to inspect</w:t>
      </w:r>
      <w:r w:rsidRPr="001C1CCB" w:rsidR="00904CA1">
        <w:rPr>
          <w:rFonts w:ascii="Times New Roman" w:hAnsi="Times New Roman"/>
          <w:sz w:val="24"/>
          <w:szCs w:val="24"/>
        </w:rPr>
        <w:t xml:space="preserve"> </w:t>
      </w:r>
      <w:r w:rsidRPr="001C1CCB">
        <w:rPr>
          <w:rFonts w:ascii="Times New Roman" w:hAnsi="Times New Roman"/>
          <w:sz w:val="24"/>
          <w:szCs w:val="24"/>
        </w:rPr>
        <w:t>repairs</w:t>
      </w:r>
      <w:r w:rsidRPr="001C1CCB" w:rsidR="00904CA1">
        <w:rPr>
          <w:rFonts w:ascii="Times New Roman" w:hAnsi="Times New Roman"/>
          <w:sz w:val="24"/>
          <w:szCs w:val="24"/>
        </w:rPr>
        <w:t xml:space="preserve"> and alterations </w:t>
      </w:r>
      <w:r w:rsidRPr="001C1CCB">
        <w:rPr>
          <w:rFonts w:ascii="Times New Roman" w:hAnsi="Times New Roman"/>
          <w:sz w:val="24"/>
          <w:szCs w:val="24"/>
        </w:rPr>
        <w:t xml:space="preserve">of multifamily housing projects </w:t>
      </w:r>
      <w:r w:rsidRPr="001C1CCB" w:rsidR="00904CA1">
        <w:rPr>
          <w:rFonts w:ascii="Times New Roman" w:hAnsi="Times New Roman"/>
          <w:sz w:val="24"/>
          <w:szCs w:val="24"/>
        </w:rPr>
        <w:t xml:space="preserve">refinanced or purchased </w:t>
      </w:r>
      <w:r w:rsidRPr="001C1CCB">
        <w:rPr>
          <w:rFonts w:ascii="Times New Roman" w:hAnsi="Times New Roman"/>
          <w:sz w:val="24"/>
          <w:szCs w:val="24"/>
        </w:rPr>
        <w:t xml:space="preserve">with </w:t>
      </w:r>
      <w:r w:rsidRPr="001C1CCB" w:rsidR="0017177F">
        <w:rPr>
          <w:rFonts w:ascii="Times New Roman" w:hAnsi="Times New Roman"/>
          <w:sz w:val="24"/>
          <w:szCs w:val="24"/>
        </w:rPr>
        <w:t xml:space="preserve">FHA-insured </w:t>
      </w:r>
      <w:r w:rsidRPr="001C1CCB">
        <w:rPr>
          <w:rFonts w:ascii="Times New Roman" w:hAnsi="Times New Roman"/>
          <w:sz w:val="24"/>
          <w:szCs w:val="24"/>
        </w:rPr>
        <w:t>loans</w:t>
      </w:r>
      <w:r w:rsidRPr="001C1CCB" w:rsidR="00904CA1">
        <w:rPr>
          <w:rFonts w:ascii="Times New Roman" w:hAnsi="Times New Roman"/>
          <w:sz w:val="24"/>
          <w:szCs w:val="24"/>
        </w:rPr>
        <w:t>.</w:t>
      </w:r>
      <w:r w:rsidRPr="001C1CCB" w:rsidR="00E917ED">
        <w:rPr>
          <w:rFonts w:ascii="Times New Roman" w:hAnsi="Times New Roman"/>
          <w:sz w:val="24"/>
          <w:szCs w:val="24"/>
        </w:rPr>
        <w:t xml:space="preserve">  The number of inspections varies widely based on the scale of construction and the length of the </w:t>
      </w:r>
      <w:r w:rsidRPr="001C1CCB" w:rsidR="003E0468">
        <w:rPr>
          <w:rFonts w:ascii="Times New Roman" w:hAnsi="Times New Roman"/>
          <w:sz w:val="24"/>
          <w:szCs w:val="24"/>
        </w:rPr>
        <w:t xml:space="preserve">construction period.  Construction loans require monthly inspections of work in progress </w:t>
      </w:r>
      <w:r w:rsidRPr="001C1CCB" w:rsidR="00694CE6">
        <w:rPr>
          <w:rFonts w:ascii="Times New Roman" w:hAnsi="Times New Roman"/>
          <w:sz w:val="24"/>
          <w:szCs w:val="24"/>
        </w:rPr>
        <w:t>requiring not less than 12 nor more than 24 inspections</w:t>
      </w:r>
      <w:r w:rsidRPr="001C1CCB" w:rsidR="00FF18D2">
        <w:rPr>
          <w:rFonts w:ascii="Times New Roman" w:hAnsi="Times New Roman"/>
          <w:sz w:val="24"/>
          <w:szCs w:val="24"/>
        </w:rPr>
        <w:t xml:space="preserve">, while most refinance or purchase loans require no more than 2 </w:t>
      </w:r>
      <w:r w:rsidRPr="001C1CCB" w:rsidR="002B28CD">
        <w:rPr>
          <w:rFonts w:ascii="Times New Roman" w:hAnsi="Times New Roman"/>
          <w:sz w:val="24"/>
          <w:szCs w:val="24"/>
        </w:rPr>
        <w:t>inspections.</w:t>
      </w:r>
      <w:r w:rsidRPr="001C1CCB">
        <w:rPr>
          <w:rFonts w:ascii="Times New Roman" w:hAnsi="Times New Roman"/>
          <w:sz w:val="24"/>
          <w:szCs w:val="24"/>
        </w:rPr>
        <w:t xml:space="preserve">  </w:t>
      </w:r>
      <w:r w:rsidRPr="001C1CCB">
        <w:rPr>
          <w:rFonts w:ascii="Times New Roman" w:hAnsi="Times New Roman"/>
          <w:sz w:val="24"/>
          <w:szCs w:val="24"/>
        </w:rPr>
        <w:t xml:space="preserve">HUD will select qualified inspectors with at least six (6) years of relevant experience. Hired inspectors may be a Design Representative, a Construction Representative, or an individual or group/firm.  </w:t>
      </w:r>
      <w:r w:rsidRPr="001C1CCB">
        <w:rPr>
          <w:rFonts w:ascii="Times New Roman" w:eastAsia="Calibri" w:hAnsi="Times New Roman"/>
          <w:color w:val="000000"/>
          <w:sz w:val="24"/>
          <w:szCs w:val="24"/>
        </w:rPr>
        <w:t xml:space="preserve">The inspector’s experience must clearly demonstrate knowledge and familiarity with construction, construction inspection, and construction administration.  The experience must also demonstrate knowledge of national building codes and standards, current standard construction methods and procedures, Federal </w:t>
      </w:r>
      <w:r w:rsidRPr="001C1CCB">
        <w:rPr>
          <w:rFonts w:ascii="Times New Roman" w:eastAsia="Calibri" w:hAnsi="Times New Roman"/>
          <w:color w:val="000000"/>
          <w:sz w:val="24"/>
          <w:szCs w:val="24"/>
        </w:rPr>
        <w:t xml:space="preserve">Fair Housing Accessibility Guidelines, and HUD regulations and handbook requirements to ensure compliance by the owner, </w:t>
      </w:r>
      <w:r w:rsidRPr="001C1CCB" w:rsidR="009C7333">
        <w:rPr>
          <w:rFonts w:ascii="Times New Roman" w:eastAsia="Calibri" w:hAnsi="Times New Roman"/>
          <w:color w:val="000000"/>
          <w:sz w:val="24"/>
          <w:szCs w:val="24"/>
        </w:rPr>
        <w:t>builder,</w:t>
      </w:r>
      <w:r w:rsidRPr="001C1CCB">
        <w:rPr>
          <w:rFonts w:ascii="Times New Roman" w:eastAsia="Calibri" w:hAnsi="Times New Roman"/>
          <w:color w:val="000000"/>
          <w:sz w:val="24"/>
          <w:szCs w:val="24"/>
        </w:rPr>
        <w:t xml:space="preserve"> and the supervisory architect</w:t>
      </w:r>
      <w:r w:rsidRPr="001C1CCB" w:rsidR="000D0A57">
        <w:rPr>
          <w:rFonts w:ascii="Times New Roman" w:eastAsia="Calibri" w:hAnsi="Times New Roman"/>
          <w:color w:val="000000"/>
          <w:sz w:val="24"/>
          <w:szCs w:val="24"/>
        </w:rPr>
        <w:t>.</w:t>
      </w:r>
    </w:p>
    <w:p w:rsidR="00FE15E5" w:rsidRPr="001C1CCB" w:rsidP="00750BFF" w14:paraId="275B31DE" w14:textId="77777777">
      <w:pPr>
        <w:ind w:left="720" w:firstLine="0"/>
        <w:rPr>
          <w:rFonts w:ascii="Times New Roman" w:eastAsia="Calibri" w:hAnsi="Times New Roman"/>
          <w:color w:val="000000"/>
          <w:sz w:val="24"/>
          <w:szCs w:val="24"/>
        </w:rPr>
      </w:pPr>
    </w:p>
    <w:p w:rsidR="00750BFF" w:rsidRPr="001C1CCB" w:rsidP="009C7333" w14:paraId="24520900" w14:textId="19D974DF">
      <w:pPr>
        <w:ind w:left="720" w:firstLine="0"/>
        <w:jc w:val="both"/>
        <w:rPr>
          <w:rFonts w:ascii="Times New Roman" w:hAnsi="Times New Roman"/>
          <w:color w:val="000000"/>
          <w:sz w:val="24"/>
          <w:szCs w:val="24"/>
        </w:rPr>
      </w:pPr>
      <w:r w:rsidRPr="001C1CCB">
        <w:rPr>
          <w:rFonts w:ascii="Times New Roman" w:hAnsi="Times New Roman"/>
          <w:sz w:val="24"/>
          <w:szCs w:val="24"/>
        </w:rPr>
        <w:t xml:space="preserve">Inspections are the periodic </w:t>
      </w:r>
      <w:r w:rsidRPr="001C1CCB" w:rsidR="00F6279F">
        <w:rPr>
          <w:rFonts w:ascii="Times New Roman" w:hAnsi="Times New Roman"/>
          <w:sz w:val="24"/>
          <w:szCs w:val="24"/>
        </w:rPr>
        <w:t xml:space="preserve">site </w:t>
      </w:r>
      <w:r w:rsidRPr="001C1CCB">
        <w:rPr>
          <w:rFonts w:ascii="Times New Roman" w:hAnsi="Times New Roman"/>
          <w:sz w:val="24"/>
          <w:szCs w:val="24"/>
        </w:rPr>
        <w:t xml:space="preserve">observations made </w:t>
      </w:r>
      <w:r w:rsidRPr="001C1CCB" w:rsidR="0082247B">
        <w:rPr>
          <w:rFonts w:ascii="Times New Roman" w:hAnsi="Times New Roman"/>
          <w:sz w:val="24"/>
          <w:szCs w:val="24"/>
        </w:rPr>
        <w:t>to protect</w:t>
      </w:r>
      <w:r w:rsidRPr="001C1CCB">
        <w:rPr>
          <w:rFonts w:ascii="Times New Roman" w:hAnsi="Times New Roman"/>
          <w:sz w:val="24"/>
          <w:szCs w:val="24"/>
        </w:rPr>
        <w:t xml:space="preserve"> HUD's interests</w:t>
      </w:r>
      <w:r w:rsidRPr="001C1CCB" w:rsidR="00682F36">
        <w:rPr>
          <w:rFonts w:ascii="Times New Roman" w:hAnsi="Times New Roman"/>
          <w:sz w:val="24"/>
          <w:szCs w:val="24"/>
        </w:rPr>
        <w:t xml:space="preserve"> and </w:t>
      </w:r>
      <w:r w:rsidRPr="001C1CCB" w:rsidR="00682F36">
        <w:rPr>
          <w:rFonts w:ascii="Times New Roman" w:eastAsia="Calibri" w:hAnsi="Times New Roman"/>
          <w:color w:val="000000"/>
          <w:sz w:val="24"/>
          <w:szCs w:val="24"/>
        </w:rPr>
        <w:t>cover all activities and phases of a construction project</w:t>
      </w:r>
      <w:r w:rsidRPr="001C1CCB">
        <w:rPr>
          <w:rFonts w:ascii="Times New Roman" w:hAnsi="Times New Roman"/>
          <w:sz w:val="24"/>
          <w:szCs w:val="24"/>
        </w:rPr>
        <w:t xml:space="preserve">.  </w:t>
      </w:r>
      <w:r w:rsidRPr="001C1CCB">
        <w:rPr>
          <w:rFonts w:ascii="Times New Roman" w:hAnsi="Times New Roman"/>
          <w:color w:val="000000"/>
          <w:sz w:val="24"/>
          <w:szCs w:val="24"/>
        </w:rPr>
        <w:t xml:space="preserve">The </w:t>
      </w:r>
      <w:r w:rsidRPr="001C1CCB" w:rsidR="00567F50">
        <w:rPr>
          <w:rFonts w:ascii="Times New Roman" w:hAnsi="Times New Roman"/>
          <w:color w:val="000000"/>
          <w:sz w:val="24"/>
          <w:szCs w:val="24"/>
        </w:rPr>
        <w:t xml:space="preserve">inspections </w:t>
      </w:r>
      <w:r w:rsidRPr="001C1CCB" w:rsidR="00761CC0">
        <w:rPr>
          <w:rFonts w:ascii="Times New Roman" w:hAnsi="Times New Roman"/>
          <w:color w:val="000000"/>
          <w:sz w:val="24"/>
          <w:szCs w:val="24"/>
        </w:rPr>
        <w:t xml:space="preserve">ensure the quality of work done at the property </w:t>
      </w:r>
      <w:r w:rsidRPr="001C1CCB" w:rsidR="009C7333">
        <w:rPr>
          <w:rFonts w:ascii="Times New Roman" w:hAnsi="Times New Roman"/>
          <w:color w:val="000000"/>
          <w:sz w:val="24"/>
          <w:szCs w:val="24"/>
        </w:rPr>
        <w:t>to</w:t>
      </w:r>
      <w:r w:rsidRPr="001C1CCB">
        <w:rPr>
          <w:rFonts w:ascii="Times New Roman" w:hAnsi="Times New Roman"/>
          <w:color w:val="000000"/>
          <w:sz w:val="24"/>
          <w:szCs w:val="24"/>
        </w:rPr>
        <w:t xml:space="preserve"> bring the </w:t>
      </w:r>
      <w:r w:rsidRPr="001C1CCB">
        <w:rPr>
          <w:rFonts w:ascii="Times New Roman" w:hAnsi="Times New Roman"/>
          <w:sz w:val="24"/>
          <w:szCs w:val="24"/>
        </w:rPr>
        <w:t>multifamily housing project</w:t>
      </w:r>
      <w:r w:rsidRPr="001C1CCB">
        <w:rPr>
          <w:rFonts w:ascii="Times New Roman" w:hAnsi="Times New Roman"/>
          <w:color w:val="000000"/>
          <w:sz w:val="24"/>
          <w:szCs w:val="24"/>
        </w:rPr>
        <w:t xml:space="preserve"> to a decent, safe, and sanitary condition in accordance with 24 CFR Part 5, Subpart G.  In addition to </w:t>
      </w:r>
      <w:r w:rsidRPr="001C1CCB" w:rsidR="009C7D65">
        <w:rPr>
          <w:rFonts w:ascii="Times New Roman" w:hAnsi="Times New Roman"/>
          <w:color w:val="000000"/>
          <w:sz w:val="24"/>
          <w:szCs w:val="24"/>
        </w:rPr>
        <w:t xml:space="preserve">inspecting the </w:t>
      </w:r>
      <w:r w:rsidRPr="001C1CCB">
        <w:rPr>
          <w:rFonts w:ascii="Times New Roman" w:hAnsi="Times New Roman"/>
          <w:color w:val="000000"/>
          <w:sz w:val="24"/>
          <w:szCs w:val="24"/>
        </w:rPr>
        <w:t xml:space="preserve">progress being made under the construction contract, </w:t>
      </w:r>
      <w:r w:rsidRPr="001C1CCB" w:rsidR="003623E4">
        <w:rPr>
          <w:rFonts w:ascii="Times New Roman" w:hAnsi="Times New Roman"/>
          <w:color w:val="000000"/>
          <w:sz w:val="24"/>
          <w:szCs w:val="24"/>
        </w:rPr>
        <w:t>inspectors also</w:t>
      </w:r>
      <w:r w:rsidRPr="001C1CCB">
        <w:rPr>
          <w:rFonts w:ascii="Times New Roman" w:hAnsi="Times New Roman"/>
          <w:color w:val="000000"/>
          <w:sz w:val="24"/>
          <w:szCs w:val="24"/>
        </w:rPr>
        <w:t xml:space="preserve"> investigate complaints HUD </w:t>
      </w:r>
      <w:r w:rsidRPr="001C1CCB" w:rsidR="00850E0E">
        <w:rPr>
          <w:rFonts w:ascii="Times New Roman" w:hAnsi="Times New Roman"/>
          <w:color w:val="000000"/>
          <w:sz w:val="24"/>
          <w:szCs w:val="24"/>
        </w:rPr>
        <w:t>may</w:t>
      </w:r>
      <w:r w:rsidRPr="001C1CCB">
        <w:rPr>
          <w:rFonts w:ascii="Times New Roman" w:hAnsi="Times New Roman"/>
          <w:color w:val="000000"/>
          <w:sz w:val="24"/>
          <w:szCs w:val="24"/>
        </w:rPr>
        <w:t xml:space="preserve"> </w:t>
      </w:r>
      <w:r w:rsidRPr="001C1CCB" w:rsidR="009C7333">
        <w:rPr>
          <w:rFonts w:ascii="Times New Roman" w:hAnsi="Times New Roman"/>
          <w:color w:val="000000"/>
          <w:sz w:val="24"/>
          <w:szCs w:val="24"/>
        </w:rPr>
        <w:t>receive</w:t>
      </w:r>
      <w:r w:rsidRPr="001C1CCB" w:rsidR="00850E0E">
        <w:rPr>
          <w:rFonts w:ascii="Times New Roman" w:hAnsi="Times New Roman"/>
          <w:color w:val="000000"/>
          <w:sz w:val="24"/>
          <w:szCs w:val="24"/>
        </w:rPr>
        <w:t xml:space="preserve"> </w:t>
      </w:r>
      <w:r w:rsidRPr="001C1CCB">
        <w:rPr>
          <w:rFonts w:ascii="Times New Roman" w:hAnsi="Times New Roman"/>
          <w:color w:val="000000"/>
          <w:sz w:val="24"/>
          <w:szCs w:val="24"/>
        </w:rPr>
        <w:t xml:space="preserve">concerning the property’s physical </w:t>
      </w:r>
      <w:r w:rsidRPr="001C1CCB" w:rsidR="00A34FC2">
        <w:rPr>
          <w:rFonts w:ascii="Times New Roman" w:hAnsi="Times New Roman"/>
          <w:color w:val="000000"/>
          <w:sz w:val="24"/>
          <w:szCs w:val="24"/>
        </w:rPr>
        <w:t>condition and other construction related issues</w:t>
      </w:r>
      <w:r w:rsidRPr="001C1CCB">
        <w:rPr>
          <w:rFonts w:ascii="Times New Roman" w:hAnsi="Times New Roman"/>
          <w:color w:val="000000"/>
          <w:sz w:val="24"/>
          <w:szCs w:val="24"/>
        </w:rPr>
        <w:t>.</w:t>
      </w:r>
    </w:p>
    <w:p w:rsidR="00750BFF" w:rsidRPr="001C1CCB" w:rsidP="00750BFF" w14:paraId="7A2FFD0B" w14:textId="77777777">
      <w:pPr>
        <w:ind w:left="720" w:firstLine="0"/>
        <w:rPr>
          <w:rFonts w:ascii="Times New Roman" w:hAnsi="Times New Roman"/>
          <w:spacing w:val="4"/>
          <w:sz w:val="24"/>
          <w:szCs w:val="24"/>
        </w:rPr>
      </w:pPr>
    </w:p>
    <w:p w:rsidR="00750BFF" w:rsidRPr="001C1CCB" w:rsidP="0071790A" w14:paraId="56D4D772" w14:textId="3D620347">
      <w:pPr>
        <w:ind w:left="720" w:firstLine="0"/>
        <w:jc w:val="both"/>
        <w:rPr>
          <w:rFonts w:ascii="Times New Roman" w:hAnsi="Times New Roman"/>
          <w:spacing w:val="4"/>
          <w:sz w:val="24"/>
          <w:szCs w:val="24"/>
          <w:shd w:val="clear" w:color="auto" w:fill="FFFFFF"/>
        </w:rPr>
      </w:pPr>
      <w:r w:rsidRPr="001C1CCB">
        <w:rPr>
          <w:rFonts w:ascii="Times New Roman" w:hAnsi="Times New Roman"/>
          <w:sz w:val="24"/>
          <w:szCs w:val="24"/>
        </w:rPr>
        <w:t xml:space="preserve">For </w:t>
      </w:r>
      <w:r w:rsidRPr="001C1CCB" w:rsidR="003A79D1">
        <w:rPr>
          <w:rFonts w:ascii="Times New Roman" w:hAnsi="Times New Roman"/>
          <w:sz w:val="24"/>
          <w:szCs w:val="24"/>
        </w:rPr>
        <w:t>construction loans and refinance/purchase loans with more than $15,000 per unit in repair costs</w:t>
      </w:r>
      <w:r w:rsidRPr="001C1CCB" w:rsidR="00CE0016">
        <w:rPr>
          <w:rFonts w:ascii="Times New Roman" w:hAnsi="Times New Roman"/>
          <w:sz w:val="24"/>
          <w:szCs w:val="24"/>
        </w:rPr>
        <w:t>, t</w:t>
      </w:r>
      <w:r w:rsidRPr="001C1CCB">
        <w:rPr>
          <w:rFonts w:ascii="Times New Roman" w:hAnsi="Times New Roman"/>
          <w:sz w:val="24"/>
          <w:szCs w:val="24"/>
        </w:rPr>
        <w:t xml:space="preserve">he HUD Inspector will conduct </w:t>
      </w:r>
      <w:r w:rsidRPr="001C1CCB" w:rsidR="007F47CB">
        <w:rPr>
          <w:rFonts w:ascii="Times New Roman" w:hAnsi="Times New Roman"/>
          <w:sz w:val="24"/>
          <w:szCs w:val="24"/>
        </w:rPr>
        <w:t xml:space="preserve">a </w:t>
      </w:r>
      <w:r w:rsidRPr="001C1CCB">
        <w:rPr>
          <w:rFonts w:ascii="Times New Roman" w:hAnsi="Times New Roman"/>
          <w:sz w:val="24"/>
          <w:szCs w:val="24"/>
        </w:rPr>
        <w:t xml:space="preserve">pre-construction conference at initial endorsement.  To perform its inspection </w:t>
      </w:r>
      <w:r w:rsidRPr="001C1CCB" w:rsidR="00B50B62">
        <w:rPr>
          <w:rFonts w:ascii="Times New Roman" w:hAnsi="Times New Roman"/>
          <w:sz w:val="24"/>
          <w:szCs w:val="24"/>
        </w:rPr>
        <w:t xml:space="preserve">for construction loans </w:t>
      </w:r>
      <w:r w:rsidRPr="001C1CCB">
        <w:rPr>
          <w:rFonts w:ascii="Times New Roman" w:hAnsi="Times New Roman"/>
          <w:sz w:val="24"/>
          <w:szCs w:val="24"/>
        </w:rPr>
        <w:t xml:space="preserve">HUD will </w:t>
      </w:r>
      <w:r w:rsidRPr="001C1CCB" w:rsidR="007F47CB">
        <w:rPr>
          <w:rFonts w:ascii="Times New Roman" w:hAnsi="Times New Roman"/>
          <w:sz w:val="24"/>
          <w:szCs w:val="24"/>
        </w:rPr>
        <w:t>furnish</w:t>
      </w:r>
      <w:r w:rsidRPr="001C1CCB">
        <w:rPr>
          <w:rFonts w:ascii="Times New Roman" w:hAnsi="Times New Roman"/>
          <w:sz w:val="24"/>
          <w:szCs w:val="24"/>
        </w:rPr>
        <w:t xml:space="preserve"> to the inspector copies of construction documents</w:t>
      </w:r>
      <w:r w:rsidRPr="001C1CCB" w:rsidR="00D46BE8">
        <w:rPr>
          <w:rFonts w:ascii="Times New Roman" w:hAnsi="Times New Roman"/>
          <w:sz w:val="24"/>
          <w:szCs w:val="24"/>
        </w:rPr>
        <w:t>, which include</w:t>
      </w:r>
      <w:r w:rsidRPr="001C1CCB">
        <w:rPr>
          <w:rFonts w:ascii="Times New Roman" w:hAnsi="Times New Roman"/>
          <w:sz w:val="24"/>
          <w:szCs w:val="24"/>
        </w:rPr>
        <w:t xml:space="preserve">: </w:t>
      </w:r>
      <w:r w:rsidRPr="001C1CCB" w:rsidR="00E97CB9">
        <w:rPr>
          <w:rFonts w:ascii="Times New Roman" w:hAnsi="Times New Roman"/>
          <w:sz w:val="24"/>
          <w:szCs w:val="24"/>
        </w:rPr>
        <w:t xml:space="preserve"> </w:t>
      </w:r>
      <w:r w:rsidRPr="001C1CCB">
        <w:rPr>
          <w:rFonts w:ascii="Times New Roman" w:hAnsi="Times New Roman"/>
          <w:sz w:val="24"/>
          <w:szCs w:val="24"/>
        </w:rPr>
        <w:t>Construction Contract HUD-92442M</w:t>
      </w:r>
      <w:r w:rsidRPr="001C1CCB" w:rsidR="00B2041B">
        <w:rPr>
          <w:rFonts w:ascii="Times New Roman" w:hAnsi="Times New Roman"/>
          <w:sz w:val="24"/>
          <w:szCs w:val="24"/>
        </w:rPr>
        <w:t>;</w:t>
      </w:r>
      <w:r w:rsidRPr="001C1CCB">
        <w:rPr>
          <w:rFonts w:ascii="Times New Roman" w:hAnsi="Times New Roman"/>
          <w:sz w:val="24"/>
          <w:szCs w:val="24"/>
        </w:rPr>
        <w:t xml:space="preserve"> </w:t>
      </w:r>
      <w:r w:rsidRPr="001C1CCB" w:rsidR="00965BE8">
        <w:rPr>
          <w:rFonts w:ascii="Times New Roman" w:hAnsi="Times New Roman"/>
          <w:sz w:val="24"/>
          <w:szCs w:val="24"/>
        </w:rPr>
        <w:t xml:space="preserve">a set </w:t>
      </w:r>
      <w:r w:rsidRPr="001C1CCB">
        <w:rPr>
          <w:rFonts w:ascii="Times New Roman" w:hAnsi="Times New Roman"/>
          <w:sz w:val="24"/>
          <w:szCs w:val="24"/>
        </w:rPr>
        <w:t>of drawings and specifications on-site and off-site improvements</w:t>
      </w:r>
      <w:r w:rsidRPr="001C1CCB" w:rsidR="00751166">
        <w:rPr>
          <w:rFonts w:ascii="Times New Roman" w:hAnsi="Times New Roman"/>
          <w:sz w:val="24"/>
          <w:szCs w:val="24"/>
        </w:rPr>
        <w:t>;</w:t>
      </w:r>
      <w:r w:rsidRPr="001C1CCB">
        <w:rPr>
          <w:rFonts w:ascii="Times New Roman" w:hAnsi="Times New Roman"/>
          <w:sz w:val="24"/>
          <w:szCs w:val="24"/>
        </w:rPr>
        <w:t xml:space="preserve"> AIA </w:t>
      </w:r>
      <w:r w:rsidRPr="001C1CCB" w:rsidR="00201A26">
        <w:rPr>
          <w:rFonts w:ascii="Times New Roman" w:hAnsi="Times New Roman"/>
          <w:sz w:val="24"/>
          <w:szCs w:val="24"/>
        </w:rPr>
        <w:t>Standard Forms for contracts</w:t>
      </w:r>
      <w:r w:rsidRPr="001C1CCB" w:rsidR="00331A94">
        <w:rPr>
          <w:rFonts w:ascii="Times New Roman" w:hAnsi="Times New Roman"/>
          <w:sz w:val="24"/>
          <w:szCs w:val="24"/>
        </w:rPr>
        <w:t xml:space="preserve">; and </w:t>
      </w:r>
      <w:r w:rsidRPr="001C1CCB" w:rsidR="00205819">
        <w:rPr>
          <w:rFonts w:ascii="Times New Roman" w:hAnsi="Times New Roman"/>
          <w:sz w:val="24"/>
          <w:szCs w:val="24"/>
        </w:rPr>
        <w:t>Form</w:t>
      </w:r>
      <w:r w:rsidRPr="001C1CCB" w:rsidR="00D54B9A">
        <w:rPr>
          <w:rFonts w:ascii="Times New Roman" w:hAnsi="Times New Roman"/>
          <w:sz w:val="24"/>
          <w:szCs w:val="24"/>
        </w:rPr>
        <w:t>HUD-2328</w:t>
      </w:r>
      <w:r w:rsidRPr="001C1CCB" w:rsidR="00543072">
        <w:rPr>
          <w:rFonts w:ascii="Times New Roman" w:hAnsi="Times New Roman"/>
          <w:sz w:val="24"/>
          <w:szCs w:val="24"/>
        </w:rPr>
        <w:t xml:space="preserve"> </w:t>
      </w:r>
      <w:r w:rsidRPr="001C1CCB">
        <w:rPr>
          <w:rFonts w:ascii="Times New Roman" w:hAnsi="Times New Roman"/>
          <w:sz w:val="24"/>
          <w:szCs w:val="24"/>
        </w:rPr>
        <w:t xml:space="preserve">Contractor's </w:t>
      </w:r>
      <w:r w:rsidRPr="001C1CCB" w:rsidR="00742AF4">
        <w:rPr>
          <w:rFonts w:ascii="Times New Roman" w:hAnsi="Times New Roman"/>
          <w:sz w:val="24"/>
          <w:szCs w:val="24"/>
        </w:rPr>
        <w:t>and/or Mortgagor’s Cost Breakdown</w:t>
      </w:r>
      <w:r w:rsidRPr="001C1CCB" w:rsidR="00E32B3C">
        <w:rPr>
          <w:rFonts w:ascii="Times New Roman" w:hAnsi="Times New Roman"/>
          <w:sz w:val="24"/>
          <w:szCs w:val="24"/>
        </w:rPr>
        <w:t xml:space="preserve"> </w:t>
      </w:r>
      <w:r w:rsidRPr="001C1CCB" w:rsidR="00E32B3C">
        <w:rPr>
          <w:rFonts w:ascii="Times New Roman" w:hAnsi="Times New Roman"/>
          <w:spacing w:val="4"/>
          <w:sz w:val="24"/>
          <w:szCs w:val="24"/>
          <w:shd w:val="clear" w:color="auto" w:fill="FFFFFF"/>
        </w:rPr>
        <w:t>(current collection 2502-0044)</w:t>
      </w:r>
      <w:r w:rsidRPr="001C1CCB">
        <w:rPr>
          <w:rFonts w:ascii="Times New Roman" w:hAnsi="Times New Roman"/>
          <w:sz w:val="24"/>
          <w:szCs w:val="24"/>
        </w:rPr>
        <w:t xml:space="preserve">.  The inspector’s </w:t>
      </w:r>
      <w:r w:rsidRPr="001C1CCB" w:rsidR="00E97CB9">
        <w:rPr>
          <w:rFonts w:ascii="Times New Roman" w:hAnsi="Times New Roman"/>
          <w:sz w:val="24"/>
          <w:szCs w:val="24"/>
        </w:rPr>
        <w:t xml:space="preserve">site </w:t>
      </w:r>
      <w:r w:rsidRPr="001C1CCB">
        <w:rPr>
          <w:rFonts w:ascii="Times New Roman" w:hAnsi="Times New Roman"/>
          <w:sz w:val="24"/>
          <w:szCs w:val="24"/>
        </w:rPr>
        <w:t xml:space="preserve">observations are recorded on the </w:t>
      </w:r>
      <w:r w:rsidRPr="001C1CCB">
        <w:rPr>
          <w:rFonts w:ascii="Times New Roman" w:hAnsi="Times New Roman"/>
          <w:spacing w:val="4"/>
          <w:sz w:val="24"/>
          <w:szCs w:val="24"/>
        </w:rPr>
        <w:t xml:space="preserve">HUD Representative's Trip Report, Form </w:t>
      </w:r>
      <w:r w:rsidRPr="001C1CCB">
        <w:rPr>
          <w:rFonts w:ascii="Times New Roman" w:hAnsi="Times New Roman"/>
          <w:spacing w:val="4"/>
          <w:sz w:val="24"/>
          <w:szCs w:val="24"/>
          <w:shd w:val="clear" w:color="auto" w:fill="FFFFFF"/>
        </w:rPr>
        <w:t>HUD-95379</w:t>
      </w:r>
      <w:r w:rsidRPr="001C1CCB" w:rsidR="00425D06">
        <w:rPr>
          <w:rFonts w:ascii="Times New Roman" w:hAnsi="Times New Roman"/>
          <w:spacing w:val="4"/>
          <w:sz w:val="24"/>
          <w:szCs w:val="24"/>
          <w:shd w:val="clear" w:color="auto" w:fill="FFFFFF"/>
        </w:rPr>
        <w:t xml:space="preserve"> (current collection 2502-0029)</w:t>
      </w:r>
      <w:r w:rsidRPr="001C1CCB">
        <w:rPr>
          <w:rFonts w:ascii="Times New Roman" w:hAnsi="Times New Roman"/>
          <w:spacing w:val="4"/>
          <w:sz w:val="24"/>
          <w:szCs w:val="24"/>
          <w:shd w:val="clear" w:color="auto" w:fill="FFFFFF"/>
        </w:rPr>
        <w:t>.</w:t>
      </w:r>
      <w:r w:rsidRPr="001C1CCB" w:rsidR="003B687D">
        <w:rPr>
          <w:rFonts w:ascii="Times New Roman" w:hAnsi="Times New Roman"/>
          <w:spacing w:val="4"/>
          <w:sz w:val="24"/>
          <w:szCs w:val="24"/>
          <w:shd w:val="clear" w:color="auto" w:fill="FFFFFF"/>
        </w:rPr>
        <w:t xml:space="preserve">  The frequency of site inspections </w:t>
      </w:r>
      <w:r w:rsidRPr="001C1CCB" w:rsidR="00177B79">
        <w:rPr>
          <w:rFonts w:ascii="Times New Roman" w:hAnsi="Times New Roman"/>
          <w:spacing w:val="4"/>
          <w:sz w:val="24"/>
          <w:szCs w:val="24"/>
          <w:shd w:val="clear" w:color="auto" w:fill="FFFFFF"/>
        </w:rPr>
        <w:t>varies</w:t>
      </w:r>
      <w:r w:rsidRPr="001C1CCB" w:rsidR="00B22097">
        <w:rPr>
          <w:rFonts w:ascii="Times New Roman" w:hAnsi="Times New Roman"/>
          <w:spacing w:val="4"/>
          <w:sz w:val="24"/>
          <w:szCs w:val="24"/>
          <w:shd w:val="clear" w:color="auto" w:fill="FFFFFF"/>
        </w:rPr>
        <w:t xml:space="preserve"> based on the program and construction type.</w:t>
      </w:r>
      <w:r w:rsidRPr="001C1CCB" w:rsidR="00DE295A">
        <w:rPr>
          <w:rFonts w:ascii="Times New Roman" w:hAnsi="Times New Roman"/>
          <w:spacing w:val="4"/>
          <w:sz w:val="24"/>
          <w:szCs w:val="24"/>
          <w:shd w:val="clear" w:color="auto" w:fill="FFFFFF"/>
        </w:rPr>
        <w:t xml:space="preserve"> For refinance/purchase loans with repairs HUD will furnish the inspector with the </w:t>
      </w:r>
      <w:r w:rsidRPr="001C1CCB" w:rsidR="00034BC7">
        <w:rPr>
          <w:rFonts w:ascii="Times New Roman" w:hAnsi="Times New Roman"/>
          <w:spacing w:val="4"/>
          <w:sz w:val="24"/>
          <w:szCs w:val="24"/>
          <w:shd w:val="clear" w:color="auto" w:fill="FFFFFF"/>
        </w:rPr>
        <w:t>itemized list of repairs and alterat</w:t>
      </w:r>
      <w:r w:rsidRPr="001C1CCB" w:rsidR="00EC149C">
        <w:rPr>
          <w:rFonts w:ascii="Times New Roman" w:hAnsi="Times New Roman"/>
          <w:spacing w:val="4"/>
          <w:sz w:val="24"/>
          <w:szCs w:val="24"/>
          <w:shd w:val="clear" w:color="auto" w:fill="FFFFFF"/>
        </w:rPr>
        <w:t>i</w:t>
      </w:r>
      <w:r w:rsidRPr="001C1CCB" w:rsidR="00034BC7">
        <w:rPr>
          <w:rFonts w:ascii="Times New Roman" w:hAnsi="Times New Roman"/>
          <w:spacing w:val="4"/>
          <w:sz w:val="24"/>
          <w:szCs w:val="24"/>
          <w:shd w:val="clear" w:color="auto" w:fill="FFFFFF"/>
        </w:rPr>
        <w:t xml:space="preserve">ons generated </w:t>
      </w:r>
      <w:r w:rsidRPr="001C1CCB" w:rsidR="00EC149C">
        <w:rPr>
          <w:rFonts w:ascii="Times New Roman" w:hAnsi="Times New Roman"/>
          <w:spacing w:val="4"/>
          <w:sz w:val="24"/>
          <w:szCs w:val="24"/>
          <w:shd w:val="clear" w:color="auto" w:fill="FFFFFF"/>
        </w:rPr>
        <w:t xml:space="preserve">by the CNA e-Tool </w:t>
      </w:r>
      <w:r w:rsidRPr="001C1CCB" w:rsidR="00034BC7">
        <w:rPr>
          <w:rFonts w:ascii="Times New Roman" w:hAnsi="Times New Roman"/>
          <w:spacing w:val="4"/>
          <w:sz w:val="24"/>
          <w:szCs w:val="24"/>
          <w:shd w:val="clear" w:color="auto" w:fill="FFFFFF"/>
        </w:rPr>
        <w:t>as part of the Capital Needs Assessment</w:t>
      </w:r>
      <w:r w:rsidRPr="001C1CCB" w:rsidR="00F9351B">
        <w:rPr>
          <w:rFonts w:ascii="Times New Roman" w:hAnsi="Times New Roman"/>
          <w:spacing w:val="4"/>
          <w:sz w:val="24"/>
          <w:szCs w:val="24"/>
          <w:shd w:val="clear" w:color="auto" w:fill="FFFFFF"/>
        </w:rPr>
        <w:t>, and if the scale of repairs exceeds $15,000 per unit</w:t>
      </w:r>
      <w:r w:rsidRPr="001C1CCB" w:rsidR="00852B63">
        <w:rPr>
          <w:rFonts w:ascii="Times New Roman" w:hAnsi="Times New Roman"/>
          <w:spacing w:val="4"/>
          <w:sz w:val="24"/>
          <w:szCs w:val="24"/>
          <w:shd w:val="clear" w:color="auto" w:fill="FFFFFF"/>
        </w:rPr>
        <w:t>,</w:t>
      </w:r>
      <w:r w:rsidRPr="001C1CCB" w:rsidR="00F9351B">
        <w:rPr>
          <w:rFonts w:ascii="Times New Roman" w:hAnsi="Times New Roman"/>
          <w:spacing w:val="4"/>
          <w:sz w:val="24"/>
          <w:szCs w:val="24"/>
          <w:shd w:val="clear" w:color="auto" w:fill="FFFFFF"/>
        </w:rPr>
        <w:t xml:space="preserve"> additional plans and specifications prepared by the architect </w:t>
      </w:r>
      <w:r w:rsidRPr="001C1CCB" w:rsidR="005C1B1C">
        <w:rPr>
          <w:rFonts w:ascii="Times New Roman" w:hAnsi="Times New Roman"/>
          <w:spacing w:val="4"/>
          <w:sz w:val="24"/>
          <w:szCs w:val="24"/>
          <w:shd w:val="clear" w:color="auto" w:fill="FFFFFF"/>
        </w:rPr>
        <w:t>and if a general contractor is employed</w:t>
      </w:r>
      <w:r w:rsidRPr="001C1CCB" w:rsidR="00852B63">
        <w:rPr>
          <w:rFonts w:ascii="Times New Roman" w:hAnsi="Times New Roman"/>
          <w:spacing w:val="4"/>
          <w:sz w:val="24"/>
          <w:szCs w:val="24"/>
          <w:shd w:val="clear" w:color="auto" w:fill="FFFFFF"/>
        </w:rPr>
        <w:t>,</w:t>
      </w:r>
      <w:r w:rsidRPr="001C1CCB" w:rsidR="005C1B1C">
        <w:rPr>
          <w:rFonts w:ascii="Times New Roman" w:hAnsi="Times New Roman"/>
          <w:spacing w:val="4"/>
          <w:sz w:val="24"/>
          <w:szCs w:val="24"/>
          <w:shd w:val="clear" w:color="auto" w:fill="FFFFFF"/>
        </w:rPr>
        <w:t xml:space="preserve"> the AIA A-104 contract </w:t>
      </w:r>
      <w:r w:rsidRPr="001C1CCB" w:rsidR="00485434">
        <w:rPr>
          <w:rFonts w:ascii="Times New Roman" w:hAnsi="Times New Roman"/>
          <w:spacing w:val="4"/>
          <w:sz w:val="24"/>
          <w:szCs w:val="24"/>
          <w:shd w:val="clear" w:color="auto" w:fill="FFFFFF"/>
        </w:rPr>
        <w:t>between the owner and general contractor.</w:t>
      </w:r>
      <w:r w:rsidRPr="001C1CCB" w:rsidR="005C1B1C">
        <w:rPr>
          <w:rFonts w:ascii="Times New Roman" w:hAnsi="Times New Roman"/>
          <w:spacing w:val="4"/>
          <w:sz w:val="24"/>
          <w:szCs w:val="24"/>
          <w:shd w:val="clear" w:color="auto" w:fill="FFFFFF"/>
        </w:rPr>
        <w:t xml:space="preserve"> </w:t>
      </w:r>
      <w:r w:rsidRPr="001C1CCB" w:rsidR="00034BC7">
        <w:rPr>
          <w:rFonts w:ascii="Times New Roman" w:hAnsi="Times New Roman"/>
          <w:spacing w:val="4"/>
          <w:sz w:val="24"/>
          <w:szCs w:val="24"/>
          <w:shd w:val="clear" w:color="auto" w:fill="FFFFFF"/>
        </w:rPr>
        <w:t xml:space="preserve">  </w:t>
      </w:r>
    </w:p>
    <w:p w:rsidR="00F93685" w:rsidRPr="001C1CCB" w:rsidP="0071790A" w14:paraId="436FEA3A" w14:textId="377980B2">
      <w:pPr>
        <w:ind w:left="720" w:firstLine="0"/>
        <w:jc w:val="both"/>
        <w:rPr>
          <w:rFonts w:ascii="Times New Roman" w:hAnsi="Times New Roman"/>
          <w:spacing w:val="4"/>
          <w:sz w:val="24"/>
          <w:szCs w:val="24"/>
          <w:shd w:val="clear" w:color="auto" w:fill="FFFFFF"/>
        </w:rPr>
      </w:pPr>
    </w:p>
    <w:p w:rsidR="00F93685" w:rsidRPr="001C1CCB" w:rsidP="00F93685" w14:paraId="194DC8A4" w14:textId="77777777">
      <w:pPr>
        <w:ind w:left="720" w:firstLine="0"/>
        <w:rPr>
          <w:rFonts w:ascii="Times New Roman" w:hAnsi="Times New Roman"/>
          <w:b/>
          <w:sz w:val="24"/>
          <w:szCs w:val="24"/>
        </w:rPr>
      </w:pPr>
      <w:r w:rsidRPr="001C1CCB">
        <w:rPr>
          <w:rFonts w:ascii="Times New Roman" w:hAnsi="Times New Roman"/>
          <w:b/>
          <w:sz w:val="24"/>
          <w:szCs w:val="24"/>
        </w:rPr>
        <w:t>Closing Guidance</w:t>
      </w:r>
    </w:p>
    <w:p w:rsidR="00F93685" w:rsidRPr="001C1CCB" w:rsidP="00F93685" w14:paraId="5816F319" w14:textId="77777777">
      <w:pPr>
        <w:ind w:left="720" w:firstLine="0"/>
        <w:jc w:val="both"/>
        <w:rPr>
          <w:rFonts w:ascii="Times New Roman" w:hAnsi="Times New Roman"/>
          <w:sz w:val="24"/>
          <w:szCs w:val="24"/>
        </w:rPr>
      </w:pPr>
      <w:r w:rsidRPr="001C1CCB">
        <w:rPr>
          <w:rFonts w:ascii="Times New Roman" w:hAnsi="Times New Roman"/>
          <w:sz w:val="24"/>
          <w:szCs w:val="24"/>
        </w:rPr>
        <w:t xml:space="preserve">Chapter 19 of the MAP Guide describes closing procedures for multiple </w:t>
      </w:r>
      <w:r w:rsidRPr="001C1CCB">
        <w:rPr>
          <w:rFonts w:ascii="Times New Roman" w:hAnsi="Times New Roman"/>
          <w:sz w:val="24"/>
          <w:szCs w:val="24"/>
        </w:rPr>
        <w:t>closing types</w:t>
      </w:r>
      <w:r w:rsidRPr="001C1CCB">
        <w:rPr>
          <w:rFonts w:ascii="Times New Roman" w:hAnsi="Times New Roman"/>
          <w:sz w:val="24"/>
          <w:szCs w:val="24"/>
        </w:rPr>
        <w:t>:</w:t>
      </w:r>
      <w:r w:rsidRPr="001C1CCB">
        <w:rPr>
          <w:rFonts w:ascii="Times New Roman" w:hAnsi="Times New Roman"/>
          <w:sz w:val="24"/>
          <w:szCs w:val="24"/>
        </w:rPr>
        <w:t xml:space="preserve"> initial closing </w:t>
      </w:r>
      <w:r w:rsidRPr="001C1CCB">
        <w:rPr>
          <w:rFonts w:ascii="Times New Roman" w:hAnsi="Times New Roman"/>
          <w:sz w:val="24"/>
          <w:szCs w:val="24"/>
        </w:rPr>
        <w:t xml:space="preserve">and final closing </w:t>
      </w:r>
      <w:r w:rsidRPr="001C1CCB">
        <w:rPr>
          <w:rFonts w:ascii="Times New Roman" w:hAnsi="Times New Roman"/>
          <w:sz w:val="24"/>
          <w:szCs w:val="24"/>
        </w:rPr>
        <w:t>(</w:t>
      </w:r>
      <w:r w:rsidRPr="001C1CCB">
        <w:rPr>
          <w:rFonts w:ascii="Times New Roman" w:hAnsi="Times New Roman"/>
          <w:sz w:val="24"/>
          <w:szCs w:val="24"/>
        </w:rPr>
        <w:t xml:space="preserve">for </w:t>
      </w:r>
      <w:r w:rsidRPr="001C1CCB">
        <w:rPr>
          <w:rFonts w:ascii="Times New Roman" w:hAnsi="Times New Roman"/>
          <w:sz w:val="24"/>
          <w:szCs w:val="24"/>
        </w:rPr>
        <w:t>new construction/sub</w:t>
      </w:r>
      <w:r w:rsidRPr="001C1CCB">
        <w:rPr>
          <w:rFonts w:ascii="Times New Roman" w:hAnsi="Times New Roman"/>
          <w:sz w:val="24"/>
          <w:szCs w:val="24"/>
        </w:rPr>
        <w:t xml:space="preserve">stantial </w:t>
      </w:r>
      <w:r w:rsidRPr="001C1CCB">
        <w:rPr>
          <w:rFonts w:ascii="Times New Roman" w:hAnsi="Times New Roman"/>
          <w:sz w:val="24"/>
          <w:szCs w:val="24"/>
        </w:rPr>
        <w:t>rehab</w:t>
      </w:r>
      <w:r w:rsidRPr="001C1CCB">
        <w:rPr>
          <w:rFonts w:ascii="Times New Roman" w:hAnsi="Times New Roman"/>
          <w:sz w:val="24"/>
          <w:szCs w:val="24"/>
        </w:rPr>
        <w:t>ilitation</w:t>
      </w:r>
      <w:r w:rsidRPr="001C1CCB">
        <w:rPr>
          <w:rFonts w:ascii="Times New Roman" w:hAnsi="Times New Roman"/>
          <w:sz w:val="24"/>
          <w:szCs w:val="24"/>
        </w:rPr>
        <w:t>) and final closing (</w:t>
      </w:r>
      <w:r w:rsidRPr="001C1CCB">
        <w:rPr>
          <w:rFonts w:ascii="Times New Roman" w:hAnsi="Times New Roman"/>
          <w:sz w:val="24"/>
          <w:szCs w:val="24"/>
        </w:rPr>
        <w:t xml:space="preserve">for purchase or </w:t>
      </w:r>
      <w:r w:rsidRPr="001C1CCB">
        <w:rPr>
          <w:rFonts w:ascii="Times New Roman" w:hAnsi="Times New Roman"/>
          <w:sz w:val="24"/>
          <w:szCs w:val="24"/>
        </w:rPr>
        <w:t>refinancing)</w:t>
      </w:r>
      <w:r w:rsidRPr="001C1CCB">
        <w:rPr>
          <w:rFonts w:ascii="Times New Roman" w:hAnsi="Times New Roman"/>
          <w:sz w:val="24"/>
          <w:szCs w:val="24"/>
        </w:rPr>
        <w:t>.  All documents are submitted one-time</w:t>
      </w:r>
      <w:r w:rsidRPr="001C1CCB">
        <w:rPr>
          <w:rFonts w:ascii="Times New Roman" w:hAnsi="Times New Roman"/>
          <w:sz w:val="24"/>
          <w:szCs w:val="24"/>
        </w:rPr>
        <w:t xml:space="preserve"> </w:t>
      </w:r>
      <w:r w:rsidRPr="001C1CCB">
        <w:rPr>
          <w:rFonts w:ascii="Times New Roman" w:hAnsi="Times New Roman"/>
          <w:sz w:val="24"/>
          <w:szCs w:val="24"/>
        </w:rPr>
        <w:t xml:space="preserve">for </w:t>
      </w:r>
      <w:r w:rsidRPr="001C1CCB">
        <w:rPr>
          <w:rFonts w:ascii="Times New Roman" w:hAnsi="Times New Roman"/>
          <w:sz w:val="24"/>
          <w:szCs w:val="24"/>
        </w:rPr>
        <w:t>initial closing</w:t>
      </w:r>
      <w:r w:rsidRPr="001C1CCB">
        <w:rPr>
          <w:rFonts w:ascii="Times New Roman" w:hAnsi="Times New Roman"/>
          <w:sz w:val="24"/>
          <w:szCs w:val="24"/>
        </w:rPr>
        <w:t xml:space="preserve"> final closing (for purchase, refinance) to HUD electronically (via e-mail exchange).</w:t>
      </w:r>
    </w:p>
    <w:p w:rsidR="00F93685" w:rsidRPr="001C1CCB" w:rsidP="00F93685" w14:paraId="0378F6C7" w14:textId="77777777">
      <w:pPr>
        <w:ind w:left="720" w:firstLine="0"/>
        <w:jc w:val="both"/>
        <w:rPr>
          <w:rFonts w:ascii="Times New Roman" w:hAnsi="Times New Roman"/>
          <w:sz w:val="24"/>
          <w:szCs w:val="24"/>
        </w:rPr>
      </w:pPr>
    </w:p>
    <w:p w:rsidR="00F93685" w:rsidRPr="001C1CCB" w:rsidP="00F93685" w14:paraId="529FEAF6" w14:textId="77777777">
      <w:pPr>
        <w:ind w:left="720" w:firstLine="0"/>
        <w:jc w:val="both"/>
        <w:rPr>
          <w:rFonts w:ascii="Times New Roman" w:hAnsi="Times New Roman"/>
          <w:sz w:val="24"/>
          <w:szCs w:val="24"/>
        </w:rPr>
      </w:pPr>
      <w:r w:rsidRPr="001C1CCB">
        <w:rPr>
          <w:rFonts w:ascii="Times New Roman" w:hAnsi="Times New Roman"/>
          <w:sz w:val="24"/>
          <w:szCs w:val="24"/>
        </w:rPr>
        <w:t>The Closing Chapter discloses the Form name and number for all documents, agreements, riders, and certifications currently approved under the Multifamily Closing Document PRA collection 2502-0598.  This collection is presently under separate review for renewal.</w:t>
      </w:r>
    </w:p>
    <w:p w:rsidR="00F93685" w:rsidRPr="001C1CCB" w:rsidP="00F93685" w14:paraId="5C05C1D2" w14:textId="77777777">
      <w:pPr>
        <w:jc w:val="both"/>
        <w:rPr>
          <w:rFonts w:ascii="Times New Roman" w:hAnsi="Times New Roman"/>
          <w:sz w:val="24"/>
          <w:szCs w:val="24"/>
        </w:rPr>
      </w:pPr>
    </w:p>
    <w:p w:rsidR="00F93685" w:rsidRPr="001C1CCB" w:rsidP="00F93685" w14:paraId="63E9890D" w14:textId="0E1E1CAD">
      <w:pPr>
        <w:ind w:left="720" w:firstLine="0"/>
        <w:jc w:val="both"/>
        <w:rPr>
          <w:rFonts w:ascii="Times New Roman" w:hAnsi="Times New Roman"/>
          <w:sz w:val="24"/>
          <w:szCs w:val="24"/>
        </w:rPr>
      </w:pPr>
      <w:r w:rsidRPr="001C1CCB">
        <w:rPr>
          <w:rFonts w:ascii="Times New Roman" w:hAnsi="Times New Roman"/>
          <w:sz w:val="24"/>
        </w:rPr>
        <w:t xml:space="preserve">In preparation for closings, HUD requires the borrower to disclose any additional agreements affecting the project or the loan.  The information and documents are required as HUD must review and consider all documents that could impact the project to the detriment of HUD, particularly since borrower entities must be single-asset entities and are prohibited from engaging in business activities other than the FHA-insured multifamily rental project.  This information is needed as a matter of due diligence for the protection of the FHA insurance funds.  Lenders must submit required </w:t>
      </w:r>
      <w:r w:rsidRPr="001C1CCB" w:rsidR="008B2B06">
        <w:rPr>
          <w:rFonts w:ascii="Times New Roman" w:hAnsi="Times New Roman"/>
          <w:sz w:val="24"/>
        </w:rPr>
        <w:t>Documents for</w:t>
      </w:r>
      <w:r w:rsidRPr="001C1CCB">
        <w:rPr>
          <w:rFonts w:ascii="Times New Roman" w:hAnsi="Times New Roman"/>
          <w:sz w:val="24"/>
        </w:rPr>
        <w:t xml:space="preserve"> each closing type on an as needed/as applicable basis.</w:t>
      </w:r>
    </w:p>
    <w:p w:rsidR="001D4C32" w:rsidRPr="001C1CCB" w:rsidP="0071790A" w14:paraId="3E5A187D" w14:textId="2ED6C4DA">
      <w:pPr>
        <w:ind w:left="720" w:firstLine="0"/>
        <w:jc w:val="both"/>
        <w:rPr>
          <w:rFonts w:ascii="Times New Roman" w:hAnsi="Times New Roman"/>
          <w:spacing w:val="4"/>
          <w:sz w:val="24"/>
          <w:szCs w:val="24"/>
          <w:shd w:val="clear" w:color="auto" w:fill="FFFFFF"/>
        </w:rPr>
      </w:pPr>
    </w:p>
    <w:p w:rsidR="00CF0FD3" w:rsidRPr="001C1CCB" w:rsidP="0071790A" w14:paraId="24B01121" w14:textId="10B6E734">
      <w:pPr>
        <w:ind w:left="720" w:firstLine="0"/>
        <w:jc w:val="both"/>
        <w:rPr>
          <w:rFonts w:ascii="Times New Roman" w:hAnsi="Times New Roman"/>
          <w:sz w:val="24"/>
          <w:szCs w:val="24"/>
        </w:rPr>
      </w:pPr>
      <w:r w:rsidRPr="001C1CCB">
        <w:rPr>
          <w:rFonts w:ascii="Times New Roman" w:hAnsi="Times New Roman"/>
          <w:b/>
          <w:bCs/>
          <w:sz w:val="24"/>
          <w:szCs w:val="24"/>
        </w:rPr>
        <w:t>Closing Chapter</w:t>
      </w:r>
      <w:r w:rsidRPr="001C1CCB" w:rsidR="00D62711">
        <w:rPr>
          <w:rFonts w:ascii="Times New Roman" w:hAnsi="Times New Roman"/>
          <w:b/>
          <w:bCs/>
          <w:sz w:val="24"/>
          <w:szCs w:val="24"/>
        </w:rPr>
        <w:t>.</w:t>
      </w:r>
      <w:r w:rsidRPr="001C1CCB">
        <w:rPr>
          <w:rFonts w:ascii="Times New Roman" w:hAnsi="Times New Roman"/>
          <w:b/>
          <w:bCs/>
          <w:sz w:val="24"/>
          <w:szCs w:val="24"/>
        </w:rPr>
        <w:t xml:space="preserve">  </w:t>
      </w:r>
      <w:r w:rsidRPr="001C1CCB" w:rsidR="004D4571">
        <w:rPr>
          <w:rFonts w:ascii="Times New Roman" w:hAnsi="Times New Roman"/>
          <w:sz w:val="24"/>
          <w:szCs w:val="24"/>
        </w:rPr>
        <w:t>There are instances when a closing will require the collect</w:t>
      </w:r>
      <w:r w:rsidRPr="001C1CCB" w:rsidR="008D0FC1">
        <w:rPr>
          <w:rFonts w:ascii="Times New Roman" w:hAnsi="Times New Roman"/>
          <w:sz w:val="24"/>
          <w:szCs w:val="24"/>
        </w:rPr>
        <w:t>ion</w:t>
      </w:r>
      <w:r w:rsidRPr="001C1CCB" w:rsidR="004D4571">
        <w:rPr>
          <w:rFonts w:ascii="Times New Roman" w:hAnsi="Times New Roman"/>
          <w:sz w:val="24"/>
          <w:szCs w:val="24"/>
        </w:rPr>
        <w:t xml:space="preserve"> of standard industry practice type documents that are submitted by the lender.  The Closing Chapter collect</w:t>
      </w:r>
      <w:r w:rsidRPr="001C1CCB" w:rsidR="00AB1E4E">
        <w:rPr>
          <w:rFonts w:ascii="Times New Roman" w:hAnsi="Times New Roman"/>
          <w:sz w:val="24"/>
          <w:szCs w:val="24"/>
        </w:rPr>
        <w:t>s</w:t>
      </w:r>
      <w:r w:rsidRPr="001C1CCB" w:rsidR="004D4571">
        <w:rPr>
          <w:rFonts w:ascii="Times New Roman" w:hAnsi="Times New Roman"/>
          <w:sz w:val="24"/>
          <w:szCs w:val="24"/>
        </w:rPr>
        <w:t xml:space="preserve"> these documents in these three areas:</w:t>
      </w:r>
    </w:p>
    <w:p w:rsidR="00CF0FD3" w:rsidRPr="001C1CCB" w:rsidP="0071790A" w14:paraId="118DE8F2" w14:textId="77777777">
      <w:pPr>
        <w:jc w:val="both"/>
        <w:rPr>
          <w:rFonts w:ascii="Times New Roman" w:hAnsi="Times New Roman"/>
          <w:sz w:val="24"/>
          <w:szCs w:val="24"/>
        </w:rPr>
      </w:pPr>
    </w:p>
    <w:p w:rsidR="00CF0FD3" w:rsidRPr="001C1CCB" w:rsidP="0071790A" w14:paraId="0C2E4A1C" w14:textId="7CF66B43">
      <w:pPr>
        <w:ind w:left="720" w:firstLine="0"/>
        <w:jc w:val="both"/>
        <w:rPr>
          <w:rFonts w:ascii="Times New Roman" w:hAnsi="Times New Roman"/>
          <w:sz w:val="24"/>
          <w:szCs w:val="24"/>
        </w:rPr>
      </w:pPr>
      <w:r w:rsidRPr="001C1CCB">
        <w:rPr>
          <w:rFonts w:ascii="Times New Roman" w:hAnsi="Times New Roman"/>
          <w:sz w:val="24"/>
          <w:szCs w:val="24"/>
          <w:u w:val="single"/>
        </w:rPr>
        <w:t>Workout Information and Documentation</w:t>
      </w:r>
      <w:r w:rsidRPr="001C1CCB" w:rsidR="00A96914">
        <w:rPr>
          <w:rFonts w:ascii="Times New Roman" w:hAnsi="Times New Roman"/>
          <w:sz w:val="24"/>
          <w:szCs w:val="24"/>
          <w:u w:val="single"/>
        </w:rPr>
        <w:t xml:space="preserve"> </w:t>
      </w:r>
      <w:r w:rsidRPr="001C1CCB" w:rsidR="00DE2951">
        <w:rPr>
          <w:rFonts w:ascii="Times New Roman" w:hAnsi="Times New Roman"/>
          <w:sz w:val="24"/>
          <w:szCs w:val="24"/>
          <w:u w:val="single"/>
        </w:rPr>
        <w:t xml:space="preserve">is </w:t>
      </w:r>
      <w:r w:rsidRPr="001C1CCB" w:rsidR="00DE2951">
        <w:rPr>
          <w:rFonts w:ascii="Times New Roman" w:hAnsi="Times New Roman"/>
          <w:sz w:val="24"/>
          <w:szCs w:val="24"/>
        </w:rPr>
        <w:t>p</w:t>
      </w:r>
      <w:r w:rsidRPr="001C1CCB">
        <w:rPr>
          <w:rFonts w:ascii="Times New Roman" w:hAnsi="Times New Roman"/>
          <w:sz w:val="24"/>
          <w:szCs w:val="24"/>
        </w:rPr>
        <w:t xml:space="preserve">repared by lender’s counsel and submitted by lender to HUD; includes non-standardized information provided by third parties (e.g., surety company), certification of compliance with HUD requirements, and workout agreement. Information is needed to gain cooperation and participation of third parties for projects experiencing significant problems during construction </w:t>
      </w:r>
      <w:r w:rsidRPr="001C1CCB" w:rsidR="00917842">
        <w:rPr>
          <w:rFonts w:ascii="Times New Roman" w:hAnsi="Times New Roman"/>
          <w:sz w:val="24"/>
          <w:szCs w:val="24"/>
        </w:rPr>
        <w:t>to</w:t>
      </w:r>
      <w:r w:rsidRPr="001C1CCB">
        <w:rPr>
          <w:rFonts w:ascii="Times New Roman" w:hAnsi="Times New Roman"/>
          <w:sz w:val="24"/>
          <w:szCs w:val="24"/>
        </w:rPr>
        <w:t xml:space="preserve"> ensure project completion and final loan closing </w:t>
      </w:r>
      <w:r w:rsidRPr="001C1CCB">
        <w:rPr>
          <w:rFonts w:ascii="Times New Roman" w:hAnsi="Times New Roman"/>
          <w:sz w:val="24"/>
          <w:szCs w:val="24"/>
        </w:rPr>
        <w:t>in order to</w:t>
      </w:r>
      <w:r w:rsidRPr="001C1CCB">
        <w:rPr>
          <w:rFonts w:ascii="Times New Roman" w:hAnsi="Times New Roman"/>
          <w:sz w:val="24"/>
          <w:szCs w:val="24"/>
        </w:rPr>
        <w:t xml:space="preserve"> avoid a mortgage insurance claim.  This documentation is standard industry practice which HUD has historically collected in workout situations in the past, but not until the present has it been formalized for PRA purposes.  Submitted one </w:t>
      </w:r>
      <w:r w:rsidRPr="001C1CCB">
        <w:rPr>
          <w:rFonts w:ascii="Times New Roman" w:hAnsi="Times New Roman"/>
          <w:sz w:val="24"/>
          <w:szCs w:val="24"/>
        </w:rPr>
        <w:t>time before final closing for new construction/sub-rehab project loans but only in construction dispute situations.</w:t>
      </w:r>
    </w:p>
    <w:p w:rsidR="00CF0FD3" w:rsidRPr="001C1CCB" w:rsidP="0071790A" w14:paraId="66DDBE81" w14:textId="77777777">
      <w:pPr>
        <w:jc w:val="both"/>
        <w:rPr>
          <w:rFonts w:ascii="Times New Roman" w:hAnsi="Times New Roman"/>
          <w:sz w:val="24"/>
          <w:szCs w:val="24"/>
        </w:rPr>
      </w:pPr>
    </w:p>
    <w:p w:rsidR="00CF0FD3" w:rsidRPr="001C1CCB" w:rsidP="0071790A" w14:paraId="63E24CC1" w14:textId="3EEB6D17">
      <w:pPr>
        <w:ind w:left="720" w:firstLine="0"/>
        <w:jc w:val="both"/>
        <w:rPr>
          <w:rFonts w:ascii="Times New Roman" w:hAnsi="Times New Roman"/>
          <w:sz w:val="24"/>
          <w:szCs w:val="24"/>
        </w:rPr>
      </w:pPr>
      <w:r w:rsidRPr="001C1CCB">
        <w:rPr>
          <w:rFonts w:ascii="Times New Roman" w:hAnsi="Times New Roman"/>
          <w:sz w:val="24"/>
          <w:szCs w:val="24"/>
          <w:u w:val="single"/>
        </w:rPr>
        <w:t>Title Agent Letter of Authority and Closing Protection Letter</w:t>
      </w:r>
      <w:r w:rsidRPr="001C1CCB" w:rsidR="00DE2951">
        <w:rPr>
          <w:rFonts w:ascii="Times New Roman" w:hAnsi="Times New Roman"/>
          <w:sz w:val="24"/>
          <w:szCs w:val="24"/>
          <w:u w:val="single"/>
        </w:rPr>
        <w:t>(s) are</w:t>
      </w:r>
      <w:r w:rsidRPr="001C1CCB" w:rsidR="00DE2951">
        <w:rPr>
          <w:rFonts w:ascii="Times New Roman" w:hAnsi="Times New Roman"/>
          <w:sz w:val="24"/>
          <w:szCs w:val="24"/>
        </w:rPr>
        <w:t xml:space="preserve"> </w:t>
      </w:r>
      <w:r w:rsidRPr="001C1CCB">
        <w:rPr>
          <w:rFonts w:ascii="Times New Roman" w:hAnsi="Times New Roman"/>
          <w:sz w:val="24"/>
          <w:szCs w:val="24"/>
        </w:rPr>
        <w:t xml:space="preserve">industry standard requirements for closing commercial real estate transactions.  </w:t>
      </w:r>
      <w:r w:rsidRPr="001C1CCB" w:rsidR="008F73D4">
        <w:rPr>
          <w:rFonts w:ascii="Times New Roman" w:hAnsi="Times New Roman"/>
          <w:sz w:val="24"/>
          <w:szCs w:val="24"/>
        </w:rPr>
        <w:t>They are p</w:t>
      </w:r>
      <w:r w:rsidRPr="001C1CCB">
        <w:rPr>
          <w:rFonts w:ascii="Times New Roman" w:hAnsi="Times New Roman"/>
          <w:sz w:val="24"/>
          <w:szCs w:val="24"/>
        </w:rPr>
        <w:t xml:space="preserve">repared by the title agent and policy issuing title company; </w:t>
      </w:r>
      <w:r w:rsidRPr="001C1CCB" w:rsidR="008F73D4">
        <w:rPr>
          <w:rFonts w:ascii="Times New Roman" w:hAnsi="Times New Roman"/>
          <w:sz w:val="24"/>
          <w:szCs w:val="24"/>
        </w:rPr>
        <w:t xml:space="preserve">then </w:t>
      </w:r>
      <w:r w:rsidRPr="001C1CCB">
        <w:rPr>
          <w:rFonts w:ascii="Times New Roman" w:hAnsi="Times New Roman"/>
          <w:sz w:val="24"/>
          <w:szCs w:val="24"/>
        </w:rPr>
        <w:t xml:space="preserve">submitted </w:t>
      </w:r>
      <w:r w:rsidRPr="001C1CCB" w:rsidR="00862CA6">
        <w:rPr>
          <w:rFonts w:ascii="Times New Roman" w:hAnsi="Times New Roman"/>
          <w:sz w:val="24"/>
          <w:szCs w:val="24"/>
        </w:rPr>
        <w:t xml:space="preserve">to HUD </w:t>
      </w:r>
      <w:r w:rsidRPr="001C1CCB">
        <w:rPr>
          <w:rFonts w:ascii="Times New Roman" w:hAnsi="Times New Roman"/>
          <w:sz w:val="24"/>
          <w:szCs w:val="24"/>
        </w:rPr>
        <w:t xml:space="preserve">by lenders.  The letter of authority </w:t>
      </w:r>
      <w:r w:rsidRPr="001C1CCB">
        <w:rPr>
          <w:rFonts w:ascii="Times New Roman" w:eastAsia="Calibri" w:hAnsi="Times New Roman"/>
          <w:sz w:val="24"/>
          <w:szCs w:val="24"/>
        </w:rPr>
        <w:t xml:space="preserve">demonstrates the agent has the authority to issue the Title Policy on behalf of the title company for the project identified in the letter and must be valid as of the date of closing.  It is collected as a matter of due diligence for the protection of the Department and the insurance funds in the event a title company attempts to disavow a policy issued by one of its agents.  The letter of authority is </w:t>
      </w:r>
      <w:r w:rsidRPr="001C1CCB">
        <w:rPr>
          <w:rFonts w:ascii="Times New Roman" w:hAnsi="Times New Roman"/>
          <w:sz w:val="24"/>
          <w:szCs w:val="24"/>
        </w:rPr>
        <w:t>s</w:t>
      </w:r>
      <w:r w:rsidRPr="001C1CCB">
        <w:rPr>
          <w:rFonts w:ascii="Times New Roman" w:hAnsi="Times New Roman"/>
          <w:sz w:val="24"/>
          <w:szCs w:val="24"/>
        </w:rPr>
        <w:t>ubmitted</w:t>
      </w:r>
      <w:r w:rsidRPr="001C1CCB">
        <w:rPr>
          <w:rFonts w:ascii="Times New Roman" w:hAnsi="Times New Roman"/>
          <w:sz w:val="24"/>
          <w:szCs w:val="24"/>
        </w:rPr>
        <w:t xml:space="preserve"> for</w:t>
      </w:r>
      <w:r w:rsidRPr="001C1CCB">
        <w:rPr>
          <w:rFonts w:ascii="Times New Roman" w:hAnsi="Times New Roman"/>
          <w:sz w:val="24"/>
          <w:szCs w:val="24"/>
        </w:rPr>
        <w:t xml:space="preserve"> all closing types</w:t>
      </w:r>
      <w:r w:rsidRPr="001C1CCB">
        <w:rPr>
          <w:rFonts w:ascii="Times New Roman" w:hAnsi="Times New Roman"/>
          <w:sz w:val="24"/>
          <w:szCs w:val="24"/>
        </w:rPr>
        <w:t xml:space="preserve"> (new construction/sub-rehab and </w:t>
      </w:r>
      <w:r w:rsidRPr="001C1CCB">
        <w:rPr>
          <w:rFonts w:ascii="Times New Roman" w:hAnsi="Times New Roman"/>
          <w:sz w:val="24"/>
          <w:szCs w:val="24"/>
        </w:rPr>
        <w:t>refinanc</w:t>
      </w:r>
      <w:r w:rsidRPr="001C1CCB">
        <w:rPr>
          <w:rFonts w:ascii="Times New Roman" w:hAnsi="Times New Roman"/>
          <w:sz w:val="24"/>
          <w:szCs w:val="24"/>
        </w:rPr>
        <w:t>e) when a title agent issues the title policy instead of the actual title company providing the title insurance</w:t>
      </w:r>
      <w:r w:rsidRPr="001C1CCB">
        <w:rPr>
          <w:rFonts w:ascii="Times New Roman" w:hAnsi="Times New Roman"/>
          <w:sz w:val="24"/>
          <w:szCs w:val="24"/>
        </w:rPr>
        <w:t>.</w:t>
      </w:r>
      <w:r w:rsidRPr="001C1CCB">
        <w:rPr>
          <w:rFonts w:ascii="Times New Roman" w:hAnsi="Times New Roman"/>
          <w:sz w:val="24"/>
          <w:szCs w:val="24"/>
        </w:rPr>
        <w:t xml:space="preserve">  </w:t>
      </w:r>
    </w:p>
    <w:p w:rsidR="00CF0FD3" w:rsidRPr="001C1CCB" w:rsidP="0071790A" w14:paraId="7BA7658C" w14:textId="77777777">
      <w:pPr>
        <w:jc w:val="both"/>
        <w:rPr>
          <w:rFonts w:ascii="Times New Roman" w:hAnsi="Times New Roman"/>
          <w:sz w:val="24"/>
          <w:szCs w:val="24"/>
        </w:rPr>
      </w:pPr>
    </w:p>
    <w:p w:rsidR="00CF0FD3" w:rsidRPr="001C1CCB" w:rsidP="0071790A" w14:paraId="5FEF991A" w14:textId="68C4F17B">
      <w:pPr>
        <w:ind w:left="720" w:firstLine="0"/>
        <w:jc w:val="both"/>
        <w:rPr>
          <w:rFonts w:ascii="Times New Roman" w:eastAsia="Calibri" w:hAnsi="Times New Roman"/>
          <w:sz w:val="24"/>
          <w:szCs w:val="24"/>
        </w:rPr>
      </w:pPr>
      <w:r w:rsidRPr="001C1CCB">
        <w:rPr>
          <w:rFonts w:ascii="Times New Roman" w:eastAsia="Calibri" w:hAnsi="Times New Roman"/>
          <w:sz w:val="24"/>
          <w:szCs w:val="24"/>
        </w:rPr>
        <w:t>The closing protection letter is typically provided on an industry (ALTA) form; it ensures that the title agent, approved attorney, or other third</w:t>
      </w:r>
      <w:r w:rsidRPr="001C1CCB" w:rsidR="00133098">
        <w:rPr>
          <w:rFonts w:ascii="Times New Roman" w:eastAsia="Calibri" w:hAnsi="Times New Roman"/>
          <w:sz w:val="24"/>
          <w:szCs w:val="24"/>
        </w:rPr>
        <w:t>-</w:t>
      </w:r>
      <w:r w:rsidRPr="001C1CCB">
        <w:rPr>
          <w:rFonts w:ascii="Times New Roman" w:eastAsia="Calibri" w:hAnsi="Times New Roman"/>
          <w:sz w:val="24"/>
          <w:szCs w:val="24"/>
        </w:rPr>
        <w:t xml:space="preserve">party escrow agent is authorized to perform the escrow services on behalf of the title company, and to indemnify the Lender for actual losses caused by certain misconduct of the closing agent (subject to specific exceptions and exclusions therein).  </w:t>
      </w:r>
      <w:r w:rsidRPr="001C1CCB">
        <w:rPr>
          <w:rFonts w:ascii="Times New Roman" w:hAnsi="Times New Roman"/>
          <w:sz w:val="24"/>
          <w:szCs w:val="24"/>
        </w:rPr>
        <w:t xml:space="preserve">The closing protection letter is submitted </w:t>
      </w:r>
      <w:r w:rsidRPr="001C1CCB">
        <w:rPr>
          <w:rFonts w:ascii="Times New Roman" w:hAnsi="Times New Roman"/>
          <w:sz w:val="24"/>
          <w:szCs w:val="24"/>
        </w:rPr>
        <w:t>one time for all closing types</w:t>
      </w:r>
      <w:r w:rsidRPr="001C1CCB">
        <w:rPr>
          <w:rFonts w:ascii="Times New Roman" w:hAnsi="Times New Roman"/>
          <w:sz w:val="24"/>
          <w:szCs w:val="24"/>
        </w:rPr>
        <w:t>:</w:t>
      </w:r>
      <w:r w:rsidRPr="001C1CCB">
        <w:rPr>
          <w:rFonts w:ascii="Times New Roman" w:hAnsi="Times New Roman"/>
          <w:sz w:val="24"/>
          <w:szCs w:val="24"/>
        </w:rPr>
        <w:t xml:space="preserve"> initial closing (new construction/sub-rehab) and initial/final closing (refinanc</w:t>
      </w:r>
      <w:r w:rsidRPr="001C1CCB">
        <w:rPr>
          <w:rFonts w:ascii="Times New Roman" w:hAnsi="Times New Roman"/>
          <w:sz w:val="24"/>
          <w:szCs w:val="24"/>
        </w:rPr>
        <w:t>e</w:t>
      </w:r>
      <w:r w:rsidRPr="001C1CCB">
        <w:rPr>
          <w:rFonts w:ascii="Times New Roman" w:hAnsi="Times New Roman"/>
          <w:sz w:val="24"/>
          <w:szCs w:val="24"/>
        </w:rPr>
        <w:t>).</w:t>
      </w:r>
    </w:p>
    <w:p w:rsidR="00CF0FD3" w:rsidRPr="001C1CCB" w:rsidP="0071790A" w14:paraId="05D1745C" w14:textId="77777777">
      <w:pPr>
        <w:jc w:val="both"/>
        <w:rPr>
          <w:rFonts w:ascii="Times New Roman" w:hAnsi="Times New Roman"/>
          <w:sz w:val="24"/>
          <w:szCs w:val="24"/>
        </w:rPr>
      </w:pPr>
    </w:p>
    <w:p w:rsidR="00C7343F" w:rsidRPr="001C1CCB" w:rsidP="0071790A" w14:paraId="1F5FE65E" w14:textId="6670EBA0">
      <w:pPr>
        <w:ind w:left="720" w:firstLine="0"/>
        <w:jc w:val="both"/>
        <w:rPr>
          <w:rFonts w:ascii="Times New Roman" w:hAnsi="Times New Roman"/>
          <w:sz w:val="24"/>
          <w:szCs w:val="24"/>
        </w:rPr>
      </w:pPr>
      <w:r w:rsidRPr="001C1CCB">
        <w:rPr>
          <w:rFonts w:ascii="Times New Roman" w:hAnsi="Times New Roman"/>
          <w:sz w:val="24"/>
          <w:szCs w:val="24"/>
          <w:u w:val="single"/>
        </w:rPr>
        <w:t>UCC Searches</w:t>
      </w:r>
      <w:r w:rsidRPr="001C1CCB">
        <w:rPr>
          <w:rFonts w:ascii="Times New Roman" w:hAnsi="Times New Roman"/>
          <w:sz w:val="24"/>
          <w:szCs w:val="24"/>
        </w:rPr>
        <w:t xml:space="preserve">. </w:t>
      </w:r>
    </w:p>
    <w:p w:rsidR="000D0BE3" w:rsidRPr="001C1CCB" w:rsidP="00993E33" w14:paraId="004AA8DB" w14:textId="150C4134">
      <w:pPr>
        <w:ind w:left="720" w:firstLine="0"/>
        <w:jc w:val="both"/>
        <w:rPr>
          <w:rFonts w:ascii="Times New Roman" w:hAnsi="Times New Roman"/>
          <w:spacing w:val="4"/>
          <w:sz w:val="24"/>
          <w:szCs w:val="24"/>
          <w:shd w:val="clear" w:color="auto" w:fill="FFFFFF"/>
        </w:rPr>
      </w:pPr>
      <w:r w:rsidRPr="001C1CCB">
        <w:rPr>
          <w:rFonts w:ascii="Times New Roman" w:hAnsi="Times New Roman"/>
          <w:sz w:val="24"/>
          <w:szCs w:val="24"/>
        </w:rPr>
        <w:t>These documents are non-HUD forms that HUD requires lenders to provide to establish that there have been no liens filed against the borrower’s personalty under Uniform Commercial Code for the protection of lender and HUD.  They are standard industry documents</w:t>
      </w:r>
      <w:r w:rsidRPr="001C1CCB">
        <w:rPr>
          <w:rFonts w:ascii="Times New Roman" w:hAnsi="Times New Roman"/>
          <w:b/>
          <w:bCs/>
          <w:sz w:val="24"/>
          <w:szCs w:val="24"/>
        </w:rPr>
        <w:t xml:space="preserve"> </w:t>
      </w:r>
      <w:r w:rsidRPr="001C1CCB">
        <w:rPr>
          <w:rFonts w:ascii="Times New Roman" w:hAnsi="Times New Roman"/>
          <w:sz w:val="24"/>
          <w:szCs w:val="24"/>
        </w:rPr>
        <w:t>that conventional lenders require in addition to HUD.</w:t>
      </w:r>
      <w:r w:rsidRPr="001C1CCB" w:rsidR="0007069D">
        <w:rPr>
          <w:rFonts w:ascii="Times New Roman" w:hAnsi="Times New Roman"/>
          <w:sz w:val="24"/>
          <w:szCs w:val="24"/>
        </w:rPr>
        <w:t xml:space="preserve">  </w:t>
      </w:r>
      <w:r w:rsidRPr="001C1CCB">
        <w:rPr>
          <w:rFonts w:ascii="Times New Roman" w:hAnsi="Times New Roman"/>
          <w:sz w:val="24"/>
          <w:szCs w:val="24"/>
        </w:rPr>
        <w:t>Submitted one time for all closing types</w:t>
      </w:r>
      <w:r w:rsidRPr="001C1CCB">
        <w:rPr>
          <w:rFonts w:ascii="Times New Roman" w:hAnsi="Times New Roman"/>
          <w:sz w:val="24"/>
          <w:szCs w:val="24"/>
        </w:rPr>
        <w:t>:</w:t>
      </w:r>
      <w:r w:rsidRPr="001C1CCB">
        <w:rPr>
          <w:rFonts w:ascii="Times New Roman" w:hAnsi="Times New Roman"/>
          <w:sz w:val="24"/>
          <w:szCs w:val="24"/>
        </w:rPr>
        <w:t xml:space="preserve"> initial closing (new construction/sub-rehab) and initial/final closing (refinanc</w:t>
      </w:r>
      <w:r w:rsidRPr="001C1CCB">
        <w:rPr>
          <w:rFonts w:ascii="Times New Roman" w:hAnsi="Times New Roman"/>
          <w:sz w:val="24"/>
          <w:szCs w:val="24"/>
        </w:rPr>
        <w:t>e</w:t>
      </w:r>
      <w:r w:rsidRPr="001C1CCB">
        <w:rPr>
          <w:rFonts w:ascii="Times New Roman" w:hAnsi="Times New Roman"/>
          <w:sz w:val="24"/>
          <w:szCs w:val="24"/>
        </w:rPr>
        <w:t>)</w:t>
      </w:r>
      <w:r w:rsidRPr="001C1CCB" w:rsidR="0007069D">
        <w:rPr>
          <w:rFonts w:ascii="Times New Roman" w:hAnsi="Times New Roman"/>
          <w:sz w:val="24"/>
          <w:szCs w:val="24"/>
        </w:rPr>
        <w:t>.</w:t>
      </w:r>
    </w:p>
    <w:p w:rsidR="0071790A" w:rsidRPr="001C1CCB" w:rsidP="000F6336" w14:paraId="1C6524DF" w14:textId="2CB3787B">
      <w:pPr>
        <w:kinsoku w:val="0"/>
        <w:overflowPunct w:val="0"/>
        <w:textAlignment w:val="baseline"/>
        <w:rPr>
          <w:rFonts w:ascii="Times New Roman" w:hAnsi="Times New Roman"/>
          <w:spacing w:val="4"/>
          <w:sz w:val="24"/>
          <w:szCs w:val="24"/>
          <w:shd w:val="clear" w:color="auto" w:fill="FFFFFF"/>
        </w:rPr>
      </w:pPr>
      <w:r w:rsidRPr="001C1CCB">
        <w:rPr>
          <w:rFonts w:ascii="Times New Roman" w:hAnsi="Times New Roman"/>
          <w:b/>
          <w:spacing w:val="-2"/>
          <w:sz w:val="24"/>
          <w:szCs w:val="24"/>
        </w:rPr>
        <w:tab/>
      </w:r>
    </w:p>
    <w:p w:rsidR="004505F9" w:rsidRPr="001C1CCB" w:rsidP="00862CA6" w14:paraId="2DF6ACE0" w14:textId="77777777">
      <w:pPr>
        <w:numPr>
          <w:ilvl w:val="0"/>
          <w:numId w:val="18"/>
        </w:numPr>
        <w:jc w:val="both"/>
        <w:rPr>
          <w:rFonts w:ascii="Times New (W1)" w:hAnsi="Times New (W1)"/>
          <w:sz w:val="24"/>
        </w:rPr>
      </w:pPr>
      <w:r w:rsidRPr="001C1CCB">
        <w:rPr>
          <w:rFonts w:ascii="Times New (W1)" w:hAnsi="Times New (W1)"/>
          <w:sz w:val="24"/>
          <w:u w:val="single"/>
        </w:rPr>
        <w:t>Use of technical collection techniques to reduce burden</w:t>
      </w:r>
      <w:r w:rsidRPr="001C1CCB">
        <w:rPr>
          <w:rFonts w:ascii="Times New (W1)" w:hAnsi="Times New (W1)"/>
          <w:sz w:val="24"/>
        </w:rPr>
        <w:t>.</w:t>
      </w:r>
    </w:p>
    <w:p w:rsidR="00D4576B" w:rsidRPr="001C1CCB" w:rsidP="00BB7193" w14:paraId="63259C75" w14:textId="2E588182">
      <w:pPr>
        <w:spacing w:before="120" w:after="120"/>
        <w:ind w:left="720" w:firstLine="0"/>
        <w:jc w:val="both"/>
        <w:rPr>
          <w:rFonts w:ascii="Times New Roman" w:hAnsi="Times New Roman"/>
          <w:sz w:val="24"/>
          <w:szCs w:val="24"/>
        </w:rPr>
      </w:pPr>
      <w:r w:rsidRPr="001C1CCB">
        <w:rPr>
          <w:rFonts w:ascii="Times New (W1)" w:hAnsi="Times New (W1)"/>
          <w:sz w:val="24"/>
        </w:rPr>
        <w:t xml:space="preserve">All Forms (with OMB Clearance numbers) are available on </w:t>
      </w:r>
      <w:r w:rsidRPr="001C1CCB" w:rsidR="00406B79">
        <w:rPr>
          <w:rFonts w:ascii="Times New (W1)" w:hAnsi="Times New (W1)"/>
          <w:sz w:val="24"/>
        </w:rPr>
        <w:t xml:space="preserve">the </w:t>
      </w:r>
      <w:r w:rsidRPr="001C1CCB">
        <w:rPr>
          <w:rFonts w:ascii="Times New (W1)" w:hAnsi="Times New (W1)"/>
          <w:sz w:val="24"/>
        </w:rPr>
        <w:t xml:space="preserve">Department’s website.  In the past the Office of </w:t>
      </w:r>
      <w:r w:rsidRPr="001C1CCB" w:rsidR="00461D57">
        <w:rPr>
          <w:rFonts w:ascii="Times New (W1)" w:hAnsi="Times New (W1)"/>
          <w:sz w:val="24"/>
        </w:rPr>
        <w:t xml:space="preserve">Housing </w:t>
      </w:r>
      <w:r w:rsidRPr="001C1CCB">
        <w:rPr>
          <w:rFonts w:ascii="Times New (W1)" w:hAnsi="Times New (W1)"/>
          <w:sz w:val="24"/>
        </w:rPr>
        <w:t xml:space="preserve">Multifamily </w:t>
      </w:r>
      <w:r w:rsidRPr="001C1CCB" w:rsidR="00461D57">
        <w:rPr>
          <w:rFonts w:ascii="Times New (W1)" w:hAnsi="Times New (W1)"/>
          <w:sz w:val="24"/>
        </w:rPr>
        <w:t xml:space="preserve">Production </w:t>
      </w:r>
      <w:r w:rsidRPr="001C1CCB">
        <w:rPr>
          <w:rFonts w:ascii="Times New (W1)" w:hAnsi="Times New (W1)"/>
          <w:sz w:val="24"/>
        </w:rPr>
        <w:t>(</w:t>
      </w:r>
      <w:r w:rsidRPr="001C1CCB" w:rsidR="00461D57">
        <w:rPr>
          <w:rFonts w:ascii="Times New (W1)" w:hAnsi="Times New (W1)"/>
          <w:sz w:val="24"/>
        </w:rPr>
        <w:t>OH</w:t>
      </w:r>
      <w:r w:rsidRPr="001C1CCB">
        <w:rPr>
          <w:rFonts w:ascii="Times New (W1)" w:hAnsi="Times New (W1)"/>
          <w:sz w:val="24"/>
        </w:rPr>
        <w:t>M</w:t>
      </w:r>
      <w:r w:rsidRPr="001C1CCB" w:rsidR="00461D57">
        <w:rPr>
          <w:rFonts w:ascii="Times New (W1)" w:hAnsi="Times New (W1)"/>
          <w:sz w:val="24"/>
        </w:rPr>
        <w:t>P</w:t>
      </w:r>
      <w:r w:rsidRPr="001C1CCB">
        <w:rPr>
          <w:rFonts w:ascii="Times New (W1)" w:hAnsi="Times New (W1)"/>
          <w:sz w:val="24"/>
        </w:rPr>
        <w:t xml:space="preserve">) did not receive these forms electronically for submission of a complete application package for mortgage insurance.  Some of the forms are in </w:t>
      </w:r>
      <w:r w:rsidRPr="001C1CCB" w:rsidR="002900A8">
        <w:rPr>
          <w:rFonts w:ascii="Times New (W1)" w:hAnsi="Times New (W1)"/>
          <w:sz w:val="24"/>
        </w:rPr>
        <w:t xml:space="preserve">PDF </w:t>
      </w:r>
      <w:r w:rsidRPr="001C1CCB">
        <w:rPr>
          <w:rFonts w:ascii="Times New (W1)" w:hAnsi="Times New (W1)"/>
          <w:sz w:val="24"/>
        </w:rPr>
        <w:t xml:space="preserve">format, </w:t>
      </w:r>
      <w:r w:rsidRPr="001C1CCB" w:rsidR="002900A8">
        <w:rPr>
          <w:rFonts w:ascii="Times New (W1)" w:hAnsi="Times New (W1)"/>
          <w:sz w:val="24"/>
        </w:rPr>
        <w:t>PDF</w:t>
      </w:r>
      <w:r w:rsidRPr="001C1CCB">
        <w:rPr>
          <w:rFonts w:ascii="Times New (W1)" w:hAnsi="Times New (W1)"/>
          <w:sz w:val="24"/>
        </w:rPr>
        <w:t xml:space="preserve"> </w:t>
      </w:r>
      <w:r w:rsidRPr="001C1CCB" w:rsidR="002900A8">
        <w:rPr>
          <w:rFonts w:ascii="Times New (W1)" w:hAnsi="Times New (W1)"/>
          <w:sz w:val="24"/>
        </w:rPr>
        <w:t>F</w:t>
      </w:r>
      <w:r w:rsidRPr="001C1CCB">
        <w:rPr>
          <w:rFonts w:ascii="Times New (W1)" w:hAnsi="Times New (W1)"/>
          <w:sz w:val="24"/>
        </w:rPr>
        <w:t xml:space="preserve">illable or can be scanned and sent by electronic mail.  This collection of information does not involve the use of an automated system for the preparation and submission of complete application packages for mortgage insurance.  </w:t>
      </w:r>
    </w:p>
    <w:p w:rsidR="006E4EE4" w:rsidRPr="001C1CCB" w:rsidP="00BB7193" w14:paraId="70B7646F" w14:textId="398ACA69">
      <w:pPr>
        <w:spacing w:before="120" w:after="120"/>
        <w:ind w:left="720" w:firstLine="0"/>
        <w:jc w:val="both"/>
        <w:rPr>
          <w:rFonts w:ascii="Times New Roman" w:hAnsi="Times New Roman"/>
          <w:sz w:val="24"/>
          <w:szCs w:val="24"/>
          <w:u w:val="single"/>
        </w:rPr>
      </w:pPr>
      <w:r w:rsidRPr="001C1CCB">
        <w:rPr>
          <w:rFonts w:ascii="Times New Roman" w:hAnsi="Times New Roman"/>
          <w:sz w:val="24"/>
          <w:szCs w:val="24"/>
          <w:u w:val="single"/>
        </w:rPr>
        <w:t>Inception of Catalyst Application Portal</w:t>
      </w:r>
    </w:p>
    <w:p w:rsidR="000E2AF7" w:rsidRPr="001C1CCB" w:rsidP="00BB7193" w14:paraId="07DE3619" w14:textId="1B19D4C2">
      <w:pPr>
        <w:spacing w:before="120" w:after="120"/>
        <w:ind w:left="720" w:firstLine="0"/>
        <w:jc w:val="both"/>
        <w:rPr>
          <w:rFonts w:ascii="Times New Roman" w:hAnsi="Times New Roman"/>
          <w:sz w:val="24"/>
          <w:szCs w:val="24"/>
        </w:rPr>
      </w:pPr>
      <w:r w:rsidRPr="001C1CCB">
        <w:rPr>
          <w:rFonts w:ascii="Times New Roman" w:hAnsi="Times New Roman"/>
          <w:sz w:val="24"/>
          <w:szCs w:val="24"/>
        </w:rPr>
        <w:t xml:space="preserve">Since the publication of the 2020 MAP Guide (December 2020) </w:t>
      </w:r>
      <w:r w:rsidRPr="001C1CCB" w:rsidR="007D47B4">
        <w:rPr>
          <w:rFonts w:ascii="Times New Roman" w:hAnsi="Times New Roman"/>
          <w:sz w:val="24"/>
          <w:szCs w:val="24"/>
        </w:rPr>
        <w:t xml:space="preserve">HUD has deployed software under the name of “Catalyst” enabling all multifamily lenders to submit </w:t>
      </w:r>
      <w:r w:rsidRPr="001C1CCB" w:rsidR="00281B40">
        <w:rPr>
          <w:rFonts w:ascii="Times New Roman" w:hAnsi="Times New Roman"/>
          <w:sz w:val="24"/>
          <w:szCs w:val="24"/>
        </w:rPr>
        <w:t xml:space="preserve">their applications electronically.  This system is not automated </w:t>
      </w:r>
      <w:r w:rsidRPr="001C1CCB" w:rsidR="005D3398">
        <w:rPr>
          <w:rFonts w:ascii="Times New Roman" w:hAnsi="Times New Roman"/>
          <w:sz w:val="24"/>
          <w:szCs w:val="24"/>
        </w:rPr>
        <w:t xml:space="preserve">and now functions exclusively as a submission </w:t>
      </w:r>
      <w:r w:rsidRPr="001C1CCB" w:rsidR="008B2B06">
        <w:rPr>
          <w:rFonts w:ascii="Times New Roman" w:hAnsi="Times New Roman"/>
          <w:sz w:val="24"/>
          <w:szCs w:val="24"/>
        </w:rPr>
        <w:t>portal but</w:t>
      </w:r>
      <w:r w:rsidRPr="001C1CCB" w:rsidR="007E1D14">
        <w:rPr>
          <w:rFonts w:ascii="Times New Roman" w:hAnsi="Times New Roman"/>
          <w:sz w:val="24"/>
          <w:szCs w:val="24"/>
        </w:rPr>
        <w:t xml:space="preserve"> may be </w:t>
      </w:r>
      <w:r w:rsidRPr="001C1CCB" w:rsidR="00BE3685">
        <w:rPr>
          <w:rFonts w:ascii="Times New Roman" w:hAnsi="Times New Roman"/>
          <w:sz w:val="24"/>
          <w:szCs w:val="24"/>
        </w:rPr>
        <w:t>expanded in the future.  HUD required lenders to use Catalyst to submit their multifamily loan applications</w:t>
      </w:r>
      <w:r w:rsidRPr="001C1CCB" w:rsidR="008A5CA6">
        <w:rPr>
          <w:rFonts w:ascii="Times New Roman" w:hAnsi="Times New Roman"/>
          <w:sz w:val="24"/>
          <w:szCs w:val="24"/>
        </w:rPr>
        <w:t xml:space="preserve"> </w:t>
      </w:r>
      <w:r w:rsidRPr="001C1CCB" w:rsidR="00AC2C86">
        <w:rPr>
          <w:rFonts w:ascii="Times New Roman" w:hAnsi="Times New Roman"/>
          <w:sz w:val="24"/>
          <w:szCs w:val="24"/>
        </w:rPr>
        <w:t xml:space="preserve">beginning </w:t>
      </w:r>
      <w:r w:rsidRPr="001C1CCB" w:rsidR="008A5CA6">
        <w:rPr>
          <w:rFonts w:ascii="Times New Roman" w:hAnsi="Times New Roman"/>
          <w:sz w:val="24"/>
          <w:szCs w:val="24"/>
        </w:rPr>
        <w:t>in November 2021 with Mortgagee Letter 2021-</w:t>
      </w:r>
      <w:r w:rsidRPr="001C1CCB" w:rsidR="0012589F">
        <w:rPr>
          <w:rFonts w:ascii="Times New Roman" w:hAnsi="Times New Roman"/>
          <w:sz w:val="24"/>
          <w:szCs w:val="24"/>
        </w:rPr>
        <w:t>26 under OMB collection numbers 2502-</w:t>
      </w:r>
      <w:r w:rsidRPr="001C1CCB" w:rsidR="008C57E2">
        <w:rPr>
          <w:rFonts w:ascii="Times New Roman" w:hAnsi="Times New Roman"/>
          <w:sz w:val="24"/>
          <w:szCs w:val="24"/>
        </w:rPr>
        <w:t>0029 and 2502-0620.</w:t>
      </w:r>
    </w:p>
    <w:p w:rsidR="006E4EE4" w:rsidRPr="001C1CCB" w:rsidP="00BB7193" w14:paraId="0BD366FC" w14:textId="0B9AB4B7">
      <w:pPr>
        <w:spacing w:before="120" w:after="120"/>
        <w:ind w:left="720" w:firstLine="0"/>
        <w:jc w:val="both"/>
        <w:rPr>
          <w:rFonts w:ascii="Times New Roman" w:eastAsia="Calibri" w:hAnsi="Times New Roman"/>
          <w:sz w:val="24"/>
          <w:szCs w:val="24"/>
          <w:u w:val="single"/>
        </w:rPr>
      </w:pPr>
      <w:r w:rsidRPr="001C1CCB">
        <w:rPr>
          <w:rFonts w:ascii="Times New Roman" w:eastAsia="Calibri" w:hAnsi="Times New Roman"/>
          <w:sz w:val="24"/>
          <w:szCs w:val="24"/>
          <w:u w:val="single"/>
        </w:rPr>
        <w:t>CNA e-Tool</w:t>
      </w:r>
    </w:p>
    <w:p w:rsidR="006B3B81" w:rsidRPr="001C1CCB" w:rsidP="00BB7193" w14:paraId="641E75F0" w14:textId="54D4B4E3">
      <w:pPr>
        <w:spacing w:before="120" w:after="120"/>
        <w:ind w:left="720" w:firstLine="0"/>
        <w:jc w:val="both"/>
        <w:rPr>
          <w:rFonts w:ascii="Times New Roman" w:eastAsia="Calibri" w:hAnsi="Times New Roman"/>
          <w:sz w:val="24"/>
          <w:szCs w:val="24"/>
        </w:rPr>
      </w:pPr>
      <w:r w:rsidRPr="001C1CCB">
        <w:rPr>
          <w:rFonts w:ascii="Times New Roman" w:eastAsia="Calibri" w:hAnsi="Times New Roman"/>
          <w:sz w:val="24"/>
          <w:szCs w:val="24"/>
        </w:rPr>
        <w:t xml:space="preserve">As part of an effort begun in 2010 to align Federal rental housing policies and procedures, </w:t>
      </w:r>
      <w:r w:rsidRPr="001C1CCB" w:rsidR="0075614C">
        <w:rPr>
          <w:rFonts w:ascii="Times New Roman" w:eastAsia="Calibri" w:hAnsi="Times New Roman"/>
          <w:sz w:val="24"/>
          <w:szCs w:val="24"/>
        </w:rPr>
        <w:t>HUD</w:t>
      </w:r>
      <w:r w:rsidRPr="001C1CCB">
        <w:rPr>
          <w:rFonts w:ascii="Times New Roman" w:eastAsia="Calibri" w:hAnsi="Times New Roman"/>
          <w:sz w:val="24"/>
          <w:szCs w:val="24"/>
        </w:rPr>
        <w:t xml:space="preserve"> and the U</w:t>
      </w:r>
      <w:r w:rsidRPr="001C1CCB" w:rsidR="00B21EAA">
        <w:rPr>
          <w:rFonts w:ascii="Times New Roman" w:eastAsia="Calibri" w:hAnsi="Times New Roman"/>
          <w:sz w:val="24"/>
          <w:szCs w:val="24"/>
        </w:rPr>
        <w:t>.</w:t>
      </w:r>
      <w:r w:rsidRPr="001C1CCB">
        <w:rPr>
          <w:rFonts w:ascii="Times New Roman" w:eastAsia="Calibri" w:hAnsi="Times New Roman"/>
          <w:sz w:val="24"/>
          <w:szCs w:val="24"/>
        </w:rPr>
        <w:t>S</w:t>
      </w:r>
      <w:r w:rsidRPr="001C1CCB" w:rsidR="00B21EAA">
        <w:rPr>
          <w:rFonts w:ascii="Times New Roman" w:eastAsia="Calibri" w:hAnsi="Times New Roman"/>
          <w:sz w:val="24"/>
          <w:szCs w:val="24"/>
        </w:rPr>
        <w:t>.</w:t>
      </w:r>
      <w:r w:rsidRPr="001C1CCB">
        <w:rPr>
          <w:rFonts w:ascii="Times New Roman" w:eastAsia="Calibri" w:hAnsi="Times New Roman"/>
          <w:sz w:val="24"/>
          <w:szCs w:val="24"/>
        </w:rPr>
        <w:t xml:space="preserve"> Department of Agriculture (USDA) Rural Housing Service developed an automated process for preparation, </w:t>
      </w:r>
      <w:r w:rsidRPr="001C1CCB" w:rsidR="0007069D">
        <w:rPr>
          <w:rFonts w:ascii="Times New Roman" w:eastAsia="Calibri" w:hAnsi="Times New Roman"/>
          <w:sz w:val="24"/>
          <w:szCs w:val="24"/>
        </w:rPr>
        <w:t>submission,</w:t>
      </w:r>
      <w:r w:rsidRPr="001C1CCB" w:rsidR="00B21EAA">
        <w:rPr>
          <w:rFonts w:ascii="Times New Roman" w:eastAsia="Calibri" w:hAnsi="Times New Roman"/>
          <w:sz w:val="24"/>
          <w:szCs w:val="24"/>
        </w:rPr>
        <w:t xml:space="preserve"> and review of CNAs.  </w:t>
      </w:r>
      <w:r w:rsidRPr="001C1CCB" w:rsidR="00F2071D">
        <w:rPr>
          <w:rFonts w:ascii="Times New Roman" w:eastAsia="Calibri" w:hAnsi="Times New Roman"/>
          <w:sz w:val="24"/>
          <w:szCs w:val="24"/>
        </w:rPr>
        <w:t xml:space="preserve">The standardized data entry, automated basic data validation and data submission to HUD for review all occur using a web-based application called CNA e-Tool.  </w:t>
      </w:r>
      <w:r w:rsidRPr="001C1CCB" w:rsidR="00FB168C">
        <w:rPr>
          <w:rFonts w:ascii="Times New Roman" w:eastAsia="Calibri" w:hAnsi="Times New Roman"/>
          <w:sz w:val="24"/>
          <w:szCs w:val="24"/>
        </w:rPr>
        <w:t xml:space="preserve">A </w:t>
      </w:r>
      <w:r w:rsidRPr="001C1CCB" w:rsidR="00F2071D">
        <w:rPr>
          <w:rFonts w:ascii="Times New Roman" w:eastAsia="Calibri" w:hAnsi="Times New Roman"/>
          <w:sz w:val="24"/>
          <w:szCs w:val="24"/>
        </w:rPr>
        <w:t>new and improved cloud-technology based version of th</w:t>
      </w:r>
      <w:r w:rsidRPr="001C1CCB" w:rsidR="009F0B7E">
        <w:rPr>
          <w:rFonts w:ascii="Times New Roman" w:eastAsia="Calibri" w:hAnsi="Times New Roman"/>
          <w:sz w:val="24"/>
          <w:szCs w:val="24"/>
        </w:rPr>
        <w:t xml:space="preserve">is tool was released in </w:t>
      </w:r>
      <w:r w:rsidRPr="001C1CCB" w:rsidR="00002666">
        <w:rPr>
          <w:rFonts w:ascii="Times New Roman" w:eastAsia="Calibri" w:hAnsi="Times New Roman"/>
          <w:sz w:val="24"/>
          <w:szCs w:val="24"/>
        </w:rPr>
        <w:t xml:space="preserve">November of 2020 </w:t>
      </w:r>
      <w:r w:rsidRPr="001C1CCB" w:rsidR="00002666">
        <w:rPr>
          <w:rFonts w:ascii="Times New Roman" w:eastAsia="Calibri" w:hAnsi="Times New Roman"/>
          <w:sz w:val="24"/>
          <w:szCs w:val="24"/>
        </w:rPr>
        <w:t xml:space="preserve">and has been widely praised by stakeholders. </w:t>
      </w:r>
      <w:r w:rsidRPr="001C1CCB">
        <w:rPr>
          <w:rFonts w:ascii="Times New Roman" w:eastAsia="Calibri" w:hAnsi="Times New Roman"/>
          <w:sz w:val="24"/>
          <w:szCs w:val="24"/>
        </w:rPr>
        <w:t>Technical information, instructions on how to access and use the CNA e</w:t>
      </w:r>
      <w:r w:rsidRPr="001C1CCB" w:rsidR="004647EA">
        <w:rPr>
          <w:rFonts w:ascii="Times New Roman" w:eastAsia="Calibri" w:hAnsi="Times New Roman"/>
          <w:sz w:val="24"/>
          <w:szCs w:val="24"/>
        </w:rPr>
        <w:t>-</w:t>
      </w:r>
      <w:r w:rsidRPr="001C1CCB">
        <w:rPr>
          <w:rFonts w:ascii="Times New Roman" w:eastAsia="Calibri" w:hAnsi="Times New Roman"/>
          <w:sz w:val="24"/>
          <w:szCs w:val="24"/>
        </w:rPr>
        <w:t xml:space="preserve">Tool, and related information </w:t>
      </w:r>
      <w:r w:rsidRPr="001C1CCB" w:rsidR="008E7449">
        <w:rPr>
          <w:rFonts w:ascii="Times New Roman" w:eastAsia="Calibri" w:hAnsi="Times New Roman"/>
          <w:sz w:val="24"/>
          <w:szCs w:val="24"/>
        </w:rPr>
        <w:t>is</w:t>
      </w:r>
      <w:r w:rsidRPr="001C1CCB" w:rsidR="00EE080B">
        <w:rPr>
          <w:rFonts w:ascii="Times New Roman" w:eastAsia="Calibri" w:hAnsi="Times New Roman"/>
          <w:sz w:val="24"/>
          <w:szCs w:val="24"/>
        </w:rPr>
        <w:t xml:space="preserve"> available </w:t>
      </w:r>
      <w:r w:rsidRPr="001C1CCB">
        <w:rPr>
          <w:rFonts w:ascii="Times New Roman" w:eastAsia="Calibri" w:hAnsi="Times New Roman"/>
          <w:sz w:val="24"/>
          <w:szCs w:val="24"/>
        </w:rPr>
        <w:t>at HUD’s CNA e</w:t>
      </w:r>
      <w:r w:rsidRPr="001C1CCB" w:rsidR="004647EA">
        <w:rPr>
          <w:rFonts w:ascii="Times New Roman" w:eastAsia="Calibri" w:hAnsi="Times New Roman"/>
          <w:sz w:val="24"/>
          <w:szCs w:val="24"/>
        </w:rPr>
        <w:t>-</w:t>
      </w:r>
      <w:r w:rsidRPr="001C1CCB">
        <w:rPr>
          <w:rFonts w:ascii="Times New Roman" w:eastAsia="Calibri" w:hAnsi="Times New Roman"/>
          <w:sz w:val="24"/>
          <w:szCs w:val="24"/>
        </w:rPr>
        <w:t>Tool home page</w:t>
      </w:r>
      <w:r w:rsidRPr="001C1CCB" w:rsidR="00EE080B">
        <w:rPr>
          <w:rFonts w:ascii="Times New Roman" w:eastAsia="Calibri" w:hAnsi="Times New Roman"/>
          <w:sz w:val="24"/>
          <w:szCs w:val="24"/>
        </w:rPr>
        <w:t>.</w:t>
      </w:r>
    </w:p>
    <w:p w:rsidR="00AC335C" w:rsidRPr="001C1CCB" w:rsidP="002422AD" w14:paraId="247B225A" w14:textId="7F2C5495">
      <w:pPr>
        <w:spacing w:before="120" w:after="360"/>
        <w:ind w:left="720" w:firstLine="0"/>
        <w:jc w:val="both"/>
        <w:rPr>
          <w:rFonts w:ascii="Times New Roman" w:hAnsi="Times New Roman"/>
          <w:sz w:val="24"/>
          <w:szCs w:val="24"/>
        </w:rPr>
      </w:pPr>
      <w:r w:rsidRPr="001C1CCB">
        <w:rPr>
          <w:rFonts w:ascii="Times New Roman" w:hAnsi="Times New Roman"/>
          <w:sz w:val="24"/>
          <w:szCs w:val="24"/>
        </w:rPr>
        <w:t>HUD also require</w:t>
      </w:r>
      <w:r w:rsidRPr="001C1CCB" w:rsidR="00184602">
        <w:rPr>
          <w:rFonts w:ascii="Times New Roman" w:hAnsi="Times New Roman"/>
          <w:sz w:val="24"/>
          <w:szCs w:val="24"/>
        </w:rPr>
        <w:t>s</w:t>
      </w:r>
      <w:r w:rsidRPr="001C1CCB">
        <w:rPr>
          <w:rFonts w:ascii="Times New Roman" w:hAnsi="Times New Roman"/>
          <w:sz w:val="24"/>
          <w:szCs w:val="24"/>
        </w:rPr>
        <w:t xml:space="preserve"> that all environmental reports prepared for HUD FHA-insured multifamily properties be prepared, </w:t>
      </w:r>
      <w:r w:rsidRPr="001C1CCB" w:rsidR="0075614C">
        <w:rPr>
          <w:rFonts w:ascii="Times New Roman" w:hAnsi="Times New Roman"/>
          <w:sz w:val="24"/>
          <w:szCs w:val="24"/>
        </w:rPr>
        <w:t>submitted,</w:t>
      </w:r>
      <w:r w:rsidRPr="001C1CCB">
        <w:rPr>
          <w:rFonts w:ascii="Times New Roman" w:hAnsi="Times New Roman"/>
          <w:sz w:val="24"/>
          <w:szCs w:val="24"/>
        </w:rPr>
        <w:t xml:space="preserve"> and reviewed using HUD’s Environmental Review Online System (HEROS).</w:t>
      </w:r>
    </w:p>
    <w:p w:rsidR="004505F9" w:rsidRPr="001C1CCB" w:rsidP="002422AD" w14:paraId="21E07CC3" w14:textId="77777777">
      <w:pPr>
        <w:numPr>
          <w:ilvl w:val="0"/>
          <w:numId w:val="18"/>
        </w:numPr>
        <w:jc w:val="both"/>
        <w:rPr>
          <w:rFonts w:ascii="Times New (W1)" w:hAnsi="Times New (W1)"/>
          <w:sz w:val="24"/>
        </w:rPr>
      </w:pPr>
      <w:r w:rsidRPr="001C1CCB">
        <w:rPr>
          <w:rFonts w:ascii="Times New (W1)" w:hAnsi="Times New (W1)"/>
          <w:sz w:val="24"/>
          <w:u w:val="single"/>
        </w:rPr>
        <w:t>Identify duplication</w:t>
      </w:r>
      <w:r w:rsidRPr="001C1CCB">
        <w:rPr>
          <w:rFonts w:ascii="Times New (W1)" w:hAnsi="Times New (W1)"/>
          <w:sz w:val="24"/>
        </w:rPr>
        <w:t>.</w:t>
      </w:r>
    </w:p>
    <w:p w:rsidR="004505F9" w:rsidRPr="001C1CCB" w:rsidP="002422AD" w14:paraId="3C1F1AC8" w14:textId="62B5DC73">
      <w:pPr>
        <w:spacing w:before="120" w:after="360"/>
        <w:ind w:left="720" w:firstLine="0"/>
        <w:jc w:val="both"/>
        <w:rPr>
          <w:rFonts w:ascii="Times New (W1)" w:hAnsi="Times New (W1)"/>
          <w:sz w:val="24"/>
        </w:rPr>
      </w:pPr>
      <w:r w:rsidRPr="001C1CCB">
        <w:rPr>
          <w:rFonts w:ascii="Times New (W1)" w:hAnsi="Times New (W1)"/>
          <w:sz w:val="24"/>
        </w:rPr>
        <w:t xml:space="preserve">Each loan application prepared by the MAP Lender is unique.  </w:t>
      </w:r>
      <w:r w:rsidRPr="001C1CCB" w:rsidR="00616A70">
        <w:rPr>
          <w:rFonts w:ascii="Times New (W1)" w:hAnsi="Times New (W1)"/>
          <w:sz w:val="24"/>
        </w:rPr>
        <w:t xml:space="preserve">Because </w:t>
      </w:r>
      <w:r w:rsidRPr="001C1CCB" w:rsidR="00444137">
        <w:rPr>
          <w:rFonts w:ascii="Times New (W1)" w:hAnsi="Times New (W1)"/>
          <w:sz w:val="24"/>
        </w:rPr>
        <w:t xml:space="preserve">real estate </w:t>
      </w:r>
      <w:r w:rsidRPr="001C1CCB" w:rsidR="00E932D8">
        <w:rPr>
          <w:rFonts w:ascii="Times New (W1)" w:hAnsi="Times New (W1)"/>
          <w:sz w:val="24"/>
        </w:rPr>
        <w:t>location</w:t>
      </w:r>
      <w:r w:rsidRPr="001C1CCB" w:rsidR="00444137">
        <w:rPr>
          <w:rFonts w:ascii="Times New (W1)" w:hAnsi="Times New (W1)"/>
          <w:sz w:val="24"/>
        </w:rPr>
        <w:t xml:space="preserve">s </w:t>
      </w:r>
      <w:r w:rsidRPr="001C1CCB" w:rsidR="007C29C5">
        <w:rPr>
          <w:rFonts w:ascii="Times New (W1)" w:hAnsi="Times New (W1)"/>
          <w:sz w:val="24"/>
        </w:rPr>
        <w:t xml:space="preserve">and local markets are also unique, </w:t>
      </w:r>
      <w:r w:rsidRPr="001C1CCB" w:rsidR="00616A70">
        <w:rPr>
          <w:rFonts w:ascii="Times New (W1)" w:hAnsi="Times New (W1)"/>
          <w:sz w:val="24"/>
        </w:rPr>
        <w:t xml:space="preserve">development and construction cost </w:t>
      </w:r>
      <w:r w:rsidRPr="001C1CCB" w:rsidR="00480501">
        <w:rPr>
          <w:rFonts w:ascii="Times New (W1)" w:hAnsi="Times New (W1)"/>
          <w:sz w:val="24"/>
        </w:rPr>
        <w:t>vary</w:t>
      </w:r>
      <w:r w:rsidRPr="001C1CCB" w:rsidR="00616A70">
        <w:rPr>
          <w:rFonts w:ascii="Times New (W1)" w:hAnsi="Times New (W1)"/>
          <w:sz w:val="24"/>
        </w:rPr>
        <w:t xml:space="preserve"> and are specific to each project</w:t>
      </w:r>
      <w:r w:rsidRPr="001C1CCB" w:rsidR="007C29C5">
        <w:rPr>
          <w:rFonts w:ascii="Times New (W1)" w:hAnsi="Times New (W1)"/>
          <w:sz w:val="24"/>
        </w:rPr>
        <w:t>.  Accordingly,</w:t>
      </w:r>
      <w:r w:rsidRPr="001C1CCB" w:rsidR="00616A70">
        <w:rPr>
          <w:rFonts w:ascii="Times New (W1)" w:hAnsi="Times New (W1)"/>
          <w:sz w:val="24"/>
        </w:rPr>
        <w:t xml:space="preserve"> </w:t>
      </w:r>
      <w:r w:rsidRPr="001C1CCB" w:rsidR="00616A70">
        <w:rPr>
          <w:rFonts w:ascii="Times New (W1)" w:hAnsi="Times New (W1)"/>
          <w:sz w:val="24"/>
        </w:rPr>
        <w:t>general</w:t>
      </w:r>
      <w:r w:rsidRPr="001C1CCB" w:rsidR="00616A70">
        <w:rPr>
          <w:rFonts w:ascii="Times New (W1)" w:hAnsi="Times New (W1)"/>
          <w:sz w:val="24"/>
        </w:rPr>
        <w:t xml:space="preserve"> or modified information is not acceptable.  The Department will allow </w:t>
      </w:r>
      <w:r w:rsidRPr="001C1CCB">
        <w:rPr>
          <w:rFonts w:ascii="Times New (W1)" w:hAnsi="Times New (W1)"/>
          <w:sz w:val="24"/>
        </w:rPr>
        <w:t xml:space="preserve">Lender </w:t>
      </w:r>
      <w:r w:rsidRPr="001C1CCB" w:rsidR="00616A70">
        <w:rPr>
          <w:rFonts w:ascii="Times New (W1)" w:hAnsi="Times New (W1)"/>
          <w:sz w:val="24"/>
        </w:rPr>
        <w:t>prepared</w:t>
      </w:r>
      <w:r w:rsidRPr="001C1CCB" w:rsidR="004466B1">
        <w:rPr>
          <w:rFonts w:ascii="Times New (W1)" w:hAnsi="Times New (W1)"/>
          <w:sz w:val="24"/>
        </w:rPr>
        <w:t xml:space="preserve"> and formatted</w:t>
      </w:r>
      <w:r w:rsidRPr="001C1CCB" w:rsidR="00616A70">
        <w:rPr>
          <w:rFonts w:ascii="Times New (W1)" w:hAnsi="Times New (W1)"/>
          <w:sz w:val="24"/>
        </w:rPr>
        <w:t xml:space="preserve"> exhibits</w:t>
      </w:r>
      <w:r w:rsidRPr="001C1CCB" w:rsidR="004466B1">
        <w:rPr>
          <w:rFonts w:ascii="Times New (W1)" w:hAnsi="Times New (W1)"/>
          <w:sz w:val="24"/>
        </w:rPr>
        <w:t xml:space="preserve"> as</w:t>
      </w:r>
      <w:r w:rsidRPr="001C1CCB">
        <w:rPr>
          <w:rFonts w:ascii="Times New (W1)" w:hAnsi="Times New (W1)"/>
          <w:sz w:val="24"/>
        </w:rPr>
        <w:t xml:space="preserve"> </w:t>
      </w:r>
      <w:r w:rsidRPr="001C1CCB" w:rsidR="004466B1">
        <w:rPr>
          <w:rFonts w:ascii="Times New (W1)" w:hAnsi="Times New (W1)"/>
          <w:sz w:val="24"/>
        </w:rPr>
        <w:t>a substitute</w:t>
      </w:r>
      <w:r w:rsidRPr="001C1CCB">
        <w:rPr>
          <w:rFonts w:ascii="Times New (W1)" w:hAnsi="Times New (W1)"/>
          <w:sz w:val="24"/>
        </w:rPr>
        <w:t xml:space="preserve"> to obtain the required information for mortgage insurance, provided the document or </w:t>
      </w:r>
      <w:r w:rsidRPr="001C1CCB" w:rsidR="004466B1">
        <w:rPr>
          <w:rFonts w:ascii="Times New (W1)" w:hAnsi="Times New (W1)"/>
          <w:sz w:val="24"/>
        </w:rPr>
        <w:t>HUD F</w:t>
      </w:r>
      <w:r w:rsidRPr="001C1CCB">
        <w:rPr>
          <w:rFonts w:ascii="Times New (W1)" w:hAnsi="Times New (W1)"/>
          <w:sz w:val="24"/>
        </w:rPr>
        <w:t>orm has the approved OMB approval collection number, date and form number ascribed on it.</w:t>
      </w:r>
    </w:p>
    <w:p w:rsidR="004505F9" w:rsidRPr="001C1CCB" w:rsidP="002422AD" w14:paraId="1053519C" w14:textId="75D71F96">
      <w:pPr>
        <w:numPr>
          <w:ilvl w:val="0"/>
          <w:numId w:val="18"/>
        </w:numPr>
        <w:jc w:val="both"/>
        <w:rPr>
          <w:rFonts w:ascii="Times New (W1)" w:hAnsi="Times New (W1)"/>
          <w:sz w:val="24"/>
        </w:rPr>
      </w:pPr>
      <w:r w:rsidRPr="001C1CCB">
        <w:rPr>
          <w:rFonts w:ascii="Times New (W1)" w:hAnsi="Times New (W1)"/>
          <w:sz w:val="24"/>
          <w:u w:val="single"/>
        </w:rPr>
        <w:t xml:space="preserve">Impact </w:t>
      </w:r>
      <w:r w:rsidRPr="001C1CCB" w:rsidR="00EA3AA7">
        <w:rPr>
          <w:rFonts w:ascii="Times New (W1)" w:hAnsi="Times New (W1)"/>
          <w:sz w:val="24"/>
          <w:u w:val="single"/>
        </w:rPr>
        <w:t xml:space="preserve">on </w:t>
      </w:r>
      <w:r w:rsidRPr="001C1CCB">
        <w:rPr>
          <w:rFonts w:ascii="Times New (W1)" w:hAnsi="Times New (W1)"/>
          <w:sz w:val="24"/>
          <w:u w:val="single"/>
        </w:rPr>
        <w:t>small organizations</w:t>
      </w:r>
      <w:r w:rsidRPr="001C1CCB">
        <w:rPr>
          <w:rFonts w:ascii="Times New (W1)" w:hAnsi="Times New (W1)"/>
          <w:sz w:val="24"/>
        </w:rPr>
        <w:t>.</w:t>
      </w:r>
    </w:p>
    <w:p w:rsidR="004505F9" w:rsidRPr="001C1CCB" w:rsidP="002422AD" w14:paraId="676E972D" w14:textId="47FC2A80">
      <w:pPr>
        <w:spacing w:before="120" w:after="360"/>
        <w:ind w:left="720" w:firstLine="0"/>
        <w:jc w:val="both"/>
        <w:rPr>
          <w:rFonts w:ascii="Times New (W1)" w:hAnsi="Times New (W1)"/>
          <w:sz w:val="24"/>
        </w:rPr>
      </w:pPr>
      <w:r w:rsidRPr="001C1CCB">
        <w:rPr>
          <w:rFonts w:ascii="Times New (W1)" w:hAnsi="Times New (W1)"/>
          <w:sz w:val="24"/>
        </w:rPr>
        <w:t>The Department minimizes the burden on small businesses by requiring the collection of information only once at or before Initial Endorsement.</w:t>
      </w:r>
      <w:r w:rsidRPr="001C1CCB" w:rsidR="00476A86">
        <w:rPr>
          <w:rFonts w:ascii="Times New (W1)" w:hAnsi="Times New (W1)"/>
          <w:sz w:val="24"/>
        </w:rPr>
        <w:t xml:space="preserve">  M</w:t>
      </w:r>
      <w:r w:rsidRPr="001C1CCB" w:rsidR="00D31FBD">
        <w:rPr>
          <w:rFonts w:ascii="Times New (W1)" w:hAnsi="Times New (W1)"/>
          <w:sz w:val="24"/>
        </w:rPr>
        <w:t>any of the respondent lenders and third</w:t>
      </w:r>
      <w:r w:rsidRPr="001C1CCB" w:rsidR="00654860">
        <w:rPr>
          <w:rFonts w:ascii="Times New (W1)" w:hAnsi="Times New (W1)"/>
          <w:sz w:val="24"/>
        </w:rPr>
        <w:t>-parties are small businesses</w:t>
      </w:r>
      <w:r w:rsidRPr="001C1CCB" w:rsidR="00234724">
        <w:rPr>
          <w:rFonts w:ascii="Times New (W1)" w:hAnsi="Times New (W1)"/>
          <w:sz w:val="24"/>
        </w:rPr>
        <w:t>,</w:t>
      </w:r>
      <w:r w:rsidRPr="001C1CCB" w:rsidR="00654860">
        <w:rPr>
          <w:rFonts w:ascii="Times New (W1)" w:hAnsi="Times New (W1)"/>
          <w:sz w:val="24"/>
        </w:rPr>
        <w:t xml:space="preserve"> but the impact of </w:t>
      </w:r>
      <w:r w:rsidRPr="001C1CCB" w:rsidR="00FB367A">
        <w:rPr>
          <w:rFonts w:ascii="Times New (W1)" w:hAnsi="Times New (W1)"/>
          <w:sz w:val="24"/>
        </w:rPr>
        <w:t xml:space="preserve">HUD’s application requirements </w:t>
      </w:r>
      <w:r w:rsidRPr="001C1CCB" w:rsidR="008864AA">
        <w:rPr>
          <w:rFonts w:ascii="Times New (W1)" w:hAnsi="Times New (W1)"/>
          <w:sz w:val="24"/>
        </w:rPr>
        <w:t>is</w:t>
      </w:r>
      <w:r w:rsidRPr="001C1CCB" w:rsidR="00FB367A">
        <w:rPr>
          <w:rFonts w:ascii="Times New (W1)" w:hAnsi="Times New (W1)"/>
          <w:sz w:val="24"/>
        </w:rPr>
        <w:t xml:space="preserve"> distributed across a team of such small businesses</w:t>
      </w:r>
      <w:r w:rsidRPr="001C1CCB" w:rsidR="00465259">
        <w:rPr>
          <w:rFonts w:ascii="Times New (W1)" w:hAnsi="Times New (W1)"/>
          <w:sz w:val="24"/>
        </w:rPr>
        <w:t xml:space="preserve">, each specializing in a specific practice area such as appraisal work or </w:t>
      </w:r>
      <w:r w:rsidRPr="001C1CCB" w:rsidR="00F234FC">
        <w:rPr>
          <w:rFonts w:ascii="Times New (W1)" w:hAnsi="Times New (W1)"/>
          <w:sz w:val="24"/>
        </w:rPr>
        <w:t>environmental reviews or architectural design</w:t>
      </w:r>
      <w:r w:rsidRPr="001C1CCB" w:rsidR="007B1EAE">
        <w:rPr>
          <w:rFonts w:ascii="Times New (W1)" w:hAnsi="Times New (W1)"/>
          <w:sz w:val="24"/>
        </w:rPr>
        <w:t xml:space="preserve">.  The team is </w:t>
      </w:r>
      <w:r w:rsidRPr="001C1CCB" w:rsidR="00FB367A">
        <w:rPr>
          <w:rFonts w:ascii="Times New (W1)" w:hAnsi="Times New (W1)"/>
          <w:sz w:val="24"/>
        </w:rPr>
        <w:t xml:space="preserve">assembled by </w:t>
      </w:r>
      <w:r w:rsidRPr="001C1CCB" w:rsidR="005E0E51">
        <w:rPr>
          <w:rFonts w:ascii="Times New (W1)" w:hAnsi="Times New (W1)"/>
          <w:sz w:val="24"/>
        </w:rPr>
        <w:t xml:space="preserve">the lender for the explicit purpose of preparing a multifamily property for development </w:t>
      </w:r>
      <w:r w:rsidRPr="001C1CCB" w:rsidR="00287DA7">
        <w:rPr>
          <w:rFonts w:ascii="Times New (W1)" w:hAnsi="Times New (W1)"/>
          <w:sz w:val="24"/>
        </w:rPr>
        <w:t>and/or financing.  Each</w:t>
      </w:r>
      <w:r w:rsidRPr="001C1CCB" w:rsidR="007B1EAE">
        <w:rPr>
          <w:rFonts w:ascii="Times New (W1)" w:hAnsi="Times New (W1)"/>
          <w:sz w:val="24"/>
        </w:rPr>
        <w:t xml:space="preserve"> business bears </w:t>
      </w:r>
      <w:r w:rsidRPr="001C1CCB" w:rsidR="009859CB">
        <w:rPr>
          <w:rFonts w:ascii="Times New (W1)" w:hAnsi="Times New (W1)"/>
          <w:sz w:val="24"/>
        </w:rPr>
        <w:t xml:space="preserve">only a portion of the overall application task and is uniquely skilled and established for the purpose of </w:t>
      </w:r>
      <w:r w:rsidRPr="001C1CCB" w:rsidR="003E030A">
        <w:rPr>
          <w:rFonts w:ascii="Times New (W1)" w:hAnsi="Times New (W1)"/>
          <w:sz w:val="24"/>
        </w:rPr>
        <w:t xml:space="preserve">providing or delivering their service </w:t>
      </w:r>
      <w:r w:rsidRPr="001C1CCB" w:rsidR="00234724">
        <w:rPr>
          <w:rFonts w:ascii="Times New (W1)" w:hAnsi="Times New (W1)"/>
          <w:sz w:val="24"/>
        </w:rPr>
        <w:t>to the commercial real estate industry.</w:t>
      </w:r>
      <w:r w:rsidRPr="001C1CCB" w:rsidR="00287DA7">
        <w:rPr>
          <w:rFonts w:ascii="Times New (W1)" w:hAnsi="Times New (W1)"/>
          <w:sz w:val="24"/>
        </w:rPr>
        <w:t xml:space="preserve"> </w:t>
      </w:r>
    </w:p>
    <w:p w:rsidR="004505F9" w:rsidRPr="001C1CCB" w:rsidP="004505F9" w14:paraId="18AA7A75" w14:textId="0C15BF8C">
      <w:pPr>
        <w:numPr>
          <w:ilvl w:val="0"/>
          <w:numId w:val="18"/>
        </w:numPr>
        <w:jc w:val="both"/>
        <w:rPr>
          <w:rFonts w:ascii="Times New (W1)" w:hAnsi="Times New (W1)"/>
          <w:sz w:val="24"/>
        </w:rPr>
      </w:pPr>
      <w:r w:rsidRPr="001C1CCB">
        <w:rPr>
          <w:rFonts w:ascii="Times New (W1)" w:hAnsi="Times New (W1)"/>
          <w:sz w:val="24"/>
          <w:u w:val="single"/>
        </w:rPr>
        <w:t>Consequences of collection</w:t>
      </w:r>
      <w:r w:rsidRPr="001C1CCB" w:rsidR="000B552B">
        <w:rPr>
          <w:rFonts w:ascii="Times New (W1)" w:hAnsi="Times New (W1)"/>
          <w:sz w:val="24"/>
          <w:u w:val="single"/>
        </w:rPr>
        <w:t xml:space="preserve"> not conducted or conducted less frequent</w:t>
      </w:r>
      <w:r w:rsidRPr="001C1CCB" w:rsidR="009D308D">
        <w:rPr>
          <w:rFonts w:ascii="Times New (W1)" w:hAnsi="Times New (W1)"/>
          <w:sz w:val="24"/>
          <w:u w:val="single"/>
        </w:rPr>
        <w:t>ly</w:t>
      </w:r>
      <w:r w:rsidRPr="001C1CCB">
        <w:rPr>
          <w:rFonts w:ascii="Times New (W1)" w:hAnsi="Times New (W1)"/>
          <w:sz w:val="24"/>
        </w:rPr>
        <w:t>.</w:t>
      </w:r>
    </w:p>
    <w:p w:rsidR="00CA2FD8" w:rsidRPr="001C1CCB" w:rsidP="002422AD" w14:paraId="5F289D90" w14:textId="30BDEC58">
      <w:pPr>
        <w:spacing w:before="120" w:after="360"/>
        <w:ind w:left="720" w:firstLine="0"/>
        <w:jc w:val="both"/>
        <w:rPr>
          <w:rFonts w:ascii="Times New (W1)" w:hAnsi="Times New (W1)"/>
          <w:sz w:val="24"/>
        </w:rPr>
      </w:pPr>
      <w:r w:rsidRPr="001C1CCB">
        <w:rPr>
          <w:rFonts w:ascii="Times New (W1)" w:hAnsi="Times New (W1)"/>
          <w:sz w:val="24"/>
        </w:rPr>
        <w:t>The collection of information</w:t>
      </w:r>
      <w:r w:rsidRPr="001C1CCB">
        <w:rPr>
          <w:rFonts w:ascii="Times New (W1)" w:hAnsi="Times New (W1)"/>
          <w:sz w:val="24"/>
        </w:rPr>
        <w:t xml:space="preserve"> </w:t>
      </w:r>
      <w:r w:rsidRPr="001C1CCB">
        <w:rPr>
          <w:rFonts w:ascii="Times New (W1)" w:hAnsi="Times New (W1)"/>
          <w:sz w:val="24"/>
        </w:rPr>
        <w:t xml:space="preserve">occurs only once for </w:t>
      </w:r>
      <w:r w:rsidRPr="001C1CCB">
        <w:rPr>
          <w:rFonts w:ascii="Times New (W1)" w:hAnsi="Times New (W1)"/>
          <w:sz w:val="24"/>
        </w:rPr>
        <w:t>any</w:t>
      </w:r>
      <w:r w:rsidRPr="001C1CCB">
        <w:rPr>
          <w:rFonts w:ascii="Times New (W1)" w:hAnsi="Times New (W1)"/>
          <w:sz w:val="24"/>
        </w:rPr>
        <w:t xml:space="preserve"> loan </w:t>
      </w:r>
      <w:r w:rsidRPr="001C1CCB">
        <w:rPr>
          <w:rFonts w:ascii="Times New (W1)" w:hAnsi="Times New (W1)"/>
          <w:sz w:val="24"/>
        </w:rPr>
        <w:t xml:space="preserve">application submitted </w:t>
      </w:r>
      <w:r w:rsidRPr="001C1CCB">
        <w:rPr>
          <w:rFonts w:ascii="Times New (W1)" w:hAnsi="Times New (W1)"/>
          <w:sz w:val="24"/>
        </w:rPr>
        <w:t xml:space="preserve">for </w:t>
      </w:r>
      <w:r w:rsidRPr="001C1CCB" w:rsidR="004466B1">
        <w:rPr>
          <w:rFonts w:ascii="Times New (W1)" w:hAnsi="Times New (W1)"/>
          <w:sz w:val="24"/>
        </w:rPr>
        <w:t xml:space="preserve">a </w:t>
      </w:r>
      <w:r w:rsidRPr="001C1CCB">
        <w:rPr>
          <w:rFonts w:ascii="Times New (W1)" w:hAnsi="Times New (W1)"/>
          <w:sz w:val="24"/>
        </w:rPr>
        <w:t xml:space="preserve">mortgage insurance </w:t>
      </w:r>
      <w:r w:rsidRPr="001C1CCB">
        <w:rPr>
          <w:rFonts w:ascii="Times New (W1)" w:hAnsi="Times New (W1)"/>
          <w:sz w:val="24"/>
        </w:rPr>
        <w:t xml:space="preserve">under a </w:t>
      </w:r>
      <w:r w:rsidRPr="001C1CCB">
        <w:rPr>
          <w:rFonts w:ascii="Times New (W1)" w:hAnsi="Times New (W1)"/>
          <w:sz w:val="24"/>
        </w:rPr>
        <w:t xml:space="preserve">multifamily housing </w:t>
      </w:r>
      <w:r w:rsidRPr="001C1CCB">
        <w:rPr>
          <w:rFonts w:ascii="Times New (W1)" w:hAnsi="Times New (W1)"/>
          <w:sz w:val="24"/>
        </w:rPr>
        <w:t xml:space="preserve">program eligible for MAP processing; </w:t>
      </w:r>
      <w:r w:rsidRPr="001C1CCB">
        <w:rPr>
          <w:rFonts w:ascii="Times New (W1)" w:hAnsi="Times New (W1)"/>
          <w:sz w:val="24"/>
        </w:rPr>
        <w:t xml:space="preserve">and </w:t>
      </w:r>
      <w:r w:rsidRPr="001C1CCB">
        <w:rPr>
          <w:rFonts w:ascii="Times New (W1)" w:hAnsi="Times New (W1)"/>
          <w:sz w:val="24"/>
        </w:rPr>
        <w:t xml:space="preserve">one application submission for the </w:t>
      </w:r>
      <w:r w:rsidRPr="001C1CCB">
        <w:rPr>
          <w:rFonts w:ascii="Times New (W1)" w:hAnsi="Times New (W1)"/>
          <w:sz w:val="24"/>
        </w:rPr>
        <w:t xml:space="preserve">MAP approval of a Lender.  </w:t>
      </w:r>
      <w:r w:rsidRPr="001C1CCB">
        <w:rPr>
          <w:rFonts w:ascii="Times New (W1)" w:hAnsi="Times New (W1)"/>
          <w:sz w:val="24"/>
        </w:rPr>
        <w:t xml:space="preserve">If this collection </w:t>
      </w:r>
      <w:r w:rsidRPr="001C1CCB" w:rsidR="0075614C">
        <w:rPr>
          <w:rFonts w:ascii="Times New (W1)" w:hAnsi="Times New (W1)"/>
          <w:sz w:val="24"/>
        </w:rPr>
        <w:t>were</w:t>
      </w:r>
      <w:r w:rsidRPr="001C1CCB">
        <w:rPr>
          <w:rFonts w:ascii="Times New (W1)" w:hAnsi="Times New (W1)"/>
          <w:sz w:val="24"/>
        </w:rPr>
        <w:t xml:space="preserve"> not conducted t</w:t>
      </w:r>
      <w:r w:rsidRPr="001C1CCB">
        <w:rPr>
          <w:rFonts w:ascii="Times New (W1)" w:hAnsi="Times New (W1)"/>
          <w:sz w:val="24"/>
        </w:rPr>
        <w:t>he Department could not comply with the provisions of the law and Federal Regulations</w:t>
      </w:r>
      <w:r w:rsidRPr="001C1CCB">
        <w:rPr>
          <w:rFonts w:ascii="Times New (W1)" w:hAnsi="Times New (W1)"/>
          <w:sz w:val="24"/>
        </w:rPr>
        <w:t xml:space="preserve">; </w:t>
      </w:r>
      <w:r w:rsidRPr="001C1CCB" w:rsidR="00D4221B">
        <w:rPr>
          <w:rFonts w:ascii="Times New (W1)" w:hAnsi="Times New (W1)"/>
          <w:sz w:val="24"/>
        </w:rPr>
        <w:t>mortgage insurance would not be available to multifamily properties</w:t>
      </w:r>
      <w:r w:rsidRPr="001C1CCB" w:rsidR="00AB3EB8">
        <w:rPr>
          <w:rFonts w:ascii="Times New (W1)" w:hAnsi="Times New (W1)"/>
          <w:sz w:val="24"/>
        </w:rPr>
        <w:t xml:space="preserve"> and the government’s ability to maintain liquidity in this critical market during times of stress woul</w:t>
      </w:r>
      <w:r w:rsidRPr="001C1CCB" w:rsidR="00C83F0C">
        <w:rPr>
          <w:rFonts w:ascii="Times New (W1)" w:hAnsi="Times New (W1)"/>
          <w:sz w:val="24"/>
        </w:rPr>
        <w:t>d be reduced.</w:t>
      </w:r>
    </w:p>
    <w:p w:rsidR="004505F9" w:rsidRPr="001C1CCB" w:rsidP="004505F9" w14:paraId="34318CF5" w14:textId="77777777">
      <w:pPr>
        <w:numPr>
          <w:ilvl w:val="0"/>
          <w:numId w:val="18"/>
        </w:numPr>
        <w:jc w:val="both"/>
        <w:rPr>
          <w:rFonts w:ascii="Times New (W1)" w:hAnsi="Times New (W1)"/>
          <w:sz w:val="24"/>
        </w:rPr>
      </w:pPr>
      <w:r w:rsidRPr="001C1CCB">
        <w:rPr>
          <w:rFonts w:ascii="Times New Roman" w:hAnsi="Times New Roman"/>
          <w:sz w:val="24"/>
          <w:szCs w:val="24"/>
          <w:u w:val="single"/>
        </w:rPr>
        <w:t>Explain any special circumstances that require the collection to be conducted in a manner</w:t>
      </w:r>
      <w:r w:rsidRPr="001C1CCB" w:rsidR="000D5268">
        <w:rPr>
          <w:rFonts w:ascii="Times New Roman" w:hAnsi="Times New Roman"/>
          <w:sz w:val="24"/>
          <w:szCs w:val="24"/>
        </w:rPr>
        <w:t>:</w:t>
      </w:r>
    </w:p>
    <w:p w:rsidR="004505F9" w:rsidRPr="001C1CCB" w:rsidP="001515FC" w14:paraId="6BF95F34" w14:textId="5728CD8A">
      <w:pPr>
        <w:spacing w:before="120" w:after="120"/>
        <w:ind w:left="720" w:firstLine="0"/>
        <w:jc w:val="both"/>
        <w:rPr>
          <w:rFonts w:ascii="Times New Roman" w:hAnsi="Times New Roman"/>
          <w:sz w:val="24"/>
          <w:szCs w:val="24"/>
        </w:rPr>
      </w:pPr>
      <w:r w:rsidRPr="001C1CCB">
        <w:rPr>
          <w:rFonts w:ascii="Times New Roman" w:hAnsi="Times New Roman"/>
          <w:b/>
          <w:sz w:val="24"/>
          <w:szCs w:val="24"/>
        </w:rPr>
        <w:t>Requiring respondents to report information to the agency more than quarterly -</w:t>
      </w:r>
      <w:r w:rsidRPr="001C1CCB">
        <w:rPr>
          <w:rFonts w:ascii="Times New Roman" w:hAnsi="Times New Roman"/>
          <w:sz w:val="24"/>
          <w:szCs w:val="24"/>
        </w:rPr>
        <w:t xml:space="preserve"> </w:t>
      </w:r>
      <w:r w:rsidRPr="001C1CCB" w:rsidR="00CA2EF7">
        <w:rPr>
          <w:rFonts w:ascii="Times New Roman" w:hAnsi="Times New Roman"/>
          <w:i/>
          <w:iCs/>
          <w:sz w:val="24"/>
          <w:szCs w:val="24"/>
        </w:rPr>
        <w:t>T</w:t>
      </w:r>
      <w:r w:rsidRPr="001C1CCB" w:rsidR="00EA18FA">
        <w:rPr>
          <w:rFonts w:ascii="Times New Roman" w:hAnsi="Times New Roman"/>
          <w:i/>
          <w:iCs/>
          <w:sz w:val="24"/>
          <w:szCs w:val="24"/>
        </w:rPr>
        <w:t xml:space="preserve">here </w:t>
      </w:r>
      <w:r w:rsidRPr="001C1CCB" w:rsidR="007B4B2F">
        <w:rPr>
          <w:rFonts w:ascii="Times New Roman" w:hAnsi="Times New Roman"/>
          <w:i/>
          <w:iCs/>
          <w:sz w:val="24"/>
          <w:szCs w:val="24"/>
        </w:rPr>
        <w:t>is</w:t>
      </w:r>
      <w:r w:rsidRPr="001C1CCB" w:rsidR="00EA18FA">
        <w:rPr>
          <w:rFonts w:ascii="Times New Roman" w:hAnsi="Times New Roman"/>
          <w:i/>
          <w:iCs/>
          <w:sz w:val="24"/>
          <w:szCs w:val="24"/>
        </w:rPr>
        <w:t xml:space="preserve"> no special circumstance for reporting</w:t>
      </w:r>
      <w:r w:rsidRPr="001C1CCB" w:rsidR="004C3632">
        <w:rPr>
          <w:rFonts w:ascii="Times New Roman" w:hAnsi="Times New Roman"/>
          <w:i/>
          <w:iCs/>
          <w:sz w:val="24"/>
          <w:szCs w:val="24"/>
        </w:rPr>
        <w:t xml:space="preserve"> more than quarterly</w:t>
      </w:r>
      <w:r w:rsidRPr="001C1CCB" w:rsidR="00EA18FA">
        <w:rPr>
          <w:rFonts w:ascii="Times New Roman" w:hAnsi="Times New Roman"/>
          <w:i/>
          <w:iCs/>
          <w:sz w:val="24"/>
          <w:szCs w:val="24"/>
        </w:rPr>
        <w:t xml:space="preserve">.  </w:t>
      </w:r>
      <w:r w:rsidRPr="001C1CCB" w:rsidR="00132F38">
        <w:rPr>
          <w:rFonts w:ascii="Times New Roman" w:hAnsi="Times New Roman"/>
          <w:i/>
          <w:iCs/>
          <w:sz w:val="24"/>
          <w:szCs w:val="24"/>
        </w:rPr>
        <w:t xml:space="preserve">An application for mortgage insurance is a singular event </w:t>
      </w:r>
      <w:r w:rsidRPr="001C1CCB" w:rsidR="00102B78">
        <w:rPr>
          <w:rFonts w:ascii="Times New Roman" w:hAnsi="Times New Roman"/>
          <w:i/>
          <w:iCs/>
          <w:sz w:val="24"/>
          <w:szCs w:val="24"/>
        </w:rPr>
        <w:t>for a specific property envisioning a single financing transaction</w:t>
      </w:r>
      <w:r w:rsidRPr="001C1CCB" w:rsidR="00CA2EF7">
        <w:rPr>
          <w:rFonts w:ascii="Times New Roman" w:hAnsi="Times New Roman"/>
          <w:i/>
          <w:iCs/>
          <w:sz w:val="24"/>
          <w:szCs w:val="24"/>
        </w:rPr>
        <w:t>;</w:t>
      </w:r>
    </w:p>
    <w:p w:rsidR="000D5268" w:rsidRPr="001C1CCB" w:rsidP="001515FC" w14:paraId="58C643AD" w14:textId="77777777">
      <w:pPr>
        <w:spacing w:before="120" w:after="120"/>
        <w:ind w:left="720" w:firstLine="0"/>
        <w:jc w:val="both"/>
        <w:rPr>
          <w:rFonts w:ascii="Times New (W1)" w:hAnsi="Times New (W1)"/>
          <w:sz w:val="24"/>
        </w:rPr>
      </w:pPr>
      <w:r w:rsidRPr="001C1CCB">
        <w:rPr>
          <w:rFonts w:ascii="Times New Roman" w:hAnsi="Times New Roman"/>
          <w:b/>
          <w:sz w:val="24"/>
          <w:szCs w:val="24"/>
        </w:rPr>
        <w:t>Requiring respondents to prepare a written response to a collection of information in fewer than 30 days after receipt of it</w:t>
      </w:r>
      <w:r w:rsidRPr="001C1CCB" w:rsidR="00390546">
        <w:rPr>
          <w:rFonts w:ascii="Times New Roman" w:hAnsi="Times New Roman"/>
          <w:b/>
          <w:sz w:val="24"/>
          <w:szCs w:val="24"/>
        </w:rPr>
        <w:t xml:space="preserve"> –</w:t>
      </w:r>
      <w:r w:rsidRPr="001C1CCB" w:rsidR="00390546">
        <w:rPr>
          <w:rFonts w:ascii="Times New Roman" w:hAnsi="Times New Roman"/>
          <w:sz w:val="24"/>
          <w:szCs w:val="24"/>
        </w:rPr>
        <w:t xml:space="preserve"> </w:t>
      </w:r>
      <w:r w:rsidRPr="001C1CCB" w:rsidR="004C3632">
        <w:rPr>
          <w:rFonts w:ascii="Times New Roman" w:hAnsi="Times New Roman"/>
          <w:i/>
          <w:iCs/>
          <w:sz w:val="24"/>
          <w:szCs w:val="24"/>
        </w:rPr>
        <w:t xml:space="preserve">HUD and MAP Lenders have a mutual interest in ensuring consistent lender competence and compliance with the MAP Guide and other relevant guidance and handbooks. </w:t>
      </w:r>
      <w:r w:rsidRPr="001C1CCB" w:rsidR="00874FE2">
        <w:rPr>
          <w:rFonts w:ascii="Times New Roman" w:hAnsi="Times New Roman"/>
          <w:i/>
          <w:iCs/>
          <w:sz w:val="24"/>
          <w:szCs w:val="24"/>
        </w:rPr>
        <w:t xml:space="preserve"> </w:t>
      </w:r>
      <w:r w:rsidRPr="001C1CCB" w:rsidR="004C3632">
        <w:rPr>
          <w:rFonts w:ascii="Times New Roman" w:hAnsi="Times New Roman"/>
          <w:i/>
          <w:iCs/>
          <w:sz w:val="24"/>
          <w:szCs w:val="24"/>
        </w:rPr>
        <w:t>If in the process of performing this work, the lender places HUD at un-due risk, HUD will issue a Warning Letter or sanction the lender. The MAP Lender may, within 10 business days of receiving a sanction letter, request in writing, an appeal conference before the appeals official</w:t>
      </w:r>
      <w:r w:rsidRPr="001C1CCB" w:rsidR="00CA2EF7">
        <w:rPr>
          <w:rFonts w:ascii="Times New Roman" w:hAnsi="Times New Roman"/>
          <w:i/>
          <w:iCs/>
          <w:sz w:val="24"/>
          <w:szCs w:val="24"/>
        </w:rPr>
        <w:t>;</w:t>
      </w:r>
    </w:p>
    <w:p w:rsidR="00A3265D" w:rsidRPr="001C1CCB" w:rsidP="001515FC" w14:paraId="491F325E" w14:textId="58F0D722">
      <w:pPr>
        <w:spacing w:before="120" w:after="120"/>
        <w:ind w:left="720" w:firstLine="0"/>
        <w:jc w:val="both"/>
        <w:rPr>
          <w:rFonts w:ascii="Times New Roman" w:hAnsi="Times New Roman"/>
          <w:i/>
          <w:iCs/>
          <w:sz w:val="24"/>
          <w:szCs w:val="24"/>
        </w:rPr>
      </w:pPr>
      <w:r w:rsidRPr="001C1CCB">
        <w:rPr>
          <w:rFonts w:ascii="Times New Roman" w:hAnsi="Times New Roman"/>
          <w:b/>
          <w:sz w:val="24"/>
          <w:szCs w:val="24"/>
        </w:rPr>
        <w:t>Requiring respondents to submit more than an original and two copies of any document</w:t>
      </w:r>
      <w:r w:rsidRPr="001C1CCB" w:rsidR="00490653">
        <w:rPr>
          <w:rFonts w:ascii="Times New Roman" w:hAnsi="Times New Roman"/>
          <w:b/>
          <w:sz w:val="24"/>
          <w:szCs w:val="24"/>
        </w:rPr>
        <w:t xml:space="preserve"> -</w:t>
      </w:r>
      <w:r w:rsidRPr="001C1CCB" w:rsidR="00490653">
        <w:rPr>
          <w:rFonts w:ascii="Times New Roman" w:hAnsi="Times New Roman"/>
          <w:sz w:val="24"/>
          <w:szCs w:val="24"/>
        </w:rPr>
        <w:t xml:space="preserve"> </w:t>
      </w:r>
      <w:r w:rsidRPr="001C1CCB" w:rsidR="0075644A">
        <w:rPr>
          <w:rFonts w:ascii="Times New Roman" w:hAnsi="Times New Roman"/>
          <w:i/>
          <w:iCs/>
          <w:sz w:val="24"/>
          <w:szCs w:val="24"/>
        </w:rPr>
        <w:t xml:space="preserve">There </w:t>
      </w:r>
      <w:r w:rsidRPr="001C1CCB" w:rsidR="007B4B2F">
        <w:rPr>
          <w:rFonts w:ascii="Times New Roman" w:hAnsi="Times New Roman"/>
          <w:i/>
          <w:iCs/>
          <w:sz w:val="24"/>
          <w:szCs w:val="24"/>
        </w:rPr>
        <w:t>is no special circumstance</w:t>
      </w:r>
      <w:r w:rsidRPr="001C1CCB" w:rsidR="0086026C">
        <w:rPr>
          <w:rFonts w:ascii="Times New Roman" w:hAnsi="Times New Roman"/>
          <w:i/>
          <w:iCs/>
          <w:sz w:val="24"/>
          <w:szCs w:val="24"/>
        </w:rPr>
        <w:t>.  A</w:t>
      </w:r>
      <w:r w:rsidRPr="001C1CCB" w:rsidR="0075644A">
        <w:rPr>
          <w:rFonts w:ascii="Times New Roman" w:hAnsi="Times New Roman"/>
          <w:i/>
          <w:iCs/>
          <w:sz w:val="24"/>
          <w:szCs w:val="23"/>
        </w:rPr>
        <w:t xml:space="preserve"> complete MAP application submitted for mortgage insurance includes </w:t>
      </w:r>
      <w:r w:rsidRPr="001C1CCB" w:rsidR="00733305">
        <w:rPr>
          <w:rFonts w:ascii="Times New Roman" w:hAnsi="Times New Roman"/>
          <w:i/>
          <w:iCs/>
          <w:sz w:val="24"/>
          <w:szCs w:val="23"/>
        </w:rPr>
        <w:t>one electronic</w:t>
      </w:r>
      <w:r w:rsidRPr="001C1CCB" w:rsidR="0075644A">
        <w:rPr>
          <w:rFonts w:ascii="Times New Roman" w:hAnsi="Times New Roman"/>
          <w:i/>
          <w:iCs/>
          <w:sz w:val="24"/>
          <w:szCs w:val="23"/>
        </w:rPr>
        <w:t xml:space="preserve"> copy.  </w:t>
      </w:r>
      <w:r w:rsidRPr="001C1CCB" w:rsidR="00D70F91">
        <w:rPr>
          <w:rFonts w:ascii="Times New Roman" w:hAnsi="Times New Roman"/>
          <w:i/>
          <w:iCs/>
          <w:sz w:val="24"/>
          <w:szCs w:val="23"/>
        </w:rPr>
        <w:t>One hard copy and an electronic version is submitted for Lender’s application to become an approved MAP lender</w:t>
      </w:r>
      <w:r w:rsidRPr="001C1CCB" w:rsidR="00CA2EF7">
        <w:rPr>
          <w:rFonts w:ascii="Times New Roman" w:hAnsi="Times New Roman"/>
          <w:i/>
          <w:iCs/>
          <w:sz w:val="24"/>
          <w:szCs w:val="23"/>
        </w:rPr>
        <w:t>;</w:t>
      </w:r>
    </w:p>
    <w:p w:rsidR="000D5268" w:rsidRPr="001C1CCB" w:rsidP="00864960" w14:paraId="4CDC16EA" w14:textId="77777777">
      <w:pPr>
        <w:spacing w:before="120" w:after="120"/>
        <w:ind w:left="720" w:firstLine="0"/>
        <w:jc w:val="both"/>
        <w:rPr>
          <w:rFonts w:ascii="Times New Roman" w:hAnsi="Times New Roman"/>
          <w:sz w:val="24"/>
          <w:szCs w:val="24"/>
        </w:rPr>
      </w:pPr>
      <w:r w:rsidRPr="001C1CCB">
        <w:rPr>
          <w:rFonts w:ascii="Times New Roman" w:hAnsi="Times New Roman"/>
          <w:b/>
          <w:sz w:val="24"/>
          <w:szCs w:val="24"/>
        </w:rPr>
        <w:t>Requiring respondents to retain records other than health, medical, government contract, grant-in-aid, or tax records for more than three years</w:t>
      </w:r>
      <w:r w:rsidRPr="001C1CCB" w:rsidR="0086026C">
        <w:rPr>
          <w:rFonts w:ascii="Times New Roman" w:hAnsi="Times New Roman"/>
          <w:b/>
          <w:sz w:val="24"/>
          <w:szCs w:val="24"/>
        </w:rPr>
        <w:t xml:space="preserve"> -</w:t>
      </w:r>
      <w:r w:rsidRPr="001C1CCB" w:rsidR="0086026C">
        <w:rPr>
          <w:rFonts w:ascii="Times New Roman" w:hAnsi="Times New Roman"/>
          <w:sz w:val="24"/>
          <w:szCs w:val="24"/>
        </w:rPr>
        <w:t xml:space="preserve"> </w:t>
      </w:r>
      <w:r w:rsidRPr="001C1CCB" w:rsidR="007B4B2F">
        <w:rPr>
          <w:rFonts w:ascii="Times New Roman" w:hAnsi="Times New Roman"/>
          <w:i/>
          <w:iCs/>
          <w:sz w:val="24"/>
          <w:szCs w:val="24"/>
        </w:rPr>
        <w:t>There is no special circumstance, the</w:t>
      </w:r>
      <w:r w:rsidRPr="001C1CCB" w:rsidR="0086026C">
        <w:rPr>
          <w:rFonts w:ascii="Times New Roman" w:hAnsi="Times New Roman"/>
          <w:i/>
          <w:iCs/>
          <w:sz w:val="24"/>
          <w:szCs w:val="24"/>
        </w:rPr>
        <w:t xml:space="preserve"> Department does not provide procedures for respondents to retain records</w:t>
      </w:r>
      <w:r w:rsidRPr="001C1CCB" w:rsidR="00CA2EF7">
        <w:rPr>
          <w:rFonts w:ascii="Times New Roman" w:hAnsi="Times New Roman"/>
          <w:i/>
          <w:iCs/>
          <w:sz w:val="24"/>
          <w:szCs w:val="24"/>
        </w:rPr>
        <w:t>;</w:t>
      </w:r>
    </w:p>
    <w:p w:rsidR="000D5268" w:rsidRPr="001C1CCB" w:rsidP="00864960" w14:paraId="3267F5E3" w14:textId="7C2D9511">
      <w:pPr>
        <w:spacing w:before="120" w:after="120"/>
        <w:ind w:left="720" w:firstLine="0"/>
        <w:jc w:val="both"/>
        <w:rPr>
          <w:rFonts w:ascii="Times New Roman" w:hAnsi="Times New Roman"/>
          <w:i/>
          <w:iCs/>
          <w:sz w:val="24"/>
          <w:szCs w:val="24"/>
        </w:rPr>
      </w:pPr>
      <w:r w:rsidRPr="001C1CCB">
        <w:rPr>
          <w:rFonts w:ascii="Times New Roman" w:hAnsi="Times New Roman"/>
          <w:b/>
          <w:sz w:val="24"/>
          <w:szCs w:val="24"/>
        </w:rPr>
        <w:t>I</w:t>
      </w:r>
      <w:r w:rsidRPr="001C1CCB">
        <w:rPr>
          <w:rFonts w:ascii="Times New Roman" w:hAnsi="Times New Roman"/>
          <w:b/>
          <w:sz w:val="24"/>
          <w:szCs w:val="24"/>
        </w:rPr>
        <w:t xml:space="preserve">n connection with a statistical survey, that is not designed to produce valid and reliable results </w:t>
      </w:r>
      <w:r w:rsidRPr="001C1CCB" w:rsidR="00FA5EE1">
        <w:rPr>
          <w:rFonts w:ascii="Times New Roman" w:hAnsi="Times New Roman"/>
          <w:b/>
          <w:sz w:val="24"/>
          <w:szCs w:val="24"/>
        </w:rPr>
        <w:t xml:space="preserve">that </w:t>
      </w:r>
      <w:r w:rsidRPr="001C1CCB">
        <w:rPr>
          <w:rFonts w:ascii="Times New Roman" w:hAnsi="Times New Roman"/>
          <w:b/>
          <w:sz w:val="24"/>
          <w:szCs w:val="24"/>
        </w:rPr>
        <w:t>can be generalized to the universe of study</w:t>
      </w:r>
      <w:r w:rsidRPr="001C1CCB">
        <w:rPr>
          <w:rFonts w:ascii="Times New Roman" w:hAnsi="Times New Roman"/>
          <w:b/>
          <w:sz w:val="24"/>
          <w:szCs w:val="24"/>
        </w:rPr>
        <w:t xml:space="preserve"> –</w:t>
      </w:r>
      <w:r w:rsidRPr="001C1CCB">
        <w:rPr>
          <w:rFonts w:ascii="Times New Roman" w:hAnsi="Times New Roman"/>
          <w:sz w:val="24"/>
          <w:szCs w:val="24"/>
        </w:rPr>
        <w:t xml:space="preserve"> </w:t>
      </w:r>
      <w:r w:rsidRPr="001C1CCB">
        <w:rPr>
          <w:rFonts w:ascii="Times New Roman" w:hAnsi="Times New Roman"/>
          <w:i/>
          <w:iCs/>
          <w:sz w:val="24"/>
          <w:szCs w:val="24"/>
        </w:rPr>
        <w:t>There is no special circumstance</w:t>
      </w:r>
      <w:r w:rsidRPr="001C1CCB" w:rsidR="007B4B2F">
        <w:rPr>
          <w:rFonts w:ascii="Times New Roman" w:hAnsi="Times New Roman"/>
          <w:i/>
          <w:iCs/>
          <w:sz w:val="24"/>
          <w:szCs w:val="24"/>
        </w:rPr>
        <w:t>,</w:t>
      </w:r>
      <w:r w:rsidRPr="001C1CCB">
        <w:rPr>
          <w:rFonts w:ascii="Times New Roman" w:hAnsi="Times New Roman"/>
          <w:i/>
          <w:iCs/>
          <w:sz w:val="24"/>
          <w:szCs w:val="24"/>
        </w:rPr>
        <w:t xml:space="preserve"> a statistical survey does not exist in this collection</w:t>
      </w:r>
      <w:r w:rsidRPr="001C1CCB" w:rsidR="00682AC8">
        <w:rPr>
          <w:rFonts w:ascii="Times New Roman" w:hAnsi="Times New Roman"/>
          <w:i/>
          <w:iCs/>
          <w:sz w:val="24"/>
          <w:szCs w:val="24"/>
        </w:rPr>
        <w:t>;</w:t>
      </w:r>
    </w:p>
    <w:p w:rsidR="00CA2EF7" w:rsidRPr="001C1CCB" w:rsidP="00864960" w14:paraId="5950C800" w14:textId="2A42474E">
      <w:pPr>
        <w:spacing w:before="120" w:after="120"/>
        <w:ind w:left="720" w:firstLine="0"/>
        <w:jc w:val="both"/>
        <w:rPr>
          <w:rFonts w:ascii="Times New Roman" w:hAnsi="Times New Roman"/>
          <w:sz w:val="24"/>
          <w:szCs w:val="24"/>
        </w:rPr>
      </w:pPr>
      <w:r w:rsidRPr="001C1CCB">
        <w:rPr>
          <w:rFonts w:ascii="Times New Roman" w:hAnsi="Times New Roman"/>
          <w:b/>
          <w:sz w:val="24"/>
          <w:szCs w:val="24"/>
        </w:rPr>
        <w:t>Requiring the use of a statistical data classification that has not been reviewed and approved by OMB -</w:t>
      </w:r>
      <w:r w:rsidRPr="001C1CCB">
        <w:rPr>
          <w:rFonts w:ascii="Times New Roman" w:hAnsi="Times New Roman"/>
          <w:sz w:val="24"/>
          <w:szCs w:val="24"/>
        </w:rPr>
        <w:t xml:space="preserve"> </w:t>
      </w:r>
      <w:r w:rsidRPr="001C1CCB">
        <w:rPr>
          <w:rFonts w:ascii="Times New Roman" w:hAnsi="Times New Roman"/>
          <w:i/>
          <w:iCs/>
          <w:sz w:val="24"/>
          <w:szCs w:val="24"/>
        </w:rPr>
        <w:t>There is no special circumstance</w:t>
      </w:r>
      <w:r w:rsidRPr="001C1CCB" w:rsidR="007B4B2F">
        <w:rPr>
          <w:rFonts w:ascii="Times New Roman" w:hAnsi="Times New Roman"/>
          <w:i/>
          <w:iCs/>
          <w:sz w:val="24"/>
          <w:szCs w:val="24"/>
        </w:rPr>
        <w:t xml:space="preserve">, </w:t>
      </w:r>
      <w:r w:rsidRPr="001C1CCB">
        <w:rPr>
          <w:rFonts w:ascii="Times New Roman" w:hAnsi="Times New Roman"/>
          <w:i/>
          <w:iCs/>
          <w:sz w:val="24"/>
          <w:szCs w:val="24"/>
        </w:rPr>
        <w:t>a statistical survey does not exist in this collection</w:t>
      </w:r>
      <w:r w:rsidRPr="001C1CCB" w:rsidR="00682AC8">
        <w:rPr>
          <w:rFonts w:ascii="Times New Roman" w:hAnsi="Times New Roman"/>
          <w:sz w:val="24"/>
          <w:szCs w:val="24"/>
        </w:rPr>
        <w:t>;</w:t>
      </w:r>
    </w:p>
    <w:p w:rsidR="005C2899" w:rsidRPr="001C1CCB" w:rsidP="00864960" w14:paraId="0B158D3B" w14:textId="77777777">
      <w:pPr>
        <w:spacing w:before="120" w:after="120"/>
        <w:ind w:left="720" w:firstLine="0"/>
        <w:jc w:val="both"/>
        <w:rPr>
          <w:rFonts w:ascii="Times New Roman" w:hAnsi="Times New Roman"/>
          <w:i/>
          <w:iCs/>
          <w:sz w:val="24"/>
          <w:szCs w:val="24"/>
        </w:rPr>
      </w:pPr>
      <w:r w:rsidRPr="001C1CCB">
        <w:rPr>
          <w:rFonts w:ascii="Times New Roman" w:hAnsi="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1C1CCB">
        <w:rPr>
          <w:rFonts w:ascii="Times New Roman" w:hAnsi="Times New Roman"/>
          <w:sz w:val="24"/>
          <w:szCs w:val="24"/>
        </w:rPr>
        <w:t xml:space="preserve"> </w:t>
      </w:r>
      <w:r w:rsidRPr="001C1CCB">
        <w:rPr>
          <w:rFonts w:ascii="Times New Roman" w:hAnsi="Times New Roman"/>
          <w:i/>
          <w:iCs/>
          <w:sz w:val="24"/>
          <w:szCs w:val="24"/>
        </w:rPr>
        <w:t>There is no special circumstance that includes a pledge of confidentiality in this collection; or</w:t>
      </w:r>
    </w:p>
    <w:p w:rsidR="004505F9" w:rsidRPr="001C1CCB" w:rsidP="005D5F8C" w14:paraId="76CB190F" w14:textId="2BC56F85">
      <w:pPr>
        <w:spacing w:before="120" w:after="360"/>
        <w:ind w:left="720" w:firstLine="0"/>
        <w:jc w:val="both"/>
        <w:rPr>
          <w:rFonts w:ascii="Times New Roman" w:hAnsi="Times New Roman"/>
          <w:sz w:val="24"/>
          <w:szCs w:val="24"/>
        </w:rPr>
      </w:pPr>
      <w:r w:rsidRPr="001C1CCB">
        <w:rPr>
          <w:rFonts w:ascii="Times New Roman" w:hAnsi="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 -</w:t>
      </w:r>
      <w:r w:rsidRPr="001C1CCB">
        <w:rPr>
          <w:rFonts w:ascii="Times New Roman" w:hAnsi="Times New Roman"/>
          <w:sz w:val="24"/>
          <w:szCs w:val="24"/>
        </w:rPr>
        <w:t xml:space="preserve"> </w:t>
      </w:r>
      <w:r w:rsidRPr="001C1CCB">
        <w:rPr>
          <w:rFonts w:ascii="Times New Roman" w:hAnsi="Times New Roman"/>
          <w:i/>
          <w:iCs/>
          <w:sz w:val="24"/>
          <w:szCs w:val="24"/>
        </w:rPr>
        <w:t>There is no special circumstance that require</w:t>
      </w:r>
      <w:r w:rsidRPr="001C1CCB" w:rsidR="00625B92">
        <w:rPr>
          <w:rFonts w:ascii="Times New Roman" w:hAnsi="Times New Roman"/>
          <w:i/>
          <w:iCs/>
          <w:sz w:val="24"/>
          <w:szCs w:val="24"/>
        </w:rPr>
        <w:t>s</w:t>
      </w:r>
      <w:r w:rsidRPr="001C1CCB">
        <w:rPr>
          <w:rFonts w:ascii="Times New Roman" w:hAnsi="Times New Roman"/>
          <w:i/>
          <w:iCs/>
          <w:sz w:val="24"/>
          <w:szCs w:val="24"/>
        </w:rPr>
        <w:t xml:space="preserve"> respondents to submit proprietary trade secret</w:t>
      </w:r>
      <w:r w:rsidRPr="001C1CCB" w:rsidR="00625B92">
        <w:rPr>
          <w:rFonts w:ascii="Times New Roman" w:hAnsi="Times New Roman"/>
          <w:i/>
          <w:iCs/>
          <w:sz w:val="24"/>
          <w:szCs w:val="24"/>
        </w:rPr>
        <w:t>s</w:t>
      </w:r>
      <w:r w:rsidRPr="001C1CCB" w:rsidR="00ED27C1">
        <w:rPr>
          <w:rFonts w:ascii="Times New Roman" w:hAnsi="Times New Roman"/>
          <w:i/>
          <w:iCs/>
          <w:sz w:val="24"/>
          <w:szCs w:val="24"/>
        </w:rPr>
        <w:t>.  However</w:t>
      </w:r>
      <w:r w:rsidRPr="001C1CCB">
        <w:rPr>
          <w:rFonts w:ascii="Times New Roman" w:hAnsi="Times New Roman"/>
          <w:i/>
          <w:iCs/>
          <w:sz w:val="24"/>
          <w:szCs w:val="24"/>
        </w:rPr>
        <w:t xml:space="preserve">, </w:t>
      </w:r>
      <w:r w:rsidRPr="001C1CCB" w:rsidR="00ED27C1">
        <w:rPr>
          <w:rFonts w:ascii="Times New Roman" w:hAnsi="Times New Roman"/>
          <w:i/>
          <w:iCs/>
          <w:sz w:val="24"/>
          <w:szCs w:val="24"/>
        </w:rPr>
        <w:t xml:space="preserve">as a normal </w:t>
      </w:r>
      <w:r w:rsidRPr="001C1CCB" w:rsidR="005202E5">
        <w:rPr>
          <w:rFonts w:ascii="Times New Roman" w:hAnsi="Times New Roman"/>
          <w:i/>
          <w:iCs/>
          <w:sz w:val="24"/>
          <w:szCs w:val="24"/>
        </w:rPr>
        <w:t xml:space="preserve">course of business, the Agency </w:t>
      </w:r>
      <w:r w:rsidRPr="001C1CCB" w:rsidR="00733305">
        <w:rPr>
          <w:rFonts w:ascii="Times New Roman" w:hAnsi="Times New Roman"/>
          <w:i/>
          <w:iCs/>
          <w:sz w:val="24"/>
          <w:szCs w:val="24"/>
        </w:rPr>
        <w:t>does have</w:t>
      </w:r>
      <w:r w:rsidRPr="001C1CCB" w:rsidR="005202E5">
        <w:rPr>
          <w:rFonts w:ascii="Times New Roman" w:hAnsi="Times New Roman"/>
          <w:i/>
          <w:iCs/>
          <w:sz w:val="24"/>
          <w:szCs w:val="24"/>
        </w:rPr>
        <w:t xml:space="preserve"> in place procedures for protection </w:t>
      </w:r>
      <w:r w:rsidRPr="001C1CCB" w:rsidR="006527AC">
        <w:rPr>
          <w:rFonts w:ascii="Times New Roman" w:hAnsi="Times New Roman"/>
          <w:i/>
          <w:iCs/>
          <w:sz w:val="24"/>
          <w:szCs w:val="24"/>
        </w:rPr>
        <w:t>of and record retention of confidential information submitted by applicants for mortgage</w:t>
      </w:r>
      <w:r w:rsidRPr="001C1CCB" w:rsidR="006527AC">
        <w:rPr>
          <w:rFonts w:ascii="Times New Roman" w:hAnsi="Times New Roman"/>
          <w:sz w:val="24"/>
          <w:szCs w:val="24"/>
        </w:rPr>
        <w:t xml:space="preserve"> insurance.</w:t>
      </w:r>
      <w:r w:rsidRPr="001C1CCB">
        <w:rPr>
          <w:rFonts w:ascii="Times New Roman" w:hAnsi="Times New Roman"/>
          <w:sz w:val="24"/>
          <w:szCs w:val="24"/>
          <w:u w:val="single"/>
        </w:rPr>
        <w:t xml:space="preserve"> </w:t>
      </w:r>
    </w:p>
    <w:p w:rsidR="00EF3196" w:rsidRPr="001C1CCB" w:rsidP="004505F9" w14:paraId="102C30AC" w14:textId="4481DE04">
      <w:pPr>
        <w:numPr>
          <w:ilvl w:val="0"/>
          <w:numId w:val="18"/>
        </w:numPr>
        <w:rPr>
          <w:rFonts w:ascii="Times New (W1)" w:hAnsi="Times New (W1)"/>
          <w:sz w:val="24"/>
          <w:u w:val="single"/>
        </w:rPr>
      </w:pPr>
      <w:r w:rsidRPr="001C1CCB">
        <w:rPr>
          <w:rFonts w:ascii="Times New (W1)" w:hAnsi="Times New (W1)"/>
          <w:sz w:val="24"/>
          <w:u w:val="single"/>
        </w:rPr>
        <w:t>Federal Register</w:t>
      </w:r>
    </w:p>
    <w:p w:rsidR="00606A32" w:rsidRPr="001C1CCB" w:rsidP="005D5F8C" w14:paraId="452F1878" w14:textId="33B5F2E0">
      <w:pPr>
        <w:ind w:left="720" w:firstLine="0"/>
        <w:rPr>
          <w:rFonts w:ascii="Times New (W1)" w:hAnsi="Times New (W1)"/>
          <w:sz w:val="24"/>
          <w:u w:val="single"/>
        </w:rPr>
      </w:pPr>
      <w:r w:rsidRPr="001C1CCB">
        <w:rPr>
          <w:rFonts w:ascii="Times New Roman" w:hAnsi="Times New Roman"/>
          <w:sz w:val="24"/>
          <w:szCs w:val="24"/>
        </w:rPr>
        <w:t xml:space="preserve">In accordance with 5CFR 1320.8(d), this information collection soliciting public comments was announced in the Federal Register on </w:t>
      </w:r>
      <w:r w:rsidRPr="001C1CCB" w:rsidR="004A111E">
        <w:rPr>
          <w:rFonts w:ascii="Times New Roman" w:hAnsi="Times New Roman"/>
          <w:b/>
          <w:bCs/>
          <w:sz w:val="24"/>
          <w:szCs w:val="24"/>
        </w:rPr>
        <w:t xml:space="preserve">Monday, September </w:t>
      </w:r>
      <w:r w:rsidR="001C1CCB">
        <w:rPr>
          <w:rFonts w:ascii="Times New Roman" w:hAnsi="Times New Roman"/>
          <w:b/>
          <w:bCs/>
          <w:sz w:val="24"/>
          <w:szCs w:val="24"/>
        </w:rPr>
        <w:t>12</w:t>
      </w:r>
      <w:r w:rsidRPr="001C1CCB" w:rsidR="004A111E">
        <w:rPr>
          <w:rFonts w:ascii="Times New Roman" w:hAnsi="Times New Roman"/>
          <w:b/>
          <w:bCs/>
          <w:sz w:val="24"/>
          <w:szCs w:val="24"/>
        </w:rPr>
        <w:t>, 2022</w:t>
      </w:r>
      <w:r w:rsidRPr="001C1CCB">
        <w:rPr>
          <w:rFonts w:ascii="Times New Roman" w:hAnsi="Times New Roman"/>
          <w:sz w:val="24"/>
          <w:szCs w:val="24"/>
        </w:rPr>
        <w:t xml:space="preserve">, Volume </w:t>
      </w:r>
      <w:r w:rsidRPr="001C1CCB">
        <w:rPr>
          <w:rFonts w:ascii="Times New Roman" w:hAnsi="Times New Roman"/>
          <w:b/>
          <w:sz w:val="24"/>
          <w:szCs w:val="24"/>
        </w:rPr>
        <w:t>8</w:t>
      </w:r>
      <w:r w:rsidRPr="001C1CCB" w:rsidR="004A111E">
        <w:rPr>
          <w:rFonts w:ascii="Times New Roman" w:hAnsi="Times New Roman"/>
          <w:b/>
          <w:sz w:val="24"/>
          <w:szCs w:val="24"/>
        </w:rPr>
        <w:t>7</w:t>
      </w:r>
      <w:r w:rsidRPr="001C1CCB">
        <w:rPr>
          <w:rFonts w:ascii="Times New Roman" w:hAnsi="Times New Roman"/>
          <w:sz w:val="24"/>
          <w:szCs w:val="24"/>
        </w:rPr>
        <w:t xml:space="preserve">, No. </w:t>
      </w:r>
      <w:r w:rsidRPr="001C1CCB" w:rsidR="004A111E">
        <w:rPr>
          <w:rFonts w:ascii="Times New Roman" w:hAnsi="Times New Roman"/>
          <w:b/>
          <w:sz w:val="24"/>
          <w:szCs w:val="24"/>
        </w:rPr>
        <w:t>175</w:t>
      </w:r>
      <w:r w:rsidRPr="001C1CCB">
        <w:rPr>
          <w:rFonts w:ascii="Times New Roman" w:hAnsi="Times New Roman"/>
          <w:sz w:val="24"/>
          <w:szCs w:val="24"/>
        </w:rPr>
        <w:t xml:space="preserve">, Pages </w:t>
      </w:r>
      <w:r w:rsidRPr="001C1CCB" w:rsidR="004A111E">
        <w:rPr>
          <w:rFonts w:ascii="Times New Roman" w:hAnsi="Times New Roman"/>
          <w:b/>
          <w:sz w:val="24"/>
          <w:szCs w:val="24"/>
        </w:rPr>
        <w:t>55836</w:t>
      </w:r>
      <w:r w:rsidRPr="001C1CCB">
        <w:rPr>
          <w:rFonts w:ascii="Times New Roman" w:hAnsi="Times New Roman"/>
          <w:b/>
          <w:sz w:val="24"/>
          <w:szCs w:val="24"/>
        </w:rPr>
        <w:t>.</w:t>
      </w:r>
    </w:p>
    <w:p w:rsidR="002B7BAB" w:rsidRPr="001C1CCB" w:rsidP="002B7BAB" w14:paraId="4A3D4062" w14:textId="77777777">
      <w:pPr>
        <w:ind w:left="1080" w:firstLine="0"/>
        <w:rPr>
          <w:rFonts w:ascii="Times New (W1)" w:hAnsi="Times New (W1)"/>
          <w:sz w:val="24"/>
        </w:rPr>
      </w:pPr>
    </w:p>
    <w:p w:rsidR="004505F9" w:rsidRPr="001C1CCB" w:rsidP="004505F9" w14:paraId="3F78C6D4" w14:textId="30EE8A52">
      <w:pPr>
        <w:numPr>
          <w:ilvl w:val="0"/>
          <w:numId w:val="18"/>
        </w:numPr>
        <w:rPr>
          <w:rFonts w:ascii="Times New (W1)" w:hAnsi="Times New (W1)"/>
          <w:sz w:val="24"/>
        </w:rPr>
      </w:pPr>
      <w:r w:rsidRPr="001C1CCB">
        <w:rPr>
          <w:rFonts w:ascii="Times New (W1)" w:hAnsi="Times New (W1)"/>
          <w:sz w:val="24"/>
          <w:u w:val="single"/>
        </w:rPr>
        <w:t>Payment of gifts</w:t>
      </w:r>
      <w:r w:rsidRPr="001C1CCB">
        <w:rPr>
          <w:rFonts w:ascii="Times New (W1)" w:hAnsi="Times New (W1)"/>
          <w:sz w:val="24"/>
        </w:rPr>
        <w:t>.</w:t>
      </w:r>
    </w:p>
    <w:p w:rsidR="004505F9" w:rsidRPr="001C1CCB" w:rsidP="005D5F8C" w14:paraId="17707DB9" w14:textId="77777777">
      <w:pPr>
        <w:spacing w:before="120" w:after="360"/>
        <w:ind w:firstLine="720"/>
        <w:jc w:val="both"/>
        <w:rPr>
          <w:rFonts w:ascii="Times New (W1)" w:hAnsi="Times New (W1)"/>
          <w:sz w:val="24"/>
        </w:rPr>
      </w:pPr>
      <w:r w:rsidRPr="001C1CCB">
        <w:rPr>
          <w:rFonts w:ascii="Times New (W1)" w:hAnsi="Times New (W1)"/>
          <w:sz w:val="24"/>
        </w:rPr>
        <w:t>No gifts or payments, other than remuneration to contractors, are provided to respondents.</w:t>
      </w:r>
    </w:p>
    <w:p w:rsidR="00D00049" w:rsidRPr="001C1CCB" w:rsidP="004A380B" w14:paraId="5193D95A" w14:textId="77777777">
      <w:pPr>
        <w:numPr>
          <w:ilvl w:val="0"/>
          <w:numId w:val="18"/>
        </w:numPr>
        <w:rPr>
          <w:rFonts w:ascii="Times New Roman" w:hAnsi="Times New Roman"/>
          <w:color w:val="000000"/>
          <w:sz w:val="24"/>
          <w:szCs w:val="24"/>
          <w:lang w:bidi="ar-SA"/>
        </w:rPr>
      </w:pPr>
      <w:r w:rsidRPr="001C1CCB">
        <w:rPr>
          <w:rFonts w:ascii="Times New (W1)" w:hAnsi="Times New (W1)"/>
          <w:sz w:val="24"/>
          <w:u w:val="single"/>
        </w:rPr>
        <w:t>Confidentiality</w:t>
      </w:r>
      <w:r w:rsidRPr="001C1CCB">
        <w:rPr>
          <w:rFonts w:ascii="Times New (W1)" w:hAnsi="Times New (W1)"/>
          <w:i/>
          <w:sz w:val="24"/>
        </w:rPr>
        <w:t>.</w:t>
      </w:r>
      <w:r w:rsidRPr="001C1CCB">
        <w:rPr>
          <w:rFonts w:ascii="Times New (W1)" w:hAnsi="Times New (W1)"/>
          <w:i/>
          <w:sz w:val="24"/>
        </w:rPr>
        <w:t xml:space="preserve">  </w:t>
      </w:r>
      <w:r w:rsidRPr="001C1CCB">
        <w:rPr>
          <w:rFonts w:ascii="Times New Roman" w:hAnsi="Times New Roman"/>
          <w:i/>
          <w:iCs/>
          <w:color w:val="000000"/>
          <w:sz w:val="24"/>
          <w:szCs w:val="24"/>
          <w:lang w:bidi="ar-SA"/>
        </w:rPr>
        <w:t>Describe any assurance of confidentiality provided to respondents and the basis for the assurance in statute, regulation, or agency policy.</w:t>
      </w:r>
      <w:r w:rsidRPr="001C1CCB">
        <w:rPr>
          <w:rFonts w:ascii="Times New Roman" w:hAnsi="Times New Roman"/>
          <w:color w:val="000000"/>
          <w:sz w:val="24"/>
          <w:szCs w:val="24"/>
          <w:lang w:bidi="ar-SA"/>
        </w:rPr>
        <w:t xml:space="preserve"> </w:t>
      </w:r>
    </w:p>
    <w:p w:rsidR="004505F9" w:rsidRPr="001C1CCB" w:rsidP="00EE43BD" w14:paraId="300645E9" w14:textId="71A44CA5">
      <w:pPr>
        <w:spacing w:before="120" w:after="360"/>
        <w:ind w:left="720" w:firstLine="0"/>
        <w:rPr>
          <w:rFonts w:ascii="Times New (W1)" w:hAnsi="Times New (W1)"/>
          <w:sz w:val="24"/>
        </w:rPr>
      </w:pPr>
      <w:r w:rsidRPr="001C1CCB">
        <w:rPr>
          <w:rFonts w:ascii="Times New (W1)" w:hAnsi="Times New (W1)"/>
          <w:sz w:val="24"/>
        </w:rPr>
        <w:t>The Privacy Act of 1974 provides an assurance of confidently to the respondents.</w:t>
      </w:r>
      <w:r w:rsidRPr="001C1CCB">
        <w:rPr>
          <w:rFonts w:ascii="Times New Roman" w:hAnsi="Times New Roman"/>
          <w:color w:val="000000"/>
          <w:sz w:val="24"/>
        </w:rPr>
        <w:t xml:space="preserve"> This</w:t>
      </w:r>
      <w:r w:rsidRPr="001C1CCB" w:rsidR="00D00049">
        <w:rPr>
          <w:rFonts w:ascii="Times New Roman" w:hAnsi="Times New Roman"/>
          <w:color w:val="000000"/>
          <w:sz w:val="24"/>
        </w:rPr>
        <w:t xml:space="preserve"> is protected under </w:t>
      </w:r>
      <w:r w:rsidRPr="001C1CCB" w:rsidR="00542818">
        <w:rPr>
          <w:rFonts w:ascii="Times New Roman" w:hAnsi="Times New Roman"/>
          <w:color w:val="000000"/>
          <w:sz w:val="24"/>
        </w:rPr>
        <w:t xml:space="preserve">the </w:t>
      </w:r>
      <w:r w:rsidRPr="001C1CCB" w:rsidR="00D00049">
        <w:rPr>
          <w:rFonts w:ascii="Times New Roman" w:hAnsi="Times New Roman"/>
          <w:color w:val="000000"/>
          <w:sz w:val="24"/>
        </w:rPr>
        <w:t xml:space="preserve">Freedom of Information ACT </w:t>
      </w:r>
      <w:r w:rsidRPr="001C1CCB" w:rsidR="00D00049">
        <w:rPr>
          <w:rFonts w:ascii="Times New Roman" w:hAnsi="Times New Roman"/>
          <w:color w:val="000000"/>
          <w:sz w:val="24"/>
          <w:szCs w:val="24"/>
        </w:rPr>
        <w:t xml:space="preserve">(FOIA) </w:t>
      </w:r>
      <w:r w:rsidRPr="001C1CCB" w:rsidR="00D00049">
        <w:rPr>
          <w:rStyle w:val="tgc"/>
          <w:rFonts w:ascii="Times New Roman" w:hAnsi="Times New Roman"/>
          <w:color w:val="222222"/>
          <w:sz w:val="24"/>
          <w:szCs w:val="24"/>
          <w:lang w:val="en"/>
        </w:rPr>
        <w:t>of 1974, 5 U.S.C. § 552a.</w:t>
      </w:r>
      <w:r w:rsidRPr="001C1CCB">
        <w:rPr>
          <w:rFonts w:ascii="Times New (W1)" w:hAnsi="Times New (W1)"/>
          <w:sz w:val="24"/>
        </w:rPr>
        <w:t xml:space="preserve"> </w:t>
      </w:r>
    </w:p>
    <w:p w:rsidR="004505F9" w:rsidRPr="001C1CCB" w:rsidP="004A380B" w14:paraId="7BB4CAEA" w14:textId="651482FC">
      <w:pPr>
        <w:ind w:left="720" w:hanging="360"/>
        <w:rPr>
          <w:rFonts w:ascii="Times New (W1)" w:hAnsi="Times New (W1)"/>
          <w:i/>
          <w:iCs/>
          <w:sz w:val="24"/>
        </w:rPr>
      </w:pPr>
      <w:r w:rsidRPr="001C1CCB">
        <w:rPr>
          <w:rFonts w:ascii="Times New (W1)" w:hAnsi="Times New (W1)"/>
          <w:sz w:val="24"/>
          <w:u w:val="single"/>
        </w:rPr>
        <w:t>11.</w:t>
      </w:r>
      <w:r w:rsidRPr="001C1CCB">
        <w:rPr>
          <w:rFonts w:ascii="Times New (W1)" w:hAnsi="Times New (W1)"/>
          <w:sz w:val="24"/>
          <w:u w:val="single"/>
        </w:rPr>
        <w:tab/>
      </w:r>
      <w:r w:rsidRPr="001C1CCB">
        <w:rPr>
          <w:rFonts w:ascii="Times New (W1)" w:hAnsi="Times New (W1)"/>
          <w:sz w:val="24"/>
          <w:u w:val="single"/>
        </w:rPr>
        <w:t>Sensitive questions</w:t>
      </w:r>
      <w:r w:rsidRPr="001C1CCB">
        <w:rPr>
          <w:rFonts w:ascii="Times New (W1)" w:hAnsi="Times New (W1)"/>
          <w:sz w:val="24"/>
        </w:rPr>
        <w:t>.</w:t>
      </w:r>
      <w:r w:rsidRPr="001C1CCB" w:rsidR="001E59B1">
        <w:rPr>
          <w:rFonts w:ascii="Times New (W1)" w:hAnsi="Times New (W1)"/>
          <w:sz w:val="24"/>
        </w:rPr>
        <w:t xml:space="preserve">   </w:t>
      </w:r>
      <w:r w:rsidRPr="001C1CCB" w:rsidR="001E59B1">
        <w:rPr>
          <w:rFonts w:ascii="Times New Roman" w:hAnsi="Times New Roman"/>
          <w:bCs/>
          <w:i/>
          <w:iCs/>
          <w:color w:val="00000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w:t>
      </w:r>
      <w:r w:rsidRPr="001C1CCB" w:rsidR="00E17D6E">
        <w:rPr>
          <w:rFonts w:ascii="Times New Roman" w:hAnsi="Times New Roman"/>
          <w:bCs/>
          <w:i/>
          <w:iCs/>
          <w:color w:val="000000"/>
          <w:sz w:val="24"/>
          <w:szCs w:val="24"/>
        </w:rPr>
        <w:t xml:space="preserve"> obtain their consent. </w:t>
      </w:r>
      <w:r w:rsidRPr="001C1CCB" w:rsidR="001E59B1">
        <w:rPr>
          <w:rFonts w:ascii="Times New Roman" w:hAnsi="Times New Roman"/>
          <w:bCs/>
          <w:i/>
          <w:iCs/>
          <w:color w:val="000000"/>
          <w:sz w:val="24"/>
          <w:szCs w:val="24"/>
        </w:rPr>
        <w:t xml:space="preserve"> </w:t>
      </w:r>
      <w:r w:rsidRPr="001C1CCB" w:rsidR="001E59B1">
        <w:rPr>
          <w:rFonts w:ascii="Times New (W1)" w:hAnsi="Times New (W1)"/>
          <w:bCs/>
          <w:i/>
          <w:iCs/>
          <w:sz w:val="24"/>
        </w:rPr>
        <w:t xml:space="preserve"> </w:t>
      </w:r>
    </w:p>
    <w:p w:rsidR="001E59B1" w:rsidRPr="001C1CCB" w:rsidP="001E59B1" w14:paraId="61D979F4" w14:textId="77777777">
      <w:pPr>
        <w:ind w:left="720" w:firstLine="0"/>
        <w:rPr>
          <w:rFonts w:ascii="Times New (W1)" w:hAnsi="Times New (W1)"/>
          <w:sz w:val="24"/>
        </w:rPr>
      </w:pPr>
    </w:p>
    <w:p w:rsidR="000A11F7" w:rsidRPr="001C1CCB" w:rsidP="000A11F7" w14:paraId="5F5AABE8" w14:textId="1E1A004D">
      <w:pPr>
        <w:spacing w:before="120" w:after="360"/>
        <w:ind w:firstLine="720"/>
        <w:rPr>
          <w:rFonts w:ascii="Times New (W1)" w:hAnsi="Times New (W1)"/>
          <w:sz w:val="24"/>
        </w:rPr>
      </w:pPr>
      <w:r w:rsidRPr="001C1CCB">
        <w:rPr>
          <w:rFonts w:ascii="Times New (W1)" w:hAnsi="Times New (W1)"/>
          <w:sz w:val="24"/>
        </w:rPr>
        <w:t xml:space="preserve">No questions of a sensitive nature </w:t>
      </w:r>
      <w:r w:rsidRPr="001C1CCB" w:rsidR="00542818">
        <w:rPr>
          <w:rFonts w:ascii="Times New (W1)" w:hAnsi="Times New (W1)"/>
          <w:sz w:val="24"/>
        </w:rPr>
        <w:t xml:space="preserve">exist </w:t>
      </w:r>
      <w:r w:rsidRPr="001C1CCB" w:rsidR="00D3688E">
        <w:rPr>
          <w:rFonts w:ascii="Times New (W1)" w:hAnsi="Times New (W1)"/>
          <w:sz w:val="24"/>
        </w:rPr>
        <w:t>in this collection</w:t>
      </w:r>
      <w:r w:rsidRPr="001C1CCB">
        <w:rPr>
          <w:rFonts w:ascii="Times New (W1)" w:hAnsi="Times New (W1)"/>
          <w:sz w:val="24"/>
        </w:rPr>
        <w:t>.</w:t>
      </w:r>
    </w:p>
    <w:p w:rsidR="00D07CF0" w:rsidRPr="001C1CCB" w:rsidP="00D07CF0" w14:paraId="668A5EF0" w14:textId="31EF864B">
      <w:pPr>
        <w:spacing w:before="120" w:after="360"/>
        <w:ind w:left="720" w:hanging="360"/>
        <w:rPr>
          <w:rFonts w:ascii="Times New (W1)" w:hAnsi="Times New (W1)"/>
          <w:sz w:val="24"/>
        </w:rPr>
      </w:pPr>
      <w:r w:rsidRPr="001C1CCB">
        <w:rPr>
          <w:rFonts w:ascii="Times New (W1)" w:hAnsi="Times New (W1)"/>
          <w:sz w:val="24"/>
        </w:rPr>
        <w:t>12.</w:t>
      </w:r>
      <w:r w:rsidRPr="001C1CCB">
        <w:rPr>
          <w:rFonts w:ascii="Times New (W1)" w:hAnsi="Times New (W1)"/>
          <w:sz w:val="24"/>
        </w:rPr>
        <w:tab/>
      </w:r>
      <w:r w:rsidRPr="001C1CCB">
        <w:rPr>
          <w:rFonts w:ascii="Times New (W1)" w:hAnsi="Times New (W1)"/>
          <w:sz w:val="24"/>
          <w:u w:val="single"/>
        </w:rPr>
        <w:t>Estimates of the hour burden and costs for collection of information:</w:t>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9"/>
        <w:gridCol w:w="1326"/>
        <w:gridCol w:w="23"/>
        <w:gridCol w:w="1327"/>
        <w:gridCol w:w="23"/>
        <w:gridCol w:w="1417"/>
        <w:gridCol w:w="1170"/>
        <w:gridCol w:w="23"/>
        <w:gridCol w:w="1057"/>
        <w:gridCol w:w="1260"/>
        <w:gridCol w:w="1530"/>
      </w:tblGrid>
      <w:tr w14:paraId="5A7C0425" w14:textId="77777777" w:rsidTr="000468F2">
        <w:tblPrEx>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812DC6" w:rsidRPr="001C1CCB" w:rsidP="00FB06B0" w14:paraId="00714D35" w14:textId="60B51601">
            <w:pPr>
              <w:ind w:left="720" w:hanging="360"/>
              <w:jc w:val="center"/>
              <w:rPr>
                <w:rFonts w:ascii="Times New Roman" w:hAnsi="Times New Roman"/>
                <w:b/>
                <w:bCs/>
                <w:sz w:val="20"/>
                <w:szCs w:val="20"/>
              </w:rPr>
            </w:pPr>
            <w:r w:rsidRPr="001C1CCB">
              <w:rPr>
                <w:rFonts w:ascii="Times New Roman" w:hAnsi="Times New Roman"/>
                <w:b/>
                <w:bCs/>
                <w:sz w:val="20"/>
                <w:szCs w:val="20"/>
              </w:rPr>
              <w:t>A</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812DC6" w:rsidRPr="001C1CCB" w:rsidP="00174F1F" w14:paraId="15ABAD51" w14:textId="445C16B4">
            <w:pPr>
              <w:ind w:firstLine="0"/>
              <w:jc w:val="center"/>
              <w:rPr>
                <w:rFonts w:ascii="Times New Roman" w:hAnsi="Times New Roman"/>
                <w:b/>
                <w:bCs/>
                <w:sz w:val="20"/>
                <w:szCs w:val="20"/>
              </w:rPr>
            </w:pPr>
            <w:r w:rsidRPr="001C1CCB">
              <w:rPr>
                <w:rFonts w:ascii="Times New Roman" w:hAnsi="Times New Roman"/>
                <w:b/>
                <w:bCs/>
                <w:sz w:val="20"/>
                <w:szCs w:val="20"/>
              </w:rPr>
              <w:t>B</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812DC6" w:rsidRPr="001C1CCB" w:rsidP="00174F1F" w14:paraId="7624C5B4" w14:textId="1BDFDC52">
            <w:pPr>
              <w:ind w:firstLine="0"/>
              <w:jc w:val="center"/>
              <w:rPr>
                <w:rFonts w:ascii="Times New Roman" w:hAnsi="Times New Roman"/>
                <w:b/>
                <w:bCs/>
                <w:sz w:val="20"/>
                <w:szCs w:val="20"/>
              </w:rPr>
            </w:pPr>
            <w:r w:rsidRPr="001C1CCB">
              <w:rPr>
                <w:rFonts w:ascii="Times New Roman" w:hAnsi="Times New Roman"/>
                <w:b/>
                <w:bCs/>
                <w:sz w:val="20"/>
                <w:szCs w:val="20"/>
              </w:rPr>
              <w:t>C</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2DC6" w:rsidRPr="001C1CCB" w:rsidP="00174F1F" w14:paraId="7BC18874" w14:textId="761402F6">
            <w:pPr>
              <w:ind w:firstLine="0"/>
              <w:jc w:val="center"/>
              <w:rPr>
                <w:rFonts w:ascii="Times New Roman" w:hAnsi="Times New Roman"/>
                <w:b/>
                <w:bCs/>
                <w:sz w:val="20"/>
                <w:szCs w:val="20"/>
              </w:rPr>
            </w:pPr>
            <w:r w:rsidRPr="001C1CCB">
              <w:rPr>
                <w:rFonts w:ascii="Times New Roman" w:hAnsi="Times New Roman"/>
                <w:b/>
                <w:bCs/>
                <w:sz w:val="20"/>
                <w:szCs w:val="20"/>
              </w:rPr>
              <w:t>D</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812DC6" w:rsidRPr="001C1CCB" w:rsidP="00174F1F" w14:paraId="4A9CCEB0" w14:textId="78C29B03">
            <w:pPr>
              <w:ind w:firstLine="0"/>
              <w:jc w:val="center"/>
              <w:rPr>
                <w:rFonts w:ascii="Times New Roman" w:hAnsi="Times New Roman"/>
                <w:b/>
                <w:bCs/>
                <w:sz w:val="20"/>
                <w:szCs w:val="20"/>
              </w:rPr>
            </w:pPr>
            <w:r w:rsidRPr="001C1CCB">
              <w:rPr>
                <w:rFonts w:ascii="Times New Roman" w:hAnsi="Times New Roman"/>
                <w:b/>
                <w:bCs/>
                <w:sz w:val="20"/>
                <w:szCs w:val="20"/>
              </w:rPr>
              <w:t>E</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12DC6" w:rsidRPr="001C1CCB" w:rsidP="00174F1F" w14:paraId="7CB21C36" w14:textId="5CC1C7D6">
            <w:pPr>
              <w:ind w:firstLine="0"/>
              <w:jc w:val="center"/>
              <w:rPr>
                <w:rFonts w:ascii="Times New Roman" w:hAnsi="Times New Roman"/>
                <w:b/>
                <w:bCs/>
                <w:sz w:val="20"/>
                <w:szCs w:val="20"/>
              </w:rPr>
            </w:pPr>
            <w:r w:rsidRPr="001C1CCB">
              <w:rPr>
                <w:rFonts w:ascii="Times New Roman" w:hAnsi="Times New Roman"/>
                <w:b/>
                <w:bCs/>
                <w:sz w:val="20"/>
                <w:szCs w:val="20"/>
              </w:rPr>
              <w:t>F</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12DC6" w:rsidRPr="001C1CCB" w:rsidP="00174F1F" w14:paraId="57F1417F" w14:textId="111C3F6D">
            <w:pPr>
              <w:ind w:firstLine="0"/>
              <w:jc w:val="center"/>
              <w:rPr>
                <w:rFonts w:ascii="Times New Roman" w:hAnsi="Times New Roman"/>
                <w:sz w:val="20"/>
                <w:szCs w:val="20"/>
              </w:rPr>
            </w:pPr>
            <w:r w:rsidRPr="001C1CCB">
              <w:rPr>
                <w:rFonts w:ascii="Times New Roman" w:hAnsi="Times New Roman"/>
                <w:sz w:val="20"/>
                <w:szCs w:val="20"/>
              </w:rPr>
              <w:t>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12DC6" w:rsidRPr="001C1CCB" w:rsidP="00174F1F" w14:paraId="5D6A84F8" w14:textId="03B9F48B">
            <w:pPr>
              <w:ind w:firstLine="0"/>
              <w:jc w:val="center"/>
              <w:rPr>
                <w:rFonts w:ascii="Times New Roman" w:hAnsi="Times New Roman"/>
                <w:b/>
                <w:bCs/>
                <w:sz w:val="20"/>
                <w:szCs w:val="20"/>
              </w:rPr>
            </w:pPr>
            <w:r w:rsidRPr="001C1CCB">
              <w:rPr>
                <w:rFonts w:ascii="Times New Roman" w:hAnsi="Times New Roman"/>
                <w:b/>
                <w:bCs/>
                <w:sz w:val="20"/>
                <w:szCs w:val="20"/>
              </w:rPr>
              <w:t>H</w:t>
            </w:r>
          </w:p>
        </w:tc>
      </w:tr>
      <w:tr w14:paraId="13C9EC31" w14:textId="77777777" w:rsidTr="000468F2">
        <w:tblPrEx>
          <w:tblW w:w="11065" w:type="dxa"/>
          <w:tblLayout w:type="fixed"/>
          <w:tblLook w:val="00A0"/>
        </w:tblPrEx>
        <w:trPr>
          <w:tblHeader/>
        </w:trPr>
        <w:tc>
          <w:tcPr>
            <w:tcW w:w="1909" w:type="dxa"/>
            <w:tcBorders>
              <w:top w:val="single" w:sz="4" w:space="0" w:color="auto"/>
              <w:left w:val="single" w:sz="4" w:space="0" w:color="auto"/>
              <w:bottom w:val="nil"/>
              <w:right w:val="single" w:sz="4" w:space="0" w:color="auto"/>
            </w:tcBorders>
            <w:shd w:val="clear" w:color="auto" w:fill="auto"/>
            <w:hideMark/>
          </w:tcPr>
          <w:p w:rsidR="00352A68" w:rsidRPr="001C1CCB" w:rsidP="00174F1F" w14:paraId="7B9624BE" w14:textId="77777777">
            <w:pPr>
              <w:ind w:firstLine="0"/>
              <w:jc w:val="center"/>
              <w:rPr>
                <w:rFonts w:ascii="Times New Roman" w:hAnsi="Times New Roman"/>
                <w:b/>
                <w:bCs/>
                <w:sz w:val="20"/>
                <w:szCs w:val="20"/>
              </w:rPr>
            </w:pPr>
            <w:r w:rsidRPr="001C1CCB">
              <w:rPr>
                <w:rFonts w:ascii="Times New Roman" w:hAnsi="Times New Roman"/>
                <w:b/>
                <w:bCs/>
                <w:sz w:val="20"/>
                <w:szCs w:val="20"/>
              </w:rPr>
              <w:t>Information Collection</w:t>
            </w:r>
          </w:p>
          <w:p w:rsidR="00A37DC5" w:rsidRPr="001C1CCB" w:rsidP="00174F1F" w14:paraId="3A6C4AEF" w14:textId="47D7CDFE">
            <w:pPr>
              <w:ind w:firstLine="0"/>
              <w:jc w:val="center"/>
              <w:rPr>
                <w:rFonts w:ascii="Times New Roman" w:hAnsi="Times New Roman"/>
                <w:b/>
                <w:bCs/>
                <w:sz w:val="20"/>
                <w:szCs w:val="20"/>
              </w:rPr>
            </w:pPr>
            <w:r w:rsidRPr="001C1CCB">
              <w:rPr>
                <w:rFonts w:ascii="Times New Roman" w:hAnsi="Times New Roman"/>
                <w:b/>
                <w:bCs/>
                <w:sz w:val="20"/>
                <w:szCs w:val="20"/>
              </w:rPr>
              <w:t>Item</w:t>
            </w:r>
          </w:p>
        </w:tc>
        <w:tc>
          <w:tcPr>
            <w:tcW w:w="1349" w:type="dxa"/>
            <w:gridSpan w:val="2"/>
            <w:tcBorders>
              <w:top w:val="single" w:sz="4" w:space="0" w:color="auto"/>
              <w:left w:val="single" w:sz="4" w:space="0" w:color="auto"/>
              <w:bottom w:val="nil"/>
              <w:right w:val="single" w:sz="4" w:space="0" w:color="auto"/>
            </w:tcBorders>
            <w:shd w:val="clear" w:color="auto" w:fill="auto"/>
            <w:hideMark/>
          </w:tcPr>
          <w:p w:rsidR="00352A68" w:rsidRPr="001C1CCB" w:rsidP="00174F1F" w14:paraId="67837C54" w14:textId="248FB066">
            <w:pPr>
              <w:ind w:firstLine="0"/>
              <w:jc w:val="center"/>
              <w:rPr>
                <w:rFonts w:ascii="Times New Roman" w:hAnsi="Times New Roman"/>
                <w:b/>
                <w:bCs/>
                <w:sz w:val="20"/>
                <w:szCs w:val="20"/>
              </w:rPr>
            </w:pPr>
            <w:r w:rsidRPr="001C1CCB">
              <w:rPr>
                <w:rFonts w:ascii="Times New Roman" w:hAnsi="Times New Roman"/>
                <w:b/>
                <w:bCs/>
                <w:sz w:val="20"/>
                <w:szCs w:val="20"/>
              </w:rPr>
              <w:t>Number of Respondents</w:t>
            </w:r>
            <w:r w:rsidRPr="001C1CCB" w:rsidR="006D67E0">
              <w:rPr>
                <w:rFonts w:ascii="Times New Roman" w:hAnsi="Times New Roman"/>
                <w:b/>
                <w:bCs/>
                <w:sz w:val="20"/>
                <w:szCs w:val="20"/>
              </w:rPr>
              <w:t xml:space="preserve"> (Lenders)</w:t>
            </w:r>
          </w:p>
        </w:tc>
        <w:tc>
          <w:tcPr>
            <w:tcW w:w="1350" w:type="dxa"/>
            <w:gridSpan w:val="2"/>
            <w:tcBorders>
              <w:top w:val="single" w:sz="4" w:space="0" w:color="auto"/>
              <w:left w:val="single" w:sz="4" w:space="0" w:color="auto"/>
              <w:bottom w:val="nil"/>
              <w:right w:val="single" w:sz="4" w:space="0" w:color="auto"/>
            </w:tcBorders>
            <w:shd w:val="clear" w:color="auto" w:fill="auto"/>
            <w:hideMark/>
          </w:tcPr>
          <w:p w:rsidR="00352A68" w:rsidRPr="001C1CCB" w:rsidP="00174F1F" w14:paraId="3A4583A0" w14:textId="376F057B">
            <w:pPr>
              <w:ind w:firstLine="0"/>
              <w:jc w:val="center"/>
              <w:rPr>
                <w:rFonts w:ascii="Times New Roman" w:hAnsi="Times New Roman"/>
                <w:b/>
                <w:bCs/>
                <w:sz w:val="20"/>
                <w:szCs w:val="20"/>
              </w:rPr>
            </w:pPr>
            <w:r w:rsidRPr="001C1CCB">
              <w:rPr>
                <w:rFonts w:ascii="Times New Roman" w:hAnsi="Times New Roman"/>
                <w:b/>
                <w:bCs/>
                <w:sz w:val="20"/>
                <w:szCs w:val="20"/>
              </w:rPr>
              <w:t>Frequency of Response</w:t>
            </w:r>
            <w:r w:rsidRPr="001C1CCB" w:rsidR="006D67E0">
              <w:rPr>
                <w:rFonts w:ascii="Times New Roman" w:hAnsi="Times New Roman"/>
                <w:b/>
                <w:bCs/>
                <w:sz w:val="20"/>
                <w:szCs w:val="20"/>
              </w:rPr>
              <w:t xml:space="preserve"> (</w:t>
            </w:r>
            <w:r w:rsidRPr="001C1CCB" w:rsidR="002611B6">
              <w:rPr>
                <w:rFonts w:ascii="Times New Roman" w:hAnsi="Times New Roman"/>
                <w:b/>
                <w:bCs/>
                <w:sz w:val="20"/>
                <w:szCs w:val="20"/>
              </w:rPr>
              <w:t>1 avg appl.)</w:t>
            </w:r>
          </w:p>
        </w:tc>
        <w:tc>
          <w:tcPr>
            <w:tcW w:w="1417" w:type="dxa"/>
            <w:tcBorders>
              <w:top w:val="single" w:sz="4" w:space="0" w:color="auto"/>
              <w:left w:val="single" w:sz="4" w:space="0" w:color="auto"/>
              <w:bottom w:val="nil"/>
              <w:right w:val="single" w:sz="4" w:space="0" w:color="auto"/>
            </w:tcBorders>
            <w:shd w:val="clear" w:color="auto" w:fill="auto"/>
            <w:hideMark/>
          </w:tcPr>
          <w:p w:rsidR="00352A68" w:rsidRPr="001C1CCB" w:rsidP="00174F1F" w14:paraId="17D75430" w14:textId="1AD09622">
            <w:pPr>
              <w:ind w:firstLine="0"/>
              <w:jc w:val="center"/>
              <w:rPr>
                <w:rFonts w:ascii="Times New Roman" w:hAnsi="Times New Roman"/>
                <w:b/>
                <w:bCs/>
                <w:sz w:val="20"/>
                <w:szCs w:val="20"/>
              </w:rPr>
            </w:pPr>
            <w:r w:rsidRPr="001C1CCB">
              <w:rPr>
                <w:rFonts w:ascii="Times New Roman" w:hAnsi="Times New Roman"/>
                <w:b/>
                <w:bCs/>
                <w:sz w:val="20"/>
                <w:szCs w:val="20"/>
              </w:rPr>
              <w:t>Total Annual Responses</w:t>
            </w:r>
            <w:r w:rsidRPr="001C1CCB" w:rsidR="00076639">
              <w:rPr>
                <w:rFonts w:ascii="Times New Roman" w:hAnsi="Times New Roman"/>
                <w:b/>
                <w:bCs/>
                <w:sz w:val="20"/>
                <w:szCs w:val="20"/>
              </w:rPr>
              <w:t xml:space="preserve"> (</w:t>
            </w:r>
            <w:r w:rsidRPr="001C1CCB" w:rsidR="00B76DA4">
              <w:rPr>
                <w:rFonts w:ascii="Times New Roman" w:hAnsi="Times New Roman"/>
                <w:b/>
                <w:bCs/>
                <w:sz w:val="20"/>
                <w:szCs w:val="20"/>
              </w:rPr>
              <w:t>B x C)</w:t>
            </w:r>
          </w:p>
        </w:tc>
        <w:tc>
          <w:tcPr>
            <w:tcW w:w="1193" w:type="dxa"/>
            <w:gridSpan w:val="2"/>
            <w:tcBorders>
              <w:top w:val="single" w:sz="4" w:space="0" w:color="auto"/>
              <w:left w:val="single" w:sz="4" w:space="0" w:color="auto"/>
              <w:bottom w:val="nil"/>
              <w:right w:val="single" w:sz="4" w:space="0" w:color="auto"/>
            </w:tcBorders>
            <w:shd w:val="clear" w:color="auto" w:fill="auto"/>
          </w:tcPr>
          <w:p w:rsidR="00352A68" w:rsidRPr="001C1CCB" w:rsidP="00174F1F" w14:paraId="3AC57EB8" w14:textId="77777777">
            <w:pPr>
              <w:ind w:firstLine="0"/>
              <w:jc w:val="center"/>
              <w:rPr>
                <w:rFonts w:ascii="Times New Roman" w:hAnsi="Times New Roman"/>
                <w:b/>
                <w:bCs/>
                <w:sz w:val="20"/>
                <w:szCs w:val="20"/>
              </w:rPr>
            </w:pPr>
            <w:r w:rsidRPr="001C1CCB">
              <w:rPr>
                <w:rFonts w:ascii="Times New Roman" w:hAnsi="Times New Roman"/>
                <w:b/>
                <w:bCs/>
                <w:sz w:val="20"/>
                <w:szCs w:val="20"/>
              </w:rPr>
              <w:t>Burden Hour Per Response</w:t>
            </w:r>
          </w:p>
        </w:tc>
        <w:tc>
          <w:tcPr>
            <w:tcW w:w="1057" w:type="dxa"/>
            <w:tcBorders>
              <w:top w:val="single" w:sz="4" w:space="0" w:color="auto"/>
              <w:left w:val="single" w:sz="4" w:space="0" w:color="auto"/>
              <w:bottom w:val="nil"/>
              <w:right w:val="single" w:sz="4" w:space="0" w:color="auto"/>
            </w:tcBorders>
            <w:shd w:val="clear" w:color="auto" w:fill="auto"/>
            <w:hideMark/>
          </w:tcPr>
          <w:p w:rsidR="008A4956" w:rsidRPr="001C1CCB" w:rsidP="008A4956" w14:paraId="459B250C" w14:textId="3746479B">
            <w:pPr>
              <w:ind w:firstLine="0"/>
              <w:jc w:val="center"/>
              <w:rPr>
                <w:rFonts w:ascii="Times New Roman" w:hAnsi="Times New Roman"/>
                <w:b/>
                <w:bCs/>
                <w:sz w:val="20"/>
                <w:szCs w:val="20"/>
              </w:rPr>
            </w:pPr>
            <w:r w:rsidRPr="001C1CCB">
              <w:rPr>
                <w:rFonts w:ascii="Times New Roman" w:hAnsi="Times New Roman"/>
                <w:b/>
                <w:bCs/>
                <w:sz w:val="20"/>
                <w:szCs w:val="20"/>
              </w:rPr>
              <w:t>B</w:t>
            </w:r>
            <w:r w:rsidRPr="001C1CCB" w:rsidR="00352A68">
              <w:rPr>
                <w:rFonts w:ascii="Times New Roman" w:hAnsi="Times New Roman"/>
                <w:b/>
                <w:bCs/>
                <w:sz w:val="20"/>
                <w:szCs w:val="20"/>
              </w:rPr>
              <w:t>urden</w:t>
            </w:r>
            <w:r w:rsidRPr="001C1CCB" w:rsidR="00B76DA4">
              <w:rPr>
                <w:rFonts w:ascii="Times New Roman" w:hAnsi="Times New Roman"/>
                <w:b/>
                <w:bCs/>
                <w:sz w:val="20"/>
                <w:szCs w:val="20"/>
              </w:rPr>
              <w:t xml:space="preserve"> Hrs</w:t>
            </w:r>
            <w:r w:rsidRPr="001C1CCB">
              <w:rPr>
                <w:rFonts w:ascii="Times New Roman" w:hAnsi="Times New Roman"/>
                <w:b/>
                <w:bCs/>
                <w:sz w:val="20"/>
                <w:szCs w:val="20"/>
              </w:rPr>
              <w:t xml:space="preserve">/Yr </w:t>
            </w:r>
            <w:r w:rsidRPr="001C1CCB">
              <w:rPr>
                <w:rFonts w:ascii="Times New Roman" w:hAnsi="Times New Roman"/>
                <w:b/>
                <w:bCs/>
                <w:sz w:val="20"/>
                <w:szCs w:val="20"/>
              </w:rPr>
              <w:t>(D x E)</w:t>
            </w:r>
          </w:p>
        </w:tc>
        <w:tc>
          <w:tcPr>
            <w:tcW w:w="1260" w:type="dxa"/>
            <w:tcBorders>
              <w:top w:val="single" w:sz="4" w:space="0" w:color="auto"/>
              <w:left w:val="single" w:sz="4" w:space="0" w:color="auto"/>
              <w:bottom w:val="nil"/>
              <w:right w:val="single" w:sz="4" w:space="0" w:color="auto"/>
            </w:tcBorders>
            <w:shd w:val="clear" w:color="auto" w:fill="auto"/>
          </w:tcPr>
          <w:p w:rsidR="00352A68" w:rsidRPr="001C1CCB" w:rsidP="00174F1F" w14:paraId="6BE90CC8" w14:textId="6A34E023">
            <w:pPr>
              <w:ind w:firstLine="0"/>
              <w:jc w:val="center"/>
              <w:rPr>
                <w:rFonts w:ascii="Times New Roman" w:hAnsi="Times New Roman"/>
                <w:b/>
                <w:bCs/>
                <w:sz w:val="20"/>
                <w:szCs w:val="20"/>
              </w:rPr>
            </w:pPr>
            <w:r w:rsidRPr="001C1CCB">
              <w:rPr>
                <w:rFonts w:ascii="Times New Roman" w:hAnsi="Times New Roman"/>
                <w:b/>
                <w:bCs/>
                <w:sz w:val="20"/>
                <w:szCs w:val="20"/>
              </w:rPr>
              <w:t>Hourly Cost Per Response</w:t>
            </w:r>
            <w:r w:rsidRPr="001C1CCB" w:rsidR="00165571">
              <w:rPr>
                <w:rFonts w:ascii="Times New Roman" w:hAnsi="Times New Roman"/>
                <w:b/>
                <w:bCs/>
                <w:sz w:val="20"/>
                <w:szCs w:val="20"/>
              </w:rPr>
              <w:t>)</w:t>
            </w:r>
          </w:p>
        </w:tc>
        <w:tc>
          <w:tcPr>
            <w:tcW w:w="1530" w:type="dxa"/>
            <w:tcBorders>
              <w:top w:val="single" w:sz="4" w:space="0" w:color="auto"/>
              <w:left w:val="single" w:sz="4" w:space="0" w:color="auto"/>
              <w:bottom w:val="nil"/>
              <w:right w:val="single" w:sz="4" w:space="0" w:color="auto"/>
            </w:tcBorders>
            <w:shd w:val="clear" w:color="auto" w:fill="auto"/>
            <w:hideMark/>
          </w:tcPr>
          <w:p w:rsidR="00352A68" w:rsidRPr="001C1CCB" w:rsidP="00174F1F" w14:paraId="669C432C" w14:textId="04457854">
            <w:pPr>
              <w:ind w:firstLine="0"/>
              <w:jc w:val="center"/>
              <w:rPr>
                <w:rFonts w:ascii="Times New Roman" w:hAnsi="Times New Roman"/>
                <w:b/>
                <w:bCs/>
                <w:sz w:val="20"/>
                <w:szCs w:val="20"/>
              </w:rPr>
            </w:pPr>
            <w:r w:rsidRPr="001C1CCB">
              <w:rPr>
                <w:rFonts w:ascii="Times New Roman" w:hAnsi="Times New Roman"/>
                <w:b/>
                <w:bCs/>
                <w:sz w:val="20"/>
                <w:szCs w:val="20"/>
              </w:rPr>
              <w:t>Total Annual Cost</w:t>
            </w:r>
            <w:r w:rsidRPr="001C1CCB" w:rsidR="00C52098">
              <w:rPr>
                <w:rFonts w:ascii="Times New Roman" w:hAnsi="Times New Roman"/>
                <w:b/>
                <w:bCs/>
                <w:sz w:val="20"/>
                <w:szCs w:val="20"/>
              </w:rPr>
              <w:t xml:space="preserve"> (F x G)</w:t>
            </w:r>
          </w:p>
        </w:tc>
      </w:tr>
      <w:tr w14:paraId="75E2C692" w14:textId="77777777" w:rsidTr="005510F9">
        <w:tblPrEx>
          <w:tblW w:w="11065" w:type="dxa"/>
          <w:tblLayout w:type="fixed"/>
          <w:tblLook w:val="00A0"/>
        </w:tblPrEx>
        <w:trPr>
          <w:cantSplit/>
          <w:trHeight w:val="338"/>
          <w:tblHeader/>
        </w:trPr>
        <w:tc>
          <w:tcPr>
            <w:tcW w:w="1106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9022F" w:rsidRPr="001C1CCB" w:rsidP="0009022F" w14:paraId="4F9DDAE1" w14:textId="20723F77">
            <w:pPr>
              <w:ind w:firstLine="0"/>
              <w:rPr>
                <w:rFonts w:ascii="Times New Roman" w:hAnsi="Times New Roman"/>
                <w:b/>
                <w:bCs/>
                <w:sz w:val="20"/>
                <w:szCs w:val="20"/>
              </w:rPr>
            </w:pPr>
            <w:r w:rsidRPr="001C1CCB">
              <w:rPr>
                <w:rFonts w:ascii="Times New Roman" w:hAnsi="Times New Roman"/>
                <w:b/>
                <w:bCs/>
                <w:sz w:val="20"/>
                <w:szCs w:val="20"/>
              </w:rPr>
              <w:t>Non-Standard Practice Forms Required for All Applications:</w:t>
            </w:r>
          </w:p>
        </w:tc>
      </w:tr>
      <w:tr w14:paraId="236BD82D"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hideMark/>
          </w:tcPr>
          <w:p w:rsidR="00352A68" w:rsidRPr="001C1CCB" w:rsidP="00174F1F" w14:paraId="17E8D144" w14:textId="0C7F1168">
            <w:pPr>
              <w:ind w:firstLine="0"/>
              <w:rPr>
                <w:rFonts w:ascii="Times New Roman" w:hAnsi="Times New Roman"/>
                <w:sz w:val="20"/>
                <w:szCs w:val="20"/>
              </w:rPr>
            </w:pPr>
            <w:r w:rsidRPr="001C1CCB">
              <w:rPr>
                <w:rFonts w:ascii="Times New Roman" w:hAnsi="Times New Roman"/>
                <w:sz w:val="20"/>
                <w:szCs w:val="20"/>
              </w:rPr>
              <w:t xml:space="preserve">Lenders Narrative </w:t>
            </w:r>
            <w:r w:rsidRPr="001C1CCB" w:rsidR="0094131E">
              <w:rPr>
                <w:rFonts w:ascii="Times New Roman" w:hAnsi="Times New Roman"/>
                <w:sz w:val="20"/>
                <w:szCs w:val="20"/>
              </w:rPr>
              <w:t>Report (</w:t>
            </w:r>
            <w:r w:rsidRPr="001C1CCB">
              <w:rPr>
                <w:rFonts w:ascii="Times New Roman" w:hAnsi="Times New Roman"/>
                <w:sz w:val="20"/>
                <w:szCs w:val="20"/>
              </w:rPr>
              <w:t>include non</w:t>
            </w:r>
            <w:r w:rsidRPr="001C1CCB" w:rsidR="00593614">
              <w:rPr>
                <w:rFonts w:ascii="Times New Roman" w:hAnsi="Times New Roman"/>
                <w:sz w:val="20"/>
                <w:szCs w:val="20"/>
              </w:rPr>
              <w:t>-</w:t>
            </w:r>
            <w:r w:rsidRPr="001C1CCB">
              <w:rPr>
                <w:rFonts w:ascii="Times New Roman" w:hAnsi="Times New Roman"/>
                <w:sz w:val="20"/>
                <w:szCs w:val="20"/>
              </w:rPr>
              <w:t xml:space="preserve"> form Certifications )</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hideMark/>
          </w:tcPr>
          <w:p w:rsidR="00352A68" w:rsidRPr="001C1CCB" w:rsidP="00174F1F" w14:paraId="59B0EBDA" w14:textId="77777777">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352A68" w:rsidRPr="001C1CCB" w:rsidP="00174F1F" w14:paraId="7354F557" w14:textId="545D511F">
            <w:pPr>
              <w:ind w:firstLine="0"/>
              <w:rPr>
                <w:rFonts w:ascii="Times New Roman" w:hAnsi="Times New Roman"/>
                <w:sz w:val="20"/>
                <w:szCs w:val="20"/>
              </w:rPr>
            </w:pPr>
            <w:r w:rsidRPr="001C1CCB">
              <w:rPr>
                <w:rFonts w:ascii="Times New Roman" w:hAnsi="Times New Roman"/>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52A68" w:rsidRPr="001C1CCB" w:rsidP="00174F1F" w14:paraId="1D550112" w14:textId="77777777">
            <w:pPr>
              <w:ind w:firstLine="0"/>
              <w:rPr>
                <w:rFonts w:ascii="Times New Roman" w:hAnsi="Times New Roman"/>
                <w:sz w:val="20"/>
                <w:szCs w:val="20"/>
              </w:rPr>
            </w:pPr>
            <w:r w:rsidRPr="001C1CCB">
              <w:rPr>
                <w:rFonts w:ascii="Times New Roman" w:hAnsi="Times New Roman"/>
                <w:sz w:val="20"/>
                <w:szCs w:val="20"/>
              </w:rPr>
              <w:t>86</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352A68" w:rsidRPr="001C1CCB" w:rsidP="00174F1F" w14:paraId="6116C9C2" w14:textId="19465F68">
            <w:pPr>
              <w:ind w:firstLine="0"/>
              <w:rPr>
                <w:rFonts w:ascii="Times New Roman" w:hAnsi="Times New Roman"/>
                <w:sz w:val="20"/>
                <w:szCs w:val="20"/>
              </w:rPr>
            </w:pPr>
            <w:r w:rsidRPr="001C1CCB">
              <w:rPr>
                <w:rFonts w:ascii="Times New Roman" w:hAnsi="Times New Roman"/>
                <w:sz w:val="20"/>
                <w:szCs w:val="20"/>
              </w:rPr>
              <w:t>1</w:t>
            </w:r>
            <w:r w:rsidRPr="001C1CCB" w:rsidR="00A556B6">
              <w:rPr>
                <w:rFonts w:ascii="Times New Roman" w:hAnsi="Times New Roman"/>
                <w:sz w:val="20"/>
                <w:szCs w:val="20"/>
              </w:rPr>
              <w:t>6</w:t>
            </w:r>
            <w:r w:rsidRPr="001C1CCB">
              <w:rPr>
                <w:rFonts w:ascii="Times New Roman" w:hAnsi="Times New Roman"/>
                <w:sz w:val="20"/>
                <w:szCs w:val="20"/>
              </w:rPr>
              <w:t>.</w:t>
            </w:r>
            <w:r w:rsidRPr="001C1CCB" w:rsidR="00C16365">
              <w:rPr>
                <w:rFonts w:ascii="Times New Roman" w:hAnsi="Times New Roman"/>
                <w:sz w:val="20"/>
                <w:szCs w:val="20"/>
              </w:rPr>
              <w:t>0</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352A68" w:rsidRPr="001C1CCB" w:rsidP="00174F1F" w14:paraId="4246F67C" w14:textId="3BC6D3AD">
            <w:pPr>
              <w:ind w:firstLine="0"/>
              <w:rPr>
                <w:rFonts w:ascii="Times New Roman" w:hAnsi="Times New Roman"/>
                <w:sz w:val="20"/>
                <w:szCs w:val="20"/>
              </w:rPr>
            </w:pPr>
            <w:r w:rsidRPr="001C1CCB">
              <w:rPr>
                <w:rFonts w:ascii="Times New Roman" w:hAnsi="Times New Roman"/>
                <w:sz w:val="20"/>
                <w:szCs w:val="20"/>
              </w:rPr>
              <w:t>1376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76345" w:rsidRPr="001C1CCB" w:rsidP="00174F1F" w14:paraId="39EE3D1F" w14:textId="55B364D8">
            <w:pPr>
              <w:ind w:firstLine="0"/>
              <w:rPr>
                <w:rFonts w:ascii="Times New Roman" w:hAnsi="Times New Roman"/>
                <w:sz w:val="20"/>
                <w:szCs w:val="20"/>
              </w:rPr>
            </w:pPr>
            <w:r w:rsidRPr="001C1CCB">
              <w:rPr>
                <w:rFonts w:ascii="Times New Roman" w:hAnsi="Times New Roman"/>
                <w:sz w:val="20"/>
                <w:szCs w:val="20"/>
              </w:rPr>
              <w:t>$</w:t>
            </w:r>
            <w:r w:rsidRPr="001C1CCB">
              <w:rPr>
                <w:rFonts w:ascii="Times New Roman" w:hAnsi="Times New Roman"/>
                <w:sz w:val="20"/>
                <w:szCs w:val="20"/>
              </w:rPr>
              <w:t>54.26</w:t>
            </w:r>
          </w:p>
          <w:p w:rsidR="00352A68" w:rsidRPr="001C1CCB" w:rsidP="00174F1F" w14:paraId="376AD92D" w14:textId="1203E17D">
            <w:pPr>
              <w:ind w:firstLine="0"/>
              <w:rPr>
                <w:rFonts w:ascii="Times New Roman" w:hAnsi="Times New Roman"/>
                <w:sz w:val="20"/>
                <w:szCs w:val="20"/>
              </w:rPr>
            </w:pPr>
            <w:r w:rsidRPr="001C1CCB">
              <w:rPr>
                <w:rFonts w:ascii="Times New Roman" w:hAnsi="Times New Roman"/>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D41E95" w:rsidRPr="001C1CCB" w:rsidP="00174F1F" w14:paraId="5708E186" w14:textId="5E3099DE">
            <w:pPr>
              <w:ind w:firstLine="0"/>
              <w:rPr>
                <w:rFonts w:ascii="Times New Roman" w:hAnsi="Times New Roman"/>
                <w:sz w:val="20"/>
                <w:szCs w:val="20"/>
              </w:rPr>
            </w:pPr>
            <w:r w:rsidRPr="001C1CCB">
              <w:rPr>
                <w:rFonts w:ascii="Times New Roman" w:hAnsi="Times New Roman"/>
                <w:sz w:val="20"/>
                <w:szCs w:val="20"/>
              </w:rPr>
              <w:t>$</w:t>
            </w:r>
            <w:r w:rsidRPr="001C1CCB" w:rsidR="00093AD7">
              <w:rPr>
                <w:rFonts w:ascii="Times New Roman" w:hAnsi="Times New Roman"/>
                <w:sz w:val="20"/>
                <w:szCs w:val="20"/>
              </w:rPr>
              <w:t>74</w:t>
            </w:r>
            <w:r w:rsidRPr="001C1CCB">
              <w:rPr>
                <w:rFonts w:ascii="Times New Roman" w:hAnsi="Times New Roman"/>
                <w:sz w:val="20"/>
                <w:szCs w:val="20"/>
              </w:rPr>
              <w:t>,667</w:t>
            </w:r>
          </w:p>
          <w:p w:rsidR="00352A68" w:rsidRPr="001C1CCB" w:rsidP="00174F1F" w14:paraId="191A5CEE" w14:textId="417F9877">
            <w:pPr>
              <w:ind w:firstLine="0"/>
              <w:rPr>
                <w:rFonts w:ascii="Times New Roman" w:hAnsi="Times New Roman"/>
                <w:sz w:val="20"/>
                <w:szCs w:val="20"/>
              </w:rPr>
            </w:pPr>
            <w:r w:rsidRPr="001C1CCB">
              <w:rPr>
                <w:rFonts w:ascii="Times New Roman" w:hAnsi="Times New Roman"/>
                <w:sz w:val="20"/>
                <w:szCs w:val="20"/>
              </w:rPr>
              <w:t xml:space="preserve"> </w:t>
            </w:r>
          </w:p>
        </w:tc>
      </w:tr>
      <w:tr w14:paraId="66CBC5D7"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101B6C" w:rsidRPr="001C1CCB" w:rsidP="00101B6C" w14:paraId="1E32F647" w14:textId="2ECBB361">
            <w:pPr>
              <w:ind w:firstLine="0"/>
              <w:rPr>
                <w:rFonts w:ascii="Times New Roman" w:hAnsi="Times New Roman"/>
                <w:sz w:val="20"/>
                <w:szCs w:val="20"/>
              </w:rPr>
            </w:pPr>
            <w:r w:rsidRPr="001C1CCB">
              <w:rPr>
                <w:rFonts w:ascii="Times New Roman" w:hAnsi="Times New Roman"/>
                <w:sz w:val="20"/>
                <w:szCs w:val="20"/>
              </w:rPr>
              <w:t>Firm Commitment Extensio</w:t>
            </w:r>
            <w:r w:rsidRPr="001C1CCB" w:rsidR="00AB6E07">
              <w:rPr>
                <w:rFonts w:ascii="Times New Roman" w:hAnsi="Times New Roman"/>
                <w:sz w:val="20"/>
                <w:szCs w:val="20"/>
              </w:rPr>
              <w:t xml:space="preserve">ns </w:t>
            </w:r>
            <w:r w:rsidRPr="001C1CCB" w:rsidR="0094131E">
              <w:rPr>
                <w:rFonts w:ascii="Times New Roman" w:hAnsi="Times New Roman"/>
                <w:sz w:val="20"/>
                <w:szCs w:val="20"/>
              </w:rPr>
              <w:t>or Amendments</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101B6C" w:rsidRPr="001C1CCB" w:rsidP="00101B6C" w14:paraId="241EC9F3" w14:textId="6A4001B3">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101B6C" w:rsidRPr="001C1CCB" w:rsidP="00101B6C" w14:paraId="4C36460B" w14:textId="0A10B790">
            <w:pPr>
              <w:ind w:firstLine="0"/>
              <w:rPr>
                <w:rFonts w:ascii="Times New Roman" w:hAnsi="Times New Roman"/>
                <w:sz w:val="20"/>
                <w:szCs w:val="20"/>
              </w:rPr>
            </w:pPr>
            <w:r w:rsidRPr="001C1CCB">
              <w:rPr>
                <w:rFonts w:ascii="Times New Roman" w:hAnsi="Times New Roman"/>
                <w:sz w:val="20"/>
                <w:szCs w:val="20"/>
              </w:rPr>
              <w:t>77</w:t>
            </w:r>
            <w:r w:rsidRPr="001C1CCB" w:rsidR="00A9758E">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01B6C" w:rsidRPr="001C1CCB" w:rsidP="00101B6C" w14:paraId="5929FADF" w14:textId="42B33AAD">
            <w:pPr>
              <w:ind w:firstLine="0"/>
              <w:rPr>
                <w:rFonts w:ascii="Times New Roman" w:hAnsi="Times New Roman"/>
                <w:sz w:val="20"/>
                <w:szCs w:val="20"/>
              </w:rPr>
            </w:pPr>
            <w:r w:rsidRPr="001C1CCB">
              <w:rPr>
                <w:rFonts w:ascii="Times New Roman" w:hAnsi="Times New Roman"/>
                <w:sz w:val="20"/>
                <w:szCs w:val="20"/>
              </w:rPr>
              <w:t>65.85</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101B6C" w:rsidRPr="001C1CCB" w:rsidP="00101B6C" w14:paraId="3A8A25E9" w14:textId="52B319E1">
            <w:pPr>
              <w:ind w:firstLine="0"/>
              <w:rPr>
                <w:rFonts w:ascii="Times New Roman" w:hAnsi="Times New Roman"/>
                <w:sz w:val="20"/>
                <w:szCs w:val="20"/>
              </w:rPr>
            </w:pPr>
            <w:r w:rsidRPr="001C1CCB">
              <w:rPr>
                <w:rFonts w:ascii="Times New Roman" w:hAnsi="Times New Roman"/>
                <w:sz w:val="20"/>
                <w:szCs w:val="20"/>
              </w:rPr>
              <w:t>4.0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01B6C" w:rsidRPr="001C1CCB" w:rsidP="00101B6C" w14:paraId="60DD40DF" w14:textId="53CB363E">
            <w:pPr>
              <w:ind w:firstLine="0"/>
              <w:rPr>
                <w:rFonts w:ascii="Times New Roman" w:hAnsi="Times New Roman"/>
                <w:sz w:val="20"/>
                <w:szCs w:val="20"/>
              </w:rPr>
            </w:pPr>
            <w:r w:rsidRPr="001C1CCB">
              <w:rPr>
                <w:rFonts w:ascii="Times New Roman" w:hAnsi="Times New Roman"/>
                <w:sz w:val="20"/>
                <w:szCs w:val="20"/>
              </w:rPr>
              <w:t>26</w:t>
            </w:r>
            <w:r w:rsidRPr="001C1CCB" w:rsidR="00685029">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01B6C" w:rsidRPr="001C1CCB" w:rsidP="00101B6C" w14:paraId="230E9410" w14:textId="698A279F">
            <w:pPr>
              <w:ind w:firstLine="0"/>
              <w:rPr>
                <w:rFonts w:ascii="Times New Roman" w:hAnsi="Times New Roman"/>
                <w:sz w:val="20"/>
                <w:szCs w:val="20"/>
              </w:rPr>
            </w:pPr>
            <w:r w:rsidRPr="001C1CCB">
              <w:rPr>
                <w:rFonts w:ascii="Times New Roman" w:hAnsi="Times New Roman"/>
                <w:sz w:val="20"/>
                <w:szCs w:val="20"/>
              </w:rPr>
              <w:t>$</w:t>
            </w:r>
            <w:r w:rsidRPr="001C1CCB" w:rsidR="00685029">
              <w:rPr>
                <w:rFonts w:ascii="Times New Roman" w:hAnsi="Times New Roman"/>
                <w:sz w:val="20"/>
                <w:szCs w:val="20"/>
              </w:rPr>
              <w:t>39.27</w:t>
            </w:r>
            <w:r w:rsidRPr="001C1CCB">
              <w:rPr>
                <w:rFonts w:ascii="Times New Roman" w:hAnsi="Times New Roman"/>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01B6C" w:rsidRPr="001C1CCB" w:rsidP="00101B6C" w14:paraId="0152F69E" w14:textId="473A109B">
            <w:pPr>
              <w:ind w:firstLine="0"/>
              <w:rPr>
                <w:rFonts w:ascii="Times New Roman" w:hAnsi="Times New Roman"/>
                <w:sz w:val="20"/>
                <w:szCs w:val="20"/>
              </w:rPr>
            </w:pPr>
            <w:r w:rsidRPr="001C1CCB">
              <w:rPr>
                <w:rFonts w:ascii="Times New Roman" w:hAnsi="Times New Roman"/>
                <w:sz w:val="20"/>
                <w:szCs w:val="20"/>
              </w:rPr>
              <w:t>$</w:t>
            </w:r>
            <w:r w:rsidRPr="001C1CCB" w:rsidR="005B6D42">
              <w:rPr>
                <w:rFonts w:ascii="Times New Roman" w:hAnsi="Times New Roman"/>
                <w:sz w:val="20"/>
                <w:szCs w:val="20"/>
              </w:rPr>
              <w:t>10</w:t>
            </w:r>
            <w:r w:rsidRPr="001C1CCB">
              <w:rPr>
                <w:rFonts w:ascii="Times New Roman" w:hAnsi="Times New Roman"/>
                <w:sz w:val="20"/>
                <w:szCs w:val="20"/>
              </w:rPr>
              <w:t>,</w:t>
            </w:r>
            <w:r w:rsidRPr="001C1CCB" w:rsidR="005B6D42">
              <w:rPr>
                <w:rFonts w:ascii="Times New Roman" w:hAnsi="Times New Roman"/>
                <w:sz w:val="20"/>
                <w:szCs w:val="20"/>
              </w:rPr>
              <w:t>343</w:t>
            </w:r>
            <w:r w:rsidRPr="001C1CCB">
              <w:rPr>
                <w:rFonts w:ascii="Times New Roman" w:hAnsi="Times New Roman"/>
                <w:sz w:val="20"/>
                <w:szCs w:val="20"/>
              </w:rPr>
              <w:t xml:space="preserve"> </w:t>
            </w:r>
          </w:p>
        </w:tc>
      </w:tr>
      <w:tr w14:paraId="1CA68174"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910091" w:rsidRPr="001C1CCB" w:rsidP="00101B6C" w14:paraId="0F4EBCD8" w14:textId="0246BFD3">
            <w:pPr>
              <w:ind w:firstLine="0"/>
              <w:rPr>
                <w:rFonts w:ascii="Times New Roman" w:hAnsi="Times New Roman"/>
                <w:sz w:val="20"/>
                <w:szCs w:val="20"/>
              </w:rPr>
            </w:pPr>
            <w:r w:rsidRPr="001C1CCB">
              <w:rPr>
                <w:rFonts w:ascii="Times New Roman" w:hAnsi="Times New Roman"/>
                <w:sz w:val="20"/>
                <w:szCs w:val="20"/>
              </w:rPr>
              <w:t>Application</w:t>
            </w:r>
            <w:r w:rsidRPr="001C1CCB" w:rsidR="00613762">
              <w:rPr>
                <w:rFonts w:ascii="Times New Roman" w:hAnsi="Times New Roman"/>
                <w:sz w:val="20"/>
                <w:szCs w:val="20"/>
              </w:rPr>
              <w:t xml:space="preserve"> Checklists, </w:t>
            </w:r>
            <w:r w:rsidRPr="001C1CCB">
              <w:rPr>
                <w:rFonts w:ascii="Times New Roman" w:hAnsi="Times New Roman"/>
                <w:sz w:val="20"/>
                <w:szCs w:val="20"/>
              </w:rPr>
              <w:t>Assembly &amp; Delivery</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910091" w:rsidRPr="001C1CCB" w:rsidP="00101B6C" w14:paraId="5AAF68F0" w14:textId="0AA68D56">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910091" w:rsidRPr="001C1CCB" w:rsidP="00101B6C" w14:paraId="265ED25B" w14:textId="77777777">
            <w:pPr>
              <w:ind w:firstLine="0"/>
              <w:rPr>
                <w:rFonts w:ascii="Times New Roman" w:hAnsi="Times New Roman"/>
                <w:sz w:val="20"/>
                <w:szCs w:val="20"/>
              </w:rPr>
            </w:pPr>
            <w:r w:rsidRPr="001C1CCB">
              <w:rPr>
                <w:rFonts w:ascii="Times New Roman" w:hAnsi="Times New Roman"/>
                <w:sz w:val="20"/>
                <w:szCs w:val="20"/>
              </w:rPr>
              <w:t>100%</w:t>
            </w:r>
          </w:p>
          <w:p w:rsidR="00D53F32" w:rsidRPr="001C1CCB" w:rsidP="00101B6C" w14:paraId="1659B39C" w14:textId="59C64556">
            <w:pPr>
              <w:ind w:firstLine="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0091" w:rsidRPr="001C1CCB" w:rsidP="00101B6C" w14:paraId="0A4C2D5C" w14:textId="647655DA">
            <w:pPr>
              <w:ind w:firstLine="0"/>
              <w:rPr>
                <w:rFonts w:ascii="Times New Roman" w:hAnsi="Times New Roman"/>
                <w:sz w:val="20"/>
                <w:szCs w:val="20"/>
              </w:rPr>
            </w:pPr>
            <w:r w:rsidRPr="001C1CCB">
              <w:rPr>
                <w:rFonts w:ascii="Times New Roman" w:hAnsi="Times New Roman"/>
                <w:sz w:val="20"/>
                <w:szCs w:val="20"/>
              </w:rPr>
              <w:t>86</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910091" w:rsidRPr="001C1CCB" w:rsidP="00101B6C" w14:paraId="2774D30D" w14:textId="4166CF37">
            <w:pPr>
              <w:ind w:firstLine="0"/>
              <w:rPr>
                <w:rFonts w:ascii="Times New Roman" w:hAnsi="Times New Roman"/>
                <w:sz w:val="20"/>
                <w:szCs w:val="20"/>
              </w:rPr>
            </w:pPr>
            <w:r w:rsidRPr="001C1CCB">
              <w:rPr>
                <w:rFonts w:ascii="Times New Roman" w:hAnsi="Times New Roman"/>
                <w:sz w:val="20"/>
                <w:szCs w:val="20"/>
              </w:rPr>
              <w:t>5.0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10091" w:rsidRPr="001C1CCB" w:rsidP="00101B6C" w14:paraId="47D16F24" w14:textId="47313318">
            <w:pPr>
              <w:ind w:firstLine="0"/>
              <w:rPr>
                <w:rFonts w:ascii="Times New Roman" w:hAnsi="Times New Roman"/>
                <w:sz w:val="20"/>
                <w:szCs w:val="20"/>
              </w:rPr>
            </w:pPr>
            <w:r w:rsidRPr="001C1CCB">
              <w:rPr>
                <w:rFonts w:ascii="Times New Roman" w:hAnsi="Times New Roman"/>
                <w:sz w:val="20"/>
                <w:szCs w:val="20"/>
              </w:rPr>
              <w:t>430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10091" w:rsidRPr="001C1CCB" w:rsidP="00101B6C" w14:paraId="48A1949D" w14:textId="241CAECE">
            <w:pPr>
              <w:ind w:firstLine="0"/>
              <w:rPr>
                <w:rFonts w:ascii="Times New Roman" w:hAnsi="Times New Roman"/>
                <w:sz w:val="20"/>
                <w:szCs w:val="20"/>
              </w:rPr>
            </w:pPr>
            <w:r w:rsidRPr="001C1CCB">
              <w:rPr>
                <w:rFonts w:ascii="Times New Roman" w:hAnsi="Times New Roman"/>
                <w:sz w:val="20"/>
                <w:szCs w:val="20"/>
              </w:rPr>
              <w:t>$39.27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10091" w:rsidRPr="001C1CCB" w:rsidP="00101B6C" w14:paraId="79CF3162" w14:textId="28141232">
            <w:pPr>
              <w:ind w:firstLine="0"/>
              <w:rPr>
                <w:rFonts w:ascii="Times New Roman" w:hAnsi="Times New Roman"/>
                <w:sz w:val="20"/>
                <w:szCs w:val="20"/>
              </w:rPr>
            </w:pPr>
            <w:r w:rsidRPr="001C1CCB">
              <w:rPr>
                <w:rFonts w:ascii="Times New Roman" w:hAnsi="Times New Roman"/>
                <w:sz w:val="20"/>
                <w:szCs w:val="20"/>
              </w:rPr>
              <w:t>$16,885</w:t>
            </w:r>
          </w:p>
        </w:tc>
      </w:tr>
      <w:tr w14:paraId="6B933440" w14:textId="77777777" w:rsidTr="007C29F5">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01B6C" w:rsidRPr="001C1CCB" w:rsidP="00101B6C" w14:paraId="7B50F549" w14:textId="77777777">
            <w:pPr>
              <w:ind w:firstLine="0"/>
              <w:jc w:val="right"/>
              <w:rPr>
                <w:rFonts w:ascii="Times New Roman" w:hAnsi="Times New Roman"/>
                <w:i/>
                <w:iCs/>
                <w:sz w:val="20"/>
                <w:szCs w:val="20"/>
              </w:rPr>
            </w:pPr>
            <w:r w:rsidRPr="001C1CCB">
              <w:rPr>
                <w:rFonts w:ascii="Times New Roman" w:hAnsi="Times New Roman"/>
                <w:i/>
                <w:iCs/>
                <w:sz w:val="20"/>
                <w:szCs w:val="20"/>
              </w:rPr>
              <w:t>Sub Total</w:t>
            </w:r>
          </w:p>
        </w:tc>
        <w:tc>
          <w:tcPr>
            <w:tcW w:w="1349"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rsidR="00101B6C" w:rsidRPr="001C1CCB" w:rsidP="00101B6C" w14:paraId="6BDEE189" w14:textId="1122B1A5">
            <w:pPr>
              <w:ind w:firstLine="0"/>
              <w:jc w:val="right"/>
              <w:rPr>
                <w:rFonts w:ascii="Times New Roman" w:hAnsi="Times New Roman"/>
                <w:i/>
                <w:iCs/>
                <w:sz w:val="20"/>
                <w:szCs w:val="20"/>
              </w:rPr>
            </w:pPr>
            <w:r w:rsidRPr="001C1CCB">
              <w:rPr>
                <w:rFonts w:ascii="Times New Roman" w:hAnsi="Times New Roman"/>
                <w:i/>
                <w:iCs/>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101B6C" w:rsidRPr="001C1CCB" w:rsidP="00101B6C" w14:paraId="607F33E3" w14:textId="77777777">
            <w:pPr>
              <w:ind w:firstLine="0"/>
              <w:jc w:val="right"/>
              <w:rPr>
                <w:rFonts w:ascii="Times New Roman" w:hAnsi="Times New Roman"/>
                <w:i/>
                <w:i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01B6C" w:rsidRPr="001C1CCB" w:rsidP="00101B6C" w14:paraId="0AF673B2" w14:textId="098BCCF7">
            <w:pPr>
              <w:ind w:firstLine="0"/>
              <w:jc w:val="right"/>
              <w:rPr>
                <w:rFonts w:ascii="Times New Roman" w:hAnsi="Times New Roman"/>
                <w:i/>
                <w:iCs/>
                <w:sz w:val="20"/>
                <w:szCs w:val="20"/>
              </w:rPr>
            </w:pPr>
            <w:r w:rsidRPr="001C1CCB">
              <w:rPr>
                <w:rFonts w:ascii="Times New Roman" w:hAnsi="Times New Roman"/>
                <w:i/>
                <w:iCs/>
                <w:sz w:val="20"/>
                <w:szCs w:val="20"/>
              </w:rPr>
              <w:t>237.85</w:t>
            </w:r>
          </w:p>
        </w:tc>
        <w:tc>
          <w:tcPr>
            <w:tcW w:w="1193"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101B6C" w:rsidRPr="001C1CCB" w:rsidP="00101B6C" w14:paraId="2BC11A2E" w14:textId="7A52E1ED">
            <w:pPr>
              <w:ind w:firstLine="0"/>
              <w:jc w:val="right"/>
              <w:rPr>
                <w:rFonts w:ascii="Times New Roman" w:hAnsi="Times New Roman"/>
                <w:i/>
                <w:iCs/>
                <w:sz w:val="20"/>
                <w:szCs w:val="20"/>
              </w:rPr>
            </w:pPr>
            <w:r w:rsidRPr="001C1CCB">
              <w:rPr>
                <w:rFonts w:ascii="Times New Roman" w:hAnsi="Times New Roman"/>
                <w:i/>
                <w:iCs/>
                <w:sz w:val="20"/>
                <w:szCs w:val="20"/>
              </w:rPr>
              <w:t>8.7</w:t>
            </w:r>
          </w:p>
        </w:tc>
        <w:tc>
          <w:tcPr>
            <w:tcW w:w="1057"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01B6C" w:rsidRPr="001C1CCB" w:rsidP="00101B6C" w14:paraId="2A161820" w14:textId="5342E81C">
            <w:pPr>
              <w:ind w:firstLine="0"/>
              <w:jc w:val="right"/>
              <w:rPr>
                <w:rFonts w:ascii="Times New Roman" w:hAnsi="Times New Roman"/>
                <w:i/>
                <w:iCs/>
                <w:sz w:val="20"/>
                <w:szCs w:val="20"/>
              </w:rPr>
            </w:pPr>
            <w:r w:rsidRPr="001C1CCB">
              <w:rPr>
                <w:rFonts w:ascii="Times New Roman" w:hAnsi="Times New Roman"/>
                <w:i/>
                <w:iCs/>
                <w:sz w:val="20"/>
                <w:szCs w:val="20"/>
              </w:rPr>
              <w:t xml:space="preserve">2069 </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tcPr>
          <w:p w:rsidR="00101B6C" w:rsidRPr="001C1CCB" w:rsidP="00101B6C" w14:paraId="2CA84D0E" w14:textId="72D0689F">
            <w:pPr>
              <w:ind w:firstLine="0"/>
              <w:jc w:val="right"/>
              <w:rPr>
                <w:rFonts w:ascii="Times New Roman" w:hAnsi="Times New Roman"/>
                <w:i/>
                <w:iCs/>
                <w:sz w:val="20"/>
                <w:szCs w:val="20"/>
              </w:rPr>
            </w:pPr>
            <w:r w:rsidRPr="001C1CCB">
              <w:rPr>
                <w:rFonts w:ascii="Times New Roman" w:hAnsi="Times New Roman"/>
                <w:i/>
                <w:iCs/>
                <w:sz w:val="20"/>
                <w:szCs w:val="20"/>
              </w:rPr>
              <w:t>$49.24</w:t>
            </w:r>
            <w:r w:rsidRPr="001C1CCB">
              <w:rPr>
                <w:rFonts w:ascii="Times New Roman" w:hAnsi="Times New Roman"/>
                <w:i/>
                <w:iCs/>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01B6C" w:rsidRPr="001C1CCB" w:rsidP="00101B6C" w14:paraId="4FA0EC39" w14:textId="48CF65D8">
            <w:pPr>
              <w:ind w:firstLine="0"/>
              <w:jc w:val="right"/>
              <w:rPr>
                <w:rFonts w:ascii="Times New Roman" w:hAnsi="Times New Roman"/>
                <w:i/>
                <w:iCs/>
                <w:sz w:val="20"/>
                <w:szCs w:val="20"/>
              </w:rPr>
            </w:pPr>
            <w:r w:rsidRPr="001C1CCB">
              <w:rPr>
                <w:rFonts w:ascii="Times New Roman" w:hAnsi="Times New Roman"/>
                <w:i/>
                <w:iCs/>
                <w:sz w:val="20"/>
                <w:szCs w:val="20"/>
              </w:rPr>
              <w:t>$</w:t>
            </w:r>
            <w:r w:rsidRPr="001C1CCB" w:rsidR="00CF3205">
              <w:rPr>
                <w:rFonts w:ascii="Times New Roman" w:hAnsi="Times New Roman"/>
                <w:i/>
                <w:iCs/>
                <w:sz w:val="20"/>
                <w:szCs w:val="20"/>
              </w:rPr>
              <w:t>101,895</w:t>
            </w:r>
            <w:r w:rsidRPr="001C1CCB">
              <w:rPr>
                <w:rFonts w:ascii="Times New Roman" w:hAnsi="Times New Roman"/>
                <w:i/>
                <w:iCs/>
                <w:sz w:val="20"/>
                <w:szCs w:val="20"/>
              </w:rPr>
              <w:t xml:space="preserve"> </w:t>
            </w:r>
          </w:p>
        </w:tc>
      </w:tr>
      <w:tr w14:paraId="2D2B16FE" w14:textId="77777777" w:rsidTr="00E11C12">
        <w:tblPrEx>
          <w:tblW w:w="11065" w:type="dxa"/>
          <w:tblLayout w:type="fixed"/>
          <w:tblLook w:val="00A0"/>
        </w:tblPrEx>
        <w:trPr>
          <w:cantSplit/>
          <w:trHeight w:val="331"/>
          <w:tblHeader/>
        </w:trPr>
        <w:tc>
          <w:tcPr>
            <w:tcW w:w="1106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318C0" w:rsidRPr="001C1CCB" w:rsidP="00E11C12" w14:paraId="00393175" w14:textId="32A682F0">
            <w:pPr>
              <w:ind w:firstLine="0"/>
              <w:rPr>
                <w:rFonts w:ascii="Times New Roman" w:hAnsi="Times New Roman"/>
                <w:sz w:val="20"/>
                <w:szCs w:val="20"/>
              </w:rPr>
            </w:pPr>
            <w:r w:rsidRPr="001C1CCB">
              <w:rPr>
                <w:rFonts w:ascii="Times New Roman" w:hAnsi="Times New Roman"/>
                <w:b/>
                <w:bCs/>
                <w:sz w:val="20"/>
                <w:szCs w:val="20"/>
              </w:rPr>
              <w:t xml:space="preserve">Non-Standard Practice </w:t>
            </w:r>
            <w:r w:rsidRPr="001C1CCB" w:rsidR="001275EA">
              <w:rPr>
                <w:rFonts w:ascii="Times New Roman" w:hAnsi="Times New Roman"/>
                <w:b/>
                <w:bCs/>
                <w:sz w:val="20"/>
                <w:szCs w:val="20"/>
              </w:rPr>
              <w:t>Forms</w:t>
            </w:r>
            <w:r w:rsidRPr="001C1CCB">
              <w:rPr>
                <w:rFonts w:ascii="Times New Roman" w:hAnsi="Times New Roman"/>
                <w:b/>
                <w:bCs/>
                <w:sz w:val="20"/>
                <w:szCs w:val="20"/>
              </w:rPr>
              <w:t xml:space="preserve"> Required for Substantial Rehabilitation Applications:</w:t>
            </w:r>
            <w:r w:rsidRPr="001C1CCB">
              <w:rPr>
                <w:rFonts w:ascii="Times New Roman" w:hAnsi="Times New Roman"/>
                <w:sz w:val="20"/>
                <w:szCs w:val="20"/>
              </w:rPr>
              <w:t> </w:t>
            </w:r>
          </w:p>
        </w:tc>
      </w:tr>
      <w:tr w14:paraId="02C8E270"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hideMark/>
          </w:tcPr>
          <w:p w:rsidR="00101B6C" w:rsidRPr="001C1CCB" w:rsidP="00101B6C" w14:paraId="691DDEAC" w14:textId="77777777">
            <w:pPr>
              <w:ind w:firstLine="0"/>
              <w:rPr>
                <w:rFonts w:ascii="Times New Roman" w:hAnsi="Times New Roman"/>
                <w:sz w:val="20"/>
                <w:szCs w:val="20"/>
              </w:rPr>
            </w:pPr>
            <w:r w:rsidRPr="001C1CCB">
              <w:rPr>
                <w:rFonts w:ascii="Times New Roman" w:hAnsi="Times New Roman"/>
                <w:sz w:val="20"/>
                <w:szCs w:val="20"/>
              </w:rPr>
              <w:t>Detailed Work Write-Up</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hideMark/>
          </w:tcPr>
          <w:p w:rsidR="00101B6C" w:rsidRPr="001C1CCB" w:rsidP="00101B6C" w14:paraId="39F450E4" w14:textId="77777777">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101B6C" w:rsidRPr="001C1CCB" w:rsidP="00101B6C" w14:paraId="6CCFFD96" w14:textId="38F9F8BF">
            <w:pPr>
              <w:ind w:firstLine="0"/>
              <w:rPr>
                <w:rFonts w:ascii="Times New Roman" w:hAnsi="Times New Roman"/>
                <w:sz w:val="20"/>
                <w:szCs w:val="20"/>
              </w:rPr>
            </w:pPr>
            <w:r w:rsidRPr="001C1CCB">
              <w:rPr>
                <w:rFonts w:ascii="Times New Roman" w:hAnsi="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101B6C" w:rsidRPr="001C1CCB" w:rsidP="00101B6C" w14:paraId="02405DA1" w14:textId="68C87CC5">
            <w:pPr>
              <w:ind w:firstLine="0"/>
              <w:rPr>
                <w:rFonts w:ascii="Times New Roman" w:hAnsi="Times New Roman"/>
                <w:sz w:val="20"/>
                <w:szCs w:val="20"/>
              </w:rPr>
            </w:pPr>
            <w:r w:rsidRPr="001C1CCB">
              <w:rPr>
                <w:rFonts w:ascii="Times New Roman" w:hAnsi="Times New Roman"/>
                <w:sz w:val="20"/>
                <w:szCs w:val="20"/>
              </w:rPr>
              <w:t>5.25</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101B6C" w:rsidRPr="001C1CCB" w:rsidP="00101B6C" w14:paraId="7A549FF5" w14:textId="77777777">
            <w:pPr>
              <w:ind w:firstLine="0"/>
              <w:rPr>
                <w:rFonts w:ascii="Times New Roman" w:hAnsi="Times New Roman"/>
                <w:sz w:val="20"/>
                <w:szCs w:val="20"/>
              </w:rPr>
            </w:pPr>
            <w:r w:rsidRPr="001C1CCB">
              <w:rPr>
                <w:rFonts w:ascii="Times New Roman" w:hAnsi="Times New Roman"/>
                <w:sz w:val="20"/>
                <w:szCs w:val="20"/>
              </w:rPr>
              <w:t>100.00</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101B6C" w:rsidRPr="001C1CCB" w:rsidP="00101B6C" w14:paraId="1B897C3C" w14:textId="6E67730C">
            <w:pPr>
              <w:ind w:firstLine="0"/>
              <w:rPr>
                <w:rFonts w:ascii="Times New Roman" w:hAnsi="Times New Roman"/>
                <w:sz w:val="20"/>
                <w:szCs w:val="20"/>
              </w:rPr>
            </w:pPr>
            <w:r w:rsidRPr="001C1CCB">
              <w:rPr>
                <w:rFonts w:ascii="Times New Roman" w:hAnsi="Times New Roman"/>
                <w:sz w:val="20"/>
                <w:szCs w:val="20"/>
              </w:rPr>
              <w:t>525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01B6C" w:rsidRPr="001C1CCB" w:rsidP="00101B6C" w14:paraId="046FC884" w14:textId="11B57944">
            <w:pPr>
              <w:ind w:firstLine="0"/>
              <w:rPr>
                <w:rFonts w:ascii="Times New Roman" w:hAnsi="Times New Roman"/>
                <w:sz w:val="20"/>
                <w:szCs w:val="20"/>
              </w:rPr>
            </w:pPr>
            <w:r w:rsidRPr="001C1CCB">
              <w:rPr>
                <w:rFonts w:ascii="Times New Roman" w:hAnsi="Times New Roman"/>
                <w:sz w:val="20"/>
                <w:szCs w:val="20"/>
              </w:rPr>
              <w:t>$</w:t>
            </w:r>
            <w:r w:rsidRPr="001C1CCB" w:rsidR="00780748">
              <w:rPr>
                <w:rFonts w:ascii="Times New Roman" w:hAnsi="Times New Roman"/>
                <w:sz w:val="20"/>
                <w:szCs w:val="20"/>
              </w:rPr>
              <w:t>84.86</w:t>
            </w:r>
            <w:r w:rsidRPr="001C1CCB">
              <w:rPr>
                <w:rFonts w:ascii="Times New Roman" w:hAnsi="Times New Roman"/>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C77AB9" w:rsidRPr="001C1CCB" w:rsidP="00101B6C" w14:paraId="591EF09A" w14:textId="79F9DA60">
            <w:pPr>
              <w:ind w:firstLine="0"/>
              <w:rPr>
                <w:rFonts w:ascii="Times New Roman" w:hAnsi="Times New Roman"/>
                <w:sz w:val="20"/>
                <w:szCs w:val="20"/>
              </w:rPr>
            </w:pPr>
            <w:r w:rsidRPr="001C1CCB">
              <w:rPr>
                <w:rFonts w:ascii="Times New Roman" w:hAnsi="Times New Roman"/>
                <w:sz w:val="20"/>
                <w:szCs w:val="20"/>
              </w:rPr>
              <w:t>$</w:t>
            </w:r>
            <w:r w:rsidRPr="001C1CCB">
              <w:rPr>
                <w:rFonts w:ascii="Times New Roman" w:hAnsi="Times New Roman"/>
                <w:sz w:val="20"/>
                <w:szCs w:val="20"/>
              </w:rPr>
              <w:t>44,549</w:t>
            </w:r>
          </w:p>
          <w:p w:rsidR="00101B6C" w:rsidRPr="001C1CCB" w:rsidP="00101B6C" w14:paraId="4F6C24B4" w14:textId="41F7C3CA">
            <w:pPr>
              <w:ind w:firstLine="0"/>
              <w:rPr>
                <w:rFonts w:ascii="Times New Roman" w:hAnsi="Times New Roman"/>
                <w:sz w:val="20"/>
                <w:szCs w:val="20"/>
              </w:rPr>
            </w:pPr>
            <w:r w:rsidRPr="001C1CCB">
              <w:rPr>
                <w:rFonts w:ascii="Times New Roman" w:hAnsi="Times New Roman"/>
                <w:sz w:val="20"/>
                <w:szCs w:val="20"/>
              </w:rPr>
              <w:t xml:space="preserve"> </w:t>
            </w:r>
          </w:p>
        </w:tc>
      </w:tr>
      <w:tr w14:paraId="3DA0D862" w14:textId="77777777" w:rsidTr="007C29F5">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01B6C" w:rsidRPr="001C1CCB" w:rsidP="00101B6C" w14:paraId="6FA39C61" w14:textId="77777777">
            <w:pPr>
              <w:ind w:firstLine="0"/>
              <w:jc w:val="right"/>
              <w:rPr>
                <w:rFonts w:ascii="Times New Roman" w:hAnsi="Times New Roman"/>
                <w:i/>
                <w:iCs/>
                <w:sz w:val="20"/>
                <w:szCs w:val="20"/>
              </w:rPr>
            </w:pPr>
            <w:r w:rsidRPr="001C1CCB">
              <w:rPr>
                <w:rFonts w:ascii="Times New Roman" w:hAnsi="Times New Roman"/>
                <w:i/>
                <w:iCs/>
                <w:sz w:val="20"/>
                <w:szCs w:val="20"/>
              </w:rPr>
              <w:t>Sub Total</w:t>
            </w:r>
          </w:p>
        </w:tc>
        <w:tc>
          <w:tcPr>
            <w:tcW w:w="1349"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rsidR="00101B6C" w:rsidRPr="001C1CCB" w:rsidP="00101B6C" w14:paraId="72B33032" w14:textId="7B05C547">
            <w:pPr>
              <w:ind w:firstLine="0"/>
              <w:jc w:val="right"/>
              <w:rPr>
                <w:rFonts w:ascii="Times New Roman" w:hAnsi="Times New Roman"/>
                <w:i/>
                <w:iCs/>
                <w:sz w:val="20"/>
                <w:szCs w:val="20"/>
              </w:rPr>
            </w:pPr>
            <w:r w:rsidRPr="001C1CCB">
              <w:rPr>
                <w:rFonts w:ascii="Times New Roman" w:hAnsi="Times New Roman"/>
                <w:i/>
                <w:iCs/>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rsidR="00101B6C" w:rsidRPr="001C1CCB" w:rsidP="00101B6C" w14:paraId="5F4CE1C7" w14:textId="77777777">
            <w:pPr>
              <w:ind w:firstLine="0"/>
              <w:jc w:val="right"/>
              <w:rPr>
                <w:rFonts w:ascii="Times New Roman" w:hAnsi="Times New Roman"/>
                <w:i/>
                <w:i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01B6C" w:rsidRPr="001C1CCB" w:rsidP="00101B6C" w14:paraId="237E73A0" w14:textId="013B8951">
            <w:pPr>
              <w:ind w:firstLine="0"/>
              <w:jc w:val="right"/>
              <w:rPr>
                <w:rFonts w:ascii="Times New Roman" w:hAnsi="Times New Roman"/>
                <w:i/>
                <w:iCs/>
                <w:sz w:val="20"/>
                <w:szCs w:val="20"/>
              </w:rPr>
            </w:pPr>
            <w:r w:rsidRPr="001C1CCB">
              <w:rPr>
                <w:rFonts w:ascii="Times New Roman" w:hAnsi="Times New Roman"/>
                <w:i/>
                <w:iCs/>
                <w:sz w:val="20"/>
                <w:szCs w:val="20"/>
              </w:rPr>
              <w:t>5.25</w:t>
            </w:r>
            <w:r w:rsidRPr="001C1CCB">
              <w:rPr>
                <w:rFonts w:ascii="Times New Roman" w:hAnsi="Times New Roman"/>
                <w:i/>
                <w:iCs/>
                <w:sz w:val="20"/>
                <w:szCs w:val="20"/>
              </w:rPr>
              <w:t xml:space="preserve"> </w:t>
            </w:r>
          </w:p>
        </w:tc>
        <w:tc>
          <w:tcPr>
            <w:tcW w:w="1193"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101B6C" w:rsidRPr="001C1CCB" w:rsidP="00101B6C" w14:paraId="45267CEB" w14:textId="1C7EE3F6">
            <w:pPr>
              <w:ind w:firstLine="0"/>
              <w:jc w:val="right"/>
              <w:rPr>
                <w:rFonts w:ascii="Times New Roman" w:hAnsi="Times New Roman"/>
                <w:i/>
                <w:iCs/>
                <w:sz w:val="20"/>
                <w:szCs w:val="20"/>
              </w:rPr>
            </w:pPr>
            <w:r w:rsidRPr="001C1CCB">
              <w:rPr>
                <w:rFonts w:ascii="Times New Roman" w:hAnsi="Times New Roman"/>
                <w:i/>
                <w:iCs/>
                <w:sz w:val="20"/>
                <w:szCs w:val="20"/>
              </w:rPr>
              <w:t>100</w:t>
            </w:r>
          </w:p>
        </w:tc>
        <w:tc>
          <w:tcPr>
            <w:tcW w:w="1057"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01B6C" w:rsidRPr="001C1CCB" w:rsidP="00101B6C" w14:paraId="70931B42" w14:textId="640FA664">
            <w:pPr>
              <w:ind w:firstLine="0"/>
              <w:jc w:val="right"/>
              <w:rPr>
                <w:rFonts w:ascii="Times New Roman" w:hAnsi="Times New Roman"/>
                <w:i/>
                <w:iCs/>
                <w:sz w:val="20"/>
                <w:szCs w:val="20"/>
              </w:rPr>
            </w:pPr>
            <w:r w:rsidRPr="001C1CCB">
              <w:rPr>
                <w:rFonts w:ascii="Times New Roman" w:hAnsi="Times New Roman"/>
                <w:i/>
                <w:iCs/>
                <w:sz w:val="20"/>
                <w:szCs w:val="20"/>
              </w:rPr>
              <w:t>525</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tcPr>
          <w:p w:rsidR="00101B6C" w:rsidRPr="001C1CCB" w:rsidP="00101B6C" w14:paraId="5689B5A7" w14:textId="3D94AF02">
            <w:pPr>
              <w:ind w:firstLine="0"/>
              <w:jc w:val="right"/>
              <w:rPr>
                <w:rFonts w:ascii="Times New Roman" w:hAnsi="Times New Roman"/>
                <w:i/>
                <w:iCs/>
                <w:sz w:val="20"/>
                <w:szCs w:val="20"/>
              </w:rPr>
            </w:pPr>
            <w:r w:rsidRPr="001C1CCB">
              <w:rPr>
                <w:rFonts w:ascii="Times New Roman" w:hAnsi="Times New Roman"/>
                <w:i/>
                <w:iCs/>
                <w:sz w:val="20"/>
                <w:szCs w:val="20"/>
              </w:rPr>
              <w:t>$</w:t>
            </w:r>
            <w:r w:rsidRPr="001C1CCB" w:rsidR="00A543F6">
              <w:rPr>
                <w:rFonts w:ascii="Times New Roman" w:hAnsi="Times New Roman"/>
                <w:i/>
                <w:iCs/>
                <w:sz w:val="20"/>
                <w:szCs w:val="20"/>
              </w:rPr>
              <w:t>84.86</w:t>
            </w:r>
            <w:r w:rsidRPr="001C1CCB">
              <w:rPr>
                <w:rFonts w:ascii="Times New Roman" w:hAnsi="Times New Roman"/>
                <w:i/>
                <w:iCs/>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01B6C" w:rsidRPr="001C1CCB" w:rsidP="00101B6C" w14:paraId="7C0A991D" w14:textId="476F2C7C">
            <w:pPr>
              <w:ind w:firstLine="0"/>
              <w:jc w:val="right"/>
              <w:rPr>
                <w:rFonts w:ascii="Times New Roman" w:hAnsi="Times New Roman"/>
                <w:i/>
                <w:iCs/>
                <w:sz w:val="20"/>
                <w:szCs w:val="20"/>
              </w:rPr>
            </w:pPr>
            <w:r w:rsidRPr="001C1CCB">
              <w:rPr>
                <w:rFonts w:ascii="Times New Roman" w:hAnsi="Times New Roman"/>
                <w:i/>
                <w:iCs/>
                <w:sz w:val="20"/>
                <w:szCs w:val="20"/>
              </w:rPr>
              <w:t>$</w:t>
            </w:r>
            <w:r w:rsidRPr="001C1CCB" w:rsidR="00A543F6">
              <w:rPr>
                <w:rFonts w:ascii="Times New Roman" w:hAnsi="Times New Roman"/>
                <w:i/>
                <w:iCs/>
                <w:sz w:val="20"/>
                <w:szCs w:val="20"/>
              </w:rPr>
              <w:t>44,549</w:t>
            </w:r>
            <w:r w:rsidRPr="001C1CCB">
              <w:rPr>
                <w:rFonts w:ascii="Times New Roman" w:hAnsi="Times New Roman"/>
                <w:i/>
                <w:iCs/>
                <w:sz w:val="20"/>
                <w:szCs w:val="20"/>
              </w:rPr>
              <w:t xml:space="preserve"> </w:t>
            </w:r>
          </w:p>
        </w:tc>
      </w:tr>
      <w:tr w14:paraId="46F2FEBD" w14:textId="77777777" w:rsidTr="00B16549">
        <w:tblPrEx>
          <w:tblW w:w="11065" w:type="dxa"/>
          <w:tblLayout w:type="fixed"/>
          <w:tblLook w:val="00A0"/>
        </w:tblPrEx>
        <w:trPr>
          <w:tblHeader/>
        </w:trPr>
        <w:tc>
          <w:tcPr>
            <w:tcW w:w="1106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4AC5" w:rsidRPr="001C1CCB" w:rsidP="00101B6C" w14:paraId="03E01785" w14:textId="2B30A7B7">
            <w:pPr>
              <w:ind w:firstLine="0"/>
              <w:rPr>
                <w:rFonts w:ascii="Times New Roman" w:hAnsi="Times New Roman"/>
                <w:b/>
                <w:bCs/>
                <w:sz w:val="20"/>
                <w:szCs w:val="20"/>
              </w:rPr>
            </w:pPr>
            <w:r w:rsidRPr="001C1CCB">
              <w:rPr>
                <w:rFonts w:ascii="Times New Roman" w:hAnsi="Times New Roman"/>
                <w:b/>
                <w:bCs/>
                <w:sz w:val="20"/>
                <w:szCs w:val="20"/>
              </w:rPr>
              <w:t>Lende</w:t>
            </w:r>
            <w:r w:rsidRPr="001C1CCB" w:rsidR="009E159F">
              <w:rPr>
                <w:rFonts w:ascii="Times New Roman" w:hAnsi="Times New Roman"/>
                <w:b/>
                <w:bCs/>
                <w:sz w:val="20"/>
                <w:szCs w:val="20"/>
              </w:rPr>
              <w:t>r Property Inspection</w:t>
            </w:r>
            <w:r w:rsidRPr="001C1CCB" w:rsidR="00BF6C13">
              <w:rPr>
                <w:rFonts w:ascii="Times New Roman" w:hAnsi="Times New Roman"/>
                <w:b/>
                <w:bCs/>
                <w:sz w:val="20"/>
                <w:szCs w:val="20"/>
              </w:rPr>
              <w:t xml:space="preserve"> and Review</w:t>
            </w:r>
            <w:r w:rsidRPr="001C1CCB" w:rsidR="00473981">
              <w:rPr>
                <w:rFonts w:ascii="Times New Roman" w:hAnsi="Times New Roman"/>
                <w:b/>
                <w:bCs/>
                <w:sz w:val="20"/>
                <w:szCs w:val="20"/>
              </w:rPr>
              <w:t>/Analysis</w:t>
            </w:r>
            <w:r w:rsidRPr="001C1CCB" w:rsidR="00BF6C13">
              <w:rPr>
                <w:rFonts w:ascii="Times New Roman" w:hAnsi="Times New Roman"/>
                <w:b/>
                <w:bCs/>
                <w:sz w:val="20"/>
                <w:szCs w:val="20"/>
              </w:rPr>
              <w:t xml:space="preserve"> of Due Diligence</w:t>
            </w:r>
            <w:r w:rsidRPr="001C1CCB" w:rsidR="0094779B">
              <w:rPr>
                <w:rFonts w:ascii="Times New Roman" w:hAnsi="Times New Roman"/>
                <w:b/>
                <w:bCs/>
                <w:sz w:val="20"/>
                <w:szCs w:val="20"/>
              </w:rPr>
              <w:t xml:space="preserve"> Reports</w:t>
            </w:r>
            <w:r w:rsidRPr="001C1CCB">
              <w:rPr>
                <w:rFonts w:ascii="Times New Roman" w:hAnsi="Times New Roman"/>
                <w:b/>
                <w:bCs/>
                <w:sz w:val="20"/>
                <w:szCs w:val="20"/>
              </w:rPr>
              <w:t xml:space="preserve">, both standard and non-standard </w:t>
            </w:r>
            <w:r w:rsidRPr="001C1CCB" w:rsidR="00B16549">
              <w:rPr>
                <w:rFonts w:ascii="Times New Roman" w:hAnsi="Times New Roman"/>
                <w:b/>
                <w:bCs/>
                <w:sz w:val="20"/>
                <w:szCs w:val="20"/>
              </w:rPr>
              <w:t>reports:</w:t>
            </w:r>
          </w:p>
        </w:tc>
      </w:tr>
      <w:tr w14:paraId="4E41134B" w14:textId="77777777" w:rsidTr="005510F9">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EC2D7C" w:rsidRPr="001C1CCB" w:rsidP="00C15D4F" w14:paraId="603CD04F" w14:textId="13FF3BC0">
            <w:pPr>
              <w:ind w:firstLine="0"/>
              <w:rPr>
                <w:rFonts w:ascii="Times New Roman" w:hAnsi="Times New Roman"/>
                <w:sz w:val="20"/>
                <w:szCs w:val="20"/>
              </w:rPr>
            </w:pPr>
            <w:r w:rsidRPr="001C1CCB">
              <w:rPr>
                <w:rFonts w:ascii="Times New Roman" w:hAnsi="Times New Roman"/>
                <w:sz w:val="20"/>
                <w:szCs w:val="20"/>
              </w:rPr>
              <w:t xml:space="preserve">New Construction &amp; Substantial Rehab </w:t>
            </w:r>
            <w:r w:rsidRPr="001C1CCB" w:rsidR="000C3CEE">
              <w:rPr>
                <w:rFonts w:ascii="Times New Roman" w:hAnsi="Times New Roman"/>
                <w:sz w:val="20"/>
                <w:szCs w:val="20"/>
              </w:rPr>
              <w:t>Applications</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EC2D7C" w:rsidRPr="001C1CCB" w:rsidP="00101B6C" w14:paraId="1810622F" w14:textId="734496FF">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EC2D7C" w:rsidRPr="001C1CCB" w:rsidP="00101B6C" w14:paraId="479365BD" w14:textId="51262951">
            <w:pPr>
              <w:ind w:firstLine="0"/>
              <w:rPr>
                <w:rFonts w:ascii="Times New Roman" w:hAnsi="Times New Roman"/>
                <w:sz w:val="20"/>
                <w:szCs w:val="20"/>
              </w:rPr>
            </w:pPr>
            <w:r w:rsidRPr="001C1CCB">
              <w:rPr>
                <w:rFonts w:ascii="Times New Roman" w:hAnsi="Times New Roman"/>
                <w:sz w:val="20"/>
                <w:szCs w:val="20"/>
              </w:rPr>
              <w:t>20</w:t>
            </w:r>
            <w:r w:rsidRPr="001C1CCB" w:rsidR="00B7528A">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C2D7C" w:rsidRPr="001C1CCB" w:rsidP="00101B6C" w14:paraId="7CB2D421" w14:textId="17F3E99E">
            <w:pPr>
              <w:ind w:firstLine="0"/>
              <w:rPr>
                <w:rFonts w:ascii="Times New Roman" w:hAnsi="Times New Roman"/>
                <w:sz w:val="20"/>
                <w:szCs w:val="20"/>
              </w:rPr>
            </w:pPr>
            <w:r w:rsidRPr="001C1CCB">
              <w:rPr>
                <w:rFonts w:ascii="Times New Roman" w:hAnsi="Times New Roman"/>
                <w:sz w:val="20"/>
                <w:szCs w:val="20"/>
              </w:rPr>
              <w:t>17.29</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EC2D7C" w:rsidRPr="001C1CCB" w:rsidP="00101B6C" w14:paraId="7380F956" w14:textId="6DC012BF">
            <w:pPr>
              <w:ind w:firstLine="0"/>
              <w:rPr>
                <w:rFonts w:ascii="Times New Roman" w:hAnsi="Times New Roman"/>
                <w:sz w:val="20"/>
                <w:szCs w:val="20"/>
              </w:rPr>
            </w:pPr>
            <w:r w:rsidRPr="001C1CCB">
              <w:rPr>
                <w:rFonts w:ascii="Times New Roman" w:hAnsi="Times New Roman"/>
                <w:sz w:val="20"/>
                <w:szCs w:val="20"/>
              </w:rPr>
              <w:t>80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C2D7C" w:rsidRPr="001C1CCB" w:rsidP="00101B6C" w14:paraId="35EA421E" w14:textId="0A74C18E">
            <w:pPr>
              <w:ind w:firstLine="0"/>
              <w:rPr>
                <w:rFonts w:ascii="Times New Roman" w:hAnsi="Times New Roman"/>
                <w:sz w:val="20"/>
                <w:szCs w:val="20"/>
              </w:rPr>
            </w:pPr>
            <w:r w:rsidRPr="001C1CCB">
              <w:rPr>
                <w:rFonts w:ascii="Times New Roman" w:hAnsi="Times New Roman"/>
                <w:sz w:val="20"/>
                <w:szCs w:val="20"/>
              </w:rPr>
              <w:t>1383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C2D7C" w:rsidRPr="001C1CCB" w:rsidP="00101B6C" w14:paraId="76F745B2" w14:textId="24C5A019">
            <w:pPr>
              <w:ind w:firstLine="0"/>
              <w:rPr>
                <w:rFonts w:ascii="Times New Roman" w:hAnsi="Times New Roman"/>
                <w:sz w:val="20"/>
                <w:szCs w:val="20"/>
              </w:rPr>
            </w:pPr>
            <w:r w:rsidRPr="001C1CCB">
              <w:rPr>
                <w:rFonts w:ascii="Times New Roman" w:hAnsi="Times New Roman"/>
                <w:sz w:val="20"/>
                <w:szCs w:val="20"/>
              </w:rPr>
              <w:t>$54.26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C2D7C" w:rsidRPr="001C1CCB" w:rsidP="00101B6C" w14:paraId="0739C4D7" w14:textId="5ECB43C2">
            <w:pPr>
              <w:ind w:firstLine="0"/>
              <w:rPr>
                <w:rFonts w:ascii="Times New Roman" w:hAnsi="Times New Roman"/>
                <w:sz w:val="20"/>
                <w:szCs w:val="20"/>
              </w:rPr>
            </w:pPr>
            <w:r w:rsidRPr="001C1CCB">
              <w:rPr>
                <w:rFonts w:ascii="Times New Roman" w:hAnsi="Times New Roman"/>
                <w:sz w:val="20"/>
                <w:szCs w:val="20"/>
              </w:rPr>
              <w:t>$75,069</w:t>
            </w:r>
          </w:p>
        </w:tc>
      </w:tr>
      <w:tr w14:paraId="626272F0" w14:textId="77777777" w:rsidTr="005510F9">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hideMark/>
          </w:tcPr>
          <w:p w:rsidR="00101B6C" w:rsidRPr="001C1CCB" w:rsidP="00C15D4F" w14:paraId="27D9856D" w14:textId="1F2067B7">
            <w:pPr>
              <w:ind w:firstLine="0"/>
              <w:rPr>
                <w:rFonts w:ascii="Times New Roman" w:hAnsi="Times New Roman"/>
                <w:sz w:val="20"/>
                <w:szCs w:val="20"/>
              </w:rPr>
            </w:pPr>
            <w:r w:rsidRPr="001C1CCB">
              <w:rPr>
                <w:rFonts w:ascii="Times New Roman" w:hAnsi="Times New Roman"/>
                <w:sz w:val="20"/>
                <w:szCs w:val="20"/>
              </w:rPr>
              <w:t>Refinance or Purchase</w:t>
            </w:r>
            <w:r w:rsidRPr="001C1CCB" w:rsidR="002F3B1E">
              <w:rPr>
                <w:rFonts w:ascii="Times New Roman" w:hAnsi="Times New Roman"/>
                <w:sz w:val="20"/>
                <w:szCs w:val="20"/>
              </w:rPr>
              <w:t xml:space="preserve"> Applications</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hideMark/>
          </w:tcPr>
          <w:p w:rsidR="00101B6C" w:rsidRPr="001C1CCB" w:rsidP="00101B6C" w14:paraId="5EE06A8E" w14:textId="77777777">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101B6C" w:rsidRPr="001C1CCB" w:rsidP="00101B6C" w14:paraId="6264C01F" w14:textId="39379838">
            <w:pPr>
              <w:ind w:firstLine="0"/>
              <w:rPr>
                <w:rFonts w:ascii="Times New Roman" w:hAnsi="Times New Roman"/>
                <w:sz w:val="20"/>
                <w:szCs w:val="20"/>
              </w:rPr>
            </w:pPr>
            <w:r w:rsidRPr="001C1CCB">
              <w:rPr>
                <w:rFonts w:ascii="Times New Roman" w:hAnsi="Times New Roman"/>
                <w:sz w:val="20"/>
                <w:szCs w:val="20"/>
              </w:rPr>
              <w:t>80%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101B6C" w:rsidRPr="001C1CCB" w:rsidP="00101B6C" w14:paraId="4E2B4CBD" w14:textId="24D773C9">
            <w:pPr>
              <w:ind w:firstLine="0"/>
              <w:rPr>
                <w:rFonts w:ascii="Times New Roman" w:hAnsi="Times New Roman"/>
                <w:sz w:val="20"/>
                <w:szCs w:val="20"/>
              </w:rPr>
            </w:pPr>
            <w:r w:rsidRPr="001C1CCB">
              <w:rPr>
                <w:rFonts w:ascii="Times New Roman" w:hAnsi="Times New Roman"/>
                <w:sz w:val="20"/>
                <w:szCs w:val="20"/>
              </w:rPr>
              <w:t>68.71</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101B6C" w:rsidRPr="001C1CCB" w:rsidP="00101B6C" w14:paraId="6E2BC294" w14:textId="7881BEE2">
            <w:pPr>
              <w:ind w:firstLine="0"/>
              <w:rPr>
                <w:rFonts w:ascii="Times New Roman" w:hAnsi="Times New Roman"/>
                <w:sz w:val="20"/>
                <w:szCs w:val="20"/>
              </w:rPr>
            </w:pPr>
            <w:r w:rsidRPr="001C1CCB">
              <w:rPr>
                <w:rFonts w:ascii="Times New Roman" w:hAnsi="Times New Roman"/>
                <w:sz w:val="20"/>
                <w:szCs w:val="20"/>
              </w:rPr>
              <w:t>56</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101B6C" w:rsidRPr="001C1CCB" w:rsidP="00101B6C" w14:paraId="1FD49264" w14:textId="2484CE47">
            <w:pPr>
              <w:ind w:firstLine="0"/>
              <w:rPr>
                <w:rFonts w:ascii="Times New Roman" w:hAnsi="Times New Roman"/>
                <w:sz w:val="20"/>
                <w:szCs w:val="20"/>
              </w:rPr>
            </w:pPr>
            <w:r w:rsidRPr="001C1CCB">
              <w:rPr>
                <w:rFonts w:ascii="Times New Roman" w:hAnsi="Times New Roman"/>
                <w:sz w:val="20"/>
                <w:szCs w:val="20"/>
              </w:rPr>
              <w:t>3</w:t>
            </w:r>
            <w:r w:rsidRPr="001C1CCB" w:rsidR="00F7258A">
              <w:rPr>
                <w:rFonts w:ascii="Times New Roman" w:hAnsi="Times New Roman"/>
                <w:sz w:val="20"/>
                <w:szCs w:val="20"/>
              </w:rPr>
              <w:t>848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01B6C" w:rsidRPr="001C1CCB" w:rsidP="00101B6C" w14:paraId="3900CC16" w14:textId="5610A821">
            <w:pPr>
              <w:ind w:firstLine="0"/>
              <w:rPr>
                <w:rFonts w:ascii="Times New Roman" w:hAnsi="Times New Roman"/>
                <w:sz w:val="20"/>
                <w:szCs w:val="20"/>
              </w:rPr>
            </w:pPr>
            <w:r w:rsidRPr="001C1CCB">
              <w:rPr>
                <w:rFonts w:ascii="Times New Roman" w:hAnsi="Times New Roman"/>
                <w:sz w:val="20"/>
                <w:szCs w:val="20"/>
              </w:rPr>
              <w:t>$</w:t>
            </w:r>
            <w:r w:rsidRPr="001C1CCB" w:rsidR="00803A50">
              <w:rPr>
                <w:rFonts w:ascii="Times New Roman" w:hAnsi="Times New Roman"/>
                <w:sz w:val="20"/>
                <w:szCs w:val="20"/>
              </w:rPr>
              <w:t>54</w:t>
            </w:r>
            <w:r w:rsidRPr="001C1CCB">
              <w:rPr>
                <w:rFonts w:ascii="Times New Roman" w:hAnsi="Times New Roman"/>
                <w:sz w:val="20"/>
                <w:szCs w:val="20"/>
              </w:rPr>
              <w:t>.</w:t>
            </w:r>
            <w:r w:rsidRPr="001C1CCB" w:rsidR="0072267F">
              <w:rPr>
                <w:rFonts w:ascii="Times New Roman" w:hAnsi="Times New Roman"/>
                <w:sz w:val="20"/>
                <w:szCs w:val="20"/>
              </w:rPr>
              <w:t>2</w:t>
            </w:r>
            <w:r w:rsidRPr="001C1CCB">
              <w:rPr>
                <w:rFonts w:ascii="Times New Roman" w:hAnsi="Times New Roman"/>
                <w:sz w:val="20"/>
                <w:szCs w:val="20"/>
              </w:rPr>
              <w:t xml:space="preserve">6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101B6C" w:rsidRPr="001C1CCB" w:rsidP="00101B6C" w14:paraId="6EA245F3" w14:textId="580EEF66">
            <w:pPr>
              <w:ind w:firstLine="0"/>
              <w:rPr>
                <w:rFonts w:ascii="Times New Roman" w:hAnsi="Times New Roman"/>
                <w:sz w:val="20"/>
                <w:szCs w:val="20"/>
              </w:rPr>
            </w:pPr>
            <w:r w:rsidRPr="001C1CCB">
              <w:rPr>
                <w:rFonts w:ascii="Times New Roman" w:hAnsi="Times New Roman"/>
                <w:sz w:val="20"/>
                <w:szCs w:val="20"/>
              </w:rPr>
              <w:t>$</w:t>
            </w:r>
            <w:r w:rsidRPr="001C1CCB" w:rsidR="001F4FB4">
              <w:rPr>
                <w:rFonts w:ascii="Times New Roman" w:hAnsi="Times New Roman"/>
                <w:sz w:val="20"/>
                <w:szCs w:val="20"/>
              </w:rPr>
              <w:t>208,787</w:t>
            </w:r>
            <w:r w:rsidRPr="001C1CCB">
              <w:rPr>
                <w:rFonts w:ascii="Times New Roman" w:hAnsi="Times New Roman"/>
                <w:sz w:val="20"/>
                <w:szCs w:val="20"/>
              </w:rPr>
              <w:t xml:space="preserve"> </w:t>
            </w:r>
          </w:p>
        </w:tc>
      </w:tr>
      <w:tr w14:paraId="5F2192CE" w14:textId="77777777" w:rsidTr="005510F9">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A8322E" w:rsidRPr="001C1CCB" w:rsidP="00C15D4F" w14:paraId="2479EA68" w14:textId="715D33FE">
            <w:pPr>
              <w:ind w:firstLine="0"/>
              <w:rPr>
                <w:rFonts w:ascii="Times New Roman" w:hAnsi="Times New Roman"/>
                <w:sz w:val="20"/>
                <w:szCs w:val="20"/>
              </w:rPr>
            </w:pPr>
            <w:r w:rsidRPr="001C1CCB">
              <w:rPr>
                <w:rFonts w:ascii="Times New Roman" w:hAnsi="Times New Roman"/>
                <w:sz w:val="20"/>
                <w:szCs w:val="20"/>
              </w:rPr>
              <w:t xml:space="preserve">Adjustment for </w:t>
            </w:r>
            <w:r w:rsidRPr="001C1CCB" w:rsidR="00977E97">
              <w:rPr>
                <w:rFonts w:ascii="Times New Roman" w:hAnsi="Times New Roman"/>
                <w:sz w:val="20"/>
                <w:szCs w:val="20"/>
              </w:rPr>
              <w:t>Revised Cost Not Attributable Method</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A8322E" w:rsidRPr="001C1CCB" w:rsidP="00101B6C" w14:paraId="742255F8" w14:textId="21C93455">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A8322E" w:rsidRPr="001C1CCB" w:rsidP="00101B6C" w14:paraId="64490227" w14:textId="0485EB58">
            <w:pPr>
              <w:ind w:firstLine="0"/>
              <w:rPr>
                <w:rFonts w:ascii="Times New Roman" w:hAnsi="Times New Roman"/>
                <w:sz w:val="20"/>
                <w:szCs w:val="20"/>
              </w:rPr>
            </w:pPr>
            <w:r w:rsidRPr="001C1CCB">
              <w:rPr>
                <w:rFonts w:ascii="Times New Roman" w:hAnsi="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322E" w:rsidRPr="001C1CCB" w:rsidP="00101B6C" w14:paraId="5FE48422" w14:textId="2588AC26">
            <w:pPr>
              <w:ind w:firstLine="0"/>
              <w:rPr>
                <w:rFonts w:ascii="Times New Roman" w:hAnsi="Times New Roman"/>
                <w:sz w:val="20"/>
                <w:szCs w:val="20"/>
              </w:rPr>
            </w:pPr>
            <w:r w:rsidRPr="001C1CCB">
              <w:rPr>
                <w:rFonts w:ascii="Times New Roman" w:hAnsi="Times New Roman"/>
                <w:sz w:val="20"/>
                <w:szCs w:val="20"/>
              </w:rPr>
              <w:t>8.6</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A8322E" w:rsidRPr="001C1CCB" w:rsidP="00101B6C" w14:paraId="5CADF0C1" w14:textId="3B2D4B68">
            <w:pPr>
              <w:ind w:firstLine="0"/>
              <w:rPr>
                <w:rFonts w:ascii="Times New Roman" w:hAnsi="Times New Roman"/>
                <w:sz w:val="20"/>
                <w:szCs w:val="20"/>
              </w:rPr>
            </w:pPr>
            <w:r w:rsidRPr="001C1CCB">
              <w:rPr>
                <w:rFonts w:ascii="Times New Roman" w:hAnsi="Times New Roman"/>
                <w:sz w:val="20"/>
                <w:szCs w:val="20"/>
              </w:rPr>
              <w:t>-4</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8322E" w:rsidRPr="001C1CCB" w:rsidP="00101B6C" w14:paraId="17FA053E" w14:textId="3F0D2A13">
            <w:pPr>
              <w:ind w:firstLine="0"/>
              <w:rPr>
                <w:rFonts w:ascii="Times New Roman" w:hAnsi="Times New Roman"/>
                <w:sz w:val="20"/>
                <w:szCs w:val="20"/>
              </w:rPr>
            </w:pPr>
            <w:r w:rsidRPr="001C1CCB">
              <w:rPr>
                <w:rFonts w:ascii="Times New Roman" w:hAnsi="Times New Roman"/>
                <w:sz w:val="20"/>
                <w:szCs w:val="20"/>
              </w:rPr>
              <w:t>-34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8322E" w:rsidRPr="001C1CCB" w:rsidP="00101B6C" w14:paraId="6DA7C8ED" w14:textId="1EAA5E63">
            <w:pPr>
              <w:ind w:firstLine="0"/>
              <w:rPr>
                <w:rFonts w:ascii="Times New Roman" w:hAnsi="Times New Roman"/>
                <w:sz w:val="20"/>
                <w:szCs w:val="20"/>
              </w:rPr>
            </w:pPr>
            <w:r w:rsidRPr="001C1CCB">
              <w:rPr>
                <w:rFonts w:ascii="Times New Roman" w:hAnsi="Times New Roman"/>
                <w:sz w:val="20"/>
                <w:szCs w:val="20"/>
              </w:rPr>
              <w:t>$54.26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8322E" w:rsidRPr="001C1CCB" w:rsidP="00101B6C" w14:paraId="58D42F25" w14:textId="5C2684CE">
            <w:pPr>
              <w:ind w:firstLine="0"/>
              <w:rPr>
                <w:rFonts w:ascii="Times New Roman" w:hAnsi="Times New Roman"/>
                <w:sz w:val="20"/>
                <w:szCs w:val="20"/>
              </w:rPr>
            </w:pPr>
            <w:r w:rsidRPr="001C1CCB">
              <w:rPr>
                <w:rFonts w:ascii="Times New Roman" w:hAnsi="Times New Roman"/>
                <w:sz w:val="20"/>
                <w:szCs w:val="20"/>
              </w:rPr>
              <w:t>($1,867)</w:t>
            </w:r>
          </w:p>
        </w:tc>
      </w:tr>
      <w:tr w14:paraId="45DEBD6F" w14:textId="77777777" w:rsidTr="00EB2DA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000000" w:themeFill="text1"/>
          </w:tcPr>
          <w:p w:rsidR="0096601C" w:rsidRPr="001C1CCB" w:rsidP="00C15D4F" w14:paraId="62831F09" w14:textId="5E984BDC">
            <w:pPr>
              <w:ind w:firstLine="0"/>
              <w:rPr>
                <w:rFonts w:ascii="Times New Roman" w:hAnsi="Times New Roman"/>
                <w:sz w:val="20"/>
                <w:szCs w:val="20"/>
              </w:rPr>
            </w:pPr>
            <w:r w:rsidRPr="001C1CCB">
              <w:rPr>
                <w:rFonts w:ascii="Times New Roman" w:hAnsi="Times New Roman"/>
                <w:i/>
                <w:iCs/>
                <w:color w:val="FFFFFF" w:themeColor="background1"/>
                <w:sz w:val="20"/>
                <w:szCs w:val="20"/>
              </w:rPr>
              <w:t>Sub Total</w:t>
            </w:r>
          </w:p>
        </w:tc>
        <w:tc>
          <w:tcPr>
            <w:tcW w:w="1349"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96601C" w:rsidRPr="001C1CCB" w:rsidP="004C064F" w14:paraId="5B4A8565" w14:textId="13A31808">
            <w:pPr>
              <w:ind w:firstLine="0"/>
              <w:jc w:val="right"/>
              <w:rPr>
                <w:rFonts w:ascii="Times New Roman" w:hAnsi="Times New Roman"/>
                <w:sz w:val="20"/>
                <w:szCs w:val="20"/>
              </w:rPr>
            </w:pPr>
            <w:r w:rsidRPr="001C1CCB">
              <w:rPr>
                <w:rFonts w:ascii="Times New Roman" w:hAnsi="Times New Roman"/>
                <w:i/>
                <w:iCs/>
                <w:color w:val="FFFFFF" w:themeColor="background1"/>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96601C" w:rsidRPr="001C1CCB" w:rsidP="004C064F" w14:paraId="54EC5E77" w14:textId="77777777">
            <w:pPr>
              <w:ind w:firstLine="0"/>
              <w:jc w:val="right"/>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tcPr>
          <w:p w:rsidR="0096601C" w:rsidRPr="001C1CCB" w:rsidP="004C064F" w14:paraId="0AF0CEDB" w14:textId="2B5D47CF">
            <w:pPr>
              <w:ind w:firstLine="0"/>
              <w:jc w:val="right"/>
              <w:rPr>
                <w:rFonts w:ascii="Times New Roman" w:hAnsi="Times New Roman"/>
                <w:sz w:val="20"/>
                <w:szCs w:val="20"/>
              </w:rPr>
            </w:pPr>
            <w:r w:rsidRPr="001C1CCB">
              <w:rPr>
                <w:rFonts w:ascii="Times New Roman" w:hAnsi="Times New Roman"/>
                <w:sz w:val="20"/>
                <w:szCs w:val="20"/>
              </w:rPr>
              <w:t>94.6</w:t>
            </w:r>
          </w:p>
        </w:tc>
        <w:tc>
          <w:tcPr>
            <w:tcW w:w="1193"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96601C" w:rsidRPr="001C1CCB" w:rsidP="004C064F" w14:paraId="533C4FF2" w14:textId="424EEB21">
            <w:pPr>
              <w:ind w:firstLine="0"/>
              <w:jc w:val="right"/>
              <w:rPr>
                <w:rFonts w:ascii="Times New Roman" w:hAnsi="Times New Roman"/>
                <w:sz w:val="20"/>
                <w:szCs w:val="20"/>
              </w:rPr>
            </w:pPr>
            <w:r w:rsidRPr="001C1CCB">
              <w:rPr>
                <w:rFonts w:ascii="Times New Roman" w:hAnsi="Times New Roman"/>
                <w:i/>
                <w:iCs/>
                <w:color w:val="FFFFFF" w:themeColor="background1"/>
                <w:sz w:val="20"/>
                <w:szCs w:val="20"/>
              </w:rPr>
              <w:t>49.12</w:t>
            </w:r>
          </w:p>
        </w:tc>
        <w:tc>
          <w:tcPr>
            <w:tcW w:w="1057" w:type="dxa"/>
            <w:tcBorders>
              <w:top w:val="single" w:sz="4" w:space="0" w:color="auto"/>
              <w:left w:val="single" w:sz="4" w:space="0" w:color="auto"/>
              <w:bottom w:val="single" w:sz="2" w:space="0" w:color="auto"/>
              <w:right w:val="single" w:sz="4" w:space="0" w:color="auto"/>
            </w:tcBorders>
            <w:shd w:val="clear" w:color="auto" w:fill="000000" w:themeFill="text1"/>
          </w:tcPr>
          <w:p w:rsidR="0096601C" w:rsidRPr="001C1CCB" w:rsidP="004C064F" w14:paraId="4BD3CD15" w14:textId="2AECA30D">
            <w:pPr>
              <w:ind w:firstLine="0"/>
              <w:jc w:val="right"/>
              <w:rPr>
                <w:rFonts w:ascii="Times New Roman" w:hAnsi="Times New Roman"/>
                <w:sz w:val="20"/>
                <w:szCs w:val="20"/>
              </w:rPr>
            </w:pPr>
            <w:r w:rsidRPr="001C1CCB">
              <w:rPr>
                <w:rFonts w:ascii="Times New Roman" w:hAnsi="Times New Roman"/>
                <w:sz w:val="20"/>
                <w:szCs w:val="20"/>
              </w:rPr>
              <w:t>46</w:t>
            </w:r>
            <w:r w:rsidRPr="001C1CCB" w:rsidR="00390E0A">
              <w:rPr>
                <w:rFonts w:ascii="Times New Roman" w:hAnsi="Times New Roman"/>
                <w:sz w:val="20"/>
                <w:szCs w:val="20"/>
              </w:rPr>
              <w:t>47</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tcPr>
          <w:p w:rsidR="0096601C" w:rsidRPr="001C1CCB" w:rsidP="004C064F" w14:paraId="176F7420" w14:textId="4421AB01">
            <w:pPr>
              <w:ind w:firstLine="0"/>
              <w:jc w:val="right"/>
              <w:rPr>
                <w:rFonts w:ascii="Times New Roman" w:hAnsi="Times New Roman"/>
                <w:sz w:val="20"/>
                <w:szCs w:val="20"/>
              </w:rPr>
            </w:pPr>
            <w:r w:rsidRPr="001C1CCB">
              <w:rPr>
                <w:rFonts w:ascii="Times New Roman" w:hAnsi="Times New Roman"/>
                <w:sz w:val="20"/>
                <w:szCs w:val="20"/>
              </w:rPr>
              <w:t>$54.26</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tcPr>
          <w:p w:rsidR="0096601C" w:rsidRPr="001C1CCB" w:rsidP="004C064F" w14:paraId="29C6ACC5" w14:textId="3CF8A1D1">
            <w:pPr>
              <w:ind w:firstLine="0"/>
              <w:jc w:val="right"/>
              <w:rPr>
                <w:rFonts w:ascii="Times New Roman" w:hAnsi="Times New Roman"/>
                <w:sz w:val="20"/>
                <w:szCs w:val="20"/>
              </w:rPr>
            </w:pPr>
            <w:r w:rsidRPr="001C1CCB">
              <w:rPr>
                <w:rFonts w:ascii="Times New Roman" w:hAnsi="Times New Roman"/>
                <w:i/>
                <w:iCs/>
                <w:color w:val="FFFFFF" w:themeColor="background1"/>
                <w:sz w:val="20"/>
                <w:szCs w:val="20"/>
              </w:rPr>
              <w:t>$</w:t>
            </w:r>
            <w:r w:rsidRPr="001C1CCB" w:rsidR="007A4419">
              <w:rPr>
                <w:rFonts w:ascii="Times New Roman" w:hAnsi="Times New Roman"/>
                <w:i/>
                <w:iCs/>
                <w:color w:val="FFFFFF" w:themeColor="background1"/>
                <w:sz w:val="20"/>
                <w:szCs w:val="20"/>
              </w:rPr>
              <w:t>281,990</w:t>
            </w:r>
          </w:p>
        </w:tc>
      </w:tr>
      <w:tr w14:paraId="625DF52A" w14:textId="77777777" w:rsidTr="00F9007C">
        <w:tblPrEx>
          <w:tblW w:w="11065" w:type="dxa"/>
          <w:tblLayout w:type="fixed"/>
          <w:tblLook w:val="00A0"/>
        </w:tblPrEx>
        <w:trPr>
          <w:trHeight w:val="331"/>
          <w:tblHeader/>
        </w:trPr>
        <w:tc>
          <w:tcPr>
            <w:tcW w:w="1106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3F86" w:rsidRPr="001C1CCB" w:rsidP="00C15D4F" w14:paraId="6D18901F" w14:textId="63293B9B">
            <w:pPr>
              <w:ind w:firstLine="0"/>
              <w:rPr>
                <w:rFonts w:ascii="Times New Roman" w:hAnsi="Times New Roman"/>
                <w:b/>
                <w:bCs/>
                <w:sz w:val="20"/>
                <w:szCs w:val="20"/>
              </w:rPr>
            </w:pPr>
            <w:r w:rsidRPr="001C1CCB">
              <w:rPr>
                <w:rFonts w:ascii="Times New Roman" w:hAnsi="Times New Roman"/>
                <w:b/>
                <w:bCs/>
                <w:sz w:val="20"/>
                <w:szCs w:val="20"/>
              </w:rPr>
              <w:t>Lender Construction Escrow or Repair Escrow Administration</w:t>
            </w:r>
            <w:r w:rsidRPr="001C1CCB" w:rsidR="004D7319">
              <w:rPr>
                <w:rFonts w:ascii="Times New Roman" w:hAnsi="Times New Roman"/>
                <w:b/>
                <w:bCs/>
                <w:sz w:val="20"/>
                <w:szCs w:val="20"/>
              </w:rPr>
              <w:t>:</w:t>
            </w:r>
          </w:p>
        </w:tc>
      </w:tr>
      <w:tr w14:paraId="247F2301" w14:textId="77777777" w:rsidTr="005510F9">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96601C" w:rsidRPr="001C1CCB" w:rsidP="00C15D4F" w14:paraId="2D088BAE" w14:textId="3ECCCF3A">
            <w:pPr>
              <w:ind w:firstLine="0"/>
              <w:rPr>
                <w:rFonts w:ascii="Times New Roman" w:hAnsi="Times New Roman"/>
                <w:sz w:val="20"/>
                <w:szCs w:val="20"/>
              </w:rPr>
            </w:pPr>
            <w:r w:rsidRPr="001C1CCB">
              <w:rPr>
                <w:rFonts w:ascii="Times New Roman" w:hAnsi="Times New Roman"/>
                <w:sz w:val="20"/>
                <w:szCs w:val="20"/>
              </w:rPr>
              <w:t>New Construction &amp; Substantial Rehab Applications</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96601C" w:rsidRPr="001C1CCB" w:rsidP="0096601C" w14:paraId="3BE35619" w14:textId="42EFFBFA">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96601C" w:rsidRPr="001C1CCB" w:rsidP="0096601C" w14:paraId="1B6AC64A" w14:textId="55E48E09">
            <w:pPr>
              <w:ind w:firstLine="0"/>
              <w:rPr>
                <w:rFonts w:ascii="Times New Roman" w:hAnsi="Times New Roman"/>
                <w:sz w:val="20"/>
                <w:szCs w:val="20"/>
              </w:rPr>
            </w:pPr>
            <w:r w:rsidRPr="001C1CCB">
              <w:rPr>
                <w:rFonts w:ascii="Times New Roman" w:hAnsi="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601C" w:rsidRPr="001C1CCB" w:rsidP="0096601C" w14:paraId="6A45CA1D" w14:textId="226A18EC">
            <w:pPr>
              <w:ind w:firstLine="0"/>
              <w:rPr>
                <w:rFonts w:ascii="Times New Roman" w:hAnsi="Times New Roman"/>
                <w:sz w:val="20"/>
                <w:szCs w:val="20"/>
              </w:rPr>
            </w:pPr>
            <w:r w:rsidRPr="001C1CCB">
              <w:rPr>
                <w:rFonts w:ascii="Times New Roman" w:hAnsi="Times New Roman"/>
                <w:sz w:val="20"/>
                <w:szCs w:val="20"/>
              </w:rPr>
              <w:t>17.29</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96601C" w:rsidRPr="001C1CCB" w:rsidP="0096601C" w14:paraId="1267B472" w14:textId="78A22923">
            <w:pPr>
              <w:ind w:firstLine="0"/>
              <w:rPr>
                <w:rFonts w:ascii="Times New Roman" w:hAnsi="Times New Roman"/>
                <w:sz w:val="20"/>
                <w:szCs w:val="20"/>
              </w:rPr>
            </w:pPr>
            <w:r w:rsidRPr="001C1CCB">
              <w:rPr>
                <w:rFonts w:ascii="Times New Roman" w:hAnsi="Times New Roman"/>
                <w:sz w:val="20"/>
                <w:szCs w:val="20"/>
              </w:rPr>
              <w:t>60</w:t>
            </w:r>
          </w:p>
        </w:tc>
        <w:tc>
          <w:tcPr>
            <w:tcW w:w="1057" w:type="dxa"/>
            <w:tcBorders>
              <w:top w:val="single" w:sz="2" w:space="0" w:color="auto"/>
              <w:left w:val="single" w:sz="4" w:space="0" w:color="auto"/>
              <w:bottom w:val="single" w:sz="4" w:space="0" w:color="auto"/>
              <w:right w:val="single" w:sz="4" w:space="0" w:color="auto"/>
            </w:tcBorders>
            <w:shd w:val="clear" w:color="auto" w:fill="auto"/>
          </w:tcPr>
          <w:p w:rsidR="0096601C" w:rsidRPr="001C1CCB" w:rsidP="0096601C" w14:paraId="2F824132" w14:textId="059BA04A">
            <w:pPr>
              <w:ind w:firstLine="0"/>
              <w:rPr>
                <w:rFonts w:ascii="Times New Roman" w:hAnsi="Times New Roman"/>
                <w:sz w:val="20"/>
                <w:szCs w:val="20"/>
              </w:rPr>
            </w:pPr>
            <w:r w:rsidRPr="001C1CCB">
              <w:rPr>
                <w:rFonts w:ascii="Times New Roman" w:hAnsi="Times New Roman"/>
                <w:sz w:val="20"/>
                <w:szCs w:val="20"/>
              </w:rPr>
              <w:t>1,038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6601C" w:rsidRPr="001C1CCB" w:rsidP="0096601C" w14:paraId="330BF574" w14:textId="3607333F">
            <w:pPr>
              <w:ind w:firstLine="0"/>
              <w:rPr>
                <w:rFonts w:ascii="Times New Roman" w:hAnsi="Times New Roman"/>
                <w:sz w:val="20"/>
                <w:szCs w:val="20"/>
              </w:rPr>
            </w:pPr>
            <w:r w:rsidRPr="001C1CCB">
              <w:rPr>
                <w:rFonts w:ascii="Times New Roman" w:hAnsi="Times New Roman"/>
                <w:sz w:val="20"/>
                <w:szCs w:val="20"/>
              </w:rPr>
              <w:t>$39.27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6601C" w:rsidRPr="001C1CCB" w:rsidP="0096601C" w14:paraId="6CD43842" w14:textId="0EBE6C77">
            <w:pPr>
              <w:ind w:firstLine="0"/>
              <w:rPr>
                <w:rFonts w:ascii="Times New Roman" w:hAnsi="Times New Roman"/>
                <w:sz w:val="20"/>
                <w:szCs w:val="20"/>
              </w:rPr>
            </w:pPr>
            <w:r w:rsidRPr="001C1CCB">
              <w:rPr>
                <w:rFonts w:ascii="Times New Roman" w:hAnsi="Times New Roman"/>
                <w:sz w:val="20"/>
                <w:szCs w:val="20"/>
              </w:rPr>
              <w:t>$40,742</w:t>
            </w:r>
          </w:p>
        </w:tc>
      </w:tr>
      <w:tr w14:paraId="7348B1E1" w14:textId="77777777" w:rsidTr="005510F9">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96601C" w:rsidRPr="001C1CCB" w:rsidP="00C15D4F" w14:paraId="3A3DB85E" w14:textId="580B1BF6">
            <w:pPr>
              <w:ind w:firstLine="0"/>
              <w:rPr>
                <w:rFonts w:ascii="Times New Roman" w:hAnsi="Times New Roman"/>
                <w:sz w:val="20"/>
                <w:szCs w:val="20"/>
              </w:rPr>
            </w:pPr>
            <w:r w:rsidRPr="001C1CCB">
              <w:rPr>
                <w:rFonts w:ascii="Times New Roman" w:hAnsi="Times New Roman"/>
                <w:sz w:val="20"/>
                <w:szCs w:val="20"/>
              </w:rPr>
              <w:t>Refinance or Purchase Applications</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96601C" w:rsidRPr="001C1CCB" w:rsidP="0096601C" w14:paraId="6CD6CDE8" w14:textId="29D50685">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96601C" w:rsidRPr="001C1CCB" w:rsidP="0096601C" w14:paraId="07A61C5E" w14:textId="1D9A4C24">
            <w:pPr>
              <w:ind w:firstLine="0"/>
              <w:rPr>
                <w:rFonts w:ascii="Times New Roman" w:hAnsi="Times New Roman"/>
                <w:sz w:val="20"/>
                <w:szCs w:val="20"/>
              </w:rPr>
            </w:pPr>
            <w:r w:rsidRPr="001C1CCB">
              <w:rPr>
                <w:rFonts w:ascii="Times New Roman" w:hAnsi="Times New Roman"/>
                <w:sz w:val="20"/>
                <w:szCs w:val="20"/>
              </w:rPr>
              <w:t>80%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601C" w:rsidRPr="001C1CCB" w:rsidP="0096601C" w14:paraId="0A9B08F6" w14:textId="3BA9C4D3">
            <w:pPr>
              <w:ind w:firstLine="0"/>
              <w:rPr>
                <w:rFonts w:ascii="Times New Roman" w:hAnsi="Times New Roman"/>
                <w:sz w:val="20"/>
                <w:szCs w:val="20"/>
              </w:rPr>
            </w:pPr>
            <w:r w:rsidRPr="001C1CCB">
              <w:rPr>
                <w:rFonts w:ascii="Times New Roman" w:hAnsi="Times New Roman"/>
                <w:sz w:val="20"/>
                <w:szCs w:val="20"/>
              </w:rPr>
              <w:t>68.71</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96601C" w:rsidRPr="001C1CCB" w:rsidP="0096601C" w14:paraId="78B36B6D" w14:textId="06799055">
            <w:pPr>
              <w:ind w:firstLine="0"/>
              <w:rPr>
                <w:rFonts w:ascii="Times New Roman" w:hAnsi="Times New Roman"/>
                <w:sz w:val="20"/>
                <w:szCs w:val="20"/>
              </w:rPr>
            </w:pPr>
            <w:r w:rsidRPr="001C1CCB">
              <w:rPr>
                <w:rFonts w:ascii="Times New Roman" w:hAnsi="Times New Roman"/>
                <w:sz w:val="20"/>
                <w:szCs w:val="20"/>
              </w:rPr>
              <w:t>10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6601C" w:rsidRPr="001C1CCB" w:rsidP="0096601C" w14:paraId="162D3F4B" w14:textId="6CCAC4B7">
            <w:pPr>
              <w:ind w:firstLine="0"/>
              <w:rPr>
                <w:rFonts w:ascii="Times New Roman" w:hAnsi="Times New Roman"/>
                <w:sz w:val="20"/>
                <w:szCs w:val="20"/>
              </w:rPr>
            </w:pPr>
            <w:r w:rsidRPr="001C1CCB">
              <w:rPr>
                <w:rFonts w:ascii="Times New Roman" w:hAnsi="Times New Roman"/>
                <w:sz w:val="20"/>
                <w:szCs w:val="20"/>
              </w:rPr>
              <w:t>687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6601C" w:rsidRPr="001C1CCB" w:rsidP="0096601C" w14:paraId="60E1DC1D" w14:textId="148917D2">
            <w:pPr>
              <w:ind w:firstLine="0"/>
              <w:rPr>
                <w:rFonts w:ascii="Times New Roman" w:hAnsi="Times New Roman"/>
                <w:sz w:val="20"/>
                <w:szCs w:val="20"/>
              </w:rPr>
            </w:pPr>
            <w:r w:rsidRPr="001C1CCB">
              <w:rPr>
                <w:rFonts w:ascii="Times New Roman" w:hAnsi="Times New Roman"/>
                <w:sz w:val="20"/>
                <w:szCs w:val="20"/>
              </w:rPr>
              <w:t>$39.27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6601C" w:rsidRPr="001C1CCB" w:rsidP="0096601C" w14:paraId="53C62365" w14:textId="18E9F830">
            <w:pPr>
              <w:ind w:firstLine="0"/>
              <w:rPr>
                <w:rFonts w:ascii="Times New Roman" w:hAnsi="Times New Roman"/>
                <w:sz w:val="20"/>
                <w:szCs w:val="20"/>
              </w:rPr>
            </w:pPr>
            <w:r w:rsidRPr="001C1CCB">
              <w:rPr>
                <w:rFonts w:ascii="Times New Roman" w:hAnsi="Times New Roman"/>
                <w:sz w:val="20"/>
                <w:szCs w:val="20"/>
              </w:rPr>
              <w:t>$26,9</w:t>
            </w:r>
            <w:r w:rsidRPr="001C1CCB" w:rsidR="0085087B">
              <w:rPr>
                <w:rFonts w:ascii="Times New Roman" w:hAnsi="Times New Roman"/>
                <w:sz w:val="20"/>
                <w:szCs w:val="20"/>
              </w:rPr>
              <w:t>79</w:t>
            </w:r>
          </w:p>
        </w:tc>
      </w:tr>
      <w:tr w14:paraId="1F8D5F35" w14:textId="77777777" w:rsidTr="007C29F5">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000000" w:themeFill="text1"/>
            <w:hideMark/>
          </w:tcPr>
          <w:p w:rsidR="0096601C" w:rsidRPr="001C1CCB" w:rsidP="0096601C" w14:paraId="75E03E2C" w14:textId="77777777">
            <w:pPr>
              <w:ind w:firstLine="0"/>
              <w:jc w:val="right"/>
              <w:rPr>
                <w:rFonts w:ascii="Times New Roman" w:hAnsi="Times New Roman"/>
                <w:i/>
                <w:iCs/>
                <w:color w:val="FFFFFF" w:themeColor="background1"/>
                <w:sz w:val="20"/>
                <w:szCs w:val="20"/>
              </w:rPr>
            </w:pPr>
            <w:r w:rsidRPr="001C1CCB">
              <w:rPr>
                <w:rFonts w:ascii="Times New Roman" w:hAnsi="Times New Roman"/>
                <w:i/>
                <w:iCs/>
                <w:color w:val="FFFFFF" w:themeColor="background1"/>
                <w:sz w:val="20"/>
                <w:szCs w:val="20"/>
              </w:rPr>
              <w:t>Sub Total</w:t>
            </w:r>
          </w:p>
        </w:tc>
        <w:tc>
          <w:tcPr>
            <w:tcW w:w="1349"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rsidR="0096601C" w:rsidRPr="001C1CCB" w:rsidP="0096601C" w14:paraId="36BE07C9" w14:textId="77777777">
            <w:pPr>
              <w:ind w:firstLine="0"/>
              <w:jc w:val="right"/>
              <w:rPr>
                <w:rFonts w:ascii="Times New Roman" w:hAnsi="Times New Roman"/>
                <w:i/>
                <w:iCs/>
                <w:color w:val="FFFFFF" w:themeColor="background1"/>
                <w:sz w:val="20"/>
                <w:szCs w:val="20"/>
              </w:rPr>
            </w:pPr>
            <w:r w:rsidRPr="001C1CCB">
              <w:rPr>
                <w:rFonts w:ascii="Times New Roman" w:hAnsi="Times New Roman"/>
                <w:i/>
                <w:iCs/>
                <w:color w:val="FFFFFF" w:themeColor="background1"/>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rsidR="0096601C" w:rsidRPr="001C1CCB" w:rsidP="0096601C" w14:paraId="333D6FC7" w14:textId="77777777">
            <w:pPr>
              <w:ind w:firstLine="0"/>
              <w:jc w:val="right"/>
              <w:rPr>
                <w:rFonts w:ascii="Times New Roman" w:hAnsi="Times New Roman"/>
                <w:i/>
                <w:iCs/>
                <w:color w:val="FFFFFF" w:themeColor="background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hideMark/>
          </w:tcPr>
          <w:p w:rsidR="0096601C" w:rsidRPr="001C1CCB" w:rsidP="0096601C" w14:paraId="56F60341" w14:textId="50030E18">
            <w:pPr>
              <w:ind w:firstLine="0"/>
              <w:jc w:val="right"/>
              <w:rPr>
                <w:rFonts w:ascii="Times New Roman" w:hAnsi="Times New Roman"/>
                <w:i/>
                <w:iCs/>
                <w:color w:val="FFFFFF" w:themeColor="background1"/>
                <w:sz w:val="20"/>
                <w:szCs w:val="20"/>
              </w:rPr>
            </w:pPr>
            <w:r w:rsidRPr="001C1CCB">
              <w:rPr>
                <w:rFonts w:ascii="Times New Roman" w:hAnsi="Times New Roman"/>
                <w:i/>
                <w:iCs/>
                <w:color w:val="FFFFFF" w:themeColor="background1"/>
                <w:sz w:val="20"/>
                <w:szCs w:val="20"/>
              </w:rPr>
              <w:t>86</w:t>
            </w:r>
          </w:p>
        </w:tc>
        <w:tc>
          <w:tcPr>
            <w:tcW w:w="1193"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96601C" w:rsidRPr="001C1CCB" w:rsidP="0096601C" w14:paraId="36E7A5E9" w14:textId="20409A18">
            <w:pPr>
              <w:ind w:firstLine="0"/>
              <w:jc w:val="right"/>
              <w:rPr>
                <w:rFonts w:ascii="Times New Roman" w:hAnsi="Times New Roman"/>
                <w:i/>
                <w:iCs/>
                <w:color w:val="FFFFFF" w:themeColor="background1"/>
                <w:sz w:val="20"/>
                <w:szCs w:val="20"/>
              </w:rPr>
            </w:pPr>
            <w:r w:rsidRPr="001C1CCB">
              <w:rPr>
                <w:rFonts w:ascii="Times New Roman" w:hAnsi="Times New Roman"/>
                <w:i/>
                <w:iCs/>
                <w:color w:val="FFFFFF" w:themeColor="background1"/>
                <w:sz w:val="20"/>
                <w:szCs w:val="20"/>
              </w:rPr>
              <w:t>20.05</w:t>
            </w:r>
          </w:p>
        </w:tc>
        <w:tc>
          <w:tcPr>
            <w:tcW w:w="1057" w:type="dxa"/>
            <w:tcBorders>
              <w:top w:val="single" w:sz="4" w:space="0" w:color="auto"/>
              <w:left w:val="single" w:sz="4" w:space="0" w:color="auto"/>
              <w:bottom w:val="single" w:sz="24" w:space="0" w:color="auto"/>
              <w:right w:val="single" w:sz="4" w:space="0" w:color="auto"/>
            </w:tcBorders>
            <w:shd w:val="clear" w:color="auto" w:fill="000000" w:themeFill="text1"/>
            <w:hideMark/>
          </w:tcPr>
          <w:p w:rsidR="0096601C" w:rsidRPr="001C1CCB" w:rsidP="0096601C" w14:paraId="6FD4B88E" w14:textId="6964495B">
            <w:pPr>
              <w:ind w:firstLine="0"/>
              <w:jc w:val="right"/>
              <w:rPr>
                <w:rFonts w:ascii="Times New Roman" w:hAnsi="Times New Roman"/>
                <w:i/>
                <w:iCs/>
                <w:color w:val="FFFFFF" w:themeColor="background1"/>
                <w:sz w:val="20"/>
                <w:szCs w:val="20"/>
              </w:rPr>
            </w:pPr>
            <w:r w:rsidRPr="001C1CCB">
              <w:rPr>
                <w:rFonts w:ascii="Times New Roman" w:hAnsi="Times New Roman"/>
                <w:i/>
                <w:iCs/>
                <w:color w:val="FFFFFF" w:themeColor="background1"/>
                <w:sz w:val="20"/>
                <w:szCs w:val="20"/>
              </w:rPr>
              <w:t>1724.63</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tcPr>
          <w:p w:rsidR="0096601C" w:rsidRPr="001C1CCB" w:rsidP="0096601C" w14:paraId="4EB9026A" w14:textId="04988D30">
            <w:pPr>
              <w:ind w:firstLine="0"/>
              <w:jc w:val="right"/>
              <w:rPr>
                <w:rFonts w:ascii="Times New Roman" w:hAnsi="Times New Roman"/>
                <w:i/>
                <w:iCs/>
                <w:color w:val="FFFFFF" w:themeColor="background1"/>
                <w:sz w:val="20"/>
                <w:szCs w:val="20"/>
              </w:rPr>
            </w:pPr>
            <w:r w:rsidRPr="001C1CCB">
              <w:rPr>
                <w:rFonts w:ascii="Times New Roman" w:hAnsi="Times New Roman"/>
                <w:i/>
                <w:iCs/>
                <w:color w:val="FFFFFF" w:themeColor="background1"/>
                <w:sz w:val="20"/>
                <w:szCs w:val="20"/>
              </w:rPr>
              <w:t>$39.27</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96601C" w:rsidRPr="001C1CCB" w:rsidP="0096601C" w14:paraId="2A9E8CD4" w14:textId="475F2291">
            <w:pPr>
              <w:ind w:firstLine="0"/>
              <w:jc w:val="right"/>
              <w:rPr>
                <w:rFonts w:ascii="Times New Roman" w:hAnsi="Times New Roman"/>
                <w:i/>
                <w:iCs/>
                <w:color w:val="FFFFFF" w:themeColor="background1"/>
                <w:sz w:val="20"/>
                <w:szCs w:val="20"/>
              </w:rPr>
            </w:pPr>
            <w:r w:rsidRPr="001C1CCB">
              <w:rPr>
                <w:rFonts w:ascii="Times New Roman" w:hAnsi="Times New Roman"/>
                <w:i/>
                <w:iCs/>
                <w:color w:val="FFFFFF" w:themeColor="background1"/>
                <w:sz w:val="20"/>
                <w:szCs w:val="20"/>
              </w:rPr>
              <w:t>$</w:t>
            </w:r>
            <w:r w:rsidRPr="001C1CCB" w:rsidR="0085087B">
              <w:rPr>
                <w:rFonts w:ascii="Times New Roman" w:hAnsi="Times New Roman"/>
                <w:i/>
                <w:iCs/>
                <w:color w:val="FFFFFF" w:themeColor="background1"/>
                <w:sz w:val="20"/>
                <w:szCs w:val="20"/>
              </w:rPr>
              <w:t>67,721</w:t>
            </w:r>
            <w:r w:rsidRPr="001C1CCB">
              <w:rPr>
                <w:rFonts w:ascii="Times New Roman" w:hAnsi="Times New Roman"/>
                <w:i/>
                <w:iCs/>
                <w:color w:val="FFFFFF" w:themeColor="background1"/>
                <w:sz w:val="20"/>
                <w:szCs w:val="20"/>
              </w:rPr>
              <w:t xml:space="preserve"> </w:t>
            </w:r>
          </w:p>
        </w:tc>
      </w:tr>
      <w:tr w14:paraId="004248AD" w14:textId="77777777" w:rsidTr="00407409">
        <w:tblPrEx>
          <w:tblW w:w="11065" w:type="dxa"/>
          <w:tblLayout w:type="fixed"/>
          <w:tblLook w:val="00A0"/>
        </w:tblPrEx>
        <w:trPr>
          <w:tblHeader/>
        </w:trPr>
        <w:tc>
          <w:tcPr>
            <w:tcW w:w="1909" w:type="dxa"/>
            <w:tcBorders>
              <w:top w:val="single" w:sz="24" w:space="0" w:color="auto"/>
              <w:left w:val="single" w:sz="4" w:space="0" w:color="auto"/>
              <w:bottom w:val="single" w:sz="4" w:space="0" w:color="auto"/>
              <w:right w:val="single" w:sz="4" w:space="0" w:color="auto"/>
            </w:tcBorders>
            <w:shd w:val="clear" w:color="auto" w:fill="auto"/>
          </w:tcPr>
          <w:p w:rsidR="0096601C" w:rsidRPr="001C1CCB" w:rsidP="0096601C" w14:paraId="72E0AA64" w14:textId="05E6F8BF">
            <w:pPr>
              <w:ind w:firstLine="0"/>
              <w:jc w:val="center"/>
              <w:rPr>
                <w:rFonts w:ascii="Times New Roman" w:hAnsi="Times New Roman"/>
                <w:b/>
                <w:bCs/>
                <w:sz w:val="20"/>
                <w:szCs w:val="20"/>
              </w:rPr>
            </w:pPr>
            <w:r w:rsidRPr="001C1CCB">
              <w:rPr>
                <w:rFonts w:ascii="Times New Roman" w:hAnsi="Times New Roman"/>
                <w:b/>
                <w:bCs/>
                <w:sz w:val="20"/>
                <w:szCs w:val="20"/>
              </w:rPr>
              <w:t>Total Non-Standard Practice Items</w:t>
            </w:r>
          </w:p>
        </w:tc>
        <w:tc>
          <w:tcPr>
            <w:tcW w:w="1326" w:type="dxa"/>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3DAE3DF6" w14:textId="3F6C51EE">
            <w:pPr>
              <w:ind w:firstLine="0"/>
              <w:jc w:val="center"/>
              <w:rPr>
                <w:rFonts w:ascii="Times New Roman" w:hAnsi="Times New Roman"/>
                <w:b/>
                <w:bCs/>
                <w:sz w:val="24"/>
                <w:szCs w:val="24"/>
              </w:rPr>
            </w:pPr>
            <w:r w:rsidRPr="001C1CCB">
              <w:rPr>
                <w:rFonts w:ascii="Times New Roman" w:hAnsi="Times New Roman"/>
                <w:b/>
                <w:bCs/>
                <w:sz w:val="24"/>
                <w:szCs w:val="24"/>
              </w:rPr>
              <w:t>86</w:t>
            </w:r>
          </w:p>
        </w:tc>
        <w:tc>
          <w:tcPr>
            <w:tcW w:w="135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608BDE55" w14:textId="77777777">
            <w:pPr>
              <w:ind w:firstLine="0"/>
              <w:jc w:val="center"/>
              <w:rPr>
                <w:rFonts w:ascii="Times New Roman" w:hAnsi="Times New Roman"/>
                <w:b/>
                <w:bCs/>
                <w:sz w:val="24"/>
                <w:szCs w:val="24"/>
              </w:rPr>
            </w:pPr>
          </w:p>
        </w:tc>
        <w:tc>
          <w:tcPr>
            <w:tcW w:w="144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70DD4628" w14:textId="417A604E">
            <w:pPr>
              <w:ind w:firstLine="0"/>
              <w:jc w:val="center"/>
              <w:rPr>
                <w:rFonts w:ascii="Times New Roman" w:hAnsi="Times New Roman"/>
                <w:b/>
                <w:bCs/>
                <w:sz w:val="24"/>
                <w:szCs w:val="24"/>
              </w:rPr>
            </w:pPr>
            <w:r w:rsidRPr="001C1CCB">
              <w:rPr>
                <w:rFonts w:ascii="Times New Roman" w:hAnsi="Times New Roman"/>
                <w:b/>
                <w:bCs/>
                <w:sz w:val="24"/>
                <w:szCs w:val="24"/>
              </w:rPr>
              <w:t>423.70</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73D96038" w14:textId="6961CE5A">
            <w:pPr>
              <w:ind w:firstLine="0"/>
              <w:jc w:val="center"/>
              <w:rPr>
                <w:rFonts w:ascii="Times New Roman" w:hAnsi="Times New Roman"/>
                <w:b/>
                <w:bCs/>
                <w:sz w:val="24"/>
                <w:szCs w:val="24"/>
              </w:rPr>
            </w:pPr>
            <w:r w:rsidRPr="001C1CCB">
              <w:rPr>
                <w:rFonts w:ascii="Times New Roman" w:hAnsi="Times New Roman"/>
                <w:b/>
                <w:bCs/>
                <w:sz w:val="24"/>
                <w:szCs w:val="24"/>
              </w:rPr>
              <w:t>24.08</w:t>
            </w:r>
          </w:p>
        </w:tc>
        <w:tc>
          <w:tcPr>
            <w:tcW w:w="108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754D2F90" w14:textId="32A855F3">
            <w:pPr>
              <w:ind w:firstLine="0"/>
              <w:jc w:val="center"/>
              <w:rPr>
                <w:rFonts w:ascii="Times New Roman" w:hAnsi="Times New Roman"/>
                <w:b/>
                <w:bCs/>
                <w:sz w:val="24"/>
                <w:szCs w:val="24"/>
              </w:rPr>
            </w:pPr>
            <w:r w:rsidRPr="001C1CCB">
              <w:rPr>
                <w:rFonts w:ascii="Times New Roman" w:hAnsi="Times New Roman"/>
                <w:b/>
                <w:bCs/>
                <w:sz w:val="24"/>
                <w:szCs w:val="24"/>
              </w:rPr>
              <w:t>10</w:t>
            </w:r>
            <w:r w:rsidRPr="001C1CCB" w:rsidR="00082474">
              <w:rPr>
                <w:rFonts w:ascii="Times New Roman" w:hAnsi="Times New Roman"/>
                <w:b/>
                <w:bCs/>
                <w:sz w:val="24"/>
                <w:szCs w:val="24"/>
              </w:rPr>
              <w:t>,</w:t>
            </w:r>
            <w:r w:rsidRPr="001C1CCB">
              <w:rPr>
                <w:rFonts w:ascii="Times New Roman" w:hAnsi="Times New Roman"/>
                <w:b/>
                <w:bCs/>
                <w:sz w:val="24"/>
                <w:szCs w:val="24"/>
              </w:rPr>
              <w:t>20</w:t>
            </w:r>
            <w:r w:rsidRPr="001C1CCB" w:rsidR="00082474">
              <w:rPr>
                <w:rFonts w:ascii="Times New Roman" w:hAnsi="Times New Roman"/>
                <w:b/>
                <w:bCs/>
                <w:sz w:val="24"/>
                <w:szCs w:val="24"/>
              </w:rPr>
              <w:t>4</w:t>
            </w:r>
          </w:p>
        </w:tc>
        <w:tc>
          <w:tcPr>
            <w:tcW w:w="1260" w:type="dxa"/>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2D26A4D2" w14:textId="7E9C66AE">
            <w:pPr>
              <w:ind w:firstLine="0"/>
              <w:jc w:val="center"/>
              <w:rPr>
                <w:rFonts w:ascii="Times New Roman" w:hAnsi="Times New Roman"/>
                <w:b/>
                <w:bCs/>
                <w:sz w:val="24"/>
                <w:szCs w:val="24"/>
              </w:rPr>
            </w:pPr>
            <w:r w:rsidRPr="001C1CCB">
              <w:rPr>
                <w:rFonts w:ascii="Times New Roman" w:hAnsi="Times New Roman"/>
                <w:b/>
                <w:bCs/>
                <w:sz w:val="24"/>
                <w:szCs w:val="24"/>
              </w:rPr>
              <w:t>$52.</w:t>
            </w:r>
            <w:r w:rsidRPr="001C1CCB" w:rsidR="00082474">
              <w:rPr>
                <w:rFonts w:ascii="Times New Roman" w:hAnsi="Times New Roman"/>
                <w:b/>
                <w:bCs/>
                <w:sz w:val="24"/>
                <w:szCs w:val="24"/>
              </w:rPr>
              <w:t>28</w:t>
            </w:r>
          </w:p>
        </w:tc>
        <w:tc>
          <w:tcPr>
            <w:tcW w:w="1530" w:type="dxa"/>
            <w:tcBorders>
              <w:top w:val="single" w:sz="24" w:space="0" w:color="auto"/>
              <w:left w:val="single" w:sz="4" w:space="0" w:color="auto"/>
              <w:bottom w:val="single" w:sz="4" w:space="0" w:color="auto"/>
              <w:right w:val="single" w:sz="4" w:space="0" w:color="auto"/>
            </w:tcBorders>
            <w:shd w:val="clear" w:color="auto" w:fill="auto"/>
            <w:vAlign w:val="center"/>
          </w:tcPr>
          <w:p w:rsidR="008B4D3C" w:rsidRPr="001C1CCB" w:rsidP="008B4D3C" w14:paraId="2FF5B58A" w14:textId="34F91D6F">
            <w:pPr>
              <w:ind w:firstLine="0"/>
              <w:jc w:val="center"/>
              <w:rPr>
                <w:rFonts w:ascii="Times New Roman" w:hAnsi="Times New Roman"/>
                <w:b/>
                <w:bCs/>
                <w:sz w:val="24"/>
                <w:szCs w:val="24"/>
              </w:rPr>
            </w:pPr>
            <w:r w:rsidRPr="001C1CCB">
              <w:rPr>
                <w:rFonts w:ascii="Times New Roman" w:hAnsi="Times New Roman"/>
                <w:b/>
                <w:bCs/>
                <w:sz w:val="24"/>
                <w:szCs w:val="24"/>
              </w:rPr>
              <w:t>$5</w:t>
            </w:r>
            <w:r w:rsidRPr="001C1CCB" w:rsidR="002B3327">
              <w:rPr>
                <w:rFonts w:ascii="Times New Roman" w:hAnsi="Times New Roman"/>
                <w:b/>
                <w:bCs/>
                <w:sz w:val="24"/>
                <w:szCs w:val="24"/>
              </w:rPr>
              <w:t>3</w:t>
            </w:r>
            <w:r w:rsidRPr="001C1CCB">
              <w:rPr>
                <w:rFonts w:ascii="Times New Roman" w:hAnsi="Times New Roman"/>
                <w:b/>
                <w:bCs/>
                <w:sz w:val="24"/>
                <w:szCs w:val="24"/>
              </w:rPr>
              <w:t>3,</w:t>
            </w:r>
            <w:r w:rsidRPr="001C1CCB" w:rsidR="002B3327">
              <w:rPr>
                <w:rFonts w:ascii="Times New Roman" w:hAnsi="Times New Roman"/>
                <w:b/>
                <w:bCs/>
                <w:sz w:val="24"/>
                <w:szCs w:val="24"/>
              </w:rPr>
              <w:t>489</w:t>
            </w:r>
          </w:p>
        </w:tc>
      </w:tr>
      <w:tr w14:paraId="435087A2" w14:textId="77777777" w:rsidTr="00ED2B97">
        <w:tblPrEx>
          <w:tblW w:w="11065" w:type="dxa"/>
          <w:tblLayout w:type="fixed"/>
          <w:tblLook w:val="00A0"/>
        </w:tblPrEx>
        <w:trPr>
          <w:cantSplit/>
          <w:trHeight w:val="331"/>
          <w:tblHeader/>
        </w:trPr>
        <w:tc>
          <w:tcPr>
            <w:tcW w:w="4585" w:type="dxa"/>
            <w:gridSpan w:val="4"/>
            <w:tcBorders>
              <w:top w:val="single" w:sz="24" w:space="0" w:color="auto"/>
              <w:left w:val="single" w:sz="4" w:space="0" w:color="auto"/>
              <w:bottom w:val="single" w:sz="4" w:space="0" w:color="auto"/>
              <w:right w:val="single" w:sz="4" w:space="0" w:color="auto"/>
            </w:tcBorders>
            <w:shd w:val="clear" w:color="auto" w:fill="auto"/>
          </w:tcPr>
          <w:p w:rsidR="0096601C" w:rsidRPr="001C1CCB" w:rsidP="0096601C" w14:paraId="6E1CAD1D" w14:textId="35E8FEA6">
            <w:pPr>
              <w:ind w:firstLine="0"/>
              <w:jc w:val="center"/>
              <w:rPr>
                <w:rFonts w:ascii="Times New Roman" w:hAnsi="Times New Roman"/>
                <w:b/>
                <w:bCs/>
                <w:sz w:val="14"/>
                <w:szCs w:val="14"/>
              </w:rPr>
            </w:pPr>
            <w:r w:rsidRPr="001C1CCB">
              <w:rPr>
                <w:rFonts w:ascii="Times New Roman" w:hAnsi="Times New Roman"/>
                <w:b/>
                <w:bCs/>
                <w:sz w:val="24"/>
                <w:szCs w:val="24"/>
              </w:rPr>
              <w:t>Average for a Single, Generic Application</w:t>
            </w:r>
            <w:r w:rsidRPr="001C1CCB">
              <w:rPr>
                <w:rFonts w:ascii="Times New Roman" w:hAnsi="Times New Roman"/>
                <w:b/>
                <w:bCs/>
                <w:sz w:val="14"/>
                <w:szCs w:val="14"/>
              </w:rPr>
              <w:t>:</w:t>
            </w:r>
          </w:p>
        </w:tc>
        <w:tc>
          <w:tcPr>
            <w:tcW w:w="144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5D2A2719" w14:textId="37C2BBD8">
            <w:pPr>
              <w:ind w:firstLine="0"/>
              <w:jc w:val="center"/>
              <w:rPr>
                <w:rFonts w:ascii="Times New Roman" w:hAnsi="Times New Roman"/>
                <w:b/>
                <w:bCs/>
                <w:sz w:val="24"/>
                <w:szCs w:val="24"/>
              </w:rPr>
            </w:pPr>
            <w:r w:rsidRPr="001C1CCB">
              <w:rPr>
                <w:rFonts w:ascii="Times New Roman" w:hAnsi="Times New Roman"/>
                <w:b/>
                <w:bCs/>
                <w:sz w:val="24"/>
                <w:szCs w:val="24"/>
              </w:rPr>
              <w:t>4.93</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352AC3C6" w14:textId="305C0BEA">
            <w:pPr>
              <w:ind w:firstLine="0"/>
              <w:jc w:val="center"/>
              <w:rPr>
                <w:rFonts w:ascii="Times New Roman" w:hAnsi="Times New Roman"/>
                <w:b/>
                <w:bCs/>
                <w:sz w:val="24"/>
                <w:szCs w:val="24"/>
              </w:rPr>
            </w:pPr>
            <w:r w:rsidRPr="001C1CCB">
              <w:rPr>
                <w:rFonts w:ascii="Times New Roman" w:hAnsi="Times New Roman"/>
                <w:b/>
                <w:bCs/>
                <w:sz w:val="24"/>
                <w:szCs w:val="24"/>
              </w:rPr>
              <w:t>24.08</w:t>
            </w:r>
          </w:p>
        </w:tc>
        <w:tc>
          <w:tcPr>
            <w:tcW w:w="108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44A546AA" w14:textId="333B1D1A">
            <w:pPr>
              <w:ind w:firstLine="0"/>
              <w:jc w:val="center"/>
              <w:rPr>
                <w:rFonts w:ascii="Times New Roman" w:hAnsi="Times New Roman"/>
                <w:b/>
                <w:bCs/>
                <w:sz w:val="24"/>
                <w:szCs w:val="24"/>
              </w:rPr>
            </w:pPr>
            <w:r w:rsidRPr="001C1CCB">
              <w:rPr>
                <w:rFonts w:ascii="Times New Roman" w:hAnsi="Times New Roman"/>
                <w:b/>
                <w:bCs/>
                <w:sz w:val="24"/>
                <w:szCs w:val="24"/>
              </w:rPr>
              <w:t>118.65</w:t>
            </w:r>
          </w:p>
        </w:tc>
        <w:tc>
          <w:tcPr>
            <w:tcW w:w="1260" w:type="dxa"/>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1394C964" w14:textId="4B326EA1">
            <w:pPr>
              <w:ind w:firstLine="0"/>
              <w:jc w:val="center"/>
              <w:rPr>
                <w:rFonts w:ascii="Times New Roman" w:hAnsi="Times New Roman"/>
                <w:b/>
                <w:bCs/>
                <w:sz w:val="24"/>
                <w:szCs w:val="24"/>
              </w:rPr>
            </w:pPr>
            <w:r w:rsidRPr="001C1CCB">
              <w:rPr>
                <w:rFonts w:ascii="Times New Roman" w:hAnsi="Times New Roman"/>
                <w:b/>
                <w:bCs/>
                <w:sz w:val="24"/>
                <w:szCs w:val="24"/>
              </w:rPr>
              <w:t>$52.</w:t>
            </w:r>
            <w:r w:rsidRPr="001C1CCB" w:rsidR="006F1C47">
              <w:rPr>
                <w:rFonts w:ascii="Times New Roman" w:hAnsi="Times New Roman"/>
                <w:b/>
                <w:bCs/>
                <w:sz w:val="24"/>
                <w:szCs w:val="24"/>
              </w:rPr>
              <w:t>28</w:t>
            </w:r>
          </w:p>
        </w:tc>
        <w:tc>
          <w:tcPr>
            <w:tcW w:w="1530" w:type="dxa"/>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4DFECECE" w14:textId="5C52FFA1">
            <w:pPr>
              <w:ind w:firstLine="0"/>
              <w:jc w:val="center"/>
              <w:rPr>
                <w:rFonts w:ascii="Times New Roman" w:hAnsi="Times New Roman"/>
                <w:b/>
                <w:bCs/>
                <w:sz w:val="24"/>
                <w:szCs w:val="24"/>
              </w:rPr>
            </w:pPr>
            <w:r w:rsidRPr="001C1CCB">
              <w:rPr>
                <w:rFonts w:ascii="Times New Roman" w:hAnsi="Times New Roman"/>
                <w:b/>
                <w:bCs/>
                <w:sz w:val="24"/>
                <w:szCs w:val="24"/>
              </w:rPr>
              <w:t>$</w:t>
            </w:r>
            <w:r w:rsidRPr="001C1CCB" w:rsidR="006F1C47">
              <w:rPr>
                <w:rFonts w:ascii="Times New Roman" w:hAnsi="Times New Roman"/>
                <w:b/>
                <w:bCs/>
                <w:sz w:val="24"/>
                <w:szCs w:val="24"/>
              </w:rPr>
              <w:t>6,203</w:t>
            </w:r>
          </w:p>
        </w:tc>
      </w:tr>
      <w:tr w14:paraId="7401E426" w14:textId="77777777" w:rsidTr="0063397D">
        <w:tblPrEx>
          <w:tblW w:w="11065" w:type="dxa"/>
          <w:tblLayout w:type="fixed"/>
          <w:tblLook w:val="00A0"/>
        </w:tblPrEx>
        <w:trPr>
          <w:cantSplit/>
          <w:trHeight w:val="331"/>
          <w:tblHeader/>
        </w:trPr>
        <w:tc>
          <w:tcPr>
            <w:tcW w:w="4585" w:type="dxa"/>
            <w:gridSpan w:val="4"/>
            <w:tcBorders>
              <w:top w:val="single" w:sz="24" w:space="0" w:color="auto"/>
              <w:left w:val="single" w:sz="4" w:space="0" w:color="auto"/>
              <w:bottom w:val="single" w:sz="4" w:space="0" w:color="auto"/>
              <w:right w:val="single" w:sz="4" w:space="0" w:color="auto"/>
            </w:tcBorders>
            <w:shd w:val="clear" w:color="auto" w:fill="auto"/>
          </w:tcPr>
          <w:p w:rsidR="0096601C" w:rsidRPr="001C1CCB" w:rsidP="0096601C" w14:paraId="71194354" w14:textId="3680B3D1">
            <w:pPr>
              <w:ind w:firstLine="0"/>
              <w:jc w:val="center"/>
              <w:rPr>
                <w:rFonts w:ascii="Times New Roman" w:hAnsi="Times New Roman"/>
                <w:b/>
                <w:bCs/>
                <w:sz w:val="24"/>
                <w:szCs w:val="24"/>
              </w:rPr>
            </w:pPr>
            <w:r w:rsidRPr="001C1CCB">
              <w:rPr>
                <w:rFonts w:ascii="Times New Roman" w:hAnsi="Times New Roman"/>
                <w:b/>
                <w:bCs/>
                <w:sz w:val="24"/>
                <w:szCs w:val="24"/>
              </w:rPr>
              <w:t>Collection Total</w:t>
            </w:r>
            <w:r w:rsidRPr="001C1CCB">
              <w:rPr>
                <w:rFonts w:ascii="Times New Roman" w:hAnsi="Times New Roman"/>
                <w:b/>
                <w:bCs/>
                <w:sz w:val="24"/>
                <w:szCs w:val="24"/>
              </w:rPr>
              <w:t xml:space="preserve"> for All Applications:</w:t>
            </w:r>
          </w:p>
        </w:tc>
        <w:tc>
          <w:tcPr>
            <w:tcW w:w="144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7138F43C" w14:textId="0F80EBFC">
            <w:pPr>
              <w:ind w:firstLine="0"/>
              <w:jc w:val="center"/>
              <w:rPr>
                <w:rFonts w:ascii="Times New Roman" w:hAnsi="Times New Roman"/>
                <w:b/>
                <w:bCs/>
                <w:sz w:val="24"/>
                <w:szCs w:val="24"/>
              </w:rPr>
            </w:pPr>
            <w:r w:rsidRPr="002946B3">
              <w:rPr>
                <w:rFonts w:ascii="Times New Roman" w:hAnsi="Times New Roman"/>
                <w:b/>
                <w:bCs/>
                <w:sz w:val="24"/>
                <w:szCs w:val="24"/>
              </w:rPr>
              <w:t>2071</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30FE926A" w14:textId="5380663D">
            <w:pPr>
              <w:ind w:firstLine="0"/>
              <w:jc w:val="center"/>
              <w:rPr>
                <w:rFonts w:ascii="Times New Roman" w:hAnsi="Times New Roman"/>
                <w:b/>
                <w:bCs/>
                <w:sz w:val="24"/>
                <w:szCs w:val="24"/>
              </w:rPr>
            </w:pPr>
            <w:r w:rsidRPr="001C1CCB">
              <w:rPr>
                <w:rFonts w:ascii="Times New Roman" w:hAnsi="Times New Roman"/>
                <w:b/>
                <w:bCs/>
                <w:sz w:val="24"/>
                <w:szCs w:val="24"/>
              </w:rPr>
              <w:t>24.08</w:t>
            </w:r>
          </w:p>
        </w:tc>
        <w:tc>
          <w:tcPr>
            <w:tcW w:w="108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3143C6A6" w14:textId="23BC3ED5">
            <w:pPr>
              <w:ind w:firstLine="0"/>
              <w:jc w:val="center"/>
              <w:rPr>
                <w:rFonts w:ascii="Times New Roman" w:hAnsi="Times New Roman"/>
                <w:b/>
                <w:bCs/>
                <w:sz w:val="24"/>
                <w:szCs w:val="24"/>
              </w:rPr>
            </w:pPr>
            <w:r w:rsidRPr="001C1CCB">
              <w:rPr>
                <w:rFonts w:ascii="Times New Roman" w:hAnsi="Times New Roman"/>
                <w:b/>
                <w:bCs/>
                <w:sz w:val="24"/>
                <w:szCs w:val="24"/>
              </w:rPr>
              <w:t>132,172</w:t>
            </w:r>
          </w:p>
        </w:tc>
        <w:tc>
          <w:tcPr>
            <w:tcW w:w="1260" w:type="dxa"/>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1028957D" w14:textId="6C760D46">
            <w:pPr>
              <w:ind w:firstLine="0"/>
              <w:jc w:val="center"/>
              <w:rPr>
                <w:rFonts w:ascii="Times New Roman" w:hAnsi="Times New Roman"/>
                <w:b/>
                <w:bCs/>
                <w:sz w:val="24"/>
                <w:szCs w:val="24"/>
              </w:rPr>
            </w:pPr>
            <w:r w:rsidRPr="001C1CCB">
              <w:rPr>
                <w:rFonts w:ascii="Times New Roman" w:hAnsi="Times New Roman"/>
                <w:b/>
                <w:bCs/>
                <w:sz w:val="24"/>
                <w:szCs w:val="24"/>
              </w:rPr>
              <w:t>$52.</w:t>
            </w:r>
            <w:r w:rsidRPr="001C1CCB" w:rsidR="003647BB">
              <w:rPr>
                <w:rFonts w:ascii="Times New Roman" w:hAnsi="Times New Roman"/>
                <w:b/>
                <w:bCs/>
                <w:sz w:val="24"/>
                <w:szCs w:val="24"/>
              </w:rPr>
              <w:t>28</w:t>
            </w:r>
          </w:p>
        </w:tc>
        <w:tc>
          <w:tcPr>
            <w:tcW w:w="1530" w:type="dxa"/>
            <w:tcBorders>
              <w:top w:val="single" w:sz="24" w:space="0" w:color="auto"/>
              <w:left w:val="single" w:sz="4" w:space="0" w:color="auto"/>
              <w:bottom w:val="single" w:sz="4" w:space="0" w:color="auto"/>
              <w:right w:val="single" w:sz="4" w:space="0" w:color="auto"/>
            </w:tcBorders>
            <w:shd w:val="clear" w:color="auto" w:fill="auto"/>
            <w:vAlign w:val="center"/>
          </w:tcPr>
          <w:p w:rsidR="0096601C" w:rsidRPr="001C1CCB" w:rsidP="0096601C" w14:paraId="7FFBA550" w14:textId="2AA3078D">
            <w:pPr>
              <w:ind w:firstLine="0"/>
              <w:jc w:val="center"/>
              <w:rPr>
                <w:rFonts w:ascii="Times New Roman" w:hAnsi="Times New Roman"/>
                <w:b/>
                <w:bCs/>
                <w:sz w:val="24"/>
                <w:szCs w:val="24"/>
              </w:rPr>
            </w:pPr>
            <w:r w:rsidRPr="001C1CCB">
              <w:rPr>
                <w:rFonts w:ascii="Times New Roman" w:hAnsi="Times New Roman"/>
                <w:b/>
                <w:bCs/>
                <w:sz w:val="24"/>
                <w:szCs w:val="24"/>
              </w:rPr>
              <w:t>$</w:t>
            </w:r>
            <w:r w:rsidRPr="001C1CCB" w:rsidR="00ED29CC">
              <w:rPr>
                <w:rFonts w:ascii="Times New Roman" w:hAnsi="Times New Roman"/>
                <w:b/>
                <w:bCs/>
                <w:sz w:val="24"/>
                <w:szCs w:val="24"/>
              </w:rPr>
              <w:t>6,</w:t>
            </w:r>
            <w:r w:rsidRPr="001C1CCB" w:rsidR="00096F7D">
              <w:rPr>
                <w:rFonts w:ascii="Times New Roman" w:hAnsi="Times New Roman"/>
                <w:b/>
                <w:bCs/>
                <w:sz w:val="24"/>
                <w:szCs w:val="24"/>
              </w:rPr>
              <w:t>910,542</w:t>
            </w:r>
          </w:p>
        </w:tc>
      </w:tr>
    </w:tbl>
    <w:p w:rsidR="00A418DD" w:rsidRPr="001C1CCB" w:rsidP="00FF7128" w14:paraId="23CE3E45" w14:textId="77777777">
      <w:pPr>
        <w:ind w:left="720" w:firstLine="0"/>
        <w:rPr>
          <w:rFonts w:ascii="Times New Roman" w:hAnsi="Times New Roman"/>
          <w:b/>
          <w:bCs/>
          <w:sz w:val="20"/>
          <w:szCs w:val="20"/>
          <w:lang w:bidi="ar-SA"/>
        </w:rPr>
      </w:pPr>
    </w:p>
    <w:p w:rsidR="000B5883" w:rsidRPr="001C1CCB" w14:paraId="619A04F2" w14:textId="77777777">
      <w:pPr>
        <w:ind w:firstLine="0"/>
        <w:rPr>
          <w:rFonts w:ascii="Times New (W1)" w:hAnsi="Times New (W1)"/>
          <w:b/>
          <w:bCs/>
          <w:sz w:val="24"/>
        </w:rPr>
      </w:pPr>
      <w:r w:rsidRPr="001C1CCB">
        <w:rPr>
          <w:rFonts w:ascii="Times New (W1)" w:hAnsi="Times New (W1)"/>
          <w:b/>
          <w:bCs/>
          <w:sz w:val="24"/>
        </w:rPr>
        <w:t>Notes:</w:t>
      </w:r>
    </w:p>
    <w:p w:rsidR="000B5883" w:rsidRPr="001C1CCB" w14:paraId="68FF86E0" w14:textId="6C28CE50">
      <w:pPr>
        <w:ind w:firstLine="0"/>
        <w:rPr>
          <w:rFonts w:ascii="Times New (W1)" w:hAnsi="Times New (W1)"/>
          <w:sz w:val="24"/>
        </w:rPr>
      </w:pPr>
    </w:p>
    <w:p w:rsidR="0004401D" w:rsidRPr="001C1CCB" w14:paraId="747FBB96" w14:textId="6C7E4E4A">
      <w:pPr>
        <w:ind w:firstLine="0"/>
        <w:rPr>
          <w:rFonts w:ascii="Times New (W1)" w:hAnsi="Times New (W1)"/>
          <w:sz w:val="24"/>
        </w:rPr>
      </w:pPr>
      <w:r w:rsidRPr="001C1CCB">
        <w:rPr>
          <w:rFonts w:ascii="Times New (W1)" w:hAnsi="Times New (W1)"/>
          <w:sz w:val="24"/>
        </w:rPr>
        <w:t xml:space="preserve">Column A:  </w:t>
      </w:r>
      <w:r w:rsidRPr="001C1CCB" w:rsidR="00E62BEE">
        <w:rPr>
          <w:rFonts w:ascii="Times New (W1)" w:hAnsi="Times New (W1)"/>
          <w:sz w:val="24"/>
        </w:rPr>
        <w:t xml:space="preserve">This </w:t>
      </w:r>
      <w:r w:rsidRPr="001C1CCB" w:rsidR="00FE53A9">
        <w:rPr>
          <w:rFonts w:ascii="Times New (W1)" w:hAnsi="Times New (W1)"/>
          <w:sz w:val="24"/>
        </w:rPr>
        <w:t xml:space="preserve">collection describes the response or work of lenders </w:t>
      </w:r>
      <w:r w:rsidRPr="001C1CCB" w:rsidR="001548A1">
        <w:rPr>
          <w:rFonts w:ascii="Times New (W1)" w:hAnsi="Times New (W1)"/>
          <w:sz w:val="24"/>
        </w:rPr>
        <w:t xml:space="preserve">to prepare insured mortgage applications for </w:t>
      </w:r>
      <w:r w:rsidRPr="001C1CCB" w:rsidR="00A62071">
        <w:rPr>
          <w:rFonts w:ascii="Times New (W1)" w:hAnsi="Times New (W1)"/>
          <w:sz w:val="24"/>
        </w:rPr>
        <w:t>a variety of loan purposes eligible under different Sections of the National Housing Act</w:t>
      </w:r>
      <w:r w:rsidRPr="001C1CCB" w:rsidR="00557649">
        <w:rPr>
          <w:rFonts w:ascii="Times New (W1)" w:hAnsi="Times New (W1)"/>
          <w:sz w:val="24"/>
        </w:rPr>
        <w:t>.  Th</w:t>
      </w:r>
      <w:r w:rsidRPr="001C1CCB" w:rsidR="00EC21B9">
        <w:rPr>
          <w:rFonts w:ascii="Times New (W1)" w:hAnsi="Times New (W1)"/>
          <w:sz w:val="24"/>
        </w:rPr>
        <w:t xml:space="preserve">is work is divided into four categories </w:t>
      </w:r>
      <w:r w:rsidRPr="001C1CCB" w:rsidR="00A71C6D">
        <w:rPr>
          <w:rFonts w:ascii="Times New (W1)" w:hAnsi="Times New (W1)"/>
          <w:sz w:val="24"/>
        </w:rPr>
        <w:t>for purposes of summarizing burden hours and costs</w:t>
      </w:r>
      <w:r w:rsidRPr="001C1CCB" w:rsidR="003D4967">
        <w:rPr>
          <w:rFonts w:ascii="Times New (W1)" w:hAnsi="Times New (W1)"/>
          <w:sz w:val="24"/>
        </w:rPr>
        <w:t>.</w:t>
      </w:r>
      <w:r w:rsidRPr="001C1CCB" w:rsidR="009B235A">
        <w:rPr>
          <w:rFonts w:ascii="Times New (W1)" w:hAnsi="Times New (W1)"/>
          <w:sz w:val="24"/>
        </w:rPr>
        <w:t xml:space="preserve">  The first category are tasks typical of all applications</w:t>
      </w:r>
      <w:r w:rsidRPr="001C1CCB" w:rsidR="004E6434">
        <w:rPr>
          <w:rFonts w:ascii="Times New (W1)" w:hAnsi="Times New (W1)"/>
          <w:sz w:val="24"/>
        </w:rPr>
        <w:t>. The second describes a single task for a single loan</w:t>
      </w:r>
      <w:r w:rsidRPr="001C1CCB" w:rsidR="00E903D2">
        <w:rPr>
          <w:rFonts w:ascii="Times New (W1)" w:hAnsi="Times New (W1)"/>
          <w:sz w:val="24"/>
        </w:rPr>
        <w:t xml:space="preserve"> activity, i.e., substantial rehabilitation, which is </w:t>
      </w:r>
      <w:r w:rsidRPr="001C1CCB" w:rsidR="00D433F5">
        <w:rPr>
          <w:rFonts w:ascii="Times New (W1)" w:hAnsi="Times New (W1)"/>
          <w:sz w:val="24"/>
        </w:rPr>
        <w:t>the subject of only 6% of applications in the past three calendar years.</w:t>
      </w:r>
      <w:r w:rsidRPr="001C1CCB" w:rsidR="008F4254">
        <w:rPr>
          <w:rFonts w:ascii="Times New (W1)" w:hAnsi="Times New (W1)"/>
          <w:sz w:val="24"/>
        </w:rPr>
        <w:t xml:space="preserve">  The third describes the time needed for lender underwriters to read</w:t>
      </w:r>
      <w:r w:rsidRPr="001C1CCB" w:rsidR="00CA620C">
        <w:rPr>
          <w:rFonts w:ascii="Times New (W1)" w:hAnsi="Times New (W1)"/>
          <w:sz w:val="24"/>
        </w:rPr>
        <w:t xml:space="preserve">, absorb and correlate the multiple Standard Practice </w:t>
      </w:r>
      <w:r w:rsidRPr="001C1CCB" w:rsidR="00143298">
        <w:rPr>
          <w:rFonts w:ascii="Times New (W1)" w:hAnsi="Times New (W1)"/>
          <w:sz w:val="24"/>
        </w:rPr>
        <w:t xml:space="preserve">due diligence reports they obtain from </w:t>
      </w:r>
      <w:r w:rsidRPr="001C1CCB" w:rsidR="00143298">
        <w:rPr>
          <w:rFonts w:ascii="Times New (W1)" w:hAnsi="Times New (W1)"/>
          <w:sz w:val="24"/>
        </w:rPr>
        <w:t>third-parties</w:t>
      </w:r>
      <w:r w:rsidRPr="001C1CCB" w:rsidR="00143298">
        <w:rPr>
          <w:rFonts w:ascii="Times New (W1)" w:hAnsi="Times New (W1)"/>
          <w:sz w:val="24"/>
        </w:rPr>
        <w:t xml:space="preserve"> </w:t>
      </w:r>
      <w:r w:rsidRPr="001C1CCB" w:rsidR="00267EB2">
        <w:rPr>
          <w:rFonts w:ascii="Times New (W1)" w:hAnsi="Times New (W1)"/>
          <w:sz w:val="24"/>
        </w:rPr>
        <w:t xml:space="preserve">they or the borrower hire for the transaction. The burden of preparing such </w:t>
      </w:r>
      <w:r w:rsidRPr="001C1CCB" w:rsidR="00800773">
        <w:rPr>
          <w:rFonts w:ascii="Times New (W1)" w:hAnsi="Times New (W1)"/>
          <w:sz w:val="24"/>
        </w:rPr>
        <w:t xml:space="preserve">standard practice </w:t>
      </w:r>
      <w:r w:rsidRPr="001C1CCB" w:rsidR="00267EB2">
        <w:rPr>
          <w:rFonts w:ascii="Times New (W1)" w:hAnsi="Times New (W1)"/>
          <w:sz w:val="24"/>
        </w:rPr>
        <w:t xml:space="preserve">reports is described in response to </w:t>
      </w:r>
      <w:r w:rsidRPr="001C1CCB" w:rsidR="00E23C2B">
        <w:rPr>
          <w:rFonts w:ascii="Times New (W1)" w:hAnsi="Times New (W1)"/>
          <w:sz w:val="24"/>
        </w:rPr>
        <w:t>Question 13, below</w:t>
      </w:r>
      <w:r w:rsidRPr="001C1CCB" w:rsidR="00150510">
        <w:rPr>
          <w:rFonts w:ascii="Times New (W1)" w:hAnsi="Times New (W1)"/>
          <w:sz w:val="24"/>
        </w:rPr>
        <w:t xml:space="preserve">.  The </w:t>
      </w:r>
      <w:r w:rsidRPr="001C1CCB" w:rsidR="002C2A7A">
        <w:rPr>
          <w:rFonts w:ascii="Times New (W1)" w:hAnsi="Times New (W1)"/>
          <w:sz w:val="24"/>
        </w:rPr>
        <w:t xml:space="preserve">specific reduction in burdens provided by the revised method for calculating cost not attributable </w:t>
      </w:r>
      <w:r w:rsidRPr="001C1CCB" w:rsidR="00515DF0">
        <w:rPr>
          <w:rFonts w:ascii="Times New (W1)" w:hAnsi="Times New (W1)"/>
          <w:sz w:val="24"/>
        </w:rPr>
        <w:t>is shown as a deduct, applicable in only 10% of cases.</w:t>
      </w:r>
      <w:r w:rsidRPr="001C1CCB" w:rsidR="0029414C">
        <w:rPr>
          <w:rFonts w:ascii="Times New (W1)" w:hAnsi="Times New (W1)"/>
          <w:sz w:val="24"/>
        </w:rPr>
        <w:t xml:space="preserve"> </w:t>
      </w:r>
      <w:r w:rsidRPr="001C1CCB" w:rsidR="00C22CEF">
        <w:rPr>
          <w:rFonts w:ascii="Times New (W1)" w:hAnsi="Times New (W1)"/>
          <w:sz w:val="24"/>
        </w:rPr>
        <w:t xml:space="preserve">The last category of work is lender </w:t>
      </w:r>
      <w:r w:rsidRPr="001C1CCB" w:rsidR="009A7331">
        <w:rPr>
          <w:rFonts w:ascii="Times New (W1)" w:hAnsi="Times New (W1)"/>
          <w:sz w:val="24"/>
        </w:rPr>
        <w:t xml:space="preserve">tasks required to monitor and administer funds </w:t>
      </w:r>
      <w:r w:rsidRPr="001C1CCB" w:rsidR="009A7331">
        <w:rPr>
          <w:rFonts w:ascii="Times New (W1)" w:hAnsi="Times New (W1)"/>
          <w:sz w:val="24"/>
        </w:rPr>
        <w:t>escrowed for construction</w:t>
      </w:r>
      <w:r w:rsidRPr="001C1CCB" w:rsidR="00C86809">
        <w:rPr>
          <w:rFonts w:ascii="Times New (W1)" w:hAnsi="Times New (W1)"/>
          <w:sz w:val="24"/>
        </w:rPr>
        <w:t>.  Construction loans</w:t>
      </w:r>
      <w:r w:rsidRPr="001C1CCB" w:rsidR="004E6434">
        <w:rPr>
          <w:rFonts w:ascii="Times New (W1)" w:hAnsi="Times New (W1)"/>
          <w:sz w:val="24"/>
        </w:rPr>
        <w:t xml:space="preserve"> </w:t>
      </w:r>
      <w:r w:rsidRPr="001C1CCB" w:rsidR="00C86809">
        <w:rPr>
          <w:rFonts w:ascii="Times New (W1)" w:hAnsi="Times New (W1)"/>
          <w:sz w:val="24"/>
        </w:rPr>
        <w:t xml:space="preserve">are significant undertakings with funds disbursed monthly </w:t>
      </w:r>
      <w:r w:rsidRPr="001C1CCB" w:rsidR="00FD61A5">
        <w:rPr>
          <w:rFonts w:ascii="Times New (W1)" w:hAnsi="Times New (W1)"/>
          <w:sz w:val="24"/>
        </w:rPr>
        <w:t xml:space="preserve">after review of borrower requests for reimbursement of costs, over a construction period </w:t>
      </w:r>
      <w:r w:rsidRPr="001C1CCB" w:rsidR="003E7FE8">
        <w:rPr>
          <w:rFonts w:ascii="Times New (W1)" w:hAnsi="Times New (W1)"/>
          <w:sz w:val="24"/>
        </w:rPr>
        <w:t xml:space="preserve">averaging 15 months.  By contrast repairs and alterations in refinance or purchase loans </w:t>
      </w:r>
      <w:r w:rsidRPr="001C1CCB" w:rsidR="00870270">
        <w:rPr>
          <w:rFonts w:ascii="Times New (W1)" w:hAnsi="Times New (W1)"/>
          <w:sz w:val="24"/>
        </w:rPr>
        <w:t>vary widely but are limited in time and scope</w:t>
      </w:r>
      <w:r w:rsidRPr="001C1CCB" w:rsidR="000B493B">
        <w:rPr>
          <w:rFonts w:ascii="Times New (W1)" w:hAnsi="Times New (W1)"/>
          <w:sz w:val="24"/>
        </w:rPr>
        <w:t>, typically with only two progress disbursement</w:t>
      </w:r>
      <w:r w:rsidRPr="001C1CCB" w:rsidR="000A53C6">
        <w:rPr>
          <w:rFonts w:ascii="Times New (W1)" w:hAnsi="Times New (W1)"/>
          <w:sz w:val="24"/>
        </w:rPr>
        <w:t>s</w:t>
      </w:r>
      <w:r w:rsidRPr="001C1CCB" w:rsidR="000B493B">
        <w:rPr>
          <w:rFonts w:ascii="Times New (W1)" w:hAnsi="Times New (W1)"/>
          <w:sz w:val="24"/>
        </w:rPr>
        <w:t xml:space="preserve"> and a single final disbursement.</w:t>
      </w:r>
      <w:r w:rsidRPr="001C1CCB" w:rsidR="00AD64EB">
        <w:rPr>
          <w:rFonts w:ascii="Times New (W1)" w:hAnsi="Times New (W1)"/>
          <w:sz w:val="24"/>
        </w:rPr>
        <w:t xml:space="preserve"> The last three rows of the table </w:t>
      </w:r>
      <w:r w:rsidRPr="001C1CCB" w:rsidR="004004A7">
        <w:rPr>
          <w:rFonts w:ascii="Times New (W1)" w:hAnsi="Times New (W1)"/>
          <w:sz w:val="24"/>
        </w:rPr>
        <w:t>reflect the aggregate of a single “composite” application per lender</w:t>
      </w:r>
      <w:r w:rsidRPr="001C1CCB" w:rsidR="00A5483D">
        <w:rPr>
          <w:rFonts w:ascii="Times New (W1)" w:hAnsi="Times New (W1)"/>
          <w:sz w:val="24"/>
        </w:rPr>
        <w:t xml:space="preserve"> by 86 lenders, then the average for a single ap</w:t>
      </w:r>
      <w:r w:rsidRPr="001C1CCB" w:rsidR="000F1A24">
        <w:rPr>
          <w:rFonts w:ascii="Times New (W1)" w:hAnsi="Times New (W1)"/>
          <w:sz w:val="24"/>
        </w:rPr>
        <w:t xml:space="preserve">plication, followed by the Collection Total for all 1,114 applications </w:t>
      </w:r>
      <w:r w:rsidRPr="001C1CCB" w:rsidR="00A71CE9">
        <w:rPr>
          <w:rFonts w:ascii="Times New (W1)" w:hAnsi="Times New (W1)"/>
          <w:sz w:val="24"/>
        </w:rPr>
        <w:t>received annually based on the last three calendar years, 2019-2021.</w:t>
      </w:r>
    </w:p>
    <w:p w:rsidR="0004401D" w:rsidRPr="001C1CCB" w14:paraId="66410F25" w14:textId="77777777">
      <w:pPr>
        <w:ind w:firstLine="0"/>
        <w:rPr>
          <w:rFonts w:ascii="Times New (W1)" w:hAnsi="Times New (W1)"/>
          <w:sz w:val="24"/>
        </w:rPr>
      </w:pPr>
    </w:p>
    <w:p w:rsidR="003B1249" w:rsidRPr="001C1CCB" w14:paraId="4C11B0D0" w14:textId="77777777">
      <w:pPr>
        <w:ind w:firstLine="0"/>
        <w:rPr>
          <w:rFonts w:ascii="Times New (W1)" w:hAnsi="Times New (W1)"/>
          <w:sz w:val="24"/>
        </w:rPr>
      </w:pPr>
      <w:r w:rsidRPr="001C1CCB">
        <w:rPr>
          <w:rFonts w:ascii="Times New (W1)" w:hAnsi="Times New (W1)"/>
          <w:sz w:val="24"/>
        </w:rPr>
        <w:t xml:space="preserve">Column B: </w:t>
      </w:r>
      <w:r w:rsidRPr="001C1CCB" w:rsidR="00B35AD8">
        <w:rPr>
          <w:rFonts w:ascii="Times New (W1)" w:hAnsi="Times New (W1)"/>
          <w:sz w:val="24"/>
        </w:rPr>
        <w:t xml:space="preserve">The table reports 86 respondents, that is, lenders </w:t>
      </w:r>
      <w:r w:rsidRPr="001C1CCB" w:rsidR="00E011C1">
        <w:rPr>
          <w:rFonts w:ascii="Times New (W1)" w:hAnsi="Times New (W1)"/>
          <w:sz w:val="24"/>
        </w:rPr>
        <w:t>actively filing multiple applications annually, th</w:t>
      </w:r>
      <w:r w:rsidRPr="001C1CCB" w:rsidR="009E3BC8">
        <w:rPr>
          <w:rFonts w:ascii="Times New (W1)" w:hAnsi="Times New (W1)"/>
          <w:sz w:val="24"/>
        </w:rPr>
        <w:t xml:space="preserve">ough the actual number </w:t>
      </w:r>
      <w:r w:rsidRPr="001C1CCB" w:rsidR="00CF3979">
        <w:rPr>
          <w:rFonts w:ascii="Times New (W1)" w:hAnsi="Times New (W1)"/>
          <w:sz w:val="24"/>
        </w:rPr>
        <w:t xml:space="preserve">of applications filed </w:t>
      </w:r>
      <w:r w:rsidRPr="001C1CCB" w:rsidR="009E3BC8">
        <w:rPr>
          <w:rFonts w:ascii="Times New (W1)" w:hAnsi="Times New (W1)"/>
          <w:sz w:val="24"/>
        </w:rPr>
        <w:t>varies widely among lenders</w:t>
      </w:r>
      <w:r w:rsidRPr="001C1CCB" w:rsidR="00CF3979">
        <w:rPr>
          <w:rFonts w:ascii="Times New (W1)" w:hAnsi="Times New (W1)"/>
          <w:sz w:val="24"/>
        </w:rPr>
        <w:t>.  During calendar years 2019</w:t>
      </w:r>
      <w:r w:rsidRPr="001C1CCB" w:rsidR="00DF6A09">
        <w:rPr>
          <w:rFonts w:ascii="Times New (W1)" w:hAnsi="Times New (W1)"/>
          <w:sz w:val="24"/>
        </w:rPr>
        <w:t>, 2020 and 2021 the average number of applications filed by all lenders was 1</w:t>
      </w:r>
      <w:r w:rsidRPr="001C1CCB" w:rsidR="00AA0AA8">
        <w:rPr>
          <w:rFonts w:ascii="Times New (W1)" w:hAnsi="Times New (W1)"/>
          <w:sz w:val="24"/>
        </w:rPr>
        <w:t>,114 per annum (See table</w:t>
      </w:r>
      <w:r w:rsidRPr="001C1CCB" w:rsidR="003156A7">
        <w:rPr>
          <w:rFonts w:ascii="Times New (W1)" w:hAnsi="Times New (W1)"/>
          <w:sz w:val="24"/>
        </w:rPr>
        <w:t xml:space="preserve"> of Firm Commitments issued</w:t>
      </w:r>
      <w:r w:rsidRPr="001C1CCB" w:rsidR="00AA0AA8">
        <w:rPr>
          <w:rFonts w:ascii="Times New (W1)" w:hAnsi="Times New (W1)"/>
          <w:sz w:val="24"/>
        </w:rPr>
        <w:t xml:space="preserve"> on </w:t>
      </w:r>
      <w:r w:rsidRPr="001C1CCB" w:rsidR="00F63C39">
        <w:rPr>
          <w:rFonts w:ascii="Times New (W1)" w:hAnsi="Times New (W1)"/>
          <w:sz w:val="24"/>
        </w:rPr>
        <w:t>page</w:t>
      </w:r>
      <w:r w:rsidRPr="001C1CCB">
        <w:rPr>
          <w:rFonts w:ascii="Times New (W1)" w:hAnsi="Times New (W1)"/>
          <w:sz w:val="24"/>
        </w:rPr>
        <w:t xml:space="preserve"> 4.)</w:t>
      </w:r>
      <w:r w:rsidRPr="001C1CCB" w:rsidR="00F63C39">
        <w:rPr>
          <w:rFonts w:ascii="Times New (W1)" w:hAnsi="Times New (W1)"/>
          <w:sz w:val="24"/>
        </w:rPr>
        <w:t xml:space="preserve"> </w:t>
      </w:r>
    </w:p>
    <w:p w:rsidR="003B1249" w:rsidRPr="001C1CCB" w14:paraId="3579FDB9" w14:textId="77777777">
      <w:pPr>
        <w:ind w:firstLine="0"/>
        <w:rPr>
          <w:rFonts w:ascii="Times New (W1)" w:hAnsi="Times New (W1)"/>
          <w:sz w:val="24"/>
        </w:rPr>
      </w:pPr>
    </w:p>
    <w:p w:rsidR="00DC44AB" w:rsidRPr="001C1CCB" w14:paraId="2FD5F1F0" w14:textId="45D25D2F">
      <w:pPr>
        <w:ind w:firstLine="0"/>
        <w:rPr>
          <w:rFonts w:ascii="Times New (W1)" w:hAnsi="Times New (W1)"/>
          <w:sz w:val="24"/>
        </w:rPr>
      </w:pPr>
      <w:r w:rsidRPr="001C1CCB">
        <w:rPr>
          <w:rFonts w:ascii="Times New (W1)" w:hAnsi="Times New (W1)"/>
          <w:sz w:val="24"/>
        </w:rPr>
        <w:t>Column C:  Frequency of response is shown as a percentage representing the average</w:t>
      </w:r>
      <w:r w:rsidRPr="001C1CCB" w:rsidR="00714342">
        <w:rPr>
          <w:rFonts w:ascii="Times New (W1)" w:hAnsi="Times New (W1)"/>
          <w:sz w:val="24"/>
        </w:rPr>
        <w:t xml:space="preserve"> composition of applications by activity type, that is, </w:t>
      </w:r>
      <w:r w:rsidRPr="001C1CCB" w:rsidR="006A79C5">
        <w:rPr>
          <w:rFonts w:ascii="Times New (W1)" w:hAnsi="Times New (W1)"/>
          <w:sz w:val="24"/>
        </w:rPr>
        <w:t>construction loans (NC/SR and Section 241a supplemental loans for additions or improvements</w:t>
      </w:r>
      <w:r w:rsidRPr="001C1CCB" w:rsidR="00CC080A">
        <w:rPr>
          <w:rFonts w:ascii="Times New (W1)" w:hAnsi="Times New (W1)"/>
          <w:sz w:val="24"/>
        </w:rPr>
        <w:t>) and loans for refinance or purchase of existing properties with no construction exceeding repairs and alterations</w:t>
      </w:r>
      <w:r w:rsidRPr="001C1CCB" w:rsidR="006953AF">
        <w:rPr>
          <w:rFonts w:ascii="Times New (W1)" w:hAnsi="Times New (W1)"/>
          <w:sz w:val="24"/>
        </w:rPr>
        <w:t xml:space="preserve"> described in the Capital Needs Assessment.</w:t>
      </w:r>
    </w:p>
    <w:p w:rsidR="003F574F" w:rsidRPr="001C1CCB" w14:paraId="324DB170" w14:textId="699CD599">
      <w:pPr>
        <w:ind w:firstLine="0"/>
        <w:rPr>
          <w:rFonts w:ascii="Times New (W1)" w:hAnsi="Times New (W1)"/>
          <w:sz w:val="24"/>
        </w:rPr>
      </w:pPr>
    </w:p>
    <w:p w:rsidR="003F574F" w:rsidRPr="001C1CCB" w14:paraId="40BB4C76" w14:textId="12B7CC80">
      <w:pPr>
        <w:ind w:firstLine="0"/>
        <w:rPr>
          <w:rFonts w:ascii="Times New (W1)" w:hAnsi="Times New (W1)"/>
          <w:sz w:val="24"/>
        </w:rPr>
      </w:pPr>
      <w:r w:rsidRPr="001C1CCB">
        <w:rPr>
          <w:rFonts w:ascii="Times New (W1)" w:hAnsi="Times New (W1)"/>
          <w:sz w:val="24"/>
        </w:rPr>
        <w:t xml:space="preserve">Column E: Burden hours per response describes the average estimated </w:t>
      </w:r>
      <w:r w:rsidRPr="001C1CCB" w:rsidR="000F2843">
        <w:rPr>
          <w:rFonts w:ascii="Times New (W1)" w:hAnsi="Times New (W1)"/>
          <w:sz w:val="24"/>
        </w:rPr>
        <w:t xml:space="preserve">time </w:t>
      </w:r>
      <w:r w:rsidRPr="001C1CCB" w:rsidR="00A22939">
        <w:rPr>
          <w:rFonts w:ascii="Times New (W1)" w:hAnsi="Times New (W1)"/>
          <w:sz w:val="24"/>
        </w:rPr>
        <w:t xml:space="preserve">reported </w:t>
      </w:r>
      <w:r w:rsidRPr="001C1CCB" w:rsidR="000F2843">
        <w:rPr>
          <w:rFonts w:ascii="Times New (W1)" w:hAnsi="Times New (W1)"/>
          <w:sz w:val="24"/>
        </w:rPr>
        <w:t xml:space="preserve">by lenders to perform </w:t>
      </w:r>
      <w:r w:rsidRPr="001C1CCB" w:rsidR="00A22939">
        <w:rPr>
          <w:rFonts w:ascii="Times New (W1)" w:hAnsi="Times New (W1)"/>
          <w:sz w:val="24"/>
        </w:rPr>
        <w:t>the several categories of work</w:t>
      </w:r>
      <w:r w:rsidRPr="001C1CCB" w:rsidR="009B7196">
        <w:rPr>
          <w:rFonts w:ascii="Times New (W1)" w:hAnsi="Times New (W1)"/>
          <w:sz w:val="24"/>
        </w:rPr>
        <w:t>.  Individual cases vary widely in degree of difficulty</w:t>
      </w:r>
      <w:r w:rsidRPr="001C1CCB" w:rsidR="00EF1591">
        <w:rPr>
          <w:rFonts w:ascii="Times New (W1)" w:hAnsi="Times New (W1)"/>
          <w:sz w:val="24"/>
        </w:rPr>
        <w:t xml:space="preserve">, even within the same category of work for the same </w:t>
      </w:r>
      <w:r w:rsidRPr="001C1CCB" w:rsidR="00F144DF">
        <w:rPr>
          <w:rFonts w:ascii="Times New (W1)" w:hAnsi="Times New (W1)"/>
          <w:sz w:val="24"/>
        </w:rPr>
        <w:t>loan purpose.</w:t>
      </w:r>
    </w:p>
    <w:p w:rsidR="00F144DF" w:rsidRPr="001C1CCB" w14:paraId="302D077E" w14:textId="3DD8D038">
      <w:pPr>
        <w:ind w:firstLine="0"/>
        <w:rPr>
          <w:rFonts w:ascii="Times New (W1)" w:hAnsi="Times New (W1)"/>
          <w:sz w:val="24"/>
        </w:rPr>
      </w:pPr>
    </w:p>
    <w:p w:rsidR="00F144DF" w:rsidRPr="001C1CCB" w14:paraId="41B8CB69" w14:textId="048FC04C">
      <w:pPr>
        <w:ind w:firstLine="0"/>
        <w:rPr>
          <w:rFonts w:ascii="Times New (W1)" w:hAnsi="Times New (W1)"/>
          <w:sz w:val="24"/>
        </w:rPr>
      </w:pPr>
      <w:r w:rsidRPr="001C1CCB">
        <w:rPr>
          <w:rFonts w:ascii="Times New (W1)" w:hAnsi="Times New (W1)"/>
          <w:sz w:val="24"/>
        </w:rPr>
        <w:t xml:space="preserve">Column G: Wage rates </w:t>
      </w:r>
      <w:r w:rsidRPr="001C1CCB" w:rsidR="00DC2263">
        <w:rPr>
          <w:rFonts w:ascii="Times New (W1)" w:hAnsi="Times New (W1)"/>
          <w:sz w:val="24"/>
        </w:rPr>
        <w:t>reflect an increase of 12% over those reported in the 2020 Supporting Statement.</w:t>
      </w:r>
    </w:p>
    <w:p w:rsidR="004F5B94" w:rsidRPr="001C1CCB" w14:paraId="19D0C422" w14:textId="70223728">
      <w:pPr>
        <w:ind w:firstLine="0"/>
        <w:rPr>
          <w:rFonts w:ascii="Times New (W1)" w:hAnsi="Times New (W1)"/>
          <w:sz w:val="24"/>
        </w:rPr>
      </w:pPr>
    </w:p>
    <w:p w:rsidR="004F5B94" w:rsidRPr="001C1CCB" w14:paraId="6BAAEB7F" w14:textId="1F36356A">
      <w:pPr>
        <w:ind w:firstLine="0"/>
        <w:rPr>
          <w:rFonts w:ascii="Times New (W1)" w:hAnsi="Times New (W1)"/>
          <w:sz w:val="24"/>
        </w:rPr>
      </w:pPr>
      <w:r w:rsidRPr="001C1CCB">
        <w:rPr>
          <w:rFonts w:ascii="Times New (W1)" w:hAnsi="Times New (W1)"/>
          <w:sz w:val="24"/>
        </w:rPr>
        <w:t>Row</w:t>
      </w:r>
      <w:r w:rsidRPr="001C1CCB" w:rsidR="002849B0">
        <w:rPr>
          <w:rFonts w:ascii="Times New (W1)" w:hAnsi="Times New (W1)"/>
          <w:sz w:val="24"/>
        </w:rPr>
        <w:t>-</w:t>
      </w:r>
      <w:r w:rsidRPr="001C1CCB">
        <w:rPr>
          <w:rFonts w:ascii="Times New (W1)" w:hAnsi="Times New (W1)"/>
          <w:sz w:val="24"/>
        </w:rPr>
        <w:t xml:space="preserve"> Cost Not Attributable Adjustment:  Lenders reported </w:t>
      </w:r>
      <w:r w:rsidRPr="001C1CCB" w:rsidR="002078BE">
        <w:rPr>
          <w:rFonts w:ascii="Times New (W1)" w:hAnsi="Times New (W1)"/>
          <w:sz w:val="24"/>
        </w:rPr>
        <w:t xml:space="preserve">that they would save circa 4 burden hours on 10% of cases relative to their overall average </w:t>
      </w:r>
      <w:r w:rsidRPr="001C1CCB" w:rsidR="004B3DED">
        <w:rPr>
          <w:rFonts w:ascii="Times New (W1)" w:hAnsi="Times New (W1)"/>
          <w:sz w:val="24"/>
        </w:rPr>
        <w:t>per Firm Commitments</w:t>
      </w:r>
    </w:p>
    <w:p w:rsidR="003C1B9D" w:rsidRPr="001C1CCB" w14:paraId="3608F8E0" w14:textId="0277D2BE">
      <w:pPr>
        <w:ind w:firstLine="0"/>
        <w:rPr>
          <w:rFonts w:ascii="Times New (W1)" w:hAnsi="Times New (W1)"/>
          <w:sz w:val="24"/>
        </w:rPr>
      </w:pPr>
    </w:p>
    <w:p w:rsidR="00DC2263" w:rsidRPr="001C1CCB" w14:paraId="28463787" w14:textId="77777777">
      <w:pPr>
        <w:ind w:firstLine="0"/>
        <w:rPr>
          <w:rFonts w:ascii="Times New (W1)" w:hAnsi="Times New (W1)"/>
          <w:sz w:val="24"/>
        </w:rPr>
      </w:pPr>
    </w:p>
    <w:p w:rsidR="00DC44AB" w:rsidRPr="001C1CCB" w14:paraId="4FA86575" w14:textId="475FB392">
      <w:pPr>
        <w:ind w:firstLine="0"/>
        <w:rPr>
          <w:rFonts w:ascii="Times New (W1)" w:hAnsi="Times New (W1)"/>
          <w:b/>
          <w:bCs/>
          <w:sz w:val="24"/>
        </w:rPr>
      </w:pPr>
      <w:r w:rsidRPr="001C1CCB">
        <w:rPr>
          <w:rFonts w:ascii="Times New (W1)" w:hAnsi="Times New (W1)"/>
          <w:b/>
          <w:bCs/>
          <w:sz w:val="24"/>
        </w:rPr>
        <w:t>Industry Partner Information Sources</w:t>
      </w:r>
    </w:p>
    <w:p w:rsidR="002E26DD" w:rsidRPr="001C1CCB" w:rsidP="002E26DD" w14:paraId="4ADF4497" w14:textId="6C91E394">
      <w:pPr>
        <w:spacing w:before="120" w:after="120"/>
        <w:ind w:left="720" w:firstLine="0"/>
        <w:jc w:val="both"/>
        <w:rPr>
          <w:rFonts w:ascii="Times New Roman" w:hAnsi="Times New Roman"/>
          <w:sz w:val="24"/>
          <w:szCs w:val="24"/>
        </w:rPr>
      </w:pPr>
      <w:r w:rsidRPr="001C1CCB">
        <w:rPr>
          <w:rFonts w:ascii="Times New Roman" w:hAnsi="Times New Roman"/>
          <w:sz w:val="24"/>
        </w:rPr>
        <w:t>The following industry partners assisted the Department with providing estimated number of hours to perform to completion a loan application</w:t>
      </w:r>
      <w:r w:rsidRPr="001C1CCB">
        <w:rPr>
          <w:rFonts w:ascii="Times New Roman" w:hAnsi="Times New Roman"/>
          <w:sz w:val="24"/>
          <w:szCs w:val="24"/>
        </w:rPr>
        <w:t>, Standard Practice Forms, and the hourly salary</w:t>
      </w:r>
      <w:r w:rsidRPr="001C1CCB" w:rsidR="009A340D">
        <w:rPr>
          <w:rFonts w:ascii="Times New Roman" w:hAnsi="Times New Roman"/>
          <w:sz w:val="24"/>
          <w:szCs w:val="24"/>
        </w:rPr>
        <w:t xml:space="preserve"> or billing rates</w:t>
      </w:r>
      <w:r w:rsidRPr="001C1CCB">
        <w:rPr>
          <w:rFonts w:ascii="Times New Roman" w:hAnsi="Times New Roman"/>
          <w:sz w:val="24"/>
          <w:szCs w:val="24"/>
        </w:rPr>
        <w:t xml:space="preserve"> of the individual</w:t>
      </w:r>
      <w:r w:rsidRPr="001C1CCB" w:rsidR="009A340D">
        <w:rPr>
          <w:rFonts w:ascii="Times New Roman" w:hAnsi="Times New Roman"/>
          <w:sz w:val="24"/>
          <w:szCs w:val="24"/>
        </w:rPr>
        <w:t>(s)</w:t>
      </w:r>
      <w:r w:rsidRPr="001C1CCB">
        <w:rPr>
          <w:rFonts w:ascii="Times New Roman" w:hAnsi="Times New Roman"/>
          <w:sz w:val="24"/>
          <w:szCs w:val="24"/>
        </w:rPr>
        <w:t xml:space="preserve"> completing documents:</w:t>
      </w:r>
    </w:p>
    <w:p w:rsidR="002E26DD" w:rsidRPr="001C1CCB" w:rsidP="002E26DD" w14:paraId="72573AE8" w14:textId="77777777">
      <w:pPr>
        <w:spacing w:before="120" w:after="120"/>
        <w:ind w:firstLine="0"/>
        <w:jc w:val="both"/>
        <w:rPr>
          <w:rFonts w:ascii="Times New Roman" w:hAnsi="Times New Roman"/>
          <w:sz w:val="24"/>
          <w:szCs w:val="24"/>
        </w:rPr>
      </w:pPr>
    </w:p>
    <w:p w:rsidR="002E26DD" w:rsidRPr="001C1CCB" w:rsidP="002E26DD" w14:paraId="177BBF42" w14:textId="7D76316B">
      <w:pPr>
        <w:ind w:left="1080" w:firstLine="0"/>
        <w:rPr>
          <w:rFonts w:ascii="Times New Roman" w:hAnsi="Times New Roman"/>
          <w:b/>
          <w:u w:val="single"/>
        </w:rPr>
      </w:pPr>
      <w:r w:rsidRPr="001C1CCB">
        <w:rPr>
          <w:rFonts w:ascii="Times New Roman" w:hAnsi="Times New Roman"/>
          <w:b/>
          <w:u w:val="single"/>
        </w:rPr>
        <w:t>Lenders</w:t>
      </w:r>
    </w:p>
    <w:p w:rsidR="002E26DD" w:rsidRPr="001C1CCB" w:rsidP="002E26DD" w14:paraId="01650CE4" w14:textId="77777777">
      <w:pPr>
        <w:tabs>
          <w:tab w:val="left" w:pos="5760"/>
        </w:tabs>
        <w:ind w:left="1080" w:firstLine="0"/>
        <w:rPr>
          <w:rFonts w:ascii="Times New Roman" w:hAnsi="Times New Roman"/>
        </w:rPr>
      </w:pPr>
      <w:r w:rsidRPr="001C1CCB">
        <w:rPr>
          <w:rFonts w:ascii="Times New Roman" w:hAnsi="Times New Roman"/>
        </w:rPr>
        <w:t>Walker Dunlap</w:t>
      </w:r>
      <w:r w:rsidRPr="001C1CCB">
        <w:rPr>
          <w:rFonts w:ascii="Times New Roman" w:hAnsi="Times New Roman"/>
        </w:rPr>
        <w:tab/>
        <w:t>PGMI Real Estate Finance</w:t>
      </w:r>
    </w:p>
    <w:p w:rsidR="002E26DD" w:rsidRPr="001C1CCB" w:rsidP="002E26DD" w14:paraId="1CAC2600" w14:textId="77777777">
      <w:pPr>
        <w:ind w:left="1080" w:firstLine="0"/>
        <w:rPr>
          <w:rFonts w:ascii="Times New Roman" w:hAnsi="Times New Roman"/>
        </w:rPr>
      </w:pPr>
      <w:r w:rsidRPr="001C1CCB">
        <w:rPr>
          <w:rFonts w:ascii="Times New Roman" w:hAnsi="Times New Roman"/>
          <w:lang w:bidi="ar-SA"/>
        </w:rPr>
        <w:t>300 East Lombard Street</w:t>
      </w:r>
      <w:r w:rsidRPr="001C1CCB">
        <w:rPr>
          <w:rFonts w:ascii="Times New Roman" w:hAnsi="Times New Roman"/>
          <w:lang w:bidi="ar-SA"/>
        </w:rPr>
        <w:tab/>
      </w:r>
      <w:r w:rsidRPr="001C1CCB">
        <w:rPr>
          <w:rFonts w:ascii="Times New Roman" w:hAnsi="Times New Roman"/>
          <w:lang w:bidi="ar-SA"/>
        </w:rPr>
        <w:tab/>
      </w:r>
      <w:r w:rsidRPr="001C1CCB">
        <w:rPr>
          <w:rStyle w:val="xbe"/>
          <w:rFonts w:ascii="Times New Roman" w:hAnsi="Times New Roman"/>
          <w:lang w:val="en"/>
        </w:rPr>
        <w:tab/>
      </w:r>
      <w:r w:rsidRPr="001C1CCB">
        <w:rPr>
          <w:rStyle w:val="xbe"/>
          <w:rFonts w:ascii="Times New Roman" w:hAnsi="Times New Roman"/>
          <w:lang w:val="en"/>
        </w:rPr>
        <w:tab/>
        <w:t>Investment Operations, Closing Manager</w:t>
      </w:r>
    </w:p>
    <w:p w:rsidR="002E26DD" w:rsidRPr="001C1CCB" w:rsidP="002E26DD" w14:paraId="133A970F" w14:textId="77777777">
      <w:pPr>
        <w:tabs>
          <w:tab w:val="left" w:pos="1080"/>
          <w:tab w:val="left" w:pos="5760"/>
        </w:tabs>
        <w:ind w:firstLine="0"/>
        <w:rPr>
          <w:rFonts w:ascii="Times New Roman" w:hAnsi="Times New Roman"/>
        </w:rPr>
      </w:pPr>
      <w:r w:rsidRPr="001C1CCB">
        <w:rPr>
          <w:rStyle w:val="xbe"/>
          <w:rFonts w:ascii="Times New Roman" w:hAnsi="Times New Roman"/>
          <w:lang w:val="en"/>
        </w:rPr>
        <w:tab/>
        <w:t>Baltimore, MD 21202</w:t>
      </w:r>
      <w:r w:rsidRPr="001C1CCB">
        <w:rPr>
          <w:rStyle w:val="xbe"/>
          <w:rFonts w:ascii="Times New Roman" w:hAnsi="Times New Roman"/>
          <w:lang w:val="en"/>
        </w:rPr>
        <w:tab/>
        <w:t>Columbus</w:t>
      </w:r>
      <w:r w:rsidRPr="001C1CCB">
        <w:rPr>
          <w:rStyle w:val="Hyperlink"/>
          <w:rFonts w:ascii="Times New Roman" w:hAnsi="Times New Roman"/>
          <w:color w:val="auto"/>
          <w:u w:val="none"/>
        </w:rPr>
        <w:t xml:space="preserve">, Ohio </w:t>
      </w:r>
    </w:p>
    <w:p w:rsidR="002E26DD" w:rsidRPr="001C1CCB" w:rsidP="002E26DD" w14:paraId="49C1DD3F" w14:textId="77777777">
      <w:pPr>
        <w:tabs>
          <w:tab w:val="left" w:pos="1080"/>
        </w:tabs>
        <w:ind w:left="720" w:firstLine="0"/>
        <w:rPr>
          <w:rFonts w:ascii="Times New Roman" w:hAnsi="Times New Roman"/>
          <w:lang w:bidi="ar-SA"/>
        </w:rPr>
      </w:pPr>
      <w:r w:rsidRPr="001C1CCB">
        <w:rPr>
          <w:rFonts w:ascii="Times New Roman" w:hAnsi="Times New Roman"/>
        </w:rPr>
        <w:tab/>
        <w:t xml:space="preserve">Ken Buchanan - (410) 500-4302 </w:t>
      </w:r>
      <w:r w:rsidRPr="001C1CCB">
        <w:rPr>
          <w:rFonts w:ascii="Times New Roman" w:hAnsi="Times New Roman"/>
        </w:rPr>
        <w:tab/>
      </w:r>
      <w:r w:rsidRPr="001C1CCB">
        <w:rPr>
          <w:rFonts w:ascii="Times New Roman" w:hAnsi="Times New Roman"/>
        </w:rPr>
        <w:tab/>
      </w:r>
      <w:r w:rsidRPr="001C1CCB">
        <w:rPr>
          <w:rFonts w:ascii="Times New Roman" w:hAnsi="Times New Roman"/>
        </w:rPr>
        <w:tab/>
        <w:t>Tiffany Baymiller (614) 401-7701</w:t>
      </w:r>
      <w:r w:rsidRPr="001C1CCB">
        <w:rPr>
          <w:rFonts w:ascii="Times New Roman" w:hAnsi="Times New Roman"/>
        </w:rPr>
        <w:tab/>
      </w:r>
    </w:p>
    <w:p w:rsidR="002E26DD" w:rsidRPr="001C1CCB" w:rsidP="002E26DD" w14:paraId="2D51A453" w14:textId="77777777">
      <w:pPr>
        <w:tabs>
          <w:tab w:val="left" w:pos="1080"/>
        </w:tabs>
        <w:rPr>
          <w:rFonts w:ascii="Times New Roman" w:hAnsi="Times New Roman"/>
          <w:lang w:bidi="ar-SA"/>
        </w:rPr>
      </w:pPr>
      <w:r w:rsidRPr="001C1CCB">
        <w:rPr>
          <w:rFonts w:ascii="Times New Roman" w:hAnsi="Times New Roman"/>
        </w:rPr>
        <w:tab/>
      </w:r>
      <w:hyperlink r:id="rId11" w:history="1">
        <w:r w:rsidRPr="001C1CCB">
          <w:rPr>
            <w:rStyle w:val="Hyperlink"/>
            <w:rFonts w:ascii="Times New Roman" w:hAnsi="Times New Roman"/>
          </w:rPr>
          <w:t>KBuchanan@walkerdunlop.com</w:t>
        </w:r>
      </w:hyperlink>
      <w:r w:rsidRPr="001C1CCB">
        <w:rPr>
          <w:rFonts w:ascii="Times New Roman" w:hAnsi="Times New Roman"/>
        </w:rPr>
        <w:tab/>
      </w:r>
      <w:r w:rsidRPr="001C1CCB">
        <w:rPr>
          <w:rFonts w:ascii="Times New Roman" w:hAnsi="Times New Roman"/>
        </w:rPr>
        <w:tab/>
      </w:r>
      <w:r w:rsidRPr="001C1CCB">
        <w:rPr>
          <w:rFonts w:ascii="Times New Roman" w:hAnsi="Times New Roman"/>
        </w:rPr>
        <w:tab/>
      </w:r>
      <w:r w:rsidRPr="001C1CCB">
        <w:rPr>
          <w:rFonts w:ascii="Times New Roman" w:hAnsi="Times New Roman"/>
          <w:color w:val="0000FF"/>
          <w:u w:val="single"/>
        </w:rPr>
        <w:t>tiffany.baymiller@pgmi.com</w:t>
      </w:r>
    </w:p>
    <w:p w:rsidR="002E26DD" w:rsidRPr="001C1CCB" w:rsidP="002E26DD" w14:paraId="3019CBA3" w14:textId="77777777">
      <w:pPr>
        <w:ind w:left="1080" w:firstLine="0"/>
        <w:rPr>
          <w:rFonts w:ascii="Times New Roman" w:hAnsi="Times New Roman"/>
        </w:rPr>
      </w:pPr>
    </w:p>
    <w:p w:rsidR="002E26DD" w:rsidRPr="001C1CCB" w:rsidP="002E26DD" w14:paraId="68A5EAA1" w14:textId="77777777">
      <w:pPr>
        <w:tabs>
          <w:tab w:val="left" w:pos="5760"/>
        </w:tabs>
        <w:ind w:left="1080" w:firstLine="0"/>
        <w:rPr>
          <w:rFonts w:ascii="Times New Roman" w:hAnsi="Times New Roman"/>
        </w:rPr>
      </w:pPr>
      <w:r w:rsidRPr="001C1CCB">
        <w:rPr>
          <w:rFonts w:ascii="Times New Roman" w:hAnsi="Times New Roman"/>
        </w:rPr>
        <w:t>AGM Financial</w:t>
      </w:r>
      <w:r w:rsidRPr="001C1CCB">
        <w:rPr>
          <w:rFonts w:ascii="Times New Roman" w:hAnsi="Times New Roman"/>
        </w:rPr>
        <w:tab/>
        <w:t>Jones Lang LaSalle Multifamily, LLC</w:t>
      </w:r>
    </w:p>
    <w:p w:rsidR="002E26DD" w:rsidRPr="001C1CCB" w:rsidP="002E26DD" w14:paraId="40270817" w14:textId="77777777">
      <w:pPr>
        <w:tabs>
          <w:tab w:val="left" w:pos="5760"/>
        </w:tabs>
        <w:ind w:left="1080" w:firstLine="0"/>
        <w:rPr>
          <w:rFonts w:ascii="Times New Roman" w:hAnsi="Times New Roman"/>
        </w:rPr>
      </w:pPr>
      <w:r w:rsidRPr="001C1CCB">
        <w:rPr>
          <w:rFonts w:ascii="Times New Roman" w:hAnsi="Times New Roman"/>
          <w:lang w:bidi="ar-SA"/>
        </w:rPr>
        <w:t>20 South Charles Street</w:t>
      </w:r>
      <w:r w:rsidRPr="001C1CCB">
        <w:rPr>
          <w:rFonts w:ascii="Times New Roman" w:hAnsi="Times New Roman"/>
        </w:rPr>
        <w:tab/>
        <w:t>2177 Youngman Avenue</w:t>
      </w:r>
      <w:r w:rsidRPr="001C1CCB">
        <w:rPr>
          <w:rFonts w:ascii="Times New Roman" w:hAnsi="Times New Roman"/>
        </w:rPr>
        <w:tab/>
      </w:r>
    </w:p>
    <w:p w:rsidR="002E26DD" w:rsidRPr="001C1CCB" w:rsidP="002E26DD" w14:paraId="346E3FE2" w14:textId="0A123A3F">
      <w:pPr>
        <w:tabs>
          <w:tab w:val="left" w:pos="5760"/>
        </w:tabs>
        <w:ind w:left="1080" w:firstLine="0"/>
        <w:rPr>
          <w:rFonts w:ascii="Times New Roman" w:hAnsi="Times New Roman"/>
        </w:rPr>
      </w:pPr>
      <w:r w:rsidRPr="001C1CCB">
        <w:rPr>
          <w:rStyle w:val="xbe"/>
          <w:rFonts w:ascii="Times New Roman" w:hAnsi="Times New Roman"/>
          <w:lang w:val="en"/>
        </w:rPr>
        <w:t>Baltimore, MD 21202</w:t>
      </w:r>
      <w:r w:rsidRPr="001C1CCB" w:rsidR="002F5852">
        <w:rPr>
          <w:rFonts w:ascii="Times New Roman" w:hAnsi="Times New Roman"/>
        </w:rPr>
        <w:tab/>
      </w:r>
      <w:r w:rsidRPr="001C1CCB">
        <w:rPr>
          <w:rFonts w:ascii="Times New Roman" w:hAnsi="Times New Roman"/>
        </w:rPr>
        <w:t>St. Paul, MN 55116</w:t>
      </w:r>
    </w:p>
    <w:p w:rsidR="002E26DD" w:rsidRPr="001C1CCB" w:rsidP="002E26DD" w14:paraId="04959FAA" w14:textId="77777777">
      <w:pPr>
        <w:tabs>
          <w:tab w:val="left" w:pos="5760"/>
        </w:tabs>
        <w:ind w:left="1080" w:firstLine="0"/>
        <w:rPr>
          <w:rFonts w:ascii="Times New Roman" w:hAnsi="Times New Roman"/>
        </w:rPr>
      </w:pPr>
      <w:r w:rsidRPr="001C1CCB">
        <w:rPr>
          <w:rFonts w:ascii="Times New Roman" w:hAnsi="Times New Roman"/>
          <w:lang w:bidi="ar-SA"/>
        </w:rPr>
        <w:t>Troy D. Brown</w:t>
      </w:r>
      <w:r w:rsidRPr="001C1CCB">
        <w:rPr>
          <w:rFonts w:ascii="Times New Roman" w:hAnsi="Times New Roman"/>
        </w:rPr>
        <w:t xml:space="preserve"> – (</w:t>
      </w:r>
      <w:r w:rsidRPr="001C1CCB">
        <w:rPr>
          <w:rFonts w:ascii="Times New Roman" w:hAnsi="Times New Roman"/>
          <w:lang w:bidi="ar-SA"/>
        </w:rPr>
        <w:t>443) 573-2043</w:t>
      </w:r>
      <w:r w:rsidRPr="001C1CCB">
        <w:rPr>
          <w:rFonts w:ascii="Times New Roman" w:hAnsi="Times New Roman"/>
        </w:rPr>
        <w:t xml:space="preserve"> </w:t>
      </w:r>
      <w:r w:rsidRPr="001C1CCB">
        <w:rPr>
          <w:rFonts w:ascii="Times New Roman" w:hAnsi="Times New Roman"/>
        </w:rPr>
        <w:tab/>
        <w:t>Kurt Dayton – (763) 656-4566</w:t>
      </w:r>
    </w:p>
    <w:p w:rsidR="002E26DD" w:rsidRPr="001C1CCB" w:rsidP="00CF135C" w14:paraId="7B1AF912" w14:textId="1E6CE14F">
      <w:pPr>
        <w:tabs>
          <w:tab w:val="left" w:pos="5760"/>
        </w:tabs>
        <w:ind w:left="1080" w:firstLine="0"/>
        <w:rPr>
          <w:rStyle w:val="Hyperlink"/>
          <w:rFonts w:ascii="Times New Roman" w:hAnsi="Times New Roman"/>
          <w:color w:val="auto"/>
        </w:rPr>
      </w:pPr>
      <w:hyperlink r:id="rId12" w:history="1">
        <w:r w:rsidRPr="001C1CCB">
          <w:rPr>
            <w:rFonts w:ascii="Times New Roman" w:hAnsi="Times New Roman"/>
            <w:u w:val="single"/>
            <w:lang w:bidi="ar-SA"/>
          </w:rPr>
          <w:t>tbrown@agmfinancial.com</w:t>
        </w:r>
      </w:hyperlink>
      <w:r w:rsidRPr="001C1CCB">
        <w:rPr>
          <w:rFonts w:ascii="Times New Roman" w:hAnsi="Times New Roman"/>
        </w:rPr>
        <w:tab/>
      </w:r>
      <w:hyperlink r:id="rId13" w:history="1">
        <w:r w:rsidRPr="001C1CCB">
          <w:rPr>
            <w:rStyle w:val="Hyperlink"/>
            <w:rFonts w:ascii="Times New Roman" w:hAnsi="Times New Roman"/>
            <w:color w:val="auto"/>
          </w:rPr>
          <w:t>kurt.dayton@am.jll.com</w:t>
        </w:r>
      </w:hyperlink>
    </w:p>
    <w:p w:rsidR="004A6B3A" w:rsidRPr="001C1CCB" w:rsidP="002E26DD" w14:paraId="02961D5C" w14:textId="13805584">
      <w:pPr>
        <w:tabs>
          <w:tab w:val="left" w:pos="5760"/>
        </w:tabs>
        <w:ind w:left="1080" w:firstLine="0"/>
        <w:rPr>
          <w:rStyle w:val="Hyperlink"/>
          <w:rFonts w:ascii="Times New Roman" w:hAnsi="Times New Roman"/>
          <w:color w:val="auto"/>
        </w:rPr>
      </w:pPr>
    </w:p>
    <w:p w:rsidR="002F5852" w:rsidRPr="001C1CCB" w:rsidP="002F5852" w14:paraId="71FC45A3" w14:textId="5EC6A5CF">
      <w:pPr>
        <w:tabs>
          <w:tab w:val="left" w:pos="5760"/>
        </w:tabs>
        <w:ind w:left="1080" w:firstLine="0"/>
        <w:rPr>
          <w:rStyle w:val="Hyperlink"/>
          <w:rFonts w:ascii="Times New Roman" w:hAnsi="Times New Roman"/>
          <w:color w:val="auto"/>
        </w:rPr>
      </w:pPr>
      <w:r w:rsidRPr="001C1CCB">
        <w:rPr>
          <w:rStyle w:val="Hyperlink"/>
          <w:rFonts w:ascii="Times New Roman" w:hAnsi="Times New Roman"/>
          <w:color w:val="auto"/>
        </w:rPr>
        <w:t>Grey</w:t>
      </w:r>
      <w:r w:rsidRPr="001C1CCB" w:rsidR="00C97F48">
        <w:rPr>
          <w:rStyle w:val="Hyperlink"/>
          <w:rFonts w:ascii="Times New Roman" w:hAnsi="Times New Roman"/>
          <w:color w:val="auto"/>
        </w:rPr>
        <w:t>stone</w:t>
      </w:r>
      <w:r w:rsidRPr="001C1CCB">
        <w:rPr>
          <w:rStyle w:val="Hyperlink"/>
          <w:rFonts w:ascii="Times New Roman" w:hAnsi="Times New Roman"/>
          <w:color w:val="auto"/>
        </w:rPr>
        <w:tab/>
        <w:t>Berkadia</w:t>
      </w:r>
    </w:p>
    <w:p w:rsidR="00C91D94" w:rsidRPr="001C1CCB" w:rsidP="00C91D94" w14:paraId="297E505A" w14:textId="05E3496C">
      <w:pPr>
        <w:tabs>
          <w:tab w:val="left" w:pos="5760"/>
        </w:tabs>
        <w:ind w:left="1080" w:firstLine="0"/>
        <w:rPr>
          <w:rStyle w:val="Hyperlink"/>
          <w:color w:val="auto"/>
        </w:rPr>
      </w:pPr>
      <w:r w:rsidRPr="001C1CCB">
        <w:rPr>
          <w:rStyle w:val="Hyperlink"/>
          <w:color w:val="auto"/>
        </w:rPr>
        <w:t>Barry Wolfson, Chief FHA Underwriter</w:t>
      </w:r>
      <w:r w:rsidRPr="001C1CCB" w:rsidR="002F5852">
        <w:rPr>
          <w:rStyle w:val="Hyperlink"/>
          <w:color w:val="auto"/>
        </w:rPr>
        <w:tab/>
        <w:t>Robert Warren, FHA Chief Underwriter</w:t>
      </w:r>
    </w:p>
    <w:p w:rsidR="007E16ED" w:rsidRPr="001C1CCB" w:rsidP="00D413EA" w14:paraId="3A5B2AFF" w14:textId="42FAB2E9">
      <w:pPr>
        <w:tabs>
          <w:tab w:val="left" w:pos="5760"/>
        </w:tabs>
        <w:ind w:left="1080" w:firstLine="0"/>
        <w:rPr>
          <w:rStyle w:val="Hyperlink"/>
          <w:color w:val="auto"/>
        </w:rPr>
      </w:pPr>
      <w:r w:rsidRPr="001C1CCB">
        <w:rPr>
          <w:rStyle w:val="Hyperlink"/>
          <w:color w:val="auto"/>
        </w:rPr>
        <w:t xml:space="preserve">540-428-7209, </w:t>
      </w:r>
      <w:r w:rsidRPr="001C1CCB" w:rsidR="005F1263">
        <w:rPr>
          <w:rStyle w:val="Hyperlink"/>
          <w:color w:val="auto"/>
        </w:rPr>
        <w:t>barrywolfson@greyco.com</w:t>
      </w:r>
      <w:r w:rsidRPr="001C1CCB" w:rsidR="002F5852">
        <w:rPr>
          <w:rStyle w:val="Hyperlink"/>
          <w:color w:val="auto"/>
        </w:rPr>
        <w:tab/>
      </w:r>
      <w:r w:rsidRPr="001C1CCB" w:rsidR="00CF63A1">
        <w:rPr>
          <w:rStyle w:val="Hyperlink"/>
          <w:color w:val="auto"/>
        </w:rPr>
        <w:t>404-</w:t>
      </w:r>
      <w:r w:rsidRPr="001C1CCB" w:rsidR="00850B73">
        <w:rPr>
          <w:rStyle w:val="Hyperlink"/>
          <w:color w:val="auto"/>
        </w:rPr>
        <w:t>654-2340</w:t>
      </w:r>
      <w:r w:rsidRPr="001C1CCB" w:rsidR="00D413EA">
        <w:rPr>
          <w:rStyle w:val="Hyperlink"/>
          <w:color w:val="auto"/>
        </w:rPr>
        <w:t xml:space="preserve">, </w:t>
      </w:r>
      <w:r w:rsidRPr="001C1CCB" w:rsidR="00511BE1">
        <w:rPr>
          <w:rStyle w:val="Hyperlink"/>
          <w:color w:val="auto"/>
        </w:rPr>
        <w:t>Three Alliance Center</w:t>
      </w:r>
    </w:p>
    <w:p w:rsidR="00792526" w:rsidRPr="001C1CCB" w:rsidP="00C91D94" w14:paraId="7AAD8BB8" w14:textId="6B280202">
      <w:pPr>
        <w:tabs>
          <w:tab w:val="left" w:pos="5760"/>
        </w:tabs>
        <w:ind w:left="1080" w:firstLine="0"/>
        <w:rPr>
          <w:rStyle w:val="Hyperlink"/>
          <w:color w:val="auto"/>
        </w:rPr>
      </w:pPr>
      <w:r w:rsidRPr="001C1CCB">
        <w:rPr>
          <w:rStyle w:val="Hyperlink"/>
          <w:color w:val="auto"/>
        </w:rPr>
        <w:t>419 Belle Air Lane</w:t>
      </w:r>
      <w:r w:rsidRPr="001C1CCB" w:rsidR="00511BE1">
        <w:rPr>
          <w:rStyle w:val="Hyperlink"/>
          <w:color w:val="auto"/>
        </w:rPr>
        <w:tab/>
        <w:t>3550 Lenox Road</w:t>
      </w:r>
      <w:r w:rsidRPr="001C1CCB" w:rsidR="0079537B">
        <w:rPr>
          <w:rStyle w:val="Hyperlink"/>
          <w:color w:val="auto"/>
        </w:rPr>
        <w:t xml:space="preserve"> Ste 2600</w:t>
      </w:r>
    </w:p>
    <w:p w:rsidR="00792526" w:rsidRPr="001C1CCB" w:rsidP="00C91D94" w14:paraId="0ACD8383" w14:textId="08854203">
      <w:pPr>
        <w:tabs>
          <w:tab w:val="left" w:pos="5760"/>
        </w:tabs>
        <w:ind w:left="1080" w:firstLine="0"/>
        <w:rPr>
          <w:rFonts w:ascii="Times New Roman" w:hAnsi="Times New Roman"/>
          <w:u w:val="single"/>
        </w:rPr>
      </w:pPr>
      <w:r w:rsidRPr="001C1CCB">
        <w:rPr>
          <w:rStyle w:val="Hyperlink"/>
          <w:color w:val="auto"/>
        </w:rPr>
        <w:t>Warrenton, VA 20186</w:t>
      </w:r>
      <w:r w:rsidRPr="001C1CCB" w:rsidR="0079537B">
        <w:rPr>
          <w:rStyle w:val="Hyperlink"/>
          <w:color w:val="auto"/>
        </w:rPr>
        <w:tab/>
        <w:t xml:space="preserve">Atlanta, GA </w:t>
      </w:r>
      <w:r w:rsidRPr="001C1CCB" w:rsidR="00CF63A1">
        <w:rPr>
          <w:rStyle w:val="Hyperlink"/>
          <w:color w:val="auto"/>
        </w:rPr>
        <w:t>30326</w:t>
      </w:r>
    </w:p>
    <w:p w:rsidR="002E26DD" w:rsidRPr="001C1CCB" w:rsidP="002E26DD" w14:paraId="54D23035" w14:textId="77777777">
      <w:pPr>
        <w:ind w:left="1080" w:firstLine="0"/>
        <w:rPr>
          <w:rFonts w:ascii="Times New Roman" w:hAnsi="Times New Roman"/>
        </w:rPr>
      </w:pPr>
    </w:p>
    <w:p w:rsidR="002E26DD" w:rsidRPr="001C1CCB" w:rsidP="002E26DD" w14:paraId="1E904715" w14:textId="77777777">
      <w:pPr>
        <w:ind w:left="1080" w:firstLine="0"/>
        <w:rPr>
          <w:rFonts w:ascii="Times New Roman" w:hAnsi="Times New Roman"/>
        </w:rPr>
      </w:pPr>
    </w:p>
    <w:p w:rsidR="002E26DD" w:rsidRPr="001C1CCB" w:rsidP="002E26DD" w14:paraId="2003C4B3" w14:textId="77777777">
      <w:pPr>
        <w:tabs>
          <w:tab w:val="left" w:pos="5760"/>
        </w:tabs>
        <w:ind w:left="1080" w:firstLine="0"/>
        <w:rPr>
          <w:rFonts w:ascii="Times New Roman" w:hAnsi="Times New Roman"/>
          <w:b/>
        </w:rPr>
      </w:pPr>
      <w:r w:rsidRPr="001C1CCB">
        <w:rPr>
          <w:rFonts w:ascii="Times New Roman" w:hAnsi="Times New Roman"/>
          <w:b/>
        </w:rPr>
        <w:t>Trade Association</w:t>
      </w:r>
      <w:r w:rsidRPr="001C1CCB">
        <w:rPr>
          <w:rFonts w:ascii="Times New Roman" w:hAnsi="Times New Roman"/>
          <w:b/>
        </w:rPr>
        <w:tab/>
        <w:t>Multifamily Lenders Council</w:t>
      </w:r>
    </w:p>
    <w:p w:rsidR="002E26DD" w:rsidRPr="001C1CCB" w:rsidP="002E26DD" w14:paraId="4B9DD939" w14:textId="77777777">
      <w:pPr>
        <w:tabs>
          <w:tab w:val="left" w:pos="5760"/>
        </w:tabs>
        <w:ind w:left="1080" w:firstLine="0"/>
        <w:rPr>
          <w:rFonts w:ascii="Times New Roman" w:hAnsi="Times New Roman"/>
        </w:rPr>
      </w:pPr>
      <w:r w:rsidRPr="001C1CCB">
        <w:rPr>
          <w:rFonts w:ascii="Times New Roman" w:hAnsi="Times New Roman"/>
        </w:rPr>
        <w:t>Mortgage Bankers Association</w:t>
      </w:r>
      <w:r w:rsidRPr="001C1CCB">
        <w:rPr>
          <w:rFonts w:ascii="Times New Roman" w:hAnsi="Times New Roman"/>
        </w:rPr>
        <w:tab/>
        <w:t>Reno &amp; Cavanaugh PLLC</w:t>
      </w:r>
    </w:p>
    <w:p w:rsidR="002E26DD" w:rsidRPr="001C1CCB" w:rsidP="002E26DD" w14:paraId="01A34384" w14:textId="77777777">
      <w:pPr>
        <w:tabs>
          <w:tab w:val="left" w:pos="5760"/>
        </w:tabs>
        <w:ind w:left="1080" w:firstLine="0"/>
        <w:rPr>
          <w:rFonts w:ascii="Times New Roman" w:hAnsi="Times New Roman"/>
        </w:rPr>
      </w:pPr>
      <w:r w:rsidRPr="001C1CCB">
        <w:rPr>
          <w:rFonts w:ascii="Times New Roman" w:hAnsi="Times New Roman"/>
        </w:rPr>
        <w:t>Associate VP | Commercial/Multifamily Grp</w:t>
      </w:r>
      <w:r w:rsidRPr="001C1CCB">
        <w:rPr>
          <w:rFonts w:ascii="Times New Roman" w:hAnsi="Times New Roman"/>
        </w:rPr>
        <w:tab/>
      </w:r>
      <w:r w:rsidRPr="001C1CCB">
        <w:rPr>
          <w:rStyle w:val="Hyperlink"/>
          <w:rFonts w:ascii="Times New Roman" w:hAnsi="Times New Roman"/>
          <w:color w:val="auto"/>
          <w:u w:val="none"/>
        </w:rPr>
        <w:t>10320 Little Patuxent Parkway</w:t>
      </w:r>
    </w:p>
    <w:p w:rsidR="002E26DD" w:rsidRPr="001C1CCB" w:rsidP="002E26DD" w14:paraId="6F61D054" w14:textId="77777777">
      <w:pPr>
        <w:tabs>
          <w:tab w:val="left" w:pos="5760"/>
        </w:tabs>
        <w:ind w:left="1080" w:firstLine="0"/>
        <w:rPr>
          <w:rFonts w:ascii="Times New Roman" w:hAnsi="Times New Roman"/>
        </w:rPr>
      </w:pPr>
      <w:r w:rsidRPr="001C1CCB">
        <w:rPr>
          <w:rFonts w:ascii="Times New Roman" w:hAnsi="Times New Roman"/>
        </w:rPr>
        <w:t>1919 M Street NW, WDC 20036</w:t>
      </w:r>
      <w:r w:rsidRPr="001C1CCB">
        <w:rPr>
          <w:rFonts w:ascii="Times New Roman" w:hAnsi="Times New Roman"/>
        </w:rPr>
        <w:tab/>
      </w:r>
      <w:r w:rsidRPr="001C1CCB">
        <w:rPr>
          <w:rStyle w:val="Hyperlink"/>
          <w:rFonts w:ascii="Times New Roman" w:hAnsi="Times New Roman"/>
          <w:color w:val="auto"/>
          <w:u w:val="none"/>
        </w:rPr>
        <w:t>Columbia, MD 21044</w:t>
      </w:r>
    </w:p>
    <w:p w:rsidR="002E26DD" w:rsidRPr="001C1CCB" w:rsidP="002E26DD" w14:paraId="16821B42" w14:textId="77777777">
      <w:pPr>
        <w:tabs>
          <w:tab w:val="left" w:pos="5760"/>
        </w:tabs>
        <w:ind w:left="1080" w:firstLine="0"/>
        <w:rPr>
          <w:rFonts w:ascii="Times New Roman" w:hAnsi="Times New Roman"/>
        </w:rPr>
      </w:pPr>
      <w:r w:rsidRPr="001C1CCB">
        <w:rPr>
          <w:rFonts w:ascii="Times New Roman" w:hAnsi="Times New Roman"/>
        </w:rPr>
        <w:t>Sharon Walker- (202) 557-2747</w:t>
      </w:r>
      <w:r w:rsidRPr="001C1CCB">
        <w:rPr>
          <w:rFonts w:ascii="Times New Roman" w:hAnsi="Times New Roman"/>
        </w:rPr>
        <w:tab/>
        <w:t>Gillian N. Rudow- (202) 349-2692</w:t>
      </w:r>
    </w:p>
    <w:p w:rsidR="002E26DD" w:rsidRPr="001C1CCB" w:rsidP="002E26DD" w14:paraId="185C71D8" w14:textId="074C18F8">
      <w:pPr>
        <w:tabs>
          <w:tab w:val="left" w:pos="5760"/>
        </w:tabs>
        <w:ind w:left="1080" w:firstLine="0"/>
        <w:rPr>
          <w:rStyle w:val="Hyperlink"/>
          <w:rFonts w:ascii="Times New Roman" w:hAnsi="Times New Roman"/>
          <w:color w:val="auto"/>
        </w:rPr>
      </w:pPr>
      <w:hyperlink r:id="rId14" w:history="1">
        <w:r w:rsidRPr="001C1CCB">
          <w:rPr>
            <w:rStyle w:val="Hyperlink"/>
            <w:rFonts w:ascii="Times New Roman" w:hAnsi="Times New Roman"/>
          </w:rPr>
          <w:t>swalker@mba.org</w:t>
        </w:r>
      </w:hyperlink>
      <w:r w:rsidRPr="001C1CCB">
        <w:rPr>
          <w:rFonts w:ascii="Times New Roman" w:hAnsi="Times New Roman"/>
        </w:rPr>
        <w:tab/>
      </w:r>
      <w:hyperlink r:id="rId15" w:history="1">
        <w:r w:rsidRPr="001C1CCB">
          <w:rPr>
            <w:rStyle w:val="Hyperlink"/>
            <w:rFonts w:ascii="Times New Roman" w:hAnsi="Times New Roman"/>
            <w:color w:val="auto"/>
          </w:rPr>
          <w:t>grudow@renocavanaugh.com</w:t>
        </w:r>
      </w:hyperlink>
    </w:p>
    <w:p w:rsidR="00032721" w:rsidRPr="001C1CCB" w:rsidP="00032721" w14:paraId="0D66859D" w14:textId="77777777">
      <w:pPr>
        <w:tabs>
          <w:tab w:val="left" w:pos="5760"/>
        </w:tabs>
        <w:rPr>
          <w:rFonts w:ascii="Times New Roman" w:hAnsi="Times New Roman"/>
        </w:rPr>
      </w:pPr>
    </w:p>
    <w:p w:rsidR="002E26DD" w:rsidRPr="001C1CCB" w:rsidP="002E26DD" w14:paraId="2D882E28" w14:textId="77777777">
      <w:pPr>
        <w:tabs>
          <w:tab w:val="left" w:pos="5760"/>
        </w:tabs>
        <w:ind w:left="1080" w:firstLine="0"/>
        <w:rPr>
          <w:rFonts w:ascii="Times New Roman" w:hAnsi="Times New Roman"/>
        </w:rPr>
      </w:pPr>
      <w:r w:rsidRPr="001C1CCB">
        <w:rPr>
          <w:rFonts w:ascii="Times New Roman" w:hAnsi="Times New Roman"/>
        </w:rPr>
        <w:tab/>
      </w:r>
    </w:p>
    <w:p w:rsidR="002E26DD" w:rsidRPr="001C1CCB" w:rsidP="002E26DD" w14:paraId="5C5F8155" w14:textId="77777777">
      <w:pPr>
        <w:tabs>
          <w:tab w:val="left" w:pos="5760"/>
        </w:tabs>
        <w:ind w:left="360" w:firstLine="720"/>
        <w:rPr>
          <w:rFonts w:ascii="Times New Roman" w:hAnsi="Times New Roman"/>
          <w:b/>
          <w:bCs/>
        </w:rPr>
      </w:pPr>
      <w:r w:rsidRPr="001C1CCB">
        <w:rPr>
          <w:rFonts w:ascii="Times New Roman" w:hAnsi="Times New Roman"/>
        </w:rPr>
        <w:t>National Association of Home Builders</w:t>
      </w:r>
      <w:r w:rsidRPr="001C1CCB">
        <w:rPr>
          <w:rFonts w:ascii="Times New Roman" w:hAnsi="Times New Roman"/>
        </w:rPr>
        <w:tab/>
      </w:r>
    </w:p>
    <w:p w:rsidR="002E26DD" w:rsidRPr="001C1CCB" w:rsidP="002E26DD" w14:paraId="56F17AAF" w14:textId="77777777">
      <w:pPr>
        <w:tabs>
          <w:tab w:val="left" w:pos="5760"/>
        </w:tabs>
        <w:ind w:left="1080" w:firstLine="0"/>
        <w:rPr>
          <w:rStyle w:val="xbe"/>
          <w:rFonts w:ascii="Times New Roman" w:hAnsi="Times New Roman"/>
          <w:color w:val="222222"/>
          <w:lang w:val="en"/>
        </w:rPr>
      </w:pPr>
      <w:r w:rsidRPr="001C1CCB">
        <w:rPr>
          <w:rFonts w:ascii="Times New Roman" w:hAnsi="Times New Roman"/>
        </w:rPr>
        <w:t>1201 15th Street, NW</w:t>
      </w:r>
      <w:r w:rsidRPr="001C1CCB">
        <w:rPr>
          <w:rStyle w:val="xbe"/>
          <w:rFonts w:ascii="Times New Roman" w:hAnsi="Times New Roman"/>
          <w:color w:val="222222"/>
          <w:lang w:val="en"/>
        </w:rPr>
        <w:tab/>
      </w:r>
    </w:p>
    <w:p w:rsidR="002E26DD" w:rsidRPr="001C1CCB" w:rsidP="002E26DD" w14:paraId="08FC7F7E" w14:textId="77777777">
      <w:pPr>
        <w:tabs>
          <w:tab w:val="left" w:pos="5760"/>
        </w:tabs>
        <w:ind w:left="1080" w:firstLine="0"/>
        <w:rPr>
          <w:rStyle w:val="xbe"/>
          <w:rFonts w:ascii="Times New Roman" w:hAnsi="Times New Roman"/>
          <w:color w:val="222222"/>
          <w:lang w:val="en"/>
        </w:rPr>
      </w:pPr>
      <w:r w:rsidRPr="001C1CCB">
        <w:rPr>
          <w:rFonts w:ascii="Times New Roman" w:hAnsi="Times New Roman"/>
        </w:rPr>
        <w:t>Washington, DC 20005</w:t>
      </w:r>
    </w:p>
    <w:p w:rsidR="002E26DD" w:rsidRPr="001C1CCB" w:rsidP="002E26DD" w14:paraId="59B3B82C" w14:textId="77777777">
      <w:pPr>
        <w:ind w:left="360" w:firstLine="720"/>
        <w:contextualSpacing/>
        <w:rPr>
          <w:rFonts w:ascii="Times New Roman" w:hAnsi="Times New Roman"/>
          <w:b/>
          <w:bCs/>
        </w:rPr>
      </w:pPr>
      <w:r w:rsidRPr="001C1CCB">
        <w:rPr>
          <w:rFonts w:ascii="Times New Roman" w:hAnsi="Times New Roman"/>
        </w:rPr>
        <w:t>Michelle Kitchen –</w:t>
      </w:r>
      <w:r w:rsidRPr="001C1CCB">
        <w:rPr>
          <w:rFonts w:ascii="Times New Roman" w:hAnsi="Times New Roman"/>
          <w:b/>
        </w:rPr>
        <w:t xml:space="preserve"> (</w:t>
      </w:r>
      <w:hyperlink r:id="rId16" w:tgtFrame="_blank" w:history="1">
        <w:r w:rsidRPr="001C1CCB">
          <w:rPr>
            <w:rStyle w:val="Strong"/>
            <w:rFonts w:ascii="Times New Roman" w:hAnsi="Times New Roman"/>
            <w:b w:val="0"/>
            <w:bCs w:val="0"/>
          </w:rPr>
          <w:t>202) 266-8352</w:t>
        </w:r>
      </w:hyperlink>
    </w:p>
    <w:p w:rsidR="002E26DD" w:rsidRPr="001C1CCB" w:rsidP="002E26DD" w14:paraId="5EAD610D" w14:textId="77777777">
      <w:pPr>
        <w:ind w:left="360" w:firstLine="720"/>
        <w:contextualSpacing/>
        <w:rPr>
          <w:rStyle w:val="Strong"/>
          <w:rFonts w:ascii="Times New Roman" w:hAnsi="Times New Roman"/>
          <w:b w:val="0"/>
          <w:bCs w:val="0"/>
        </w:rPr>
      </w:pPr>
      <w:hyperlink r:id="rId17" w:tgtFrame="_blank" w:history="1">
        <w:r w:rsidRPr="001C1CCB">
          <w:rPr>
            <w:rStyle w:val="Strong"/>
            <w:rFonts w:ascii="Times New Roman" w:hAnsi="Times New Roman"/>
            <w:b w:val="0"/>
            <w:bCs w:val="0"/>
          </w:rPr>
          <w:t>MKitchen@nahb.org</w:t>
        </w:r>
      </w:hyperlink>
    </w:p>
    <w:p w:rsidR="002E26DD" w:rsidRPr="001C1CCB" w:rsidP="002E26DD" w14:paraId="3C710D3C" w14:textId="77777777">
      <w:pPr>
        <w:ind w:left="360" w:firstLine="720"/>
        <w:contextualSpacing/>
        <w:rPr>
          <w:rStyle w:val="Strong"/>
          <w:rFonts w:ascii="Times New Roman" w:hAnsi="Times New Roman"/>
          <w:b w:val="0"/>
          <w:bCs w:val="0"/>
        </w:rPr>
      </w:pPr>
    </w:p>
    <w:p w:rsidR="00616926" w:rsidRPr="001C1CCB" w:rsidP="002E26DD" w14:paraId="2D6EFA16" w14:textId="77777777">
      <w:pPr>
        <w:ind w:left="360" w:firstLine="720"/>
        <w:contextualSpacing/>
        <w:rPr>
          <w:rStyle w:val="Strong"/>
          <w:rFonts w:ascii="Times New Roman" w:hAnsi="Times New Roman"/>
          <w:b w:val="0"/>
          <w:bCs w:val="0"/>
        </w:rPr>
      </w:pPr>
    </w:p>
    <w:p w:rsidR="00616926" w:rsidRPr="001C1CCB" w:rsidP="002E26DD" w14:paraId="594D09E5" w14:textId="27C4ECD9">
      <w:pPr>
        <w:ind w:left="360" w:firstLine="720"/>
        <w:contextualSpacing/>
        <w:rPr>
          <w:rStyle w:val="Strong"/>
          <w:rFonts w:ascii="Times New Roman" w:hAnsi="Times New Roman"/>
          <w:u w:val="single"/>
        </w:rPr>
      </w:pPr>
      <w:r w:rsidRPr="001C1CCB">
        <w:rPr>
          <w:rStyle w:val="Strong"/>
          <w:rFonts w:ascii="Times New Roman" w:hAnsi="Times New Roman"/>
          <w:u w:val="single"/>
        </w:rPr>
        <w:t>Third-Party</w:t>
      </w:r>
      <w:r w:rsidRPr="001C1CCB" w:rsidR="00E13E77">
        <w:rPr>
          <w:rStyle w:val="Strong"/>
          <w:rFonts w:ascii="Times New Roman" w:hAnsi="Times New Roman"/>
          <w:u w:val="single"/>
        </w:rPr>
        <w:t xml:space="preserve"> </w:t>
      </w:r>
      <w:r w:rsidRPr="001C1CCB" w:rsidR="004C7047">
        <w:rPr>
          <w:rStyle w:val="Strong"/>
          <w:rFonts w:ascii="Times New Roman" w:hAnsi="Times New Roman"/>
          <w:u w:val="single"/>
        </w:rPr>
        <w:t>Experts</w:t>
      </w:r>
    </w:p>
    <w:p w:rsidR="002E26DD" w:rsidRPr="001C1CCB" w:rsidP="002E26DD" w14:paraId="581584A5" w14:textId="6DECD4DF">
      <w:pPr>
        <w:ind w:left="360" w:firstLine="720"/>
        <w:contextualSpacing/>
        <w:rPr>
          <w:rStyle w:val="Strong"/>
          <w:rFonts w:ascii="Times New Roman" w:hAnsi="Times New Roman"/>
          <w:b w:val="0"/>
          <w:bCs w:val="0"/>
        </w:rPr>
      </w:pPr>
      <w:r w:rsidRPr="001C1CCB">
        <w:rPr>
          <w:rStyle w:val="Strong"/>
          <w:rFonts w:ascii="Times New Roman" w:hAnsi="Times New Roman"/>
          <w:b w:val="0"/>
          <w:bCs w:val="0"/>
        </w:rPr>
        <w:t>Center for Radon &amp; Air Toxics</w:t>
      </w:r>
      <w:r w:rsidRPr="001C1CCB" w:rsidR="00E13E77">
        <w:rPr>
          <w:rStyle w:val="Strong"/>
          <w:rFonts w:ascii="Times New Roman" w:hAnsi="Times New Roman"/>
          <w:b w:val="0"/>
          <w:bCs w:val="0"/>
        </w:rPr>
        <w:tab/>
      </w:r>
      <w:r w:rsidRPr="001C1CCB" w:rsidR="00E13E77">
        <w:rPr>
          <w:rStyle w:val="Strong"/>
          <w:rFonts w:ascii="Times New Roman" w:hAnsi="Times New Roman"/>
          <w:b w:val="0"/>
          <w:bCs w:val="0"/>
        </w:rPr>
        <w:tab/>
      </w:r>
      <w:r w:rsidRPr="001C1CCB" w:rsidR="00E13E77">
        <w:rPr>
          <w:rStyle w:val="Strong"/>
          <w:rFonts w:ascii="Times New Roman" w:hAnsi="Times New Roman"/>
          <w:b w:val="0"/>
          <w:bCs w:val="0"/>
        </w:rPr>
        <w:tab/>
        <w:t>Molly Coon, LEED Green Associate</w:t>
      </w:r>
    </w:p>
    <w:p w:rsidR="002E26DD" w:rsidRPr="001C1CCB" w:rsidP="002E26DD" w14:paraId="4C8EA394" w14:textId="0E17C749">
      <w:pPr>
        <w:ind w:left="360" w:firstLine="720"/>
        <w:contextualSpacing/>
        <w:rPr>
          <w:rStyle w:val="Strong"/>
          <w:rFonts w:ascii="Times New Roman" w:hAnsi="Times New Roman"/>
          <w:b w:val="0"/>
          <w:bCs w:val="0"/>
        </w:rPr>
      </w:pPr>
      <w:r w:rsidRPr="001C1CCB">
        <w:rPr>
          <w:rStyle w:val="Strong"/>
          <w:rFonts w:ascii="Times New Roman" w:hAnsi="Times New Roman"/>
          <w:b w:val="0"/>
          <w:bCs w:val="0"/>
        </w:rPr>
        <w:t>Indoor Environments Division, U.S. EPA</w:t>
      </w:r>
      <w:r w:rsidRPr="001C1CCB" w:rsidR="005E4F40">
        <w:rPr>
          <w:rStyle w:val="Strong"/>
          <w:rFonts w:ascii="Times New Roman" w:hAnsi="Times New Roman"/>
          <w:b w:val="0"/>
          <w:bCs w:val="0"/>
        </w:rPr>
        <w:tab/>
      </w:r>
      <w:r w:rsidRPr="001C1CCB" w:rsidR="005E4F40">
        <w:rPr>
          <w:rStyle w:val="Strong"/>
          <w:rFonts w:ascii="Times New Roman" w:hAnsi="Times New Roman"/>
          <w:b w:val="0"/>
          <w:bCs w:val="0"/>
        </w:rPr>
        <w:tab/>
        <w:t>Partner Energy</w:t>
      </w:r>
    </w:p>
    <w:p w:rsidR="002E26DD" w:rsidRPr="001C1CCB" w:rsidP="002E26DD" w14:paraId="1726455A" w14:textId="5F3A1160">
      <w:pPr>
        <w:ind w:left="360" w:firstLine="720"/>
        <w:contextualSpacing/>
        <w:rPr>
          <w:rStyle w:val="Strong"/>
          <w:rFonts w:ascii="Times New Roman" w:hAnsi="Times New Roman"/>
          <w:b w:val="0"/>
          <w:bCs w:val="0"/>
        </w:rPr>
      </w:pPr>
      <w:r w:rsidRPr="001C1CCB">
        <w:rPr>
          <w:rStyle w:val="Strong"/>
          <w:rFonts w:ascii="Times New Roman" w:hAnsi="Times New Roman"/>
          <w:b w:val="0"/>
          <w:bCs w:val="0"/>
        </w:rPr>
        <w:t>Katrin Kral – (202) 343-9454</w:t>
      </w:r>
      <w:r w:rsidRPr="001C1CCB" w:rsidR="005E4F40">
        <w:rPr>
          <w:rStyle w:val="Strong"/>
          <w:rFonts w:ascii="Times New Roman" w:hAnsi="Times New Roman"/>
          <w:b w:val="0"/>
          <w:bCs w:val="0"/>
        </w:rPr>
        <w:tab/>
      </w:r>
      <w:r w:rsidRPr="001C1CCB" w:rsidR="005E4F40">
        <w:rPr>
          <w:rStyle w:val="Strong"/>
          <w:rFonts w:ascii="Times New Roman" w:hAnsi="Times New Roman"/>
          <w:b w:val="0"/>
          <w:bCs w:val="0"/>
        </w:rPr>
        <w:tab/>
      </w:r>
      <w:r w:rsidRPr="001C1CCB" w:rsidR="005E4F40">
        <w:rPr>
          <w:rStyle w:val="Strong"/>
          <w:rFonts w:ascii="Times New Roman" w:hAnsi="Times New Roman"/>
          <w:b w:val="0"/>
          <w:bCs w:val="0"/>
        </w:rPr>
        <w:tab/>
        <w:t xml:space="preserve">680 Knox Str., Ste </w:t>
      </w:r>
      <w:r w:rsidRPr="001C1CCB" w:rsidR="00D13849">
        <w:rPr>
          <w:rStyle w:val="Strong"/>
          <w:rFonts w:ascii="Times New Roman" w:hAnsi="Times New Roman"/>
          <w:b w:val="0"/>
          <w:bCs w:val="0"/>
        </w:rPr>
        <w:t>150</w:t>
      </w:r>
    </w:p>
    <w:p w:rsidR="002E26DD" w:rsidRPr="001C1CCB" w:rsidP="002E26DD" w14:paraId="323F4658" w14:textId="098FBE7C">
      <w:pPr>
        <w:ind w:left="360" w:firstLine="720"/>
        <w:contextualSpacing/>
        <w:rPr>
          <w:rStyle w:val="Strong"/>
          <w:rFonts w:ascii="Times New Roman" w:hAnsi="Times New Roman"/>
          <w:b w:val="0"/>
          <w:bCs w:val="0"/>
        </w:rPr>
      </w:pPr>
      <w:hyperlink r:id="rId18" w:history="1">
        <w:r w:rsidRPr="001C1CCB" w:rsidR="005F25AC">
          <w:rPr>
            <w:rStyle w:val="Hyperlink"/>
            <w:rFonts w:ascii="Times New Roman" w:hAnsi="Times New Roman"/>
          </w:rPr>
          <w:t>Kral.katrin@epa.gov</w:t>
        </w:r>
      </w:hyperlink>
      <w:r w:rsidRPr="001C1CCB" w:rsidR="00D13849">
        <w:rPr>
          <w:rStyle w:val="Strong"/>
          <w:rFonts w:ascii="Times New Roman" w:hAnsi="Times New Roman"/>
          <w:b w:val="0"/>
          <w:bCs w:val="0"/>
        </w:rPr>
        <w:tab/>
      </w:r>
      <w:r w:rsidRPr="001C1CCB" w:rsidR="00D13849">
        <w:rPr>
          <w:rStyle w:val="Strong"/>
          <w:rFonts w:ascii="Times New Roman" w:hAnsi="Times New Roman"/>
          <w:b w:val="0"/>
          <w:bCs w:val="0"/>
        </w:rPr>
        <w:tab/>
      </w:r>
      <w:r w:rsidRPr="001C1CCB" w:rsidR="00D13849">
        <w:rPr>
          <w:rStyle w:val="Strong"/>
          <w:rFonts w:ascii="Times New Roman" w:hAnsi="Times New Roman"/>
          <w:b w:val="0"/>
          <w:bCs w:val="0"/>
        </w:rPr>
        <w:tab/>
      </w:r>
      <w:r w:rsidRPr="001C1CCB" w:rsidR="00D13849">
        <w:rPr>
          <w:rStyle w:val="Strong"/>
          <w:rFonts w:ascii="Times New Roman" w:hAnsi="Times New Roman"/>
          <w:b w:val="0"/>
          <w:bCs w:val="0"/>
        </w:rPr>
        <w:tab/>
        <w:t xml:space="preserve">Los Angeles, CA </w:t>
      </w:r>
      <w:r w:rsidRPr="001C1CCB" w:rsidR="00253620">
        <w:rPr>
          <w:rStyle w:val="Strong"/>
          <w:rFonts w:ascii="Times New Roman" w:hAnsi="Times New Roman"/>
          <w:b w:val="0"/>
          <w:bCs w:val="0"/>
        </w:rPr>
        <w:t>90502</w:t>
      </w:r>
    </w:p>
    <w:p w:rsidR="005F25AC" w:rsidRPr="001C1CCB" w:rsidP="002E26DD" w14:paraId="3658A2B8" w14:textId="2988577D">
      <w:pPr>
        <w:ind w:left="360" w:firstLine="720"/>
        <w:contextualSpacing/>
        <w:rPr>
          <w:rStyle w:val="Strong"/>
          <w:rFonts w:ascii="Times New Roman" w:hAnsi="Times New Roman"/>
          <w:b w:val="0"/>
          <w:bCs w:val="0"/>
        </w:rPr>
      </w:pPr>
      <w:r w:rsidRPr="001C1CCB">
        <w:rPr>
          <w:rStyle w:val="Strong"/>
          <w:rFonts w:ascii="Times New Roman" w:hAnsi="Times New Roman"/>
          <w:b w:val="0"/>
          <w:bCs w:val="0"/>
        </w:rPr>
        <w:tab/>
      </w:r>
      <w:r w:rsidRPr="001C1CCB">
        <w:rPr>
          <w:rStyle w:val="Strong"/>
          <w:rFonts w:ascii="Times New Roman" w:hAnsi="Times New Roman"/>
          <w:b w:val="0"/>
          <w:bCs w:val="0"/>
        </w:rPr>
        <w:tab/>
      </w:r>
      <w:r w:rsidRPr="001C1CCB">
        <w:rPr>
          <w:rStyle w:val="Strong"/>
          <w:rFonts w:ascii="Times New Roman" w:hAnsi="Times New Roman"/>
          <w:b w:val="0"/>
          <w:bCs w:val="0"/>
        </w:rPr>
        <w:tab/>
      </w:r>
      <w:r w:rsidRPr="001C1CCB">
        <w:rPr>
          <w:rStyle w:val="Strong"/>
          <w:rFonts w:ascii="Times New Roman" w:hAnsi="Times New Roman"/>
          <w:b w:val="0"/>
          <w:bCs w:val="0"/>
        </w:rPr>
        <w:tab/>
      </w:r>
      <w:r w:rsidRPr="001C1CCB">
        <w:rPr>
          <w:rStyle w:val="Strong"/>
          <w:rFonts w:ascii="Times New Roman" w:hAnsi="Times New Roman"/>
          <w:b w:val="0"/>
          <w:bCs w:val="0"/>
        </w:rPr>
        <w:tab/>
      </w:r>
      <w:r w:rsidRPr="001C1CCB">
        <w:rPr>
          <w:rStyle w:val="Strong"/>
          <w:rFonts w:ascii="Times New Roman" w:hAnsi="Times New Roman"/>
          <w:b w:val="0"/>
          <w:bCs w:val="0"/>
        </w:rPr>
        <w:tab/>
      </w:r>
      <w:r w:rsidRPr="001C1CCB">
        <w:rPr>
          <w:rStyle w:val="Strong"/>
          <w:rFonts w:ascii="Times New Roman" w:hAnsi="Times New Roman"/>
          <w:b w:val="0"/>
          <w:bCs w:val="0"/>
        </w:rPr>
        <w:tab/>
        <w:t xml:space="preserve">310-220-6274, </w:t>
      </w:r>
      <w:hyperlink r:id="rId19" w:history="1">
        <w:r w:rsidRPr="001C1CCB">
          <w:rPr>
            <w:rStyle w:val="Hyperlink"/>
            <w:rFonts w:ascii="Times New Roman" w:hAnsi="Times New Roman"/>
          </w:rPr>
          <w:t>mcoon@ptrenergy.com</w:t>
        </w:r>
      </w:hyperlink>
    </w:p>
    <w:p w:rsidR="00253620" w:rsidRPr="001C1CCB" w:rsidP="002E26DD" w14:paraId="510B7E0D" w14:textId="10212C0D">
      <w:pPr>
        <w:ind w:left="360" w:firstLine="720"/>
        <w:contextualSpacing/>
        <w:rPr>
          <w:rStyle w:val="Strong"/>
          <w:rFonts w:ascii="Times New Roman" w:hAnsi="Times New Roman"/>
          <w:b w:val="0"/>
          <w:bCs w:val="0"/>
        </w:rPr>
      </w:pPr>
    </w:p>
    <w:p w:rsidR="00253620" w:rsidRPr="001C1CCB" w:rsidP="006C6AD4" w14:paraId="63A3A306" w14:textId="3ACD43B1">
      <w:pPr>
        <w:ind w:left="5760" w:hanging="4680"/>
        <w:contextualSpacing/>
        <w:rPr>
          <w:rStyle w:val="Strong"/>
          <w:rFonts w:ascii="Times New Roman" w:hAnsi="Times New Roman"/>
          <w:b w:val="0"/>
          <w:bCs w:val="0"/>
        </w:rPr>
      </w:pPr>
      <w:r w:rsidRPr="001C1CCB">
        <w:rPr>
          <w:rStyle w:val="Strong"/>
          <w:rFonts w:ascii="Times New Roman" w:hAnsi="Times New Roman"/>
          <w:b w:val="0"/>
          <w:bCs w:val="0"/>
        </w:rPr>
        <w:t>Thom Cooley, Managing Dir, Third Party Admin.</w:t>
      </w:r>
      <w:r w:rsidRPr="001C1CCB" w:rsidR="004C7047">
        <w:rPr>
          <w:rStyle w:val="Strong"/>
          <w:rFonts w:ascii="Times New Roman" w:hAnsi="Times New Roman"/>
          <w:b w:val="0"/>
          <w:bCs w:val="0"/>
        </w:rPr>
        <w:tab/>
      </w:r>
      <w:r w:rsidRPr="001C1CCB" w:rsidR="00BA201D">
        <w:rPr>
          <w:rStyle w:val="Strong"/>
          <w:rFonts w:ascii="Times New Roman" w:hAnsi="Times New Roman"/>
          <w:b w:val="0"/>
          <w:bCs w:val="0"/>
        </w:rPr>
        <w:t xml:space="preserve">Stephan Evanko, LEED AP, NGBS Green Verifier, BPI </w:t>
      </w:r>
    </w:p>
    <w:p w:rsidR="00D84E9F" w:rsidRPr="001C1CCB" w:rsidP="002E26DD" w14:paraId="4AA77924" w14:textId="768DEE0A">
      <w:pPr>
        <w:ind w:left="360" w:firstLine="720"/>
        <w:contextualSpacing/>
        <w:rPr>
          <w:rStyle w:val="Strong"/>
          <w:rFonts w:ascii="Times New Roman" w:hAnsi="Times New Roman"/>
          <w:b w:val="0"/>
          <w:bCs w:val="0"/>
        </w:rPr>
      </w:pPr>
      <w:r w:rsidRPr="001C1CCB">
        <w:rPr>
          <w:rStyle w:val="Strong"/>
          <w:rFonts w:ascii="Times New Roman" w:hAnsi="Times New Roman"/>
          <w:b w:val="0"/>
          <w:bCs w:val="0"/>
        </w:rPr>
        <w:t>Dwight Capital</w:t>
      </w:r>
      <w:r w:rsidRPr="001C1CCB" w:rsidR="006C6AD4">
        <w:rPr>
          <w:rStyle w:val="Strong"/>
          <w:rFonts w:ascii="Times New Roman" w:hAnsi="Times New Roman"/>
          <w:b w:val="0"/>
          <w:bCs w:val="0"/>
        </w:rPr>
        <w:tab/>
      </w:r>
      <w:r w:rsidRPr="001C1CCB" w:rsidR="006C6AD4">
        <w:rPr>
          <w:rStyle w:val="Strong"/>
          <w:rFonts w:ascii="Times New Roman" w:hAnsi="Times New Roman"/>
          <w:b w:val="0"/>
          <w:bCs w:val="0"/>
        </w:rPr>
        <w:tab/>
      </w:r>
      <w:r w:rsidRPr="001C1CCB" w:rsidR="006C6AD4">
        <w:rPr>
          <w:rStyle w:val="Strong"/>
          <w:rFonts w:ascii="Times New Roman" w:hAnsi="Times New Roman"/>
          <w:b w:val="0"/>
          <w:bCs w:val="0"/>
        </w:rPr>
        <w:tab/>
      </w:r>
      <w:r w:rsidRPr="001C1CCB" w:rsidR="006C6AD4">
        <w:rPr>
          <w:rStyle w:val="Strong"/>
          <w:rFonts w:ascii="Times New Roman" w:hAnsi="Times New Roman"/>
          <w:b w:val="0"/>
          <w:bCs w:val="0"/>
        </w:rPr>
        <w:tab/>
      </w:r>
      <w:r w:rsidRPr="001C1CCB" w:rsidR="006C6AD4">
        <w:rPr>
          <w:rStyle w:val="Strong"/>
          <w:rFonts w:ascii="Times New Roman" w:hAnsi="Times New Roman"/>
          <w:b w:val="0"/>
          <w:bCs w:val="0"/>
        </w:rPr>
        <w:tab/>
      </w:r>
      <w:r w:rsidRPr="001C1CCB" w:rsidR="006C6AD4">
        <w:rPr>
          <w:rStyle w:val="Strong"/>
          <w:rFonts w:ascii="Times New Roman" w:hAnsi="Times New Roman"/>
          <w:b w:val="0"/>
          <w:bCs w:val="0"/>
        </w:rPr>
        <w:tab/>
        <w:t>MF</w:t>
      </w:r>
      <w:r w:rsidRPr="001C1CCB" w:rsidR="00E631E4">
        <w:rPr>
          <w:rStyle w:val="Strong"/>
          <w:rFonts w:ascii="Times New Roman" w:hAnsi="Times New Roman"/>
          <w:b w:val="0"/>
          <w:bCs w:val="0"/>
        </w:rPr>
        <w:t>BA</w:t>
      </w:r>
    </w:p>
    <w:p w:rsidR="00AA7C40" w:rsidRPr="001C1CCB" w:rsidP="00AA7C40" w14:paraId="4A5512A1" w14:textId="3D68BE6E">
      <w:pPr>
        <w:ind w:left="360" w:firstLine="720"/>
        <w:contextualSpacing/>
        <w:rPr>
          <w:rStyle w:val="Strong"/>
          <w:rFonts w:ascii="Times New Roman" w:hAnsi="Times New Roman"/>
          <w:b w:val="0"/>
          <w:bCs w:val="0"/>
        </w:rPr>
      </w:pPr>
      <w:r w:rsidRPr="001C1CCB">
        <w:rPr>
          <w:rStyle w:val="Strong"/>
          <w:rFonts w:ascii="Times New Roman" w:hAnsi="Times New Roman"/>
          <w:b w:val="0"/>
          <w:bCs w:val="0"/>
        </w:rPr>
        <w:t>787 Eleventh Ave., 10</w:t>
      </w:r>
      <w:r w:rsidRPr="001C1CCB">
        <w:rPr>
          <w:rStyle w:val="Strong"/>
          <w:rFonts w:ascii="Times New Roman" w:hAnsi="Times New Roman"/>
          <w:b w:val="0"/>
          <w:bCs w:val="0"/>
          <w:vertAlign w:val="superscript"/>
        </w:rPr>
        <w:t>th</w:t>
      </w:r>
      <w:r w:rsidRPr="001C1CCB">
        <w:rPr>
          <w:rStyle w:val="Strong"/>
          <w:rFonts w:ascii="Times New Roman" w:hAnsi="Times New Roman"/>
          <w:b w:val="0"/>
          <w:bCs w:val="0"/>
        </w:rPr>
        <w:t xml:space="preserve"> Fl</w:t>
      </w:r>
      <w:r w:rsidRPr="001C1CCB" w:rsidR="00E631E4">
        <w:rPr>
          <w:rStyle w:val="Strong"/>
          <w:rFonts w:ascii="Times New Roman" w:hAnsi="Times New Roman"/>
          <w:b w:val="0"/>
          <w:bCs w:val="0"/>
        </w:rPr>
        <w:tab/>
      </w:r>
      <w:r w:rsidRPr="001C1CCB" w:rsidR="00E631E4">
        <w:rPr>
          <w:rStyle w:val="Strong"/>
          <w:rFonts w:ascii="Times New Roman" w:hAnsi="Times New Roman"/>
          <w:b w:val="0"/>
          <w:bCs w:val="0"/>
        </w:rPr>
        <w:tab/>
      </w:r>
      <w:r w:rsidRPr="001C1CCB" w:rsidR="00E631E4">
        <w:rPr>
          <w:rStyle w:val="Strong"/>
          <w:rFonts w:ascii="Times New Roman" w:hAnsi="Times New Roman"/>
          <w:b w:val="0"/>
          <w:bCs w:val="0"/>
        </w:rPr>
        <w:tab/>
      </w:r>
      <w:r w:rsidRPr="001C1CCB" w:rsidR="00E631E4">
        <w:rPr>
          <w:rStyle w:val="Strong"/>
          <w:rFonts w:ascii="Times New Roman" w:hAnsi="Times New Roman"/>
          <w:b w:val="0"/>
          <w:bCs w:val="0"/>
        </w:rPr>
        <w:tab/>
        <w:t>Managing Director of Energy &amp; Sustainability</w:t>
      </w:r>
    </w:p>
    <w:p w:rsidR="00AA7C40" w:rsidRPr="001C1CCB" w:rsidP="00AA7C40" w14:paraId="3AB6737C" w14:textId="6F2D4198">
      <w:pPr>
        <w:ind w:left="360" w:firstLine="720"/>
        <w:contextualSpacing/>
        <w:rPr>
          <w:rStyle w:val="Strong"/>
          <w:rFonts w:ascii="Times New Roman" w:hAnsi="Times New Roman"/>
          <w:b w:val="0"/>
          <w:bCs w:val="0"/>
        </w:rPr>
      </w:pPr>
      <w:r w:rsidRPr="001C1CCB">
        <w:rPr>
          <w:rStyle w:val="Strong"/>
          <w:rFonts w:ascii="Times New Roman" w:hAnsi="Times New Roman"/>
          <w:b w:val="0"/>
          <w:bCs w:val="0"/>
        </w:rPr>
        <w:t>NYC, NY 10019</w:t>
      </w:r>
      <w:r w:rsidRPr="001C1CCB" w:rsidR="00116187">
        <w:rPr>
          <w:rStyle w:val="Strong"/>
          <w:rFonts w:ascii="Times New Roman" w:hAnsi="Times New Roman"/>
          <w:b w:val="0"/>
          <w:bCs w:val="0"/>
        </w:rPr>
        <w:tab/>
      </w:r>
      <w:r w:rsidRPr="001C1CCB" w:rsidR="00116187">
        <w:rPr>
          <w:rStyle w:val="Strong"/>
          <w:rFonts w:ascii="Times New Roman" w:hAnsi="Times New Roman"/>
          <w:b w:val="0"/>
          <w:bCs w:val="0"/>
        </w:rPr>
        <w:tab/>
      </w:r>
      <w:r w:rsidRPr="001C1CCB" w:rsidR="00116187">
        <w:rPr>
          <w:rStyle w:val="Strong"/>
          <w:rFonts w:ascii="Times New Roman" w:hAnsi="Times New Roman"/>
          <w:b w:val="0"/>
          <w:bCs w:val="0"/>
        </w:rPr>
        <w:tab/>
      </w:r>
      <w:r w:rsidRPr="001C1CCB" w:rsidR="00116187">
        <w:rPr>
          <w:rStyle w:val="Strong"/>
          <w:rFonts w:ascii="Times New Roman" w:hAnsi="Times New Roman"/>
          <w:b w:val="0"/>
          <w:bCs w:val="0"/>
        </w:rPr>
        <w:tab/>
      </w:r>
      <w:r w:rsidRPr="001C1CCB" w:rsidR="00116187">
        <w:rPr>
          <w:rStyle w:val="Strong"/>
          <w:rFonts w:ascii="Times New Roman" w:hAnsi="Times New Roman"/>
          <w:b w:val="0"/>
          <w:bCs w:val="0"/>
        </w:rPr>
        <w:tab/>
        <w:t>Dominion Due Diligence</w:t>
      </w:r>
    </w:p>
    <w:p w:rsidR="00B4209B" w:rsidRPr="001C1CCB" w:rsidP="00AA7C40" w14:paraId="33A4DFF7" w14:textId="5660AAEA">
      <w:pPr>
        <w:ind w:left="360" w:firstLine="720"/>
        <w:contextualSpacing/>
        <w:rPr>
          <w:rStyle w:val="Strong"/>
          <w:rFonts w:ascii="Times New Roman" w:hAnsi="Times New Roman"/>
          <w:b w:val="0"/>
          <w:bCs w:val="0"/>
        </w:rPr>
      </w:pPr>
      <w:r w:rsidRPr="001C1CCB">
        <w:rPr>
          <w:rStyle w:val="Strong"/>
          <w:rFonts w:ascii="Times New Roman" w:hAnsi="Times New Roman"/>
          <w:b w:val="0"/>
          <w:bCs w:val="0"/>
        </w:rPr>
        <w:t xml:space="preserve">347-853-7752, </w:t>
      </w:r>
      <w:hyperlink r:id="rId20" w:history="1">
        <w:r w:rsidRPr="001C1CCB" w:rsidR="00116187">
          <w:rPr>
            <w:rStyle w:val="Hyperlink"/>
            <w:rFonts w:ascii="Times New Roman" w:hAnsi="Times New Roman"/>
          </w:rPr>
          <w:t>tc@dwightcap.com</w:t>
        </w:r>
      </w:hyperlink>
      <w:r w:rsidRPr="001C1CCB" w:rsidR="00116187">
        <w:rPr>
          <w:rStyle w:val="Strong"/>
          <w:rFonts w:ascii="Times New Roman" w:hAnsi="Times New Roman"/>
          <w:b w:val="0"/>
          <w:bCs w:val="0"/>
        </w:rPr>
        <w:tab/>
      </w:r>
      <w:r w:rsidRPr="001C1CCB" w:rsidR="00116187">
        <w:rPr>
          <w:rStyle w:val="Strong"/>
          <w:rFonts w:ascii="Times New Roman" w:hAnsi="Times New Roman"/>
          <w:b w:val="0"/>
          <w:bCs w:val="0"/>
        </w:rPr>
        <w:tab/>
      </w:r>
      <w:r w:rsidRPr="001C1CCB" w:rsidR="00116187">
        <w:rPr>
          <w:rStyle w:val="Strong"/>
          <w:rFonts w:ascii="Times New Roman" w:hAnsi="Times New Roman"/>
          <w:b w:val="0"/>
          <w:bCs w:val="0"/>
        </w:rPr>
        <w:tab/>
        <w:t>201 Wyldrose Drive</w:t>
      </w:r>
    </w:p>
    <w:p w:rsidR="00EB7C1D" w:rsidRPr="001C1CCB" w14:paraId="70F48704" w14:textId="77777777">
      <w:pPr>
        <w:ind w:firstLine="0"/>
        <w:rPr>
          <w:rFonts w:ascii="Times New (W1)" w:hAnsi="Times New (W1)"/>
          <w:sz w:val="24"/>
        </w:rPr>
      </w:pPr>
      <w:r w:rsidRPr="001C1CCB">
        <w:rPr>
          <w:rFonts w:ascii="Times New (W1)" w:hAnsi="Times New (W1)"/>
          <w:sz w:val="24"/>
        </w:rPr>
        <w:tab/>
      </w:r>
      <w:r w:rsidRPr="001C1CCB">
        <w:rPr>
          <w:rFonts w:ascii="Times New (W1)" w:hAnsi="Times New (W1)"/>
          <w:sz w:val="24"/>
        </w:rPr>
        <w:tab/>
      </w:r>
      <w:r w:rsidRPr="001C1CCB">
        <w:rPr>
          <w:rFonts w:ascii="Times New (W1)" w:hAnsi="Times New (W1)"/>
          <w:sz w:val="24"/>
        </w:rPr>
        <w:tab/>
      </w:r>
      <w:r w:rsidRPr="001C1CCB">
        <w:rPr>
          <w:rFonts w:ascii="Times New (W1)" w:hAnsi="Times New (W1)"/>
          <w:sz w:val="24"/>
        </w:rPr>
        <w:tab/>
      </w:r>
      <w:r w:rsidRPr="001C1CCB">
        <w:rPr>
          <w:rFonts w:ascii="Times New (W1)" w:hAnsi="Times New (W1)"/>
          <w:sz w:val="24"/>
        </w:rPr>
        <w:tab/>
      </w:r>
      <w:r w:rsidRPr="001C1CCB">
        <w:rPr>
          <w:rFonts w:ascii="Times New (W1)" w:hAnsi="Times New (W1)"/>
          <w:sz w:val="24"/>
        </w:rPr>
        <w:tab/>
      </w:r>
      <w:r w:rsidRPr="001C1CCB">
        <w:rPr>
          <w:rFonts w:ascii="Times New (W1)" w:hAnsi="Times New (W1)"/>
          <w:sz w:val="24"/>
        </w:rPr>
        <w:tab/>
      </w:r>
      <w:r w:rsidRPr="001C1CCB">
        <w:rPr>
          <w:rFonts w:ascii="Times New (W1)" w:hAnsi="Times New (W1)"/>
          <w:sz w:val="24"/>
        </w:rPr>
        <w:tab/>
        <w:t>Midlothian, VA 23113</w:t>
      </w:r>
    </w:p>
    <w:p w:rsidR="00726BBA" w:rsidRPr="001C1CCB" w14:paraId="4038A0D1" w14:textId="54DA08FD">
      <w:pPr>
        <w:ind w:firstLine="0"/>
        <w:rPr>
          <w:rFonts w:ascii="Times New (W1)" w:hAnsi="Times New (W1)"/>
          <w:sz w:val="24"/>
        </w:rPr>
      </w:pPr>
      <w:r w:rsidRPr="001C1CCB">
        <w:rPr>
          <w:rFonts w:ascii="Times New (W1)" w:hAnsi="Times New (W1)"/>
          <w:sz w:val="24"/>
        </w:rPr>
        <w:tab/>
      </w:r>
      <w:r w:rsidRPr="001C1CCB">
        <w:rPr>
          <w:rFonts w:ascii="Times New (W1)" w:hAnsi="Times New (W1)"/>
          <w:sz w:val="24"/>
        </w:rPr>
        <w:tab/>
      </w:r>
      <w:r w:rsidRPr="001C1CCB">
        <w:rPr>
          <w:rFonts w:ascii="Times New (W1)" w:hAnsi="Times New (W1)"/>
          <w:sz w:val="24"/>
        </w:rPr>
        <w:tab/>
      </w:r>
      <w:r w:rsidRPr="001C1CCB">
        <w:rPr>
          <w:rFonts w:ascii="Times New (W1)" w:hAnsi="Times New (W1)"/>
          <w:sz w:val="24"/>
        </w:rPr>
        <w:tab/>
      </w:r>
      <w:r w:rsidRPr="001C1CCB">
        <w:rPr>
          <w:rFonts w:ascii="Times New (W1)" w:hAnsi="Times New (W1)"/>
          <w:sz w:val="24"/>
        </w:rPr>
        <w:tab/>
      </w:r>
      <w:r w:rsidRPr="001C1CCB">
        <w:rPr>
          <w:rFonts w:ascii="Times New (W1)" w:hAnsi="Times New (W1)"/>
          <w:sz w:val="24"/>
        </w:rPr>
        <w:tab/>
      </w:r>
      <w:r w:rsidRPr="001C1CCB">
        <w:rPr>
          <w:rFonts w:ascii="Times New (W1)" w:hAnsi="Times New (W1)"/>
          <w:sz w:val="24"/>
        </w:rPr>
        <w:tab/>
      </w:r>
      <w:r w:rsidRPr="001C1CCB">
        <w:rPr>
          <w:rFonts w:ascii="Times New (W1)" w:hAnsi="Times New (W1)"/>
          <w:sz w:val="24"/>
        </w:rPr>
        <w:tab/>
      </w:r>
      <w:r w:rsidRPr="001C1CCB" w:rsidR="00520367">
        <w:rPr>
          <w:rFonts w:ascii="Times New (W1)" w:hAnsi="Times New (W1)"/>
          <w:sz w:val="24"/>
        </w:rPr>
        <w:t xml:space="preserve">804-237-1892, </w:t>
      </w:r>
      <w:hyperlink r:id="rId21" w:history="1">
        <w:r w:rsidRPr="001C1CCB">
          <w:rPr>
            <w:rStyle w:val="Hyperlink"/>
            <w:rFonts w:ascii="Times New (W1)" w:hAnsi="Times New (W1)"/>
            <w:sz w:val="24"/>
          </w:rPr>
          <w:t>sevanko@d3g.com</w:t>
        </w:r>
      </w:hyperlink>
    </w:p>
    <w:p w:rsidR="00726BBA" w:rsidRPr="001C1CCB" w14:paraId="2620A1CC" w14:textId="77777777">
      <w:pPr>
        <w:ind w:firstLine="0"/>
        <w:rPr>
          <w:rFonts w:ascii="Times New (W1)" w:hAnsi="Times New (W1)"/>
          <w:sz w:val="24"/>
        </w:rPr>
      </w:pPr>
    </w:p>
    <w:p w:rsidR="00FA373B" w:rsidRPr="001C1CCB" w:rsidP="00FA373B" w14:paraId="45A96DB3" w14:textId="35628349">
      <w:pPr>
        <w:ind w:left="1080" w:firstLine="0"/>
        <w:rPr>
          <w:rFonts w:ascii="Times New (W1)" w:hAnsi="Times New (W1)"/>
          <w:sz w:val="24"/>
        </w:rPr>
      </w:pPr>
      <w:r w:rsidRPr="001C1CCB">
        <w:rPr>
          <w:rFonts w:ascii="Times New (W1)" w:hAnsi="Times New (W1)"/>
          <w:sz w:val="24"/>
        </w:rPr>
        <w:t>Jesse Pasco, Sr Program Director</w:t>
      </w:r>
      <w:r w:rsidRPr="001C1CCB">
        <w:rPr>
          <w:rFonts w:ascii="Times New (W1)" w:hAnsi="Times New (W1)"/>
          <w:sz w:val="24"/>
        </w:rPr>
        <w:tab/>
      </w:r>
      <w:r w:rsidRPr="001C1CCB">
        <w:rPr>
          <w:rFonts w:ascii="Times New (W1)" w:hAnsi="Times New (W1)"/>
          <w:sz w:val="24"/>
        </w:rPr>
        <w:tab/>
      </w:r>
      <w:r w:rsidRPr="001C1CCB">
        <w:rPr>
          <w:rFonts w:ascii="Times New (W1)" w:hAnsi="Times New (W1)"/>
          <w:sz w:val="24"/>
        </w:rPr>
        <w:tab/>
        <w:t>Jeb Bonnett, Sr. V.P. HUD Bldg Assessments</w:t>
      </w:r>
    </w:p>
    <w:p w:rsidR="00B61441" w:rsidRPr="001C1CCB" w:rsidP="004F5334" w14:paraId="0C153515" w14:textId="2B81A6E1">
      <w:pPr>
        <w:ind w:left="1080" w:firstLine="0"/>
        <w:rPr>
          <w:rFonts w:ascii="Times New (W1)" w:hAnsi="Times New (W1)"/>
          <w:sz w:val="24"/>
        </w:rPr>
      </w:pPr>
      <w:r w:rsidRPr="001C1CCB">
        <w:rPr>
          <w:rFonts w:ascii="Times New (W1)" w:hAnsi="Times New (W1)"/>
          <w:sz w:val="24"/>
        </w:rPr>
        <w:t>EBI Consulting</w:t>
      </w:r>
      <w:r w:rsidRPr="001C1CCB" w:rsidR="00FA373B">
        <w:rPr>
          <w:rFonts w:ascii="Times New (W1)" w:hAnsi="Times New (W1)"/>
          <w:sz w:val="24"/>
        </w:rPr>
        <w:tab/>
      </w:r>
      <w:r w:rsidRPr="001C1CCB" w:rsidR="00FA373B">
        <w:rPr>
          <w:rFonts w:ascii="Times New (W1)" w:hAnsi="Times New (W1)"/>
          <w:sz w:val="24"/>
        </w:rPr>
        <w:tab/>
      </w:r>
      <w:r w:rsidRPr="001C1CCB" w:rsidR="00FA373B">
        <w:rPr>
          <w:rFonts w:ascii="Times New (W1)" w:hAnsi="Times New (W1)"/>
          <w:sz w:val="24"/>
        </w:rPr>
        <w:tab/>
      </w:r>
      <w:r w:rsidRPr="001C1CCB" w:rsidR="00FA373B">
        <w:rPr>
          <w:rFonts w:ascii="Times New (W1)" w:hAnsi="Times New (W1)"/>
          <w:sz w:val="24"/>
        </w:rPr>
        <w:tab/>
      </w:r>
      <w:r w:rsidRPr="001C1CCB" w:rsidR="00FA373B">
        <w:rPr>
          <w:rFonts w:ascii="Times New (W1)" w:hAnsi="Times New (W1)"/>
          <w:sz w:val="24"/>
        </w:rPr>
        <w:tab/>
      </w:r>
      <w:r w:rsidRPr="001C1CCB" w:rsidR="009A11E3">
        <w:rPr>
          <w:rFonts w:ascii="Times New (W1)" w:hAnsi="Times New (W1)"/>
          <w:sz w:val="24"/>
        </w:rPr>
        <w:t>AEI Consultants</w:t>
      </w:r>
    </w:p>
    <w:p w:rsidR="006152C0" w:rsidRPr="001C1CCB" w:rsidP="006152C0" w14:paraId="1557378B" w14:textId="3CD86EEA">
      <w:pPr>
        <w:ind w:left="1080" w:firstLine="0"/>
        <w:rPr>
          <w:rFonts w:ascii="Times New (W1)" w:hAnsi="Times New (W1)"/>
          <w:sz w:val="24"/>
        </w:rPr>
      </w:pPr>
      <w:r w:rsidRPr="001C1CCB">
        <w:rPr>
          <w:rFonts w:ascii="Times New (W1)" w:hAnsi="Times New (W1)"/>
          <w:sz w:val="24"/>
        </w:rPr>
        <w:t xml:space="preserve">8002 </w:t>
      </w:r>
      <w:r w:rsidRPr="001C1CCB">
        <w:rPr>
          <w:rFonts w:ascii="Times New (W1)" w:hAnsi="Times New (W1)"/>
          <w:sz w:val="24"/>
        </w:rPr>
        <w:t>Discovery Drive, Ste 308</w:t>
      </w:r>
      <w:r w:rsidRPr="001C1CCB" w:rsidR="009A11E3">
        <w:rPr>
          <w:rFonts w:ascii="Times New (W1)" w:hAnsi="Times New (W1)"/>
          <w:sz w:val="24"/>
        </w:rPr>
        <w:tab/>
      </w:r>
      <w:r w:rsidRPr="001C1CCB" w:rsidR="009A11E3">
        <w:rPr>
          <w:rFonts w:ascii="Times New (W1)" w:hAnsi="Times New (W1)"/>
          <w:sz w:val="24"/>
        </w:rPr>
        <w:tab/>
      </w:r>
      <w:r w:rsidRPr="001C1CCB" w:rsidR="009A11E3">
        <w:rPr>
          <w:rFonts w:ascii="Times New (W1)" w:hAnsi="Times New (W1)"/>
          <w:sz w:val="24"/>
        </w:rPr>
        <w:tab/>
        <w:t>1525 Huguenot Road, Ste 202</w:t>
      </w:r>
    </w:p>
    <w:p w:rsidR="00095DBF" w:rsidRPr="001C1CCB" w:rsidP="006152C0" w14:paraId="71279F0C" w14:textId="7B6A5F5B">
      <w:pPr>
        <w:ind w:left="1080" w:firstLine="0"/>
        <w:rPr>
          <w:rFonts w:ascii="Times New (W1)" w:hAnsi="Times New (W1)"/>
          <w:sz w:val="24"/>
        </w:rPr>
      </w:pPr>
      <w:r w:rsidRPr="001C1CCB">
        <w:rPr>
          <w:rFonts w:ascii="Times New (W1)" w:hAnsi="Times New (W1)"/>
          <w:sz w:val="24"/>
        </w:rPr>
        <w:t xml:space="preserve">Richmond, VA </w:t>
      </w:r>
      <w:r w:rsidRPr="001C1CCB">
        <w:rPr>
          <w:rFonts w:ascii="Times New (W1)" w:hAnsi="Times New (W1)"/>
          <w:sz w:val="24"/>
        </w:rPr>
        <w:t>23229</w:t>
      </w:r>
      <w:r w:rsidRPr="001C1CCB" w:rsidR="0098153A">
        <w:rPr>
          <w:rFonts w:ascii="Times New (W1)" w:hAnsi="Times New (W1)"/>
          <w:sz w:val="24"/>
        </w:rPr>
        <w:tab/>
      </w:r>
      <w:r w:rsidRPr="001C1CCB" w:rsidR="0098153A">
        <w:rPr>
          <w:rFonts w:ascii="Times New (W1)" w:hAnsi="Times New (W1)"/>
          <w:sz w:val="24"/>
        </w:rPr>
        <w:tab/>
      </w:r>
      <w:r w:rsidRPr="001C1CCB" w:rsidR="0098153A">
        <w:rPr>
          <w:rFonts w:ascii="Times New (W1)" w:hAnsi="Times New (W1)"/>
          <w:sz w:val="24"/>
        </w:rPr>
        <w:tab/>
      </w:r>
      <w:r w:rsidRPr="001C1CCB" w:rsidR="0098153A">
        <w:rPr>
          <w:rFonts w:ascii="Times New (W1)" w:hAnsi="Times New (W1)"/>
          <w:sz w:val="24"/>
        </w:rPr>
        <w:tab/>
        <w:t>Midlothian, VA 23113</w:t>
      </w:r>
    </w:p>
    <w:p w:rsidR="001E6406" w:rsidRPr="001C1CCB" w:rsidP="006152C0" w14:paraId="1EDA5892" w14:textId="4EC85AB0">
      <w:pPr>
        <w:ind w:left="1080" w:firstLine="0"/>
        <w:rPr>
          <w:rFonts w:ascii="Times New (W1)" w:hAnsi="Times New (W1)"/>
          <w:sz w:val="24"/>
        </w:rPr>
      </w:pPr>
      <w:r w:rsidRPr="001C1CCB">
        <w:rPr>
          <w:rFonts w:ascii="Times New (W1)" w:hAnsi="Times New (W1)"/>
          <w:sz w:val="24"/>
        </w:rPr>
        <w:t>804-282-3927 xt 1404</w:t>
      </w:r>
      <w:r w:rsidRPr="001C1CCB" w:rsidR="0098153A">
        <w:rPr>
          <w:rFonts w:ascii="Times New (W1)" w:hAnsi="Times New (W1)"/>
          <w:sz w:val="24"/>
        </w:rPr>
        <w:tab/>
      </w:r>
      <w:r w:rsidRPr="001C1CCB" w:rsidR="0098153A">
        <w:rPr>
          <w:rFonts w:ascii="Times New (W1)" w:hAnsi="Times New (W1)"/>
          <w:sz w:val="24"/>
        </w:rPr>
        <w:tab/>
      </w:r>
      <w:r w:rsidRPr="001C1CCB" w:rsidR="0098153A">
        <w:rPr>
          <w:rFonts w:ascii="Times New (W1)" w:hAnsi="Times New (W1)"/>
          <w:sz w:val="24"/>
        </w:rPr>
        <w:tab/>
      </w:r>
      <w:r w:rsidRPr="001C1CCB" w:rsidR="0098153A">
        <w:rPr>
          <w:rFonts w:ascii="Times New (W1)" w:hAnsi="Times New (W1)"/>
          <w:sz w:val="24"/>
        </w:rPr>
        <w:tab/>
        <w:t>804-</w:t>
      </w:r>
      <w:r w:rsidRPr="001C1CCB" w:rsidR="00A27DAE">
        <w:rPr>
          <w:rFonts w:ascii="Times New (W1)" w:hAnsi="Times New (W1)"/>
          <w:sz w:val="24"/>
        </w:rPr>
        <w:t>955-8373</w:t>
      </w:r>
      <w:r w:rsidRPr="001C1CCB" w:rsidR="00373F57">
        <w:rPr>
          <w:rFonts w:ascii="Times New (W1)" w:hAnsi="Times New (W1)"/>
          <w:sz w:val="24"/>
        </w:rPr>
        <w:t xml:space="preserve">, </w:t>
      </w:r>
      <w:hyperlink r:id="rId22" w:history="1">
        <w:r w:rsidRPr="001C1CCB" w:rsidR="00032721">
          <w:rPr>
            <w:rStyle w:val="Hyperlink"/>
            <w:rFonts w:ascii="Times New (W1)" w:hAnsi="Times New (W1)"/>
            <w:sz w:val="24"/>
          </w:rPr>
          <w:t>jebbonnett@aeiconsultants.com</w:t>
        </w:r>
      </w:hyperlink>
    </w:p>
    <w:p w:rsidR="0029035D" w:rsidRPr="001C1CCB" w:rsidP="006152C0" w14:paraId="72C005A3" w14:textId="24016C7C">
      <w:pPr>
        <w:ind w:left="1080" w:firstLine="0"/>
        <w:rPr>
          <w:rFonts w:ascii="Times New (W1)" w:hAnsi="Times New (W1)"/>
          <w:sz w:val="24"/>
        </w:rPr>
      </w:pPr>
      <w:hyperlink r:id="rId23" w:history="1">
        <w:r w:rsidRPr="001C1CCB">
          <w:rPr>
            <w:rStyle w:val="Hyperlink"/>
            <w:rFonts w:ascii="Times New (W1)" w:hAnsi="Times New (W1)"/>
            <w:sz w:val="24"/>
          </w:rPr>
          <w:t>jpasco@ebiconsulting.com</w:t>
        </w:r>
      </w:hyperlink>
    </w:p>
    <w:p w:rsidR="00496A6E" w:rsidRPr="001C1CCB" w:rsidP="006152C0" w14:paraId="72F7969F" w14:textId="4854A80E">
      <w:pPr>
        <w:ind w:left="1080" w:firstLine="0"/>
        <w:rPr>
          <w:rFonts w:ascii="Times New (W1)" w:hAnsi="Times New (W1)"/>
          <w:sz w:val="24"/>
        </w:rPr>
      </w:pPr>
      <w:r w:rsidRPr="001C1CCB">
        <w:rPr>
          <w:rFonts w:ascii="Times New (W1)" w:hAnsi="Times New (W1)"/>
          <w:sz w:val="24"/>
        </w:rPr>
        <w:br w:type="page"/>
      </w:r>
    </w:p>
    <w:p w:rsidR="005A100D" w:rsidRPr="001C1CCB" w:rsidP="00496A6E" w14:paraId="2F3D8403" w14:textId="0874E016">
      <w:pPr>
        <w:tabs>
          <w:tab w:val="left" w:pos="1080"/>
        </w:tabs>
        <w:ind w:left="720" w:hanging="360"/>
        <w:jc w:val="both"/>
        <w:rPr>
          <w:rFonts w:ascii="Times New (W1)" w:hAnsi="Times New (W1)"/>
          <w:sz w:val="24"/>
        </w:rPr>
      </w:pPr>
      <w:r w:rsidRPr="001C1CCB">
        <w:rPr>
          <w:rFonts w:ascii="Times New (W1)" w:hAnsi="Times New (W1)"/>
          <w:sz w:val="24"/>
        </w:rPr>
        <w:t>13.</w:t>
      </w:r>
      <w:r w:rsidRPr="001C1CCB" w:rsidR="00821AA6">
        <w:rPr>
          <w:rFonts w:ascii="Times New (W1)" w:hAnsi="Times New (W1)"/>
          <w:sz w:val="24"/>
        </w:rPr>
        <w:t xml:space="preserve"> </w:t>
      </w:r>
      <w:r w:rsidRPr="001C1CCB" w:rsidR="004505F9">
        <w:rPr>
          <w:rFonts w:ascii="Times New (W1)" w:hAnsi="Times New (W1)"/>
          <w:sz w:val="24"/>
        </w:rPr>
        <w:t xml:space="preserve">Total annual cost burden to respondents. </w:t>
      </w:r>
    </w:p>
    <w:p w:rsidR="008D7F24" w:rsidRPr="001C1CCB" w:rsidP="00496A6E" w14:paraId="2D830021" w14:textId="15A8B161">
      <w:pPr>
        <w:tabs>
          <w:tab w:val="left" w:pos="1080"/>
        </w:tabs>
        <w:ind w:left="720" w:hanging="360"/>
        <w:jc w:val="both"/>
        <w:rPr>
          <w:rFonts w:ascii="Times New (W1)" w:hAnsi="Times New (W1)"/>
          <w:sz w:val="24"/>
        </w:rPr>
      </w:pPr>
    </w:p>
    <w:p w:rsidR="008D7F24" w:rsidRPr="001C1CCB" w:rsidP="00496A6E" w14:paraId="03A9A358" w14:textId="592988E4">
      <w:pPr>
        <w:tabs>
          <w:tab w:val="left" w:pos="1080"/>
        </w:tabs>
        <w:ind w:left="720" w:hanging="360"/>
        <w:jc w:val="both"/>
        <w:rPr>
          <w:rFonts w:ascii="Times New (W1)" w:hAnsi="Times New (W1)"/>
          <w:sz w:val="24"/>
        </w:rPr>
      </w:pPr>
      <w:r w:rsidRPr="001C1CCB">
        <w:rPr>
          <w:rFonts w:ascii="Times New (W1)" w:hAnsi="Times New (W1)"/>
          <w:sz w:val="24"/>
        </w:rPr>
        <w:tab/>
        <w:t xml:space="preserve">As </w:t>
      </w:r>
      <w:r w:rsidRPr="001C1CCB" w:rsidR="00BB0949">
        <w:rPr>
          <w:rFonts w:ascii="Times New (W1)" w:hAnsi="Times New (W1)"/>
          <w:sz w:val="24"/>
        </w:rPr>
        <w:t>noted,</w:t>
      </w:r>
      <w:r w:rsidRPr="001C1CCB">
        <w:rPr>
          <w:rFonts w:ascii="Times New (W1)" w:hAnsi="Times New (W1)"/>
          <w:sz w:val="24"/>
        </w:rPr>
        <w:t xml:space="preserve"> </w:t>
      </w:r>
      <w:r w:rsidRPr="001C1CCB" w:rsidR="00CD36F7">
        <w:rPr>
          <w:rFonts w:ascii="Times New (W1)" w:hAnsi="Times New (W1)"/>
          <w:sz w:val="24"/>
        </w:rPr>
        <w:t>the MAP Guide requires the use of multiple standard practice forms and/or reports prepared by third</w:t>
      </w:r>
      <w:r w:rsidRPr="001C1CCB" w:rsidR="00B15214">
        <w:rPr>
          <w:rFonts w:ascii="Times New (W1)" w:hAnsi="Times New (W1)"/>
          <w:sz w:val="24"/>
        </w:rPr>
        <w:t>-parties retained either by the lender or the borrower, as applicable</w:t>
      </w:r>
      <w:r w:rsidRPr="001C1CCB" w:rsidR="0062377C">
        <w:rPr>
          <w:rFonts w:ascii="Times New (W1)" w:hAnsi="Times New (W1)"/>
          <w:sz w:val="24"/>
        </w:rPr>
        <w:t xml:space="preserve">.  The time and cost for these </w:t>
      </w:r>
      <w:r w:rsidRPr="001C1CCB" w:rsidR="00B72D5F">
        <w:rPr>
          <w:rFonts w:ascii="Times New (W1)" w:hAnsi="Times New (W1)"/>
          <w:sz w:val="24"/>
        </w:rPr>
        <w:t xml:space="preserve">third-party </w:t>
      </w:r>
      <w:r w:rsidRPr="001C1CCB" w:rsidR="0062377C">
        <w:rPr>
          <w:rFonts w:ascii="Times New (W1)" w:hAnsi="Times New (W1)"/>
          <w:sz w:val="24"/>
        </w:rPr>
        <w:t xml:space="preserve">reports are passed through to the borrower </w:t>
      </w:r>
      <w:r w:rsidRPr="001C1CCB" w:rsidR="001C45CB">
        <w:rPr>
          <w:rFonts w:ascii="Times New (W1)" w:hAnsi="Times New (W1)"/>
          <w:sz w:val="24"/>
        </w:rPr>
        <w:t>but each required item is reviewed by the lender</w:t>
      </w:r>
      <w:r w:rsidRPr="001C1CCB" w:rsidR="00152F71">
        <w:rPr>
          <w:rFonts w:ascii="Times New (W1)" w:hAnsi="Times New (W1)"/>
          <w:sz w:val="24"/>
        </w:rPr>
        <w:t xml:space="preserve"> as reported in Item #12</w:t>
      </w:r>
      <w:r w:rsidRPr="001C1CCB" w:rsidR="00651BF3">
        <w:rPr>
          <w:rFonts w:ascii="Times New (W1)" w:hAnsi="Times New (W1)"/>
          <w:sz w:val="24"/>
        </w:rPr>
        <w:t xml:space="preserve">, correlated with other application </w:t>
      </w:r>
      <w:r w:rsidRPr="001C1CCB" w:rsidR="00A148A1">
        <w:rPr>
          <w:rFonts w:ascii="Times New (W1)" w:hAnsi="Times New (W1)"/>
          <w:sz w:val="24"/>
        </w:rPr>
        <w:t>materials,</w:t>
      </w:r>
      <w:r w:rsidRPr="001C1CCB" w:rsidR="00651BF3">
        <w:rPr>
          <w:rFonts w:ascii="Times New (W1)" w:hAnsi="Times New (W1)"/>
          <w:sz w:val="24"/>
        </w:rPr>
        <w:t xml:space="preserve"> and </w:t>
      </w:r>
      <w:r w:rsidRPr="001C1CCB" w:rsidR="00290DE3">
        <w:rPr>
          <w:rFonts w:ascii="Times New (W1)" w:hAnsi="Times New (W1)"/>
          <w:sz w:val="24"/>
        </w:rPr>
        <w:t>used to reach an underwriting conclusion as described in the Underwriters Narrative.</w:t>
      </w:r>
      <w:r w:rsidRPr="001C1CCB" w:rsidR="001E5C67">
        <w:rPr>
          <w:rFonts w:ascii="Times New (W1)" w:hAnsi="Times New (W1)"/>
          <w:sz w:val="24"/>
        </w:rPr>
        <w:t xml:space="preserve">  Nonetheless, these reports are material </w:t>
      </w:r>
      <w:r w:rsidRPr="001C1CCB" w:rsidR="00FD42F7">
        <w:rPr>
          <w:rFonts w:ascii="Times New (W1)" w:hAnsi="Times New (W1)"/>
          <w:sz w:val="24"/>
        </w:rPr>
        <w:t>costs and burdens for insured mortgage applications</w:t>
      </w:r>
      <w:r w:rsidRPr="001C1CCB" w:rsidR="00180415">
        <w:rPr>
          <w:rFonts w:ascii="Times New (W1)" w:hAnsi="Times New (W1)"/>
          <w:sz w:val="24"/>
        </w:rPr>
        <w:t xml:space="preserve"> which </w:t>
      </w:r>
      <w:r w:rsidRPr="001C1CCB" w:rsidR="002335F3">
        <w:rPr>
          <w:rFonts w:ascii="Times New (W1)" w:hAnsi="Times New (W1)"/>
          <w:sz w:val="24"/>
        </w:rPr>
        <w:t>significantly exceed lender</w:t>
      </w:r>
      <w:r w:rsidRPr="001C1CCB" w:rsidR="006B4BDD">
        <w:rPr>
          <w:rFonts w:ascii="Times New (W1)" w:hAnsi="Times New (W1)"/>
          <w:sz w:val="24"/>
        </w:rPr>
        <w:t>s’ internal</w:t>
      </w:r>
      <w:r w:rsidRPr="001C1CCB" w:rsidR="002335F3">
        <w:rPr>
          <w:rFonts w:ascii="Times New (W1)" w:hAnsi="Times New (W1)"/>
          <w:sz w:val="24"/>
        </w:rPr>
        <w:t xml:space="preserve"> costs</w:t>
      </w:r>
      <w:r w:rsidRPr="001C1CCB" w:rsidR="006B4BDD">
        <w:rPr>
          <w:rFonts w:ascii="Times New (W1)" w:hAnsi="Times New (W1)"/>
          <w:sz w:val="24"/>
        </w:rPr>
        <w:t xml:space="preserve"> ($5</w:t>
      </w:r>
      <w:r w:rsidRPr="001C1CCB" w:rsidR="00860A21">
        <w:rPr>
          <w:rFonts w:ascii="Times New (W1)" w:hAnsi="Times New (W1)"/>
          <w:sz w:val="24"/>
        </w:rPr>
        <w:t>5</w:t>
      </w:r>
      <w:r w:rsidRPr="001C1CCB" w:rsidR="006B4BDD">
        <w:rPr>
          <w:rFonts w:ascii="Times New (W1)" w:hAnsi="Times New (W1)"/>
          <w:sz w:val="24"/>
        </w:rPr>
        <w:t>.</w:t>
      </w:r>
      <w:r w:rsidRPr="001C1CCB" w:rsidR="00860A21">
        <w:rPr>
          <w:rFonts w:ascii="Times New (W1)" w:hAnsi="Times New (W1)"/>
          <w:sz w:val="24"/>
        </w:rPr>
        <w:t>8</w:t>
      </w:r>
      <w:r w:rsidRPr="001C1CCB" w:rsidR="006B4BDD">
        <w:rPr>
          <w:rFonts w:ascii="Times New (W1)" w:hAnsi="Times New (W1)"/>
          <w:sz w:val="24"/>
        </w:rPr>
        <w:t xml:space="preserve"> mi</w:t>
      </w:r>
      <w:r w:rsidRPr="001C1CCB" w:rsidR="000F0331">
        <w:rPr>
          <w:rFonts w:ascii="Times New (W1)" w:hAnsi="Times New (W1)"/>
          <w:sz w:val="24"/>
        </w:rPr>
        <w:t>ll</w:t>
      </w:r>
      <w:r w:rsidRPr="001C1CCB" w:rsidR="006B4BDD">
        <w:rPr>
          <w:rFonts w:ascii="Times New (W1)" w:hAnsi="Times New (W1)"/>
          <w:sz w:val="24"/>
        </w:rPr>
        <w:t xml:space="preserve">ion vs </w:t>
      </w:r>
      <w:r w:rsidRPr="001C1CCB" w:rsidR="00DC7442">
        <w:rPr>
          <w:rFonts w:ascii="Times New (W1)" w:hAnsi="Times New (W1)"/>
          <w:sz w:val="24"/>
        </w:rPr>
        <w:t>$6.9 million) for this collection</w:t>
      </w:r>
      <w:r w:rsidRPr="001C1CCB" w:rsidR="00FD42F7">
        <w:rPr>
          <w:rFonts w:ascii="Times New (W1)" w:hAnsi="Times New (W1)"/>
          <w:sz w:val="24"/>
        </w:rPr>
        <w:t>.</w:t>
      </w:r>
      <w:r w:rsidRPr="001C1CCB" w:rsidR="006E1919">
        <w:rPr>
          <w:rFonts w:ascii="Times New (W1)" w:hAnsi="Times New (W1)"/>
          <w:sz w:val="24"/>
        </w:rPr>
        <w:t xml:space="preserve">  When combined with lender burdens</w:t>
      </w:r>
      <w:r w:rsidRPr="001C1CCB" w:rsidR="00C82A9E">
        <w:rPr>
          <w:rFonts w:ascii="Times New (W1)" w:hAnsi="Times New (W1)"/>
          <w:sz w:val="24"/>
        </w:rPr>
        <w:t>, the cost of third-party standard reports (other than those covered by separate OMB nu</w:t>
      </w:r>
      <w:r w:rsidRPr="001C1CCB" w:rsidR="00A73FC4">
        <w:rPr>
          <w:rFonts w:ascii="Times New (W1)" w:hAnsi="Times New (W1)"/>
          <w:sz w:val="24"/>
        </w:rPr>
        <w:t>mbers) total $</w:t>
      </w:r>
      <w:r w:rsidRPr="001C1CCB" w:rsidR="00F021E3">
        <w:rPr>
          <w:rFonts w:ascii="Times New (W1)" w:hAnsi="Times New (W1)"/>
          <w:sz w:val="24"/>
        </w:rPr>
        <w:t>62,</w:t>
      </w:r>
      <w:r w:rsidRPr="001C1CCB" w:rsidR="00435878">
        <w:rPr>
          <w:rFonts w:ascii="Times New (W1)" w:hAnsi="Times New (W1)"/>
          <w:sz w:val="24"/>
        </w:rPr>
        <w:t>679,171</w:t>
      </w:r>
      <w:r w:rsidRPr="001C1CCB" w:rsidR="00CE689E">
        <w:rPr>
          <w:rFonts w:ascii="Times New (W1)" w:hAnsi="Times New (W1)"/>
          <w:sz w:val="24"/>
        </w:rPr>
        <w:t xml:space="preserve"> which represents </w:t>
      </w:r>
      <w:r w:rsidRPr="001C1CCB" w:rsidR="000F0FB5">
        <w:rPr>
          <w:rFonts w:ascii="Times New (W1)" w:hAnsi="Times New (W1)"/>
          <w:sz w:val="24"/>
        </w:rPr>
        <w:t xml:space="preserve">circa </w:t>
      </w:r>
      <w:r w:rsidRPr="001C1CCB" w:rsidR="00DB37B0">
        <w:rPr>
          <w:rFonts w:ascii="Times New (W1)" w:hAnsi="Times New (W1)"/>
          <w:sz w:val="24"/>
        </w:rPr>
        <w:t xml:space="preserve">0.25 to </w:t>
      </w:r>
      <w:r w:rsidRPr="001C1CCB" w:rsidR="000A0395">
        <w:rPr>
          <w:rFonts w:ascii="Times New (W1)" w:hAnsi="Times New (W1)"/>
          <w:sz w:val="24"/>
        </w:rPr>
        <w:t>0</w:t>
      </w:r>
      <w:r w:rsidRPr="001C1CCB" w:rsidR="00DB37B0">
        <w:rPr>
          <w:rFonts w:ascii="Times New (W1)" w:hAnsi="Times New (W1)"/>
          <w:sz w:val="24"/>
        </w:rPr>
        <w:t>.30%</w:t>
      </w:r>
      <w:r w:rsidRPr="001C1CCB" w:rsidR="000A0395">
        <w:rPr>
          <w:rFonts w:ascii="Times New (W1)" w:hAnsi="Times New (W1)"/>
          <w:sz w:val="24"/>
        </w:rPr>
        <w:t xml:space="preserve"> of loan volume, that is, a quarter to a third of a point</w:t>
      </w:r>
      <w:r w:rsidRPr="001C1CCB" w:rsidR="005B2A33">
        <w:rPr>
          <w:rFonts w:ascii="Times New (W1)" w:hAnsi="Times New (W1)"/>
          <w:sz w:val="24"/>
        </w:rPr>
        <w:t xml:space="preserve"> o</w:t>
      </w:r>
      <w:r w:rsidRPr="001C1CCB" w:rsidR="008F3EA8">
        <w:rPr>
          <w:rFonts w:ascii="Times New (W1)" w:hAnsi="Times New (W1)"/>
          <w:sz w:val="24"/>
        </w:rPr>
        <w:t xml:space="preserve">f aggregate </w:t>
      </w:r>
      <w:r w:rsidRPr="001C1CCB" w:rsidR="002A7A09">
        <w:rPr>
          <w:rFonts w:ascii="Times New (W1)" w:hAnsi="Times New (W1)"/>
          <w:sz w:val="24"/>
        </w:rPr>
        <w:t xml:space="preserve">annual </w:t>
      </w:r>
      <w:r w:rsidRPr="001C1CCB" w:rsidR="008F3EA8">
        <w:rPr>
          <w:rFonts w:ascii="Times New (W1)" w:hAnsi="Times New (W1)"/>
          <w:sz w:val="24"/>
        </w:rPr>
        <w:t>insure</w:t>
      </w:r>
      <w:r w:rsidRPr="001C1CCB" w:rsidR="002A7A09">
        <w:rPr>
          <w:rFonts w:ascii="Times New (W1)" w:hAnsi="Times New (W1)"/>
          <w:sz w:val="24"/>
        </w:rPr>
        <w:t>d</w:t>
      </w:r>
      <w:r w:rsidRPr="001C1CCB" w:rsidR="005B2A33">
        <w:rPr>
          <w:rFonts w:ascii="Times New (W1)" w:hAnsi="Times New (W1)"/>
          <w:sz w:val="24"/>
        </w:rPr>
        <w:t xml:space="preserve"> loan amount.</w:t>
      </w:r>
    </w:p>
    <w:p w:rsidR="00C0181E" w:rsidRPr="001C1CCB" w:rsidP="004A380B" w14:paraId="008B57A4" w14:textId="77777777">
      <w:pPr>
        <w:tabs>
          <w:tab w:val="left" w:pos="1080"/>
        </w:tabs>
        <w:ind w:left="720" w:hanging="360"/>
        <w:jc w:val="both"/>
        <w:rPr>
          <w:rFonts w:ascii="Times New (W1)" w:hAnsi="Times New (W1)"/>
          <w:sz w:val="24"/>
        </w:rPr>
      </w:pPr>
    </w:p>
    <w:p w:rsidR="00CC1282" w:rsidRPr="001C1CCB" w:rsidP="00496A6E" w14:paraId="3D321A00" w14:textId="5D6ACA93">
      <w:pPr>
        <w:tabs>
          <w:tab w:val="left" w:pos="1080"/>
        </w:tabs>
        <w:ind w:left="720" w:hanging="360"/>
        <w:jc w:val="both"/>
        <w:rPr>
          <w:rFonts w:ascii="Times New (W1)" w:hAnsi="Times New (W1)"/>
          <w:sz w:val="24"/>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9"/>
        <w:gridCol w:w="1349"/>
        <w:gridCol w:w="1350"/>
        <w:gridCol w:w="1417"/>
        <w:gridCol w:w="1193"/>
        <w:gridCol w:w="1057"/>
        <w:gridCol w:w="1260"/>
        <w:gridCol w:w="1530"/>
      </w:tblGrid>
      <w:tr w14:paraId="7D60D27F" w14:textId="77777777" w:rsidTr="000468F2">
        <w:tblPrEx>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9F77F3" w14:paraId="45BC378F" w14:textId="77777777">
            <w:pPr>
              <w:ind w:firstLine="0"/>
              <w:jc w:val="center"/>
              <w:rPr>
                <w:rFonts w:ascii="Times New Roman" w:hAnsi="Times New Roman"/>
                <w:b/>
                <w:bCs/>
                <w:sz w:val="20"/>
                <w:szCs w:val="20"/>
              </w:rPr>
            </w:pPr>
            <w:r w:rsidRPr="001C1CCB">
              <w:rPr>
                <w:rFonts w:ascii="Times New Roman" w:hAnsi="Times New Roman"/>
                <w:b/>
                <w:bCs/>
                <w:sz w:val="20"/>
                <w:szCs w:val="20"/>
              </w:rPr>
              <w:t>A</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9F77F3" w14:paraId="60AC4423" w14:textId="77777777">
            <w:pPr>
              <w:ind w:firstLine="0"/>
              <w:jc w:val="center"/>
              <w:rPr>
                <w:rFonts w:ascii="Times New Roman" w:hAnsi="Times New Roman"/>
                <w:b/>
                <w:bCs/>
                <w:sz w:val="20"/>
                <w:szCs w:val="20"/>
              </w:rPr>
            </w:pPr>
            <w:r w:rsidRPr="001C1CCB">
              <w:rPr>
                <w:rFonts w:ascii="Times New Roman" w:hAnsi="Times New Roman"/>
                <w:b/>
                <w:bCs/>
                <w:sz w:val="20"/>
                <w:szCs w:val="20"/>
              </w:rPr>
              <w:t>B</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9F77F3" w14:paraId="4BBECEBA" w14:textId="77777777">
            <w:pPr>
              <w:ind w:firstLine="0"/>
              <w:jc w:val="center"/>
              <w:rPr>
                <w:rFonts w:ascii="Times New Roman" w:hAnsi="Times New Roman"/>
                <w:b/>
                <w:bCs/>
                <w:sz w:val="20"/>
                <w:szCs w:val="20"/>
              </w:rPr>
            </w:pPr>
            <w:r w:rsidRPr="001C1CCB">
              <w:rPr>
                <w:rFonts w:ascii="Times New Roman" w:hAnsi="Times New Roman"/>
                <w:b/>
                <w:bCs/>
                <w:sz w:val="20"/>
                <w:szCs w:val="20"/>
              </w:rPr>
              <w:t>C</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9F77F3" w14:paraId="720D9181" w14:textId="77777777">
            <w:pPr>
              <w:ind w:firstLine="0"/>
              <w:jc w:val="center"/>
              <w:rPr>
                <w:rFonts w:ascii="Times New Roman" w:hAnsi="Times New Roman"/>
                <w:b/>
                <w:bCs/>
                <w:sz w:val="20"/>
                <w:szCs w:val="20"/>
              </w:rPr>
            </w:pPr>
            <w:r w:rsidRPr="001C1CCB">
              <w:rPr>
                <w:rFonts w:ascii="Times New Roman" w:hAnsi="Times New Roman"/>
                <w:b/>
                <w:bCs/>
                <w:sz w:val="20"/>
                <w:szCs w:val="20"/>
              </w:rPr>
              <w:t>D</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9F77F3" w14:paraId="0D93FD33" w14:textId="77777777">
            <w:pPr>
              <w:ind w:firstLine="0"/>
              <w:jc w:val="center"/>
              <w:rPr>
                <w:rFonts w:ascii="Times New Roman" w:hAnsi="Times New Roman"/>
                <w:b/>
                <w:bCs/>
                <w:sz w:val="20"/>
                <w:szCs w:val="20"/>
              </w:rPr>
            </w:pPr>
            <w:r w:rsidRPr="001C1CCB">
              <w:rPr>
                <w:rFonts w:ascii="Times New Roman" w:hAnsi="Times New Roman"/>
                <w:b/>
                <w:bCs/>
                <w:sz w:val="20"/>
                <w:szCs w:val="20"/>
              </w:rPr>
              <w:t>E</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9F77F3" w14:paraId="01654068" w14:textId="77777777">
            <w:pPr>
              <w:ind w:firstLine="0"/>
              <w:jc w:val="center"/>
              <w:rPr>
                <w:rFonts w:ascii="Times New Roman" w:hAnsi="Times New Roman"/>
                <w:b/>
                <w:bCs/>
                <w:sz w:val="20"/>
                <w:szCs w:val="20"/>
              </w:rPr>
            </w:pPr>
            <w:r w:rsidRPr="001C1CCB">
              <w:rPr>
                <w:rFonts w:ascii="Times New Roman" w:hAnsi="Times New Roman"/>
                <w:b/>
                <w:bCs/>
                <w:sz w:val="20"/>
                <w:szCs w:val="20"/>
              </w:rPr>
              <w:t>F</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9F77F3" w14:paraId="24649612" w14:textId="77777777">
            <w:pPr>
              <w:ind w:firstLine="0"/>
              <w:jc w:val="center"/>
              <w:rPr>
                <w:rFonts w:ascii="Times New Roman" w:hAnsi="Times New Roman"/>
                <w:sz w:val="20"/>
                <w:szCs w:val="20"/>
              </w:rPr>
            </w:pPr>
            <w:r w:rsidRPr="001C1CCB">
              <w:rPr>
                <w:rFonts w:ascii="Times New Roman" w:hAnsi="Times New Roman"/>
                <w:sz w:val="20"/>
                <w:szCs w:val="20"/>
              </w:rPr>
              <w:t>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9F77F3" w14:paraId="41DE0489" w14:textId="77777777">
            <w:pPr>
              <w:ind w:firstLine="0"/>
              <w:jc w:val="center"/>
              <w:rPr>
                <w:rFonts w:ascii="Times New Roman" w:hAnsi="Times New Roman"/>
                <w:b/>
                <w:bCs/>
                <w:sz w:val="20"/>
                <w:szCs w:val="20"/>
              </w:rPr>
            </w:pPr>
            <w:r w:rsidRPr="001C1CCB">
              <w:rPr>
                <w:rFonts w:ascii="Times New Roman" w:hAnsi="Times New Roman"/>
                <w:b/>
                <w:bCs/>
                <w:sz w:val="20"/>
                <w:szCs w:val="20"/>
              </w:rPr>
              <w:t>H</w:t>
            </w:r>
          </w:p>
        </w:tc>
      </w:tr>
      <w:tr w14:paraId="10B6F36D"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hideMark/>
          </w:tcPr>
          <w:p w:rsidR="00892D24" w:rsidRPr="001C1CCB" w:rsidP="009F77F3" w14:paraId="067848AD" w14:textId="77777777">
            <w:pPr>
              <w:ind w:firstLine="0"/>
              <w:jc w:val="center"/>
              <w:rPr>
                <w:rFonts w:ascii="Times New Roman" w:hAnsi="Times New Roman"/>
                <w:b/>
                <w:bCs/>
                <w:sz w:val="20"/>
                <w:szCs w:val="20"/>
              </w:rPr>
            </w:pPr>
            <w:r w:rsidRPr="001C1CCB">
              <w:rPr>
                <w:rFonts w:ascii="Times New Roman" w:hAnsi="Times New Roman"/>
                <w:b/>
                <w:bCs/>
                <w:sz w:val="20"/>
                <w:szCs w:val="20"/>
              </w:rPr>
              <w:t>Information Collection</w:t>
            </w:r>
          </w:p>
          <w:p w:rsidR="00892D24" w:rsidRPr="001C1CCB" w:rsidP="009F77F3" w14:paraId="4F88D61C" w14:textId="77777777">
            <w:pPr>
              <w:ind w:firstLine="0"/>
              <w:jc w:val="center"/>
              <w:rPr>
                <w:rFonts w:ascii="Times New Roman" w:hAnsi="Times New Roman"/>
                <w:b/>
                <w:bCs/>
                <w:sz w:val="20"/>
                <w:szCs w:val="20"/>
              </w:rPr>
            </w:pPr>
            <w:r w:rsidRPr="001C1CCB">
              <w:rPr>
                <w:rFonts w:ascii="Times New Roman" w:hAnsi="Times New Roman"/>
                <w:b/>
                <w:bCs/>
                <w:sz w:val="20"/>
                <w:szCs w:val="20"/>
              </w:rPr>
              <w:t>Item</w:t>
            </w:r>
          </w:p>
        </w:tc>
        <w:tc>
          <w:tcPr>
            <w:tcW w:w="1349" w:type="dxa"/>
            <w:tcBorders>
              <w:top w:val="single" w:sz="4" w:space="0" w:color="auto"/>
              <w:left w:val="single" w:sz="4" w:space="0" w:color="auto"/>
              <w:bottom w:val="single" w:sz="4" w:space="0" w:color="auto"/>
              <w:right w:val="single" w:sz="4" w:space="0" w:color="auto"/>
            </w:tcBorders>
            <w:shd w:val="clear" w:color="auto" w:fill="auto"/>
            <w:hideMark/>
          </w:tcPr>
          <w:p w:rsidR="00892D24" w:rsidRPr="001C1CCB" w:rsidP="009F77F3" w14:paraId="4F8AD207" w14:textId="6D461FCF">
            <w:pPr>
              <w:ind w:firstLine="0"/>
              <w:jc w:val="center"/>
              <w:rPr>
                <w:rFonts w:ascii="Times New Roman" w:hAnsi="Times New Roman"/>
                <w:b/>
                <w:bCs/>
                <w:sz w:val="20"/>
                <w:szCs w:val="20"/>
              </w:rPr>
            </w:pPr>
            <w:r w:rsidRPr="001C1CCB">
              <w:rPr>
                <w:rFonts w:ascii="Times New Roman" w:hAnsi="Times New Roman"/>
                <w:b/>
                <w:bCs/>
                <w:sz w:val="20"/>
                <w:szCs w:val="20"/>
              </w:rPr>
              <w:t>Number of Respondents (Lenders)</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92D24" w:rsidRPr="001C1CCB" w:rsidP="009F77F3" w14:paraId="1BA838ED" w14:textId="44DDF07E">
            <w:pPr>
              <w:ind w:firstLine="0"/>
              <w:jc w:val="center"/>
              <w:rPr>
                <w:rFonts w:ascii="Times New Roman" w:hAnsi="Times New Roman"/>
                <w:b/>
                <w:bCs/>
                <w:sz w:val="20"/>
                <w:szCs w:val="20"/>
              </w:rPr>
            </w:pPr>
            <w:r w:rsidRPr="001C1CCB">
              <w:rPr>
                <w:rFonts w:ascii="Times New Roman" w:hAnsi="Times New Roman"/>
                <w:b/>
                <w:bCs/>
                <w:sz w:val="20"/>
                <w:szCs w:val="20"/>
              </w:rPr>
              <w:t>Frequency of Response (1 avg appl.)</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892D24" w:rsidRPr="001C1CCB" w:rsidP="009F77F3" w14:paraId="1F9CA288" w14:textId="77777777">
            <w:pPr>
              <w:ind w:firstLine="0"/>
              <w:jc w:val="center"/>
              <w:rPr>
                <w:rFonts w:ascii="Times New Roman" w:hAnsi="Times New Roman"/>
                <w:b/>
                <w:bCs/>
                <w:sz w:val="20"/>
                <w:szCs w:val="20"/>
              </w:rPr>
            </w:pPr>
            <w:r w:rsidRPr="001C1CCB">
              <w:rPr>
                <w:rFonts w:ascii="Times New Roman" w:hAnsi="Times New Roman"/>
                <w:b/>
                <w:bCs/>
                <w:sz w:val="20"/>
                <w:szCs w:val="20"/>
              </w:rPr>
              <w:t>Total Annual Responses (B x C)</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9F77F3" w14:paraId="57140B5B" w14:textId="77777777">
            <w:pPr>
              <w:ind w:firstLine="0"/>
              <w:jc w:val="center"/>
              <w:rPr>
                <w:rFonts w:ascii="Times New Roman" w:hAnsi="Times New Roman"/>
                <w:b/>
                <w:bCs/>
                <w:sz w:val="20"/>
                <w:szCs w:val="20"/>
              </w:rPr>
            </w:pPr>
            <w:r w:rsidRPr="001C1CCB">
              <w:rPr>
                <w:rFonts w:ascii="Times New Roman" w:hAnsi="Times New Roman"/>
                <w:b/>
                <w:bCs/>
                <w:sz w:val="20"/>
                <w:szCs w:val="20"/>
              </w:rPr>
              <w:t>Burden Hour Per Response</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892D24" w:rsidRPr="001C1CCB" w:rsidP="009F77F3" w14:paraId="370474A1" w14:textId="77777777">
            <w:pPr>
              <w:ind w:firstLine="0"/>
              <w:jc w:val="center"/>
              <w:rPr>
                <w:rFonts w:ascii="Times New Roman" w:hAnsi="Times New Roman"/>
                <w:b/>
                <w:bCs/>
                <w:sz w:val="20"/>
                <w:szCs w:val="20"/>
              </w:rPr>
            </w:pPr>
            <w:r w:rsidRPr="001C1CCB">
              <w:rPr>
                <w:rFonts w:ascii="Times New Roman" w:hAnsi="Times New Roman"/>
                <w:b/>
                <w:bCs/>
                <w:sz w:val="20"/>
                <w:szCs w:val="20"/>
              </w:rPr>
              <w:t>Burden Hrs/Yr (D x E)</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9F77F3" w14:paraId="40FB24C5" w14:textId="77777777">
            <w:pPr>
              <w:ind w:firstLine="0"/>
              <w:jc w:val="center"/>
              <w:rPr>
                <w:rFonts w:ascii="Times New Roman" w:hAnsi="Times New Roman"/>
                <w:b/>
                <w:bCs/>
                <w:sz w:val="20"/>
                <w:szCs w:val="20"/>
              </w:rPr>
            </w:pPr>
            <w:r w:rsidRPr="001C1CCB">
              <w:rPr>
                <w:rFonts w:ascii="Times New Roman" w:hAnsi="Times New Roman"/>
                <w:b/>
                <w:bCs/>
                <w:sz w:val="20"/>
                <w:szCs w:val="20"/>
              </w:rPr>
              <w:t>Hourly Cost Per Response</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892D24" w:rsidRPr="001C1CCB" w:rsidP="009F77F3" w14:paraId="7DBE8310" w14:textId="77777777">
            <w:pPr>
              <w:ind w:firstLine="0"/>
              <w:jc w:val="center"/>
              <w:rPr>
                <w:rFonts w:ascii="Times New Roman" w:hAnsi="Times New Roman"/>
                <w:b/>
                <w:bCs/>
                <w:sz w:val="20"/>
                <w:szCs w:val="20"/>
              </w:rPr>
            </w:pPr>
            <w:r w:rsidRPr="001C1CCB">
              <w:rPr>
                <w:rFonts w:ascii="Times New Roman" w:hAnsi="Times New Roman"/>
                <w:b/>
                <w:bCs/>
                <w:sz w:val="20"/>
                <w:szCs w:val="20"/>
              </w:rPr>
              <w:t>Total Annual Cost (F x G)</w:t>
            </w:r>
          </w:p>
        </w:tc>
      </w:tr>
      <w:tr w14:paraId="08650493" w14:textId="77777777" w:rsidTr="00DC4AC2">
        <w:tblPrEx>
          <w:tblW w:w="11065" w:type="dxa"/>
          <w:tblLayout w:type="fixed"/>
          <w:tblLook w:val="00A0"/>
        </w:tblPrEx>
        <w:trPr>
          <w:trHeight w:val="331"/>
          <w:tblHeader/>
        </w:trPr>
        <w:tc>
          <w:tcPr>
            <w:tcW w:w="11065" w:type="dxa"/>
            <w:gridSpan w:val="8"/>
            <w:tcBorders>
              <w:top w:val="single" w:sz="24" w:space="0" w:color="auto"/>
              <w:left w:val="single" w:sz="4" w:space="0" w:color="auto"/>
              <w:bottom w:val="single" w:sz="4" w:space="0" w:color="auto"/>
              <w:right w:val="single" w:sz="4" w:space="0" w:color="auto"/>
            </w:tcBorders>
            <w:shd w:val="clear" w:color="auto" w:fill="D9D9D9" w:themeFill="background1" w:themeFillShade="D9"/>
          </w:tcPr>
          <w:p w:rsidR="00B20FB1" w:rsidRPr="001C1CCB" w:rsidP="00BA14FD" w14:paraId="1BEDAF26" w14:textId="216F6986">
            <w:pPr>
              <w:tabs>
                <w:tab w:val="left" w:pos="220"/>
              </w:tabs>
              <w:ind w:firstLine="0"/>
              <w:jc w:val="both"/>
              <w:rPr>
                <w:rFonts w:ascii="Times New Roman" w:hAnsi="Times New Roman"/>
                <w:b/>
                <w:bCs/>
                <w:sz w:val="20"/>
                <w:szCs w:val="20"/>
              </w:rPr>
            </w:pPr>
            <w:r w:rsidRPr="001C1CCB">
              <w:rPr>
                <w:rFonts w:ascii="Times New Roman" w:hAnsi="Times New Roman"/>
                <w:b/>
                <w:bCs/>
                <w:sz w:val="20"/>
                <w:szCs w:val="20"/>
              </w:rPr>
              <w:tab/>
              <w:t xml:space="preserve">Third-Party Standard Practice Forms/Reports Not </w:t>
            </w:r>
            <w:r w:rsidRPr="001C1CCB" w:rsidR="00706AAE">
              <w:rPr>
                <w:rFonts w:ascii="Times New Roman" w:hAnsi="Times New Roman"/>
                <w:b/>
                <w:bCs/>
                <w:sz w:val="20"/>
                <w:szCs w:val="20"/>
              </w:rPr>
              <w:t>In Collection Total or Covered by Other OMB Numbers:</w:t>
            </w:r>
          </w:p>
        </w:tc>
      </w:tr>
      <w:tr w14:paraId="18070779"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11417C34" w14:textId="0AF228EB">
            <w:pPr>
              <w:ind w:firstLine="0"/>
              <w:jc w:val="center"/>
              <w:rPr>
                <w:rFonts w:ascii="Times New Roman" w:hAnsi="Times New Roman"/>
                <w:b/>
                <w:bCs/>
                <w:sz w:val="20"/>
                <w:szCs w:val="20"/>
              </w:rPr>
            </w:pPr>
            <w:r w:rsidRPr="001C1CCB">
              <w:rPr>
                <w:rFonts w:ascii="Times New Roman" w:hAnsi="Times New Roman"/>
                <w:sz w:val="20"/>
                <w:szCs w:val="20"/>
              </w:rPr>
              <w:t>Appraisal- NC SR</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18468367" w14:textId="07187998">
            <w:pPr>
              <w:ind w:firstLine="0"/>
              <w:jc w:val="center"/>
              <w:rPr>
                <w:rFonts w:ascii="Times New Roman" w:hAnsi="Times New Roman"/>
                <w:b/>
                <w:bCs/>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642BB5D8" w14:textId="5B31E5EB">
            <w:pPr>
              <w:ind w:firstLine="0"/>
              <w:jc w:val="center"/>
              <w:rPr>
                <w:rFonts w:ascii="Times New Roman" w:hAnsi="Times New Roman"/>
                <w:b/>
                <w:bCs/>
                <w:sz w:val="20"/>
                <w:szCs w:val="20"/>
              </w:rPr>
            </w:pPr>
            <w:r w:rsidRPr="001C1CCB">
              <w:rPr>
                <w:rFonts w:ascii="Times New Roman" w:hAnsi="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7BEC1ED8" w14:textId="60E2702F">
            <w:pPr>
              <w:ind w:firstLine="0"/>
              <w:jc w:val="center"/>
              <w:rPr>
                <w:rFonts w:ascii="Times New Roman" w:hAnsi="Times New Roman"/>
                <w:b/>
                <w:bCs/>
                <w:sz w:val="20"/>
                <w:szCs w:val="20"/>
              </w:rPr>
            </w:pPr>
            <w:r w:rsidRPr="001C1CCB">
              <w:rPr>
                <w:rFonts w:ascii="Times New Roman" w:hAnsi="Times New Roman"/>
                <w:sz w:val="20"/>
                <w:szCs w:val="20"/>
              </w:rPr>
              <w:t>17.29</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2C683C95" w14:textId="458E5972">
            <w:pPr>
              <w:ind w:firstLine="0"/>
              <w:jc w:val="center"/>
              <w:rPr>
                <w:rFonts w:ascii="Times New Roman" w:hAnsi="Times New Roman"/>
                <w:b/>
                <w:bCs/>
                <w:sz w:val="20"/>
                <w:szCs w:val="20"/>
              </w:rPr>
            </w:pPr>
            <w:r w:rsidRPr="001C1CCB">
              <w:rPr>
                <w:rFonts w:ascii="Times New Roman" w:hAnsi="Times New Roman"/>
                <w:sz w:val="20"/>
                <w:szCs w:val="20"/>
              </w:rPr>
              <w:t>120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35E8DA33" w14:textId="197AE497">
            <w:pPr>
              <w:ind w:firstLine="0"/>
              <w:jc w:val="center"/>
              <w:rPr>
                <w:rFonts w:ascii="Times New Roman" w:hAnsi="Times New Roman"/>
                <w:b/>
                <w:bCs/>
                <w:sz w:val="20"/>
                <w:szCs w:val="20"/>
              </w:rPr>
            </w:pPr>
            <w:r w:rsidRPr="001C1CCB">
              <w:rPr>
                <w:rFonts w:ascii="Times New Roman" w:hAnsi="Times New Roman"/>
                <w:sz w:val="20"/>
                <w:szCs w:val="20"/>
              </w:rPr>
              <w:t>2</w:t>
            </w:r>
            <w:r w:rsidRPr="001C1CCB" w:rsidR="00185F46">
              <w:rPr>
                <w:rFonts w:ascii="Times New Roman" w:hAnsi="Times New Roman"/>
                <w:sz w:val="20"/>
                <w:szCs w:val="20"/>
              </w:rPr>
              <w:t>,</w:t>
            </w:r>
            <w:r w:rsidRPr="001C1CCB">
              <w:rPr>
                <w:rFonts w:ascii="Times New Roman" w:hAnsi="Times New Roman"/>
                <w:sz w:val="20"/>
                <w:szCs w:val="20"/>
              </w:rPr>
              <w:t>075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107A79A" w14:textId="334BBBEE">
            <w:pPr>
              <w:ind w:firstLine="0"/>
              <w:jc w:val="center"/>
              <w:rPr>
                <w:rFonts w:ascii="Times New Roman" w:hAnsi="Times New Roman"/>
                <w:b/>
                <w:bCs/>
                <w:sz w:val="20"/>
                <w:szCs w:val="20"/>
              </w:rPr>
            </w:pPr>
            <w:r w:rsidRPr="001C1CCB">
              <w:rPr>
                <w:rFonts w:ascii="Times New Roman" w:hAnsi="Times New Roman"/>
                <w:sz w:val="20"/>
                <w:szCs w:val="20"/>
              </w:rPr>
              <w:t>$56.80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5DB586F3" w14:textId="5CBC894F">
            <w:pPr>
              <w:ind w:firstLine="0"/>
              <w:jc w:val="center"/>
              <w:rPr>
                <w:rFonts w:ascii="Times New Roman" w:hAnsi="Times New Roman"/>
                <w:b/>
                <w:bCs/>
                <w:sz w:val="20"/>
                <w:szCs w:val="20"/>
              </w:rPr>
            </w:pPr>
            <w:r w:rsidRPr="001C1CCB">
              <w:rPr>
                <w:rFonts w:ascii="Times New Roman" w:hAnsi="Times New Roman"/>
                <w:sz w:val="20"/>
                <w:szCs w:val="20"/>
              </w:rPr>
              <w:t>$</w:t>
            </w:r>
            <w:r w:rsidRPr="001C1CCB" w:rsidR="00185F46">
              <w:rPr>
                <w:rFonts w:ascii="Times New Roman" w:hAnsi="Times New Roman"/>
                <w:sz w:val="20"/>
                <w:szCs w:val="20"/>
              </w:rPr>
              <w:t>117,857</w:t>
            </w:r>
          </w:p>
        </w:tc>
      </w:tr>
      <w:tr w14:paraId="715E3AFB"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40F8F37" w14:textId="0B655B5D">
            <w:pPr>
              <w:ind w:firstLine="0"/>
              <w:jc w:val="center"/>
              <w:rPr>
                <w:rFonts w:ascii="Times New Roman" w:hAnsi="Times New Roman"/>
                <w:b/>
                <w:bCs/>
                <w:sz w:val="20"/>
                <w:szCs w:val="20"/>
              </w:rPr>
            </w:pPr>
            <w:r w:rsidRPr="001C1CCB">
              <w:rPr>
                <w:rFonts w:ascii="Times New Roman" w:hAnsi="Times New Roman"/>
                <w:sz w:val="20"/>
                <w:szCs w:val="20"/>
              </w:rPr>
              <w:t>Market Study-NC SR</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23F60A5F" w14:textId="4A6EC092">
            <w:pPr>
              <w:ind w:firstLine="0"/>
              <w:jc w:val="center"/>
              <w:rPr>
                <w:rFonts w:ascii="Times New Roman" w:hAnsi="Times New Roman"/>
                <w:b/>
                <w:bCs/>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30F8ACBD" w14:textId="31363433">
            <w:pPr>
              <w:ind w:firstLine="0"/>
              <w:jc w:val="center"/>
              <w:rPr>
                <w:rFonts w:ascii="Times New Roman" w:hAnsi="Times New Roman"/>
                <w:sz w:val="20"/>
                <w:szCs w:val="20"/>
              </w:rPr>
            </w:pPr>
            <w:r w:rsidRPr="001C1CCB">
              <w:rPr>
                <w:rFonts w:ascii="Times New Roman" w:hAnsi="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F079A69" w14:textId="05E2B96F">
            <w:pPr>
              <w:ind w:firstLine="0"/>
              <w:jc w:val="center"/>
              <w:rPr>
                <w:rFonts w:ascii="Times New Roman" w:hAnsi="Times New Roman"/>
                <w:b/>
                <w:bCs/>
                <w:sz w:val="20"/>
                <w:szCs w:val="20"/>
              </w:rPr>
            </w:pPr>
            <w:r w:rsidRPr="001C1CCB">
              <w:rPr>
                <w:rFonts w:ascii="Times New Roman" w:hAnsi="Times New Roman"/>
                <w:sz w:val="20"/>
                <w:szCs w:val="20"/>
              </w:rPr>
              <w:t>17.29</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71BBA07B" w14:textId="30550EF2">
            <w:pPr>
              <w:ind w:firstLine="0"/>
              <w:jc w:val="center"/>
              <w:rPr>
                <w:rFonts w:ascii="Times New Roman" w:hAnsi="Times New Roman"/>
                <w:b/>
                <w:bCs/>
                <w:sz w:val="20"/>
                <w:szCs w:val="20"/>
              </w:rPr>
            </w:pPr>
            <w:r w:rsidRPr="001C1CCB">
              <w:rPr>
                <w:rFonts w:ascii="Times New Roman" w:hAnsi="Times New Roman"/>
                <w:sz w:val="20"/>
                <w:szCs w:val="20"/>
              </w:rPr>
              <w:t>64</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60895EE" w14:textId="4386B5CE">
            <w:pPr>
              <w:ind w:firstLine="0"/>
              <w:jc w:val="center"/>
              <w:rPr>
                <w:rFonts w:ascii="Times New Roman" w:hAnsi="Times New Roman"/>
                <w:b/>
                <w:bCs/>
                <w:sz w:val="20"/>
                <w:szCs w:val="20"/>
              </w:rPr>
            </w:pPr>
            <w:r w:rsidRPr="001C1CCB">
              <w:rPr>
                <w:rFonts w:ascii="Times New Roman" w:hAnsi="Times New Roman"/>
                <w:sz w:val="20"/>
                <w:szCs w:val="20"/>
              </w:rPr>
              <w:t>1,107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203DAC49" w14:textId="77777777">
            <w:pPr>
              <w:ind w:firstLine="0"/>
              <w:jc w:val="center"/>
              <w:rPr>
                <w:rFonts w:ascii="Times New Roman" w:hAnsi="Times New Roman"/>
                <w:sz w:val="20"/>
                <w:szCs w:val="20"/>
              </w:rPr>
            </w:pPr>
            <w:r w:rsidRPr="001C1CCB">
              <w:rPr>
                <w:rFonts w:ascii="Times New Roman" w:hAnsi="Times New Roman"/>
                <w:sz w:val="20"/>
                <w:szCs w:val="20"/>
              </w:rPr>
              <w:t>$</w:t>
            </w:r>
            <w:r w:rsidRPr="001C1CCB" w:rsidR="00CC5D9A">
              <w:rPr>
                <w:rFonts w:ascii="Times New Roman" w:hAnsi="Times New Roman"/>
                <w:sz w:val="20"/>
                <w:szCs w:val="20"/>
              </w:rPr>
              <w:t>76.15</w:t>
            </w:r>
          </w:p>
          <w:p w:rsidR="00CC5D9A" w:rsidRPr="001C1CCB" w:rsidP="00892D24" w14:paraId="526CA00E" w14:textId="573ED351">
            <w:pPr>
              <w:ind w:firstLine="0"/>
              <w:jc w:val="center"/>
              <w:rPr>
                <w:rFonts w:ascii="Times New Roman" w:hAnsi="Times New Roman"/>
                <w:b/>
                <w:b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2C4515B3" w14:textId="6EA03F7F">
            <w:pPr>
              <w:ind w:firstLine="0"/>
              <w:jc w:val="center"/>
              <w:rPr>
                <w:rFonts w:ascii="Times New Roman" w:hAnsi="Times New Roman"/>
                <w:b/>
                <w:bCs/>
                <w:sz w:val="20"/>
                <w:szCs w:val="20"/>
              </w:rPr>
            </w:pPr>
            <w:r w:rsidRPr="001C1CCB">
              <w:rPr>
                <w:rFonts w:ascii="Times New Roman" w:hAnsi="Times New Roman"/>
                <w:sz w:val="20"/>
                <w:szCs w:val="20"/>
              </w:rPr>
              <w:t>$</w:t>
            </w:r>
            <w:r w:rsidRPr="001C1CCB" w:rsidR="009705F2">
              <w:rPr>
                <w:rFonts w:ascii="Times New Roman" w:hAnsi="Times New Roman"/>
                <w:sz w:val="20"/>
                <w:szCs w:val="20"/>
              </w:rPr>
              <w:t>84,276</w:t>
            </w:r>
          </w:p>
        </w:tc>
      </w:tr>
      <w:tr w14:paraId="456B6507"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6A02C089" w14:textId="7B397E36">
            <w:pPr>
              <w:ind w:firstLine="0"/>
              <w:jc w:val="center"/>
              <w:rPr>
                <w:rFonts w:ascii="Times New Roman" w:hAnsi="Times New Roman"/>
                <w:b/>
                <w:bCs/>
                <w:sz w:val="20"/>
                <w:szCs w:val="20"/>
              </w:rPr>
            </w:pPr>
            <w:r w:rsidRPr="001C1CCB">
              <w:rPr>
                <w:rFonts w:ascii="Times New Roman" w:hAnsi="Times New Roman"/>
                <w:sz w:val="20"/>
                <w:szCs w:val="20"/>
              </w:rPr>
              <w:t>Appraisal-Refinance/Purchase</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06A13ADD" w14:textId="2453E9EB">
            <w:pPr>
              <w:ind w:firstLine="0"/>
              <w:jc w:val="center"/>
              <w:rPr>
                <w:rFonts w:ascii="Times New Roman" w:hAnsi="Times New Roman"/>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725BE3C2" w14:textId="768703B5">
            <w:pPr>
              <w:ind w:firstLine="0"/>
              <w:jc w:val="center"/>
              <w:rPr>
                <w:rFonts w:ascii="Times New Roman" w:hAnsi="Times New Roman"/>
                <w:sz w:val="20"/>
                <w:szCs w:val="20"/>
              </w:rPr>
            </w:pPr>
            <w:r w:rsidRPr="001C1CCB">
              <w:rPr>
                <w:rFonts w:ascii="Times New Roman" w:hAnsi="Times New Roman"/>
                <w:sz w:val="20"/>
                <w:szCs w:val="20"/>
              </w:rPr>
              <w:t>80%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A3D8183" w14:textId="4FA00F97">
            <w:pPr>
              <w:ind w:firstLine="0"/>
              <w:jc w:val="center"/>
              <w:rPr>
                <w:rFonts w:ascii="Times New Roman" w:hAnsi="Times New Roman"/>
                <w:sz w:val="20"/>
                <w:szCs w:val="20"/>
              </w:rPr>
            </w:pPr>
            <w:r w:rsidRPr="001C1CCB">
              <w:rPr>
                <w:rFonts w:ascii="Times New Roman" w:hAnsi="Times New Roman"/>
                <w:sz w:val="20"/>
                <w:szCs w:val="20"/>
              </w:rPr>
              <w:t>68.71</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349E5821" w14:textId="60ABDAB7">
            <w:pPr>
              <w:ind w:firstLine="0"/>
              <w:jc w:val="center"/>
              <w:rPr>
                <w:rFonts w:ascii="Times New Roman" w:hAnsi="Times New Roman"/>
                <w:sz w:val="20"/>
                <w:szCs w:val="20"/>
              </w:rPr>
            </w:pPr>
            <w:r w:rsidRPr="001C1CCB">
              <w:rPr>
                <w:rFonts w:ascii="Times New Roman" w:hAnsi="Times New Roman"/>
                <w:sz w:val="20"/>
                <w:szCs w:val="20"/>
              </w:rPr>
              <w:t>96</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39A7C627" w14:textId="088C0AEC">
            <w:pPr>
              <w:ind w:firstLine="0"/>
              <w:jc w:val="center"/>
              <w:rPr>
                <w:rFonts w:ascii="Times New Roman" w:hAnsi="Times New Roman"/>
                <w:sz w:val="20"/>
                <w:szCs w:val="20"/>
              </w:rPr>
            </w:pPr>
            <w:r w:rsidRPr="001C1CCB">
              <w:rPr>
                <w:rFonts w:ascii="Times New Roman" w:hAnsi="Times New Roman"/>
                <w:sz w:val="20"/>
                <w:szCs w:val="20"/>
              </w:rPr>
              <w:t>6,596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746989AD" w14:textId="332F6EC9">
            <w:pPr>
              <w:ind w:firstLine="0"/>
              <w:jc w:val="center"/>
              <w:rPr>
                <w:rFonts w:ascii="Times New Roman" w:hAnsi="Times New Roman"/>
                <w:sz w:val="20"/>
                <w:szCs w:val="20"/>
              </w:rPr>
            </w:pPr>
            <w:r w:rsidRPr="001C1CCB">
              <w:rPr>
                <w:rFonts w:ascii="Times New Roman" w:hAnsi="Times New Roman"/>
                <w:sz w:val="20"/>
                <w:szCs w:val="20"/>
              </w:rPr>
              <w:t>$56.80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118F98F" w14:textId="77777777">
            <w:pPr>
              <w:ind w:firstLine="0"/>
              <w:jc w:val="center"/>
              <w:rPr>
                <w:rFonts w:ascii="Times New Roman" w:hAnsi="Times New Roman"/>
                <w:sz w:val="20"/>
                <w:szCs w:val="20"/>
              </w:rPr>
            </w:pPr>
            <w:r w:rsidRPr="001C1CCB">
              <w:rPr>
                <w:rFonts w:ascii="Times New Roman" w:hAnsi="Times New Roman"/>
                <w:sz w:val="20"/>
                <w:szCs w:val="20"/>
              </w:rPr>
              <w:t>$374</w:t>
            </w:r>
            <w:r w:rsidRPr="001C1CCB" w:rsidR="00A869DD">
              <w:rPr>
                <w:rFonts w:ascii="Times New Roman" w:hAnsi="Times New Roman"/>
                <w:sz w:val="20"/>
                <w:szCs w:val="20"/>
              </w:rPr>
              <w:t>,616</w:t>
            </w:r>
          </w:p>
          <w:p w:rsidR="00A869DD" w:rsidRPr="001C1CCB" w:rsidP="00892D24" w14:paraId="0FD3A4F1" w14:textId="6C98E869">
            <w:pPr>
              <w:ind w:firstLine="0"/>
              <w:jc w:val="center"/>
              <w:rPr>
                <w:rFonts w:ascii="Times New Roman" w:hAnsi="Times New Roman"/>
                <w:sz w:val="20"/>
                <w:szCs w:val="20"/>
              </w:rPr>
            </w:pPr>
          </w:p>
        </w:tc>
      </w:tr>
      <w:tr w14:paraId="6931B1F3"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34DB585C" w14:textId="67ABDBF2">
            <w:pPr>
              <w:ind w:firstLine="0"/>
              <w:jc w:val="center"/>
              <w:rPr>
                <w:rFonts w:ascii="Times New Roman" w:hAnsi="Times New Roman"/>
                <w:b/>
                <w:bCs/>
                <w:sz w:val="20"/>
                <w:szCs w:val="20"/>
              </w:rPr>
            </w:pPr>
            <w:r w:rsidRPr="001C1CCB">
              <w:rPr>
                <w:rFonts w:ascii="Times New Roman" w:hAnsi="Times New Roman"/>
                <w:sz w:val="20"/>
                <w:szCs w:val="20"/>
              </w:rPr>
              <w:t>Third-Party Certifications</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5DD97E56" w14:textId="4721B658">
            <w:pPr>
              <w:ind w:firstLine="0"/>
              <w:jc w:val="center"/>
              <w:rPr>
                <w:rFonts w:ascii="Times New Roman" w:hAnsi="Times New Roman"/>
                <w:b/>
                <w:bCs/>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7BD09CEE" w14:textId="7B45F997">
            <w:pPr>
              <w:ind w:firstLine="0"/>
              <w:jc w:val="center"/>
              <w:rPr>
                <w:rFonts w:ascii="Times New Roman" w:hAnsi="Times New Roman"/>
                <w:b/>
                <w:bCs/>
                <w:sz w:val="20"/>
                <w:szCs w:val="20"/>
              </w:rPr>
            </w:pPr>
            <w:r w:rsidRPr="001C1CCB">
              <w:rPr>
                <w:rFonts w:ascii="Times New Roman" w:hAnsi="Times New Roman"/>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0D2141B0" w14:textId="58039F6A">
            <w:pPr>
              <w:ind w:firstLine="0"/>
              <w:jc w:val="center"/>
              <w:rPr>
                <w:rFonts w:ascii="Times New Roman" w:hAnsi="Times New Roman"/>
                <w:b/>
                <w:bCs/>
                <w:sz w:val="20"/>
                <w:szCs w:val="20"/>
              </w:rPr>
            </w:pPr>
            <w:r w:rsidRPr="001C1CCB">
              <w:rPr>
                <w:rFonts w:ascii="Times New Roman" w:hAnsi="Times New Roman"/>
                <w:sz w:val="20"/>
                <w:szCs w:val="20"/>
              </w:rPr>
              <w:t>86</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FE1ADB7" w14:textId="1E077D67">
            <w:pPr>
              <w:ind w:firstLine="0"/>
              <w:jc w:val="center"/>
              <w:rPr>
                <w:rFonts w:ascii="Times New Roman" w:hAnsi="Times New Roman"/>
                <w:b/>
                <w:bCs/>
                <w:sz w:val="20"/>
                <w:szCs w:val="20"/>
              </w:rPr>
            </w:pPr>
            <w:r w:rsidRPr="001C1CCB">
              <w:rPr>
                <w:rFonts w:ascii="Times New Roman" w:hAnsi="Times New Roman"/>
                <w:sz w:val="20"/>
                <w:szCs w:val="20"/>
              </w:rPr>
              <w:t>0.50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1FD228D6" w14:textId="20628E5E">
            <w:pPr>
              <w:ind w:firstLine="0"/>
              <w:jc w:val="center"/>
              <w:rPr>
                <w:rFonts w:ascii="Times New Roman" w:hAnsi="Times New Roman"/>
                <w:b/>
                <w:bCs/>
                <w:sz w:val="20"/>
                <w:szCs w:val="20"/>
              </w:rPr>
            </w:pPr>
            <w:r w:rsidRPr="001C1CCB">
              <w:rPr>
                <w:rFonts w:ascii="Times New Roman" w:hAnsi="Times New Roman"/>
                <w:sz w:val="20"/>
                <w:szCs w:val="20"/>
              </w:rPr>
              <w:t>43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200A0100" w14:textId="77777777">
            <w:pPr>
              <w:ind w:firstLine="0"/>
              <w:jc w:val="center"/>
              <w:rPr>
                <w:rFonts w:ascii="Times New Roman" w:hAnsi="Times New Roman"/>
                <w:sz w:val="20"/>
                <w:szCs w:val="20"/>
              </w:rPr>
            </w:pPr>
            <w:r w:rsidRPr="001C1CCB">
              <w:rPr>
                <w:rFonts w:ascii="Times New Roman" w:hAnsi="Times New Roman"/>
                <w:sz w:val="20"/>
                <w:szCs w:val="20"/>
              </w:rPr>
              <w:t>$</w:t>
            </w:r>
            <w:r w:rsidRPr="001C1CCB" w:rsidR="00951C6E">
              <w:rPr>
                <w:rFonts w:ascii="Times New Roman" w:hAnsi="Times New Roman"/>
                <w:sz w:val="20"/>
                <w:szCs w:val="20"/>
              </w:rPr>
              <w:t>39.27</w:t>
            </w:r>
          </w:p>
          <w:p w:rsidR="00951C6E" w:rsidRPr="001C1CCB" w:rsidP="00892D24" w14:paraId="5C756E09" w14:textId="4C16C17F">
            <w:pPr>
              <w:ind w:firstLine="0"/>
              <w:jc w:val="center"/>
              <w:rPr>
                <w:rFonts w:ascii="Times New Roman" w:hAnsi="Times New Roman"/>
                <w:b/>
                <w:b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200B3660" w14:textId="33268FAC">
            <w:pPr>
              <w:ind w:firstLine="0"/>
              <w:jc w:val="center"/>
              <w:rPr>
                <w:rFonts w:ascii="Times New Roman" w:hAnsi="Times New Roman"/>
                <w:b/>
                <w:bCs/>
                <w:sz w:val="20"/>
                <w:szCs w:val="20"/>
              </w:rPr>
            </w:pPr>
            <w:r w:rsidRPr="001C1CCB">
              <w:rPr>
                <w:rFonts w:ascii="Times New Roman" w:hAnsi="Times New Roman"/>
                <w:sz w:val="20"/>
                <w:szCs w:val="20"/>
              </w:rPr>
              <w:t>$1,</w:t>
            </w:r>
            <w:r w:rsidRPr="001C1CCB" w:rsidR="00951C6E">
              <w:rPr>
                <w:rFonts w:ascii="Times New Roman" w:hAnsi="Times New Roman"/>
                <w:sz w:val="20"/>
                <w:szCs w:val="20"/>
              </w:rPr>
              <w:t>688</w:t>
            </w:r>
          </w:p>
        </w:tc>
      </w:tr>
      <w:tr w14:paraId="205D4569"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3284B682" w14:textId="6BFA35E9">
            <w:pPr>
              <w:ind w:firstLine="0"/>
              <w:jc w:val="center"/>
              <w:rPr>
                <w:rFonts w:ascii="Times New Roman" w:hAnsi="Times New Roman"/>
                <w:b/>
                <w:bCs/>
                <w:sz w:val="20"/>
                <w:szCs w:val="20"/>
              </w:rPr>
            </w:pPr>
            <w:r w:rsidRPr="001C1CCB">
              <w:rPr>
                <w:rFonts w:ascii="Times New Roman" w:hAnsi="Times New Roman"/>
                <w:sz w:val="20"/>
                <w:szCs w:val="20"/>
              </w:rPr>
              <w:t>Green Building Certifications</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285A5D0A" w14:textId="0075F06F">
            <w:pPr>
              <w:ind w:firstLine="0"/>
              <w:jc w:val="center"/>
              <w:rPr>
                <w:rFonts w:ascii="Times New Roman" w:hAnsi="Times New Roman"/>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2DB00ADF" w14:textId="23868C63">
            <w:pPr>
              <w:ind w:firstLine="0"/>
              <w:jc w:val="center"/>
              <w:rPr>
                <w:rFonts w:ascii="Times New Roman" w:hAnsi="Times New Roman"/>
                <w:sz w:val="20"/>
                <w:szCs w:val="20"/>
              </w:rPr>
            </w:pPr>
            <w:r w:rsidRPr="001C1CCB">
              <w:rPr>
                <w:rFonts w:ascii="Times New Roman" w:hAnsi="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559DD65E" w14:textId="25A3E5AB">
            <w:pPr>
              <w:ind w:firstLine="0"/>
              <w:jc w:val="center"/>
              <w:rPr>
                <w:rFonts w:ascii="Times New Roman" w:hAnsi="Times New Roman"/>
                <w:sz w:val="20"/>
                <w:szCs w:val="20"/>
              </w:rPr>
            </w:pPr>
            <w:r w:rsidRPr="001C1CCB">
              <w:rPr>
                <w:rFonts w:ascii="Times New Roman" w:hAnsi="Times New Roman"/>
                <w:sz w:val="20"/>
                <w:szCs w:val="20"/>
              </w:rPr>
              <w:t>43</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2335A752" w14:textId="7791B29D">
            <w:pPr>
              <w:ind w:firstLine="0"/>
              <w:jc w:val="center"/>
              <w:rPr>
                <w:rFonts w:ascii="Times New Roman" w:hAnsi="Times New Roman"/>
                <w:sz w:val="20"/>
                <w:szCs w:val="20"/>
              </w:rPr>
            </w:pPr>
            <w:r w:rsidRPr="001C1CCB">
              <w:rPr>
                <w:rFonts w:ascii="Times New Roman" w:hAnsi="Times New Roman"/>
                <w:sz w:val="20"/>
                <w:szCs w:val="20"/>
              </w:rPr>
              <w:t>240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5C60C017" w14:textId="0D5C5EA8">
            <w:pPr>
              <w:ind w:firstLine="0"/>
              <w:jc w:val="center"/>
              <w:rPr>
                <w:rFonts w:ascii="Times New Roman" w:hAnsi="Times New Roman"/>
                <w:sz w:val="20"/>
                <w:szCs w:val="20"/>
              </w:rPr>
            </w:pPr>
            <w:r w:rsidRPr="001C1CCB">
              <w:rPr>
                <w:rFonts w:ascii="Times New Roman" w:hAnsi="Times New Roman"/>
                <w:sz w:val="20"/>
                <w:szCs w:val="20"/>
              </w:rPr>
              <w:t>10,320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06B62141" w14:textId="4FEA6281">
            <w:pPr>
              <w:ind w:firstLine="0"/>
              <w:jc w:val="center"/>
              <w:rPr>
                <w:rFonts w:ascii="Times New Roman" w:hAnsi="Times New Roman"/>
                <w:sz w:val="20"/>
                <w:szCs w:val="20"/>
              </w:rPr>
            </w:pPr>
            <w:r w:rsidRPr="001C1CCB">
              <w:rPr>
                <w:rFonts w:ascii="Times New Roman" w:hAnsi="Times New Roman"/>
                <w:sz w:val="20"/>
                <w:szCs w:val="20"/>
              </w:rPr>
              <w:t>$217.41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14266780" w14:textId="6A98321B">
            <w:pPr>
              <w:ind w:firstLine="0"/>
              <w:jc w:val="center"/>
              <w:rPr>
                <w:rFonts w:ascii="Times New Roman" w:hAnsi="Times New Roman"/>
                <w:sz w:val="20"/>
                <w:szCs w:val="20"/>
              </w:rPr>
            </w:pPr>
            <w:r w:rsidRPr="001C1CCB">
              <w:rPr>
                <w:rFonts w:ascii="Times New Roman" w:hAnsi="Times New Roman"/>
                <w:sz w:val="20"/>
                <w:szCs w:val="20"/>
              </w:rPr>
              <w:t>$2,243,633</w:t>
            </w:r>
          </w:p>
        </w:tc>
      </w:tr>
      <w:tr w14:paraId="384DF1A3"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353C918E" w14:textId="78F32A92">
            <w:pPr>
              <w:ind w:firstLine="0"/>
              <w:jc w:val="center"/>
              <w:rPr>
                <w:rFonts w:ascii="Times New Roman" w:hAnsi="Times New Roman"/>
                <w:b/>
                <w:bCs/>
                <w:sz w:val="20"/>
                <w:szCs w:val="20"/>
              </w:rPr>
            </w:pPr>
            <w:r w:rsidRPr="001C1CCB">
              <w:rPr>
                <w:rFonts w:ascii="Times New Roman" w:hAnsi="Times New Roman"/>
                <w:sz w:val="20"/>
                <w:szCs w:val="20"/>
              </w:rPr>
              <w:t>ASHRAE Energy Audits- Refi/Purchase</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6FA8C834" w14:textId="71A7A530">
            <w:pPr>
              <w:ind w:firstLine="0"/>
              <w:jc w:val="center"/>
              <w:rPr>
                <w:rFonts w:ascii="Times New Roman" w:hAnsi="Times New Roman"/>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39156801" w14:textId="22B70C90">
            <w:pPr>
              <w:ind w:firstLine="0"/>
              <w:jc w:val="center"/>
              <w:rPr>
                <w:rFonts w:ascii="Times New Roman" w:hAnsi="Times New Roman"/>
                <w:sz w:val="20"/>
                <w:szCs w:val="20"/>
              </w:rPr>
            </w:pPr>
            <w:r w:rsidRPr="001C1CCB">
              <w:rPr>
                <w:rFonts w:ascii="Times New Roman" w:hAnsi="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0543C49C" w14:textId="1F5305C6">
            <w:pPr>
              <w:ind w:firstLine="0"/>
              <w:jc w:val="center"/>
              <w:rPr>
                <w:rFonts w:ascii="Times New Roman" w:hAnsi="Times New Roman"/>
                <w:sz w:val="20"/>
                <w:szCs w:val="20"/>
              </w:rPr>
            </w:pPr>
            <w:r w:rsidRPr="001C1CCB">
              <w:rPr>
                <w:rFonts w:ascii="Times New Roman" w:hAnsi="Times New Roman"/>
                <w:sz w:val="20"/>
                <w:szCs w:val="20"/>
              </w:rPr>
              <w:t>25.8</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13DA4AC6" w14:textId="53626ED3">
            <w:pPr>
              <w:ind w:firstLine="0"/>
              <w:jc w:val="center"/>
              <w:rPr>
                <w:rFonts w:ascii="Times New Roman" w:hAnsi="Times New Roman"/>
                <w:sz w:val="20"/>
                <w:szCs w:val="20"/>
              </w:rPr>
            </w:pPr>
            <w:r w:rsidRPr="001C1CCB">
              <w:rPr>
                <w:rFonts w:ascii="Times New Roman" w:hAnsi="Times New Roman"/>
                <w:sz w:val="20"/>
                <w:szCs w:val="20"/>
              </w:rPr>
              <w:t>50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387346F3" w14:textId="42211FFE">
            <w:pPr>
              <w:ind w:firstLine="0"/>
              <w:jc w:val="center"/>
              <w:rPr>
                <w:rFonts w:ascii="Times New Roman" w:hAnsi="Times New Roman"/>
                <w:sz w:val="20"/>
                <w:szCs w:val="20"/>
              </w:rPr>
            </w:pPr>
            <w:r w:rsidRPr="001C1CCB">
              <w:rPr>
                <w:rFonts w:ascii="Times New Roman" w:hAnsi="Times New Roman"/>
                <w:sz w:val="20"/>
                <w:szCs w:val="20"/>
              </w:rPr>
              <w:t>1,290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3975BAE2" w14:textId="461CE8CF">
            <w:pPr>
              <w:ind w:firstLine="0"/>
              <w:jc w:val="center"/>
              <w:rPr>
                <w:rFonts w:ascii="Times New Roman" w:hAnsi="Times New Roman"/>
                <w:sz w:val="20"/>
                <w:szCs w:val="20"/>
              </w:rPr>
            </w:pPr>
            <w:r w:rsidRPr="001C1CCB">
              <w:rPr>
                <w:rFonts w:ascii="Times New Roman" w:hAnsi="Times New Roman"/>
                <w:sz w:val="20"/>
                <w:szCs w:val="20"/>
              </w:rPr>
              <w:t>$140.04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748F4B70" w14:textId="66669E9C">
            <w:pPr>
              <w:ind w:firstLine="0"/>
              <w:jc w:val="center"/>
              <w:rPr>
                <w:rFonts w:ascii="Times New Roman" w:hAnsi="Times New Roman"/>
                <w:sz w:val="20"/>
                <w:szCs w:val="20"/>
              </w:rPr>
            </w:pPr>
            <w:r w:rsidRPr="001C1CCB">
              <w:rPr>
                <w:rFonts w:ascii="Times New Roman" w:hAnsi="Times New Roman"/>
                <w:sz w:val="20"/>
                <w:szCs w:val="20"/>
              </w:rPr>
              <w:t>$180,650</w:t>
            </w:r>
          </w:p>
        </w:tc>
      </w:tr>
      <w:tr w14:paraId="3B5B33B4"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7E323C30" w14:textId="23B517DB">
            <w:pPr>
              <w:ind w:firstLine="0"/>
              <w:jc w:val="center"/>
              <w:rPr>
                <w:rFonts w:ascii="Times New Roman" w:hAnsi="Times New Roman"/>
                <w:b/>
                <w:bCs/>
                <w:sz w:val="20"/>
                <w:szCs w:val="20"/>
              </w:rPr>
            </w:pPr>
            <w:r w:rsidRPr="001C1CCB">
              <w:rPr>
                <w:rFonts w:ascii="Times New Roman" w:hAnsi="Times New Roman"/>
                <w:sz w:val="20"/>
                <w:szCs w:val="20"/>
              </w:rPr>
              <w:t>Refi/Purchase Drawings &amp; Specs,  A104, B 104, A201</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683C02CF" w14:textId="7560E6ED">
            <w:pPr>
              <w:ind w:firstLine="0"/>
              <w:jc w:val="center"/>
              <w:rPr>
                <w:rFonts w:ascii="Times New Roman" w:hAnsi="Times New Roman"/>
                <w:b/>
                <w:bCs/>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6144A553" w14:textId="6C7BB48C">
            <w:pPr>
              <w:ind w:firstLine="0"/>
              <w:jc w:val="center"/>
              <w:rPr>
                <w:rFonts w:ascii="Times New Roman" w:hAnsi="Times New Roman"/>
                <w:b/>
                <w:bCs/>
                <w:sz w:val="20"/>
                <w:szCs w:val="20"/>
              </w:rPr>
            </w:pPr>
            <w:r w:rsidRPr="001C1CCB">
              <w:rPr>
                <w:rFonts w:ascii="Times New Roman" w:hAnsi="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21875119" w14:textId="21316F44">
            <w:pPr>
              <w:ind w:firstLine="0"/>
              <w:jc w:val="center"/>
              <w:rPr>
                <w:rFonts w:ascii="Times New Roman" w:hAnsi="Times New Roman"/>
                <w:sz w:val="20"/>
                <w:szCs w:val="20"/>
              </w:rPr>
            </w:pPr>
            <w:r w:rsidRPr="001C1CCB">
              <w:rPr>
                <w:rFonts w:ascii="Times New Roman" w:hAnsi="Times New Roman"/>
                <w:sz w:val="20"/>
                <w:szCs w:val="20"/>
              </w:rPr>
              <w:t>17.20</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5F3EEDCB" w14:textId="0F3B7D34">
            <w:pPr>
              <w:ind w:firstLine="0"/>
              <w:jc w:val="center"/>
              <w:rPr>
                <w:rFonts w:ascii="Times New Roman" w:hAnsi="Times New Roman"/>
                <w:b/>
                <w:bCs/>
                <w:sz w:val="20"/>
                <w:szCs w:val="20"/>
              </w:rPr>
            </w:pPr>
            <w:r w:rsidRPr="001C1CCB">
              <w:rPr>
                <w:rFonts w:ascii="Times New Roman" w:hAnsi="Times New Roman"/>
                <w:sz w:val="20"/>
                <w:szCs w:val="20"/>
              </w:rPr>
              <w:t>64</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0C356A0D" w14:textId="6E4CA0F7">
            <w:pPr>
              <w:ind w:firstLine="0"/>
              <w:jc w:val="center"/>
              <w:rPr>
                <w:rFonts w:ascii="Times New Roman" w:hAnsi="Times New Roman"/>
                <w:b/>
                <w:bCs/>
                <w:sz w:val="20"/>
                <w:szCs w:val="20"/>
              </w:rPr>
            </w:pPr>
            <w:r w:rsidRPr="001C1CCB">
              <w:rPr>
                <w:rFonts w:ascii="Times New Roman" w:hAnsi="Times New Roman"/>
                <w:sz w:val="20"/>
                <w:szCs w:val="20"/>
              </w:rPr>
              <w:t>1</w:t>
            </w:r>
            <w:r w:rsidRPr="001C1CCB" w:rsidR="006D0B9D">
              <w:rPr>
                <w:rFonts w:ascii="Times New Roman" w:hAnsi="Times New Roman"/>
                <w:sz w:val="20"/>
                <w:szCs w:val="20"/>
              </w:rPr>
              <w:t>,101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78323E60" w14:textId="64E14A5A">
            <w:pPr>
              <w:ind w:firstLine="0"/>
              <w:jc w:val="center"/>
              <w:rPr>
                <w:rFonts w:ascii="Times New Roman" w:hAnsi="Times New Roman"/>
                <w:b/>
                <w:bCs/>
                <w:sz w:val="20"/>
                <w:szCs w:val="20"/>
              </w:rPr>
            </w:pPr>
            <w:r w:rsidRPr="001C1CCB">
              <w:rPr>
                <w:rFonts w:ascii="Times New Roman" w:hAnsi="Times New Roman"/>
                <w:sz w:val="20"/>
                <w:szCs w:val="20"/>
              </w:rPr>
              <w:t>$134.40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3A8FD7EB" w14:textId="64E532E0">
            <w:pPr>
              <w:ind w:firstLine="0"/>
              <w:jc w:val="center"/>
              <w:rPr>
                <w:rFonts w:ascii="Times New Roman" w:hAnsi="Times New Roman"/>
                <w:b/>
                <w:bCs/>
                <w:sz w:val="20"/>
                <w:szCs w:val="20"/>
              </w:rPr>
            </w:pPr>
            <w:r w:rsidRPr="001C1CCB">
              <w:rPr>
                <w:rFonts w:ascii="Times New Roman" w:hAnsi="Times New Roman"/>
                <w:sz w:val="20"/>
                <w:szCs w:val="20"/>
              </w:rPr>
              <w:t>$</w:t>
            </w:r>
            <w:r w:rsidRPr="001C1CCB" w:rsidR="00057546">
              <w:rPr>
                <w:rFonts w:ascii="Times New Roman" w:hAnsi="Times New Roman"/>
                <w:sz w:val="20"/>
                <w:szCs w:val="20"/>
              </w:rPr>
              <w:t>147,948</w:t>
            </w:r>
          </w:p>
        </w:tc>
      </w:tr>
      <w:tr w14:paraId="72381911"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F5224D" w:rsidRPr="001C1CCB" w:rsidP="00F5224D" w14:paraId="5E38F642" w14:textId="180D653A">
            <w:pPr>
              <w:ind w:firstLine="0"/>
              <w:jc w:val="center"/>
              <w:rPr>
                <w:rFonts w:ascii="Times New Roman" w:hAnsi="Times New Roman"/>
                <w:sz w:val="20"/>
                <w:szCs w:val="20"/>
              </w:rPr>
            </w:pPr>
            <w:r w:rsidRPr="001C1CCB">
              <w:rPr>
                <w:rFonts w:ascii="Times New Roman" w:hAnsi="Times New Roman"/>
                <w:sz w:val="20"/>
                <w:szCs w:val="20"/>
              </w:rPr>
              <w:t>NC/SR Plans, Specs., &amp; Amendment AIA-B108</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A4C33DE" w14:textId="3BEE0688">
            <w:pPr>
              <w:ind w:firstLine="0"/>
              <w:jc w:val="center"/>
              <w:rPr>
                <w:rFonts w:ascii="Times New Roman" w:hAnsi="Times New Roman"/>
                <w:b/>
                <w:bCs/>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686EA915" w14:textId="7850492F">
            <w:pPr>
              <w:ind w:firstLine="0"/>
              <w:jc w:val="center"/>
              <w:rPr>
                <w:rFonts w:ascii="Times New Roman" w:hAnsi="Times New Roman"/>
                <w:b/>
                <w:bCs/>
                <w:sz w:val="20"/>
                <w:szCs w:val="20"/>
              </w:rPr>
            </w:pPr>
            <w:r w:rsidRPr="001C1CCB">
              <w:rPr>
                <w:rFonts w:ascii="Times New Roman" w:hAnsi="Times New Roman"/>
                <w:sz w:val="20"/>
                <w:szCs w:val="20"/>
              </w:rPr>
              <w:t>20</w:t>
            </w:r>
            <w:r w:rsidRPr="001C1CCB" w:rsidR="007D0C48">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785977DF" w14:textId="4DCBF492">
            <w:pPr>
              <w:ind w:firstLine="0"/>
              <w:jc w:val="center"/>
              <w:rPr>
                <w:rFonts w:ascii="Times New Roman" w:hAnsi="Times New Roman"/>
                <w:b/>
                <w:bCs/>
                <w:sz w:val="20"/>
                <w:szCs w:val="20"/>
              </w:rPr>
            </w:pPr>
            <w:r w:rsidRPr="001C1CCB">
              <w:rPr>
                <w:rFonts w:ascii="Times New Roman" w:hAnsi="Times New Roman"/>
                <w:sz w:val="20"/>
                <w:szCs w:val="20"/>
              </w:rPr>
              <w:t>17.29</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1B589FC6" w14:textId="29E4F4C7">
            <w:pPr>
              <w:ind w:firstLine="0"/>
              <w:jc w:val="center"/>
              <w:rPr>
                <w:rFonts w:ascii="Times New Roman" w:hAnsi="Times New Roman"/>
                <w:b/>
                <w:bCs/>
                <w:sz w:val="20"/>
                <w:szCs w:val="20"/>
              </w:rPr>
            </w:pPr>
            <w:r w:rsidRPr="001C1CCB">
              <w:rPr>
                <w:rFonts w:ascii="Times New Roman" w:hAnsi="Times New Roman"/>
                <w:sz w:val="20"/>
                <w:szCs w:val="20"/>
              </w:rPr>
              <w:t>240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31F628DA" w14:textId="0F7789B6">
            <w:pPr>
              <w:ind w:firstLine="0"/>
              <w:jc w:val="center"/>
              <w:rPr>
                <w:rFonts w:ascii="Times New Roman" w:hAnsi="Times New Roman"/>
                <w:b/>
                <w:bCs/>
                <w:sz w:val="20"/>
                <w:szCs w:val="20"/>
              </w:rPr>
            </w:pPr>
            <w:r w:rsidRPr="001C1CCB">
              <w:rPr>
                <w:rFonts w:ascii="Times New Roman" w:hAnsi="Times New Roman"/>
                <w:sz w:val="20"/>
                <w:szCs w:val="20"/>
              </w:rPr>
              <w:t>4,150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B89F655" w14:textId="37CCA285">
            <w:pPr>
              <w:ind w:firstLine="0"/>
              <w:jc w:val="center"/>
              <w:rPr>
                <w:rFonts w:ascii="Times New Roman" w:hAnsi="Times New Roman"/>
                <w:b/>
                <w:bCs/>
                <w:sz w:val="20"/>
                <w:szCs w:val="20"/>
              </w:rPr>
            </w:pPr>
            <w:r w:rsidRPr="001C1CCB">
              <w:rPr>
                <w:rFonts w:ascii="Times New Roman" w:hAnsi="Times New Roman"/>
                <w:sz w:val="20"/>
                <w:szCs w:val="20"/>
              </w:rPr>
              <w:t>$134.40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06BBEB22" w14:textId="5ED9C597">
            <w:pPr>
              <w:ind w:firstLine="0"/>
              <w:jc w:val="center"/>
              <w:rPr>
                <w:rFonts w:ascii="Times New Roman" w:hAnsi="Times New Roman"/>
                <w:b/>
                <w:bCs/>
                <w:sz w:val="20"/>
                <w:szCs w:val="20"/>
              </w:rPr>
            </w:pPr>
            <w:r w:rsidRPr="001C1CCB">
              <w:rPr>
                <w:rFonts w:ascii="Times New Roman" w:hAnsi="Times New Roman"/>
                <w:sz w:val="20"/>
                <w:szCs w:val="20"/>
              </w:rPr>
              <w:t>$</w:t>
            </w:r>
            <w:r w:rsidRPr="001C1CCB" w:rsidR="00EA7D55">
              <w:rPr>
                <w:rFonts w:ascii="Times New Roman" w:hAnsi="Times New Roman"/>
                <w:sz w:val="20"/>
                <w:szCs w:val="20"/>
              </w:rPr>
              <w:t>557,791</w:t>
            </w:r>
          </w:p>
        </w:tc>
      </w:tr>
      <w:tr w14:paraId="00400CD3"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119F595C" w14:textId="4DDFC702">
            <w:pPr>
              <w:ind w:firstLine="0"/>
              <w:jc w:val="center"/>
              <w:rPr>
                <w:rFonts w:ascii="Times New Roman" w:hAnsi="Times New Roman"/>
                <w:sz w:val="20"/>
                <w:szCs w:val="20"/>
              </w:rPr>
            </w:pPr>
            <w:r w:rsidRPr="001C1CCB">
              <w:rPr>
                <w:rFonts w:ascii="Times New Roman" w:hAnsi="Times New Roman"/>
                <w:sz w:val="20"/>
                <w:szCs w:val="20"/>
              </w:rPr>
              <w:t>Lender’s Third Party Construction Analyst</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2933E5D5" w14:textId="657CE14C">
            <w:pPr>
              <w:ind w:firstLine="0"/>
              <w:jc w:val="center"/>
              <w:rPr>
                <w:rFonts w:ascii="Times New Roman" w:hAnsi="Times New Roman"/>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4704D3D3" w14:textId="3F27AB83">
            <w:pPr>
              <w:ind w:firstLine="0"/>
              <w:jc w:val="center"/>
              <w:rPr>
                <w:rFonts w:ascii="Times New Roman" w:hAnsi="Times New Roman"/>
                <w:sz w:val="20"/>
                <w:szCs w:val="20"/>
              </w:rPr>
            </w:pPr>
            <w:r w:rsidRPr="001C1CCB">
              <w:rPr>
                <w:rFonts w:ascii="Times New Roman" w:hAnsi="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1F3F2F61" w14:textId="78E49C0B">
            <w:pPr>
              <w:ind w:firstLine="0"/>
              <w:jc w:val="center"/>
              <w:rPr>
                <w:rFonts w:ascii="Times New Roman" w:hAnsi="Times New Roman"/>
                <w:sz w:val="20"/>
                <w:szCs w:val="20"/>
              </w:rPr>
            </w:pPr>
            <w:r w:rsidRPr="001C1CCB">
              <w:rPr>
                <w:rFonts w:ascii="Times New Roman" w:hAnsi="Times New Roman"/>
                <w:sz w:val="20"/>
                <w:szCs w:val="20"/>
              </w:rPr>
              <w:t>43</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56095B07" w14:textId="07CFBCA4">
            <w:pPr>
              <w:ind w:firstLine="0"/>
              <w:jc w:val="center"/>
              <w:rPr>
                <w:rFonts w:ascii="Times New Roman" w:hAnsi="Times New Roman"/>
                <w:sz w:val="20"/>
                <w:szCs w:val="20"/>
              </w:rPr>
            </w:pPr>
            <w:r w:rsidRPr="001C1CCB">
              <w:rPr>
                <w:rFonts w:ascii="Times New Roman" w:hAnsi="Times New Roman"/>
                <w:sz w:val="20"/>
                <w:szCs w:val="20"/>
              </w:rPr>
              <w:t>32</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3FF5FDA0" w14:textId="4BCAC7A7">
            <w:pPr>
              <w:ind w:firstLine="0"/>
              <w:jc w:val="center"/>
              <w:rPr>
                <w:rFonts w:ascii="Times New Roman" w:hAnsi="Times New Roman"/>
                <w:sz w:val="20"/>
                <w:szCs w:val="20"/>
              </w:rPr>
            </w:pPr>
            <w:r w:rsidRPr="001C1CCB">
              <w:rPr>
                <w:rFonts w:ascii="Times New Roman" w:hAnsi="Times New Roman"/>
                <w:sz w:val="20"/>
                <w:szCs w:val="20"/>
              </w:rPr>
              <w:t>1376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5B0FB40C" w14:textId="5DB46ACA">
            <w:pPr>
              <w:ind w:firstLine="0"/>
              <w:jc w:val="center"/>
              <w:rPr>
                <w:rFonts w:ascii="Times New Roman" w:hAnsi="Times New Roman"/>
                <w:sz w:val="20"/>
                <w:szCs w:val="20"/>
              </w:rPr>
            </w:pPr>
            <w:r w:rsidRPr="001C1CCB">
              <w:rPr>
                <w:rFonts w:ascii="Times New Roman" w:hAnsi="Times New Roman"/>
                <w:sz w:val="20"/>
                <w:szCs w:val="20"/>
              </w:rPr>
              <w:t>$125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047B10CC" w14:textId="5531963B">
            <w:pPr>
              <w:ind w:firstLine="0"/>
              <w:jc w:val="center"/>
              <w:rPr>
                <w:rFonts w:ascii="Times New Roman" w:hAnsi="Times New Roman"/>
                <w:sz w:val="20"/>
                <w:szCs w:val="20"/>
              </w:rPr>
            </w:pPr>
            <w:r w:rsidRPr="001C1CCB">
              <w:rPr>
                <w:rFonts w:ascii="Times New Roman" w:hAnsi="Times New Roman"/>
                <w:sz w:val="20"/>
                <w:szCs w:val="20"/>
              </w:rPr>
              <w:t>$172,000</w:t>
            </w:r>
          </w:p>
        </w:tc>
      </w:tr>
      <w:tr w14:paraId="164DB2C3"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7C2F1223" w14:textId="4BF92A86">
            <w:pPr>
              <w:ind w:firstLine="0"/>
              <w:jc w:val="center"/>
              <w:rPr>
                <w:rFonts w:ascii="Times New Roman" w:hAnsi="Times New Roman"/>
                <w:sz w:val="20"/>
                <w:szCs w:val="20"/>
              </w:rPr>
            </w:pPr>
            <w:r w:rsidRPr="001C1CCB">
              <w:rPr>
                <w:rFonts w:ascii="Times New Roman" w:hAnsi="Times New Roman"/>
                <w:sz w:val="20"/>
                <w:szCs w:val="20"/>
              </w:rPr>
              <w:t xml:space="preserve">Adjustment for </w:t>
            </w:r>
            <w:r w:rsidRPr="001C1CCB" w:rsidR="0032624A">
              <w:rPr>
                <w:rFonts w:ascii="Times New Roman" w:hAnsi="Times New Roman"/>
                <w:sz w:val="20"/>
                <w:szCs w:val="20"/>
              </w:rPr>
              <w:t>Revised Cost Not Attributable Method</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34D7C41F" w14:textId="680B8935">
            <w:pPr>
              <w:ind w:firstLine="0"/>
              <w:jc w:val="center"/>
              <w:rPr>
                <w:rFonts w:ascii="Times New Roman" w:hAnsi="Times New Roman"/>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548BB965" w14:textId="2621836D">
            <w:pPr>
              <w:ind w:firstLine="0"/>
              <w:jc w:val="center"/>
              <w:rPr>
                <w:rFonts w:ascii="Times New Roman" w:hAnsi="Times New Roman"/>
                <w:sz w:val="20"/>
                <w:szCs w:val="20"/>
              </w:rPr>
            </w:pPr>
            <w:r w:rsidRPr="001C1CCB">
              <w:rPr>
                <w:rFonts w:ascii="Times New Roman" w:hAnsi="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0F543342" w14:textId="5D1A01BB">
            <w:pPr>
              <w:ind w:firstLine="0"/>
              <w:jc w:val="center"/>
              <w:rPr>
                <w:rFonts w:ascii="Times New Roman" w:hAnsi="Times New Roman"/>
                <w:sz w:val="20"/>
                <w:szCs w:val="20"/>
              </w:rPr>
            </w:pPr>
            <w:r w:rsidRPr="001C1CCB">
              <w:rPr>
                <w:rFonts w:ascii="Times New Roman" w:hAnsi="Times New Roman"/>
                <w:sz w:val="20"/>
                <w:szCs w:val="20"/>
              </w:rPr>
              <w:t>4.3</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2C3F1D1B" w14:textId="0FE3381B">
            <w:pPr>
              <w:ind w:firstLine="0"/>
              <w:jc w:val="center"/>
              <w:rPr>
                <w:rFonts w:ascii="Times New Roman" w:hAnsi="Times New Roman"/>
                <w:sz w:val="20"/>
                <w:szCs w:val="20"/>
              </w:rPr>
            </w:pPr>
            <w:r w:rsidRPr="001C1CCB">
              <w:rPr>
                <w:rFonts w:ascii="Times New Roman" w:hAnsi="Times New Roman"/>
                <w:sz w:val="20"/>
                <w:szCs w:val="20"/>
              </w:rPr>
              <w:t>-16</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0C4C5C25" w14:textId="44862D53">
            <w:pPr>
              <w:ind w:firstLine="0"/>
              <w:jc w:val="center"/>
              <w:rPr>
                <w:rFonts w:ascii="Times New Roman" w:hAnsi="Times New Roman"/>
                <w:sz w:val="20"/>
                <w:szCs w:val="20"/>
              </w:rPr>
            </w:pPr>
            <w:r w:rsidRPr="001C1CCB">
              <w:rPr>
                <w:rFonts w:ascii="Times New Roman" w:hAnsi="Times New Roman"/>
                <w:sz w:val="20"/>
                <w:szCs w:val="20"/>
              </w:rPr>
              <w:t>-69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6877A7EB" w14:textId="3F98720E">
            <w:pPr>
              <w:ind w:firstLine="0"/>
              <w:jc w:val="center"/>
              <w:rPr>
                <w:rFonts w:ascii="Times New Roman" w:hAnsi="Times New Roman"/>
                <w:sz w:val="20"/>
                <w:szCs w:val="20"/>
              </w:rPr>
            </w:pPr>
            <w:r w:rsidRPr="001C1CCB">
              <w:rPr>
                <w:rFonts w:ascii="Times New Roman" w:hAnsi="Times New Roman"/>
                <w:sz w:val="20"/>
                <w:szCs w:val="20"/>
              </w:rPr>
              <w:t>$125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40BB" w:rsidRPr="001C1CCB" w:rsidP="00892D24" w14:paraId="5171D037" w14:textId="6A1F7452">
            <w:pPr>
              <w:ind w:firstLine="0"/>
              <w:jc w:val="center"/>
              <w:rPr>
                <w:rFonts w:ascii="Times New Roman" w:hAnsi="Times New Roman"/>
                <w:sz w:val="20"/>
                <w:szCs w:val="20"/>
              </w:rPr>
            </w:pPr>
            <w:r w:rsidRPr="001C1CCB">
              <w:rPr>
                <w:rFonts w:ascii="Times New Roman" w:hAnsi="Times New Roman"/>
                <w:sz w:val="20"/>
                <w:szCs w:val="20"/>
              </w:rPr>
              <w:t>(8,600)</w:t>
            </w:r>
          </w:p>
        </w:tc>
      </w:tr>
      <w:tr w14:paraId="53238181"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6D269756" w14:textId="58CCC60A">
            <w:pPr>
              <w:ind w:firstLine="0"/>
              <w:jc w:val="center"/>
              <w:rPr>
                <w:rFonts w:ascii="Times New Roman" w:hAnsi="Times New Roman"/>
                <w:b/>
                <w:bCs/>
                <w:sz w:val="20"/>
                <w:szCs w:val="20"/>
              </w:rPr>
            </w:pPr>
            <w:r w:rsidRPr="001C1CCB">
              <w:rPr>
                <w:rFonts w:ascii="Times New Roman" w:hAnsi="Times New Roman"/>
                <w:sz w:val="20"/>
                <w:szCs w:val="20"/>
              </w:rPr>
              <w:t>Closing Docs [Workout Info, Title Agent Auth, UCC]</w:t>
            </w:r>
            <w:r w:rsidRPr="001C1CCB">
              <w:rPr>
                <w:rFonts w:ascii="Times New Roman" w:hAnsi="Times New Roman"/>
                <w:sz w:val="20"/>
                <w:szCs w:val="20"/>
                <w:vertAlign w:val="superscript"/>
              </w:rPr>
              <w:t>7</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7C88A950" w14:textId="42D64C44">
            <w:pPr>
              <w:ind w:firstLine="0"/>
              <w:jc w:val="center"/>
              <w:rPr>
                <w:rFonts w:ascii="Times New Roman" w:hAnsi="Times New Roman"/>
                <w:b/>
                <w:bCs/>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21D451A2" w14:textId="38C56992">
            <w:pPr>
              <w:ind w:firstLine="0"/>
              <w:jc w:val="center"/>
              <w:rPr>
                <w:rFonts w:ascii="Times New Roman" w:hAnsi="Times New Roman"/>
                <w:b/>
                <w:bCs/>
                <w:sz w:val="20"/>
                <w:szCs w:val="20"/>
              </w:rPr>
            </w:pPr>
            <w:r w:rsidRPr="001C1CCB">
              <w:rPr>
                <w:rFonts w:ascii="Times New Roman" w:hAnsi="Times New Roman"/>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694C7928" w14:textId="44B878E1">
            <w:pPr>
              <w:ind w:firstLine="0"/>
              <w:jc w:val="center"/>
              <w:rPr>
                <w:rFonts w:ascii="Times New Roman" w:hAnsi="Times New Roman"/>
                <w:b/>
                <w:bCs/>
                <w:sz w:val="20"/>
                <w:szCs w:val="20"/>
              </w:rPr>
            </w:pPr>
            <w:r w:rsidRPr="001C1CCB">
              <w:rPr>
                <w:rFonts w:ascii="Times New Roman" w:hAnsi="Times New Roman"/>
                <w:sz w:val="20"/>
                <w:szCs w:val="20"/>
              </w:rPr>
              <w:t>86</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35D0F469" w14:textId="740235F0">
            <w:pPr>
              <w:ind w:firstLine="0"/>
              <w:jc w:val="center"/>
              <w:rPr>
                <w:rFonts w:ascii="Times New Roman" w:hAnsi="Times New Roman"/>
                <w:b/>
                <w:bCs/>
                <w:sz w:val="20"/>
                <w:szCs w:val="20"/>
              </w:rPr>
            </w:pPr>
            <w:r w:rsidRPr="001C1CCB">
              <w:rPr>
                <w:rFonts w:ascii="Times New Roman" w:hAnsi="Times New Roman"/>
                <w:sz w:val="20"/>
                <w:szCs w:val="20"/>
              </w:rPr>
              <w:t>100.00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2C3D23CE" w14:textId="13DC2F1A">
            <w:pPr>
              <w:ind w:firstLine="0"/>
              <w:jc w:val="center"/>
              <w:rPr>
                <w:rFonts w:ascii="Times New Roman" w:hAnsi="Times New Roman"/>
                <w:b/>
                <w:bCs/>
                <w:sz w:val="20"/>
                <w:szCs w:val="20"/>
              </w:rPr>
            </w:pPr>
            <w:r w:rsidRPr="001C1CCB">
              <w:rPr>
                <w:rFonts w:ascii="Times New Roman" w:hAnsi="Times New Roman"/>
                <w:sz w:val="20"/>
                <w:szCs w:val="20"/>
              </w:rPr>
              <w:t>8,600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0937080" w14:textId="128C54EE">
            <w:pPr>
              <w:ind w:firstLine="0"/>
              <w:jc w:val="center"/>
              <w:rPr>
                <w:rFonts w:ascii="Times New Roman" w:hAnsi="Times New Roman"/>
                <w:b/>
                <w:bCs/>
                <w:sz w:val="20"/>
                <w:szCs w:val="20"/>
              </w:rPr>
            </w:pPr>
            <w:r w:rsidRPr="001C1CCB">
              <w:rPr>
                <w:rFonts w:ascii="Times New Roman" w:hAnsi="Times New Roman"/>
                <w:sz w:val="20"/>
                <w:szCs w:val="20"/>
              </w:rPr>
              <w:t>$</w:t>
            </w:r>
            <w:r w:rsidRPr="001C1CCB" w:rsidR="0054565B">
              <w:rPr>
                <w:rFonts w:ascii="Times New Roman" w:hAnsi="Times New Roman"/>
                <w:sz w:val="20"/>
                <w:szCs w:val="20"/>
              </w:rPr>
              <w:t>50.40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734FB018" w14:textId="4A840679">
            <w:pPr>
              <w:ind w:firstLine="0"/>
              <w:jc w:val="center"/>
              <w:rPr>
                <w:rFonts w:ascii="Times New Roman" w:hAnsi="Times New Roman"/>
                <w:b/>
                <w:bCs/>
                <w:sz w:val="20"/>
                <w:szCs w:val="20"/>
              </w:rPr>
            </w:pPr>
            <w:r w:rsidRPr="001C1CCB">
              <w:rPr>
                <w:rFonts w:ascii="Times New Roman" w:hAnsi="Times New Roman"/>
                <w:i/>
                <w:iCs/>
                <w:sz w:val="20"/>
                <w:szCs w:val="20"/>
              </w:rPr>
              <w:t>$</w:t>
            </w:r>
            <w:r w:rsidRPr="001C1CCB" w:rsidR="00D46381">
              <w:rPr>
                <w:rFonts w:ascii="Times New Roman" w:hAnsi="Times New Roman"/>
                <w:i/>
                <w:iCs/>
                <w:sz w:val="20"/>
                <w:szCs w:val="20"/>
              </w:rPr>
              <w:t>433,440</w:t>
            </w:r>
          </w:p>
        </w:tc>
      </w:tr>
      <w:tr w14:paraId="508D7383"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0387CC2F" w14:textId="30BCEB17">
            <w:pPr>
              <w:ind w:firstLine="0"/>
              <w:jc w:val="center"/>
              <w:rPr>
                <w:rFonts w:ascii="Times New Roman" w:hAnsi="Times New Roman"/>
                <w:b/>
                <w:bCs/>
                <w:sz w:val="20"/>
                <w:szCs w:val="20"/>
              </w:rPr>
            </w:pPr>
            <w:r w:rsidRPr="001C1CCB">
              <w:rPr>
                <w:rFonts w:ascii="Times New Roman" w:hAnsi="Times New Roman"/>
                <w:sz w:val="20"/>
                <w:szCs w:val="20"/>
              </w:rPr>
              <w:t>Capital Needs Assessment-CNA e-Tool</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0BB0DBFA" w14:textId="5A93971D">
            <w:pPr>
              <w:ind w:firstLine="0"/>
              <w:jc w:val="center"/>
              <w:rPr>
                <w:rFonts w:ascii="Times New Roman" w:hAnsi="Times New Roman"/>
                <w:sz w:val="20"/>
                <w:szCs w:val="20"/>
              </w:rPr>
            </w:pPr>
            <w:r w:rsidRPr="001C1CCB">
              <w:rPr>
                <w:rFonts w:ascii="Times New Roman" w:hAnsi="Times New Roman"/>
                <w:sz w:val="20"/>
                <w:szCs w:val="20"/>
              </w:rPr>
              <w:t>2502-0505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1AF3C271" w14:textId="77777777">
            <w:pPr>
              <w:ind w:firstLine="0"/>
              <w:jc w:val="center"/>
              <w:rPr>
                <w:rFonts w:ascii="Times New Roman" w:hAnsi="Times New Roman"/>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14771A82" w14:textId="77777777">
            <w:pPr>
              <w:ind w:firstLine="0"/>
              <w:jc w:val="center"/>
              <w:rPr>
                <w:rFonts w:ascii="Times New Roman" w:hAnsi="Times New Roman"/>
                <w:b/>
                <w:bCs/>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38409C35" w14:textId="77777777">
            <w:pPr>
              <w:ind w:firstLine="0"/>
              <w:jc w:val="center"/>
              <w:rPr>
                <w:rFonts w:ascii="Times New Roman" w:hAnsi="Times New Roman"/>
                <w:b/>
                <w:bCs/>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21B572D3" w14:textId="77777777">
            <w:pPr>
              <w:ind w:firstLine="0"/>
              <w:jc w:val="center"/>
              <w:rPr>
                <w:rFonts w:ascii="Times New Roman" w:hAnsi="Times New Roman"/>
                <w:b/>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902CCC3" w14:textId="77777777">
            <w:pPr>
              <w:ind w:firstLine="0"/>
              <w:jc w:val="center"/>
              <w:rPr>
                <w:rFonts w:ascii="Times New Roman" w:hAnsi="Times New Roman"/>
                <w:b/>
                <w:b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0B7632F4" w14:textId="77777777">
            <w:pPr>
              <w:ind w:firstLine="0"/>
              <w:jc w:val="center"/>
              <w:rPr>
                <w:rFonts w:ascii="Times New Roman" w:hAnsi="Times New Roman"/>
                <w:b/>
                <w:bCs/>
                <w:sz w:val="20"/>
                <w:szCs w:val="20"/>
              </w:rPr>
            </w:pPr>
          </w:p>
        </w:tc>
      </w:tr>
      <w:tr w14:paraId="18CB42EE"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5D953D42" w14:textId="6B19117E">
            <w:pPr>
              <w:ind w:firstLine="0"/>
              <w:jc w:val="center"/>
              <w:rPr>
                <w:rFonts w:ascii="Times New Roman" w:hAnsi="Times New Roman"/>
                <w:b/>
                <w:bCs/>
                <w:sz w:val="20"/>
                <w:szCs w:val="20"/>
              </w:rPr>
            </w:pPr>
            <w:r w:rsidRPr="001C1CCB">
              <w:rPr>
                <w:rFonts w:ascii="Times New Roman" w:hAnsi="Times New Roman"/>
                <w:sz w:val="20"/>
                <w:szCs w:val="20"/>
              </w:rPr>
              <w:t>Environmental - HEROS</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15BF08E" w14:textId="3BC1066F">
            <w:pPr>
              <w:ind w:firstLine="0"/>
              <w:jc w:val="center"/>
              <w:rPr>
                <w:rFonts w:ascii="Times New Roman" w:hAnsi="Times New Roman"/>
                <w:sz w:val="20"/>
                <w:szCs w:val="20"/>
              </w:rPr>
            </w:pPr>
            <w:r w:rsidRPr="001C1CCB">
              <w:rPr>
                <w:rFonts w:ascii="Times New (W1)" w:hAnsi="Times New (W1)"/>
                <w:sz w:val="20"/>
                <w:szCs w:val="20"/>
              </w:rPr>
              <w:t>2506-0202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7F2860C8" w14:textId="77777777">
            <w:pPr>
              <w:ind w:firstLine="0"/>
              <w:jc w:val="center"/>
              <w:rPr>
                <w:rFonts w:ascii="Times New Roman" w:hAnsi="Times New Roman"/>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B15D9C2" w14:textId="77777777">
            <w:pPr>
              <w:ind w:firstLine="0"/>
              <w:jc w:val="center"/>
              <w:rPr>
                <w:rFonts w:ascii="Times New Roman" w:hAnsi="Times New Roman"/>
                <w:b/>
                <w:bCs/>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204FC01E" w14:textId="77777777">
            <w:pPr>
              <w:ind w:firstLine="0"/>
              <w:jc w:val="center"/>
              <w:rPr>
                <w:rFonts w:ascii="Times New Roman" w:hAnsi="Times New Roman"/>
                <w:b/>
                <w:bCs/>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2E8A142B" w14:textId="77777777">
            <w:pPr>
              <w:ind w:firstLine="0"/>
              <w:jc w:val="center"/>
              <w:rPr>
                <w:rFonts w:ascii="Times New Roman" w:hAnsi="Times New Roman"/>
                <w:b/>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0234843A" w14:textId="77777777">
            <w:pPr>
              <w:ind w:firstLine="0"/>
              <w:jc w:val="center"/>
              <w:rPr>
                <w:rFonts w:ascii="Times New Roman" w:hAnsi="Times New Roman"/>
                <w:b/>
                <w:b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33C146F0" w14:textId="77777777">
            <w:pPr>
              <w:ind w:firstLine="0"/>
              <w:jc w:val="center"/>
              <w:rPr>
                <w:rFonts w:ascii="Times New Roman" w:hAnsi="Times New Roman"/>
                <w:b/>
                <w:bCs/>
                <w:sz w:val="20"/>
                <w:szCs w:val="20"/>
              </w:rPr>
            </w:pPr>
          </w:p>
        </w:tc>
      </w:tr>
      <w:tr w14:paraId="4F61430F"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8D3517E" w14:textId="7720AD4F">
            <w:pPr>
              <w:ind w:firstLine="0"/>
              <w:jc w:val="center"/>
              <w:rPr>
                <w:rFonts w:ascii="Times New Roman" w:hAnsi="Times New Roman"/>
                <w:b/>
                <w:bCs/>
                <w:sz w:val="20"/>
                <w:szCs w:val="20"/>
              </w:rPr>
            </w:pPr>
            <w:r w:rsidRPr="001C1CCB">
              <w:rPr>
                <w:rFonts w:ascii="Times New Roman" w:hAnsi="Times New Roman"/>
                <w:sz w:val="20"/>
                <w:szCs w:val="20"/>
              </w:rPr>
              <w:t>EPA’s Portfolio Manager® (Energy Benchmarking &amp; Scoring)</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6DEA2EFB" w14:textId="3BA59980">
            <w:pPr>
              <w:ind w:firstLine="0"/>
              <w:jc w:val="center"/>
              <w:rPr>
                <w:rFonts w:ascii="Times New Roman" w:hAnsi="Times New Roman"/>
                <w:sz w:val="20"/>
                <w:szCs w:val="20"/>
              </w:rPr>
            </w:pPr>
            <w:r w:rsidRPr="001C1CCB">
              <w:rPr>
                <w:rFonts w:ascii="Times New (W1)" w:hAnsi="Times New (W1)"/>
                <w:sz w:val="20"/>
                <w:szCs w:val="20"/>
              </w:rPr>
              <w:t>2060-0347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C1935B7" w14:textId="77777777">
            <w:pPr>
              <w:ind w:firstLine="0"/>
              <w:jc w:val="center"/>
              <w:rPr>
                <w:rFonts w:ascii="Times New Roman" w:hAnsi="Times New Roman"/>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7E2E81EC" w14:textId="77777777">
            <w:pPr>
              <w:ind w:firstLine="0"/>
              <w:jc w:val="center"/>
              <w:rPr>
                <w:rFonts w:ascii="Times New Roman" w:hAnsi="Times New Roman"/>
                <w:b/>
                <w:bCs/>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593B2FC5" w14:textId="77777777">
            <w:pPr>
              <w:ind w:firstLine="0"/>
              <w:jc w:val="center"/>
              <w:rPr>
                <w:rFonts w:ascii="Times New Roman" w:hAnsi="Times New Roman"/>
                <w:b/>
                <w:bCs/>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4EA48E47" w14:textId="77777777">
            <w:pPr>
              <w:ind w:firstLine="0"/>
              <w:jc w:val="center"/>
              <w:rPr>
                <w:rFonts w:ascii="Times New Roman" w:hAnsi="Times New Roman"/>
                <w:b/>
                <w:b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19F32159" w14:textId="77777777">
            <w:pPr>
              <w:ind w:firstLine="0"/>
              <w:jc w:val="center"/>
              <w:rPr>
                <w:rFonts w:ascii="Times New Roman" w:hAnsi="Times New Roman"/>
                <w:b/>
                <w:b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2D24" w:rsidRPr="001C1CCB" w:rsidP="00892D24" w14:paraId="1F5307DC" w14:textId="77777777">
            <w:pPr>
              <w:ind w:firstLine="0"/>
              <w:jc w:val="center"/>
              <w:rPr>
                <w:rFonts w:ascii="Times New Roman" w:hAnsi="Times New Roman"/>
                <w:b/>
                <w:bCs/>
                <w:sz w:val="20"/>
                <w:szCs w:val="20"/>
              </w:rPr>
            </w:pPr>
          </w:p>
        </w:tc>
      </w:tr>
      <w:tr w14:paraId="335A477C" w14:textId="77777777" w:rsidTr="000468F2">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3146C0" w:rsidRPr="001C1CCB" w:rsidP="00120632" w14:paraId="27286AAA" w14:textId="2390A63D">
            <w:pPr>
              <w:ind w:firstLine="0"/>
              <w:rPr>
                <w:rFonts w:ascii="Times New Roman" w:hAnsi="Times New Roman"/>
                <w:b/>
                <w:bCs/>
                <w:sz w:val="20"/>
                <w:szCs w:val="20"/>
              </w:rPr>
            </w:pPr>
            <w:r w:rsidRPr="001C1CCB">
              <w:rPr>
                <w:rFonts w:ascii="Times New Roman" w:hAnsi="Times New Roman"/>
                <w:b/>
                <w:bCs/>
                <w:sz w:val="20"/>
                <w:szCs w:val="20"/>
              </w:rPr>
              <w:t>Sub-Total</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3146C0" w:rsidRPr="001C1CCB" w:rsidP="00892D24" w14:paraId="5490B108" w14:textId="30827F79">
            <w:pPr>
              <w:ind w:firstLine="0"/>
              <w:jc w:val="center"/>
              <w:rPr>
                <w:rFonts w:ascii="Times New (W1)" w:hAnsi="Times New (W1)"/>
                <w:sz w:val="20"/>
                <w:szCs w:val="20"/>
              </w:rPr>
            </w:pPr>
            <w:r w:rsidRPr="001C1CCB">
              <w:rPr>
                <w:rFonts w:ascii="Times New (W1)" w:hAnsi="Times New (W1)"/>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146C0" w:rsidRPr="001C1CCB" w:rsidP="00892D24" w14:paraId="4DE45F5D" w14:textId="77777777">
            <w:pPr>
              <w:ind w:firstLine="0"/>
              <w:jc w:val="center"/>
              <w:rPr>
                <w:rFonts w:ascii="Times New Roman" w:hAnsi="Times New Roman"/>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46C0" w:rsidRPr="001C1CCB" w:rsidP="00892D24" w14:paraId="4D2B5C5C" w14:textId="64EA4D48">
            <w:pPr>
              <w:ind w:firstLine="0"/>
              <w:jc w:val="center"/>
              <w:rPr>
                <w:rFonts w:ascii="Times New Roman" w:hAnsi="Times New Roman"/>
                <w:b/>
                <w:bCs/>
                <w:sz w:val="20"/>
                <w:szCs w:val="20"/>
              </w:rPr>
            </w:pPr>
            <w:r w:rsidRPr="001C1CCB">
              <w:rPr>
                <w:rFonts w:ascii="Times New Roman" w:hAnsi="Times New Roman"/>
                <w:b/>
                <w:bCs/>
                <w:sz w:val="20"/>
                <w:szCs w:val="20"/>
              </w:rPr>
              <w:t>426</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3146C0" w:rsidRPr="001C1CCB" w:rsidP="00892D24" w14:paraId="13830CA4" w14:textId="0BA3A1DE">
            <w:pPr>
              <w:ind w:firstLine="0"/>
              <w:jc w:val="center"/>
              <w:rPr>
                <w:rFonts w:ascii="Times New Roman" w:hAnsi="Times New Roman"/>
                <w:b/>
                <w:bCs/>
                <w:sz w:val="20"/>
                <w:szCs w:val="20"/>
              </w:rPr>
            </w:pPr>
            <w:r w:rsidRPr="001C1CCB">
              <w:rPr>
                <w:rFonts w:ascii="Times New Roman" w:hAnsi="Times New Roman"/>
                <w:b/>
                <w:bCs/>
                <w:sz w:val="20"/>
                <w:szCs w:val="20"/>
              </w:rPr>
              <w:t>85.91</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146C0" w:rsidRPr="001C1CCB" w:rsidP="00892D24" w14:paraId="2588B38A" w14:textId="1F858BE8">
            <w:pPr>
              <w:ind w:firstLine="0"/>
              <w:jc w:val="center"/>
              <w:rPr>
                <w:rFonts w:ascii="Times New Roman" w:hAnsi="Times New Roman"/>
                <w:b/>
                <w:bCs/>
                <w:sz w:val="20"/>
                <w:szCs w:val="20"/>
              </w:rPr>
            </w:pPr>
            <w:r w:rsidRPr="001C1CCB">
              <w:rPr>
                <w:rFonts w:ascii="Times New Roman" w:hAnsi="Times New Roman"/>
                <w:b/>
                <w:bCs/>
                <w:sz w:val="20"/>
                <w:szCs w:val="20"/>
              </w:rPr>
              <w:t>36,589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146C0" w:rsidRPr="001C1CCB" w:rsidP="00892D24" w14:paraId="085C854F" w14:textId="6154F6FB">
            <w:pPr>
              <w:ind w:firstLine="0"/>
              <w:jc w:val="center"/>
              <w:rPr>
                <w:rFonts w:ascii="Times New Roman" w:hAnsi="Times New Roman"/>
                <w:b/>
                <w:bCs/>
                <w:sz w:val="20"/>
                <w:szCs w:val="20"/>
              </w:rPr>
            </w:pPr>
            <w:r w:rsidRPr="001C1CCB">
              <w:rPr>
                <w:rFonts w:ascii="Times New Roman" w:hAnsi="Times New Roman"/>
                <w:b/>
                <w:bCs/>
                <w:sz w:val="20"/>
                <w:szCs w:val="20"/>
              </w:rPr>
              <w:t>$117</w:t>
            </w:r>
            <w:r w:rsidRPr="001C1CCB" w:rsidR="000228C4">
              <w:rPr>
                <w:rFonts w:ascii="Times New Roman" w:hAnsi="Times New Roman"/>
                <w:b/>
                <w:bCs/>
                <w:sz w:val="20"/>
                <w:szCs w:val="20"/>
              </w:rPr>
              <w:t>.</w:t>
            </w:r>
            <w:r w:rsidRPr="001C1CCB" w:rsidR="00CE2877">
              <w:rPr>
                <w:rFonts w:ascii="Times New Roman" w:hAnsi="Times New Roman"/>
                <w:b/>
                <w:bCs/>
                <w:sz w:val="20"/>
                <w:szCs w:val="20"/>
              </w:rPr>
              <w:t>67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146C0" w:rsidRPr="001C1CCB" w:rsidP="00892D24" w14:paraId="6072E8CF" w14:textId="2B48C2DE">
            <w:pPr>
              <w:ind w:firstLine="0"/>
              <w:jc w:val="center"/>
              <w:rPr>
                <w:rFonts w:ascii="Times New Roman" w:hAnsi="Times New Roman"/>
                <w:b/>
                <w:bCs/>
                <w:sz w:val="20"/>
                <w:szCs w:val="20"/>
              </w:rPr>
            </w:pPr>
            <w:r w:rsidRPr="001C1CCB">
              <w:rPr>
                <w:rFonts w:ascii="Times New Roman" w:hAnsi="Times New Roman"/>
                <w:b/>
                <w:bCs/>
                <w:sz w:val="20"/>
                <w:szCs w:val="20"/>
              </w:rPr>
              <w:t>$4,</w:t>
            </w:r>
            <w:r w:rsidRPr="001C1CCB" w:rsidR="00CE2877">
              <w:rPr>
                <w:rFonts w:ascii="Times New Roman" w:hAnsi="Times New Roman"/>
                <w:b/>
                <w:bCs/>
                <w:sz w:val="20"/>
                <w:szCs w:val="20"/>
              </w:rPr>
              <w:t>305,298</w:t>
            </w:r>
          </w:p>
        </w:tc>
      </w:tr>
      <w:tr w14:paraId="312AC11B" w14:textId="77777777" w:rsidTr="00EB2DA2">
        <w:tblPrEx>
          <w:tblW w:w="11065" w:type="dxa"/>
          <w:tblLayout w:type="fixed"/>
          <w:tblLook w:val="00A0"/>
        </w:tblPrEx>
        <w:trPr>
          <w:tblHeader/>
        </w:trPr>
        <w:tc>
          <w:tcPr>
            <w:tcW w:w="4608" w:type="dxa"/>
            <w:gridSpan w:val="3"/>
            <w:tcBorders>
              <w:top w:val="single" w:sz="24" w:space="0" w:color="auto"/>
              <w:left w:val="single" w:sz="4" w:space="0" w:color="auto"/>
              <w:bottom w:val="single" w:sz="4" w:space="0" w:color="auto"/>
              <w:right w:val="single" w:sz="4" w:space="0" w:color="auto"/>
            </w:tcBorders>
            <w:shd w:val="clear" w:color="auto" w:fill="auto"/>
          </w:tcPr>
          <w:p w:rsidR="00C670BA" w:rsidRPr="001C1CCB" w:rsidP="00C670BA" w14:paraId="2105EDDD" w14:textId="67A48DC6">
            <w:pPr>
              <w:ind w:firstLine="0"/>
              <w:jc w:val="center"/>
              <w:rPr>
                <w:rFonts w:ascii="Times New Roman" w:hAnsi="Times New Roman"/>
                <w:b/>
                <w:bCs/>
                <w:sz w:val="20"/>
                <w:szCs w:val="20"/>
              </w:rPr>
            </w:pPr>
            <w:r w:rsidRPr="001C1CCB">
              <w:rPr>
                <w:rFonts w:ascii="Times New Roman" w:hAnsi="Times New Roman"/>
                <w:b/>
                <w:bCs/>
                <w:sz w:val="24"/>
                <w:szCs w:val="24"/>
              </w:rPr>
              <w:t>Average for a Single, Generic Application</w:t>
            </w:r>
            <w:r w:rsidRPr="001C1CCB">
              <w:rPr>
                <w:rFonts w:ascii="Times New Roman" w:hAnsi="Times New Roman"/>
                <w:b/>
                <w:bCs/>
                <w:sz w:val="14"/>
                <w:szCs w:val="14"/>
              </w:rPr>
              <w:t>:</w:t>
            </w:r>
          </w:p>
        </w:tc>
        <w:tc>
          <w:tcPr>
            <w:tcW w:w="1417" w:type="dxa"/>
            <w:tcBorders>
              <w:top w:val="single" w:sz="24" w:space="0" w:color="auto"/>
              <w:left w:val="single" w:sz="4" w:space="0" w:color="auto"/>
              <w:bottom w:val="single" w:sz="4" w:space="0" w:color="auto"/>
              <w:right w:val="single" w:sz="4" w:space="0" w:color="auto"/>
            </w:tcBorders>
            <w:shd w:val="clear" w:color="auto" w:fill="auto"/>
          </w:tcPr>
          <w:p w:rsidR="00C670BA" w:rsidRPr="001C1CCB" w:rsidP="00C670BA" w14:paraId="7B82EF54" w14:textId="21688E00">
            <w:pPr>
              <w:ind w:firstLine="0"/>
              <w:jc w:val="center"/>
              <w:rPr>
                <w:rFonts w:ascii="Times New Roman" w:hAnsi="Times New Roman"/>
                <w:b/>
                <w:bCs/>
                <w:sz w:val="20"/>
                <w:szCs w:val="20"/>
              </w:rPr>
            </w:pPr>
            <w:r w:rsidRPr="001C1CCB">
              <w:rPr>
                <w:rFonts w:ascii="Times New Roman" w:hAnsi="Times New Roman"/>
                <w:b/>
                <w:bCs/>
                <w:sz w:val="20"/>
                <w:szCs w:val="20"/>
              </w:rPr>
              <w:t>4.</w:t>
            </w:r>
            <w:r w:rsidRPr="001C1CCB" w:rsidR="00FE78ED">
              <w:rPr>
                <w:rFonts w:ascii="Times New Roman" w:hAnsi="Times New Roman"/>
                <w:b/>
                <w:bCs/>
                <w:sz w:val="20"/>
                <w:szCs w:val="20"/>
              </w:rPr>
              <w:t>95</w:t>
            </w:r>
          </w:p>
        </w:tc>
        <w:tc>
          <w:tcPr>
            <w:tcW w:w="1193" w:type="dxa"/>
            <w:tcBorders>
              <w:top w:val="single" w:sz="24" w:space="0" w:color="auto"/>
              <w:left w:val="single" w:sz="4" w:space="0" w:color="auto"/>
              <w:bottom w:val="single" w:sz="4" w:space="0" w:color="auto"/>
              <w:right w:val="single" w:sz="4" w:space="0" w:color="auto"/>
            </w:tcBorders>
            <w:shd w:val="clear" w:color="auto" w:fill="auto"/>
          </w:tcPr>
          <w:p w:rsidR="00C670BA" w:rsidRPr="001C1CCB" w:rsidP="00C670BA" w14:paraId="6924649F" w14:textId="431C5730">
            <w:pPr>
              <w:ind w:firstLine="0"/>
              <w:jc w:val="center"/>
              <w:rPr>
                <w:rFonts w:ascii="Times New Roman" w:hAnsi="Times New Roman"/>
                <w:b/>
                <w:bCs/>
                <w:sz w:val="20"/>
                <w:szCs w:val="20"/>
              </w:rPr>
            </w:pPr>
            <w:r w:rsidRPr="001C1CCB">
              <w:rPr>
                <w:rFonts w:ascii="Times New Roman" w:hAnsi="Times New Roman"/>
                <w:b/>
                <w:bCs/>
                <w:sz w:val="20"/>
                <w:szCs w:val="20"/>
              </w:rPr>
              <w:t>85.91</w:t>
            </w:r>
          </w:p>
        </w:tc>
        <w:tc>
          <w:tcPr>
            <w:tcW w:w="1057" w:type="dxa"/>
            <w:tcBorders>
              <w:top w:val="single" w:sz="24" w:space="0" w:color="auto"/>
              <w:left w:val="single" w:sz="4" w:space="0" w:color="auto"/>
              <w:bottom w:val="single" w:sz="4" w:space="0" w:color="auto"/>
              <w:right w:val="single" w:sz="4" w:space="0" w:color="auto"/>
            </w:tcBorders>
            <w:shd w:val="clear" w:color="auto" w:fill="auto"/>
          </w:tcPr>
          <w:p w:rsidR="00C670BA" w:rsidRPr="001C1CCB" w:rsidP="00C670BA" w14:paraId="34351263" w14:textId="3149A754">
            <w:pPr>
              <w:ind w:firstLine="0"/>
              <w:jc w:val="center"/>
              <w:rPr>
                <w:rFonts w:ascii="Times New Roman" w:hAnsi="Times New Roman"/>
                <w:b/>
                <w:bCs/>
                <w:sz w:val="20"/>
                <w:szCs w:val="20"/>
              </w:rPr>
            </w:pPr>
            <w:r w:rsidRPr="001C1CCB">
              <w:rPr>
                <w:rFonts w:ascii="Times New Roman" w:hAnsi="Times New Roman"/>
                <w:b/>
                <w:bCs/>
                <w:sz w:val="20"/>
                <w:szCs w:val="20"/>
              </w:rPr>
              <w:t>425.45</w:t>
            </w:r>
          </w:p>
        </w:tc>
        <w:tc>
          <w:tcPr>
            <w:tcW w:w="1260" w:type="dxa"/>
            <w:tcBorders>
              <w:top w:val="single" w:sz="24" w:space="0" w:color="auto"/>
              <w:left w:val="single" w:sz="4" w:space="0" w:color="auto"/>
              <w:bottom w:val="single" w:sz="4" w:space="0" w:color="auto"/>
              <w:right w:val="single" w:sz="4" w:space="0" w:color="auto"/>
            </w:tcBorders>
            <w:shd w:val="clear" w:color="auto" w:fill="auto"/>
          </w:tcPr>
          <w:p w:rsidR="00C670BA" w:rsidRPr="001C1CCB" w:rsidP="00C670BA" w14:paraId="730F25A5" w14:textId="71A501A7">
            <w:pPr>
              <w:ind w:firstLine="0"/>
              <w:jc w:val="center"/>
              <w:rPr>
                <w:rFonts w:ascii="Times New Roman" w:hAnsi="Times New Roman"/>
                <w:b/>
                <w:bCs/>
                <w:sz w:val="20"/>
                <w:szCs w:val="20"/>
              </w:rPr>
            </w:pPr>
            <w:r w:rsidRPr="001C1CCB">
              <w:rPr>
                <w:rFonts w:ascii="Times New Roman" w:hAnsi="Times New Roman"/>
                <w:b/>
                <w:bCs/>
                <w:sz w:val="20"/>
                <w:szCs w:val="20"/>
              </w:rPr>
              <w:t>$117.</w:t>
            </w:r>
            <w:r w:rsidRPr="001C1CCB" w:rsidR="006342F8">
              <w:rPr>
                <w:rFonts w:ascii="Times New Roman" w:hAnsi="Times New Roman"/>
                <w:b/>
                <w:bCs/>
                <w:sz w:val="20"/>
                <w:szCs w:val="20"/>
              </w:rPr>
              <w:t>67</w:t>
            </w:r>
          </w:p>
        </w:tc>
        <w:tc>
          <w:tcPr>
            <w:tcW w:w="1530" w:type="dxa"/>
            <w:tcBorders>
              <w:top w:val="single" w:sz="24" w:space="0" w:color="auto"/>
              <w:left w:val="single" w:sz="4" w:space="0" w:color="auto"/>
              <w:bottom w:val="single" w:sz="4" w:space="0" w:color="auto"/>
              <w:right w:val="single" w:sz="4" w:space="0" w:color="auto"/>
            </w:tcBorders>
            <w:shd w:val="clear" w:color="auto" w:fill="auto"/>
          </w:tcPr>
          <w:p w:rsidR="00C670BA" w:rsidRPr="001C1CCB" w:rsidP="00C670BA" w14:paraId="2724284C" w14:textId="623D5016">
            <w:pPr>
              <w:ind w:firstLine="0"/>
              <w:jc w:val="center"/>
              <w:rPr>
                <w:rFonts w:ascii="Times New Roman" w:hAnsi="Times New Roman"/>
                <w:b/>
                <w:bCs/>
                <w:sz w:val="20"/>
                <w:szCs w:val="20"/>
              </w:rPr>
            </w:pPr>
            <w:r w:rsidRPr="001C1CCB">
              <w:rPr>
                <w:rFonts w:ascii="Times New Roman" w:hAnsi="Times New Roman"/>
                <w:b/>
                <w:bCs/>
                <w:sz w:val="20"/>
                <w:szCs w:val="20"/>
              </w:rPr>
              <w:t>$</w:t>
            </w:r>
            <w:r w:rsidRPr="001C1CCB" w:rsidR="006342F8">
              <w:rPr>
                <w:rFonts w:ascii="Times New Roman" w:hAnsi="Times New Roman"/>
                <w:b/>
                <w:bCs/>
                <w:sz w:val="20"/>
                <w:szCs w:val="20"/>
              </w:rPr>
              <w:t>50,062</w:t>
            </w:r>
          </w:p>
        </w:tc>
      </w:tr>
      <w:tr w14:paraId="193D42D0" w14:textId="77777777" w:rsidTr="00EB2DA2">
        <w:tblPrEx>
          <w:tblW w:w="11065" w:type="dxa"/>
          <w:tblLayout w:type="fixed"/>
          <w:tblLook w:val="00A0"/>
        </w:tblPrEx>
        <w:trPr>
          <w:tblHeader/>
        </w:trPr>
        <w:tc>
          <w:tcPr>
            <w:tcW w:w="4608" w:type="dxa"/>
            <w:gridSpan w:val="3"/>
            <w:tcBorders>
              <w:top w:val="single" w:sz="24" w:space="0" w:color="auto"/>
              <w:left w:val="single" w:sz="4" w:space="0" w:color="auto"/>
              <w:bottom w:val="single" w:sz="4" w:space="0" w:color="auto"/>
              <w:right w:val="single" w:sz="4" w:space="0" w:color="auto"/>
            </w:tcBorders>
            <w:shd w:val="clear" w:color="auto" w:fill="auto"/>
          </w:tcPr>
          <w:p w:rsidR="00C670BA" w:rsidRPr="001C1CCB" w:rsidP="00C670BA" w14:paraId="72BABE16" w14:textId="48A4B3AC">
            <w:pPr>
              <w:ind w:firstLine="0"/>
              <w:jc w:val="center"/>
              <w:rPr>
                <w:rFonts w:ascii="Times New Roman" w:hAnsi="Times New Roman"/>
                <w:b/>
                <w:bCs/>
                <w:sz w:val="20"/>
                <w:szCs w:val="20"/>
              </w:rPr>
            </w:pPr>
            <w:r w:rsidRPr="001C1CCB">
              <w:rPr>
                <w:rFonts w:ascii="Times New Roman" w:hAnsi="Times New Roman"/>
                <w:b/>
                <w:bCs/>
                <w:sz w:val="24"/>
                <w:szCs w:val="24"/>
              </w:rPr>
              <w:t>Total for All Applications:</w:t>
            </w:r>
          </w:p>
        </w:tc>
        <w:tc>
          <w:tcPr>
            <w:tcW w:w="1417" w:type="dxa"/>
            <w:tcBorders>
              <w:top w:val="single" w:sz="24" w:space="0" w:color="auto"/>
              <w:left w:val="single" w:sz="4" w:space="0" w:color="auto"/>
              <w:bottom w:val="single" w:sz="4" w:space="0" w:color="auto"/>
              <w:right w:val="single" w:sz="4" w:space="0" w:color="auto"/>
            </w:tcBorders>
            <w:shd w:val="clear" w:color="auto" w:fill="auto"/>
          </w:tcPr>
          <w:p w:rsidR="00C670BA" w:rsidRPr="001C1CCB" w:rsidP="00C670BA" w14:paraId="011B3A12" w14:textId="653655E6">
            <w:pPr>
              <w:ind w:firstLine="0"/>
              <w:jc w:val="center"/>
              <w:rPr>
                <w:rFonts w:ascii="Times New Roman" w:hAnsi="Times New Roman"/>
                <w:b/>
                <w:bCs/>
                <w:sz w:val="20"/>
                <w:szCs w:val="20"/>
              </w:rPr>
            </w:pPr>
            <w:r w:rsidRPr="001C1CCB">
              <w:rPr>
                <w:rFonts w:ascii="Times New Roman" w:hAnsi="Times New Roman"/>
                <w:b/>
                <w:bCs/>
                <w:sz w:val="20"/>
                <w:szCs w:val="20"/>
              </w:rPr>
              <w:t>5516.7</w:t>
            </w:r>
          </w:p>
        </w:tc>
        <w:tc>
          <w:tcPr>
            <w:tcW w:w="1193" w:type="dxa"/>
            <w:tcBorders>
              <w:top w:val="single" w:sz="24" w:space="0" w:color="auto"/>
              <w:left w:val="single" w:sz="4" w:space="0" w:color="auto"/>
              <w:bottom w:val="single" w:sz="4" w:space="0" w:color="auto"/>
              <w:right w:val="single" w:sz="4" w:space="0" w:color="auto"/>
            </w:tcBorders>
            <w:shd w:val="clear" w:color="auto" w:fill="auto"/>
          </w:tcPr>
          <w:p w:rsidR="00C670BA" w:rsidRPr="001C1CCB" w:rsidP="00C670BA" w14:paraId="0C8F838F" w14:textId="708A46B2">
            <w:pPr>
              <w:ind w:firstLine="0"/>
              <w:jc w:val="center"/>
              <w:rPr>
                <w:rFonts w:ascii="Times New Roman" w:hAnsi="Times New Roman"/>
                <w:b/>
                <w:bCs/>
                <w:sz w:val="20"/>
                <w:szCs w:val="20"/>
              </w:rPr>
            </w:pPr>
            <w:r w:rsidRPr="001C1CCB">
              <w:rPr>
                <w:rFonts w:ascii="Times New Roman" w:hAnsi="Times New Roman"/>
                <w:b/>
                <w:bCs/>
                <w:sz w:val="20"/>
                <w:szCs w:val="20"/>
              </w:rPr>
              <w:t>85.91</w:t>
            </w:r>
          </w:p>
        </w:tc>
        <w:tc>
          <w:tcPr>
            <w:tcW w:w="1057" w:type="dxa"/>
            <w:tcBorders>
              <w:top w:val="single" w:sz="24" w:space="0" w:color="auto"/>
              <w:left w:val="single" w:sz="4" w:space="0" w:color="auto"/>
              <w:bottom w:val="single" w:sz="4" w:space="0" w:color="auto"/>
              <w:right w:val="single" w:sz="4" w:space="0" w:color="auto"/>
            </w:tcBorders>
            <w:shd w:val="clear" w:color="auto" w:fill="auto"/>
          </w:tcPr>
          <w:p w:rsidR="00C670BA" w:rsidRPr="001C1CCB" w:rsidP="00C670BA" w14:paraId="78B6AF35" w14:textId="03C71B52">
            <w:pPr>
              <w:ind w:firstLine="0"/>
              <w:jc w:val="center"/>
              <w:rPr>
                <w:rFonts w:ascii="Times New Roman" w:hAnsi="Times New Roman"/>
                <w:b/>
                <w:bCs/>
                <w:sz w:val="20"/>
                <w:szCs w:val="20"/>
              </w:rPr>
            </w:pPr>
            <w:r w:rsidRPr="001C1CCB">
              <w:rPr>
                <w:rFonts w:ascii="Times New Roman" w:hAnsi="Times New Roman"/>
                <w:b/>
                <w:bCs/>
                <w:sz w:val="20"/>
                <w:szCs w:val="20"/>
              </w:rPr>
              <w:t>473,955</w:t>
            </w:r>
          </w:p>
        </w:tc>
        <w:tc>
          <w:tcPr>
            <w:tcW w:w="1260" w:type="dxa"/>
            <w:tcBorders>
              <w:top w:val="single" w:sz="24" w:space="0" w:color="auto"/>
              <w:left w:val="single" w:sz="4" w:space="0" w:color="auto"/>
              <w:bottom w:val="single" w:sz="4" w:space="0" w:color="auto"/>
              <w:right w:val="single" w:sz="4" w:space="0" w:color="auto"/>
            </w:tcBorders>
            <w:shd w:val="clear" w:color="auto" w:fill="auto"/>
          </w:tcPr>
          <w:p w:rsidR="00C670BA" w:rsidRPr="001C1CCB" w:rsidP="00C670BA" w14:paraId="136C7AAE" w14:textId="086FC79F">
            <w:pPr>
              <w:ind w:firstLine="0"/>
              <w:jc w:val="center"/>
              <w:rPr>
                <w:rFonts w:ascii="Times New Roman" w:hAnsi="Times New Roman"/>
                <w:b/>
                <w:bCs/>
                <w:sz w:val="20"/>
                <w:szCs w:val="20"/>
              </w:rPr>
            </w:pPr>
            <w:r w:rsidRPr="001C1CCB">
              <w:rPr>
                <w:rFonts w:ascii="Times New Roman" w:hAnsi="Times New Roman"/>
                <w:b/>
                <w:bCs/>
                <w:sz w:val="20"/>
                <w:szCs w:val="20"/>
              </w:rPr>
              <w:t>$117.</w:t>
            </w:r>
            <w:r w:rsidRPr="001C1CCB" w:rsidR="006342F8">
              <w:rPr>
                <w:rFonts w:ascii="Times New Roman" w:hAnsi="Times New Roman"/>
                <w:b/>
                <w:bCs/>
                <w:sz w:val="20"/>
                <w:szCs w:val="20"/>
              </w:rPr>
              <w:t>67</w:t>
            </w:r>
          </w:p>
        </w:tc>
        <w:tc>
          <w:tcPr>
            <w:tcW w:w="1530" w:type="dxa"/>
            <w:tcBorders>
              <w:top w:val="single" w:sz="24" w:space="0" w:color="auto"/>
              <w:left w:val="single" w:sz="4" w:space="0" w:color="auto"/>
              <w:bottom w:val="single" w:sz="4" w:space="0" w:color="auto"/>
              <w:right w:val="single" w:sz="4" w:space="0" w:color="auto"/>
            </w:tcBorders>
            <w:shd w:val="clear" w:color="auto" w:fill="auto"/>
          </w:tcPr>
          <w:p w:rsidR="00C670BA" w:rsidRPr="001C1CCB" w:rsidP="00C670BA" w14:paraId="43AB2F2A" w14:textId="05187D0C">
            <w:pPr>
              <w:ind w:firstLine="0"/>
              <w:jc w:val="center"/>
              <w:rPr>
                <w:rFonts w:ascii="Times New Roman" w:hAnsi="Times New Roman"/>
                <w:b/>
                <w:bCs/>
                <w:sz w:val="20"/>
                <w:szCs w:val="20"/>
              </w:rPr>
            </w:pPr>
            <w:r w:rsidRPr="001C1CCB">
              <w:rPr>
                <w:rFonts w:ascii="Times New Roman" w:hAnsi="Times New Roman"/>
                <w:b/>
                <w:bCs/>
                <w:sz w:val="20"/>
                <w:szCs w:val="20"/>
              </w:rPr>
              <w:t>$</w:t>
            </w:r>
            <w:r w:rsidRPr="001C1CCB" w:rsidR="00DC30BB">
              <w:rPr>
                <w:rFonts w:ascii="Times New Roman" w:hAnsi="Times New Roman"/>
                <w:b/>
                <w:bCs/>
                <w:sz w:val="20"/>
                <w:szCs w:val="20"/>
              </w:rPr>
              <w:t>55,</w:t>
            </w:r>
            <w:r w:rsidRPr="001C1CCB" w:rsidR="00361D77">
              <w:rPr>
                <w:rFonts w:ascii="Times New Roman" w:hAnsi="Times New Roman"/>
                <w:b/>
                <w:bCs/>
                <w:sz w:val="20"/>
                <w:szCs w:val="20"/>
              </w:rPr>
              <w:t>768,629</w:t>
            </w:r>
          </w:p>
        </w:tc>
      </w:tr>
      <w:tr w14:paraId="547E6AF4" w14:textId="77777777" w:rsidTr="009F77F3">
        <w:tblPrEx>
          <w:tblW w:w="11065" w:type="dxa"/>
          <w:tblLayout w:type="fixed"/>
          <w:tblLook w:val="00A0"/>
        </w:tblPrEx>
        <w:trPr>
          <w:tblHeader/>
        </w:trPr>
        <w:tc>
          <w:tcPr>
            <w:tcW w:w="1909" w:type="dxa"/>
            <w:tcBorders>
              <w:top w:val="single" w:sz="24" w:space="0" w:color="auto"/>
              <w:left w:val="single" w:sz="4" w:space="0" w:color="auto"/>
              <w:bottom w:val="single" w:sz="4" w:space="0" w:color="auto"/>
              <w:right w:val="single" w:sz="4" w:space="0" w:color="auto"/>
            </w:tcBorders>
            <w:shd w:val="clear" w:color="auto" w:fill="0D0D0D" w:themeFill="text1" w:themeFillTint="F2"/>
          </w:tcPr>
          <w:p w:rsidR="00C670BA" w:rsidRPr="001C1CCB" w:rsidP="00C670BA" w14:paraId="43A82811" w14:textId="77777777">
            <w:pPr>
              <w:ind w:firstLine="0"/>
              <w:jc w:val="center"/>
              <w:rPr>
                <w:rFonts w:ascii="Times New Roman" w:hAnsi="Times New Roman"/>
                <w:b/>
                <w:bCs/>
                <w:sz w:val="20"/>
                <w:szCs w:val="20"/>
              </w:rPr>
            </w:pPr>
          </w:p>
        </w:tc>
        <w:tc>
          <w:tcPr>
            <w:tcW w:w="9156" w:type="dxa"/>
            <w:gridSpan w:val="7"/>
            <w:tcBorders>
              <w:top w:val="single" w:sz="24" w:space="0" w:color="auto"/>
              <w:left w:val="single" w:sz="4" w:space="0" w:color="auto"/>
              <w:bottom w:val="single" w:sz="4" w:space="0" w:color="auto"/>
              <w:right w:val="single" w:sz="4" w:space="0" w:color="auto"/>
            </w:tcBorders>
            <w:shd w:val="clear" w:color="auto" w:fill="0D0D0D" w:themeFill="text1" w:themeFillTint="F2"/>
          </w:tcPr>
          <w:p w:rsidR="00C670BA" w:rsidRPr="001C1CCB" w:rsidP="00C670BA" w14:paraId="2515E852" w14:textId="77777777">
            <w:pPr>
              <w:ind w:firstLine="0"/>
              <w:jc w:val="center"/>
              <w:rPr>
                <w:rFonts w:ascii="Times New Roman" w:hAnsi="Times New Roman"/>
                <w:sz w:val="20"/>
                <w:szCs w:val="20"/>
              </w:rPr>
            </w:pPr>
          </w:p>
        </w:tc>
      </w:tr>
    </w:tbl>
    <w:p w:rsidR="00C75F44" w:rsidRPr="001C1CCB" w14:paraId="74ED95DA" w14:textId="77777777">
      <w:pPr>
        <w:ind w:firstLine="0"/>
        <w:rPr>
          <w:rFonts w:ascii="Times New (W1)" w:hAnsi="Times New (W1)"/>
          <w:sz w:val="24"/>
        </w:rPr>
      </w:pPr>
    </w:p>
    <w:p w:rsidR="008464DD" w:rsidRPr="001C1CCB" w14:paraId="7A958FA3" w14:textId="77777777">
      <w:pPr>
        <w:ind w:firstLine="0"/>
        <w:rPr>
          <w:rFonts w:ascii="Times New (W1)" w:hAnsi="Times New (W1)"/>
          <w:sz w:val="24"/>
        </w:rPr>
      </w:pPr>
      <w:r w:rsidRPr="001C1CCB">
        <w:rPr>
          <w:rFonts w:ascii="Times New (W1)" w:hAnsi="Times New (W1)"/>
          <w:sz w:val="24"/>
        </w:rPr>
        <w:t>Notes:</w:t>
      </w:r>
    </w:p>
    <w:p w:rsidR="008464DD" w:rsidRPr="001C1CCB" w14:paraId="065251D5" w14:textId="77777777">
      <w:pPr>
        <w:ind w:firstLine="0"/>
        <w:rPr>
          <w:rFonts w:ascii="Times New (W1)" w:hAnsi="Times New (W1)"/>
          <w:sz w:val="24"/>
        </w:rPr>
      </w:pPr>
    </w:p>
    <w:p w:rsidR="008464DD" w:rsidRPr="001C1CCB" w14:paraId="0D0F4B72" w14:textId="77777777">
      <w:pPr>
        <w:ind w:firstLine="0"/>
        <w:rPr>
          <w:rFonts w:ascii="Times New (W1)" w:hAnsi="Times New (W1)"/>
          <w:sz w:val="24"/>
        </w:rPr>
      </w:pPr>
      <w:bookmarkStart w:id="1" w:name="_Hlk105076872"/>
      <w:r w:rsidRPr="001C1CCB">
        <w:rPr>
          <w:rFonts w:ascii="Times New (W1)" w:hAnsi="Times New (W1)"/>
          <w:sz w:val="24"/>
        </w:rPr>
        <w:t xml:space="preserve">See Notes for the burden table responding to Item 12 for explanations of </w:t>
      </w:r>
      <w:r w:rsidRPr="001C1CCB" w:rsidR="00B824A4">
        <w:rPr>
          <w:rFonts w:ascii="Times New (W1)" w:hAnsi="Times New (W1)"/>
          <w:sz w:val="24"/>
        </w:rPr>
        <w:t>columns</w:t>
      </w:r>
    </w:p>
    <w:bookmarkEnd w:id="1"/>
    <w:p w:rsidR="008464DD" w:rsidRPr="001C1CCB" w14:paraId="3B3759FA" w14:textId="77777777">
      <w:pPr>
        <w:ind w:firstLine="0"/>
        <w:rPr>
          <w:rFonts w:ascii="Times New (W1)" w:hAnsi="Times New (W1)"/>
          <w:sz w:val="24"/>
        </w:rPr>
      </w:pPr>
    </w:p>
    <w:p w:rsidR="00F43A3C" w:rsidRPr="001C1CCB" w14:paraId="7EBDB59B" w14:textId="61C00391">
      <w:pPr>
        <w:ind w:firstLine="0"/>
        <w:rPr>
          <w:rFonts w:ascii="Times New (W1)" w:hAnsi="Times New (W1)"/>
          <w:sz w:val="24"/>
        </w:rPr>
      </w:pPr>
      <w:r w:rsidRPr="001C1CCB">
        <w:rPr>
          <w:rFonts w:ascii="Times New (W1)" w:hAnsi="Times New (W1)"/>
          <w:sz w:val="24"/>
        </w:rPr>
        <w:t>Row-</w:t>
      </w:r>
      <w:r w:rsidRPr="001C1CCB" w:rsidR="008464DD">
        <w:rPr>
          <w:rFonts w:ascii="Times New (W1)" w:hAnsi="Times New (W1)"/>
          <w:sz w:val="24"/>
        </w:rPr>
        <w:t>ASHRAE Energy Audits:</w:t>
      </w:r>
      <w:r w:rsidRPr="001C1CCB" w:rsidR="00C572CC">
        <w:rPr>
          <w:rFonts w:ascii="Times New (W1)" w:hAnsi="Times New (W1)"/>
          <w:sz w:val="24"/>
        </w:rPr>
        <w:t xml:space="preserve"> Energy audits are required only for existing properties seeking </w:t>
      </w:r>
      <w:r w:rsidRPr="001C1CCB" w:rsidR="00AB559A">
        <w:rPr>
          <w:rFonts w:ascii="Times New (W1)" w:hAnsi="Times New (W1)"/>
          <w:sz w:val="24"/>
        </w:rPr>
        <w:t>green MIP which is circa 30</w:t>
      </w:r>
      <w:r w:rsidRPr="001C1CCB" w:rsidR="00D4080A">
        <w:rPr>
          <w:rFonts w:ascii="Times New (W1)" w:hAnsi="Times New (W1)"/>
          <w:sz w:val="24"/>
        </w:rPr>
        <w:t xml:space="preserve">% of </w:t>
      </w:r>
      <w:r w:rsidRPr="001C1CCB" w:rsidR="008568B8">
        <w:rPr>
          <w:rFonts w:ascii="Times New (W1)" w:hAnsi="Times New (W1)"/>
          <w:sz w:val="24"/>
        </w:rPr>
        <w:t>cases.</w:t>
      </w:r>
    </w:p>
    <w:p w:rsidR="00F43A3C" w:rsidRPr="001C1CCB" w14:paraId="496B3EB2" w14:textId="77777777">
      <w:pPr>
        <w:ind w:firstLine="0"/>
        <w:rPr>
          <w:rFonts w:ascii="Times New (W1)" w:hAnsi="Times New (W1)"/>
          <w:sz w:val="24"/>
        </w:rPr>
      </w:pPr>
    </w:p>
    <w:p w:rsidR="007E77B6" w:rsidRPr="001C1CCB" w14:paraId="147CA37A" w14:textId="1042D523">
      <w:pPr>
        <w:ind w:firstLine="0"/>
        <w:rPr>
          <w:rFonts w:ascii="Times New (W1)" w:hAnsi="Times New (W1)"/>
          <w:sz w:val="24"/>
        </w:rPr>
      </w:pPr>
      <w:r w:rsidRPr="001C1CCB">
        <w:rPr>
          <w:rFonts w:ascii="Times New (W1)" w:hAnsi="Times New (W1)"/>
          <w:sz w:val="24"/>
        </w:rPr>
        <w:t>Row-</w:t>
      </w:r>
      <w:r w:rsidRPr="001C1CCB" w:rsidR="00F43A3C">
        <w:rPr>
          <w:rFonts w:ascii="Times New (W1)" w:hAnsi="Times New (W1)"/>
          <w:sz w:val="24"/>
        </w:rPr>
        <w:t xml:space="preserve">Lender’s </w:t>
      </w:r>
      <w:r w:rsidRPr="001C1CCB" w:rsidR="00BB0949">
        <w:rPr>
          <w:rFonts w:ascii="Times New (W1)" w:hAnsi="Times New (W1)"/>
          <w:sz w:val="24"/>
        </w:rPr>
        <w:t>Third-Party</w:t>
      </w:r>
      <w:r w:rsidRPr="001C1CCB" w:rsidR="00F43A3C">
        <w:rPr>
          <w:rFonts w:ascii="Times New (W1)" w:hAnsi="Times New (W1)"/>
          <w:sz w:val="24"/>
        </w:rPr>
        <w:t xml:space="preserve"> Construction Analyst:  </w:t>
      </w:r>
      <w:r w:rsidRPr="001C1CCB" w:rsidR="0075101A">
        <w:rPr>
          <w:rFonts w:ascii="Times New (W1)" w:hAnsi="Times New (W1)"/>
          <w:sz w:val="24"/>
        </w:rPr>
        <w:t xml:space="preserve">These consultants are employed for all NC/SR cases </w:t>
      </w:r>
      <w:r w:rsidRPr="001C1CCB" w:rsidR="00A172DC">
        <w:rPr>
          <w:rFonts w:ascii="Times New (W1)" w:hAnsi="Times New (W1)"/>
          <w:sz w:val="24"/>
        </w:rPr>
        <w:t xml:space="preserve">(20%) </w:t>
      </w:r>
      <w:r w:rsidRPr="001C1CCB" w:rsidR="0075101A">
        <w:rPr>
          <w:rFonts w:ascii="Times New (W1)" w:hAnsi="Times New (W1)"/>
          <w:sz w:val="24"/>
        </w:rPr>
        <w:t>and</w:t>
      </w:r>
      <w:r w:rsidRPr="001C1CCB" w:rsidR="00A172DC">
        <w:rPr>
          <w:rFonts w:ascii="Times New (W1)" w:hAnsi="Times New (W1)"/>
          <w:sz w:val="24"/>
        </w:rPr>
        <w:t xml:space="preserve"> existing properties</w:t>
      </w:r>
      <w:r w:rsidRPr="001C1CCB" w:rsidR="00835DAB">
        <w:rPr>
          <w:rFonts w:ascii="Times New (W1)" w:hAnsi="Times New (W1)"/>
          <w:sz w:val="24"/>
        </w:rPr>
        <w:t xml:space="preserve"> with </w:t>
      </w:r>
      <w:r w:rsidRPr="001C1CCB" w:rsidR="0098644F">
        <w:rPr>
          <w:rFonts w:ascii="Times New (W1)" w:hAnsi="Times New (W1)"/>
          <w:sz w:val="24"/>
        </w:rPr>
        <w:t xml:space="preserve">requested </w:t>
      </w:r>
      <w:r w:rsidRPr="001C1CCB" w:rsidR="0075101A">
        <w:rPr>
          <w:rFonts w:ascii="Times New (W1)" w:hAnsi="Times New (W1)"/>
          <w:sz w:val="24"/>
        </w:rPr>
        <w:t xml:space="preserve">green MIP </w:t>
      </w:r>
      <w:r w:rsidRPr="001C1CCB" w:rsidR="0098644F">
        <w:rPr>
          <w:rFonts w:ascii="Times New (W1)" w:hAnsi="Times New (W1)"/>
          <w:sz w:val="24"/>
        </w:rPr>
        <w:t>or other significant repairs &amp; alterations</w:t>
      </w:r>
      <w:r w:rsidRPr="001C1CCB" w:rsidR="00BC6826">
        <w:rPr>
          <w:rFonts w:ascii="Times New (W1)" w:hAnsi="Times New (W1)"/>
          <w:sz w:val="24"/>
        </w:rPr>
        <w:t xml:space="preserve"> (30%)</w:t>
      </w:r>
    </w:p>
    <w:p w:rsidR="007E77B6" w:rsidRPr="001C1CCB" w14:paraId="3DF36F09" w14:textId="77777777">
      <w:pPr>
        <w:ind w:firstLine="0"/>
        <w:rPr>
          <w:rFonts w:ascii="Times New (W1)" w:hAnsi="Times New (W1)"/>
          <w:sz w:val="24"/>
        </w:rPr>
      </w:pPr>
    </w:p>
    <w:p w:rsidR="007E77B6" w:rsidRPr="001C1CCB" w:rsidP="007E77B6" w14:paraId="2040C584" w14:textId="3757E471">
      <w:pPr>
        <w:ind w:firstLine="0"/>
        <w:rPr>
          <w:rFonts w:ascii="Times New (W1)" w:hAnsi="Times New (W1)"/>
          <w:sz w:val="24"/>
        </w:rPr>
      </w:pPr>
      <w:r w:rsidRPr="001C1CCB">
        <w:rPr>
          <w:rFonts w:ascii="Times New (W1)" w:hAnsi="Times New (W1)"/>
          <w:sz w:val="24"/>
        </w:rPr>
        <w:t xml:space="preserve">Row-Cost Not Attributable Adjustment:  </w:t>
      </w:r>
      <w:r w:rsidRPr="001C1CCB" w:rsidR="001F1C4C">
        <w:rPr>
          <w:rFonts w:ascii="Times New (W1)" w:hAnsi="Times New (W1)"/>
          <w:sz w:val="24"/>
        </w:rPr>
        <w:t>Third parties</w:t>
      </w:r>
      <w:r w:rsidRPr="001C1CCB">
        <w:rPr>
          <w:rFonts w:ascii="Times New (W1)" w:hAnsi="Times New (W1)"/>
          <w:sz w:val="24"/>
        </w:rPr>
        <w:t xml:space="preserve"> reported that they would save circa </w:t>
      </w:r>
      <w:r w:rsidRPr="001C1CCB" w:rsidR="001F1C4C">
        <w:rPr>
          <w:rFonts w:ascii="Times New (W1)" w:hAnsi="Times New (W1)"/>
          <w:sz w:val="24"/>
        </w:rPr>
        <w:t>16</w:t>
      </w:r>
      <w:r w:rsidRPr="001C1CCB">
        <w:rPr>
          <w:rFonts w:ascii="Times New (W1)" w:hAnsi="Times New (W1)"/>
          <w:sz w:val="24"/>
        </w:rPr>
        <w:t xml:space="preserve"> burden hours on </w:t>
      </w:r>
      <w:r w:rsidRPr="001C1CCB" w:rsidR="001F1C4C">
        <w:rPr>
          <w:rFonts w:ascii="Times New (W1)" w:hAnsi="Times New (W1)"/>
          <w:sz w:val="24"/>
        </w:rPr>
        <w:t>5</w:t>
      </w:r>
      <w:r w:rsidRPr="001C1CCB">
        <w:rPr>
          <w:rFonts w:ascii="Times New (W1)" w:hAnsi="Times New (W1)"/>
          <w:sz w:val="24"/>
        </w:rPr>
        <w:t>% of cases relative to their overall average per Firm Commitments</w:t>
      </w:r>
    </w:p>
    <w:p w:rsidR="004505F9" w:rsidRPr="001C1CCB" w:rsidP="004505F9" w14:paraId="47543057" w14:textId="77777777">
      <w:pPr>
        <w:spacing w:before="120" w:after="360"/>
        <w:ind w:firstLine="720"/>
        <w:jc w:val="both"/>
        <w:rPr>
          <w:rFonts w:ascii="Times New (W1)" w:hAnsi="Times New (W1)"/>
          <w:sz w:val="24"/>
        </w:rPr>
      </w:pPr>
      <w:bookmarkStart w:id="2" w:name="_Hlk58592710"/>
    </w:p>
    <w:p w:rsidR="00C9394D" w:rsidRPr="001C1CCB" w:rsidP="00B808E3" w14:paraId="461C5877" w14:textId="0D6434EA">
      <w:pPr>
        <w:spacing w:after="240"/>
        <w:ind w:left="720" w:hanging="360"/>
        <w:jc w:val="both"/>
        <w:rPr>
          <w:rFonts w:ascii="Times New (W1)" w:hAnsi="Times New (W1)"/>
          <w:sz w:val="24"/>
        </w:rPr>
      </w:pPr>
      <w:r w:rsidRPr="001C1CCB">
        <w:rPr>
          <w:rFonts w:ascii="Times New (W1)" w:hAnsi="Times New (W1)"/>
          <w:sz w:val="24"/>
        </w:rPr>
        <w:t>14.</w:t>
      </w:r>
      <w:r w:rsidRPr="001C1CCB">
        <w:rPr>
          <w:rFonts w:ascii="Times New (W1)" w:hAnsi="Times New (W1)"/>
          <w:sz w:val="24"/>
        </w:rPr>
        <w:tab/>
      </w:r>
      <w:r w:rsidRPr="001C1CCB">
        <w:rPr>
          <w:rFonts w:ascii="Times New (W1)" w:hAnsi="Times New (W1)"/>
          <w:sz w:val="24"/>
          <w:u w:val="single"/>
        </w:rPr>
        <w:t>Cost to the Federal Governmen</w:t>
      </w:r>
      <w:r w:rsidRPr="001C1CCB" w:rsidR="008B59BC">
        <w:rPr>
          <w:rFonts w:ascii="Times New (W1)" w:hAnsi="Times New (W1)"/>
          <w:sz w:val="24"/>
          <w:u w:val="single"/>
        </w:rPr>
        <w:t xml:space="preserve">t </w:t>
      </w:r>
      <w:r w:rsidRPr="001C1CCB" w:rsidR="002F292A">
        <w:rPr>
          <w:rFonts w:ascii="Times New (W1)" w:hAnsi="Times New (W1)"/>
          <w:sz w:val="24"/>
          <w:u w:val="single"/>
        </w:rPr>
        <w:t>for</w:t>
      </w:r>
      <w:r w:rsidRPr="001C1CCB" w:rsidR="008B59BC">
        <w:rPr>
          <w:rFonts w:ascii="Times New (W1)" w:hAnsi="Times New (W1)"/>
          <w:sz w:val="24"/>
          <w:u w:val="single"/>
        </w:rPr>
        <w:t xml:space="preserve"> HUD MAP Review</w:t>
      </w:r>
      <w:r w:rsidRPr="001C1CCB">
        <w:rPr>
          <w:rFonts w:ascii="Times New (W1)" w:hAnsi="Times New (W1)"/>
          <w:sz w:val="24"/>
        </w:rPr>
        <w:t>:</w:t>
      </w:r>
    </w:p>
    <w:p w:rsidR="00623A83" w:rsidRPr="001C1CCB" w:rsidP="00051DF4" w14:paraId="6A577374" w14:textId="5EC054B6">
      <w:pPr>
        <w:spacing w:after="240"/>
        <w:ind w:left="720" w:firstLine="0"/>
        <w:jc w:val="both"/>
        <w:rPr>
          <w:rFonts w:ascii="Times New (W1)" w:hAnsi="Times New (W1)"/>
          <w:sz w:val="24"/>
        </w:rPr>
      </w:pPr>
      <w:r w:rsidRPr="001C1CCB">
        <w:rPr>
          <w:rFonts w:ascii="Times New (W1)" w:hAnsi="Times New (W1)"/>
          <w:sz w:val="24"/>
        </w:rPr>
        <w:t xml:space="preserve">Cost to the federal government includes only the hourly wage rate of employees directly involved and excludes </w:t>
      </w:r>
      <w:r w:rsidRPr="001C1CCB" w:rsidR="00051DF4">
        <w:rPr>
          <w:rFonts w:ascii="Times New (W1)" w:hAnsi="Times New (W1)"/>
          <w:sz w:val="24"/>
        </w:rPr>
        <w:t xml:space="preserve">employee benefits and overhead costs of administration, office space, </w:t>
      </w:r>
      <w:r w:rsidRPr="001C1CCB" w:rsidR="00F70059">
        <w:rPr>
          <w:rFonts w:ascii="Times New (W1)" w:hAnsi="Times New (W1)"/>
          <w:sz w:val="24"/>
        </w:rPr>
        <w:t>systems, etc.</w:t>
      </w:r>
      <w:r w:rsidRPr="001C1CCB" w:rsidR="006D05E3">
        <w:rPr>
          <w:rFonts w:ascii="Times New (W1)" w:hAnsi="Times New (W1)"/>
          <w:sz w:val="24"/>
        </w:rPr>
        <w:t xml:space="preserve">  </w:t>
      </w:r>
      <w:r w:rsidRPr="001C1CCB" w:rsidR="00BE3079">
        <w:rPr>
          <w:rFonts w:ascii="Times New (W1)" w:hAnsi="Times New (W1)"/>
          <w:sz w:val="24"/>
        </w:rPr>
        <w:t>The t</w:t>
      </w:r>
      <w:r w:rsidRPr="001C1CCB" w:rsidR="006D05E3">
        <w:rPr>
          <w:rFonts w:ascii="Times New (W1)" w:hAnsi="Times New (W1)"/>
          <w:sz w:val="24"/>
        </w:rPr>
        <w:t>otal</w:t>
      </w:r>
      <w:r w:rsidRPr="001C1CCB" w:rsidR="00BE3079">
        <w:rPr>
          <w:rFonts w:ascii="Times New (W1)" w:hAnsi="Times New (W1)"/>
          <w:sz w:val="24"/>
        </w:rPr>
        <w:t xml:space="preserve"> </w:t>
      </w:r>
      <w:r w:rsidRPr="001C1CCB" w:rsidR="002F292A">
        <w:rPr>
          <w:rFonts w:ascii="Times New (W1)" w:hAnsi="Times New (W1)"/>
          <w:sz w:val="24"/>
        </w:rPr>
        <w:t>of these</w:t>
      </w:r>
      <w:r w:rsidRPr="001C1CCB" w:rsidR="00BE3079">
        <w:rPr>
          <w:rFonts w:ascii="Times New (W1)" w:hAnsi="Times New (W1)"/>
          <w:sz w:val="24"/>
        </w:rPr>
        <w:t xml:space="preserve"> </w:t>
      </w:r>
      <w:r w:rsidRPr="001C1CCB" w:rsidR="006D05E3">
        <w:rPr>
          <w:rFonts w:ascii="Times New (W1)" w:hAnsi="Times New (W1)"/>
          <w:sz w:val="24"/>
        </w:rPr>
        <w:t>costs</w:t>
      </w:r>
      <w:r w:rsidRPr="001C1CCB" w:rsidR="00BE3079">
        <w:rPr>
          <w:rFonts w:ascii="Times New (W1)" w:hAnsi="Times New (W1)"/>
          <w:sz w:val="24"/>
        </w:rPr>
        <w:t xml:space="preserve"> is estimated at </w:t>
      </w:r>
      <w:r w:rsidRPr="001C1CCB" w:rsidR="000D61B2">
        <w:rPr>
          <w:rFonts w:ascii="Times New (W1)" w:hAnsi="Times New (W1)"/>
          <w:sz w:val="24"/>
        </w:rPr>
        <w:t>$</w:t>
      </w:r>
      <w:r w:rsidRPr="001C1CCB" w:rsidR="00AF1EDC">
        <w:rPr>
          <w:rFonts w:ascii="Times New (W1)" w:hAnsi="Times New (W1)"/>
          <w:sz w:val="24"/>
        </w:rPr>
        <w:t>8,02</w:t>
      </w:r>
      <w:r w:rsidRPr="001C1CCB" w:rsidR="00C354AE">
        <w:rPr>
          <w:rFonts w:ascii="Times New (W1)" w:hAnsi="Times New (W1)"/>
          <w:sz w:val="24"/>
        </w:rPr>
        <w:t>4,226</w:t>
      </w:r>
      <w:r w:rsidRPr="001C1CCB" w:rsidR="00AF1EDC">
        <w:rPr>
          <w:rFonts w:ascii="Times New (W1)" w:hAnsi="Times New (W1)"/>
          <w:sz w:val="24"/>
        </w:rPr>
        <w:t>,</w:t>
      </w:r>
      <w:r w:rsidRPr="001C1CCB" w:rsidR="000D61B2">
        <w:rPr>
          <w:rFonts w:ascii="Times New (W1)" w:hAnsi="Times New (W1)"/>
          <w:sz w:val="24"/>
        </w:rPr>
        <w:t xml:space="preserve"> for both lender items and </w:t>
      </w:r>
      <w:r w:rsidRPr="001C1CCB" w:rsidR="00822865">
        <w:rPr>
          <w:rFonts w:ascii="Times New (W1)" w:hAnsi="Times New (W1)"/>
          <w:sz w:val="24"/>
        </w:rPr>
        <w:t>third-party</w:t>
      </w:r>
      <w:r w:rsidRPr="001C1CCB" w:rsidR="000D61B2">
        <w:rPr>
          <w:rFonts w:ascii="Times New (W1)" w:hAnsi="Times New (W1)"/>
          <w:sz w:val="24"/>
        </w:rPr>
        <w:t xml:space="preserve"> products.</w:t>
      </w:r>
      <w:r w:rsidRPr="001C1CCB" w:rsidR="006D05E3">
        <w:rPr>
          <w:rFonts w:ascii="Times New (W1)" w:hAnsi="Times New (W1)"/>
          <w:sz w:val="24"/>
        </w:rPr>
        <w:t xml:space="preserve"> </w:t>
      </w:r>
    </w:p>
    <w:p w:rsidR="00406006" w:rsidRPr="001C1CCB" w:rsidP="00B808E3" w14:paraId="4C143D4E" w14:textId="19200CF2">
      <w:pPr>
        <w:spacing w:after="240"/>
        <w:ind w:left="720" w:hanging="360"/>
        <w:jc w:val="both"/>
        <w:rPr>
          <w:rFonts w:ascii="Times New (W1)" w:hAnsi="Times New (W1)"/>
          <w:sz w:val="24"/>
        </w:rPr>
      </w:pPr>
      <w:r w:rsidRPr="001C1CCB">
        <w:rPr>
          <w:rFonts w:ascii="Times New (W1)" w:hAnsi="Times New (W1)"/>
          <w:sz w:val="24"/>
        </w:rPr>
        <w:t>Lender Prepared Items:</w:t>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9"/>
        <w:gridCol w:w="1326"/>
        <w:gridCol w:w="23"/>
        <w:gridCol w:w="1327"/>
        <w:gridCol w:w="23"/>
        <w:gridCol w:w="1417"/>
        <w:gridCol w:w="1170"/>
        <w:gridCol w:w="23"/>
        <w:gridCol w:w="1057"/>
        <w:gridCol w:w="1260"/>
        <w:gridCol w:w="1530"/>
      </w:tblGrid>
      <w:tr w14:paraId="2F9C4C9F" w14:textId="77777777" w:rsidTr="00321437">
        <w:tblPrEx>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0ACB0ABA" w14:textId="77777777">
            <w:pPr>
              <w:ind w:left="720" w:hanging="360"/>
              <w:rPr>
                <w:rFonts w:ascii="Times New Roman" w:hAnsi="Times New Roman"/>
                <w:b/>
                <w:bCs/>
                <w:sz w:val="20"/>
                <w:szCs w:val="20"/>
              </w:rPr>
            </w:pPr>
            <w:r w:rsidRPr="001C1CCB">
              <w:rPr>
                <w:rFonts w:ascii="Times New Roman" w:hAnsi="Times New Roman"/>
                <w:b/>
                <w:bCs/>
                <w:sz w:val="20"/>
                <w:szCs w:val="20"/>
              </w:rPr>
              <w:t>A</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2A672FF4" w14:textId="77777777">
            <w:pPr>
              <w:ind w:firstLine="0"/>
              <w:jc w:val="center"/>
              <w:rPr>
                <w:rFonts w:ascii="Times New Roman" w:hAnsi="Times New Roman"/>
                <w:b/>
                <w:bCs/>
                <w:sz w:val="20"/>
                <w:szCs w:val="20"/>
              </w:rPr>
            </w:pPr>
            <w:r w:rsidRPr="001C1CCB">
              <w:rPr>
                <w:rFonts w:ascii="Times New Roman" w:hAnsi="Times New Roman"/>
                <w:b/>
                <w:bCs/>
                <w:sz w:val="20"/>
                <w:szCs w:val="20"/>
              </w:rPr>
              <w:t>B</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53A767D3" w14:textId="77777777">
            <w:pPr>
              <w:ind w:firstLine="0"/>
              <w:jc w:val="center"/>
              <w:rPr>
                <w:rFonts w:ascii="Times New Roman" w:hAnsi="Times New Roman"/>
                <w:b/>
                <w:bCs/>
                <w:sz w:val="20"/>
                <w:szCs w:val="20"/>
              </w:rPr>
            </w:pPr>
            <w:r w:rsidRPr="001C1CCB">
              <w:rPr>
                <w:rFonts w:ascii="Times New Roman" w:hAnsi="Times New Roman"/>
                <w:b/>
                <w:bCs/>
                <w:sz w:val="20"/>
                <w:szCs w:val="20"/>
              </w:rPr>
              <w:t>C</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5846EEBB" w14:textId="77777777">
            <w:pPr>
              <w:ind w:firstLine="0"/>
              <w:jc w:val="center"/>
              <w:rPr>
                <w:rFonts w:ascii="Times New Roman" w:hAnsi="Times New Roman"/>
                <w:b/>
                <w:bCs/>
                <w:sz w:val="20"/>
                <w:szCs w:val="20"/>
              </w:rPr>
            </w:pPr>
            <w:r w:rsidRPr="001C1CCB">
              <w:rPr>
                <w:rFonts w:ascii="Times New Roman" w:hAnsi="Times New Roman"/>
                <w:b/>
                <w:bCs/>
                <w:sz w:val="20"/>
                <w:szCs w:val="20"/>
              </w:rPr>
              <w:t>D</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3441570C" w14:textId="77777777">
            <w:pPr>
              <w:ind w:firstLine="0"/>
              <w:jc w:val="center"/>
              <w:rPr>
                <w:rFonts w:ascii="Times New Roman" w:hAnsi="Times New Roman"/>
                <w:b/>
                <w:bCs/>
                <w:sz w:val="20"/>
                <w:szCs w:val="20"/>
              </w:rPr>
            </w:pPr>
            <w:r w:rsidRPr="001C1CCB">
              <w:rPr>
                <w:rFonts w:ascii="Times New Roman" w:hAnsi="Times New Roman"/>
                <w:b/>
                <w:bCs/>
                <w:sz w:val="20"/>
                <w:szCs w:val="20"/>
              </w:rPr>
              <w:t>E</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49B53C67" w14:textId="77777777">
            <w:pPr>
              <w:ind w:firstLine="0"/>
              <w:jc w:val="center"/>
              <w:rPr>
                <w:rFonts w:ascii="Times New Roman" w:hAnsi="Times New Roman"/>
                <w:b/>
                <w:bCs/>
                <w:sz w:val="20"/>
                <w:szCs w:val="20"/>
              </w:rPr>
            </w:pPr>
            <w:r w:rsidRPr="001C1CCB">
              <w:rPr>
                <w:rFonts w:ascii="Times New Roman" w:hAnsi="Times New Roman"/>
                <w:b/>
                <w:bCs/>
                <w:sz w:val="20"/>
                <w:szCs w:val="20"/>
              </w:rPr>
              <w:t>F</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48DB1B7A" w14:textId="77777777">
            <w:pPr>
              <w:ind w:firstLine="0"/>
              <w:jc w:val="center"/>
              <w:rPr>
                <w:rFonts w:ascii="Times New Roman" w:hAnsi="Times New Roman"/>
                <w:sz w:val="20"/>
                <w:szCs w:val="20"/>
              </w:rPr>
            </w:pPr>
            <w:r w:rsidRPr="001C1CCB">
              <w:rPr>
                <w:rFonts w:ascii="Times New Roman" w:hAnsi="Times New Roman"/>
                <w:sz w:val="20"/>
                <w:szCs w:val="20"/>
              </w:rPr>
              <w:t>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18B9EBEB" w14:textId="77777777">
            <w:pPr>
              <w:ind w:firstLine="0"/>
              <w:jc w:val="center"/>
              <w:rPr>
                <w:rFonts w:ascii="Times New Roman" w:hAnsi="Times New Roman"/>
                <w:b/>
                <w:bCs/>
                <w:sz w:val="20"/>
                <w:szCs w:val="20"/>
              </w:rPr>
            </w:pPr>
            <w:r w:rsidRPr="001C1CCB">
              <w:rPr>
                <w:rFonts w:ascii="Times New Roman" w:hAnsi="Times New Roman"/>
                <w:b/>
                <w:bCs/>
                <w:sz w:val="20"/>
                <w:szCs w:val="20"/>
              </w:rPr>
              <w:t>H</w:t>
            </w:r>
          </w:p>
        </w:tc>
      </w:tr>
      <w:tr w14:paraId="66B32479" w14:textId="77777777" w:rsidTr="00321437">
        <w:tblPrEx>
          <w:tblW w:w="11065" w:type="dxa"/>
          <w:tblLayout w:type="fixed"/>
          <w:tblLook w:val="00A0"/>
        </w:tblPrEx>
        <w:trPr>
          <w:tblHeader/>
        </w:trPr>
        <w:tc>
          <w:tcPr>
            <w:tcW w:w="1909" w:type="dxa"/>
            <w:tcBorders>
              <w:top w:val="single" w:sz="4" w:space="0" w:color="auto"/>
              <w:left w:val="single" w:sz="4" w:space="0" w:color="auto"/>
              <w:bottom w:val="nil"/>
              <w:right w:val="single" w:sz="4" w:space="0" w:color="auto"/>
            </w:tcBorders>
            <w:shd w:val="clear" w:color="auto" w:fill="auto"/>
            <w:hideMark/>
          </w:tcPr>
          <w:p w:rsidR="00F812A3" w:rsidRPr="001C1CCB" w:rsidP="006825C6" w14:paraId="1A3436B9" w14:textId="77777777">
            <w:pPr>
              <w:ind w:firstLine="0"/>
              <w:jc w:val="center"/>
              <w:rPr>
                <w:rFonts w:ascii="Times New Roman" w:hAnsi="Times New Roman"/>
                <w:b/>
                <w:bCs/>
                <w:sz w:val="20"/>
                <w:szCs w:val="20"/>
              </w:rPr>
            </w:pPr>
            <w:r w:rsidRPr="001C1CCB">
              <w:rPr>
                <w:rFonts w:ascii="Times New Roman" w:hAnsi="Times New Roman"/>
                <w:b/>
                <w:bCs/>
                <w:sz w:val="20"/>
                <w:szCs w:val="20"/>
              </w:rPr>
              <w:t>Information Collection</w:t>
            </w:r>
          </w:p>
          <w:p w:rsidR="00F812A3" w:rsidRPr="001C1CCB" w:rsidP="006825C6" w14:paraId="60240B35" w14:textId="77777777">
            <w:pPr>
              <w:ind w:firstLine="0"/>
              <w:jc w:val="center"/>
              <w:rPr>
                <w:rFonts w:ascii="Times New Roman" w:hAnsi="Times New Roman"/>
                <w:b/>
                <w:bCs/>
                <w:sz w:val="20"/>
                <w:szCs w:val="20"/>
              </w:rPr>
            </w:pPr>
            <w:r w:rsidRPr="001C1CCB">
              <w:rPr>
                <w:rFonts w:ascii="Times New Roman" w:hAnsi="Times New Roman"/>
                <w:b/>
                <w:bCs/>
                <w:sz w:val="20"/>
                <w:szCs w:val="20"/>
              </w:rPr>
              <w:t>Item</w:t>
            </w:r>
          </w:p>
        </w:tc>
        <w:tc>
          <w:tcPr>
            <w:tcW w:w="1349" w:type="dxa"/>
            <w:gridSpan w:val="2"/>
            <w:tcBorders>
              <w:top w:val="single" w:sz="4" w:space="0" w:color="auto"/>
              <w:left w:val="single" w:sz="4" w:space="0" w:color="auto"/>
              <w:bottom w:val="nil"/>
              <w:right w:val="single" w:sz="4" w:space="0" w:color="auto"/>
            </w:tcBorders>
            <w:shd w:val="clear" w:color="auto" w:fill="auto"/>
            <w:hideMark/>
          </w:tcPr>
          <w:p w:rsidR="00F812A3" w:rsidRPr="001C1CCB" w:rsidP="006825C6" w14:paraId="61CECC57" w14:textId="77777777">
            <w:pPr>
              <w:ind w:firstLine="0"/>
              <w:jc w:val="center"/>
              <w:rPr>
                <w:rFonts w:ascii="Times New Roman" w:hAnsi="Times New Roman"/>
                <w:b/>
                <w:bCs/>
                <w:sz w:val="20"/>
                <w:szCs w:val="20"/>
              </w:rPr>
            </w:pPr>
            <w:r w:rsidRPr="001C1CCB">
              <w:rPr>
                <w:rFonts w:ascii="Times New Roman" w:hAnsi="Times New Roman"/>
                <w:b/>
                <w:bCs/>
                <w:sz w:val="20"/>
                <w:szCs w:val="20"/>
              </w:rPr>
              <w:t>Number of Respondents (Lenders)</w:t>
            </w:r>
          </w:p>
        </w:tc>
        <w:tc>
          <w:tcPr>
            <w:tcW w:w="1350" w:type="dxa"/>
            <w:gridSpan w:val="2"/>
            <w:tcBorders>
              <w:top w:val="single" w:sz="4" w:space="0" w:color="auto"/>
              <w:left w:val="single" w:sz="4" w:space="0" w:color="auto"/>
              <w:bottom w:val="nil"/>
              <w:right w:val="single" w:sz="4" w:space="0" w:color="auto"/>
            </w:tcBorders>
            <w:shd w:val="clear" w:color="auto" w:fill="auto"/>
            <w:hideMark/>
          </w:tcPr>
          <w:p w:rsidR="00F812A3" w:rsidRPr="001C1CCB" w:rsidP="006825C6" w14:paraId="55820883" w14:textId="77777777">
            <w:pPr>
              <w:ind w:firstLine="0"/>
              <w:jc w:val="center"/>
              <w:rPr>
                <w:rFonts w:ascii="Times New Roman" w:hAnsi="Times New Roman"/>
                <w:b/>
                <w:bCs/>
                <w:sz w:val="20"/>
                <w:szCs w:val="20"/>
              </w:rPr>
            </w:pPr>
            <w:r w:rsidRPr="001C1CCB">
              <w:rPr>
                <w:rFonts w:ascii="Times New Roman" w:hAnsi="Times New Roman"/>
                <w:b/>
                <w:bCs/>
                <w:sz w:val="20"/>
                <w:szCs w:val="20"/>
              </w:rPr>
              <w:t>Frequency of Response (1 avg appl.)</w:t>
            </w:r>
          </w:p>
        </w:tc>
        <w:tc>
          <w:tcPr>
            <w:tcW w:w="1417" w:type="dxa"/>
            <w:tcBorders>
              <w:top w:val="single" w:sz="4" w:space="0" w:color="auto"/>
              <w:left w:val="single" w:sz="4" w:space="0" w:color="auto"/>
              <w:bottom w:val="nil"/>
              <w:right w:val="single" w:sz="4" w:space="0" w:color="auto"/>
            </w:tcBorders>
            <w:shd w:val="clear" w:color="auto" w:fill="auto"/>
            <w:hideMark/>
          </w:tcPr>
          <w:p w:rsidR="00F812A3" w:rsidRPr="001C1CCB" w:rsidP="006825C6" w14:paraId="788D5A6F" w14:textId="77777777">
            <w:pPr>
              <w:ind w:firstLine="0"/>
              <w:jc w:val="center"/>
              <w:rPr>
                <w:rFonts w:ascii="Times New Roman" w:hAnsi="Times New Roman"/>
                <w:b/>
                <w:bCs/>
                <w:sz w:val="20"/>
                <w:szCs w:val="20"/>
              </w:rPr>
            </w:pPr>
            <w:r w:rsidRPr="001C1CCB">
              <w:rPr>
                <w:rFonts w:ascii="Times New Roman" w:hAnsi="Times New Roman"/>
                <w:b/>
                <w:bCs/>
                <w:sz w:val="20"/>
                <w:szCs w:val="20"/>
              </w:rPr>
              <w:t>Total Annual Responses (B x C)</w:t>
            </w:r>
          </w:p>
        </w:tc>
        <w:tc>
          <w:tcPr>
            <w:tcW w:w="1193" w:type="dxa"/>
            <w:gridSpan w:val="2"/>
            <w:tcBorders>
              <w:top w:val="single" w:sz="4" w:space="0" w:color="auto"/>
              <w:left w:val="single" w:sz="4" w:space="0" w:color="auto"/>
              <w:bottom w:val="nil"/>
              <w:right w:val="single" w:sz="4" w:space="0" w:color="auto"/>
            </w:tcBorders>
            <w:shd w:val="clear" w:color="auto" w:fill="auto"/>
          </w:tcPr>
          <w:p w:rsidR="00F812A3" w:rsidRPr="001C1CCB" w:rsidP="006825C6" w14:paraId="61D35426" w14:textId="77777777">
            <w:pPr>
              <w:ind w:firstLine="0"/>
              <w:jc w:val="center"/>
              <w:rPr>
                <w:rFonts w:ascii="Times New Roman" w:hAnsi="Times New Roman"/>
                <w:b/>
                <w:bCs/>
                <w:sz w:val="20"/>
                <w:szCs w:val="20"/>
              </w:rPr>
            </w:pPr>
            <w:r w:rsidRPr="001C1CCB">
              <w:rPr>
                <w:rFonts w:ascii="Times New Roman" w:hAnsi="Times New Roman"/>
                <w:b/>
                <w:bCs/>
                <w:sz w:val="20"/>
                <w:szCs w:val="20"/>
              </w:rPr>
              <w:t>Burden Hour Per Response</w:t>
            </w:r>
          </w:p>
        </w:tc>
        <w:tc>
          <w:tcPr>
            <w:tcW w:w="1057" w:type="dxa"/>
            <w:tcBorders>
              <w:top w:val="single" w:sz="4" w:space="0" w:color="auto"/>
              <w:left w:val="single" w:sz="4" w:space="0" w:color="auto"/>
              <w:bottom w:val="nil"/>
              <w:right w:val="single" w:sz="4" w:space="0" w:color="auto"/>
            </w:tcBorders>
            <w:shd w:val="clear" w:color="auto" w:fill="auto"/>
            <w:hideMark/>
          </w:tcPr>
          <w:p w:rsidR="00F812A3" w:rsidRPr="001C1CCB" w:rsidP="006825C6" w14:paraId="03503184" w14:textId="77777777">
            <w:pPr>
              <w:ind w:firstLine="0"/>
              <w:jc w:val="center"/>
              <w:rPr>
                <w:rFonts w:ascii="Times New Roman" w:hAnsi="Times New Roman"/>
                <w:b/>
                <w:bCs/>
                <w:sz w:val="20"/>
                <w:szCs w:val="20"/>
              </w:rPr>
            </w:pPr>
            <w:r w:rsidRPr="001C1CCB">
              <w:rPr>
                <w:rFonts w:ascii="Times New Roman" w:hAnsi="Times New Roman"/>
                <w:b/>
                <w:bCs/>
                <w:sz w:val="20"/>
                <w:szCs w:val="20"/>
              </w:rPr>
              <w:t>Burden Hrs/Yr (D x E)</w:t>
            </w:r>
          </w:p>
        </w:tc>
        <w:tc>
          <w:tcPr>
            <w:tcW w:w="1260" w:type="dxa"/>
            <w:tcBorders>
              <w:top w:val="single" w:sz="4" w:space="0" w:color="auto"/>
              <w:left w:val="single" w:sz="4" w:space="0" w:color="auto"/>
              <w:bottom w:val="nil"/>
              <w:right w:val="single" w:sz="4" w:space="0" w:color="auto"/>
            </w:tcBorders>
            <w:shd w:val="clear" w:color="auto" w:fill="auto"/>
          </w:tcPr>
          <w:p w:rsidR="00F812A3" w:rsidRPr="001C1CCB" w:rsidP="006825C6" w14:paraId="36884429" w14:textId="77777777">
            <w:pPr>
              <w:ind w:firstLine="0"/>
              <w:jc w:val="center"/>
              <w:rPr>
                <w:rFonts w:ascii="Times New Roman" w:hAnsi="Times New Roman"/>
                <w:b/>
                <w:bCs/>
                <w:sz w:val="20"/>
                <w:szCs w:val="20"/>
              </w:rPr>
            </w:pPr>
            <w:r w:rsidRPr="001C1CCB">
              <w:rPr>
                <w:rFonts w:ascii="Times New Roman" w:hAnsi="Times New Roman"/>
                <w:b/>
                <w:bCs/>
                <w:sz w:val="20"/>
                <w:szCs w:val="20"/>
              </w:rPr>
              <w:t>Hourly Cost Per Response)</w:t>
            </w:r>
          </w:p>
        </w:tc>
        <w:tc>
          <w:tcPr>
            <w:tcW w:w="1530" w:type="dxa"/>
            <w:tcBorders>
              <w:top w:val="single" w:sz="4" w:space="0" w:color="auto"/>
              <w:left w:val="single" w:sz="4" w:space="0" w:color="auto"/>
              <w:bottom w:val="nil"/>
              <w:right w:val="single" w:sz="4" w:space="0" w:color="auto"/>
            </w:tcBorders>
            <w:shd w:val="clear" w:color="auto" w:fill="auto"/>
            <w:hideMark/>
          </w:tcPr>
          <w:p w:rsidR="00F812A3" w:rsidRPr="001C1CCB" w:rsidP="006825C6" w14:paraId="24AB9D02" w14:textId="77777777">
            <w:pPr>
              <w:ind w:firstLine="0"/>
              <w:jc w:val="center"/>
              <w:rPr>
                <w:rFonts w:ascii="Times New Roman" w:hAnsi="Times New Roman"/>
                <w:b/>
                <w:bCs/>
                <w:sz w:val="20"/>
                <w:szCs w:val="20"/>
              </w:rPr>
            </w:pPr>
            <w:r w:rsidRPr="001C1CCB">
              <w:rPr>
                <w:rFonts w:ascii="Times New Roman" w:hAnsi="Times New Roman"/>
                <w:b/>
                <w:bCs/>
                <w:sz w:val="20"/>
                <w:szCs w:val="20"/>
              </w:rPr>
              <w:t>Total Annual Cost (F x G)</w:t>
            </w:r>
          </w:p>
        </w:tc>
      </w:tr>
      <w:tr w14:paraId="541CBAE7" w14:textId="77777777" w:rsidTr="00DC4AC2">
        <w:tblPrEx>
          <w:tblW w:w="11065" w:type="dxa"/>
          <w:tblLayout w:type="fixed"/>
          <w:tblLook w:val="00A0"/>
        </w:tblPrEx>
        <w:trPr>
          <w:cantSplit/>
          <w:trHeight w:val="338"/>
          <w:tblHeader/>
        </w:trPr>
        <w:tc>
          <w:tcPr>
            <w:tcW w:w="1106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12A3" w:rsidRPr="001C1CCB" w:rsidP="006825C6" w14:paraId="018B327E" w14:textId="77777777">
            <w:pPr>
              <w:ind w:firstLine="0"/>
              <w:rPr>
                <w:rFonts w:ascii="Times New Roman" w:hAnsi="Times New Roman"/>
                <w:b/>
                <w:bCs/>
                <w:sz w:val="20"/>
                <w:szCs w:val="20"/>
              </w:rPr>
            </w:pPr>
            <w:r w:rsidRPr="001C1CCB">
              <w:rPr>
                <w:rFonts w:ascii="Times New Roman" w:hAnsi="Times New Roman"/>
                <w:b/>
                <w:bCs/>
                <w:sz w:val="20"/>
                <w:szCs w:val="20"/>
              </w:rPr>
              <w:t>Non-Standard Practice Forms Required for All Applications:</w:t>
            </w:r>
          </w:p>
        </w:tc>
      </w:tr>
      <w:tr w14:paraId="5C8A7FEF" w14:textId="77777777" w:rsidTr="00321437">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hideMark/>
          </w:tcPr>
          <w:p w:rsidR="00F812A3" w:rsidRPr="001C1CCB" w:rsidP="006825C6" w14:paraId="6D3B136C" w14:textId="77777777">
            <w:pPr>
              <w:ind w:firstLine="0"/>
              <w:rPr>
                <w:rFonts w:ascii="Times New Roman" w:hAnsi="Times New Roman"/>
                <w:sz w:val="20"/>
                <w:szCs w:val="20"/>
              </w:rPr>
            </w:pPr>
            <w:r w:rsidRPr="001C1CCB">
              <w:rPr>
                <w:rFonts w:ascii="Times New Roman" w:hAnsi="Times New Roman"/>
                <w:sz w:val="20"/>
                <w:szCs w:val="20"/>
              </w:rPr>
              <w:t>Lenders Narrative Report  (includes non - form Certifications )</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hideMark/>
          </w:tcPr>
          <w:p w:rsidR="00F812A3" w:rsidRPr="001C1CCB" w:rsidP="006825C6" w14:paraId="0E6503EF" w14:textId="77777777">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F812A3" w:rsidRPr="001C1CCB" w:rsidP="006825C6" w14:paraId="5454984D" w14:textId="77777777">
            <w:pPr>
              <w:ind w:firstLine="0"/>
              <w:rPr>
                <w:rFonts w:ascii="Times New Roman" w:hAnsi="Times New Roman"/>
                <w:sz w:val="20"/>
                <w:szCs w:val="20"/>
              </w:rPr>
            </w:pPr>
            <w:r w:rsidRPr="001C1CCB">
              <w:rPr>
                <w:rFonts w:ascii="Times New Roman" w:hAnsi="Times New Roman"/>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812A3" w:rsidRPr="001C1CCB" w:rsidP="006825C6" w14:paraId="4C63AFD1" w14:textId="77777777">
            <w:pPr>
              <w:ind w:firstLine="0"/>
              <w:rPr>
                <w:rFonts w:ascii="Times New Roman" w:hAnsi="Times New Roman"/>
                <w:sz w:val="20"/>
                <w:szCs w:val="20"/>
              </w:rPr>
            </w:pPr>
            <w:r w:rsidRPr="001C1CCB">
              <w:rPr>
                <w:rFonts w:ascii="Times New Roman" w:hAnsi="Times New Roman"/>
                <w:sz w:val="20"/>
                <w:szCs w:val="20"/>
              </w:rPr>
              <w:t>86</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275CC9B5" w14:textId="77777777">
            <w:pPr>
              <w:ind w:firstLine="0"/>
              <w:rPr>
                <w:rFonts w:ascii="Times New Roman" w:hAnsi="Times New Roman"/>
                <w:sz w:val="20"/>
                <w:szCs w:val="20"/>
              </w:rPr>
            </w:pPr>
            <w:r w:rsidRPr="001C1CCB">
              <w:rPr>
                <w:rFonts w:ascii="Times New Roman" w:hAnsi="Times New Roman"/>
                <w:sz w:val="20"/>
                <w:szCs w:val="20"/>
              </w:rPr>
              <w:t>16.0</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F812A3" w:rsidRPr="001C1CCB" w:rsidP="006825C6" w14:paraId="2DB2E3FF" w14:textId="77777777">
            <w:pPr>
              <w:ind w:firstLine="0"/>
              <w:rPr>
                <w:rFonts w:ascii="Times New Roman" w:hAnsi="Times New Roman"/>
                <w:sz w:val="20"/>
                <w:szCs w:val="20"/>
              </w:rPr>
            </w:pPr>
            <w:r w:rsidRPr="001C1CCB">
              <w:rPr>
                <w:rFonts w:ascii="Times New Roman" w:hAnsi="Times New Roman"/>
                <w:sz w:val="20"/>
                <w:szCs w:val="20"/>
              </w:rPr>
              <w:t>1376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42E16CCD" w14:textId="6A370448">
            <w:pPr>
              <w:ind w:firstLine="0"/>
              <w:rPr>
                <w:rFonts w:ascii="Times New Roman" w:hAnsi="Times New Roman"/>
                <w:sz w:val="20"/>
                <w:szCs w:val="20"/>
              </w:rPr>
            </w:pPr>
            <w:r w:rsidRPr="001C1CCB">
              <w:rPr>
                <w:rFonts w:ascii="Times New Roman" w:hAnsi="Times New Roman"/>
                <w:sz w:val="20"/>
                <w:szCs w:val="20"/>
              </w:rPr>
              <w:t>$</w:t>
            </w:r>
            <w:r w:rsidRPr="001C1CCB" w:rsidR="00B145C5">
              <w:rPr>
                <w:rFonts w:ascii="Times New Roman" w:hAnsi="Times New Roman"/>
                <w:sz w:val="20"/>
                <w:szCs w:val="20"/>
              </w:rPr>
              <w:t>47.91</w:t>
            </w:r>
          </w:p>
          <w:p w:rsidR="00F812A3" w:rsidRPr="001C1CCB" w:rsidP="006825C6" w14:paraId="5D17D308" w14:textId="77777777">
            <w:pPr>
              <w:ind w:firstLine="0"/>
              <w:rPr>
                <w:rFonts w:ascii="Times New Roman" w:hAnsi="Times New Roman"/>
                <w:sz w:val="20"/>
                <w:szCs w:val="20"/>
              </w:rPr>
            </w:pPr>
            <w:r w:rsidRPr="001C1CCB">
              <w:rPr>
                <w:rFonts w:ascii="Times New Roman" w:hAnsi="Times New Roman"/>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812A3" w:rsidRPr="001C1CCB" w:rsidP="006825C6" w14:paraId="7607BC95" w14:textId="782E1785">
            <w:pPr>
              <w:ind w:firstLine="0"/>
              <w:rPr>
                <w:rFonts w:ascii="Times New Roman" w:hAnsi="Times New Roman"/>
                <w:sz w:val="20"/>
                <w:szCs w:val="20"/>
              </w:rPr>
            </w:pPr>
            <w:r w:rsidRPr="001C1CCB">
              <w:rPr>
                <w:rFonts w:ascii="Times New Roman" w:hAnsi="Times New Roman"/>
                <w:sz w:val="20"/>
                <w:szCs w:val="20"/>
              </w:rPr>
              <w:t>$</w:t>
            </w:r>
            <w:r w:rsidRPr="001C1CCB" w:rsidR="00133B32">
              <w:rPr>
                <w:rFonts w:ascii="Times New Roman" w:hAnsi="Times New Roman"/>
                <w:sz w:val="20"/>
                <w:szCs w:val="20"/>
              </w:rPr>
              <w:t>65,924</w:t>
            </w:r>
          </w:p>
          <w:p w:rsidR="00F812A3" w:rsidRPr="001C1CCB" w:rsidP="006825C6" w14:paraId="21DAA8CD" w14:textId="77777777">
            <w:pPr>
              <w:ind w:firstLine="0"/>
              <w:rPr>
                <w:rFonts w:ascii="Times New Roman" w:hAnsi="Times New Roman"/>
                <w:sz w:val="20"/>
                <w:szCs w:val="20"/>
              </w:rPr>
            </w:pPr>
            <w:r w:rsidRPr="001C1CCB">
              <w:rPr>
                <w:rFonts w:ascii="Times New Roman" w:hAnsi="Times New Roman"/>
                <w:sz w:val="20"/>
                <w:szCs w:val="20"/>
              </w:rPr>
              <w:t xml:space="preserve"> </w:t>
            </w:r>
          </w:p>
        </w:tc>
      </w:tr>
      <w:tr w14:paraId="76E8875C" w14:textId="77777777" w:rsidTr="00321437">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485AEE42" w14:textId="77777777">
            <w:pPr>
              <w:ind w:firstLine="0"/>
              <w:rPr>
                <w:rFonts w:ascii="Times New Roman" w:hAnsi="Times New Roman"/>
                <w:sz w:val="20"/>
                <w:szCs w:val="20"/>
              </w:rPr>
            </w:pPr>
            <w:r w:rsidRPr="001C1CCB">
              <w:rPr>
                <w:rFonts w:ascii="Times New Roman" w:hAnsi="Times New Roman"/>
                <w:sz w:val="20"/>
                <w:szCs w:val="20"/>
              </w:rPr>
              <w:t>Firm Commitment Extensions or  Amendments</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63732C2C" w14:textId="77777777">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547277CA" w14:textId="77777777">
            <w:pPr>
              <w:ind w:firstLine="0"/>
              <w:rPr>
                <w:rFonts w:ascii="Times New Roman" w:hAnsi="Times New Roman"/>
                <w:sz w:val="20"/>
                <w:szCs w:val="20"/>
              </w:rPr>
            </w:pPr>
            <w:r w:rsidRPr="001C1CCB">
              <w:rPr>
                <w:rFonts w:ascii="Times New Roman" w:hAnsi="Times New Roman"/>
                <w:sz w:val="20"/>
                <w:szCs w:val="20"/>
              </w:rPr>
              <w:t>77%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466A5820" w14:textId="77777777">
            <w:pPr>
              <w:ind w:firstLine="0"/>
              <w:rPr>
                <w:rFonts w:ascii="Times New Roman" w:hAnsi="Times New Roman"/>
                <w:sz w:val="20"/>
                <w:szCs w:val="20"/>
              </w:rPr>
            </w:pPr>
            <w:r w:rsidRPr="001C1CCB">
              <w:rPr>
                <w:rFonts w:ascii="Times New Roman" w:hAnsi="Times New Roman"/>
                <w:sz w:val="20"/>
                <w:szCs w:val="20"/>
              </w:rPr>
              <w:t>65.85</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78C391FF" w14:textId="4A78F536">
            <w:pPr>
              <w:ind w:firstLine="0"/>
              <w:rPr>
                <w:rFonts w:ascii="Times New Roman" w:hAnsi="Times New Roman"/>
                <w:sz w:val="20"/>
                <w:szCs w:val="20"/>
              </w:rPr>
            </w:pPr>
            <w:r w:rsidRPr="001C1CCB">
              <w:rPr>
                <w:rFonts w:ascii="Times New Roman" w:hAnsi="Times New Roman"/>
                <w:sz w:val="20"/>
                <w:szCs w:val="20"/>
              </w:rPr>
              <w:t>2.0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01C4E3B1" w14:textId="7C5F8462">
            <w:pPr>
              <w:ind w:firstLine="0"/>
              <w:rPr>
                <w:rFonts w:ascii="Times New Roman" w:hAnsi="Times New Roman"/>
                <w:sz w:val="20"/>
                <w:szCs w:val="20"/>
              </w:rPr>
            </w:pPr>
            <w:r w:rsidRPr="001C1CCB">
              <w:rPr>
                <w:rFonts w:ascii="Times New Roman" w:hAnsi="Times New Roman"/>
                <w:sz w:val="20"/>
                <w:szCs w:val="20"/>
              </w:rPr>
              <w:t>132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145C5" w:rsidRPr="001C1CCB" w:rsidP="00B145C5" w14:paraId="6E82A4F5" w14:textId="77777777">
            <w:pPr>
              <w:ind w:firstLine="0"/>
              <w:rPr>
                <w:rFonts w:ascii="Times New Roman" w:hAnsi="Times New Roman"/>
                <w:sz w:val="20"/>
                <w:szCs w:val="20"/>
              </w:rPr>
            </w:pPr>
            <w:r w:rsidRPr="001C1CCB">
              <w:rPr>
                <w:rFonts w:ascii="Times New Roman" w:hAnsi="Times New Roman"/>
                <w:sz w:val="20"/>
                <w:szCs w:val="20"/>
              </w:rPr>
              <w:t>$47.91</w:t>
            </w:r>
          </w:p>
          <w:p w:rsidR="00F812A3" w:rsidRPr="001C1CCB" w:rsidP="006825C6" w14:paraId="378BA5A6" w14:textId="77777777">
            <w:pPr>
              <w:ind w:firstLine="0"/>
              <w:rPr>
                <w:rFonts w:ascii="Times New Roman" w:hAnsi="Times New Roman"/>
                <w:sz w:val="20"/>
                <w:szCs w:val="20"/>
              </w:rPr>
            </w:pPr>
          </w:p>
          <w:p w:rsidR="00B145C5" w:rsidRPr="001C1CCB" w:rsidP="006825C6" w14:paraId="795FC11C" w14:textId="01E7E011">
            <w:pPr>
              <w:ind w:firstLine="0"/>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698037C6" w14:textId="29CDB28C">
            <w:pPr>
              <w:ind w:firstLine="0"/>
              <w:rPr>
                <w:rFonts w:ascii="Times New Roman" w:hAnsi="Times New Roman"/>
                <w:sz w:val="20"/>
                <w:szCs w:val="20"/>
              </w:rPr>
            </w:pPr>
            <w:r w:rsidRPr="001C1CCB">
              <w:rPr>
                <w:rFonts w:ascii="Times New Roman" w:hAnsi="Times New Roman"/>
                <w:sz w:val="20"/>
                <w:szCs w:val="20"/>
              </w:rPr>
              <w:t>$</w:t>
            </w:r>
            <w:r w:rsidRPr="001C1CCB" w:rsidR="00C33445">
              <w:rPr>
                <w:rFonts w:ascii="Times New Roman" w:hAnsi="Times New Roman"/>
                <w:sz w:val="20"/>
                <w:szCs w:val="20"/>
              </w:rPr>
              <w:t>6,310</w:t>
            </w:r>
            <w:r w:rsidRPr="001C1CCB">
              <w:rPr>
                <w:rFonts w:ascii="Times New Roman" w:hAnsi="Times New Roman"/>
                <w:sz w:val="20"/>
                <w:szCs w:val="20"/>
              </w:rPr>
              <w:t xml:space="preserve"> </w:t>
            </w:r>
          </w:p>
        </w:tc>
      </w:tr>
      <w:tr w14:paraId="2320528F" w14:textId="77777777" w:rsidTr="00321437">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519DCBDB" w14:textId="7EF12663">
            <w:pPr>
              <w:ind w:firstLine="0"/>
              <w:rPr>
                <w:rFonts w:ascii="Times New Roman" w:hAnsi="Times New Roman"/>
                <w:sz w:val="20"/>
                <w:szCs w:val="20"/>
              </w:rPr>
            </w:pPr>
            <w:r w:rsidRPr="001C1CCB">
              <w:rPr>
                <w:rFonts w:ascii="Times New Roman" w:hAnsi="Times New Roman"/>
                <w:sz w:val="20"/>
                <w:szCs w:val="20"/>
              </w:rPr>
              <w:t>Application Checklists</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2DA27F14" w14:textId="77777777">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4DF1F908" w14:textId="77777777">
            <w:pPr>
              <w:ind w:firstLine="0"/>
              <w:rPr>
                <w:rFonts w:ascii="Times New Roman" w:hAnsi="Times New Roman"/>
                <w:sz w:val="20"/>
                <w:szCs w:val="20"/>
              </w:rPr>
            </w:pPr>
            <w:r w:rsidRPr="001C1CCB">
              <w:rPr>
                <w:rFonts w:ascii="Times New Roman" w:hAnsi="Times New Roman"/>
                <w:sz w:val="20"/>
                <w:szCs w:val="20"/>
              </w:rPr>
              <w:t>100%</w:t>
            </w:r>
          </w:p>
          <w:p w:rsidR="00F812A3" w:rsidRPr="001C1CCB" w:rsidP="006825C6" w14:paraId="56EB8EC8" w14:textId="77777777">
            <w:pPr>
              <w:ind w:firstLine="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25D1778F" w14:textId="77777777">
            <w:pPr>
              <w:ind w:firstLine="0"/>
              <w:rPr>
                <w:rFonts w:ascii="Times New Roman" w:hAnsi="Times New Roman"/>
                <w:sz w:val="20"/>
                <w:szCs w:val="20"/>
              </w:rPr>
            </w:pPr>
            <w:r w:rsidRPr="001C1CCB">
              <w:rPr>
                <w:rFonts w:ascii="Times New Roman" w:hAnsi="Times New Roman"/>
                <w:sz w:val="20"/>
                <w:szCs w:val="20"/>
              </w:rPr>
              <w:t>86</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6FE467D0" w14:textId="72040AE8">
            <w:pPr>
              <w:ind w:firstLine="0"/>
              <w:rPr>
                <w:rFonts w:ascii="Times New Roman" w:hAnsi="Times New Roman"/>
                <w:sz w:val="20"/>
                <w:szCs w:val="20"/>
              </w:rPr>
            </w:pPr>
            <w:r w:rsidRPr="001C1CCB">
              <w:rPr>
                <w:rFonts w:ascii="Times New Roman" w:hAnsi="Times New Roman"/>
                <w:sz w:val="20"/>
                <w:szCs w:val="20"/>
              </w:rPr>
              <w:t>1.0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286F7F9D" w14:textId="76A51970">
            <w:pPr>
              <w:ind w:firstLine="0"/>
              <w:rPr>
                <w:rFonts w:ascii="Times New Roman" w:hAnsi="Times New Roman"/>
                <w:sz w:val="20"/>
                <w:szCs w:val="20"/>
              </w:rPr>
            </w:pPr>
            <w:r w:rsidRPr="001C1CCB">
              <w:rPr>
                <w:rFonts w:ascii="Times New Roman" w:hAnsi="Times New Roman"/>
                <w:sz w:val="20"/>
                <w:szCs w:val="20"/>
              </w:rPr>
              <w:t>86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145C5" w:rsidRPr="001C1CCB" w:rsidP="00B145C5" w14:paraId="5D4B8A3F" w14:textId="77777777">
            <w:pPr>
              <w:ind w:firstLine="0"/>
              <w:rPr>
                <w:rFonts w:ascii="Times New Roman" w:hAnsi="Times New Roman"/>
                <w:sz w:val="20"/>
                <w:szCs w:val="20"/>
              </w:rPr>
            </w:pPr>
            <w:r w:rsidRPr="001C1CCB">
              <w:rPr>
                <w:rFonts w:ascii="Times New Roman" w:hAnsi="Times New Roman"/>
                <w:sz w:val="20"/>
                <w:szCs w:val="20"/>
              </w:rPr>
              <w:t>$47.91</w:t>
            </w:r>
          </w:p>
          <w:p w:rsidR="00F812A3" w:rsidRPr="001C1CCB" w:rsidP="006825C6" w14:paraId="587F76FC" w14:textId="0DBE6C40">
            <w:pPr>
              <w:ind w:firstLine="0"/>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2D04904B" w14:textId="751B0ECA">
            <w:pPr>
              <w:ind w:firstLine="0"/>
              <w:rPr>
                <w:rFonts w:ascii="Times New Roman" w:hAnsi="Times New Roman"/>
                <w:sz w:val="20"/>
                <w:szCs w:val="20"/>
              </w:rPr>
            </w:pPr>
            <w:r w:rsidRPr="001C1CCB">
              <w:rPr>
                <w:rFonts w:ascii="Times New Roman" w:hAnsi="Times New Roman"/>
                <w:sz w:val="20"/>
                <w:szCs w:val="20"/>
              </w:rPr>
              <w:t>$</w:t>
            </w:r>
            <w:r w:rsidRPr="001C1CCB" w:rsidR="00CD1C52">
              <w:rPr>
                <w:rFonts w:ascii="Times New Roman" w:hAnsi="Times New Roman"/>
                <w:sz w:val="20"/>
                <w:szCs w:val="20"/>
              </w:rPr>
              <w:t>4,120</w:t>
            </w:r>
          </w:p>
        </w:tc>
      </w:tr>
      <w:tr w14:paraId="5556E03B" w14:textId="77777777" w:rsidTr="00321437">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000000" w:themeFill="text1"/>
            <w:hideMark/>
          </w:tcPr>
          <w:p w:rsidR="00F812A3" w:rsidRPr="001C1CCB" w:rsidP="006825C6" w14:paraId="2A0BEC1A" w14:textId="77777777">
            <w:pPr>
              <w:ind w:firstLine="0"/>
              <w:jc w:val="right"/>
              <w:rPr>
                <w:rFonts w:ascii="Times New Roman" w:hAnsi="Times New Roman"/>
                <w:i/>
                <w:iCs/>
                <w:sz w:val="20"/>
                <w:szCs w:val="20"/>
              </w:rPr>
            </w:pPr>
            <w:r w:rsidRPr="001C1CCB">
              <w:rPr>
                <w:rFonts w:ascii="Times New Roman" w:hAnsi="Times New Roman"/>
                <w:i/>
                <w:iCs/>
                <w:sz w:val="20"/>
                <w:szCs w:val="20"/>
              </w:rPr>
              <w:t>Sub Total</w:t>
            </w:r>
          </w:p>
        </w:tc>
        <w:tc>
          <w:tcPr>
            <w:tcW w:w="1349"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rsidR="00F812A3" w:rsidRPr="001C1CCB" w:rsidP="006825C6" w14:paraId="266D651C" w14:textId="77777777">
            <w:pPr>
              <w:ind w:firstLine="0"/>
              <w:jc w:val="right"/>
              <w:rPr>
                <w:rFonts w:ascii="Times New Roman" w:hAnsi="Times New Roman"/>
                <w:i/>
                <w:iCs/>
                <w:sz w:val="20"/>
                <w:szCs w:val="20"/>
              </w:rPr>
            </w:pPr>
            <w:r w:rsidRPr="001C1CCB">
              <w:rPr>
                <w:rFonts w:ascii="Times New Roman" w:hAnsi="Times New Roman"/>
                <w:i/>
                <w:iCs/>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F812A3" w:rsidRPr="001C1CCB" w:rsidP="006825C6" w14:paraId="4DCC9779" w14:textId="77777777">
            <w:pPr>
              <w:ind w:firstLine="0"/>
              <w:jc w:val="right"/>
              <w:rPr>
                <w:rFonts w:ascii="Times New Roman" w:hAnsi="Times New Roman"/>
                <w:i/>
                <w:i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hideMark/>
          </w:tcPr>
          <w:p w:rsidR="00F812A3" w:rsidRPr="001C1CCB" w:rsidP="006825C6" w14:paraId="3CDBCE8E" w14:textId="77777777">
            <w:pPr>
              <w:ind w:firstLine="0"/>
              <w:jc w:val="right"/>
              <w:rPr>
                <w:rFonts w:ascii="Times New Roman" w:hAnsi="Times New Roman"/>
                <w:i/>
                <w:iCs/>
                <w:sz w:val="20"/>
                <w:szCs w:val="20"/>
              </w:rPr>
            </w:pPr>
            <w:r w:rsidRPr="001C1CCB">
              <w:rPr>
                <w:rFonts w:ascii="Times New Roman" w:hAnsi="Times New Roman"/>
                <w:i/>
                <w:iCs/>
                <w:sz w:val="20"/>
                <w:szCs w:val="20"/>
              </w:rPr>
              <w:t>237.85</w:t>
            </w:r>
          </w:p>
        </w:tc>
        <w:tc>
          <w:tcPr>
            <w:tcW w:w="1193"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F812A3" w:rsidRPr="001C1CCB" w:rsidP="006825C6" w14:paraId="578FF002" w14:textId="359934C0">
            <w:pPr>
              <w:ind w:firstLine="0"/>
              <w:jc w:val="right"/>
              <w:rPr>
                <w:rFonts w:ascii="Times New Roman" w:hAnsi="Times New Roman"/>
                <w:i/>
                <w:iCs/>
                <w:sz w:val="20"/>
                <w:szCs w:val="20"/>
              </w:rPr>
            </w:pPr>
            <w:r w:rsidRPr="001C1CCB">
              <w:rPr>
                <w:rFonts w:ascii="Times New Roman" w:hAnsi="Times New Roman"/>
                <w:i/>
                <w:iCs/>
                <w:sz w:val="20"/>
                <w:szCs w:val="20"/>
              </w:rPr>
              <w:t>6.7</w:t>
            </w:r>
          </w:p>
        </w:tc>
        <w:tc>
          <w:tcPr>
            <w:tcW w:w="1057" w:type="dxa"/>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F812A3" w:rsidRPr="001C1CCB" w:rsidP="006825C6" w14:paraId="47F74F13" w14:textId="21D20E8F">
            <w:pPr>
              <w:ind w:firstLine="0"/>
              <w:jc w:val="right"/>
              <w:rPr>
                <w:rFonts w:ascii="Times New Roman" w:hAnsi="Times New Roman"/>
                <w:i/>
                <w:iCs/>
                <w:sz w:val="20"/>
                <w:szCs w:val="20"/>
              </w:rPr>
            </w:pPr>
            <w:r w:rsidRPr="001C1CCB">
              <w:rPr>
                <w:rFonts w:ascii="Times New Roman" w:hAnsi="Times New Roman"/>
                <w:i/>
                <w:iCs/>
                <w:sz w:val="20"/>
                <w:szCs w:val="20"/>
              </w:rPr>
              <w:t>1593.7</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tcPr>
          <w:p w:rsidR="00B145C5" w:rsidRPr="001C1CCB" w:rsidP="00AF4330" w14:paraId="2BB072AC" w14:textId="77777777">
            <w:pPr>
              <w:ind w:firstLine="0"/>
              <w:jc w:val="right"/>
              <w:rPr>
                <w:rFonts w:ascii="Times New Roman" w:hAnsi="Times New Roman"/>
                <w:sz w:val="20"/>
                <w:szCs w:val="20"/>
              </w:rPr>
            </w:pPr>
            <w:r w:rsidRPr="001C1CCB">
              <w:rPr>
                <w:rFonts w:ascii="Times New Roman" w:hAnsi="Times New Roman"/>
                <w:sz w:val="20"/>
                <w:szCs w:val="20"/>
              </w:rPr>
              <w:t>$47.91</w:t>
            </w:r>
          </w:p>
          <w:p w:rsidR="00F812A3" w:rsidRPr="001C1CCB" w:rsidP="006825C6" w14:paraId="75A15747" w14:textId="6C559E8D">
            <w:pPr>
              <w:ind w:firstLine="0"/>
              <w:jc w:val="right"/>
              <w:rPr>
                <w:rFonts w:ascii="Times New Roman" w:hAnsi="Times New Roman"/>
                <w:i/>
                <w:i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0808D2" w:rsidRPr="001C1CCB" w:rsidP="000808D2" w14:paraId="499E34A8" w14:textId="2AB43629">
            <w:pPr>
              <w:ind w:firstLine="0"/>
              <w:jc w:val="right"/>
              <w:rPr>
                <w:rFonts w:ascii="Times New Roman" w:hAnsi="Times New Roman"/>
                <w:i/>
                <w:iCs/>
                <w:sz w:val="20"/>
                <w:szCs w:val="20"/>
              </w:rPr>
            </w:pPr>
            <w:r w:rsidRPr="001C1CCB">
              <w:rPr>
                <w:rFonts w:ascii="Times New Roman" w:hAnsi="Times New Roman"/>
                <w:i/>
                <w:iCs/>
                <w:sz w:val="20"/>
                <w:szCs w:val="20"/>
              </w:rPr>
              <w:t>76,354</w:t>
            </w:r>
          </w:p>
        </w:tc>
      </w:tr>
      <w:tr w14:paraId="6ECBDC7D" w14:textId="77777777" w:rsidTr="00DC4AC2">
        <w:tblPrEx>
          <w:tblW w:w="11065" w:type="dxa"/>
          <w:tblLayout w:type="fixed"/>
          <w:tblLook w:val="00A0"/>
        </w:tblPrEx>
        <w:trPr>
          <w:cantSplit/>
          <w:trHeight w:val="331"/>
          <w:tblHeader/>
        </w:trPr>
        <w:tc>
          <w:tcPr>
            <w:tcW w:w="1106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12A3" w:rsidRPr="001C1CCB" w:rsidP="006825C6" w14:paraId="00E5110D" w14:textId="77777777">
            <w:pPr>
              <w:ind w:firstLine="0"/>
              <w:rPr>
                <w:rFonts w:ascii="Times New Roman" w:hAnsi="Times New Roman"/>
                <w:sz w:val="20"/>
                <w:szCs w:val="20"/>
              </w:rPr>
            </w:pPr>
            <w:r w:rsidRPr="001C1CCB">
              <w:rPr>
                <w:rFonts w:ascii="Times New Roman" w:hAnsi="Times New Roman"/>
                <w:b/>
                <w:bCs/>
                <w:sz w:val="20"/>
                <w:szCs w:val="20"/>
              </w:rPr>
              <w:t>Non-Standard Practice Forms Required for Substantial Rehabilitation Applications:</w:t>
            </w:r>
            <w:r w:rsidRPr="001C1CCB">
              <w:rPr>
                <w:rFonts w:ascii="Times New Roman" w:hAnsi="Times New Roman"/>
                <w:sz w:val="20"/>
                <w:szCs w:val="20"/>
              </w:rPr>
              <w:t> </w:t>
            </w:r>
          </w:p>
        </w:tc>
      </w:tr>
      <w:tr w14:paraId="47BFAD62" w14:textId="77777777" w:rsidTr="00321437">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hideMark/>
          </w:tcPr>
          <w:p w:rsidR="00F812A3" w:rsidRPr="001C1CCB" w:rsidP="006825C6" w14:paraId="1DD68D2B" w14:textId="77777777">
            <w:pPr>
              <w:ind w:firstLine="0"/>
              <w:rPr>
                <w:rFonts w:ascii="Times New Roman" w:hAnsi="Times New Roman"/>
                <w:sz w:val="20"/>
                <w:szCs w:val="20"/>
              </w:rPr>
            </w:pPr>
            <w:r w:rsidRPr="001C1CCB">
              <w:rPr>
                <w:rFonts w:ascii="Times New Roman" w:hAnsi="Times New Roman"/>
                <w:sz w:val="20"/>
                <w:szCs w:val="20"/>
              </w:rPr>
              <w:t>Detailed Work Write-Up</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hideMark/>
          </w:tcPr>
          <w:p w:rsidR="00F812A3" w:rsidRPr="001C1CCB" w:rsidP="006825C6" w14:paraId="4AF25CE6" w14:textId="77777777">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F812A3" w:rsidRPr="001C1CCB" w:rsidP="006825C6" w14:paraId="4EE2B8D3" w14:textId="77777777">
            <w:pPr>
              <w:ind w:firstLine="0"/>
              <w:rPr>
                <w:rFonts w:ascii="Times New Roman" w:hAnsi="Times New Roman"/>
                <w:sz w:val="20"/>
                <w:szCs w:val="20"/>
              </w:rPr>
            </w:pPr>
            <w:r w:rsidRPr="001C1CCB">
              <w:rPr>
                <w:rFonts w:ascii="Times New Roman" w:hAnsi="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812A3" w:rsidRPr="001C1CCB" w:rsidP="006825C6" w14:paraId="6AD94540" w14:textId="77777777">
            <w:pPr>
              <w:ind w:firstLine="0"/>
              <w:rPr>
                <w:rFonts w:ascii="Times New Roman" w:hAnsi="Times New Roman"/>
                <w:sz w:val="20"/>
                <w:szCs w:val="20"/>
              </w:rPr>
            </w:pPr>
            <w:r w:rsidRPr="001C1CCB">
              <w:rPr>
                <w:rFonts w:ascii="Times New Roman" w:hAnsi="Times New Roman"/>
                <w:sz w:val="20"/>
                <w:szCs w:val="20"/>
              </w:rPr>
              <w:t>5.25</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2C4296D8" w14:textId="259C4D63">
            <w:pPr>
              <w:ind w:firstLine="0"/>
              <w:rPr>
                <w:rFonts w:ascii="Times New Roman" w:hAnsi="Times New Roman"/>
                <w:sz w:val="20"/>
                <w:szCs w:val="20"/>
              </w:rPr>
            </w:pPr>
            <w:r w:rsidRPr="001C1CCB">
              <w:rPr>
                <w:rFonts w:ascii="Times New Roman" w:hAnsi="Times New Roman"/>
                <w:sz w:val="20"/>
                <w:szCs w:val="20"/>
              </w:rPr>
              <w:t>8.0</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F812A3" w:rsidRPr="001C1CCB" w:rsidP="006825C6" w14:paraId="11A1BA35" w14:textId="6EBB4786">
            <w:pPr>
              <w:ind w:firstLine="0"/>
              <w:rPr>
                <w:rFonts w:ascii="Times New Roman" w:hAnsi="Times New Roman"/>
                <w:sz w:val="20"/>
                <w:szCs w:val="20"/>
              </w:rPr>
            </w:pPr>
            <w:r w:rsidRPr="001C1CCB">
              <w:rPr>
                <w:rFonts w:ascii="Times New Roman" w:hAnsi="Times New Roman"/>
                <w:sz w:val="20"/>
                <w:szCs w:val="20"/>
              </w:rPr>
              <w:t>42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145C5" w:rsidRPr="001C1CCB" w:rsidP="00B145C5" w14:paraId="0E666D32" w14:textId="77777777">
            <w:pPr>
              <w:ind w:firstLine="0"/>
              <w:rPr>
                <w:rFonts w:ascii="Times New Roman" w:hAnsi="Times New Roman"/>
                <w:sz w:val="20"/>
                <w:szCs w:val="20"/>
              </w:rPr>
            </w:pPr>
            <w:r w:rsidRPr="001C1CCB">
              <w:rPr>
                <w:rFonts w:ascii="Times New Roman" w:hAnsi="Times New Roman"/>
                <w:sz w:val="20"/>
                <w:szCs w:val="20"/>
              </w:rPr>
              <w:t>$47.91</w:t>
            </w:r>
          </w:p>
          <w:p w:rsidR="00F812A3" w:rsidRPr="001C1CCB" w:rsidP="006825C6" w14:paraId="04713FA6" w14:textId="1D1A20BB">
            <w:pPr>
              <w:ind w:firstLine="0"/>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812A3" w:rsidRPr="001C1CCB" w:rsidP="006825C6" w14:paraId="2760CDB0" w14:textId="49AF74FB">
            <w:pPr>
              <w:ind w:firstLine="0"/>
              <w:rPr>
                <w:rFonts w:ascii="Times New Roman" w:hAnsi="Times New Roman"/>
                <w:sz w:val="20"/>
                <w:szCs w:val="20"/>
              </w:rPr>
            </w:pPr>
            <w:r w:rsidRPr="001C1CCB">
              <w:rPr>
                <w:rFonts w:ascii="Times New Roman" w:hAnsi="Times New Roman"/>
                <w:sz w:val="20"/>
                <w:szCs w:val="20"/>
              </w:rPr>
              <w:t>2</w:t>
            </w:r>
            <w:r w:rsidRPr="001C1CCB" w:rsidR="003227AD">
              <w:rPr>
                <w:rFonts w:ascii="Times New Roman" w:hAnsi="Times New Roman"/>
                <w:sz w:val="20"/>
                <w:szCs w:val="20"/>
              </w:rPr>
              <w:t>,012</w:t>
            </w:r>
          </w:p>
        </w:tc>
      </w:tr>
      <w:tr w14:paraId="05DA459E" w14:textId="77777777" w:rsidTr="00321437">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000000" w:themeFill="text1"/>
            <w:hideMark/>
          </w:tcPr>
          <w:p w:rsidR="00F812A3" w:rsidRPr="001C1CCB" w:rsidP="006825C6" w14:paraId="1F6B5747" w14:textId="77777777">
            <w:pPr>
              <w:ind w:firstLine="0"/>
              <w:jc w:val="right"/>
              <w:rPr>
                <w:rFonts w:ascii="Times New Roman" w:hAnsi="Times New Roman"/>
                <w:i/>
                <w:iCs/>
                <w:sz w:val="20"/>
                <w:szCs w:val="20"/>
              </w:rPr>
            </w:pPr>
            <w:r w:rsidRPr="001C1CCB">
              <w:rPr>
                <w:rFonts w:ascii="Times New Roman" w:hAnsi="Times New Roman"/>
                <w:i/>
                <w:iCs/>
                <w:sz w:val="20"/>
                <w:szCs w:val="20"/>
              </w:rPr>
              <w:t>Sub Total</w:t>
            </w:r>
          </w:p>
        </w:tc>
        <w:tc>
          <w:tcPr>
            <w:tcW w:w="1349"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rsidR="00F812A3" w:rsidRPr="001C1CCB" w:rsidP="006825C6" w14:paraId="74000DFD" w14:textId="77777777">
            <w:pPr>
              <w:ind w:firstLine="0"/>
              <w:jc w:val="right"/>
              <w:rPr>
                <w:rFonts w:ascii="Times New Roman" w:hAnsi="Times New Roman"/>
                <w:i/>
                <w:iCs/>
                <w:sz w:val="20"/>
                <w:szCs w:val="20"/>
              </w:rPr>
            </w:pPr>
            <w:r w:rsidRPr="001C1CCB">
              <w:rPr>
                <w:rFonts w:ascii="Times New Roman" w:hAnsi="Times New Roman"/>
                <w:i/>
                <w:iCs/>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rsidR="00F812A3" w:rsidRPr="001C1CCB" w:rsidP="006825C6" w14:paraId="4125A2E3" w14:textId="77777777">
            <w:pPr>
              <w:ind w:firstLine="0"/>
              <w:jc w:val="right"/>
              <w:rPr>
                <w:rFonts w:ascii="Times New Roman" w:hAnsi="Times New Roman"/>
                <w:i/>
                <w:i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hideMark/>
          </w:tcPr>
          <w:p w:rsidR="00F812A3" w:rsidRPr="001C1CCB" w:rsidP="006825C6" w14:paraId="5BE6C198" w14:textId="77777777">
            <w:pPr>
              <w:ind w:firstLine="0"/>
              <w:jc w:val="right"/>
              <w:rPr>
                <w:rFonts w:ascii="Times New Roman" w:hAnsi="Times New Roman"/>
                <w:i/>
                <w:iCs/>
                <w:sz w:val="20"/>
                <w:szCs w:val="20"/>
              </w:rPr>
            </w:pPr>
            <w:r w:rsidRPr="001C1CCB">
              <w:rPr>
                <w:rFonts w:ascii="Times New Roman" w:hAnsi="Times New Roman"/>
                <w:i/>
                <w:iCs/>
                <w:sz w:val="20"/>
                <w:szCs w:val="20"/>
              </w:rPr>
              <w:t xml:space="preserve">5.25 </w:t>
            </w:r>
          </w:p>
        </w:tc>
        <w:tc>
          <w:tcPr>
            <w:tcW w:w="1193"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F812A3" w:rsidRPr="001C1CCB" w:rsidP="006825C6" w14:paraId="3E9DC9F9" w14:textId="3CC25DAF">
            <w:pPr>
              <w:ind w:firstLine="0"/>
              <w:jc w:val="right"/>
              <w:rPr>
                <w:rFonts w:ascii="Times New Roman" w:hAnsi="Times New Roman"/>
                <w:i/>
                <w:iCs/>
                <w:sz w:val="20"/>
                <w:szCs w:val="20"/>
              </w:rPr>
            </w:pPr>
            <w:r w:rsidRPr="001C1CCB">
              <w:rPr>
                <w:rFonts w:ascii="Times New Roman" w:hAnsi="Times New Roman"/>
                <w:i/>
                <w:iCs/>
                <w:sz w:val="20"/>
                <w:szCs w:val="20"/>
              </w:rPr>
              <w:t>8</w:t>
            </w:r>
          </w:p>
        </w:tc>
        <w:tc>
          <w:tcPr>
            <w:tcW w:w="1057" w:type="dxa"/>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F812A3" w:rsidRPr="001C1CCB" w:rsidP="006825C6" w14:paraId="465A228F" w14:textId="336F7C8E">
            <w:pPr>
              <w:ind w:firstLine="0"/>
              <w:jc w:val="right"/>
              <w:rPr>
                <w:rFonts w:ascii="Times New Roman" w:hAnsi="Times New Roman"/>
                <w:i/>
                <w:iCs/>
                <w:sz w:val="20"/>
                <w:szCs w:val="20"/>
              </w:rPr>
            </w:pPr>
            <w:r w:rsidRPr="001C1CCB">
              <w:rPr>
                <w:rFonts w:ascii="Times New Roman" w:hAnsi="Times New Roman"/>
                <w:i/>
                <w:iCs/>
                <w:sz w:val="20"/>
                <w:szCs w:val="20"/>
              </w:rPr>
              <w:t>42</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tcPr>
          <w:p w:rsidR="00AF4330" w:rsidRPr="001C1CCB" w:rsidP="00AF4330" w14:paraId="5D5CE326" w14:textId="77777777">
            <w:pPr>
              <w:ind w:firstLine="0"/>
              <w:jc w:val="right"/>
              <w:rPr>
                <w:rFonts w:ascii="Times New Roman" w:hAnsi="Times New Roman"/>
                <w:sz w:val="20"/>
                <w:szCs w:val="20"/>
              </w:rPr>
            </w:pPr>
            <w:r w:rsidRPr="001C1CCB">
              <w:rPr>
                <w:rFonts w:ascii="Times New Roman" w:hAnsi="Times New Roman"/>
                <w:sz w:val="20"/>
                <w:szCs w:val="20"/>
              </w:rPr>
              <w:t>$47.91</w:t>
            </w:r>
          </w:p>
          <w:p w:rsidR="00F812A3" w:rsidRPr="001C1CCB" w:rsidP="00AF4330" w14:paraId="0AEC9E45" w14:textId="6B421F4C">
            <w:pPr>
              <w:ind w:firstLine="0"/>
              <w:jc w:val="right"/>
              <w:rPr>
                <w:rFonts w:ascii="Times New Roman" w:hAnsi="Times New Roman"/>
                <w:i/>
                <w:iCs/>
                <w:sz w:val="20"/>
                <w:szCs w:val="20"/>
              </w:rPr>
            </w:pPr>
            <w:r w:rsidRPr="001C1CCB">
              <w:rPr>
                <w:rFonts w:ascii="Times New Roman" w:hAnsi="Times New Roman"/>
                <w:i/>
                <w:iCs/>
                <w:sz w:val="20"/>
                <w:szCs w:val="20"/>
              </w:rPr>
              <w:t> </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F812A3" w:rsidRPr="001C1CCB" w:rsidP="006825C6" w14:paraId="32807A22" w14:textId="56276617">
            <w:pPr>
              <w:ind w:firstLine="0"/>
              <w:jc w:val="right"/>
              <w:rPr>
                <w:rFonts w:ascii="Times New Roman" w:hAnsi="Times New Roman"/>
                <w:i/>
                <w:iCs/>
                <w:sz w:val="20"/>
                <w:szCs w:val="20"/>
              </w:rPr>
            </w:pPr>
            <w:r w:rsidRPr="001C1CCB">
              <w:rPr>
                <w:rFonts w:ascii="Times New Roman" w:hAnsi="Times New Roman"/>
                <w:i/>
                <w:iCs/>
                <w:sz w:val="20"/>
                <w:szCs w:val="20"/>
              </w:rPr>
              <w:t>$</w:t>
            </w:r>
            <w:r w:rsidRPr="001C1CCB" w:rsidR="003227AD">
              <w:rPr>
                <w:rFonts w:ascii="Times New Roman" w:hAnsi="Times New Roman"/>
                <w:i/>
                <w:iCs/>
                <w:sz w:val="20"/>
                <w:szCs w:val="20"/>
              </w:rPr>
              <w:t>2,012</w:t>
            </w:r>
            <w:r w:rsidRPr="001C1CCB">
              <w:rPr>
                <w:rFonts w:ascii="Times New Roman" w:hAnsi="Times New Roman"/>
                <w:i/>
                <w:iCs/>
                <w:sz w:val="20"/>
                <w:szCs w:val="20"/>
              </w:rPr>
              <w:t xml:space="preserve"> </w:t>
            </w:r>
          </w:p>
        </w:tc>
      </w:tr>
      <w:tr w14:paraId="6F2456BB" w14:textId="77777777" w:rsidTr="00DC4AC2">
        <w:tblPrEx>
          <w:tblW w:w="11065" w:type="dxa"/>
          <w:tblLayout w:type="fixed"/>
          <w:tblLook w:val="00A0"/>
        </w:tblPrEx>
        <w:trPr>
          <w:trHeight w:val="331"/>
          <w:tblHeader/>
        </w:trPr>
        <w:tc>
          <w:tcPr>
            <w:tcW w:w="1106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12A3" w:rsidRPr="001C1CCB" w:rsidP="006825C6" w14:paraId="7C4145EC" w14:textId="77777777">
            <w:pPr>
              <w:ind w:firstLine="0"/>
              <w:rPr>
                <w:rFonts w:ascii="Times New Roman" w:hAnsi="Times New Roman"/>
                <w:b/>
                <w:bCs/>
                <w:sz w:val="20"/>
                <w:szCs w:val="20"/>
              </w:rPr>
            </w:pPr>
            <w:r w:rsidRPr="001C1CCB">
              <w:rPr>
                <w:rFonts w:ascii="Times New Roman" w:hAnsi="Times New Roman"/>
                <w:b/>
                <w:bCs/>
                <w:sz w:val="20"/>
                <w:szCs w:val="20"/>
              </w:rPr>
              <w:t>Lender Construction Escrow or Repair Escrow Administration:</w:t>
            </w:r>
          </w:p>
        </w:tc>
      </w:tr>
      <w:tr w14:paraId="13C0D6CE" w14:textId="77777777" w:rsidTr="00321437">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602048A1" w14:textId="77777777">
            <w:pPr>
              <w:ind w:firstLine="0"/>
              <w:rPr>
                <w:rFonts w:ascii="Times New Roman" w:hAnsi="Times New Roman"/>
                <w:sz w:val="20"/>
                <w:szCs w:val="20"/>
              </w:rPr>
            </w:pPr>
            <w:r w:rsidRPr="001C1CCB">
              <w:rPr>
                <w:rFonts w:ascii="Times New Roman" w:hAnsi="Times New Roman"/>
                <w:sz w:val="20"/>
                <w:szCs w:val="20"/>
              </w:rPr>
              <w:t>New Construction &amp; Substantial Rehab Applications</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518F3CB4" w14:textId="77777777">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7F1894A9" w14:textId="77777777">
            <w:pPr>
              <w:ind w:firstLine="0"/>
              <w:rPr>
                <w:rFonts w:ascii="Times New Roman" w:hAnsi="Times New Roman"/>
                <w:sz w:val="20"/>
                <w:szCs w:val="20"/>
              </w:rPr>
            </w:pPr>
            <w:r w:rsidRPr="001C1CCB">
              <w:rPr>
                <w:rFonts w:ascii="Times New Roman" w:hAnsi="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6D0C1E57" w14:textId="77777777">
            <w:pPr>
              <w:ind w:firstLine="0"/>
              <w:rPr>
                <w:rFonts w:ascii="Times New Roman" w:hAnsi="Times New Roman"/>
                <w:sz w:val="20"/>
                <w:szCs w:val="20"/>
              </w:rPr>
            </w:pPr>
            <w:r w:rsidRPr="001C1CCB">
              <w:rPr>
                <w:rFonts w:ascii="Times New Roman" w:hAnsi="Times New Roman"/>
                <w:sz w:val="20"/>
                <w:szCs w:val="20"/>
              </w:rPr>
              <w:t>17.29</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04F4CEB2" w14:textId="702B8B63">
            <w:pPr>
              <w:ind w:firstLine="0"/>
              <w:rPr>
                <w:rFonts w:ascii="Times New Roman" w:hAnsi="Times New Roman"/>
                <w:sz w:val="20"/>
                <w:szCs w:val="20"/>
              </w:rPr>
            </w:pPr>
            <w:r w:rsidRPr="001C1CCB">
              <w:rPr>
                <w:rFonts w:ascii="Times New Roman" w:hAnsi="Times New Roman"/>
                <w:sz w:val="20"/>
                <w:szCs w:val="20"/>
              </w:rPr>
              <w:t>30</w:t>
            </w:r>
          </w:p>
        </w:tc>
        <w:tc>
          <w:tcPr>
            <w:tcW w:w="1057" w:type="dxa"/>
            <w:tcBorders>
              <w:top w:val="single" w:sz="2" w:space="0" w:color="auto"/>
              <w:left w:val="single" w:sz="4" w:space="0" w:color="auto"/>
              <w:bottom w:val="single" w:sz="4" w:space="0" w:color="auto"/>
              <w:right w:val="single" w:sz="4" w:space="0" w:color="auto"/>
            </w:tcBorders>
            <w:shd w:val="clear" w:color="auto" w:fill="auto"/>
          </w:tcPr>
          <w:p w:rsidR="00F812A3" w:rsidRPr="001C1CCB" w:rsidP="006825C6" w14:paraId="3EAA231C" w14:textId="6629392B">
            <w:pPr>
              <w:ind w:firstLine="0"/>
              <w:rPr>
                <w:rFonts w:ascii="Times New Roman" w:hAnsi="Times New Roman"/>
                <w:sz w:val="20"/>
                <w:szCs w:val="20"/>
              </w:rPr>
            </w:pPr>
            <w:r w:rsidRPr="001C1CCB">
              <w:rPr>
                <w:rFonts w:ascii="Times New Roman" w:hAnsi="Times New Roman"/>
                <w:sz w:val="20"/>
                <w:szCs w:val="20"/>
              </w:rPr>
              <w:t>519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145C5" w:rsidRPr="001C1CCB" w:rsidP="00B145C5" w14:paraId="206F916E" w14:textId="77777777">
            <w:pPr>
              <w:ind w:firstLine="0"/>
              <w:rPr>
                <w:rFonts w:ascii="Times New Roman" w:hAnsi="Times New Roman"/>
                <w:sz w:val="20"/>
                <w:szCs w:val="20"/>
              </w:rPr>
            </w:pPr>
            <w:r w:rsidRPr="001C1CCB">
              <w:rPr>
                <w:rFonts w:ascii="Times New Roman" w:hAnsi="Times New Roman"/>
                <w:sz w:val="20"/>
                <w:szCs w:val="20"/>
              </w:rPr>
              <w:t>$47.91</w:t>
            </w:r>
          </w:p>
          <w:p w:rsidR="00F812A3" w:rsidRPr="001C1CCB" w:rsidP="006825C6" w14:paraId="2011B59A" w14:textId="731FA7A6">
            <w:pPr>
              <w:ind w:firstLine="0"/>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627092E9" w14:textId="2D7FD6AA">
            <w:pPr>
              <w:ind w:firstLine="0"/>
              <w:rPr>
                <w:rFonts w:ascii="Times New Roman" w:hAnsi="Times New Roman"/>
                <w:sz w:val="20"/>
                <w:szCs w:val="20"/>
              </w:rPr>
            </w:pPr>
            <w:r w:rsidRPr="001C1CCB">
              <w:rPr>
                <w:rFonts w:ascii="Times New Roman" w:hAnsi="Times New Roman"/>
                <w:sz w:val="20"/>
                <w:szCs w:val="20"/>
              </w:rPr>
              <w:t>$</w:t>
            </w:r>
            <w:r w:rsidRPr="001C1CCB" w:rsidR="00C30CA2">
              <w:rPr>
                <w:rFonts w:ascii="Times New Roman" w:hAnsi="Times New Roman"/>
                <w:sz w:val="20"/>
                <w:szCs w:val="20"/>
              </w:rPr>
              <w:t>24,855</w:t>
            </w:r>
          </w:p>
        </w:tc>
      </w:tr>
      <w:tr w14:paraId="692B1CCA" w14:textId="77777777" w:rsidTr="00321437">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67FD4E5D" w14:textId="77777777">
            <w:pPr>
              <w:ind w:firstLine="0"/>
              <w:rPr>
                <w:rFonts w:ascii="Times New Roman" w:hAnsi="Times New Roman"/>
                <w:sz w:val="20"/>
                <w:szCs w:val="20"/>
              </w:rPr>
            </w:pPr>
            <w:r w:rsidRPr="001C1CCB">
              <w:rPr>
                <w:rFonts w:ascii="Times New Roman" w:hAnsi="Times New Roman"/>
                <w:sz w:val="20"/>
                <w:szCs w:val="20"/>
              </w:rPr>
              <w:t>Refinance or Purchase Applications</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7BB42218" w14:textId="77777777">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488CEA87" w14:textId="77777777">
            <w:pPr>
              <w:ind w:firstLine="0"/>
              <w:rPr>
                <w:rFonts w:ascii="Times New Roman" w:hAnsi="Times New Roman"/>
                <w:sz w:val="20"/>
                <w:szCs w:val="20"/>
              </w:rPr>
            </w:pPr>
            <w:r w:rsidRPr="001C1CCB">
              <w:rPr>
                <w:rFonts w:ascii="Times New Roman" w:hAnsi="Times New Roman"/>
                <w:sz w:val="20"/>
                <w:szCs w:val="20"/>
              </w:rPr>
              <w:t>80%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610E27F7" w14:textId="77777777">
            <w:pPr>
              <w:ind w:firstLine="0"/>
              <w:rPr>
                <w:rFonts w:ascii="Times New Roman" w:hAnsi="Times New Roman"/>
                <w:sz w:val="20"/>
                <w:szCs w:val="20"/>
              </w:rPr>
            </w:pPr>
            <w:r w:rsidRPr="001C1CCB">
              <w:rPr>
                <w:rFonts w:ascii="Times New Roman" w:hAnsi="Times New Roman"/>
                <w:sz w:val="20"/>
                <w:szCs w:val="20"/>
              </w:rPr>
              <w:t>68.71</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77201049" w14:textId="07D83AD1">
            <w:pPr>
              <w:ind w:firstLine="0"/>
              <w:rPr>
                <w:rFonts w:ascii="Times New Roman" w:hAnsi="Times New Roman"/>
                <w:sz w:val="20"/>
                <w:szCs w:val="20"/>
              </w:rPr>
            </w:pPr>
            <w:r w:rsidRPr="001C1CCB">
              <w:rPr>
                <w:rFonts w:ascii="Times New Roman" w:hAnsi="Times New Roman"/>
                <w:sz w:val="20"/>
                <w:szCs w:val="20"/>
              </w:rPr>
              <w:t>4</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241DAD64" w14:textId="4DBA45E0">
            <w:pPr>
              <w:ind w:firstLine="0"/>
              <w:rPr>
                <w:rFonts w:ascii="Times New Roman" w:hAnsi="Times New Roman"/>
                <w:sz w:val="20"/>
                <w:szCs w:val="20"/>
              </w:rPr>
            </w:pPr>
            <w:r w:rsidRPr="001C1CCB">
              <w:rPr>
                <w:rFonts w:ascii="Times New Roman" w:hAnsi="Times New Roman"/>
                <w:sz w:val="20"/>
                <w:szCs w:val="20"/>
              </w:rPr>
              <w:t>275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145C5" w:rsidRPr="001C1CCB" w:rsidP="00B145C5" w14:paraId="2B701BEF" w14:textId="77777777">
            <w:pPr>
              <w:ind w:firstLine="0"/>
              <w:rPr>
                <w:rFonts w:ascii="Times New Roman" w:hAnsi="Times New Roman"/>
                <w:sz w:val="20"/>
                <w:szCs w:val="20"/>
              </w:rPr>
            </w:pPr>
            <w:r w:rsidRPr="001C1CCB">
              <w:rPr>
                <w:rFonts w:ascii="Times New Roman" w:hAnsi="Times New Roman"/>
                <w:sz w:val="20"/>
                <w:szCs w:val="20"/>
              </w:rPr>
              <w:t>$47.91</w:t>
            </w:r>
          </w:p>
          <w:p w:rsidR="00F812A3" w:rsidRPr="001C1CCB" w:rsidP="006825C6" w14:paraId="2191AC52" w14:textId="1137F9A0">
            <w:pPr>
              <w:ind w:firstLine="0"/>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812A3" w:rsidRPr="001C1CCB" w:rsidP="006825C6" w14:paraId="6C8C9B34" w14:textId="340277B5">
            <w:pPr>
              <w:ind w:firstLine="0"/>
              <w:rPr>
                <w:rFonts w:ascii="Times New Roman" w:hAnsi="Times New Roman"/>
                <w:sz w:val="20"/>
                <w:szCs w:val="20"/>
              </w:rPr>
            </w:pPr>
            <w:r w:rsidRPr="001C1CCB">
              <w:rPr>
                <w:rFonts w:ascii="Times New Roman" w:hAnsi="Times New Roman"/>
                <w:sz w:val="20"/>
                <w:szCs w:val="20"/>
              </w:rPr>
              <w:t>$</w:t>
            </w:r>
            <w:r w:rsidRPr="001C1CCB" w:rsidR="005A5206">
              <w:rPr>
                <w:rFonts w:ascii="Times New Roman" w:hAnsi="Times New Roman"/>
                <w:sz w:val="20"/>
                <w:szCs w:val="20"/>
              </w:rPr>
              <w:t>13,167</w:t>
            </w:r>
          </w:p>
        </w:tc>
      </w:tr>
      <w:tr w14:paraId="0D0AEC01" w14:textId="77777777" w:rsidTr="00321437">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ED28D5" w:rsidRPr="001C1CCB" w:rsidP="006825C6" w14:paraId="4D36CB3E" w14:textId="56842874">
            <w:pPr>
              <w:ind w:firstLine="0"/>
              <w:rPr>
                <w:rFonts w:ascii="Times New Roman" w:hAnsi="Times New Roman"/>
                <w:sz w:val="20"/>
                <w:szCs w:val="20"/>
              </w:rPr>
            </w:pPr>
            <w:r w:rsidRPr="001C1CCB">
              <w:rPr>
                <w:rFonts w:ascii="Times New Roman" w:hAnsi="Times New Roman"/>
                <w:sz w:val="20"/>
                <w:szCs w:val="20"/>
              </w:rPr>
              <w:t>HUD Inspectors-NC/SR</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ED28D5" w:rsidRPr="001C1CCB" w:rsidP="006825C6" w14:paraId="4A1FE05D" w14:textId="1DC76995">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ED28D5" w:rsidRPr="001C1CCB" w:rsidP="006825C6" w14:paraId="43EF3DA1" w14:textId="4592346C">
            <w:pPr>
              <w:ind w:firstLine="0"/>
              <w:rPr>
                <w:rFonts w:ascii="Times New Roman" w:hAnsi="Times New Roman"/>
                <w:sz w:val="20"/>
                <w:szCs w:val="20"/>
              </w:rPr>
            </w:pPr>
            <w:r w:rsidRPr="001C1CCB">
              <w:rPr>
                <w:rFonts w:ascii="Times New Roman" w:hAnsi="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28D5" w:rsidRPr="001C1CCB" w:rsidP="006825C6" w14:paraId="4C1C2E44" w14:textId="657DD7A3">
            <w:pPr>
              <w:ind w:firstLine="0"/>
              <w:rPr>
                <w:rFonts w:ascii="Times New Roman" w:hAnsi="Times New Roman"/>
                <w:sz w:val="20"/>
                <w:szCs w:val="20"/>
              </w:rPr>
            </w:pPr>
            <w:r w:rsidRPr="001C1CCB">
              <w:rPr>
                <w:rFonts w:ascii="Times New Roman" w:hAnsi="Times New Roman"/>
                <w:sz w:val="20"/>
                <w:szCs w:val="20"/>
              </w:rPr>
              <w:t>17.29</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ED28D5" w:rsidRPr="001C1CCB" w:rsidP="006825C6" w14:paraId="7027CC4E" w14:textId="01715EFE">
            <w:pPr>
              <w:ind w:firstLine="0"/>
              <w:rPr>
                <w:rFonts w:ascii="Times New Roman" w:hAnsi="Times New Roman"/>
                <w:sz w:val="20"/>
                <w:szCs w:val="20"/>
              </w:rPr>
            </w:pPr>
            <w:r w:rsidRPr="001C1CCB">
              <w:rPr>
                <w:rFonts w:ascii="Times New Roman" w:hAnsi="Times New Roman"/>
                <w:sz w:val="20"/>
                <w:szCs w:val="20"/>
              </w:rPr>
              <w:t>120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D28D5" w:rsidRPr="001C1CCB" w:rsidP="006825C6" w14:paraId="41D5B1DD" w14:textId="6832BD44">
            <w:pPr>
              <w:ind w:firstLine="0"/>
              <w:rPr>
                <w:rFonts w:ascii="Times New Roman" w:hAnsi="Times New Roman"/>
                <w:sz w:val="20"/>
                <w:szCs w:val="20"/>
              </w:rPr>
            </w:pPr>
            <w:r w:rsidRPr="001C1CCB">
              <w:rPr>
                <w:rFonts w:ascii="Times New Roman" w:hAnsi="Times New Roman"/>
                <w:sz w:val="20"/>
                <w:szCs w:val="20"/>
              </w:rPr>
              <w:t>2,075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D28D5" w:rsidRPr="001C1CCB" w:rsidP="00B145C5" w14:paraId="3E1549EC" w14:textId="345A8CA7">
            <w:pPr>
              <w:ind w:firstLine="0"/>
              <w:rPr>
                <w:rFonts w:ascii="Times New Roman" w:hAnsi="Times New Roman"/>
                <w:sz w:val="20"/>
                <w:szCs w:val="20"/>
              </w:rPr>
            </w:pPr>
            <w:r w:rsidRPr="001C1CCB">
              <w:rPr>
                <w:rFonts w:ascii="Times New Roman" w:hAnsi="Times New Roman"/>
                <w:sz w:val="20"/>
                <w:szCs w:val="20"/>
              </w:rPr>
              <w:t>$47.</w:t>
            </w:r>
            <w:r w:rsidRPr="001C1CCB" w:rsidR="00D62F89">
              <w:rPr>
                <w:rFonts w:ascii="Times New Roman" w:hAnsi="Times New Roman"/>
                <w:sz w:val="20"/>
                <w:szCs w:val="20"/>
              </w:rPr>
              <w:t>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D28D5" w:rsidRPr="001C1CCB" w:rsidP="006825C6" w14:paraId="51C1A605" w14:textId="4DD031B3">
            <w:pPr>
              <w:ind w:firstLine="0"/>
              <w:rPr>
                <w:rFonts w:ascii="Times New Roman" w:hAnsi="Times New Roman"/>
                <w:sz w:val="20"/>
                <w:szCs w:val="20"/>
              </w:rPr>
            </w:pPr>
            <w:r w:rsidRPr="001C1CCB">
              <w:rPr>
                <w:rFonts w:ascii="Times New Roman" w:hAnsi="Times New Roman"/>
                <w:sz w:val="20"/>
                <w:szCs w:val="20"/>
              </w:rPr>
              <w:t>$99,419</w:t>
            </w:r>
          </w:p>
        </w:tc>
      </w:tr>
      <w:tr w14:paraId="25B2F9E7" w14:textId="77777777" w:rsidTr="00321437">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ED28D5" w:rsidRPr="001C1CCB" w:rsidP="006825C6" w14:paraId="77B09C72" w14:textId="3D8A346F">
            <w:pPr>
              <w:ind w:firstLine="0"/>
              <w:rPr>
                <w:rFonts w:ascii="Times New Roman" w:hAnsi="Times New Roman"/>
                <w:sz w:val="20"/>
                <w:szCs w:val="20"/>
              </w:rPr>
            </w:pPr>
            <w:r w:rsidRPr="001C1CCB">
              <w:rPr>
                <w:rFonts w:ascii="Times New Roman" w:hAnsi="Times New Roman"/>
                <w:sz w:val="20"/>
                <w:szCs w:val="20"/>
              </w:rPr>
              <w:t>HUD Inspectors-Refinance</w:t>
            </w:r>
            <w:r w:rsidRPr="001C1CCB" w:rsidR="00CF3E17">
              <w:rPr>
                <w:rFonts w:ascii="Times New Roman" w:hAnsi="Times New Roman"/>
                <w:sz w:val="20"/>
                <w:szCs w:val="20"/>
              </w:rPr>
              <w:t>/Purchase</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tcPr>
          <w:p w:rsidR="00ED28D5" w:rsidRPr="001C1CCB" w:rsidP="006825C6" w14:paraId="4D6EB524" w14:textId="25B264D5">
            <w:pPr>
              <w:ind w:firstLine="0"/>
              <w:rPr>
                <w:rFonts w:ascii="Times New Roman" w:hAnsi="Times New Roman"/>
                <w:sz w:val="20"/>
                <w:szCs w:val="20"/>
              </w:rPr>
            </w:pPr>
            <w:r w:rsidRPr="001C1CCB">
              <w:rPr>
                <w:rFonts w:ascii="Times New Roman" w:hAnsi="Times New Roman"/>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ED28D5" w:rsidRPr="001C1CCB" w:rsidP="006825C6" w14:paraId="2B2801B8" w14:textId="0B29DD27">
            <w:pPr>
              <w:ind w:firstLine="0"/>
              <w:rPr>
                <w:rFonts w:ascii="Times New Roman" w:hAnsi="Times New Roman"/>
                <w:sz w:val="20"/>
                <w:szCs w:val="20"/>
              </w:rPr>
            </w:pPr>
            <w:r w:rsidRPr="001C1CCB">
              <w:rPr>
                <w:rFonts w:ascii="Times New Roman" w:hAnsi="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28D5" w:rsidRPr="001C1CCB" w:rsidP="006825C6" w14:paraId="38D6A8F1" w14:textId="63757D4B">
            <w:pPr>
              <w:ind w:firstLine="0"/>
              <w:rPr>
                <w:rFonts w:ascii="Times New Roman" w:hAnsi="Times New Roman"/>
                <w:sz w:val="20"/>
                <w:szCs w:val="20"/>
              </w:rPr>
            </w:pPr>
            <w:r w:rsidRPr="001C1CCB">
              <w:rPr>
                <w:rFonts w:ascii="Times New Roman" w:hAnsi="Times New Roman"/>
                <w:sz w:val="20"/>
                <w:szCs w:val="20"/>
              </w:rPr>
              <w:t>25.80</w:t>
            </w:r>
          </w:p>
        </w:tc>
        <w:tc>
          <w:tcPr>
            <w:tcW w:w="1193" w:type="dxa"/>
            <w:gridSpan w:val="2"/>
            <w:tcBorders>
              <w:top w:val="single" w:sz="4" w:space="0" w:color="auto"/>
              <w:left w:val="single" w:sz="4" w:space="0" w:color="auto"/>
              <w:bottom w:val="single" w:sz="4" w:space="0" w:color="auto"/>
              <w:right w:val="single" w:sz="4" w:space="0" w:color="auto"/>
            </w:tcBorders>
            <w:shd w:val="clear" w:color="auto" w:fill="auto"/>
          </w:tcPr>
          <w:p w:rsidR="00ED28D5" w:rsidRPr="001C1CCB" w:rsidP="006825C6" w14:paraId="1E1BE8C4" w14:textId="4929D432">
            <w:pPr>
              <w:ind w:firstLine="0"/>
              <w:rPr>
                <w:rFonts w:ascii="Times New Roman" w:hAnsi="Times New Roman"/>
                <w:sz w:val="20"/>
                <w:szCs w:val="20"/>
              </w:rPr>
            </w:pPr>
            <w:r w:rsidRPr="001C1CCB">
              <w:rPr>
                <w:rFonts w:ascii="Times New Roman" w:hAnsi="Times New Roman"/>
                <w:sz w:val="20"/>
                <w:szCs w:val="20"/>
              </w:rPr>
              <w:t>16</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D28D5" w:rsidRPr="001C1CCB" w:rsidP="006825C6" w14:paraId="2FBD580F" w14:textId="310F3378">
            <w:pPr>
              <w:ind w:firstLine="0"/>
              <w:rPr>
                <w:rFonts w:ascii="Times New Roman" w:hAnsi="Times New Roman"/>
                <w:sz w:val="20"/>
                <w:szCs w:val="20"/>
              </w:rPr>
            </w:pPr>
            <w:r w:rsidRPr="001C1CCB">
              <w:rPr>
                <w:rFonts w:ascii="Times New Roman" w:hAnsi="Times New Roman"/>
                <w:sz w:val="20"/>
                <w:szCs w:val="20"/>
              </w:rPr>
              <w:t>413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D28D5" w:rsidRPr="001C1CCB" w:rsidP="00B145C5" w14:paraId="0DE7FB6A" w14:textId="3D84317B">
            <w:pPr>
              <w:ind w:firstLine="0"/>
              <w:rPr>
                <w:rFonts w:ascii="Times New Roman" w:hAnsi="Times New Roman"/>
                <w:sz w:val="20"/>
                <w:szCs w:val="20"/>
              </w:rPr>
            </w:pPr>
            <w:r w:rsidRPr="001C1CCB">
              <w:rPr>
                <w:rFonts w:ascii="Times New Roman" w:hAnsi="Times New Roman"/>
                <w:sz w:val="20"/>
                <w:szCs w:val="20"/>
              </w:rPr>
              <w:t>$47.91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D28D5" w:rsidRPr="001C1CCB" w:rsidP="006825C6" w14:paraId="17A4BB52" w14:textId="790F9CD7">
            <w:pPr>
              <w:ind w:firstLine="0"/>
              <w:rPr>
                <w:rFonts w:ascii="Times New Roman" w:hAnsi="Times New Roman"/>
                <w:sz w:val="20"/>
                <w:szCs w:val="20"/>
              </w:rPr>
            </w:pPr>
            <w:r w:rsidRPr="001C1CCB">
              <w:rPr>
                <w:rFonts w:ascii="Times New Roman" w:hAnsi="Times New Roman"/>
                <w:sz w:val="20"/>
                <w:szCs w:val="20"/>
              </w:rPr>
              <w:t>19,777</w:t>
            </w:r>
          </w:p>
        </w:tc>
      </w:tr>
      <w:tr w14:paraId="4BF5F94F" w14:textId="77777777" w:rsidTr="006825C6">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000000" w:themeFill="text1"/>
            <w:hideMark/>
          </w:tcPr>
          <w:p w:rsidR="00F812A3" w:rsidRPr="001C1CCB" w:rsidP="006825C6" w14:paraId="35FC57D0" w14:textId="77777777">
            <w:pPr>
              <w:ind w:firstLine="0"/>
              <w:jc w:val="right"/>
              <w:rPr>
                <w:rFonts w:ascii="Times New Roman" w:hAnsi="Times New Roman"/>
                <w:i/>
                <w:iCs/>
                <w:color w:val="FFFFFF" w:themeColor="background1"/>
                <w:sz w:val="20"/>
                <w:szCs w:val="20"/>
              </w:rPr>
            </w:pPr>
            <w:r w:rsidRPr="001C1CCB">
              <w:rPr>
                <w:rFonts w:ascii="Times New Roman" w:hAnsi="Times New Roman"/>
                <w:i/>
                <w:iCs/>
                <w:color w:val="FFFFFF" w:themeColor="background1"/>
                <w:sz w:val="20"/>
                <w:szCs w:val="20"/>
              </w:rPr>
              <w:t>Sub Total</w:t>
            </w:r>
          </w:p>
        </w:tc>
        <w:tc>
          <w:tcPr>
            <w:tcW w:w="1349"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rsidR="00F812A3" w:rsidRPr="001C1CCB" w:rsidP="006825C6" w14:paraId="2CC185A7" w14:textId="77777777">
            <w:pPr>
              <w:ind w:firstLine="0"/>
              <w:jc w:val="right"/>
              <w:rPr>
                <w:rFonts w:ascii="Times New Roman" w:hAnsi="Times New Roman"/>
                <w:i/>
                <w:iCs/>
                <w:color w:val="FFFFFF" w:themeColor="background1"/>
                <w:sz w:val="20"/>
                <w:szCs w:val="20"/>
              </w:rPr>
            </w:pPr>
            <w:r w:rsidRPr="001C1CCB">
              <w:rPr>
                <w:rFonts w:ascii="Times New Roman" w:hAnsi="Times New Roman"/>
                <w:i/>
                <w:iCs/>
                <w:color w:val="FFFFFF" w:themeColor="background1"/>
                <w:sz w:val="20"/>
                <w:szCs w:val="20"/>
              </w:rPr>
              <w:t>86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rsidR="00F812A3" w:rsidRPr="001C1CCB" w:rsidP="006825C6" w14:paraId="17312F43" w14:textId="77777777">
            <w:pPr>
              <w:ind w:firstLine="0"/>
              <w:jc w:val="right"/>
              <w:rPr>
                <w:rFonts w:ascii="Times New Roman" w:hAnsi="Times New Roman"/>
                <w:i/>
                <w:iCs/>
                <w:color w:val="FFFFFF" w:themeColor="background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hideMark/>
          </w:tcPr>
          <w:p w:rsidR="00F812A3" w:rsidRPr="001C1CCB" w:rsidP="006825C6" w14:paraId="54EEDDC7" w14:textId="3C3ED32F">
            <w:pPr>
              <w:ind w:firstLine="0"/>
              <w:jc w:val="right"/>
              <w:rPr>
                <w:rFonts w:ascii="Times New Roman" w:hAnsi="Times New Roman"/>
                <w:i/>
                <w:iCs/>
                <w:color w:val="FFFFFF" w:themeColor="background1"/>
                <w:sz w:val="20"/>
                <w:szCs w:val="20"/>
              </w:rPr>
            </w:pPr>
            <w:r w:rsidRPr="001C1CCB">
              <w:rPr>
                <w:rFonts w:ascii="Times New Roman" w:hAnsi="Times New Roman"/>
                <w:i/>
                <w:iCs/>
                <w:color w:val="FFFFFF" w:themeColor="background1"/>
                <w:sz w:val="20"/>
                <w:szCs w:val="20"/>
              </w:rPr>
              <w:t>129.09</w:t>
            </w:r>
          </w:p>
        </w:tc>
        <w:tc>
          <w:tcPr>
            <w:tcW w:w="1193"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F812A3" w:rsidRPr="001C1CCB" w:rsidP="00202C9F" w14:paraId="6ABEFD39" w14:textId="5138908F">
            <w:pPr>
              <w:ind w:firstLine="0"/>
              <w:rPr>
                <w:rFonts w:ascii="Times New Roman" w:hAnsi="Times New Roman"/>
                <w:i/>
                <w:iCs/>
                <w:color w:val="FFFFFF" w:themeColor="background1"/>
                <w:sz w:val="20"/>
                <w:szCs w:val="20"/>
              </w:rPr>
            </w:pPr>
            <w:r w:rsidRPr="001C1CCB">
              <w:rPr>
                <w:rFonts w:ascii="Times New Roman" w:hAnsi="Times New Roman"/>
                <w:i/>
                <w:iCs/>
                <w:color w:val="FFFFFF" w:themeColor="background1"/>
                <w:sz w:val="20"/>
                <w:szCs w:val="20"/>
              </w:rPr>
              <w:t>25.42</w:t>
            </w:r>
          </w:p>
        </w:tc>
        <w:tc>
          <w:tcPr>
            <w:tcW w:w="1057" w:type="dxa"/>
            <w:tcBorders>
              <w:top w:val="single" w:sz="4" w:space="0" w:color="auto"/>
              <w:left w:val="single" w:sz="4" w:space="0" w:color="auto"/>
              <w:bottom w:val="single" w:sz="24" w:space="0" w:color="auto"/>
              <w:right w:val="single" w:sz="4" w:space="0" w:color="auto"/>
            </w:tcBorders>
            <w:shd w:val="clear" w:color="auto" w:fill="000000" w:themeFill="text1"/>
            <w:hideMark/>
          </w:tcPr>
          <w:p w:rsidR="00F812A3" w:rsidRPr="001C1CCB" w:rsidP="006825C6" w14:paraId="3C055D0F" w14:textId="020E99AA">
            <w:pPr>
              <w:ind w:firstLine="0"/>
              <w:jc w:val="right"/>
              <w:rPr>
                <w:rFonts w:ascii="Times New Roman" w:hAnsi="Times New Roman"/>
                <w:i/>
                <w:iCs/>
                <w:color w:val="FFFFFF" w:themeColor="background1"/>
                <w:sz w:val="20"/>
                <w:szCs w:val="20"/>
              </w:rPr>
            </w:pPr>
            <w:r w:rsidRPr="001C1CCB">
              <w:rPr>
                <w:rFonts w:ascii="Times New Roman" w:hAnsi="Times New Roman"/>
                <w:i/>
                <w:iCs/>
                <w:color w:val="FFFFFF" w:themeColor="background1"/>
                <w:sz w:val="20"/>
                <w:szCs w:val="20"/>
              </w:rPr>
              <w:t>3</w:t>
            </w:r>
            <w:r w:rsidRPr="001C1CCB" w:rsidR="00634828">
              <w:rPr>
                <w:rFonts w:ascii="Times New Roman" w:hAnsi="Times New Roman"/>
                <w:i/>
                <w:iCs/>
                <w:color w:val="FFFFFF" w:themeColor="background1"/>
                <w:sz w:val="20"/>
                <w:szCs w:val="20"/>
              </w:rPr>
              <w:t>,281.53</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tcPr>
          <w:p w:rsidR="00B145C5" w:rsidRPr="001C1CCB" w:rsidP="00B145C5" w14:paraId="730BB4E5" w14:textId="77777777">
            <w:pPr>
              <w:ind w:firstLine="0"/>
              <w:jc w:val="right"/>
              <w:rPr>
                <w:rFonts w:ascii="Times New Roman" w:hAnsi="Times New Roman"/>
                <w:sz w:val="20"/>
                <w:szCs w:val="20"/>
              </w:rPr>
            </w:pPr>
            <w:r w:rsidRPr="001C1CCB">
              <w:rPr>
                <w:rFonts w:ascii="Times New Roman" w:hAnsi="Times New Roman"/>
                <w:sz w:val="20"/>
                <w:szCs w:val="20"/>
              </w:rPr>
              <w:t>$47.91</w:t>
            </w:r>
          </w:p>
          <w:p w:rsidR="00F812A3" w:rsidRPr="001C1CCB" w:rsidP="006825C6" w14:paraId="34CFCAC3" w14:textId="3CC1D4C1">
            <w:pPr>
              <w:ind w:firstLine="0"/>
              <w:jc w:val="right"/>
              <w:rPr>
                <w:rFonts w:ascii="Times New Roman" w:hAnsi="Times New Roman"/>
                <w:i/>
                <w:iCs/>
                <w:color w:val="FFFFFF" w:themeColor="background1"/>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F812A3" w:rsidRPr="001C1CCB" w:rsidP="006825C6" w14:paraId="22A26B2A" w14:textId="0529CED3">
            <w:pPr>
              <w:ind w:firstLine="0"/>
              <w:jc w:val="right"/>
              <w:rPr>
                <w:rFonts w:ascii="Times New Roman" w:hAnsi="Times New Roman"/>
                <w:i/>
                <w:iCs/>
                <w:color w:val="FFFFFF" w:themeColor="background1"/>
                <w:sz w:val="20"/>
                <w:szCs w:val="20"/>
              </w:rPr>
            </w:pPr>
            <w:r w:rsidRPr="001C1CCB">
              <w:rPr>
                <w:rFonts w:ascii="Times New Roman" w:hAnsi="Times New Roman"/>
                <w:i/>
                <w:iCs/>
                <w:color w:val="FFFFFF" w:themeColor="background1"/>
                <w:sz w:val="20"/>
                <w:szCs w:val="20"/>
              </w:rPr>
              <w:t>157,218</w:t>
            </w:r>
          </w:p>
        </w:tc>
      </w:tr>
      <w:tr w14:paraId="7CDD286C" w14:textId="77777777" w:rsidTr="006825C6">
        <w:tblPrEx>
          <w:tblW w:w="11065" w:type="dxa"/>
          <w:tblLayout w:type="fixed"/>
          <w:tblLook w:val="00A0"/>
        </w:tblPrEx>
        <w:trPr>
          <w:tblHeader/>
        </w:trPr>
        <w:tc>
          <w:tcPr>
            <w:tcW w:w="1909" w:type="dxa"/>
            <w:tcBorders>
              <w:top w:val="single" w:sz="24" w:space="0" w:color="auto"/>
              <w:left w:val="single" w:sz="4" w:space="0" w:color="auto"/>
              <w:bottom w:val="single" w:sz="4" w:space="0" w:color="auto"/>
              <w:right w:val="single" w:sz="4" w:space="0" w:color="auto"/>
            </w:tcBorders>
            <w:shd w:val="clear" w:color="auto" w:fill="auto"/>
          </w:tcPr>
          <w:p w:rsidR="00F812A3" w:rsidRPr="001C1CCB" w:rsidP="006825C6" w14:paraId="366A1761" w14:textId="77777777">
            <w:pPr>
              <w:ind w:firstLine="0"/>
              <w:jc w:val="center"/>
              <w:rPr>
                <w:rFonts w:ascii="Times New Roman" w:hAnsi="Times New Roman"/>
                <w:b/>
                <w:bCs/>
                <w:sz w:val="20"/>
                <w:szCs w:val="20"/>
              </w:rPr>
            </w:pPr>
            <w:r w:rsidRPr="001C1CCB">
              <w:rPr>
                <w:rFonts w:ascii="Times New Roman" w:hAnsi="Times New Roman"/>
                <w:b/>
                <w:bCs/>
                <w:sz w:val="20"/>
                <w:szCs w:val="20"/>
              </w:rPr>
              <w:t>Total Non-Standard Practice Items</w:t>
            </w:r>
          </w:p>
        </w:tc>
        <w:tc>
          <w:tcPr>
            <w:tcW w:w="1326" w:type="dxa"/>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1F0FA940" w14:textId="77777777">
            <w:pPr>
              <w:ind w:firstLine="0"/>
              <w:jc w:val="center"/>
              <w:rPr>
                <w:rFonts w:ascii="Times New Roman" w:hAnsi="Times New Roman"/>
                <w:b/>
                <w:bCs/>
                <w:sz w:val="24"/>
                <w:szCs w:val="24"/>
              </w:rPr>
            </w:pPr>
            <w:r w:rsidRPr="001C1CCB">
              <w:rPr>
                <w:rFonts w:ascii="Times New Roman" w:hAnsi="Times New Roman"/>
                <w:b/>
                <w:bCs/>
                <w:sz w:val="24"/>
                <w:szCs w:val="24"/>
              </w:rPr>
              <w:t>86</w:t>
            </w:r>
          </w:p>
        </w:tc>
        <w:tc>
          <w:tcPr>
            <w:tcW w:w="135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36DCBAE4" w14:textId="77777777">
            <w:pPr>
              <w:ind w:firstLine="0"/>
              <w:jc w:val="center"/>
              <w:rPr>
                <w:rFonts w:ascii="Times New Roman" w:hAnsi="Times New Roman"/>
                <w:b/>
                <w:bCs/>
                <w:sz w:val="24"/>
                <w:szCs w:val="24"/>
              </w:rPr>
            </w:pPr>
          </w:p>
        </w:tc>
        <w:tc>
          <w:tcPr>
            <w:tcW w:w="144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4CFA90F9" w14:textId="2FF033BF">
            <w:pPr>
              <w:ind w:firstLine="0"/>
              <w:jc w:val="center"/>
              <w:rPr>
                <w:rFonts w:ascii="Times New Roman" w:hAnsi="Times New Roman"/>
                <w:b/>
                <w:bCs/>
                <w:sz w:val="24"/>
                <w:szCs w:val="24"/>
              </w:rPr>
            </w:pPr>
            <w:r w:rsidRPr="001C1CCB">
              <w:rPr>
                <w:rFonts w:ascii="Times New Roman" w:hAnsi="Times New Roman"/>
                <w:b/>
                <w:bCs/>
                <w:sz w:val="24"/>
                <w:szCs w:val="24"/>
              </w:rPr>
              <w:t>372.19</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4398799F" w14:textId="2CFDEE9C">
            <w:pPr>
              <w:ind w:firstLine="0"/>
              <w:jc w:val="center"/>
              <w:rPr>
                <w:rFonts w:ascii="Times New Roman" w:hAnsi="Times New Roman"/>
                <w:b/>
                <w:bCs/>
                <w:sz w:val="24"/>
                <w:szCs w:val="24"/>
              </w:rPr>
            </w:pPr>
            <w:r w:rsidRPr="001C1CCB">
              <w:rPr>
                <w:rFonts w:ascii="Times New Roman" w:hAnsi="Times New Roman"/>
                <w:b/>
                <w:bCs/>
                <w:sz w:val="24"/>
                <w:szCs w:val="24"/>
              </w:rPr>
              <w:t>13.21</w:t>
            </w:r>
          </w:p>
        </w:tc>
        <w:tc>
          <w:tcPr>
            <w:tcW w:w="108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4B7EA872" w14:textId="24B7A529">
            <w:pPr>
              <w:ind w:firstLine="0"/>
              <w:jc w:val="center"/>
              <w:rPr>
                <w:rFonts w:ascii="Times New Roman" w:hAnsi="Times New Roman"/>
                <w:b/>
                <w:bCs/>
                <w:sz w:val="24"/>
                <w:szCs w:val="24"/>
              </w:rPr>
            </w:pPr>
            <w:r w:rsidRPr="001C1CCB">
              <w:rPr>
                <w:rFonts w:ascii="Times New Roman" w:hAnsi="Times New Roman"/>
                <w:b/>
                <w:bCs/>
                <w:sz w:val="24"/>
                <w:szCs w:val="24"/>
              </w:rPr>
              <w:t>4,972</w:t>
            </w:r>
            <w:r w:rsidRPr="001C1CCB" w:rsidR="005722E2">
              <w:rPr>
                <w:rFonts w:ascii="Times New Roman" w:hAnsi="Times New Roman"/>
                <w:b/>
                <w:bCs/>
                <w:sz w:val="24"/>
                <w:szCs w:val="24"/>
              </w:rPr>
              <w:t>.22</w:t>
            </w:r>
          </w:p>
        </w:tc>
        <w:tc>
          <w:tcPr>
            <w:tcW w:w="1260" w:type="dxa"/>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5510F587" w14:textId="6743854E">
            <w:pPr>
              <w:ind w:firstLine="0"/>
              <w:jc w:val="center"/>
              <w:rPr>
                <w:rFonts w:ascii="Times New Roman" w:hAnsi="Times New Roman"/>
                <w:b/>
                <w:bCs/>
                <w:sz w:val="24"/>
                <w:szCs w:val="24"/>
              </w:rPr>
            </w:pPr>
            <w:r w:rsidRPr="001C1CCB">
              <w:rPr>
                <w:rFonts w:ascii="Times New Roman" w:hAnsi="Times New Roman"/>
                <w:b/>
                <w:bCs/>
                <w:sz w:val="24"/>
                <w:szCs w:val="24"/>
              </w:rPr>
              <w:t>$</w:t>
            </w:r>
            <w:r w:rsidRPr="001C1CCB" w:rsidR="0051383B">
              <w:rPr>
                <w:rFonts w:ascii="Times New Roman" w:hAnsi="Times New Roman"/>
                <w:b/>
                <w:bCs/>
                <w:sz w:val="24"/>
                <w:szCs w:val="24"/>
              </w:rPr>
              <w:t>47.91</w:t>
            </w:r>
          </w:p>
        </w:tc>
        <w:tc>
          <w:tcPr>
            <w:tcW w:w="1530" w:type="dxa"/>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06A82D43" w14:textId="4570304B">
            <w:pPr>
              <w:ind w:firstLine="0"/>
              <w:jc w:val="center"/>
              <w:rPr>
                <w:rFonts w:ascii="Times New Roman" w:hAnsi="Times New Roman"/>
                <w:b/>
                <w:bCs/>
                <w:sz w:val="24"/>
                <w:szCs w:val="24"/>
              </w:rPr>
            </w:pPr>
            <w:r w:rsidRPr="001C1CCB">
              <w:rPr>
                <w:rFonts w:ascii="Times New Roman" w:hAnsi="Times New Roman"/>
                <w:b/>
                <w:bCs/>
                <w:sz w:val="24"/>
                <w:szCs w:val="24"/>
              </w:rPr>
              <w:t>$</w:t>
            </w:r>
            <w:r w:rsidRPr="001C1CCB" w:rsidR="005722E2">
              <w:rPr>
                <w:rFonts w:ascii="Times New Roman" w:hAnsi="Times New Roman"/>
                <w:b/>
                <w:bCs/>
                <w:sz w:val="24"/>
                <w:szCs w:val="24"/>
              </w:rPr>
              <w:t>235,584</w:t>
            </w:r>
          </w:p>
        </w:tc>
      </w:tr>
      <w:tr w14:paraId="63678B62" w14:textId="77777777" w:rsidTr="006825C6">
        <w:tblPrEx>
          <w:tblW w:w="11065" w:type="dxa"/>
          <w:tblLayout w:type="fixed"/>
          <w:tblLook w:val="00A0"/>
        </w:tblPrEx>
        <w:trPr>
          <w:cantSplit/>
          <w:trHeight w:val="331"/>
          <w:tblHeader/>
        </w:trPr>
        <w:tc>
          <w:tcPr>
            <w:tcW w:w="4585" w:type="dxa"/>
            <w:gridSpan w:val="4"/>
            <w:tcBorders>
              <w:top w:val="single" w:sz="24" w:space="0" w:color="auto"/>
              <w:left w:val="single" w:sz="4" w:space="0" w:color="auto"/>
              <w:bottom w:val="single" w:sz="4" w:space="0" w:color="auto"/>
              <w:right w:val="single" w:sz="4" w:space="0" w:color="auto"/>
            </w:tcBorders>
            <w:shd w:val="clear" w:color="auto" w:fill="auto"/>
          </w:tcPr>
          <w:p w:rsidR="00F812A3" w:rsidRPr="001C1CCB" w:rsidP="006825C6" w14:paraId="4B64A335" w14:textId="77777777">
            <w:pPr>
              <w:ind w:firstLine="0"/>
              <w:jc w:val="center"/>
              <w:rPr>
                <w:rFonts w:ascii="Times New Roman" w:hAnsi="Times New Roman"/>
                <w:b/>
                <w:bCs/>
                <w:sz w:val="14"/>
                <w:szCs w:val="14"/>
              </w:rPr>
            </w:pPr>
            <w:r w:rsidRPr="001C1CCB">
              <w:rPr>
                <w:rFonts w:ascii="Times New Roman" w:hAnsi="Times New Roman"/>
                <w:b/>
                <w:bCs/>
                <w:sz w:val="24"/>
                <w:szCs w:val="24"/>
              </w:rPr>
              <w:t>Average for a Single, Generic Application</w:t>
            </w:r>
            <w:r w:rsidRPr="001C1CCB">
              <w:rPr>
                <w:rFonts w:ascii="Times New Roman" w:hAnsi="Times New Roman"/>
                <w:b/>
                <w:bCs/>
                <w:sz w:val="14"/>
                <w:szCs w:val="14"/>
              </w:rPr>
              <w:t>:</w:t>
            </w:r>
          </w:p>
        </w:tc>
        <w:tc>
          <w:tcPr>
            <w:tcW w:w="144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6ED5F85A" w14:textId="7BF98F70">
            <w:pPr>
              <w:ind w:firstLine="0"/>
              <w:jc w:val="center"/>
              <w:rPr>
                <w:rFonts w:ascii="Times New Roman" w:hAnsi="Times New Roman"/>
                <w:b/>
                <w:bCs/>
                <w:sz w:val="24"/>
                <w:szCs w:val="24"/>
              </w:rPr>
            </w:pPr>
            <w:r w:rsidRPr="001C1CCB">
              <w:rPr>
                <w:rFonts w:ascii="Times New Roman" w:hAnsi="Times New Roman"/>
                <w:b/>
                <w:bCs/>
                <w:sz w:val="24"/>
                <w:szCs w:val="24"/>
              </w:rPr>
              <w:t>4.33</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21A57535" w14:textId="3000AA48">
            <w:pPr>
              <w:ind w:firstLine="0"/>
              <w:jc w:val="center"/>
              <w:rPr>
                <w:rFonts w:ascii="Times New Roman" w:hAnsi="Times New Roman"/>
                <w:b/>
                <w:bCs/>
                <w:sz w:val="24"/>
                <w:szCs w:val="24"/>
              </w:rPr>
            </w:pPr>
            <w:r w:rsidRPr="001C1CCB">
              <w:rPr>
                <w:rFonts w:ascii="Times New Roman" w:hAnsi="Times New Roman"/>
                <w:b/>
                <w:bCs/>
                <w:sz w:val="24"/>
                <w:szCs w:val="24"/>
              </w:rPr>
              <w:t>13.21</w:t>
            </w:r>
          </w:p>
        </w:tc>
        <w:tc>
          <w:tcPr>
            <w:tcW w:w="108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638E23EE" w14:textId="249169E5">
            <w:pPr>
              <w:ind w:firstLine="0"/>
              <w:jc w:val="center"/>
              <w:rPr>
                <w:rFonts w:ascii="Times New Roman" w:hAnsi="Times New Roman"/>
                <w:b/>
                <w:bCs/>
                <w:sz w:val="24"/>
                <w:szCs w:val="24"/>
              </w:rPr>
            </w:pPr>
            <w:r w:rsidRPr="001C1CCB">
              <w:rPr>
                <w:rFonts w:ascii="Times New Roman" w:hAnsi="Times New Roman"/>
                <w:b/>
                <w:bCs/>
                <w:sz w:val="24"/>
                <w:szCs w:val="24"/>
              </w:rPr>
              <w:t>57.18</w:t>
            </w:r>
          </w:p>
        </w:tc>
        <w:tc>
          <w:tcPr>
            <w:tcW w:w="1260" w:type="dxa"/>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5F054BB5" w14:textId="6671C432">
            <w:pPr>
              <w:ind w:firstLine="0"/>
              <w:jc w:val="center"/>
              <w:rPr>
                <w:rFonts w:ascii="Times New Roman" w:hAnsi="Times New Roman"/>
                <w:b/>
                <w:bCs/>
                <w:sz w:val="24"/>
                <w:szCs w:val="24"/>
              </w:rPr>
            </w:pPr>
            <w:r w:rsidRPr="001C1CCB">
              <w:rPr>
                <w:rFonts w:ascii="Times New Roman" w:hAnsi="Times New Roman"/>
                <w:b/>
                <w:bCs/>
                <w:sz w:val="24"/>
                <w:szCs w:val="24"/>
              </w:rPr>
              <w:t>$</w:t>
            </w:r>
            <w:r w:rsidRPr="001C1CCB" w:rsidR="007A518C">
              <w:rPr>
                <w:rFonts w:ascii="Times New Roman" w:hAnsi="Times New Roman"/>
                <w:b/>
                <w:bCs/>
                <w:sz w:val="24"/>
                <w:szCs w:val="24"/>
              </w:rPr>
              <w:t>47.91</w:t>
            </w:r>
          </w:p>
        </w:tc>
        <w:tc>
          <w:tcPr>
            <w:tcW w:w="1530" w:type="dxa"/>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69364E52" w14:textId="79983295">
            <w:pPr>
              <w:ind w:firstLine="0"/>
              <w:jc w:val="center"/>
              <w:rPr>
                <w:rFonts w:ascii="Times New Roman" w:hAnsi="Times New Roman"/>
                <w:b/>
                <w:bCs/>
                <w:sz w:val="24"/>
                <w:szCs w:val="24"/>
              </w:rPr>
            </w:pPr>
            <w:r w:rsidRPr="001C1CCB">
              <w:rPr>
                <w:rFonts w:ascii="Times New Roman" w:hAnsi="Times New Roman"/>
                <w:b/>
                <w:bCs/>
                <w:sz w:val="24"/>
                <w:szCs w:val="24"/>
              </w:rPr>
              <w:t>$</w:t>
            </w:r>
            <w:r w:rsidRPr="001C1CCB" w:rsidR="009C62FE">
              <w:rPr>
                <w:rFonts w:ascii="Times New Roman" w:hAnsi="Times New Roman"/>
                <w:b/>
                <w:bCs/>
                <w:sz w:val="24"/>
                <w:szCs w:val="24"/>
              </w:rPr>
              <w:t>2,739</w:t>
            </w:r>
          </w:p>
        </w:tc>
      </w:tr>
      <w:tr w14:paraId="06F8ED8B" w14:textId="77777777" w:rsidTr="006825C6">
        <w:tblPrEx>
          <w:tblW w:w="11065" w:type="dxa"/>
          <w:tblLayout w:type="fixed"/>
          <w:tblLook w:val="00A0"/>
        </w:tblPrEx>
        <w:trPr>
          <w:cantSplit/>
          <w:trHeight w:val="331"/>
          <w:tblHeader/>
        </w:trPr>
        <w:tc>
          <w:tcPr>
            <w:tcW w:w="4585" w:type="dxa"/>
            <w:gridSpan w:val="4"/>
            <w:tcBorders>
              <w:top w:val="single" w:sz="24" w:space="0" w:color="auto"/>
              <w:left w:val="single" w:sz="4" w:space="0" w:color="auto"/>
              <w:bottom w:val="single" w:sz="4" w:space="0" w:color="auto"/>
              <w:right w:val="single" w:sz="4" w:space="0" w:color="auto"/>
            </w:tcBorders>
            <w:shd w:val="clear" w:color="auto" w:fill="auto"/>
          </w:tcPr>
          <w:p w:rsidR="00F812A3" w:rsidRPr="001C1CCB" w:rsidP="006825C6" w14:paraId="165B2883" w14:textId="503E0C98">
            <w:pPr>
              <w:ind w:firstLine="0"/>
              <w:jc w:val="center"/>
              <w:rPr>
                <w:rFonts w:ascii="Times New Roman" w:hAnsi="Times New Roman"/>
                <w:b/>
                <w:bCs/>
                <w:sz w:val="24"/>
                <w:szCs w:val="24"/>
              </w:rPr>
            </w:pPr>
            <w:r w:rsidRPr="001C1CCB">
              <w:rPr>
                <w:rFonts w:ascii="Times New Roman" w:hAnsi="Times New Roman"/>
                <w:b/>
                <w:bCs/>
                <w:sz w:val="24"/>
                <w:szCs w:val="24"/>
              </w:rPr>
              <w:t>Collection Total</w:t>
            </w:r>
            <w:r w:rsidRPr="001C1CCB">
              <w:rPr>
                <w:rFonts w:ascii="Times New Roman" w:hAnsi="Times New Roman"/>
                <w:b/>
                <w:bCs/>
                <w:sz w:val="24"/>
                <w:szCs w:val="24"/>
              </w:rPr>
              <w:t xml:space="preserve"> for All Applications:</w:t>
            </w:r>
          </w:p>
        </w:tc>
        <w:tc>
          <w:tcPr>
            <w:tcW w:w="144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422DF15F" w14:textId="5ED96767">
            <w:pPr>
              <w:ind w:firstLine="0"/>
              <w:jc w:val="center"/>
              <w:rPr>
                <w:rFonts w:ascii="Times New Roman" w:hAnsi="Times New Roman"/>
                <w:b/>
                <w:bCs/>
                <w:sz w:val="24"/>
                <w:szCs w:val="24"/>
              </w:rPr>
            </w:pPr>
            <w:r w:rsidRPr="001C1CCB">
              <w:rPr>
                <w:rFonts w:ascii="Times New Roman" w:hAnsi="Times New Roman"/>
                <w:b/>
                <w:bCs/>
                <w:sz w:val="24"/>
                <w:szCs w:val="24"/>
              </w:rPr>
              <w:t>4</w:t>
            </w:r>
            <w:r w:rsidRPr="001C1CCB" w:rsidR="00C65272">
              <w:rPr>
                <w:rFonts w:ascii="Times New Roman" w:hAnsi="Times New Roman"/>
                <w:b/>
                <w:bCs/>
                <w:sz w:val="24"/>
                <w:szCs w:val="24"/>
              </w:rPr>
              <w:t>,</w:t>
            </w:r>
            <w:r w:rsidRPr="001C1CCB">
              <w:rPr>
                <w:rFonts w:ascii="Times New Roman" w:hAnsi="Times New Roman"/>
                <w:b/>
                <w:bCs/>
                <w:sz w:val="24"/>
                <w:szCs w:val="24"/>
              </w:rPr>
              <w:t>821.</w:t>
            </w:r>
            <w:r w:rsidRPr="001C1CCB" w:rsidR="00C65272">
              <w:rPr>
                <w:rFonts w:ascii="Times New Roman" w:hAnsi="Times New Roman"/>
                <w:b/>
                <w:bCs/>
                <w:sz w:val="24"/>
                <w:szCs w:val="24"/>
              </w:rPr>
              <w:t>2</w:t>
            </w:r>
          </w:p>
        </w:tc>
        <w:tc>
          <w:tcPr>
            <w:tcW w:w="1170" w:type="dxa"/>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7791A3CC" w14:textId="5560BC33">
            <w:pPr>
              <w:ind w:firstLine="0"/>
              <w:jc w:val="center"/>
              <w:rPr>
                <w:rFonts w:ascii="Times New Roman" w:hAnsi="Times New Roman"/>
                <w:b/>
                <w:bCs/>
                <w:sz w:val="24"/>
                <w:szCs w:val="24"/>
              </w:rPr>
            </w:pPr>
            <w:r w:rsidRPr="001C1CCB">
              <w:rPr>
                <w:rFonts w:ascii="Times New Roman" w:hAnsi="Times New Roman"/>
                <w:b/>
                <w:bCs/>
                <w:sz w:val="24"/>
                <w:szCs w:val="24"/>
              </w:rPr>
              <w:t>13.21</w:t>
            </w:r>
          </w:p>
        </w:tc>
        <w:tc>
          <w:tcPr>
            <w:tcW w:w="108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2945C498" w14:textId="7B20CBF0">
            <w:pPr>
              <w:ind w:firstLine="0"/>
              <w:jc w:val="center"/>
              <w:rPr>
                <w:rFonts w:ascii="Times New Roman" w:hAnsi="Times New Roman"/>
                <w:b/>
                <w:bCs/>
                <w:sz w:val="24"/>
                <w:szCs w:val="24"/>
              </w:rPr>
            </w:pPr>
            <w:r w:rsidRPr="001C1CCB">
              <w:rPr>
                <w:rFonts w:ascii="Times New Roman" w:hAnsi="Times New Roman"/>
                <w:b/>
                <w:bCs/>
                <w:sz w:val="24"/>
                <w:szCs w:val="24"/>
              </w:rPr>
              <w:t>63,</w:t>
            </w:r>
            <w:r w:rsidRPr="001C1CCB" w:rsidR="003C389D">
              <w:rPr>
                <w:rFonts w:ascii="Times New Roman" w:hAnsi="Times New Roman"/>
                <w:b/>
                <w:bCs/>
                <w:sz w:val="24"/>
                <w:szCs w:val="24"/>
              </w:rPr>
              <w:t>695.2</w:t>
            </w:r>
          </w:p>
        </w:tc>
        <w:tc>
          <w:tcPr>
            <w:tcW w:w="1260" w:type="dxa"/>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7493BBE1" w14:textId="40C001E7">
            <w:pPr>
              <w:ind w:firstLine="0"/>
              <w:jc w:val="center"/>
              <w:rPr>
                <w:rFonts w:ascii="Times New Roman" w:hAnsi="Times New Roman"/>
                <w:b/>
                <w:bCs/>
                <w:sz w:val="24"/>
                <w:szCs w:val="24"/>
              </w:rPr>
            </w:pPr>
            <w:r w:rsidRPr="001C1CCB">
              <w:rPr>
                <w:rFonts w:ascii="Times New Roman" w:hAnsi="Times New Roman"/>
                <w:b/>
                <w:bCs/>
                <w:sz w:val="24"/>
                <w:szCs w:val="24"/>
              </w:rPr>
              <w:t>$</w:t>
            </w:r>
            <w:r w:rsidRPr="001C1CCB" w:rsidR="0049407E">
              <w:rPr>
                <w:rFonts w:ascii="Times New Roman" w:hAnsi="Times New Roman"/>
                <w:b/>
                <w:bCs/>
                <w:sz w:val="24"/>
                <w:szCs w:val="24"/>
              </w:rPr>
              <w:t>47.91</w:t>
            </w:r>
          </w:p>
        </w:tc>
        <w:tc>
          <w:tcPr>
            <w:tcW w:w="1530" w:type="dxa"/>
            <w:tcBorders>
              <w:top w:val="single" w:sz="24" w:space="0" w:color="auto"/>
              <w:left w:val="single" w:sz="4" w:space="0" w:color="auto"/>
              <w:bottom w:val="single" w:sz="4" w:space="0" w:color="auto"/>
              <w:right w:val="single" w:sz="4" w:space="0" w:color="auto"/>
            </w:tcBorders>
            <w:shd w:val="clear" w:color="auto" w:fill="auto"/>
            <w:vAlign w:val="center"/>
          </w:tcPr>
          <w:p w:rsidR="00F812A3" w:rsidRPr="001C1CCB" w:rsidP="006825C6" w14:paraId="629B9D93" w14:textId="15E38676">
            <w:pPr>
              <w:ind w:firstLine="0"/>
              <w:jc w:val="center"/>
              <w:rPr>
                <w:rFonts w:ascii="Times New Roman" w:hAnsi="Times New Roman"/>
                <w:b/>
                <w:bCs/>
                <w:sz w:val="24"/>
                <w:szCs w:val="24"/>
              </w:rPr>
            </w:pPr>
            <w:r w:rsidRPr="001C1CCB">
              <w:rPr>
                <w:rFonts w:ascii="Times New Roman" w:hAnsi="Times New Roman"/>
                <w:b/>
                <w:bCs/>
                <w:sz w:val="24"/>
                <w:szCs w:val="24"/>
              </w:rPr>
              <w:t>$</w:t>
            </w:r>
            <w:r w:rsidRPr="001C1CCB" w:rsidR="003C389D">
              <w:rPr>
                <w:rFonts w:ascii="Times New Roman" w:hAnsi="Times New Roman"/>
                <w:b/>
                <w:bCs/>
                <w:sz w:val="24"/>
                <w:szCs w:val="24"/>
              </w:rPr>
              <w:t>3,051,637</w:t>
            </w:r>
          </w:p>
        </w:tc>
      </w:tr>
    </w:tbl>
    <w:p w:rsidR="00491C44" w:rsidRPr="001C1CCB" w:rsidP="00B808E3" w14:paraId="2F8423D5" w14:textId="6C557F61">
      <w:pPr>
        <w:spacing w:after="240"/>
        <w:ind w:left="720" w:hanging="360"/>
        <w:jc w:val="both"/>
        <w:rPr>
          <w:rFonts w:ascii="Times New (W1)" w:hAnsi="Times New (W1)"/>
          <w:sz w:val="24"/>
        </w:rPr>
      </w:pPr>
    </w:p>
    <w:p w:rsidR="00491C44" w:rsidRPr="001C1CCB" w14:paraId="27049C42" w14:textId="77777777">
      <w:pPr>
        <w:ind w:firstLine="0"/>
        <w:rPr>
          <w:rFonts w:ascii="Times New (W1)" w:hAnsi="Times New (W1)"/>
          <w:sz w:val="24"/>
        </w:rPr>
      </w:pPr>
      <w:r w:rsidRPr="001C1CCB">
        <w:rPr>
          <w:rFonts w:ascii="Times New (W1)" w:hAnsi="Times New (W1)"/>
          <w:sz w:val="24"/>
        </w:rPr>
        <w:br w:type="page"/>
      </w:r>
    </w:p>
    <w:p w:rsidR="00D11098" w:rsidRPr="001C1CCB" w:rsidP="00B808E3" w14:paraId="2B20A24C" w14:textId="61D425AB">
      <w:pPr>
        <w:spacing w:after="240"/>
        <w:ind w:left="720" w:hanging="360"/>
        <w:jc w:val="both"/>
        <w:rPr>
          <w:rFonts w:ascii="Times New (W1)" w:hAnsi="Times New (W1)"/>
          <w:sz w:val="24"/>
        </w:rPr>
      </w:pPr>
      <w:r w:rsidRPr="001C1CCB">
        <w:rPr>
          <w:rFonts w:ascii="Times New (W1)" w:hAnsi="Times New (W1)"/>
          <w:sz w:val="24"/>
        </w:rPr>
        <w:t>Third Party Reports:</w:t>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9"/>
        <w:gridCol w:w="1349"/>
        <w:gridCol w:w="1350"/>
        <w:gridCol w:w="1417"/>
        <w:gridCol w:w="1193"/>
        <w:gridCol w:w="1057"/>
        <w:gridCol w:w="1260"/>
        <w:gridCol w:w="1530"/>
      </w:tblGrid>
      <w:tr w14:paraId="5CC94D46" w14:textId="77777777" w:rsidTr="00C709B4">
        <w:tblPrEx>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8CE964A" w14:textId="77777777">
            <w:pPr>
              <w:ind w:firstLine="0"/>
              <w:jc w:val="center"/>
              <w:rPr>
                <w:rFonts w:ascii="Times New Roman" w:hAnsi="Times New Roman"/>
                <w:b/>
                <w:bCs/>
                <w:sz w:val="20"/>
                <w:szCs w:val="20"/>
              </w:rPr>
            </w:pPr>
            <w:r w:rsidRPr="001C1CCB">
              <w:rPr>
                <w:rFonts w:ascii="Times New Roman" w:hAnsi="Times New Roman"/>
                <w:b/>
                <w:bCs/>
                <w:sz w:val="20"/>
                <w:szCs w:val="20"/>
              </w:rPr>
              <w:t>A</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86876D1" w14:textId="77777777">
            <w:pPr>
              <w:ind w:firstLine="0"/>
              <w:jc w:val="center"/>
              <w:rPr>
                <w:rFonts w:ascii="Times New Roman" w:hAnsi="Times New Roman"/>
                <w:b/>
                <w:bCs/>
                <w:sz w:val="20"/>
                <w:szCs w:val="20"/>
              </w:rPr>
            </w:pPr>
            <w:r w:rsidRPr="001C1CCB">
              <w:rPr>
                <w:rFonts w:ascii="Times New Roman" w:hAnsi="Times New Roman"/>
                <w:b/>
                <w:bCs/>
                <w:sz w:val="20"/>
                <w:szCs w:val="20"/>
              </w:rPr>
              <w:t>B</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AA2F2EA" w14:textId="77777777">
            <w:pPr>
              <w:ind w:firstLine="0"/>
              <w:jc w:val="center"/>
              <w:rPr>
                <w:rFonts w:ascii="Times New Roman" w:hAnsi="Times New Roman"/>
                <w:b/>
                <w:bCs/>
                <w:sz w:val="20"/>
                <w:szCs w:val="20"/>
              </w:rPr>
            </w:pPr>
            <w:r w:rsidRPr="001C1CCB">
              <w:rPr>
                <w:rFonts w:ascii="Times New Roman" w:hAnsi="Times New Roman"/>
                <w:b/>
                <w:bCs/>
                <w:sz w:val="20"/>
                <w:szCs w:val="20"/>
              </w:rPr>
              <w:t>C</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784DBD51" w14:textId="77777777">
            <w:pPr>
              <w:ind w:firstLine="0"/>
              <w:jc w:val="center"/>
              <w:rPr>
                <w:rFonts w:ascii="Times New Roman" w:hAnsi="Times New Roman"/>
                <w:b/>
                <w:bCs/>
                <w:sz w:val="20"/>
                <w:szCs w:val="20"/>
              </w:rPr>
            </w:pPr>
            <w:r w:rsidRPr="001C1CCB">
              <w:rPr>
                <w:rFonts w:ascii="Times New Roman" w:hAnsi="Times New Roman"/>
                <w:b/>
                <w:bCs/>
                <w:sz w:val="20"/>
                <w:szCs w:val="20"/>
              </w:rPr>
              <w:t>D</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5964C31C" w14:textId="77777777">
            <w:pPr>
              <w:ind w:firstLine="0"/>
              <w:jc w:val="center"/>
              <w:rPr>
                <w:rFonts w:ascii="Times New Roman" w:hAnsi="Times New Roman"/>
                <w:b/>
                <w:bCs/>
                <w:sz w:val="20"/>
                <w:szCs w:val="20"/>
              </w:rPr>
            </w:pPr>
            <w:r w:rsidRPr="001C1CCB">
              <w:rPr>
                <w:rFonts w:ascii="Times New Roman" w:hAnsi="Times New Roman"/>
                <w:b/>
                <w:bCs/>
                <w:sz w:val="20"/>
                <w:szCs w:val="20"/>
              </w:rPr>
              <w:t>E</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99DFE97" w14:textId="77777777">
            <w:pPr>
              <w:ind w:firstLine="0"/>
              <w:jc w:val="center"/>
              <w:rPr>
                <w:rFonts w:ascii="Times New Roman" w:hAnsi="Times New Roman"/>
                <w:b/>
                <w:bCs/>
                <w:sz w:val="20"/>
                <w:szCs w:val="20"/>
              </w:rPr>
            </w:pPr>
            <w:r w:rsidRPr="001C1CCB">
              <w:rPr>
                <w:rFonts w:ascii="Times New Roman" w:hAnsi="Times New Roman"/>
                <w:b/>
                <w:bCs/>
                <w:sz w:val="20"/>
                <w:szCs w:val="20"/>
              </w:rPr>
              <w:t>F</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D3C8C2C" w14:textId="77777777">
            <w:pPr>
              <w:ind w:firstLine="0"/>
              <w:jc w:val="center"/>
              <w:rPr>
                <w:rFonts w:ascii="Times New Roman" w:hAnsi="Times New Roman"/>
                <w:sz w:val="20"/>
                <w:szCs w:val="20"/>
              </w:rPr>
            </w:pPr>
            <w:r w:rsidRPr="001C1CCB">
              <w:rPr>
                <w:rFonts w:ascii="Times New Roman" w:hAnsi="Times New Roman"/>
                <w:sz w:val="20"/>
                <w:szCs w:val="20"/>
              </w:rPr>
              <w:t>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66DA38FE" w14:textId="77777777">
            <w:pPr>
              <w:ind w:firstLine="0"/>
              <w:jc w:val="center"/>
              <w:rPr>
                <w:rFonts w:ascii="Times New Roman" w:hAnsi="Times New Roman"/>
                <w:b/>
                <w:bCs/>
                <w:sz w:val="20"/>
                <w:szCs w:val="20"/>
              </w:rPr>
            </w:pPr>
            <w:r w:rsidRPr="001C1CCB">
              <w:rPr>
                <w:rFonts w:ascii="Times New Roman" w:hAnsi="Times New Roman"/>
                <w:b/>
                <w:bCs/>
                <w:sz w:val="20"/>
                <w:szCs w:val="20"/>
              </w:rPr>
              <w:t>H</w:t>
            </w:r>
          </w:p>
        </w:tc>
      </w:tr>
      <w:tr w14:paraId="2A23E6CA"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hideMark/>
          </w:tcPr>
          <w:p w:rsidR="00B35BA0" w:rsidRPr="001C1CCB" w:rsidP="006825C6" w14:paraId="31A670F0" w14:textId="77777777">
            <w:pPr>
              <w:ind w:firstLine="0"/>
              <w:jc w:val="center"/>
              <w:rPr>
                <w:rFonts w:ascii="Times New Roman" w:hAnsi="Times New Roman"/>
                <w:b/>
                <w:bCs/>
                <w:sz w:val="20"/>
                <w:szCs w:val="20"/>
              </w:rPr>
            </w:pPr>
            <w:r w:rsidRPr="001C1CCB">
              <w:rPr>
                <w:rFonts w:ascii="Times New Roman" w:hAnsi="Times New Roman"/>
                <w:b/>
                <w:bCs/>
                <w:sz w:val="20"/>
                <w:szCs w:val="20"/>
              </w:rPr>
              <w:t>Information Collection</w:t>
            </w:r>
          </w:p>
          <w:p w:rsidR="00B35BA0" w:rsidRPr="001C1CCB" w:rsidP="006825C6" w14:paraId="5947805A" w14:textId="77777777">
            <w:pPr>
              <w:ind w:firstLine="0"/>
              <w:jc w:val="center"/>
              <w:rPr>
                <w:rFonts w:ascii="Times New Roman" w:hAnsi="Times New Roman"/>
                <w:b/>
                <w:bCs/>
                <w:sz w:val="20"/>
                <w:szCs w:val="20"/>
              </w:rPr>
            </w:pPr>
            <w:r w:rsidRPr="001C1CCB">
              <w:rPr>
                <w:rFonts w:ascii="Times New Roman" w:hAnsi="Times New Roman"/>
                <w:b/>
                <w:bCs/>
                <w:sz w:val="20"/>
                <w:szCs w:val="20"/>
              </w:rPr>
              <w:t>Item</w:t>
            </w:r>
          </w:p>
        </w:tc>
        <w:tc>
          <w:tcPr>
            <w:tcW w:w="1349" w:type="dxa"/>
            <w:tcBorders>
              <w:top w:val="single" w:sz="4" w:space="0" w:color="auto"/>
              <w:left w:val="single" w:sz="4" w:space="0" w:color="auto"/>
              <w:bottom w:val="single" w:sz="4" w:space="0" w:color="auto"/>
              <w:right w:val="single" w:sz="4" w:space="0" w:color="auto"/>
            </w:tcBorders>
            <w:shd w:val="clear" w:color="auto" w:fill="auto"/>
            <w:hideMark/>
          </w:tcPr>
          <w:p w:rsidR="00B35BA0" w:rsidRPr="001C1CCB" w:rsidP="006825C6" w14:paraId="2713DC61" w14:textId="77777777">
            <w:pPr>
              <w:ind w:firstLine="0"/>
              <w:jc w:val="center"/>
              <w:rPr>
                <w:rFonts w:ascii="Times New Roman" w:hAnsi="Times New Roman"/>
                <w:b/>
                <w:bCs/>
                <w:sz w:val="20"/>
                <w:szCs w:val="20"/>
              </w:rPr>
            </w:pPr>
            <w:r w:rsidRPr="001C1CCB">
              <w:rPr>
                <w:rFonts w:ascii="Times New Roman" w:hAnsi="Times New Roman"/>
                <w:b/>
                <w:bCs/>
                <w:sz w:val="20"/>
                <w:szCs w:val="20"/>
              </w:rPr>
              <w:t>Number of Respondents (Lenders)</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B35BA0" w:rsidRPr="001C1CCB" w:rsidP="006825C6" w14:paraId="3FFA4D5B" w14:textId="77777777">
            <w:pPr>
              <w:ind w:firstLine="0"/>
              <w:jc w:val="center"/>
              <w:rPr>
                <w:rFonts w:ascii="Times New Roman" w:hAnsi="Times New Roman"/>
                <w:b/>
                <w:bCs/>
                <w:sz w:val="20"/>
                <w:szCs w:val="20"/>
              </w:rPr>
            </w:pPr>
            <w:r w:rsidRPr="001C1CCB">
              <w:rPr>
                <w:rFonts w:ascii="Times New Roman" w:hAnsi="Times New Roman"/>
                <w:b/>
                <w:bCs/>
                <w:sz w:val="20"/>
                <w:szCs w:val="20"/>
              </w:rPr>
              <w:t>Frequency of Response (1 avg appl.)</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35BA0" w:rsidRPr="001C1CCB" w:rsidP="006825C6" w14:paraId="007666EB" w14:textId="77777777">
            <w:pPr>
              <w:ind w:firstLine="0"/>
              <w:jc w:val="center"/>
              <w:rPr>
                <w:rFonts w:ascii="Times New Roman" w:hAnsi="Times New Roman"/>
                <w:b/>
                <w:bCs/>
                <w:sz w:val="20"/>
                <w:szCs w:val="20"/>
              </w:rPr>
            </w:pPr>
            <w:r w:rsidRPr="001C1CCB">
              <w:rPr>
                <w:rFonts w:ascii="Times New Roman" w:hAnsi="Times New Roman"/>
                <w:b/>
                <w:bCs/>
                <w:sz w:val="20"/>
                <w:szCs w:val="20"/>
              </w:rPr>
              <w:t>Total Annual Responses (B x C)</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5956E417" w14:textId="77777777">
            <w:pPr>
              <w:ind w:firstLine="0"/>
              <w:jc w:val="center"/>
              <w:rPr>
                <w:rFonts w:ascii="Times New Roman" w:hAnsi="Times New Roman"/>
                <w:b/>
                <w:bCs/>
                <w:sz w:val="20"/>
                <w:szCs w:val="20"/>
              </w:rPr>
            </w:pPr>
            <w:r w:rsidRPr="001C1CCB">
              <w:rPr>
                <w:rFonts w:ascii="Times New Roman" w:hAnsi="Times New Roman"/>
                <w:b/>
                <w:bCs/>
                <w:sz w:val="20"/>
                <w:szCs w:val="20"/>
              </w:rPr>
              <w:t>Burden Hour Per Response</w:t>
            </w:r>
          </w:p>
        </w:tc>
        <w:tc>
          <w:tcPr>
            <w:tcW w:w="1057" w:type="dxa"/>
            <w:tcBorders>
              <w:top w:val="single" w:sz="4" w:space="0" w:color="auto"/>
              <w:left w:val="single" w:sz="4" w:space="0" w:color="auto"/>
              <w:bottom w:val="single" w:sz="4" w:space="0" w:color="auto"/>
              <w:right w:val="single" w:sz="4" w:space="0" w:color="auto"/>
            </w:tcBorders>
            <w:shd w:val="clear" w:color="auto" w:fill="auto"/>
            <w:hideMark/>
          </w:tcPr>
          <w:p w:rsidR="00B35BA0" w:rsidRPr="001C1CCB" w:rsidP="006825C6" w14:paraId="75793253" w14:textId="77777777">
            <w:pPr>
              <w:ind w:firstLine="0"/>
              <w:jc w:val="center"/>
              <w:rPr>
                <w:rFonts w:ascii="Times New Roman" w:hAnsi="Times New Roman"/>
                <w:b/>
                <w:bCs/>
                <w:sz w:val="20"/>
                <w:szCs w:val="20"/>
              </w:rPr>
            </w:pPr>
            <w:r w:rsidRPr="001C1CCB">
              <w:rPr>
                <w:rFonts w:ascii="Times New Roman" w:hAnsi="Times New Roman"/>
                <w:b/>
                <w:bCs/>
                <w:sz w:val="20"/>
                <w:szCs w:val="20"/>
              </w:rPr>
              <w:t>Burden Hrs/Yr (D x E)</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58C9C01" w14:textId="77777777">
            <w:pPr>
              <w:ind w:firstLine="0"/>
              <w:jc w:val="center"/>
              <w:rPr>
                <w:rFonts w:ascii="Times New Roman" w:hAnsi="Times New Roman"/>
                <w:b/>
                <w:bCs/>
                <w:sz w:val="20"/>
                <w:szCs w:val="20"/>
              </w:rPr>
            </w:pPr>
            <w:r w:rsidRPr="001C1CCB">
              <w:rPr>
                <w:rFonts w:ascii="Times New Roman" w:hAnsi="Times New Roman"/>
                <w:b/>
                <w:bCs/>
                <w:sz w:val="20"/>
                <w:szCs w:val="20"/>
              </w:rPr>
              <w:t>Hourly Cost Per Response</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B35BA0" w:rsidRPr="001C1CCB" w:rsidP="006825C6" w14:paraId="3E49A3F6" w14:textId="77777777">
            <w:pPr>
              <w:ind w:firstLine="0"/>
              <w:jc w:val="center"/>
              <w:rPr>
                <w:rFonts w:ascii="Times New Roman" w:hAnsi="Times New Roman"/>
                <w:b/>
                <w:bCs/>
                <w:sz w:val="20"/>
                <w:szCs w:val="20"/>
              </w:rPr>
            </w:pPr>
            <w:r w:rsidRPr="001C1CCB">
              <w:rPr>
                <w:rFonts w:ascii="Times New Roman" w:hAnsi="Times New Roman"/>
                <w:b/>
                <w:bCs/>
                <w:sz w:val="20"/>
                <w:szCs w:val="20"/>
              </w:rPr>
              <w:t>Total Annual Cost (F x G)</w:t>
            </w:r>
          </w:p>
        </w:tc>
      </w:tr>
      <w:tr w14:paraId="1037C251" w14:textId="77777777" w:rsidTr="006825C6">
        <w:tblPrEx>
          <w:tblW w:w="11065" w:type="dxa"/>
          <w:tblLayout w:type="fixed"/>
          <w:tblLook w:val="00A0"/>
        </w:tblPrEx>
        <w:trPr>
          <w:trHeight w:val="331"/>
          <w:tblHeader/>
        </w:trPr>
        <w:tc>
          <w:tcPr>
            <w:tcW w:w="11065" w:type="dxa"/>
            <w:gridSpan w:val="8"/>
            <w:tcBorders>
              <w:top w:val="single" w:sz="24" w:space="0" w:color="auto"/>
              <w:left w:val="single" w:sz="4" w:space="0" w:color="auto"/>
              <w:bottom w:val="single" w:sz="4" w:space="0" w:color="auto"/>
              <w:right w:val="single" w:sz="4" w:space="0" w:color="auto"/>
            </w:tcBorders>
            <w:shd w:val="clear" w:color="auto" w:fill="D9D9D9" w:themeFill="background1" w:themeFillShade="D9"/>
          </w:tcPr>
          <w:p w:rsidR="00B35BA0" w:rsidRPr="001C1CCB" w:rsidP="006825C6" w14:paraId="3E59A5BB" w14:textId="77777777">
            <w:pPr>
              <w:tabs>
                <w:tab w:val="left" w:pos="220"/>
              </w:tabs>
              <w:ind w:firstLine="0"/>
              <w:jc w:val="both"/>
              <w:rPr>
                <w:rFonts w:ascii="Times New Roman" w:hAnsi="Times New Roman"/>
                <w:b/>
                <w:bCs/>
                <w:sz w:val="20"/>
                <w:szCs w:val="20"/>
              </w:rPr>
            </w:pPr>
            <w:r w:rsidRPr="001C1CCB">
              <w:rPr>
                <w:rFonts w:ascii="Times New Roman" w:hAnsi="Times New Roman"/>
                <w:b/>
                <w:bCs/>
                <w:sz w:val="20"/>
                <w:szCs w:val="20"/>
              </w:rPr>
              <w:tab/>
              <w:t>Third-Party Standard Practice Forms/Reports Not In Collection Total or Covered by Other OMB Numbers:</w:t>
            </w:r>
          </w:p>
        </w:tc>
      </w:tr>
      <w:tr w14:paraId="57A1AD9A"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6264690" w14:textId="77777777">
            <w:pPr>
              <w:ind w:firstLine="0"/>
              <w:jc w:val="center"/>
              <w:rPr>
                <w:rFonts w:ascii="Times New Roman" w:hAnsi="Times New Roman"/>
                <w:b/>
                <w:bCs/>
                <w:sz w:val="20"/>
                <w:szCs w:val="20"/>
              </w:rPr>
            </w:pPr>
            <w:r w:rsidRPr="001C1CCB">
              <w:rPr>
                <w:rFonts w:ascii="Times New Roman" w:hAnsi="Times New Roman"/>
                <w:sz w:val="20"/>
                <w:szCs w:val="20"/>
              </w:rPr>
              <w:t>Appraisal- NC SR</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56DD170" w14:textId="77777777">
            <w:pPr>
              <w:ind w:firstLine="0"/>
              <w:jc w:val="center"/>
              <w:rPr>
                <w:rFonts w:ascii="Times New Roman" w:hAnsi="Times New Roman"/>
                <w:b/>
                <w:bCs/>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1088856" w14:textId="77777777">
            <w:pPr>
              <w:ind w:firstLine="0"/>
              <w:jc w:val="center"/>
              <w:rPr>
                <w:rFonts w:ascii="Times New Roman" w:hAnsi="Times New Roman"/>
                <w:b/>
                <w:bCs/>
                <w:sz w:val="20"/>
                <w:szCs w:val="20"/>
              </w:rPr>
            </w:pPr>
            <w:r w:rsidRPr="001C1CCB">
              <w:rPr>
                <w:rFonts w:ascii="Times New Roman" w:hAnsi="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5F630C21" w14:textId="77777777">
            <w:pPr>
              <w:ind w:firstLine="0"/>
              <w:jc w:val="center"/>
              <w:rPr>
                <w:rFonts w:ascii="Times New Roman" w:hAnsi="Times New Roman"/>
                <w:b/>
                <w:bCs/>
                <w:sz w:val="20"/>
                <w:szCs w:val="20"/>
              </w:rPr>
            </w:pPr>
            <w:r w:rsidRPr="001C1CCB">
              <w:rPr>
                <w:rFonts w:ascii="Times New Roman" w:hAnsi="Times New Roman"/>
                <w:sz w:val="20"/>
                <w:szCs w:val="20"/>
              </w:rPr>
              <w:t>17.29</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75D5335D" w14:textId="2345E786">
            <w:pPr>
              <w:ind w:firstLine="0"/>
              <w:jc w:val="center"/>
              <w:rPr>
                <w:rFonts w:ascii="Times New Roman" w:hAnsi="Times New Roman"/>
                <w:b/>
                <w:bCs/>
                <w:sz w:val="20"/>
                <w:szCs w:val="20"/>
              </w:rPr>
            </w:pPr>
            <w:r w:rsidRPr="001C1CCB">
              <w:rPr>
                <w:rFonts w:ascii="Times New Roman" w:hAnsi="Times New Roman"/>
                <w:sz w:val="20"/>
                <w:szCs w:val="20"/>
              </w:rPr>
              <w:t>40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F206DC6" w14:textId="7948CFF3">
            <w:pPr>
              <w:ind w:firstLine="0"/>
              <w:jc w:val="center"/>
              <w:rPr>
                <w:rFonts w:ascii="Times New Roman" w:hAnsi="Times New Roman"/>
                <w:b/>
                <w:bCs/>
                <w:sz w:val="20"/>
                <w:szCs w:val="20"/>
              </w:rPr>
            </w:pPr>
            <w:r w:rsidRPr="001C1CCB">
              <w:rPr>
                <w:rFonts w:ascii="Times New Roman" w:hAnsi="Times New Roman"/>
                <w:sz w:val="20"/>
                <w:szCs w:val="20"/>
              </w:rPr>
              <w:t>692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6A20097D" w14:textId="42B482A7">
            <w:pPr>
              <w:ind w:firstLine="0"/>
              <w:jc w:val="center"/>
              <w:rPr>
                <w:rFonts w:ascii="Times New Roman" w:hAnsi="Times New Roman"/>
                <w:b/>
                <w:bCs/>
                <w:sz w:val="20"/>
                <w:szCs w:val="20"/>
              </w:rPr>
            </w:pPr>
            <w:r w:rsidRPr="001C1CCB">
              <w:rPr>
                <w:rFonts w:ascii="Times New Roman" w:hAnsi="Times New Roman"/>
                <w:sz w:val="20"/>
                <w:szCs w:val="20"/>
              </w:rPr>
              <w:t>$47.91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6A18E1F7" w14:textId="5423A869">
            <w:pPr>
              <w:ind w:firstLine="0"/>
              <w:jc w:val="center"/>
              <w:rPr>
                <w:rFonts w:ascii="Times New Roman" w:hAnsi="Times New Roman"/>
                <w:b/>
                <w:bCs/>
                <w:sz w:val="20"/>
                <w:szCs w:val="20"/>
              </w:rPr>
            </w:pPr>
            <w:r w:rsidRPr="001C1CCB">
              <w:rPr>
                <w:rFonts w:ascii="Times New Roman" w:hAnsi="Times New Roman"/>
                <w:sz w:val="20"/>
                <w:szCs w:val="20"/>
              </w:rPr>
              <w:t>$</w:t>
            </w:r>
            <w:r w:rsidRPr="001C1CCB" w:rsidR="00B87ED0">
              <w:rPr>
                <w:rFonts w:ascii="Times New Roman" w:hAnsi="Times New Roman"/>
                <w:sz w:val="20"/>
                <w:szCs w:val="20"/>
              </w:rPr>
              <w:t>33,140</w:t>
            </w:r>
          </w:p>
        </w:tc>
      </w:tr>
      <w:tr w14:paraId="08564335"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708DC3DC" w14:textId="77777777">
            <w:pPr>
              <w:ind w:firstLine="0"/>
              <w:jc w:val="center"/>
              <w:rPr>
                <w:rFonts w:ascii="Times New Roman" w:hAnsi="Times New Roman"/>
                <w:b/>
                <w:bCs/>
                <w:sz w:val="20"/>
                <w:szCs w:val="20"/>
              </w:rPr>
            </w:pPr>
            <w:r w:rsidRPr="001C1CCB">
              <w:rPr>
                <w:rFonts w:ascii="Times New Roman" w:hAnsi="Times New Roman"/>
                <w:sz w:val="20"/>
                <w:szCs w:val="20"/>
              </w:rPr>
              <w:t>Market Study-NC SR</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99FC3BD" w14:textId="77777777">
            <w:pPr>
              <w:ind w:firstLine="0"/>
              <w:jc w:val="center"/>
              <w:rPr>
                <w:rFonts w:ascii="Times New Roman" w:hAnsi="Times New Roman"/>
                <w:b/>
                <w:bCs/>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5124E407" w14:textId="77777777">
            <w:pPr>
              <w:ind w:firstLine="0"/>
              <w:jc w:val="center"/>
              <w:rPr>
                <w:rFonts w:ascii="Times New Roman" w:hAnsi="Times New Roman"/>
                <w:sz w:val="20"/>
                <w:szCs w:val="20"/>
              </w:rPr>
            </w:pPr>
            <w:r w:rsidRPr="001C1CCB">
              <w:rPr>
                <w:rFonts w:ascii="Times New Roman" w:hAnsi="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F4CCD7E" w14:textId="77777777">
            <w:pPr>
              <w:ind w:firstLine="0"/>
              <w:jc w:val="center"/>
              <w:rPr>
                <w:rFonts w:ascii="Times New Roman" w:hAnsi="Times New Roman"/>
                <w:b/>
                <w:bCs/>
                <w:sz w:val="20"/>
                <w:szCs w:val="20"/>
              </w:rPr>
            </w:pPr>
            <w:r w:rsidRPr="001C1CCB">
              <w:rPr>
                <w:rFonts w:ascii="Times New Roman" w:hAnsi="Times New Roman"/>
                <w:sz w:val="20"/>
                <w:szCs w:val="20"/>
              </w:rPr>
              <w:t>17.29</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074124C" w14:textId="017D6EDE">
            <w:pPr>
              <w:ind w:firstLine="0"/>
              <w:jc w:val="center"/>
              <w:rPr>
                <w:rFonts w:ascii="Times New Roman" w:hAnsi="Times New Roman"/>
                <w:b/>
                <w:bCs/>
                <w:sz w:val="20"/>
                <w:szCs w:val="20"/>
              </w:rPr>
            </w:pPr>
            <w:r w:rsidRPr="001C1CCB">
              <w:rPr>
                <w:rFonts w:ascii="Times New Roman" w:hAnsi="Times New Roman"/>
                <w:sz w:val="20"/>
                <w:szCs w:val="20"/>
              </w:rPr>
              <w:t>16</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FEEB7F0" w14:textId="042B6717">
            <w:pPr>
              <w:ind w:firstLine="0"/>
              <w:jc w:val="center"/>
              <w:rPr>
                <w:rFonts w:ascii="Times New Roman" w:hAnsi="Times New Roman"/>
                <w:b/>
                <w:bCs/>
                <w:sz w:val="20"/>
                <w:szCs w:val="20"/>
              </w:rPr>
            </w:pPr>
            <w:r w:rsidRPr="001C1CCB">
              <w:rPr>
                <w:rFonts w:ascii="Times New Roman" w:hAnsi="Times New Roman"/>
                <w:sz w:val="20"/>
                <w:szCs w:val="20"/>
              </w:rPr>
              <w:t>277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4135339" w14:textId="1133554F">
            <w:pPr>
              <w:ind w:firstLine="0"/>
              <w:jc w:val="center"/>
              <w:rPr>
                <w:rFonts w:ascii="Times New Roman" w:hAnsi="Times New Roman"/>
                <w:sz w:val="20"/>
                <w:szCs w:val="20"/>
              </w:rPr>
            </w:pPr>
            <w:r w:rsidRPr="001C1CCB">
              <w:rPr>
                <w:rFonts w:ascii="Times New Roman" w:hAnsi="Times New Roman"/>
                <w:sz w:val="20"/>
                <w:szCs w:val="20"/>
              </w:rPr>
              <w:t>$47.91</w:t>
            </w:r>
          </w:p>
          <w:p w:rsidR="00B35BA0" w:rsidRPr="001C1CCB" w:rsidP="006825C6" w14:paraId="446C6DCD" w14:textId="77777777">
            <w:pPr>
              <w:ind w:firstLine="0"/>
              <w:jc w:val="center"/>
              <w:rPr>
                <w:rFonts w:ascii="Times New Roman" w:hAnsi="Times New Roman"/>
                <w:b/>
                <w:b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EBD1EE0" w14:textId="3D8EBA1E">
            <w:pPr>
              <w:ind w:firstLine="0"/>
              <w:jc w:val="center"/>
              <w:rPr>
                <w:rFonts w:ascii="Times New Roman" w:hAnsi="Times New Roman"/>
                <w:b/>
                <w:bCs/>
                <w:sz w:val="20"/>
                <w:szCs w:val="20"/>
              </w:rPr>
            </w:pPr>
            <w:r w:rsidRPr="001C1CCB">
              <w:rPr>
                <w:rFonts w:ascii="Times New Roman" w:hAnsi="Times New Roman"/>
                <w:sz w:val="20"/>
                <w:szCs w:val="20"/>
              </w:rPr>
              <w:t>$13,256</w:t>
            </w:r>
          </w:p>
        </w:tc>
      </w:tr>
      <w:tr w14:paraId="34672518"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705CF4D5" w14:textId="77777777">
            <w:pPr>
              <w:ind w:firstLine="0"/>
              <w:jc w:val="center"/>
              <w:rPr>
                <w:rFonts w:ascii="Times New Roman" w:hAnsi="Times New Roman"/>
                <w:b/>
                <w:bCs/>
                <w:sz w:val="20"/>
                <w:szCs w:val="20"/>
              </w:rPr>
            </w:pPr>
            <w:r w:rsidRPr="001C1CCB">
              <w:rPr>
                <w:rFonts w:ascii="Times New Roman" w:hAnsi="Times New Roman"/>
                <w:sz w:val="20"/>
                <w:szCs w:val="20"/>
              </w:rPr>
              <w:t>Appraisal-Refinance/Purchase</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9299281" w14:textId="77777777">
            <w:pPr>
              <w:ind w:firstLine="0"/>
              <w:jc w:val="center"/>
              <w:rPr>
                <w:rFonts w:ascii="Times New Roman" w:hAnsi="Times New Roman"/>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AE633E9" w14:textId="77777777">
            <w:pPr>
              <w:ind w:firstLine="0"/>
              <w:jc w:val="center"/>
              <w:rPr>
                <w:rFonts w:ascii="Times New Roman" w:hAnsi="Times New Roman"/>
                <w:sz w:val="20"/>
                <w:szCs w:val="20"/>
              </w:rPr>
            </w:pPr>
            <w:r w:rsidRPr="001C1CCB">
              <w:rPr>
                <w:rFonts w:ascii="Times New Roman" w:hAnsi="Times New Roman"/>
                <w:sz w:val="20"/>
                <w:szCs w:val="20"/>
              </w:rPr>
              <w:t>80%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C622B57" w14:textId="77777777">
            <w:pPr>
              <w:ind w:firstLine="0"/>
              <w:jc w:val="center"/>
              <w:rPr>
                <w:rFonts w:ascii="Times New Roman" w:hAnsi="Times New Roman"/>
                <w:sz w:val="20"/>
                <w:szCs w:val="20"/>
              </w:rPr>
            </w:pPr>
            <w:r w:rsidRPr="001C1CCB">
              <w:rPr>
                <w:rFonts w:ascii="Times New Roman" w:hAnsi="Times New Roman"/>
                <w:sz w:val="20"/>
                <w:szCs w:val="20"/>
              </w:rPr>
              <w:t>68.71</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D257D34" w14:textId="50BFB5D2">
            <w:pPr>
              <w:ind w:firstLine="0"/>
              <w:jc w:val="center"/>
              <w:rPr>
                <w:rFonts w:ascii="Times New Roman" w:hAnsi="Times New Roman"/>
                <w:sz w:val="20"/>
                <w:szCs w:val="20"/>
              </w:rPr>
            </w:pPr>
            <w:r w:rsidRPr="001C1CCB">
              <w:rPr>
                <w:rFonts w:ascii="Times New Roman" w:hAnsi="Times New Roman"/>
                <w:sz w:val="20"/>
                <w:szCs w:val="20"/>
              </w:rPr>
              <w:t>32</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240EA24" w14:textId="42BCDC39">
            <w:pPr>
              <w:ind w:firstLine="0"/>
              <w:jc w:val="center"/>
              <w:rPr>
                <w:rFonts w:ascii="Times New Roman" w:hAnsi="Times New Roman"/>
                <w:sz w:val="20"/>
                <w:szCs w:val="20"/>
              </w:rPr>
            </w:pPr>
            <w:r w:rsidRPr="001C1CCB">
              <w:rPr>
                <w:rFonts w:ascii="Times New Roman" w:hAnsi="Times New Roman"/>
                <w:sz w:val="20"/>
                <w:szCs w:val="20"/>
              </w:rPr>
              <w:t>2199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F632E09" w14:textId="73558B1A">
            <w:pPr>
              <w:ind w:firstLine="0"/>
              <w:jc w:val="center"/>
              <w:rPr>
                <w:rFonts w:ascii="Times New Roman" w:hAnsi="Times New Roman"/>
                <w:sz w:val="20"/>
                <w:szCs w:val="20"/>
              </w:rPr>
            </w:pPr>
            <w:r w:rsidRPr="001C1CCB">
              <w:rPr>
                <w:rFonts w:ascii="Times New Roman" w:hAnsi="Times New Roman"/>
                <w:sz w:val="20"/>
                <w:szCs w:val="20"/>
              </w:rPr>
              <w:t>$47.91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AE9E9A2" w14:textId="1C8CB9CB">
            <w:pPr>
              <w:ind w:firstLine="0"/>
              <w:jc w:val="center"/>
              <w:rPr>
                <w:rFonts w:ascii="Times New Roman" w:hAnsi="Times New Roman"/>
                <w:sz w:val="20"/>
                <w:szCs w:val="20"/>
              </w:rPr>
            </w:pPr>
            <w:r w:rsidRPr="001C1CCB">
              <w:rPr>
                <w:rFonts w:ascii="Times New Roman" w:hAnsi="Times New Roman"/>
                <w:sz w:val="20"/>
                <w:szCs w:val="20"/>
              </w:rPr>
              <w:t>$</w:t>
            </w:r>
            <w:r w:rsidRPr="001C1CCB" w:rsidR="00A62FCB">
              <w:rPr>
                <w:rFonts w:ascii="Times New Roman" w:hAnsi="Times New Roman"/>
                <w:sz w:val="20"/>
                <w:szCs w:val="20"/>
              </w:rPr>
              <w:t>105,337</w:t>
            </w:r>
          </w:p>
          <w:p w:rsidR="00B35BA0" w:rsidRPr="001C1CCB" w:rsidP="006825C6" w14:paraId="6AB4C7F0" w14:textId="77777777">
            <w:pPr>
              <w:ind w:firstLine="0"/>
              <w:jc w:val="center"/>
              <w:rPr>
                <w:rFonts w:ascii="Times New Roman" w:hAnsi="Times New Roman"/>
                <w:sz w:val="20"/>
                <w:szCs w:val="20"/>
              </w:rPr>
            </w:pPr>
          </w:p>
        </w:tc>
      </w:tr>
      <w:tr w14:paraId="3B85D6BB"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7406DA90" w14:textId="77777777">
            <w:pPr>
              <w:ind w:firstLine="0"/>
              <w:jc w:val="center"/>
              <w:rPr>
                <w:rFonts w:ascii="Times New Roman" w:hAnsi="Times New Roman"/>
                <w:b/>
                <w:bCs/>
                <w:sz w:val="20"/>
                <w:szCs w:val="20"/>
              </w:rPr>
            </w:pPr>
            <w:r w:rsidRPr="001C1CCB">
              <w:rPr>
                <w:rFonts w:ascii="Times New Roman" w:hAnsi="Times New Roman"/>
                <w:sz w:val="20"/>
                <w:szCs w:val="20"/>
              </w:rPr>
              <w:t>Third-Party Certifications</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5FBC624" w14:textId="77777777">
            <w:pPr>
              <w:ind w:firstLine="0"/>
              <w:jc w:val="center"/>
              <w:rPr>
                <w:rFonts w:ascii="Times New Roman" w:hAnsi="Times New Roman"/>
                <w:b/>
                <w:bCs/>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66ED286B" w14:textId="77777777">
            <w:pPr>
              <w:ind w:firstLine="0"/>
              <w:jc w:val="center"/>
              <w:rPr>
                <w:rFonts w:ascii="Times New Roman" w:hAnsi="Times New Roman"/>
                <w:b/>
                <w:bCs/>
                <w:sz w:val="20"/>
                <w:szCs w:val="20"/>
              </w:rPr>
            </w:pPr>
            <w:r w:rsidRPr="001C1CCB">
              <w:rPr>
                <w:rFonts w:ascii="Times New Roman" w:hAnsi="Times New Roman"/>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3348CCE" w14:textId="77777777">
            <w:pPr>
              <w:ind w:firstLine="0"/>
              <w:jc w:val="center"/>
              <w:rPr>
                <w:rFonts w:ascii="Times New Roman" w:hAnsi="Times New Roman"/>
                <w:b/>
                <w:bCs/>
                <w:sz w:val="20"/>
                <w:szCs w:val="20"/>
              </w:rPr>
            </w:pPr>
            <w:r w:rsidRPr="001C1CCB">
              <w:rPr>
                <w:rFonts w:ascii="Times New Roman" w:hAnsi="Times New Roman"/>
                <w:sz w:val="20"/>
                <w:szCs w:val="20"/>
              </w:rPr>
              <w:t>86</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20A7EF3" w14:textId="13E39E2E">
            <w:pPr>
              <w:ind w:firstLine="0"/>
              <w:jc w:val="center"/>
              <w:rPr>
                <w:rFonts w:ascii="Times New Roman" w:hAnsi="Times New Roman"/>
                <w:b/>
                <w:bCs/>
                <w:sz w:val="20"/>
                <w:szCs w:val="20"/>
              </w:rPr>
            </w:pPr>
            <w:r w:rsidRPr="001C1CCB">
              <w:rPr>
                <w:rFonts w:ascii="Times New Roman" w:hAnsi="Times New Roman"/>
                <w:sz w:val="20"/>
                <w:szCs w:val="20"/>
              </w:rPr>
              <w:t>2</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67B4E806" w14:textId="730AEB21">
            <w:pPr>
              <w:ind w:firstLine="0"/>
              <w:jc w:val="center"/>
              <w:rPr>
                <w:rFonts w:ascii="Times New Roman" w:hAnsi="Times New Roman"/>
                <w:b/>
                <w:bCs/>
                <w:sz w:val="20"/>
                <w:szCs w:val="20"/>
              </w:rPr>
            </w:pPr>
            <w:r w:rsidRPr="001C1CCB">
              <w:rPr>
                <w:rFonts w:ascii="Times New Roman" w:hAnsi="Times New Roman"/>
                <w:sz w:val="20"/>
                <w:szCs w:val="20"/>
              </w:rPr>
              <w:t>172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A9300E9" w14:textId="23813F2F">
            <w:pPr>
              <w:ind w:firstLine="0"/>
              <w:jc w:val="center"/>
              <w:rPr>
                <w:rFonts w:ascii="Times New Roman" w:hAnsi="Times New Roman"/>
                <w:sz w:val="20"/>
                <w:szCs w:val="20"/>
              </w:rPr>
            </w:pPr>
            <w:r w:rsidRPr="001C1CCB">
              <w:rPr>
                <w:rFonts w:ascii="Times New Roman" w:hAnsi="Times New Roman"/>
                <w:sz w:val="20"/>
                <w:szCs w:val="20"/>
              </w:rPr>
              <w:t>$47.91</w:t>
            </w:r>
          </w:p>
          <w:p w:rsidR="00DA2449" w:rsidRPr="001C1CCB" w:rsidP="006825C6" w14:paraId="0EAD872F" w14:textId="357E5516">
            <w:pPr>
              <w:ind w:firstLine="0"/>
              <w:jc w:val="center"/>
              <w:rPr>
                <w:rFonts w:ascii="Times New Roman" w:hAnsi="Times New Roman"/>
                <w:b/>
                <w:b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227CA3A" w14:textId="2480A717">
            <w:pPr>
              <w:ind w:firstLine="0"/>
              <w:jc w:val="center"/>
              <w:rPr>
                <w:rFonts w:ascii="Times New Roman" w:hAnsi="Times New Roman"/>
                <w:b/>
                <w:bCs/>
                <w:sz w:val="20"/>
                <w:szCs w:val="20"/>
              </w:rPr>
            </w:pPr>
            <w:r w:rsidRPr="001C1CCB">
              <w:rPr>
                <w:rFonts w:ascii="Times New Roman" w:hAnsi="Times New Roman"/>
                <w:sz w:val="20"/>
                <w:szCs w:val="20"/>
              </w:rPr>
              <w:t>$</w:t>
            </w:r>
            <w:r w:rsidRPr="001C1CCB" w:rsidR="00082115">
              <w:rPr>
                <w:rFonts w:ascii="Times New Roman" w:hAnsi="Times New Roman"/>
                <w:sz w:val="20"/>
                <w:szCs w:val="20"/>
              </w:rPr>
              <w:t>8,241</w:t>
            </w:r>
          </w:p>
        </w:tc>
      </w:tr>
      <w:tr w14:paraId="0367DCC0"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88B9E99" w14:textId="77777777">
            <w:pPr>
              <w:ind w:firstLine="0"/>
              <w:jc w:val="center"/>
              <w:rPr>
                <w:rFonts w:ascii="Times New Roman" w:hAnsi="Times New Roman"/>
                <w:b/>
                <w:bCs/>
                <w:sz w:val="20"/>
                <w:szCs w:val="20"/>
              </w:rPr>
            </w:pPr>
            <w:r w:rsidRPr="001C1CCB">
              <w:rPr>
                <w:rFonts w:ascii="Times New Roman" w:hAnsi="Times New Roman"/>
                <w:sz w:val="20"/>
                <w:szCs w:val="20"/>
              </w:rPr>
              <w:t>Green Building Certifications</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F50252E" w14:textId="77777777">
            <w:pPr>
              <w:ind w:firstLine="0"/>
              <w:jc w:val="center"/>
              <w:rPr>
                <w:rFonts w:ascii="Times New Roman" w:hAnsi="Times New Roman"/>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0AF2823" w14:textId="77777777">
            <w:pPr>
              <w:ind w:firstLine="0"/>
              <w:jc w:val="center"/>
              <w:rPr>
                <w:rFonts w:ascii="Times New Roman" w:hAnsi="Times New Roman"/>
                <w:sz w:val="20"/>
                <w:szCs w:val="20"/>
              </w:rPr>
            </w:pPr>
            <w:r w:rsidRPr="001C1CCB">
              <w:rPr>
                <w:rFonts w:ascii="Times New Roman" w:hAnsi="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5AA372B2" w14:textId="77777777">
            <w:pPr>
              <w:ind w:firstLine="0"/>
              <w:jc w:val="center"/>
              <w:rPr>
                <w:rFonts w:ascii="Times New Roman" w:hAnsi="Times New Roman"/>
                <w:sz w:val="20"/>
                <w:szCs w:val="20"/>
              </w:rPr>
            </w:pPr>
            <w:r w:rsidRPr="001C1CCB">
              <w:rPr>
                <w:rFonts w:ascii="Times New Roman" w:hAnsi="Times New Roman"/>
                <w:sz w:val="20"/>
                <w:szCs w:val="20"/>
              </w:rPr>
              <w:t>43</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B740868" w14:textId="47C86794">
            <w:pPr>
              <w:ind w:firstLine="0"/>
              <w:jc w:val="center"/>
              <w:rPr>
                <w:rFonts w:ascii="Times New Roman" w:hAnsi="Times New Roman"/>
                <w:sz w:val="20"/>
                <w:szCs w:val="20"/>
              </w:rPr>
            </w:pPr>
            <w:r w:rsidRPr="001C1CCB">
              <w:rPr>
                <w:rFonts w:ascii="Times New Roman" w:hAnsi="Times New Roman"/>
                <w:sz w:val="20"/>
                <w:szCs w:val="20"/>
              </w:rPr>
              <w:t>8</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D7358BF" w14:textId="22D08511">
            <w:pPr>
              <w:ind w:firstLine="0"/>
              <w:jc w:val="center"/>
              <w:rPr>
                <w:rFonts w:ascii="Times New Roman" w:hAnsi="Times New Roman"/>
                <w:sz w:val="20"/>
                <w:szCs w:val="20"/>
              </w:rPr>
            </w:pPr>
            <w:r w:rsidRPr="001C1CCB">
              <w:rPr>
                <w:rFonts w:ascii="Times New Roman" w:hAnsi="Times New Roman"/>
                <w:sz w:val="20"/>
                <w:szCs w:val="20"/>
              </w:rPr>
              <w:t>344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70D4A84D" w14:textId="7CA8FCE3">
            <w:pPr>
              <w:ind w:firstLine="0"/>
              <w:jc w:val="center"/>
              <w:rPr>
                <w:rFonts w:ascii="Times New Roman" w:hAnsi="Times New Roman"/>
                <w:sz w:val="20"/>
                <w:szCs w:val="20"/>
              </w:rPr>
            </w:pPr>
            <w:r w:rsidRPr="001C1CCB">
              <w:rPr>
                <w:rFonts w:ascii="Times New Roman" w:hAnsi="Times New Roman"/>
                <w:sz w:val="20"/>
                <w:szCs w:val="20"/>
              </w:rPr>
              <w:t>$47.91</w:t>
            </w:r>
          </w:p>
          <w:p w:rsidR="00DA2449" w:rsidRPr="001C1CCB" w:rsidP="006825C6" w14:paraId="0D205E7F" w14:textId="3604CA60">
            <w:pPr>
              <w:ind w:firstLine="0"/>
              <w:jc w:val="center"/>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DD5F013" w14:textId="00B93D6B">
            <w:pPr>
              <w:ind w:firstLine="0"/>
              <w:jc w:val="center"/>
              <w:rPr>
                <w:rFonts w:ascii="Times New Roman" w:hAnsi="Times New Roman"/>
                <w:sz w:val="20"/>
                <w:szCs w:val="20"/>
              </w:rPr>
            </w:pPr>
            <w:r w:rsidRPr="001C1CCB">
              <w:rPr>
                <w:rFonts w:ascii="Times New Roman" w:hAnsi="Times New Roman"/>
                <w:sz w:val="20"/>
                <w:szCs w:val="20"/>
              </w:rPr>
              <w:t>$</w:t>
            </w:r>
            <w:r w:rsidRPr="001C1CCB" w:rsidR="00082115">
              <w:rPr>
                <w:rFonts w:ascii="Times New Roman" w:hAnsi="Times New Roman"/>
                <w:sz w:val="20"/>
                <w:szCs w:val="20"/>
              </w:rPr>
              <w:t>16</w:t>
            </w:r>
            <w:r w:rsidRPr="001C1CCB" w:rsidR="003D70F0">
              <w:rPr>
                <w:rFonts w:ascii="Times New Roman" w:hAnsi="Times New Roman"/>
                <w:sz w:val="20"/>
                <w:szCs w:val="20"/>
              </w:rPr>
              <w:t>,481</w:t>
            </w:r>
          </w:p>
        </w:tc>
      </w:tr>
      <w:tr w14:paraId="6C72F56A"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28C6F0B" w14:textId="77777777">
            <w:pPr>
              <w:ind w:firstLine="0"/>
              <w:jc w:val="center"/>
              <w:rPr>
                <w:rFonts w:ascii="Times New Roman" w:hAnsi="Times New Roman"/>
                <w:b/>
                <w:bCs/>
                <w:sz w:val="20"/>
                <w:szCs w:val="20"/>
              </w:rPr>
            </w:pPr>
            <w:r w:rsidRPr="001C1CCB">
              <w:rPr>
                <w:rFonts w:ascii="Times New Roman" w:hAnsi="Times New Roman"/>
                <w:sz w:val="20"/>
                <w:szCs w:val="20"/>
              </w:rPr>
              <w:t>ASHRAE Energy Audits- Refi/Purchase</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08CC2CD" w14:textId="77777777">
            <w:pPr>
              <w:ind w:firstLine="0"/>
              <w:jc w:val="center"/>
              <w:rPr>
                <w:rFonts w:ascii="Times New Roman" w:hAnsi="Times New Roman"/>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531A0917" w14:textId="77777777">
            <w:pPr>
              <w:ind w:firstLine="0"/>
              <w:jc w:val="center"/>
              <w:rPr>
                <w:rFonts w:ascii="Times New Roman" w:hAnsi="Times New Roman"/>
                <w:sz w:val="20"/>
                <w:szCs w:val="20"/>
              </w:rPr>
            </w:pPr>
            <w:r w:rsidRPr="001C1CCB">
              <w:rPr>
                <w:rFonts w:ascii="Times New Roman" w:hAnsi="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8DB904C" w14:textId="77777777">
            <w:pPr>
              <w:ind w:firstLine="0"/>
              <w:jc w:val="center"/>
              <w:rPr>
                <w:rFonts w:ascii="Times New Roman" w:hAnsi="Times New Roman"/>
                <w:sz w:val="20"/>
                <w:szCs w:val="20"/>
              </w:rPr>
            </w:pPr>
            <w:r w:rsidRPr="001C1CCB">
              <w:rPr>
                <w:rFonts w:ascii="Times New Roman" w:hAnsi="Times New Roman"/>
                <w:sz w:val="20"/>
                <w:szCs w:val="20"/>
              </w:rPr>
              <w:t>25.8</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A3B7E64" w14:textId="041602EA">
            <w:pPr>
              <w:ind w:firstLine="0"/>
              <w:jc w:val="center"/>
              <w:rPr>
                <w:rFonts w:ascii="Times New Roman" w:hAnsi="Times New Roman"/>
                <w:sz w:val="20"/>
                <w:szCs w:val="20"/>
              </w:rPr>
            </w:pPr>
            <w:r w:rsidRPr="001C1CCB">
              <w:rPr>
                <w:rFonts w:ascii="Times New Roman" w:hAnsi="Times New Roman"/>
                <w:sz w:val="20"/>
                <w:szCs w:val="20"/>
              </w:rPr>
              <w:t>3</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76C8072" w14:textId="737B538D">
            <w:pPr>
              <w:ind w:firstLine="0"/>
              <w:jc w:val="center"/>
              <w:rPr>
                <w:rFonts w:ascii="Times New Roman" w:hAnsi="Times New Roman"/>
                <w:sz w:val="20"/>
                <w:szCs w:val="20"/>
              </w:rPr>
            </w:pPr>
            <w:r w:rsidRPr="001C1CCB">
              <w:rPr>
                <w:rFonts w:ascii="Times New Roman" w:hAnsi="Times New Roman"/>
                <w:sz w:val="20"/>
                <w:szCs w:val="20"/>
              </w:rPr>
              <w:t>77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8885F26" w14:textId="026BE1E6">
            <w:pPr>
              <w:ind w:firstLine="0"/>
              <w:jc w:val="center"/>
              <w:rPr>
                <w:rFonts w:ascii="Times New Roman" w:hAnsi="Times New Roman"/>
                <w:sz w:val="20"/>
                <w:szCs w:val="20"/>
              </w:rPr>
            </w:pPr>
            <w:r w:rsidRPr="001C1CCB">
              <w:rPr>
                <w:rFonts w:ascii="Times New Roman" w:hAnsi="Times New Roman"/>
                <w:sz w:val="20"/>
                <w:szCs w:val="20"/>
              </w:rPr>
              <w:t>$47.91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72B6DE16" w14:textId="6526D467">
            <w:pPr>
              <w:ind w:firstLine="0"/>
              <w:jc w:val="center"/>
              <w:rPr>
                <w:rFonts w:ascii="Times New Roman" w:hAnsi="Times New Roman"/>
                <w:sz w:val="20"/>
                <w:szCs w:val="20"/>
              </w:rPr>
            </w:pPr>
            <w:r w:rsidRPr="001C1CCB">
              <w:rPr>
                <w:rFonts w:ascii="Times New Roman" w:hAnsi="Times New Roman"/>
                <w:sz w:val="20"/>
                <w:szCs w:val="20"/>
              </w:rPr>
              <w:t>$</w:t>
            </w:r>
            <w:r w:rsidRPr="001C1CCB" w:rsidR="003D70F0">
              <w:rPr>
                <w:rFonts w:ascii="Times New Roman" w:hAnsi="Times New Roman"/>
                <w:sz w:val="20"/>
                <w:szCs w:val="20"/>
              </w:rPr>
              <w:t>3,708</w:t>
            </w:r>
          </w:p>
        </w:tc>
      </w:tr>
      <w:tr w14:paraId="1367180E"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13DD46E" w14:textId="77777777">
            <w:pPr>
              <w:ind w:firstLine="0"/>
              <w:jc w:val="center"/>
              <w:rPr>
                <w:rFonts w:ascii="Times New Roman" w:hAnsi="Times New Roman"/>
                <w:b/>
                <w:bCs/>
                <w:sz w:val="20"/>
                <w:szCs w:val="20"/>
              </w:rPr>
            </w:pPr>
            <w:r w:rsidRPr="001C1CCB">
              <w:rPr>
                <w:rFonts w:ascii="Times New Roman" w:hAnsi="Times New Roman"/>
                <w:sz w:val="20"/>
                <w:szCs w:val="20"/>
              </w:rPr>
              <w:t>Refi/Purchase Drawings &amp; Specs,  A104, B 104, A201</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C0B2940" w14:textId="77777777">
            <w:pPr>
              <w:ind w:firstLine="0"/>
              <w:jc w:val="center"/>
              <w:rPr>
                <w:rFonts w:ascii="Times New Roman" w:hAnsi="Times New Roman"/>
                <w:b/>
                <w:bCs/>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33A32F3" w14:textId="77777777">
            <w:pPr>
              <w:ind w:firstLine="0"/>
              <w:jc w:val="center"/>
              <w:rPr>
                <w:rFonts w:ascii="Times New Roman" w:hAnsi="Times New Roman"/>
                <w:b/>
                <w:bCs/>
                <w:sz w:val="20"/>
                <w:szCs w:val="20"/>
              </w:rPr>
            </w:pPr>
            <w:r w:rsidRPr="001C1CCB">
              <w:rPr>
                <w:rFonts w:ascii="Times New Roman" w:hAnsi="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AC15EAF" w14:textId="77777777">
            <w:pPr>
              <w:ind w:firstLine="0"/>
              <w:jc w:val="center"/>
              <w:rPr>
                <w:rFonts w:ascii="Times New Roman" w:hAnsi="Times New Roman"/>
                <w:sz w:val="20"/>
                <w:szCs w:val="20"/>
              </w:rPr>
            </w:pPr>
            <w:r w:rsidRPr="001C1CCB">
              <w:rPr>
                <w:rFonts w:ascii="Times New Roman" w:hAnsi="Times New Roman"/>
                <w:sz w:val="20"/>
                <w:szCs w:val="20"/>
              </w:rPr>
              <w:t>17.20</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75A2136" w14:textId="19247B68">
            <w:pPr>
              <w:ind w:firstLine="0"/>
              <w:jc w:val="center"/>
              <w:rPr>
                <w:rFonts w:ascii="Times New Roman" w:hAnsi="Times New Roman"/>
                <w:b/>
                <w:bCs/>
                <w:sz w:val="20"/>
                <w:szCs w:val="20"/>
              </w:rPr>
            </w:pPr>
            <w:r w:rsidRPr="001C1CCB">
              <w:rPr>
                <w:rFonts w:ascii="Times New Roman" w:hAnsi="Times New Roman"/>
                <w:sz w:val="20"/>
                <w:szCs w:val="20"/>
              </w:rPr>
              <w:t>8</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7B8F2F4" w14:textId="278DB206">
            <w:pPr>
              <w:ind w:firstLine="0"/>
              <w:jc w:val="center"/>
              <w:rPr>
                <w:rFonts w:ascii="Times New Roman" w:hAnsi="Times New Roman"/>
                <w:b/>
                <w:bCs/>
                <w:sz w:val="20"/>
                <w:szCs w:val="20"/>
              </w:rPr>
            </w:pPr>
            <w:r w:rsidRPr="001C1CCB">
              <w:rPr>
                <w:rFonts w:ascii="Times New Roman" w:hAnsi="Times New Roman"/>
                <w:sz w:val="20"/>
                <w:szCs w:val="20"/>
              </w:rPr>
              <w:t>138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D4D486B" w14:textId="377F0F45">
            <w:pPr>
              <w:ind w:firstLine="0"/>
              <w:jc w:val="center"/>
              <w:rPr>
                <w:rFonts w:ascii="Times New Roman" w:hAnsi="Times New Roman"/>
                <w:b/>
                <w:bCs/>
                <w:sz w:val="20"/>
                <w:szCs w:val="20"/>
              </w:rPr>
            </w:pPr>
            <w:r w:rsidRPr="001C1CCB">
              <w:rPr>
                <w:rFonts w:ascii="Times New Roman" w:hAnsi="Times New Roman"/>
                <w:sz w:val="20"/>
                <w:szCs w:val="20"/>
              </w:rPr>
              <w:t>$47.91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8DFF92E" w14:textId="31F44224">
            <w:pPr>
              <w:ind w:firstLine="0"/>
              <w:jc w:val="center"/>
              <w:rPr>
                <w:rFonts w:ascii="Times New Roman" w:hAnsi="Times New Roman"/>
                <w:b/>
                <w:bCs/>
                <w:sz w:val="20"/>
                <w:szCs w:val="20"/>
              </w:rPr>
            </w:pPr>
            <w:r w:rsidRPr="001C1CCB">
              <w:rPr>
                <w:rFonts w:ascii="Times New Roman" w:hAnsi="Times New Roman"/>
                <w:sz w:val="20"/>
                <w:szCs w:val="20"/>
              </w:rPr>
              <w:t>$</w:t>
            </w:r>
            <w:r w:rsidRPr="001C1CCB" w:rsidR="00DC6906">
              <w:rPr>
                <w:rFonts w:ascii="Times New Roman" w:hAnsi="Times New Roman"/>
                <w:sz w:val="20"/>
                <w:szCs w:val="20"/>
              </w:rPr>
              <w:t>6,592</w:t>
            </w:r>
          </w:p>
        </w:tc>
      </w:tr>
      <w:tr w14:paraId="4548E68F"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7512895B" w14:textId="77777777">
            <w:pPr>
              <w:ind w:firstLine="0"/>
              <w:jc w:val="center"/>
              <w:rPr>
                <w:rFonts w:ascii="Times New Roman" w:hAnsi="Times New Roman"/>
                <w:sz w:val="20"/>
                <w:szCs w:val="20"/>
              </w:rPr>
            </w:pPr>
            <w:r w:rsidRPr="001C1CCB">
              <w:rPr>
                <w:rFonts w:ascii="Times New Roman" w:hAnsi="Times New Roman"/>
                <w:sz w:val="20"/>
                <w:szCs w:val="20"/>
              </w:rPr>
              <w:t>NC/SR Plans, Specs., &amp; Amendment AIA-B108</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632C51B5" w14:textId="77777777">
            <w:pPr>
              <w:ind w:firstLine="0"/>
              <w:jc w:val="center"/>
              <w:rPr>
                <w:rFonts w:ascii="Times New Roman" w:hAnsi="Times New Roman"/>
                <w:b/>
                <w:bCs/>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6476B17" w14:textId="77777777">
            <w:pPr>
              <w:ind w:firstLine="0"/>
              <w:jc w:val="center"/>
              <w:rPr>
                <w:rFonts w:ascii="Times New Roman" w:hAnsi="Times New Roman"/>
                <w:b/>
                <w:bCs/>
                <w:sz w:val="20"/>
                <w:szCs w:val="20"/>
              </w:rPr>
            </w:pPr>
            <w:r w:rsidRPr="001C1CCB">
              <w:rPr>
                <w:rFonts w:ascii="Times New Roman" w:hAnsi="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6CE41F21" w14:textId="77777777">
            <w:pPr>
              <w:ind w:firstLine="0"/>
              <w:jc w:val="center"/>
              <w:rPr>
                <w:rFonts w:ascii="Times New Roman" w:hAnsi="Times New Roman"/>
                <w:b/>
                <w:bCs/>
                <w:sz w:val="20"/>
                <w:szCs w:val="20"/>
              </w:rPr>
            </w:pPr>
            <w:r w:rsidRPr="001C1CCB">
              <w:rPr>
                <w:rFonts w:ascii="Times New Roman" w:hAnsi="Times New Roman"/>
                <w:sz w:val="20"/>
                <w:szCs w:val="20"/>
              </w:rPr>
              <w:t>17.29</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68B23A9" w14:textId="6D981A04">
            <w:pPr>
              <w:ind w:firstLine="0"/>
              <w:jc w:val="center"/>
              <w:rPr>
                <w:rFonts w:ascii="Times New Roman" w:hAnsi="Times New Roman"/>
                <w:b/>
                <w:bCs/>
                <w:sz w:val="20"/>
                <w:szCs w:val="20"/>
              </w:rPr>
            </w:pPr>
            <w:r w:rsidRPr="001C1CCB">
              <w:rPr>
                <w:rFonts w:ascii="Times New Roman" w:hAnsi="Times New Roman"/>
                <w:sz w:val="20"/>
                <w:szCs w:val="20"/>
              </w:rPr>
              <w:t>40</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2E3C8D0" w14:textId="071F9E03">
            <w:pPr>
              <w:ind w:firstLine="0"/>
              <w:jc w:val="center"/>
              <w:rPr>
                <w:rFonts w:ascii="Times New Roman" w:hAnsi="Times New Roman"/>
                <w:b/>
                <w:bCs/>
                <w:sz w:val="20"/>
                <w:szCs w:val="20"/>
              </w:rPr>
            </w:pPr>
            <w:r w:rsidRPr="001C1CCB">
              <w:rPr>
                <w:rFonts w:ascii="Times New Roman" w:hAnsi="Times New Roman"/>
                <w:sz w:val="20"/>
                <w:szCs w:val="20"/>
              </w:rPr>
              <w:t>692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79B92CE" w14:textId="3FE943E0">
            <w:pPr>
              <w:ind w:firstLine="0"/>
              <w:jc w:val="center"/>
              <w:rPr>
                <w:rFonts w:ascii="Times New Roman" w:hAnsi="Times New Roman"/>
                <w:b/>
                <w:bCs/>
                <w:sz w:val="20"/>
                <w:szCs w:val="20"/>
              </w:rPr>
            </w:pPr>
            <w:r w:rsidRPr="001C1CCB">
              <w:rPr>
                <w:rFonts w:ascii="Times New Roman" w:hAnsi="Times New Roman"/>
                <w:sz w:val="20"/>
                <w:szCs w:val="20"/>
              </w:rPr>
              <w:t>$47.91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65BA800" w14:textId="5D504718">
            <w:pPr>
              <w:ind w:firstLine="0"/>
              <w:jc w:val="center"/>
              <w:rPr>
                <w:rFonts w:ascii="Times New Roman" w:hAnsi="Times New Roman"/>
                <w:b/>
                <w:bCs/>
                <w:sz w:val="20"/>
                <w:szCs w:val="20"/>
              </w:rPr>
            </w:pPr>
            <w:r w:rsidRPr="001C1CCB">
              <w:rPr>
                <w:rFonts w:ascii="Times New Roman" w:hAnsi="Times New Roman"/>
                <w:sz w:val="20"/>
                <w:szCs w:val="20"/>
              </w:rPr>
              <w:t>$</w:t>
            </w:r>
            <w:r w:rsidRPr="001C1CCB" w:rsidR="003778FE">
              <w:rPr>
                <w:rFonts w:ascii="Times New Roman" w:hAnsi="Times New Roman"/>
                <w:sz w:val="20"/>
                <w:szCs w:val="20"/>
              </w:rPr>
              <w:t>33,140</w:t>
            </w:r>
          </w:p>
        </w:tc>
      </w:tr>
      <w:tr w14:paraId="01F34EB4"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8C1DEA2" w14:textId="77777777">
            <w:pPr>
              <w:ind w:firstLine="0"/>
              <w:jc w:val="center"/>
              <w:rPr>
                <w:rFonts w:ascii="Times New Roman" w:hAnsi="Times New Roman"/>
                <w:sz w:val="20"/>
                <w:szCs w:val="20"/>
              </w:rPr>
            </w:pPr>
            <w:r w:rsidRPr="001C1CCB">
              <w:rPr>
                <w:rFonts w:ascii="Times New Roman" w:hAnsi="Times New Roman"/>
                <w:sz w:val="20"/>
                <w:szCs w:val="20"/>
              </w:rPr>
              <w:t>Lender’s Third Party Construction Analyst</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6086A8CB" w14:textId="77777777">
            <w:pPr>
              <w:ind w:firstLine="0"/>
              <w:jc w:val="center"/>
              <w:rPr>
                <w:rFonts w:ascii="Times New Roman" w:hAnsi="Times New Roman"/>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9065993" w14:textId="77777777">
            <w:pPr>
              <w:ind w:firstLine="0"/>
              <w:jc w:val="center"/>
              <w:rPr>
                <w:rFonts w:ascii="Times New Roman" w:hAnsi="Times New Roman"/>
                <w:sz w:val="20"/>
                <w:szCs w:val="20"/>
              </w:rPr>
            </w:pPr>
            <w:r w:rsidRPr="001C1CCB">
              <w:rPr>
                <w:rFonts w:ascii="Times New Roman" w:hAnsi="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73A73078" w14:textId="77777777">
            <w:pPr>
              <w:ind w:firstLine="0"/>
              <w:jc w:val="center"/>
              <w:rPr>
                <w:rFonts w:ascii="Times New Roman" w:hAnsi="Times New Roman"/>
                <w:sz w:val="20"/>
                <w:szCs w:val="20"/>
              </w:rPr>
            </w:pPr>
            <w:r w:rsidRPr="001C1CCB">
              <w:rPr>
                <w:rFonts w:ascii="Times New Roman" w:hAnsi="Times New Roman"/>
                <w:sz w:val="20"/>
                <w:szCs w:val="20"/>
              </w:rPr>
              <w:t>43</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6FFB6427" w14:textId="1E94201A">
            <w:pPr>
              <w:ind w:firstLine="0"/>
              <w:jc w:val="center"/>
              <w:rPr>
                <w:rFonts w:ascii="Times New Roman" w:hAnsi="Times New Roman"/>
                <w:sz w:val="20"/>
                <w:szCs w:val="20"/>
              </w:rPr>
            </w:pPr>
            <w:r w:rsidRPr="001C1CCB">
              <w:rPr>
                <w:rFonts w:ascii="Times New Roman" w:hAnsi="Times New Roman"/>
                <w:sz w:val="20"/>
                <w:szCs w:val="20"/>
              </w:rPr>
              <w:t>12</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A3E100D" w14:textId="30DDD424">
            <w:pPr>
              <w:ind w:firstLine="0"/>
              <w:jc w:val="center"/>
              <w:rPr>
                <w:rFonts w:ascii="Times New Roman" w:hAnsi="Times New Roman"/>
                <w:sz w:val="20"/>
                <w:szCs w:val="20"/>
              </w:rPr>
            </w:pPr>
            <w:r w:rsidRPr="001C1CCB">
              <w:rPr>
                <w:rFonts w:ascii="Times New Roman" w:hAnsi="Times New Roman"/>
                <w:sz w:val="20"/>
                <w:szCs w:val="20"/>
              </w:rPr>
              <w:t>516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59FA7B24" w14:textId="5275231E">
            <w:pPr>
              <w:ind w:firstLine="0"/>
              <w:jc w:val="center"/>
              <w:rPr>
                <w:rFonts w:ascii="Times New Roman" w:hAnsi="Times New Roman"/>
                <w:sz w:val="20"/>
                <w:szCs w:val="20"/>
              </w:rPr>
            </w:pPr>
            <w:r w:rsidRPr="001C1CCB">
              <w:rPr>
                <w:rFonts w:ascii="Times New Roman" w:hAnsi="Times New Roman"/>
                <w:sz w:val="20"/>
                <w:szCs w:val="20"/>
              </w:rPr>
              <w:t>$47.91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79530BA9" w14:textId="46D1FC87">
            <w:pPr>
              <w:ind w:firstLine="0"/>
              <w:jc w:val="center"/>
              <w:rPr>
                <w:rFonts w:ascii="Times New Roman" w:hAnsi="Times New Roman"/>
                <w:sz w:val="20"/>
                <w:szCs w:val="20"/>
              </w:rPr>
            </w:pPr>
            <w:r w:rsidRPr="001C1CCB">
              <w:rPr>
                <w:rFonts w:ascii="Times New Roman" w:hAnsi="Times New Roman"/>
                <w:sz w:val="20"/>
                <w:szCs w:val="20"/>
              </w:rPr>
              <w:t>$</w:t>
            </w:r>
            <w:r w:rsidRPr="001C1CCB" w:rsidR="00DD6F14">
              <w:rPr>
                <w:rFonts w:ascii="Times New Roman" w:hAnsi="Times New Roman"/>
                <w:sz w:val="20"/>
                <w:szCs w:val="20"/>
              </w:rPr>
              <w:t>24,722</w:t>
            </w:r>
          </w:p>
        </w:tc>
      </w:tr>
      <w:tr w14:paraId="0FFA0E09"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6E1F100D" w14:textId="77777777">
            <w:pPr>
              <w:ind w:firstLine="0"/>
              <w:jc w:val="center"/>
              <w:rPr>
                <w:rFonts w:ascii="Times New Roman" w:hAnsi="Times New Roman"/>
                <w:sz w:val="20"/>
                <w:szCs w:val="20"/>
              </w:rPr>
            </w:pPr>
            <w:r w:rsidRPr="001C1CCB">
              <w:rPr>
                <w:rFonts w:ascii="Times New Roman" w:hAnsi="Times New Roman"/>
                <w:sz w:val="20"/>
                <w:szCs w:val="20"/>
              </w:rPr>
              <w:t>Adjustment for Revised Cost Not Attributable Method</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8B7B990" w14:textId="77777777">
            <w:pPr>
              <w:ind w:firstLine="0"/>
              <w:jc w:val="center"/>
              <w:rPr>
                <w:rFonts w:ascii="Times New Roman" w:hAnsi="Times New Roman"/>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7B569703" w14:textId="4ADA0968">
            <w:pPr>
              <w:ind w:firstLine="0"/>
              <w:jc w:val="center"/>
              <w:rPr>
                <w:rFonts w:ascii="Times New Roman" w:hAnsi="Times New Roman"/>
                <w:sz w:val="20"/>
                <w:szCs w:val="20"/>
              </w:rPr>
            </w:pPr>
            <w:r w:rsidRPr="001C1CCB">
              <w:rPr>
                <w:rFonts w:ascii="Times New Roman" w:hAnsi="Times New Roman"/>
                <w:sz w:val="20"/>
                <w:szCs w:val="20"/>
              </w:rPr>
              <w:t>10</w:t>
            </w:r>
            <w:r w:rsidRPr="001C1CCB">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3EC35CA" w14:textId="2CA14268">
            <w:pPr>
              <w:ind w:firstLine="0"/>
              <w:jc w:val="center"/>
              <w:rPr>
                <w:rFonts w:ascii="Times New Roman" w:hAnsi="Times New Roman"/>
                <w:sz w:val="20"/>
                <w:szCs w:val="20"/>
              </w:rPr>
            </w:pPr>
            <w:r w:rsidRPr="001C1CCB">
              <w:rPr>
                <w:rFonts w:ascii="Times New Roman" w:hAnsi="Times New Roman"/>
                <w:sz w:val="20"/>
                <w:szCs w:val="20"/>
              </w:rPr>
              <w:t>8.6</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57D86F35" w14:textId="22FE93DA">
            <w:pPr>
              <w:ind w:firstLine="0"/>
              <w:jc w:val="center"/>
              <w:rPr>
                <w:rFonts w:ascii="Times New Roman" w:hAnsi="Times New Roman"/>
                <w:sz w:val="20"/>
                <w:szCs w:val="20"/>
              </w:rPr>
            </w:pPr>
            <w:r w:rsidRPr="001C1CCB">
              <w:rPr>
                <w:rFonts w:ascii="Times New Roman" w:hAnsi="Times New Roman"/>
                <w:sz w:val="20"/>
                <w:szCs w:val="20"/>
              </w:rPr>
              <w:t>-</w:t>
            </w:r>
            <w:r w:rsidRPr="001C1CCB" w:rsidR="0078614F">
              <w:rPr>
                <w:rFonts w:ascii="Times New Roman" w:hAnsi="Times New Roman"/>
                <w:sz w:val="20"/>
                <w:szCs w:val="20"/>
              </w:rPr>
              <w:t>4</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52F2284" w14:textId="05C67FCA">
            <w:pPr>
              <w:ind w:firstLine="0"/>
              <w:jc w:val="center"/>
              <w:rPr>
                <w:rFonts w:ascii="Times New Roman" w:hAnsi="Times New Roman"/>
                <w:sz w:val="20"/>
                <w:szCs w:val="20"/>
              </w:rPr>
            </w:pPr>
            <w:r w:rsidRPr="001C1CCB">
              <w:rPr>
                <w:rFonts w:ascii="Times New Roman" w:hAnsi="Times New Roman"/>
                <w:sz w:val="20"/>
                <w:szCs w:val="20"/>
              </w:rPr>
              <w:t>-</w:t>
            </w:r>
            <w:r w:rsidRPr="001C1CCB" w:rsidR="00DD6F14">
              <w:rPr>
                <w:rFonts w:ascii="Times New Roman" w:hAnsi="Times New Roman"/>
                <w:sz w:val="20"/>
                <w:szCs w:val="20"/>
              </w:rPr>
              <w:t>34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C4BE8C3" w14:textId="0DBA4F5E">
            <w:pPr>
              <w:ind w:firstLine="0"/>
              <w:jc w:val="center"/>
              <w:rPr>
                <w:rFonts w:ascii="Times New Roman" w:hAnsi="Times New Roman"/>
                <w:sz w:val="20"/>
                <w:szCs w:val="20"/>
              </w:rPr>
            </w:pPr>
            <w:r w:rsidRPr="001C1CCB">
              <w:rPr>
                <w:rFonts w:ascii="Times New Roman" w:hAnsi="Times New Roman"/>
                <w:sz w:val="20"/>
                <w:szCs w:val="20"/>
              </w:rPr>
              <w:t>$47.91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72D4D45" w14:textId="5111326D">
            <w:pPr>
              <w:ind w:firstLine="0"/>
              <w:jc w:val="center"/>
              <w:rPr>
                <w:rFonts w:ascii="Times New Roman" w:hAnsi="Times New Roman"/>
                <w:sz w:val="20"/>
                <w:szCs w:val="20"/>
              </w:rPr>
            </w:pPr>
            <w:r w:rsidRPr="001C1CCB">
              <w:rPr>
                <w:rFonts w:ascii="Times New Roman" w:hAnsi="Times New Roman"/>
                <w:sz w:val="20"/>
                <w:szCs w:val="20"/>
              </w:rPr>
              <w:t>(</w:t>
            </w:r>
            <w:r w:rsidRPr="001C1CCB" w:rsidR="00DD6F14">
              <w:rPr>
                <w:rFonts w:ascii="Times New Roman" w:hAnsi="Times New Roman"/>
                <w:sz w:val="20"/>
                <w:szCs w:val="20"/>
              </w:rPr>
              <w:t>$1,648</w:t>
            </w:r>
            <w:r w:rsidRPr="001C1CCB">
              <w:rPr>
                <w:rFonts w:ascii="Times New Roman" w:hAnsi="Times New Roman"/>
                <w:sz w:val="20"/>
                <w:szCs w:val="20"/>
              </w:rPr>
              <w:t>)</w:t>
            </w:r>
          </w:p>
        </w:tc>
      </w:tr>
      <w:tr w14:paraId="4BB96A1B"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6F92B11" w14:textId="77777777">
            <w:pPr>
              <w:ind w:firstLine="0"/>
              <w:jc w:val="center"/>
              <w:rPr>
                <w:rFonts w:ascii="Times New Roman" w:hAnsi="Times New Roman"/>
                <w:b/>
                <w:bCs/>
                <w:sz w:val="20"/>
                <w:szCs w:val="20"/>
              </w:rPr>
            </w:pPr>
            <w:r w:rsidRPr="001C1CCB">
              <w:rPr>
                <w:rFonts w:ascii="Times New Roman" w:hAnsi="Times New Roman"/>
                <w:sz w:val="20"/>
                <w:szCs w:val="20"/>
              </w:rPr>
              <w:t>Closing Docs [Workout Info, Title Agent Auth, UCC]</w:t>
            </w:r>
            <w:r w:rsidRPr="001C1CCB">
              <w:rPr>
                <w:rFonts w:ascii="Times New Roman" w:hAnsi="Times New Roman"/>
                <w:sz w:val="20"/>
                <w:szCs w:val="20"/>
                <w:vertAlign w:val="superscript"/>
              </w:rPr>
              <w:t>7</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FF5DCB5" w14:textId="77777777">
            <w:pPr>
              <w:ind w:firstLine="0"/>
              <w:jc w:val="center"/>
              <w:rPr>
                <w:rFonts w:ascii="Times New Roman" w:hAnsi="Times New Roman"/>
                <w:b/>
                <w:bCs/>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620C1B4" w14:textId="77777777">
            <w:pPr>
              <w:ind w:firstLine="0"/>
              <w:jc w:val="center"/>
              <w:rPr>
                <w:rFonts w:ascii="Times New Roman" w:hAnsi="Times New Roman"/>
                <w:b/>
                <w:bCs/>
                <w:sz w:val="20"/>
                <w:szCs w:val="20"/>
              </w:rPr>
            </w:pPr>
            <w:r w:rsidRPr="001C1CCB">
              <w:rPr>
                <w:rFonts w:ascii="Times New Roman" w:hAnsi="Times New Roman"/>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1B3E7D7" w14:textId="77777777">
            <w:pPr>
              <w:ind w:firstLine="0"/>
              <w:jc w:val="center"/>
              <w:rPr>
                <w:rFonts w:ascii="Times New Roman" w:hAnsi="Times New Roman"/>
                <w:b/>
                <w:bCs/>
                <w:sz w:val="20"/>
                <w:szCs w:val="20"/>
              </w:rPr>
            </w:pPr>
            <w:r w:rsidRPr="001C1CCB">
              <w:rPr>
                <w:rFonts w:ascii="Times New Roman" w:hAnsi="Times New Roman"/>
                <w:sz w:val="20"/>
                <w:szCs w:val="20"/>
              </w:rPr>
              <w:t>86</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DD1E798" w14:textId="04CEAF78">
            <w:pPr>
              <w:ind w:firstLine="0"/>
              <w:jc w:val="center"/>
              <w:rPr>
                <w:rFonts w:ascii="Times New Roman" w:hAnsi="Times New Roman"/>
                <w:b/>
                <w:bCs/>
                <w:sz w:val="20"/>
                <w:szCs w:val="20"/>
              </w:rPr>
            </w:pPr>
            <w:r w:rsidRPr="001C1CCB">
              <w:rPr>
                <w:rFonts w:ascii="Times New Roman" w:hAnsi="Times New Roman"/>
                <w:sz w:val="20"/>
                <w:szCs w:val="20"/>
              </w:rPr>
              <w:t>4</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8AE6672" w14:textId="4C5E472D">
            <w:pPr>
              <w:ind w:firstLine="0"/>
              <w:jc w:val="center"/>
              <w:rPr>
                <w:rFonts w:ascii="Times New Roman" w:hAnsi="Times New Roman"/>
                <w:b/>
                <w:bCs/>
                <w:sz w:val="20"/>
                <w:szCs w:val="20"/>
              </w:rPr>
            </w:pPr>
            <w:r w:rsidRPr="001C1CCB">
              <w:rPr>
                <w:rFonts w:ascii="Times New Roman" w:hAnsi="Times New Roman"/>
                <w:sz w:val="20"/>
                <w:szCs w:val="20"/>
              </w:rPr>
              <w:t>344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659CEE0A" w14:textId="46B8427A">
            <w:pPr>
              <w:ind w:firstLine="0"/>
              <w:jc w:val="center"/>
              <w:rPr>
                <w:rFonts w:ascii="Times New Roman" w:hAnsi="Times New Roman"/>
                <w:b/>
                <w:bCs/>
                <w:sz w:val="20"/>
                <w:szCs w:val="20"/>
              </w:rPr>
            </w:pPr>
            <w:r w:rsidRPr="001C1CCB">
              <w:rPr>
                <w:rFonts w:ascii="Times New Roman" w:hAnsi="Times New Roman"/>
                <w:sz w:val="20"/>
                <w:szCs w:val="20"/>
              </w:rPr>
              <w:t>$47.91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5064F28A" w14:textId="17AB379F">
            <w:pPr>
              <w:ind w:firstLine="0"/>
              <w:jc w:val="center"/>
              <w:rPr>
                <w:rFonts w:ascii="Times New Roman" w:hAnsi="Times New Roman"/>
                <w:b/>
                <w:bCs/>
                <w:sz w:val="20"/>
                <w:szCs w:val="20"/>
              </w:rPr>
            </w:pPr>
            <w:r w:rsidRPr="001C1CCB">
              <w:rPr>
                <w:rFonts w:ascii="Times New Roman" w:hAnsi="Times New Roman"/>
                <w:i/>
                <w:iCs/>
                <w:sz w:val="20"/>
                <w:szCs w:val="20"/>
              </w:rPr>
              <w:t>$</w:t>
            </w:r>
            <w:r w:rsidRPr="001C1CCB" w:rsidR="00196DFC">
              <w:rPr>
                <w:rFonts w:ascii="Times New Roman" w:hAnsi="Times New Roman"/>
                <w:i/>
                <w:iCs/>
                <w:sz w:val="20"/>
                <w:szCs w:val="20"/>
              </w:rPr>
              <w:t>16,481</w:t>
            </w:r>
          </w:p>
        </w:tc>
      </w:tr>
      <w:tr w14:paraId="7030F447"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3285CB6" w14:textId="64A6D9C9">
            <w:pPr>
              <w:ind w:firstLine="0"/>
              <w:jc w:val="center"/>
              <w:rPr>
                <w:rFonts w:ascii="Times New Roman" w:hAnsi="Times New Roman"/>
                <w:b/>
                <w:bCs/>
                <w:sz w:val="20"/>
                <w:szCs w:val="20"/>
              </w:rPr>
            </w:pPr>
            <w:r w:rsidRPr="001C1CCB">
              <w:rPr>
                <w:rFonts w:ascii="Times New Roman" w:hAnsi="Times New Roman"/>
                <w:sz w:val="20"/>
                <w:szCs w:val="20"/>
              </w:rPr>
              <w:t>Capital Needs Assessment-CNA e-Tool</w:t>
            </w:r>
            <w:r w:rsidRPr="001C1CCB" w:rsidR="00350E56">
              <w:rPr>
                <w:rFonts w:ascii="Times New Roman" w:hAnsi="Times New Roman"/>
                <w:sz w:val="20"/>
                <w:szCs w:val="20"/>
              </w:rPr>
              <w:t>-2502-0505</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5E796FDB" w14:textId="4F0D9F94">
            <w:pPr>
              <w:ind w:firstLine="0"/>
              <w:jc w:val="center"/>
              <w:rPr>
                <w:rFonts w:ascii="Times New Roman" w:hAnsi="Times New Roman"/>
                <w:sz w:val="20"/>
                <w:szCs w:val="20"/>
              </w:rPr>
            </w:pPr>
            <w:r w:rsidRPr="001C1CCB">
              <w:rPr>
                <w:rFonts w:ascii="Times New Roman" w:hAnsi="Times New Roman"/>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73C5182C" w14:textId="01746D15">
            <w:pPr>
              <w:ind w:firstLine="0"/>
              <w:jc w:val="center"/>
              <w:rPr>
                <w:rFonts w:ascii="Times New Roman" w:hAnsi="Times New Roman"/>
                <w:sz w:val="20"/>
                <w:szCs w:val="20"/>
              </w:rPr>
            </w:pPr>
            <w:r w:rsidRPr="001C1CCB">
              <w:rPr>
                <w:rFonts w:ascii="Times New Roman" w:hAnsi="Times New Roman"/>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6B3D343C" w14:textId="4B7A7D0C">
            <w:pPr>
              <w:ind w:firstLine="0"/>
              <w:jc w:val="center"/>
              <w:rPr>
                <w:rFonts w:ascii="Times New Roman" w:hAnsi="Times New Roman"/>
                <w:sz w:val="20"/>
                <w:szCs w:val="20"/>
              </w:rPr>
            </w:pPr>
            <w:r w:rsidRPr="001C1CCB">
              <w:rPr>
                <w:rFonts w:ascii="Times New Roman" w:hAnsi="Times New Roman"/>
                <w:sz w:val="20"/>
                <w:szCs w:val="20"/>
              </w:rPr>
              <w:t>86</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609E380" w14:textId="3D6D33BC">
            <w:pPr>
              <w:ind w:firstLine="0"/>
              <w:jc w:val="center"/>
              <w:rPr>
                <w:rFonts w:ascii="Times New Roman" w:hAnsi="Times New Roman"/>
                <w:sz w:val="20"/>
                <w:szCs w:val="20"/>
              </w:rPr>
            </w:pPr>
            <w:r w:rsidRPr="001C1CCB">
              <w:rPr>
                <w:rFonts w:ascii="Times New Roman" w:hAnsi="Times New Roman"/>
                <w:sz w:val="20"/>
                <w:szCs w:val="20"/>
              </w:rPr>
              <w:t>8</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64696929" w14:textId="640D66AB">
            <w:pPr>
              <w:ind w:firstLine="0"/>
              <w:jc w:val="center"/>
              <w:rPr>
                <w:rFonts w:ascii="Times New Roman" w:hAnsi="Times New Roman"/>
                <w:sz w:val="20"/>
                <w:szCs w:val="20"/>
              </w:rPr>
            </w:pPr>
            <w:r w:rsidRPr="001C1CCB">
              <w:rPr>
                <w:rFonts w:ascii="Times New Roman" w:hAnsi="Times New Roman"/>
                <w:sz w:val="20"/>
                <w:szCs w:val="20"/>
              </w:rPr>
              <w:t>688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AF4248F" w14:textId="2B5A223F">
            <w:pPr>
              <w:ind w:firstLine="0"/>
              <w:jc w:val="center"/>
              <w:rPr>
                <w:rFonts w:ascii="Times New Roman" w:hAnsi="Times New Roman"/>
                <w:sz w:val="20"/>
                <w:szCs w:val="20"/>
              </w:rPr>
            </w:pPr>
            <w:r w:rsidRPr="001C1CCB">
              <w:rPr>
                <w:rFonts w:ascii="Times New Roman" w:hAnsi="Times New Roman"/>
                <w:sz w:val="20"/>
                <w:szCs w:val="20"/>
              </w:rPr>
              <w:t>$47.91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32B538C" w14:textId="12242CAB">
            <w:pPr>
              <w:ind w:firstLine="0"/>
              <w:jc w:val="center"/>
              <w:rPr>
                <w:rFonts w:ascii="Times New Roman" w:hAnsi="Times New Roman"/>
                <w:sz w:val="20"/>
                <w:szCs w:val="20"/>
              </w:rPr>
            </w:pPr>
            <w:r w:rsidRPr="001C1CCB">
              <w:rPr>
                <w:rFonts w:ascii="Times New Roman" w:hAnsi="Times New Roman"/>
                <w:sz w:val="20"/>
                <w:szCs w:val="20"/>
              </w:rPr>
              <w:t>$32,962</w:t>
            </w:r>
          </w:p>
        </w:tc>
      </w:tr>
      <w:tr w14:paraId="6A7C1D02"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1184081" w14:textId="4E4002A7">
            <w:pPr>
              <w:ind w:firstLine="0"/>
              <w:jc w:val="center"/>
              <w:rPr>
                <w:rFonts w:ascii="Times New Roman" w:hAnsi="Times New Roman"/>
                <w:b/>
                <w:bCs/>
                <w:sz w:val="20"/>
                <w:szCs w:val="20"/>
              </w:rPr>
            </w:pPr>
            <w:r w:rsidRPr="001C1CCB">
              <w:rPr>
                <w:rFonts w:ascii="Times New Roman" w:hAnsi="Times New Roman"/>
                <w:sz w:val="20"/>
                <w:szCs w:val="20"/>
              </w:rPr>
              <w:t xml:space="preserve">Environmental </w:t>
            </w:r>
            <w:r w:rsidRPr="001C1CCB" w:rsidR="00350E56">
              <w:rPr>
                <w:rFonts w:ascii="Times New Roman" w:hAnsi="Times New Roman"/>
                <w:sz w:val="20"/>
                <w:szCs w:val="20"/>
              </w:rPr>
              <w:t>–</w:t>
            </w:r>
            <w:r w:rsidRPr="001C1CCB">
              <w:rPr>
                <w:rFonts w:ascii="Times New Roman" w:hAnsi="Times New Roman"/>
                <w:sz w:val="20"/>
                <w:szCs w:val="20"/>
              </w:rPr>
              <w:t xml:space="preserve"> HEROS</w:t>
            </w:r>
            <w:r w:rsidRPr="001C1CCB" w:rsidR="00350E56">
              <w:rPr>
                <w:rFonts w:ascii="Times New Roman" w:hAnsi="Times New Roman"/>
                <w:sz w:val="20"/>
                <w:szCs w:val="20"/>
              </w:rPr>
              <w:t>-</w:t>
            </w:r>
            <w:r w:rsidRPr="001C1CCB" w:rsidR="00B648A6">
              <w:rPr>
                <w:rFonts w:ascii="Times New Roman" w:hAnsi="Times New Roman"/>
                <w:sz w:val="20"/>
                <w:szCs w:val="20"/>
              </w:rPr>
              <w:t>2506-0202</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A6F6051" w14:textId="27218CF5">
            <w:pPr>
              <w:ind w:firstLine="0"/>
              <w:jc w:val="center"/>
              <w:rPr>
                <w:rFonts w:ascii="Times New Roman" w:hAnsi="Times New Roman"/>
                <w:sz w:val="20"/>
                <w:szCs w:val="20"/>
              </w:rPr>
            </w:pPr>
            <w:r w:rsidRPr="001C1CCB">
              <w:rPr>
                <w:rFonts w:ascii="Times New (W1)" w:hAnsi="Times New (W1)"/>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5DCED9E4" w14:textId="38BA09BD">
            <w:pPr>
              <w:ind w:firstLine="0"/>
              <w:jc w:val="center"/>
              <w:rPr>
                <w:rFonts w:ascii="Times New Roman" w:hAnsi="Times New Roman"/>
                <w:sz w:val="20"/>
                <w:szCs w:val="20"/>
              </w:rPr>
            </w:pPr>
            <w:r w:rsidRPr="001C1CCB">
              <w:rPr>
                <w:rFonts w:ascii="Times New Roman" w:hAnsi="Times New Roman"/>
                <w:sz w:val="20"/>
                <w:szCs w:val="20"/>
              </w:rPr>
              <w:t>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6389F131" w14:textId="03C99BF1">
            <w:pPr>
              <w:ind w:firstLine="0"/>
              <w:jc w:val="center"/>
              <w:rPr>
                <w:rFonts w:ascii="Times New Roman" w:hAnsi="Times New Roman"/>
                <w:sz w:val="20"/>
                <w:szCs w:val="20"/>
              </w:rPr>
            </w:pPr>
            <w:r w:rsidRPr="001C1CCB">
              <w:rPr>
                <w:rFonts w:ascii="Times New Roman" w:hAnsi="Times New Roman"/>
                <w:sz w:val="20"/>
                <w:szCs w:val="20"/>
              </w:rPr>
              <w:t>77.4</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DF6DE2F" w14:textId="6243D2C9">
            <w:pPr>
              <w:ind w:firstLine="0"/>
              <w:jc w:val="center"/>
              <w:rPr>
                <w:rFonts w:ascii="Times New Roman" w:hAnsi="Times New Roman"/>
                <w:sz w:val="20"/>
                <w:szCs w:val="20"/>
              </w:rPr>
            </w:pPr>
            <w:r w:rsidRPr="001C1CCB">
              <w:rPr>
                <w:rFonts w:ascii="Times New Roman" w:hAnsi="Times New Roman"/>
                <w:sz w:val="20"/>
                <w:szCs w:val="20"/>
              </w:rPr>
              <w:t>24</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2B694CE" w14:textId="0DE748DF">
            <w:pPr>
              <w:ind w:firstLine="0"/>
              <w:jc w:val="center"/>
              <w:rPr>
                <w:rFonts w:ascii="Times New Roman" w:hAnsi="Times New Roman"/>
                <w:sz w:val="20"/>
                <w:szCs w:val="20"/>
              </w:rPr>
            </w:pPr>
            <w:r w:rsidRPr="001C1CCB">
              <w:rPr>
                <w:rFonts w:ascii="Times New Roman" w:hAnsi="Times New Roman"/>
                <w:sz w:val="20"/>
                <w:szCs w:val="20"/>
              </w:rPr>
              <w:t>1,858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7177739B" w14:textId="43C9499E">
            <w:pPr>
              <w:ind w:firstLine="0"/>
              <w:jc w:val="center"/>
              <w:rPr>
                <w:rFonts w:ascii="Times New Roman" w:hAnsi="Times New Roman"/>
                <w:sz w:val="20"/>
                <w:szCs w:val="20"/>
              </w:rPr>
            </w:pPr>
            <w:r w:rsidRPr="001C1CCB">
              <w:rPr>
                <w:rFonts w:ascii="Times New Roman" w:hAnsi="Times New Roman"/>
                <w:sz w:val="20"/>
                <w:szCs w:val="20"/>
              </w:rPr>
              <w:t>$47.91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E9AFA2C" w14:textId="318CBF6F">
            <w:pPr>
              <w:ind w:firstLine="0"/>
              <w:jc w:val="center"/>
              <w:rPr>
                <w:rFonts w:ascii="Times New Roman" w:hAnsi="Times New Roman"/>
                <w:sz w:val="20"/>
                <w:szCs w:val="20"/>
              </w:rPr>
            </w:pPr>
            <w:r w:rsidRPr="001C1CCB">
              <w:rPr>
                <w:rFonts w:ascii="Times New Roman" w:hAnsi="Times New Roman"/>
                <w:sz w:val="20"/>
                <w:szCs w:val="20"/>
              </w:rPr>
              <w:t>$</w:t>
            </w:r>
            <w:r w:rsidRPr="001C1CCB" w:rsidR="00007ED4">
              <w:rPr>
                <w:rFonts w:ascii="Times New Roman" w:hAnsi="Times New Roman"/>
                <w:sz w:val="20"/>
                <w:szCs w:val="20"/>
              </w:rPr>
              <w:t>88,998</w:t>
            </w:r>
          </w:p>
        </w:tc>
      </w:tr>
      <w:tr w14:paraId="29A1FC71"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671CA51" w14:textId="0343522F">
            <w:pPr>
              <w:ind w:firstLine="0"/>
              <w:jc w:val="center"/>
              <w:rPr>
                <w:rFonts w:ascii="Times New Roman" w:hAnsi="Times New Roman"/>
                <w:b/>
                <w:bCs/>
                <w:sz w:val="20"/>
                <w:szCs w:val="20"/>
              </w:rPr>
            </w:pPr>
            <w:r w:rsidRPr="001C1CCB">
              <w:rPr>
                <w:rFonts w:ascii="Times New Roman" w:hAnsi="Times New Roman"/>
                <w:sz w:val="20"/>
                <w:szCs w:val="20"/>
              </w:rPr>
              <w:t>EPA’s Portfolio Manager® (Benchmarking &amp; Scoring)</w:t>
            </w:r>
            <w:r w:rsidRPr="001C1CCB" w:rsidR="00033CD8">
              <w:rPr>
                <w:rFonts w:ascii="Times New Roman" w:hAnsi="Times New Roman"/>
                <w:sz w:val="20"/>
                <w:szCs w:val="20"/>
              </w:rPr>
              <w:t xml:space="preserve"> 2060-0347</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66B512E" w14:textId="01DA7E28">
            <w:pPr>
              <w:ind w:firstLine="0"/>
              <w:jc w:val="center"/>
              <w:rPr>
                <w:rFonts w:ascii="Times New Roman" w:hAnsi="Times New Roman"/>
                <w:sz w:val="20"/>
                <w:szCs w:val="20"/>
              </w:rPr>
            </w:pPr>
            <w:r w:rsidRPr="001C1CCB">
              <w:rPr>
                <w:rFonts w:ascii="Times New (W1)" w:hAnsi="Times New (W1)"/>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E161DB1" w14:textId="0C6296E9">
            <w:pPr>
              <w:ind w:firstLine="0"/>
              <w:jc w:val="center"/>
              <w:rPr>
                <w:rFonts w:ascii="Times New Roman" w:hAnsi="Times New Roman"/>
                <w:sz w:val="20"/>
                <w:szCs w:val="20"/>
              </w:rPr>
            </w:pPr>
            <w:r w:rsidRPr="001C1CCB">
              <w:rPr>
                <w:rFonts w:ascii="Times New Roman" w:hAnsi="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517DC9D2" w14:textId="720C6367">
            <w:pPr>
              <w:ind w:firstLine="0"/>
              <w:jc w:val="center"/>
              <w:rPr>
                <w:rFonts w:ascii="Times New Roman" w:hAnsi="Times New Roman"/>
                <w:sz w:val="20"/>
                <w:szCs w:val="20"/>
              </w:rPr>
            </w:pPr>
            <w:r w:rsidRPr="001C1CCB">
              <w:rPr>
                <w:rFonts w:ascii="Times New Roman" w:hAnsi="Times New Roman"/>
                <w:sz w:val="20"/>
                <w:szCs w:val="20"/>
              </w:rPr>
              <w:t>25.8</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61B451CE" w14:textId="2327C0E5">
            <w:pPr>
              <w:ind w:firstLine="0"/>
              <w:jc w:val="center"/>
              <w:rPr>
                <w:rFonts w:ascii="Times New Roman" w:hAnsi="Times New Roman"/>
                <w:sz w:val="20"/>
                <w:szCs w:val="20"/>
              </w:rPr>
            </w:pPr>
            <w:r w:rsidRPr="001C1CCB">
              <w:rPr>
                <w:rFonts w:ascii="Times New Roman" w:hAnsi="Times New Roman"/>
                <w:sz w:val="20"/>
                <w:szCs w:val="20"/>
              </w:rPr>
              <w:t>2</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5DB347D7" w14:textId="11E1DF48">
            <w:pPr>
              <w:ind w:firstLine="0"/>
              <w:jc w:val="center"/>
              <w:rPr>
                <w:rFonts w:ascii="Times New Roman" w:hAnsi="Times New Roman"/>
                <w:sz w:val="20"/>
                <w:szCs w:val="20"/>
              </w:rPr>
            </w:pPr>
            <w:r w:rsidRPr="001C1CCB">
              <w:rPr>
                <w:rFonts w:ascii="Times New Roman" w:hAnsi="Times New Roman"/>
                <w:sz w:val="20"/>
                <w:szCs w:val="20"/>
              </w:rPr>
              <w:t>52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1D7F48C" w14:textId="7492A1DF">
            <w:pPr>
              <w:ind w:firstLine="0"/>
              <w:jc w:val="center"/>
              <w:rPr>
                <w:rFonts w:ascii="Times New Roman" w:hAnsi="Times New Roman"/>
                <w:sz w:val="20"/>
                <w:szCs w:val="20"/>
              </w:rPr>
            </w:pPr>
            <w:r w:rsidRPr="001C1CCB">
              <w:rPr>
                <w:rFonts w:ascii="Times New Roman" w:hAnsi="Times New Roman"/>
                <w:sz w:val="20"/>
                <w:szCs w:val="20"/>
              </w:rPr>
              <w:t>$47.91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4CD78DA" w14:textId="5C6BD832">
            <w:pPr>
              <w:ind w:firstLine="0"/>
              <w:jc w:val="center"/>
              <w:rPr>
                <w:rFonts w:ascii="Times New Roman" w:hAnsi="Times New Roman"/>
                <w:sz w:val="20"/>
                <w:szCs w:val="20"/>
              </w:rPr>
            </w:pPr>
            <w:r w:rsidRPr="001C1CCB">
              <w:rPr>
                <w:rFonts w:ascii="Times New Roman" w:hAnsi="Times New Roman"/>
                <w:sz w:val="20"/>
                <w:szCs w:val="20"/>
              </w:rPr>
              <w:t>$2,472</w:t>
            </w:r>
          </w:p>
        </w:tc>
      </w:tr>
      <w:tr w14:paraId="38B73B0D" w14:textId="77777777" w:rsidTr="00C709B4">
        <w:tblPrEx>
          <w:tblW w:w="11065" w:type="dxa"/>
          <w:tblLayout w:type="fixed"/>
          <w:tblLook w:val="00A0"/>
        </w:tblPrEx>
        <w:trPr>
          <w:tblHeader/>
        </w:trPr>
        <w:tc>
          <w:tcPr>
            <w:tcW w:w="190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465E4C33" w14:textId="77777777">
            <w:pPr>
              <w:ind w:firstLine="0"/>
              <w:rPr>
                <w:rFonts w:ascii="Times New Roman" w:hAnsi="Times New Roman"/>
                <w:b/>
                <w:bCs/>
                <w:sz w:val="20"/>
                <w:szCs w:val="20"/>
              </w:rPr>
            </w:pPr>
            <w:r w:rsidRPr="001C1CCB">
              <w:rPr>
                <w:rFonts w:ascii="Times New Roman" w:hAnsi="Times New Roman"/>
                <w:b/>
                <w:bCs/>
                <w:sz w:val="20"/>
                <w:szCs w:val="20"/>
              </w:rPr>
              <w:t>Sub-Total</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A9E0F81" w14:textId="77777777">
            <w:pPr>
              <w:ind w:firstLine="0"/>
              <w:jc w:val="center"/>
              <w:rPr>
                <w:rFonts w:ascii="Times New (W1)" w:hAnsi="Times New (W1)"/>
                <w:sz w:val="20"/>
                <w:szCs w:val="20"/>
              </w:rPr>
            </w:pPr>
            <w:r w:rsidRPr="001C1CCB">
              <w:rPr>
                <w:rFonts w:ascii="Times New (W1)" w:hAnsi="Times New (W1)"/>
                <w:sz w:val="20"/>
                <w:szCs w:val="20"/>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0CC58C93" w14:textId="77777777">
            <w:pPr>
              <w:ind w:firstLine="0"/>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1AEAC89" w14:textId="7794D3FD">
            <w:pPr>
              <w:ind w:firstLine="0"/>
              <w:jc w:val="center"/>
              <w:rPr>
                <w:rFonts w:ascii="Times New Roman" w:hAnsi="Times New Roman"/>
                <w:b/>
                <w:bCs/>
                <w:sz w:val="20"/>
                <w:szCs w:val="20"/>
              </w:rPr>
            </w:pPr>
            <w:r w:rsidRPr="001C1CCB">
              <w:rPr>
                <w:rFonts w:ascii="Times New Roman" w:hAnsi="Times New Roman"/>
                <w:b/>
                <w:bCs/>
                <w:sz w:val="20"/>
                <w:szCs w:val="20"/>
              </w:rPr>
              <w:t>619</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751DC208" w14:textId="570946FB">
            <w:pPr>
              <w:ind w:firstLine="0"/>
              <w:jc w:val="center"/>
              <w:rPr>
                <w:rFonts w:ascii="Times New Roman" w:hAnsi="Times New Roman"/>
                <w:b/>
                <w:bCs/>
                <w:sz w:val="20"/>
                <w:szCs w:val="20"/>
              </w:rPr>
            </w:pPr>
            <w:r w:rsidRPr="001C1CCB">
              <w:rPr>
                <w:rFonts w:ascii="Times New Roman" w:hAnsi="Times New Roman"/>
                <w:b/>
                <w:bCs/>
                <w:sz w:val="20"/>
                <w:szCs w:val="20"/>
              </w:rPr>
              <w:t>12.94</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11A9AAF0" w14:textId="75BAF27A">
            <w:pPr>
              <w:ind w:firstLine="0"/>
              <w:jc w:val="center"/>
              <w:rPr>
                <w:rFonts w:ascii="Times New Roman" w:hAnsi="Times New Roman"/>
                <w:b/>
                <w:bCs/>
                <w:sz w:val="20"/>
                <w:szCs w:val="20"/>
              </w:rPr>
            </w:pPr>
            <w:r w:rsidRPr="001C1CCB">
              <w:rPr>
                <w:rFonts w:ascii="Times New Roman" w:hAnsi="Times New Roman"/>
                <w:b/>
                <w:bCs/>
                <w:sz w:val="20"/>
                <w:szCs w:val="20"/>
              </w:rPr>
              <w:t>8</w:t>
            </w:r>
            <w:r w:rsidRPr="001C1CCB" w:rsidR="00980701">
              <w:rPr>
                <w:rFonts w:ascii="Times New Roman" w:hAnsi="Times New Roman"/>
                <w:b/>
                <w:bCs/>
                <w:sz w:val="20"/>
                <w:szCs w:val="20"/>
              </w:rPr>
              <w:t>,013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350F80BF" w14:textId="3891CDDD">
            <w:pPr>
              <w:ind w:firstLine="0"/>
              <w:jc w:val="center"/>
              <w:rPr>
                <w:rFonts w:ascii="Times New Roman" w:hAnsi="Times New Roman"/>
                <w:b/>
                <w:bCs/>
                <w:sz w:val="20"/>
                <w:szCs w:val="20"/>
              </w:rPr>
            </w:pPr>
            <w:r w:rsidRPr="001C1CCB">
              <w:rPr>
                <w:rFonts w:ascii="Times New Roman" w:hAnsi="Times New Roman"/>
                <w:b/>
                <w:bCs/>
                <w:sz w:val="20"/>
                <w:szCs w:val="20"/>
              </w:rPr>
              <w:t>$47.91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35BA0" w:rsidRPr="001C1CCB" w:rsidP="006825C6" w14:paraId="2ECAE4C6" w14:textId="2A91E476">
            <w:pPr>
              <w:ind w:firstLine="0"/>
              <w:jc w:val="center"/>
              <w:rPr>
                <w:rFonts w:ascii="Times New Roman" w:hAnsi="Times New Roman"/>
                <w:b/>
                <w:bCs/>
                <w:sz w:val="20"/>
                <w:szCs w:val="20"/>
              </w:rPr>
            </w:pPr>
            <w:r w:rsidRPr="001C1CCB">
              <w:rPr>
                <w:rFonts w:ascii="Times New Roman" w:hAnsi="Times New Roman"/>
                <w:b/>
                <w:bCs/>
                <w:sz w:val="20"/>
                <w:szCs w:val="20"/>
              </w:rPr>
              <w:t>$</w:t>
            </w:r>
            <w:r w:rsidRPr="001C1CCB" w:rsidR="00980701">
              <w:rPr>
                <w:rFonts w:ascii="Times New Roman" w:hAnsi="Times New Roman"/>
                <w:b/>
                <w:bCs/>
                <w:sz w:val="20"/>
                <w:szCs w:val="20"/>
              </w:rPr>
              <w:t>383,880</w:t>
            </w:r>
          </w:p>
        </w:tc>
      </w:tr>
      <w:tr w14:paraId="54AC0380" w14:textId="77777777" w:rsidTr="006825C6">
        <w:tblPrEx>
          <w:tblW w:w="11065" w:type="dxa"/>
          <w:tblLayout w:type="fixed"/>
          <w:tblLook w:val="00A0"/>
        </w:tblPrEx>
        <w:trPr>
          <w:tblHeader/>
        </w:trPr>
        <w:tc>
          <w:tcPr>
            <w:tcW w:w="4608" w:type="dxa"/>
            <w:gridSpan w:val="3"/>
            <w:tcBorders>
              <w:top w:val="single" w:sz="24" w:space="0" w:color="auto"/>
              <w:left w:val="single" w:sz="4" w:space="0" w:color="auto"/>
              <w:bottom w:val="single" w:sz="4" w:space="0" w:color="auto"/>
              <w:right w:val="single" w:sz="4" w:space="0" w:color="auto"/>
            </w:tcBorders>
            <w:shd w:val="clear" w:color="auto" w:fill="auto"/>
          </w:tcPr>
          <w:p w:rsidR="00B35BA0" w:rsidRPr="001C1CCB" w:rsidP="006825C6" w14:paraId="68612142" w14:textId="77777777">
            <w:pPr>
              <w:ind w:firstLine="0"/>
              <w:jc w:val="center"/>
              <w:rPr>
                <w:rFonts w:ascii="Times New Roman" w:hAnsi="Times New Roman"/>
                <w:b/>
                <w:bCs/>
                <w:sz w:val="20"/>
                <w:szCs w:val="20"/>
              </w:rPr>
            </w:pPr>
            <w:r w:rsidRPr="001C1CCB">
              <w:rPr>
                <w:rFonts w:ascii="Times New Roman" w:hAnsi="Times New Roman"/>
                <w:b/>
                <w:bCs/>
                <w:sz w:val="24"/>
                <w:szCs w:val="24"/>
              </w:rPr>
              <w:t>Average for a Single, Generic Application</w:t>
            </w:r>
            <w:r w:rsidRPr="001C1CCB">
              <w:rPr>
                <w:rFonts w:ascii="Times New Roman" w:hAnsi="Times New Roman"/>
                <w:b/>
                <w:bCs/>
                <w:sz w:val="14"/>
                <w:szCs w:val="14"/>
              </w:rPr>
              <w:t>:</w:t>
            </w:r>
          </w:p>
        </w:tc>
        <w:tc>
          <w:tcPr>
            <w:tcW w:w="1417" w:type="dxa"/>
            <w:tcBorders>
              <w:top w:val="single" w:sz="24" w:space="0" w:color="auto"/>
              <w:left w:val="single" w:sz="4" w:space="0" w:color="auto"/>
              <w:bottom w:val="single" w:sz="4" w:space="0" w:color="auto"/>
              <w:right w:val="single" w:sz="4" w:space="0" w:color="auto"/>
            </w:tcBorders>
            <w:shd w:val="clear" w:color="auto" w:fill="auto"/>
          </w:tcPr>
          <w:p w:rsidR="00B35BA0" w:rsidRPr="001C1CCB" w:rsidP="006825C6" w14:paraId="7145E260" w14:textId="583470B7">
            <w:pPr>
              <w:ind w:firstLine="0"/>
              <w:jc w:val="center"/>
              <w:rPr>
                <w:rFonts w:ascii="Times New Roman" w:hAnsi="Times New Roman"/>
                <w:b/>
                <w:bCs/>
                <w:sz w:val="20"/>
                <w:szCs w:val="20"/>
              </w:rPr>
            </w:pPr>
            <w:r w:rsidRPr="001C1CCB">
              <w:rPr>
                <w:rFonts w:ascii="Times New Roman" w:hAnsi="Times New Roman"/>
                <w:b/>
                <w:bCs/>
                <w:sz w:val="20"/>
                <w:szCs w:val="20"/>
              </w:rPr>
              <w:t>7.20</w:t>
            </w:r>
          </w:p>
        </w:tc>
        <w:tc>
          <w:tcPr>
            <w:tcW w:w="1193" w:type="dxa"/>
            <w:tcBorders>
              <w:top w:val="single" w:sz="24" w:space="0" w:color="auto"/>
              <w:left w:val="single" w:sz="4" w:space="0" w:color="auto"/>
              <w:bottom w:val="single" w:sz="4" w:space="0" w:color="auto"/>
              <w:right w:val="single" w:sz="4" w:space="0" w:color="auto"/>
            </w:tcBorders>
            <w:shd w:val="clear" w:color="auto" w:fill="auto"/>
          </w:tcPr>
          <w:p w:rsidR="00B35BA0" w:rsidRPr="001C1CCB" w:rsidP="006825C6" w14:paraId="210A7151" w14:textId="3D6F0798">
            <w:pPr>
              <w:ind w:firstLine="0"/>
              <w:jc w:val="center"/>
              <w:rPr>
                <w:rFonts w:ascii="Times New Roman" w:hAnsi="Times New Roman"/>
                <w:b/>
                <w:bCs/>
                <w:sz w:val="20"/>
                <w:szCs w:val="20"/>
              </w:rPr>
            </w:pPr>
            <w:r w:rsidRPr="001C1CCB">
              <w:rPr>
                <w:rFonts w:ascii="Times New Roman" w:hAnsi="Times New Roman"/>
                <w:b/>
                <w:bCs/>
                <w:sz w:val="20"/>
                <w:szCs w:val="20"/>
              </w:rPr>
              <w:t>12.94</w:t>
            </w:r>
          </w:p>
        </w:tc>
        <w:tc>
          <w:tcPr>
            <w:tcW w:w="1057" w:type="dxa"/>
            <w:tcBorders>
              <w:top w:val="single" w:sz="24" w:space="0" w:color="auto"/>
              <w:left w:val="single" w:sz="4" w:space="0" w:color="auto"/>
              <w:bottom w:val="single" w:sz="4" w:space="0" w:color="auto"/>
              <w:right w:val="single" w:sz="4" w:space="0" w:color="auto"/>
            </w:tcBorders>
            <w:shd w:val="clear" w:color="auto" w:fill="auto"/>
          </w:tcPr>
          <w:p w:rsidR="00B35BA0" w:rsidRPr="001C1CCB" w:rsidP="006825C6" w14:paraId="28A9EE65" w14:textId="688BA6F6">
            <w:pPr>
              <w:ind w:firstLine="0"/>
              <w:jc w:val="center"/>
              <w:rPr>
                <w:rFonts w:ascii="Times New Roman" w:hAnsi="Times New Roman"/>
                <w:b/>
                <w:bCs/>
                <w:sz w:val="20"/>
                <w:szCs w:val="20"/>
              </w:rPr>
            </w:pPr>
            <w:r w:rsidRPr="001C1CCB">
              <w:rPr>
                <w:rFonts w:ascii="Times New Roman" w:hAnsi="Times New Roman"/>
                <w:b/>
                <w:bCs/>
                <w:sz w:val="20"/>
                <w:szCs w:val="20"/>
              </w:rPr>
              <w:t>93.17</w:t>
            </w:r>
          </w:p>
        </w:tc>
        <w:tc>
          <w:tcPr>
            <w:tcW w:w="1260" w:type="dxa"/>
            <w:tcBorders>
              <w:top w:val="single" w:sz="24" w:space="0" w:color="auto"/>
              <w:left w:val="single" w:sz="4" w:space="0" w:color="auto"/>
              <w:bottom w:val="single" w:sz="4" w:space="0" w:color="auto"/>
              <w:right w:val="single" w:sz="4" w:space="0" w:color="auto"/>
            </w:tcBorders>
            <w:shd w:val="clear" w:color="auto" w:fill="auto"/>
          </w:tcPr>
          <w:p w:rsidR="00B35BA0" w:rsidRPr="001C1CCB" w:rsidP="006825C6" w14:paraId="1A2B547D" w14:textId="0A53BDDB">
            <w:pPr>
              <w:ind w:firstLine="0"/>
              <w:jc w:val="center"/>
              <w:rPr>
                <w:rFonts w:ascii="Times New Roman" w:hAnsi="Times New Roman"/>
                <w:b/>
                <w:bCs/>
                <w:sz w:val="20"/>
                <w:szCs w:val="20"/>
              </w:rPr>
            </w:pPr>
            <w:r w:rsidRPr="001C1CCB">
              <w:rPr>
                <w:rFonts w:ascii="Times New Roman" w:hAnsi="Times New Roman"/>
                <w:b/>
                <w:bCs/>
                <w:sz w:val="20"/>
                <w:szCs w:val="20"/>
              </w:rPr>
              <w:t>$47.91</w:t>
            </w:r>
          </w:p>
        </w:tc>
        <w:tc>
          <w:tcPr>
            <w:tcW w:w="1530" w:type="dxa"/>
            <w:tcBorders>
              <w:top w:val="single" w:sz="24" w:space="0" w:color="auto"/>
              <w:left w:val="single" w:sz="4" w:space="0" w:color="auto"/>
              <w:bottom w:val="single" w:sz="4" w:space="0" w:color="auto"/>
              <w:right w:val="single" w:sz="4" w:space="0" w:color="auto"/>
            </w:tcBorders>
            <w:shd w:val="clear" w:color="auto" w:fill="auto"/>
          </w:tcPr>
          <w:p w:rsidR="00B35BA0" w:rsidRPr="001C1CCB" w:rsidP="006825C6" w14:paraId="0B54F0F1" w14:textId="198671CE">
            <w:pPr>
              <w:ind w:firstLine="0"/>
              <w:jc w:val="center"/>
              <w:rPr>
                <w:rFonts w:ascii="Times New Roman" w:hAnsi="Times New Roman"/>
                <w:b/>
                <w:bCs/>
                <w:sz w:val="20"/>
                <w:szCs w:val="20"/>
              </w:rPr>
            </w:pPr>
            <w:r w:rsidRPr="001C1CCB">
              <w:rPr>
                <w:rFonts w:ascii="Times New Roman" w:hAnsi="Times New Roman"/>
                <w:b/>
                <w:bCs/>
                <w:sz w:val="20"/>
                <w:szCs w:val="20"/>
              </w:rPr>
              <w:t>$</w:t>
            </w:r>
            <w:r w:rsidRPr="001C1CCB" w:rsidR="00ED303B">
              <w:rPr>
                <w:rFonts w:ascii="Times New Roman" w:hAnsi="Times New Roman"/>
                <w:b/>
                <w:bCs/>
                <w:sz w:val="20"/>
                <w:szCs w:val="20"/>
              </w:rPr>
              <w:t>4,464</w:t>
            </w:r>
          </w:p>
        </w:tc>
      </w:tr>
      <w:tr w14:paraId="2175708A" w14:textId="77777777" w:rsidTr="006825C6">
        <w:tblPrEx>
          <w:tblW w:w="11065" w:type="dxa"/>
          <w:tblLayout w:type="fixed"/>
          <w:tblLook w:val="00A0"/>
        </w:tblPrEx>
        <w:trPr>
          <w:tblHeader/>
        </w:trPr>
        <w:tc>
          <w:tcPr>
            <w:tcW w:w="4608" w:type="dxa"/>
            <w:gridSpan w:val="3"/>
            <w:tcBorders>
              <w:top w:val="single" w:sz="24" w:space="0" w:color="auto"/>
              <w:left w:val="single" w:sz="4" w:space="0" w:color="auto"/>
              <w:bottom w:val="single" w:sz="4" w:space="0" w:color="auto"/>
              <w:right w:val="single" w:sz="4" w:space="0" w:color="auto"/>
            </w:tcBorders>
            <w:shd w:val="clear" w:color="auto" w:fill="auto"/>
          </w:tcPr>
          <w:p w:rsidR="00B35BA0" w:rsidRPr="001C1CCB" w:rsidP="006825C6" w14:paraId="660F16F2" w14:textId="77777777">
            <w:pPr>
              <w:ind w:firstLine="0"/>
              <w:jc w:val="center"/>
              <w:rPr>
                <w:rFonts w:ascii="Times New Roman" w:hAnsi="Times New Roman"/>
                <w:b/>
                <w:bCs/>
                <w:sz w:val="20"/>
                <w:szCs w:val="20"/>
              </w:rPr>
            </w:pPr>
            <w:r w:rsidRPr="001C1CCB">
              <w:rPr>
                <w:rFonts w:ascii="Times New Roman" w:hAnsi="Times New Roman"/>
                <w:b/>
                <w:bCs/>
                <w:sz w:val="24"/>
                <w:szCs w:val="24"/>
              </w:rPr>
              <w:t>Total for All Applications:</w:t>
            </w:r>
          </w:p>
        </w:tc>
        <w:tc>
          <w:tcPr>
            <w:tcW w:w="1417" w:type="dxa"/>
            <w:tcBorders>
              <w:top w:val="single" w:sz="24" w:space="0" w:color="auto"/>
              <w:left w:val="single" w:sz="4" w:space="0" w:color="auto"/>
              <w:bottom w:val="single" w:sz="4" w:space="0" w:color="auto"/>
              <w:right w:val="single" w:sz="4" w:space="0" w:color="auto"/>
            </w:tcBorders>
            <w:shd w:val="clear" w:color="auto" w:fill="auto"/>
          </w:tcPr>
          <w:p w:rsidR="00B35BA0" w:rsidRPr="001C1CCB" w:rsidP="006825C6" w14:paraId="6BF02CC2" w14:textId="4550D4DF">
            <w:pPr>
              <w:ind w:firstLine="0"/>
              <w:jc w:val="center"/>
              <w:rPr>
                <w:rFonts w:ascii="Times New Roman" w:hAnsi="Times New Roman"/>
                <w:b/>
                <w:bCs/>
                <w:sz w:val="20"/>
                <w:szCs w:val="20"/>
              </w:rPr>
            </w:pPr>
            <w:r w:rsidRPr="001C1CCB">
              <w:rPr>
                <w:rFonts w:ascii="Times New Roman" w:hAnsi="Times New Roman"/>
                <w:b/>
                <w:bCs/>
                <w:sz w:val="20"/>
                <w:szCs w:val="20"/>
              </w:rPr>
              <w:t>8023</w:t>
            </w:r>
          </w:p>
        </w:tc>
        <w:tc>
          <w:tcPr>
            <w:tcW w:w="1193" w:type="dxa"/>
            <w:tcBorders>
              <w:top w:val="single" w:sz="24" w:space="0" w:color="auto"/>
              <w:left w:val="single" w:sz="4" w:space="0" w:color="auto"/>
              <w:bottom w:val="single" w:sz="4" w:space="0" w:color="auto"/>
              <w:right w:val="single" w:sz="4" w:space="0" w:color="auto"/>
            </w:tcBorders>
            <w:shd w:val="clear" w:color="auto" w:fill="auto"/>
          </w:tcPr>
          <w:p w:rsidR="00B35BA0" w:rsidRPr="001C1CCB" w:rsidP="006825C6" w14:paraId="77F20F6D" w14:textId="01E43431">
            <w:pPr>
              <w:ind w:firstLine="0"/>
              <w:jc w:val="center"/>
              <w:rPr>
                <w:rFonts w:ascii="Times New Roman" w:hAnsi="Times New Roman"/>
                <w:b/>
                <w:bCs/>
                <w:sz w:val="20"/>
                <w:szCs w:val="20"/>
              </w:rPr>
            </w:pPr>
            <w:r w:rsidRPr="001C1CCB">
              <w:rPr>
                <w:rFonts w:ascii="Times New Roman" w:hAnsi="Times New Roman"/>
                <w:b/>
                <w:bCs/>
                <w:sz w:val="20"/>
                <w:szCs w:val="20"/>
              </w:rPr>
              <w:t>12.94</w:t>
            </w:r>
          </w:p>
        </w:tc>
        <w:tc>
          <w:tcPr>
            <w:tcW w:w="1057" w:type="dxa"/>
            <w:tcBorders>
              <w:top w:val="single" w:sz="24" w:space="0" w:color="auto"/>
              <w:left w:val="single" w:sz="4" w:space="0" w:color="auto"/>
              <w:bottom w:val="single" w:sz="4" w:space="0" w:color="auto"/>
              <w:right w:val="single" w:sz="4" w:space="0" w:color="auto"/>
            </w:tcBorders>
            <w:shd w:val="clear" w:color="auto" w:fill="auto"/>
          </w:tcPr>
          <w:p w:rsidR="00B35BA0" w:rsidRPr="001C1CCB" w:rsidP="006825C6" w14:paraId="1C46B9AB" w14:textId="7D3F9A9F">
            <w:pPr>
              <w:ind w:firstLine="0"/>
              <w:jc w:val="center"/>
              <w:rPr>
                <w:rFonts w:ascii="Times New Roman" w:hAnsi="Times New Roman"/>
                <w:b/>
                <w:bCs/>
                <w:sz w:val="20"/>
                <w:szCs w:val="20"/>
              </w:rPr>
            </w:pPr>
            <w:r w:rsidRPr="001C1CCB">
              <w:rPr>
                <w:rFonts w:ascii="Times New Roman" w:hAnsi="Times New Roman"/>
                <w:b/>
                <w:bCs/>
                <w:sz w:val="20"/>
                <w:szCs w:val="20"/>
              </w:rPr>
              <w:t>103,790.3</w:t>
            </w:r>
          </w:p>
        </w:tc>
        <w:tc>
          <w:tcPr>
            <w:tcW w:w="1260" w:type="dxa"/>
            <w:tcBorders>
              <w:top w:val="single" w:sz="24" w:space="0" w:color="auto"/>
              <w:left w:val="single" w:sz="4" w:space="0" w:color="auto"/>
              <w:bottom w:val="single" w:sz="4" w:space="0" w:color="auto"/>
              <w:right w:val="single" w:sz="4" w:space="0" w:color="auto"/>
            </w:tcBorders>
            <w:shd w:val="clear" w:color="auto" w:fill="auto"/>
          </w:tcPr>
          <w:p w:rsidR="00B35BA0" w:rsidRPr="001C1CCB" w:rsidP="006825C6" w14:paraId="604D8C57" w14:textId="510577AB">
            <w:pPr>
              <w:ind w:firstLine="0"/>
              <w:jc w:val="center"/>
              <w:rPr>
                <w:rFonts w:ascii="Times New Roman" w:hAnsi="Times New Roman"/>
                <w:b/>
                <w:bCs/>
                <w:sz w:val="20"/>
                <w:szCs w:val="20"/>
              </w:rPr>
            </w:pPr>
            <w:r w:rsidRPr="001C1CCB">
              <w:rPr>
                <w:rFonts w:ascii="Times New Roman" w:hAnsi="Times New Roman"/>
                <w:b/>
                <w:bCs/>
                <w:sz w:val="20"/>
                <w:szCs w:val="20"/>
              </w:rPr>
              <w:t>$47.91</w:t>
            </w:r>
          </w:p>
        </w:tc>
        <w:tc>
          <w:tcPr>
            <w:tcW w:w="1530" w:type="dxa"/>
            <w:tcBorders>
              <w:top w:val="single" w:sz="24" w:space="0" w:color="auto"/>
              <w:left w:val="single" w:sz="4" w:space="0" w:color="auto"/>
              <w:bottom w:val="single" w:sz="4" w:space="0" w:color="auto"/>
              <w:right w:val="single" w:sz="4" w:space="0" w:color="auto"/>
            </w:tcBorders>
            <w:shd w:val="clear" w:color="auto" w:fill="auto"/>
          </w:tcPr>
          <w:p w:rsidR="00B35BA0" w:rsidRPr="001C1CCB" w:rsidP="006825C6" w14:paraId="1A0DE0CA" w14:textId="02AE8A78">
            <w:pPr>
              <w:ind w:firstLine="0"/>
              <w:jc w:val="center"/>
              <w:rPr>
                <w:rFonts w:ascii="Times New Roman" w:hAnsi="Times New Roman"/>
                <w:b/>
                <w:bCs/>
                <w:sz w:val="20"/>
                <w:szCs w:val="20"/>
              </w:rPr>
            </w:pPr>
            <w:r w:rsidRPr="001C1CCB">
              <w:rPr>
                <w:rFonts w:ascii="Times New Roman" w:hAnsi="Times New Roman"/>
                <w:b/>
                <w:bCs/>
                <w:sz w:val="20"/>
                <w:szCs w:val="20"/>
              </w:rPr>
              <w:t>$</w:t>
            </w:r>
            <w:r w:rsidRPr="001C1CCB" w:rsidR="00DC28B5">
              <w:rPr>
                <w:rFonts w:ascii="Times New Roman" w:hAnsi="Times New Roman"/>
                <w:b/>
                <w:bCs/>
                <w:sz w:val="20"/>
                <w:szCs w:val="20"/>
              </w:rPr>
              <w:t>4,972,588</w:t>
            </w:r>
          </w:p>
        </w:tc>
      </w:tr>
      <w:tr w14:paraId="4A6AD7F9" w14:textId="77777777" w:rsidTr="006825C6">
        <w:tblPrEx>
          <w:tblW w:w="11065" w:type="dxa"/>
          <w:tblLayout w:type="fixed"/>
          <w:tblLook w:val="00A0"/>
        </w:tblPrEx>
        <w:trPr>
          <w:tblHeader/>
        </w:trPr>
        <w:tc>
          <w:tcPr>
            <w:tcW w:w="1909" w:type="dxa"/>
            <w:tcBorders>
              <w:top w:val="single" w:sz="24" w:space="0" w:color="auto"/>
              <w:left w:val="single" w:sz="4" w:space="0" w:color="auto"/>
              <w:bottom w:val="single" w:sz="4" w:space="0" w:color="auto"/>
              <w:right w:val="single" w:sz="4" w:space="0" w:color="auto"/>
            </w:tcBorders>
            <w:shd w:val="clear" w:color="auto" w:fill="0D0D0D" w:themeFill="text1" w:themeFillTint="F2"/>
          </w:tcPr>
          <w:p w:rsidR="00B35BA0" w:rsidRPr="001C1CCB" w:rsidP="006825C6" w14:paraId="316B18BA" w14:textId="77777777">
            <w:pPr>
              <w:ind w:firstLine="0"/>
              <w:jc w:val="center"/>
              <w:rPr>
                <w:rFonts w:ascii="Times New Roman" w:hAnsi="Times New Roman"/>
                <w:b/>
                <w:bCs/>
                <w:sz w:val="20"/>
                <w:szCs w:val="20"/>
              </w:rPr>
            </w:pPr>
          </w:p>
        </w:tc>
        <w:tc>
          <w:tcPr>
            <w:tcW w:w="9156" w:type="dxa"/>
            <w:gridSpan w:val="7"/>
            <w:tcBorders>
              <w:top w:val="single" w:sz="24" w:space="0" w:color="auto"/>
              <w:left w:val="single" w:sz="4" w:space="0" w:color="auto"/>
              <w:bottom w:val="single" w:sz="4" w:space="0" w:color="auto"/>
              <w:right w:val="single" w:sz="4" w:space="0" w:color="auto"/>
            </w:tcBorders>
            <w:shd w:val="clear" w:color="auto" w:fill="0D0D0D" w:themeFill="text1" w:themeFillTint="F2"/>
          </w:tcPr>
          <w:p w:rsidR="00B35BA0" w:rsidRPr="001C1CCB" w:rsidP="006825C6" w14:paraId="74A0730E" w14:textId="77777777">
            <w:pPr>
              <w:ind w:firstLine="0"/>
              <w:jc w:val="center"/>
              <w:rPr>
                <w:rFonts w:ascii="Times New Roman" w:hAnsi="Times New Roman"/>
                <w:sz w:val="20"/>
                <w:szCs w:val="20"/>
              </w:rPr>
            </w:pPr>
          </w:p>
        </w:tc>
      </w:tr>
    </w:tbl>
    <w:p w:rsidR="00B35BA0" w:rsidRPr="001C1CCB" w:rsidP="00B808E3" w14:paraId="22B60111" w14:textId="2EC4E649">
      <w:pPr>
        <w:spacing w:after="240"/>
        <w:ind w:left="720" w:hanging="360"/>
        <w:jc w:val="both"/>
        <w:rPr>
          <w:rFonts w:ascii="Times New (W1)" w:hAnsi="Times New (W1)"/>
          <w:sz w:val="24"/>
        </w:rPr>
      </w:pPr>
    </w:p>
    <w:p w:rsidR="005A604D" w:rsidRPr="001C1CCB" w:rsidP="00B808E3" w14:paraId="52C3530A" w14:textId="252E8E3B">
      <w:pPr>
        <w:spacing w:after="240"/>
        <w:ind w:left="720" w:hanging="360"/>
        <w:jc w:val="both"/>
        <w:rPr>
          <w:rFonts w:ascii="Times New (W1)" w:hAnsi="Times New (W1)"/>
          <w:sz w:val="24"/>
        </w:rPr>
      </w:pPr>
      <w:r w:rsidRPr="001C1CCB">
        <w:rPr>
          <w:rFonts w:ascii="Times New (W1)" w:hAnsi="Times New (W1)"/>
          <w:sz w:val="24"/>
        </w:rPr>
        <w:t>Notes:</w:t>
      </w:r>
    </w:p>
    <w:bookmarkEnd w:id="2"/>
    <w:p w:rsidR="005A604D" w:rsidRPr="001C1CCB" w:rsidP="005A604D" w14:paraId="054E70BD" w14:textId="77777777">
      <w:pPr>
        <w:ind w:firstLine="0"/>
        <w:rPr>
          <w:rFonts w:ascii="Times New (W1)" w:hAnsi="Times New (W1)"/>
          <w:sz w:val="24"/>
        </w:rPr>
      </w:pPr>
      <w:r w:rsidRPr="001C1CCB">
        <w:rPr>
          <w:rFonts w:ascii="Times New (W1)" w:hAnsi="Times New (W1)"/>
          <w:sz w:val="18"/>
          <w:szCs w:val="18"/>
        </w:rPr>
        <w:tab/>
      </w:r>
      <w:r w:rsidRPr="001C1CCB">
        <w:rPr>
          <w:rFonts w:ascii="Times New (W1)" w:hAnsi="Times New (W1)"/>
          <w:sz w:val="24"/>
        </w:rPr>
        <w:t>See Notes for the burden table responding to Item 12 for explanations of columns</w:t>
      </w:r>
    </w:p>
    <w:p w:rsidR="005A604D" w:rsidRPr="001C1CCB" w:rsidP="00640541" w14:paraId="67E0A673" w14:textId="61906BB3">
      <w:pPr>
        <w:ind w:firstLine="0"/>
        <w:jc w:val="both"/>
        <w:rPr>
          <w:rFonts w:ascii="Times New (W1)" w:hAnsi="Times New (W1)"/>
          <w:sz w:val="18"/>
          <w:szCs w:val="18"/>
        </w:rPr>
      </w:pPr>
      <w:r w:rsidRPr="001C1CCB">
        <w:rPr>
          <w:rFonts w:ascii="Times New (W1)" w:hAnsi="Times New (W1)"/>
          <w:sz w:val="18"/>
          <w:szCs w:val="18"/>
        </w:rPr>
        <w:tab/>
      </w:r>
    </w:p>
    <w:p w:rsidR="00C862C8" w:rsidRPr="001C1CCB" w:rsidP="00821AA6" w14:paraId="5F1B95A7" w14:textId="1860A36C">
      <w:pPr>
        <w:spacing w:before="120" w:after="120"/>
        <w:ind w:left="720" w:firstLine="0"/>
        <w:jc w:val="both"/>
        <w:rPr>
          <w:rFonts w:ascii="Times New Roman" w:hAnsi="Times New Roman"/>
          <w:sz w:val="24"/>
        </w:rPr>
      </w:pPr>
      <w:r w:rsidRPr="001C1CCB">
        <w:rPr>
          <w:rFonts w:ascii="Times New (W1)" w:hAnsi="Times New (W1)"/>
          <w:sz w:val="24"/>
        </w:rPr>
        <w:t xml:space="preserve">Hourly cost is based on </w:t>
      </w:r>
      <w:r w:rsidRPr="001C1CCB" w:rsidR="00246A89">
        <w:rPr>
          <w:rFonts w:ascii="Times New (W1)" w:hAnsi="Times New (W1)"/>
          <w:sz w:val="24"/>
        </w:rPr>
        <w:t xml:space="preserve">the 2022 </w:t>
      </w:r>
      <w:r w:rsidRPr="001C1CCB">
        <w:rPr>
          <w:rFonts w:ascii="Times New (W1)" w:hAnsi="Times New (W1)"/>
          <w:sz w:val="24"/>
        </w:rPr>
        <w:t>GS-12/5 Federal</w:t>
      </w:r>
      <w:r w:rsidRPr="001C1CCB" w:rsidR="0027406A">
        <w:rPr>
          <w:rFonts w:ascii="Times New (W1)" w:hAnsi="Times New (W1)"/>
          <w:sz w:val="24"/>
        </w:rPr>
        <w:t xml:space="preserve"> hourly rate</w:t>
      </w:r>
      <w:r w:rsidRPr="001C1CCB" w:rsidR="00040DF4">
        <w:rPr>
          <w:rFonts w:ascii="Times New (W1)" w:hAnsi="Times New (W1)"/>
          <w:sz w:val="24"/>
        </w:rPr>
        <w:t xml:space="preserve"> for Chicago</w:t>
      </w:r>
      <w:r w:rsidRPr="001C1CCB" w:rsidR="00246A89">
        <w:rPr>
          <w:rFonts w:ascii="Times New (W1)" w:hAnsi="Times New (W1)"/>
          <w:sz w:val="24"/>
        </w:rPr>
        <w:t>,</w:t>
      </w:r>
      <w:r w:rsidRPr="001C1CCB" w:rsidR="00040DF4">
        <w:rPr>
          <w:rFonts w:ascii="Times New (W1)" w:hAnsi="Times New (W1)"/>
          <w:sz w:val="24"/>
        </w:rPr>
        <w:t xml:space="preserve"> selected as typical of the locations of HUD MF Production Regional/Satellite Offices</w:t>
      </w:r>
      <w:r w:rsidRPr="001C1CCB">
        <w:rPr>
          <w:rFonts w:ascii="Times New (W1)" w:hAnsi="Times New (W1)"/>
          <w:sz w:val="24"/>
        </w:rPr>
        <w:t xml:space="preserve">.  </w:t>
      </w:r>
    </w:p>
    <w:p w:rsidR="00902548" w:rsidRPr="001C1CCB" w:rsidP="004505F9" w14:paraId="40A9ABB1" w14:textId="77777777">
      <w:pPr>
        <w:spacing w:after="360"/>
        <w:ind w:firstLine="0"/>
        <w:jc w:val="both"/>
        <w:rPr>
          <w:rFonts w:ascii="Times New (W1)" w:hAnsi="Times New (W1)"/>
          <w:sz w:val="24"/>
        </w:rPr>
      </w:pPr>
    </w:p>
    <w:p w:rsidR="00E64B81" w:rsidRPr="001C1CCB" w:rsidP="006A2AFC" w14:paraId="732DA23E" w14:textId="1F4455FC">
      <w:pPr>
        <w:tabs>
          <w:tab w:val="left" w:pos="720"/>
        </w:tabs>
        <w:spacing w:after="240"/>
        <w:ind w:left="720" w:hanging="360"/>
        <w:jc w:val="both"/>
        <w:rPr>
          <w:rFonts w:ascii="Times New (W1)" w:hAnsi="Times New (W1)"/>
          <w:sz w:val="24"/>
        </w:rPr>
      </w:pPr>
      <w:r w:rsidRPr="001C1CCB">
        <w:rPr>
          <w:rFonts w:ascii="Times New (W1)" w:hAnsi="Times New (W1)"/>
          <w:sz w:val="24"/>
        </w:rPr>
        <w:t>15.</w:t>
      </w:r>
      <w:r w:rsidRPr="001C1CCB">
        <w:rPr>
          <w:rFonts w:ascii="Times New (W1)" w:hAnsi="Times New (W1)"/>
          <w:sz w:val="24"/>
        </w:rPr>
        <w:tab/>
      </w:r>
      <w:r w:rsidRPr="001C1CCB" w:rsidR="006A0F42">
        <w:rPr>
          <w:rFonts w:ascii="Times New (W1)" w:hAnsi="Times New (W1)"/>
          <w:sz w:val="24"/>
        </w:rPr>
        <w:t xml:space="preserve">This is a </w:t>
      </w:r>
      <w:r w:rsidRPr="001C1CCB" w:rsidR="00F04767">
        <w:rPr>
          <w:rFonts w:ascii="Times New (W1)" w:hAnsi="Times New (W1)"/>
          <w:sz w:val="24"/>
        </w:rPr>
        <w:t>revision</w:t>
      </w:r>
      <w:r w:rsidRPr="001C1CCB">
        <w:rPr>
          <w:rFonts w:ascii="Times New (W1)" w:hAnsi="Times New (W1)"/>
          <w:sz w:val="24"/>
        </w:rPr>
        <w:t xml:space="preserve"> of </w:t>
      </w:r>
      <w:r w:rsidRPr="001C1CCB" w:rsidR="006A0F42">
        <w:rPr>
          <w:rFonts w:ascii="Times New (W1)" w:hAnsi="Times New (W1)"/>
          <w:sz w:val="24"/>
        </w:rPr>
        <w:t>a</w:t>
      </w:r>
      <w:r w:rsidRPr="001C1CCB">
        <w:rPr>
          <w:rFonts w:ascii="Times New (W1)" w:hAnsi="Times New (W1)"/>
          <w:sz w:val="24"/>
        </w:rPr>
        <w:t xml:space="preserve"> currently approved collection for </w:t>
      </w:r>
      <w:r w:rsidRPr="001C1CCB" w:rsidR="00160722">
        <w:rPr>
          <w:rFonts w:ascii="Times New (W1)" w:hAnsi="Times New (W1)"/>
          <w:bCs/>
          <w:sz w:val="24"/>
        </w:rPr>
        <w:t>the</w:t>
      </w:r>
      <w:r w:rsidRPr="001C1CCB" w:rsidR="00160722">
        <w:rPr>
          <w:rFonts w:ascii="Times New (W1)" w:hAnsi="Times New (W1)"/>
          <w:b/>
          <w:sz w:val="24"/>
        </w:rPr>
        <w:t xml:space="preserve"> </w:t>
      </w:r>
      <w:r w:rsidRPr="001C1CCB">
        <w:rPr>
          <w:rFonts w:ascii="Times New (W1)" w:hAnsi="Times New (W1)"/>
          <w:sz w:val="24"/>
        </w:rPr>
        <w:t xml:space="preserve">MAP Lender requirements.  </w:t>
      </w:r>
      <w:r w:rsidRPr="001C1CCB" w:rsidR="00A40369">
        <w:rPr>
          <w:rFonts w:ascii="Times New (W1)" w:hAnsi="Times New (W1)"/>
          <w:sz w:val="24"/>
        </w:rPr>
        <w:t xml:space="preserve">Apart from the noted </w:t>
      </w:r>
      <w:r w:rsidRPr="001C1CCB" w:rsidR="007D06F8">
        <w:rPr>
          <w:rFonts w:ascii="Times New (W1)" w:hAnsi="Times New (W1)"/>
          <w:sz w:val="24"/>
        </w:rPr>
        <w:t>change to the method for calculating costs not attribu</w:t>
      </w:r>
      <w:r w:rsidRPr="001C1CCB" w:rsidR="001A4281">
        <w:rPr>
          <w:rFonts w:ascii="Times New (W1)" w:hAnsi="Times New (W1)"/>
          <w:sz w:val="24"/>
        </w:rPr>
        <w:t xml:space="preserve">table to dwelling units and the recent implementation of the Catalyst </w:t>
      </w:r>
      <w:r w:rsidRPr="001C1CCB" w:rsidR="000900C1">
        <w:rPr>
          <w:rFonts w:ascii="Times New (W1)" w:hAnsi="Times New (W1)"/>
          <w:sz w:val="24"/>
        </w:rPr>
        <w:t>application portal, t</w:t>
      </w:r>
      <w:r w:rsidRPr="001C1CCB">
        <w:rPr>
          <w:rFonts w:ascii="Times New (W1)" w:hAnsi="Times New (W1)"/>
          <w:sz w:val="24"/>
        </w:rPr>
        <w:t xml:space="preserve">here are no changes to the way the program is administered.  </w:t>
      </w:r>
    </w:p>
    <w:p w:rsidR="004505F9" w:rsidRPr="001C1CCB" w:rsidP="006A2AFC" w14:paraId="482C6C68" w14:textId="6F9EF8C1">
      <w:pPr>
        <w:tabs>
          <w:tab w:val="left" w:pos="720"/>
        </w:tabs>
        <w:spacing w:after="240"/>
        <w:ind w:left="720" w:hanging="360"/>
        <w:jc w:val="both"/>
        <w:rPr>
          <w:rFonts w:ascii="Times New Roman" w:hAnsi="Times New Roman"/>
          <w:sz w:val="24"/>
          <w:szCs w:val="16"/>
        </w:rPr>
      </w:pPr>
      <w:r w:rsidRPr="001C1CCB">
        <w:rPr>
          <w:rFonts w:ascii="Times New (W1)" w:hAnsi="Times New (W1)"/>
          <w:sz w:val="24"/>
        </w:rPr>
        <w:tab/>
      </w:r>
      <w:r w:rsidRPr="001C1CCB" w:rsidR="00F04767">
        <w:rPr>
          <w:rFonts w:ascii="Times New (W1)" w:hAnsi="Times New (W1)"/>
          <w:sz w:val="24"/>
        </w:rPr>
        <w:t xml:space="preserve">However, </w:t>
      </w:r>
      <w:r w:rsidRPr="001C1CCB" w:rsidR="00BB2DCC">
        <w:rPr>
          <w:rFonts w:ascii="Times New (W1)" w:hAnsi="Times New (W1)"/>
          <w:sz w:val="24"/>
        </w:rPr>
        <w:t xml:space="preserve">this </w:t>
      </w:r>
      <w:r w:rsidRPr="001C1CCB" w:rsidR="00E20E75">
        <w:rPr>
          <w:rFonts w:ascii="Times New (W1)" w:hAnsi="Times New (W1)"/>
          <w:sz w:val="24"/>
        </w:rPr>
        <w:t xml:space="preserve">Supporting Statement corrects </w:t>
      </w:r>
      <w:r w:rsidRPr="001C1CCB" w:rsidR="00BC0F82">
        <w:rPr>
          <w:rFonts w:ascii="Times New (W1)" w:hAnsi="Times New (W1)"/>
          <w:sz w:val="24"/>
        </w:rPr>
        <w:t xml:space="preserve">significant </w:t>
      </w:r>
      <w:r w:rsidRPr="001C1CCB" w:rsidR="00AC04F1">
        <w:rPr>
          <w:rFonts w:ascii="Times New (W1)" w:hAnsi="Times New (W1)"/>
          <w:sz w:val="24"/>
        </w:rPr>
        <w:t xml:space="preserve">conceptual </w:t>
      </w:r>
      <w:r w:rsidRPr="001C1CCB" w:rsidR="00BC0F82">
        <w:rPr>
          <w:rFonts w:ascii="Times New (W1)" w:hAnsi="Times New (W1)"/>
          <w:sz w:val="24"/>
        </w:rPr>
        <w:t>errors and oversights</w:t>
      </w:r>
      <w:r w:rsidRPr="001C1CCB" w:rsidR="002F74A8">
        <w:rPr>
          <w:rFonts w:ascii="Times New (W1)" w:hAnsi="Times New (W1)"/>
          <w:sz w:val="24"/>
        </w:rPr>
        <w:t xml:space="preserve"> in the prior calculation of burden hours</w:t>
      </w:r>
      <w:r w:rsidRPr="001C1CCB" w:rsidR="00496B4A">
        <w:rPr>
          <w:rFonts w:ascii="Times New (W1)" w:hAnsi="Times New (W1)"/>
          <w:sz w:val="24"/>
        </w:rPr>
        <w:t>.</w:t>
      </w:r>
      <w:r w:rsidRPr="001C1CCB" w:rsidR="00F04767">
        <w:rPr>
          <w:rFonts w:ascii="Times New (W1)" w:hAnsi="Times New (W1)"/>
          <w:sz w:val="24"/>
        </w:rPr>
        <w:t xml:space="preserve">  This collection </w:t>
      </w:r>
      <w:r w:rsidRPr="001C1CCB" w:rsidR="00496B4A">
        <w:rPr>
          <w:rFonts w:ascii="Times New (W1)" w:hAnsi="Times New (W1)"/>
          <w:sz w:val="24"/>
        </w:rPr>
        <w:t>identifies 10,</w:t>
      </w:r>
      <w:r w:rsidRPr="001C1CCB" w:rsidR="00F43DE6">
        <w:rPr>
          <w:rFonts w:ascii="Times New (W1)" w:hAnsi="Times New (W1)"/>
          <w:sz w:val="24"/>
        </w:rPr>
        <w:t xml:space="preserve">204 </w:t>
      </w:r>
      <w:r w:rsidRPr="001C1CCB" w:rsidR="003B3289">
        <w:rPr>
          <w:rFonts w:ascii="Times New (W1)" w:hAnsi="Times New (W1)"/>
          <w:sz w:val="24"/>
        </w:rPr>
        <w:t xml:space="preserve">lender </w:t>
      </w:r>
      <w:r w:rsidRPr="001C1CCB" w:rsidR="00F43DE6">
        <w:rPr>
          <w:rFonts w:ascii="Times New (W1)" w:hAnsi="Times New (W1)"/>
          <w:sz w:val="24"/>
        </w:rPr>
        <w:t>burden hours for a</w:t>
      </w:r>
      <w:r w:rsidRPr="001C1CCB" w:rsidR="003A4FD3">
        <w:rPr>
          <w:rFonts w:ascii="Times New (W1)" w:hAnsi="Times New (W1)"/>
          <w:sz w:val="24"/>
        </w:rPr>
        <w:t>n “average</w:t>
      </w:r>
      <w:r w:rsidRPr="001C1CCB" w:rsidR="00B45B7E">
        <w:rPr>
          <w:rFonts w:ascii="Times New (W1)" w:hAnsi="Times New (W1)"/>
          <w:sz w:val="24"/>
        </w:rPr>
        <w:t xml:space="preserve">” Firm Commitment repeated 86 times, that is, once for </w:t>
      </w:r>
      <w:r w:rsidRPr="001C1CCB" w:rsidR="00F4283E">
        <w:rPr>
          <w:rFonts w:ascii="Times New (W1)" w:hAnsi="Times New (W1)"/>
          <w:sz w:val="24"/>
        </w:rPr>
        <w:t xml:space="preserve">each of 86 lenders.  The comparable figure described in the Supporting Statement for the 2020 MAP Guide was </w:t>
      </w:r>
      <w:r w:rsidRPr="001C1CCB" w:rsidR="008379B3">
        <w:rPr>
          <w:rFonts w:ascii="Times New (W1)" w:hAnsi="Times New (W1)"/>
          <w:sz w:val="24"/>
        </w:rPr>
        <w:t>10,</w:t>
      </w:r>
      <w:r w:rsidRPr="001C1CCB" w:rsidR="007946D5">
        <w:rPr>
          <w:rFonts w:ascii="Times New (W1)" w:hAnsi="Times New (W1)"/>
          <w:sz w:val="24"/>
        </w:rPr>
        <w:t>406</w:t>
      </w:r>
      <w:r w:rsidRPr="001C1CCB" w:rsidR="00F04767">
        <w:rPr>
          <w:rFonts w:ascii="Times New (W1)" w:hAnsi="Times New (W1)"/>
          <w:color w:val="00B0F0"/>
          <w:sz w:val="24"/>
        </w:rPr>
        <w:t xml:space="preserve"> </w:t>
      </w:r>
      <w:r w:rsidRPr="001C1CCB" w:rsidR="00F04767">
        <w:rPr>
          <w:rFonts w:ascii="Times New (W1)" w:hAnsi="Times New (W1)"/>
          <w:sz w:val="24"/>
        </w:rPr>
        <w:t>burden hours</w:t>
      </w:r>
      <w:r w:rsidRPr="001C1CCB" w:rsidR="003B3289">
        <w:rPr>
          <w:rFonts w:ascii="Times New (W1)" w:hAnsi="Times New (W1)"/>
          <w:sz w:val="24"/>
        </w:rPr>
        <w:t>.  But in fact</w:t>
      </w:r>
      <w:r w:rsidRPr="001C1CCB" w:rsidR="0056330E">
        <w:rPr>
          <w:rFonts w:ascii="Times New (W1)" w:hAnsi="Times New (W1)"/>
          <w:sz w:val="24"/>
        </w:rPr>
        <w:t>,</w:t>
      </w:r>
      <w:r w:rsidRPr="001C1CCB" w:rsidR="003B3289">
        <w:rPr>
          <w:rFonts w:ascii="Times New (W1)" w:hAnsi="Times New (W1)"/>
          <w:sz w:val="24"/>
        </w:rPr>
        <w:t xml:space="preserve"> </w:t>
      </w:r>
      <w:r w:rsidRPr="001C1CCB" w:rsidR="00DF56F5">
        <w:rPr>
          <w:rFonts w:ascii="Times New (W1)" w:hAnsi="Times New (W1)"/>
          <w:sz w:val="24"/>
        </w:rPr>
        <w:t>the figures are not comparable, and the proximity in their value is purely incidental</w:t>
      </w:r>
      <w:r w:rsidRPr="001C1CCB" w:rsidR="00F4283E">
        <w:rPr>
          <w:rFonts w:ascii="Times New (W1)" w:hAnsi="Times New (W1)"/>
          <w:sz w:val="24"/>
        </w:rPr>
        <w:t>.</w:t>
      </w:r>
      <w:r w:rsidRPr="001C1CCB" w:rsidR="0056330E">
        <w:rPr>
          <w:rFonts w:ascii="Times New (W1)" w:hAnsi="Times New (W1)"/>
          <w:sz w:val="24"/>
        </w:rPr>
        <w:t xml:space="preserve">  </w:t>
      </w:r>
      <w:r w:rsidRPr="001C1CCB" w:rsidR="00655058">
        <w:rPr>
          <w:rFonts w:ascii="Times New (W1)" w:hAnsi="Times New (W1)"/>
          <w:sz w:val="24"/>
        </w:rPr>
        <w:t>Unlike the former, t</w:t>
      </w:r>
      <w:r w:rsidRPr="001C1CCB" w:rsidR="0056330E">
        <w:rPr>
          <w:rFonts w:ascii="Times New (W1)" w:hAnsi="Times New (W1)"/>
          <w:sz w:val="24"/>
        </w:rPr>
        <w:t xml:space="preserve">he present </w:t>
      </w:r>
      <w:r w:rsidRPr="001C1CCB" w:rsidR="00185BD2">
        <w:rPr>
          <w:rFonts w:ascii="Times New (W1)" w:hAnsi="Times New (W1)"/>
          <w:sz w:val="24"/>
        </w:rPr>
        <w:t>calculation separate</w:t>
      </w:r>
      <w:r w:rsidRPr="001C1CCB" w:rsidR="00655058">
        <w:rPr>
          <w:rFonts w:ascii="Times New (W1)" w:hAnsi="Times New (W1)"/>
          <w:sz w:val="24"/>
        </w:rPr>
        <w:t>s</w:t>
      </w:r>
      <w:r w:rsidRPr="001C1CCB" w:rsidR="00185BD2">
        <w:rPr>
          <w:rFonts w:ascii="Times New (W1)" w:hAnsi="Times New (W1)"/>
          <w:sz w:val="24"/>
        </w:rPr>
        <w:t xml:space="preserve"> lender burden hours from those required from third-party </w:t>
      </w:r>
      <w:r w:rsidRPr="001C1CCB" w:rsidR="00A431C7">
        <w:rPr>
          <w:rFonts w:ascii="Times New (W1)" w:hAnsi="Times New (W1)"/>
          <w:sz w:val="24"/>
        </w:rPr>
        <w:t>consultants and specialists hired by either the borrower or the lender depending on MAP Guide requirements</w:t>
      </w:r>
      <w:r w:rsidRPr="001C1CCB" w:rsidR="00655058">
        <w:rPr>
          <w:rFonts w:ascii="Times New (W1)" w:hAnsi="Times New (W1)"/>
          <w:sz w:val="24"/>
        </w:rPr>
        <w:t xml:space="preserve"> and industry practice. </w:t>
      </w:r>
      <w:r w:rsidRPr="001C1CCB" w:rsidR="00F04767">
        <w:rPr>
          <w:rFonts w:ascii="Times New (W1)" w:hAnsi="Times New (W1)"/>
          <w:sz w:val="24"/>
        </w:rPr>
        <w:t xml:space="preserve"> </w:t>
      </w:r>
      <w:r w:rsidRPr="001C1CCB" w:rsidR="005526B7">
        <w:rPr>
          <w:rFonts w:ascii="Times New (W1)" w:hAnsi="Times New (W1)"/>
          <w:sz w:val="24"/>
        </w:rPr>
        <w:t xml:space="preserve">In addition, the frequency and distribution of </w:t>
      </w:r>
      <w:r w:rsidRPr="001C1CCB" w:rsidR="001D62D5">
        <w:rPr>
          <w:rFonts w:ascii="Times New (W1)" w:hAnsi="Times New (W1)"/>
          <w:sz w:val="24"/>
        </w:rPr>
        <w:t xml:space="preserve">tasks based on the </w:t>
      </w:r>
      <w:r w:rsidRPr="001C1CCB" w:rsidR="00DC29DD">
        <w:rPr>
          <w:rFonts w:ascii="Times New (W1)" w:hAnsi="Times New (W1)"/>
          <w:sz w:val="24"/>
        </w:rPr>
        <w:t>type of activity funded in each insured loan is more accurately and completely reflected in the present calculation</w:t>
      </w:r>
      <w:r w:rsidRPr="001C1CCB" w:rsidR="00EE647A">
        <w:rPr>
          <w:rFonts w:ascii="Times New (W1)" w:hAnsi="Times New (W1)"/>
          <w:sz w:val="24"/>
        </w:rPr>
        <w:t xml:space="preserve">.  </w:t>
      </w:r>
      <w:r w:rsidRPr="001C1CCB" w:rsidR="00EE647A">
        <w:rPr>
          <w:rFonts w:ascii="Times New (W1)" w:hAnsi="Times New (W1)"/>
          <w:sz w:val="24"/>
        </w:rPr>
        <w:t>Needless to say, the</w:t>
      </w:r>
      <w:r w:rsidRPr="001C1CCB" w:rsidR="00EE647A">
        <w:rPr>
          <w:rFonts w:ascii="Times New (W1)" w:hAnsi="Times New (W1)"/>
          <w:sz w:val="24"/>
        </w:rPr>
        <w:t xml:space="preserve"> former calculation significantly understated the burden hours and costs for third-party reports</w:t>
      </w:r>
      <w:r w:rsidRPr="001C1CCB" w:rsidR="001509F2">
        <w:rPr>
          <w:rFonts w:ascii="Times New (W1)" w:hAnsi="Times New (W1)"/>
          <w:sz w:val="24"/>
        </w:rPr>
        <w:t xml:space="preserve"> </w:t>
      </w:r>
      <w:r w:rsidRPr="001C1CCB" w:rsidR="00FD5637">
        <w:rPr>
          <w:rFonts w:ascii="Times New (W1)" w:hAnsi="Times New (W1)"/>
          <w:sz w:val="24"/>
        </w:rPr>
        <w:t xml:space="preserve">as well as </w:t>
      </w:r>
      <w:r w:rsidRPr="001C1CCB" w:rsidR="001509F2">
        <w:rPr>
          <w:rFonts w:ascii="Times New (W1)" w:hAnsi="Times New (W1)"/>
          <w:sz w:val="24"/>
        </w:rPr>
        <w:t xml:space="preserve">the lenders task of reading, reviewing and correlating these </w:t>
      </w:r>
      <w:r w:rsidRPr="001C1CCB" w:rsidR="00FD5637">
        <w:rPr>
          <w:rFonts w:ascii="Times New (W1)" w:hAnsi="Times New (W1)"/>
          <w:sz w:val="24"/>
        </w:rPr>
        <w:t>reports in preparation for writing their Underwriting Narrative</w:t>
      </w:r>
      <w:r w:rsidRPr="001C1CCB" w:rsidR="00514BAA">
        <w:rPr>
          <w:rFonts w:ascii="Times New Roman" w:hAnsi="Times New Roman"/>
          <w:sz w:val="24"/>
          <w:szCs w:val="16"/>
        </w:rPr>
        <w:t>.</w:t>
      </w:r>
    </w:p>
    <w:p w:rsidR="00514BAA" w:rsidRPr="001C1CCB" w:rsidP="006A2AFC" w14:paraId="366A57D5" w14:textId="0984A073">
      <w:pPr>
        <w:tabs>
          <w:tab w:val="left" w:pos="720"/>
        </w:tabs>
        <w:spacing w:after="240"/>
        <w:ind w:left="720" w:hanging="360"/>
        <w:jc w:val="both"/>
        <w:rPr>
          <w:rFonts w:ascii="Times New Roman" w:hAnsi="Times New Roman"/>
          <w:sz w:val="24"/>
          <w:szCs w:val="16"/>
        </w:rPr>
      </w:pPr>
      <w:r w:rsidRPr="001C1CCB">
        <w:rPr>
          <w:rFonts w:ascii="Times New Roman" w:hAnsi="Times New Roman"/>
          <w:sz w:val="24"/>
          <w:szCs w:val="16"/>
        </w:rPr>
        <w:tab/>
        <w:t xml:space="preserve">The </w:t>
      </w:r>
      <w:r w:rsidRPr="001C1CCB" w:rsidR="0042742E">
        <w:rPr>
          <w:rFonts w:ascii="Times New Roman" w:hAnsi="Times New Roman"/>
          <w:sz w:val="24"/>
          <w:szCs w:val="16"/>
        </w:rPr>
        <w:t xml:space="preserve">former calculation did not adjust or extrapolate the </w:t>
      </w:r>
      <w:r w:rsidRPr="001C1CCB" w:rsidR="007F465D">
        <w:rPr>
          <w:rFonts w:ascii="Times New Roman" w:hAnsi="Times New Roman"/>
          <w:sz w:val="24"/>
          <w:szCs w:val="16"/>
        </w:rPr>
        <w:t xml:space="preserve">estimated burden for 86 “average” or “composite” firm commitments.  The present calculation </w:t>
      </w:r>
      <w:r w:rsidRPr="001C1CCB" w:rsidR="009A25B5">
        <w:rPr>
          <w:rFonts w:ascii="Times New Roman" w:hAnsi="Times New Roman"/>
          <w:sz w:val="24"/>
          <w:szCs w:val="16"/>
        </w:rPr>
        <w:t>extrapolates</w:t>
      </w:r>
      <w:r w:rsidRPr="001C1CCB" w:rsidR="008364C3">
        <w:rPr>
          <w:rFonts w:ascii="Times New Roman" w:hAnsi="Times New Roman"/>
          <w:sz w:val="24"/>
          <w:szCs w:val="16"/>
        </w:rPr>
        <w:t xml:space="preserve"> </w:t>
      </w:r>
      <w:r w:rsidRPr="001C1CCB" w:rsidR="009A25B5">
        <w:rPr>
          <w:rFonts w:ascii="Times New Roman" w:hAnsi="Times New Roman"/>
          <w:sz w:val="24"/>
          <w:szCs w:val="16"/>
        </w:rPr>
        <w:t>this calculation</w:t>
      </w:r>
      <w:r w:rsidRPr="001C1CCB" w:rsidR="008364C3">
        <w:rPr>
          <w:rFonts w:ascii="Times New Roman" w:hAnsi="Times New Roman"/>
          <w:sz w:val="24"/>
          <w:szCs w:val="16"/>
        </w:rPr>
        <w:t xml:space="preserve"> into meaningful estimates of the average burden and cost for </w:t>
      </w:r>
      <w:r w:rsidRPr="001C1CCB" w:rsidR="00E64B81">
        <w:rPr>
          <w:rFonts w:ascii="Times New Roman" w:hAnsi="Times New Roman"/>
          <w:sz w:val="24"/>
          <w:szCs w:val="16"/>
        </w:rPr>
        <w:t xml:space="preserve">a </w:t>
      </w:r>
      <w:r w:rsidRPr="001C1CCB" w:rsidR="008364C3">
        <w:rPr>
          <w:rFonts w:ascii="Times New Roman" w:hAnsi="Times New Roman"/>
          <w:sz w:val="24"/>
          <w:szCs w:val="16"/>
        </w:rPr>
        <w:t xml:space="preserve">single, generic, firm commitment as well as estimating </w:t>
      </w:r>
      <w:r w:rsidRPr="001C1CCB" w:rsidR="00A95B7E">
        <w:rPr>
          <w:rFonts w:ascii="Times New Roman" w:hAnsi="Times New Roman"/>
          <w:sz w:val="24"/>
          <w:szCs w:val="16"/>
        </w:rPr>
        <w:t xml:space="preserve">the aggregate burden and costs for the annual average of 1,114 firm commitments issued </w:t>
      </w:r>
      <w:r w:rsidRPr="001C1CCB" w:rsidR="0068139F">
        <w:rPr>
          <w:rFonts w:ascii="Times New Roman" w:hAnsi="Times New Roman"/>
          <w:sz w:val="24"/>
          <w:szCs w:val="16"/>
        </w:rPr>
        <w:t>in the three most recent calendar years, 2019 through 2021.</w:t>
      </w:r>
      <w:r w:rsidRPr="001C1CCB" w:rsidR="008364C3">
        <w:rPr>
          <w:rFonts w:ascii="Times New Roman" w:hAnsi="Times New Roman"/>
          <w:sz w:val="24"/>
          <w:szCs w:val="16"/>
        </w:rPr>
        <w:t xml:space="preserve"> </w:t>
      </w:r>
    </w:p>
    <w:p w:rsidR="00174F1F" w:rsidRPr="001C1CCB" w:rsidP="00A70AD4" w14:paraId="7D5D39C0" w14:textId="05A58BF0">
      <w:pPr>
        <w:tabs>
          <w:tab w:val="left" w:pos="720"/>
        </w:tabs>
        <w:spacing w:after="240"/>
        <w:ind w:left="720" w:hanging="360"/>
        <w:jc w:val="both"/>
        <w:rPr>
          <w:rFonts w:ascii="Times New Roman" w:hAnsi="Times New Roman"/>
          <w:sz w:val="24"/>
          <w:szCs w:val="16"/>
        </w:rPr>
      </w:pPr>
      <w:r w:rsidRPr="001C1CCB">
        <w:rPr>
          <w:rFonts w:ascii="Times New Roman" w:hAnsi="Times New Roman"/>
          <w:sz w:val="24"/>
          <w:szCs w:val="16"/>
        </w:rPr>
        <w:tab/>
        <w:t xml:space="preserve">Upon approval of </w:t>
      </w:r>
      <w:r w:rsidRPr="001C1CCB" w:rsidR="005E4DAE">
        <w:rPr>
          <w:rFonts w:ascii="Times New Roman" w:hAnsi="Times New Roman"/>
          <w:sz w:val="24"/>
          <w:szCs w:val="16"/>
        </w:rPr>
        <w:t xml:space="preserve">the MAP Guide as amended by the </w:t>
      </w:r>
      <w:r w:rsidRPr="001C1CCB" w:rsidR="0010581D">
        <w:rPr>
          <w:rFonts w:ascii="Times New Roman" w:hAnsi="Times New Roman"/>
          <w:sz w:val="24"/>
          <w:szCs w:val="16"/>
        </w:rPr>
        <w:t xml:space="preserve">referenced Mortgagee Letter </w:t>
      </w:r>
      <w:r w:rsidRPr="001C1CCB" w:rsidR="00572F29">
        <w:rPr>
          <w:rFonts w:ascii="Times New Roman" w:hAnsi="Times New Roman"/>
          <w:sz w:val="24"/>
          <w:szCs w:val="16"/>
        </w:rPr>
        <w:t>revising the method for calculating cost not attributable to dwelling uni</w:t>
      </w:r>
      <w:r w:rsidRPr="001C1CCB" w:rsidR="0054466E">
        <w:rPr>
          <w:rFonts w:ascii="Times New Roman" w:hAnsi="Times New Roman"/>
          <w:sz w:val="24"/>
          <w:szCs w:val="16"/>
        </w:rPr>
        <w:t xml:space="preserve">ts </w:t>
      </w:r>
      <w:r w:rsidRPr="001C1CCB" w:rsidR="0010581D">
        <w:rPr>
          <w:rFonts w:ascii="Times New Roman" w:hAnsi="Times New Roman"/>
          <w:sz w:val="24"/>
          <w:szCs w:val="16"/>
        </w:rPr>
        <w:t>and the Catalyst Mortga</w:t>
      </w:r>
      <w:r w:rsidRPr="001C1CCB" w:rsidR="00A3742C">
        <w:rPr>
          <w:rFonts w:ascii="Times New Roman" w:hAnsi="Times New Roman"/>
          <w:sz w:val="24"/>
          <w:szCs w:val="16"/>
        </w:rPr>
        <w:t>g</w:t>
      </w:r>
      <w:r w:rsidRPr="001C1CCB" w:rsidR="0010581D">
        <w:rPr>
          <w:rFonts w:ascii="Times New Roman" w:hAnsi="Times New Roman"/>
          <w:sz w:val="24"/>
          <w:szCs w:val="16"/>
        </w:rPr>
        <w:t>ee Letter</w:t>
      </w:r>
      <w:r w:rsidRPr="001C1CCB" w:rsidR="00572F29">
        <w:rPr>
          <w:rFonts w:ascii="Times New Roman" w:hAnsi="Times New Roman"/>
          <w:sz w:val="24"/>
          <w:szCs w:val="16"/>
        </w:rPr>
        <w:t xml:space="preserve"> </w:t>
      </w:r>
      <w:r w:rsidRPr="001C1CCB" w:rsidR="002573D9">
        <w:rPr>
          <w:rFonts w:ascii="Times New Roman" w:hAnsi="Times New Roman"/>
          <w:sz w:val="24"/>
          <w:szCs w:val="16"/>
        </w:rPr>
        <w:t>2021</w:t>
      </w:r>
      <w:r w:rsidRPr="001C1CCB" w:rsidR="00A3742C">
        <w:rPr>
          <w:rFonts w:ascii="Times New Roman" w:hAnsi="Times New Roman"/>
          <w:sz w:val="24"/>
          <w:szCs w:val="16"/>
        </w:rPr>
        <w:t>-26</w:t>
      </w:r>
      <w:r w:rsidRPr="001C1CCB" w:rsidR="0054466E">
        <w:rPr>
          <w:rFonts w:ascii="Times New Roman" w:hAnsi="Times New Roman"/>
          <w:sz w:val="24"/>
          <w:szCs w:val="16"/>
        </w:rPr>
        <w:t xml:space="preserve">, Multifamily Production will instruct </w:t>
      </w:r>
      <w:r w:rsidRPr="001C1CCB" w:rsidR="00A72B18">
        <w:rPr>
          <w:rFonts w:ascii="Times New Roman" w:hAnsi="Times New Roman"/>
          <w:sz w:val="24"/>
          <w:szCs w:val="16"/>
        </w:rPr>
        <w:t xml:space="preserve">our document production contractor to make the changes in the MAP Guide </w:t>
      </w:r>
      <w:r w:rsidRPr="001C1CCB" w:rsidR="00283D72">
        <w:rPr>
          <w:rFonts w:ascii="Times New Roman" w:hAnsi="Times New Roman"/>
          <w:sz w:val="24"/>
          <w:szCs w:val="16"/>
        </w:rPr>
        <w:t>specifi</w:t>
      </w:r>
      <w:r w:rsidRPr="001C1CCB" w:rsidR="00A72B18">
        <w:rPr>
          <w:rFonts w:ascii="Times New Roman" w:hAnsi="Times New Roman"/>
          <w:sz w:val="24"/>
          <w:szCs w:val="16"/>
        </w:rPr>
        <w:t xml:space="preserve">ed by the </w:t>
      </w:r>
      <w:r w:rsidRPr="001C1CCB" w:rsidR="0013103C">
        <w:rPr>
          <w:rFonts w:ascii="Times New Roman" w:hAnsi="Times New Roman"/>
          <w:sz w:val="24"/>
          <w:szCs w:val="16"/>
        </w:rPr>
        <w:t>Mortgagee Letters, whereupon the amended document will be reposted to HUD Clips.</w:t>
      </w:r>
    </w:p>
    <w:p w:rsidR="004505F9" w:rsidRPr="001C1CCB" w:rsidP="00642C13" w14:paraId="6B47BA14" w14:textId="77777777">
      <w:pPr>
        <w:tabs>
          <w:tab w:val="left" w:pos="720"/>
        </w:tabs>
        <w:ind w:left="720" w:hanging="360"/>
        <w:jc w:val="both"/>
        <w:rPr>
          <w:rFonts w:ascii="Times New (W1)" w:hAnsi="Times New (W1)"/>
          <w:sz w:val="24"/>
        </w:rPr>
      </w:pPr>
      <w:r w:rsidRPr="001C1CCB">
        <w:rPr>
          <w:rFonts w:ascii="Times New (W1)" w:hAnsi="Times New (W1)"/>
          <w:sz w:val="24"/>
        </w:rPr>
        <w:t>16.</w:t>
      </w:r>
      <w:r w:rsidRPr="001C1CCB">
        <w:rPr>
          <w:rFonts w:ascii="Times New (W1)" w:hAnsi="Times New (W1)"/>
          <w:sz w:val="24"/>
        </w:rPr>
        <w:tab/>
      </w:r>
      <w:r w:rsidRPr="001C1CCB">
        <w:rPr>
          <w:rFonts w:ascii="Times New (W1)" w:hAnsi="Times New (W1)"/>
          <w:sz w:val="24"/>
          <w:u w:val="single"/>
        </w:rPr>
        <w:t>Collection of information whose results will be published</w:t>
      </w:r>
      <w:r w:rsidRPr="001C1CCB">
        <w:rPr>
          <w:rFonts w:ascii="Times New (W1)" w:hAnsi="Times New (W1)"/>
          <w:sz w:val="24"/>
        </w:rPr>
        <w:t>.</w:t>
      </w:r>
    </w:p>
    <w:p w:rsidR="004505F9" w:rsidRPr="001C1CCB" w:rsidP="004505F9" w14:paraId="39BA8B79" w14:textId="77777777">
      <w:pPr>
        <w:spacing w:before="120" w:after="360"/>
        <w:ind w:left="720" w:firstLine="0"/>
        <w:jc w:val="both"/>
        <w:rPr>
          <w:rFonts w:ascii="Times New (W1)" w:hAnsi="Times New (W1)"/>
          <w:sz w:val="24"/>
        </w:rPr>
      </w:pPr>
      <w:r w:rsidRPr="001C1CCB">
        <w:rPr>
          <w:rFonts w:ascii="Times New (W1)" w:hAnsi="Times New (W1)"/>
          <w:sz w:val="24"/>
        </w:rPr>
        <w:t>Collection of this information will not be published.  Each form will be maintained with the HUD Program Office in individual case file.</w:t>
      </w:r>
    </w:p>
    <w:p w:rsidR="004505F9" w:rsidRPr="001C1CCB" w:rsidP="00642C13" w14:paraId="448584B0" w14:textId="77777777">
      <w:pPr>
        <w:tabs>
          <w:tab w:val="left" w:pos="720"/>
        </w:tabs>
        <w:ind w:left="720" w:hanging="360"/>
        <w:jc w:val="both"/>
        <w:rPr>
          <w:rFonts w:ascii="Times New (W1)" w:hAnsi="Times New (W1)"/>
          <w:sz w:val="24"/>
        </w:rPr>
      </w:pPr>
      <w:r w:rsidRPr="001C1CCB">
        <w:rPr>
          <w:rFonts w:ascii="Times New (W1)" w:hAnsi="Times New (W1)"/>
          <w:sz w:val="24"/>
        </w:rPr>
        <w:t>17.</w:t>
      </w:r>
      <w:r w:rsidRPr="001C1CCB">
        <w:rPr>
          <w:rFonts w:ascii="Times New (W1)" w:hAnsi="Times New (W1)"/>
          <w:sz w:val="24"/>
        </w:rPr>
        <w:tab/>
      </w:r>
      <w:r w:rsidRPr="001C1CCB">
        <w:rPr>
          <w:rFonts w:ascii="Times New (W1)" w:hAnsi="Times New (W1)"/>
          <w:sz w:val="24"/>
          <w:u w:val="single"/>
        </w:rPr>
        <w:t>Display of expiration date</w:t>
      </w:r>
      <w:r w:rsidRPr="001C1CCB">
        <w:rPr>
          <w:rFonts w:ascii="Times New (W1)" w:hAnsi="Times New (W1)"/>
          <w:sz w:val="24"/>
        </w:rPr>
        <w:t>.</w:t>
      </w:r>
    </w:p>
    <w:p w:rsidR="004505F9" w:rsidRPr="001C1CCB" w:rsidP="004505F9" w14:paraId="514024B6" w14:textId="77777777">
      <w:pPr>
        <w:tabs>
          <w:tab w:val="left" w:pos="720"/>
        </w:tabs>
        <w:spacing w:before="120" w:after="240"/>
        <w:jc w:val="both"/>
        <w:rPr>
          <w:rFonts w:ascii="Times New (W1)" w:hAnsi="Times New (W1)"/>
          <w:sz w:val="24"/>
        </w:rPr>
      </w:pPr>
      <w:r w:rsidRPr="001C1CCB">
        <w:rPr>
          <w:rFonts w:ascii="Times New (W1)" w:hAnsi="Times New (W1)"/>
          <w:sz w:val="24"/>
        </w:rPr>
        <w:tab/>
        <w:t>HUD is not seeking approval to avoid displaying the OMB expiration date.</w:t>
      </w:r>
    </w:p>
    <w:p w:rsidR="004505F9" w:rsidRPr="001C1CCB" w:rsidP="00642C13" w14:paraId="24CD2C9D" w14:textId="77777777">
      <w:pPr>
        <w:tabs>
          <w:tab w:val="left" w:pos="720"/>
        </w:tabs>
        <w:ind w:left="720" w:hanging="360"/>
        <w:jc w:val="both"/>
        <w:rPr>
          <w:rFonts w:ascii="Times New (W1)" w:hAnsi="Times New (W1)"/>
          <w:sz w:val="24"/>
        </w:rPr>
      </w:pPr>
      <w:r w:rsidRPr="001C1CCB">
        <w:rPr>
          <w:rFonts w:ascii="Times New (W1)" w:hAnsi="Times New (W1)"/>
          <w:sz w:val="24"/>
        </w:rPr>
        <w:t>18.</w:t>
      </w:r>
      <w:r w:rsidRPr="001C1CCB">
        <w:rPr>
          <w:rFonts w:ascii="Times New (W1)" w:hAnsi="Times New (W1)"/>
          <w:sz w:val="24"/>
        </w:rPr>
        <w:tab/>
      </w:r>
      <w:r w:rsidRPr="001C1CCB">
        <w:rPr>
          <w:rFonts w:ascii="Times New (W1)" w:hAnsi="Times New (W1)"/>
          <w:sz w:val="24"/>
          <w:u w:val="single"/>
        </w:rPr>
        <w:t>Exceptions to Certification Statement</w:t>
      </w:r>
      <w:r w:rsidRPr="001C1CCB">
        <w:rPr>
          <w:rFonts w:ascii="Times New (W1)" w:hAnsi="Times New (W1)"/>
          <w:sz w:val="24"/>
        </w:rPr>
        <w:t>.</w:t>
      </w:r>
    </w:p>
    <w:p w:rsidR="004505F9" w:rsidRPr="001C1CCB" w:rsidP="004505F9" w14:paraId="6E355C59" w14:textId="77777777">
      <w:pPr>
        <w:tabs>
          <w:tab w:val="left" w:pos="720"/>
        </w:tabs>
        <w:spacing w:before="120" w:after="240"/>
        <w:jc w:val="both"/>
        <w:rPr>
          <w:rFonts w:ascii="Times New (W1)" w:hAnsi="Times New (W1)"/>
          <w:sz w:val="24"/>
        </w:rPr>
      </w:pPr>
      <w:r w:rsidRPr="001C1CCB">
        <w:rPr>
          <w:rFonts w:ascii="Times New (W1)" w:hAnsi="Times New (W1)"/>
          <w:sz w:val="24"/>
        </w:rPr>
        <w:tab/>
        <w:t>There are no exceptions to the “Certification Statement” identified in item 19 of Form OMB 83-1.</w:t>
      </w:r>
    </w:p>
    <w:p w:rsidR="004505F9" w:rsidRPr="001C1CCB" w:rsidP="006A2AFC" w14:paraId="1024AFF5" w14:textId="19FFAF3F">
      <w:pPr>
        <w:tabs>
          <w:tab w:val="left" w:pos="360"/>
        </w:tabs>
        <w:ind w:left="360" w:hanging="360"/>
        <w:jc w:val="both"/>
        <w:rPr>
          <w:rFonts w:ascii="Times New (W1)" w:hAnsi="Times New (W1)"/>
          <w:sz w:val="24"/>
        </w:rPr>
      </w:pPr>
      <w:r w:rsidRPr="001C1CCB">
        <w:rPr>
          <w:rFonts w:ascii="Times New (W1)" w:hAnsi="Times New (W1)"/>
          <w:sz w:val="24"/>
        </w:rPr>
        <w:t>B.</w:t>
      </w:r>
      <w:r w:rsidRPr="001C1CCB" w:rsidR="006A2AFC">
        <w:rPr>
          <w:rFonts w:ascii="Times New (W1)" w:hAnsi="Times New (W1)"/>
          <w:sz w:val="24"/>
        </w:rPr>
        <w:tab/>
      </w:r>
      <w:r w:rsidRPr="001C1CCB">
        <w:rPr>
          <w:rFonts w:ascii="Times New (W1)" w:hAnsi="Times New (W1)"/>
          <w:sz w:val="24"/>
          <w:u w:val="single"/>
        </w:rPr>
        <w:t>Collection of information employing statistical methods</w:t>
      </w:r>
      <w:r w:rsidRPr="001C1CCB">
        <w:rPr>
          <w:rFonts w:ascii="Times New (W1)" w:hAnsi="Times New (W1)"/>
          <w:sz w:val="24"/>
        </w:rPr>
        <w:t>.</w:t>
      </w:r>
    </w:p>
    <w:p w:rsidR="004505F9" w:rsidP="006A2AFC" w14:paraId="6A7EF396" w14:textId="00F2C42E">
      <w:pPr>
        <w:tabs>
          <w:tab w:val="left" w:pos="360"/>
        </w:tabs>
        <w:spacing w:before="120"/>
        <w:jc w:val="both"/>
        <w:rPr>
          <w:rFonts w:ascii="Times New (W1)" w:hAnsi="Times New (W1)"/>
          <w:sz w:val="24"/>
        </w:rPr>
      </w:pPr>
      <w:r w:rsidRPr="001C1CCB">
        <w:rPr>
          <w:rFonts w:ascii="Times New (W1)" w:hAnsi="Times New (W1)"/>
          <w:sz w:val="24"/>
        </w:rPr>
        <w:t>There are no plans to use statistical methods for collection of this information.</w:t>
      </w:r>
    </w:p>
    <w:sectPr>
      <w:footerReference w:type="default" r:id="rId24"/>
      <w:footerReference w:type="first" r:id="rId25"/>
      <w:pgSz w:w="12240" w:h="15840"/>
      <w:pgMar w:top="480" w:right="720" w:bottom="480" w:left="60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79A" w14:paraId="4CE33579" w14:textId="6C0B8164">
    <w:pPr>
      <w:pStyle w:val="Footer"/>
      <w:pBdr>
        <w:top w:val="single" w:sz="6" w:space="1" w:color="auto"/>
      </w:pBdr>
      <w:tabs>
        <w:tab w:val="clear" w:pos="4320"/>
        <w:tab w:val="clear" w:pos="8640"/>
        <w:tab w:val="right" w:pos="10920"/>
      </w:tabs>
      <w:ind w:left="-120" w:right="-120"/>
    </w:pPr>
    <w:r>
      <w:rPr>
        <w:noProof/>
      </w:rPr>
      <w:t>MAP Guide PRA Supporting Statement</w:t>
    </w:r>
    <w:r>
      <w:ptab w:relativeTo="margin" w:alignment="center" w:leader="none"/>
    </w:r>
    <w:r w:rsidR="0096765E">
      <w:rPr>
        <w:noProof/>
      </w:rPr>
      <w:t xml:space="preserve">June </w:t>
    </w:r>
    <w:r w:rsidR="007C2960">
      <w:rPr>
        <w:noProof/>
      </w:rPr>
      <w:t>2</w:t>
    </w:r>
    <w:r w:rsidR="007C0EC2">
      <w:rPr>
        <w:noProof/>
      </w:rPr>
      <w:t>4</w:t>
    </w:r>
    <w:r w:rsidR="007C2960">
      <w:rPr>
        <w:noProof/>
      </w:rPr>
      <w:t>, 2022</w:t>
    </w:r>
    <w:r>
      <w:ptab w:relativeTo="margin" w:alignment="right" w:leader="none"/>
    </w:r>
    <w:r w:rsidR="007C2960">
      <w:rPr>
        <w:noProof/>
      </w:rPr>
      <w:t xml:space="preserve">p </w:t>
    </w:r>
    <w:r w:rsidR="007C2960">
      <w:rPr>
        <w:noProof/>
      </w:rPr>
      <w:fldChar w:fldCharType="begin"/>
    </w:r>
    <w:r w:rsidR="007C2960">
      <w:rPr>
        <w:noProof/>
      </w:rPr>
      <w:instrText xml:space="preserve"> PAGE  \* Arabic  \* MERGEFORMAT </w:instrText>
    </w:r>
    <w:r w:rsidR="007C2960">
      <w:rPr>
        <w:noProof/>
      </w:rPr>
      <w:fldChar w:fldCharType="separate"/>
    </w:r>
    <w:r w:rsidR="007C2960">
      <w:rPr>
        <w:noProof/>
      </w:rPr>
      <w:t>22</w:t>
    </w:r>
    <w:r w:rsidR="007C2960">
      <w:rPr>
        <w:noProof/>
      </w:rPr>
      <w:fldChar w:fldCharType="end"/>
    </w:r>
    <w:r w:rsidR="007C2960">
      <w:rPr>
        <w:noProof/>
      </w:rPr>
      <w:t xml:space="preserve"> of </w:t>
    </w:r>
    <w:r w:rsidR="007C2960">
      <w:rPr>
        <w:noProof/>
      </w:rPr>
      <w:fldChar w:fldCharType="begin"/>
    </w:r>
    <w:r w:rsidR="007C2960">
      <w:rPr>
        <w:noProof/>
      </w:rPr>
      <w:instrText xml:space="preserve"> NUMPAGES   \* MERGEFORMAT </w:instrText>
    </w:r>
    <w:r w:rsidR="007C2960">
      <w:rPr>
        <w:noProof/>
      </w:rPr>
      <w:fldChar w:fldCharType="separate"/>
    </w:r>
    <w:r w:rsidR="007C2960">
      <w:rPr>
        <w:noProof/>
      </w:rPr>
      <w:t>22</w:t>
    </w:r>
    <w:r w:rsidR="007C296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79A" w14:paraId="373CA3E2" w14:textId="77777777">
    <w:pPr>
      <w:pStyle w:val="Footer"/>
      <w:pBdr>
        <w:top w:val="single" w:sz="6" w:space="1" w:color="auto"/>
      </w:pBdr>
      <w:tabs>
        <w:tab w:val="clear" w:pos="4320"/>
        <w:tab w:val="clear" w:pos="8640"/>
        <w:tab w:val="right" w:pos="10920"/>
      </w:tabs>
      <w:rPr>
        <w:rFonts w:ascii="Helvetica" w:hAnsi="Helvetica"/>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5776" w14:paraId="193DEC4D" w14:textId="77777777">
      <w:r>
        <w:separator/>
      </w:r>
    </w:p>
  </w:footnote>
  <w:footnote w:type="continuationSeparator" w:id="1">
    <w:p w:rsidR="002D5776" w14:paraId="2B4A0621" w14:textId="77777777">
      <w:r>
        <w:continuationSeparator/>
      </w:r>
    </w:p>
  </w:footnote>
  <w:footnote w:type="continuationNotice" w:id="2">
    <w:p w:rsidR="002D5776" w14:paraId="2F3E6F20" w14:textId="77777777"/>
  </w:footnote>
  <w:footnote w:id="3">
    <w:p w:rsidR="005B2821" w14:paraId="774A0AA5" w14:textId="6D55C094">
      <w:pPr>
        <w:pStyle w:val="FootnoteText"/>
      </w:pPr>
      <w:r>
        <w:rPr>
          <w:rStyle w:val="FootnoteReference"/>
        </w:rPr>
        <w:footnoteRef/>
      </w:r>
      <w:r>
        <w:t xml:space="preserve"> </w:t>
      </w:r>
      <w:r w:rsidR="009719E1">
        <w:t>Based on</w:t>
      </w:r>
      <w:r w:rsidR="009768A7">
        <w:t xml:space="preserve"> data posted to </w:t>
      </w:r>
      <w:r w:rsidRPr="00AD47A3" w:rsidR="00AD47A3">
        <w:t>https://www.hud.gov/program_offices/housing/mfh/mfdata/mfproduction</w:t>
      </w:r>
      <w:r w:rsidR="00AD47A3">
        <w:t xml:space="preserve"> </w:t>
      </w:r>
      <w:r w:rsidR="00E93A51">
        <w:t xml:space="preserve"> an excel workbook titled </w:t>
      </w:r>
      <w:r w:rsidR="000E2DCF">
        <w:t>Firm Commitments and Endorsements Database</w:t>
      </w:r>
      <w:r w:rsidR="00D0535E">
        <w:t>, a download from the Development Application Processing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02F3125"/>
    <w:multiLevelType w:val="hybridMultilevel"/>
    <w:tmpl w:val="8C841F44"/>
    <w:lvl w:ilvl="0">
      <w:start w:val="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4D7233"/>
    <w:multiLevelType w:val="hybridMultilevel"/>
    <w:tmpl w:val="9E3E1AB6"/>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E527D8"/>
    <w:multiLevelType w:val="singleLevel"/>
    <w:tmpl w:val="47795E35"/>
    <w:lvl w:ilvl="0">
      <w:start w:val="1"/>
      <w:numFmt w:val="decimal"/>
      <w:lvlText w:val="%1."/>
      <w:lvlJc w:val="left"/>
      <w:pPr>
        <w:tabs>
          <w:tab w:val="num" w:pos="720"/>
        </w:tabs>
        <w:ind w:left="720" w:hanging="360"/>
      </w:pPr>
      <w:rPr>
        <w:spacing w:val="-4"/>
        <w:sz w:val="24"/>
        <w:szCs w:val="24"/>
      </w:rPr>
    </w:lvl>
  </w:abstractNum>
  <w:abstractNum w:abstractNumId="4">
    <w:nsid w:val="072D6BE0"/>
    <w:multiLevelType w:val="hybridMultilevel"/>
    <w:tmpl w:val="8D4054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7EE55AF"/>
    <w:multiLevelType w:val="hybridMultilevel"/>
    <w:tmpl w:val="217254D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9924A74"/>
    <w:multiLevelType w:val="hybridMultilevel"/>
    <w:tmpl w:val="FB685EA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decimal"/>
      <w:lvlText w:val="(%3)"/>
      <w:lvlJc w:val="right"/>
      <w:pPr>
        <w:tabs>
          <w:tab w:val="num" w:pos="2520"/>
        </w:tabs>
        <w:ind w:left="2520" w:hanging="180"/>
      </w:pPr>
      <w:rPr>
        <w:rFonts w:ascii="Calibri" w:eastAsia="Calibri" w:hAnsi="Calibri" w:cs="Times New Roman"/>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0AA347CC"/>
    <w:multiLevelType w:val="hybridMultilevel"/>
    <w:tmpl w:val="2CFE8D0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BCC4228"/>
    <w:multiLevelType w:val="hybridMultilevel"/>
    <w:tmpl w:val="F642E6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0FCE7369"/>
    <w:multiLevelType w:val="hybridMultilevel"/>
    <w:tmpl w:val="8DE4DF9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2">
    <w:nsid w:val="12F32FC5"/>
    <w:multiLevelType w:val="hybridMultilevel"/>
    <w:tmpl w:val="615A0F1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9C84A61"/>
    <w:multiLevelType w:val="hybridMultilevel"/>
    <w:tmpl w:val="31DC3BE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E8A5383"/>
    <w:multiLevelType w:val="hybridMultilevel"/>
    <w:tmpl w:val="8D28E1F0"/>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9962194"/>
    <w:multiLevelType w:val="hybridMultilevel"/>
    <w:tmpl w:val="D980BA96"/>
    <w:lvl w:ilvl="0">
      <w:start w:val="1"/>
      <w:numFmt w:val="decimal"/>
      <w:lvlText w:val="%1."/>
      <w:lvlJc w:val="left"/>
      <w:pPr>
        <w:ind w:left="1080" w:hanging="360"/>
      </w:pPr>
    </w:lvl>
    <w:lvl w:ilvl="1">
      <w:start w:val="1"/>
      <w:numFmt w:val="lowerLetter"/>
      <w:lvlText w:val="%2."/>
      <w:lvlJc w:val="left"/>
      <w:pPr>
        <w:ind w:left="63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nsid w:val="54627B55"/>
    <w:multiLevelType w:val="hybridMultilevel"/>
    <w:tmpl w:val="67A00304"/>
    <w:lvl w:ilvl="0">
      <w:start w:val="11"/>
      <w:numFmt w:val="decimal"/>
      <w:lvlText w:val="%1."/>
      <w:lvlJc w:val="left"/>
      <w:pPr>
        <w:tabs>
          <w:tab w:val="num" w:pos="720"/>
        </w:tabs>
        <w:ind w:left="720" w:hanging="360"/>
      </w:pPr>
      <w:rPr>
        <w:rFonts w:hint="default"/>
        <w:color w:val="auto"/>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02B1409"/>
    <w:multiLevelType w:val="hybridMultilevel"/>
    <w:tmpl w:val="4722682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620822E4"/>
    <w:multiLevelType w:val="hybridMultilevel"/>
    <w:tmpl w:val="009E251C"/>
    <w:lvl w:ilvl="0">
      <w:start w:val="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nsid w:val="76AA2972"/>
    <w:multiLevelType w:val="hybridMultilevel"/>
    <w:tmpl w:val="DF30FA22"/>
    <w:lvl w:ilvl="0">
      <w:start w:val="1"/>
      <w:numFmt w:val="decimal"/>
      <w:lvlText w:val="%1."/>
      <w:lvlJc w:val="left"/>
      <w:pPr>
        <w:ind w:left="3690" w:hanging="360"/>
      </w:pPr>
    </w:lvl>
    <w:lvl w:ilvl="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050301671">
    <w:abstractNumId w:val="11"/>
  </w:num>
  <w:num w:numId="2" w16cid:durableId="1094129163">
    <w:abstractNumId w:val="23"/>
  </w:num>
  <w:num w:numId="3" w16cid:durableId="1009983052">
    <w:abstractNumId w:val="9"/>
  </w:num>
  <w:num w:numId="4" w16cid:durableId="307171506">
    <w:abstractNumId w:val="22"/>
  </w:num>
  <w:num w:numId="5" w16cid:durableId="1574118182">
    <w:abstractNumId w:val="20"/>
  </w:num>
  <w:num w:numId="6" w16cid:durableId="806364420">
    <w:abstractNumId w:val="2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833063017">
    <w:abstractNumId w:val="16"/>
  </w:num>
  <w:num w:numId="8" w16cid:durableId="780341499">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710301653">
    <w:abstractNumId w:val="17"/>
  </w:num>
  <w:num w:numId="10" w16cid:durableId="315186095">
    <w:abstractNumId w:val="13"/>
  </w:num>
  <w:num w:numId="11" w16cid:durableId="1783186588">
    <w:abstractNumId w:val="12"/>
  </w:num>
  <w:num w:numId="12" w16cid:durableId="1171794466">
    <w:abstractNumId w:val="10"/>
  </w:num>
  <w:num w:numId="13" w16cid:durableId="80102884">
    <w:abstractNumId w:val="5"/>
  </w:num>
  <w:num w:numId="14" w16cid:durableId="984041828">
    <w:abstractNumId w:val="8"/>
  </w:num>
  <w:num w:numId="15" w16cid:durableId="1178230296">
    <w:abstractNumId w:val="19"/>
  </w:num>
  <w:num w:numId="16" w16cid:durableId="1917933767">
    <w:abstractNumId w:val="1"/>
  </w:num>
  <w:num w:numId="17" w16cid:durableId="1597863498">
    <w:abstractNumId w:val="14"/>
  </w:num>
  <w:num w:numId="18" w16cid:durableId="169576435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75526">
    <w:abstractNumId w:val="21"/>
  </w:num>
  <w:num w:numId="20" w16cid:durableId="412967755">
    <w:abstractNumId w:val="4"/>
  </w:num>
  <w:num w:numId="21" w16cid:durableId="1652639916">
    <w:abstractNumId w:val="6"/>
  </w:num>
  <w:num w:numId="22" w16cid:durableId="370762118">
    <w:abstractNumId w:val="18"/>
  </w:num>
  <w:num w:numId="23" w16cid:durableId="279459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680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0449245">
    <w:abstractNumId w:val="3"/>
    <w:lvlOverride w:ilvl="0">
      <w:startOverride w:val="1"/>
    </w:lvlOverride>
  </w:num>
  <w:num w:numId="26" w16cid:durableId="1865943298">
    <w:abstractNumId w:val="2"/>
  </w:num>
  <w:num w:numId="27" w16cid:durableId="2021277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 w:id="2"/>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F3"/>
    <w:rsid w:val="00000835"/>
    <w:rsid w:val="000019FB"/>
    <w:rsid w:val="00002666"/>
    <w:rsid w:val="00003AFB"/>
    <w:rsid w:val="00003D83"/>
    <w:rsid w:val="0000430E"/>
    <w:rsid w:val="00004B78"/>
    <w:rsid w:val="0000697E"/>
    <w:rsid w:val="00007583"/>
    <w:rsid w:val="00007ED4"/>
    <w:rsid w:val="00007F43"/>
    <w:rsid w:val="00010EE5"/>
    <w:rsid w:val="0001113A"/>
    <w:rsid w:val="000124EC"/>
    <w:rsid w:val="00013F83"/>
    <w:rsid w:val="00013FC4"/>
    <w:rsid w:val="000177B1"/>
    <w:rsid w:val="000215D9"/>
    <w:rsid w:val="00021CCF"/>
    <w:rsid w:val="000228C4"/>
    <w:rsid w:val="00022A0F"/>
    <w:rsid w:val="0002437B"/>
    <w:rsid w:val="000243AC"/>
    <w:rsid w:val="000244E0"/>
    <w:rsid w:val="00024C17"/>
    <w:rsid w:val="00024D9C"/>
    <w:rsid w:val="00026F33"/>
    <w:rsid w:val="00030D3B"/>
    <w:rsid w:val="00031C7A"/>
    <w:rsid w:val="00032721"/>
    <w:rsid w:val="00032F45"/>
    <w:rsid w:val="00033213"/>
    <w:rsid w:val="00033CD8"/>
    <w:rsid w:val="00034BC7"/>
    <w:rsid w:val="000358FD"/>
    <w:rsid w:val="000379F0"/>
    <w:rsid w:val="00040D03"/>
    <w:rsid w:val="00040DF4"/>
    <w:rsid w:val="00042656"/>
    <w:rsid w:val="000435E2"/>
    <w:rsid w:val="0004401D"/>
    <w:rsid w:val="000448B0"/>
    <w:rsid w:val="000468F2"/>
    <w:rsid w:val="000478B8"/>
    <w:rsid w:val="00047DCC"/>
    <w:rsid w:val="00050EE7"/>
    <w:rsid w:val="00051DF4"/>
    <w:rsid w:val="00052868"/>
    <w:rsid w:val="00052E2E"/>
    <w:rsid w:val="00053524"/>
    <w:rsid w:val="00053E0A"/>
    <w:rsid w:val="000548D6"/>
    <w:rsid w:val="00056D8D"/>
    <w:rsid w:val="000571EA"/>
    <w:rsid w:val="00057546"/>
    <w:rsid w:val="00060C4F"/>
    <w:rsid w:val="00060DA9"/>
    <w:rsid w:val="00060FFD"/>
    <w:rsid w:val="00061684"/>
    <w:rsid w:val="00062C03"/>
    <w:rsid w:val="00063AA9"/>
    <w:rsid w:val="00063BE8"/>
    <w:rsid w:val="0006434C"/>
    <w:rsid w:val="000643E3"/>
    <w:rsid w:val="000654F8"/>
    <w:rsid w:val="00066182"/>
    <w:rsid w:val="00066D45"/>
    <w:rsid w:val="000672CE"/>
    <w:rsid w:val="00067E32"/>
    <w:rsid w:val="0007069D"/>
    <w:rsid w:val="00072BA2"/>
    <w:rsid w:val="00076639"/>
    <w:rsid w:val="0007680D"/>
    <w:rsid w:val="00077112"/>
    <w:rsid w:val="00077F62"/>
    <w:rsid w:val="00080330"/>
    <w:rsid w:val="000808D2"/>
    <w:rsid w:val="00082115"/>
    <w:rsid w:val="00082474"/>
    <w:rsid w:val="000831DC"/>
    <w:rsid w:val="00083A7B"/>
    <w:rsid w:val="00084522"/>
    <w:rsid w:val="00084C46"/>
    <w:rsid w:val="000854D2"/>
    <w:rsid w:val="00086608"/>
    <w:rsid w:val="0008713E"/>
    <w:rsid w:val="00087F01"/>
    <w:rsid w:val="000900C1"/>
    <w:rsid w:val="0009022F"/>
    <w:rsid w:val="00090AB4"/>
    <w:rsid w:val="00091662"/>
    <w:rsid w:val="00092043"/>
    <w:rsid w:val="000925D8"/>
    <w:rsid w:val="00093AD7"/>
    <w:rsid w:val="00095DBF"/>
    <w:rsid w:val="00096F7D"/>
    <w:rsid w:val="000A0395"/>
    <w:rsid w:val="000A11F7"/>
    <w:rsid w:val="000A2149"/>
    <w:rsid w:val="000A4DCD"/>
    <w:rsid w:val="000A4E73"/>
    <w:rsid w:val="000A53C6"/>
    <w:rsid w:val="000A7F93"/>
    <w:rsid w:val="000B0107"/>
    <w:rsid w:val="000B01B3"/>
    <w:rsid w:val="000B0A68"/>
    <w:rsid w:val="000B27D7"/>
    <w:rsid w:val="000B37CF"/>
    <w:rsid w:val="000B435E"/>
    <w:rsid w:val="000B493B"/>
    <w:rsid w:val="000B552B"/>
    <w:rsid w:val="000B578A"/>
    <w:rsid w:val="000B5883"/>
    <w:rsid w:val="000B79A2"/>
    <w:rsid w:val="000C033C"/>
    <w:rsid w:val="000C06B6"/>
    <w:rsid w:val="000C0B4E"/>
    <w:rsid w:val="000C26B8"/>
    <w:rsid w:val="000C3060"/>
    <w:rsid w:val="000C3A19"/>
    <w:rsid w:val="000C3CEE"/>
    <w:rsid w:val="000C6979"/>
    <w:rsid w:val="000C6F41"/>
    <w:rsid w:val="000D090E"/>
    <w:rsid w:val="000D0A57"/>
    <w:rsid w:val="000D0BE3"/>
    <w:rsid w:val="000D1354"/>
    <w:rsid w:val="000D1A3E"/>
    <w:rsid w:val="000D31A6"/>
    <w:rsid w:val="000D3384"/>
    <w:rsid w:val="000D4DF0"/>
    <w:rsid w:val="000D5268"/>
    <w:rsid w:val="000D54BE"/>
    <w:rsid w:val="000D61B2"/>
    <w:rsid w:val="000E01AE"/>
    <w:rsid w:val="000E0208"/>
    <w:rsid w:val="000E0574"/>
    <w:rsid w:val="000E0D21"/>
    <w:rsid w:val="000E2AF7"/>
    <w:rsid w:val="000E2DCF"/>
    <w:rsid w:val="000E3DA8"/>
    <w:rsid w:val="000E40EC"/>
    <w:rsid w:val="000E4572"/>
    <w:rsid w:val="000E478F"/>
    <w:rsid w:val="000E545A"/>
    <w:rsid w:val="000E5718"/>
    <w:rsid w:val="000E769E"/>
    <w:rsid w:val="000F01B6"/>
    <w:rsid w:val="000F0331"/>
    <w:rsid w:val="000F0439"/>
    <w:rsid w:val="000F0D72"/>
    <w:rsid w:val="000F0FB5"/>
    <w:rsid w:val="000F1A24"/>
    <w:rsid w:val="000F2843"/>
    <w:rsid w:val="000F2DB7"/>
    <w:rsid w:val="000F5387"/>
    <w:rsid w:val="000F56C5"/>
    <w:rsid w:val="000F5864"/>
    <w:rsid w:val="000F590C"/>
    <w:rsid w:val="000F6336"/>
    <w:rsid w:val="000F782B"/>
    <w:rsid w:val="00101B6C"/>
    <w:rsid w:val="001023C2"/>
    <w:rsid w:val="00102B78"/>
    <w:rsid w:val="00103008"/>
    <w:rsid w:val="001042E6"/>
    <w:rsid w:val="0010497E"/>
    <w:rsid w:val="001054B7"/>
    <w:rsid w:val="001055BA"/>
    <w:rsid w:val="0010581D"/>
    <w:rsid w:val="001060AE"/>
    <w:rsid w:val="00106642"/>
    <w:rsid w:val="001068A5"/>
    <w:rsid w:val="00107557"/>
    <w:rsid w:val="001103DA"/>
    <w:rsid w:val="0011130B"/>
    <w:rsid w:val="0011207E"/>
    <w:rsid w:val="00112514"/>
    <w:rsid w:val="00113463"/>
    <w:rsid w:val="00113834"/>
    <w:rsid w:val="00113DBA"/>
    <w:rsid w:val="001144F0"/>
    <w:rsid w:val="00115275"/>
    <w:rsid w:val="00116187"/>
    <w:rsid w:val="00116F32"/>
    <w:rsid w:val="00117F6E"/>
    <w:rsid w:val="00120632"/>
    <w:rsid w:val="00120887"/>
    <w:rsid w:val="0012149D"/>
    <w:rsid w:val="00122BAE"/>
    <w:rsid w:val="0012524A"/>
    <w:rsid w:val="0012589F"/>
    <w:rsid w:val="00125C35"/>
    <w:rsid w:val="001275EA"/>
    <w:rsid w:val="00127751"/>
    <w:rsid w:val="001278EF"/>
    <w:rsid w:val="00127A8A"/>
    <w:rsid w:val="0013103C"/>
    <w:rsid w:val="001314CC"/>
    <w:rsid w:val="00131967"/>
    <w:rsid w:val="00132015"/>
    <w:rsid w:val="00132F38"/>
    <w:rsid w:val="00132F72"/>
    <w:rsid w:val="0013300F"/>
    <w:rsid w:val="00133098"/>
    <w:rsid w:val="00133B32"/>
    <w:rsid w:val="00134F62"/>
    <w:rsid w:val="00135499"/>
    <w:rsid w:val="0013578F"/>
    <w:rsid w:val="0013629F"/>
    <w:rsid w:val="00137425"/>
    <w:rsid w:val="001413FB"/>
    <w:rsid w:val="00141627"/>
    <w:rsid w:val="00143298"/>
    <w:rsid w:val="00145DE5"/>
    <w:rsid w:val="0014715F"/>
    <w:rsid w:val="00150510"/>
    <w:rsid w:val="001509F2"/>
    <w:rsid w:val="001515FC"/>
    <w:rsid w:val="00152F71"/>
    <w:rsid w:val="0015341D"/>
    <w:rsid w:val="00153BB4"/>
    <w:rsid w:val="00153E5F"/>
    <w:rsid w:val="00154324"/>
    <w:rsid w:val="001544EF"/>
    <w:rsid w:val="001548A1"/>
    <w:rsid w:val="00154F53"/>
    <w:rsid w:val="00156970"/>
    <w:rsid w:val="00160722"/>
    <w:rsid w:val="00163DBD"/>
    <w:rsid w:val="001646AB"/>
    <w:rsid w:val="00165571"/>
    <w:rsid w:val="00166058"/>
    <w:rsid w:val="00167753"/>
    <w:rsid w:val="00170321"/>
    <w:rsid w:val="001706E5"/>
    <w:rsid w:val="00170CB3"/>
    <w:rsid w:val="0017177F"/>
    <w:rsid w:val="00172313"/>
    <w:rsid w:val="00172D44"/>
    <w:rsid w:val="00172F7A"/>
    <w:rsid w:val="00173C1C"/>
    <w:rsid w:val="00174286"/>
    <w:rsid w:val="00174785"/>
    <w:rsid w:val="00174AC5"/>
    <w:rsid w:val="00174C84"/>
    <w:rsid w:val="00174F1F"/>
    <w:rsid w:val="00174F8C"/>
    <w:rsid w:val="00176345"/>
    <w:rsid w:val="00176CF5"/>
    <w:rsid w:val="001770F5"/>
    <w:rsid w:val="00177B79"/>
    <w:rsid w:val="00180415"/>
    <w:rsid w:val="00180EAD"/>
    <w:rsid w:val="00183401"/>
    <w:rsid w:val="0018420E"/>
    <w:rsid w:val="00184602"/>
    <w:rsid w:val="001846C3"/>
    <w:rsid w:val="00185A8E"/>
    <w:rsid w:val="00185BD2"/>
    <w:rsid w:val="00185C3E"/>
    <w:rsid w:val="00185F46"/>
    <w:rsid w:val="00187648"/>
    <w:rsid w:val="001904FB"/>
    <w:rsid w:val="00191806"/>
    <w:rsid w:val="00192A49"/>
    <w:rsid w:val="00193694"/>
    <w:rsid w:val="00194805"/>
    <w:rsid w:val="00196DFC"/>
    <w:rsid w:val="00197CB3"/>
    <w:rsid w:val="00197D7B"/>
    <w:rsid w:val="001A04CC"/>
    <w:rsid w:val="001A257B"/>
    <w:rsid w:val="001A2B5F"/>
    <w:rsid w:val="001A31F0"/>
    <w:rsid w:val="001A4281"/>
    <w:rsid w:val="001A6003"/>
    <w:rsid w:val="001A69E8"/>
    <w:rsid w:val="001A704A"/>
    <w:rsid w:val="001B0B9C"/>
    <w:rsid w:val="001B0C3C"/>
    <w:rsid w:val="001B1C92"/>
    <w:rsid w:val="001B2229"/>
    <w:rsid w:val="001B382A"/>
    <w:rsid w:val="001B42BC"/>
    <w:rsid w:val="001B43AF"/>
    <w:rsid w:val="001B4AA5"/>
    <w:rsid w:val="001B6924"/>
    <w:rsid w:val="001B7AD6"/>
    <w:rsid w:val="001B7EA7"/>
    <w:rsid w:val="001C1CCB"/>
    <w:rsid w:val="001C2BBB"/>
    <w:rsid w:val="001C2D9E"/>
    <w:rsid w:val="001C45CB"/>
    <w:rsid w:val="001D0723"/>
    <w:rsid w:val="001D2432"/>
    <w:rsid w:val="001D30BE"/>
    <w:rsid w:val="001D3402"/>
    <w:rsid w:val="001D4C32"/>
    <w:rsid w:val="001D6070"/>
    <w:rsid w:val="001D62D5"/>
    <w:rsid w:val="001E0EE3"/>
    <w:rsid w:val="001E3B7D"/>
    <w:rsid w:val="001E539C"/>
    <w:rsid w:val="001E59B1"/>
    <w:rsid w:val="001E5C67"/>
    <w:rsid w:val="001E6406"/>
    <w:rsid w:val="001F08CA"/>
    <w:rsid w:val="001F1C4C"/>
    <w:rsid w:val="001F1CBD"/>
    <w:rsid w:val="001F3259"/>
    <w:rsid w:val="001F4FB4"/>
    <w:rsid w:val="001F531B"/>
    <w:rsid w:val="001F675E"/>
    <w:rsid w:val="00201A26"/>
    <w:rsid w:val="002026C8"/>
    <w:rsid w:val="00202C9F"/>
    <w:rsid w:val="00204949"/>
    <w:rsid w:val="00205819"/>
    <w:rsid w:val="0020663F"/>
    <w:rsid w:val="0020769B"/>
    <w:rsid w:val="002078BE"/>
    <w:rsid w:val="00207A37"/>
    <w:rsid w:val="0021098D"/>
    <w:rsid w:val="00213D21"/>
    <w:rsid w:val="00214126"/>
    <w:rsid w:val="0021468B"/>
    <w:rsid w:val="00216C4C"/>
    <w:rsid w:val="00216FF3"/>
    <w:rsid w:val="00217246"/>
    <w:rsid w:val="0021763C"/>
    <w:rsid w:val="00217B15"/>
    <w:rsid w:val="00221F10"/>
    <w:rsid w:val="002234E2"/>
    <w:rsid w:val="00224DE9"/>
    <w:rsid w:val="002266F7"/>
    <w:rsid w:val="0022789C"/>
    <w:rsid w:val="00227D0A"/>
    <w:rsid w:val="00227D2C"/>
    <w:rsid w:val="002309FF"/>
    <w:rsid w:val="00231864"/>
    <w:rsid w:val="00232B3C"/>
    <w:rsid w:val="00233340"/>
    <w:rsid w:val="002335F3"/>
    <w:rsid w:val="002338A3"/>
    <w:rsid w:val="00234724"/>
    <w:rsid w:val="00234D36"/>
    <w:rsid w:val="00235663"/>
    <w:rsid w:val="002361A8"/>
    <w:rsid w:val="0023679D"/>
    <w:rsid w:val="00236EB8"/>
    <w:rsid w:val="002403B4"/>
    <w:rsid w:val="00240847"/>
    <w:rsid w:val="00241783"/>
    <w:rsid w:val="002417BA"/>
    <w:rsid w:val="002422AD"/>
    <w:rsid w:val="002431D3"/>
    <w:rsid w:val="00243AAB"/>
    <w:rsid w:val="00243B06"/>
    <w:rsid w:val="00243FB5"/>
    <w:rsid w:val="00244228"/>
    <w:rsid w:val="002442FF"/>
    <w:rsid w:val="00244BF0"/>
    <w:rsid w:val="002454E3"/>
    <w:rsid w:val="0024553E"/>
    <w:rsid w:val="0024626F"/>
    <w:rsid w:val="00246A89"/>
    <w:rsid w:val="00246BB0"/>
    <w:rsid w:val="002474BA"/>
    <w:rsid w:val="00247737"/>
    <w:rsid w:val="00247899"/>
    <w:rsid w:val="00251EA7"/>
    <w:rsid w:val="002534ED"/>
    <w:rsid w:val="00253620"/>
    <w:rsid w:val="00253800"/>
    <w:rsid w:val="0025464E"/>
    <w:rsid w:val="00255B62"/>
    <w:rsid w:val="00256546"/>
    <w:rsid w:val="002573D9"/>
    <w:rsid w:val="00260414"/>
    <w:rsid w:val="002611B6"/>
    <w:rsid w:val="002616EA"/>
    <w:rsid w:val="00261852"/>
    <w:rsid w:val="00261E9B"/>
    <w:rsid w:val="0026287A"/>
    <w:rsid w:val="002631F3"/>
    <w:rsid w:val="002654C0"/>
    <w:rsid w:val="00265514"/>
    <w:rsid w:val="00265B08"/>
    <w:rsid w:val="00266371"/>
    <w:rsid w:val="00266427"/>
    <w:rsid w:val="00267EB2"/>
    <w:rsid w:val="00267EEC"/>
    <w:rsid w:val="002701E7"/>
    <w:rsid w:val="002709E1"/>
    <w:rsid w:val="00270EBF"/>
    <w:rsid w:val="00270F8B"/>
    <w:rsid w:val="0027406A"/>
    <w:rsid w:val="00276EDF"/>
    <w:rsid w:val="0028054C"/>
    <w:rsid w:val="002806D6"/>
    <w:rsid w:val="00281A34"/>
    <w:rsid w:val="00281B40"/>
    <w:rsid w:val="00282261"/>
    <w:rsid w:val="0028270E"/>
    <w:rsid w:val="00282C06"/>
    <w:rsid w:val="00282CF7"/>
    <w:rsid w:val="002832CC"/>
    <w:rsid w:val="0028380B"/>
    <w:rsid w:val="00283D72"/>
    <w:rsid w:val="00284178"/>
    <w:rsid w:val="002849B0"/>
    <w:rsid w:val="002862F2"/>
    <w:rsid w:val="002863A2"/>
    <w:rsid w:val="00286504"/>
    <w:rsid w:val="00287DA7"/>
    <w:rsid w:val="002900A8"/>
    <w:rsid w:val="002901B6"/>
    <w:rsid w:val="0029035D"/>
    <w:rsid w:val="0029057A"/>
    <w:rsid w:val="00290DE3"/>
    <w:rsid w:val="00293155"/>
    <w:rsid w:val="0029414C"/>
    <w:rsid w:val="002941E5"/>
    <w:rsid w:val="002942E9"/>
    <w:rsid w:val="0029437A"/>
    <w:rsid w:val="002946B3"/>
    <w:rsid w:val="002977D5"/>
    <w:rsid w:val="002A3116"/>
    <w:rsid w:val="002A3899"/>
    <w:rsid w:val="002A47D2"/>
    <w:rsid w:val="002A5EEA"/>
    <w:rsid w:val="002A6766"/>
    <w:rsid w:val="002A6B2D"/>
    <w:rsid w:val="002A7A09"/>
    <w:rsid w:val="002B0C23"/>
    <w:rsid w:val="002B14F8"/>
    <w:rsid w:val="002B21F1"/>
    <w:rsid w:val="002B2368"/>
    <w:rsid w:val="002B28CD"/>
    <w:rsid w:val="002B32F1"/>
    <w:rsid w:val="002B3327"/>
    <w:rsid w:val="002B3CB0"/>
    <w:rsid w:val="002B4E29"/>
    <w:rsid w:val="002B617A"/>
    <w:rsid w:val="002B7BAB"/>
    <w:rsid w:val="002C013B"/>
    <w:rsid w:val="002C02B2"/>
    <w:rsid w:val="002C04D1"/>
    <w:rsid w:val="002C102D"/>
    <w:rsid w:val="002C2A1B"/>
    <w:rsid w:val="002C2A7A"/>
    <w:rsid w:val="002C418F"/>
    <w:rsid w:val="002C4958"/>
    <w:rsid w:val="002D0D7C"/>
    <w:rsid w:val="002D40BB"/>
    <w:rsid w:val="002D5776"/>
    <w:rsid w:val="002D68AF"/>
    <w:rsid w:val="002D7D17"/>
    <w:rsid w:val="002E26DD"/>
    <w:rsid w:val="002E3AF0"/>
    <w:rsid w:val="002E453C"/>
    <w:rsid w:val="002E4DE4"/>
    <w:rsid w:val="002E600B"/>
    <w:rsid w:val="002E6219"/>
    <w:rsid w:val="002E6A16"/>
    <w:rsid w:val="002E6BDC"/>
    <w:rsid w:val="002E6D0B"/>
    <w:rsid w:val="002E7958"/>
    <w:rsid w:val="002F034A"/>
    <w:rsid w:val="002F13D8"/>
    <w:rsid w:val="002F173C"/>
    <w:rsid w:val="002F292A"/>
    <w:rsid w:val="002F3469"/>
    <w:rsid w:val="002F37E0"/>
    <w:rsid w:val="002F3A13"/>
    <w:rsid w:val="002F3B1E"/>
    <w:rsid w:val="002F3DBA"/>
    <w:rsid w:val="002F465A"/>
    <w:rsid w:val="002F4BAB"/>
    <w:rsid w:val="002F4BC0"/>
    <w:rsid w:val="002F5852"/>
    <w:rsid w:val="002F72A7"/>
    <w:rsid w:val="002F74A8"/>
    <w:rsid w:val="00300001"/>
    <w:rsid w:val="00300303"/>
    <w:rsid w:val="00300773"/>
    <w:rsid w:val="00300915"/>
    <w:rsid w:val="00303094"/>
    <w:rsid w:val="003032C1"/>
    <w:rsid w:val="00303DB1"/>
    <w:rsid w:val="00304A96"/>
    <w:rsid w:val="00304C45"/>
    <w:rsid w:val="003058AA"/>
    <w:rsid w:val="00305C6D"/>
    <w:rsid w:val="00306EA8"/>
    <w:rsid w:val="003070A2"/>
    <w:rsid w:val="003075DB"/>
    <w:rsid w:val="0031460A"/>
    <w:rsid w:val="003146C0"/>
    <w:rsid w:val="003156A7"/>
    <w:rsid w:val="00317B26"/>
    <w:rsid w:val="0032026D"/>
    <w:rsid w:val="00321437"/>
    <w:rsid w:val="003227AD"/>
    <w:rsid w:val="00323D99"/>
    <w:rsid w:val="0032624A"/>
    <w:rsid w:val="00327427"/>
    <w:rsid w:val="00330274"/>
    <w:rsid w:val="00330AF4"/>
    <w:rsid w:val="0033137C"/>
    <w:rsid w:val="00331A94"/>
    <w:rsid w:val="00332A9A"/>
    <w:rsid w:val="003332D3"/>
    <w:rsid w:val="00335310"/>
    <w:rsid w:val="00336DE8"/>
    <w:rsid w:val="00336F96"/>
    <w:rsid w:val="003371A3"/>
    <w:rsid w:val="00337FB9"/>
    <w:rsid w:val="003401E7"/>
    <w:rsid w:val="003414E4"/>
    <w:rsid w:val="00342E6A"/>
    <w:rsid w:val="00343137"/>
    <w:rsid w:val="0034392A"/>
    <w:rsid w:val="00344531"/>
    <w:rsid w:val="00345D7B"/>
    <w:rsid w:val="00346529"/>
    <w:rsid w:val="00347716"/>
    <w:rsid w:val="0035066B"/>
    <w:rsid w:val="00350E56"/>
    <w:rsid w:val="0035227E"/>
    <w:rsid w:val="003528BA"/>
    <w:rsid w:val="00352A68"/>
    <w:rsid w:val="00353FC9"/>
    <w:rsid w:val="003544FE"/>
    <w:rsid w:val="00355379"/>
    <w:rsid w:val="0035667D"/>
    <w:rsid w:val="00356FB8"/>
    <w:rsid w:val="00357E48"/>
    <w:rsid w:val="00360AEE"/>
    <w:rsid w:val="0036194E"/>
    <w:rsid w:val="00361D77"/>
    <w:rsid w:val="003623E4"/>
    <w:rsid w:val="00362B39"/>
    <w:rsid w:val="003645A6"/>
    <w:rsid w:val="003647BB"/>
    <w:rsid w:val="0036747D"/>
    <w:rsid w:val="003701A8"/>
    <w:rsid w:val="00371607"/>
    <w:rsid w:val="00371E4A"/>
    <w:rsid w:val="0037214F"/>
    <w:rsid w:val="00373B11"/>
    <w:rsid w:val="00373F57"/>
    <w:rsid w:val="003741B5"/>
    <w:rsid w:val="003764F3"/>
    <w:rsid w:val="00376F3E"/>
    <w:rsid w:val="003778FE"/>
    <w:rsid w:val="00377BB0"/>
    <w:rsid w:val="0038215A"/>
    <w:rsid w:val="00383582"/>
    <w:rsid w:val="003835C2"/>
    <w:rsid w:val="00383E5F"/>
    <w:rsid w:val="0038467E"/>
    <w:rsid w:val="0038500A"/>
    <w:rsid w:val="00387266"/>
    <w:rsid w:val="003873C7"/>
    <w:rsid w:val="00390546"/>
    <w:rsid w:val="00390D0A"/>
    <w:rsid w:val="00390E0A"/>
    <w:rsid w:val="00391F0F"/>
    <w:rsid w:val="00395271"/>
    <w:rsid w:val="0039629C"/>
    <w:rsid w:val="003968CE"/>
    <w:rsid w:val="00397CB1"/>
    <w:rsid w:val="003A1573"/>
    <w:rsid w:val="003A32BC"/>
    <w:rsid w:val="003A3FEA"/>
    <w:rsid w:val="003A4FD3"/>
    <w:rsid w:val="003A58C2"/>
    <w:rsid w:val="003A5E49"/>
    <w:rsid w:val="003A634D"/>
    <w:rsid w:val="003A79D1"/>
    <w:rsid w:val="003B07C6"/>
    <w:rsid w:val="003B0E1E"/>
    <w:rsid w:val="003B11B7"/>
    <w:rsid w:val="003B1249"/>
    <w:rsid w:val="003B29F7"/>
    <w:rsid w:val="003B3289"/>
    <w:rsid w:val="003B3370"/>
    <w:rsid w:val="003B3955"/>
    <w:rsid w:val="003B687D"/>
    <w:rsid w:val="003B6F56"/>
    <w:rsid w:val="003B72A8"/>
    <w:rsid w:val="003B7A2C"/>
    <w:rsid w:val="003C0782"/>
    <w:rsid w:val="003C1369"/>
    <w:rsid w:val="003C1B9D"/>
    <w:rsid w:val="003C24EF"/>
    <w:rsid w:val="003C2F07"/>
    <w:rsid w:val="003C3741"/>
    <w:rsid w:val="003C389D"/>
    <w:rsid w:val="003C4CB7"/>
    <w:rsid w:val="003C4D14"/>
    <w:rsid w:val="003C6049"/>
    <w:rsid w:val="003C6242"/>
    <w:rsid w:val="003C7401"/>
    <w:rsid w:val="003C7DCD"/>
    <w:rsid w:val="003D169E"/>
    <w:rsid w:val="003D18A9"/>
    <w:rsid w:val="003D18EF"/>
    <w:rsid w:val="003D29E2"/>
    <w:rsid w:val="003D2F1B"/>
    <w:rsid w:val="003D380C"/>
    <w:rsid w:val="003D3A7F"/>
    <w:rsid w:val="003D4967"/>
    <w:rsid w:val="003D5134"/>
    <w:rsid w:val="003D5AB7"/>
    <w:rsid w:val="003D5C1A"/>
    <w:rsid w:val="003D5D9A"/>
    <w:rsid w:val="003D70F0"/>
    <w:rsid w:val="003D7FA9"/>
    <w:rsid w:val="003E030A"/>
    <w:rsid w:val="003E0468"/>
    <w:rsid w:val="003E1AF7"/>
    <w:rsid w:val="003E2987"/>
    <w:rsid w:val="003E2C4C"/>
    <w:rsid w:val="003E2D5C"/>
    <w:rsid w:val="003E48C7"/>
    <w:rsid w:val="003E50E7"/>
    <w:rsid w:val="003E5876"/>
    <w:rsid w:val="003E7548"/>
    <w:rsid w:val="003E79B6"/>
    <w:rsid w:val="003E7FE8"/>
    <w:rsid w:val="003F041D"/>
    <w:rsid w:val="003F1A75"/>
    <w:rsid w:val="003F1D91"/>
    <w:rsid w:val="003F2E17"/>
    <w:rsid w:val="003F574F"/>
    <w:rsid w:val="003F5C08"/>
    <w:rsid w:val="004004A7"/>
    <w:rsid w:val="004009B5"/>
    <w:rsid w:val="00400ACE"/>
    <w:rsid w:val="00401007"/>
    <w:rsid w:val="00402C79"/>
    <w:rsid w:val="00402D9E"/>
    <w:rsid w:val="00402EDB"/>
    <w:rsid w:val="004031A1"/>
    <w:rsid w:val="00404700"/>
    <w:rsid w:val="004054FE"/>
    <w:rsid w:val="004056FA"/>
    <w:rsid w:val="00406006"/>
    <w:rsid w:val="00406B79"/>
    <w:rsid w:val="00407409"/>
    <w:rsid w:val="0041151C"/>
    <w:rsid w:val="00411D02"/>
    <w:rsid w:val="00412A9A"/>
    <w:rsid w:val="00413812"/>
    <w:rsid w:val="004158F4"/>
    <w:rsid w:val="00415F3A"/>
    <w:rsid w:val="004167B0"/>
    <w:rsid w:val="00417D9F"/>
    <w:rsid w:val="00421F93"/>
    <w:rsid w:val="00422800"/>
    <w:rsid w:val="00424D92"/>
    <w:rsid w:val="00424F2D"/>
    <w:rsid w:val="00425D06"/>
    <w:rsid w:val="0042637C"/>
    <w:rsid w:val="00426D08"/>
    <w:rsid w:val="004270C5"/>
    <w:rsid w:val="0042742E"/>
    <w:rsid w:val="004330AB"/>
    <w:rsid w:val="00434E83"/>
    <w:rsid w:val="00435447"/>
    <w:rsid w:val="00435878"/>
    <w:rsid w:val="0043598A"/>
    <w:rsid w:val="004406F9"/>
    <w:rsid w:val="00441D36"/>
    <w:rsid w:val="00441E37"/>
    <w:rsid w:val="00443C63"/>
    <w:rsid w:val="00443DCF"/>
    <w:rsid w:val="00444137"/>
    <w:rsid w:val="00444B90"/>
    <w:rsid w:val="0044622E"/>
    <w:rsid w:val="004466B1"/>
    <w:rsid w:val="00446D49"/>
    <w:rsid w:val="004505F9"/>
    <w:rsid w:val="004516A6"/>
    <w:rsid w:val="00451CC7"/>
    <w:rsid w:val="00452097"/>
    <w:rsid w:val="0045214A"/>
    <w:rsid w:val="00452735"/>
    <w:rsid w:val="00453425"/>
    <w:rsid w:val="004537FE"/>
    <w:rsid w:val="004538ED"/>
    <w:rsid w:val="004542C3"/>
    <w:rsid w:val="00455C8E"/>
    <w:rsid w:val="0045653B"/>
    <w:rsid w:val="00456AC7"/>
    <w:rsid w:val="00456F84"/>
    <w:rsid w:val="00457906"/>
    <w:rsid w:val="00457FAC"/>
    <w:rsid w:val="004603E0"/>
    <w:rsid w:val="00460574"/>
    <w:rsid w:val="004615F0"/>
    <w:rsid w:val="00461D57"/>
    <w:rsid w:val="00462E97"/>
    <w:rsid w:val="00463AAD"/>
    <w:rsid w:val="0046426D"/>
    <w:rsid w:val="004647EA"/>
    <w:rsid w:val="00464DC6"/>
    <w:rsid w:val="00465259"/>
    <w:rsid w:val="004656D8"/>
    <w:rsid w:val="00466DAD"/>
    <w:rsid w:val="0046702E"/>
    <w:rsid w:val="004670A1"/>
    <w:rsid w:val="004709D1"/>
    <w:rsid w:val="00470B6B"/>
    <w:rsid w:val="00472CA0"/>
    <w:rsid w:val="00473981"/>
    <w:rsid w:val="00473E37"/>
    <w:rsid w:val="00473F08"/>
    <w:rsid w:val="00475EDF"/>
    <w:rsid w:val="00476A86"/>
    <w:rsid w:val="00480501"/>
    <w:rsid w:val="004808B7"/>
    <w:rsid w:val="00480C48"/>
    <w:rsid w:val="00480FE5"/>
    <w:rsid w:val="0048123D"/>
    <w:rsid w:val="00484504"/>
    <w:rsid w:val="00485434"/>
    <w:rsid w:val="0048706E"/>
    <w:rsid w:val="00487405"/>
    <w:rsid w:val="00490653"/>
    <w:rsid w:val="004907CA"/>
    <w:rsid w:val="00491C44"/>
    <w:rsid w:val="00491FAC"/>
    <w:rsid w:val="0049407B"/>
    <w:rsid w:val="0049407E"/>
    <w:rsid w:val="00494C44"/>
    <w:rsid w:val="0049508A"/>
    <w:rsid w:val="00496A6E"/>
    <w:rsid w:val="00496B4A"/>
    <w:rsid w:val="0049748F"/>
    <w:rsid w:val="004A0502"/>
    <w:rsid w:val="004A0F2B"/>
    <w:rsid w:val="004A111E"/>
    <w:rsid w:val="004A2719"/>
    <w:rsid w:val="004A29B1"/>
    <w:rsid w:val="004A32F9"/>
    <w:rsid w:val="004A380B"/>
    <w:rsid w:val="004A463C"/>
    <w:rsid w:val="004A5B84"/>
    <w:rsid w:val="004A65D8"/>
    <w:rsid w:val="004A6855"/>
    <w:rsid w:val="004A6B3A"/>
    <w:rsid w:val="004A7000"/>
    <w:rsid w:val="004B0643"/>
    <w:rsid w:val="004B1DEE"/>
    <w:rsid w:val="004B24FA"/>
    <w:rsid w:val="004B2DE2"/>
    <w:rsid w:val="004B3DED"/>
    <w:rsid w:val="004B55D0"/>
    <w:rsid w:val="004C064F"/>
    <w:rsid w:val="004C09F2"/>
    <w:rsid w:val="004C0ABD"/>
    <w:rsid w:val="004C100B"/>
    <w:rsid w:val="004C2B36"/>
    <w:rsid w:val="004C3632"/>
    <w:rsid w:val="004C36B3"/>
    <w:rsid w:val="004C4569"/>
    <w:rsid w:val="004C534A"/>
    <w:rsid w:val="004C5E63"/>
    <w:rsid w:val="004C7047"/>
    <w:rsid w:val="004D0704"/>
    <w:rsid w:val="004D072B"/>
    <w:rsid w:val="004D0BE2"/>
    <w:rsid w:val="004D0C85"/>
    <w:rsid w:val="004D0F65"/>
    <w:rsid w:val="004D2DBE"/>
    <w:rsid w:val="004D3F3E"/>
    <w:rsid w:val="004D4571"/>
    <w:rsid w:val="004D7319"/>
    <w:rsid w:val="004E0676"/>
    <w:rsid w:val="004E4347"/>
    <w:rsid w:val="004E445F"/>
    <w:rsid w:val="004E4FB8"/>
    <w:rsid w:val="004E582A"/>
    <w:rsid w:val="004E6434"/>
    <w:rsid w:val="004E778B"/>
    <w:rsid w:val="004E7F45"/>
    <w:rsid w:val="004F0B6A"/>
    <w:rsid w:val="004F26BD"/>
    <w:rsid w:val="004F4439"/>
    <w:rsid w:val="004F4B0B"/>
    <w:rsid w:val="004F4EA9"/>
    <w:rsid w:val="004F5334"/>
    <w:rsid w:val="004F58F7"/>
    <w:rsid w:val="004F5B94"/>
    <w:rsid w:val="004F76A8"/>
    <w:rsid w:val="00501A57"/>
    <w:rsid w:val="00501E5B"/>
    <w:rsid w:val="00503C9E"/>
    <w:rsid w:val="00503F28"/>
    <w:rsid w:val="00505597"/>
    <w:rsid w:val="00506554"/>
    <w:rsid w:val="00507C21"/>
    <w:rsid w:val="00510E8A"/>
    <w:rsid w:val="0051164B"/>
    <w:rsid w:val="0051165D"/>
    <w:rsid w:val="00511BE1"/>
    <w:rsid w:val="00512CED"/>
    <w:rsid w:val="0051383B"/>
    <w:rsid w:val="00514BAA"/>
    <w:rsid w:val="005159A9"/>
    <w:rsid w:val="00515DF0"/>
    <w:rsid w:val="005167FD"/>
    <w:rsid w:val="00516867"/>
    <w:rsid w:val="0051700D"/>
    <w:rsid w:val="005202E5"/>
    <w:rsid w:val="00520316"/>
    <w:rsid w:val="00520367"/>
    <w:rsid w:val="005210A5"/>
    <w:rsid w:val="005211E1"/>
    <w:rsid w:val="00521405"/>
    <w:rsid w:val="005218DF"/>
    <w:rsid w:val="005227EE"/>
    <w:rsid w:val="00523970"/>
    <w:rsid w:val="00523A1F"/>
    <w:rsid w:val="00524150"/>
    <w:rsid w:val="0053024B"/>
    <w:rsid w:val="00531763"/>
    <w:rsid w:val="0053360D"/>
    <w:rsid w:val="00534F33"/>
    <w:rsid w:val="005355CE"/>
    <w:rsid w:val="005362F6"/>
    <w:rsid w:val="00536596"/>
    <w:rsid w:val="00536A7A"/>
    <w:rsid w:val="00536E52"/>
    <w:rsid w:val="00536F05"/>
    <w:rsid w:val="00537ABB"/>
    <w:rsid w:val="00542818"/>
    <w:rsid w:val="00542914"/>
    <w:rsid w:val="00543072"/>
    <w:rsid w:val="0054466E"/>
    <w:rsid w:val="005454CE"/>
    <w:rsid w:val="0054565B"/>
    <w:rsid w:val="0054566B"/>
    <w:rsid w:val="00546053"/>
    <w:rsid w:val="00546524"/>
    <w:rsid w:val="00546C93"/>
    <w:rsid w:val="00546DF4"/>
    <w:rsid w:val="00547D86"/>
    <w:rsid w:val="005510F9"/>
    <w:rsid w:val="005526B7"/>
    <w:rsid w:val="005528BA"/>
    <w:rsid w:val="00552E38"/>
    <w:rsid w:val="00554CBD"/>
    <w:rsid w:val="00554E11"/>
    <w:rsid w:val="00556FA5"/>
    <w:rsid w:val="00557649"/>
    <w:rsid w:val="00560B28"/>
    <w:rsid w:val="00561366"/>
    <w:rsid w:val="0056166F"/>
    <w:rsid w:val="00562E75"/>
    <w:rsid w:val="0056330E"/>
    <w:rsid w:val="005648F7"/>
    <w:rsid w:val="00564C3F"/>
    <w:rsid w:val="0056600C"/>
    <w:rsid w:val="00566A88"/>
    <w:rsid w:val="005679A5"/>
    <w:rsid w:val="00567F50"/>
    <w:rsid w:val="005722E2"/>
    <w:rsid w:val="00572F29"/>
    <w:rsid w:val="0057447E"/>
    <w:rsid w:val="00575196"/>
    <w:rsid w:val="0058036F"/>
    <w:rsid w:val="005824E7"/>
    <w:rsid w:val="00583F4B"/>
    <w:rsid w:val="0058405D"/>
    <w:rsid w:val="00584994"/>
    <w:rsid w:val="00584D4D"/>
    <w:rsid w:val="00585451"/>
    <w:rsid w:val="005864C5"/>
    <w:rsid w:val="0059231D"/>
    <w:rsid w:val="00593614"/>
    <w:rsid w:val="00593966"/>
    <w:rsid w:val="005951AC"/>
    <w:rsid w:val="0059709A"/>
    <w:rsid w:val="005972F8"/>
    <w:rsid w:val="005978A4"/>
    <w:rsid w:val="00597A43"/>
    <w:rsid w:val="005A100D"/>
    <w:rsid w:val="005A19BE"/>
    <w:rsid w:val="005A4E5A"/>
    <w:rsid w:val="005A5206"/>
    <w:rsid w:val="005A5759"/>
    <w:rsid w:val="005A604D"/>
    <w:rsid w:val="005A724E"/>
    <w:rsid w:val="005A76B4"/>
    <w:rsid w:val="005B0393"/>
    <w:rsid w:val="005B2821"/>
    <w:rsid w:val="005B2A33"/>
    <w:rsid w:val="005B2C02"/>
    <w:rsid w:val="005B6543"/>
    <w:rsid w:val="005B6D42"/>
    <w:rsid w:val="005B6EEC"/>
    <w:rsid w:val="005C0586"/>
    <w:rsid w:val="005C1B1C"/>
    <w:rsid w:val="005C2899"/>
    <w:rsid w:val="005C403E"/>
    <w:rsid w:val="005C4696"/>
    <w:rsid w:val="005C4C9F"/>
    <w:rsid w:val="005C4E6E"/>
    <w:rsid w:val="005C5AF0"/>
    <w:rsid w:val="005C669C"/>
    <w:rsid w:val="005C691B"/>
    <w:rsid w:val="005C733D"/>
    <w:rsid w:val="005C7A63"/>
    <w:rsid w:val="005D2DBE"/>
    <w:rsid w:val="005D3398"/>
    <w:rsid w:val="005D494E"/>
    <w:rsid w:val="005D4C4E"/>
    <w:rsid w:val="005D55E3"/>
    <w:rsid w:val="005D5EA4"/>
    <w:rsid w:val="005D5F8C"/>
    <w:rsid w:val="005D63B0"/>
    <w:rsid w:val="005D6D5A"/>
    <w:rsid w:val="005D6DFB"/>
    <w:rsid w:val="005D7B8A"/>
    <w:rsid w:val="005E09EA"/>
    <w:rsid w:val="005E0A14"/>
    <w:rsid w:val="005E0E51"/>
    <w:rsid w:val="005E20C6"/>
    <w:rsid w:val="005E39A4"/>
    <w:rsid w:val="005E4616"/>
    <w:rsid w:val="005E48E4"/>
    <w:rsid w:val="005E4AE5"/>
    <w:rsid w:val="005E4DAE"/>
    <w:rsid w:val="005E4E47"/>
    <w:rsid w:val="005E4F40"/>
    <w:rsid w:val="005E7140"/>
    <w:rsid w:val="005E742B"/>
    <w:rsid w:val="005E754F"/>
    <w:rsid w:val="005F0974"/>
    <w:rsid w:val="005F1263"/>
    <w:rsid w:val="005F1A72"/>
    <w:rsid w:val="005F25AC"/>
    <w:rsid w:val="005F3C6D"/>
    <w:rsid w:val="005F3F71"/>
    <w:rsid w:val="005F4109"/>
    <w:rsid w:val="005F4783"/>
    <w:rsid w:val="006000B9"/>
    <w:rsid w:val="006002D8"/>
    <w:rsid w:val="006010E7"/>
    <w:rsid w:val="006018ED"/>
    <w:rsid w:val="006032D5"/>
    <w:rsid w:val="00604ADA"/>
    <w:rsid w:val="00606A32"/>
    <w:rsid w:val="00606F4A"/>
    <w:rsid w:val="00607210"/>
    <w:rsid w:val="0061142C"/>
    <w:rsid w:val="00611931"/>
    <w:rsid w:val="00611EED"/>
    <w:rsid w:val="006125DD"/>
    <w:rsid w:val="00612E8B"/>
    <w:rsid w:val="00612F3A"/>
    <w:rsid w:val="00613762"/>
    <w:rsid w:val="006152C0"/>
    <w:rsid w:val="00615BA2"/>
    <w:rsid w:val="00616247"/>
    <w:rsid w:val="00616926"/>
    <w:rsid w:val="00616A70"/>
    <w:rsid w:val="00617245"/>
    <w:rsid w:val="00617651"/>
    <w:rsid w:val="006204B3"/>
    <w:rsid w:val="006229C6"/>
    <w:rsid w:val="00623737"/>
    <w:rsid w:val="00623738"/>
    <w:rsid w:val="0062377C"/>
    <w:rsid w:val="00623A83"/>
    <w:rsid w:val="0062498A"/>
    <w:rsid w:val="00624E37"/>
    <w:rsid w:val="00625B92"/>
    <w:rsid w:val="00625BFB"/>
    <w:rsid w:val="00627118"/>
    <w:rsid w:val="006324F5"/>
    <w:rsid w:val="006331E0"/>
    <w:rsid w:val="00633263"/>
    <w:rsid w:val="0063397D"/>
    <w:rsid w:val="006342F8"/>
    <w:rsid w:val="00634828"/>
    <w:rsid w:val="0063514E"/>
    <w:rsid w:val="0063519B"/>
    <w:rsid w:val="006355EF"/>
    <w:rsid w:val="00637BC1"/>
    <w:rsid w:val="00637C3D"/>
    <w:rsid w:val="00640541"/>
    <w:rsid w:val="0064198F"/>
    <w:rsid w:val="00642C13"/>
    <w:rsid w:val="0064335E"/>
    <w:rsid w:val="00645236"/>
    <w:rsid w:val="00645530"/>
    <w:rsid w:val="0065009A"/>
    <w:rsid w:val="006512AD"/>
    <w:rsid w:val="00651BF3"/>
    <w:rsid w:val="00651C97"/>
    <w:rsid w:val="006525AC"/>
    <w:rsid w:val="006527AC"/>
    <w:rsid w:val="00654860"/>
    <w:rsid w:val="00655058"/>
    <w:rsid w:val="00655EC9"/>
    <w:rsid w:val="00657399"/>
    <w:rsid w:val="00657E6D"/>
    <w:rsid w:val="00661CAB"/>
    <w:rsid w:val="00663D86"/>
    <w:rsid w:val="006647C3"/>
    <w:rsid w:val="006653EA"/>
    <w:rsid w:val="0066643C"/>
    <w:rsid w:val="00666AF4"/>
    <w:rsid w:val="0066733A"/>
    <w:rsid w:val="0067058B"/>
    <w:rsid w:val="00670C7D"/>
    <w:rsid w:val="00670E73"/>
    <w:rsid w:val="006738B0"/>
    <w:rsid w:val="006763DE"/>
    <w:rsid w:val="0068025E"/>
    <w:rsid w:val="006807ED"/>
    <w:rsid w:val="0068139F"/>
    <w:rsid w:val="006825C6"/>
    <w:rsid w:val="00682A44"/>
    <w:rsid w:val="00682AC8"/>
    <w:rsid w:val="00682F36"/>
    <w:rsid w:val="00683209"/>
    <w:rsid w:val="006836F9"/>
    <w:rsid w:val="00685029"/>
    <w:rsid w:val="006865AC"/>
    <w:rsid w:val="00686A1A"/>
    <w:rsid w:val="006871AA"/>
    <w:rsid w:val="00687253"/>
    <w:rsid w:val="00690B09"/>
    <w:rsid w:val="0069170D"/>
    <w:rsid w:val="006924ED"/>
    <w:rsid w:val="006925D9"/>
    <w:rsid w:val="00693C07"/>
    <w:rsid w:val="00694CE6"/>
    <w:rsid w:val="006953AF"/>
    <w:rsid w:val="00696C93"/>
    <w:rsid w:val="006972EE"/>
    <w:rsid w:val="006A0F42"/>
    <w:rsid w:val="006A10D2"/>
    <w:rsid w:val="006A27A0"/>
    <w:rsid w:val="006A2AFC"/>
    <w:rsid w:val="006A2E2E"/>
    <w:rsid w:val="006A334C"/>
    <w:rsid w:val="006A487E"/>
    <w:rsid w:val="006A5D3E"/>
    <w:rsid w:val="006A6175"/>
    <w:rsid w:val="006A79C5"/>
    <w:rsid w:val="006B0B0C"/>
    <w:rsid w:val="006B3B81"/>
    <w:rsid w:val="006B3E40"/>
    <w:rsid w:val="006B4BDD"/>
    <w:rsid w:val="006B65F5"/>
    <w:rsid w:val="006B6C60"/>
    <w:rsid w:val="006C2687"/>
    <w:rsid w:val="006C2FD4"/>
    <w:rsid w:val="006C4AA1"/>
    <w:rsid w:val="006C57D5"/>
    <w:rsid w:val="006C6253"/>
    <w:rsid w:val="006C6AD4"/>
    <w:rsid w:val="006C79C9"/>
    <w:rsid w:val="006D0342"/>
    <w:rsid w:val="006D042A"/>
    <w:rsid w:val="006D05E3"/>
    <w:rsid w:val="006D0B9D"/>
    <w:rsid w:val="006D329C"/>
    <w:rsid w:val="006D3A7A"/>
    <w:rsid w:val="006D3B3D"/>
    <w:rsid w:val="006D4220"/>
    <w:rsid w:val="006D4737"/>
    <w:rsid w:val="006D4F2A"/>
    <w:rsid w:val="006D5A73"/>
    <w:rsid w:val="006D67E0"/>
    <w:rsid w:val="006D6C18"/>
    <w:rsid w:val="006D757B"/>
    <w:rsid w:val="006E105B"/>
    <w:rsid w:val="006E1797"/>
    <w:rsid w:val="006E1919"/>
    <w:rsid w:val="006E2333"/>
    <w:rsid w:val="006E2E53"/>
    <w:rsid w:val="006E4EE4"/>
    <w:rsid w:val="006E6506"/>
    <w:rsid w:val="006E6860"/>
    <w:rsid w:val="006F0266"/>
    <w:rsid w:val="006F1C47"/>
    <w:rsid w:val="006F1F2E"/>
    <w:rsid w:val="006F1FC1"/>
    <w:rsid w:val="006F2724"/>
    <w:rsid w:val="006F2D35"/>
    <w:rsid w:val="006F2FD1"/>
    <w:rsid w:val="006F5C68"/>
    <w:rsid w:val="006F61A9"/>
    <w:rsid w:val="006F739D"/>
    <w:rsid w:val="00700A05"/>
    <w:rsid w:val="0070204A"/>
    <w:rsid w:val="00705D3C"/>
    <w:rsid w:val="00706AAE"/>
    <w:rsid w:val="007107F8"/>
    <w:rsid w:val="00710DC0"/>
    <w:rsid w:val="007117D0"/>
    <w:rsid w:val="007139E2"/>
    <w:rsid w:val="00713CD1"/>
    <w:rsid w:val="00714342"/>
    <w:rsid w:val="00715D93"/>
    <w:rsid w:val="00717707"/>
    <w:rsid w:val="0071790A"/>
    <w:rsid w:val="00720AB7"/>
    <w:rsid w:val="00720E7D"/>
    <w:rsid w:val="0072267F"/>
    <w:rsid w:val="00723B9B"/>
    <w:rsid w:val="00723F6B"/>
    <w:rsid w:val="00724486"/>
    <w:rsid w:val="00725BE5"/>
    <w:rsid w:val="00725EAB"/>
    <w:rsid w:val="00726BBA"/>
    <w:rsid w:val="00727C45"/>
    <w:rsid w:val="007305F1"/>
    <w:rsid w:val="00730C16"/>
    <w:rsid w:val="007311B7"/>
    <w:rsid w:val="007318C0"/>
    <w:rsid w:val="00732269"/>
    <w:rsid w:val="00732BC7"/>
    <w:rsid w:val="00733305"/>
    <w:rsid w:val="00733835"/>
    <w:rsid w:val="00733A90"/>
    <w:rsid w:val="00733C13"/>
    <w:rsid w:val="0073492C"/>
    <w:rsid w:val="00734E1F"/>
    <w:rsid w:val="00734F22"/>
    <w:rsid w:val="00736FD2"/>
    <w:rsid w:val="007373BE"/>
    <w:rsid w:val="00737A5D"/>
    <w:rsid w:val="00742893"/>
    <w:rsid w:val="00742AF4"/>
    <w:rsid w:val="00742DE7"/>
    <w:rsid w:val="00742FFA"/>
    <w:rsid w:val="0074316B"/>
    <w:rsid w:val="00744455"/>
    <w:rsid w:val="00744C1A"/>
    <w:rsid w:val="007451E6"/>
    <w:rsid w:val="00745209"/>
    <w:rsid w:val="00745C9F"/>
    <w:rsid w:val="0074650D"/>
    <w:rsid w:val="007473FD"/>
    <w:rsid w:val="007505D6"/>
    <w:rsid w:val="00750BFF"/>
    <w:rsid w:val="00750F4C"/>
    <w:rsid w:val="0075101A"/>
    <w:rsid w:val="00751166"/>
    <w:rsid w:val="0075377B"/>
    <w:rsid w:val="00753BCE"/>
    <w:rsid w:val="0075497E"/>
    <w:rsid w:val="00755589"/>
    <w:rsid w:val="0075614C"/>
    <w:rsid w:val="0075644A"/>
    <w:rsid w:val="00756CFD"/>
    <w:rsid w:val="007579B6"/>
    <w:rsid w:val="00757A17"/>
    <w:rsid w:val="007606F9"/>
    <w:rsid w:val="0076092D"/>
    <w:rsid w:val="00761CC0"/>
    <w:rsid w:val="007629FC"/>
    <w:rsid w:val="00763ED0"/>
    <w:rsid w:val="007664BA"/>
    <w:rsid w:val="0077006D"/>
    <w:rsid w:val="007701FB"/>
    <w:rsid w:val="007712E9"/>
    <w:rsid w:val="0077168A"/>
    <w:rsid w:val="007726B5"/>
    <w:rsid w:val="00772976"/>
    <w:rsid w:val="00772ACA"/>
    <w:rsid w:val="00773E64"/>
    <w:rsid w:val="00773F57"/>
    <w:rsid w:val="007754EB"/>
    <w:rsid w:val="007758D6"/>
    <w:rsid w:val="00776ECA"/>
    <w:rsid w:val="00780748"/>
    <w:rsid w:val="007808F9"/>
    <w:rsid w:val="00780E93"/>
    <w:rsid w:val="007818CC"/>
    <w:rsid w:val="007827B1"/>
    <w:rsid w:val="00782CF3"/>
    <w:rsid w:val="00783F86"/>
    <w:rsid w:val="00784322"/>
    <w:rsid w:val="00784573"/>
    <w:rsid w:val="007847DD"/>
    <w:rsid w:val="00784AFA"/>
    <w:rsid w:val="0078527C"/>
    <w:rsid w:val="0078614F"/>
    <w:rsid w:val="00786D7E"/>
    <w:rsid w:val="007878D5"/>
    <w:rsid w:val="00790392"/>
    <w:rsid w:val="00791D63"/>
    <w:rsid w:val="00791E97"/>
    <w:rsid w:val="00791F18"/>
    <w:rsid w:val="00792526"/>
    <w:rsid w:val="007936A5"/>
    <w:rsid w:val="007946D5"/>
    <w:rsid w:val="00794959"/>
    <w:rsid w:val="00794A7C"/>
    <w:rsid w:val="0079537B"/>
    <w:rsid w:val="00795B80"/>
    <w:rsid w:val="00795CC3"/>
    <w:rsid w:val="00797796"/>
    <w:rsid w:val="007A0D1A"/>
    <w:rsid w:val="007A0FC3"/>
    <w:rsid w:val="007A2435"/>
    <w:rsid w:val="007A2D06"/>
    <w:rsid w:val="007A4419"/>
    <w:rsid w:val="007A518C"/>
    <w:rsid w:val="007A638A"/>
    <w:rsid w:val="007A68C9"/>
    <w:rsid w:val="007A7C7D"/>
    <w:rsid w:val="007B0776"/>
    <w:rsid w:val="007B1EAE"/>
    <w:rsid w:val="007B1EC1"/>
    <w:rsid w:val="007B29D6"/>
    <w:rsid w:val="007B3342"/>
    <w:rsid w:val="007B39F6"/>
    <w:rsid w:val="007B4B2F"/>
    <w:rsid w:val="007B4C4D"/>
    <w:rsid w:val="007B5254"/>
    <w:rsid w:val="007C0E2B"/>
    <w:rsid w:val="007C0EC2"/>
    <w:rsid w:val="007C1AF5"/>
    <w:rsid w:val="007C2806"/>
    <w:rsid w:val="007C2960"/>
    <w:rsid w:val="007C29C5"/>
    <w:rsid w:val="007C29F5"/>
    <w:rsid w:val="007C36E4"/>
    <w:rsid w:val="007C3957"/>
    <w:rsid w:val="007C4049"/>
    <w:rsid w:val="007C468F"/>
    <w:rsid w:val="007C4A33"/>
    <w:rsid w:val="007C54B2"/>
    <w:rsid w:val="007C737A"/>
    <w:rsid w:val="007D06F8"/>
    <w:rsid w:val="007D0C48"/>
    <w:rsid w:val="007D2AA4"/>
    <w:rsid w:val="007D47B4"/>
    <w:rsid w:val="007D55FA"/>
    <w:rsid w:val="007E004A"/>
    <w:rsid w:val="007E0D3E"/>
    <w:rsid w:val="007E0D5D"/>
    <w:rsid w:val="007E0F16"/>
    <w:rsid w:val="007E16ED"/>
    <w:rsid w:val="007E1D14"/>
    <w:rsid w:val="007E23CB"/>
    <w:rsid w:val="007E2BBA"/>
    <w:rsid w:val="007E301A"/>
    <w:rsid w:val="007E4370"/>
    <w:rsid w:val="007E53A9"/>
    <w:rsid w:val="007E6103"/>
    <w:rsid w:val="007E741B"/>
    <w:rsid w:val="007E77B6"/>
    <w:rsid w:val="007F0A21"/>
    <w:rsid w:val="007F23C2"/>
    <w:rsid w:val="007F2823"/>
    <w:rsid w:val="007F334C"/>
    <w:rsid w:val="007F465D"/>
    <w:rsid w:val="007F46EB"/>
    <w:rsid w:val="007F47CB"/>
    <w:rsid w:val="00800773"/>
    <w:rsid w:val="00801D94"/>
    <w:rsid w:val="00802071"/>
    <w:rsid w:val="00802FE5"/>
    <w:rsid w:val="0080390B"/>
    <w:rsid w:val="00803A50"/>
    <w:rsid w:val="00804654"/>
    <w:rsid w:val="00805238"/>
    <w:rsid w:val="00805880"/>
    <w:rsid w:val="00806627"/>
    <w:rsid w:val="0081053C"/>
    <w:rsid w:val="00810953"/>
    <w:rsid w:val="00810C89"/>
    <w:rsid w:val="008125F3"/>
    <w:rsid w:val="00812DC6"/>
    <w:rsid w:val="00813ECE"/>
    <w:rsid w:val="00815477"/>
    <w:rsid w:val="00815C07"/>
    <w:rsid w:val="00816802"/>
    <w:rsid w:val="00820B61"/>
    <w:rsid w:val="0082115A"/>
    <w:rsid w:val="008214D7"/>
    <w:rsid w:val="00821AA6"/>
    <w:rsid w:val="008223D4"/>
    <w:rsid w:val="0082247B"/>
    <w:rsid w:val="0082271E"/>
    <w:rsid w:val="00822865"/>
    <w:rsid w:val="00822D38"/>
    <w:rsid w:val="008238B3"/>
    <w:rsid w:val="00823C2B"/>
    <w:rsid w:val="00826CA1"/>
    <w:rsid w:val="00830129"/>
    <w:rsid w:val="00830805"/>
    <w:rsid w:val="00833EE0"/>
    <w:rsid w:val="0083444C"/>
    <w:rsid w:val="008356B0"/>
    <w:rsid w:val="00835DAB"/>
    <w:rsid w:val="008364C3"/>
    <w:rsid w:val="008379B3"/>
    <w:rsid w:val="00837F37"/>
    <w:rsid w:val="00837FFE"/>
    <w:rsid w:val="00840C23"/>
    <w:rsid w:val="00840E01"/>
    <w:rsid w:val="00840FBC"/>
    <w:rsid w:val="008418E2"/>
    <w:rsid w:val="00841D41"/>
    <w:rsid w:val="00843401"/>
    <w:rsid w:val="00843999"/>
    <w:rsid w:val="00844A34"/>
    <w:rsid w:val="0084537C"/>
    <w:rsid w:val="008464DD"/>
    <w:rsid w:val="00847D5C"/>
    <w:rsid w:val="0085087B"/>
    <w:rsid w:val="00850B73"/>
    <w:rsid w:val="00850E0E"/>
    <w:rsid w:val="00851898"/>
    <w:rsid w:val="00852B63"/>
    <w:rsid w:val="0085336F"/>
    <w:rsid w:val="00854BE8"/>
    <w:rsid w:val="00855A70"/>
    <w:rsid w:val="00855F3B"/>
    <w:rsid w:val="008566F7"/>
    <w:rsid w:val="008568B8"/>
    <w:rsid w:val="00857030"/>
    <w:rsid w:val="008578EE"/>
    <w:rsid w:val="0086026C"/>
    <w:rsid w:val="00860A21"/>
    <w:rsid w:val="0086226E"/>
    <w:rsid w:val="00862304"/>
    <w:rsid w:val="00862CA6"/>
    <w:rsid w:val="00863303"/>
    <w:rsid w:val="0086360A"/>
    <w:rsid w:val="00864536"/>
    <w:rsid w:val="00864662"/>
    <w:rsid w:val="00864960"/>
    <w:rsid w:val="00865071"/>
    <w:rsid w:val="00866D80"/>
    <w:rsid w:val="00870270"/>
    <w:rsid w:val="00870861"/>
    <w:rsid w:val="00870B03"/>
    <w:rsid w:val="0087138C"/>
    <w:rsid w:val="00871997"/>
    <w:rsid w:val="0087263A"/>
    <w:rsid w:val="008731AD"/>
    <w:rsid w:val="00874555"/>
    <w:rsid w:val="00874FE2"/>
    <w:rsid w:val="0087539F"/>
    <w:rsid w:val="00881772"/>
    <w:rsid w:val="00881E09"/>
    <w:rsid w:val="008840CC"/>
    <w:rsid w:val="00885A63"/>
    <w:rsid w:val="008864AA"/>
    <w:rsid w:val="008871E0"/>
    <w:rsid w:val="00887AB8"/>
    <w:rsid w:val="00887C71"/>
    <w:rsid w:val="00890250"/>
    <w:rsid w:val="00892D24"/>
    <w:rsid w:val="00894186"/>
    <w:rsid w:val="00894388"/>
    <w:rsid w:val="008967A7"/>
    <w:rsid w:val="00897003"/>
    <w:rsid w:val="00897C6E"/>
    <w:rsid w:val="008A0F91"/>
    <w:rsid w:val="008A226A"/>
    <w:rsid w:val="008A2A46"/>
    <w:rsid w:val="008A304E"/>
    <w:rsid w:val="008A3496"/>
    <w:rsid w:val="008A3568"/>
    <w:rsid w:val="008A4170"/>
    <w:rsid w:val="008A4193"/>
    <w:rsid w:val="008A41ED"/>
    <w:rsid w:val="008A434C"/>
    <w:rsid w:val="008A475B"/>
    <w:rsid w:val="008A4956"/>
    <w:rsid w:val="008A5CA6"/>
    <w:rsid w:val="008A77ED"/>
    <w:rsid w:val="008B0088"/>
    <w:rsid w:val="008B192E"/>
    <w:rsid w:val="008B20F5"/>
    <w:rsid w:val="008B2B06"/>
    <w:rsid w:val="008B375D"/>
    <w:rsid w:val="008B3EF8"/>
    <w:rsid w:val="008B40F0"/>
    <w:rsid w:val="008B4B70"/>
    <w:rsid w:val="008B4C5A"/>
    <w:rsid w:val="008B4D3C"/>
    <w:rsid w:val="008B5971"/>
    <w:rsid w:val="008B59BC"/>
    <w:rsid w:val="008B6741"/>
    <w:rsid w:val="008B71D4"/>
    <w:rsid w:val="008B74F0"/>
    <w:rsid w:val="008C1097"/>
    <w:rsid w:val="008C1492"/>
    <w:rsid w:val="008C2491"/>
    <w:rsid w:val="008C2E4A"/>
    <w:rsid w:val="008C4A84"/>
    <w:rsid w:val="008C5336"/>
    <w:rsid w:val="008C556A"/>
    <w:rsid w:val="008C57E2"/>
    <w:rsid w:val="008C6638"/>
    <w:rsid w:val="008C71B2"/>
    <w:rsid w:val="008C7340"/>
    <w:rsid w:val="008D05A7"/>
    <w:rsid w:val="008D0FC1"/>
    <w:rsid w:val="008D16A4"/>
    <w:rsid w:val="008D1A21"/>
    <w:rsid w:val="008D51EB"/>
    <w:rsid w:val="008D7F24"/>
    <w:rsid w:val="008E085F"/>
    <w:rsid w:val="008E0EA0"/>
    <w:rsid w:val="008E1369"/>
    <w:rsid w:val="008E1856"/>
    <w:rsid w:val="008E1C25"/>
    <w:rsid w:val="008E1CDA"/>
    <w:rsid w:val="008E369A"/>
    <w:rsid w:val="008E41B8"/>
    <w:rsid w:val="008E64D9"/>
    <w:rsid w:val="008E7449"/>
    <w:rsid w:val="008F06C5"/>
    <w:rsid w:val="008F07CB"/>
    <w:rsid w:val="008F1CD4"/>
    <w:rsid w:val="008F247F"/>
    <w:rsid w:val="008F29EC"/>
    <w:rsid w:val="008F3EA8"/>
    <w:rsid w:val="008F4254"/>
    <w:rsid w:val="008F4B73"/>
    <w:rsid w:val="008F4FD3"/>
    <w:rsid w:val="008F73D4"/>
    <w:rsid w:val="008F779A"/>
    <w:rsid w:val="008F7FEB"/>
    <w:rsid w:val="00902548"/>
    <w:rsid w:val="00904CA1"/>
    <w:rsid w:val="00904EF0"/>
    <w:rsid w:val="009072B1"/>
    <w:rsid w:val="00910091"/>
    <w:rsid w:val="0091048E"/>
    <w:rsid w:val="009109DB"/>
    <w:rsid w:val="00910C59"/>
    <w:rsid w:val="00915C14"/>
    <w:rsid w:val="00915DBE"/>
    <w:rsid w:val="009160BB"/>
    <w:rsid w:val="00916C09"/>
    <w:rsid w:val="009171FF"/>
    <w:rsid w:val="00917842"/>
    <w:rsid w:val="0092047F"/>
    <w:rsid w:val="00922797"/>
    <w:rsid w:val="00925EA2"/>
    <w:rsid w:val="00927E7F"/>
    <w:rsid w:val="009316DA"/>
    <w:rsid w:val="00932E94"/>
    <w:rsid w:val="009332A6"/>
    <w:rsid w:val="00933805"/>
    <w:rsid w:val="009340B8"/>
    <w:rsid w:val="00935677"/>
    <w:rsid w:val="00936BB4"/>
    <w:rsid w:val="009370BF"/>
    <w:rsid w:val="00937510"/>
    <w:rsid w:val="00937699"/>
    <w:rsid w:val="00941040"/>
    <w:rsid w:val="0094131E"/>
    <w:rsid w:val="009414EA"/>
    <w:rsid w:val="0094195C"/>
    <w:rsid w:val="0094245B"/>
    <w:rsid w:val="0094426E"/>
    <w:rsid w:val="0094614E"/>
    <w:rsid w:val="009462D9"/>
    <w:rsid w:val="00946E14"/>
    <w:rsid w:val="009472CD"/>
    <w:rsid w:val="0094748D"/>
    <w:rsid w:val="0094779B"/>
    <w:rsid w:val="00950262"/>
    <w:rsid w:val="00950806"/>
    <w:rsid w:val="00950B06"/>
    <w:rsid w:val="00951C6E"/>
    <w:rsid w:val="009539A8"/>
    <w:rsid w:val="00953DC2"/>
    <w:rsid w:val="00954682"/>
    <w:rsid w:val="00955942"/>
    <w:rsid w:val="00957DD2"/>
    <w:rsid w:val="00960429"/>
    <w:rsid w:val="00960827"/>
    <w:rsid w:val="00960973"/>
    <w:rsid w:val="00960BA4"/>
    <w:rsid w:val="00961266"/>
    <w:rsid w:val="00963A02"/>
    <w:rsid w:val="00965BE8"/>
    <w:rsid w:val="0096601C"/>
    <w:rsid w:val="00967370"/>
    <w:rsid w:val="0096765E"/>
    <w:rsid w:val="00967812"/>
    <w:rsid w:val="009705F2"/>
    <w:rsid w:val="00970822"/>
    <w:rsid w:val="00970A96"/>
    <w:rsid w:val="0097143C"/>
    <w:rsid w:val="00971569"/>
    <w:rsid w:val="009719E1"/>
    <w:rsid w:val="009721D5"/>
    <w:rsid w:val="00972444"/>
    <w:rsid w:val="00972A68"/>
    <w:rsid w:val="009762A0"/>
    <w:rsid w:val="0097654E"/>
    <w:rsid w:val="009768A7"/>
    <w:rsid w:val="00977C25"/>
    <w:rsid w:val="00977E97"/>
    <w:rsid w:val="00977F8D"/>
    <w:rsid w:val="00980701"/>
    <w:rsid w:val="0098153A"/>
    <w:rsid w:val="00982252"/>
    <w:rsid w:val="00983270"/>
    <w:rsid w:val="009844CB"/>
    <w:rsid w:val="009859CB"/>
    <w:rsid w:val="00986315"/>
    <w:rsid w:val="0098644F"/>
    <w:rsid w:val="009874FF"/>
    <w:rsid w:val="00987D0D"/>
    <w:rsid w:val="0099000F"/>
    <w:rsid w:val="009901F2"/>
    <w:rsid w:val="00991B45"/>
    <w:rsid w:val="00992AEB"/>
    <w:rsid w:val="00992C5B"/>
    <w:rsid w:val="00993083"/>
    <w:rsid w:val="00993E33"/>
    <w:rsid w:val="009950E1"/>
    <w:rsid w:val="00995450"/>
    <w:rsid w:val="009974A7"/>
    <w:rsid w:val="009A032D"/>
    <w:rsid w:val="009A0D6E"/>
    <w:rsid w:val="009A0E21"/>
    <w:rsid w:val="009A11E3"/>
    <w:rsid w:val="009A25B5"/>
    <w:rsid w:val="009A3109"/>
    <w:rsid w:val="009A340D"/>
    <w:rsid w:val="009A3B8C"/>
    <w:rsid w:val="009A4DF7"/>
    <w:rsid w:val="009A53DC"/>
    <w:rsid w:val="009A5693"/>
    <w:rsid w:val="009A6F50"/>
    <w:rsid w:val="009A7331"/>
    <w:rsid w:val="009A74F2"/>
    <w:rsid w:val="009B0171"/>
    <w:rsid w:val="009B235A"/>
    <w:rsid w:val="009B491F"/>
    <w:rsid w:val="009B4959"/>
    <w:rsid w:val="009B54C3"/>
    <w:rsid w:val="009B69C1"/>
    <w:rsid w:val="009B6BA0"/>
    <w:rsid w:val="009B7196"/>
    <w:rsid w:val="009C1D2C"/>
    <w:rsid w:val="009C2E48"/>
    <w:rsid w:val="009C4117"/>
    <w:rsid w:val="009C5667"/>
    <w:rsid w:val="009C62FE"/>
    <w:rsid w:val="009C66F4"/>
    <w:rsid w:val="009C6FD3"/>
    <w:rsid w:val="009C714A"/>
    <w:rsid w:val="009C7333"/>
    <w:rsid w:val="009C7630"/>
    <w:rsid w:val="009C7D65"/>
    <w:rsid w:val="009D0221"/>
    <w:rsid w:val="009D20B8"/>
    <w:rsid w:val="009D308D"/>
    <w:rsid w:val="009D649B"/>
    <w:rsid w:val="009D65B5"/>
    <w:rsid w:val="009D716A"/>
    <w:rsid w:val="009D7415"/>
    <w:rsid w:val="009E0739"/>
    <w:rsid w:val="009E159F"/>
    <w:rsid w:val="009E1933"/>
    <w:rsid w:val="009E2DCA"/>
    <w:rsid w:val="009E2DD2"/>
    <w:rsid w:val="009E3BC8"/>
    <w:rsid w:val="009E3E7E"/>
    <w:rsid w:val="009E3EE7"/>
    <w:rsid w:val="009E52E3"/>
    <w:rsid w:val="009E5FC7"/>
    <w:rsid w:val="009E6425"/>
    <w:rsid w:val="009E6DEB"/>
    <w:rsid w:val="009E77EC"/>
    <w:rsid w:val="009F0460"/>
    <w:rsid w:val="009F0B7E"/>
    <w:rsid w:val="009F2977"/>
    <w:rsid w:val="009F3331"/>
    <w:rsid w:val="009F34F8"/>
    <w:rsid w:val="009F3962"/>
    <w:rsid w:val="009F3F3C"/>
    <w:rsid w:val="009F4448"/>
    <w:rsid w:val="009F4EF1"/>
    <w:rsid w:val="009F5430"/>
    <w:rsid w:val="009F708C"/>
    <w:rsid w:val="009F77F3"/>
    <w:rsid w:val="009F7B81"/>
    <w:rsid w:val="00A00E3F"/>
    <w:rsid w:val="00A00FAA"/>
    <w:rsid w:val="00A01A2E"/>
    <w:rsid w:val="00A023F4"/>
    <w:rsid w:val="00A032C0"/>
    <w:rsid w:val="00A04CB6"/>
    <w:rsid w:val="00A04E33"/>
    <w:rsid w:val="00A05674"/>
    <w:rsid w:val="00A05CC5"/>
    <w:rsid w:val="00A06455"/>
    <w:rsid w:val="00A103B9"/>
    <w:rsid w:val="00A107A9"/>
    <w:rsid w:val="00A10DDE"/>
    <w:rsid w:val="00A10E55"/>
    <w:rsid w:val="00A136F6"/>
    <w:rsid w:val="00A144BA"/>
    <w:rsid w:val="00A148A1"/>
    <w:rsid w:val="00A15357"/>
    <w:rsid w:val="00A15DF1"/>
    <w:rsid w:val="00A172DC"/>
    <w:rsid w:val="00A17A5F"/>
    <w:rsid w:val="00A20D9F"/>
    <w:rsid w:val="00A21CC7"/>
    <w:rsid w:val="00A225D1"/>
    <w:rsid w:val="00A2270E"/>
    <w:rsid w:val="00A22939"/>
    <w:rsid w:val="00A2295E"/>
    <w:rsid w:val="00A24F66"/>
    <w:rsid w:val="00A25AD4"/>
    <w:rsid w:val="00A27DAE"/>
    <w:rsid w:val="00A300EB"/>
    <w:rsid w:val="00A31FF9"/>
    <w:rsid w:val="00A3265D"/>
    <w:rsid w:val="00A332F4"/>
    <w:rsid w:val="00A335CF"/>
    <w:rsid w:val="00A3401E"/>
    <w:rsid w:val="00A34FC2"/>
    <w:rsid w:val="00A35EFA"/>
    <w:rsid w:val="00A3742C"/>
    <w:rsid w:val="00A37A3B"/>
    <w:rsid w:val="00A37DC5"/>
    <w:rsid w:val="00A40369"/>
    <w:rsid w:val="00A418DD"/>
    <w:rsid w:val="00A42BFA"/>
    <w:rsid w:val="00A431C7"/>
    <w:rsid w:val="00A438A3"/>
    <w:rsid w:val="00A4486B"/>
    <w:rsid w:val="00A465F1"/>
    <w:rsid w:val="00A47D45"/>
    <w:rsid w:val="00A50A79"/>
    <w:rsid w:val="00A50B9C"/>
    <w:rsid w:val="00A51204"/>
    <w:rsid w:val="00A51449"/>
    <w:rsid w:val="00A53DDA"/>
    <w:rsid w:val="00A543F6"/>
    <w:rsid w:val="00A546D6"/>
    <w:rsid w:val="00A5483D"/>
    <w:rsid w:val="00A550FD"/>
    <w:rsid w:val="00A556B6"/>
    <w:rsid w:val="00A5709F"/>
    <w:rsid w:val="00A57CA9"/>
    <w:rsid w:val="00A60B31"/>
    <w:rsid w:val="00A618C5"/>
    <w:rsid w:val="00A62071"/>
    <w:rsid w:val="00A62BE9"/>
    <w:rsid w:val="00A62FCB"/>
    <w:rsid w:val="00A64795"/>
    <w:rsid w:val="00A64BB2"/>
    <w:rsid w:val="00A65D85"/>
    <w:rsid w:val="00A66BF9"/>
    <w:rsid w:val="00A67922"/>
    <w:rsid w:val="00A67CB0"/>
    <w:rsid w:val="00A703CC"/>
    <w:rsid w:val="00A70AD4"/>
    <w:rsid w:val="00A7132A"/>
    <w:rsid w:val="00A71C6D"/>
    <w:rsid w:val="00A71CE9"/>
    <w:rsid w:val="00A72B18"/>
    <w:rsid w:val="00A73B74"/>
    <w:rsid w:val="00A73D9E"/>
    <w:rsid w:val="00A73FC4"/>
    <w:rsid w:val="00A758F0"/>
    <w:rsid w:val="00A76712"/>
    <w:rsid w:val="00A770E9"/>
    <w:rsid w:val="00A77151"/>
    <w:rsid w:val="00A8322E"/>
    <w:rsid w:val="00A8431B"/>
    <w:rsid w:val="00A853B1"/>
    <w:rsid w:val="00A869DD"/>
    <w:rsid w:val="00A875F6"/>
    <w:rsid w:val="00A90BD9"/>
    <w:rsid w:val="00A915E4"/>
    <w:rsid w:val="00A93139"/>
    <w:rsid w:val="00A9340D"/>
    <w:rsid w:val="00A9343D"/>
    <w:rsid w:val="00A944C8"/>
    <w:rsid w:val="00A9519A"/>
    <w:rsid w:val="00A95B7E"/>
    <w:rsid w:val="00A95E9A"/>
    <w:rsid w:val="00A96914"/>
    <w:rsid w:val="00A96BCF"/>
    <w:rsid w:val="00A9758E"/>
    <w:rsid w:val="00AA0329"/>
    <w:rsid w:val="00AA0AA8"/>
    <w:rsid w:val="00AA42EA"/>
    <w:rsid w:val="00AA4C3E"/>
    <w:rsid w:val="00AA5376"/>
    <w:rsid w:val="00AA5380"/>
    <w:rsid w:val="00AA5B5A"/>
    <w:rsid w:val="00AA63C9"/>
    <w:rsid w:val="00AA6435"/>
    <w:rsid w:val="00AA69FA"/>
    <w:rsid w:val="00AA6B73"/>
    <w:rsid w:val="00AA7978"/>
    <w:rsid w:val="00AA79CE"/>
    <w:rsid w:val="00AA7AD0"/>
    <w:rsid w:val="00AA7C40"/>
    <w:rsid w:val="00AB0413"/>
    <w:rsid w:val="00AB1E4E"/>
    <w:rsid w:val="00AB28E7"/>
    <w:rsid w:val="00AB3EB8"/>
    <w:rsid w:val="00AB559A"/>
    <w:rsid w:val="00AB6E07"/>
    <w:rsid w:val="00AB77A7"/>
    <w:rsid w:val="00AC04F1"/>
    <w:rsid w:val="00AC0563"/>
    <w:rsid w:val="00AC0765"/>
    <w:rsid w:val="00AC1972"/>
    <w:rsid w:val="00AC20D1"/>
    <w:rsid w:val="00AC2C86"/>
    <w:rsid w:val="00AC335C"/>
    <w:rsid w:val="00AC3C34"/>
    <w:rsid w:val="00AC4FDC"/>
    <w:rsid w:val="00AC63A2"/>
    <w:rsid w:val="00AC6967"/>
    <w:rsid w:val="00AD02BD"/>
    <w:rsid w:val="00AD04CC"/>
    <w:rsid w:val="00AD16CF"/>
    <w:rsid w:val="00AD1DC7"/>
    <w:rsid w:val="00AD2409"/>
    <w:rsid w:val="00AD4398"/>
    <w:rsid w:val="00AD47A3"/>
    <w:rsid w:val="00AD4FDF"/>
    <w:rsid w:val="00AD50C0"/>
    <w:rsid w:val="00AD64EB"/>
    <w:rsid w:val="00AD6B6A"/>
    <w:rsid w:val="00AD7AE3"/>
    <w:rsid w:val="00AE0108"/>
    <w:rsid w:val="00AE0575"/>
    <w:rsid w:val="00AE2137"/>
    <w:rsid w:val="00AE29DC"/>
    <w:rsid w:val="00AE4A7F"/>
    <w:rsid w:val="00AF0797"/>
    <w:rsid w:val="00AF1EDC"/>
    <w:rsid w:val="00AF375B"/>
    <w:rsid w:val="00AF4330"/>
    <w:rsid w:val="00B00219"/>
    <w:rsid w:val="00B03429"/>
    <w:rsid w:val="00B040CD"/>
    <w:rsid w:val="00B05CC2"/>
    <w:rsid w:val="00B12BB1"/>
    <w:rsid w:val="00B1364B"/>
    <w:rsid w:val="00B137F0"/>
    <w:rsid w:val="00B13F04"/>
    <w:rsid w:val="00B145C5"/>
    <w:rsid w:val="00B15214"/>
    <w:rsid w:val="00B16351"/>
    <w:rsid w:val="00B16549"/>
    <w:rsid w:val="00B17405"/>
    <w:rsid w:val="00B17608"/>
    <w:rsid w:val="00B17B2C"/>
    <w:rsid w:val="00B17B2F"/>
    <w:rsid w:val="00B2041B"/>
    <w:rsid w:val="00B20FB1"/>
    <w:rsid w:val="00B21587"/>
    <w:rsid w:val="00B21B0D"/>
    <w:rsid w:val="00B21EAA"/>
    <w:rsid w:val="00B22097"/>
    <w:rsid w:val="00B23305"/>
    <w:rsid w:val="00B24172"/>
    <w:rsid w:val="00B25AE6"/>
    <w:rsid w:val="00B30575"/>
    <w:rsid w:val="00B318F7"/>
    <w:rsid w:val="00B32A3D"/>
    <w:rsid w:val="00B32B54"/>
    <w:rsid w:val="00B35AD8"/>
    <w:rsid w:val="00B35BA0"/>
    <w:rsid w:val="00B364C5"/>
    <w:rsid w:val="00B36C33"/>
    <w:rsid w:val="00B36C88"/>
    <w:rsid w:val="00B36DFD"/>
    <w:rsid w:val="00B37552"/>
    <w:rsid w:val="00B37FF2"/>
    <w:rsid w:val="00B403E8"/>
    <w:rsid w:val="00B4209B"/>
    <w:rsid w:val="00B436EF"/>
    <w:rsid w:val="00B44561"/>
    <w:rsid w:val="00B44A4B"/>
    <w:rsid w:val="00B45368"/>
    <w:rsid w:val="00B45B7E"/>
    <w:rsid w:val="00B45E01"/>
    <w:rsid w:val="00B469BE"/>
    <w:rsid w:val="00B503C5"/>
    <w:rsid w:val="00B50B62"/>
    <w:rsid w:val="00B5135E"/>
    <w:rsid w:val="00B51CF1"/>
    <w:rsid w:val="00B52C14"/>
    <w:rsid w:val="00B52F1D"/>
    <w:rsid w:val="00B53EB7"/>
    <w:rsid w:val="00B54366"/>
    <w:rsid w:val="00B54A54"/>
    <w:rsid w:val="00B55609"/>
    <w:rsid w:val="00B556DA"/>
    <w:rsid w:val="00B56F1F"/>
    <w:rsid w:val="00B57EC7"/>
    <w:rsid w:val="00B61441"/>
    <w:rsid w:val="00B61AC2"/>
    <w:rsid w:val="00B62621"/>
    <w:rsid w:val="00B62D94"/>
    <w:rsid w:val="00B632E5"/>
    <w:rsid w:val="00B64306"/>
    <w:rsid w:val="00B648A6"/>
    <w:rsid w:val="00B670F3"/>
    <w:rsid w:val="00B7161B"/>
    <w:rsid w:val="00B723C5"/>
    <w:rsid w:val="00B72D5F"/>
    <w:rsid w:val="00B72EDB"/>
    <w:rsid w:val="00B73738"/>
    <w:rsid w:val="00B73A93"/>
    <w:rsid w:val="00B7528A"/>
    <w:rsid w:val="00B75DBE"/>
    <w:rsid w:val="00B7678E"/>
    <w:rsid w:val="00B7679A"/>
    <w:rsid w:val="00B76CD6"/>
    <w:rsid w:val="00B76DA4"/>
    <w:rsid w:val="00B777CE"/>
    <w:rsid w:val="00B808E3"/>
    <w:rsid w:val="00B80F28"/>
    <w:rsid w:val="00B824A4"/>
    <w:rsid w:val="00B825BB"/>
    <w:rsid w:val="00B84463"/>
    <w:rsid w:val="00B8467A"/>
    <w:rsid w:val="00B8483D"/>
    <w:rsid w:val="00B84D64"/>
    <w:rsid w:val="00B86C1C"/>
    <w:rsid w:val="00B87ED0"/>
    <w:rsid w:val="00B92945"/>
    <w:rsid w:val="00B92D00"/>
    <w:rsid w:val="00B937BB"/>
    <w:rsid w:val="00B9397F"/>
    <w:rsid w:val="00B94B95"/>
    <w:rsid w:val="00B9724A"/>
    <w:rsid w:val="00BA14FD"/>
    <w:rsid w:val="00BA201D"/>
    <w:rsid w:val="00BA270A"/>
    <w:rsid w:val="00BA3F65"/>
    <w:rsid w:val="00BA4209"/>
    <w:rsid w:val="00BA4F8D"/>
    <w:rsid w:val="00BA5166"/>
    <w:rsid w:val="00BA565E"/>
    <w:rsid w:val="00BA6993"/>
    <w:rsid w:val="00BB01B2"/>
    <w:rsid w:val="00BB04AB"/>
    <w:rsid w:val="00BB0949"/>
    <w:rsid w:val="00BB24AC"/>
    <w:rsid w:val="00BB26AA"/>
    <w:rsid w:val="00BB2DCC"/>
    <w:rsid w:val="00BB4D59"/>
    <w:rsid w:val="00BB5A0B"/>
    <w:rsid w:val="00BB5B7F"/>
    <w:rsid w:val="00BB6921"/>
    <w:rsid w:val="00BB7193"/>
    <w:rsid w:val="00BC0F82"/>
    <w:rsid w:val="00BC17EB"/>
    <w:rsid w:val="00BC6826"/>
    <w:rsid w:val="00BC75E6"/>
    <w:rsid w:val="00BC76C7"/>
    <w:rsid w:val="00BD0FC4"/>
    <w:rsid w:val="00BD15B6"/>
    <w:rsid w:val="00BD2989"/>
    <w:rsid w:val="00BD2EF8"/>
    <w:rsid w:val="00BD4E2B"/>
    <w:rsid w:val="00BD58BC"/>
    <w:rsid w:val="00BD638F"/>
    <w:rsid w:val="00BD6698"/>
    <w:rsid w:val="00BD72B2"/>
    <w:rsid w:val="00BD7AD3"/>
    <w:rsid w:val="00BE2569"/>
    <w:rsid w:val="00BE25BD"/>
    <w:rsid w:val="00BE2999"/>
    <w:rsid w:val="00BE3079"/>
    <w:rsid w:val="00BE3685"/>
    <w:rsid w:val="00BE3E9A"/>
    <w:rsid w:val="00BE6297"/>
    <w:rsid w:val="00BF0145"/>
    <w:rsid w:val="00BF06E2"/>
    <w:rsid w:val="00BF19A8"/>
    <w:rsid w:val="00BF26F6"/>
    <w:rsid w:val="00BF2D07"/>
    <w:rsid w:val="00BF4E6F"/>
    <w:rsid w:val="00BF4EEF"/>
    <w:rsid w:val="00BF504C"/>
    <w:rsid w:val="00BF682D"/>
    <w:rsid w:val="00BF6C13"/>
    <w:rsid w:val="00BF6FF3"/>
    <w:rsid w:val="00BF7AD4"/>
    <w:rsid w:val="00C01425"/>
    <w:rsid w:val="00C0181E"/>
    <w:rsid w:val="00C0321F"/>
    <w:rsid w:val="00C03788"/>
    <w:rsid w:val="00C0581E"/>
    <w:rsid w:val="00C073F7"/>
    <w:rsid w:val="00C074C0"/>
    <w:rsid w:val="00C07BA5"/>
    <w:rsid w:val="00C10830"/>
    <w:rsid w:val="00C124F6"/>
    <w:rsid w:val="00C12DCC"/>
    <w:rsid w:val="00C1362F"/>
    <w:rsid w:val="00C144A5"/>
    <w:rsid w:val="00C14578"/>
    <w:rsid w:val="00C14B53"/>
    <w:rsid w:val="00C157F2"/>
    <w:rsid w:val="00C15D4F"/>
    <w:rsid w:val="00C16365"/>
    <w:rsid w:val="00C16655"/>
    <w:rsid w:val="00C2066A"/>
    <w:rsid w:val="00C22720"/>
    <w:rsid w:val="00C2277A"/>
    <w:rsid w:val="00C22CEF"/>
    <w:rsid w:val="00C2313E"/>
    <w:rsid w:val="00C24333"/>
    <w:rsid w:val="00C26FE9"/>
    <w:rsid w:val="00C30689"/>
    <w:rsid w:val="00C308A1"/>
    <w:rsid w:val="00C30CA2"/>
    <w:rsid w:val="00C32DEF"/>
    <w:rsid w:val="00C33101"/>
    <w:rsid w:val="00C33445"/>
    <w:rsid w:val="00C33D87"/>
    <w:rsid w:val="00C34624"/>
    <w:rsid w:val="00C3481D"/>
    <w:rsid w:val="00C354AE"/>
    <w:rsid w:val="00C35578"/>
    <w:rsid w:val="00C40834"/>
    <w:rsid w:val="00C40A56"/>
    <w:rsid w:val="00C40B22"/>
    <w:rsid w:val="00C40C6B"/>
    <w:rsid w:val="00C42106"/>
    <w:rsid w:val="00C428A4"/>
    <w:rsid w:val="00C4291F"/>
    <w:rsid w:val="00C43710"/>
    <w:rsid w:val="00C4389C"/>
    <w:rsid w:val="00C451D2"/>
    <w:rsid w:val="00C45E05"/>
    <w:rsid w:val="00C46485"/>
    <w:rsid w:val="00C472A3"/>
    <w:rsid w:val="00C502D5"/>
    <w:rsid w:val="00C50A94"/>
    <w:rsid w:val="00C52098"/>
    <w:rsid w:val="00C524F6"/>
    <w:rsid w:val="00C537F5"/>
    <w:rsid w:val="00C53B77"/>
    <w:rsid w:val="00C53C0C"/>
    <w:rsid w:val="00C54354"/>
    <w:rsid w:val="00C54A5F"/>
    <w:rsid w:val="00C56C18"/>
    <w:rsid w:val="00C572CC"/>
    <w:rsid w:val="00C60889"/>
    <w:rsid w:val="00C610CE"/>
    <w:rsid w:val="00C62F5B"/>
    <w:rsid w:val="00C63D0F"/>
    <w:rsid w:val="00C63FCE"/>
    <w:rsid w:val="00C65272"/>
    <w:rsid w:val="00C65308"/>
    <w:rsid w:val="00C659D4"/>
    <w:rsid w:val="00C65DC9"/>
    <w:rsid w:val="00C670BA"/>
    <w:rsid w:val="00C67E7F"/>
    <w:rsid w:val="00C709B4"/>
    <w:rsid w:val="00C70E0D"/>
    <w:rsid w:val="00C7343F"/>
    <w:rsid w:val="00C7475F"/>
    <w:rsid w:val="00C755A9"/>
    <w:rsid w:val="00C75F44"/>
    <w:rsid w:val="00C775B5"/>
    <w:rsid w:val="00C77889"/>
    <w:rsid w:val="00C77AB9"/>
    <w:rsid w:val="00C82711"/>
    <w:rsid w:val="00C82874"/>
    <w:rsid w:val="00C82A9E"/>
    <w:rsid w:val="00C837F2"/>
    <w:rsid w:val="00C83F0C"/>
    <w:rsid w:val="00C84813"/>
    <w:rsid w:val="00C85225"/>
    <w:rsid w:val="00C85E94"/>
    <w:rsid w:val="00C862C8"/>
    <w:rsid w:val="00C86809"/>
    <w:rsid w:val="00C8797E"/>
    <w:rsid w:val="00C902A3"/>
    <w:rsid w:val="00C904FD"/>
    <w:rsid w:val="00C91D94"/>
    <w:rsid w:val="00C92CD1"/>
    <w:rsid w:val="00C9394D"/>
    <w:rsid w:val="00C93C9D"/>
    <w:rsid w:val="00C94987"/>
    <w:rsid w:val="00C9634E"/>
    <w:rsid w:val="00C97BD5"/>
    <w:rsid w:val="00C97F48"/>
    <w:rsid w:val="00CA07A5"/>
    <w:rsid w:val="00CA0DD8"/>
    <w:rsid w:val="00CA1982"/>
    <w:rsid w:val="00CA2DFB"/>
    <w:rsid w:val="00CA2EF7"/>
    <w:rsid w:val="00CA2FD8"/>
    <w:rsid w:val="00CA3112"/>
    <w:rsid w:val="00CA5039"/>
    <w:rsid w:val="00CA5741"/>
    <w:rsid w:val="00CA620C"/>
    <w:rsid w:val="00CA768A"/>
    <w:rsid w:val="00CB2844"/>
    <w:rsid w:val="00CB37EA"/>
    <w:rsid w:val="00CB38D0"/>
    <w:rsid w:val="00CB4606"/>
    <w:rsid w:val="00CB4D60"/>
    <w:rsid w:val="00CB5D02"/>
    <w:rsid w:val="00CB633E"/>
    <w:rsid w:val="00CB6BCC"/>
    <w:rsid w:val="00CB723D"/>
    <w:rsid w:val="00CC080A"/>
    <w:rsid w:val="00CC0D81"/>
    <w:rsid w:val="00CC1282"/>
    <w:rsid w:val="00CC394D"/>
    <w:rsid w:val="00CC52D3"/>
    <w:rsid w:val="00CC548D"/>
    <w:rsid w:val="00CC5D9A"/>
    <w:rsid w:val="00CC69B1"/>
    <w:rsid w:val="00CC6D37"/>
    <w:rsid w:val="00CD01DC"/>
    <w:rsid w:val="00CD02D8"/>
    <w:rsid w:val="00CD0A7E"/>
    <w:rsid w:val="00CD0DA2"/>
    <w:rsid w:val="00CD0E64"/>
    <w:rsid w:val="00CD1B98"/>
    <w:rsid w:val="00CD1C52"/>
    <w:rsid w:val="00CD29DE"/>
    <w:rsid w:val="00CD30CA"/>
    <w:rsid w:val="00CD3339"/>
    <w:rsid w:val="00CD3539"/>
    <w:rsid w:val="00CD36F7"/>
    <w:rsid w:val="00CD4EB3"/>
    <w:rsid w:val="00CD531C"/>
    <w:rsid w:val="00CD7FA1"/>
    <w:rsid w:val="00CE0016"/>
    <w:rsid w:val="00CE2877"/>
    <w:rsid w:val="00CE30B0"/>
    <w:rsid w:val="00CE3D0C"/>
    <w:rsid w:val="00CE3D46"/>
    <w:rsid w:val="00CE41A2"/>
    <w:rsid w:val="00CE6269"/>
    <w:rsid w:val="00CE634D"/>
    <w:rsid w:val="00CE689E"/>
    <w:rsid w:val="00CE71C3"/>
    <w:rsid w:val="00CE72A0"/>
    <w:rsid w:val="00CF0280"/>
    <w:rsid w:val="00CF098B"/>
    <w:rsid w:val="00CF0D1E"/>
    <w:rsid w:val="00CF0FD3"/>
    <w:rsid w:val="00CF135C"/>
    <w:rsid w:val="00CF1D8F"/>
    <w:rsid w:val="00CF229B"/>
    <w:rsid w:val="00CF3205"/>
    <w:rsid w:val="00CF3979"/>
    <w:rsid w:val="00CF3E17"/>
    <w:rsid w:val="00CF3ED2"/>
    <w:rsid w:val="00CF4335"/>
    <w:rsid w:val="00CF45E6"/>
    <w:rsid w:val="00CF63A1"/>
    <w:rsid w:val="00CF6DC4"/>
    <w:rsid w:val="00D0002F"/>
    <w:rsid w:val="00D00049"/>
    <w:rsid w:val="00D0240E"/>
    <w:rsid w:val="00D0247E"/>
    <w:rsid w:val="00D0359A"/>
    <w:rsid w:val="00D0439E"/>
    <w:rsid w:val="00D04EFF"/>
    <w:rsid w:val="00D05223"/>
    <w:rsid w:val="00D0535E"/>
    <w:rsid w:val="00D0567A"/>
    <w:rsid w:val="00D07CF0"/>
    <w:rsid w:val="00D11098"/>
    <w:rsid w:val="00D112CE"/>
    <w:rsid w:val="00D126FA"/>
    <w:rsid w:val="00D12BEF"/>
    <w:rsid w:val="00D13849"/>
    <w:rsid w:val="00D14E61"/>
    <w:rsid w:val="00D14F19"/>
    <w:rsid w:val="00D15A80"/>
    <w:rsid w:val="00D20DF6"/>
    <w:rsid w:val="00D23DD8"/>
    <w:rsid w:val="00D25CF6"/>
    <w:rsid w:val="00D26BCC"/>
    <w:rsid w:val="00D30695"/>
    <w:rsid w:val="00D31216"/>
    <w:rsid w:val="00D31FBD"/>
    <w:rsid w:val="00D32DED"/>
    <w:rsid w:val="00D3504B"/>
    <w:rsid w:val="00D364C8"/>
    <w:rsid w:val="00D3688E"/>
    <w:rsid w:val="00D36A5D"/>
    <w:rsid w:val="00D37377"/>
    <w:rsid w:val="00D4080A"/>
    <w:rsid w:val="00D413EA"/>
    <w:rsid w:val="00D41626"/>
    <w:rsid w:val="00D41A12"/>
    <w:rsid w:val="00D41E95"/>
    <w:rsid w:val="00D420C5"/>
    <w:rsid w:val="00D4221B"/>
    <w:rsid w:val="00D42640"/>
    <w:rsid w:val="00D42F64"/>
    <w:rsid w:val="00D433F5"/>
    <w:rsid w:val="00D455F8"/>
    <w:rsid w:val="00D4576B"/>
    <w:rsid w:val="00D45DE5"/>
    <w:rsid w:val="00D46381"/>
    <w:rsid w:val="00D4661B"/>
    <w:rsid w:val="00D46BE8"/>
    <w:rsid w:val="00D47C9C"/>
    <w:rsid w:val="00D506F1"/>
    <w:rsid w:val="00D50A05"/>
    <w:rsid w:val="00D513C9"/>
    <w:rsid w:val="00D52173"/>
    <w:rsid w:val="00D52F2A"/>
    <w:rsid w:val="00D53F32"/>
    <w:rsid w:val="00D5410F"/>
    <w:rsid w:val="00D54917"/>
    <w:rsid w:val="00D54B9A"/>
    <w:rsid w:val="00D5560E"/>
    <w:rsid w:val="00D57F4D"/>
    <w:rsid w:val="00D61510"/>
    <w:rsid w:val="00D62711"/>
    <w:rsid w:val="00D6276D"/>
    <w:rsid w:val="00D62A71"/>
    <w:rsid w:val="00D62F89"/>
    <w:rsid w:val="00D63E38"/>
    <w:rsid w:val="00D64176"/>
    <w:rsid w:val="00D65BFF"/>
    <w:rsid w:val="00D65C71"/>
    <w:rsid w:val="00D6647B"/>
    <w:rsid w:val="00D67CBB"/>
    <w:rsid w:val="00D70F91"/>
    <w:rsid w:val="00D71983"/>
    <w:rsid w:val="00D71C31"/>
    <w:rsid w:val="00D75229"/>
    <w:rsid w:val="00D755A1"/>
    <w:rsid w:val="00D75DCC"/>
    <w:rsid w:val="00D7639C"/>
    <w:rsid w:val="00D77E85"/>
    <w:rsid w:val="00D81CA7"/>
    <w:rsid w:val="00D82EAA"/>
    <w:rsid w:val="00D831BE"/>
    <w:rsid w:val="00D845EB"/>
    <w:rsid w:val="00D84923"/>
    <w:rsid w:val="00D84E9F"/>
    <w:rsid w:val="00D87563"/>
    <w:rsid w:val="00D876D0"/>
    <w:rsid w:val="00D87E46"/>
    <w:rsid w:val="00D90226"/>
    <w:rsid w:val="00D90242"/>
    <w:rsid w:val="00D91782"/>
    <w:rsid w:val="00D91E39"/>
    <w:rsid w:val="00D943BF"/>
    <w:rsid w:val="00D979D3"/>
    <w:rsid w:val="00D97FCE"/>
    <w:rsid w:val="00DA0833"/>
    <w:rsid w:val="00DA2449"/>
    <w:rsid w:val="00DA2675"/>
    <w:rsid w:val="00DA5139"/>
    <w:rsid w:val="00DA5B1B"/>
    <w:rsid w:val="00DA6041"/>
    <w:rsid w:val="00DA6D43"/>
    <w:rsid w:val="00DA7870"/>
    <w:rsid w:val="00DB0DC3"/>
    <w:rsid w:val="00DB0F50"/>
    <w:rsid w:val="00DB135E"/>
    <w:rsid w:val="00DB37B0"/>
    <w:rsid w:val="00DB4823"/>
    <w:rsid w:val="00DB4AC5"/>
    <w:rsid w:val="00DB5D95"/>
    <w:rsid w:val="00DC034E"/>
    <w:rsid w:val="00DC1AB3"/>
    <w:rsid w:val="00DC1C96"/>
    <w:rsid w:val="00DC2263"/>
    <w:rsid w:val="00DC28B5"/>
    <w:rsid w:val="00DC29DD"/>
    <w:rsid w:val="00DC30BB"/>
    <w:rsid w:val="00DC3663"/>
    <w:rsid w:val="00DC44AB"/>
    <w:rsid w:val="00DC4AC2"/>
    <w:rsid w:val="00DC507D"/>
    <w:rsid w:val="00DC6881"/>
    <w:rsid w:val="00DC6906"/>
    <w:rsid w:val="00DC7442"/>
    <w:rsid w:val="00DC746B"/>
    <w:rsid w:val="00DC7F1D"/>
    <w:rsid w:val="00DD007F"/>
    <w:rsid w:val="00DD1429"/>
    <w:rsid w:val="00DD1C71"/>
    <w:rsid w:val="00DD1D26"/>
    <w:rsid w:val="00DD3672"/>
    <w:rsid w:val="00DD3684"/>
    <w:rsid w:val="00DD4240"/>
    <w:rsid w:val="00DD46B6"/>
    <w:rsid w:val="00DD6F14"/>
    <w:rsid w:val="00DE0C05"/>
    <w:rsid w:val="00DE2951"/>
    <w:rsid w:val="00DE295A"/>
    <w:rsid w:val="00DE2DAC"/>
    <w:rsid w:val="00DE4802"/>
    <w:rsid w:val="00DE4B74"/>
    <w:rsid w:val="00DE5223"/>
    <w:rsid w:val="00DE5B1D"/>
    <w:rsid w:val="00DE6728"/>
    <w:rsid w:val="00DE7351"/>
    <w:rsid w:val="00DE7898"/>
    <w:rsid w:val="00DF1FCE"/>
    <w:rsid w:val="00DF3082"/>
    <w:rsid w:val="00DF3377"/>
    <w:rsid w:val="00DF34CD"/>
    <w:rsid w:val="00DF56F5"/>
    <w:rsid w:val="00DF6A09"/>
    <w:rsid w:val="00DF6D1D"/>
    <w:rsid w:val="00DF7EE9"/>
    <w:rsid w:val="00E008E0"/>
    <w:rsid w:val="00E011C1"/>
    <w:rsid w:val="00E011EE"/>
    <w:rsid w:val="00E02FC5"/>
    <w:rsid w:val="00E03295"/>
    <w:rsid w:val="00E05A80"/>
    <w:rsid w:val="00E06EEC"/>
    <w:rsid w:val="00E07418"/>
    <w:rsid w:val="00E07438"/>
    <w:rsid w:val="00E075BE"/>
    <w:rsid w:val="00E1038F"/>
    <w:rsid w:val="00E10B18"/>
    <w:rsid w:val="00E10C8F"/>
    <w:rsid w:val="00E11BA0"/>
    <w:rsid w:val="00E11C12"/>
    <w:rsid w:val="00E13ABE"/>
    <w:rsid w:val="00E13E77"/>
    <w:rsid w:val="00E14142"/>
    <w:rsid w:val="00E144D2"/>
    <w:rsid w:val="00E17D6E"/>
    <w:rsid w:val="00E20E75"/>
    <w:rsid w:val="00E2260D"/>
    <w:rsid w:val="00E236D1"/>
    <w:rsid w:val="00E23C2B"/>
    <w:rsid w:val="00E23D50"/>
    <w:rsid w:val="00E23EE3"/>
    <w:rsid w:val="00E25B7B"/>
    <w:rsid w:val="00E27301"/>
    <w:rsid w:val="00E3026C"/>
    <w:rsid w:val="00E31644"/>
    <w:rsid w:val="00E31C22"/>
    <w:rsid w:val="00E32B3C"/>
    <w:rsid w:val="00E3337F"/>
    <w:rsid w:val="00E3379E"/>
    <w:rsid w:val="00E34388"/>
    <w:rsid w:val="00E3501C"/>
    <w:rsid w:val="00E3504E"/>
    <w:rsid w:val="00E35B43"/>
    <w:rsid w:val="00E35BA4"/>
    <w:rsid w:val="00E37237"/>
    <w:rsid w:val="00E37917"/>
    <w:rsid w:val="00E3796E"/>
    <w:rsid w:val="00E37E24"/>
    <w:rsid w:val="00E40C7D"/>
    <w:rsid w:val="00E41A00"/>
    <w:rsid w:val="00E43BBF"/>
    <w:rsid w:val="00E43E4E"/>
    <w:rsid w:val="00E44B5D"/>
    <w:rsid w:val="00E45175"/>
    <w:rsid w:val="00E45599"/>
    <w:rsid w:val="00E50E16"/>
    <w:rsid w:val="00E510A3"/>
    <w:rsid w:val="00E514DC"/>
    <w:rsid w:val="00E53F22"/>
    <w:rsid w:val="00E57250"/>
    <w:rsid w:val="00E57E64"/>
    <w:rsid w:val="00E60178"/>
    <w:rsid w:val="00E602B0"/>
    <w:rsid w:val="00E61057"/>
    <w:rsid w:val="00E6136D"/>
    <w:rsid w:val="00E62BEE"/>
    <w:rsid w:val="00E631E4"/>
    <w:rsid w:val="00E636FD"/>
    <w:rsid w:val="00E6407A"/>
    <w:rsid w:val="00E64B81"/>
    <w:rsid w:val="00E6580E"/>
    <w:rsid w:val="00E668FD"/>
    <w:rsid w:val="00E7294E"/>
    <w:rsid w:val="00E751E2"/>
    <w:rsid w:val="00E75C52"/>
    <w:rsid w:val="00E77313"/>
    <w:rsid w:val="00E80508"/>
    <w:rsid w:val="00E80AEA"/>
    <w:rsid w:val="00E818B6"/>
    <w:rsid w:val="00E83497"/>
    <w:rsid w:val="00E838B5"/>
    <w:rsid w:val="00E83AE7"/>
    <w:rsid w:val="00E83C30"/>
    <w:rsid w:val="00E84A56"/>
    <w:rsid w:val="00E84EC0"/>
    <w:rsid w:val="00E854E4"/>
    <w:rsid w:val="00E8615F"/>
    <w:rsid w:val="00E8645D"/>
    <w:rsid w:val="00E87615"/>
    <w:rsid w:val="00E87C2C"/>
    <w:rsid w:val="00E903D2"/>
    <w:rsid w:val="00E90DF3"/>
    <w:rsid w:val="00E917ED"/>
    <w:rsid w:val="00E932D8"/>
    <w:rsid w:val="00E93A51"/>
    <w:rsid w:val="00E93B07"/>
    <w:rsid w:val="00E96AC6"/>
    <w:rsid w:val="00E97B3B"/>
    <w:rsid w:val="00E97CB9"/>
    <w:rsid w:val="00EA08DE"/>
    <w:rsid w:val="00EA1864"/>
    <w:rsid w:val="00EA18FA"/>
    <w:rsid w:val="00EA2712"/>
    <w:rsid w:val="00EA277A"/>
    <w:rsid w:val="00EA396A"/>
    <w:rsid w:val="00EA3AA7"/>
    <w:rsid w:val="00EA4178"/>
    <w:rsid w:val="00EA4638"/>
    <w:rsid w:val="00EA5E7A"/>
    <w:rsid w:val="00EA6707"/>
    <w:rsid w:val="00EA6DFA"/>
    <w:rsid w:val="00EA7D55"/>
    <w:rsid w:val="00EA7FAD"/>
    <w:rsid w:val="00EB1B74"/>
    <w:rsid w:val="00EB29EB"/>
    <w:rsid w:val="00EB2B5F"/>
    <w:rsid w:val="00EB2DA2"/>
    <w:rsid w:val="00EB30B7"/>
    <w:rsid w:val="00EB3A04"/>
    <w:rsid w:val="00EB3C31"/>
    <w:rsid w:val="00EB4017"/>
    <w:rsid w:val="00EB43B3"/>
    <w:rsid w:val="00EB51A8"/>
    <w:rsid w:val="00EB587F"/>
    <w:rsid w:val="00EB5A92"/>
    <w:rsid w:val="00EB6567"/>
    <w:rsid w:val="00EB7194"/>
    <w:rsid w:val="00EB7B65"/>
    <w:rsid w:val="00EB7C1D"/>
    <w:rsid w:val="00EC03D0"/>
    <w:rsid w:val="00EC149C"/>
    <w:rsid w:val="00EC21B9"/>
    <w:rsid w:val="00EC29AB"/>
    <w:rsid w:val="00EC2D7C"/>
    <w:rsid w:val="00EC3B95"/>
    <w:rsid w:val="00EC60CE"/>
    <w:rsid w:val="00EC6123"/>
    <w:rsid w:val="00EC66FA"/>
    <w:rsid w:val="00EC6C08"/>
    <w:rsid w:val="00EC784B"/>
    <w:rsid w:val="00ED0AF6"/>
    <w:rsid w:val="00ED27C1"/>
    <w:rsid w:val="00ED28D5"/>
    <w:rsid w:val="00ED29CC"/>
    <w:rsid w:val="00ED2B97"/>
    <w:rsid w:val="00ED303B"/>
    <w:rsid w:val="00ED490E"/>
    <w:rsid w:val="00ED50AF"/>
    <w:rsid w:val="00ED50C6"/>
    <w:rsid w:val="00ED5743"/>
    <w:rsid w:val="00ED5CF5"/>
    <w:rsid w:val="00ED644E"/>
    <w:rsid w:val="00ED6C5E"/>
    <w:rsid w:val="00ED770F"/>
    <w:rsid w:val="00ED787A"/>
    <w:rsid w:val="00EE0162"/>
    <w:rsid w:val="00EE0267"/>
    <w:rsid w:val="00EE06A6"/>
    <w:rsid w:val="00EE080B"/>
    <w:rsid w:val="00EE283E"/>
    <w:rsid w:val="00EE28EA"/>
    <w:rsid w:val="00EE43BD"/>
    <w:rsid w:val="00EE5C13"/>
    <w:rsid w:val="00EE647A"/>
    <w:rsid w:val="00EF1591"/>
    <w:rsid w:val="00EF1E18"/>
    <w:rsid w:val="00EF2C24"/>
    <w:rsid w:val="00EF3196"/>
    <w:rsid w:val="00EF3205"/>
    <w:rsid w:val="00EF354E"/>
    <w:rsid w:val="00EF3DB1"/>
    <w:rsid w:val="00EF3EE0"/>
    <w:rsid w:val="00EF4CCA"/>
    <w:rsid w:val="00EF4F84"/>
    <w:rsid w:val="00F0003C"/>
    <w:rsid w:val="00F00CC5"/>
    <w:rsid w:val="00F00D78"/>
    <w:rsid w:val="00F00F32"/>
    <w:rsid w:val="00F010CB"/>
    <w:rsid w:val="00F01424"/>
    <w:rsid w:val="00F01B13"/>
    <w:rsid w:val="00F021E3"/>
    <w:rsid w:val="00F02805"/>
    <w:rsid w:val="00F046A5"/>
    <w:rsid w:val="00F04767"/>
    <w:rsid w:val="00F04F49"/>
    <w:rsid w:val="00F05393"/>
    <w:rsid w:val="00F05B04"/>
    <w:rsid w:val="00F06694"/>
    <w:rsid w:val="00F06750"/>
    <w:rsid w:val="00F067CE"/>
    <w:rsid w:val="00F06E29"/>
    <w:rsid w:val="00F10793"/>
    <w:rsid w:val="00F13245"/>
    <w:rsid w:val="00F144DF"/>
    <w:rsid w:val="00F152EA"/>
    <w:rsid w:val="00F1655F"/>
    <w:rsid w:val="00F16AFA"/>
    <w:rsid w:val="00F17502"/>
    <w:rsid w:val="00F20014"/>
    <w:rsid w:val="00F2071D"/>
    <w:rsid w:val="00F210E6"/>
    <w:rsid w:val="00F211BD"/>
    <w:rsid w:val="00F21EE5"/>
    <w:rsid w:val="00F233F6"/>
    <w:rsid w:val="00F234FC"/>
    <w:rsid w:val="00F23916"/>
    <w:rsid w:val="00F24E37"/>
    <w:rsid w:val="00F257B7"/>
    <w:rsid w:val="00F2676D"/>
    <w:rsid w:val="00F306EB"/>
    <w:rsid w:val="00F324D8"/>
    <w:rsid w:val="00F3611D"/>
    <w:rsid w:val="00F36F5C"/>
    <w:rsid w:val="00F406A5"/>
    <w:rsid w:val="00F4283E"/>
    <w:rsid w:val="00F42C5A"/>
    <w:rsid w:val="00F43A3C"/>
    <w:rsid w:val="00F43DE6"/>
    <w:rsid w:val="00F44219"/>
    <w:rsid w:val="00F44616"/>
    <w:rsid w:val="00F45E89"/>
    <w:rsid w:val="00F46C64"/>
    <w:rsid w:val="00F4700E"/>
    <w:rsid w:val="00F50449"/>
    <w:rsid w:val="00F5080D"/>
    <w:rsid w:val="00F5224D"/>
    <w:rsid w:val="00F53BDD"/>
    <w:rsid w:val="00F53FEA"/>
    <w:rsid w:val="00F5575C"/>
    <w:rsid w:val="00F564DD"/>
    <w:rsid w:val="00F571CC"/>
    <w:rsid w:val="00F60637"/>
    <w:rsid w:val="00F615CA"/>
    <w:rsid w:val="00F61C12"/>
    <w:rsid w:val="00F6279F"/>
    <w:rsid w:val="00F62872"/>
    <w:rsid w:val="00F632FD"/>
    <w:rsid w:val="00F63517"/>
    <w:rsid w:val="00F63A82"/>
    <w:rsid w:val="00F63C39"/>
    <w:rsid w:val="00F64F48"/>
    <w:rsid w:val="00F64FC7"/>
    <w:rsid w:val="00F67831"/>
    <w:rsid w:val="00F67AB4"/>
    <w:rsid w:val="00F70059"/>
    <w:rsid w:val="00F70217"/>
    <w:rsid w:val="00F72142"/>
    <w:rsid w:val="00F7258A"/>
    <w:rsid w:val="00F72B2B"/>
    <w:rsid w:val="00F73794"/>
    <w:rsid w:val="00F756F4"/>
    <w:rsid w:val="00F7662C"/>
    <w:rsid w:val="00F76B2B"/>
    <w:rsid w:val="00F778EF"/>
    <w:rsid w:val="00F80924"/>
    <w:rsid w:val="00F809CD"/>
    <w:rsid w:val="00F80A6B"/>
    <w:rsid w:val="00F812A3"/>
    <w:rsid w:val="00F81B3E"/>
    <w:rsid w:val="00F81B68"/>
    <w:rsid w:val="00F8360C"/>
    <w:rsid w:val="00F840B8"/>
    <w:rsid w:val="00F86877"/>
    <w:rsid w:val="00F871ED"/>
    <w:rsid w:val="00F87535"/>
    <w:rsid w:val="00F9007C"/>
    <w:rsid w:val="00F91292"/>
    <w:rsid w:val="00F9351B"/>
    <w:rsid w:val="00F93685"/>
    <w:rsid w:val="00F9432C"/>
    <w:rsid w:val="00F9473B"/>
    <w:rsid w:val="00F95305"/>
    <w:rsid w:val="00F95BAE"/>
    <w:rsid w:val="00F96156"/>
    <w:rsid w:val="00F96764"/>
    <w:rsid w:val="00F96B56"/>
    <w:rsid w:val="00FA1504"/>
    <w:rsid w:val="00FA1FE0"/>
    <w:rsid w:val="00FA367F"/>
    <w:rsid w:val="00FA373B"/>
    <w:rsid w:val="00FA3B7A"/>
    <w:rsid w:val="00FA3EBA"/>
    <w:rsid w:val="00FA4CCD"/>
    <w:rsid w:val="00FA4F60"/>
    <w:rsid w:val="00FA5EE1"/>
    <w:rsid w:val="00FB002C"/>
    <w:rsid w:val="00FB06B0"/>
    <w:rsid w:val="00FB168C"/>
    <w:rsid w:val="00FB3618"/>
    <w:rsid w:val="00FB367A"/>
    <w:rsid w:val="00FB4D45"/>
    <w:rsid w:val="00FB521D"/>
    <w:rsid w:val="00FB562E"/>
    <w:rsid w:val="00FB6DEC"/>
    <w:rsid w:val="00FB70C4"/>
    <w:rsid w:val="00FB7814"/>
    <w:rsid w:val="00FB7EEF"/>
    <w:rsid w:val="00FC00FB"/>
    <w:rsid w:val="00FC0B30"/>
    <w:rsid w:val="00FC0DCC"/>
    <w:rsid w:val="00FC1742"/>
    <w:rsid w:val="00FC1D6E"/>
    <w:rsid w:val="00FC30A3"/>
    <w:rsid w:val="00FC4261"/>
    <w:rsid w:val="00FC5C95"/>
    <w:rsid w:val="00FC7430"/>
    <w:rsid w:val="00FD0565"/>
    <w:rsid w:val="00FD0858"/>
    <w:rsid w:val="00FD09CD"/>
    <w:rsid w:val="00FD42F7"/>
    <w:rsid w:val="00FD4322"/>
    <w:rsid w:val="00FD4691"/>
    <w:rsid w:val="00FD5637"/>
    <w:rsid w:val="00FD57C6"/>
    <w:rsid w:val="00FD61A5"/>
    <w:rsid w:val="00FD67C5"/>
    <w:rsid w:val="00FD7650"/>
    <w:rsid w:val="00FE0A70"/>
    <w:rsid w:val="00FE0B8F"/>
    <w:rsid w:val="00FE1278"/>
    <w:rsid w:val="00FE15E5"/>
    <w:rsid w:val="00FE20B1"/>
    <w:rsid w:val="00FE2342"/>
    <w:rsid w:val="00FE3025"/>
    <w:rsid w:val="00FE3618"/>
    <w:rsid w:val="00FE3DBE"/>
    <w:rsid w:val="00FE5080"/>
    <w:rsid w:val="00FE53A9"/>
    <w:rsid w:val="00FE78ED"/>
    <w:rsid w:val="00FF18D2"/>
    <w:rsid w:val="00FF2F27"/>
    <w:rsid w:val="00FF370B"/>
    <w:rsid w:val="00FF37DF"/>
    <w:rsid w:val="00FF38BB"/>
    <w:rsid w:val="00FF3B90"/>
    <w:rsid w:val="00FF41D6"/>
    <w:rsid w:val="00FF458B"/>
    <w:rsid w:val="00FF5D2D"/>
    <w:rsid w:val="00FF71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6D4311"/>
  <w15:chartTrackingRefBased/>
  <w15:docId w15:val="{A05F276F-EEA7-4FC1-AA67-D4994A34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6EEC"/>
    <w:pPr>
      <w:ind w:firstLine="360"/>
    </w:pPr>
    <w:rPr>
      <w:sz w:val="22"/>
      <w:szCs w:val="22"/>
      <w:lang w:bidi="en-US"/>
    </w:rPr>
  </w:style>
  <w:style w:type="paragraph" w:styleId="Heading1">
    <w:name w:val="heading 1"/>
    <w:basedOn w:val="Normal"/>
    <w:next w:val="Normal"/>
    <w:link w:val="Heading1Char"/>
    <w:uiPriority w:val="9"/>
    <w:qFormat/>
    <w:rsid w:val="005B6EEC"/>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
    <w:semiHidden/>
    <w:unhideWhenUsed/>
    <w:qFormat/>
    <w:rsid w:val="005B6EEC"/>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semiHidden/>
    <w:unhideWhenUsed/>
    <w:qFormat/>
    <w:rsid w:val="005B6EEC"/>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semiHidden/>
    <w:unhideWhenUsed/>
    <w:qFormat/>
    <w:rsid w:val="005B6EEC"/>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5B6EEC"/>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5B6EEC"/>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5B6EEC"/>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5B6EEC"/>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5B6EEC"/>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723B9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6EEC"/>
    <w:rPr>
      <w:color w:val="0000FF"/>
      <w:u w:val="single"/>
    </w:rPr>
  </w:style>
  <w:style w:type="character" w:customStyle="1" w:styleId="Heading1Char">
    <w:name w:val="Heading 1 Char"/>
    <w:link w:val="Heading1"/>
    <w:uiPriority w:val="99"/>
    <w:rsid w:val="005B6EEC"/>
    <w:rPr>
      <w:rFonts w:ascii="Cambria" w:eastAsia="Times New Roman" w:hAnsi="Cambria" w:cs="Times New Roman"/>
      <w:b/>
      <w:bCs/>
      <w:color w:val="365F91"/>
      <w:sz w:val="24"/>
      <w:szCs w:val="24"/>
    </w:rPr>
  </w:style>
  <w:style w:type="character" w:customStyle="1" w:styleId="Heading2Char">
    <w:name w:val="Heading 2 Char"/>
    <w:link w:val="Heading2"/>
    <w:uiPriority w:val="9"/>
    <w:semiHidden/>
    <w:rsid w:val="005B6EEC"/>
    <w:rPr>
      <w:rFonts w:ascii="Cambria" w:eastAsia="Times New Roman" w:hAnsi="Cambria" w:cs="Times New Roman"/>
      <w:color w:val="365F91"/>
      <w:sz w:val="24"/>
      <w:szCs w:val="24"/>
    </w:rPr>
  </w:style>
  <w:style w:type="character" w:customStyle="1" w:styleId="Heading3Char">
    <w:name w:val="Heading 3 Char"/>
    <w:link w:val="Heading3"/>
    <w:uiPriority w:val="9"/>
    <w:semiHidden/>
    <w:rsid w:val="005B6EEC"/>
    <w:rPr>
      <w:rFonts w:ascii="Cambria" w:eastAsia="Times New Roman" w:hAnsi="Cambria" w:cs="Times New Roman"/>
      <w:color w:val="4F81BD"/>
      <w:sz w:val="24"/>
      <w:szCs w:val="24"/>
    </w:rPr>
  </w:style>
  <w:style w:type="character" w:customStyle="1" w:styleId="Heading4Char">
    <w:name w:val="Heading 4 Char"/>
    <w:link w:val="Heading4"/>
    <w:uiPriority w:val="9"/>
    <w:semiHidden/>
    <w:rsid w:val="005B6EEC"/>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5B6EEC"/>
    <w:rPr>
      <w:rFonts w:ascii="Cambria" w:eastAsia="Times New Roman" w:hAnsi="Cambria" w:cs="Times New Roman"/>
      <w:color w:val="4F81BD"/>
    </w:rPr>
  </w:style>
  <w:style w:type="character" w:customStyle="1" w:styleId="Heading6Char">
    <w:name w:val="Heading 6 Char"/>
    <w:link w:val="Heading6"/>
    <w:uiPriority w:val="9"/>
    <w:semiHidden/>
    <w:rsid w:val="005B6EEC"/>
    <w:rPr>
      <w:rFonts w:ascii="Cambria" w:eastAsia="Times New Roman" w:hAnsi="Cambria" w:cs="Times New Roman"/>
      <w:i/>
      <w:iCs/>
      <w:color w:val="4F81BD"/>
    </w:rPr>
  </w:style>
  <w:style w:type="character" w:customStyle="1" w:styleId="Heading7Char">
    <w:name w:val="Heading 7 Char"/>
    <w:link w:val="Heading7"/>
    <w:uiPriority w:val="9"/>
    <w:semiHidden/>
    <w:rsid w:val="005B6EEC"/>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5B6EEC"/>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5B6EEC"/>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5B6EEC"/>
    <w:rPr>
      <w:b/>
      <w:bCs/>
      <w:sz w:val="18"/>
      <w:szCs w:val="18"/>
    </w:rPr>
  </w:style>
  <w:style w:type="paragraph" w:styleId="Title">
    <w:name w:val="Title"/>
    <w:basedOn w:val="Normal"/>
    <w:next w:val="Normal"/>
    <w:link w:val="TitleChar"/>
    <w:uiPriority w:val="10"/>
    <w:qFormat/>
    <w:rsid w:val="005B6EEC"/>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link w:val="Title"/>
    <w:uiPriority w:val="10"/>
    <w:rsid w:val="005B6EEC"/>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5B6EEC"/>
    <w:pPr>
      <w:spacing w:before="200" w:after="900"/>
      <w:ind w:firstLine="0"/>
      <w:jc w:val="right"/>
    </w:pPr>
    <w:rPr>
      <w:i/>
      <w:iCs/>
      <w:sz w:val="24"/>
      <w:szCs w:val="24"/>
    </w:rPr>
  </w:style>
  <w:style w:type="character" w:customStyle="1" w:styleId="SubtitleChar">
    <w:name w:val="Subtitle Char"/>
    <w:link w:val="Subtitle"/>
    <w:uiPriority w:val="11"/>
    <w:rsid w:val="005B6EEC"/>
    <w:rPr>
      <w:rFonts w:ascii="Calibri"/>
      <w:i/>
      <w:iCs/>
      <w:sz w:val="24"/>
      <w:szCs w:val="24"/>
    </w:rPr>
  </w:style>
  <w:style w:type="character" w:styleId="Strong">
    <w:name w:val="Strong"/>
    <w:uiPriority w:val="22"/>
    <w:qFormat/>
    <w:rsid w:val="005B6EEC"/>
    <w:rPr>
      <w:b/>
      <w:bCs/>
      <w:spacing w:val="0"/>
    </w:rPr>
  </w:style>
  <w:style w:type="character" w:styleId="Emphasis">
    <w:name w:val="Emphasis"/>
    <w:uiPriority w:val="20"/>
    <w:qFormat/>
    <w:rsid w:val="005B6EEC"/>
    <w:rPr>
      <w:b/>
      <w:bCs/>
      <w:i/>
      <w:iCs/>
      <w:color w:val="5A5A5A"/>
    </w:rPr>
  </w:style>
  <w:style w:type="paragraph" w:styleId="NoSpacing">
    <w:name w:val="No Spacing"/>
    <w:basedOn w:val="Normal"/>
    <w:link w:val="NoSpacingChar"/>
    <w:uiPriority w:val="1"/>
    <w:qFormat/>
    <w:rsid w:val="005B6EEC"/>
    <w:pPr>
      <w:ind w:firstLine="0"/>
    </w:pPr>
  </w:style>
  <w:style w:type="character" w:customStyle="1" w:styleId="NoSpacingChar">
    <w:name w:val="No Spacing Char"/>
    <w:basedOn w:val="DefaultParagraphFont"/>
    <w:link w:val="NoSpacing"/>
    <w:uiPriority w:val="1"/>
    <w:rsid w:val="005B6EEC"/>
  </w:style>
  <w:style w:type="paragraph" w:styleId="ListParagraph">
    <w:name w:val="List Paragraph"/>
    <w:basedOn w:val="Normal"/>
    <w:uiPriority w:val="34"/>
    <w:qFormat/>
    <w:rsid w:val="005B6EEC"/>
    <w:pPr>
      <w:ind w:left="720"/>
      <w:contextualSpacing/>
    </w:pPr>
  </w:style>
  <w:style w:type="paragraph" w:styleId="Quote">
    <w:name w:val="Quote"/>
    <w:basedOn w:val="Normal"/>
    <w:next w:val="Normal"/>
    <w:link w:val="QuoteChar"/>
    <w:uiPriority w:val="29"/>
    <w:qFormat/>
    <w:rsid w:val="005B6EEC"/>
    <w:rPr>
      <w:rFonts w:ascii="Cambria" w:hAnsi="Cambria"/>
      <w:i/>
      <w:iCs/>
      <w:color w:val="5A5A5A"/>
    </w:rPr>
  </w:style>
  <w:style w:type="character" w:customStyle="1" w:styleId="QuoteChar">
    <w:name w:val="Quote Char"/>
    <w:link w:val="Quote"/>
    <w:uiPriority w:val="29"/>
    <w:rsid w:val="005B6EEC"/>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5B6EE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30"/>
    <w:rsid w:val="005B6EEC"/>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5B6EEC"/>
    <w:rPr>
      <w:i/>
      <w:iCs/>
      <w:color w:val="5A5A5A"/>
    </w:rPr>
  </w:style>
  <w:style w:type="character" w:styleId="IntenseEmphasis">
    <w:name w:val="Intense Emphasis"/>
    <w:uiPriority w:val="21"/>
    <w:qFormat/>
    <w:rsid w:val="005B6EEC"/>
    <w:rPr>
      <w:b/>
      <w:bCs/>
      <w:i/>
      <w:iCs/>
      <w:color w:val="4F81BD"/>
      <w:sz w:val="22"/>
      <w:szCs w:val="22"/>
    </w:rPr>
  </w:style>
  <w:style w:type="character" w:styleId="SubtleReference">
    <w:name w:val="Subtle Reference"/>
    <w:uiPriority w:val="31"/>
    <w:qFormat/>
    <w:rsid w:val="005B6EEC"/>
    <w:rPr>
      <w:color w:val="auto"/>
      <w:u w:val="single" w:color="9BBB59"/>
    </w:rPr>
  </w:style>
  <w:style w:type="character" w:styleId="IntenseReference">
    <w:name w:val="Intense Reference"/>
    <w:uiPriority w:val="32"/>
    <w:qFormat/>
    <w:rsid w:val="005B6EEC"/>
    <w:rPr>
      <w:b/>
      <w:bCs/>
      <w:color w:val="76923C"/>
      <w:u w:val="single" w:color="9BBB59"/>
    </w:rPr>
  </w:style>
  <w:style w:type="character" w:styleId="BookTitle">
    <w:name w:val="Book Title"/>
    <w:uiPriority w:val="33"/>
    <w:qFormat/>
    <w:rsid w:val="005B6EEC"/>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5B6EEC"/>
    <w:pPr>
      <w:outlineLvl w:val="9"/>
    </w:pPr>
  </w:style>
  <w:style w:type="paragraph" w:styleId="BodyTextIndent2">
    <w:name w:val="Body Text Indent 2"/>
    <w:basedOn w:val="Normal"/>
    <w:link w:val="BodyTextIndent2Char"/>
    <w:rsid w:val="0066733A"/>
    <w:pPr>
      <w:overflowPunct w:val="0"/>
      <w:autoSpaceDE w:val="0"/>
      <w:autoSpaceDN w:val="0"/>
      <w:adjustRightInd w:val="0"/>
      <w:ind w:left="720" w:firstLine="0"/>
      <w:textAlignment w:val="baseline"/>
    </w:pPr>
    <w:rPr>
      <w:rFonts w:ascii="Times New Roman" w:hAnsi="Times New Roman"/>
      <w:sz w:val="24"/>
      <w:szCs w:val="20"/>
      <w:lang w:bidi="ar-SA"/>
    </w:rPr>
  </w:style>
  <w:style w:type="character" w:customStyle="1" w:styleId="BodyTextIndent2Char">
    <w:name w:val="Body Text Indent 2 Char"/>
    <w:link w:val="BodyTextIndent2"/>
    <w:rsid w:val="0066733A"/>
    <w:rPr>
      <w:rFonts w:ascii="Times New Roman" w:hAnsi="Times New Roman"/>
      <w:sz w:val="24"/>
    </w:rPr>
  </w:style>
  <w:style w:type="paragraph" w:styleId="BalloonText">
    <w:name w:val="Balloon Text"/>
    <w:basedOn w:val="Normal"/>
    <w:link w:val="BalloonTextChar"/>
    <w:rsid w:val="00C0581E"/>
    <w:rPr>
      <w:rFonts w:ascii="Tahoma" w:hAnsi="Tahoma" w:cs="Tahoma"/>
      <w:sz w:val="16"/>
      <w:szCs w:val="16"/>
    </w:rPr>
  </w:style>
  <w:style w:type="character" w:customStyle="1" w:styleId="BalloonTextChar">
    <w:name w:val="Balloon Text Char"/>
    <w:link w:val="BalloonText"/>
    <w:rsid w:val="00C0581E"/>
    <w:rPr>
      <w:rFonts w:ascii="Tahoma" w:hAnsi="Tahoma" w:cs="Tahoma"/>
      <w:sz w:val="16"/>
      <w:szCs w:val="16"/>
      <w:lang w:bidi="en-US"/>
    </w:rPr>
  </w:style>
  <w:style w:type="paragraph" w:styleId="BodyTextIndent">
    <w:name w:val="Body Text Indent"/>
    <w:basedOn w:val="Normal"/>
    <w:link w:val="BodyTextIndentChar"/>
    <w:rsid w:val="006836F9"/>
    <w:pPr>
      <w:spacing w:after="120"/>
      <w:ind w:left="360"/>
    </w:pPr>
  </w:style>
  <w:style w:type="character" w:customStyle="1" w:styleId="BodyTextIndentChar">
    <w:name w:val="Body Text Indent Char"/>
    <w:link w:val="BodyTextIndent"/>
    <w:rsid w:val="006836F9"/>
    <w:rPr>
      <w:sz w:val="22"/>
      <w:szCs w:val="22"/>
      <w:lang w:bidi="en-US"/>
    </w:rPr>
  </w:style>
  <w:style w:type="character" w:customStyle="1" w:styleId="xbe">
    <w:name w:val="_xbe"/>
    <w:rsid w:val="00E514DC"/>
  </w:style>
  <w:style w:type="paragraph" w:styleId="FootnoteText">
    <w:name w:val="footnote text"/>
    <w:basedOn w:val="Normal"/>
    <w:link w:val="FootnoteTextChar"/>
    <w:uiPriority w:val="99"/>
    <w:rsid w:val="00744455"/>
    <w:rPr>
      <w:sz w:val="20"/>
      <w:szCs w:val="20"/>
    </w:rPr>
  </w:style>
  <w:style w:type="character" w:customStyle="1" w:styleId="FootnoteTextChar">
    <w:name w:val="Footnote Text Char"/>
    <w:link w:val="FootnoteText"/>
    <w:uiPriority w:val="99"/>
    <w:rsid w:val="00744455"/>
    <w:rPr>
      <w:lang w:bidi="en-US"/>
    </w:rPr>
  </w:style>
  <w:style w:type="character" w:styleId="FootnoteReference">
    <w:name w:val="footnote reference"/>
    <w:rsid w:val="00744455"/>
    <w:rPr>
      <w:vertAlign w:val="superscript"/>
    </w:rPr>
  </w:style>
  <w:style w:type="character" w:customStyle="1" w:styleId="FooterChar">
    <w:name w:val="Footer Char"/>
    <w:link w:val="Footer"/>
    <w:uiPriority w:val="99"/>
    <w:rsid w:val="00683209"/>
    <w:rPr>
      <w:sz w:val="22"/>
      <w:szCs w:val="22"/>
      <w:lang w:bidi="en-US"/>
    </w:rPr>
  </w:style>
  <w:style w:type="character" w:customStyle="1" w:styleId="tgc">
    <w:name w:val="_tgc"/>
    <w:rsid w:val="00D00049"/>
  </w:style>
  <w:style w:type="character" w:styleId="CommentReference">
    <w:name w:val="annotation reference"/>
    <w:rsid w:val="000F2DB7"/>
    <w:rPr>
      <w:sz w:val="16"/>
      <w:szCs w:val="16"/>
    </w:rPr>
  </w:style>
  <w:style w:type="paragraph" w:styleId="CommentText">
    <w:name w:val="annotation text"/>
    <w:basedOn w:val="Normal"/>
    <w:link w:val="CommentTextChar"/>
    <w:rsid w:val="000F2DB7"/>
    <w:rPr>
      <w:sz w:val="20"/>
      <w:szCs w:val="20"/>
    </w:rPr>
  </w:style>
  <w:style w:type="character" w:customStyle="1" w:styleId="CommentTextChar">
    <w:name w:val="Comment Text Char"/>
    <w:link w:val="CommentText"/>
    <w:rsid w:val="000F2DB7"/>
    <w:rPr>
      <w:lang w:bidi="en-US"/>
    </w:rPr>
  </w:style>
  <w:style w:type="paragraph" w:styleId="CommentSubject">
    <w:name w:val="annotation subject"/>
    <w:basedOn w:val="CommentText"/>
    <w:next w:val="CommentText"/>
    <w:link w:val="CommentSubjectChar"/>
    <w:rsid w:val="000F2DB7"/>
    <w:rPr>
      <w:b/>
      <w:bCs/>
    </w:rPr>
  </w:style>
  <w:style w:type="character" w:customStyle="1" w:styleId="CommentSubjectChar">
    <w:name w:val="Comment Subject Char"/>
    <w:link w:val="CommentSubject"/>
    <w:rsid w:val="000F2DB7"/>
    <w:rPr>
      <w:b/>
      <w:bCs/>
      <w:lang w:bidi="en-US"/>
    </w:rPr>
  </w:style>
  <w:style w:type="paragraph" w:customStyle="1" w:styleId="paragraph">
    <w:name w:val="paragraph"/>
    <w:basedOn w:val="Normal"/>
    <w:rsid w:val="00F06694"/>
    <w:pPr>
      <w:ind w:firstLine="0"/>
    </w:pPr>
    <w:rPr>
      <w:rFonts w:ascii="Times New Roman" w:hAnsi="Times New Roman"/>
      <w:sz w:val="24"/>
      <w:szCs w:val="24"/>
      <w:lang w:bidi="ar-SA"/>
    </w:rPr>
  </w:style>
  <w:style w:type="character" w:customStyle="1" w:styleId="normaltextrun1">
    <w:name w:val="normaltextrun1"/>
    <w:basedOn w:val="DefaultParagraphFont"/>
    <w:rsid w:val="00F06694"/>
  </w:style>
  <w:style w:type="character" w:customStyle="1" w:styleId="eop">
    <w:name w:val="eop"/>
    <w:basedOn w:val="DefaultParagraphFont"/>
    <w:rsid w:val="00F06694"/>
  </w:style>
  <w:style w:type="character" w:customStyle="1" w:styleId="spellingerror">
    <w:name w:val="spellingerror"/>
    <w:basedOn w:val="DefaultParagraphFont"/>
    <w:rsid w:val="00EA396A"/>
  </w:style>
  <w:style w:type="character" w:customStyle="1" w:styleId="UnresolvedMention1">
    <w:name w:val="Unresolved Mention1"/>
    <w:basedOn w:val="DefaultParagraphFont"/>
    <w:uiPriority w:val="99"/>
    <w:semiHidden/>
    <w:unhideWhenUsed/>
    <w:rsid w:val="005F3C6D"/>
    <w:rPr>
      <w:color w:val="605E5C"/>
      <w:shd w:val="clear" w:color="auto" w:fill="E1DFDD"/>
    </w:rPr>
  </w:style>
  <w:style w:type="character" w:styleId="FollowedHyperlink">
    <w:name w:val="FollowedHyperlink"/>
    <w:basedOn w:val="DefaultParagraphFont"/>
    <w:rsid w:val="003B7A2C"/>
    <w:rPr>
      <w:color w:val="954F72" w:themeColor="followedHyperlink"/>
      <w:u w:val="single"/>
    </w:rPr>
  </w:style>
  <w:style w:type="paragraph" w:styleId="EndnoteText">
    <w:name w:val="endnote text"/>
    <w:basedOn w:val="Normal"/>
    <w:link w:val="EndnoteTextChar"/>
    <w:rsid w:val="00B17405"/>
    <w:rPr>
      <w:sz w:val="20"/>
      <w:szCs w:val="20"/>
    </w:rPr>
  </w:style>
  <w:style w:type="character" w:customStyle="1" w:styleId="EndnoteTextChar">
    <w:name w:val="Endnote Text Char"/>
    <w:basedOn w:val="DefaultParagraphFont"/>
    <w:link w:val="EndnoteText"/>
    <w:rsid w:val="00B17405"/>
    <w:rPr>
      <w:lang w:bidi="en-US"/>
    </w:rPr>
  </w:style>
  <w:style w:type="character" w:styleId="EndnoteReference">
    <w:name w:val="endnote reference"/>
    <w:basedOn w:val="DefaultParagraphFont"/>
    <w:rsid w:val="00B17405"/>
    <w:rPr>
      <w:vertAlign w:val="superscript"/>
    </w:rPr>
  </w:style>
  <w:style w:type="character" w:styleId="UnresolvedMention">
    <w:name w:val="Unresolved Mention"/>
    <w:basedOn w:val="DefaultParagraphFont"/>
    <w:uiPriority w:val="99"/>
    <w:semiHidden/>
    <w:unhideWhenUsed/>
    <w:rsid w:val="00AD47A3"/>
    <w:rPr>
      <w:color w:val="605E5C"/>
      <w:shd w:val="clear" w:color="auto" w:fill="E1DFDD"/>
    </w:rPr>
  </w:style>
  <w:style w:type="paragraph" w:styleId="Revision">
    <w:name w:val="Revision"/>
    <w:hidden/>
    <w:uiPriority w:val="99"/>
    <w:semiHidden/>
    <w:rsid w:val="00BD2989"/>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hyperlink" Target="mailto:KBuchanan@walkerdunlop.com" TargetMode="External" /><Relationship Id="rId12" Type="http://schemas.openxmlformats.org/officeDocument/2006/relationships/hyperlink" Target="mailto:tbrown@agmfinancial.com" TargetMode="External" /><Relationship Id="rId13" Type="http://schemas.openxmlformats.org/officeDocument/2006/relationships/hyperlink" Target="mailto:kurt.dayton@am.jll.com" TargetMode="External" /><Relationship Id="rId14" Type="http://schemas.openxmlformats.org/officeDocument/2006/relationships/hyperlink" Target="mailto:swalker@mba.org" TargetMode="External" /><Relationship Id="rId15" Type="http://schemas.openxmlformats.org/officeDocument/2006/relationships/hyperlink" Target="mailto:grudow@renocavanaugh.com" TargetMode="External" /><Relationship Id="rId16" Type="http://schemas.openxmlformats.org/officeDocument/2006/relationships/hyperlink" Target="tel:202.266.8352" TargetMode="External" /><Relationship Id="rId17" Type="http://schemas.openxmlformats.org/officeDocument/2006/relationships/hyperlink" Target="mailto:MKitchen@nahb.org" TargetMode="External" /><Relationship Id="rId18" Type="http://schemas.openxmlformats.org/officeDocument/2006/relationships/hyperlink" Target="mailto:Kral.katrin@epa.gov" TargetMode="External" /><Relationship Id="rId19" Type="http://schemas.openxmlformats.org/officeDocument/2006/relationships/hyperlink" Target="mailto:mcoon@ptrenergy.com" TargetMode="External" /><Relationship Id="rId2" Type="http://schemas.openxmlformats.org/officeDocument/2006/relationships/settings" Target="settings.xml" /><Relationship Id="rId20" Type="http://schemas.openxmlformats.org/officeDocument/2006/relationships/hyperlink" Target="mailto:tc@dwightcap.com" TargetMode="External" /><Relationship Id="rId21" Type="http://schemas.openxmlformats.org/officeDocument/2006/relationships/hyperlink" Target="mailto:sevanko@d3g.com" TargetMode="External" /><Relationship Id="rId22" Type="http://schemas.openxmlformats.org/officeDocument/2006/relationships/hyperlink" Target="mailto:jebbonnett@aeiconsultants.com" TargetMode="External" /><Relationship Id="rId23" Type="http://schemas.openxmlformats.org/officeDocument/2006/relationships/hyperlink" Target="mailto:jpasco@ebiconsulting.com" TargetMode="Externa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5533907e36d55175df49916a1fe8ef4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28d7949ded0f4883535457e18b93e26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1C43-213C-41FE-9000-25FA8C9FDDD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56DED96-C369-49C6-B31D-B39F14C597EF}">
  <ds:schemaRefs>
    <ds:schemaRef ds:uri="http://schemas.microsoft.com/office/2006/metadata/longProperties"/>
  </ds:schemaRefs>
</ds:datastoreItem>
</file>

<file path=customXml/itemProps3.xml><?xml version="1.0" encoding="utf-8"?>
<ds:datastoreItem xmlns:ds="http://schemas.openxmlformats.org/officeDocument/2006/customXml" ds:itemID="{554EAB61-68AF-4186-9AB0-522A262B1237}">
  <ds:schemaRefs>
    <ds:schemaRef ds:uri="http://schemas.microsoft.com/sharepoint/v3/contenttype/forms"/>
  </ds:schemaRefs>
</ds:datastoreItem>
</file>

<file path=customXml/itemProps4.xml><?xml version="1.0" encoding="utf-8"?>
<ds:datastoreItem xmlns:ds="http://schemas.openxmlformats.org/officeDocument/2006/customXml" ds:itemID="{183BB135-C80F-47D6-BCA1-318326244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05710E-0C7E-4670-BDE0-B1D2F838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9993</Words>
  <Characters>59137</Characters>
  <Application>Microsoft Office Word</Application>
  <DocSecurity>0</DocSecurity>
  <Lines>492</Lines>
  <Paragraphs>137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68993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Herring, Vivian M</cp:lastModifiedBy>
  <cp:revision>2</cp:revision>
  <cp:lastPrinted>2017-09-13T20:48:00Z</cp:lastPrinted>
  <dcterms:created xsi:type="dcterms:W3CDTF">2022-12-13T22:15:00Z</dcterms:created>
  <dcterms:modified xsi:type="dcterms:W3CDTF">2022-12-13T22:15:00Z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dlc_DocId">
    <vt:lpwstr>HUDDASMFH-200493533-2</vt:lpwstr>
  </property>
  <property fmtid="{D5CDD505-2E9C-101B-9397-08002B2CF9AE}" pid="4" name="_dlc_DocIdItemGuid">
    <vt:lpwstr>178585ca-7a0d-41b5-96df-832064083c4e</vt:lpwstr>
  </property>
  <property fmtid="{D5CDD505-2E9C-101B-9397-08002B2CF9AE}" pid="5" name="_dlc_DocIdUrl">
    <vt:lpwstr>https://hudgov.sharepoint.com/sites/DASMFH/OMHD/mapguiderevision/_layouts/15/DocIdRedir.aspx?ID=HUDDASMFH-200493533-2, HUDDASMFH-200493533-2</vt:lpwstr>
  </property>
</Properties>
</file>