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637" w:type="dxa"/>
        <w:tblLayout w:type="fixed"/>
        <w:tblCellMar>
          <w:left w:w="0" w:type="dxa"/>
          <w:right w:w="0" w:type="dxa"/>
        </w:tblCellMar>
        <w:tblLook w:val="0000"/>
      </w:tblPr>
      <w:tblGrid>
        <w:gridCol w:w="2984"/>
        <w:gridCol w:w="3685"/>
        <w:gridCol w:w="2968"/>
      </w:tblGrid>
      <w:tr w14:paraId="6715E756" w14:textId="77777777" w:rsidTr="000F4BCB">
        <w:tblPrEx>
          <w:tblW w:w="9637" w:type="dxa"/>
          <w:tblLayout w:type="fixed"/>
          <w:tblCellMar>
            <w:left w:w="0" w:type="dxa"/>
            <w:right w:w="0" w:type="dxa"/>
          </w:tblCellMar>
          <w:tblLook w:val="0000"/>
        </w:tblPrEx>
        <w:trPr>
          <w:trHeight w:hRule="exact" w:val="1503"/>
        </w:trPr>
        <w:tc>
          <w:tcPr>
            <w:tcW w:w="2984" w:type="dxa"/>
          </w:tcPr>
          <w:p w:rsidR="00580592" w14:paraId="6715E752" w14:textId="77777777">
            <w:pPr>
              <w:spacing w:line="311" w:lineRule="exact"/>
              <w:ind w:left="108" w:right="540"/>
              <w:textAlignment w:val="baseline"/>
              <w:rPr>
                <w:rFonts w:ascii="Arial" w:eastAsia="Arial" w:hAnsi="Arial"/>
                <w:b/>
                <w:color w:val="000000"/>
                <w:spacing w:val="3"/>
                <w:sz w:val="28"/>
              </w:rPr>
            </w:pPr>
            <w:r w:rsidRPr="000F4BCB">
              <w:rPr>
                <w:rFonts w:ascii="Arial" w:eastAsia="Arial" w:hAnsi="Arial"/>
                <w:b/>
                <w:color w:val="000000"/>
                <w:spacing w:val="3"/>
                <w:sz w:val="24"/>
                <w:szCs w:val="20"/>
              </w:rPr>
              <w:t>Mixed-Finance and Homeownership Pre-Funding Certifications</w:t>
            </w:r>
            <w:r w:rsidRPr="000F4BCB">
              <w:rPr>
                <w:rFonts w:ascii="Arial" w:eastAsia="Arial" w:hAnsi="Arial"/>
                <w:b/>
                <w:color w:val="000000"/>
                <w:spacing w:val="3"/>
                <w:szCs w:val="18"/>
              </w:rPr>
              <w:t xml:space="preserve"> </w:t>
            </w:r>
            <w:r w:rsidRPr="000F4BCB">
              <w:rPr>
                <w:rFonts w:ascii="Arial" w:eastAsia="Arial" w:hAnsi="Arial"/>
                <w:b/>
                <w:color w:val="000000"/>
                <w:spacing w:val="3"/>
                <w:sz w:val="24"/>
                <w:szCs w:val="20"/>
              </w:rPr>
              <w:t>and Assurances</w:t>
            </w:r>
          </w:p>
        </w:tc>
        <w:tc>
          <w:tcPr>
            <w:tcW w:w="3685" w:type="dxa"/>
          </w:tcPr>
          <w:p w:rsidR="00580592" w14:paraId="6715E753" w14:textId="77777777">
            <w:pPr>
              <w:spacing w:after="945" w:line="199" w:lineRule="exact"/>
              <w:jc w:val="center"/>
              <w:textAlignment w:val="baseline"/>
              <w:rPr>
                <w:rFonts w:ascii="Arial" w:eastAsia="Arial" w:hAnsi="Arial"/>
                <w:b/>
                <w:color w:val="000000"/>
                <w:sz w:val="18"/>
              </w:rPr>
            </w:pPr>
            <w:r>
              <w:rPr>
                <w:rFonts w:ascii="Arial" w:eastAsia="Arial" w:hAnsi="Arial"/>
                <w:b/>
                <w:color w:val="000000"/>
                <w:sz w:val="18"/>
              </w:rPr>
              <w:t xml:space="preserve">U.S. Department of Housing </w:t>
            </w:r>
            <w:r>
              <w:rPr>
                <w:rFonts w:ascii="Arial" w:eastAsia="Arial" w:hAnsi="Arial"/>
                <w:b/>
                <w:color w:val="000000"/>
                <w:sz w:val="18"/>
              </w:rPr>
              <w:br/>
              <w:t xml:space="preserve">and Urban Development </w:t>
            </w:r>
            <w:r>
              <w:rPr>
                <w:rFonts w:ascii="Arial" w:eastAsia="Arial" w:hAnsi="Arial"/>
                <w:b/>
                <w:color w:val="000000"/>
                <w:sz w:val="18"/>
              </w:rPr>
              <w:br/>
            </w:r>
            <w:r>
              <w:rPr>
                <w:rFonts w:ascii="Arial" w:eastAsia="Arial" w:hAnsi="Arial"/>
                <w:color w:val="000000"/>
                <w:sz w:val="18"/>
              </w:rPr>
              <w:t>Office of Public and Indian Housing</w:t>
            </w:r>
          </w:p>
        </w:tc>
        <w:tc>
          <w:tcPr>
            <w:tcW w:w="2968" w:type="dxa"/>
          </w:tcPr>
          <w:p w:rsidR="00580592" w14:paraId="6715E754" w14:textId="77777777">
            <w:pPr>
              <w:spacing w:line="205" w:lineRule="exact"/>
              <w:ind w:right="180"/>
              <w:jc w:val="right"/>
              <w:textAlignment w:val="baseline"/>
              <w:rPr>
                <w:rFonts w:ascii="Arial" w:eastAsia="Arial" w:hAnsi="Arial"/>
                <w:color w:val="000000"/>
                <w:sz w:val="18"/>
              </w:rPr>
            </w:pPr>
            <w:r>
              <w:rPr>
                <w:rFonts w:ascii="Arial" w:eastAsia="Arial" w:hAnsi="Arial"/>
                <w:color w:val="000000"/>
                <w:sz w:val="18"/>
              </w:rPr>
              <w:t>OMB Approval No. 2577-0275</w:t>
            </w:r>
          </w:p>
          <w:p w:rsidR="00580592" w14:paraId="6715E755" w14:textId="76ABB003">
            <w:pPr>
              <w:spacing w:before="1" w:after="1137" w:line="205" w:lineRule="exact"/>
              <w:ind w:right="180"/>
              <w:jc w:val="right"/>
              <w:textAlignment w:val="baseline"/>
              <w:rPr>
                <w:rFonts w:ascii="Arial" w:eastAsia="Arial" w:hAnsi="Arial"/>
                <w:color w:val="000000"/>
                <w:sz w:val="18"/>
              </w:rPr>
            </w:pPr>
            <w:r>
              <w:rPr>
                <w:rFonts w:ascii="Arial" w:eastAsia="Arial" w:hAnsi="Arial"/>
                <w:color w:val="000000"/>
                <w:sz w:val="18"/>
              </w:rPr>
              <w:t>(</w:t>
            </w:r>
            <w:r>
              <w:rPr>
                <w:rFonts w:ascii="Arial" w:eastAsia="Arial" w:hAnsi="Arial"/>
                <w:color w:val="000000"/>
                <w:sz w:val="18"/>
              </w:rPr>
              <w:t>exp</w:t>
            </w:r>
            <w:r w:rsidR="00FC59DE">
              <w:rPr>
                <w:rFonts w:ascii="Arial" w:eastAsia="Arial" w:hAnsi="Arial"/>
                <w:color w:val="000000"/>
                <w:sz w:val="18"/>
              </w:rPr>
              <w:t xml:space="preserve"> date TBD</w:t>
            </w:r>
            <w:r>
              <w:rPr>
                <w:rFonts w:ascii="Arial" w:eastAsia="Arial" w:hAnsi="Arial"/>
                <w:color w:val="000000"/>
                <w:sz w:val="18"/>
              </w:rPr>
              <w:t>)</w:t>
            </w:r>
          </w:p>
        </w:tc>
      </w:tr>
    </w:tbl>
    <w:p w:rsidR="00580592" w14:paraId="6715E757" w14:textId="3A94D3A4">
      <w:pPr>
        <w:spacing w:after="124" w:line="20" w:lineRule="exact"/>
      </w:pPr>
    </w:p>
    <w:p w:rsidR="007B4282" w:rsidRPr="006A41B7" w14:paraId="6C2771A3" w14:textId="78460F9F">
      <w:pPr>
        <w:spacing w:before="83" w:line="180" w:lineRule="exact"/>
        <w:ind w:right="144"/>
        <w:textAlignment w:val="baseline"/>
        <w:rPr>
          <w:rFonts w:ascii="Calibri" w:eastAsia="Calibri" w:hAnsi="Calibri"/>
          <w:color w:val="000000"/>
          <w:sz w:val="18"/>
          <w:szCs w:val="18"/>
        </w:rPr>
      </w:pPr>
      <w:r w:rsidRPr="006A41B7">
        <w:rPr>
          <w:rFonts w:ascii="Calibri" w:eastAsia="Calibri" w:hAnsi="Calibri"/>
          <w:color w:val="000000"/>
          <w:sz w:val="18"/>
          <w:szCs w:val="18"/>
        </w:rPr>
        <w:t>The public reporting burden for this collection of information for the Mixed-Finance Public Housing Units</w:t>
      </w:r>
      <w:r w:rsidRPr="006A41B7" w:rsidR="00346887">
        <w:rPr>
          <w:rFonts w:ascii="Calibri" w:eastAsia="Calibri" w:hAnsi="Calibri"/>
          <w:color w:val="000000"/>
          <w:sz w:val="18"/>
          <w:szCs w:val="18"/>
        </w:rPr>
        <w:t xml:space="preserve"> or homeownership units</w:t>
      </w:r>
      <w:r w:rsidRPr="006A41B7">
        <w:rPr>
          <w:rFonts w:ascii="Calibri" w:eastAsia="Calibri" w:hAnsi="Calibri"/>
          <w:color w:val="000000"/>
          <w:sz w:val="18"/>
          <w:szCs w:val="18"/>
        </w:rPr>
        <w:t xml:space="preserve"> is estimated to average 0.25 hours, including the time for reviewing instructions, searching existing data sources, </w:t>
      </w:r>
      <w:r w:rsidRPr="006A41B7">
        <w:rPr>
          <w:rFonts w:ascii="Calibri" w:eastAsia="Calibri" w:hAnsi="Calibri"/>
          <w:color w:val="000000"/>
          <w:sz w:val="18"/>
          <w:szCs w:val="18"/>
        </w:rPr>
        <w:t>gathering</w:t>
      </w:r>
      <w:r w:rsidRPr="006A41B7">
        <w:rPr>
          <w:rFonts w:ascii="Calibri" w:eastAsia="Calibri" w:hAnsi="Calibri"/>
          <w:color w:val="000000"/>
          <w:sz w:val="18"/>
          <w:szCs w:val="18"/>
        </w:rPr>
        <w:t xml:space="preserve"> and maintaining the data needed, and completing and reviewing the collection of information. </w:t>
      </w:r>
    </w:p>
    <w:p w:rsidR="007B4282" w:rsidRPr="006A41B7" w14:paraId="25C2A528" w14:textId="79A324CE">
      <w:pPr>
        <w:spacing w:before="83" w:line="180" w:lineRule="exact"/>
        <w:ind w:right="144"/>
        <w:textAlignment w:val="baseline"/>
        <w:rPr>
          <w:rFonts w:ascii="Calibri" w:eastAsia="Calibri" w:hAnsi="Calibri"/>
          <w:color w:val="000000"/>
          <w:sz w:val="18"/>
          <w:szCs w:val="18"/>
        </w:rPr>
      </w:pPr>
      <w:r w:rsidRPr="006A41B7">
        <w:rPr>
          <w:rFonts w:ascii="Calibri" w:eastAsia="Calibri" w:hAnsi="Calibri"/>
          <w:color w:val="000000"/>
          <w:sz w:val="18"/>
          <w:szCs w:val="18"/>
        </w:rPr>
        <w:t xml:space="preserve">Send comments regarding this burden estimate or any other aspect of this collection of information, including suggestions to reduce this burden, to the Reports Management Officer, Paperwork Reduction Project, </w:t>
      </w:r>
      <w:r w:rsidR="00923F68">
        <w:rPr>
          <w:rFonts w:ascii="Calibri" w:eastAsia="Calibri" w:hAnsi="Calibri"/>
          <w:color w:val="000000"/>
          <w:sz w:val="18"/>
          <w:szCs w:val="18"/>
        </w:rPr>
        <w:t>in</w:t>
      </w:r>
      <w:r w:rsidRPr="006A41B7">
        <w:rPr>
          <w:rFonts w:ascii="Calibri" w:eastAsia="Calibri" w:hAnsi="Calibri"/>
          <w:color w:val="000000"/>
          <w:sz w:val="18"/>
          <w:szCs w:val="18"/>
        </w:rPr>
        <w:t xml:space="preserve"> the Office of Information Technology, US. Department of Housing and Urban Development, Washington, DC 20410-3600. When providing comments, please refer to OMB Approval No. 2577-0275. HUD may not conduct and sponsor, and a person is not required to respond to, a collection of information unless the collection displays a valid control number. </w:t>
      </w:r>
    </w:p>
    <w:p w:rsidR="00580592" w:rsidRPr="006A41B7" w14:paraId="6715E758" w14:textId="3E9524A5">
      <w:pPr>
        <w:spacing w:before="83" w:line="180" w:lineRule="exact"/>
        <w:ind w:right="144"/>
        <w:textAlignment w:val="baseline"/>
        <w:rPr>
          <w:rFonts w:ascii="Calibri" w:eastAsia="Calibri" w:hAnsi="Calibri"/>
          <w:color w:val="000000"/>
          <w:sz w:val="18"/>
          <w:szCs w:val="18"/>
        </w:rPr>
      </w:pPr>
      <w:r w:rsidRPr="006A41B7">
        <w:rPr>
          <w:rFonts w:ascii="Calibri" w:eastAsia="Calibri" w:hAnsi="Calibri"/>
          <w:color w:val="000000"/>
          <w:sz w:val="18"/>
          <w:szCs w:val="18"/>
        </w:rPr>
        <w:t>This collection of information is required for developing a Mixed-Finance homeownership project pursuant to HUD regulations 24 CFR 905. The information will be used to provide HUD with sufficient information to enable a determination that the proposed housing project is demographically and financially feasible and that HUD statutory and regulatory requirements have been met. No assurances of confidentiality are provided for this information collection.</w:t>
      </w:r>
    </w:p>
    <w:p w:rsidR="00793AA8" w14:paraId="4BE83B58" w14:textId="77777777">
      <w:pPr>
        <w:spacing w:before="83" w:line="180" w:lineRule="exact"/>
        <w:ind w:right="144"/>
        <w:textAlignment w:val="baseline"/>
        <w:rPr>
          <w:rFonts w:ascii="Calibri" w:eastAsia="Calibri" w:hAnsi="Calibri"/>
          <w:color w:val="000000"/>
          <w:sz w:val="16"/>
          <w:szCs w:val="16"/>
        </w:rPr>
      </w:pPr>
    </w:p>
    <w:tbl>
      <w:tblPr>
        <w:tblStyle w:val="TableGrid"/>
        <w:tblW w:w="0" w:type="auto"/>
        <w:tblLook w:val="04A0"/>
      </w:tblPr>
      <w:tblGrid>
        <w:gridCol w:w="9350"/>
      </w:tblGrid>
      <w:tr w14:paraId="435732E8" w14:textId="77777777" w:rsidTr="00793AA8">
        <w:tblPrEx>
          <w:tblW w:w="0" w:type="auto"/>
          <w:tblLook w:val="04A0"/>
        </w:tblPrEx>
        <w:tc>
          <w:tcPr>
            <w:tcW w:w="9370" w:type="dxa"/>
          </w:tcPr>
          <w:p w:rsidR="009051FF" w:rsidRPr="00414015" w:rsidP="00414015" w14:paraId="01EEDB14" w14:textId="72397324">
            <w:pPr>
              <w:spacing w:before="83" w:line="180" w:lineRule="exact"/>
              <w:ind w:right="144"/>
              <w:jc w:val="center"/>
              <w:textAlignment w:val="baseline"/>
              <w:rPr>
                <w:rFonts w:ascii="Calibri" w:eastAsia="Calibri" w:hAnsi="Calibri"/>
                <w:b/>
                <w:bCs/>
                <w:color w:val="000000"/>
              </w:rPr>
            </w:pPr>
            <w:r w:rsidRPr="00414015">
              <w:rPr>
                <w:rFonts w:ascii="Calibri" w:eastAsia="Calibri" w:hAnsi="Calibri"/>
                <w:b/>
                <w:bCs/>
                <w:color w:val="000000"/>
              </w:rPr>
              <w:t>DEVELOPMENT PROPOSAL PROJECT INFORMATION</w:t>
            </w:r>
          </w:p>
        </w:tc>
      </w:tr>
      <w:tr w14:paraId="192CA1B5" w14:textId="77777777" w:rsidTr="00793AA8">
        <w:tblPrEx>
          <w:tblW w:w="0" w:type="auto"/>
          <w:tblLook w:val="04A0"/>
        </w:tblPrEx>
        <w:tc>
          <w:tcPr>
            <w:tcW w:w="9370" w:type="dxa"/>
          </w:tcPr>
          <w:p w:rsidR="009051FF" w14:paraId="0348C14F" w14:textId="6E4411EE">
            <w:pPr>
              <w:spacing w:before="83" w:line="180" w:lineRule="exact"/>
              <w:ind w:right="144"/>
              <w:textAlignment w:val="baseline"/>
              <w:rPr>
                <w:rFonts w:ascii="Calibri" w:eastAsia="Calibri" w:hAnsi="Calibri"/>
                <w:color w:val="000000"/>
                <w:sz w:val="16"/>
                <w:szCs w:val="16"/>
              </w:rPr>
            </w:pPr>
            <w:r>
              <w:rPr>
                <w:rFonts w:ascii="Calibri" w:eastAsia="Calibri" w:hAnsi="Calibri"/>
                <w:color w:val="000000"/>
                <w:sz w:val="16"/>
                <w:szCs w:val="16"/>
              </w:rPr>
              <w:t>Official Housing Authority Name (“Authority”)</w:t>
            </w:r>
          </w:p>
        </w:tc>
      </w:tr>
      <w:tr w14:paraId="3ACEED31" w14:textId="77777777" w:rsidTr="00793AA8">
        <w:tblPrEx>
          <w:tblW w:w="0" w:type="auto"/>
          <w:tblLook w:val="04A0"/>
        </w:tblPrEx>
        <w:tc>
          <w:tcPr>
            <w:tcW w:w="9370" w:type="dxa"/>
          </w:tcPr>
          <w:p w:rsidR="009051FF" w14:paraId="60446476" w14:textId="77777777">
            <w:pPr>
              <w:spacing w:before="83" w:line="180" w:lineRule="exact"/>
              <w:ind w:right="144"/>
              <w:textAlignment w:val="baseline"/>
              <w:rPr>
                <w:rFonts w:ascii="Calibri" w:eastAsia="Calibri" w:hAnsi="Calibri"/>
                <w:color w:val="000000"/>
                <w:sz w:val="16"/>
                <w:szCs w:val="16"/>
              </w:rPr>
            </w:pPr>
          </w:p>
        </w:tc>
      </w:tr>
      <w:tr w14:paraId="33BF77EF" w14:textId="77777777" w:rsidTr="00793AA8">
        <w:tblPrEx>
          <w:tblW w:w="0" w:type="auto"/>
          <w:tblLook w:val="04A0"/>
        </w:tblPrEx>
        <w:tc>
          <w:tcPr>
            <w:tcW w:w="9370" w:type="dxa"/>
          </w:tcPr>
          <w:p w:rsidR="009051FF" w14:paraId="2F6E40FA" w14:textId="33734013">
            <w:pPr>
              <w:spacing w:before="83" w:line="180" w:lineRule="exact"/>
              <w:ind w:right="144"/>
              <w:textAlignment w:val="baseline"/>
              <w:rPr>
                <w:rFonts w:ascii="Calibri" w:eastAsia="Calibri" w:hAnsi="Calibri"/>
                <w:color w:val="000000"/>
                <w:sz w:val="16"/>
                <w:szCs w:val="16"/>
              </w:rPr>
            </w:pPr>
            <w:r>
              <w:rPr>
                <w:rFonts w:ascii="Calibri" w:eastAsia="Calibri" w:hAnsi="Calibri"/>
                <w:color w:val="000000"/>
                <w:sz w:val="16"/>
                <w:szCs w:val="16"/>
              </w:rPr>
              <w:t>Name of the Project Described in the HUD Approved Development Proposal (“Project”)</w:t>
            </w:r>
          </w:p>
        </w:tc>
      </w:tr>
      <w:tr w14:paraId="48245B6A" w14:textId="77777777" w:rsidTr="00793AA8">
        <w:tblPrEx>
          <w:tblW w:w="0" w:type="auto"/>
          <w:tblLook w:val="04A0"/>
        </w:tblPrEx>
        <w:tc>
          <w:tcPr>
            <w:tcW w:w="9370" w:type="dxa"/>
          </w:tcPr>
          <w:p w:rsidR="00F304E8" w14:paraId="2327C7AF" w14:textId="77777777">
            <w:pPr>
              <w:spacing w:before="83" w:line="180" w:lineRule="exact"/>
              <w:ind w:right="144"/>
              <w:textAlignment w:val="baseline"/>
              <w:rPr>
                <w:rFonts w:ascii="Calibri" w:eastAsia="Calibri" w:hAnsi="Calibri"/>
                <w:color w:val="000000"/>
                <w:sz w:val="16"/>
                <w:szCs w:val="16"/>
              </w:rPr>
            </w:pPr>
          </w:p>
        </w:tc>
      </w:tr>
      <w:tr w14:paraId="6E175B8F" w14:textId="77777777" w:rsidTr="00793AA8">
        <w:tblPrEx>
          <w:tblW w:w="0" w:type="auto"/>
          <w:tblLook w:val="04A0"/>
        </w:tblPrEx>
        <w:tc>
          <w:tcPr>
            <w:tcW w:w="9370" w:type="dxa"/>
          </w:tcPr>
          <w:p w:rsidR="00F304E8" w14:paraId="1C2C647A" w14:textId="7590418F">
            <w:pPr>
              <w:spacing w:before="83" w:line="180" w:lineRule="exact"/>
              <w:ind w:right="144"/>
              <w:textAlignment w:val="baseline"/>
              <w:rPr>
                <w:rFonts w:ascii="Calibri" w:eastAsia="Calibri" w:hAnsi="Calibri"/>
                <w:color w:val="000000"/>
                <w:sz w:val="16"/>
                <w:szCs w:val="16"/>
              </w:rPr>
            </w:pPr>
            <w:r>
              <w:rPr>
                <w:rFonts w:ascii="Calibri" w:eastAsia="Calibri" w:hAnsi="Calibri"/>
                <w:color w:val="000000"/>
                <w:sz w:val="16"/>
                <w:szCs w:val="16"/>
              </w:rPr>
              <w:t>Number of Low-Income Ho</w:t>
            </w:r>
            <w:r w:rsidR="00414015">
              <w:rPr>
                <w:rFonts w:ascii="Calibri" w:eastAsia="Calibri" w:hAnsi="Calibri"/>
                <w:color w:val="000000"/>
                <w:sz w:val="16"/>
                <w:szCs w:val="16"/>
              </w:rPr>
              <w:t>meownership Units Assisted with Public Housing Funds</w:t>
            </w:r>
          </w:p>
        </w:tc>
      </w:tr>
      <w:tr w14:paraId="0DED3A4B" w14:textId="77777777" w:rsidTr="00793AA8">
        <w:tblPrEx>
          <w:tblW w:w="0" w:type="auto"/>
          <w:tblLook w:val="04A0"/>
        </w:tblPrEx>
        <w:tc>
          <w:tcPr>
            <w:tcW w:w="9370" w:type="dxa"/>
          </w:tcPr>
          <w:p w:rsidR="00F304E8" w14:paraId="226EC0F5" w14:textId="77777777">
            <w:pPr>
              <w:spacing w:before="83" w:line="180" w:lineRule="exact"/>
              <w:ind w:right="144"/>
              <w:textAlignment w:val="baseline"/>
              <w:rPr>
                <w:rFonts w:ascii="Calibri" w:eastAsia="Calibri" w:hAnsi="Calibri"/>
                <w:color w:val="000000"/>
                <w:sz w:val="16"/>
                <w:szCs w:val="16"/>
              </w:rPr>
            </w:pPr>
          </w:p>
        </w:tc>
      </w:tr>
    </w:tbl>
    <w:p w:rsidR="009051FF" w14:paraId="435BD011" w14:textId="3FF700A2">
      <w:pPr>
        <w:spacing w:before="83" w:line="180" w:lineRule="exact"/>
        <w:ind w:right="144"/>
        <w:textAlignment w:val="baseline"/>
        <w:rPr>
          <w:rFonts w:ascii="Calibri" w:eastAsia="Calibri" w:hAnsi="Calibri"/>
          <w:color w:val="000000"/>
          <w:sz w:val="16"/>
          <w:szCs w:val="16"/>
        </w:rPr>
      </w:pPr>
    </w:p>
    <w:p w:rsidR="00580592" w:rsidRPr="00874D3D" w:rsidP="00874D3D" w14:paraId="6715E759" w14:textId="757CDF29">
      <w:pPr>
        <w:spacing w:before="1" w:line="300" w:lineRule="exact"/>
        <w:ind w:right="72" w:firstLine="360"/>
        <w:textAlignment w:val="baseline"/>
        <w:rPr>
          <w:rFonts w:eastAsia="Times New Roman"/>
          <w:b/>
          <w:bCs/>
          <w:color w:val="000000"/>
          <w:sz w:val="24"/>
          <w:szCs w:val="28"/>
        </w:rPr>
      </w:pPr>
      <w:r w:rsidRPr="00874D3D">
        <w:rPr>
          <w:rFonts w:eastAsia="Times New Roman"/>
          <w:color w:val="000000"/>
          <w:sz w:val="24"/>
          <w:szCs w:val="28"/>
        </w:rPr>
        <w:t xml:space="preserve">THESE CERTIFICATIONS AND ASSURANCES are provided by the Authority to the United States Department of Housing and Urban Development (“HUD”) in connection with the HUD approved development of low-income homeownership units that are being assisted with public housing funds in the </w:t>
      </w:r>
      <w:r w:rsidRPr="00874D3D" w:rsidR="00EC7753">
        <w:rPr>
          <w:rFonts w:eastAsia="Times New Roman"/>
          <w:color w:val="000000"/>
          <w:sz w:val="24"/>
          <w:szCs w:val="28"/>
        </w:rPr>
        <w:t>above-named</w:t>
      </w:r>
      <w:r w:rsidRPr="00874D3D">
        <w:rPr>
          <w:rFonts w:eastAsia="Times New Roman"/>
          <w:color w:val="000000"/>
          <w:sz w:val="24"/>
          <w:szCs w:val="28"/>
        </w:rPr>
        <w:t xml:space="preserve"> project. </w:t>
      </w:r>
      <w:r w:rsidRPr="00874D3D">
        <w:rPr>
          <w:rFonts w:eastAsia="Times New Roman"/>
          <w:b/>
          <w:bCs/>
          <w:color w:val="000000"/>
          <w:sz w:val="24"/>
          <w:szCs w:val="28"/>
        </w:rPr>
        <w:t>By signing these Certifications and Assurances, the Authority hereby warrants under penalty of perjury that it:</w:t>
      </w:r>
    </w:p>
    <w:p w:rsidR="00580592" w:rsidRPr="00874D3D" w:rsidP="00874D3D" w14:paraId="6715E75A" w14:textId="3B7AA0CE">
      <w:pPr>
        <w:numPr>
          <w:ilvl w:val="0"/>
          <w:numId w:val="1"/>
        </w:numPr>
        <w:spacing w:before="91" w:line="300" w:lineRule="exact"/>
        <w:ind w:left="360" w:right="72" w:hanging="360"/>
        <w:textAlignment w:val="baseline"/>
        <w:rPr>
          <w:rFonts w:eastAsia="Times New Roman"/>
          <w:color w:val="000000"/>
          <w:sz w:val="24"/>
          <w:szCs w:val="28"/>
        </w:rPr>
      </w:pPr>
      <w:r w:rsidRPr="00874D3D">
        <w:rPr>
          <w:rFonts w:eastAsia="Times New Roman"/>
          <w:color w:val="000000"/>
          <w:sz w:val="24"/>
          <w:szCs w:val="28"/>
        </w:rPr>
        <w:t xml:space="preserve">Has the legal authority under State and local law to develop low-income homeownership housing units through the establishment or selection of an owner entity, and to enter into all agreements required by HUD for a Mixed-Finance transaction and provide all assurances required under 24 CFR </w:t>
      </w:r>
      <w:r w:rsidR="00AF0FFD">
        <w:rPr>
          <w:rFonts w:eastAsia="Times New Roman"/>
          <w:color w:val="000000"/>
          <w:sz w:val="24"/>
          <w:szCs w:val="28"/>
        </w:rPr>
        <w:t>part</w:t>
      </w:r>
      <w:r w:rsidRPr="00874D3D">
        <w:rPr>
          <w:rFonts w:eastAsia="Times New Roman"/>
          <w:color w:val="000000"/>
          <w:sz w:val="24"/>
          <w:szCs w:val="28"/>
        </w:rPr>
        <w:t xml:space="preserve"> 905</w:t>
      </w:r>
      <w:r w:rsidR="00AF0FFD">
        <w:rPr>
          <w:rFonts w:eastAsia="Times New Roman"/>
          <w:color w:val="000000"/>
          <w:sz w:val="24"/>
          <w:szCs w:val="28"/>
        </w:rPr>
        <w:t>,</w:t>
      </w:r>
      <w:r w:rsidRPr="00874D3D">
        <w:rPr>
          <w:rFonts w:eastAsia="Times New Roman"/>
          <w:color w:val="000000"/>
          <w:sz w:val="24"/>
          <w:szCs w:val="28"/>
        </w:rPr>
        <w:t xml:space="preserve"> subpart F (“this subpart”), or successor regulation. In addition, the Authority warrants that it has the legal authority necessary to enter into any proposed partnership and to fulfill its obligations as a partner thereunder, and that it has obtained all necessary approvals for this </w:t>
      </w:r>
      <w:r w:rsidRPr="00874D3D">
        <w:rPr>
          <w:rFonts w:eastAsia="Times New Roman"/>
          <w:color w:val="000000"/>
          <w:sz w:val="24"/>
          <w:szCs w:val="28"/>
        </w:rPr>
        <w:t>purpose;</w:t>
      </w:r>
    </w:p>
    <w:p w:rsidR="00580592" w:rsidRPr="00874D3D" w:rsidP="00874D3D" w14:paraId="6715E75B" w14:textId="77777777">
      <w:pPr>
        <w:numPr>
          <w:ilvl w:val="0"/>
          <w:numId w:val="1"/>
        </w:numPr>
        <w:spacing w:before="157" w:line="300" w:lineRule="exact"/>
        <w:ind w:left="360" w:right="72" w:hanging="360"/>
        <w:textAlignment w:val="baseline"/>
        <w:rPr>
          <w:rFonts w:eastAsia="Times New Roman"/>
          <w:color w:val="000000"/>
          <w:sz w:val="24"/>
          <w:szCs w:val="28"/>
        </w:rPr>
      </w:pPr>
      <w:r w:rsidRPr="00874D3D">
        <w:rPr>
          <w:rFonts w:eastAsia="Times New Roman"/>
          <w:color w:val="000000"/>
          <w:sz w:val="24"/>
          <w:szCs w:val="28"/>
        </w:rPr>
        <w:t xml:space="preserve">This Certification shall not be altered, modified, or rescinded without the prior written approval of </w:t>
      </w:r>
      <w:r w:rsidRPr="00874D3D">
        <w:rPr>
          <w:rFonts w:eastAsia="Times New Roman"/>
          <w:color w:val="000000"/>
          <w:sz w:val="24"/>
          <w:szCs w:val="28"/>
        </w:rPr>
        <w:t>HUD;</w:t>
      </w:r>
    </w:p>
    <w:p w:rsidR="00580592" w:rsidRPr="00874D3D" w:rsidP="00874D3D" w14:paraId="6715E75C" w14:textId="08E2C910">
      <w:pPr>
        <w:numPr>
          <w:ilvl w:val="0"/>
          <w:numId w:val="1"/>
        </w:numPr>
        <w:spacing w:before="118" w:line="300" w:lineRule="exact"/>
        <w:ind w:left="360" w:right="72" w:hanging="360"/>
        <w:textAlignment w:val="baseline"/>
        <w:rPr>
          <w:rFonts w:eastAsia="Times New Roman"/>
          <w:color w:val="000000"/>
          <w:sz w:val="24"/>
          <w:szCs w:val="28"/>
        </w:rPr>
      </w:pPr>
      <w:r w:rsidRPr="00874D3D">
        <w:rPr>
          <w:rFonts w:eastAsia="Times New Roman"/>
          <w:color w:val="000000"/>
          <w:sz w:val="24"/>
          <w:szCs w:val="28"/>
        </w:rPr>
        <w:t xml:space="preserve">The Authority has executed the Declaration of Restrictive Covenants in form approved by HUD as an enforceable use restriction that is either the first recorded document against the Project or in </w:t>
      </w:r>
      <w:r w:rsidR="007D7DA6">
        <w:rPr>
          <w:rFonts w:eastAsia="Times New Roman"/>
          <w:color w:val="000000"/>
          <w:sz w:val="24"/>
          <w:szCs w:val="28"/>
        </w:rPr>
        <w:t>an</w:t>
      </w:r>
      <w:r w:rsidRPr="00874D3D">
        <w:rPr>
          <w:rFonts w:eastAsia="Times New Roman"/>
          <w:color w:val="000000"/>
          <w:sz w:val="24"/>
          <w:szCs w:val="28"/>
        </w:rPr>
        <w:t xml:space="preserve">other order approved in writing by </w:t>
      </w:r>
      <w:r w:rsidRPr="00874D3D">
        <w:rPr>
          <w:rFonts w:eastAsia="Times New Roman"/>
          <w:color w:val="000000"/>
          <w:sz w:val="24"/>
          <w:szCs w:val="28"/>
        </w:rPr>
        <w:t>HUD;</w:t>
      </w:r>
    </w:p>
    <w:p w:rsidR="00580592" w:rsidRPr="00874D3D" w:rsidP="00874D3D" w14:paraId="6715E75D" w14:textId="77777777">
      <w:pPr>
        <w:numPr>
          <w:ilvl w:val="0"/>
          <w:numId w:val="1"/>
        </w:numPr>
        <w:spacing w:before="122" w:line="300" w:lineRule="exact"/>
        <w:ind w:left="360" w:right="72" w:hanging="360"/>
        <w:textAlignment w:val="baseline"/>
        <w:rPr>
          <w:rFonts w:eastAsia="Times New Roman"/>
          <w:color w:val="000000"/>
          <w:spacing w:val="-1"/>
          <w:sz w:val="24"/>
          <w:szCs w:val="28"/>
        </w:rPr>
      </w:pPr>
      <w:r w:rsidRPr="00874D3D">
        <w:rPr>
          <w:rFonts w:eastAsia="Times New Roman"/>
          <w:color w:val="000000"/>
          <w:spacing w:val="-1"/>
          <w:sz w:val="24"/>
          <w:szCs w:val="28"/>
        </w:rPr>
        <w:t xml:space="preserve">The Authority has executed the Mixed-Finance ACC Amendment and Exhibits (the “Amendment”) or HOPE VI Grant Addendum and Exhibits (the “Addendum”), as approved by HUD at closing, and the executed documents are consistent with both the Proposal and the legal documents associated with the </w:t>
      </w:r>
      <w:r w:rsidRPr="00874D3D">
        <w:rPr>
          <w:rFonts w:eastAsia="Times New Roman"/>
          <w:color w:val="000000"/>
          <w:spacing w:val="-1"/>
          <w:sz w:val="24"/>
          <w:szCs w:val="28"/>
        </w:rPr>
        <w:t>phase;</w:t>
      </w:r>
    </w:p>
    <w:p w:rsidR="007B4282" w:rsidRPr="00874D3D" w:rsidP="00874D3D" w14:paraId="6715E75E" w14:textId="77777777">
      <w:pPr>
        <w:numPr>
          <w:ilvl w:val="0"/>
          <w:numId w:val="1"/>
        </w:numPr>
        <w:spacing w:before="116" w:line="300" w:lineRule="exact"/>
        <w:ind w:left="360" w:right="72" w:hanging="360"/>
        <w:textAlignment w:val="baseline"/>
        <w:rPr>
          <w:rFonts w:eastAsia="Times New Roman"/>
          <w:color w:val="000000"/>
          <w:sz w:val="24"/>
          <w:szCs w:val="28"/>
        </w:rPr>
      </w:pPr>
      <w:r w:rsidRPr="00874D3D">
        <w:rPr>
          <w:rFonts w:eastAsia="Times New Roman"/>
          <w:color w:val="000000"/>
          <w:sz w:val="24"/>
          <w:szCs w:val="28"/>
        </w:rPr>
        <w:t xml:space="preserve">The Authority has executed (or will execute with respect to documents for the individual sale of units) </w:t>
      </w:r>
      <w:r w:rsidRPr="00874D3D">
        <w:rPr>
          <w:rFonts w:eastAsia="Times New Roman"/>
          <w:color w:val="000000"/>
          <w:sz w:val="24"/>
          <w:szCs w:val="28"/>
        </w:rPr>
        <w:t>and,</w:t>
      </w:r>
      <w:r w:rsidRPr="00874D3D">
        <w:rPr>
          <w:rFonts w:eastAsia="Times New Roman"/>
          <w:color w:val="000000"/>
          <w:sz w:val="24"/>
          <w:szCs w:val="28"/>
        </w:rPr>
        <w:t xml:space="preserve"> as needed, recorded all other legal documents for the Project as identified in Exhibit E of the Addendum;</w:t>
      </w:r>
    </w:p>
    <w:p w:rsidR="00580592" w:rsidRPr="00874D3D" w:rsidP="00874D3D" w14:paraId="6715E75F" w14:textId="13666225">
      <w:pPr>
        <w:numPr>
          <w:ilvl w:val="0"/>
          <w:numId w:val="1"/>
        </w:numPr>
        <w:spacing w:before="120" w:line="300" w:lineRule="exact"/>
        <w:ind w:left="360" w:right="1656" w:hanging="360"/>
        <w:textAlignment w:val="baseline"/>
        <w:rPr>
          <w:rFonts w:eastAsia="Times New Roman"/>
          <w:color w:val="000000"/>
          <w:sz w:val="24"/>
          <w:szCs w:val="24"/>
        </w:rPr>
      </w:pPr>
      <w:r w:rsidRPr="00874D3D">
        <w:rPr>
          <w:rFonts w:eastAsia="Times New Roman"/>
          <w:color w:val="000000"/>
          <w:sz w:val="24"/>
          <w:szCs w:val="24"/>
        </w:rPr>
        <w:t xml:space="preserve">The Authority has made no changes to the Proposal approved by HUD at closing or has notified HUD of changes to the </w:t>
      </w:r>
      <w:r w:rsidRPr="00874D3D">
        <w:rPr>
          <w:rFonts w:eastAsia="Times New Roman"/>
          <w:color w:val="000000"/>
          <w:sz w:val="24"/>
          <w:szCs w:val="24"/>
        </w:rPr>
        <w:t>Proposal;</w:t>
      </w:r>
    </w:p>
    <w:p w:rsidR="00580592" w:rsidRPr="00874D3D" w:rsidP="00874D3D" w14:paraId="6715E764" w14:textId="420F3DC8">
      <w:pPr>
        <w:numPr>
          <w:ilvl w:val="0"/>
          <w:numId w:val="1"/>
        </w:numPr>
        <w:spacing w:before="116" w:line="300" w:lineRule="exact"/>
        <w:ind w:left="360" w:right="72" w:hanging="360"/>
        <w:textAlignment w:val="baseline"/>
        <w:rPr>
          <w:rFonts w:eastAsia="Times New Roman"/>
          <w:color w:val="000000"/>
          <w:spacing w:val="-1"/>
          <w:sz w:val="24"/>
          <w:szCs w:val="24"/>
        </w:rPr>
      </w:pPr>
      <w:r w:rsidRPr="00874D3D">
        <w:rPr>
          <w:rFonts w:eastAsia="Times New Roman"/>
          <w:color w:val="000000"/>
          <w:sz w:val="24"/>
          <w:szCs w:val="24"/>
        </w:rPr>
        <w:t>For Mixed-Finance rental project development, all construction and permanent funding for the Mixed-Finance Project has been irrevocably committed to the Project. For Homeownership phase development, all</w:t>
      </w:r>
      <w:r w:rsidRPr="00874D3D" w:rsidR="007B4282">
        <w:rPr>
          <w:rFonts w:eastAsia="Times New Roman"/>
          <w:color w:val="000000"/>
          <w:sz w:val="24"/>
          <w:szCs w:val="24"/>
        </w:rPr>
        <w:t xml:space="preserve"> </w:t>
      </w:r>
      <w:r w:rsidRPr="00874D3D">
        <w:rPr>
          <w:rFonts w:eastAsia="Times New Roman"/>
          <w:color w:val="000000"/>
          <w:spacing w:val="-1"/>
          <w:sz w:val="24"/>
          <w:szCs w:val="24"/>
        </w:rPr>
        <w:t>construction funding for the phase has been irrevocably committed to the Project. Irrevocability of funds means that binding legal documents</w:t>
      </w:r>
      <w:r w:rsidRPr="00874D3D" w:rsidR="0069103F">
        <w:rPr>
          <w:rFonts w:eastAsia="Times New Roman"/>
          <w:color w:val="000000"/>
          <w:spacing w:val="-1"/>
          <w:sz w:val="24"/>
          <w:szCs w:val="24"/>
        </w:rPr>
        <w:t xml:space="preserve"> –</w:t>
      </w:r>
      <w:r w:rsidRPr="00874D3D">
        <w:rPr>
          <w:rFonts w:eastAsia="Times New Roman"/>
          <w:color w:val="000000"/>
          <w:spacing w:val="-1"/>
          <w:sz w:val="24"/>
          <w:szCs w:val="24"/>
        </w:rPr>
        <w:t xml:space="preserve"> such as loan agreements, mortgages/deeds of trust, partnership agreements or operating agreements or similar documents committing funds</w:t>
      </w:r>
      <w:r w:rsidRPr="00874D3D" w:rsidR="002A4FF5">
        <w:rPr>
          <w:rFonts w:eastAsia="Times New Roman"/>
          <w:color w:val="000000"/>
          <w:spacing w:val="-1"/>
          <w:sz w:val="24"/>
          <w:szCs w:val="24"/>
        </w:rPr>
        <w:t xml:space="preserve"> –</w:t>
      </w:r>
      <w:r w:rsidRPr="00874D3D">
        <w:rPr>
          <w:rFonts w:eastAsia="Times New Roman"/>
          <w:color w:val="000000"/>
          <w:spacing w:val="-1"/>
          <w:sz w:val="24"/>
          <w:szCs w:val="24"/>
        </w:rPr>
        <w:t xml:space="preserve"> have been executed by the applicable parties, though disbursement of such funds may be subject to meeting progress milestones, the absence of default, and other conditions under such documents. For projects involving revolving loan funds, the irrevocability of funds means that funds in an amount identified to HUD as the maximum revolving loan have been committed pursuant to legally binding documents, though disbursement of such funds may be subject to meeting progress milestones, the absence of default, and other conditions under such documents. Further, for purposes of this Certification, the Authority will ensure the commitment of funds by the participating parties through reviewing the legal documents described above, confirming the terms of the documents commit the funds as described above, and confirming that such documents are duly executed by the participating parties. The Authority may certify as to the irrevocability of funds through the submission of an opinion of the Authority</w:t>
      </w:r>
      <w:r w:rsidRPr="00874D3D" w:rsidR="00B22C1D">
        <w:rPr>
          <w:rFonts w:eastAsia="Times New Roman"/>
          <w:color w:val="000000"/>
          <w:spacing w:val="-1"/>
          <w:sz w:val="24"/>
          <w:szCs w:val="24"/>
        </w:rPr>
        <w:t>’</w:t>
      </w:r>
      <w:r w:rsidRPr="00874D3D">
        <w:rPr>
          <w:rFonts w:eastAsia="Times New Roman"/>
          <w:color w:val="000000"/>
          <w:spacing w:val="-1"/>
          <w:sz w:val="24"/>
          <w:szCs w:val="24"/>
        </w:rPr>
        <w:t>s counsel attesting that counsel has examined the availability of the participating party(</w:t>
      </w:r>
      <w:r w:rsidRPr="00874D3D">
        <w:rPr>
          <w:rFonts w:eastAsia="Times New Roman"/>
          <w:color w:val="000000"/>
          <w:spacing w:val="-1"/>
          <w:sz w:val="24"/>
          <w:szCs w:val="24"/>
        </w:rPr>
        <w:t>ies</w:t>
      </w:r>
      <w:r w:rsidRPr="00874D3D">
        <w:rPr>
          <w:rFonts w:eastAsia="Times New Roman"/>
          <w:color w:val="000000"/>
          <w:spacing w:val="-1"/>
          <w:sz w:val="24"/>
          <w:szCs w:val="24"/>
        </w:rPr>
        <w:t>)</w:t>
      </w:r>
      <w:r w:rsidRPr="00874D3D" w:rsidR="00B22C1D">
        <w:rPr>
          <w:rFonts w:eastAsia="Times New Roman"/>
          <w:color w:val="000000"/>
          <w:spacing w:val="-1"/>
          <w:sz w:val="24"/>
          <w:szCs w:val="24"/>
        </w:rPr>
        <w:t>’</w:t>
      </w:r>
      <w:r w:rsidRPr="00874D3D">
        <w:rPr>
          <w:rFonts w:eastAsia="Times New Roman"/>
          <w:color w:val="000000"/>
          <w:spacing w:val="-1"/>
          <w:sz w:val="24"/>
          <w:szCs w:val="24"/>
        </w:rPr>
        <w:t>s financing, and the amount and source of financing committed to the proposal by the participating party(</w:t>
      </w:r>
      <w:r w:rsidRPr="00874D3D">
        <w:rPr>
          <w:rFonts w:eastAsia="Times New Roman"/>
          <w:color w:val="000000"/>
          <w:spacing w:val="-1"/>
          <w:sz w:val="24"/>
          <w:szCs w:val="24"/>
        </w:rPr>
        <w:t>ies</w:t>
      </w:r>
      <w:r w:rsidRPr="00874D3D">
        <w:rPr>
          <w:rFonts w:eastAsia="Times New Roman"/>
          <w:color w:val="000000"/>
          <w:spacing w:val="-1"/>
          <w:sz w:val="24"/>
          <w:szCs w:val="24"/>
        </w:rPr>
        <w:t>), and has determined that such financing has been irrevocably committed by the participating party(</w:t>
      </w:r>
      <w:r w:rsidRPr="00874D3D">
        <w:rPr>
          <w:rFonts w:eastAsia="Times New Roman"/>
          <w:color w:val="000000"/>
          <w:spacing w:val="-1"/>
          <w:sz w:val="24"/>
          <w:szCs w:val="24"/>
        </w:rPr>
        <w:t>ies</w:t>
      </w:r>
      <w:r w:rsidRPr="00874D3D">
        <w:rPr>
          <w:rFonts w:eastAsia="Times New Roman"/>
          <w:color w:val="000000"/>
          <w:spacing w:val="-1"/>
          <w:sz w:val="24"/>
          <w:szCs w:val="24"/>
        </w:rPr>
        <w:t>) for use in carrying out the proposal, and that such commitment is in the amount required under the terms of the proposal. For Homeownership phase development, for the purposes of this Certification, the Authority is not required to ensure the availability of funds by enforcing documents to which it is not a party; and</w:t>
      </w:r>
    </w:p>
    <w:p w:rsidR="00580592" w:rsidP="00874D3D" w14:paraId="6715E765" w14:textId="6D2FFE05">
      <w:pPr>
        <w:tabs>
          <w:tab w:val="left" w:pos="360"/>
        </w:tabs>
        <w:spacing w:before="120" w:line="300" w:lineRule="exact"/>
        <w:ind w:left="360" w:right="288" w:hanging="360"/>
        <w:textAlignment w:val="baseline"/>
        <w:rPr>
          <w:rFonts w:eastAsia="Times New Roman"/>
          <w:color w:val="000000"/>
          <w:sz w:val="24"/>
          <w:szCs w:val="24"/>
        </w:rPr>
      </w:pPr>
      <w:r w:rsidRPr="00874D3D">
        <w:rPr>
          <w:rFonts w:eastAsia="Times New Roman"/>
          <w:color w:val="000000"/>
          <w:sz w:val="24"/>
          <w:szCs w:val="24"/>
        </w:rPr>
        <w:t>8)</w:t>
      </w:r>
      <w:r w:rsidRPr="00874D3D">
        <w:rPr>
          <w:rFonts w:eastAsia="Times New Roman"/>
          <w:color w:val="000000"/>
          <w:sz w:val="24"/>
          <w:szCs w:val="24"/>
        </w:rPr>
        <w:tab/>
        <w:t>Any capitalized term used in this Certification, but not defined herein, shall have the meaning provided in the Amendment or Addendum.</w:t>
      </w:r>
    </w:p>
    <w:p w:rsidR="00874D3D" w:rsidP="00874D3D" w14:paraId="6530EB58" w14:textId="20C16D9B">
      <w:pPr>
        <w:tabs>
          <w:tab w:val="left" w:pos="360"/>
        </w:tabs>
        <w:spacing w:before="120" w:line="300" w:lineRule="exact"/>
        <w:ind w:left="360" w:right="288" w:hanging="360"/>
        <w:textAlignment w:val="baseline"/>
        <w:rPr>
          <w:rFonts w:eastAsia="Times New Roman"/>
          <w:color w:val="000000"/>
          <w:sz w:val="24"/>
          <w:szCs w:val="24"/>
        </w:rPr>
      </w:pPr>
    </w:p>
    <w:p w:rsidR="00874D3D" w:rsidP="00874D3D" w14:paraId="37969698" w14:textId="271C2368">
      <w:pPr>
        <w:tabs>
          <w:tab w:val="left" w:pos="360"/>
        </w:tabs>
        <w:spacing w:before="120" w:line="300" w:lineRule="exact"/>
        <w:ind w:left="360" w:right="288" w:hanging="360"/>
        <w:textAlignment w:val="baseline"/>
        <w:rPr>
          <w:rFonts w:eastAsia="Times New Roman"/>
          <w:color w:val="000000"/>
          <w:sz w:val="24"/>
          <w:szCs w:val="24"/>
        </w:rPr>
      </w:pPr>
    </w:p>
    <w:p w:rsidR="00874D3D" w:rsidRPr="00874D3D" w:rsidP="00874D3D" w14:paraId="7D870C9E" w14:textId="5759B493">
      <w:pPr>
        <w:tabs>
          <w:tab w:val="left" w:pos="360"/>
        </w:tabs>
        <w:spacing w:before="120" w:line="300" w:lineRule="exact"/>
        <w:ind w:left="360" w:right="288" w:hanging="360"/>
        <w:jc w:val="center"/>
        <w:textAlignment w:val="baseline"/>
        <w:rPr>
          <w:rFonts w:eastAsia="Times New Roman"/>
          <w:i/>
          <w:iCs/>
          <w:color w:val="000000"/>
          <w:sz w:val="24"/>
          <w:szCs w:val="24"/>
        </w:rPr>
      </w:pPr>
      <w:r w:rsidRPr="00874D3D">
        <w:rPr>
          <w:rFonts w:eastAsia="Times New Roman"/>
          <w:i/>
          <w:iCs/>
          <w:color w:val="000000"/>
          <w:sz w:val="24"/>
          <w:szCs w:val="24"/>
        </w:rPr>
        <w:t>Signature on next page</w:t>
      </w:r>
    </w:p>
    <w:p w:rsidR="00580592" w:rsidRPr="00512BF8" w:rsidP="00874D3D" w14:paraId="6715E766" w14:textId="68CF184C">
      <w:pPr>
        <w:rPr>
          <w:rFonts w:eastAsia="Times New Roman"/>
          <w:color w:val="000000"/>
          <w:sz w:val="24"/>
          <w:szCs w:val="28"/>
        </w:rPr>
      </w:pPr>
      <w:r>
        <w:rPr>
          <w:rFonts w:eastAsia="Times New Roman"/>
          <w:b/>
          <w:bCs/>
          <w:color w:val="000000"/>
          <w:sz w:val="20"/>
        </w:rPr>
        <w:br w:type="page"/>
      </w:r>
      <w:r w:rsidRPr="00512BF8" w:rsidR="009051FF">
        <w:rPr>
          <w:rFonts w:eastAsia="Times New Roman"/>
          <w:b/>
          <w:bCs/>
          <w:color w:val="000000"/>
          <w:sz w:val="24"/>
          <w:szCs w:val="28"/>
        </w:rPr>
        <w:t xml:space="preserve">IN WITNESS WHEREOF, the Authority has caused these Certifications and Assurances </w:t>
      </w:r>
      <w:r w:rsidRPr="00512BF8" w:rsidR="00512BF8">
        <w:rPr>
          <w:rFonts w:eastAsia="Times New Roman"/>
          <w:b/>
          <w:bCs/>
          <w:noProof/>
          <w:color w:val="000000"/>
          <w:sz w:val="24"/>
          <w:szCs w:val="28"/>
        </w:rPr>
        <mc:AlternateContent>
          <mc:Choice Requires="wps">
            <w:drawing>
              <wp:anchor distT="45720" distB="45720" distL="114300" distR="114300" simplePos="0" relativeHeight="251658240" behindDoc="0" locked="0" layoutInCell="1" allowOverlap="1">
                <wp:simplePos x="0" y="0"/>
                <wp:positionH relativeFrom="margin">
                  <wp:posOffset>-80010</wp:posOffset>
                </wp:positionH>
                <wp:positionV relativeFrom="paragraph">
                  <wp:posOffset>461010</wp:posOffset>
                </wp:positionV>
                <wp:extent cx="5995035" cy="699135"/>
                <wp:effectExtent l="0" t="0" r="5715" b="571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5035" cy="699135"/>
                        </a:xfrm>
                        <a:prstGeom prst="rect">
                          <a:avLst/>
                        </a:prstGeom>
                        <a:solidFill>
                          <a:srgbClr val="FFFFFF"/>
                        </a:solidFill>
                        <a:ln w="9525">
                          <a:noFill/>
                          <a:miter lim="800000"/>
                          <a:headEnd/>
                          <a:tailEnd/>
                        </a:ln>
                      </wps:spPr>
                      <wps:txbx>
                        <w:txbxContent>
                          <w:p w:rsidR="00521454" w:rsidP="00521454" w14:textId="77777777">
                            <w:pPr>
                              <w:textAlignment w:val="baseline"/>
                              <w:rPr>
                                <w:i/>
                                <w:iCs/>
                                <w:sz w:val="20"/>
                                <w:szCs w:val="20"/>
                              </w:rPr>
                            </w:pPr>
                            <w:r w:rsidRPr="00F018CC">
                              <w:rPr>
                                <w:i/>
                                <w:iCs/>
                                <w:sz w:val="20"/>
                                <w:szCs w:val="20"/>
                              </w:rPr>
                              <w:t>WARNING: Anyone who knowingly submits a false claim or makes a false statement is subject to criminal and/or civil penalties, including confinement for up to 5 years, fines, and civil and administrative penalties.</w:t>
                            </w:r>
                          </w:p>
                          <w:p w:rsidR="00521454" w:rsidRPr="00F018CC" w:rsidP="00521454" w14:textId="50A08336">
                            <w:pPr>
                              <w:textAlignment w:val="baseline"/>
                            </w:pPr>
                            <w:r w:rsidRPr="00F018CC">
                              <w:rPr>
                                <w:i/>
                                <w:iCs/>
                                <w:sz w:val="20"/>
                                <w:szCs w:val="20"/>
                              </w:rPr>
                              <w:t>(18 U.S.C. §§ 287, 1001, 1010, 1012; 31 U.S.C. §3729, 3802).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2.05pt;height:55.05pt;margin-top:36.3pt;margin-left:-6.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521454" w:rsidP="00521454" w14:paraId="3A790ACF" w14:textId="77777777">
                      <w:pPr>
                        <w:textAlignment w:val="baseline"/>
                        <w:rPr>
                          <w:i/>
                          <w:iCs/>
                          <w:sz w:val="20"/>
                          <w:szCs w:val="20"/>
                        </w:rPr>
                      </w:pPr>
                      <w:r w:rsidRPr="00F018CC">
                        <w:rPr>
                          <w:i/>
                          <w:iCs/>
                          <w:sz w:val="20"/>
                          <w:szCs w:val="20"/>
                        </w:rPr>
                        <w:t>WARNING: Anyone who knowingly submits a false claim or makes a false statement is subject to criminal and/or civil penalties, including confinement for up to 5 years, fines, and civil and administrative penalties.</w:t>
                      </w:r>
                    </w:p>
                    <w:p w:rsidR="00521454" w:rsidRPr="00F018CC" w:rsidP="00521454" w14:paraId="3D093B1E" w14:textId="50A08336">
                      <w:pPr>
                        <w:textAlignment w:val="baseline"/>
                      </w:pPr>
                      <w:r w:rsidRPr="00F018CC">
                        <w:rPr>
                          <w:i/>
                          <w:iCs/>
                          <w:sz w:val="20"/>
                          <w:szCs w:val="20"/>
                        </w:rPr>
                        <w:t>(18 U.S.C. §§ 287, 1001, 1010, 1012; 31 U.S.C. §3729, 3802).</w:t>
                      </w:r>
                    </w:p>
                  </w:txbxContent>
                </v:textbox>
                <w10:wrap type="square"/>
              </v:shape>
            </w:pict>
          </mc:Fallback>
        </mc:AlternateContent>
      </w:r>
      <w:r w:rsidRPr="00512BF8" w:rsidR="009051FF">
        <w:rPr>
          <w:rFonts w:eastAsia="Times New Roman"/>
          <w:b/>
          <w:bCs/>
          <w:color w:val="000000"/>
          <w:sz w:val="24"/>
          <w:szCs w:val="28"/>
        </w:rPr>
        <w:t>to be duly</w:t>
      </w:r>
      <w:r w:rsidRPr="00512BF8" w:rsidR="009051FF">
        <w:rPr>
          <w:rFonts w:eastAsia="Times New Roman"/>
          <w:color w:val="000000"/>
          <w:sz w:val="24"/>
          <w:szCs w:val="28"/>
        </w:rPr>
        <w:t xml:space="preserve"> </w:t>
      </w:r>
      <w:r w:rsidRPr="00512BF8" w:rsidR="009051FF">
        <w:rPr>
          <w:rFonts w:eastAsia="Times New Roman"/>
          <w:b/>
          <w:bCs/>
          <w:color w:val="000000"/>
          <w:sz w:val="24"/>
          <w:szCs w:val="28"/>
        </w:rPr>
        <w:t>executed.</w:t>
      </w:r>
    </w:p>
    <w:p w:rsidR="00EE2E4F" w14:paraId="4B56757A" w14:textId="441B3656">
      <w:pPr>
        <w:tabs>
          <w:tab w:val="left" w:pos="4680"/>
        </w:tabs>
        <w:spacing w:before="74" w:line="223" w:lineRule="exact"/>
        <w:textAlignment w:val="baseline"/>
        <w:rPr>
          <w:rFonts w:eastAsia="Times New Roman"/>
          <w:color w:val="000000"/>
          <w:sz w:val="20"/>
        </w:rPr>
      </w:pPr>
    </w:p>
    <w:p w:rsidR="00874D3D" w14:paraId="63005AEE" w14:textId="1FAD4690">
      <w:pPr>
        <w:tabs>
          <w:tab w:val="left" w:pos="4680"/>
        </w:tabs>
        <w:spacing w:before="74" w:line="223" w:lineRule="exact"/>
        <w:textAlignment w:val="baseline"/>
        <w:rPr>
          <w:rFonts w:eastAsia="Times New Roman"/>
          <w:color w:val="000000"/>
          <w:sz w:val="20"/>
        </w:rPr>
      </w:pPr>
    </w:p>
    <w:p w:rsidR="00874D3D" w14:paraId="5578BD94" w14:textId="140DCA9C">
      <w:pPr>
        <w:tabs>
          <w:tab w:val="left" w:pos="4680"/>
        </w:tabs>
        <w:spacing w:before="74" w:line="223" w:lineRule="exact"/>
        <w:textAlignment w:val="baseline"/>
        <w:rPr>
          <w:rFonts w:eastAsia="Times New Roman"/>
          <w:color w:val="000000"/>
          <w:sz w:val="20"/>
        </w:rPr>
      </w:pPr>
    </w:p>
    <w:p w:rsidR="00874D3D" w14:paraId="70226F1A" w14:textId="740D2DA1">
      <w:pPr>
        <w:tabs>
          <w:tab w:val="left" w:pos="4680"/>
        </w:tabs>
        <w:spacing w:before="74" w:line="223" w:lineRule="exact"/>
        <w:textAlignment w:val="baseline"/>
        <w:rPr>
          <w:rFonts w:eastAsia="Times New Roman"/>
          <w:color w:val="000000"/>
          <w:sz w:val="20"/>
        </w:rPr>
      </w:pPr>
    </w:p>
    <w:p w:rsidR="00874D3D" w14:paraId="389C7CFD" w14:textId="047D26B9">
      <w:pPr>
        <w:tabs>
          <w:tab w:val="left" w:pos="4680"/>
        </w:tabs>
        <w:spacing w:before="74" w:line="223" w:lineRule="exact"/>
        <w:textAlignment w:val="baseline"/>
        <w:rPr>
          <w:rFonts w:eastAsia="Times New Roman"/>
          <w:color w:val="000000"/>
          <w:sz w:val="20"/>
        </w:rPr>
      </w:pPr>
      <w:r>
        <w:rPr>
          <w:rFonts w:eastAsia="Times New Roman"/>
          <w:color w:val="000000"/>
          <w:sz w:val="20"/>
        </w:rPr>
        <w:t>_________________________________________           _______________________________________________</w:t>
      </w:r>
    </w:p>
    <w:p w:rsidR="00580592" w:rsidRPr="00DD1BDB" w14:paraId="6715E767" w14:textId="2D405C93">
      <w:pPr>
        <w:tabs>
          <w:tab w:val="left" w:pos="4680"/>
        </w:tabs>
        <w:spacing w:before="74" w:line="223" w:lineRule="exact"/>
        <w:textAlignment w:val="baseline"/>
        <w:rPr>
          <w:rFonts w:eastAsia="Times New Roman"/>
          <w:color w:val="000000"/>
          <w:szCs w:val="24"/>
        </w:rPr>
      </w:pPr>
      <w:r w:rsidRPr="00DD1BDB">
        <w:rPr>
          <w:rFonts w:eastAsia="Times New Roman"/>
          <w:color w:val="000000"/>
          <w:szCs w:val="24"/>
        </w:rPr>
        <w:t>Date</w:t>
      </w:r>
      <w:r w:rsidRPr="00DD1BDB">
        <w:rPr>
          <w:rFonts w:eastAsia="Times New Roman"/>
          <w:color w:val="000000"/>
          <w:szCs w:val="24"/>
        </w:rPr>
        <w:tab/>
        <w:t>Authority</w:t>
      </w:r>
    </w:p>
    <w:p w:rsidR="00580592" w:rsidRPr="00DD1BDB" w14:paraId="6715E768" w14:textId="2A469E74">
      <w:pPr>
        <w:tabs>
          <w:tab w:val="right" w:leader="underscore" w:pos="9432"/>
        </w:tabs>
        <w:spacing w:before="704" w:line="223" w:lineRule="exact"/>
        <w:ind w:left="4680"/>
        <w:textAlignment w:val="baseline"/>
        <w:rPr>
          <w:rFonts w:eastAsia="Times New Roman"/>
          <w:color w:val="000000"/>
          <w:szCs w:val="24"/>
        </w:rPr>
      </w:pPr>
      <w:r w:rsidRPr="00DD1BDB">
        <w:rPr>
          <w:rFonts w:eastAsia="Times New Roman"/>
          <w:color w:val="000000"/>
          <w:szCs w:val="24"/>
        </w:rPr>
        <w:t>By:</w:t>
      </w:r>
      <w:r w:rsidRPr="00DD1BDB">
        <w:rPr>
          <w:rFonts w:eastAsia="Times New Roman"/>
          <w:color w:val="000000"/>
          <w:szCs w:val="24"/>
        </w:rPr>
        <w:tab/>
        <w:t xml:space="preserve"> </w:t>
      </w:r>
    </w:p>
    <w:p w:rsidR="00580592" w:rsidRPr="00DD1BDB" w14:paraId="6715E769" w14:textId="77777777">
      <w:pPr>
        <w:tabs>
          <w:tab w:val="right" w:leader="underscore" w:pos="9432"/>
        </w:tabs>
        <w:spacing w:before="242" w:line="223" w:lineRule="exact"/>
        <w:ind w:left="4680"/>
        <w:textAlignment w:val="baseline"/>
        <w:rPr>
          <w:rFonts w:eastAsia="Times New Roman"/>
          <w:color w:val="000000"/>
          <w:szCs w:val="24"/>
        </w:rPr>
      </w:pPr>
      <w:r w:rsidRPr="00DD1BDB">
        <w:rPr>
          <w:rFonts w:eastAsia="Times New Roman"/>
          <w:color w:val="000000"/>
          <w:szCs w:val="24"/>
        </w:rPr>
        <w:t>Name:</w:t>
      </w:r>
      <w:r w:rsidRPr="00DD1BDB">
        <w:rPr>
          <w:rFonts w:eastAsia="Times New Roman"/>
          <w:color w:val="000000"/>
          <w:szCs w:val="24"/>
        </w:rPr>
        <w:tab/>
        <w:t xml:space="preserve"> </w:t>
      </w:r>
    </w:p>
    <w:p w:rsidR="00580592" w:rsidRPr="00DD1BDB" w14:paraId="6715E76A" w14:textId="5A1F3CB5">
      <w:pPr>
        <w:tabs>
          <w:tab w:val="right" w:leader="underscore" w:pos="9432"/>
        </w:tabs>
        <w:spacing w:before="243" w:line="223" w:lineRule="exact"/>
        <w:ind w:left="4680"/>
        <w:textAlignment w:val="baseline"/>
        <w:rPr>
          <w:rFonts w:eastAsia="Times New Roman"/>
          <w:color w:val="000000"/>
          <w:szCs w:val="24"/>
        </w:rPr>
      </w:pPr>
      <w:r w:rsidRPr="00DD1BDB">
        <w:rPr>
          <w:rFonts w:eastAsia="Times New Roman"/>
          <w:color w:val="000000"/>
          <w:szCs w:val="24"/>
        </w:rPr>
        <w:t>Title:</w:t>
      </w:r>
      <w:r w:rsidRPr="00DD1BDB">
        <w:rPr>
          <w:rFonts w:eastAsia="Times New Roman"/>
          <w:color w:val="000000"/>
          <w:szCs w:val="24"/>
        </w:rPr>
        <w:tab/>
        <w:t xml:space="preserve"> </w:t>
      </w:r>
    </w:p>
    <w:p w:rsidR="00521454" w:rsidRPr="00DD1BDB" w14:paraId="3B64886D" w14:textId="2086896B">
      <w:pPr>
        <w:tabs>
          <w:tab w:val="right" w:leader="underscore" w:pos="9432"/>
        </w:tabs>
        <w:spacing w:before="243" w:line="223" w:lineRule="exact"/>
        <w:ind w:left="4680"/>
        <w:textAlignment w:val="baseline"/>
        <w:rPr>
          <w:rFonts w:eastAsia="Times New Roman"/>
          <w:color w:val="000000"/>
          <w:szCs w:val="24"/>
        </w:rPr>
      </w:pPr>
    </w:p>
    <w:p w:rsidR="00AB6FF7" w:rsidRPr="00AB6FF7" w:rsidP="00AB6FF7" w14:paraId="64528D55" w14:textId="4E04F050">
      <w:pPr>
        <w:rPr>
          <w:rFonts w:eastAsia="Times New Roman"/>
          <w:sz w:val="20"/>
        </w:rPr>
      </w:pPr>
    </w:p>
    <w:p w:rsidR="00AB6FF7" w:rsidRPr="00AB6FF7" w:rsidP="00AB6FF7" w14:paraId="2E83FF43" w14:textId="18E46AC9">
      <w:pPr>
        <w:rPr>
          <w:rFonts w:eastAsia="Times New Roman"/>
          <w:sz w:val="20"/>
        </w:rPr>
      </w:pPr>
    </w:p>
    <w:p w:rsidR="00AB6FF7" w:rsidRPr="00AB6FF7" w:rsidP="00AB6FF7" w14:paraId="0DE15267" w14:textId="1822E16F">
      <w:pPr>
        <w:rPr>
          <w:rFonts w:eastAsia="Times New Roman"/>
          <w:sz w:val="20"/>
        </w:rPr>
      </w:pPr>
    </w:p>
    <w:p w:rsidR="00AB6FF7" w:rsidRPr="00AB6FF7" w:rsidP="00AB6FF7" w14:paraId="0D2F12A7" w14:textId="61EB5467">
      <w:pPr>
        <w:rPr>
          <w:rFonts w:eastAsia="Times New Roman"/>
          <w:sz w:val="20"/>
        </w:rPr>
      </w:pPr>
    </w:p>
    <w:p w:rsidR="00AB6FF7" w:rsidRPr="00AB6FF7" w:rsidP="00AB6FF7" w14:paraId="1C11D50D" w14:textId="73272132">
      <w:pPr>
        <w:rPr>
          <w:rFonts w:eastAsia="Times New Roman"/>
          <w:sz w:val="20"/>
        </w:rPr>
      </w:pPr>
    </w:p>
    <w:p w:rsidR="00AB6FF7" w:rsidRPr="00AB6FF7" w:rsidP="00AB6FF7" w14:paraId="3F317453" w14:textId="6748630D">
      <w:pPr>
        <w:rPr>
          <w:rFonts w:eastAsia="Times New Roman"/>
          <w:sz w:val="20"/>
        </w:rPr>
      </w:pPr>
    </w:p>
    <w:p w:rsidR="00AB6FF7" w:rsidRPr="00AB6FF7" w:rsidP="00AB6FF7" w14:paraId="5F0CCDD3" w14:textId="09410B45">
      <w:pPr>
        <w:rPr>
          <w:rFonts w:eastAsia="Times New Roman"/>
          <w:sz w:val="20"/>
        </w:rPr>
      </w:pPr>
    </w:p>
    <w:p w:rsidR="00AB6FF7" w:rsidRPr="00AB6FF7" w:rsidP="00AB6FF7" w14:paraId="1F5A13F6" w14:textId="5DBC7931">
      <w:pPr>
        <w:rPr>
          <w:rFonts w:eastAsia="Times New Roman"/>
          <w:sz w:val="20"/>
        </w:rPr>
      </w:pPr>
    </w:p>
    <w:p w:rsidR="00AB6FF7" w:rsidRPr="00AB6FF7" w:rsidP="00AB6FF7" w14:paraId="228228D1" w14:textId="76648F7F">
      <w:pPr>
        <w:rPr>
          <w:rFonts w:eastAsia="Times New Roman"/>
          <w:sz w:val="20"/>
        </w:rPr>
      </w:pPr>
    </w:p>
    <w:p w:rsidR="00AB6FF7" w:rsidRPr="00AB6FF7" w:rsidP="00AB6FF7" w14:paraId="0AE1F679" w14:textId="19B932D6">
      <w:pPr>
        <w:rPr>
          <w:rFonts w:eastAsia="Times New Roman"/>
          <w:sz w:val="20"/>
        </w:rPr>
      </w:pPr>
    </w:p>
    <w:p w:rsidR="00AB6FF7" w:rsidRPr="00AB6FF7" w:rsidP="00AB6FF7" w14:paraId="70DFFC07" w14:textId="5BD492E6">
      <w:pPr>
        <w:rPr>
          <w:rFonts w:eastAsia="Times New Roman"/>
          <w:sz w:val="20"/>
        </w:rPr>
      </w:pPr>
    </w:p>
    <w:p w:rsidR="00AB6FF7" w:rsidRPr="00AB6FF7" w:rsidP="00AB6FF7" w14:paraId="461631B6" w14:textId="5C7DF067">
      <w:pPr>
        <w:rPr>
          <w:rFonts w:eastAsia="Times New Roman"/>
          <w:sz w:val="20"/>
        </w:rPr>
      </w:pPr>
    </w:p>
    <w:p w:rsidR="00AB6FF7" w:rsidRPr="00AB6FF7" w:rsidP="00AB6FF7" w14:paraId="667C7EBA" w14:textId="51168135">
      <w:pPr>
        <w:rPr>
          <w:rFonts w:eastAsia="Times New Roman"/>
          <w:sz w:val="20"/>
        </w:rPr>
      </w:pPr>
    </w:p>
    <w:p w:rsidR="00AB6FF7" w:rsidRPr="00AB6FF7" w:rsidP="00AB6FF7" w14:paraId="6767ADB6" w14:textId="0F8008B2">
      <w:pPr>
        <w:rPr>
          <w:rFonts w:eastAsia="Times New Roman"/>
          <w:sz w:val="20"/>
        </w:rPr>
      </w:pPr>
    </w:p>
    <w:p w:rsidR="00AB6FF7" w:rsidRPr="00AB6FF7" w:rsidP="00AB6FF7" w14:paraId="3DDA4585" w14:textId="79A9C346">
      <w:pPr>
        <w:rPr>
          <w:rFonts w:eastAsia="Times New Roman"/>
          <w:sz w:val="20"/>
        </w:rPr>
      </w:pPr>
    </w:p>
    <w:p w:rsidR="00AB6FF7" w:rsidRPr="00AB6FF7" w:rsidP="00AB6FF7" w14:paraId="00B54AF8" w14:textId="4609CD5B">
      <w:pPr>
        <w:rPr>
          <w:rFonts w:eastAsia="Times New Roman"/>
          <w:sz w:val="20"/>
        </w:rPr>
      </w:pPr>
    </w:p>
    <w:p w:rsidR="00AB6FF7" w:rsidRPr="00AB6FF7" w:rsidP="00AB6FF7" w14:paraId="0117FDEC" w14:textId="1074E7DB">
      <w:pPr>
        <w:rPr>
          <w:rFonts w:eastAsia="Times New Roman"/>
          <w:sz w:val="20"/>
        </w:rPr>
      </w:pPr>
    </w:p>
    <w:p w:rsidR="00AB6FF7" w:rsidRPr="00AB6FF7" w:rsidP="00AB6FF7" w14:paraId="6FEF7AF9" w14:textId="514D9390">
      <w:pPr>
        <w:rPr>
          <w:rFonts w:eastAsia="Times New Roman"/>
          <w:sz w:val="20"/>
        </w:rPr>
      </w:pPr>
    </w:p>
    <w:p w:rsidR="00AB6FF7" w:rsidP="00AB6FF7" w14:paraId="2822C92A" w14:textId="598C1F88">
      <w:pPr>
        <w:rPr>
          <w:rFonts w:eastAsia="Times New Roman"/>
          <w:color w:val="000000"/>
          <w:sz w:val="20"/>
        </w:rPr>
      </w:pPr>
    </w:p>
    <w:p w:rsidR="00AB6FF7" w:rsidP="00AB6FF7" w14:paraId="6FA284FC" w14:textId="48D4BCEB">
      <w:pPr>
        <w:rPr>
          <w:rFonts w:eastAsia="Times New Roman"/>
          <w:color w:val="000000"/>
          <w:sz w:val="20"/>
        </w:rPr>
      </w:pPr>
    </w:p>
    <w:p w:rsidR="00AB6FF7" w:rsidRPr="00AB6FF7" w:rsidP="00AB6FF7" w14:paraId="24606980" w14:textId="77777777">
      <w:pPr>
        <w:rPr>
          <w:rFonts w:eastAsia="Times New Roman"/>
          <w:sz w:val="20"/>
        </w:rPr>
      </w:pPr>
    </w:p>
    <w:sectPr w:rsidSect="007B340F">
      <w:footerReference w:type="even" r:id="rId5"/>
      <w:footerReference w:type="default" r:id="rId6"/>
      <w:pgSz w:w="12240" w:h="15802"/>
      <w:pgMar w:top="1440" w:right="1440" w:bottom="331"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3BF6" w:rsidP="00953BF6" w14:paraId="42C4E1EB" w14:textId="0E89D0CA">
    <w:pPr>
      <w:pStyle w:val="Footer"/>
    </w:pPr>
    <w:r>
      <w:ptab w:relativeTo="margin" w:alignment="right" w:leader="none"/>
    </w:r>
    <w:r>
      <w:t>HUD Form 50160</w:t>
    </w:r>
  </w:p>
  <w:p w:rsidR="00262B01" w:rsidP="00262B01" w14:paraId="1BD07EA0" w14:textId="77777777">
    <w:pPr>
      <w:pStyle w:val="Footer"/>
      <w:jc w:val="right"/>
    </w:pPr>
    <w:r>
      <w:t>Exp. Date TBD</w:t>
    </w:r>
  </w:p>
  <w:p w:rsidR="00953BF6" w14:paraId="65546866" w14:textId="2FCF6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2C0" w14:paraId="7A78693C" w14:textId="786A210C">
    <w:pPr>
      <w:pStyle w:val="Footer"/>
      <w:jc w:val="center"/>
    </w:pPr>
    <w:r>
      <w:tab/>
    </w:r>
  </w:p>
  <w:sdt>
    <w:sdtPr>
      <w:id w:val="-1861966490"/>
      <w:docPartObj>
        <w:docPartGallery w:val="Page Numbers (Bottom of Page)"/>
        <w:docPartUnique/>
      </w:docPartObj>
    </w:sdtPr>
    <w:sdtEndPr>
      <w:rPr>
        <w:noProof/>
      </w:rPr>
    </w:sdtEndPr>
    <w:sdtContent>
      <w:p w:rsidR="002972C0" w:rsidP="00ED39C6" w14:paraId="1547ABBF" w14:textId="2C9DE429">
        <w:pPr>
          <w:pStyle w:val="Footer"/>
          <w:jc w:val="right"/>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of 3        </w:t>
        </w:r>
        <w:r w:rsidR="00ED39C6">
          <w:rPr>
            <w:noProof/>
          </w:rPr>
          <w:t xml:space="preserve">                                </w:t>
        </w:r>
        <w:r w:rsidR="00165C6E">
          <w:rPr>
            <w:noProof/>
          </w:rPr>
          <w:t xml:space="preserve">             </w:t>
        </w:r>
        <w:r>
          <w:rPr>
            <w:noProof/>
          </w:rPr>
          <w:t>form HUD-50160</w:t>
        </w:r>
      </w:p>
      <w:p w:rsidR="007B340F" w:rsidP="00F57148" w14:paraId="281B9FEA" w14:textId="4273BE0B">
        <w:pPr>
          <w:pStyle w:val="Footer"/>
          <w:jc w:val="right"/>
        </w:pPr>
        <w:r>
          <w:rPr>
            <w:noProof/>
          </w:rPr>
          <w:t>Exp. Date TBD</w:t>
        </w:r>
      </w:p>
    </w:sdtContent>
  </w:sdt>
  <w:p w:rsidR="009520AD" w:rsidP="009520AD" w14:paraId="1BB28FE3" w14:textId="042C072B">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5724E2"/>
    <w:multiLevelType w:val="multilevel"/>
    <w:tmpl w:val="33BE5EE0"/>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22298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92"/>
    <w:rsid w:val="0006350E"/>
    <w:rsid w:val="000F4BCB"/>
    <w:rsid w:val="001315A9"/>
    <w:rsid w:val="00165C6E"/>
    <w:rsid w:val="00262B01"/>
    <w:rsid w:val="002972C0"/>
    <w:rsid w:val="002A2104"/>
    <w:rsid w:val="002A4FF5"/>
    <w:rsid w:val="002B06A9"/>
    <w:rsid w:val="002F558F"/>
    <w:rsid w:val="00346887"/>
    <w:rsid w:val="00375973"/>
    <w:rsid w:val="00390FC3"/>
    <w:rsid w:val="00392825"/>
    <w:rsid w:val="003B4849"/>
    <w:rsid w:val="003B615C"/>
    <w:rsid w:val="003F69AE"/>
    <w:rsid w:val="00414015"/>
    <w:rsid w:val="00462FE2"/>
    <w:rsid w:val="00480D21"/>
    <w:rsid w:val="004D0722"/>
    <w:rsid w:val="00512BF8"/>
    <w:rsid w:val="00521454"/>
    <w:rsid w:val="0052785F"/>
    <w:rsid w:val="0056061A"/>
    <w:rsid w:val="00563EB6"/>
    <w:rsid w:val="00580592"/>
    <w:rsid w:val="00581405"/>
    <w:rsid w:val="005821C1"/>
    <w:rsid w:val="005B0DDC"/>
    <w:rsid w:val="00635468"/>
    <w:rsid w:val="00665EA5"/>
    <w:rsid w:val="0069103F"/>
    <w:rsid w:val="006A41B7"/>
    <w:rsid w:val="007150EC"/>
    <w:rsid w:val="00793AA8"/>
    <w:rsid w:val="007B340F"/>
    <w:rsid w:val="007B4282"/>
    <w:rsid w:val="007D0C19"/>
    <w:rsid w:val="007D7DA6"/>
    <w:rsid w:val="00835087"/>
    <w:rsid w:val="00836C1B"/>
    <w:rsid w:val="00857005"/>
    <w:rsid w:val="00874D3D"/>
    <w:rsid w:val="008E335F"/>
    <w:rsid w:val="009051FF"/>
    <w:rsid w:val="009171A0"/>
    <w:rsid w:val="00923F68"/>
    <w:rsid w:val="009520AD"/>
    <w:rsid w:val="00953BF6"/>
    <w:rsid w:val="009C165F"/>
    <w:rsid w:val="00AB6FF7"/>
    <w:rsid w:val="00AF0FFD"/>
    <w:rsid w:val="00B22C1D"/>
    <w:rsid w:val="00B35F58"/>
    <w:rsid w:val="00B37632"/>
    <w:rsid w:val="00C824CC"/>
    <w:rsid w:val="00C95CA4"/>
    <w:rsid w:val="00CA170C"/>
    <w:rsid w:val="00DD1BDB"/>
    <w:rsid w:val="00E62182"/>
    <w:rsid w:val="00EC7753"/>
    <w:rsid w:val="00ED39C6"/>
    <w:rsid w:val="00EE2E4F"/>
    <w:rsid w:val="00F018CC"/>
    <w:rsid w:val="00F304E8"/>
    <w:rsid w:val="00F57148"/>
    <w:rsid w:val="00F60405"/>
    <w:rsid w:val="00F65070"/>
    <w:rsid w:val="00FB6097"/>
    <w:rsid w:val="00FC59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15E752"/>
  <w15:docId w15:val="{532A0360-98FF-4168-994C-46B21171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282"/>
    <w:pPr>
      <w:tabs>
        <w:tab w:val="center" w:pos="4680"/>
        <w:tab w:val="right" w:pos="9360"/>
      </w:tabs>
    </w:pPr>
  </w:style>
  <w:style w:type="character" w:customStyle="1" w:styleId="HeaderChar">
    <w:name w:val="Header Char"/>
    <w:basedOn w:val="DefaultParagraphFont"/>
    <w:link w:val="Header"/>
    <w:uiPriority w:val="99"/>
    <w:rsid w:val="007B4282"/>
  </w:style>
  <w:style w:type="paragraph" w:styleId="Footer">
    <w:name w:val="footer"/>
    <w:basedOn w:val="Normal"/>
    <w:link w:val="FooterChar"/>
    <w:uiPriority w:val="99"/>
    <w:unhideWhenUsed/>
    <w:rsid w:val="007B4282"/>
    <w:pPr>
      <w:tabs>
        <w:tab w:val="center" w:pos="4680"/>
        <w:tab w:val="right" w:pos="9360"/>
      </w:tabs>
    </w:pPr>
  </w:style>
  <w:style w:type="character" w:customStyle="1" w:styleId="FooterChar">
    <w:name w:val="Footer Char"/>
    <w:basedOn w:val="DefaultParagraphFont"/>
    <w:link w:val="Footer"/>
    <w:uiPriority w:val="99"/>
    <w:rsid w:val="007B4282"/>
  </w:style>
  <w:style w:type="paragraph" w:styleId="ListParagraph">
    <w:name w:val="List Paragraph"/>
    <w:basedOn w:val="Normal"/>
    <w:uiPriority w:val="34"/>
    <w:qFormat/>
    <w:rsid w:val="00857005"/>
    <w:pPr>
      <w:ind w:left="720"/>
      <w:contextualSpacing/>
    </w:pPr>
  </w:style>
  <w:style w:type="paragraph" w:styleId="Revision">
    <w:name w:val="Revision"/>
    <w:hidden/>
    <w:uiPriority w:val="99"/>
    <w:semiHidden/>
    <w:rsid w:val="00AF0FFD"/>
  </w:style>
  <w:style w:type="character" w:styleId="CommentReference">
    <w:name w:val="annotation reference"/>
    <w:basedOn w:val="DefaultParagraphFont"/>
    <w:uiPriority w:val="99"/>
    <w:semiHidden/>
    <w:unhideWhenUsed/>
    <w:rsid w:val="00AF0FFD"/>
    <w:rPr>
      <w:sz w:val="16"/>
      <w:szCs w:val="16"/>
    </w:rPr>
  </w:style>
  <w:style w:type="paragraph" w:styleId="CommentText">
    <w:name w:val="annotation text"/>
    <w:basedOn w:val="Normal"/>
    <w:link w:val="CommentTextChar"/>
    <w:uiPriority w:val="99"/>
    <w:semiHidden/>
    <w:unhideWhenUsed/>
    <w:rsid w:val="00AF0FFD"/>
    <w:rPr>
      <w:sz w:val="20"/>
      <w:szCs w:val="20"/>
    </w:rPr>
  </w:style>
  <w:style w:type="character" w:customStyle="1" w:styleId="CommentTextChar">
    <w:name w:val="Comment Text Char"/>
    <w:basedOn w:val="DefaultParagraphFont"/>
    <w:link w:val="CommentText"/>
    <w:uiPriority w:val="99"/>
    <w:semiHidden/>
    <w:rsid w:val="00AF0FFD"/>
    <w:rPr>
      <w:sz w:val="20"/>
      <w:szCs w:val="20"/>
    </w:rPr>
  </w:style>
  <w:style w:type="paragraph" w:styleId="CommentSubject">
    <w:name w:val="annotation subject"/>
    <w:basedOn w:val="CommentText"/>
    <w:next w:val="CommentText"/>
    <w:link w:val="CommentSubjectChar"/>
    <w:uiPriority w:val="99"/>
    <w:semiHidden/>
    <w:unhideWhenUsed/>
    <w:rsid w:val="00AF0FFD"/>
    <w:rPr>
      <w:b/>
      <w:bCs/>
    </w:rPr>
  </w:style>
  <w:style w:type="character" w:customStyle="1" w:styleId="CommentSubjectChar">
    <w:name w:val="Comment Subject Char"/>
    <w:basedOn w:val="CommentTextChar"/>
    <w:link w:val="CommentSubject"/>
    <w:uiPriority w:val="99"/>
    <w:semiHidden/>
    <w:rsid w:val="00AF0F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D38D2-2190-4865-98D3-1203B934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Mullen, Tess</cp:lastModifiedBy>
  <cp:revision>3</cp:revision>
  <dcterms:created xsi:type="dcterms:W3CDTF">2022-06-13T15:54:00Z</dcterms:created>
  <dcterms:modified xsi:type="dcterms:W3CDTF">2022-06-30T20:32:00Z</dcterms:modified>
</cp:coreProperties>
</file>