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E0EBD">
      <w:pPr>
        <w:pBdr>
          <w:top w:val="nil"/>
          <w:left w:val="nil"/>
          <w:bottom w:val="nil"/>
          <w:right w:val="nil"/>
          <w:between w:val="nil"/>
        </w:pBdr>
        <w:spacing w:before="66" w:after="32"/>
        <w:ind w:left="6469"/>
        <w:rPr>
          <w:color w:val="000000"/>
          <w:sz w:val="14"/>
          <w:szCs w:val="14"/>
        </w:rPr>
      </w:pPr>
      <w:bookmarkStart w:id="0" w:name="_heading=h.gjdgxs" w:colFirst="0" w:colLast="0"/>
      <w:bookmarkEnd w:id="0"/>
      <w:r>
        <w:rPr>
          <w:color w:val="000000"/>
          <w:sz w:val="14"/>
          <w:szCs w:val="14"/>
        </w:rPr>
        <w:t xml:space="preserve">OMB Control No. 0648-0663; Expiration Date: </w:t>
      </w: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139700</wp:posOffset>
                </wp:positionV>
                <wp:extent cx="6461760" cy="1324610"/>
                <wp:effectExtent l="0" t="0" r="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61760" cy="1324610"/>
                          <a:chOff x="2115100" y="3117050"/>
                          <a:chExt cx="6461800" cy="1324625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115120" y="3117060"/>
                            <a:ext cx="6461125" cy="1324610"/>
                            <a:chOff x="1061" y="228"/>
                            <a:chExt cx="10175" cy="2086"/>
                          </a:xfrm>
                        </wpg:grpSpPr>
                        <wps:wsp xmlns:wps="http://schemas.microsoft.com/office/word/2010/wordprocessingShape">
                          <wps:cNvPr id="2" name="Rectangle 2"/>
                          <wps:cNvSpPr/>
                          <wps:spPr>
                            <a:xfrm>
                              <a:off x="1061" y="229"/>
                              <a:ext cx="10175" cy="2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E0EBD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3" name="Straight Arrow Connector 3"/>
                          <wps:cNvCnPr/>
                          <wps:spPr>
                            <a:xfrm>
                              <a:off x="1061" y="259"/>
                              <a:ext cx="4217" cy="0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4" name="Rectangle 4"/>
                          <wps:cNvSpPr/>
                          <wps:spPr>
                            <a:xfrm>
                              <a:off x="5277" y="228"/>
                              <a:ext cx="60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E0EBD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5" name="Straight Arrow Connector 5"/>
                          <wps:cNvCnPr/>
                          <wps:spPr>
                            <a:xfrm>
                              <a:off x="5338" y="259"/>
                              <a:ext cx="5839" cy="0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6" name="Straight Arrow Connector 6"/>
                          <wps:cNvCnPr/>
                          <wps:spPr>
                            <a:xfrm>
                              <a:off x="1061" y="2284"/>
                              <a:ext cx="4217" cy="0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7" name="Rectangle 7"/>
                          <wps:cNvSpPr/>
                          <wps:spPr>
                            <a:xfrm>
                              <a:off x="5263" y="2254"/>
                              <a:ext cx="60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E0EBD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8" name="Straight Arrow Connector 8"/>
                          <wps:cNvCnPr/>
                          <wps:spPr>
                            <a:xfrm>
                              <a:off x="5323" y="2284"/>
                              <a:ext cx="5854" cy="0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9" name="Straight Arrow Connector 9"/>
                          <wps:cNvCnPr/>
                          <wps:spPr>
                            <a:xfrm>
                              <a:off x="11207" y="229"/>
                              <a:ext cx="0" cy="2085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11" name="Shape 11" descr="noaalogo"/>
                            <pic:cNvPicPr/>
                          </pic:nvPicPr>
                          <pic:blipFill>
                            <a:blip xmlns:r="http://schemas.openxmlformats.org/officeDocument/2006/relationships" r:embed="rId5">
                              <a:alphaModFix amt="100000"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781" y="508"/>
                              <a:ext cx="1031" cy="10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139700</wp:posOffset>
                </wp:positionV>
                <wp:extent cx="6461760" cy="1324610"/>
                <wp:effectExtent l="0" t="0" r="0" b="0"/>
                <wp:wrapNone/>
                <wp:docPr id="178797088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7970885" name="image1.png"/>
                        <pic:cNvPicPr/>
                      </pic:nvPicPr>
                      <pic:blipFill>
                        <a:blip xmlns:r="http://schemas.openxmlformats.org/officeDocument/2006/relationships"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61760" cy="13246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color w:val="000000"/>
          <w:sz w:val="14"/>
          <w:szCs w:val="14"/>
        </w:rPr>
        <w:t>XX/XX/20XX</w:t>
      </w:r>
      <w:bookmarkStart w:id="1" w:name="_GoBack"/>
      <w:bookmarkEnd w:id="1"/>
    </w:p>
    <w:tbl>
      <w:tblPr>
        <w:tblStyle w:val="a"/>
        <w:tblW w:w="9564" w:type="dxa"/>
        <w:tblInd w:w="200" w:type="dxa"/>
        <w:tblLayout w:type="fixed"/>
        <w:tblLook w:val="0000"/>
      </w:tblPr>
      <w:tblGrid>
        <w:gridCol w:w="4090"/>
        <w:gridCol w:w="5474"/>
      </w:tblGrid>
      <w:tr>
        <w:tblPrEx>
          <w:tblW w:w="9564" w:type="dxa"/>
          <w:tblInd w:w="200" w:type="dxa"/>
          <w:tblLayout w:type="fixed"/>
          <w:tblLook w:val="0000"/>
        </w:tblPrEx>
        <w:trPr>
          <w:trHeight w:val="2025"/>
        </w:trPr>
        <w:tc>
          <w:tcPr>
            <w:tcW w:w="4090" w:type="dxa"/>
            <w:tcBorders>
              <w:left w:val="single" w:sz="24" w:space="0" w:color="000000"/>
            </w:tcBorders>
          </w:tcPr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 w:line="223" w:lineRule="auto"/>
              <w:ind w:left="1537" w:right="397" w:hanging="507"/>
              <w:jc w:val="both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MS C</w:t>
            </w: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OOP </w:t>
            </w: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P</w:t>
            </w: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ROGRAM </w:t>
            </w: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C</w:t>
            </w: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OST RECOVERY </w:t>
            </w: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NNUAL </w:t>
            </w: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>EPORT</w:t>
            </w:r>
          </w:p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3" w:lineRule="auto"/>
              <w:ind w:left="337" w:right="390" w:firstLine="660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ACIFIC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OAST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ROUNDFISH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RAWL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ATIONALIZATION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ROGRAM</w:t>
            </w:r>
          </w:p>
        </w:tc>
        <w:tc>
          <w:tcPr>
            <w:tcW w:w="5474" w:type="dxa"/>
          </w:tcPr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18"/>
                <w:szCs w:val="18"/>
              </w:rPr>
            </w:pPr>
          </w:p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475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UNITED STATES DEPARTMENT OF COMMERCE</w:t>
            </w:r>
          </w:p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458" w:right="897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National Oceanic and Atmospheric Administration National Marine Fisheries Service, West Coast Region </w:t>
            </w:r>
            <w:r>
              <w:rPr>
                <w:b/>
                <w:i/>
                <w:color w:val="000000"/>
                <w:sz w:val="16"/>
                <w:szCs w:val="16"/>
              </w:rPr>
              <w:t>Fisheries Permits Office</w:t>
            </w:r>
          </w:p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8" w:right="259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 NE Lloyd Bled, Suite 1100 Portland, OR 97232</w:t>
            </w:r>
          </w:p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27"/>
                <w:tab w:val="left" w:pos="3954"/>
              </w:tabs>
              <w:spacing w:before="113"/>
              <w:ind w:left="458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Phone </w:t>
            </w:r>
            <w:r>
              <w:rPr>
                <w:color w:val="000000"/>
                <w:sz w:val="16"/>
                <w:szCs w:val="16"/>
              </w:rPr>
              <w:t>(503) 231-6291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i/>
                <w:color w:val="000000"/>
                <w:sz w:val="16"/>
                <w:szCs w:val="16"/>
              </w:rPr>
              <w:t xml:space="preserve">Fax </w:t>
            </w:r>
            <w:r>
              <w:rPr>
                <w:color w:val="000000"/>
                <w:sz w:val="16"/>
                <w:szCs w:val="16"/>
              </w:rPr>
              <w:t>(503) 872-2737</w:t>
            </w:r>
            <w:r>
              <w:rPr>
                <w:color w:val="000000"/>
                <w:sz w:val="16"/>
                <w:szCs w:val="16"/>
              </w:rPr>
              <w:tab/>
            </w:r>
            <w:hyperlink r:id="rId7">
              <w:r>
                <w:rPr>
                  <w:color w:val="000000"/>
                  <w:sz w:val="16"/>
                  <w:szCs w:val="16"/>
                </w:rPr>
                <w:t>www.nwr.noaa.gov</w:t>
              </w:r>
            </w:hyperlink>
          </w:p>
        </w:tc>
      </w:tr>
    </w:tbl>
    <w:p w:rsidR="00BE0EB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</w:rPr>
      </w:pPr>
    </w:p>
    <w:p w:rsidR="00BE0EBD">
      <w:pPr>
        <w:ind w:left="219" w:right="443"/>
        <w:rPr>
          <w:sz w:val="20"/>
          <w:szCs w:val="20"/>
        </w:rPr>
      </w:pPr>
      <w:r>
        <w:rPr>
          <w:b/>
          <w:sz w:val="20"/>
          <w:szCs w:val="20"/>
        </w:rPr>
        <w:t xml:space="preserve">INSTRUCTIONS: </w:t>
      </w:r>
      <w:r>
        <w:rPr>
          <w:sz w:val="20"/>
          <w:szCs w:val="20"/>
        </w:rPr>
        <w:t>Each fish buyer, as defined at 50 CFR 660.111 for the Mothership (MS) Coop Program, must submit this annual report containing the information listed below for the fishing year for a</w:t>
      </w:r>
      <w:r>
        <w:rPr>
          <w:sz w:val="20"/>
          <w:szCs w:val="20"/>
        </w:rPr>
        <w:t xml:space="preserve">ll </w:t>
      </w:r>
      <w:r>
        <w:rPr>
          <w:sz w:val="20"/>
          <w:szCs w:val="20"/>
        </w:rPr>
        <w:t>groundfish</w:t>
      </w:r>
      <w:r>
        <w:rPr>
          <w:sz w:val="20"/>
          <w:szCs w:val="20"/>
        </w:rPr>
        <w:t xml:space="preserve"> each fish buyer purchased from fish sellers in that year. This form </w:t>
      </w:r>
      <w:r>
        <w:rPr>
          <w:sz w:val="20"/>
          <w:szCs w:val="20"/>
        </w:rPr>
        <w:t xml:space="preserve">must be completed in its entirety and submitted to the National Marine Fisheries Service (NMFS) at the address given above by </w:t>
      </w:r>
      <w:r>
        <w:rPr>
          <w:b/>
          <w:sz w:val="20"/>
          <w:szCs w:val="20"/>
        </w:rPr>
        <w:t xml:space="preserve">March 31 </w:t>
      </w:r>
      <w:r>
        <w:rPr>
          <w:sz w:val="20"/>
          <w:szCs w:val="20"/>
        </w:rPr>
        <w:t>each year</w:t>
      </w:r>
      <w:r>
        <w:rPr>
          <w:sz w:val="20"/>
          <w:szCs w:val="20"/>
        </w:rPr>
        <w:t>.</w:t>
      </w:r>
    </w:p>
    <w:p w:rsidR="00BE0EBD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9"/>
          <w:szCs w:val="19"/>
        </w:rPr>
      </w:pPr>
    </w:p>
    <w:p w:rsidR="00BE0EBD">
      <w:pPr>
        <w:ind w:left="220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Fish Buyer Name(s)</w:t>
      </w:r>
    </w:p>
    <w:p w:rsidR="00BE0EBD">
      <w:pPr>
        <w:tabs>
          <w:tab w:val="left" w:pos="10196"/>
        </w:tabs>
        <w:spacing w:before="3"/>
        <w:ind w:left="400"/>
        <w:rPr>
          <w:sz w:val="20"/>
          <w:szCs w:val="20"/>
        </w:rPr>
      </w:pPr>
      <w:r>
        <w:rPr>
          <w:sz w:val="20"/>
          <w:szCs w:val="20"/>
        </w:rPr>
        <w:t xml:space="preserve">Owner of vessel registered to MS permit: 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:rsidR="00BE0EB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1"/>
          <w:szCs w:val="11"/>
        </w:rPr>
      </w:pPr>
    </w:p>
    <w:p w:rsidR="00BE0EBD">
      <w:pPr>
        <w:tabs>
          <w:tab w:val="left" w:pos="10174"/>
        </w:tabs>
        <w:spacing w:before="93"/>
        <w:ind w:left="400"/>
        <w:rPr>
          <w:sz w:val="20"/>
          <w:szCs w:val="20"/>
        </w:rPr>
      </w:pPr>
      <w:r>
        <w:rPr>
          <w:sz w:val="20"/>
          <w:szCs w:val="20"/>
        </w:rPr>
        <w:t xml:space="preserve">Operator of vessel registered to MS permit: 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:rsidR="00BE0EB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</w:p>
    <w:p w:rsidR="00BE0EBD">
      <w:pPr>
        <w:tabs>
          <w:tab w:val="left" w:pos="10140"/>
        </w:tabs>
        <w:spacing w:before="93"/>
        <w:ind w:left="400"/>
        <w:rPr>
          <w:sz w:val="20"/>
          <w:szCs w:val="20"/>
        </w:rPr>
      </w:pPr>
      <w:r>
        <w:rPr>
          <w:sz w:val="20"/>
          <w:szCs w:val="20"/>
        </w:rPr>
        <w:t xml:space="preserve">Owner of the MS permit registered to that vessel: 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:rsidR="00BE0EB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1"/>
          <w:szCs w:val="11"/>
        </w:rPr>
      </w:pPr>
    </w:p>
    <w:p w:rsidR="00BE0EBD">
      <w:pPr>
        <w:tabs>
          <w:tab w:val="left" w:pos="10138"/>
        </w:tabs>
        <w:spacing w:before="93"/>
        <w:ind w:left="220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MS Permit Number</w:t>
      </w:r>
      <w:r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ab/>
      </w:r>
    </w:p>
    <w:p w:rsidR="00BE0EBD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127000</wp:posOffset>
                </wp:positionV>
                <wp:extent cx="6324600" cy="285115"/>
                <wp:effectExtent l="0" t="0" r="0" b="0"/>
                <wp:wrapTopAndBottom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188463" y="3642205"/>
                          <a:ext cx="632460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BE0EBD">
                            <w:pPr>
                              <w:spacing w:before="65"/>
                              <w:ind w:left="143" w:firstLine="143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Total Weight Bought (in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lbs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) =</w:t>
                            </w:r>
                          </w:p>
                        </w:txbxContent>
                      </wps:txbx>
                      <wps:bodyPr spcFirstLastPara="1" wrap="square" lIns="0" tIns="0" rIns="0" bIns="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ectangle 18" o:spid="_x0000_s1025" type="#_x0000_t202" style="width:498pt;height:22.45pt;margin-top:10pt;margin-left:12pt;mso-wrap-distance-bottom:0;mso-wrap-distance-left:0;mso-wrap-distance-right:0;mso-wrap-distance-top:0;position:absolute;v-text-anchor:top;z-index:251661312" filled="f" fillcolor="this" stroked="t" strokecolor="black" strokeweight="0.75pt">
                <v:stroke startarrowwidth="narrow" startarrowlength="short" endarrowwidth="narrow" endarrowlength="short"/>
                <v:textbox inset="0,0,0,0">
                  <w:txbxContent>
                    <w:p w:rsidR="00BE0EBD">
                      <w:pPr>
                        <w:spacing w:before="65"/>
                        <w:ind w:left="143" w:firstLine="143"/>
                      </w:pPr>
                      <w:r>
                        <w:rPr>
                          <w:color w:val="000000"/>
                          <w:sz w:val="24"/>
                        </w:rPr>
                        <w:t xml:space="preserve">Total Weight Bought (in </w:t>
                      </w:r>
                      <w:r>
                        <w:rPr>
                          <w:color w:val="000000"/>
                          <w:sz w:val="24"/>
                        </w:rPr>
                        <w:t>lbs</w:t>
                      </w:r>
                      <w:r>
                        <w:rPr>
                          <w:color w:val="000000"/>
                          <w:sz w:val="24"/>
                        </w:rPr>
                        <w:t>) =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558800</wp:posOffset>
                </wp:positionV>
                <wp:extent cx="6324600" cy="285115"/>
                <wp:effectExtent l="0" t="0" r="0" b="0"/>
                <wp:wrapTopAndBottom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188463" y="3642205"/>
                          <a:ext cx="632460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BE0EBD">
                            <w:pPr>
                              <w:spacing w:before="66"/>
                              <w:ind w:left="143" w:firstLine="143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Total Ex-vessel Value Paid =</w:t>
                            </w:r>
                          </w:p>
                        </w:txbxContent>
                      </wps:txbx>
                      <wps:bodyPr spcFirstLastPara="1" wrap="square" lIns="0" tIns="0" rIns="0" bIns="0" anchor="t" anchorCtr="0"/>
                    </wps:wsp>
                  </a:graphicData>
                </a:graphic>
              </wp:anchor>
            </w:drawing>
          </mc:Choice>
          <mc:Fallback>
            <w:pict>
              <v:shape id="Rectangle 19" o:spid="_x0000_s1026" type="#_x0000_t202" style="width:498pt;height:22.45pt;margin-top:44pt;margin-left:12pt;mso-wrap-distance-bottom:0;mso-wrap-distance-left:0;mso-wrap-distance-right:0;mso-wrap-distance-top:0;position:absolute;v-text-anchor:top;z-index:251663360" filled="f" fillcolor="this" stroked="t" strokecolor="black" strokeweight="0.75pt">
                <v:stroke startarrowwidth="narrow" startarrowlength="short" endarrowwidth="narrow" endarrowlength="short"/>
                <v:textbox inset="0,0,0,0">
                  <w:txbxContent>
                    <w:p w:rsidR="00BE0EBD">
                      <w:pPr>
                        <w:spacing w:before="66"/>
                        <w:ind w:left="143" w:firstLine="143"/>
                      </w:pPr>
                      <w:r>
                        <w:rPr>
                          <w:color w:val="000000"/>
                          <w:sz w:val="24"/>
                        </w:rPr>
                        <w:t>Total Ex-vessel Value Paid =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952500</wp:posOffset>
                </wp:positionV>
                <wp:extent cx="6324600" cy="285115"/>
                <wp:effectExtent l="0" t="0" r="0" b="0"/>
                <wp:wrapTopAndBottom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188463" y="3642205"/>
                          <a:ext cx="632460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BE0EBD">
                            <w:pPr>
                              <w:spacing w:before="68"/>
                              <w:ind w:left="143" w:firstLine="143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Total Fee Amount Collected =</w:t>
                            </w:r>
                          </w:p>
                        </w:txbxContent>
                      </wps:txbx>
                      <wps:bodyPr spcFirstLastPara="1" wrap="square" lIns="0" tIns="0" rIns="0" bIns="0" anchor="t" anchorCtr="0"/>
                    </wps:wsp>
                  </a:graphicData>
                </a:graphic>
              </wp:anchor>
            </w:drawing>
          </mc:Choice>
          <mc:Fallback>
            <w:pict>
              <v:shape id="Rectangle 20" o:spid="_x0000_s1027" type="#_x0000_t202" style="width:498pt;height:22.45pt;margin-top:75pt;margin-left:12pt;mso-wrap-distance-bottom:0;mso-wrap-distance-left:0;mso-wrap-distance-right:0;mso-wrap-distance-top:0;position:absolute;v-text-anchor:top;z-index:251665408" filled="f" fillcolor="this" stroked="t" strokecolor="black" strokeweight="0.75pt">
                <v:stroke startarrowwidth="narrow" startarrowlength="short" endarrowwidth="narrow" endarrowlength="short"/>
                <v:textbox inset="0,0,0,0">
                  <w:txbxContent>
                    <w:p w:rsidR="00BE0EBD">
                      <w:pPr>
                        <w:spacing w:before="68"/>
                        <w:ind w:left="143" w:firstLine="143"/>
                      </w:pPr>
                      <w:r>
                        <w:rPr>
                          <w:color w:val="000000"/>
                          <w:sz w:val="24"/>
                        </w:rPr>
                        <w:t>Total Fee Amount Collected =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BE0EBD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13"/>
          <w:szCs w:val="13"/>
        </w:rPr>
      </w:pPr>
    </w:p>
    <w:p w:rsidR="00BE0EBD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8"/>
          <w:szCs w:val="8"/>
        </w:rPr>
      </w:pPr>
    </w:p>
    <w:p w:rsidR="00BE0EBD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27"/>
          <w:szCs w:val="27"/>
        </w:rPr>
      </w:pPr>
    </w:p>
    <w:tbl>
      <w:tblPr>
        <w:tblStyle w:val="a0"/>
        <w:tblW w:w="10296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59"/>
        <w:gridCol w:w="2171"/>
        <w:gridCol w:w="2149"/>
        <w:gridCol w:w="2340"/>
        <w:gridCol w:w="2177"/>
      </w:tblGrid>
      <w:tr>
        <w:tblPrEx>
          <w:tblW w:w="10296" w:type="dxa"/>
          <w:tblInd w:w="12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456"/>
        </w:trPr>
        <w:tc>
          <w:tcPr>
            <w:tcW w:w="1459" w:type="dxa"/>
            <w:tcBorders>
              <w:top w:val="nil"/>
              <w:left w:val="nil"/>
              <w:right w:val="nil"/>
            </w:tcBorders>
          </w:tcPr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43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Month</w:t>
            </w:r>
          </w:p>
        </w:tc>
        <w:tc>
          <w:tcPr>
            <w:tcW w:w="2171" w:type="dxa"/>
            <w:tcBorders>
              <w:top w:val="nil"/>
              <w:left w:val="nil"/>
              <w:right w:val="nil"/>
            </w:tcBorders>
          </w:tcPr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ind w:left="473" w:right="47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Weight</w:t>
            </w:r>
          </w:p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473" w:right="48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Bought (</w:t>
            </w:r>
            <w:r>
              <w:rPr>
                <w:b/>
                <w:color w:val="000000"/>
                <w:sz w:val="20"/>
                <w:szCs w:val="20"/>
              </w:rPr>
              <w:t>lbs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2149" w:type="dxa"/>
            <w:tcBorders>
              <w:top w:val="nil"/>
              <w:left w:val="nil"/>
              <w:right w:val="nil"/>
            </w:tcBorders>
          </w:tcPr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ind w:left="591" w:right="59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Ex-vessel</w:t>
            </w:r>
          </w:p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589" w:right="59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Value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ind w:left="573" w:right="57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Fee Amount</w:t>
            </w:r>
          </w:p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571" w:right="57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Collected</w:t>
            </w:r>
          </w:p>
        </w:tc>
        <w:tc>
          <w:tcPr>
            <w:tcW w:w="2177" w:type="dxa"/>
            <w:tcBorders>
              <w:top w:val="nil"/>
              <w:left w:val="nil"/>
              <w:right w:val="nil"/>
            </w:tcBorders>
          </w:tcPr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ind w:left="337" w:right="33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Date Disbursed</w:t>
            </w:r>
          </w:p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337" w:right="33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to NMFS</w:t>
            </w:r>
          </w:p>
        </w:tc>
      </w:tr>
      <w:tr>
        <w:tblPrEx>
          <w:tblW w:w="10296" w:type="dxa"/>
          <w:tblInd w:w="129" w:type="dxa"/>
          <w:tblLayout w:type="fixed"/>
          <w:tblLook w:val="0000"/>
        </w:tblPrEx>
        <w:trPr>
          <w:trHeight w:val="230"/>
        </w:trPr>
        <w:tc>
          <w:tcPr>
            <w:tcW w:w="1459" w:type="dxa"/>
          </w:tcPr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May</w:t>
            </w:r>
          </w:p>
        </w:tc>
        <w:tc>
          <w:tcPr>
            <w:tcW w:w="2171" w:type="dxa"/>
          </w:tcPr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</w:tcPr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</w:tcPr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7" w:type="dxa"/>
          </w:tcPr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10296" w:type="dxa"/>
          <w:tblInd w:w="129" w:type="dxa"/>
          <w:tblLayout w:type="fixed"/>
          <w:tblLook w:val="0000"/>
        </w:tblPrEx>
        <w:trPr>
          <w:trHeight w:val="230"/>
        </w:trPr>
        <w:tc>
          <w:tcPr>
            <w:tcW w:w="1459" w:type="dxa"/>
          </w:tcPr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2171" w:type="dxa"/>
          </w:tcPr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</w:tcPr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</w:tcPr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7" w:type="dxa"/>
          </w:tcPr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10296" w:type="dxa"/>
          <w:tblInd w:w="129" w:type="dxa"/>
          <w:tblLayout w:type="fixed"/>
          <w:tblLook w:val="0000"/>
        </w:tblPrEx>
        <w:trPr>
          <w:trHeight w:val="229"/>
        </w:trPr>
        <w:tc>
          <w:tcPr>
            <w:tcW w:w="1459" w:type="dxa"/>
          </w:tcPr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2171" w:type="dxa"/>
          </w:tcPr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</w:tcPr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</w:tcPr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7" w:type="dxa"/>
          </w:tcPr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10296" w:type="dxa"/>
          <w:tblInd w:w="129" w:type="dxa"/>
          <w:tblLayout w:type="fixed"/>
          <w:tblLook w:val="0000"/>
        </w:tblPrEx>
        <w:trPr>
          <w:trHeight w:val="230"/>
        </w:trPr>
        <w:tc>
          <w:tcPr>
            <w:tcW w:w="1459" w:type="dxa"/>
          </w:tcPr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2171" w:type="dxa"/>
          </w:tcPr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</w:tcPr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</w:tcPr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7" w:type="dxa"/>
          </w:tcPr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10296" w:type="dxa"/>
          <w:tblInd w:w="129" w:type="dxa"/>
          <w:tblLayout w:type="fixed"/>
          <w:tblLook w:val="0000"/>
        </w:tblPrEx>
        <w:trPr>
          <w:trHeight w:val="230"/>
        </w:trPr>
        <w:tc>
          <w:tcPr>
            <w:tcW w:w="1459" w:type="dxa"/>
          </w:tcPr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2171" w:type="dxa"/>
          </w:tcPr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</w:tcPr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</w:tcPr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7" w:type="dxa"/>
          </w:tcPr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10296" w:type="dxa"/>
          <w:tblInd w:w="129" w:type="dxa"/>
          <w:tblLayout w:type="fixed"/>
          <w:tblLook w:val="0000"/>
        </w:tblPrEx>
        <w:trPr>
          <w:trHeight w:val="229"/>
        </w:trPr>
        <w:tc>
          <w:tcPr>
            <w:tcW w:w="1459" w:type="dxa"/>
          </w:tcPr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2171" w:type="dxa"/>
          </w:tcPr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</w:tcPr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</w:tcPr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7" w:type="dxa"/>
          </w:tcPr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10296" w:type="dxa"/>
          <w:tblInd w:w="129" w:type="dxa"/>
          <w:tblLayout w:type="fixed"/>
          <w:tblLook w:val="0000"/>
        </w:tblPrEx>
        <w:trPr>
          <w:trHeight w:val="230"/>
        </w:trPr>
        <w:tc>
          <w:tcPr>
            <w:tcW w:w="1459" w:type="dxa"/>
          </w:tcPr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2171" w:type="dxa"/>
          </w:tcPr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</w:tcPr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</w:tcPr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7" w:type="dxa"/>
          </w:tcPr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10296" w:type="dxa"/>
          <w:tblInd w:w="129" w:type="dxa"/>
          <w:tblLayout w:type="fixed"/>
          <w:tblLook w:val="0000"/>
        </w:tblPrEx>
        <w:trPr>
          <w:trHeight w:val="229"/>
        </w:trPr>
        <w:tc>
          <w:tcPr>
            <w:tcW w:w="1459" w:type="dxa"/>
            <w:tcBorders>
              <w:bottom w:val="single" w:sz="4" w:space="0" w:color="000000"/>
            </w:tcBorders>
          </w:tcPr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December</w:t>
            </w:r>
          </w:p>
        </w:tc>
        <w:tc>
          <w:tcPr>
            <w:tcW w:w="2171" w:type="dxa"/>
            <w:tcBorders>
              <w:bottom w:val="single" w:sz="4" w:space="0" w:color="000000"/>
            </w:tcBorders>
          </w:tcPr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bottom w:val="single" w:sz="4" w:space="0" w:color="000000"/>
            </w:tcBorders>
          </w:tcPr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7" w:type="dxa"/>
            <w:tcBorders>
              <w:bottom w:val="single" w:sz="4" w:space="0" w:color="000000"/>
            </w:tcBorders>
          </w:tcPr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10296" w:type="dxa"/>
          <w:tblInd w:w="129" w:type="dxa"/>
          <w:tblLayout w:type="fixed"/>
          <w:tblLook w:val="0000"/>
        </w:tblPrEx>
        <w:trPr>
          <w:trHeight w:val="474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9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2171" w:type="dxa"/>
            <w:tcBorders>
              <w:top w:val="single" w:sz="4" w:space="0" w:color="000000"/>
              <w:bottom w:val="nil"/>
            </w:tcBorders>
          </w:tcPr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4" w:space="0" w:color="000000"/>
              <w:bottom w:val="nil"/>
            </w:tcBorders>
          </w:tcPr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9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$</w:t>
            </w:r>
          </w:p>
        </w:tc>
        <w:tc>
          <w:tcPr>
            <w:tcW w:w="2340" w:type="dxa"/>
            <w:tcBorders>
              <w:top w:val="single" w:sz="4" w:space="0" w:color="000000"/>
              <w:bottom w:val="nil"/>
            </w:tcBorders>
          </w:tcPr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10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$</w:t>
            </w:r>
          </w:p>
        </w:tc>
        <w:tc>
          <w:tcPr>
            <w:tcW w:w="2177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BE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BE0EBD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8"/>
          <w:szCs w:val="28"/>
        </w:rPr>
      </w:pPr>
    </w:p>
    <w:p w:rsidR="00BE0EBD">
      <w:pPr>
        <w:pBdr>
          <w:top w:val="nil"/>
          <w:left w:val="nil"/>
          <w:bottom w:val="nil"/>
          <w:right w:val="nil"/>
          <w:between w:val="nil"/>
        </w:pBdr>
        <w:spacing w:before="95" w:line="242" w:lineRule="auto"/>
        <w:ind w:left="220" w:right="218"/>
        <w:jc w:val="both"/>
        <w:rPr>
          <w:color w:val="000000"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WARNING STATEMENT: </w:t>
      </w:r>
      <w:r>
        <w:rPr>
          <w:color w:val="000000"/>
          <w:sz w:val="14"/>
          <w:szCs w:val="14"/>
        </w:rPr>
        <w:t>A false statement on this form is punishable by permit sanctions (revocation, suspension, or modification) under 15 CFR Part 904, a civil penalty up to $100,000 under 16 USC 1858, and/or criminal penalties including, but not limited to, fines or imprisonme</w:t>
      </w:r>
      <w:r>
        <w:rPr>
          <w:color w:val="000000"/>
          <w:sz w:val="14"/>
          <w:szCs w:val="14"/>
        </w:rPr>
        <w:t>nt or both under 18 USC 1001.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63501</wp:posOffset>
                </wp:positionH>
                <wp:positionV relativeFrom="paragraph">
                  <wp:posOffset>-215899</wp:posOffset>
                </wp:positionV>
                <wp:extent cx="6556375" cy="18415"/>
                <wp:effectExtent l="0" t="0" r="0" b="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6375" cy="18415"/>
                          <a:chOff x="2067175" y="3768550"/>
                          <a:chExt cx="6557025" cy="21625"/>
                        </a:xfrm>
                      </wpg:grpSpPr>
                      <wpg:grpSp>
                        <wpg:cNvPr id="10" name="Group 10"/>
                        <wpg:cNvGrpSpPr/>
                        <wpg:grpSpPr>
                          <a:xfrm>
                            <a:off x="2067178" y="3770793"/>
                            <a:ext cx="6557010" cy="18415"/>
                            <a:chOff x="957" y="-345"/>
                            <a:chExt cx="10326" cy="29"/>
                          </a:xfrm>
                        </wpg:grpSpPr>
                        <wps:wsp xmlns:wps="http://schemas.microsoft.com/office/word/2010/wordprocessingShape">
                          <wps:cNvPr id="12" name="Rectangle 12"/>
                          <wps:cNvSpPr/>
                          <wps:spPr>
                            <a:xfrm>
                              <a:off x="958" y="-345"/>
                              <a:ext cx="10325" cy="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E0EBD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13" name="Rectangle 13"/>
                          <wps:cNvSpPr/>
                          <wps:spPr>
                            <a:xfrm>
                              <a:off x="957" y="-326"/>
                              <a:ext cx="29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E0EBD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14" name="Freeform 14"/>
                          <wps:cNvSpPr/>
                          <wps:spPr>
                            <a:xfrm>
                              <a:off x="986" y="-341"/>
                              <a:ext cx="1440" cy="2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20" w="1440" stroke="1">
                                  <a:moveTo>
                                    <a:pt x="0" y="19"/>
                                  </a:moveTo>
                                  <a:lnTo>
                                    <a:pt x="1440" y="19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15" name="Freeform 15"/>
                          <wps:cNvSpPr/>
                          <wps:spPr>
                            <a:xfrm>
                              <a:off x="2426" y="-345"/>
                              <a:ext cx="29" cy="29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29" w="29" stroke="1">
                                  <a:moveTo>
                                    <a:pt x="29" y="19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29" y="29"/>
                                  </a:lnTo>
                                  <a:lnTo>
                                    <a:pt x="29" y="19"/>
                                  </a:lnTo>
                                  <a:moveTo>
                                    <a:pt x="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29" y="10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16" name="Freeform 16"/>
                          <wps:cNvSpPr/>
                          <wps:spPr>
                            <a:xfrm>
                              <a:off x="2455" y="-341"/>
                              <a:ext cx="2132" cy="2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20" w="2132" stroke="1">
                                  <a:moveTo>
                                    <a:pt x="0" y="19"/>
                                  </a:moveTo>
                                  <a:lnTo>
                                    <a:pt x="2131" y="19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2131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22" name="Rectangle 22"/>
                          <wps:cNvSpPr/>
                          <wps:spPr>
                            <a:xfrm>
                              <a:off x="4586" y="-345"/>
                              <a:ext cx="29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E0EBD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23" name="Freeform 23"/>
                          <wps:cNvSpPr/>
                          <wps:spPr>
                            <a:xfrm>
                              <a:off x="4615" y="-341"/>
                              <a:ext cx="2132" cy="2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20" w="2132" stroke="1">
                                  <a:moveTo>
                                    <a:pt x="0" y="19"/>
                                  </a:moveTo>
                                  <a:lnTo>
                                    <a:pt x="2131" y="19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2131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24" name="Freeform 24"/>
                          <wps:cNvSpPr/>
                          <wps:spPr>
                            <a:xfrm>
                              <a:off x="6746" y="-345"/>
                              <a:ext cx="29" cy="29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29" w="29" stroke="1">
                                  <a:moveTo>
                                    <a:pt x="29" y="19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29" y="29"/>
                                  </a:lnTo>
                                  <a:lnTo>
                                    <a:pt x="29" y="19"/>
                                  </a:lnTo>
                                  <a:moveTo>
                                    <a:pt x="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29" y="10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25" name="Freeform 25"/>
                          <wps:cNvSpPr/>
                          <wps:spPr>
                            <a:xfrm>
                              <a:off x="6775" y="-341"/>
                              <a:ext cx="2312" cy="2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20" w="2312" stroke="1">
                                  <a:moveTo>
                                    <a:pt x="0" y="19"/>
                                  </a:moveTo>
                                  <a:lnTo>
                                    <a:pt x="2311" y="19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2311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26" name="Freeform 26"/>
                          <wps:cNvSpPr/>
                          <wps:spPr>
                            <a:xfrm>
                              <a:off x="9086" y="-345"/>
                              <a:ext cx="29" cy="29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29" w="29" stroke="1">
                                  <a:moveTo>
                                    <a:pt x="29" y="19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29" y="29"/>
                                  </a:lnTo>
                                  <a:lnTo>
                                    <a:pt x="29" y="19"/>
                                  </a:lnTo>
                                  <a:moveTo>
                                    <a:pt x="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29" y="10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27" name="Freeform 27"/>
                          <wps:cNvSpPr/>
                          <wps:spPr>
                            <a:xfrm>
                              <a:off x="9115" y="-341"/>
                              <a:ext cx="2139" cy="2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20" w="2139" stroke="1">
                                  <a:moveTo>
                                    <a:pt x="0" y="19"/>
                                  </a:moveTo>
                                  <a:lnTo>
                                    <a:pt x="2139" y="19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213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28" name="Rectangle 28"/>
                          <wps:cNvSpPr/>
                          <wps:spPr>
                            <a:xfrm>
                              <a:off x="11253" y="-326"/>
                              <a:ext cx="29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E0EBD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63501</wp:posOffset>
                </wp:positionH>
                <wp:positionV relativeFrom="paragraph">
                  <wp:posOffset>-215899</wp:posOffset>
                </wp:positionV>
                <wp:extent cx="6556375" cy="18415"/>
                <wp:effectExtent l="0" t="0" r="0" b="0"/>
                <wp:wrapNone/>
                <wp:docPr id="1622969874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2969874" name="image5.png"/>
                        <pic:cNvPicPr/>
                      </pic:nvPicPr>
                      <pic:blipFill>
                        <a:blip xmlns:r="http://schemas.openxmlformats.org/officeDocument/2006/relationships"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6375" cy="18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E0EBD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3"/>
          <w:szCs w:val="13"/>
        </w:rPr>
      </w:pPr>
    </w:p>
    <w:p w:rsidR="00BE0EBD">
      <w:pPr>
        <w:pBdr>
          <w:top w:val="nil"/>
          <w:left w:val="nil"/>
          <w:bottom w:val="nil"/>
          <w:right w:val="nil"/>
          <w:between w:val="nil"/>
        </w:pBdr>
        <w:ind w:left="219" w:right="216"/>
        <w:jc w:val="both"/>
        <w:rPr>
          <w:color w:val="000000"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PRIVACY ACT STATEMENT: </w:t>
      </w:r>
      <w:r>
        <w:rPr>
          <w:color w:val="000000"/>
          <w:sz w:val="14"/>
          <w:szCs w:val="14"/>
        </w:rPr>
        <w:t xml:space="preserve">Some of the information collection described above is confidential under section 402(b) of the Magnuson-Stevens Act and under NOAA Administrative Order 216-100, Protection of Confidential Fisheries Statistics. Business phone number, fax number, and email </w:t>
      </w:r>
      <w:r>
        <w:rPr>
          <w:color w:val="000000"/>
          <w:sz w:val="14"/>
          <w:szCs w:val="14"/>
        </w:rPr>
        <w:t>a</w:t>
      </w:r>
      <w:r>
        <w:rPr>
          <w:color w:val="000000"/>
          <w:sz w:val="14"/>
          <w:szCs w:val="14"/>
        </w:rPr>
        <w:t>re not released</w:t>
      </w:r>
      <w:r>
        <w:rPr>
          <w:color w:val="000000"/>
          <w:sz w:val="14"/>
          <w:szCs w:val="14"/>
        </w:rPr>
        <w:t xml:space="preserve"> to the public. The information collected is part of a Privacy Act System of Records, COMMERCE/NOAA #19, Permits and Registrations for United States Federally Regulated Fisheries. A notice was published in the Federal Register on April 17, 2</w:t>
      </w:r>
      <w:r>
        <w:rPr>
          <w:color w:val="000000"/>
          <w:sz w:val="14"/>
          <w:szCs w:val="14"/>
        </w:rPr>
        <w:t>008 (73 FR 20914) and became effective on June 11, 2008 (73 FR 33065).</w:t>
      </w:r>
    </w:p>
    <w:p w:rsidR="00BE0EBD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3"/>
          <w:szCs w:val="13"/>
        </w:rPr>
      </w:pPr>
    </w:p>
    <w:p w:rsidR="00BE0EBD">
      <w:pPr>
        <w:pBdr>
          <w:top w:val="nil"/>
          <w:left w:val="nil"/>
          <w:bottom w:val="nil"/>
          <w:right w:val="nil"/>
          <w:between w:val="nil"/>
        </w:pBdr>
        <w:ind w:left="219" w:right="217"/>
        <w:jc w:val="both"/>
        <w:rPr>
          <w:color w:val="000000"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PRA STATEMENT: </w:t>
      </w:r>
      <w:r>
        <w:rPr>
          <w:color w:val="000000"/>
          <w:sz w:val="14"/>
          <w:szCs w:val="14"/>
        </w:rPr>
        <w:t xml:space="preserve">The trawl cost recovery program is required by the Magnuson-Stevens Act [16 USC §§ </w:t>
      </w:r>
      <w:r>
        <w:rPr>
          <w:color w:val="000000"/>
          <w:sz w:val="14"/>
          <w:szCs w:val="14"/>
        </w:rPr>
        <w:t>1853a(</w:t>
      </w:r>
      <w:r>
        <w:rPr>
          <w:color w:val="000000"/>
          <w:sz w:val="14"/>
          <w:szCs w:val="14"/>
        </w:rPr>
        <w:t>e), 1854(d)(2)]. This collection of information is mandatory as specified at 50 CFR 660.115. This collection of information accompanies and documents payment of fees d</w:t>
      </w:r>
      <w:r>
        <w:rPr>
          <w:color w:val="000000"/>
          <w:sz w:val="14"/>
          <w:szCs w:val="14"/>
        </w:rPr>
        <w:t xml:space="preserve">ue for that program. Public reporting burden for this form </w:t>
      </w:r>
      <w:r>
        <w:rPr>
          <w:color w:val="000000"/>
          <w:sz w:val="14"/>
          <w:szCs w:val="14"/>
        </w:rPr>
        <w:t>is estimated</w:t>
      </w:r>
      <w:r>
        <w:rPr>
          <w:color w:val="000000"/>
          <w:sz w:val="14"/>
          <w:szCs w:val="14"/>
        </w:rPr>
        <w:t xml:space="preserve"> to average one hour per response, including the time for reviewing instructions, searching existing data sources, gathering and maintaining the data needed, and completing and reviewin</w:t>
      </w:r>
      <w:r>
        <w:rPr>
          <w:color w:val="000000"/>
          <w:sz w:val="14"/>
          <w:szCs w:val="14"/>
        </w:rPr>
        <w:t>g the collection of information. Send comments regarding this burden estimate or any other aspect of this collection, including suggestions for reducing this burden, to NOAA/National Marine Fisheries Service, West Coast Region, Attn: Assistant Regional Adm</w:t>
      </w:r>
      <w:r>
        <w:rPr>
          <w:color w:val="000000"/>
          <w:sz w:val="14"/>
          <w:szCs w:val="14"/>
        </w:rPr>
        <w:t xml:space="preserve">inistrator, Sustainable Fisheries Division, 7600 Sand Point Way NE, Seattle, WA 98115. Notwithstanding any other provisions of the law, no person is required to respond to, nor </w:t>
      </w:r>
      <w:r>
        <w:rPr>
          <w:color w:val="000000"/>
          <w:sz w:val="14"/>
          <w:szCs w:val="14"/>
        </w:rPr>
        <w:t>shall any person be subjected</w:t>
      </w:r>
      <w:r>
        <w:rPr>
          <w:color w:val="000000"/>
          <w:sz w:val="14"/>
          <w:szCs w:val="14"/>
        </w:rPr>
        <w:t xml:space="preserve"> to a penalty for failure to comply with, a collec</w:t>
      </w:r>
      <w:r>
        <w:rPr>
          <w:color w:val="000000"/>
          <w:sz w:val="14"/>
          <w:szCs w:val="14"/>
        </w:rPr>
        <w:t>tion of information subject to the requirements of the Paperwork Reduction Act, unless that collection of information displays a currently valid OMB Control Number.</w:t>
      </w:r>
    </w:p>
    <w:sectPr>
      <w:pgSz w:w="12240" w:h="15840"/>
      <w:pgMar w:top="940" w:right="860" w:bottom="280" w:left="8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EBD"/>
    <w:rsid w:val="00BE0EBD"/>
    <w:rsid w:val="00C8766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BD68E6"/>
  <w15:docId w15:val="{8382A0E6-F338-4BFC-B46F-B910F19E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name w:val="a0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yperlink" Target="http://www.nwr.noaa.gov/" TargetMode="External" /><Relationship Id="rId8" Type="http://schemas.openxmlformats.org/officeDocument/2006/relationships/image" Target="media/image3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3NNAdszLy7/e2Pg0bFwTEIyI9A==">AMUW2mW6KopyAhe9t14CfkD8i3RoOoyN+RO8709Tz729TkVxbv3xNwJYsGQGXa0oe3NpmIgdb5sqLRhJ7Pxnp9SYkn/LQplBe3ATc1OJdQLkKXyjLU0bUbArSdVRZU9auOkng0HofD9b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2900</Characters>
  <Application>Microsoft Office Word</Application>
  <DocSecurity>0</DocSecurity>
  <Lines>24</Lines>
  <Paragraphs>6</Paragraphs>
  <ScaleCrop>false</ScaleCrop>
  <Company>NOAA Fisheries - HQ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rroberts</dc:creator>
  <cp:lastModifiedBy>Janet.Peery</cp:lastModifiedBy>
  <cp:revision>2</cp:revision>
  <dcterms:created xsi:type="dcterms:W3CDTF">2020-01-15T19:24:00Z</dcterms:created>
  <dcterms:modified xsi:type="dcterms:W3CDTF">2022-12-20T18:19:00Z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2016-11-29T00:00:00Z</vt:filetime>
  </property>
  <property fmtid="{D5CDD505-2E9C-101B-9397-08002B2CF9AE}" pid="3" name="Creator">
    <vt:lpwstr>ADOBEPS4.DRV Version 4.10</vt:lpwstr>
  </property>
  <property fmtid="{D5CDD505-2E9C-101B-9397-08002B2CF9AE}" pid="4" name="LastSaved">
    <vt:filetime>2020-01-13T00:00:00Z</vt:filetime>
  </property>
</Properties>
</file>