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LiMPETS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Network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NOS/ONMS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NMSA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CCSA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sanctuaries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living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classrooms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people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see,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touch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learn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about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nation’s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spectacular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life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mandates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“enhance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awareness,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understanding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appreciation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sanctuaries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system.”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LiMPETS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network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three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sanctuaries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California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working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together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engage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teachers,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students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community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conduct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promote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ocean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stewardship.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counts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percent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cover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estimates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intertidal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invertebrates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algae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Youth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transect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tapes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quadrats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randomly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survey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listed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different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sheets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monitored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considered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indicators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help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understand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long-term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trends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intertidal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regions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LiMPETS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assess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damage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sandy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rocky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intertidal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ecosystems,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potential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address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sanctuary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resource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issues,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identify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long-term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trends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intertidal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regions,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detect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emerging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issues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resource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decisions.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voluntary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participant</w:t>
      </w:r>
      <w:r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paper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electronically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including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resource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protection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managers,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students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teachers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6,800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135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30,600</w:t>
      </w:r>
    </w:p>
    <w:p w:rsidR="00A77504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</w:t>
      </w:r>
      <w:r w:rsidRPr="00D279E7">
        <w:rPr>
          <w:rFonts w:ascii="Times New Roman" w:eastAsia="Calibri" w:hAnsi="Times New Roman" w:cs="Times New Roman"/>
          <w:sz w:val="24"/>
          <w:szCs w:val="24"/>
        </w:rPr>
        <w:t>81,200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 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is estimated that approximately 3% (198) of participants will purchase equipment </w:t>
      </w:r>
      <w:r w:rsidR="004D4529">
        <w:rPr>
          <w:rFonts w:ascii="Times New Roman" w:eastAsia="Calibri" w:hAnsi="Times New Roman" w:cs="Times New Roman"/>
          <w:sz w:val="24"/>
          <w:szCs w:val="24"/>
        </w:rPr>
        <w:t>each year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.  The basic equipment cost is $400.  Of the participants who purchase equipment, it </w:t>
      </w:r>
      <w:r>
        <w:rPr>
          <w:rFonts w:ascii="Times New Roman" w:eastAsia="Calibri" w:hAnsi="Times New Roman" w:cs="Times New Roman"/>
          <w:sz w:val="24"/>
          <w:szCs w:val="24"/>
        </w:rPr>
        <w:t>is estimated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that only about 10 participants will purchase a maintenance contract (~$200/year) for the equipment.</w:t>
      </w:r>
    </w:p>
    <w:p w:rsidR="00A77504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198 * $400 = $79,200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10 * $200 = $2,000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Total Annual Cost = $81,200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$11,899</w:t>
      </w: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0.05</w:t>
      </w:r>
    </w:p>
    <w:p w:rsidR="005D7D38" w:rsidRPr="00D279E7" w:rsidP="005D7D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Coordinator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example: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Francisco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Greater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Farallones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Assoc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Monterey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Pacific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Museum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Natural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History,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Barbara/Ventura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Channel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Islands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Sanctuary,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Angeles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Grant)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workshop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join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network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coordinators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schedule classroom training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events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https://limpets.org</w:t>
      </w:r>
    </w:p>
    <w:p w:rsidR="005D7D38" w:rsidRPr="00D279E7" w:rsidP="005D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5D7D38" w:rsidRPr="00D279E7" w:rsidP="005D7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D38" w:rsidRPr="00D279E7" w:rsidP="005D7D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LiMPETS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monitoring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offered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year-round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Rocky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intertidal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monitoring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events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occur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around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low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tide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month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Typically,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f</w:t>
      </w:r>
      <w:r w:rsidRPr="00D279E7">
        <w:rPr>
          <w:rFonts w:ascii="Times New Roman" w:eastAsia="Calibri" w:hAnsi="Times New Roman" w:cs="Times New Roman"/>
          <w:sz w:val="24"/>
          <w:szCs w:val="24"/>
        </w:rPr>
        <w:t>all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D279E7">
        <w:rPr>
          <w:rFonts w:ascii="Times New Roman" w:eastAsia="Calibri" w:hAnsi="Times New Roman" w:cs="Times New Roman"/>
          <w:sz w:val="24"/>
          <w:szCs w:val="24"/>
        </w:rPr>
        <w:t>inter/early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D279E7">
        <w:rPr>
          <w:rFonts w:ascii="Times New Roman" w:eastAsia="Calibri" w:hAnsi="Times New Roman" w:cs="Times New Roman"/>
          <w:sz w:val="24"/>
          <w:szCs w:val="24"/>
        </w:rPr>
        <w:t>pring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times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year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conduct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monitoring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events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flexibility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conduct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sandy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monitoring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typically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monitor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tide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rising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during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tidal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change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 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large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After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monitoring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event,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students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LiMPETS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field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coordinators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online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analysis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students,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LiMPETS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encourages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sharing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results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through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blogs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LiMPETS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website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https://limpets.org/field-blog/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D7D38" w:rsidRPr="00D279E7" w:rsidP="005D7D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7D38" w:rsidRPr="00D279E7" w:rsidP="005D7D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sign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participate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5D7D38" w:rsidRPr="00D279E7" w:rsidP="005D7D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D38" w:rsidRPr="00D279E7" w:rsidP="005D7D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employ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methods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D7D38" w:rsidRPr="00D279E7" w:rsidP="005D7D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5D7D38" w:rsidRPr="00D279E7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D7D38" w:rsidP="005D7D38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two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documents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>.  One includes educational/recruitment information and the other provides s</w:t>
      </w:r>
      <w:r w:rsidRPr="00E63EE7">
        <w:rPr>
          <w:rFonts w:ascii="Times New Roman" w:eastAsia="Calibri" w:hAnsi="Times New Roman" w:cs="Times New Roman"/>
          <w:sz w:val="24"/>
          <w:szCs w:val="24"/>
        </w:rPr>
        <w:t>creenshots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rocky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intertidal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sandy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beach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E7">
        <w:rPr>
          <w:rFonts w:ascii="Times New Roman" w:eastAsia="Calibri" w:hAnsi="Times New Roman" w:cs="Times New Roman"/>
          <w:sz w:val="24"/>
          <w:szCs w:val="24"/>
        </w:rPr>
        <w:t>pages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7D38" w:rsidRPr="00D279E7" w:rsidP="005D7D3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D7D38" w:rsidRPr="00D279E7" w:rsidP="005D7D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D7D38" w:rsidRPr="00D279E7" w:rsidP="005D7D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D7D38" w:rsidRPr="00D279E7" w:rsidP="005D7D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5D7D38" w:rsidRPr="00D279E7" w:rsidP="005D7D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5D7D38" w:rsidRPr="00D279E7" w:rsidP="005D7D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5D7D38" w:rsidRPr="00D279E7" w:rsidP="005D7D3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5D7D38" w:rsidRPr="00D279E7" w:rsidP="005D7D3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C0048" w:rsidRPr="005D7D38" w:rsidP="005D7D38">
      <w:pPr>
        <w:pStyle w:val="NoSpacing"/>
        <w:ind w:firstLine="360"/>
        <w:rPr>
          <w:rFonts w:cs="Times New Roman"/>
          <w:szCs w:val="24"/>
        </w:rPr>
      </w:pPr>
      <w:r w:rsidRPr="00D279E7">
        <w:rPr>
          <w:rFonts w:cs="Times New Roman"/>
          <w:szCs w:val="24"/>
        </w:rPr>
        <w:t>Name:</w:t>
      </w:r>
      <w:r>
        <w:rPr>
          <w:rFonts w:cs="Times New Roman"/>
          <w:szCs w:val="24"/>
        </w:rPr>
        <w:t xml:space="preserve">  </w:t>
      </w:r>
      <w:r w:rsidRPr="00D279E7">
        <w:rPr>
          <w:rFonts w:cs="Times New Roman"/>
          <w:szCs w:val="24"/>
        </w:rPr>
        <w:t>Julie</w:t>
      </w:r>
      <w:r>
        <w:rPr>
          <w:rFonts w:cs="Times New Roman"/>
          <w:szCs w:val="24"/>
        </w:rPr>
        <w:t xml:space="preserve"> </w:t>
      </w:r>
      <w:r w:rsidRPr="00D279E7">
        <w:rPr>
          <w:rFonts w:cs="Times New Roman"/>
          <w:szCs w:val="24"/>
        </w:rPr>
        <w:t>Bursek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6632EB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38"/>
    <w:rsid w:val="00303717"/>
    <w:rsid w:val="004D4529"/>
    <w:rsid w:val="005C0048"/>
    <w:rsid w:val="005D7D38"/>
    <w:rsid w:val="00A77504"/>
    <w:rsid w:val="00D279E7"/>
    <w:rsid w:val="00E63E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F0DC69"/>
  <w15:chartTrackingRefBased/>
  <w15:docId w15:val="{65862396-776F-4B00-9F9A-1A0A910D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D7D38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7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7D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7D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7D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7D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4</cp:revision>
  <dcterms:created xsi:type="dcterms:W3CDTF">2023-01-18T18:37:00Z</dcterms:created>
  <dcterms:modified xsi:type="dcterms:W3CDTF">2023-01-24T17:18:00Z</dcterms:modified>
</cp:coreProperties>
</file>