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23AEF" w:rsidRPr="00123AEF" w:rsidP="0012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23AEF">
        <w:rPr>
          <w:rFonts w:ascii="Times New Roman" w:eastAsia="Times New Roman" w:hAnsi="Times New Roman" w:cs="Times New Roman"/>
          <w:sz w:val="24"/>
          <w:szCs w:val="24"/>
        </w:rPr>
        <w:t xml:space="preserve">ebsite </w:t>
      </w:r>
      <w:r>
        <w:rPr>
          <w:rFonts w:ascii="Times New Roman" w:eastAsia="Times New Roman" w:hAnsi="Times New Roman" w:cs="Times New Roman"/>
          <w:sz w:val="24"/>
          <w:szCs w:val="24"/>
        </w:rPr>
        <w:t>with web-based app d</w:t>
      </w:r>
      <w:r w:rsidRPr="00FE3285">
        <w:rPr>
          <w:rFonts w:ascii="Times New Roman" w:eastAsia="Times New Roman" w:hAnsi="Times New Roman" w:cs="Times New Roman"/>
          <w:sz w:val="24"/>
          <w:szCs w:val="24"/>
        </w:rPr>
        <w:t xml:space="preserve">ata entry </w:t>
      </w:r>
      <w:r>
        <w:rPr>
          <w:rFonts w:ascii="Times New Roman" w:eastAsia="Times New Roman" w:hAnsi="Times New Roman" w:cs="Times New Roman"/>
          <w:sz w:val="24"/>
          <w:szCs w:val="24"/>
        </w:rPr>
        <w:t>form with instructions and outreach</w:t>
      </w:r>
    </w:p>
    <w:bookmarkEnd w:id="0"/>
    <w:p w:rsidR="00123AEF" w:rsidRPr="00123AEF" w:rsidP="0012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AEF" w:rsidRPr="00123AEF" w:rsidP="0012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AE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253155"/>
            <wp:effectExtent l="0" t="0" r="0" b="4445"/>
            <wp:docPr id="1" name="Picture 1" descr="C:\Users\j_t\Downloads\imag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_t\Downloads\image (3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AEF" w:rsidRPr="00123AEF" w:rsidP="0012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AEF">
        <w:rPr>
          <w:rFonts w:ascii="Times New Roman" w:eastAsia="Times New Roman" w:hAnsi="Times New Roman" w:cs="Times New Roman"/>
          <w:sz w:val="24"/>
          <w:szCs w:val="24"/>
        </w:rPr>
        <w:t>Instructions for our team to fill out the form:</w:t>
      </w:r>
    </w:p>
    <w:p w:rsidR="00123AEF" w:rsidRPr="00123AEF" w:rsidP="00123AE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Enter all reported sightings including duplicates if from another reporting source.  Sightings from NARWSS flights 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are entered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 automatically during data processing with the Aerial Survey Processing App.</w:t>
      </w:r>
    </w:p>
    <w:p w:rsidR="00123AEF" w:rsidRPr="00123AEF" w:rsidP="0012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AEF" w:rsidRPr="00123AEF" w:rsidP="00123AEF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123AE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Sighting Date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 – date of the sighting (not report) in the format 01-May-2022</w:t>
      </w:r>
    </w:p>
    <w:p w:rsidR="00123AEF" w:rsidRPr="00123AEF" w:rsidP="00123AEF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123AE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Category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 – enter the category of the observer</w:t>
      </w:r>
    </w:p>
    <w:p w:rsidR="00123AEF" w:rsidRPr="00123AEF" w:rsidP="00123AEF">
      <w:pPr>
        <w:numPr>
          <w:ilvl w:val="1"/>
          <w:numId w:val="2"/>
        </w:numPr>
        <w:spacing w:after="0" w:line="240" w:lineRule="auto"/>
        <w:ind w:left="1665" w:hanging="360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123AEF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 xml:space="preserve">Shipboard </w:t>
      </w:r>
      <w:r w:rsidRPr="00123AEF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>is used</w:t>
      </w:r>
      <w:r w:rsidRPr="00123AEF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 xml:space="preserve"> only for dedicated right whale surveys.  If the Shearwater is on a humpback cruise and has a right whale sighting, it would be Opportunistic.  </w:t>
      </w:r>
    </w:p>
    <w:p w:rsidR="00123AEF" w:rsidRPr="00123AEF" w:rsidP="00123AEF">
      <w:pPr>
        <w:numPr>
          <w:ilvl w:val="1"/>
          <w:numId w:val="2"/>
        </w:numPr>
        <w:spacing w:after="0" w:line="240" w:lineRule="auto"/>
        <w:ind w:left="1665" w:hanging="360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123AEF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>Aerial is used only for dedicated right whale surveys (NLPSC or AMAPPS surveys should be Opportunistic, and it’s helpful to write a comment such as “AMAPPS”)</w:t>
      </w:r>
    </w:p>
    <w:p w:rsidR="00123AEF" w:rsidRPr="00123AEF" w:rsidP="00123AEF">
      <w:pPr>
        <w:numPr>
          <w:ilvl w:val="1"/>
          <w:numId w:val="2"/>
        </w:numPr>
        <w:spacing w:after="0" w:line="240" w:lineRule="auto"/>
        <w:ind w:left="1665" w:hanging="360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123AEF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>Coast Guard use only if they observed the sighting; not if they are passing it along.</w:t>
      </w:r>
    </w:p>
    <w:p w:rsidR="00123AEF" w:rsidRPr="00123AEF" w:rsidP="0012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AEF" w:rsidRPr="00123AEF" w:rsidP="00123AEF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123AE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Sighting Time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 – time format is military HH:MM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:SS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.  Correct to Eastern Time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. 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If the sighting time is 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unknown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 enter 12:00:00 and note time is unknown in comments.</w:t>
      </w:r>
    </w:p>
    <w:p w:rsidR="00123AEF" w:rsidRPr="00123AEF" w:rsidP="00123AEF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123AE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Latitude and Longitude 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– can be entered as degrees minutes or decimal degrees (by leaving the 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minutes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 field blank); do not use a minus sign for longitude values.</w:t>
      </w:r>
    </w:p>
    <w:p w:rsidR="00123AEF" w:rsidRPr="00123AEF" w:rsidP="00123AEF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123AE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Behavior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 – check appropriate boxes for behavior category (i.e., sag, mom/calf, etc.)</w:t>
      </w:r>
    </w:p>
    <w:p w:rsidR="00123AEF" w:rsidRPr="00123AEF" w:rsidP="00123AEF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123AE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Species Certainty 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– enter certainty of species identification; unknown sightings will not show on the map</w:t>
      </w:r>
    </w:p>
    <w:p w:rsidR="00123AEF" w:rsidRPr="00123AEF" w:rsidP="0012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AEF" w:rsidRPr="00123AEF" w:rsidP="00123A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123AE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Definite</w:t>
      </w:r>
    </w:p>
    <w:p w:rsidR="00123AEF" w:rsidRPr="00123AEF" w:rsidP="00123A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Sightings 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are considered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 'Definite' from experienced sources, such as whale watch naturalists</w:t>
      </w:r>
    </w:p>
    <w:p w:rsidR="00123AEF" w:rsidRPr="00123AEF" w:rsidP="00123A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and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 researchers (NMFS, CCS, 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NEAq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, SBNMS, Riverhead, Mass DMF, CCSN, &amp; other stranding networks).  These sources do not require follow-up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. 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For non-experienced sources that require follow-up, ask non-leading questions to determine if the sighting was a right whale.  If a sighting is passed via the Coast Guard, obtain the original reporting source if possible and interview the observer directly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. 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Consider Definite if photos confirm species or if interview confirms they saw at least two distinctive right whale field marks: white bumps on the head, paddle-shaped flippers, absence of dorsal fin (if got a good look at the 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back), or all dark fluke with smooth edges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.</w:t>
      </w:r>
      <w:r w:rsidRPr="00123AEF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 xml:space="preserve"> </w:t>
      </w:r>
      <w:r w:rsidRPr="00123AEF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 xml:space="preserve">*Only definite sightings get displayed on </w:t>
      </w:r>
      <w:r w:rsidRPr="00123AEF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>WhaleMap</w:t>
      </w:r>
      <w:r w:rsidRPr="00123AEF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>*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br/>
      </w:r>
    </w:p>
    <w:p w:rsidR="00123AEF" w:rsidRPr="00123AEF" w:rsidP="00123A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123AE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Probable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br/>
        <w:t>Consider the sighting ‘Probable’ if the observer’s description includes only one distinctive right whale field mark, e.g., white bumps on the head, paddle-shaped flippers, absence of dorsal fin (if got a good look at the back), or all dark fluke with smooth edges.  </w:t>
      </w:r>
    </w:p>
    <w:p w:rsidR="00123AEF" w:rsidRPr="00123AEF" w:rsidP="0012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AEF" w:rsidRPr="00123AEF" w:rsidP="00123A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123AE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Unknown </w:t>
      </w:r>
      <w:r w:rsidRPr="00123AEF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>(do not display on Google map)</w:t>
      </w:r>
    </w:p>
    <w:p w:rsidR="00123AEF" w:rsidRPr="00123AEF" w:rsidP="00123A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If there is no indication that the sighting was a right whale, take no management action.  Enter the sighting in the database and make a note that the sighting was unconfirmed.</w:t>
      </w:r>
    </w:p>
    <w:p w:rsidR="00123AEF" w:rsidRPr="00123AEF" w:rsidP="0012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AEF" w:rsidRPr="00123AEF" w:rsidP="00123AE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*</w:t>
      </w:r>
      <w:r w:rsidRPr="00123AE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Not Right Whale - 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If the sighting is NOT a right whale, enter into the database with Certainty unknown and Action none - unconfirmed/not 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Egs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. 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Put any details of determination in the comments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. 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(If someone calls to report a non-right whale sighting, then no need to enter it into the database; record only those instances where someone initially thought it was a right whale).</w:t>
      </w:r>
    </w:p>
    <w:p w:rsidR="00123AEF" w:rsidRPr="00123AEF" w:rsidP="0012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AEF" w:rsidRPr="00123AEF" w:rsidP="00123AEF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123AE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Group size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 – enter the minimum number of animals (i.e., if reported as “2-3”, enter “2”)</w:t>
      </w:r>
    </w:p>
    <w:p w:rsidR="00123AEF" w:rsidRPr="00123AEF" w:rsidP="00123AEF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123AE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Observer/reporter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 – enter the name, platform, and organization of the observer (and reporter if applicable – i.e., only if someone other than the person who saw the whale is the one calling the hotline) from the drop down list.  If it 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is not listed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, choose “Other” and write the information in the “Comments” field; try to get accurate spelling.  Make a note in the comments if you need to explain a convoluted chain of reporting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. 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All sightings that come through the Whale Alert App should have “whale alert” selected as the reporter organization.</w:t>
      </w:r>
    </w:p>
    <w:p w:rsidR="00123AEF" w:rsidRPr="00123AEF" w:rsidP="00123AEF">
      <w:pPr>
        <w:shd w:val="clear" w:color="auto" w:fill="FFFFFF"/>
        <w:spacing w:after="0" w:line="240" w:lineRule="auto"/>
        <w:ind w:left="360"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123AEF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>Observer = the folks who actually saw the whale</w:t>
      </w:r>
    </w:p>
    <w:p w:rsidR="00123AEF" w:rsidRPr="00123AEF" w:rsidP="00123AEF">
      <w:pPr>
        <w:shd w:val="clear" w:color="auto" w:fill="FFFFFF"/>
        <w:spacing w:after="0" w:line="240" w:lineRule="auto"/>
        <w:ind w:left="360"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123AEF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>Reporter = the folks who relayed the sighting from the observer to the SAS hotline</w:t>
      </w:r>
    </w:p>
    <w:p w:rsidR="00123AEF" w:rsidRPr="00123AEF" w:rsidP="0012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AEF" w:rsidRPr="00123AEF" w:rsidP="00123AEF">
      <w:pPr>
        <w:numPr>
          <w:ilvl w:val="0"/>
          <w:numId w:val="5"/>
        </w:numPr>
        <w:spacing w:after="0" w:line="240" w:lineRule="auto"/>
        <w:ind w:left="945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123AE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Action 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– select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  the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 management action taken from the drop down list.  If you are not sure, you can always edit your selection later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. 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For example, you may not be sure if a group of whales falls within an existing management zone and initially select “None, within existing protection zone” but then later realize that it triggers a DMA and correct it to “Dynamic Management Area”</w:t>
      </w:r>
    </w:p>
    <w:p w:rsidR="00123AEF" w:rsidRPr="00123AEF" w:rsidP="0012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8567"/>
      </w:tblGrid>
      <w:tr w:rsidTr="00123AE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64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23AEF" w:rsidRPr="00123AEF" w:rsidP="00123AEF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23AEF" w:rsidRPr="00123AEF" w:rsidP="00123AE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None, only 1 or 2 animals</w:t>
            </w:r>
          </w:p>
        </w:tc>
      </w:tr>
      <w:tr w:rsidTr="00123AE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64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23AEF" w:rsidRPr="00123AEF" w:rsidP="00123AEF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23AEF" w:rsidRPr="00123AEF" w:rsidP="00123AE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None, within existing protection zone</w:t>
            </w:r>
          </w:p>
        </w:tc>
      </w:tr>
      <w:tr w:rsidTr="00123AE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64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23AEF" w:rsidRPr="00123AEF" w:rsidP="00123AEF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23AEF" w:rsidRPr="00123AEF" w:rsidP="00123AE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None, duplicate</w:t>
            </w:r>
          </w:p>
        </w:tc>
      </w:tr>
      <w:tr w:rsidTr="00123AE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64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23AEF" w:rsidRPr="00123AEF" w:rsidP="00123AEF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  <w:p w:rsidR="00123AEF" w:rsidRPr="00123AEF" w:rsidP="00123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23AEF" w:rsidRPr="00123AEF" w:rsidP="00123AE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Dynamic Management Area (DMA)            </w:t>
            </w:r>
          </w:p>
          <w:p w:rsidR="00123AEF" w:rsidRPr="00123AEF" w:rsidP="00123AE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***use for all sightings used in DMA calculation***</w:t>
            </w:r>
          </w:p>
        </w:tc>
      </w:tr>
      <w:tr w:rsidTr="00123AE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64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23AEF" w:rsidRPr="00123AEF" w:rsidP="00123AEF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23AEF" w:rsidRPr="00123AEF" w:rsidP="00123AE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DMA Extended</w:t>
            </w:r>
          </w:p>
        </w:tc>
      </w:tr>
      <w:tr w:rsidTr="00123AE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64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23AEF" w:rsidRPr="00123AEF" w:rsidP="00123AEF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23AEF" w:rsidRPr="00123AEF" w:rsidP="00123AE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None – Canada (</w:t>
            </w:r>
            <w:r w:rsidRPr="00123AE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east of -67°00’ W</w:t>
            </w: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Tr="00123AE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64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23AEF" w:rsidRPr="00123AEF" w:rsidP="00123AEF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23AEF" w:rsidRPr="00123AEF" w:rsidP="00123AE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None - unconfirmed/not right whales</w:t>
            </w:r>
          </w:p>
        </w:tc>
      </w:tr>
      <w:tr w:rsidTr="00123AE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64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23AEF" w:rsidRPr="00123AEF" w:rsidP="00123AEF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23AEF" w:rsidRPr="00123AEF" w:rsidP="00123AE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USCG BNM local</w:t>
            </w:r>
          </w:p>
        </w:tc>
      </w:tr>
      <w:tr w:rsidTr="00123AE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64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23AEF" w:rsidRPr="00123AEF" w:rsidP="00123AEF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23AEF" w:rsidRPr="00123AEF" w:rsidP="00123AE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USCG BNM NEFSC</w:t>
            </w:r>
          </w:p>
        </w:tc>
      </w:tr>
      <w:tr w:rsidTr="00123AE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64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AEF" w:rsidRPr="00123AEF" w:rsidP="00123AEF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23AEF" w:rsidRPr="00123AEF" w:rsidP="00123AE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Dynamic Management Area Not Implemented (if we had 3 whales but did not implement a DMA for any reason such as sighting being reported more than a week late)</w:t>
            </w: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123AE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Add explanation in comments.</w:t>
            </w:r>
          </w:p>
        </w:tc>
      </w:tr>
    </w:tbl>
    <w:p w:rsidR="00123AEF" w:rsidRPr="00123AEF" w:rsidP="0012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AEF" w:rsidRPr="00123AEF" w:rsidP="00123AEF">
      <w:pPr>
        <w:numPr>
          <w:ilvl w:val="0"/>
          <w:numId w:val="6"/>
        </w:numPr>
        <w:spacing w:after="0" w:line="240" w:lineRule="auto"/>
        <w:ind w:left="945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123AE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Notes – 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Include the names and contact information of the observer and/or reporter if not on the drop down list; include any other details.  Do not use any single quotes (‘) in the Comments field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. 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Be sure to click in another table cell besides the Comment field so your notes will be recorded into the database.</w:t>
      </w:r>
    </w:p>
    <w:p w:rsidR="00123AEF" w:rsidRPr="00123AEF" w:rsidP="00123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AEF" w:rsidRPr="00123AEF" w:rsidP="00123AE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123AEF">
        <w:rPr>
          <w:rFonts w:ascii="Calibri" w:eastAsia="Times New Roman" w:hAnsi="Calibri" w:cs="Calibri"/>
          <w:color w:val="000000"/>
          <w:sz w:val="20"/>
          <w:szCs w:val="20"/>
        </w:rPr>
        <w:t xml:space="preserve">Once all information 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is correctly entered</w:t>
      </w:r>
      <w:r w:rsidRPr="00123AEF">
        <w:rPr>
          <w:rFonts w:ascii="Calibri" w:eastAsia="Times New Roman" w:hAnsi="Calibri" w:cs="Calibri"/>
          <w:color w:val="000000"/>
          <w:sz w:val="20"/>
          <w:szCs w:val="20"/>
        </w:rPr>
        <w:t>, click the “Submit” button.</w:t>
      </w:r>
    </w:p>
    <w:p w:rsidR="00123AEF" w:rsidRPr="00123AEF" w:rsidP="00123AE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:rsidR="00123AEF" w:rsidRPr="00123AEF" w:rsidP="00123AE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123AEF">
        <w:rPr>
          <w:rFonts w:ascii="Calibri" w:eastAsia="Times New Roman" w:hAnsi="Calibri" w:cs="Calibri"/>
          <w:color w:val="000000"/>
          <w:sz w:val="24"/>
          <w:szCs w:val="24"/>
        </w:rPr>
        <w:t>This is our website outreach:</w:t>
      </w:r>
    </w:p>
    <w:p w:rsidR="00123AEF" w:rsidRPr="00123AEF" w:rsidP="00123AE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123AEF">
        <w:rPr>
          <w:rFonts w:ascii="Calibri" w:eastAsia="Times New Roman" w:hAnsi="Calibri" w:cs="Calibri"/>
          <w:color w:val="000000"/>
          <w:sz w:val="20"/>
          <w:szCs w:val="20"/>
        </w:rPr>
        <w:br/>
      </w:r>
      <w:r w:rsidRPr="00123AEF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>
            <wp:extent cx="5943600" cy="3704242"/>
            <wp:effectExtent l="0" t="0" r="0" b="0"/>
            <wp:docPr id="2" name="Picture 2" descr="C:\Users\j_t\Downloads\imag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j_t\Downloads\image (4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ACB60B8"/>
    <w:multiLevelType w:val="multilevel"/>
    <w:tmpl w:val="829E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743DF1"/>
    <w:multiLevelType w:val="multilevel"/>
    <w:tmpl w:val="28B6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860A58"/>
    <w:multiLevelType w:val="multilevel"/>
    <w:tmpl w:val="EA0A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677DB2"/>
    <w:multiLevelType w:val="multilevel"/>
    <w:tmpl w:val="CFAA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D5D9F"/>
    <w:multiLevelType w:val="multilevel"/>
    <w:tmpl w:val="DED8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start w:val="0"/>
        <w:numFmt w:val="lowerLetter"/>
        <w:lvlText w:val="%2."/>
        <w:lvlJc w:val="left"/>
      </w:lvl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EF"/>
    <w:rsid w:val="00123AEF"/>
    <w:rsid w:val="001511EB"/>
    <w:rsid w:val="00170983"/>
    <w:rsid w:val="00301D46"/>
    <w:rsid w:val="003929D6"/>
    <w:rsid w:val="00626ECC"/>
    <w:rsid w:val="00872EE6"/>
    <w:rsid w:val="009952D2"/>
    <w:rsid w:val="00E1339B"/>
    <w:rsid w:val="00E751C0"/>
    <w:rsid w:val="00F06775"/>
    <w:rsid w:val="00FE32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D23D76"/>
  <w15:chartTrackingRefBased/>
  <w15:docId w15:val="{2864D807-C63C-405F-A408-F64C8404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2</cp:revision>
  <dcterms:created xsi:type="dcterms:W3CDTF">2023-01-02T17:43:00Z</dcterms:created>
  <dcterms:modified xsi:type="dcterms:W3CDTF">2023-01-02T17:43:00Z</dcterms:modified>
</cp:coreProperties>
</file>