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D4CE1" w:rsidRPr="00FD5413" w:rsidP="007D4CE1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</w:pP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California</w:t>
      </w:r>
      <w:r w:rsidR="004C7D06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Ocean</w:t>
      </w:r>
      <w:r w:rsidR="004C7D06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Protection</w:t>
      </w:r>
      <w:r w:rsidR="004C7D06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Council</w:t>
      </w:r>
      <w:r w:rsidR="004C7D06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Data</w:t>
      </w:r>
      <w:r w:rsidR="004C7D06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  <w:kern w:val="36"/>
          <w:sz w:val="48"/>
          <w:szCs w:val="48"/>
        </w:rPr>
        <w:t>Repository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4054"/>
        </w:rPr>
      </w:pPr>
      <w:r w:rsidRPr="00FD5413">
        <w:rPr>
          <w:rFonts w:ascii="Times New Roman" w:eastAsia="Times New Roman" w:hAnsi="Times New Roman" w:cs="Times New Roman"/>
          <w:color w:val="0F4054"/>
        </w:rPr>
        <w:t>DataONE</w:t>
      </w:r>
      <w:r w:rsidR="004C7D06">
        <w:rPr>
          <w:rFonts w:ascii="Times New Roman" w:eastAsia="Times New Roman" w:hAnsi="Times New Roman" w:cs="Times New Roman"/>
          <w:color w:val="0F4054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</w:rPr>
        <w:t>Member</w:t>
      </w:r>
      <w:r w:rsidR="004C7D06">
        <w:rPr>
          <w:rFonts w:ascii="Times New Roman" w:eastAsia="Times New Roman" w:hAnsi="Times New Roman" w:cs="Times New Roman"/>
          <w:color w:val="0F4054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</w:rPr>
        <w:t>Repository</w:t>
      </w:r>
      <w:r w:rsidR="004C7D06">
        <w:rPr>
          <w:rFonts w:ascii="Times New Roman" w:eastAsia="Times New Roman" w:hAnsi="Times New Roman" w:cs="Times New Roman"/>
          <w:color w:val="0F4054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</w:rPr>
        <w:t>since</w:t>
      </w:r>
      <w:r w:rsidR="004C7D06">
        <w:rPr>
          <w:rFonts w:ascii="Times New Roman" w:eastAsia="Times New Roman" w:hAnsi="Times New Roman" w:cs="Times New Roman"/>
          <w:color w:val="0F4054"/>
        </w:rPr>
        <w:t xml:space="preserve"> </w:t>
      </w:r>
      <w:r w:rsidRPr="00FD5413">
        <w:rPr>
          <w:rFonts w:ascii="Times New Roman" w:eastAsia="Times New Roman" w:hAnsi="Times New Roman" w:cs="Times New Roman"/>
          <w:color w:val="0F4054"/>
        </w:rPr>
        <w:t>2020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4054"/>
          <w:sz w:val="24"/>
          <w:szCs w:val="24"/>
        </w:rPr>
      </w:pPr>
      <w:hyperlink r:id="rId4" w:history="1">
        <w:r w:rsidRPr="00FD541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https://search.dataone.org/portals/CA_OPC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4054"/>
          <w:sz w:val="24"/>
          <w:szCs w:val="24"/>
        </w:rPr>
      </w:pPr>
    </w:p>
    <w:p w:rsidR="007D4CE1" w:rsidRPr="00FD5413" w:rsidP="007D4C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Ocean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Protection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Council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(OPC)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serves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Governor's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advisor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ocean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coastal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policy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is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charged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with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safeguarding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coastal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ocean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ecosystems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for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benefit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all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Californians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OPC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provides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best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available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science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decisionmakers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,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develops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science-based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policy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recommendations,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strategically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deploys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funding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other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resources,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collaborates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across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jurisdictional,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programmatic,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regional</w:t>
      </w:r>
      <w:r w:rsidR="004C7D0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24"/>
          <w:szCs w:val="24"/>
        </w:rPr>
        <w:t>boundaries.</w:t>
      </w:r>
    </w:p>
    <w:p w:rsidR="007D4CE1" w:rsidRPr="00FD5413" w:rsidP="007D4C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7D4CE1" w:rsidRPr="00FD5413" w:rsidP="00E25A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DATA:</w:t>
      </w:r>
      <w:r w:rsidR="004C7D06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 xml:space="preserve"> 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Search</w:t>
      </w:r>
    </w:p>
    <w:p w:rsidR="007D4CE1" w:rsidRPr="00FD5413" w:rsidP="007D4CE1">
      <w:pPr>
        <w:spacing w:after="150"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.35pt" o:oleicon="f" o:ole="">
            <v:imagedata r:id="rId5" o:title=""/>
          </v:shape>
          <w:control r:id="rId6" w:name="DefaultOcxName" w:shapeid="_x0000_i1025"/>
        </w:object>
      </w:r>
      <w:r w:rsidR="004C7D06"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:rsidR="007D4CE1" w:rsidRPr="00FD5413" w:rsidP="007D4CE1">
      <w:pPr>
        <w:shd w:val="clear" w:color="auto" w:fill="FFFFFF"/>
        <w:spacing w:before="150" w:after="150" w:line="300" w:lineRule="atLeast"/>
        <w:outlineLvl w:val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D5413">
        <w:rPr>
          <w:rFonts w:ascii="Times New Roman" w:eastAsia="Times New Roman" w:hAnsi="Times New Roman" w:cs="Times New Roman"/>
          <w:b/>
          <w:bCs/>
          <w:sz w:val="21"/>
          <w:szCs w:val="21"/>
        </w:rPr>
        <w:t>1</w:t>
      </w:r>
      <w:r w:rsidR="004C7D0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1"/>
          <w:szCs w:val="21"/>
        </w:rPr>
        <w:t>to</w:t>
      </w:r>
      <w:r w:rsidR="004C7D0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1"/>
          <w:szCs w:val="21"/>
        </w:rPr>
        <w:t>25</w:t>
      </w:r>
      <w:r w:rsidR="004C7D0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1"/>
          <w:szCs w:val="21"/>
        </w:rPr>
        <w:t>of</w:t>
      </w:r>
      <w:r w:rsidR="004C7D06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1"/>
          <w:szCs w:val="21"/>
        </w:rPr>
        <w:t>274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Sort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6" type="#_x0000_t201" style="width:106.65pt;height:18.35pt" o:oleicon="f" o:ole="">
            <v:imagedata r:id="rId7" o:title=""/>
          </v:shape>
          <w:control r:id="rId8" w:name="DefaultOcxName1" w:shapeid="_x0000_i1026"/>
        </w:object>
      </w:r>
    </w:p>
    <w:p w:rsidR="00E25A8A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SCR_Aerial_Tijuana_River_Mouth_SMCA_2002_2012_IntertidalChange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/P67S46.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180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SCR_Aerial_Swamis_SMCA_2002_2012_IntertidalChange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/P6CK5R.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SCR_Aerial_South_La_Jolla_SMR_2002_2012_IntertidalChange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/P6H89D.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178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SCR_Aerial_SantaRosaIslandSouth_11222011_KelpClass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/P6N31W.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182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SCR_Aerial_SantaRosaIslandSouth_10162012_KelpClass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/P6RS3G.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159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SCR_Aerial_SantaRosaIslandNorth_11222011_KelpClass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/P6WK6S.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177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SCR_Aerial_SantaRosaIslandNorth_10162012_KelpClass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/P6188P.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174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SCR_Aerial_SantaCruzIslandSouth_10142012_KelpClass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/P6531J.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174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SCR_Aerial_SantaCruzIslandSouth_12082011_KelpClass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/P68S34.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147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SCR_Aerial_SantaCruzIslandNorth_12082011_KelpClass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/P6DK6F.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158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SCR_Aerial_SantaCruzIslandNorth_10142012_KelpClass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/P6J88B.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91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SCR_Aerial_SantaCruzIslandNorth_10142012_IntClass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/P6P316.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140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SCR_Aerial_SantaCruzIslandNorthEast_12082011_KelpClass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/P6SS3S.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169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SCR_Aerial_SantaCruzIslandNorthEast_10142012_KelpClass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/P6XG7F.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167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SCR_Aerial_SantaCruzIslandNorthEast_10142012_IntClass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</w:t>
        </w:r>
        <w:r w:rsidRPr="00FD5413">
          <w:rPr>
            <w:rFonts w:ascii="Times New Roman" w:eastAsia="Times New Roman" w:hAnsi="Times New Roman" w:cs="Times New Roman"/>
            <w:color w:val="888888"/>
          </w:rPr>
          <w:t>P62880</w:t>
        </w:r>
        <w:r w:rsidRPr="00FD5413">
          <w:rPr>
            <w:rFonts w:ascii="Times New Roman" w:eastAsia="Times New Roman" w:hAnsi="Times New Roman" w:cs="Times New Roman"/>
            <w:color w:val="888888"/>
          </w:rPr>
          <w:t>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173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SCR_Aerial_SantaCatalinaIslandWest_12072011_KelpClass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</w:t>
        </w:r>
        <w:r w:rsidRPr="00FD5413">
          <w:rPr>
            <w:rFonts w:ascii="Times New Roman" w:eastAsia="Times New Roman" w:hAnsi="Times New Roman" w:cs="Times New Roman"/>
            <w:color w:val="888888"/>
          </w:rPr>
          <w:t>P66026</w:t>
        </w:r>
        <w:r w:rsidRPr="00FD5413">
          <w:rPr>
            <w:rFonts w:ascii="Times New Roman" w:eastAsia="Times New Roman" w:hAnsi="Times New Roman" w:cs="Times New Roman"/>
            <w:color w:val="888888"/>
          </w:rPr>
          <w:t>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172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SCR_Aerial_SantaCatalinaIslandWest_10152012_KelpClass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/P69S3F.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169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SCR_Aerial_SantaCatalinaIslandNorth_12072011_KelpClass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/P6FG73.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168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SCR_Aerial_SantaCatalinaIslandNorth_10152012_KelpClass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/P6K891.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173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SCR_Aerial_SantaCatalinaIslandNorth_10052012_IntClass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/P6Q01G.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SCR_Aerial_SantaCatalinaIslandEast_10052012_IntClass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/P6TS4G.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171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SCR_Aerial_SantaCatalinaIslandEast_10152012_KelpClass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/P6ZG6C.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SCR_Aerial_SantaCatalinaIslandEast_12072011_KelpClass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/P6389P.</w:t>
        </w:r>
      </w:hyperlink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169</w:t>
      </w:r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SCR_Aerial_SantaCatalinaIslandEast_1999_2012_KelpPersistence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</w:t>
        </w:r>
        <w:r w:rsidRPr="00FD5413">
          <w:rPr>
            <w:rFonts w:ascii="Times New Roman" w:eastAsia="Times New Roman" w:hAnsi="Times New Roman" w:cs="Times New Roman"/>
            <w:color w:val="888888"/>
          </w:rPr>
          <w:t>P67014</w:t>
        </w:r>
        <w:r w:rsidRPr="00FD5413">
          <w:rPr>
            <w:rFonts w:ascii="Times New Roman" w:eastAsia="Times New Roman" w:hAnsi="Times New Roman" w:cs="Times New Roman"/>
            <w:color w:val="888888"/>
          </w:rPr>
          <w:t>.</w:t>
        </w:r>
      </w:hyperlink>
    </w:p>
    <w:p w:rsidR="007D4CE1" w:rsidRPr="00FD5413" w:rsidP="007D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170</w:t>
      </w:r>
    </w:p>
    <w:p w:rsidR="007D4CE1" w:rsidRPr="00FD5413" w:rsidP="007D4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James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Reed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SCR_Aerial_SantaBarbaraIsland_12092012_KelpClass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California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Ocean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Protection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Council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Data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Repository</w:t>
        </w:r>
        <w:r w:rsidRPr="00FD5413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color w:val="888888"/>
          </w:rPr>
          <w:t>doi:</w:t>
        </w:r>
        <w:r w:rsidRPr="00FD5413">
          <w:rPr>
            <w:rFonts w:ascii="Times New Roman" w:eastAsia="Times New Roman" w:hAnsi="Times New Roman" w:cs="Times New Roman"/>
            <w:color w:val="888888"/>
          </w:rPr>
          <w:t>10.25494</w:t>
        </w:r>
        <w:r w:rsidRPr="00FD5413">
          <w:rPr>
            <w:rFonts w:ascii="Times New Roman" w:eastAsia="Times New Roman" w:hAnsi="Times New Roman" w:cs="Times New Roman"/>
            <w:color w:val="888888"/>
          </w:rPr>
          <w:t>/P6BS44.</w:t>
        </w:r>
      </w:hyperlink>
    </w:p>
    <w:p w:rsidR="007D4CE1" w:rsidRPr="00FD5413" w:rsidP="007D4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233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 xml:space="preserve"> </w:t>
      </w:r>
      <w:r w:rsidRPr="00FD5413">
        <w:rPr>
          <w:rFonts w:ascii="Times New Roman" w:eastAsia="Times New Roman" w:hAnsi="Times New Roman" w:cs="Times New Roman"/>
          <w:color w:val="666666"/>
          <w:sz w:val="18"/>
          <w:szCs w:val="18"/>
          <w:shd w:val="clear" w:color="auto" w:fill="DEDEDE"/>
        </w:rPr>
        <w:t>170</w:t>
      </w:r>
    </w:p>
    <w:p w:rsidR="009A2605" w:rsidRPr="00FD5413" w:rsidP="009A2605">
      <w:pPr>
        <w:spacing w:before="150" w:after="225" w:line="600" w:lineRule="atLeast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FD5413">
        <w:rPr>
          <w:rFonts w:ascii="Times New Roman" w:eastAsia="Times New Roman" w:hAnsi="Times New Roman" w:cs="Times New Roman"/>
          <w:sz w:val="36"/>
          <w:szCs w:val="36"/>
        </w:rPr>
        <w:t>Metadata</w:t>
      </w:r>
      <w:r w:rsidR="004C7D0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D5413">
        <w:rPr>
          <w:rFonts w:ascii="Times New Roman" w:eastAsia="Times New Roman" w:hAnsi="Times New Roman" w:cs="Times New Roman"/>
          <w:sz w:val="36"/>
          <w:szCs w:val="36"/>
        </w:rPr>
        <w:t>Assessment</w:t>
      </w:r>
    </w:p>
    <w:p w:rsidR="009A2605" w:rsidRPr="00FD5413" w:rsidP="009A26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graph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shows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score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metadata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repository,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based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tgtFrame="_blank" w:history="1">
        <w:r w:rsidRPr="00FD541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DataONE</w:t>
        </w:r>
        <w:r w:rsidR="004C7D0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FAIR</w:t>
        </w:r>
        <w:r w:rsidR="004C7D0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Suite</w:t>
        </w:r>
      </w:hyperlink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FAIR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suite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evaluates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metadata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based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criteria: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indable,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ccessible,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nteroperable,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eusable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605" w:rsidRPr="00FD5413" w:rsidP="009A260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represents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average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score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category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across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versions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datasets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changed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month.</w:t>
      </w:r>
    </w:p>
    <w:p w:rsidR="009A2605" w:rsidRPr="00FD5413" w:rsidP="009A2605">
      <w:pPr>
        <w:spacing w:before="100" w:beforeAutospacing="1" w:after="100" w:afterAutospacing="1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D5413">
        <w:rPr>
          <w:rFonts w:ascii="Times New Roman" w:eastAsia="Times New Roman" w:hAnsi="Times New Roman" w:cs="Times New Roman"/>
          <w:b/>
          <w:bCs/>
          <w:sz w:val="26"/>
          <w:szCs w:val="26"/>
        </w:rPr>
        <w:t>DataONE</w:t>
      </w:r>
      <w:r w:rsidR="004C7D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6"/>
          <w:szCs w:val="26"/>
        </w:rPr>
        <w:t>FAIR</w:t>
      </w:r>
      <w:r w:rsidR="004C7D0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D5413">
        <w:rPr>
          <w:rFonts w:ascii="Times New Roman" w:eastAsia="Times New Roman" w:hAnsi="Times New Roman" w:cs="Times New Roman"/>
          <w:b/>
          <w:bCs/>
          <w:sz w:val="26"/>
          <w:szCs w:val="26"/>
        </w:rPr>
        <w:t>Assessment</w:t>
      </w:r>
    </w:p>
    <w:p w:rsidR="009A2605" w:rsidRPr="00FD5413" w:rsidP="007D4C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CE1" w:rsidRPr="00FD5413" w:rsidP="009A26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3347" cy="2202504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20" cy="2222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413" w:rsidRPr="00FD5413" w:rsidP="00FD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Rachel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Brooks,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Shelby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Ziegler,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Richard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Starr,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Dean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Wendt,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Benjamin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Ruttenberg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Nearshore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Fishes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Abundance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and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Distribution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Data,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California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Collaborative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Fisheries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Research</w:t>
        </w:r>
        <w:bookmarkStart w:id="0" w:name="_GoBack"/>
        <w:bookmarkEnd w:id="0"/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Program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(CCFRP)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.</w:t>
        </w:r>
        <w:r w:rsidR="004C7D0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</w:hyperlink>
      <w:r w:rsidRPr="00FD5413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Ocean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Council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Repository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888888"/>
          <w:sz w:val="24"/>
          <w:szCs w:val="24"/>
        </w:rPr>
        <w:t>urn:</w:t>
      </w:r>
      <w:r w:rsidRPr="00FD5413">
        <w:rPr>
          <w:rFonts w:ascii="Times New Roman" w:eastAsia="Times New Roman" w:hAnsi="Times New Roman" w:cs="Times New Roman"/>
          <w:color w:val="888888"/>
          <w:sz w:val="24"/>
          <w:szCs w:val="24"/>
        </w:rPr>
        <w:t>uuid:f843f110-e691-4d26-bf12-3854a4b641cd</w:t>
      </w:r>
      <w:r w:rsidRPr="00FD5413">
        <w:rPr>
          <w:rFonts w:ascii="Times New Roman" w:eastAsia="Times New Roman" w:hAnsi="Times New Roman" w:cs="Times New Roman"/>
          <w:color w:val="888888"/>
          <w:sz w:val="24"/>
          <w:szCs w:val="24"/>
        </w:rPr>
        <w:t>.</w:t>
      </w:r>
    </w:p>
    <w:p w:rsidR="00FD5413" w:rsidRPr="00FD5413" w:rsidP="00FD541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413" w:rsidRPr="00FD5413" w:rsidP="00FD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Downloads</w:t>
      </w:r>
      <w:r w:rsidRPr="00FD5413">
        <w:rPr>
          <w:rFonts w:ascii="Times New Roman" w:eastAsia="Times New Roman" w:hAnsi="Times New Roman" w:cs="Times New Roman"/>
          <w:color w:val="FFFFFF"/>
          <w:sz w:val="24"/>
          <w:szCs w:val="24"/>
        </w:rPr>
        <w:t>451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Citations</w:t>
      </w:r>
      <w:r w:rsidRPr="00FD5413">
        <w:rPr>
          <w:rFonts w:ascii="Times New Roman" w:eastAsia="Times New Roman" w:hAnsi="Times New Roman" w:cs="Times New Roman"/>
          <w:color w:val="FFFFFF"/>
          <w:sz w:val="24"/>
          <w:szCs w:val="24"/>
        </w:rPr>
        <w:t>0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Views</w:t>
      </w:r>
      <w:r w:rsidRPr="00FD5413">
        <w:rPr>
          <w:rFonts w:ascii="Times New Roman" w:eastAsia="Times New Roman" w:hAnsi="Times New Roman" w:cs="Times New Roman"/>
          <w:color w:val="FFFFFF"/>
          <w:sz w:val="24"/>
          <w:szCs w:val="24"/>
        </w:rPr>
        <w:t>908</w:t>
      </w:r>
    </w:p>
    <w:p w:rsidR="00FD5413" w:rsidRPr="00FD5413" w:rsidP="00FD5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single" w:sz="6" w:space="3" w:color="auto" w:frame="1"/>
            <w:shd w:val="clear" w:color="auto" w:fill="FFFFFF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single" w:sz="6" w:space="3" w:color="auto" w:frame="1"/>
            <w:shd w:val="clear" w:color="auto" w:fill="FFFFFF"/>
          </w:rPr>
          <w:t>Assessment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single" w:sz="6" w:space="3" w:color="auto" w:frame="1"/>
            <w:shd w:val="clear" w:color="auto" w:fill="FFFFFF"/>
          </w:rPr>
          <w:t xml:space="preserve"> </w:t>
        </w:r>
        <w:r w:rsidRPr="00FD541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single" w:sz="6" w:space="3" w:color="auto" w:frame="1"/>
            <w:shd w:val="clear" w:color="auto" w:fill="FFFFFF"/>
          </w:rPr>
          <w:t>report</w:t>
        </w:r>
      </w:hyperlink>
    </w:p>
    <w:tbl>
      <w:tblPr>
        <w:tblW w:w="119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"/>
        <w:gridCol w:w="4990"/>
        <w:gridCol w:w="711"/>
        <w:gridCol w:w="897"/>
        <w:gridCol w:w="1018"/>
        <w:gridCol w:w="2100"/>
        <w:gridCol w:w="2100"/>
      </w:tblGrid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8DA2AA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FD5413" w:rsidP="00FD54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Files</w:t>
            </w:r>
            <w:r w:rsidR="004C7D0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in</w:t>
            </w:r>
            <w:r w:rsidR="004C7D0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this</w:t>
            </w:r>
            <w:r w:rsidR="004C7D0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dataset</w:t>
            </w:r>
            <w:r w:rsidR="004C7D0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color w:val="D9E4EC"/>
                <w:sz w:val="24"/>
                <w:szCs w:val="24"/>
              </w:rPr>
              <w:t>Package:</w:t>
            </w:r>
            <w:r w:rsidR="004C7D06">
              <w:rPr>
                <w:rFonts w:ascii="Times New Roman" w:eastAsia="Times New Roman" w:hAnsi="Times New Roman" w:cs="Times New Roman"/>
                <w:color w:val="D9E4EC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color w:val="D9E4EC"/>
                <w:sz w:val="24"/>
                <w:szCs w:val="24"/>
              </w:rPr>
              <w:t>resource_map_urn:uuid:e4e3ac26-41a4-4ae9-b797-4d27053e3991</w:t>
            </w:r>
          </w:p>
        </w:tc>
      </w:tr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FD5413" w:rsidP="00FD54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File</w:t>
            </w:r>
            <w:r w:rsidR="004C7D0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  <w:hideMark/>
          </w:tcPr>
          <w:p w:rsidR="00FD5413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hyperlink r:id="rId38" w:tgtFrame="_blank" w:history="1">
              <w:r w:rsidRPr="004C7D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Download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4C7D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bdr w:val="none" w:sz="0" w:space="0" w:color="auto" w:frame="1"/>
                </w:rPr>
                <w:t>All</w:t>
              </w:r>
            </w:hyperlink>
          </w:p>
        </w:tc>
      </w:tr>
      <w:tr w:rsidTr="004C7D06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1021" w:type="dxa"/>
          <w:trHeight w:val="807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Metadata: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Nearshore_Fishes_Abundance_and_Distribution_Data_.xml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EML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v2.2.0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KB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views</w:t>
            </w:r>
          </w:p>
        </w:tc>
        <w:tc>
          <w:tcPr>
            <w:tcW w:w="21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tgtFrame="_blank" w:history="1">
              <w:r w:rsidRPr="004C7D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bdr w:val="single" w:sz="6" w:space="3" w:color="auto" w:frame="1"/>
                  <w:shd w:val="clear" w:color="auto" w:fill="FFFFFF"/>
                </w:rPr>
                <w:t>Download</w:t>
              </w:r>
            </w:hyperlink>
          </w:p>
        </w:tc>
      </w:tr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wAfter w:w="1021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CCFRP_Derived_Data_Tables_Code_R.pdf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KB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7D06">
              <w:rPr>
                <w:rFonts w:ascii="Times New Roman" w:eastAsia="Times New Roman" w:hAnsi="Times New Roman" w:cs="Times New Roman"/>
                <w:sz w:val="20"/>
                <w:szCs w:val="20"/>
              </w:rPr>
              <w:t>downloads</w:t>
            </w:r>
          </w:p>
        </w:tc>
        <w:tc>
          <w:tcPr>
            <w:tcW w:w="21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C7D06" w:rsidRPr="004C7D06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tgtFrame="_blank" w:history="1">
              <w:r w:rsidRPr="004C7D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szCs w:val="20"/>
                  <w:bdr w:val="single" w:sz="6" w:space="3" w:color="auto" w:frame="1"/>
                  <w:shd w:val="clear" w:color="auto" w:fill="FFFFFF"/>
                </w:rPr>
                <w:t>Download</w:t>
              </w:r>
            </w:hyperlink>
          </w:p>
        </w:tc>
      </w:tr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CCFRP_species_table.csv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urn%3Auuid%3A3b70fbd7-c446-494e-8b76-d033ef1685b7" w:history="1"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More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 </w:t>
              </w:r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info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text/csv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downloads</w:t>
            </w:r>
          </w:p>
        </w:tc>
        <w:tc>
          <w:tcPr>
            <w:tcW w:w="21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bdr w:val="single" w:sz="6" w:space="3" w:color="auto" w:frame="1"/>
                  <w:shd w:val="clear" w:color="auto" w:fill="FFFFFF"/>
                </w:rPr>
                <w:t>Download</w:t>
              </w:r>
            </w:hyperlink>
          </w:p>
        </w:tc>
      </w:tr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CCFRP_location_table.csv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urn%3Auuid%3A6e056607-dc15-421e-bce1-d1502b22ceaa" w:history="1"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More</w:t>
              </w:r>
              <w:r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 xml:space="preserve"> </w:t>
              </w:r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info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text/csv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downloads</w:t>
            </w:r>
          </w:p>
        </w:tc>
        <w:tc>
          <w:tcPr>
            <w:tcW w:w="210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D5413" w:rsidRPr="00FD5413" w:rsidP="00FD541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FD54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bdr w:val="single" w:sz="6" w:space="3" w:color="auto" w:frame="1"/>
                  <w:shd w:val="clear" w:color="auto" w:fill="FFFFFF"/>
                </w:rPr>
                <w:t>Download</w:t>
              </w:r>
            </w:hyperlink>
          </w:p>
        </w:tc>
      </w:tr>
      <w:tr w:rsidTr="00FD5413">
        <w:tblPrEx>
          <w:tblW w:w="11972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FD5413" w:rsidRPr="00FD5413" w:rsidP="00FD541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5413" w:rsidRPr="00FD5413" w:rsidP="00FD5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413" w:rsidRPr="00FD5413" w:rsidP="00FD54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vanish/>
          <w:sz w:val="24"/>
          <w:szCs w:val="24"/>
        </w:rPr>
        <w:t>Top</w:t>
      </w:r>
      <w:r w:rsidR="004C7D06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vanish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vanish/>
          <w:sz w:val="24"/>
          <w:szCs w:val="24"/>
        </w:rPr>
        <w:t>Form</w:t>
      </w:r>
    </w:p>
    <w:p w:rsidR="00FD5413" w:rsidRPr="00FD5413" w:rsidP="00FD5413">
      <w:pPr>
        <w:shd w:val="clear" w:color="auto" w:fill="F8FBFD"/>
        <w:spacing w:before="150" w:after="15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b/>
          <w:bCs/>
          <w:sz w:val="24"/>
          <w:szCs w:val="24"/>
        </w:rPr>
        <w:t>General</w:t>
      </w:r>
    </w:p>
    <w:p w:rsidR="00FD5413" w:rsidRPr="00FD5413" w:rsidP="00FD5413">
      <w:pPr>
        <w:shd w:val="clear" w:color="auto" w:fill="F8FB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FD5413" w:rsidRPr="00FD5413" w:rsidP="00FD5413">
      <w:pPr>
        <w:shd w:val="clear" w:color="auto" w:fill="F8FB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5413" w:rsidRPr="00FD5413" w:rsidP="00FD5413">
      <w:pPr>
        <w:shd w:val="clear" w:color="auto" w:fill="F8FBF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quantity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nearshore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caught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during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drifts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near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Marine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(MPAs)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between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Collaborative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Fisheries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Research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(CCFRP)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initially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surveyed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nearby,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central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annually;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expanded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statewide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generated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hook-and-line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surveys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500x500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grid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cells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positioned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inside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caught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level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whenever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possible;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otherwise,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lowest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possible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taxonomic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level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angler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spent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during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length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caught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recorded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enabling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calculation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biomass,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Catch-Per-Unit-Effort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(CPUE),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Biomass-Per-Unit-Effort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(BPUE).</w:t>
      </w:r>
    </w:p>
    <w:p w:rsidR="00FD5413" w:rsidRPr="00FD5413" w:rsidP="00FD5413">
      <w:pPr>
        <w:shd w:val="clear" w:color="auto" w:fill="F8FBFD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submission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derived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tables,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CCFRP_derived_length_table.csv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CCFRP_derived_effort_table.csv,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containing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species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caught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during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each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survey,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lengths,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total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angler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required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catch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them,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CPUE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BPUE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obtain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tables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raw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files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also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(CCFRP_derived_data_table_code_R.pdf)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Raw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files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CCFRP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database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create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derived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tables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available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CCFRP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GitHub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Repository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(https://github.com/ccfrp/DataONE-Derived-Data-Table-Code)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along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used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extract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boundaries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MPAs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dataset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MPA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efforts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found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here: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https://opc.dataone.org/view/doi:10.25494/P6V884</w:t>
      </w:r>
    </w:p>
    <w:p w:rsidR="00FD5413" w:rsidRPr="00FD5413" w:rsidP="00FD5413">
      <w:pPr>
        <w:shd w:val="clear" w:color="auto" w:fill="F8FBF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CCFRP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aims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rigorous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survey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collect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baseline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species,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size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composition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relative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abundance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shallow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rocky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habitats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inside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Marine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Protected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(MPAs)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nearby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areas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These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data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underpin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ongoing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effort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engages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recreational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fishing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changes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species,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size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composition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relative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abundance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fishes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MPA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sites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MPA</w:t>
      </w:r>
      <w:r w:rsidR="004C7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sz w:val="24"/>
          <w:szCs w:val="24"/>
        </w:rPr>
        <w:t>establishment.</w:t>
      </w:r>
    </w:p>
    <w:p w:rsidR="00FD5413" w:rsidRPr="00FD5413" w:rsidP="00FD5413">
      <w:pPr>
        <w:shd w:val="clear" w:color="auto" w:fill="F8FB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Keywords</w:t>
      </w:r>
    </w:p>
    <w:p w:rsidR="00FD5413" w:rsidRPr="00FD5413" w:rsidP="00FD5413">
      <w:pPr>
        <w:shd w:val="clear" w:color="auto" w:fill="F8FBF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sz w:val="24"/>
          <w:szCs w:val="24"/>
        </w:rPr>
        <w:t>GCMD</w:t>
      </w:r>
    </w:p>
    <w:tbl>
      <w:tblPr>
        <w:tblW w:w="84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1"/>
        <w:gridCol w:w="156"/>
      </w:tblGrid>
      <w:tr w:rsidTr="00FD5413">
        <w:tblPrEx>
          <w:tblW w:w="8427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5413" w:rsidRPr="00FD5413" w:rsidP="00FD5413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EARTH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SERVICES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ADVISORIES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MARINE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ADVISORIES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MARINE</w:t>
            </w:r>
            <w:r w:rsidR="004C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5413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FD5413" w:rsidRPr="00FD5413" w:rsidP="00FD5413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5413" w:rsidRPr="00FD5413" w:rsidP="00FD5413">
      <w:pPr>
        <w:shd w:val="clear" w:color="auto" w:fill="F8FBFD"/>
        <w:spacing w:line="240" w:lineRule="auto"/>
        <w:rPr>
          <w:rFonts w:ascii="Times New Roman" w:eastAsia="Times New Roman" w:hAnsi="Times New Roman" w:cs="Times New Roman"/>
          <w:color w:val="18556E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California</w:t>
      </w:r>
      <w:r w:rsidR="004C7D06">
        <w:rPr>
          <w:rFonts w:ascii="Times New Roman" w:eastAsia="Times New Roman" w:hAnsi="Times New Roman" w:cs="Times New Roman"/>
          <w:color w:val="18556E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Ocean</w:t>
      </w:r>
      <w:r w:rsidR="004C7D06">
        <w:rPr>
          <w:rFonts w:ascii="Times New Roman" w:eastAsia="Times New Roman" w:hAnsi="Times New Roman" w:cs="Times New Roman"/>
          <w:color w:val="18556E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Protection</w:t>
      </w:r>
      <w:r w:rsidR="004C7D06">
        <w:rPr>
          <w:rFonts w:ascii="Times New Roman" w:eastAsia="Times New Roman" w:hAnsi="Times New Roman" w:cs="Times New Roman"/>
          <w:color w:val="18556E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Council</w:t>
      </w:r>
    </w:p>
    <w:p w:rsidR="00FD5413" w:rsidRPr="00FD5413" w:rsidP="00FD5413">
      <w:pPr>
        <w:shd w:val="clear" w:color="auto" w:fill="F8FBFD"/>
        <w:spacing w:after="0" w:line="240" w:lineRule="auto"/>
        <w:rPr>
          <w:rFonts w:ascii="Times New Roman" w:eastAsia="Times New Roman" w:hAnsi="Times New Roman" w:cs="Times New Roman"/>
          <w:color w:val="18556E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Publication</w:t>
      </w:r>
      <w:r w:rsidR="004C7D06">
        <w:rPr>
          <w:rFonts w:ascii="Times New Roman" w:eastAsia="Times New Roman" w:hAnsi="Times New Roman" w:cs="Times New Roman"/>
          <w:color w:val="18556E"/>
          <w:sz w:val="24"/>
          <w:szCs w:val="24"/>
        </w:rPr>
        <w:t xml:space="preserve"> </w:t>
      </w: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Date</w:t>
      </w:r>
    </w:p>
    <w:p w:rsidR="00FD5413" w:rsidRPr="00FD5413" w:rsidP="00FD5413">
      <w:pPr>
        <w:shd w:val="clear" w:color="auto" w:fill="F8FBFD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413">
        <w:rPr>
          <w:rFonts w:ascii="Times New Roman" w:eastAsia="Times New Roman" w:hAnsi="Times New Roman" w:cs="Times New Roman"/>
          <w:color w:val="18556E"/>
          <w:sz w:val="24"/>
          <w:szCs w:val="24"/>
        </w:rPr>
        <w:t>2022</w:t>
      </w:r>
    </w:p>
    <w:sectPr w:rsidSect="009A2605">
      <w:pgSz w:w="12240" w:h="15840" w:code="1"/>
      <w:pgMar w:top="1440" w:right="1440" w:bottom="1440" w:left="1440" w:header="720" w:footer="36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6E44"/>
    <w:multiLevelType w:val="multilevel"/>
    <w:tmpl w:val="0BC6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3010D"/>
    <w:multiLevelType w:val="multilevel"/>
    <w:tmpl w:val="016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12F7F"/>
    <w:multiLevelType w:val="multilevel"/>
    <w:tmpl w:val="A436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1"/>
    <w:rsid w:val="001511EB"/>
    <w:rsid w:val="00170983"/>
    <w:rsid w:val="00301D46"/>
    <w:rsid w:val="004C7D06"/>
    <w:rsid w:val="00626ECC"/>
    <w:rsid w:val="007D4CE1"/>
    <w:rsid w:val="00872EE6"/>
    <w:rsid w:val="009952D2"/>
    <w:rsid w:val="009A2605"/>
    <w:rsid w:val="009C7A2D"/>
    <w:rsid w:val="00E1339B"/>
    <w:rsid w:val="00E25A8A"/>
    <w:rsid w:val="00E751C0"/>
    <w:rsid w:val="00F06775"/>
    <w:rsid w:val="00FD54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9EFD5E"/>
  <w15:chartTrackingRefBased/>
  <w15:docId w15:val="{21A10C8E-7375-4412-ACF5-94A39397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D4C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earch.dataone.org/view/doi%3A10.25494%2FP6CK5R" TargetMode="External" /><Relationship Id="rId11" Type="http://schemas.openxmlformats.org/officeDocument/2006/relationships/hyperlink" Target="https://search.dataone.org/view/doi%3A10.25494%2FP6H89D" TargetMode="External" /><Relationship Id="rId12" Type="http://schemas.openxmlformats.org/officeDocument/2006/relationships/hyperlink" Target="https://search.dataone.org/view/doi%3A10.25494%2FP6N31W" TargetMode="External" /><Relationship Id="rId13" Type="http://schemas.openxmlformats.org/officeDocument/2006/relationships/hyperlink" Target="https://search.dataone.org/view/doi%3A10.25494%2FP6RS3G" TargetMode="External" /><Relationship Id="rId14" Type="http://schemas.openxmlformats.org/officeDocument/2006/relationships/hyperlink" Target="https://search.dataone.org/view/doi%3A10.25494%2FP6WK6S" TargetMode="External" /><Relationship Id="rId15" Type="http://schemas.openxmlformats.org/officeDocument/2006/relationships/hyperlink" Target="https://search.dataone.org/view/doi%3A10.25494%2FP6188P" TargetMode="External" /><Relationship Id="rId16" Type="http://schemas.openxmlformats.org/officeDocument/2006/relationships/hyperlink" Target="https://search.dataone.org/view/doi%3A10.25494%2FP6531J" TargetMode="External" /><Relationship Id="rId17" Type="http://schemas.openxmlformats.org/officeDocument/2006/relationships/hyperlink" Target="https://search.dataone.org/view/doi%3A10.25494%2FP68S34" TargetMode="External" /><Relationship Id="rId18" Type="http://schemas.openxmlformats.org/officeDocument/2006/relationships/hyperlink" Target="https://search.dataone.org/view/doi%3A10.25494%2FP6DK6F" TargetMode="External" /><Relationship Id="rId19" Type="http://schemas.openxmlformats.org/officeDocument/2006/relationships/hyperlink" Target="https://search.dataone.org/view/doi%3A10.25494%2FP6J88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search.dataone.org/view/doi%3A10.25494%2FP6P316" TargetMode="External" /><Relationship Id="rId21" Type="http://schemas.openxmlformats.org/officeDocument/2006/relationships/hyperlink" Target="https://search.dataone.org/view/doi%3A10.25494%2FP6SS3S" TargetMode="External" /><Relationship Id="rId22" Type="http://schemas.openxmlformats.org/officeDocument/2006/relationships/hyperlink" Target="https://search.dataone.org/view/doi%3A10.25494%2FP6XG7F" TargetMode="External" /><Relationship Id="rId23" Type="http://schemas.openxmlformats.org/officeDocument/2006/relationships/hyperlink" Target="https://search.dataone.org/view/doi%3A10.25494%2FP62880" TargetMode="External" /><Relationship Id="rId24" Type="http://schemas.openxmlformats.org/officeDocument/2006/relationships/hyperlink" Target="https://search.dataone.org/view/doi%3A10.25494%2FP66026" TargetMode="External" /><Relationship Id="rId25" Type="http://schemas.openxmlformats.org/officeDocument/2006/relationships/hyperlink" Target="https://search.dataone.org/view/doi%3A10.25494%2FP69S3F" TargetMode="External" /><Relationship Id="rId26" Type="http://schemas.openxmlformats.org/officeDocument/2006/relationships/hyperlink" Target="https://search.dataone.org/view/doi%3A10.25494%2FP6FG73" TargetMode="External" /><Relationship Id="rId27" Type="http://schemas.openxmlformats.org/officeDocument/2006/relationships/hyperlink" Target="https://search.dataone.org/view/doi%3A10.25494%2FP6K891" TargetMode="External" /><Relationship Id="rId28" Type="http://schemas.openxmlformats.org/officeDocument/2006/relationships/hyperlink" Target="https://search.dataone.org/view/doi%3A10.25494%2FP6Q01G" TargetMode="External" /><Relationship Id="rId29" Type="http://schemas.openxmlformats.org/officeDocument/2006/relationships/hyperlink" Target="https://search.dataone.org/view/doi%3A10.25494%2FP6TS4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search.dataone.org/view/doi%3A10.25494%2FP6ZG6C" TargetMode="External" /><Relationship Id="rId31" Type="http://schemas.openxmlformats.org/officeDocument/2006/relationships/hyperlink" Target="https://search.dataone.org/view/doi%3A10.25494%2FP6389P" TargetMode="External" /><Relationship Id="rId32" Type="http://schemas.openxmlformats.org/officeDocument/2006/relationships/hyperlink" Target="https://search.dataone.org/view/doi%3A10.25494%2FP67014" TargetMode="External" /><Relationship Id="rId33" Type="http://schemas.openxmlformats.org/officeDocument/2006/relationships/hyperlink" Target="https://search.dataone.org/view/doi%3A10.25494%2FP6BS44" TargetMode="External" /><Relationship Id="rId34" Type="http://schemas.openxmlformats.org/officeDocument/2006/relationships/hyperlink" Target="https://dataone.org/fair/" TargetMode="External" /><Relationship Id="rId35" Type="http://schemas.openxmlformats.org/officeDocument/2006/relationships/image" Target="media/image3.png" /><Relationship Id="rId36" Type="http://schemas.openxmlformats.org/officeDocument/2006/relationships/hyperlink" Target="https://search.dataone.org/view/urn%3Auuid%3Af843f110-e691-4d26-bf12-3854a4b641cd" TargetMode="External" /><Relationship Id="rId37" Type="http://schemas.openxmlformats.org/officeDocument/2006/relationships/hyperlink" Target="https://search.dataone.org/quality/urn%3Auuid%3Af843f110-e691-4d26-bf12-3854a4b641cd" TargetMode="External" /><Relationship Id="rId38" Type="http://schemas.openxmlformats.org/officeDocument/2006/relationships/hyperlink" Target="https://opc.dataone.org/metacat/d1/mn/v2/packages/application%2Fbagit-097/resource_map_urn%3Auuid%3Ae4e3ac26-41a4-4ae9-b797-4d27053e3991" TargetMode="External" /><Relationship Id="rId39" Type="http://schemas.openxmlformats.org/officeDocument/2006/relationships/hyperlink" Target="https://cn.dataone.org/cn/v2/resolve/urn%3Auuid%3Af843f110-e691-4d26-bf12-3854a4b641cd" TargetMode="External" /><Relationship Id="rId4" Type="http://schemas.openxmlformats.org/officeDocument/2006/relationships/hyperlink" Target="https://search.dataone.org/portals/CA_OPC" TargetMode="External" /><Relationship Id="rId40" Type="http://schemas.openxmlformats.org/officeDocument/2006/relationships/hyperlink" Target="https://cn.dataone.org/cn/v2/resolve/urn%3Auuid%3A8fdbb007-c386-4371-bbe9-ba328c0f0477" TargetMode="External" /><Relationship Id="rId41" Type="http://schemas.openxmlformats.org/officeDocument/2006/relationships/hyperlink" Target="https://cn.dataone.org/cn/v2/resolve/urn%3Auuid%3A3b70fbd7-c446-494e-8b76-d033ef1685b7" TargetMode="External" /><Relationship Id="rId42" Type="http://schemas.openxmlformats.org/officeDocument/2006/relationships/hyperlink" Target="https://cn.dataone.org/cn/v2/resolve/urn%3Auuid%3A6e056607-dc15-421e-bce1-d1502b22ceaa" TargetMode="Externa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hyperlink" Target="https://search.dataone.org/view/doi%3A10.25494%2FP67S46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5</cp:revision>
  <dcterms:created xsi:type="dcterms:W3CDTF">2022-12-14T10:52:00Z</dcterms:created>
  <dcterms:modified xsi:type="dcterms:W3CDTF">2022-12-14T11:50:00Z</dcterms:modified>
</cp:coreProperties>
</file>