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C310B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GMFMC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Feedback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Tool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NMFS/Gulf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Mexico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(GMFMC)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MSA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CCSA)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GMFMC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develops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plans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recommends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management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measures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designed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ensure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long-term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sustainability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resources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manages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gathers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GMFMC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stakeholders’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experiences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water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help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ensure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Gulf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achieves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promoting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sustainable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ethical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management.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stakeholders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includes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name,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email,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association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observations,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general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location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observation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Results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presented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during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Southeast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Review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(SEDAR)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stock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meetings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various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Council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advisory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meetings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supplement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fisheries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stakeholder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role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stock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process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electronically,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using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google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forms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Individuals,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organizations,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organizations/institutions,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state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federal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800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2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2.5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67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$9,160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(FTEs):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0.06</w:t>
      </w:r>
    </w:p>
    <w:p w:rsidR="0092685D" w:rsidRPr="008C310B" w:rsidP="00926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deployed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advertised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Fishery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Council’s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network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listserv,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media,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website,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FishBrain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user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networks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anglers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vessels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choose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stay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connected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lists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select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informed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92685D" w:rsidRPr="008C310B" w:rsidP="00926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92685D" w:rsidRPr="008C310B" w:rsidP="00926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85D" w:rsidRPr="008C310B" w:rsidP="009268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fisherman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feedback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tool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deployed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needed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advance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each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stock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conducted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species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Gulf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Mexico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Each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iteration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tool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open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month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Analysis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takes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about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2-weeks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each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report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delivered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during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workshop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each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SouthEast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Review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(SEDAR)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Stock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published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simultaneously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report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subsequently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delivered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Council’s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Scientific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Committee,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appropriate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Advisory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Panels,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Council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itself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concurrently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with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results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of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related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stock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Cs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</w:p>
    <w:p w:rsidR="0092685D" w:rsidRPr="008C310B" w:rsidP="009268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85D" w:rsidRPr="008C310B" w:rsidP="009268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92685D" w:rsidRPr="008C310B" w:rsidP="00926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685D" w:rsidRPr="00D560F6" w:rsidP="009268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0F6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60F6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560F6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F6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2685D" w:rsidP="0092685D">
      <w:pPr>
        <w:rPr>
          <w:rFonts w:ascii="Times New Roman" w:eastAsia="Calibri" w:hAnsi="Times New Roman" w:cs="Times New Roman"/>
          <w:sz w:val="24"/>
          <w:szCs w:val="24"/>
        </w:rPr>
      </w:pPr>
      <w:r w:rsidRPr="008C310B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310B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8C310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The four supplemental documents for this CSC project are as follows:  </w:t>
      </w:r>
    </w:p>
    <w:p w:rsidR="0092685D" w:rsidP="0092685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3E6855">
        <w:rPr>
          <w:rFonts w:ascii="Times New Roman" w:eastAsia="Calibri" w:hAnsi="Times New Roman" w:cs="Times New Roman"/>
          <w:sz w:val="24"/>
          <w:szCs w:val="24"/>
        </w:rPr>
        <w:t>Screenshots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855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855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855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855">
        <w:rPr>
          <w:rFonts w:ascii="Times New Roman" w:eastAsia="Calibri" w:hAnsi="Times New Roman" w:cs="Times New Roman"/>
          <w:sz w:val="24"/>
          <w:szCs w:val="24"/>
        </w:rPr>
        <w:t>entry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6855">
        <w:rPr>
          <w:rFonts w:ascii="Times New Roman" w:eastAsia="Calibri" w:hAnsi="Times New Roman" w:cs="Times New Roman"/>
          <w:sz w:val="24"/>
          <w:szCs w:val="24"/>
        </w:rPr>
        <w:t>tool</w:t>
      </w:r>
    </w:p>
    <w:p w:rsidR="0092685D" w:rsidRPr="00CC5A13" w:rsidP="0092685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C5A13">
        <w:rPr>
          <w:rFonts w:ascii="Times New Roman" w:eastAsia="Calibri" w:hAnsi="Times New Roman" w:cs="Times New Roman"/>
          <w:sz w:val="24"/>
          <w:szCs w:val="24"/>
        </w:rPr>
        <w:t>xample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press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release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announcement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685D" w:rsidRPr="00CC5A13" w:rsidP="0092685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C5A13">
        <w:rPr>
          <w:rFonts w:ascii="Times New Roman" w:eastAsia="Calibri" w:hAnsi="Times New Roman" w:cs="Times New Roman"/>
          <w:sz w:val="24"/>
          <w:szCs w:val="24"/>
        </w:rPr>
        <w:t>xample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ocial media post advertising the </w:t>
      </w:r>
      <w:r w:rsidRPr="00CC5A13">
        <w:rPr>
          <w:rFonts w:ascii="Times New Roman" w:eastAsia="Calibri" w:hAnsi="Times New Roman" w:cs="Times New Roman"/>
          <w:sz w:val="24"/>
          <w:szCs w:val="24"/>
        </w:rPr>
        <w:t>opportunity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participate in this CSC project</w:t>
      </w:r>
    </w:p>
    <w:p w:rsidR="0092685D" w:rsidRPr="00CC5A13" w:rsidP="0092685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CC5A13">
        <w:rPr>
          <w:rFonts w:ascii="Times New Roman" w:eastAsia="Calibri" w:hAnsi="Times New Roman" w:cs="Times New Roman"/>
          <w:sz w:val="24"/>
          <w:szCs w:val="24"/>
        </w:rPr>
        <w:t>xample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final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A13">
        <w:rPr>
          <w:rFonts w:ascii="Times New Roman" w:eastAsia="Calibri" w:hAnsi="Times New Roman" w:cs="Times New Roman"/>
          <w:sz w:val="24"/>
          <w:szCs w:val="24"/>
        </w:rPr>
        <w:t>report</w:t>
      </w:r>
    </w:p>
    <w:p w:rsidR="0092685D" w:rsidRPr="008C310B" w:rsidP="00926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685D" w:rsidRPr="008C310B" w:rsidP="00926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2685D" w:rsidRPr="008C310B" w:rsidP="00926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92685D" w:rsidRPr="008C310B" w:rsidP="00926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92685D" w:rsidRPr="008C310B" w:rsidP="00926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92685D" w:rsidRPr="008C310B" w:rsidP="009268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92685D" w:rsidRPr="008C310B" w:rsidP="0092685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2685D" w:rsidRPr="008C310B" w:rsidP="0092685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C310B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Emily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Muehlstein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Officer: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Fishery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310B">
        <w:rPr>
          <w:rFonts w:ascii="Times New Roman" w:eastAsia="Times New Roman" w:hAnsi="Times New Roman" w:cs="Times New Roman"/>
          <w:sz w:val="24"/>
          <w:szCs w:val="24"/>
        </w:rPr>
        <w:t>Council</w:t>
      </w:r>
    </w:p>
    <w:p w:rsidR="005C0048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4B6306"/>
    <w:multiLevelType w:val="hybridMultilevel"/>
    <w:tmpl w:val="3E6054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46C78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5D"/>
    <w:rsid w:val="003E6855"/>
    <w:rsid w:val="005C0048"/>
    <w:rsid w:val="006078E8"/>
    <w:rsid w:val="008C310B"/>
    <w:rsid w:val="0092685D"/>
    <w:rsid w:val="00CC5A13"/>
    <w:rsid w:val="00D560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1DFC50-D720-4C12-BB63-097BEF7B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2023-01-18T18:40:00Z</dcterms:created>
  <dcterms:modified xsi:type="dcterms:W3CDTF">2023-01-20T17:42:00Z</dcterms:modified>
</cp:coreProperties>
</file>