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2036" w:rsidRPr="00172036" w:rsidP="00172036">
      <w:pPr>
        <w:pStyle w:val="Heading1"/>
        <w:jc w:val="center"/>
        <w:rPr>
          <w:rFonts w:ascii="Times New Roman" w:hAnsi="Times New Roman" w:cs="Times New Roman"/>
          <w:b/>
          <w:color w:val="auto"/>
          <w:sz w:val="24"/>
          <w:szCs w:val="24"/>
        </w:rPr>
      </w:pPr>
      <w:bookmarkStart w:id="0" w:name="_Hlk114139580"/>
      <w:r w:rsidRPr="00172036">
        <w:rPr>
          <w:rFonts w:ascii="Times New Roman" w:hAnsi="Times New Roman" w:cs="Times New Roman"/>
          <w:b/>
          <w:color w:val="auto"/>
          <w:sz w:val="24"/>
          <w:szCs w:val="24"/>
        </w:rPr>
        <w:t>SUPPORTING STATEMENT</w:t>
      </w:r>
    </w:p>
    <w:p w:rsidR="00172036" w:rsidRPr="00BD7237" w:rsidP="00172036">
      <w:pPr>
        <w:spacing w:before="22" w:line="259" w:lineRule="auto"/>
        <w:ind w:firstLine="14"/>
        <w:jc w:val="center"/>
        <w:rPr>
          <w:b/>
          <w:szCs w:val="24"/>
        </w:rPr>
      </w:pPr>
      <w:r w:rsidRPr="00BD7237">
        <w:rPr>
          <w:b/>
          <w:szCs w:val="24"/>
        </w:rPr>
        <w:t>U.S. Department of Commerce</w:t>
      </w:r>
    </w:p>
    <w:p w:rsidR="00172036" w:rsidRPr="00BD7237" w:rsidP="00172036">
      <w:pPr>
        <w:spacing w:before="22" w:line="259" w:lineRule="auto"/>
        <w:ind w:firstLine="14"/>
        <w:jc w:val="center"/>
        <w:rPr>
          <w:b/>
          <w:szCs w:val="24"/>
        </w:rPr>
      </w:pPr>
      <w:r w:rsidRPr="00BD7237">
        <w:rPr>
          <w:b/>
          <w:szCs w:val="24"/>
        </w:rPr>
        <w:t>National Oceanic &amp; Atmospheric Administration</w:t>
      </w:r>
    </w:p>
    <w:p w:rsidR="00172036" w:rsidRPr="00BD7237" w:rsidP="00172036">
      <w:pPr>
        <w:spacing w:line="259" w:lineRule="auto"/>
        <w:ind w:hanging="6"/>
        <w:jc w:val="center"/>
        <w:rPr>
          <w:b/>
          <w:szCs w:val="24"/>
        </w:rPr>
      </w:pPr>
      <w:r>
        <w:rPr>
          <w:b/>
          <w:szCs w:val="24"/>
        </w:rPr>
        <w:t>Mandatory Shrimp Vessel and Gear Characterization Survey</w:t>
      </w:r>
    </w:p>
    <w:p w:rsidR="00172036" w:rsidRPr="00BD7237" w:rsidP="00172036">
      <w:pPr>
        <w:spacing w:line="259" w:lineRule="auto"/>
        <w:ind w:hanging="6"/>
        <w:jc w:val="center"/>
        <w:rPr>
          <w:b/>
          <w:szCs w:val="24"/>
        </w:rPr>
      </w:pPr>
      <w:r w:rsidRPr="00BD7237">
        <w:rPr>
          <w:b/>
          <w:szCs w:val="24"/>
        </w:rPr>
        <w:t>OMB Control No. 0648-</w:t>
      </w:r>
      <w:r>
        <w:rPr>
          <w:b/>
          <w:szCs w:val="24"/>
        </w:rPr>
        <w:t>0542</w:t>
      </w:r>
      <w:bookmarkStart w:id="1" w:name="_GoBack"/>
      <w:bookmarkEnd w:id="1"/>
    </w:p>
    <w:p w:rsidR="00172036" w:rsidP="00CF6A8E">
      <w:pPr>
        <w:pStyle w:val="Heading2"/>
        <w:spacing w:before="0" w:after="0"/>
        <w:rPr>
          <w:rFonts w:ascii="Times New Roman" w:hAnsi="Times New Roman"/>
          <w:color w:val="000000"/>
          <w:szCs w:val="24"/>
        </w:rPr>
      </w:pPr>
    </w:p>
    <w:p w:rsidR="00CF6A8E" w:rsidRPr="00D8655A" w:rsidP="00CF6A8E">
      <w:pPr>
        <w:pStyle w:val="Heading2"/>
        <w:spacing w:before="0" w:after="0"/>
        <w:rPr>
          <w:rFonts w:ascii="Times New Roman" w:hAnsi="Times New Roman"/>
          <w:color w:val="000000"/>
          <w:szCs w:val="24"/>
        </w:rPr>
      </w:pPr>
      <w:r>
        <w:rPr>
          <w:rFonts w:ascii="Times New Roman" w:hAnsi="Times New Roman"/>
          <w:color w:val="000000"/>
          <w:szCs w:val="24"/>
        </w:rPr>
        <w:t>B.</w:t>
      </w:r>
      <w:r>
        <w:rPr>
          <w:rFonts w:ascii="Times New Roman" w:hAnsi="Times New Roman"/>
          <w:color w:val="000000"/>
          <w:szCs w:val="24"/>
        </w:rPr>
        <w:tab/>
      </w:r>
      <w:r w:rsidR="00172036">
        <w:rPr>
          <w:rFonts w:ascii="Times New Roman" w:hAnsi="Times New Roman"/>
          <w:color w:val="000000"/>
          <w:szCs w:val="24"/>
        </w:rPr>
        <w:t>Collections o</w:t>
      </w:r>
      <w:r w:rsidRPr="00D8655A">
        <w:rPr>
          <w:rFonts w:ascii="Times New Roman" w:hAnsi="Times New Roman"/>
          <w:color w:val="000000"/>
          <w:szCs w:val="24"/>
        </w:rPr>
        <w:t>f Information Employing Statistical Methods</w:t>
      </w:r>
    </w:p>
    <w:p w:rsidR="00CF6A8E" w:rsidRPr="00D8655A" w:rsidP="00CF6A8E">
      <w:pPr>
        <w:rPr>
          <w:color w:val="000000"/>
          <w:szCs w:val="24"/>
        </w:rPr>
      </w:pPr>
    </w:p>
    <w:p w:rsidR="00172036" w:rsidRPr="00172036" w:rsidP="00172036">
      <w:pPr>
        <w:pStyle w:val="Heading1"/>
        <w:keepNext w:val="0"/>
        <w:keepLines w:val="0"/>
        <w:widowControl w:val="0"/>
        <w:numPr>
          <w:ilvl w:val="0"/>
          <w:numId w:val="1"/>
        </w:numPr>
        <w:tabs>
          <w:tab w:val="left" w:pos="360"/>
        </w:tabs>
        <w:autoSpaceDE w:val="0"/>
        <w:autoSpaceDN w:val="0"/>
        <w:spacing w:before="185"/>
        <w:ind w:left="0" w:firstLine="0"/>
        <w:rPr>
          <w:rFonts w:ascii="Times New Roman" w:hAnsi="Times New Roman" w:cs="Times New Roman"/>
          <w:b/>
          <w:color w:val="auto"/>
          <w:sz w:val="24"/>
          <w:szCs w:val="24"/>
        </w:rPr>
      </w:pPr>
      <w:r w:rsidRPr="00172036">
        <w:rPr>
          <w:rFonts w:ascii="Times New Roman" w:hAnsi="Times New Roman" w:cs="Times New Roman"/>
          <w:b/>
          <w:color w:val="auto"/>
          <w:sz w:val="24"/>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72036">
        <w:rPr>
          <w:rFonts w:ascii="Times New Roman" w:hAnsi="Times New Roman" w:cs="Times New Roman"/>
          <w:b/>
          <w:color w:val="auto"/>
          <w:spacing w:val="-2"/>
          <w:sz w:val="24"/>
          <w:szCs w:val="24"/>
        </w:rPr>
        <w:t xml:space="preserve">the </w:t>
      </w:r>
      <w:r w:rsidRPr="00172036">
        <w:rPr>
          <w:rFonts w:ascii="Times New Roman" w:hAnsi="Times New Roman" w:cs="Times New Roman"/>
          <w:b/>
          <w:color w:val="auto"/>
          <w:sz w:val="24"/>
          <w:szCs w:val="24"/>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172036">
        <w:rPr>
          <w:rFonts w:ascii="Times New Roman" w:hAnsi="Times New Roman" w:cs="Times New Roman"/>
          <w:b/>
          <w:color w:val="auto"/>
          <w:spacing w:val="-43"/>
          <w:sz w:val="24"/>
          <w:szCs w:val="24"/>
        </w:rPr>
        <w:t xml:space="preserve"> </w:t>
      </w:r>
      <w:r w:rsidRPr="00172036">
        <w:rPr>
          <w:rFonts w:ascii="Times New Roman" w:hAnsi="Times New Roman" w:cs="Times New Roman"/>
          <w:b/>
          <w:color w:val="auto"/>
          <w:sz w:val="24"/>
          <w:szCs w:val="24"/>
        </w:rPr>
        <w:t>collection.</w:t>
      </w: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CF6A8E" w:rsidRPr="00D8655A" w:rsidP="00CF6A8E">
      <w:pPr>
        <w:rPr>
          <w:color w:val="000000"/>
          <w:szCs w:val="24"/>
        </w:rPr>
      </w:pPr>
      <w:r w:rsidRPr="00D8655A">
        <w:rPr>
          <w:color w:val="000000"/>
          <w:szCs w:val="24"/>
        </w:rPr>
        <w:t>This is a mandatory census-level data collection effort.</w:t>
      </w:r>
      <w:r>
        <w:rPr>
          <w:color w:val="000000"/>
          <w:szCs w:val="24"/>
        </w:rPr>
        <w:t xml:space="preserve"> </w:t>
      </w:r>
      <w:r w:rsidRPr="00D8655A">
        <w:rPr>
          <w:color w:val="000000"/>
          <w:szCs w:val="24"/>
        </w:rPr>
        <w:t>Thus, this data collection effort does not employ statistical methods for developing a random sampling design and the expected response rate is close to 100</w:t>
      </w:r>
      <w:r>
        <w:rPr>
          <w:color w:val="000000"/>
          <w:szCs w:val="24"/>
        </w:rPr>
        <w:t xml:space="preserve"> percent</w:t>
      </w:r>
      <w:r w:rsidRPr="00D8655A">
        <w:rPr>
          <w:color w:val="000000"/>
          <w:szCs w:val="24"/>
        </w:rPr>
        <w:t>.</w:t>
      </w:r>
      <w:r>
        <w:rPr>
          <w:color w:val="000000"/>
          <w:szCs w:val="24"/>
        </w:rPr>
        <w:t xml:space="preserve"> </w:t>
      </w:r>
      <w:r w:rsidRPr="00D8655A">
        <w:rPr>
          <w:color w:val="000000"/>
          <w:szCs w:val="24"/>
        </w:rPr>
        <w:t>The survey is conducted annually.</w:t>
      </w:r>
      <w:r>
        <w:rPr>
          <w:color w:val="000000"/>
          <w:szCs w:val="24"/>
        </w:rPr>
        <w:t xml:space="preserve"> </w:t>
      </w:r>
      <w:r w:rsidRPr="00D8655A">
        <w:rPr>
          <w:color w:val="000000"/>
          <w:szCs w:val="24"/>
        </w:rPr>
        <w:t xml:space="preserve">The respondent universe is all </w:t>
      </w:r>
      <w:r>
        <w:rPr>
          <w:color w:val="000000"/>
          <w:szCs w:val="24"/>
        </w:rPr>
        <w:t>permit holders with</w:t>
      </w:r>
      <w:r w:rsidRPr="00D8655A">
        <w:rPr>
          <w:color w:val="000000"/>
          <w:szCs w:val="24"/>
        </w:rPr>
        <w:t xml:space="preserve"> a federal Gulf </w:t>
      </w:r>
      <w:r>
        <w:rPr>
          <w:color w:val="000000"/>
          <w:szCs w:val="24"/>
        </w:rPr>
        <w:t xml:space="preserve">commercial </w:t>
      </w:r>
      <w:r w:rsidRPr="00D8655A">
        <w:rPr>
          <w:color w:val="000000"/>
          <w:szCs w:val="24"/>
        </w:rPr>
        <w:t>shrimp permit.</w:t>
      </w:r>
      <w:r>
        <w:rPr>
          <w:color w:val="000000"/>
          <w:szCs w:val="24"/>
        </w:rPr>
        <w:t xml:space="preserve"> </w:t>
      </w:r>
    </w:p>
    <w:p w:rsidR="00CF6A8E" w:rsidRPr="00D8655A" w:rsidP="00CF6A8E">
      <w:pPr>
        <w:rPr>
          <w:color w:val="000000"/>
          <w:szCs w:val="24"/>
        </w:rPr>
      </w:pP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r w:rsidRPr="00B0244E">
        <w:rPr>
          <w:color w:val="000000"/>
          <w:szCs w:val="24"/>
        </w:rPr>
        <w:t>As of September 1</w:t>
      </w:r>
      <w:r>
        <w:rPr>
          <w:color w:val="000000"/>
          <w:szCs w:val="24"/>
        </w:rPr>
        <w:t>5, 2022</w:t>
      </w:r>
      <w:r w:rsidRPr="00B0244E">
        <w:rPr>
          <w:color w:val="000000"/>
          <w:szCs w:val="24"/>
        </w:rPr>
        <w:t>, the number of valid or renewable permits is 1,</w:t>
      </w:r>
      <w:r>
        <w:rPr>
          <w:color w:val="000000"/>
          <w:szCs w:val="24"/>
        </w:rPr>
        <w:t>349</w:t>
      </w:r>
      <w:r w:rsidRPr="00B0244E">
        <w:rPr>
          <w:color w:val="000000"/>
          <w:szCs w:val="24"/>
        </w:rPr>
        <w:t>.</w:t>
      </w: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u w:val="single"/>
        </w:rPr>
      </w:pPr>
      <w:r w:rsidRPr="00D8655A">
        <w:rPr>
          <w:b/>
          <w:color w:val="000000"/>
          <w:szCs w:val="24"/>
        </w:rPr>
        <w:t>2.</w:t>
      </w:r>
      <w:r>
        <w:rPr>
          <w:b/>
          <w:color w:val="000000"/>
          <w:szCs w:val="24"/>
        </w:rPr>
        <w:t xml:space="preserve"> </w:t>
      </w:r>
      <w:r w:rsidRPr="00243543">
        <w:rPr>
          <w:b/>
          <w:color w:val="000000"/>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The</w:t>
      </w:r>
      <w:r>
        <w:rPr>
          <w:color w:val="000000"/>
          <w:szCs w:val="24"/>
        </w:rPr>
        <w:t xml:space="preserve"> survey</w:t>
      </w:r>
      <w:r w:rsidRPr="00D8655A">
        <w:rPr>
          <w:color w:val="000000"/>
          <w:szCs w:val="24"/>
        </w:rPr>
        <w:t xml:space="preserve"> form </w:t>
      </w:r>
      <w:r>
        <w:rPr>
          <w:color w:val="000000"/>
          <w:szCs w:val="24"/>
        </w:rPr>
        <w:t>will</w:t>
      </w:r>
      <w:r w:rsidRPr="00D8655A">
        <w:rPr>
          <w:color w:val="000000"/>
          <w:szCs w:val="24"/>
        </w:rPr>
        <w:t xml:space="preserve"> be mailed to all</w:t>
      </w:r>
      <w:r>
        <w:rPr>
          <w:color w:val="000000"/>
          <w:szCs w:val="24"/>
        </w:rPr>
        <w:t xml:space="preserve"> federal</w:t>
      </w:r>
      <w:r w:rsidRPr="00D8655A">
        <w:rPr>
          <w:color w:val="000000"/>
          <w:szCs w:val="24"/>
        </w:rPr>
        <w:t xml:space="preserve"> </w:t>
      </w:r>
      <w:r>
        <w:rPr>
          <w:color w:val="000000"/>
          <w:szCs w:val="24"/>
        </w:rPr>
        <w:t>Gulf shrimp</w:t>
      </w:r>
      <w:r w:rsidRPr="00D8655A">
        <w:rPr>
          <w:color w:val="000000"/>
          <w:szCs w:val="24"/>
        </w:rPr>
        <w:t xml:space="preserve"> permit holders </w:t>
      </w:r>
      <w:r>
        <w:rPr>
          <w:color w:val="000000"/>
          <w:szCs w:val="24"/>
        </w:rPr>
        <w:t>early in</w:t>
      </w:r>
      <w:r w:rsidRPr="00D8655A">
        <w:rPr>
          <w:color w:val="000000"/>
          <w:szCs w:val="24"/>
        </w:rPr>
        <w:t xml:space="preserve"> each respective year.</w:t>
      </w:r>
      <w:r>
        <w:rPr>
          <w:color w:val="000000"/>
          <w:szCs w:val="24"/>
        </w:rPr>
        <w:t xml:space="preserve"> </w:t>
      </w:r>
      <w:r w:rsidRPr="00D8655A">
        <w:rPr>
          <w:color w:val="000000"/>
          <w:szCs w:val="24"/>
        </w:rPr>
        <w:t>No statistical methodology will be employed, estimation will not be required, and no special sampling procedures will be used.</w:t>
      </w:r>
      <w:r>
        <w:rPr>
          <w:color w:val="000000"/>
          <w:szCs w:val="24"/>
        </w:rPr>
        <w:t xml:space="preserve"> </w:t>
      </w:r>
      <w:r w:rsidRPr="00D8655A">
        <w:rPr>
          <w:color w:val="000000"/>
          <w:szCs w:val="24"/>
        </w:rPr>
        <w:t xml:space="preserve">The information is needed at the census level so that </w:t>
      </w:r>
      <w:r>
        <w:rPr>
          <w:color w:val="000000"/>
          <w:szCs w:val="24"/>
        </w:rPr>
        <w:t xml:space="preserve">economists at NMFS’ SEFSC can use this sampling universe to select permit holders for socio-economic surveys and </w:t>
      </w:r>
      <w:r w:rsidRPr="00D8655A">
        <w:rPr>
          <w:color w:val="000000"/>
          <w:szCs w:val="24"/>
        </w:rPr>
        <w:t>other important data collection programs (</w:t>
      </w:r>
      <w:r>
        <w:rPr>
          <w:color w:val="000000"/>
          <w:szCs w:val="24"/>
        </w:rPr>
        <w:t>e.g.,</w:t>
      </w:r>
      <w:r w:rsidRPr="00D8655A">
        <w:rPr>
          <w:color w:val="000000"/>
          <w:szCs w:val="24"/>
        </w:rPr>
        <w:t xml:space="preserve"> observers, electronic logbooks,</w:t>
      </w:r>
      <w:r>
        <w:rPr>
          <w:color w:val="000000"/>
          <w:szCs w:val="24"/>
        </w:rPr>
        <w:t xml:space="preserve"> socioeconomic surveys, etc.).</w:t>
      </w: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u w:val="single"/>
        </w:rPr>
      </w:pPr>
      <w:r>
        <w:rPr>
          <w:b/>
          <w:color w:val="000000"/>
          <w:szCs w:val="24"/>
        </w:rPr>
        <w:t xml:space="preserve">3. </w:t>
      </w:r>
      <w:r w:rsidRPr="00243543">
        <w:rPr>
          <w:b/>
          <w:color w:val="000000"/>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By requiring completion of this form to renew </w:t>
      </w:r>
      <w:r>
        <w:rPr>
          <w:color w:val="000000"/>
          <w:szCs w:val="24"/>
        </w:rPr>
        <w:t xml:space="preserve">or transfer </w:t>
      </w:r>
      <w:r w:rsidRPr="00D8655A">
        <w:rPr>
          <w:color w:val="000000"/>
          <w:szCs w:val="24"/>
        </w:rPr>
        <w:t>a permit, this requirement will serve to maximize response rate.</w:t>
      </w:r>
      <w:r>
        <w:rPr>
          <w:color w:val="000000"/>
          <w:szCs w:val="24"/>
        </w:rPr>
        <w:t xml:space="preserve"> </w:t>
      </w:r>
      <w:r w:rsidRPr="00D8655A">
        <w:rPr>
          <w:color w:val="000000"/>
          <w:szCs w:val="24"/>
        </w:rPr>
        <w:t>The expected response rate is close to 100</w:t>
      </w:r>
      <w:r>
        <w:rPr>
          <w:color w:val="000000"/>
          <w:szCs w:val="24"/>
        </w:rPr>
        <w:t xml:space="preserve"> percent,</w:t>
      </w:r>
      <w:r w:rsidRPr="00D8655A">
        <w:rPr>
          <w:color w:val="000000"/>
          <w:szCs w:val="24"/>
        </w:rPr>
        <w:t xml:space="preserve"> and thus nonresponse is not an anticipated issue.</w:t>
      </w:r>
      <w:r>
        <w:rPr>
          <w:color w:val="000000"/>
          <w:szCs w:val="24"/>
        </w:rPr>
        <w:t xml:space="preserve"> In the past year, response rates were approximately 90 percent. Some survey nonresponses may be due to individual permit holders that sell, transfer, or otherwise choose not to renew their permits.</w:t>
      </w: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172036" w:rsidRPr="00172036" w:rsidP="00172036">
      <w:pPr>
        <w:pStyle w:val="Heading1"/>
        <w:keepNext w:val="0"/>
        <w:keepLines w:val="0"/>
        <w:widowControl w:val="0"/>
        <w:tabs>
          <w:tab w:val="left" w:pos="360"/>
        </w:tabs>
        <w:autoSpaceDE w:val="0"/>
        <w:autoSpaceDN w:val="0"/>
        <w:spacing w:before="183"/>
        <w:rPr>
          <w:rFonts w:ascii="Times New Roman" w:hAnsi="Times New Roman" w:cs="Times New Roman"/>
          <w:b/>
          <w:color w:val="auto"/>
          <w:sz w:val="24"/>
          <w:szCs w:val="24"/>
        </w:rPr>
      </w:pPr>
      <w:r w:rsidRPr="00172036">
        <w:rPr>
          <w:rFonts w:ascii="Times New Roman" w:hAnsi="Times New Roman" w:cs="Times New Roman"/>
          <w:b/>
          <w:color w:val="auto"/>
          <w:sz w:val="24"/>
          <w:szCs w:val="24"/>
        </w:rPr>
        <w:t xml:space="preserve">4. </w:t>
      </w:r>
      <w:r w:rsidRPr="00172036">
        <w:rPr>
          <w:rFonts w:ascii="Times New Roman" w:hAnsi="Times New Roman" w:cs="Times New Roman"/>
          <w:b/>
          <w:color w:val="auto"/>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72036">
        <w:rPr>
          <w:rFonts w:ascii="Times New Roman" w:hAnsi="Times New Roman" w:cs="Times New Roman"/>
          <w:b/>
          <w:color w:val="auto"/>
          <w:spacing w:val="-4"/>
          <w:sz w:val="24"/>
          <w:szCs w:val="24"/>
        </w:rPr>
        <w:t xml:space="preserve"> </w:t>
      </w:r>
      <w:r w:rsidRPr="00172036">
        <w:rPr>
          <w:rFonts w:ascii="Times New Roman" w:hAnsi="Times New Roman" w:cs="Times New Roman"/>
          <w:b/>
          <w:color w:val="auto"/>
          <w:sz w:val="24"/>
          <w:szCs w:val="24"/>
        </w:rPr>
        <w:t>information.</w:t>
      </w: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The questions contained in </w:t>
      </w:r>
      <w:r>
        <w:rPr>
          <w:color w:val="000000"/>
          <w:szCs w:val="24"/>
        </w:rPr>
        <w:t>a</w:t>
      </w:r>
      <w:r w:rsidRPr="00D8655A">
        <w:rPr>
          <w:color w:val="000000"/>
          <w:szCs w:val="24"/>
        </w:rPr>
        <w:t xml:space="preserve"> previous version of </w:t>
      </w:r>
      <w:r>
        <w:rPr>
          <w:color w:val="000000"/>
          <w:szCs w:val="24"/>
        </w:rPr>
        <w:t xml:space="preserve">the vessel and gear survey under </w:t>
      </w:r>
      <w:r w:rsidRPr="00D8655A">
        <w:rPr>
          <w:color w:val="000000"/>
          <w:szCs w:val="24"/>
        </w:rPr>
        <w:t xml:space="preserve">OMB </w:t>
      </w:r>
      <w:r>
        <w:rPr>
          <w:color w:val="000000"/>
          <w:szCs w:val="24"/>
        </w:rPr>
        <w:t xml:space="preserve">Control No. </w:t>
      </w:r>
      <w:r w:rsidRPr="00D8655A">
        <w:rPr>
          <w:color w:val="000000"/>
          <w:szCs w:val="24"/>
        </w:rPr>
        <w:t>0648-0542 were part of a voluntary, in-person socioeconomic survey of Gulf shrimp vessels. The questions were pre-tested and then actually fielded as part of that survey effort.</w:t>
      </w:r>
      <w:r>
        <w:rPr>
          <w:color w:val="000000"/>
          <w:szCs w:val="24"/>
        </w:rPr>
        <w:t xml:space="preserve"> </w:t>
      </w:r>
      <w:r w:rsidRPr="00D8655A">
        <w:rPr>
          <w:color w:val="000000"/>
          <w:szCs w:val="24"/>
        </w:rPr>
        <w:t xml:space="preserve">Minor </w:t>
      </w:r>
      <w:r>
        <w:rPr>
          <w:color w:val="000000"/>
          <w:szCs w:val="24"/>
        </w:rPr>
        <w:t>format revisions</w:t>
      </w:r>
      <w:r w:rsidRPr="00D8655A">
        <w:rPr>
          <w:color w:val="000000"/>
          <w:szCs w:val="24"/>
        </w:rPr>
        <w:t xml:space="preserve"> were made to the original</w:t>
      </w:r>
      <w:r>
        <w:rPr>
          <w:color w:val="000000"/>
          <w:szCs w:val="24"/>
        </w:rPr>
        <w:t>, voluntary</w:t>
      </w:r>
      <w:r w:rsidRPr="00D8655A">
        <w:rPr>
          <w:color w:val="000000"/>
          <w:szCs w:val="24"/>
        </w:rPr>
        <w:t xml:space="preserve"> survey questions</w:t>
      </w:r>
      <w:r>
        <w:rPr>
          <w:color w:val="000000"/>
          <w:szCs w:val="24"/>
        </w:rPr>
        <w:t xml:space="preserve"> (pre-2013)</w:t>
      </w:r>
      <w:r w:rsidRPr="00D8655A">
        <w:rPr>
          <w:color w:val="000000"/>
          <w:szCs w:val="24"/>
        </w:rPr>
        <w:t xml:space="preserve"> to </w:t>
      </w:r>
      <w:r>
        <w:rPr>
          <w:color w:val="000000"/>
          <w:szCs w:val="24"/>
        </w:rPr>
        <w:t>streamline the process</w:t>
      </w:r>
      <w:r w:rsidRPr="00D8655A">
        <w:rPr>
          <w:color w:val="000000"/>
          <w:szCs w:val="24"/>
        </w:rPr>
        <w:t xml:space="preserve"> </w:t>
      </w:r>
      <w:r>
        <w:rPr>
          <w:color w:val="000000"/>
          <w:szCs w:val="24"/>
        </w:rPr>
        <w:t>based on feedback from respondents. Since 2013, NMFS has made no changes to the survey.</w:t>
      </w:r>
    </w:p>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172036" w:rsidRPr="00172036" w:rsidP="00172036">
      <w:pPr>
        <w:pStyle w:val="Heading1"/>
        <w:keepNext w:val="0"/>
        <w:keepLines w:val="0"/>
        <w:widowControl w:val="0"/>
        <w:tabs>
          <w:tab w:val="left" w:pos="360"/>
        </w:tabs>
        <w:autoSpaceDE w:val="0"/>
        <w:autoSpaceDN w:val="0"/>
        <w:spacing w:before="183"/>
        <w:rPr>
          <w:rFonts w:ascii="Times New Roman" w:hAnsi="Times New Roman" w:cs="Times New Roman"/>
          <w:b/>
          <w:color w:val="auto"/>
          <w:sz w:val="24"/>
          <w:szCs w:val="24"/>
        </w:rPr>
      </w:pPr>
      <w:r w:rsidRPr="00172036">
        <w:rPr>
          <w:rFonts w:ascii="Times New Roman" w:hAnsi="Times New Roman" w:cs="Times New Roman"/>
          <w:b/>
          <w:color w:val="auto"/>
          <w:sz w:val="24"/>
          <w:szCs w:val="24"/>
        </w:rPr>
        <w:t xml:space="preserve">5. </w:t>
      </w:r>
      <w:r w:rsidRPr="00172036">
        <w:rPr>
          <w:rFonts w:ascii="Times New Roman" w:hAnsi="Times New Roman" w:cs="Times New Roman"/>
          <w:b/>
          <w:color w:val="auto"/>
          <w:sz w:val="24"/>
          <w:szCs w:val="24"/>
        </w:rPr>
        <w:t>Provide the name and telephone number of individuals consulted on statistical aspects of the design and the name of the agency unit, contractor(s), grantee(s), or other person(s) who will actually collect and/or analyze the information for the</w:t>
      </w:r>
      <w:r w:rsidRPr="00172036">
        <w:rPr>
          <w:rFonts w:ascii="Times New Roman" w:hAnsi="Times New Roman" w:cs="Times New Roman"/>
          <w:b/>
          <w:color w:val="auto"/>
          <w:spacing w:val="-6"/>
          <w:sz w:val="24"/>
          <w:szCs w:val="24"/>
        </w:rPr>
        <w:t xml:space="preserve"> </w:t>
      </w:r>
      <w:r w:rsidRPr="00172036">
        <w:rPr>
          <w:rFonts w:ascii="Times New Roman" w:hAnsi="Times New Roman" w:cs="Times New Roman"/>
          <w:b/>
          <w:color w:val="auto"/>
          <w:sz w:val="24"/>
          <w:szCs w:val="24"/>
        </w:rPr>
        <w:t>agency.</w:t>
      </w:r>
    </w:p>
    <w:p w:rsidR="00CF6A8E"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p>
    <w:p w:rsidR="00CF6A8E" w:rsidRPr="0002586C"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tbl>
      <w:tblPr>
        <w:tblStyle w:val="TableGrid"/>
        <w:tblW w:w="0" w:type="auto"/>
        <w:tblLook w:val="04A0"/>
      </w:tblPr>
      <w:tblGrid>
        <w:gridCol w:w="4679"/>
        <w:gridCol w:w="4671"/>
      </w:tblGrid>
      <w:tr w:rsidTr="00756066">
        <w:tblPrEx>
          <w:tblW w:w="0" w:type="auto"/>
          <w:tblLook w:val="04A0"/>
        </w:tblPrEx>
        <w:tc>
          <w:tcPr>
            <w:tcW w:w="4679" w:type="dxa"/>
          </w:tcPr>
          <w:p w:rsidR="00CF6A8E" w:rsidRPr="00D8655A" w:rsidP="0075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Rebecca Smith*</w:t>
            </w:r>
          </w:p>
          <w:p w:rsidR="00CF6A8E" w:rsidRPr="00D8655A" w:rsidP="0075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National Marine Fisheries Service </w:t>
            </w:r>
          </w:p>
          <w:p w:rsidR="00CF6A8E" w:rsidRPr="00D8655A" w:rsidP="0075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Southeast Fisheries Science Center</w:t>
            </w:r>
          </w:p>
          <w:p w:rsidR="00CF6A8E" w:rsidRPr="00D8655A" w:rsidP="0075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Galveston Laboratory</w:t>
            </w:r>
          </w:p>
          <w:p w:rsidR="00CF6A8E" w:rsidP="0075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(409) 766-3</w:t>
            </w:r>
            <w:r>
              <w:rPr>
                <w:color w:val="000000"/>
                <w:szCs w:val="24"/>
              </w:rPr>
              <w:t>783</w:t>
            </w:r>
          </w:p>
          <w:p w:rsidR="00CF6A8E" w:rsidP="0075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*Responsible for data collection and analysis</w:t>
            </w:r>
          </w:p>
          <w:p w:rsidR="00CF6A8E" w:rsidP="00756066">
            <w:pPr>
              <w:rPr>
                <w:color w:val="000000"/>
                <w:szCs w:val="24"/>
              </w:rPr>
            </w:pPr>
          </w:p>
        </w:tc>
        <w:tc>
          <w:tcPr>
            <w:tcW w:w="4671" w:type="dxa"/>
          </w:tcPr>
          <w:p w:rsidR="00CF6A8E" w:rsidRPr="00D8655A" w:rsidP="0075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Alan Lowther</w:t>
            </w:r>
            <w:r w:rsidRPr="00D8655A">
              <w:rPr>
                <w:color w:val="000000"/>
                <w:szCs w:val="24"/>
              </w:rPr>
              <w:t>, Ph.D.</w:t>
            </w:r>
            <w:r>
              <w:rPr>
                <w:color w:val="000000"/>
                <w:szCs w:val="24"/>
              </w:rPr>
              <w:t>*</w:t>
            </w:r>
          </w:p>
          <w:p w:rsidR="00CF6A8E" w:rsidRPr="00D8655A" w:rsidP="0075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National Marine Fisheries Service </w:t>
            </w:r>
          </w:p>
          <w:p w:rsidR="00CF6A8E" w:rsidRPr="00D8655A" w:rsidP="0075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Southeast Fisheries Science Center</w:t>
            </w:r>
          </w:p>
          <w:p w:rsidR="00CF6A8E" w:rsidRPr="00D8655A" w:rsidP="0075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Miami</w:t>
            </w:r>
          </w:p>
          <w:p w:rsidR="00CF6A8E" w:rsidP="0075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rFonts w:ascii="Helvetica" w:hAnsi="Helvetica"/>
                <w:color w:val="3C4043"/>
                <w:sz w:val="20"/>
                <w:shd w:val="clear" w:color="auto" w:fill="FFFFFF"/>
              </w:rPr>
              <w:t>305-361-4257</w:t>
            </w:r>
          </w:p>
          <w:p w:rsidR="00CF6A8E" w:rsidP="0075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*Data analysis</w:t>
            </w:r>
          </w:p>
          <w:p w:rsidR="00CF6A8E" w:rsidP="0075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tc>
      </w:tr>
      <w:bookmarkEnd w:id="0"/>
    </w:tbl>
    <w:p w:rsidR="00CF6A8E" w:rsidRPr="00D8655A" w:rsidP="00CF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E81DF1"/>
    <w:sectPr w:rsidSect="00CF6A8E">
      <w:footerReference w:type="even" r:id="rId4"/>
      <w:footerReference w:type="default" r:id="rId5"/>
      <w:pgSz w:w="12240" w:h="15840" w:code="1"/>
      <w:pgMar w:top="1440" w:right="1440" w:bottom="720" w:left="1440" w:header="720" w:footer="720" w:gutter="0"/>
      <w:cols w:space="720"/>
      <w:noEndnote/>
      <w:docGrid w:linePitch="1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10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1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104F" w:rsidRPr="00D8655A" w:rsidP="00230BB9">
    <w:pPr>
      <w:pStyle w:val="Footer"/>
      <w:framePr w:wrap="around" w:vAnchor="text" w:hAnchor="margin" w:xAlign="center" w:y="1"/>
      <w:jc w:val="center"/>
      <w:rPr>
        <w:rStyle w:val="PageNumber"/>
        <w:szCs w:val="24"/>
      </w:rPr>
    </w:pPr>
    <w:r w:rsidRPr="00D8655A">
      <w:rPr>
        <w:rStyle w:val="PageNumber"/>
        <w:szCs w:val="24"/>
      </w:rPr>
      <w:fldChar w:fldCharType="begin"/>
    </w:r>
    <w:r w:rsidRPr="00D8655A">
      <w:rPr>
        <w:rStyle w:val="PageNumber"/>
        <w:szCs w:val="24"/>
      </w:rPr>
      <w:instrText xml:space="preserve">PAGE  </w:instrText>
    </w:r>
    <w:r w:rsidRPr="00D8655A">
      <w:rPr>
        <w:rStyle w:val="PageNumber"/>
        <w:szCs w:val="24"/>
      </w:rPr>
      <w:fldChar w:fldCharType="separate"/>
    </w:r>
    <w:r w:rsidR="00172036">
      <w:rPr>
        <w:rStyle w:val="PageNumber"/>
        <w:noProof/>
        <w:szCs w:val="24"/>
      </w:rPr>
      <w:t>1</w:t>
    </w:r>
    <w:r w:rsidRPr="00D8655A">
      <w:rPr>
        <w:rStyle w:val="PageNumber"/>
        <w:szCs w:val="24"/>
      </w:rPr>
      <w:fldChar w:fldCharType="end"/>
    </w:r>
  </w:p>
  <w:p w:rsidR="006E104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8E"/>
    <w:rsid w:val="0002586C"/>
    <w:rsid w:val="00172036"/>
    <w:rsid w:val="00230BB9"/>
    <w:rsid w:val="002431B8"/>
    <w:rsid w:val="00243543"/>
    <w:rsid w:val="006E104F"/>
    <w:rsid w:val="00756066"/>
    <w:rsid w:val="00B0244E"/>
    <w:rsid w:val="00BD7237"/>
    <w:rsid w:val="00CF6A8E"/>
    <w:rsid w:val="00D8655A"/>
    <w:rsid w:val="00E81D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20915"/>
  <w15:chartTrackingRefBased/>
  <w15:docId w15:val="{9A407382-5793-4DEF-A1EE-FCD3738B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A8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F6A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BodyText"/>
    <w:link w:val="Heading2Char"/>
    <w:qFormat/>
    <w:rsid w:val="00CF6A8E"/>
    <w:pPr>
      <w:keepLines w:val="0"/>
      <w:spacing w:before="360" w:after="120"/>
      <w:outlineLvl w:val="1"/>
    </w:pPr>
    <w:rPr>
      <w:rFonts w:ascii="Univers" w:eastAsia="Times New Roman" w:hAnsi="Univers" w:cs="Times New Roman"/>
      <w:b/>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6A8E"/>
    <w:rPr>
      <w:rFonts w:ascii="Univers" w:eastAsia="Times New Roman" w:hAnsi="Univers" w:cs="Times New Roman"/>
      <w:b/>
      <w:kern w:val="28"/>
      <w:sz w:val="24"/>
      <w:szCs w:val="20"/>
    </w:rPr>
  </w:style>
  <w:style w:type="paragraph" w:styleId="Footer">
    <w:name w:val="footer"/>
    <w:basedOn w:val="Normal"/>
    <w:link w:val="FooterChar"/>
    <w:rsid w:val="00CF6A8E"/>
    <w:pPr>
      <w:tabs>
        <w:tab w:val="center" w:pos="4320"/>
        <w:tab w:val="right" w:pos="8640"/>
      </w:tabs>
    </w:pPr>
  </w:style>
  <w:style w:type="character" w:customStyle="1" w:styleId="FooterChar">
    <w:name w:val="Footer Char"/>
    <w:basedOn w:val="DefaultParagraphFont"/>
    <w:link w:val="Footer"/>
    <w:rsid w:val="00CF6A8E"/>
    <w:rPr>
      <w:rFonts w:ascii="Times New Roman" w:eastAsia="Times New Roman" w:hAnsi="Times New Roman" w:cs="Times New Roman"/>
      <w:sz w:val="24"/>
      <w:szCs w:val="20"/>
    </w:rPr>
  </w:style>
  <w:style w:type="character" w:styleId="PageNumber">
    <w:name w:val="page number"/>
    <w:basedOn w:val="DefaultParagraphFont"/>
    <w:rsid w:val="00CF6A8E"/>
  </w:style>
  <w:style w:type="table" w:styleId="TableGrid">
    <w:name w:val="Table Grid"/>
    <w:basedOn w:val="TableNormal"/>
    <w:rsid w:val="00CF6A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F6A8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CF6A8E"/>
    <w:pPr>
      <w:spacing w:after="120"/>
    </w:pPr>
  </w:style>
  <w:style w:type="character" w:customStyle="1" w:styleId="BodyTextChar">
    <w:name w:val="Body Text Char"/>
    <w:basedOn w:val="DefaultParagraphFont"/>
    <w:link w:val="BodyText"/>
    <w:uiPriority w:val="99"/>
    <w:semiHidden/>
    <w:rsid w:val="00CF6A8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Janet.Peery</dc:creator>
  <cp:lastModifiedBy>Janet.Peery</cp:lastModifiedBy>
  <cp:revision>3</cp:revision>
  <dcterms:created xsi:type="dcterms:W3CDTF">2022-12-21T19:40:00Z</dcterms:created>
  <dcterms:modified xsi:type="dcterms:W3CDTF">2022-12-21T19:44:00Z</dcterms:modified>
</cp:coreProperties>
</file>