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30E3" w:rsidRPr="006230E3" w:rsidP="006230E3">
      <w:pPr>
        <w:spacing w:after="0" w:line="276" w:lineRule="auto"/>
        <w:jc w:val="center"/>
        <w:rPr>
          <w:rFonts w:ascii="Times New Roman" w:hAnsi="Times New Roman" w:cs="Times New Roman"/>
          <w:b/>
          <w:bCs/>
          <w:sz w:val="24"/>
          <w:szCs w:val="24"/>
        </w:rPr>
      </w:pPr>
      <w:r w:rsidRPr="006230E3">
        <w:rPr>
          <w:rFonts w:ascii="Times New Roman" w:hAnsi="Times New Roman" w:cs="Times New Roman"/>
          <w:b/>
          <w:bCs/>
          <w:sz w:val="24"/>
          <w:szCs w:val="24"/>
        </w:rPr>
        <w:t>SUPPORTING STATEMENT</w:t>
      </w:r>
    </w:p>
    <w:p w:rsidR="006230E3" w:rsidRPr="006230E3" w:rsidP="006230E3">
      <w:pPr>
        <w:spacing w:after="0" w:line="276" w:lineRule="auto"/>
        <w:jc w:val="center"/>
        <w:rPr>
          <w:rFonts w:ascii="Times New Roman" w:hAnsi="Times New Roman" w:cs="Times New Roman"/>
          <w:b/>
          <w:sz w:val="24"/>
          <w:szCs w:val="24"/>
        </w:rPr>
      </w:pPr>
      <w:r w:rsidRPr="006230E3">
        <w:rPr>
          <w:rFonts w:ascii="Times New Roman" w:hAnsi="Times New Roman" w:cs="Times New Roman"/>
          <w:b/>
          <w:sz w:val="24"/>
          <w:szCs w:val="24"/>
        </w:rPr>
        <w:t>U.S. Department of Commerce</w:t>
      </w:r>
    </w:p>
    <w:p w:rsidR="006230E3" w:rsidRPr="006230E3" w:rsidP="006230E3">
      <w:pPr>
        <w:spacing w:after="0" w:line="276" w:lineRule="auto"/>
        <w:jc w:val="center"/>
        <w:rPr>
          <w:rFonts w:ascii="Times New Roman" w:hAnsi="Times New Roman" w:cs="Times New Roman"/>
          <w:b/>
          <w:sz w:val="24"/>
          <w:szCs w:val="24"/>
        </w:rPr>
      </w:pPr>
      <w:r w:rsidRPr="006230E3">
        <w:rPr>
          <w:rFonts w:ascii="Times New Roman" w:hAnsi="Times New Roman" w:cs="Times New Roman"/>
          <w:b/>
          <w:sz w:val="24"/>
          <w:szCs w:val="24"/>
        </w:rPr>
        <w:t>National Oceanic &amp; Atmospheric Administration</w:t>
      </w:r>
    </w:p>
    <w:p w:rsidR="00714472" w:rsidP="006230E3">
      <w:pPr>
        <w:spacing w:after="0" w:line="276" w:lineRule="auto"/>
        <w:jc w:val="center"/>
        <w:rPr>
          <w:rFonts w:ascii="Times New Roman" w:hAnsi="Times New Roman" w:cs="Times New Roman"/>
          <w:b/>
          <w:sz w:val="24"/>
          <w:szCs w:val="24"/>
        </w:rPr>
      </w:pPr>
      <w:r w:rsidRPr="00714472">
        <w:rPr>
          <w:rFonts w:ascii="Times New Roman" w:eastAsia="Times New Roman" w:hAnsi="Times New Roman" w:cs="Times New Roman"/>
          <w:b/>
          <w:bCs/>
          <w:color w:val="000000"/>
          <w:sz w:val="24"/>
          <w:szCs w:val="24"/>
        </w:rPr>
        <w:t>The Ocean Enterprise: A study of US business activity in ocean measurement, observation and forecasting</w:t>
      </w:r>
      <w:r w:rsidRPr="006230E3">
        <w:rPr>
          <w:rFonts w:ascii="Times New Roman" w:hAnsi="Times New Roman" w:cs="Times New Roman"/>
          <w:b/>
          <w:sz w:val="24"/>
          <w:szCs w:val="24"/>
        </w:rPr>
        <w:t xml:space="preserve"> </w:t>
      </w:r>
    </w:p>
    <w:p w:rsidR="006230E3" w:rsidRPr="006230E3" w:rsidP="006230E3">
      <w:pPr>
        <w:spacing w:after="0" w:line="276" w:lineRule="auto"/>
        <w:jc w:val="center"/>
        <w:rPr>
          <w:rFonts w:ascii="Times New Roman" w:hAnsi="Times New Roman" w:cs="Times New Roman"/>
          <w:b/>
          <w:sz w:val="24"/>
          <w:szCs w:val="24"/>
        </w:rPr>
      </w:pPr>
      <w:r w:rsidRPr="006230E3">
        <w:rPr>
          <w:rFonts w:ascii="Times New Roman" w:hAnsi="Times New Roman" w:cs="Times New Roman"/>
          <w:b/>
          <w:sz w:val="24"/>
          <w:szCs w:val="24"/>
        </w:rPr>
        <w:t>OMB Control No. 0648-</w:t>
      </w:r>
      <w:r w:rsidR="00714472">
        <w:rPr>
          <w:rFonts w:ascii="Times New Roman" w:hAnsi="Times New Roman" w:cs="Times New Roman"/>
          <w:b/>
          <w:sz w:val="24"/>
          <w:szCs w:val="24"/>
        </w:rPr>
        <w:t>0712</w:t>
      </w:r>
    </w:p>
    <w:p w:rsidR="006230E3" w:rsidRPr="006230E3" w:rsidP="006230E3">
      <w:pPr>
        <w:rPr>
          <w:rFonts w:ascii="Times New Roman" w:hAnsi="Times New Roman" w:cs="Times New Roman"/>
          <w:b/>
          <w:sz w:val="24"/>
          <w:szCs w:val="24"/>
        </w:rPr>
      </w:pPr>
    </w:p>
    <w:p w:rsidR="006230E3" w:rsidRPr="006230E3" w:rsidP="006230E3">
      <w:pPr>
        <w:rPr>
          <w:rFonts w:ascii="Times New Roman" w:hAnsi="Times New Roman" w:cs="Times New Roman"/>
          <w:b/>
          <w:bCs/>
          <w:sz w:val="24"/>
          <w:szCs w:val="24"/>
        </w:rPr>
      </w:pPr>
      <w:r w:rsidRPr="006230E3">
        <w:rPr>
          <w:rFonts w:ascii="Times New Roman" w:hAnsi="Times New Roman" w:cs="Times New Roman"/>
          <w:b/>
          <w:bCs/>
          <w:sz w:val="24"/>
          <w:szCs w:val="24"/>
        </w:rPr>
        <w:t>Abstract</w:t>
      </w:r>
    </w:p>
    <w:p w:rsidR="001A66B8" w:rsidP="006230E3">
      <w:pPr>
        <w:rPr>
          <w:rFonts w:ascii="Times New Roman" w:hAnsi="Times New Roman" w:cs="Times New Roman"/>
          <w:sz w:val="24"/>
          <w:szCs w:val="24"/>
        </w:rPr>
      </w:pPr>
      <w:r>
        <w:rPr>
          <w:rFonts w:ascii="Times New Roman" w:hAnsi="Times New Roman" w:cs="Times New Roman"/>
          <w:sz w:val="24"/>
          <w:szCs w:val="24"/>
        </w:rPr>
        <w:t xml:space="preserve">This is a request for extension of an approved information collection.  </w:t>
      </w:r>
      <w:r w:rsidRPr="006230E3" w:rsidR="006230E3">
        <w:rPr>
          <w:rFonts w:ascii="Times New Roman" w:hAnsi="Times New Roman" w:cs="Times New Roman"/>
          <w:sz w:val="24"/>
          <w:szCs w:val="24"/>
        </w:rPr>
        <w:t xml:space="preserve">The purpose of this data collection is to investigate the scale and scope of commercial activity in the for-profit and not-for-profit business </w:t>
      </w:r>
      <w:r w:rsidRPr="006230E3" w:rsidR="00371E72">
        <w:rPr>
          <w:rFonts w:ascii="Times New Roman" w:hAnsi="Times New Roman" w:cs="Times New Roman"/>
          <w:sz w:val="24"/>
          <w:szCs w:val="24"/>
        </w:rPr>
        <w:t>sectors that</w:t>
      </w:r>
      <w:r w:rsidRPr="006230E3" w:rsidR="006230E3">
        <w:rPr>
          <w:rFonts w:ascii="Times New Roman" w:hAnsi="Times New Roman" w:cs="Times New Roman"/>
          <w:sz w:val="24"/>
          <w:szCs w:val="24"/>
        </w:rPr>
        <w:t xml:space="preserve"> support ocean measurement, observation, and forecasting (AKA the “Ocean Enterprise”). This survey was first conducted in 2015, and again in 2020, and data from these surveys were compiled into “Ocean Enterprise Study” reports that are used to raise visibility and awareness of this important business cluster, to understand how its scale and scope changes over time, and to u</w:t>
      </w:r>
      <w:r>
        <w:rPr>
          <w:rFonts w:ascii="Times New Roman" w:hAnsi="Times New Roman" w:cs="Times New Roman"/>
          <w:sz w:val="24"/>
          <w:szCs w:val="24"/>
        </w:rPr>
        <w:t>nderstand its linkages with the</w:t>
      </w:r>
      <w:r w:rsidRPr="006230E3" w:rsidR="006230E3">
        <w:rPr>
          <w:rFonts w:ascii="Times New Roman" w:hAnsi="Times New Roman" w:cs="Times New Roman"/>
          <w:sz w:val="24"/>
          <w:szCs w:val="24"/>
        </w:rPr>
        <w:t xml:space="preserve"> National Oceanic and Atmospheric Administration (NOAA) and the U.S. Integrated Ocean Observing System (IOOS®) Program. Conducting another five-year analysis (2020-2025) will produce valuable insights into how the COVID-19 pandemic impacted Ocean Enterprise businesses.</w:t>
      </w:r>
    </w:p>
    <w:p w:rsidR="001A66B8" w:rsidRPr="006230E3" w:rsidP="006230E3">
      <w:pPr>
        <w:rPr>
          <w:rFonts w:ascii="Times New Roman" w:hAnsi="Times New Roman" w:cs="Times New Roman"/>
          <w:sz w:val="24"/>
          <w:szCs w:val="24"/>
        </w:rPr>
      </w:pPr>
    </w:p>
    <w:p w:rsidR="006230E3" w:rsidP="006230E3">
      <w:pPr>
        <w:rPr>
          <w:rFonts w:ascii="Times New Roman" w:hAnsi="Times New Roman" w:cs="Times New Roman"/>
          <w:b/>
          <w:bCs/>
          <w:sz w:val="24"/>
          <w:szCs w:val="24"/>
        </w:rPr>
      </w:pPr>
      <w:r w:rsidRPr="006230E3">
        <w:rPr>
          <w:rFonts w:ascii="Times New Roman" w:hAnsi="Times New Roman" w:cs="Times New Roman"/>
          <w:b/>
          <w:bCs/>
          <w:sz w:val="24"/>
          <w:szCs w:val="24"/>
        </w:rPr>
        <w:t>Justification</w:t>
      </w:r>
    </w:p>
    <w:p w:rsidR="001A66B8" w:rsidRPr="006230E3" w:rsidP="006230E3">
      <w:pPr>
        <w:rPr>
          <w:rFonts w:ascii="Times New Roman" w:hAnsi="Times New Roman" w:cs="Times New Roman"/>
          <w:b/>
          <w:bCs/>
          <w:sz w:val="24"/>
          <w:szCs w:val="24"/>
        </w:rPr>
      </w:pPr>
    </w:p>
    <w:p w:rsidR="006230E3" w:rsidRPr="006230E3" w:rsidP="006230E3">
      <w:pPr>
        <w:numPr>
          <w:ilvl w:val="0"/>
          <w:numId w:val="1"/>
        </w:numPr>
        <w:ind w:left="270"/>
        <w:rPr>
          <w:rFonts w:ascii="Times New Roman" w:hAnsi="Times New Roman" w:cs="Times New Roman"/>
          <w:b/>
          <w:sz w:val="24"/>
          <w:szCs w:val="24"/>
        </w:rPr>
      </w:pPr>
      <w:r w:rsidRPr="006230E3">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30E3" w:rsidRPr="006230E3" w:rsidP="006230E3">
      <w:pPr>
        <w:ind w:left="270"/>
        <w:rPr>
          <w:rFonts w:ascii="Times New Roman" w:hAnsi="Times New Roman" w:cs="Times New Roman"/>
          <w:sz w:val="24"/>
          <w:szCs w:val="24"/>
        </w:rPr>
      </w:pPr>
      <w:r w:rsidRPr="006230E3">
        <w:rPr>
          <w:rFonts w:ascii="Times New Roman" w:hAnsi="Times New Roman" w:cs="Times New Roman"/>
          <w:sz w:val="24"/>
          <w:szCs w:val="24"/>
        </w:rPr>
        <w:t xml:space="preserve">This request is for </w:t>
      </w:r>
      <w:r w:rsidR="00714472">
        <w:rPr>
          <w:rFonts w:ascii="Times New Roman" w:hAnsi="Times New Roman" w:cs="Times New Roman"/>
          <w:sz w:val="24"/>
          <w:szCs w:val="24"/>
        </w:rPr>
        <w:t>extension</w:t>
      </w:r>
      <w:r w:rsidRPr="006230E3">
        <w:rPr>
          <w:rFonts w:ascii="Times New Roman" w:hAnsi="Times New Roman" w:cs="Times New Roman"/>
          <w:sz w:val="24"/>
          <w:szCs w:val="24"/>
        </w:rPr>
        <w:t xml:space="preserve"> of an information collection supported by Section 12302 (3) of the Integrated Coastal and Ocean Observation System Act (ICOOS Act), part of the Omnibus Public Land Management Act of 2009 (</w:t>
      </w:r>
      <w:hyperlink r:id="rId4" w:history="1">
        <w:r w:rsidRPr="006230E3">
          <w:rPr>
            <w:rStyle w:val="Hyperlink"/>
            <w:rFonts w:ascii="Times New Roman" w:hAnsi="Times New Roman" w:cs="Times New Roman"/>
            <w:sz w:val="24"/>
            <w:szCs w:val="24"/>
          </w:rPr>
          <w:t>Pub. L. 111-11</w:t>
        </w:r>
      </w:hyperlink>
      <w:r w:rsidRPr="006230E3">
        <w:rPr>
          <w:rFonts w:ascii="Times New Roman" w:hAnsi="Times New Roman" w:cs="Times New Roman"/>
          <w:sz w:val="24"/>
          <w:szCs w:val="24"/>
        </w:rPr>
        <w:t>) and reauthorized under the Coordinated Ocean Observations and Research Act of 2020 (Public Law No: 116-271). The Ocean Enterprise Study investigates the scale and scope of commercial activity in the for-profit and not-for-profit business sectors which support ocean measurement, observation, and forecasting. The objective of this study is to raise visibility and awareness of this important business cluster, to understand how its scale and scope changes over time, and to understand its linkages with the National Oceanic and Atmospheric Administration (NOAA) and the U.S. Integrated Ocean Observing System (IOOS®) Program.</w:t>
      </w:r>
    </w:p>
    <w:p w:rsidR="006230E3" w:rsidRPr="006230E3" w:rsidP="006230E3">
      <w:pPr>
        <w:ind w:left="270"/>
        <w:rPr>
          <w:rFonts w:ascii="Times New Roman" w:hAnsi="Times New Roman" w:cs="Times New Roman"/>
          <w:sz w:val="24"/>
          <w:szCs w:val="24"/>
        </w:rPr>
      </w:pPr>
      <w:r w:rsidRPr="006230E3">
        <w:rPr>
          <w:rFonts w:ascii="Times New Roman" w:hAnsi="Times New Roman" w:cs="Times New Roman"/>
          <w:sz w:val="24"/>
          <w:szCs w:val="24"/>
        </w:rPr>
        <w:t>The first Ocean Enterprise Study was published in 2015. It was the first of its kind and estimated this industry cluster generates revenue of seven billion dollars annually. In 2020, the second Ocean Enterprise Study was published, assessing the change in the 2015-2020 time period. It found that during this five-year period, the U.S. Ocean Enterprise real dollar value increased by 7% and number of businesses increased by almost 60%. </w:t>
      </w:r>
    </w:p>
    <w:p w:rsidR="006230E3" w:rsidRPr="006230E3" w:rsidP="006230E3">
      <w:pPr>
        <w:ind w:left="270"/>
        <w:rPr>
          <w:rFonts w:ascii="Times New Roman" w:hAnsi="Times New Roman" w:cs="Times New Roman"/>
          <w:b/>
          <w:sz w:val="24"/>
          <w:szCs w:val="24"/>
        </w:rPr>
      </w:pPr>
      <w:r w:rsidRPr="006230E3">
        <w:rPr>
          <w:rFonts w:ascii="Times New Roman" w:hAnsi="Times New Roman" w:cs="Times New Roman"/>
          <w:sz w:val="24"/>
          <w:szCs w:val="24"/>
        </w:rPr>
        <w:t xml:space="preserve">In order to better understand and interact with this important industry cluster it is vital to continue examining how this landscape changes over time. This collection seeks to update the data previously gathered and better understand the changes and developments in this sector since the first two surveys </w:t>
      </w:r>
      <w:r w:rsidRPr="006230E3">
        <w:rPr>
          <w:rFonts w:ascii="Times New Roman" w:hAnsi="Times New Roman" w:cs="Times New Roman"/>
          <w:sz w:val="24"/>
          <w:szCs w:val="24"/>
        </w:rPr>
        <w:t>were conducted. This is especially important in light of the COVID-19 pandemic. A renewal of this study will allow us to assess the impact that the pandemic had on the Ocean Enterprise business cluster.</w:t>
      </w:r>
    </w:p>
    <w:p w:rsidR="006230E3" w:rsidRPr="006230E3" w:rsidP="006230E3">
      <w:pPr>
        <w:rPr>
          <w:rFonts w:ascii="Times New Roman" w:hAnsi="Times New Roman" w:cs="Times New Roman"/>
          <w:b/>
          <w:sz w:val="24"/>
          <w:szCs w:val="24"/>
        </w:rPr>
      </w:pPr>
    </w:p>
    <w:p w:rsidR="006230E3" w:rsidRPr="006230E3" w:rsidP="006230E3">
      <w:pPr>
        <w:numPr>
          <w:ilvl w:val="0"/>
          <w:numId w:val="1"/>
        </w:numPr>
        <w:ind w:left="270"/>
        <w:rPr>
          <w:rFonts w:ascii="Times New Roman" w:hAnsi="Times New Roman" w:cs="Times New Roman"/>
          <w:b/>
          <w:bCs/>
          <w:sz w:val="24"/>
          <w:szCs w:val="24"/>
        </w:rPr>
      </w:pPr>
      <w:r w:rsidRPr="006230E3">
        <w:rPr>
          <w:rFonts w:ascii="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6230E3" w:rsidRPr="006230E3" w:rsidP="006230E3">
      <w:pPr>
        <w:ind w:left="270"/>
        <w:rPr>
          <w:rFonts w:ascii="Times New Roman" w:hAnsi="Times New Roman" w:cs="Times New Roman"/>
          <w:bCs/>
          <w:sz w:val="24"/>
          <w:szCs w:val="24"/>
        </w:rPr>
      </w:pPr>
      <w:r w:rsidRPr="006230E3">
        <w:rPr>
          <w:rFonts w:ascii="Times New Roman" w:hAnsi="Times New Roman" w:cs="Times New Roman"/>
          <w:bCs/>
          <w:sz w:val="24"/>
          <w:szCs w:val="24"/>
        </w:rPr>
        <w:t>The project is funded by NOAA and is being conducted on its behalf by the contractor, ERISS Corporation.  A one-time web survey will be utilized as the primary survey instrument. Each voluntary respondent will only be asked to complete the survey once.</w:t>
      </w:r>
    </w:p>
    <w:p w:rsidR="006230E3" w:rsidRPr="006230E3" w:rsidP="006230E3">
      <w:pPr>
        <w:ind w:left="270"/>
        <w:rPr>
          <w:rFonts w:ascii="Times New Roman" w:hAnsi="Times New Roman" w:cs="Times New Roman"/>
          <w:bCs/>
          <w:sz w:val="24"/>
          <w:szCs w:val="24"/>
        </w:rPr>
      </w:pPr>
      <w:r w:rsidRPr="006230E3">
        <w:rPr>
          <w:rFonts w:ascii="Times New Roman" w:hAnsi="Times New Roman" w:cs="Times New Roman"/>
          <w:bCs/>
          <w:sz w:val="24"/>
          <w:szCs w:val="24"/>
        </w:rPr>
        <w:t>The web survey is necessary in order to collect demographic, financial, and functional information for each organization with regard to their involvement with IOOS.  The final deliverable of this project is an analytic report detailing the findings of the web survey and analyzing the trends since the previous survey.</w:t>
      </w:r>
    </w:p>
    <w:p w:rsidR="006230E3" w:rsidP="006230E3">
      <w:pPr>
        <w:ind w:left="270"/>
        <w:rPr>
          <w:rFonts w:ascii="Times New Roman" w:hAnsi="Times New Roman" w:cs="Times New Roman"/>
          <w:bCs/>
          <w:sz w:val="24"/>
          <w:szCs w:val="24"/>
        </w:rPr>
      </w:pPr>
      <w:r w:rsidRPr="006230E3">
        <w:rPr>
          <w:rFonts w:ascii="Times New Roman" w:hAnsi="Times New Roman" w:cs="Times New Roman"/>
          <w:bCs/>
          <w:sz w:val="24"/>
          <w:szCs w:val="24"/>
        </w:rPr>
        <w:t>The information collected is used to support publicly disseminated information. NOAA/NOS/IOOS retains control over the information and safeguards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6230E3" w:rsidRPr="006230E3" w:rsidP="006230E3">
      <w:pPr>
        <w:ind w:left="270"/>
        <w:rPr>
          <w:rFonts w:ascii="Times New Roman" w:hAnsi="Times New Roman" w:cs="Times New Roman"/>
          <w:bCs/>
          <w:sz w:val="24"/>
          <w:szCs w:val="24"/>
        </w:rPr>
      </w:pPr>
    </w:p>
    <w:p w:rsidR="00FD0751" w:rsidRPr="006230E3" w:rsidP="006230E3">
      <w:pPr>
        <w:numPr>
          <w:ilvl w:val="0"/>
          <w:numId w:val="1"/>
        </w:numPr>
        <w:ind w:left="180" w:hanging="319"/>
        <w:rPr>
          <w:rFonts w:ascii="Times New Roman" w:hAnsi="Times New Roman" w:cs="Times New Roman"/>
          <w:b/>
          <w:bCs/>
          <w:sz w:val="24"/>
          <w:szCs w:val="24"/>
        </w:rPr>
      </w:pPr>
      <w:r w:rsidRPr="006230E3">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230E3" w:rsidP="006230E3">
      <w:pPr>
        <w:ind w:left="180"/>
        <w:rPr>
          <w:rFonts w:ascii="Times New Roman" w:hAnsi="Times New Roman" w:cs="Times New Roman"/>
          <w:sz w:val="24"/>
          <w:szCs w:val="24"/>
        </w:rPr>
      </w:pPr>
      <w:r w:rsidRPr="006230E3">
        <w:rPr>
          <w:rFonts w:ascii="Times New Roman" w:hAnsi="Times New Roman" w:cs="Times New Roman"/>
          <w:sz w:val="24"/>
          <w:szCs w:val="24"/>
        </w:rPr>
        <w:t>This is a web-based survey; however, respondents may answer survey questions over the telephone if they prefer.</w:t>
      </w:r>
    </w:p>
    <w:p w:rsidR="006230E3" w:rsidRPr="006230E3" w:rsidP="006230E3">
      <w:pPr>
        <w:ind w:left="180"/>
        <w:rPr>
          <w:rFonts w:ascii="Times New Roman" w:hAnsi="Times New Roman" w:cs="Times New Roman"/>
          <w:sz w:val="24"/>
          <w:szCs w:val="24"/>
        </w:rPr>
      </w:pPr>
    </w:p>
    <w:p w:rsidR="006230E3" w:rsidRPr="006230E3" w:rsidP="006230E3">
      <w:pPr>
        <w:numPr>
          <w:ilvl w:val="0"/>
          <w:numId w:val="1"/>
        </w:numPr>
        <w:ind w:left="180"/>
        <w:rPr>
          <w:rFonts w:ascii="Times New Roman" w:hAnsi="Times New Roman" w:cs="Times New Roman"/>
          <w:b/>
          <w:sz w:val="24"/>
          <w:szCs w:val="24"/>
        </w:rPr>
      </w:pPr>
      <w:r w:rsidRPr="006230E3">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 2</w:t>
      </w:r>
      <w:r w:rsidR="004E7E8E">
        <w:rPr>
          <w:rFonts w:ascii="Times New Roman" w:hAnsi="Times New Roman" w:cs="Times New Roman"/>
          <w:b/>
          <w:sz w:val="24"/>
          <w:szCs w:val="24"/>
        </w:rPr>
        <w:t>.</w:t>
      </w:r>
    </w:p>
    <w:p w:rsidR="006230E3" w:rsidP="006230E3">
      <w:pPr>
        <w:ind w:left="180"/>
        <w:rPr>
          <w:rFonts w:ascii="Times New Roman" w:hAnsi="Times New Roman" w:cs="Times New Roman"/>
          <w:sz w:val="24"/>
          <w:szCs w:val="24"/>
        </w:rPr>
      </w:pPr>
      <w:r w:rsidRPr="006230E3">
        <w:rPr>
          <w:rFonts w:ascii="Times New Roman" w:hAnsi="Times New Roman" w:cs="Times New Roman"/>
          <w:sz w:val="24"/>
          <w:szCs w:val="24"/>
        </w:rPr>
        <w:t>This project is being coordinated with NOAA’s Chief Economist Office to ensure it is not duplicative with other economic valuation studies being conducted by NOAA. We are also working with this group to ensure that data collection is consistent with NOAA practices. This data will be available to other valuation efforts in NOAA helping to reduce duplication of requests for information from the public</w:t>
      </w:r>
      <w:r>
        <w:rPr>
          <w:rFonts w:ascii="Times New Roman" w:hAnsi="Times New Roman" w:cs="Times New Roman"/>
          <w:sz w:val="24"/>
          <w:szCs w:val="24"/>
        </w:rPr>
        <w:t>.</w:t>
      </w:r>
    </w:p>
    <w:p w:rsidR="006230E3" w:rsidRPr="006230E3" w:rsidP="006230E3">
      <w:pPr>
        <w:ind w:left="180"/>
        <w:rPr>
          <w:rFonts w:ascii="Times New Roman" w:hAnsi="Times New Roman" w:cs="Times New Roman"/>
          <w:sz w:val="24"/>
          <w:szCs w:val="24"/>
        </w:rPr>
      </w:pPr>
    </w:p>
    <w:p w:rsidR="006230E3" w:rsidRPr="006230E3" w:rsidP="006230E3">
      <w:pPr>
        <w:numPr>
          <w:ilvl w:val="0"/>
          <w:numId w:val="1"/>
        </w:numPr>
        <w:ind w:left="180"/>
        <w:rPr>
          <w:rFonts w:ascii="Times New Roman" w:hAnsi="Times New Roman" w:cs="Times New Roman"/>
          <w:b/>
          <w:sz w:val="24"/>
          <w:szCs w:val="24"/>
        </w:rPr>
      </w:pPr>
      <w:r w:rsidRPr="006230E3">
        <w:rPr>
          <w:rFonts w:ascii="Times New Roman" w:hAnsi="Times New Roman" w:cs="Times New Roman"/>
          <w:b/>
          <w:sz w:val="24"/>
          <w:szCs w:val="24"/>
        </w:rPr>
        <w:t>If the collection of information impacts small businesses or other small entities, describe any methods used to minimize burden.</w:t>
      </w:r>
    </w:p>
    <w:p w:rsidR="006230E3" w:rsidP="006230E3">
      <w:pPr>
        <w:ind w:left="180"/>
        <w:rPr>
          <w:rFonts w:ascii="Times New Roman" w:hAnsi="Times New Roman" w:cs="Times New Roman"/>
          <w:sz w:val="24"/>
          <w:szCs w:val="24"/>
        </w:rPr>
      </w:pPr>
      <w:r w:rsidRPr="006230E3">
        <w:rPr>
          <w:rFonts w:ascii="Times New Roman" w:hAnsi="Times New Roman" w:cs="Times New Roman"/>
          <w:sz w:val="24"/>
          <w:szCs w:val="24"/>
        </w:rPr>
        <w:t>It is recognized that the burden of responding to a survey can take a special toll on small businesses where resources can often be scarce.  To minimize this burden for businesses of all sizes, extra care was taken to design a survey that in most cases will take 25-30 minutes to complete.  Through the use of survey logic and other advanced web-survey techniques, the web-survey was designed to ensure respondents are only asked the minimum number of questions possible.  Additionally, businesses will be able to save their progress on the survey and come back to it at a later time. The majority of businesses will have under 100 employees, but the percentage is unknown. Finally, the web survey format enables survey respondents to complete the survey at a time of their choosing.  Most significantly, the survey asks for information that should be readily at hand and take no special research.</w:t>
      </w:r>
    </w:p>
    <w:p w:rsidR="006230E3" w:rsidRPr="006230E3" w:rsidP="006230E3">
      <w:pPr>
        <w:ind w:left="180"/>
        <w:rPr>
          <w:rFonts w:ascii="Times New Roman" w:hAnsi="Times New Roman" w:cs="Times New Roman"/>
          <w:sz w:val="24"/>
          <w:szCs w:val="24"/>
        </w:rPr>
      </w:pPr>
    </w:p>
    <w:p w:rsidR="006230E3" w:rsidRPr="006230E3" w:rsidP="006230E3">
      <w:pPr>
        <w:numPr>
          <w:ilvl w:val="0"/>
          <w:numId w:val="1"/>
        </w:numPr>
        <w:ind w:left="180" w:hanging="319"/>
        <w:rPr>
          <w:rFonts w:ascii="Times New Roman" w:hAnsi="Times New Roman" w:cs="Times New Roman"/>
          <w:b/>
          <w:sz w:val="24"/>
          <w:szCs w:val="24"/>
        </w:rPr>
      </w:pPr>
      <w:r w:rsidRPr="006230E3">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6230E3" w:rsidP="006230E3">
      <w:pPr>
        <w:ind w:left="180"/>
        <w:rPr>
          <w:rFonts w:ascii="Times New Roman" w:hAnsi="Times New Roman" w:cs="Times New Roman"/>
          <w:sz w:val="24"/>
          <w:szCs w:val="24"/>
        </w:rPr>
      </w:pPr>
      <w:r w:rsidRPr="006230E3">
        <w:rPr>
          <w:rFonts w:ascii="Times New Roman" w:hAnsi="Times New Roman" w:cs="Times New Roman"/>
          <w:sz w:val="24"/>
          <w:szCs w:val="24"/>
        </w:rPr>
        <w:t>The marine technology industry is an important partner and stakeholder within IOOS. In 2015, the Ocean Enterprise Study estimated this business sector generated revenue of close to seven billion dollars, and by 2020, revenue grew to eight billion dollars. It is critical for IOOS to understand the continued changes to this industry over time in order to better support and articulate IOOS’s contribution to it. This survey seeks to update the 2015 and 2015-2020 data collections in order to analyze the composition and revenue changes in this important business sector, especially in light of COVID-19 impacts. Failure to conduct this survey or delay it will affect IOOS’s ability to identify critical trends and better understand the value of this industry to IOOS and the nation.</w:t>
      </w:r>
    </w:p>
    <w:p w:rsidR="006230E3" w:rsidRPr="006230E3" w:rsidP="006230E3">
      <w:pPr>
        <w:ind w:left="180"/>
        <w:rPr>
          <w:rFonts w:ascii="Times New Roman" w:hAnsi="Times New Roman" w:cs="Times New Roman"/>
          <w:sz w:val="24"/>
          <w:szCs w:val="24"/>
        </w:rPr>
      </w:pPr>
    </w:p>
    <w:p w:rsidR="006230E3" w:rsidRPr="006230E3" w:rsidP="006230E3">
      <w:pPr>
        <w:numPr>
          <w:ilvl w:val="0"/>
          <w:numId w:val="1"/>
        </w:numPr>
        <w:ind w:left="180"/>
        <w:rPr>
          <w:rFonts w:ascii="Times New Roman" w:hAnsi="Times New Roman" w:cs="Times New Roman"/>
          <w:b/>
          <w:sz w:val="24"/>
          <w:szCs w:val="24"/>
        </w:rPr>
      </w:pPr>
      <w:r w:rsidRPr="006230E3">
        <w:rPr>
          <w:rFonts w:ascii="Times New Roman" w:hAnsi="Times New Roman" w:cs="Times New Roman"/>
          <w:b/>
          <w:sz w:val="24"/>
          <w:szCs w:val="24"/>
        </w:rPr>
        <w:t>Explain any special circumstances that would cause an information collection to be conducted in a manner inconsistent with OMB guidelines.</w:t>
      </w:r>
    </w:p>
    <w:p w:rsidR="00D025E9" w:rsidRPr="006230E3" w:rsidP="006230E3">
      <w:pPr>
        <w:ind w:left="180"/>
        <w:rPr>
          <w:rFonts w:ascii="Times New Roman" w:hAnsi="Times New Roman" w:cs="Times New Roman"/>
          <w:sz w:val="24"/>
          <w:szCs w:val="24"/>
        </w:rPr>
      </w:pPr>
      <w:r w:rsidRPr="006230E3">
        <w:rPr>
          <w:rFonts w:ascii="Times New Roman" w:hAnsi="Times New Roman" w:cs="Times New Roman"/>
          <w:sz w:val="24"/>
          <w:szCs w:val="24"/>
        </w:rPr>
        <w:t>There are no special circumstances</w:t>
      </w:r>
      <w:r w:rsidR="00714472">
        <w:rPr>
          <w:rFonts w:ascii="Times New Roman" w:hAnsi="Times New Roman" w:cs="Times New Roman"/>
          <w:sz w:val="24"/>
          <w:szCs w:val="24"/>
        </w:rPr>
        <w:t xml:space="preserve">. </w:t>
      </w:r>
      <w:r w:rsidRPr="006230E3">
        <w:rPr>
          <w:rFonts w:ascii="Times New Roman" w:hAnsi="Times New Roman" w:cs="Times New Roman"/>
          <w:sz w:val="24"/>
          <w:szCs w:val="24"/>
        </w:rPr>
        <w:t xml:space="preserve"> </w:t>
      </w:r>
      <w:r w:rsidR="00714472">
        <w:rPr>
          <w:rFonts w:ascii="Times New Roman" w:hAnsi="Times New Roman" w:cs="Times New Roman"/>
          <w:sz w:val="24"/>
          <w:szCs w:val="24"/>
        </w:rPr>
        <w:t>T</w:t>
      </w:r>
      <w:r w:rsidRPr="006230E3">
        <w:rPr>
          <w:rFonts w:ascii="Times New Roman" w:hAnsi="Times New Roman" w:cs="Times New Roman"/>
          <w:sz w:val="24"/>
          <w:szCs w:val="24"/>
        </w:rPr>
        <w:t>his information collection will be conducted in a manner consistent with OMB guidelines.</w:t>
      </w:r>
    </w:p>
    <w:p w:rsidR="006230E3" w:rsidRPr="006230E3" w:rsidP="006230E3">
      <w:pPr>
        <w:rPr>
          <w:rFonts w:ascii="Times New Roman" w:hAnsi="Times New Roman" w:cs="Times New Roman"/>
          <w:sz w:val="24"/>
          <w:szCs w:val="24"/>
        </w:rPr>
      </w:pPr>
    </w:p>
    <w:p w:rsidR="006230E3" w:rsidRPr="006230E3" w:rsidP="006230E3">
      <w:pPr>
        <w:numPr>
          <w:ilvl w:val="0"/>
          <w:numId w:val="1"/>
        </w:numPr>
        <w:ind w:left="180"/>
        <w:rPr>
          <w:rFonts w:ascii="Times New Roman" w:hAnsi="Times New Roman" w:cs="Times New Roman"/>
          <w:b/>
          <w:sz w:val="24"/>
          <w:szCs w:val="24"/>
        </w:rPr>
      </w:pPr>
      <w:r w:rsidRPr="006230E3">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30E3" w:rsidP="001A66B8">
      <w:pPr>
        <w:ind w:left="180"/>
        <w:rPr>
          <w:rFonts w:ascii="Times New Roman" w:hAnsi="Times New Roman" w:cs="Times New Roman"/>
          <w:sz w:val="24"/>
          <w:szCs w:val="24"/>
        </w:rPr>
      </w:pPr>
      <w:r w:rsidRPr="006230E3">
        <w:rPr>
          <w:rFonts w:ascii="Times New Roman" w:hAnsi="Times New Roman" w:cs="Times New Roman"/>
          <w:sz w:val="24"/>
          <w:szCs w:val="24"/>
        </w:rPr>
        <w:t xml:space="preserve">A Federal Register Notice published on </w:t>
      </w:r>
      <w:r w:rsidR="00714472">
        <w:rPr>
          <w:rFonts w:ascii="Times New Roman" w:hAnsi="Times New Roman" w:cs="Times New Roman"/>
          <w:sz w:val="24"/>
          <w:szCs w:val="24"/>
        </w:rPr>
        <w:t>September 23, 2022 (87 FR 58071</w:t>
      </w:r>
      <w:r w:rsidRPr="006230E3">
        <w:rPr>
          <w:rFonts w:ascii="Times New Roman" w:hAnsi="Times New Roman" w:cs="Times New Roman"/>
          <w:sz w:val="24"/>
          <w:szCs w:val="24"/>
        </w:rPr>
        <w:t>) solicited public comments. No comments were received.</w:t>
      </w:r>
    </w:p>
    <w:p w:rsidR="00714472" w:rsidRPr="00714472" w:rsidP="00714472">
      <w:pPr>
        <w:spacing w:before="161" w:after="0" w:line="240" w:lineRule="auto"/>
        <w:ind w:left="180"/>
        <w:rPr>
          <w:rFonts w:ascii="Times New Roman" w:eastAsia="Times New Roman" w:hAnsi="Times New Roman" w:cs="Times New Roman"/>
          <w:sz w:val="24"/>
          <w:szCs w:val="24"/>
        </w:rPr>
      </w:pPr>
      <w:r w:rsidRPr="00714472">
        <w:rPr>
          <w:rFonts w:ascii="Times New Roman" w:eastAsia="Times New Roman" w:hAnsi="Times New Roman" w:cs="Times New Roman"/>
          <w:sz w:val="24"/>
          <w:szCs w:val="24"/>
        </w:rPr>
        <w:t>NOAA reached out to 3 stakeholders to obtain their views on the availability of data, frequency of collection, the clarity of instructions and recordkeeping, disclosure, or reporting format (if any), and on the data elements to be recorded, disclosed, or reported.  No comments were received.</w:t>
      </w:r>
    </w:p>
    <w:p w:rsidR="001A66B8" w:rsidRPr="006230E3" w:rsidP="001A66B8">
      <w:pPr>
        <w:ind w:left="180"/>
        <w:rPr>
          <w:rFonts w:ascii="Times New Roman" w:hAnsi="Times New Roman" w:cs="Times New Roman"/>
          <w:sz w:val="24"/>
          <w:szCs w:val="24"/>
        </w:rPr>
      </w:pPr>
    </w:p>
    <w:p w:rsidR="006230E3" w:rsidRPr="006230E3" w:rsidP="006230E3">
      <w:pPr>
        <w:numPr>
          <w:ilvl w:val="0"/>
          <w:numId w:val="1"/>
        </w:numPr>
        <w:ind w:left="180"/>
        <w:rPr>
          <w:rFonts w:ascii="Times New Roman" w:hAnsi="Times New Roman" w:cs="Times New Roman"/>
          <w:b/>
          <w:sz w:val="24"/>
          <w:szCs w:val="24"/>
        </w:rPr>
      </w:pPr>
      <w:r w:rsidRPr="006230E3">
        <w:rPr>
          <w:rFonts w:ascii="Times New Roman" w:hAnsi="Times New Roman" w:cs="Times New Roman"/>
          <w:b/>
          <w:sz w:val="24"/>
          <w:szCs w:val="24"/>
        </w:rPr>
        <w:t>Explain any decision to provide any payment or gift to respondents, other than remuneration of contractors or grantees.</w:t>
      </w:r>
    </w:p>
    <w:p w:rsidR="006230E3" w:rsidRPr="006230E3" w:rsidP="001A66B8">
      <w:pPr>
        <w:ind w:left="270"/>
        <w:rPr>
          <w:rFonts w:ascii="Times New Roman" w:hAnsi="Times New Roman" w:cs="Times New Roman"/>
          <w:sz w:val="24"/>
          <w:szCs w:val="24"/>
        </w:rPr>
      </w:pPr>
      <w:r>
        <w:rPr>
          <w:rFonts w:ascii="Times New Roman" w:hAnsi="Times New Roman" w:cs="Times New Roman"/>
          <w:sz w:val="24"/>
          <w:szCs w:val="24"/>
        </w:rPr>
        <w:t>No payment or gifts will be provided to respondents.</w:t>
      </w:r>
    </w:p>
    <w:p w:rsidR="006230E3" w:rsidRPr="006230E3" w:rsidP="006230E3">
      <w:pPr>
        <w:rPr>
          <w:rFonts w:ascii="Times New Roman" w:hAnsi="Times New Roman" w:cs="Times New Roman"/>
          <w:sz w:val="24"/>
          <w:szCs w:val="24"/>
        </w:rPr>
      </w:pPr>
    </w:p>
    <w:p w:rsidR="006230E3" w:rsidRPr="006230E3" w:rsidP="006230E3">
      <w:pPr>
        <w:numPr>
          <w:ilvl w:val="0"/>
          <w:numId w:val="1"/>
        </w:numPr>
        <w:ind w:left="270" w:hanging="359"/>
        <w:rPr>
          <w:rFonts w:ascii="Times New Roman" w:hAnsi="Times New Roman" w:cs="Times New Roman"/>
          <w:b/>
          <w:sz w:val="24"/>
          <w:szCs w:val="24"/>
        </w:rPr>
      </w:pPr>
      <w:r>
        <w:rPr>
          <w:rFonts w:ascii="Times New Roman" w:hAnsi="Times New Roman" w:cs="Times New Roman"/>
          <w:b/>
          <w:sz w:val="24"/>
          <w:szCs w:val="24"/>
        </w:rPr>
        <w:t xml:space="preserve"> </w:t>
      </w:r>
      <w:r w:rsidRPr="006230E3">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230E3" w:rsidRPr="006230E3" w:rsidP="006230E3">
      <w:pPr>
        <w:ind w:left="270"/>
        <w:rPr>
          <w:rFonts w:ascii="Times New Roman" w:hAnsi="Times New Roman" w:cs="Times New Roman"/>
          <w:sz w:val="24"/>
          <w:szCs w:val="24"/>
        </w:rPr>
      </w:pPr>
      <w:r w:rsidRPr="006230E3">
        <w:rPr>
          <w:rFonts w:ascii="Times New Roman" w:hAnsi="Times New Roman" w:cs="Times New Roman"/>
          <w:sz w:val="24"/>
          <w:szCs w:val="24"/>
        </w:rPr>
        <w:t>Survey respondents will be informed of the uses of the data and also informed the level of confidentiality the data will be treated with: all raw survey data will be accessible only by NOAA and designated entities who will be analyzing the data and providing summary reporting. Results of the survey data will only be published at the aggregate, summary level. Therefore, no individual responses will be provided, and nothing attributable to any single company will be reported.  The raw survey database is the property of NOAA, and will not be shared with any external organizations.</w:t>
      </w:r>
    </w:p>
    <w:p w:rsidR="006230E3" w:rsidRPr="006230E3" w:rsidP="006230E3">
      <w:pPr>
        <w:rPr>
          <w:rFonts w:ascii="Times New Roman" w:hAnsi="Times New Roman" w:cs="Times New Roman"/>
          <w:sz w:val="24"/>
          <w:szCs w:val="24"/>
        </w:rPr>
      </w:pPr>
    </w:p>
    <w:p w:rsidR="006230E3" w:rsidRPr="006230E3" w:rsidP="006230E3">
      <w:pPr>
        <w:numPr>
          <w:ilvl w:val="0"/>
          <w:numId w:val="1"/>
        </w:numPr>
        <w:ind w:left="270" w:hanging="359"/>
        <w:rPr>
          <w:rFonts w:ascii="Times New Roman" w:hAnsi="Times New Roman" w:cs="Times New Roman"/>
          <w:sz w:val="24"/>
          <w:szCs w:val="24"/>
        </w:rPr>
      </w:pPr>
      <w:r>
        <w:rPr>
          <w:rFonts w:ascii="Times New Roman" w:hAnsi="Times New Roman" w:cs="Times New Roman"/>
          <w:b/>
          <w:sz w:val="24"/>
          <w:szCs w:val="24"/>
        </w:rPr>
        <w:t xml:space="preserve"> </w:t>
      </w:r>
      <w:r w:rsidRPr="006230E3">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30E3" w:rsidP="006230E3">
      <w:pPr>
        <w:ind w:left="270"/>
        <w:rPr>
          <w:rFonts w:ascii="Times New Roman" w:hAnsi="Times New Roman" w:cs="Times New Roman"/>
          <w:sz w:val="24"/>
          <w:szCs w:val="24"/>
        </w:rPr>
      </w:pPr>
      <w:r>
        <w:rPr>
          <w:rFonts w:ascii="Times New Roman" w:hAnsi="Times New Roman" w:cs="Times New Roman"/>
          <w:sz w:val="24"/>
          <w:szCs w:val="24"/>
        </w:rPr>
        <w:t>No questions of a sensitive nature will be asked.</w:t>
      </w:r>
    </w:p>
    <w:p w:rsidR="00C54C6B" w:rsidRPr="006230E3" w:rsidP="006230E3">
      <w:pPr>
        <w:ind w:left="270"/>
        <w:rPr>
          <w:rFonts w:ascii="Times New Roman" w:hAnsi="Times New Roman" w:cs="Times New Roman"/>
          <w:sz w:val="24"/>
          <w:szCs w:val="24"/>
        </w:rPr>
      </w:pPr>
    </w:p>
    <w:p w:rsidR="006230E3" w:rsidRPr="00F05659" w:rsidP="006230E3">
      <w:pPr>
        <w:numPr>
          <w:ilvl w:val="0"/>
          <w:numId w:val="1"/>
        </w:numPr>
        <w:ind w:left="270" w:hanging="359"/>
        <w:rPr>
          <w:rFonts w:ascii="Times New Roman" w:hAnsi="Times New Roman" w:cs="Times New Roman"/>
          <w:b/>
          <w:sz w:val="24"/>
          <w:szCs w:val="24"/>
        </w:rPr>
      </w:pPr>
      <w:r>
        <w:rPr>
          <w:rFonts w:ascii="Times New Roman" w:hAnsi="Times New Roman" w:cs="Times New Roman"/>
          <w:b/>
          <w:sz w:val="24"/>
          <w:szCs w:val="24"/>
        </w:rPr>
        <w:t xml:space="preserve"> </w:t>
      </w:r>
      <w:r w:rsidRPr="00F05659" w:rsidR="00B011E0">
        <w:rPr>
          <w:rFonts w:ascii="Times New Roman" w:hAnsi="Times New Roman" w:cs="Times New Roman"/>
          <w:b/>
          <w:bCs/>
          <w:color w:val="000000"/>
          <w:sz w:val="24"/>
          <w:szCs w:val="24"/>
        </w:rPr>
        <w:t>Provide estimates of the hour burden of the collection of information.</w:t>
      </w:r>
    </w:p>
    <w:p w:rsidR="001A66B8" w:rsidP="001A66B8">
      <w:pPr>
        <w:pStyle w:val="NormalWeb"/>
        <w:spacing w:before="0" w:beforeAutospacing="0" w:after="0" w:afterAutospacing="0"/>
        <w:ind w:left="270"/>
      </w:pPr>
      <w:r>
        <w:rPr>
          <w:color w:val="000000"/>
        </w:rPr>
        <w:t> </w:t>
      </w:r>
    </w:p>
    <w:tbl>
      <w:tblPr>
        <w:tblW w:w="10800" w:type="dxa"/>
        <w:tblInd w:w="-460" w:type="dxa"/>
        <w:tblCellMar>
          <w:top w:w="15" w:type="dxa"/>
          <w:left w:w="15" w:type="dxa"/>
          <w:bottom w:w="15" w:type="dxa"/>
          <w:right w:w="15" w:type="dxa"/>
        </w:tblCellMar>
        <w:tblLook w:val="04A0"/>
      </w:tblPr>
      <w:tblGrid>
        <w:gridCol w:w="1352"/>
        <w:gridCol w:w="1108"/>
        <w:gridCol w:w="1494"/>
        <w:gridCol w:w="1252"/>
        <w:gridCol w:w="1094"/>
        <w:gridCol w:w="986"/>
        <w:gridCol w:w="1136"/>
        <w:gridCol w:w="1094"/>
        <w:gridCol w:w="1284"/>
      </w:tblGrid>
      <w:tr w:rsidTr="00C54C6B">
        <w:tblPrEx>
          <w:tblW w:w="10800" w:type="dxa"/>
          <w:tblInd w:w="-460" w:type="dxa"/>
          <w:tblCellMar>
            <w:top w:w="15" w:type="dxa"/>
            <w:left w:w="15" w:type="dxa"/>
            <w:bottom w:w="15" w:type="dxa"/>
            <w:right w:w="15" w:type="dxa"/>
          </w:tblCellMar>
          <w:tblLook w:val="04A0"/>
        </w:tblPrEx>
        <w:trPr>
          <w:trHeight w:val="1365"/>
        </w:trPr>
        <w:tc>
          <w:tcPr>
            <w:tcW w:w="1352"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C54C6B" w:rsidRPr="00C54C6B" w:rsidP="00C54C6B">
            <w:pPr>
              <w:spacing w:after="0" w:line="240" w:lineRule="auto"/>
              <w:jc w:val="center"/>
              <w:rPr>
                <w:rFonts w:ascii="Times New Roman" w:eastAsia="Times New Roman" w:hAnsi="Times New Roman" w:cs="Times New Roman"/>
                <w:sz w:val="24"/>
                <w:szCs w:val="24"/>
              </w:rPr>
            </w:pPr>
            <w:r w:rsidRPr="00C54C6B">
              <w:rPr>
                <w:rFonts w:ascii="Calibri" w:eastAsia="Times New Roman" w:hAnsi="Calibri" w:cs="Calibri"/>
                <w:b/>
                <w:bCs/>
                <w:color w:val="000000"/>
                <w:sz w:val="16"/>
                <w:szCs w:val="16"/>
              </w:rPr>
              <w:t>Information Collection</w:t>
            </w:r>
          </w:p>
        </w:tc>
        <w:tc>
          <w:tcPr>
            <w:tcW w:w="1108"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C54C6B" w:rsidRPr="00C54C6B" w:rsidP="00C54C6B">
            <w:pPr>
              <w:spacing w:after="0" w:line="240" w:lineRule="auto"/>
              <w:jc w:val="center"/>
              <w:rPr>
                <w:rFonts w:ascii="Times New Roman" w:eastAsia="Times New Roman" w:hAnsi="Times New Roman" w:cs="Times New Roman"/>
                <w:sz w:val="24"/>
                <w:szCs w:val="24"/>
              </w:rPr>
            </w:pPr>
            <w:r w:rsidRPr="00C54C6B">
              <w:rPr>
                <w:rFonts w:ascii="Calibri" w:eastAsia="Times New Roman" w:hAnsi="Calibri" w:cs="Calibri"/>
                <w:b/>
                <w:bCs/>
                <w:color w:val="000000"/>
                <w:sz w:val="16"/>
                <w:szCs w:val="16"/>
              </w:rPr>
              <w:t>Type of Respondent (e.g., Occupational Title)</w:t>
            </w:r>
          </w:p>
        </w:tc>
        <w:tc>
          <w:tcPr>
            <w:tcW w:w="1494"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C54C6B" w:rsidRPr="00C54C6B" w:rsidP="00C54C6B">
            <w:pPr>
              <w:spacing w:after="0" w:line="240" w:lineRule="auto"/>
              <w:jc w:val="center"/>
              <w:rPr>
                <w:rFonts w:ascii="Times New Roman" w:eastAsia="Times New Roman" w:hAnsi="Times New Roman" w:cs="Times New Roman"/>
                <w:sz w:val="24"/>
                <w:szCs w:val="24"/>
              </w:rPr>
            </w:pPr>
            <w:r w:rsidRPr="00C54C6B">
              <w:rPr>
                <w:rFonts w:ascii="Calibri" w:eastAsia="Times New Roman" w:hAnsi="Calibri" w:cs="Calibri"/>
                <w:b/>
                <w:bCs/>
                <w:color w:val="000000"/>
                <w:sz w:val="16"/>
                <w:szCs w:val="16"/>
              </w:rPr>
              <w:t># of Respondents/year</w:t>
            </w:r>
            <w:r w:rsidRPr="00C54C6B">
              <w:rPr>
                <w:rFonts w:ascii="Calibri" w:eastAsia="Times New Roman" w:hAnsi="Calibri" w:cs="Calibri"/>
                <w:b/>
                <w:bCs/>
                <w:color w:val="000000"/>
                <w:sz w:val="16"/>
                <w:szCs w:val="16"/>
              </w:rPr>
              <w:br/>
              <w:t>(a)</w:t>
            </w:r>
          </w:p>
        </w:tc>
        <w:tc>
          <w:tcPr>
            <w:tcW w:w="1252"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C54C6B" w:rsidRPr="00C54C6B" w:rsidP="00C54C6B">
            <w:pPr>
              <w:spacing w:after="0" w:line="240" w:lineRule="auto"/>
              <w:jc w:val="center"/>
              <w:rPr>
                <w:rFonts w:ascii="Times New Roman" w:eastAsia="Times New Roman" w:hAnsi="Times New Roman" w:cs="Times New Roman"/>
                <w:sz w:val="24"/>
                <w:szCs w:val="24"/>
              </w:rPr>
            </w:pPr>
            <w:r w:rsidRPr="00C54C6B">
              <w:rPr>
                <w:rFonts w:ascii="Calibri" w:eastAsia="Times New Roman" w:hAnsi="Calibri" w:cs="Calibri"/>
                <w:b/>
                <w:bCs/>
                <w:color w:val="000000"/>
                <w:sz w:val="16"/>
                <w:szCs w:val="16"/>
              </w:rPr>
              <w:t>Annual # of Responses / Respondent</w:t>
            </w:r>
            <w:r w:rsidRPr="00C54C6B">
              <w:rPr>
                <w:rFonts w:ascii="Calibri" w:eastAsia="Times New Roman" w:hAnsi="Calibri" w:cs="Calibri"/>
                <w:b/>
                <w:bCs/>
                <w:color w:val="000000"/>
                <w:sz w:val="16"/>
                <w:szCs w:val="16"/>
              </w:rPr>
              <w:br/>
              <w:t>(b)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C54C6B" w:rsidRPr="00C54C6B" w:rsidP="00C54C6B">
            <w:pPr>
              <w:spacing w:after="0" w:line="240" w:lineRule="auto"/>
              <w:jc w:val="center"/>
              <w:rPr>
                <w:rFonts w:ascii="Times New Roman" w:eastAsia="Times New Roman" w:hAnsi="Times New Roman" w:cs="Times New Roman"/>
                <w:sz w:val="24"/>
                <w:szCs w:val="24"/>
              </w:rPr>
            </w:pPr>
            <w:r w:rsidRPr="00C54C6B">
              <w:rPr>
                <w:rFonts w:ascii="Calibri" w:eastAsia="Times New Roman" w:hAnsi="Calibri" w:cs="Calibri"/>
                <w:b/>
                <w:bCs/>
                <w:color w:val="000000"/>
                <w:sz w:val="16"/>
                <w:szCs w:val="16"/>
              </w:rPr>
              <w:t xml:space="preserve"> Total # of Annual Responses</w:t>
            </w:r>
            <w:r w:rsidRPr="00C54C6B">
              <w:rPr>
                <w:rFonts w:ascii="Calibri" w:eastAsia="Times New Roman" w:hAnsi="Calibri" w:cs="Calibri"/>
                <w:b/>
                <w:bCs/>
                <w:color w:val="000000"/>
                <w:sz w:val="16"/>
                <w:szCs w:val="16"/>
              </w:rPr>
              <w:br/>
              <w:t>(c) = (a) x (b)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C54C6B" w:rsidRPr="00C54C6B" w:rsidP="00C54C6B">
            <w:pPr>
              <w:spacing w:after="0" w:line="240" w:lineRule="auto"/>
              <w:jc w:val="center"/>
              <w:rPr>
                <w:rFonts w:ascii="Times New Roman" w:eastAsia="Times New Roman" w:hAnsi="Times New Roman" w:cs="Times New Roman"/>
                <w:sz w:val="24"/>
                <w:szCs w:val="24"/>
              </w:rPr>
            </w:pPr>
            <w:r w:rsidRPr="00C54C6B">
              <w:rPr>
                <w:rFonts w:ascii="Calibri" w:eastAsia="Times New Roman" w:hAnsi="Calibri" w:cs="Calibri"/>
                <w:b/>
                <w:bCs/>
                <w:color w:val="000000"/>
                <w:sz w:val="16"/>
                <w:szCs w:val="16"/>
              </w:rPr>
              <w:t xml:space="preserve">Burden </w:t>
            </w:r>
            <w:r w:rsidRPr="00C54C6B">
              <w:rPr>
                <w:rFonts w:ascii="Calibri" w:eastAsia="Times New Roman" w:hAnsi="Calibri" w:cs="Calibri"/>
                <w:b/>
                <w:bCs/>
                <w:color w:val="000000"/>
                <w:sz w:val="16"/>
                <w:szCs w:val="16"/>
              </w:rPr>
              <w:t>Hrs</w:t>
            </w:r>
            <w:r w:rsidRPr="00C54C6B">
              <w:rPr>
                <w:rFonts w:ascii="Calibri" w:eastAsia="Times New Roman" w:hAnsi="Calibri" w:cs="Calibri"/>
                <w:b/>
                <w:bCs/>
                <w:color w:val="000000"/>
                <w:sz w:val="16"/>
                <w:szCs w:val="16"/>
              </w:rPr>
              <w:t xml:space="preserve"> / Response</w:t>
            </w:r>
            <w:r w:rsidRPr="00C54C6B">
              <w:rPr>
                <w:rFonts w:ascii="Calibri" w:eastAsia="Times New Roman" w:hAnsi="Calibri" w:cs="Calibri"/>
                <w:b/>
                <w:bCs/>
                <w:color w:val="000000"/>
                <w:sz w:val="16"/>
                <w:szCs w:val="16"/>
              </w:rPr>
              <w:br/>
              <w:t>(d)</w:t>
            </w:r>
          </w:p>
        </w:tc>
        <w:tc>
          <w:tcPr>
            <w:tcW w:w="1136"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C54C6B" w:rsidRPr="00C54C6B" w:rsidP="00C54C6B">
            <w:pPr>
              <w:spacing w:after="0" w:line="240" w:lineRule="auto"/>
              <w:jc w:val="center"/>
              <w:rPr>
                <w:rFonts w:ascii="Times New Roman" w:eastAsia="Times New Roman" w:hAnsi="Times New Roman" w:cs="Times New Roman"/>
                <w:sz w:val="24"/>
                <w:szCs w:val="24"/>
              </w:rPr>
            </w:pPr>
            <w:r w:rsidRPr="00C54C6B">
              <w:rPr>
                <w:rFonts w:ascii="Calibri" w:eastAsia="Times New Roman" w:hAnsi="Calibri" w:cs="Calibri"/>
                <w:b/>
                <w:bCs/>
                <w:color w:val="000000"/>
                <w:sz w:val="16"/>
                <w:szCs w:val="16"/>
              </w:rPr>
              <w:t xml:space="preserve">Total Annual Burden </w:t>
            </w:r>
            <w:r w:rsidRPr="00C54C6B">
              <w:rPr>
                <w:rFonts w:ascii="Calibri" w:eastAsia="Times New Roman" w:hAnsi="Calibri" w:cs="Calibri"/>
                <w:b/>
                <w:bCs/>
                <w:color w:val="000000"/>
                <w:sz w:val="16"/>
                <w:szCs w:val="16"/>
              </w:rPr>
              <w:t>Hrs</w:t>
            </w:r>
            <w:r w:rsidRPr="00C54C6B">
              <w:rPr>
                <w:rFonts w:ascii="Calibri" w:eastAsia="Times New Roman" w:hAnsi="Calibri" w:cs="Calibri"/>
                <w:b/>
                <w:bCs/>
                <w:color w:val="000000"/>
                <w:sz w:val="16"/>
                <w:szCs w:val="16"/>
              </w:rPr>
              <w:br/>
              <w:t>(e)  = (c) x (d)</w:t>
            </w:r>
          </w:p>
        </w:tc>
        <w:tc>
          <w:tcPr>
            <w:tcW w:w="1094"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C54C6B" w:rsidRPr="00C54C6B" w:rsidP="00C54C6B">
            <w:pPr>
              <w:spacing w:after="0" w:line="240" w:lineRule="auto"/>
              <w:jc w:val="center"/>
              <w:rPr>
                <w:rFonts w:ascii="Times New Roman" w:eastAsia="Times New Roman" w:hAnsi="Times New Roman" w:cs="Times New Roman"/>
                <w:sz w:val="24"/>
                <w:szCs w:val="24"/>
              </w:rPr>
            </w:pPr>
            <w:r w:rsidRPr="00C54C6B">
              <w:rPr>
                <w:rFonts w:ascii="Calibri" w:eastAsia="Times New Roman" w:hAnsi="Calibri" w:cs="Calibri"/>
                <w:b/>
                <w:bCs/>
                <w:color w:val="000000"/>
                <w:sz w:val="16"/>
                <w:szCs w:val="16"/>
              </w:rPr>
              <w:t>Hourly Wage Rate  (for Type of Respondent)</w:t>
            </w:r>
            <w:r w:rsidRPr="00C54C6B">
              <w:rPr>
                <w:rFonts w:ascii="Calibri" w:eastAsia="Times New Roman" w:hAnsi="Calibri" w:cs="Calibri"/>
                <w:b/>
                <w:bCs/>
                <w:color w:val="000000"/>
                <w:sz w:val="16"/>
                <w:szCs w:val="16"/>
              </w:rPr>
              <w:br/>
              <w:t>(f)</w:t>
            </w:r>
          </w:p>
        </w:tc>
        <w:tc>
          <w:tcPr>
            <w:tcW w:w="1284"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C54C6B" w:rsidRPr="00C54C6B" w:rsidP="00C54C6B">
            <w:pPr>
              <w:spacing w:after="0" w:line="240" w:lineRule="auto"/>
              <w:ind w:right="61"/>
              <w:jc w:val="center"/>
              <w:rPr>
                <w:rFonts w:ascii="Times New Roman" w:eastAsia="Times New Roman" w:hAnsi="Times New Roman" w:cs="Times New Roman"/>
                <w:sz w:val="24"/>
                <w:szCs w:val="24"/>
              </w:rPr>
            </w:pPr>
            <w:r w:rsidRPr="00C54C6B">
              <w:rPr>
                <w:rFonts w:ascii="Calibri" w:eastAsia="Times New Roman" w:hAnsi="Calibri" w:cs="Calibri"/>
                <w:b/>
                <w:bCs/>
                <w:color w:val="000000"/>
                <w:sz w:val="16"/>
                <w:szCs w:val="16"/>
              </w:rPr>
              <w:t>Total Annual Wage Burden Costs</w:t>
            </w:r>
            <w:r w:rsidRPr="00C54C6B">
              <w:rPr>
                <w:rFonts w:ascii="Calibri" w:eastAsia="Times New Roman" w:hAnsi="Calibri" w:cs="Calibri"/>
                <w:b/>
                <w:bCs/>
                <w:color w:val="000000"/>
                <w:sz w:val="16"/>
                <w:szCs w:val="16"/>
              </w:rPr>
              <w:br/>
              <w:t>(g) = (e) x (f)</w:t>
            </w:r>
          </w:p>
        </w:tc>
      </w:tr>
      <w:tr w:rsidTr="00C54C6B">
        <w:tblPrEx>
          <w:tblW w:w="10800" w:type="dxa"/>
          <w:tblInd w:w="-460" w:type="dxa"/>
          <w:tblCellMar>
            <w:top w:w="15" w:type="dxa"/>
            <w:left w:w="15" w:type="dxa"/>
            <w:bottom w:w="15" w:type="dxa"/>
            <w:right w:w="15" w:type="dxa"/>
          </w:tblCellMar>
          <w:tblLook w:val="04A0"/>
        </w:tblPrEx>
        <w:trPr>
          <w:trHeight w:val="300"/>
        </w:trPr>
        <w:tc>
          <w:tcPr>
            <w:tcW w:w="1352"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C54C6B" w:rsidRPr="00C54C6B" w:rsidP="00C54C6B">
            <w:pPr>
              <w:spacing w:after="0" w:line="240" w:lineRule="auto"/>
              <w:rPr>
                <w:rFonts w:eastAsia="Times New Roman" w:cstheme="minorHAnsi"/>
                <w:sz w:val="20"/>
                <w:szCs w:val="20"/>
              </w:rPr>
            </w:pPr>
            <w:r w:rsidRPr="00C54C6B">
              <w:rPr>
                <w:rFonts w:eastAsia="Times New Roman" w:cstheme="minorHAnsi"/>
                <w:color w:val="000000"/>
                <w:sz w:val="20"/>
                <w:szCs w:val="20"/>
              </w:rPr>
              <w:t>Ocean Enterprise Survey</w:t>
            </w:r>
          </w:p>
        </w:tc>
        <w:tc>
          <w:tcPr>
            <w:tcW w:w="1108"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4C6B" w:rsidRPr="00C54C6B" w:rsidP="00C54C6B">
            <w:pPr>
              <w:spacing w:after="0" w:line="240" w:lineRule="auto"/>
              <w:jc w:val="center"/>
              <w:rPr>
                <w:rFonts w:eastAsia="Times New Roman" w:cstheme="minorHAnsi"/>
                <w:sz w:val="18"/>
                <w:szCs w:val="18"/>
              </w:rPr>
            </w:pPr>
            <w:r w:rsidRPr="00371E72">
              <w:rPr>
                <w:rFonts w:eastAsia="Times New Roman" w:cstheme="minorHAnsi"/>
                <w:sz w:val="18"/>
                <w:szCs w:val="18"/>
              </w:rPr>
              <w:t>Business &amp; Financial Operations Specialists</w:t>
            </w:r>
          </w:p>
        </w:tc>
        <w:tc>
          <w:tcPr>
            <w:tcW w:w="1494"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4C6B" w:rsidRPr="00C54C6B" w:rsidP="00C54C6B">
            <w:pPr>
              <w:spacing w:after="0" w:line="240" w:lineRule="auto"/>
              <w:jc w:val="center"/>
              <w:rPr>
                <w:rFonts w:eastAsia="Times New Roman" w:cstheme="minorHAnsi"/>
                <w:sz w:val="20"/>
                <w:szCs w:val="20"/>
              </w:rPr>
            </w:pPr>
            <w:r w:rsidRPr="00C54C6B">
              <w:rPr>
                <w:rFonts w:eastAsia="Times New Roman" w:cstheme="minorHAnsi"/>
                <w:sz w:val="20"/>
                <w:szCs w:val="20"/>
              </w:rPr>
              <w:t>315</w:t>
            </w:r>
          </w:p>
        </w:tc>
        <w:tc>
          <w:tcPr>
            <w:tcW w:w="125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4C6B" w:rsidRPr="00C54C6B" w:rsidP="00C54C6B">
            <w:pPr>
              <w:spacing w:after="0" w:line="240" w:lineRule="auto"/>
              <w:jc w:val="center"/>
              <w:rPr>
                <w:rFonts w:eastAsia="Times New Roman" w:cstheme="minorHAnsi"/>
                <w:sz w:val="20"/>
                <w:szCs w:val="20"/>
              </w:rPr>
            </w:pPr>
            <w:r w:rsidRPr="00C54C6B">
              <w:rPr>
                <w:rFonts w:eastAsia="Times New Roman" w:cstheme="minorHAnsi"/>
                <w:color w:val="000000"/>
                <w:sz w:val="20"/>
                <w:szCs w:val="20"/>
              </w:rPr>
              <w:t>1</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4C6B" w:rsidRPr="00C54C6B" w:rsidP="00C54C6B">
            <w:pPr>
              <w:spacing w:after="0" w:line="240" w:lineRule="auto"/>
              <w:jc w:val="center"/>
              <w:rPr>
                <w:rFonts w:eastAsia="Times New Roman" w:cstheme="minorHAnsi"/>
                <w:sz w:val="20"/>
                <w:szCs w:val="20"/>
              </w:rPr>
            </w:pPr>
            <w:r w:rsidRPr="00C54C6B">
              <w:rPr>
                <w:rFonts w:eastAsia="Times New Roman" w:cstheme="minorHAnsi"/>
                <w:color w:val="000000"/>
                <w:sz w:val="20"/>
                <w:szCs w:val="20"/>
              </w:rPr>
              <w:t>315</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4C6B" w:rsidRPr="00C54C6B" w:rsidP="00C54C6B">
            <w:pPr>
              <w:spacing w:after="0" w:line="240" w:lineRule="auto"/>
              <w:jc w:val="right"/>
              <w:rPr>
                <w:rFonts w:eastAsia="Times New Roman" w:cstheme="minorHAnsi"/>
                <w:sz w:val="20"/>
                <w:szCs w:val="20"/>
              </w:rPr>
            </w:pPr>
            <w:r w:rsidRPr="00C54C6B">
              <w:rPr>
                <w:rFonts w:eastAsia="Times New Roman" w:cstheme="minorHAnsi"/>
                <w:color w:val="000000"/>
                <w:sz w:val="20"/>
                <w:szCs w:val="20"/>
              </w:rPr>
              <w:t>0.5</w:t>
            </w:r>
          </w:p>
        </w:tc>
        <w:tc>
          <w:tcPr>
            <w:tcW w:w="1136"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4C6B" w:rsidRPr="00C54C6B" w:rsidP="00C54C6B">
            <w:pPr>
              <w:spacing w:after="0" w:line="240" w:lineRule="auto"/>
              <w:jc w:val="right"/>
              <w:rPr>
                <w:rFonts w:eastAsia="Times New Roman" w:cstheme="minorHAnsi"/>
                <w:sz w:val="20"/>
                <w:szCs w:val="20"/>
              </w:rPr>
            </w:pPr>
            <w:r w:rsidRPr="00C54C6B">
              <w:rPr>
                <w:rFonts w:eastAsia="Times New Roman" w:cstheme="minorHAnsi"/>
                <w:color w:val="000000"/>
                <w:sz w:val="20"/>
                <w:szCs w:val="20"/>
              </w:rPr>
              <w:t>157.5</w:t>
            </w:r>
          </w:p>
        </w:tc>
        <w:tc>
          <w:tcPr>
            <w:tcW w:w="1094"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4C6B" w:rsidRPr="00C54C6B" w:rsidP="00C54C6B">
            <w:pPr>
              <w:spacing w:after="0" w:line="240" w:lineRule="auto"/>
              <w:jc w:val="right"/>
              <w:rPr>
                <w:rFonts w:eastAsia="Times New Roman" w:cstheme="minorHAnsi"/>
                <w:sz w:val="20"/>
                <w:szCs w:val="20"/>
              </w:rPr>
            </w:pPr>
            <w:r>
              <w:rPr>
                <w:rFonts w:eastAsia="Times New Roman" w:cstheme="minorHAnsi"/>
                <w:color w:val="000000"/>
                <w:sz w:val="20"/>
                <w:szCs w:val="20"/>
              </w:rPr>
              <w:t>$39.72</w:t>
            </w:r>
            <w:r w:rsidRPr="00C54C6B">
              <w:rPr>
                <w:rFonts w:eastAsia="Times New Roman" w:cstheme="minorHAnsi"/>
                <w:color w:val="000000"/>
                <w:sz w:val="20"/>
                <w:szCs w:val="20"/>
              </w:rPr>
              <w:t> </w:t>
            </w:r>
          </w:p>
        </w:tc>
        <w:tc>
          <w:tcPr>
            <w:tcW w:w="1284"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rsidR="00C54C6B" w:rsidRPr="00C54C6B" w:rsidP="00C54C6B">
            <w:pPr>
              <w:spacing w:after="0" w:line="240" w:lineRule="auto"/>
              <w:jc w:val="right"/>
              <w:rPr>
                <w:rFonts w:eastAsia="Times New Roman" w:cstheme="minorHAnsi"/>
                <w:sz w:val="20"/>
                <w:szCs w:val="20"/>
              </w:rPr>
            </w:pPr>
            <w:r>
              <w:rPr>
                <w:rFonts w:eastAsia="Times New Roman" w:cstheme="minorHAnsi"/>
                <w:color w:val="000000"/>
                <w:sz w:val="20"/>
                <w:szCs w:val="20"/>
              </w:rPr>
              <w:t>$6,255.90</w:t>
            </w:r>
            <w:r w:rsidRPr="00C54C6B">
              <w:rPr>
                <w:rFonts w:eastAsia="Times New Roman" w:cstheme="minorHAnsi"/>
                <w:color w:val="000000"/>
                <w:sz w:val="20"/>
                <w:szCs w:val="20"/>
              </w:rPr>
              <w:t> </w:t>
            </w:r>
          </w:p>
        </w:tc>
      </w:tr>
      <w:tr w:rsidTr="00C54C6B">
        <w:tblPrEx>
          <w:tblW w:w="10800" w:type="dxa"/>
          <w:tblInd w:w="-460" w:type="dxa"/>
          <w:tblCellMar>
            <w:top w:w="15" w:type="dxa"/>
            <w:left w:w="15" w:type="dxa"/>
            <w:bottom w:w="15" w:type="dxa"/>
            <w:right w:w="15" w:type="dxa"/>
          </w:tblCellMar>
          <w:tblLook w:val="04A0"/>
        </w:tblPrEx>
        <w:trPr>
          <w:trHeight w:val="456"/>
        </w:trPr>
        <w:tc>
          <w:tcPr>
            <w:tcW w:w="1352"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center"/>
            <w:hideMark/>
          </w:tcPr>
          <w:p w:rsidR="00371E72" w:rsidRPr="00C54C6B" w:rsidP="00371E72">
            <w:pPr>
              <w:spacing w:after="0" w:line="240" w:lineRule="auto"/>
              <w:rPr>
                <w:rFonts w:eastAsia="Times New Roman" w:cstheme="minorHAnsi"/>
                <w:sz w:val="20"/>
                <w:szCs w:val="20"/>
              </w:rPr>
            </w:pPr>
            <w:r w:rsidRPr="00C54C6B">
              <w:rPr>
                <w:rFonts w:eastAsia="Times New Roman" w:cstheme="minorHAnsi"/>
                <w:b/>
                <w:bCs/>
                <w:color w:val="000000"/>
                <w:sz w:val="20"/>
                <w:szCs w:val="20"/>
              </w:rPr>
              <w:t>Totals</w:t>
            </w:r>
          </w:p>
        </w:tc>
        <w:tc>
          <w:tcPr>
            <w:tcW w:w="1108"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371E72" w:rsidRPr="00C54C6B" w:rsidP="00371E72">
            <w:pPr>
              <w:spacing w:after="0" w:line="240" w:lineRule="auto"/>
              <w:rPr>
                <w:rFonts w:eastAsia="Times New Roman" w:cstheme="minorHAnsi"/>
                <w:sz w:val="20"/>
                <w:szCs w:val="20"/>
              </w:rPr>
            </w:pPr>
            <w:r w:rsidRPr="00C54C6B">
              <w:rPr>
                <w:rFonts w:eastAsia="Times New Roman" w:cstheme="minorHAnsi"/>
                <w:b/>
                <w:bCs/>
                <w:color w:val="000000"/>
                <w:sz w:val="20"/>
                <w:szCs w:val="20"/>
              </w:rPr>
              <w:t> </w:t>
            </w:r>
          </w:p>
        </w:tc>
        <w:tc>
          <w:tcPr>
            <w:tcW w:w="1494"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371E72" w:rsidRPr="00C54C6B" w:rsidP="00371E72">
            <w:pPr>
              <w:spacing w:after="0" w:line="240" w:lineRule="auto"/>
              <w:rPr>
                <w:rFonts w:eastAsia="Times New Roman" w:cstheme="minorHAnsi"/>
                <w:sz w:val="20"/>
                <w:szCs w:val="20"/>
              </w:rPr>
            </w:pPr>
            <w:r w:rsidRPr="00C54C6B">
              <w:rPr>
                <w:rFonts w:eastAsia="Times New Roman" w:cstheme="minorHAnsi"/>
                <w:b/>
                <w:bCs/>
                <w:color w:val="000000"/>
                <w:sz w:val="20"/>
                <w:szCs w:val="20"/>
              </w:rPr>
              <w:t> </w:t>
            </w:r>
          </w:p>
        </w:tc>
        <w:tc>
          <w:tcPr>
            <w:tcW w:w="1252"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371E72" w:rsidRPr="00C54C6B" w:rsidP="00371E72">
            <w:pPr>
              <w:spacing w:after="0" w:line="240" w:lineRule="auto"/>
              <w:rPr>
                <w:rFonts w:eastAsia="Times New Roman" w:cstheme="minorHAnsi"/>
                <w:sz w:val="20"/>
                <w:szCs w:val="20"/>
              </w:rPr>
            </w:pPr>
            <w:r w:rsidRPr="00C54C6B">
              <w:rPr>
                <w:rFonts w:eastAsia="Times New Roman" w:cstheme="minorHAnsi"/>
                <w:b/>
                <w:bCs/>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center"/>
            <w:hideMark/>
          </w:tcPr>
          <w:p w:rsidR="00371E72" w:rsidRPr="00C54C6B" w:rsidP="00371E72">
            <w:pPr>
              <w:spacing w:after="0" w:line="240" w:lineRule="auto"/>
              <w:jc w:val="center"/>
              <w:rPr>
                <w:rFonts w:eastAsia="Times New Roman" w:cstheme="minorHAnsi"/>
                <w:b/>
                <w:sz w:val="20"/>
                <w:szCs w:val="20"/>
              </w:rPr>
            </w:pPr>
            <w:r w:rsidRPr="00C54C6B">
              <w:rPr>
                <w:rFonts w:eastAsia="Times New Roman" w:cstheme="minorHAnsi"/>
                <w:b/>
                <w:sz w:val="20"/>
                <w:szCs w:val="20"/>
              </w:rPr>
              <w:t>315</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371E72" w:rsidRPr="00C54C6B" w:rsidP="00371E72">
            <w:pPr>
              <w:spacing w:after="0" w:line="240" w:lineRule="auto"/>
              <w:rPr>
                <w:rFonts w:eastAsia="Times New Roman" w:cstheme="minorHAnsi"/>
                <w:sz w:val="20"/>
                <w:szCs w:val="20"/>
              </w:rPr>
            </w:pPr>
            <w:r w:rsidRPr="00C54C6B">
              <w:rPr>
                <w:rFonts w:eastAsia="Times New Roman" w:cstheme="minorHAnsi"/>
                <w:b/>
                <w:bCs/>
                <w:color w:val="000000"/>
                <w:sz w:val="20"/>
                <w:szCs w:val="20"/>
              </w:rPr>
              <w:t> </w:t>
            </w:r>
          </w:p>
        </w:tc>
        <w:tc>
          <w:tcPr>
            <w:tcW w:w="1136"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center"/>
            <w:hideMark/>
          </w:tcPr>
          <w:p w:rsidR="00371E72" w:rsidRPr="00C54C6B" w:rsidP="00371E72">
            <w:pPr>
              <w:spacing w:after="0" w:line="240" w:lineRule="auto"/>
              <w:jc w:val="right"/>
              <w:rPr>
                <w:rFonts w:eastAsia="Times New Roman" w:cstheme="minorHAnsi"/>
                <w:sz w:val="20"/>
                <w:szCs w:val="20"/>
              </w:rPr>
            </w:pPr>
            <w:r w:rsidRPr="00C54C6B">
              <w:rPr>
                <w:rFonts w:eastAsia="Times New Roman" w:cstheme="minorHAnsi"/>
                <w:b/>
                <w:bCs/>
                <w:color w:val="000000"/>
                <w:sz w:val="20"/>
                <w:szCs w:val="20"/>
              </w:rPr>
              <w:t>157.5 </w:t>
            </w:r>
          </w:p>
        </w:tc>
        <w:tc>
          <w:tcPr>
            <w:tcW w:w="1094"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371E72" w:rsidRPr="00C54C6B" w:rsidP="00371E72">
            <w:pPr>
              <w:spacing w:after="0" w:line="240" w:lineRule="auto"/>
              <w:rPr>
                <w:rFonts w:eastAsia="Times New Roman" w:cstheme="minorHAnsi"/>
                <w:sz w:val="20"/>
                <w:szCs w:val="20"/>
              </w:rPr>
            </w:pPr>
            <w:r w:rsidRPr="00C54C6B">
              <w:rPr>
                <w:rFonts w:eastAsia="Times New Roman" w:cstheme="minorHAnsi"/>
                <w:b/>
                <w:bCs/>
                <w:color w:val="000000"/>
                <w:sz w:val="20"/>
                <w:szCs w:val="20"/>
              </w:rPr>
              <w:t> </w:t>
            </w:r>
          </w:p>
        </w:tc>
        <w:tc>
          <w:tcPr>
            <w:tcW w:w="1284"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center"/>
            <w:hideMark/>
          </w:tcPr>
          <w:p w:rsidR="00371E72" w:rsidRPr="00C54C6B" w:rsidP="00371E72">
            <w:pPr>
              <w:spacing w:after="0" w:line="240" w:lineRule="auto"/>
              <w:jc w:val="right"/>
              <w:rPr>
                <w:rFonts w:eastAsia="Times New Roman" w:cstheme="minorHAnsi"/>
                <w:b/>
                <w:sz w:val="20"/>
                <w:szCs w:val="20"/>
              </w:rPr>
            </w:pPr>
            <w:r w:rsidRPr="00371E72">
              <w:rPr>
                <w:rFonts w:eastAsia="Times New Roman" w:cstheme="minorHAnsi"/>
                <w:b/>
                <w:color w:val="000000"/>
                <w:sz w:val="20"/>
                <w:szCs w:val="20"/>
              </w:rPr>
              <w:t>$6,255.90</w:t>
            </w:r>
            <w:r w:rsidRPr="00C54C6B">
              <w:rPr>
                <w:rFonts w:eastAsia="Times New Roman" w:cstheme="minorHAnsi"/>
                <w:b/>
                <w:color w:val="000000"/>
                <w:sz w:val="20"/>
                <w:szCs w:val="20"/>
              </w:rPr>
              <w:t> </w:t>
            </w:r>
          </w:p>
        </w:tc>
      </w:tr>
    </w:tbl>
    <w:p w:rsidR="001A66B8" w:rsidRPr="00371E72" w:rsidP="001A66B8">
      <w:pPr>
        <w:ind w:left="270"/>
        <w:rPr>
          <w:rFonts w:ascii="Times New Roman" w:hAnsi="Times New Roman" w:cs="Times New Roman"/>
          <w:b/>
          <w:sz w:val="20"/>
          <w:szCs w:val="20"/>
        </w:rPr>
      </w:pPr>
      <w:r w:rsidRPr="00371E72">
        <w:rPr>
          <w:rFonts w:ascii="Times New Roman" w:hAnsi="Times New Roman" w:cs="Times New Roman"/>
          <w:b/>
          <w:sz w:val="20"/>
          <w:szCs w:val="20"/>
        </w:rPr>
        <w:t>The mean hourly wage for Business &amp; Financial Operations Specialists (13-0000) from the BLS Occupational Employme</w:t>
      </w:r>
      <w:r>
        <w:rPr>
          <w:rFonts w:ascii="Times New Roman" w:hAnsi="Times New Roman" w:cs="Times New Roman"/>
          <w:b/>
          <w:sz w:val="20"/>
          <w:szCs w:val="20"/>
        </w:rPr>
        <w:t>nt and Wage Statistics was used.</w:t>
      </w:r>
    </w:p>
    <w:p w:rsidR="00C54C6B" w:rsidRPr="006230E3" w:rsidP="001A66B8">
      <w:pPr>
        <w:ind w:left="270"/>
        <w:rPr>
          <w:rFonts w:ascii="Times New Roman" w:hAnsi="Times New Roman" w:cs="Times New Roman"/>
          <w:b/>
          <w:sz w:val="24"/>
          <w:szCs w:val="24"/>
        </w:rPr>
      </w:pPr>
    </w:p>
    <w:p w:rsidR="001A66B8" w:rsidRPr="00F05659" w:rsidP="001A66B8">
      <w:pPr>
        <w:numPr>
          <w:ilvl w:val="0"/>
          <w:numId w:val="1"/>
        </w:numPr>
        <w:ind w:left="360" w:hanging="449"/>
        <w:rPr>
          <w:rFonts w:ascii="Times New Roman" w:hAnsi="Times New Roman" w:cs="Times New Roman"/>
          <w:b/>
          <w:sz w:val="24"/>
          <w:szCs w:val="24"/>
        </w:rPr>
      </w:pPr>
      <w:r w:rsidRPr="00F05659">
        <w:rPr>
          <w:rFonts w:ascii="Times New Roman" w:hAnsi="Times New Roman" w:cs="Times New Roman"/>
          <w:b/>
          <w:bCs/>
          <w:color w:val="000000"/>
          <w:sz w:val="24"/>
          <w:szCs w:val="24"/>
        </w:rPr>
        <w:t>Provide an estimate for the total annual cost burden to respondents or record keepers resulting from the collection of information. (Do not include the cost of any hour burden already reflected on the burden worksheet</w:t>
      </w:r>
      <w:r w:rsidRPr="00F05659">
        <w:rPr>
          <w:rFonts w:ascii="Times New Roman" w:hAnsi="Times New Roman" w:cs="Times New Roman"/>
          <w:b/>
          <w:bCs/>
          <w:color w:val="000000"/>
          <w:sz w:val="24"/>
          <w:szCs w:val="24"/>
        </w:rPr>
        <w:t>)</w:t>
      </w:r>
      <w:r w:rsidRPr="00F05659" w:rsidR="006230E3">
        <w:rPr>
          <w:rFonts w:ascii="Times New Roman" w:hAnsi="Times New Roman" w:cs="Times New Roman"/>
          <w:b/>
          <w:sz w:val="24"/>
          <w:szCs w:val="24"/>
        </w:rPr>
        <w:t>.</w:t>
      </w:r>
    </w:p>
    <w:p w:rsidR="001A66B8" w:rsidRPr="001A66B8" w:rsidP="001A66B8">
      <w:pPr>
        <w:ind w:left="360"/>
        <w:rPr>
          <w:rFonts w:ascii="Times New Roman" w:hAnsi="Times New Roman" w:cs="Times New Roman"/>
          <w:b/>
          <w:sz w:val="24"/>
          <w:szCs w:val="24"/>
        </w:rPr>
      </w:pPr>
      <w:r w:rsidRPr="001A66B8">
        <w:rPr>
          <w:rFonts w:ascii="Times New Roman" w:hAnsi="Times New Roman" w:cs="Times New Roman"/>
          <w:color w:val="000000"/>
          <w:sz w:val="24"/>
          <w:szCs w:val="24"/>
        </w:rPr>
        <w:t>There are no recordkeeping/reporting costs.</w:t>
      </w:r>
    </w:p>
    <w:p w:rsidR="006230E3" w:rsidRPr="006230E3" w:rsidP="006230E3">
      <w:pPr>
        <w:rPr>
          <w:rFonts w:ascii="Times New Roman" w:hAnsi="Times New Roman" w:cs="Times New Roman"/>
          <w:b/>
          <w:sz w:val="24"/>
          <w:szCs w:val="24"/>
        </w:rPr>
      </w:pPr>
    </w:p>
    <w:p w:rsidR="006230E3" w:rsidRPr="00F05659" w:rsidP="001A66B8">
      <w:pPr>
        <w:numPr>
          <w:ilvl w:val="0"/>
          <w:numId w:val="1"/>
        </w:numPr>
        <w:ind w:left="360" w:hanging="449"/>
        <w:rPr>
          <w:rFonts w:ascii="Times New Roman" w:hAnsi="Times New Roman" w:cs="Times New Roman"/>
          <w:b/>
          <w:sz w:val="24"/>
          <w:szCs w:val="24"/>
        </w:rPr>
      </w:pPr>
      <w:bookmarkStart w:id="0" w:name="_GoBack"/>
      <w:r w:rsidRPr="00F05659">
        <w:rPr>
          <w:rFonts w:ascii="Times New Roman" w:hAnsi="Times New Roman" w:cs="Times New Roman"/>
          <w:b/>
          <w:bCs/>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F05659">
        <w:rPr>
          <w:rFonts w:ascii="Times New Roman" w:hAnsi="Times New Roman" w:cs="Times New Roman"/>
          <w:b/>
          <w:sz w:val="24"/>
          <w:szCs w:val="24"/>
        </w:rPr>
        <w:t>.</w:t>
      </w:r>
    </w:p>
    <w:bookmarkEnd w:id="0"/>
    <w:p w:rsidR="001A66B8" w:rsidRPr="001A66B8" w:rsidP="001A66B8">
      <w:pPr>
        <w:spacing w:after="0" w:line="240" w:lineRule="auto"/>
        <w:ind w:left="360"/>
        <w:rPr>
          <w:rFonts w:ascii="Times New Roman" w:eastAsia="Times New Roman" w:hAnsi="Times New Roman" w:cs="Times New Roman"/>
          <w:sz w:val="24"/>
          <w:szCs w:val="24"/>
        </w:rPr>
      </w:pPr>
      <w:r w:rsidRPr="001A66B8">
        <w:rPr>
          <w:rFonts w:ascii="Times New Roman" w:eastAsia="Times New Roman" w:hAnsi="Times New Roman" w:cs="Times New Roman"/>
          <w:color w:val="000000"/>
          <w:sz w:val="24"/>
          <w:szCs w:val="24"/>
        </w:rPr>
        <w:t xml:space="preserve">The total estimated cost for this project is $630,000.  Annualized estimate is $210,000 per year over a </w:t>
      </w:r>
      <w:r w:rsidRPr="001A66B8" w:rsidR="00714472">
        <w:rPr>
          <w:rFonts w:ascii="Times New Roman" w:eastAsia="Times New Roman" w:hAnsi="Times New Roman" w:cs="Times New Roman"/>
          <w:color w:val="000000"/>
          <w:sz w:val="24"/>
          <w:szCs w:val="24"/>
        </w:rPr>
        <w:t>three-year</w:t>
      </w:r>
      <w:r w:rsidRPr="001A66B8">
        <w:rPr>
          <w:rFonts w:ascii="Times New Roman" w:eastAsia="Times New Roman" w:hAnsi="Times New Roman" w:cs="Times New Roman"/>
          <w:color w:val="000000"/>
          <w:sz w:val="24"/>
          <w:szCs w:val="24"/>
        </w:rPr>
        <w:t xml:space="preserve"> period. The increase since last submission of this information collection is due to the increased contract costs estimated over 2-3 years for the information collection.  Additionally, employee labor and materials for analyzing (excluding regulatory analyses), evaluating, summarizing, and/or reporting on the collected information are anticipated to be higher in order to analyze comparisons and trend data.</w:t>
      </w:r>
    </w:p>
    <w:p w:rsidR="001A66B8" w:rsidRPr="001A66B8" w:rsidP="001A66B8">
      <w:pPr>
        <w:spacing w:after="240" w:line="240" w:lineRule="auto"/>
        <w:rPr>
          <w:rFonts w:ascii="Times New Roman" w:eastAsia="Times New Roman" w:hAnsi="Times New Roman" w:cs="Times New Roman"/>
          <w:sz w:val="24"/>
          <w:szCs w:val="24"/>
        </w:rPr>
      </w:pPr>
    </w:p>
    <w:tbl>
      <w:tblPr>
        <w:tblW w:w="0" w:type="auto"/>
        <w:tblInd w:w="350" w:type="dxa"/>
        <w:tblCellMar>
          <w:top w:w="15" w:type="dxa"/>
          <w:left w:w="15" w:type="dxa"/>
          <w:bottom w:w="15" w:type="dxa"/>
          <w:right w:w="15" w:type="dxa"/>
        </w:tblCellMar>
        <w:tblLook w:val="04A0"/>
      </w:tblPr>
      <w:tblGrid>
        <w:gridCol w:w="2394"/>
        <w:gridCol w:w="897"/>
        <w:gridCol w:w="1517"/>
        <w:gridCol w:w="822"/>
        <w:gridCol w:w="1575"/>
        <w:gridCol w:w="1963"/>
      </w:tblGrid>
      <w:tr w:rsidTr="001A66B8">
        <w:tblPrEx>
          <w:tblW w:w="0" w:type="auto"/>
          <w:tblInd w:w="350" w:type="dxa"/>
          <w:tblCellMar>
            <w:top w:w="15" w:type="dxa"/>
            <w:left w:w="15" w:type="dxa"/>
            <w:bottom w:w="15" w:type="dxa"/>
            <w:right w:w="15" w:type="dxa"/>
          </w:tblCellMar>
          <w:tblLook w:val="04A0"/>
        </w:tblPrEx>
        <w:trPr>
          <w:trHeight w:val="450"/>
        </w:trPr>
        <w:tc>
          <w:tcPr>
            <w:tcW w:w="0" w:type="auto"/>
            <w:tcBorders>
              <w:top w:val="single" w:sz="8" w:space="0" w:color="000000"/>
              <w:left w:val="single" w:sz="8" w:space="0" w:color="000000"/>
              <w:bottom w:val="single" w:sz="4" w:space="0" w:color="000000"/>
              <w:right w:val="single" w:sz="8" w:space="0" w:color="000000"/>
            </w:tcBorders>
            <w:shd w:val="clear" w:color="auto" w:fill="BDD7EE"/>
            <w:vAlign w:val="center"/>
            <w:hideMark/>
          </w:tcPr>
          <w:p w:rsidR="001A66B8" w:rsidRPr="00714472" w:rsidP="001A66B8">
            <w:pPr>
              <w:spacing w:after="0" w:line="240" w:lineRule="auto"/>
              <w:jc w:val="center"/>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Cost Descriptions</w:t>
            </w:r>
          </w:p>
        </w:tc>
        <w:tc>
          <w:tcPr>
            <w:tcW w:w="0" w:type="auto"/>
            <w:tcBorders>
              <w:top w:val="single" w:sz="8" w:space="0" w:color="000000"/>
              <w:left w:val="single" w:sz="8" w:space="0" w:color="000000"/>
              <w:bottom w:val="single" w:sz="4" w:space="0" w:color="000000"/>
              <w:right w:val="single" w:sz="8" w:space="0" w:color="000000"/>
            </w:tcBorders>
            <w:shd w:val="clear" w:color="auto" w:fill="BDD7EE"/>
            <w:vAlign w:val="center"/>
            <w:hideMark/>
          </w:tcPr>
          <w:p w:rsidR="001A66B8" w:rsidRPr="00714472" w:rsidP="001A66B8">
            <w:pPr>
              <w:spacing w:after="0" w:line="240" w:lineRule="auto"/>
              <w:jc w:val="center"/>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Grade/Step</w:t>
            </w:r>
          </w:p>
        </w:tc>
        <w:tc>
          <w:tcPr>
            <w:tcW w:w="0" w:type="auto"/>
            <w:tcBorders>
              <w:top w:val="single" w:sz="8" w:space="0" w:color="000000"/>
              <w:left w:val="single" w:sz="8" w:space="0" w:color="000000"/>
              <w:bottom w:val="single" w:sz="4" w:space="0" w:color="000000"/>
              <w:right w:val="single" w:sz="8" w:space="0" w:color="000000"/>
            </w:tcBorders>
            <w:shd w:val="clear" w:color="auto" w:fill="BDD7EE"/>
            <w:vAlign w:val="center"/>
            <w:hideMark/>
          </w:tcPr>
          <w:p w:rsidR="001A66B8" w:rsidRPr="00714472" w:rsidP="001A66B8">
            <w:pPr>
              <w:spacing w:after="0" w:line="240" w:lineRule="auto"/>
              <w:jc w:val="center"/>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Loaded Salary /Cost</w:t>
            </w:r>
          </w:p>
        </w:tc>
        <w:tc>
          <w:tcPr>
            <w:tcW w:w="0" w:type="auto"/>
            <w:tcBorders>
              <w:top w:val="single" w:sz="8" w:space="0" w:color="000000"/>
              <w:left w:val="single" w:sz="8" w:space="0" w:color="000000"/>
              <w:bottom w:val="single" w:sz="4" w:space="0" w:color="000000"/>
              <w:right w:val="single" w:sz="8" w:space="0" w:color="000000"/>
            </w:tcBorders>
            <w:shd w:val="clear" w:color="auto" w:fill="BDD7EE"/>
            <w:vAlign w:val="center"/>
            <w:hideMark/>
          </w:tcPr>
          <w:p w:rsidR="001A66B8" w:rsidRPr="00714472" w:rsidP="001A66B8">
            <w:pPr>
              <w:spacing w:after="0" w:line="240" w:lineRule="auto"/>
              <w:jc w:val="center"/>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 of Effort</w:t>
            </w:r>
          </w:p>
        </w:tc>
        <w:tc>
          <w:tcPr>
            <w:tcW w:w="0" w:type="auto"/>
            <w:tcBorders>
              <w:top w:val="single" w:sz="8" w:space="0" w:color="000000"/>
              <w:left w:val="single" w:sz="8" w:space="0" w:color="000000"/>
              <w:bottom w:val="single" w:sz="4" w:space="0" w:color="000000"/>
              <w:right w:val="single" w:sz="8" w:space="0" w:color="000000"/>
            </w:tcBorders>
            <w:shd w:val="clear" w:color="auto" w:fill="BDD7EE"/>
            <w:vAlign w:val="center"/>
            <w:hideMark/>
          </w:tcPr>
          <w:p w:rsidR="001A66B8" w:rsidRPr="00714472" w:rsidP="001A66B8">
            <w:pPr>
              <w:spacing w:after="0" w:line="240" w:lineRule="auto"/>
              <w:jc w:val="center"/>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Fringe (if Applicable)</w:t>
            </w:r>
          </w:p>
        </w:tc>
        <w:tc>
          <w:tcPr>
            <w:tcW w:w="0" w:type="auto"/>
            <w:tcBorders>
              <w:top w:val="single" w:sz="8" w:space="0" w:color="000000"/>
              <w:left w:val="single" w:sz="8" w:space="0" w:color="000000"/>
              <w:bottom w:val="single" w:sz="4" w:space="0" w:color="000000"/>
              <w:right w:val="single" w:sz="8" w:space="0" w:color="000000"/>
            </w:tcBorders>
            <w:shd w:val="clear" w:color="auto" w:fill="BDD7EE"/>
            <w:vAlign w:val="center"/>
            <w:hideMark/>
          </w:tcPr>
          <w:p w:rsidR="001A66B8" w:rsidRPr="00714472" w:rsidP="001A66B8">
            <w:pPr>
              <w:spacing w:after="0" w:line="240" w:lineRule="auto"/>
              <w:jc w:val="center"/>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Total Cost to Government</w:t>
            </w:r>
          </w:p>
        </w:tc>
      </w:tr>
      <w:tr w:rsidTr="001A66B8">
        <w:tblPrEx>
          <w:tblW w:w="0" w:type="auto"/>
          <w:tblInd w:w="350" w:type="dxa"/>
          <w:tblCellMar>
            <w:top w:w="15" w:type="dxa"/>
            <w:left w:w="15" w:type="dxa"/>
            <w:bottom w:w="15" w:type="dxa"/>
            <w:right w:w="15" w:type="dxa"/>
          </w:tblCellMar>
          <w:tblLook w:val="04A0"/>
        </w:tblPrEx>
        <w:trPr>
          <w:trHeight w:val="465"/>
        </w:trPr>
        <w:tc>
          <w:tcPr>
            <w:tcW w:w="0" w:type="auto"/>
            <w:tcBorders>
              <w:top w:val="single" w:sz="4" w:space="0" w:color="000000"/>
              <w:left w:val="single" w:sz="8" w:space="0" w:color="000000"/>
              <w:bottom w:val="single" w:sz="4" w:space="0" w:color="000000"/>
              <w:right w:val="single" w:sz="8"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Federal Oversight per year</w:t>
            </w:r>
          </w:p>
        </w:tc>
        <w:tc>
          <w:tcPr>
            <w:tcW w:w="0" w:type="auto"/>
            <w:tcBorders>
              <w:top w:val="single" w:sz="4" w:space="0" w:color="000000"/>
              <w:left w:val="single" w:sz="8" w:space="0" w:color="000000"/>
              <w:bottom w:val="single" w:sz="4" w:space="0" w:color="000000"/>
              <w:right w:val="single" w:sz="4"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13/14</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150,000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33</w:t>
            </w:r>
          </w:p>
        </w:tc>
        <w:tc>
          <w:tcPr>
            <w:tcW w:w="0" w:type="auto"/>
            <w:tcBorders>
              <w:top w:val="single" w:sz="4" w:space="0" w:color="000000"/>
              <w:left w:val="single" w:sz="4" w:space="0" w:color="000000"/>
              <w:bottom w:val="single" w:sz="4"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4" w:space="0" w:color="000000"/>
              <w:right w:val="single" w:sz="8"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55,000</w:t>
            </w:r>
          </w:p>
        </w:tc>
      </w:tr>
      <w:tr w:rsidTr="001A66B8">
        <w:tblPrEx>
          <w:tblW w:w="0" w:type="auto"/>
          <w:tblInd w:w="350" w:type="dxa"/>
          <w:tblCellMar>
            <w:top w:w="15" w:type="dxa"/>
            <w:left w:w="15" w:type="dxa"/>
            <w:bottom w:w="15" w:type="dxa"/>
            <w:right w:w="15" w:type="dxa"/>
          </w:tblCellMar>
          <w:tblLook w:val="04A0"/>
        </w:tblPrEx>
        <w:trPr>
          <w:trHeight w:val="300"/>
        </w:trPr>
        <w:tc>
          <w:tcPr>
            <w:tcW w:w="0" w:type="auto"/>
            <w:tcBorders>
              <w:top w:val="single" w:sz="4" w:space="0" w:color="000000"/>
              <w:left w:val="single" w:sz="8" w:space="0" w:color="000000"/>
              <w:bottom w:val="single" w:sz="4" w:space="0" w:color="000000"/>
              <w:right w:val="single" w:sz="8"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Other Federal Positions per year</w:t>
            </w:r>
          </w:p>
        </w:tc>
        <w:tc>
          <w:tcPr>
            <w:tcW w:w="0" w:type="auto"/>
            <w:tcBorders>
              <w:top w:val="single" w:sz="4" w:space="0" w:color="000000"/>
              <w:left w:val="single" w:sz="8" w:space="0" w:color="000000"/>
              <w:bottom w:val="single" w:sz="4" w:space="0" w:color="000000"/>
              <w:right w:val="single" w:sz="4"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11/12</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110,000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50</w:t>
            </w:r>
          </w:p>
        </w:tc>
        <w:tc>
          <w:tcPr>
            <w:tcW w:w="0" w:type="auto"/>
            <w:tcBorders>
              <w:top w:val="single" w:sz="4" w:space="0" w:color="000000"/>
              <w:left w:val="single" w:sz="4" w:space="0" w:color="000000"/>
              <w:bottom w:val="single" w:sz="4"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4" w:space="0" w:color="000000"/>
              <w:right w:val="single" w:sz="8"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55,000</w:t>
            </w:r>
          </w:p>
        </w:tc>
      </w:tr>
      <w:tr w:rsidTr="001A66B8">
        <w:tblPrEx>
          <w:tblW w:w="0" w:type="auto"/>
          <w:tblInd w:w="350" w:type="dxa"/>
          <w:tblCellMar>
            <w:top w:w="15" w:type="dxa"/>
            <w:left w:w="15" w:type="dxa"/>
            <w:bottom w:w="15" w:type="dxa"/>
            <w:right w:w="15" w:type="dxa"/>
          </w:tblCellMar>
          <w:tblLook w:val="04A0"/>
        </w:tblPrEx>
        <w:trPr>
          <w:trHeight w:val="465"/>
        </w:trPr>
        <w:tc>
          <w:tcPr>
            <w:tcW w:w="0" w:type="auto"/>
            <w:tcBorders>
              <w:top w:val="single" w:sz="4" w:space="0" w:color="000000"/>
              <w:left w:val="single" w:sz="8" w:space="0" w:color="000000"/>
              <w:bottom w:val="single" w:sz="4" w:space="0" w:color="000000"/>
              <w:right w:val="single" w:sz="8"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Contractor Cost per year</w:t>
            </w:r>
          </w:p>
        </w:tc>
        <w:tc>
          <w:tcPr>
            <w:tcW w:w="0" w:type="auto"/>
            <w:tcBorders>
              <w:top w:val="single" w:sz="4" w:space="0" w:color="000000"/>
              <w:left w:val="single" w:sz="8" w:space="0" w:color="000000"/>
              <w:bottom w:val="single" w:sz="4"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200,000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50</w:t>
            </w:r>
          </w:p>
        </w:tc>
        <w:tc>
          <w:tcPr>
            <w:tcW w:w="0" w:type="auto"/>
            <w:tcBorders>
              <w:top w:val="single" w:sz="4" w:space="0" w:color="000000"/>
              <w:left w:val="single" w:sz="4" w:space="0" w:color="000000"/>
              <w:bottom w:val="single" w:sz="4" w:space="0" w:color="000000"/>
              <w:right w:val="single" w:sz="4"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N/A</w:t>
            </w:r>
          </w:p>
        </w:tc>
        <w:tc>
          <w:tcPr>
            <w:tcW w:w="0" w:type="auto"/>
            <w:tcBorders>
              <w:top w:val="single" w:sz="4" w:space="0" w:color="000000"/>
              <w:left w:val="single" w:sz="4" w:space="0" w:color="000000"/>
              <w:bottom w:val="single" w:sz="4" w:space="0" w:color="000000"/>
              <w:right w:val="single" w:sz="8"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100,000</w:t>
            </w:r>
          </w:p>
        </w:tc>
      </w:tr>
      <w:tr w:rsidTr="001A66B8">
        <w:tblPrEx>
          <w:tblW w:w="0" w:type="auto"/>
          <w:tblInd w:w="350" w:type="dxa"/>
          <w:tblCellMar>
            <w:top w:w="15" w:type="dxa"/>
            <w:left w:w="15" w:type="dxa"/>
            <w:bottom w:w="15" w:type="dxa"/>
            <w:right w:w="15" w:type="dxa"/>
          </w:tblCellMar>
          <w:tblLook w:val="04A0"/>
        </w:tblPrEx>
        <w:trPr>
          <w:trHeight w:val="300"/>
        </w:trPr>
        <w:tc>
          <w:tcPr>
            <w:tcW w:w="0" w:type="auto"/>
            <w:tcBorders>
              <w:top w:val="single" w:sz="4" w:space="0" w:color="000000"/>
              <w:left w:val="single" w:sz="8" w:space="0" w:color="000000"/>
              <w:bottom w:val="single" w:sz="4" w:space="0" w:color="000000"/>
              <w:right w:val="single" w:sz="8"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Travel</w:t>
            </w:r>
          </w:p>
        </w:tc>
        <w:tc>
          <w:tcPr>
            <w:tcW w:w="0" w:type="auto"/>
            <w:tcBorders>
              <w:top w:val="single" w:sz="4" w:space="0" w:color="000000"/>
              <w:left w:val="single" w:sz="8" w:space="0" w:color="000000"/>
              <w:bottom w:val="single" w:sz="4"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4" w:space="0" w:color="000000"/>
              <w:right w:val="single" w:sz="8"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0</w:t>
            </w:r>
          </w:p>
        </w:tc>
      </w:tr>
      <w:tr w:rsidTr="001A66B8">
        <w:tblPrEx>
          <w:tblW w:w="0" w:type="auto"/>
          <w:tblInd w:w="350" w:type="dxa"/>
          <w:tblCellMar>
            <w:top w:w="15" w:type="dxa"/>
            <w:left w:w="15" w:type="dxa"/>
            <w:bottom w:w="15" w:type="dxa"/>
            <w:right w:w="15" w:type="dxa"/>
          </w:tblCellMar>
          <w:tblLook w:val="04A0"/>
        </w:tblPrEx>
        <w:trPr>
          <w:trHeight w:val="525"/>
        </w:trPr>
        <w:tc>
          <w:tcPr>
            <w:tcW w:w="0" w:type="auto"/>
            <w:tcBorders>
              <w:top w:val="single" w:sz="4" w:space="0" w:color="000000"/>
              <w:left w:val="single" w:sz="8" w:space="0" w:color="000000"/>
              <w:bottom w:val="single" w:sz="8" w:space="0" w:color="000000"/>
              <w:right w:val="single" w:sz="8" w:space="0" w:color="000000"/>
            </w:tcBorders>
            <w:vAlign w:val="center"/>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Other Costs: </w:t>
            </w:r>
          </w:p>
        </w:tc>
        <w:tc>
          <w:tcPr>
            <w:tcW w:w="0" w:type="auto"/>
            <w:tcBorders>
              <w:top w:val="single" w:sz="4" w:space="0" w:color="000000"/>
              <w:left w:val="single" w:sz="8" w:space="0" w:color="000000"/>
              <w:bottom w:val="single" w:sz="8"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8"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8"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8" w:space="0" w:color="000000"/>
              <w:right w:val="single" w:sz="4"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4" w:space="0" w:color="000000"/>
              <w:left w:val="single" w:sz="4" w:space="0" w:color="000000"/>
              <w:bottom w:val="single" w:sz="8" w:space="0" w:color="000000"/>
              <w:right w:val="single" w:sz="8" w:space="0" w:color="000000"/>
            </w:tcBorders>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0</w:t>
            </w:r>
          </w:p>
        </w:tc>
      </w:tr>
      <w:tr w:rsidTr="001A66B8">
        <w:tblPrEx>
          <w:tblW w:w="0" w:type="auto"/>
          <w:tblInd w:w="350" w:type="dxa"/>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DDEBF7"/>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TOTAL Per year </w:t>
            </w:r>
          </w:p>
        </w:tc>
        <w:tc>
          <w:tcPr>
            <w:tcW w:w="0" w:type="auto"/>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757171"/>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color w:val="000000"/>
                <w:sz w:val="18"/>
                <w:szCs w:val="18"/>
              </w:rPr>
              <w:t> 210,000</w:t>
            </w:r>
          </w:p>
        </w:tc>
      </w:tr>
      <w:tr w:rsidTr="001A66B8">
        <w:tblPrEx>
          <w:tblW w:w="0" w:type="auto"/>
          <w:tblInd w:w="350" w:type="dxa"/>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DDEBF7"/>
            <w:vAlign w:val="bottom"/>
            <w:hideMark/>
          </w:tcPr>
          <w:p w:rsidR="001A66B8" w:rsidRPr="00714472" w:rsidP="001A66B8">
            <w:pPr>
              <w:spacing w:after="0" w:line="240" w:lineRule="auto"/>
              <w:rPr>
                <w:rFonts w:ascii="Times New Roman" w:eastAsia="Times New Roman" w:hAnsi="Times New Roman" w:cs="Times New Roman"/>
                <w:sz w:val="18"/>
                <w:szCs w:val="18"/>
              </w:rPr>
            </w:pPr>
            <w:r w:rsidRPr="00714472">
              <w:rPr>
                <w:rFonts w:ascii="Calibri" w:eastAsia="Times New Roman" w:hAnsi="Calibri" w:cs="Calibri"/>
                <w:b/>
                <w:bCs/>
                <w:color w:val="000000"/>
                <w:sz w:val="18"/>
                <w:szCs w:val="18"/>
              </w:rPr>
              <w:t>TOTAL over 3 years</w:t>
            </w:r>
          </w:p>
        </w:tc>
        <w:tc>
          <w:tcPr>
            <w:tcW w:w="0" w:type="auto"/>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1A66B8" w:rsidRPr="00714472" w:rsidP="001A66B8">
            <w:pPr>
              <w:spacing w:after="0" w:line="240" w:lineRule="auto"/>
              <w:rPr>
                <w:rFonts w:ascii="Times New Roman" w:eastAsia="Times New Roman" w:hAnsi="Times New Roman" w:cs="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757171"/>
            <w:vAlign w:val="bottom"/>
            <w:hideMark/>
          </w:tcPr>
          <w:p w:rsidR="001A66B8" w:rsidRPr="00714472" w:rsidP="001A66B8">
            <w:pPr>
              <w:spacing w:after="0" w:line="240" w:lineRule="auto"/>
              <w:rPr>
                <w:rFonts w:ascii="Times New Roman" w:eastAsia="Times New Roman" w:hAnsi="Times New Roman" w:cs="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DDEBF7"/>
            <w:vAlign w:val="bottom"/>
            <w:hideMark/>
          </w:tcPr>
          <w:p w:rsidR="001A66B8" w:rsidRPr="00714472" w:rsidP="001A66B8">
            <w:pPr>
              <w:spacing w:after="0" w:line="240" w:lineRule="auto"/>
              <w:rPr>
                <w:rFonts w:ascii="Times New Roman" w:eastAsia="Times New Roman" w:hAnsi="Times New Roman" w:cs="Times New Roman"/>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DDEBF7"/>
            <w:vAlign w:val="bottom"/>
            <w:hideMark/>
          </w:tcPr>
          <w:p w:rsidR="001A66B8" w:rsidRPr="00714472" w:rsidP="001A66B8">
            <w:pPr>
              <w:spacing w:after="0" w:line="240" w:lineRule="auto"/>
              <w:rPr>
                <w:rFonts w:ascii="Times New Roman" w:eastAsia="Times New Roman" w:hAnsi="Times New Roman" w:cs="Times New Roman"/>
                <w:b/>
                <w:sz w:val="18"/>
                <w:szCs w:val="18"/>
              </w:rPr>
            </w:pPr>
            <w:r w:rsidRPr="00714472">
              <w:rPr>
                <w:rFonts w:ascii="Calibri" w:eastAsia="Times New Roman" w:hAnsi="Calibri" w:cs="Calibri"/>
                <w:b/>
                <w:color w:val="000000"/>
                <w:sz w:val="18"/>
                <w:szCs w:val="18"/>
              </w:rPr>
              <w:t>630,000</w:t>
            </w:r>
          </w:p>
        </w:tc>
      </w:tr>
    </w:tbl>
    <w:p w:rsidR="006230E3" w:rsidRPr="006230E3" w:rsidP="006230E3">
      <w:pPr>
        <w:rPr>
          <w:rFonts w:ascii="Times New Roman" w:hAnsi="Times New Roman" w:cs="Times New Roman"/>
          <w:b/>
          <w:sz w:val="24"/>
          <w:szCs w:val="24"/>
        </w:rPr>
      </w:pPr>
    </w:p>
    <w:p w:rsidR="00714472" w:rsidP="001A66B8">
      <w:pPr>
        <w:numPr>
          <w:ilvl w:val="0"/>
          <w:numId w:val="1"/>
        </w:numPr>
        <w:ind w:left="360" w:hanging="449"/>
        <w:rPr>
          <w:rFonts w:ascii="Times New Roman" w:hAnsi="Times New Roman" w:cs="Times New Roman"/>
          <w:b/>
          <w:sz w:val="24"/>
          <w:szCs w:val="24"/>
        </w:rPr>
      </w:pPr>
      <w:r w:rsidRPr="00714472">
        <w:rPr>
          <w:rFonts w:ascii="Times New Roman" w:hAnsi="Times New Roman" w:cs="Times New Roman"/>
          <w:b/>
          <w:bCs/>
          <w:color w:val="000000"/>
          <w:sz w:val="24"/>
          <w:szCs w:val="24"/>
        </w:rPr>
        <w:t>Explain the reasons for any program changes or adjustments reported in ROCIS.</w:t>
      </w:r>
      <w:r w:rsidRPr="00714472">
        <w:rPr>
          <w:rFonts w:ascii="Times New Roman" w:hAnsi="Times New Roman" w:cs="Times New Roman"/>
          <w:b/>
          <w:sz w:val="24"/>
          <w:szCs w:val="24"/>
        </w:rPr>
        <w:t xml:space="preserve"> </w:t>
      </w:r>
    </w:p>
    <w:p w:rsidR="00714472" w:rsidP="00714472">
      <w:pPr>
        <w:ind w:left="360"/>
        <w:rPr>
          <w:rFonts w:ascii="Times New Roman" w:hAnsi="Times New Roman" w:cs="Times New Roman"/>
          <w:sz w:val="24"/>
          <w:szCs w:val="24"/>
        </w:rPr>
      </w:pPr>
      <w:r w:rsidRPr="00714472">
        <w:rPr>
          <w:rFonts w:ascii="Times New Roman" w:hAnsi="Times New Roman" w:cs="Times New Roman"/>
          <w:sz w:val="24"/>
          <w:szCs w:val="24"/>
        </w:rPr>
        <w:t>There are no changes to this information collection.</w:t>
      </w:r>
    </w:p>
    <w:p w:rsidR="00714472" w:rsidRPr="00714472" w:rsidP="00714472">
      <w:pPr>
        <w:ind w:left="360"/>
        <w:rPr>
          <w:rFonts w:ascii="Times New Roman" w:hAnsi="Times New Roman" w:cs="Times New Roman"/>
          <w:sz w:val="24"/>
          <w:szCs w:val="24"/>
        </w:rPr>
      </w:pPr>
    </w:p>
    <w:p w:rsidR="006230E3" w:rsidRPr="006230E3" w:rsidP="001A66B8">
      <w:pPr>
        <w:numPr>
          <w:ilvl w:val="0"/>
          <w:numId w:val="1"/>
        </w:numPr>
        <w:ind w:left="360" w:hanging="449"/>
        <w:rPr>
          <w:rFonts w:ascii="Times New Roman" w:hAnsi="Times New Roman" w:cs="Times New Roman"/>
          <w:b/>
          <w:sz w:val="24"/>
          <w:szCs w:val="24"/>
        </w:rPr>
      </w:pPr>
      <w:r w:rsidRPr="006230E3">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230E3" w:rsidRPr="006230E3" w:rsidP="001A66B8">
      <w:pPr>
        <w:ind w:left="360"/>
        <w:rPr>
          <w:rFonts w:ascii="Times New Roman" w:hAnsi="Times New Roman" w:cs="Times New Roman"/>
          <w:sz w:val="24"/>
          <w:szCs w:val="24"/>
        </w:rPr>
      </w:pPr>
      <w:r w:rsidRPr="006230E3">
        <w:rPr>
          <w:rFonts w:ascii="Times New Roman" w:hAnsi="Times New Roman" w:cs="Times New Roman"/>
          <w:sz w:val="24"/>
          <w:szCs w:val="24"/>
        </w:rPr>
        <w:t xml:space="preserve">No complex hypothesis testing or statistical tests are planned. Our analysis will be descriptive, describing proportions of respondents who chose each specific answer. Data collection will take place over a </w:t>
      </w:r>
      <w:r w:rsidRPr="006230E3" w:rsidR="00714472">
        <w:rPr>
          <w:rFonts w:ascii="Times New Roman" w:hAnsi="Times New Roman" w:cs="Times New Roman"/>
          <w:sz w:val="24"/>
          <w:szCs w:val="24"/>
        </w:rPr>
        <w:t>five-month</w:t>
      </w:r>
      <w:r w:rsidRPr="006230E3">
        <w:rPr>
          <w:rFonts w:ascii="Times New Roman" w:hAnsi="Times New Roman" w:cs="Times New Roman"/>
          <w:sz w:val="24"/>
          <w:szCs w:val="24"/>
        </w:rPr>
        <w:t xml:space="preserve"> period and is anticipated to occur in April-September of 2025. </w:t>
      </w:r>
    </w:p>
    <w:p w:rsidR="006230E3" w:rsidRPr="006230E3" w:rsidP="001A66B8">
      <w:pPr>
        <w:ind w:left="360"/>
        <w:rPr>
          <w:rFonts w:ascii="Times New Roman" w:hAnsi="Times New Roman" w:cs="Times New Roman"/>
          <w:sz w:val="24"/>
          <w:szCs w:val="24"/>
        </w:rPr>
      </w:pPr>
      <w:r w:rsidRPr="006230E3">
        <w:rPr>
          <w:rFonts w:ascii="Times New Roman" w:hAnsi="Times New Roman" w:cs="Times New Roman"/>
          <w:sz w:val="24"/>
          <w:szCs w:val="24"/>
        </w:rPr>
        <w:t xml:space="preserve">Data analysis and creation of the descriptive report is projected to take place October – December 2025.  Delivery of the final report is anticipated for February 2026. The final report will be available on the IOOS website at </w:t>
      </w:r>
      <w:hyperlink r:id="rId5" w:history="1">
        <w:r w:rsidRPr="006230E3">
          <w:rPr>
            <w:rStyle w:val="Hyperlink"/>
            <w:rFonts w:ascii="Times New Roman" w:hAnsi="Times New Roman" w:cs="Times New Roman"/>
            <w:sz w:val="24"/>
            <w:szCs w:val="24"/>
          </w:rPr>
          <w:t>https://ioos.noaa.gov/</w:t>
        </w:r>
      </w:hyperlink>
      <w:r w:rsidRPr="006230E3">
        <w:rPr>
          <w:rFonts w:ascii="Times New Roman" w:hAnsi="Times New Roman" w:cs="Times New Roman"/>
          <w:sz w:val="24"/>
          <w:szCs w:val="24"/>
        </w:rPr>
        <w:t>.</w:t>
      </w:r>
    </w:p>
    <w:p w:rsidR="004D0980" w:rsidRPr="006230E3" w:rsidP="006230E3">
      <w:pPr>
        <w:rPr>
          <w:rFonts w:ascii="Times New Roman" w:hAnsi="Times New Roman" w:cs="Times New Roman"/>
          <w:b/>
          <w:sz w:val="24"/>
          <w:szCs w:val="24"/>
        </w:rPr>
      </w:pPr>
    </w:p>
    <w:p w:rsidR="006230E3" w:rsidRPr="006230E3" w:rsidP="001A66B8">
      <w:pPr>
        <w:numPr>
          <w:ilvl w:val="0"/>
          <w:numId w:val="1"/>
        </w:numPr>
        <w:ind w:left="450" w:hanging="409"/>
        <w:rPr>
          <w:rFonts w:ascii="Times New Roman" w:hAnsi="Times New Roman" w:cs="Times New Roman"/>
          <w:b/>
          <w:sz w:val="24"/>
          <w:szCs w:val="24"/>
        </w:rPr>
      </w:pPr>
      <w:r w:rsidRPr="006230E3">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6230E3" w:rsidRPr="006230E3" w:rsidP="001A66B8">
      <w:pPr>
        <w:ind w:left="450"/>
        <w:rPr>
          <w:rFonts w:ascii="Times New Roman" w:hAnsi="Times New Roman" w:cs="Times New Roman"/>
          <w:sz w:val="24"/>
          <w:szCs w:val="24"/>
        </w:rPr>
      </w:pPr>
      <w:r>
        <w:rPr>
          <w:rFonts w:ascii="Times New Roman" w:hAnsi="Times New Roman" w:cs="Times New Roman"/>
          <w:sz w:val="24"/>
          <w:szCs w:val="24"/>
        </w:rPr>
        <w:t>The expiration date will be displayed on the collection instrument.</w:t>
      </w:r>
    </w:p>
    <w:p w:rsidR="006230E3" w:rsidRPr="006230E3" w:rsidP="006230E3">
      <w:pPr>
        <w:rPr>
          <w:rFonts w:ascii="Times New Roman" w:hAnsi="Times New Roman" w:cs="Times New Roman"/>
          <w:i/>
          <w:sz w:val="24"/>
          <w:szCs w:val="24"/>
        </w:rPr>
      </w:pPr>
    </w:p>
    <w:p w:rsidR="006230E3" w:rsidRPr="006230E3" w:rsidP="001A66B8">
      <w:pPr>
        <w:numPr>
          <w:ilvl w:val="0"/>
          <w:numId w:val="1"/>
        </w:numPr>
        <w:ind w:left="450" w:hanging="409"/>
        <w:rPr>
          <w:rFonts w:ascii="Times New Roman" w:hAnsi="Times New Roman" w:cs="Times New Roman"/>
          <w:b/>
          <w:sz w:val="24"/>
          <w:szCs w:val="24"/>
        </w:rPr>
      </w:pPr>
      <w:r w:rsidRPr="006230E3">
        <w:rPr>
          <w:rFonts w:ascii="Times New Roman" w:hAnsi="Times New Roman" w:cs="Times New Roman"/>
          <w:b/>
          <w:sz w:val="24"/>
          <w:szCs w:val="24"/>
        </w:rPr>
        <w:t>Explain each exception to the certification statement identified in “Certification for Paperwork Reduction Act Submissions."</w:t>
      </w:r>
    </w:p>
    <w:p w:rsidR="006230E3" w:rsidRPr="006230E3" w:rsidP="001A66B8">
      <w:pPr>
        <w:ind w:left="450"/>
        <w:rPr>
          <w:rFonts w:ascii="Times New Roman" w:hAnsi="Times New Roman" w:cs="Times New Roman"/>
          <w:sz w:val="24"/>
          <w:szCs w:val="24"/>
        </w:rPr>
      </w:pPr>
      <w:r w:rsidRPr="006230E3">
        <w:rPr>
          <w:rFonts w:ascii="Times New Roman" w:hAnsi="Times New Roman" w:cs="Times New Roman"/>
          <w:sz w:val="24"/>
          <w:szCs w:val="24"/>
        </w:rPr>
        <w:t xml:space="preserve">The agency certifies compliance with </w:t>
      </w:r>
      <w:hyperlink r:id="rId6">
        <w:r w:rsidRPr="006230E3">
          <w:rPr>
            <w:rStyle w:val="Hyperlink"/>
            <w:rFonts w:ascii="Times New Roman" w:hAnsi="Times New Roman" w:cs="Times New Roman"/>
            <w:sz w:val="24"/>
            <w:szCs w:val="24"/>
          </w:rPr>
          <w:t>5 CFR 1320.9</w:t>
        </w:r>
      </w:hyperlink>
      <w:hyperlink r:id="rId6">
        <w:r w:rsidRPr="006230E3">
          <w:rPr>
            <w:rStyle w:val="Hyperlink"/>
            <w:rFonts w:ascii="Times New Roman" w:hAnsi="Times New Roman" w:cs="Times New Roman"/>
            <w:sz w:val="24"/>
            <w:szCs w:val="24"/>
          </w:rPr>
          <w:t xml:space="preserve"> </w:t>
        </w:r>
      </w:hyperlink>
      <w:r w:rsidRPr="006230E3">
        <w:rPr>
          <w:rFonts w:ascii="Times New Roman" w:hAnsi="Times New Roman" w:cs="Times New Roman"/>
          <w:sz w:val="24"/>
          <w:szCs w:val="24"/>
        </w:rPr>
        <w:t xml:space="preserve">and the related provisions of </w:t>
      </w:r>
      <w:hyperlink r:id="rId7">
        <w:r w:rsidRPr="006230E3">
          <w:rPr>
            <w:rStyle w:val="Hyperlink"/>
            <w:rFonts w:ascii="Times New Roman" w:hAnsi="Times New Roman" w:cs="Times New Roman"/>
            <w:sz w:val="24"/>
            <w:szCs w:val="24"/>
          </w:rPr>
          <w:t>5 CFR</w:t>
        </w:r>
      </w:hyperlink>
      <w:r w:rsidRPr="006230E3">
        <w:rPr>
          <w:rFonts w:ascii="Times New Roman" w:hAnsi="Times New Roman" w:cs="Times New Roman"/>
          <w:sz w:val="24"/>
          <w:szCs w:val="24"/>
        </w:rPr>
        <w:t xml:space="preserve"> </w:t>
      </w:r>
      <w:hyperlink r:id="rId7">
        <w:r w:rsidRPr="006230E3">
          <w:rPr>
            <w:rStyle w:val="Hyperlink"/>
            <w:rFonts w:ascii="Times New Roman" w:hAnsi="Times New Roman" w:cs="Times New Roman"/>
            <w:sz w:val="24"/>
            <w:szCs w:val="24"/>
          </w:rPr>
          <w:t>1320.8(b)(3)</w:t>
        </w:r>
      </w:hyperlink>
      <w:r w:rsidRPr="006230E3">
        <w:rPr>
          <w:rFonts w:ascii="Times New Roman" w:hAnsi="Times New Roman" w:cs="Times New Roman"/>
          <w:sz w:val="24"/>
          <w:szCs w:val="24"/>
        </w:rPr>
        <w:t>.</w:t>
      </w:r>
    </w:p>
    <w:p w:rsidR="001E3967" w:rsidRPr="006230E3">
      <w:pPr>
        <w:rPr>
          <w:rFonts w:ascii="Times New Roman" w:hAnsi="Times New Roman" w:cs="Times New Roman"/>
          <w:sz w:val="24"/>
          <w:szCs w:val="24"/>
        </w:rPr>
      </w:pPr>
    </w:p>
    <w:sectPr>
      <w:footerReference w:type="default" r:id="rId8"/>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30E3">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AA5D36"/>
    <w:multiLevelType w:val="multilevel"/>
    <w:tmpl w:val="42DC52B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17A01A55"/>
    <w:multiLevelType w:val="multilevel"/>
    <w:tmpl w:val="99B89E4C"/>
    <w:lvl w:ilvl="0">
      <w:start w:val="1"/>
      <w:numFmt w:val="decimal"/>
      <w:lvlText w:val="%1."/>
      <w:lvlJc w:val="left"/>
      <w:pPr>
        <w:ind w:left="400" w:hanging="269"/>
      </w:pPr>
      <w:rPr>
        <w:rFonts w:ascii="Arial" w:eastAsia="Arial" w:hAnsi="Arial" w:cs="Arial"/>
        <w:b/>
        <w:color w:val="auto"/>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E3"/>
    <w:rsid w:val="001A66B8"/>
    <w:rsid w:val="001E3967"/>
    <w:rsid w:val="00371E72"/>
    <w:rsid w:val="003C6FD0"/>
    <w:rsid w:val="004D0980"/>
    <w:rsid w:val="004E7E8E"/>
    <w:rsid w:val="006230E3"/>
    <w:rsid w:val="00714472"/>
    <w:rsid w:val="00B011E0"/>
    <w:rsid w:val="00B2368A"/>
    <w:rsid w:val="00C54C6B"/>
    <w:rsid w:val="00D025E9"/>
    <w:rsid w:val="00DD40D8"/>
    <w:rsid w:val="00E238E1"/>
    <w:rsid w:val="00F05659"/>
    <w:rsid w:val="00FD07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0603A4"/>
  <w15:chartTrackingRefBased/>
  <w15:docId w15:val="{4C5EE30B-DB83-464C-AE0F-91DEE0FC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0E3"/>
    <w:rPr>
      <w:color w:val="0563C1" w:themeColor="hyperlink"/>
      <w:u w:val="single"/>
    </w:rPr>
  </w:style>
  <w:style w:type="character" w:customStyle="1" w:styleId="UnresolvedMention1">
    <w:name w:val="Unresolved Mention1"/>
    <w:basedOn w:val="DefaultParagraphFont"/>
    <w:uiPriority w:val="99"/>
    <w:semiHidden/>
    <w:unhideWhenUsed/>
    <w:rsid w:val="006230E3"/>
    <w:rPr>
      <w:color w:val="605E5C"/>
      <w:shd w:val="clear" w:color="auto" w:fill="E1DFDD"/>
    </w:rPr>
  </w:style>
  <w:style w:type="paragraph" w:styleId="NormalWeb">
    <w:name w:val="Normal (Web)"/>
    <w:basedOn w:val="Normal"/>
    <w:uiPriority w:val="99"/>
    <w:semiHidden/>
    <w:unhideWhenUsed/>
    <w:rsid w:val="001A6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pi.fdsys.gov/link?collection=plaw&amp;congress=111&amp;lawtype=public&amp;lawnum=11&amp;link-type=html" TargetMode="External" /><Relationship Id="rId5" Type="http://schemas.openxmlformats.org/officeDocument/2006/relationships/hyperlink" Target="https://ioos.noaa.gov/"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Gewain</dc:creator>
  <cp:lastModifiedBy>Monica S. Waddell</cp:lastModifiedBy>
  <cp:revision>6</cp:revision>
  <dcterms:created xsi:type="dcterms:W3CDTF">2022-12-22T17:50:00Z</dcterms:created>
  <dcterms:modified xsi:type="dcterms:W3CDTF">2022-12-28T15:21:00Z</dcterms:modified>
</cp:coreProperties>
</file>