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31F0" w:rsidP="00293E12" w14:paraId="74B8ECD2" w14:textId="77777777">
      <w:pPr>
        <w:pStyle w:val="NoSpacing"/>
        <w:jc w:val="center"/>
        <w:rPr>
          <w:b/>
        </w:rPr>
      </w:pPr>
    </w:p>
    <w:p w:rsidR="00E8224F" w:rsidRPr="008B1ECA" w:rsidP="00293E12" w14:paraId="2A52430D" w14:textId="3A694CED">
      <w:pPr>
        <w:pStyle w:val="NoSpacing"/>
        <w:jc w:val="center"/>
        <w:rPr>
          <w:b/>
        </w:rPr>
      </w:pPr>
      <w:r w:rsidRPr="008B1ECA">
        <w:rPr>
          <w:b/>
        </w:rPr>
        <w:t>Explanations and justifications for proposed revisions to OMB 0920-0666</w:t>
      </w:r>
    </w:p>
    <w:p w:rsidR="00293E12" w:rsidRPr="008B1ECA" w:rsidP="00293E12" w14:paraId="30E309CA" w14:textId="77777777">
      <w:pPr>
        <w:pStyle w:val="NoSpacing"/>
      </w:pPr>
      <w:r w:rsidRPr="008B1ECA">
        <w:tab/>
      </w:r>
    </w:p>
    <w:p w:rsidR="00240E95" w:rsidP="00240E95" w14:paraId="2ED79CDD" w14:textId="276D8367">
      <w:pPr>
        <w:ind w:firstLine="720"/>
      </w:pPr>
      <w:r w:rsidRPr="00240E95">
        <w:t xml:space="preserve">The proposed changes in this </w:t>
      </w:r>
      <w:r w:rsidR="00C1646B">
        <w:t>emergency</w:t>
      </w:r>
      <w:r w:rsidRPr="00240E95">
        <w:t xml:space="preserve"> ICR include one new form and revisions to 40 existing data collection forms. CDC requests OMB approval for an estimated 1,614,651 annual burden hours or $110,854,109.</w:t>
      </w:r>
      <w:r w:rsidRPr="00D301CC">
        <w:t xml:space="preserve"> </w:t>
      </w:r>
      <w:r>
        <w:t>The table below summarizes the changes.</w:t>
      </w:r>
    </w:p>
    <w:p w:rsidR="005231F0" w:rsidP="005231F0" w14:paraId="3D536560" w14:textId="77777777">
      <w:pPr>
        <w:pStyle w:val="NoSpacing"/>
      </w:pPr>
    </w:p>
    <w:tbl>
      <w:tblPr>
        <w:tblStyle w:val="TableGrid"/>
        <w:tblW w:w="9360" w:type="dxa"/>
        <w:tblLayout w:type="fixed"/>
        <w:tblLook w:val="04A0"/>
      </w:tblPr>
      <w:tblGrid>
        <w:gridCol w:w="1620"/>
        <w:gridCol w:w="1800"/>
        <w:gridCol w:w="5940"/>
      </w:tblGrid>
      <w:tr w14:paraId="47195E59" w14:textId="77777777" w:rsidTr="0003066E">
        <w:tblPrEx>
          <w:tblW w:w="9360" w:type="dxa"/>
          <w:tblLayout w:type="fixed"/>
          <w:tblLook w:val="04A0"/>
        </w:tblPrEx>
        <w:tc>
          <w:tcPr>
            <w:tcW w:w="1620" w:type="dxa"/>
            <w:tcBorders>
              <w:top w:val="single" w:sz="8" w:space="0" w:color="auto"/>
              <w:left w:val="single" w:sz="8" w:space="0" w:color="auto"/>
              <w:bottom w:val="single" w:sz="8" w:space="0" w:color="auto"/>
              <w:right w:val="single" w:sz="8" w:space="0" w:color="auto"/>
            </w:tcBorders>
          </w:tcPr>
          <w:p w:rsidR="00D65564" w:rsidP="00A64B0D" w14:paraId="0D131D1A" w14:textId="77777777">
            <w:bookmarkStart w:id="0" w:name="_Hlk121408976"/>
            <w:r w:rsidRPr="1E8CB51E">
              <w:rPr>
                <w:rFonts w:ascii="Calibri" w:eastAsia="Calibri" w:hAnsi="Calibri" w:cs="Calibri"/>
                <w:b/>
                <w:bCs/>
                <w:sz w:val="22"/>
                <w:szCs w:val="22"/>
              </w:rPr>
              <w:t>Data collection form(s)</w:t>
            </w:r>
          </w:p>
        </w:tc>
        <w:tc>
          <w:tcPr>
            <w:tcW w:w="1800" w:type="dxa"/>
            <w:tcBorders>
              <w:top w:val="single" w:sz="8" w:space="0" w:color="auto"/>
              <w:left w:val="single" w:sz="8" w:space="0" w:color="auto"/>
              <w:bottom w:val="single" w:sz="8" w:space="0" w:color="auto"/>
              <w:right w:val="single" w:sz="8" w:space="0" w:color="auto"/>
            </w:tcBorders>
          </w:tcPr>
          <w:p w:rsidR="00D65564" w:rsidP="00A64B0D" w14:paraId="31502957" w14:textId="77777777">
            <w:r w:rsidRPr="1E8CB51E">
              <w:rPr>
                <w:rFonts w:ascii="Calibri" w:eastAsia="Calibri" w:hAnsi="Calibri" w:cs="Calibri"/>
                <w:b/>
                <w:bCs/>
                <w:sz w:val="22"/>
                <w:szCs w:val="22"/>
              </w:rPr>
              <w:t>Proposed changes</w:t>
            </w:r>
          </w:p>
        </w:tc>
        <w:tc>
          <w:tcPr>
            <w:tcW w:w="5940" w:type="dxa"/>
            <w:tcBorders>
              <w:top w:val="single" w:sz="8" w:space="0" w:color="auto"/>
              <w:left w:val="single" w:sz="8" w:space="0" w:color="auto"/>
              <w:bottom w:val="single" w:sz="8" w:space="0" w:color="auto"/>
              <w:right w:val="single" w:sz="8" w:space="0" w:color="auto"/>
            </w:tcBorders>
          </w:tcPr>
          <w:p w:rsidR="00D65564" w:rsidP="00A64B0D" w14:paraId="6B4EBF9A" w14:textId="77777777">
            <w:r w:rsidRPr="1E8CB51E">
              <w:rPr>
                <w:rFonts w:ascii="Calibri" w:eastAsia="Calibri" w:hAnsi="Calibri" w:cs="Calibri"/>
                <w:b/>
                <w:bCs/>
                <w:sz w:val="22"/>
                <w:szCs w:val="22"/>
              </w:rPr>
              <w:t>Justification for changes</w:t>
            </w:r>
          </w:p>
        </w:tc>
      </w:tr>
      <w:tr w14:paraId="60D86795" w14:textId="77777777" w:rsidTr="0003066E">
        <w:tblPrEx>
          <w:tblW w:w="9360" w:type="dxa"/>
          <w:tblLayout w:type="fixed"/>
          <w:tblLook w:val="04A0"/>
        </w:tblPrEx>
        <w:tc>
          <w:tcPr>
            <w:tcW w:w="1620" w:type="dxa"/>
            <w:tcBorders>
              <w:top w:val="single" w:sz="8" w:space="0" w:color="auto"/>
              <w:left w:val="single" w:sz="8" w:space="0" w:color="auto"/>
              <w:bottom w:val="single" w:sz="8" w:space="0" w:color="auto"/>
              <w:right w:val="single" w:sz="8" w:space="0" w:color="auto"/>
            </w:tcBorders>
          </w:tcPr>
          <w:p w:rsidR="00D65564" w:rsidRPr="00ED39BD" w:rsidP="00D65564" w14:paraId="666BC76D" w14:textId="409D7C74">
            <w:pPr>
              <w:pStyle w:val="NoSpacing"/>
              <w:spacing w:after="200" w:line="276" w:lineRule="auto"/>
            </w:pPr>
            <w:r w:rsidRPr="00ED39BD">
              <w:t>Monthly survey patient days and nursing staff</w:t>
            </w:r>
          </w:p>
          <w:p w:rsidR="00D65564" w:rsidP="00A64B0D" w14:paraId="33454949" w14:textId="4AE2470A"/>
        </w:tc>
        <w:tc>
          <w:tcPr>
            <w:tcW w:w="1800" w:type="dxa"/>
            <w:tcBorders>
              <w:top w:val="single" w:sz="8" w:space="0" w:color="auto"/>
              <w:left w:val="single" w:sz="8" w:space="0" w:color="auto"/>
              <w:bottom w:val="single" w:sz="8" w:space="0" w:color="auto"/>
              <w:right w:val="single" w:sz="8" w:space="0" w:color="auto"/>
            </w:tcBorders>
          </w:tcPr>
          <w:p w:rsidR="00D65564" w:rsidP="00A64B0D" w14:paraId="04193DE7" w14:textId="6793A8E0">
            <w:r>
              <w:rPr>
                <w:rFonts w:ascii="Calibri" w:eastAsia="Calibri" w:hAnsi="Calibri" w:cs="Calibri"/>
                <w:sz w:val="22"/>
                <w:szCs w:val="22"/>
              </w:rPr>
              <w:t>New form</w:t>
            </w:r>
          </w:p>
        </w:tc>
        <w:tc>
          <w:tcPr>
            <w:tcW w:w="5940" w:type="dxa"/>
            <w:tcBorders>
              <w:top w:val="single" w:sz="8" w:space="0" w:color="auto"/>
              <w:left w:val="single" w:sz="8" w:space="0" w:color="auto"/>
              <w:bottom w:val="single" w:sz="8" w:space="0" w:color="auto"/>
              <w:right w:val="single" w:sz="8" w:space="0" w:color="auto"/>
            </w:tcBorders>
          </w:tcPr>
          <w:p w:rsidR="00D65564" w:rsidRPr="00ED39BD" w:rsidP="00D65564" w14:paraId="138A4BFE" w14:textId="77777777">
            <w:r w:rsidRPr="00ED39BD">
              <w:t xml:space="preserve">On a monthly basis the new form collects both nurse staffing hours and patient days for each mapped location.  For mapped locations included in the Monthly Reporting Plan, the total patient days data element collected on the new form will be drawn/pulled from the total# patient days reported on denominator forms (57.116, 57.117 &amp; 57.118).  </w:t>
            </w:r>
          </w:p>
          <w:p w:rsidR="00D65564" w:rsidP="00A64B0D" w14:paraId="57688C3A" w14:textId="26C2764A"/>
        </w:tc>
      </w:tr>
      <w:tr w14:paraId="56A302B9" w14:textId="77777777" w:rsidTr="0003066E">
        <w:tblPrEx>
          <w:tblW w:w="9360" w:type="dxa"/>
          <w:tblLayout w:type="fixed"/>
          <w:tblLook w:val="04A0"/>
        </w:tblPrEx>
        <w:tc>
          <w:tcPr>
            <w:tcW w:w="1620" w:type="dxa"/>
            <w:tcBorders>
              <w:top w:val="single" w:sz="8" w:space="0" w:color="auto"/>
              <w:left w:val="single" w:sz="8" w:space="0" w:color="auto"/>
              <w:bottom w:val="single" w:sz="8" w:space="0" w:color="auto"/>
              <w:right w:val="single" w:sz="8" w:space="0" w:color="auto"/>
            </w:tcBorders>
          </w:tcPr>
          <w:p w:rsidR="00D65564" w:rsidRPr="00ED39BD" w:rsidP="00D65564" w14:paraId="79744BC3" w14:textId="051178C8">
            <w:pPr>
              <w:pStyle w:val="NoSpacing"/>
              <w:spacing w:after="200" w:line="276" w:lineRule="auto"/>
            </w:pPr>
            <w:r w:rsidRPr="00ED39BD">
              <w:t>57.103, 57.106, 57.150, 57.151</w:t>
            </w:r>
          </w:p>
        </w:tc>
        <w:tc>
          <w:tcPr>
            <w:tcW w:w="1800" w:type="dxa"/>
            <w:tcBorders>
              <w:top w:val="single" w:sz="8" w:space="0" w:color="auto"/>
              <w:left w:val="single" w:sz="8" w:space="0" w:color="auto"/>
              <w:bottom w:val="single" w:sz="8" w:space="0" w:color="auto"/>
              <w:right w:val="single" w:sz="8" w:space="0" w:color="auto"/>
            </w:tcBorders>
          </w:tcPr>
          <w:p w:rsidR="00D65564" w:rsidP="00A64B0D" w14:paraId="7D8B6FB9" w14:textId="1DBF0D7F">
            <w:pPr>
              <w:rPr>
                <w:rFonts w:ascii="Calibri" w:eastAsia="Calibri" w:hAnsi="Calibri" w:cs="Calibri"/>
                <w:sz w:val="22"/>
                <w:szCs w:val="22"/>
              </w:rPr>
            </w:pPr>
            <w:r>
              <w:rPr>
                <w:rFonts w:ascii="Calibri" w:eastAsia="Calibri" w:hAnsi="Calibri" w:cs="Calibri"/>
                <w:sz w:val="22"/>
                <w:szCs w:val="22"/>
              </w:rPr>
              <w:t>Revised questions</w:t>
            </w:r>
            <w:r w:rsidR="00687313">
              <w:rPr>
                <w:rFonts w:ascii="Calibri" w:eastAsia="Calibri" w:hAnsi="Calibri" w:cs="Calibri"/>
                <w:sz w:val="22"/>
                <w:szCs w:val="22"/>
              </w:rPr>
              <w:t>; no burden change</w:t>
            </w:r>
          </w:p>
        </w:tc>
        <w:tc>
          <w:tcPr>
            <w:tcW w:w="5940" w:type="dxa"/>
            <w:tcBorders>
              <w:top w:val="single" w:sz="8" w:space="0" w:color="auto"/>
              <w:left w:val="single" w:sz="8" w:space="0" w:color="auto"/>
              <w:bottom w:val="single" w:sz="8" w:space="0" w:color="auto"/>
              <w:right w:val="single" w:sz="8" w:space="0" w:color="auto"/>
            </w:tcBorders>
          </w:tcPr>
          <w:p w:rsidR="00D65564" w:rsidRPr="00ED39BD" w:rsidP="00D65564" w14:paraId="6949FE05" w14:textId="4575913C">
            <w:r w:rsidRPr="00ED39BD">
              <w:rPr>
                <w:rFonts w:cstheme="minorHAnsi"/>
              </w:rPr>
              <w:t xml:space="preserve">Revised question wording to increase clarity. This question replaces a question from the previous version. This replacement provides more clarification for respondents. The burden for answering this question is low and is the same as that of the similar question on the prior version. A question was added because an understanding of the use of CIDTs may influence future surveillance case definitions and data management; therefore, this information is very important to collect and understand to what extent these tests are used currently. </w:t>
            </w:r>
            <w:r w:rsidRPr="00ED39BD">
              <w:rPr>
                <w:rFonts w:eastAsia="Calibri" w:cstheme="minorHAnsi"/>
                <w:color w:val="000000"/>
              </w:rPr>
              <w:t xml:space="preserve">Two new sub-categories to determine which subsets of patients are included in this policy. </w:t>
            </w:r>
            <w:r w:rsidRPr="00ED39BD">
              <w:rPr>
                <w:rFonts w:eastAsia="Calibri" w:cstheme="minorHAnsi"/>
              </w:rPr>
              <w:t>Applicable only to survey respondents. No change to burden.</w:t>
            </w:r>
          </w:p>
        </w:tc>
      </w:tr>
      <w:tr w14:paraId="77A48BA6" w14:textId="77777777" w:rsidTr="0003066E">
        <w:tblPrEx>
          <w:tblW w:w="9360" w:type="dxa"/>
          <w:tblLayout w:type="fixed"/>
          <w:tblLook w:val="04A0"/>
        </w:tblPrEx>
        <w:tc>
          <w:tcPr>
            <w:tcW w:w="1620" w:type="dxa"/>
            <w:tcBorders>
              <w:top w:val="single" w:sz="8" w:space="0" w:color="auto"/>
              <w:left w:val="single" w:sz="8" w:space="0" w:color="auto"/>
              <w:bottom w:val="single" w:sz="8" w:space="0" w:color="auto"/>
              <w:right w:val="single" w:sz="8" w:space="0" w:color="auto"/>
            </w:tcBorders>
          </w:tcPr>
          <w:p w:rsidR="00D65564" w:rsidRPr="00ED39BD" w:rsidP="00D65564" w14:paraId="1712A5E0" w14:textId="3C87B537">
            <w:pPr>
              <w:pStyle w:val="NoSpacing"/>
              <w:spacing w:after="200" w:line="276" w:lineRule="auto"/>
            </w:pPr>
            <w:r>
              <w:t>57.108</w:t>
            </w:r>
            <w:r w:rsidR="00934BD3">
              <w:t>,</w:t>
            </w:r>
            <w:r w:rsidR="006303CB">
              <w:t xml:space="preserve"> 57.111,</w:t>
            </w:r>
            <w:r w:rsidR="00934BD3">
              <w:t xml:space="preserve"> 57.112, 57.113, 57.114, 57.121</w:t>
            </w:r>
          </w:p>
        </w:tc>
        <w:tc>
          <w:tcPr>
            <w:tcW w:w="1800" w:type="dxa"/>
            <w:tcBorders>
              <w:top w:val="single" w:sz="8" w:space="0" w:color="auto"/>
              <w:left w:val="single" w:sz="8" w:space="0" w:color="auto"/>
              <w:bottom w:val="single" w:sz="8" w:space="0" w:color="auto"/>
              <w:right w:val="single" w:sz="8" w:space="0" w:color="auto"/>
            </w:tcBorders>
          </w:tcPr>
          <w:p w:rsidR="00D65564" w:rsidP="00A64B0D" w14:paraId="417241C4" w14:textId="3C3F9BB8">
            <w:pPr>
              <w:rPr>
                <w:rFonts w:ascii="Calibri" w:eastAsia="Calibri" w:hAnsi="Calibri" w:cs="Calibri"/>
                <w:sz w:val="22"/>
                <w:szCs w:val="22"/>
              </w:rPr>
            </w:pPr>
            <w:r>
              <w:rPr>
                <w:rFonts w:ascii="Calibri" w:eastAsia="Calibri" w:hAnsi="Calibri" w:cs="Calibri"/>
                <w:sz w:val="22"/>
                <w:szCs w:val="22"/>
              </w:rPr>
              <w:t>No burden changes; edits to questions</w:t>
            </w:r>
          </w:p>
        </w:tc>
        <w:tc>
          <w:tcPr>
            <w:tcW w:w="5940" w:type="dxa"/>
            <w:tcBorders>
              <w:top w:val="single" w:sz="8" w:space="0" w:color="auto"/>
              <w:left w:val="single" w:sz="8" w:space="0" w:color="auto"/>
              <w:bottom w:val="single" w:sz="8" w:space="0" w:color="auto"/>
              <w:right w:val="single" w:sz="8" w:space="0" w:color="auto"/>
            </w:tcBorders>
          </w:tcPr>
          <w:p w:rsidR="00D65564" w:rsidP="0003066E" w14:paraId="17950938" w14:textId="6C88284E">
            <w:r w:rsidRPr="00ED39BD">
              <w:t xml:space="preserve">There will not be any changes to the burden estimates, however there will be edits </w:t>
            </w:r>
            <w:r w:rsidR="00934BD3">
              <w:t>the HAI forms th</w:t>
            </w:r>
            <w:r w:rsidRPr="00ED39BD">
              <w:t>at have susceptibility reporting requirements.</w:t>
            </w:r>
            <w:r w:rsidR="0003066E">
              <w:t xml:space="preserve"> </w:t>
            </w:r>
            <w:r w:rsidRPr="00ED39BD" w:rsidR="0003066E">
              <w:t>Namely the responses for the antimicrobial agent Ceftaroline (S. aureus) and Daptomycin (Enterococcus) will have an additional response option. This is simply an addition of a reporting option for those 2 antimicrobial agents and should not impact burden. Additionally, the COVID field will be updated from optional to required</w:t>
            </w:r>
            <w:r w:rsidR="0003066E">
              <w:t>.</w:t>
            </w:r>
          </w:p>
          <w:p w:rsidR="0003066E" w:rsidRPr="00ED39BD" w:rsidP="0003066E" w14:paraId="5751C94E" w14:textId="7B30BB79">
            <w:pPr>
              <w:rPr>
                <w:rFonts w:cstheme="minorHAnsi"/>
              </w:rPr>
            </w:pPr>
          </w:p>
        </w:tc>
      </w:tr>
      <w:tr w14:paraId="323A1462" w14:textId="77777777" w:rsidTr="0003066E">
        <w:tblPrEx>
          <w:tblW w:w="9360" w:type="dxa"/>
          <w:tblLayout w:type="fixed"/>
          <w:tblLook w:val="04A0"/>
        </w:tblPrEx>
        <w:tc>
          <w:tcPr>
            <w:tcW w:w="1620" w:type="dxa"/>
            <w:tcBorders>
              <w:top w:val="single" w:sz="8" w:space="0" w:color="auto"/>
              <w:left w:val="single" w:sz="8" w:space="0" w:color="auto"/>
              <w:bottom w:val="single" w:sz="8" w:space="0" w:color="auto"/>
              <w:right w:val="single" w:sz="8" w:space="0" w:color="auto"/>
            </w:tcBorders>
          </w:tcPr>
          <w:p w:rsidR="00D65564" w:rsidP="00D65564" w14:paraId="2131E0E9" w14:textId="5163A42C">
            <w:pPr>
              <w:pStyle w:val="NoSpacing"/>
              <w:spacing w:after="200" w:line="276" w:lineRule="auto"/>
            </w:pPr>
            <w:r>
              <w:t>57.123</w:t>
            </w:r>
          </w:p>
        </w:tc>
        <w:tc>
          <w:tcPr>
            <w:tcW w:w="1800" w:type="dxa"/>
            <w:tcBorders>
              <w:top w:val="single" w:sz="8" w:space="0" w:color="auto"/>
              <w:left w:val="single" w:sz="8" w:space="0" w:color="auto"/>
              <w:bottom w:val="single" w:sz="8" w:space="0" w:color="auto"/>
              <w:right w:val="single" w:sz="8" w:space="0" w:color="auto"/>
            </w:tcBorders>
          </w:tcPr>
          <w:p w:rsidR="00D65564" w:rsidP="00A64B0D" w14:paraId="118E180C" w14:textId="486651D6">
            <w:pPr>
              <w:rPr>
                <w:rFonts w:ascii="Calibri" w:eastAsia="Calibri" w:hAnsi="Calibri" w:cs="Calibri"/>
                <w:sz w:val="22"/>
                <w:szCs w:val="22"/>
              </w:rPr>
            </w:pPr>
            <w:r>
              <w:rPr>
                <w:rFonts w:ascii="Calibri" w:eastAsia="Calibri" w:hAnsi="Calibri" w:cs="Calibri"/>
                <w:sz w:val="22"/>
                <w:szCs w:val="22"/>
              </w:rPr>
              <w:t>No burden changes; added two new variables</w:t>
            </w:r>
          </w:p>
        </w:tc>
        <w:tc>
          <w:tcPr>
            <w:tcW w:w="5940" w:type="dxa"/>
            <w:tcBorders>
              <w:top w:val="single" w:sz="8" w:space="0" w:color="auto"/>
              <w:left w:val="single" w:sz="8" w:space="0" w:color="auto"/>
              <w:bottom w:val="single" w:sz="8" w:space="0" w:color="auto"/>
              <w:right w:val="single" w:sz="8" w:space="0" w:color="auto"/>
            </w:tcBorders>
          </w:tcPr>
          <w:p w:rsidR="00D65564" w:rsidRPr="00B428B1" w:rsidP="00D65564" w14:paraId="3D1412C3" w14:textId="185E591C">
            <w:r w:rsidRPr="00ED39BD">
              <w:t xml:space="preserve">We’ve added two new variables to the form to capture software vendor information. These new fields will allow us to require software vendors complete a validation process prior to submitting data on behalf of their client facilities. These new fields will not affect the time it takes to complete the form and therefore no additional burden time was added. </w:t>
            </w:r>
          </w:p>
          <w:p w:rsidR="00D65564" w:rsidRPr="00ED39BD" w:rsidP="00D65564" w14:paraId="133D5031" w14:textId="77777777"/>
        </w:tc>
      </w:tr>
      <w:tr w14:paraId="023DF4F7" w14:textId="77777777" w:rsidTr="0003066E">
        <w:tblPrEx>
          <w:tblW w:w="9360" w:type="dxa"/>
          <w:tblLayout w:type="fixed"/>
          <w:tblLook w:val="04A0"/>
        </w:tblPrEx>
        <w:tc>
          <w:tcPr>
            <w:tcW w:w="1620" w:type="dxa"/>
            <w:tcBorders>
              <w:top w:val="single" w:sz="8" w:space="0" w:color="auto"/>
              <w:left w:val="single" w:sz="8" w:space="0" w:color="auto"/>
              <w:bottom w:val="single" w:sz="8" w:space="0" w:color="auto"/>
              <w:right w:val="single" w:sz="8" w:space="0" w:color="auto"/>
            </w:tcBorders>
          </w:tcPr>
          <w:p w:rsidR="00D65564" w:rsidP="00D65564" w14:paraId="53FCFFF4" w14:textId="3F9C1C9E">
            <w:pPr>
              <w:pStyle w:val="NoSpacing"/>
              <w:spacing w:after="200" w:line="276" w:lineRule="auto"/>
            </w:pPr>
            <w:r>
              <w:t>57.124</w:t>
            </w:r>
          </w:p>
        </w:tc>
        <w:tc>
          <w:tcPr>
            <w:tcW w:w="1800" w:type="dxa"/>
            <w:tcBorders>
              <w:top w:val="single" w:sz="8" w:space="0" w:color="auto"/>
              <w:left w:val="single" w:sz="8" w:space="0" w:color="auto"/>
              <w:bottom w:val="single" w:sz="8" w:space="0" w:color="auto"/>
              <w:right w:val="single" w:sz="8" w:space="0" w:color="auto"/>
            </w:tcBorders>
          </w:tcPr>
          <w:p w:rsidR="00D65564" w:rsidP="00A64B0D" w14:paraId="2BF406F6" w14:textId="566F76DF">
            <w:pPr>
              <w:rPr>
                <w:rFonts w:ascii="Calibri" w:eastAsia="Calibri" w:hAnsi="Calibri" w:cs="Calibri"/>
                <w:sz w:val="22"/>
                <w:szCs w:val="22"/>
              </w:rPr>
            </w:pPr>
            <w:r>
              <w:rPr>
                <w:rFonts w:ascii="Calibri" w:eastAsia="Calibri" w:hAnsi="Calibri" w:cs="Calibri"/>
                <w:sz w:val="22"/>
                <w:szCs w:val="22"/>
              </w:rPr>
              <w:t>No form changes; increased number of respondents</w:t>
            </w:r>
          </w:p>
        </w:tc>
        <w:tc>
          <w:tcPr>
            <w:tcW w:w="5940" w:type="dxa"/>
            <w:tcBorders>
              <w:top w:val="single" w:sz="8" w:space="0" w:color="auto"/>
              <w:left w:val="single" w:sz="8" w:space="0" w:color="auto"/>
              <w:bottom w:val="single" w:sz="8" w:space="0" w:color="auto"/>
              <w:right w:val="single" w:sz="8" w:space="0" w:color="auto"/>
            </w:tcBorders>
          </w:tcPr>
          <w:p w:rsidR="00D65564" w:rsidRPr="00ED39BD" w:rsidP="00D65564" w14:paraId="7AC26FE5" w14:textId="0D303B95">
            <w:r w:rsidRPr="00ED39BD">
              <w:t>No updates were made to the data collection form.  Increased the number of facilities submitting data from 3,000 to 4,000</w:t>
            </w:r>
            <w:r>
              <w:t>.</w:t>
            </w:r>
            <w:r w:rsidRPr="00ED39BD">
              <w:t xml:space="preserve">  This update reflects the growing number of facilities reporting AU data.</w:t>
            </w:r>
          </w:p>
          <w:p w:rsidR="00D65564" w:rsidRPr="00ED39BD" w:rsidP="00D65564" w14:paraId="4BBBE49B" w14:textId="77777777"/>
        </w:tc>
      </w:tr>
      <w:tr w14:paraId="21B9E1A8" w14:textId="77777777" w:rsidTr="0003066E">
        <w:tblPrEx>
          <w:tblW w:w="9360" w:type="dxa"/>
          <w:tblLayout w:type="fixed"/>
          <w:tblLook w:val="04A0"/>
        </w:tblPrEx>
        <w:tc>
          <w:tcPr>
            <w:tcW w:w="1620" w:type="dxa"/>
            <w:tcBorders>
              <w:top w:val="single" w:sz="8" w:space="0" w:color="auto"/>
              <w:left w:val="single" w:sz="8" w:space="0" w:color="auto"/>
              <w:bottom w:val="single" w:sz="8" w:space="0" w:color="auto"/>
              <w:right w:val="single" w:sz="8" w:space="0" w:color="auto"/>
            </w:tcBorders>
          </w:tcPr>
          <w:p w:rsidR="00D65564" w:rsidP="00D65564" w14:paraId="19845E02" w14:textId="66632868">
            <w:pPr>
              <w:pStyle w:val="NoSpacing"/>
              <w:spacing w:after="200" w:line="276" w:lineRule="auto"/>
            </w:pPr>
            <w:r>
              <w:t>57.140</w:t>
            </w:r>
          </w:p>
        </w:tc>
        <w:tc>
          <w:tcPr>
            <w:tcW w:w="1800" w:type="dxa"/>
            <w:tcBorders>
              <w:top w:val="single" w:sz="8" w:space="0" w:color="auto"/>
              <w:left w:val="single" w:sz="8" w:space="0" w:color="auto"/>
              <w:bottom w:val="single" w:sz="8" w:space="0" w:color="auto"/>
              <w:right w:val="single" w:sz="8" w:space="0" w:color="auto"/>
            </w:tcBorders>
          </w:tcPr>
          <w:p w:rsidR="00D65564" w:rsidP="00A64B0D" w14:paraId="06174048" w14:textId="40D5338B">
            <w:pPr>
              <w:rPr>
                <w:rFonts w:ascii="Calibri" w:eastAsia="Calibri" w:hAnsi="Calibri" w:cs="Calibri"/>
                <w:sz w:val="22"/>
                <w:szCs w:val="22"/>
              </w:rPr>
            </w:pPr>
            <w:r>
              <w:rPr>
                <w:rFonts w:ascii="Calibri" w:eastAsia="Calibri" w:hAnsi="Calibri" w:cs="Calibri"/>
                <w:sz w:val="22"/>
                <w:szCs w:val="22"/>
              </w:rPr>
              <w:t>No burden changes</w:t>
            </w:r>
          </w:p>
        </w:tc>
        <w:tc>
          <w:tcPr>
            <w:tcW w:w="5940" w:type="dxa"/>
            <w:tcBorders>
              <w:top w:val="single" w:sz="8" w:space="0" w:color="auto"/>
              <w:left w:val="single" w:sz="8" w:space="0" w:color="auto"/>
              <w:bottom w:val="single" w:sz="8" w:space="0" w:color="auto"/>
              <w:right w:val="single" w:sz="8" w:space="0" w:color="auto"/>
            </w:tcBorders>
          </w:tcPr>
          <w:p w:rsidR="00D65564" w:rsidRPr="00ED39BD" w:rsidP="00D65564" w14:paraId="4509BD8F" w14:textId="4E6FF5DB">
            <w:r w:rsidRPr="00ED39BD">
              <w:t xml:space="preserve">There will be changes to the form to keep in alignment with the PSC Component changes since most of the same drug/bug combinations are similar. </w:t>
            </w:r>
          </w:p>
        </w:tc>
      </w:tr>
      <w:tr w14:paraId="1CF82773" w14:textId="77777777" w:rsidTr="0003066E">
        <w:tblPrEx>
          <w:tblW w:w="9360" w:type="dxa"/>
          <w:tblLayout w:type="fixed"/>
          <w:tblLook w:val="04A0"/>
        </w:tblPrEx>
        <w:tc>
          <w:tcPr>
            <w:tcW w:w="1620" w:type="dxa"/>
            <w:tcBorders>
              <w:top w:val="single" w:sz="8" w:space="0" w:color="auto"/>
              <w:left w:val="single" w:sz="8" w:space="0" w:color="auto"/>
              <w:bottom w:val="single" w:sz="8" w:space="0" w:color="auto"/>
              <w:right w:val="single" w:sz="8" w:space="0" w:color="auto"/>
            </w:tcBorders>
          </w:tcPr>
          <w:p w:rsidR="00D65564" w:rsidP="00D65564" w14:paraId="3E9CEFBB" w14:textId="77D1D9DE">
            <w:pPr>
              <w:pStyle w:val="NoSpacing"/>
              <w:spacing w:after="200" w:line="276" w:lineRule="auto"/>
            </w:pPr>
            <w:r>
              <w:t>57.500</w:t>
            </w:r>
          </w:p>
        </w:tc>
        <w:tc>
          <w:tcPr>
            <w:tcW w:w="1800" w:type="dxa"/>
            <w:tcBorders>
              <w:top w:val="single" w:sz="8" w:space="0" w:color="auto"/>
              <w:left w:val="single" w:sz="8" w:space="0" w:color="auto"/>
              <w:bottom w:val="single" w:sz="8" w:space="0" w:color="auto"/>
              <w:right w:val="single" w:sz="8" w:space="0" w:color="auto"/>
            </w:tcBorders>
          </w:tcPr>
          <w:p w:rsidR="00D65564" w:rsidP="00A64B0D" w14:paraId="25A5B77F" w14:textId="773AB69D">
            <w:pPr>
              <w:rPr>
                <w:rFonts w:ascii="Calibri" w:eastAsia="Calibri" w:hAnsi="Calibri" w:cs="Calibri"/>
                <w:sz w:val="22"/>
                <w:szCs w:val="22"/>
              </w:rPr>
            </w:pPr>
            <w:r>
              <w:rPr>
                <w:rFonts w:ascii="Calibri" w:eastAsia="Calibri" w:hAnsi="Calibri" w:cs="Calibri"/>
                <w:sz w:val="22"/>
                <w:szCs w:val="22"/>
              </w:rPr>
              <w:t>No burden changes</w:t>
            </w:r>
          </w:p>
        </w:tc>
        <w:tc>
          <w:tcPr>
            <w:tcW w:w="5940" w:type="dxa"/>
            <w:tcBorders>
              <w:top w:val="single" w:sz="8" w:space="0" w:color="auto"/>
              <w:left w:val="single" w:sz="8" w:space="0" w:color="auto"/>
              <w:bottom w:val="single" w:sz="8" w:space="0" w:color="auto"/>
              <w:right w:val="single" w:sz="8" w:space="0" w:color="auto"/>
            </w:tcBorders>
          </w:tcPr>
          <w:p w:rsidR="00D65564" w:rsidRPr="00ED39BD" w:rsidP="00D65564" w14:paraId="7EA8E60B" w14:textId="32036F24">
            <w:r w:rsidRPr="00ED39BD">
              <w:t>Change was made to capture all y-types of hepatitis B vaccines administered to patient and staff members</w:t>
            </w:r>
            <w:r>
              <w:t xml:space="preserve">. </w:t>
            </w:r>
            <w:r w:rsidRPr="00ED39BD">
              <w:t xml:space="preserve">This questions now </w:t>
            </w:r>
            <w:r w:rsidRPr="00ED39BD">
              <w:t>addresses all injectable medications instead of one specific medication and allows for a better understanding of injection practices in the center</w:t>
            </w:r>
            <w:r>
              <w:t>.</w:t>
            </w:r>
          </w:p>
          <w:p w:rsidR="00D65564" w:rsidRPr="00ED39BD" w:rsidP="00D65564" w14:paraId="617D3F74" w14:textId="77777777"/>
        </w:tc>
      </w:tr>
      <w:bookmarkEnd w:id="0"/>
    </w:tbl>
    <w:p w:rsidR="005231F0" w:rsidRPr="00585C9B" w:rsidP="005231F0" w14:paraId="4620CF95" w14:textId="77777777">
      <w:pPr>
        <w:pStyle w:val="NoSpacing"/>
      </w:pPr>
    </w:p>
    <w:sectPr w:rsidSect="001072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46B" w14:paraId="518572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8489767"/>
      <w:docPartObj>
        <w:docPartGallery w:val="Page Numbers (Bottom of Page)"/>
        <w:docPartUnique/>
      </w:docPartObj>
    </w:sdtPr>
    <w:sdtEndPr>
      <w:rPr>
        <w:noProof/>
      </w:rPr>
    </w:sdtEndPr>
    <w:sdtContent>
      <w:p w:rsidR="00483A72" w14:paraId="0996F9C5" w14:textId="4B857C31">
        <w:pPr>
          <w:pStyle w:val="Footer"/>
          <w:jc w:val="center"/>
        </w:pPr>
        <w:r>
          <w:fldChar w:fldCharType="begin"/>
        </w:r>
        <w:r>
          <w:instrText xml:space="preserve"> PAGE   \* MERGEFORMAT </w:instrText>
        </w:r>
        <w:r>
          <w:fldChar w:fldCharType="separate"/>
        </w:r>
        <w:r w:rsidR="00A301FD">
          <w:rPr>
            <w:noProof/>
          </w:rPr>
          <w:t>1</w:t>
        </w:r>
        <w:r>
          <w:rPr>
            <w:noProof/>
          </w:rPr>
          <w:fldChar w:fldCharType="end"/>
        </w:r>
      </w:p>
    </w:sdtContent>
  </w:sdt>
  <w:p w:rsidR="00195572" w14:paraId="7FF8A3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46B" w14:paraId="78F5AD1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46B" w14:paraId="2DE40F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5572" w:rsidRPr="00AE5464" w:rsidP="005231F0" w14:paraId="4D0DE118" w14:textId="77777777">
    <w:pPr>
      <w:pStyle w:val="Header"/>
      <w:jc w:val="right"/>
      <w:rPr>
        <w:sz w:val="16"/>
        <w:szCs w:val="16"/>
      </w:rPr>
    </w:pPr>
    <w:r w:rsidRPr="00AE5464">
      <w:rPr>
        <w:sz w:val="16"/>
        <w:szCs w:val="16"/>
      </w:rPr>
      <w:t>National Healthcare Safety Network (NHSN)</w:t>
    </w:r>
  </w:p>
  <w:p w:rsidR="00195572" w:rsidRPr="00AE5464" w:rsidP="005231F0" w14:paraId="28814464" w14:textId="77777777">
    <w:pPr>
      <w:pStyle w:val="Header"/>
      <w:jc w:val="right"/>
      <w:rPr>
        <w:sz w:val="16"/>
        <w:szCs w:val="16"/>
      </w:rPr>
    </w:pPr>
    <w:r w:rsidRPr="00AE5464">
      <w:rPr>
        <w:sz w:val="16"/>
        <w:szCs w:val="16"/>
      </w:rPr>
      <w:t>OMB Control No. 0920-0666</w:t>
    </w:r>
  </w:p>
  <w:p w:rsidR="00195572" w:rsidRPr="0068460A" w:rsidP="005231F0" w14:paraId="02296EAC" w14:textId="1A13927F">
    <w:pPr>
      <w:pStyle w:val="Header"/>
      <w:jc w:val="right"/>
      <w:rPr>
        <w:sz w:val="16"/>
        <w:szCs w:val="16"/>
      </w:rPr>
    </w:pPr>
    <w:r>
      <w:rPr>
        <w:sz w:val="16"/>
        <w:szCs w:val="16"/>
      </w:rPr>
      <w:t>Emergency ICR</w:t>
    </w:r>
    <w:r w:rsidRPr="00AE5464">
      <w:rPr>
        <w:sz w:val="16"/>
        <w:szCs w:val="16"/>
      </w:rPr>
      <w:t xml:space="preserve"> Request</w:t>
    </w:r>
    <w:r w:rsidR="001B0567">
      <w:rPr>
        <w:sz w:val="16"/>
        <w:szCs w:val="16"/>
      </w:rPr>
      <w:t xml:space="preserve"> </w:t>
    </w:r>
    <w:r w:rsidR="005231F0">
      <w:rPr>
        <w:sz w:val="16"/>
        <w:szCs w:val="16"/>
      </w:rPr>
      <w:t>December</w:t>
    </w:r>
    <w:r w:rsidR="005C2B4E">
      <w:rPr>
        <w:sz w:val="16"/>
        <w:szCs w:val="16"/>
      </w:rPr>
      <w:t xml:space="preserve"> </w:t>
    </w:r>
    <w:r w:rsidR="00240E95">
      <w:rPr>
        <w:sz w:val="16"/>
        <w:szCs w:val="16"/>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46B" w14:paraId="0A2D79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83394"/>
    <w:multiLevelType w:val="hybridMultilevel"/>
    <w:tmpl w:val="1D5840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6053A"/>
    <w:multiLevelType w:val="hybridMultilevel"/>
    <w:tmpl w:val="A85AFA0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E870EA0"/>
    <w:multiLevelType w:val="hybridMultilevel"/>
    <w:tmpl w:val="EF680A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01671E"/>
    <w:multiLevelType w:val="hybridMultilevel"/>
    <w:tmpl w:val="A008C99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D17834"/>
    <w:multiLevelType w:val="hybridMultilevel"/>
    <w:tmpl w:val="5BA2D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0A7FE8"/>
    <w:multiLevelType w:val="hybridMultilevel"/>
    <w:tmpl w:val="8B6AE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8C5009"/>
    <w:multiLevelType w:val="hybridMultilevel"/>
    <w:tmpl w:val="4FBC3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323488"/>
    <w:multiLevelType w:val="hybridMultilevel"/>
    <w:tmpl w:val="8B245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57390C"/>
    <w:multiLevelType w:val="hybridMultilevel"/>
    <w:tmpl w:val="63AC13E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A27AD1"/>
    <w:multiLevelType w:val="hybridMultilevel"/>
    <w:tmpl w:val="D13A21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314D2F"/>
    <w:multiLevelType w:val="hybridMultilevel"/>
    <w:tmpl w:val="9A18F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6D1040"/>
    <w:multiLevelType w:val="hybridMultilevel"/>
    <w:tmpl w:val="04CA13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5B4269E"/>
    <w:multiLevelType w:val="hybridMultilevel"/>
    <w:tmpl w:val="1DF47C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695B7B"/>
    <w:multiLevelType w:val="hybridMultilevel"/>
    <w:tmpl w:val="7AACB3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B12CE6"/>
    <w:multiLevelType w:val="hybridMultilevel"/>
    <w:tmpl w:val="63460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D92725"/>
    <w:multiLevelType w:val="hybridMultilevel"/>
    <w:tmpl w:val="50D462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F037FE"/>
    <w:multiLevelType w:val="hybridMultilevel"/>
    <w:tmpl w:val="D1B23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CC00C7"/>
    <w:multiLevelType w:val="hybridMultilevel"/>
    <w:tmpl w:val="73E8E4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9">
    <w:nsid w:val="42A15441"/>
    <w:multiLevelType w:val="hybridMultilevel"/>
    <w:tmpl w:val="0C8232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9120DE2"/>
    <w:multiLevelType w:val="hybridMultilevel"/>
    <w:tmpl w:val="9198EA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11E3DD5"/>
    <w:multiLevelType w:val="hybridMultilevel"/>
    <w:tmpl w:val="2996ED14"/>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3">
    <w:nsid w:val="55433E9B"/>
    <w:multiLevelType w:val="hybridMultilevel"/>
    <w:tmpl w:val="21A88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B92E18"/>
    <w:multiLevelType w:val="hybridMultilevel"/>
    <w:tmpl w:val="297025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DD9083A"/>
    <w:multiLevelType w:val="hybridMultilevel"/>
    <w:tmpl w:val="55503A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0C3ADE"/>
    <w:multiLevelType w:val="hybridMultilevel"/>
    <w:tmpl w:val="0E60F6F6"/>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2A6325"/>
    <w:multiLevelType w:val="hybridMultilevel"/>
    <w:tmpl w:val="9CCCA6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E0177AD"/>
    <w:multiLevelType w:val="hybridMultilevel"/>
    <w:tmpl w:val="ED86C7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E061D8E"/>
    <w:multiLevelType w:val="hybridMultilevel"/>
    <w:tmpl w:val="44283D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F6548EB"/>
    <w:multiLevelType w:val="hybridMultilevel"/>
    <w:tmpl w:val="5CCA46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3E72E15"/>
    <w:multiLevelType w:val="hybridMultilevel"/>
    <w:tmpl w:val="4BE898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564752"/>
    <w:multiLevelType w:val="hybridMultilevel"/>
    <w:tmpl w:val="AEC8D4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6CB2407"/>
    <w:multiLevelType w:val="hybridMultilevel"/>
    <w:tmpl w:val="AA9E0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6CE0084"/>
    <w:multiLevelType w:val="hybridMultilevel"/>
    <w:tmpl w:val="3544FB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50136C"/>
    <w:multiLevelType w:val="hybridMultilevel"/>
    <w:tmpl w:val="AC4A10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1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
  </w:num>
  <w:num w:numId="6">
    <w:abstractNumId w:val="25"/>
  </w:num>
  <w:num w:numId="7">
    <w:abstractNumId w:val="13"/>
  </w:num>
  <w:num w:numId="8">
    <w:abstractNumId w:val="14"/>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23"/>
  </w:num>
  <w:num w:numId="14">
    <w:abstractNumId w:val="4"/>
  </w:num>
  <w:num w:numId="15">
    <w:abstractNumId w:val="2"/>
  </w:num>
  <w:num w:numId="16">
    <w:abstractNumId w:val="10"/>
  </w:num>
  <w:num w:numId="17">
    <w:abstractNumId w:val="33"/>
  </w:num>
  <w:num w:numId="18">
    <w:abstractNumId w:val="9"/>
  </w:num>
  <w:num w:numId="19">
    <w:abstractNumId w:val="34"/>
  </w:num>
  <w:num w:numId="20">
    <w:abstractNumId w:val="0"/>
  </w:num>
  <w:num w:numId="21">
    <w:abstractNumId w:val="12"/>
  </w:num>
  <w:num w:numId="22">
    <w:abstractNumId w:val="31"/>
  </w:num>
  <w:num w:numId="23">
    <w:abstractNumId w:val="11"/>
  </w:num>
  <w:num w:numId="24">
    <w:abstractNumId w:val="30"/>
  </w:num>
  <w:num w:numId="25">
    <w:abstractNumId w:val="28"/>
  </w:num>
  <w:num w:numId="26">
    <w:abstractNumId w:val="27"/>
  </w:num>
  <w:num w:numId="27">
    <w:abstractNumId w:val="24"/>
  </w:num>
  <w:num w:numId="28">
    <w:abstractNumId w:val="21"/>
  </w:num>
  <w:num w:numId="29">
    <w:abstractNumId w:val="19"/>
  </w:num>
  <w:num w:numId="30">
    <w:abstractNumId w:val="7"/>
  </w:num>
  <w:num w:numId="31">
    <w:abstractNumId w:val="29"/>
  </w:num>
  <w:num w:numId="32">
    <w:abstractNumId w:val="32"/>
  </w:num>
  <w:num w:numId="33">
    <w:abstractNumId w:val="5"/>
  </w:num>
  <w:num w:numId="34">
    <w:abstractNumId w:val="17"/>
  </w:num>
  <w:num w:numId="35">
    <w:abstractNumId w:val="26"/>
  </w:num>
  <w:num w:numId="36">
    <w:abstractNumId w:val="16"/>
  </w:num>
  <w:num w:numId="37">
    <w:abstractNumId w:val="2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4F"/>
    <w:rsid w:val="00012D76"/>
    <w:rsid w:val="00026AEA"/>
    <w:rsid w:val="00027641"/>
    <w:rsid w:val="0003066E"/>
    <w:rsid w:val="00052AEA"/>
    <w:rsid w:val="00057AE0"/>
    <w:rsid w:val="000632C6"/>
    <w:rsid w:val="000654EC"/>
    <w:rsid w:val="00097F5F"/>
    <w:rsid w:val="000A123C"/>
    <w:rsid w:val="000A156B"/>
    <w:rsid w:val="000A195E"/>
    <w:rsid w:val="000A1FD1"/>
    <w:rsid w:val="000D0A4E"/>
    <w:rsid w:val="000E6AA4"/>
    <w:rsid w:val="000E7BA2"/>
    <w:rsid w:val="000E7FAF"/>
    <w:rsid w:val="000F041F"/>
    <w:rsid w:val="00107276"/>
    <w:rsid w:val="0014131A"/>
    <w:rsid w:val="00152BE7"/>
    <w:rsid w:val="00161CB6"/>
    <w:rsid w:val="00183E7D"/>
    <w:rsid w:val="0018754A"/>
    <w:rsid w:val="00194A4E"/>
    <w:rsid w:val="00195572"/>
    <w:rsid w:val="001B0567"/>
    <w:rsid w:val="001D52AD"/>
    <w:rsid w:val="001F2F55"/>
    <w:rsid w:val="001F4324"/>
    <w:rsid w:val="001F5B23"/>
    <w:rsid w:val="00212B9B"/>
    <w:rsid w:val="00221BDC"/>
    <w:rsid w:val="00224848"/>
    <w:rsid w:val="00240E95"/>
    <w:rsid w:val="0025044D"/>
    <w:rsid w:val="00260745"/>
    <w:rsid w:val="0026720F"/>
    <w:rsid w:val="002677C7"/>
    <w:rsid w:val="00293E12"/>
    <w:rsid w:val="002C4FC5"/>
    <w:rsid w:val="002D276D"/>
    <w:rsid w:val="002D3416"/>
    <w:rsid w:val="002E1110"/>
    <w:rsid w:val="002E36B6"/>
    <w:rsid w:val="002E7C83"/>
    <w:rsid w:val="002F12BD"/>
    <w:rsid w:val="002F54D2"/>
    <w:rsid w:val="00303AA5"/>
    <w:rsid w:val="003121EC"/>
    <w:rsid w:val="0031220F"/>
    <w:rsid w:val="00334B2C"/>
    <w:rsid w:val="00336475"/>
    <w:rsid w:val="00341265"/>
    <w:rsid w:val="00361679"/>
    <w:rsid w:val="00361F58"/>
    <w:rsid w:val="0036637B"/>
    <w:rsid w:val="00375808"/>
    <w:rsid w:val="003918BE"/>
    <w:rsid w:val="003A2296"/>
    <w:rsid w:val="003E14AD"/>
    <w:rsid w:val="003E7BBF"/>
    <w:rsid w:val="003F713B"/>
    <w:rsid w:val="004008D5"/>
    <w:rsid w:val="00404F84"/>
    <w:rsid w:val="004168D4"/>
    <w:rsid w:val="00424215"/>
    <w:rsid w:val="00433F04"/>
    <w:rsid w:val="004350E7"/>
    <w:rsid w:val="00435983"/>
    <w:rsid w:val="00440605"/>
    <w:rsid w:val="00444D62"/>
    <w:rsid w:val="004504AA"/>
    <w:rsid w:val="00452581"/>
    <w:rsid w:val="00474C94"/>
    <w:rsid w:val="004753DF"/>
    <w:rsid w:val="00483A72"/>
    <w:rsid w:val="00486E1C"/>
    <w:rsid w:val="004931FB"/>
    <w:rsid w:val="004951FE"/>
    <w:rsid w:val="004E05E5"/>
    <w:rsid w:val="004E5B6B"/>
    <w:rsid w:val="004F2B6F"/>
    <w:rsid w:val="005231F0"/>
    <w:rsid w:val="00546C9C"/>
    <w:rsid w:val="00575B44"/>
    <w:rsid w:val="00585C9B"/>
    <w:rsid w:val="00594E67"/>
    <w:rsid w:val="005A678A"/>
    <w:rsid w:val="005B19A3"/>
    <w:rsid w:val="005B2C34"/>
    <w:rsid w:val="005C2B4E"/>
    <w:rsid w:val="005C6F44"/>
    <w:rsid w:val="005D397A"/>
    <w:rsid w:val="005E1BE7"/>
    <w:rsid w:val="005F39A0"/>
    <w:rsid w:val="00612542"/>
    <w:rsid w:val="00614B89"/>
    <w:rsid w:val="00617C6A"/>
    <w:rsid w:val="006303CB"/>
    <w:rsid w:val="00634CE9"/>
    <w:rsid w:val="00646FE5"/>
    <w:rsid w:val="006603E8"/>
    <w:rsid w:val="0067065A"/>
    <w:rsid w:val="0068460A"/>
    <w:rsid w:val="006859FA"/>
    <w:rsid w:val="00687313"/>
    <w:rsid w:val="00687965"/>
    <w:rsid w:val="006A2DC2"/>
    <w:rsid w:val="006D520D"/>
    <w:rsid w:val="00702060"/>
    <w:rsid w:val="00715FBF"/>
    <w:rsid w:val="0073356D"/>
    <w:rsid w:val="0073697A"/>
    <w:rsid w:val="007537E6"/>
    <w:rsid w:val="007704C0"/>
    <w:rsid w:val="00773810"/>
    <w:rsid w:val="00773FBE"/>
    <w:rsid w:val="00777458"/>
    <w:rsid w:val="007818E6"/>
    <w:rsid w:val="00782C57"/>
    <w:rsid w:val="00796D48"/>
    <w:rsid w:val="007E6F71"/>
    <w:rsid w:val="008108F9"/>
    <w:rsid w:val="008125B2"/>
    <w:rsid w:val="00825896"/>
    <w:rsid w:val="00826E20"/>
    <w:rsid w:val="008733F7"/>
    <w:rsid w:val="0088535D"/>
    <w:rsid w:val="008B1ECA"/>
    <w:rsid w:val="008B7090"/>
    <w:rsid w:val="008D0382"/>
    <w:rsid w:val="008E54D0"/>
    <w:rsid w:val="008F0153"/>
    <w:rsid w:val="008F5C7D"/>
    <w:rsid w:val="008F7ECC"/>
    <w:rsid w:val="00925054"/>
    <w:rsid w:val="00934BD3"/>
    <w:rsid w:val="009648A6"/>
    <w:rsid w:val="009648D7"/>
    <w:rsid w:val="00980D58"/>
    <w:rsid w:val="009857F9"/>
    <w:rsid w:val="009876C1"/>
    <w:rsid w:val="009A0AA5"/>
    <w:rsid w:val="009A49EB"/>
    <w:rsid w:val="009B5841"/>
    <w:rsid w:val="009B7C59"/>
    <w:rsid w:val="009C5C56"/>
    <w:rsid w:val="009D6D77"/>
    <w:rsid w:val="009E2917"/>
    <w:rsid w:val="009F499E"/>
    <w:rsid w:val="009F4B7A"/>
    <w:rsid w:val="00A301FD"/>
    <w:rsid w:val="00A3690C"/>
    <w:rsid w:val="00A37CF8"/>
    <w:rsid w:val="00A43A8B"/>
    <w:rsid w:val="00A64B0D"/>
    <w:rsid w:val="00A813EA"/>
    <w:rsid w:val="00A94153"/>
    <w:rsid w:val="00AC4ED5"/>
    <w:rsid w:val="00AD134A"/>
    <w:rsid w:val="00AE0BFC"/>
    <w:rsid w:val="00AE538F"/>
    <w:rsid w:val="00AE5464"/>
    <w:rsid w:val="00B0440C"/>
    <w:rsid w:val="00B21180"/>
    <w:rsid w:val="00B23BE7"/>
    <w:rsid w:val="00B428B1"/>
    <w:rsid w:val="00B563B0"/>
    <w:rsid w:val="00BA0ED4"/>
    <w:rsid w:val="00BA6932"/>
    <w:rsid w:val="00BA6955"/>
    <w:rsid w:val="00BC5B43"/>
    <w:rsid w:val="00BD54E3"/>
    <w:rsid w:val="00BD6E95"/>
    <w:rsid w:val="00C03B5E"/>
    <w:rsid w:val="00C1646B"/>
    <w:rsid w:val="00C3679C"/>
    <w:rsid w:val="00C5137B"/>
    <w:rsid w:val="00C83EBF"/>
    <w:rsid w:val="00CC0E71"/>
    <w:rsid w:val="00CE7A65"/>
    <w:rsid w:val="00CF06D9"/>
    <w:rsid w:val="00CF2B2D"/>
    <w:rsid w:val="00D04801"/>
    <w:rsid w:val="00D05EDD"/>
    <w:rsid w:val="00D070AB"/>
    <w:rsid w:val="00D1282B"/>
    <w:rsid w:val="00D1530A"/>
    <w:rsid w:val="00D16A8A"/>
    <w:rsid w:val="00D24CF4"/>
    <w:rsid w:val="00D301CC"/>
    <w:rsid w:val="00D3757B"/>
    <w:rsid w:val="00D51DCD"/>
    <w:rsid w:val="00D60514"/>
    <w:rsid w:val="00D6107C"/>
    <w:rsid w:val="00D65564"/>
    <w:rsid w:val="00D772C0"/>
    <w:rsid w:val="00D869F4"/>
    <w:rsid w:val="00D878FE"/>
    <w:rsid w:val="00D929D4"/>
    <w:rsid w:val="00D960E0"/>
    <w:rsid w:val="00DA720C"/>
    <w:rsid w:val="00DF3592"/>
    <w:rsid w:val="00DF4E05"/>
    <w:rsid w:val="00DF6C16"/>
    <w:rsid w:val="00DF7D56"/>
    <w:rsid w:val="00DF7E44"/>
    <w:rsid w:val="00E10ED1"/>
    <w:rsid w:val="00E156E9"/>
    <w:rsid w:val="00E26386"/>
    <w:rsid w:val="00E2735F"/>
    <w:rsid w:val="00E305D0"/>
    <w:rsid w:val="00E30B7F"/>
    <w:rsid w:val="00E370A0"/>
    <w:rsid w:val="00E434B2"/>
    <w:rsid w:val="00E8224F"/>
    <w:rsid w:val="00E87A82"/>
    <w:rsid w:val="00E87DDF"/>
    <w:rsid w:val="00EB0285"/>
    <w:rsid w:val="00EC6183"/>
    <w:rsid w:val="00ED39BD"/>
    <w:rsid w:val="00ED47C0"/>
    <w:rsid w:val="00EE5442"/>
    <w:rsid w:val="00F02A60"/>
    <w:rsid w:val="00F14CE3"/>
    <w:rsid w:val="00F17D7A"/>
    <w:rsid w:val="00F231CF"/>
    <w:rsid w:val="00F277DF"/>
    <w:rsid w:val="00F66227"/>
    <w:rsid w:val="00F66895"/>
    <w:rsid w:val="00F6777E"/>
    <w:rsid w:val="00F74034"/>
    <w:rsid w:val="00F756E2"/>
    <w:rsid w:val="00F85C28"/>
    <w:rsid w:val="00FC163D"/>
    <w:rsid w:val="00FC2060"/>
    <w:rsid w:val="1E8CB51E"/>
  </w:rsids>
  <w:docVars>
    <w:docVar w:name="__Grammarly_42___1" w:val="H4sIAAAAAAAEAKtWcslP9kxRslIyNDY0MzY3NLI0NrUwMzc2M7BQ0lEKTi0uzszPAykwtKgFAElo7aA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9E540"/>
  <w15:docId w15:val="{5BEB613A-8559-4734-BC57-29D687D4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paragraph" w:styleId="Heading1">
    <w:name w:val="heading 1"/>
    <w:basedOn w:val="Subtitle"/>
    <w:next w:val="Normal"/>
    <w:link w:val="Heading1Char"/>
    <w:uiPriority w:val="9"/>
    <w:qFormat/>
    <w:rsid w:val="00D65564"/>
    <w:pPr>
      <w:numPr>
        <w:ilvl w:val="0"/>
        <w:numId w:val="37"/>
      </w:numPr>
      <w:spacing w:after="240" w:line="240" w:lineRule="auto"/>
      <w:ind w:left="360"/>
      <w:outlineLvl w:val="0"/>
    </w:pPr>
    <w:rPr>
      <w:rFonts w:ascii="Times New Roman" w:hAnsi="Times New Roman" w:eastAsiaTheme="minorHAnsi"/>
      <w:b/>
      <w:color w:val="auto"/>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720C"/>
    <w:pPr>
      <w:spacing w:after="0" w:line="240" w:lineRule="auto"/>
    </w:pPr>
  </w:style>
  <w:style w:type="paragraph" w:styleId="ListParagraph">
    <w:name w:val="List Paragraph"/>
    <w:basedOn w:val="Normal"/>
    <w:link w:val="ListParagraphChar"/>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 w:type="character" w:styleId="CommentReference">
    <w:name w:val="annotation reference"/>
    <w:basedOn w:val="DefaultParagraphFont"/>
    <w:uiPriority w:val="99"/>
    <w:semiHidden/>
    <w:unhideWhenUsed/>
    <w:rsid w:val="00E156E9"/>
    <w:rPr>
      <w:sz w:val="16"/>
      <w:szCs w:val="16"/>
    </w:rPr>
  </w:style>
  <w:style w:type="paragraph" w:styleId="CommentText">
    <w:name w:val="annotation text"/>
    <w:basedOn w:val="Normal"/>
    <w:link w:val="CommentTextChar"/>
    <w:uiPriority w:val="99"/>
    <w:semiHidden/>
    <w:unhideWhenUsed/>
    <w:rsid w:val="00E156E9"/>
    <w:pPr>
      <w:spacing w:line="240" w:lineRule="auto"/>
    </w:pPr>
    <w:rPr>
      <w:sz w:val="20"/>
      <w:szCs w:val="20"/>
    </w:rPr>
  </w:style>
  <w:style w:type="character" w:customStyle="1" w:styleId="CommentTextChar">
    <w:name w:val="Comment Text Char"/>
    <w:basedOn w:val="DefaultParagraphFont"/>
    <w:link w:val="CommentText"/>
    <w:uiPriority w:val="99"/>
    <w:semiHidden/>
    <w:rsid w:val="00E156E9"/>
    <w:rPr>
      <w:sz w:val="20"/>
      <w:szCs w:val="20"/>
    </w:rPr>
  </w:style>
  <w:style w:type="paragraph" w:styleId="CommentSubject">
    <w:name w:val="annotation subject"/>
    <w:basedOn w:val="CommentText"/>
    <w:next w:val="CommentText"/>
    <w:link w:val="CommentSubjectChar"/>
    <w:uiPriority w:val="99"/>
    <w:semiHidden/>
    <w:unhideWhenUsed/>
    <w:rsid w:val="00E156E9"/>
    <w:rPr>
      <w:b/>
      <w:bCs/>
    </w:rPr>
  </w:style>
  <w:style w:type="character" w:customStyle="1" w:styleId="CommentSubjectChar">
    <w:name w:val="Comment Subject Char"/>
    <w:basedOn w:val="CommentTextChar"/>
    <w:link w:val="CommentSubject"/>
    <w:uiPriority w:val="99"/>
    <w:semiHidden/>
    <w:rsid w:val="00E156E9"/>
    <w:rPr>
      <w:b/>
      <w:bCs/>
      <w:sz w:val="20"/>
      <w:szCs w:val="20"/>
    </w:rPr>
  </w:style>
  <w:style w:type="paragraph" w:styleId="BalloonText">
    <w:name w:val="Balloon Text"/>
    <w:basedOn w:val="Normal"/>
    <w:link w:val="BalloonTextChar"/>
    <w:uiPriority w:val="99"/>
    <w:semiHidden/>
    <w:unhideWhenUsed/>
    <w:rsid w:val="00E1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E9"/>
    <w:rPr>
      <w:rFonts w:ascii="Segoe UI" w:hAnsi="Segoe UI" w:cs="Segoe UI"/>
      <w:sz w:val="18"/>
      <w:szCs w:val="18"/>
    </w:rPr>
  </w:style>
  <w:style w:type="paragraph" w:styleId="Revision">
    <w:name w:val="Revision"/>
    <w:hidden/>
    <w:uiPriority w:val="99"/>
    <w:semiHidden/>
    <w:rsid w:val="00D05EDD"/>
    <w:pPr>
      <w:spacing w:after="0" w:line="240" w:lineRule="auto"/>
    </w:pPr>
  </w:style>
  <w:style w:type="character" w:customStyle="1" w:styleId="NoSpacingChar">
    <w:name w:val="No Spacing Char"/>
    <w:basedOn w:val="DefaultParagraphFont"/>
    <w:link w:val="NoSpacing"/>
    <w:uiPriority w:val="1"/>
    <w:rsid w:val="008B1ECA"/>
  </w:style>
  <w:style w:type="table" w:styleId="TableGrid">
    <w:name w:val="Table Grid"/>
    <w:basedOn w:val="TableNormal"/>
    <w:uiPriority w:val="59"/>
    <w:rsid w:val="005231F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5564"/>
    <w:rPr>
      <w:rFonts w:cstheme="minorBidi"/>
      <w:b/>
      <w:szCs w:val="22"/>
    </w:rPr>
  </w:style>
  <w:style w:type="character" w:customStyle="1" w:styleId="ListParagraphChar">
    <w:name w:val="List Paragraph Char"/>
    <w:basedOn w:val="DefaultParagraphFont"/>
    <w:link w:val="ListParagraph"/>
    <w:uiPriority w:val="34"/>
    <w:rsid w:val="00D65564"/>
    <w:rPr>
      <w:rFonts w:eastAsia="Times New Roman"/>
    </w:rPr>
  </w:style>
  <w:style w:type="paragraph" w:styleId="Subtitle">
    <w:name w:val="Subtitle"/>
    <w:basedOn w:val="Normal"/>
    <w:next w:val="Normal"/>
    <w:link w:val="SubtitleChar"/>
    <w:uiPriority w:val="11"/>
    <w:qFormat/>
    <w:rsid w:val="00D655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6556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58CA4-7C17-4EF5-A208-4F9E6FF4EB2D}">
  <ds:schemaRefs>
    <ds:schemaRef ds:uri="http://schemas.microsoft.com/sharepoint/v3/contenttype/forms"/>
  </ds:schemaRefs>
</ds:datastoreItem>
</file>

<file path=customXml/itemProps2.xml><?xml version="1.0" encoding="utf-8"?>
<ds:datastoreItem xmlns:ds="http://schemas.openxmlformats.org/officeDocument/2006/customXml" ds:itemID="{B3870D62-E101-42CD-A470-4EE46DBBB3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9CF35-A4F8-430E-8E33-881E3FE5EA73}">
  <ds:schemaRefs>
    <ds:schemaRef ds:uri="http://schemas.openxmlformats.org/officeDocument/2006/bibliography"/>
  </ds:schemaRefs>
</ds:datastoreItem>
</file>

<file path=customXml/itemProps4.xml><?xml version="1.0" encoding="utf-8"?>
<ds:datastoreItem xmlns:ds="http://schemas.openxmlformats.org/officeDocument/2006/customXml" ds:itemID="{496E091D-477C-4997-9388-49E744B5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Daymude, Thomas (Chip) (CDC/DDID/NCEZID/OD)</cp:lastModifiedBy>
  <cp:revision>2</cp:revision>
  <cp:lastPrinted>2017-12-19T13:20:00Z</cp:lastPrinted>
  <dcterms:created xsi:type="dcterms:W3CDTF">2022-12-19T21:10:00Z</dcterms:created>
  <dcterms:modified xsi:type="dcterms:W3CDTF">2022-12-19T21:10:00Z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ActionId">
    <vt:lpwstr>b9c896b4-5b6a-4f3b-8dc7-7f8a1ac5cd75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2021-12-10T15:25:24Z</vt:lpwstr>
  </property>
  <property fmtid="{D5CDD505-2E9C-101B-9397-08002B2CF9AE}" pid="9" name="MSIP_Label_7b94a7b8-f06c-4dfe-bdcc-9b548fd58c31_SiteId">
    <vt:lpwstr>9ce70869-60db-44fd-abe8-d2767077fc8f</vt:lpwstr>
  </property>
</Properties>
</file>