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1BF1" w:rsidP="00651BF1" w14:paraId="6DFC7C3B" w14:textId="77777777">
      <w:pPr>
        <w:pStyle w:val="Header"/>
        <w:jc w:val="center"/>
        <w:rPr>
          <w:sz w:val="50"/>
          <w:szCs w:val="50"/>
        </w:rPr>
      </w:pPr>
    </w:p>
    <w:p w:rsidR="00651BF1" w:rsidP="00651BF1" w14:paraId="0A36E0B8" w14:textId="77777777">
      <w:pPr>
        <w:pStyle w:val="Header"/>
        <w:jc w:val="center"/>
        <w:rPr>
          <w:sz w:val="50"/>
          <w:szCs w:val="50"/>
        </w:rPr>
      </w:pPr>
    </w:p>
    <w:p w:rsidR="00651BF1" w:rsidP="00651BF1" w14:paraId="76579AED" w14:textId="77777777">
      <w:pPr>
        <w:pStyle w:val="Header"/>
        <w:jc w:val="center"/>
        <w:rPr>
          <w:sz w:val="50"/>
          <w:szCs w:val="50"/>
        </w:rPr>
      </w:pPr>
    </w:p>
    <w:p w:rsidR="00651BF1" w:rsidP="00651BF1" w14:paraId="19DF7D1F" w14:textId="77777777">
      <w:pPr>
        <w:pStyle w:val="Header"/>
        <w:jc w:val="center"/>
        <w:rPr>
          <w:sz w:val="50"/>
          <w:szCs w:val="50"/>
        </w:rPr>
      </w:pPr>
    </w:p>
    <w:p w:rsidR="00651BF1" w:rsidP="00651BF1" w14:paraId="2DCFCE07" w14:textId="77777777">
      <w:pPr>
        <w:pStyle w:val="Header"/>
        <w:jc w:val="center"/>
        <w:rPr>
          <w:sz w:val="50"/>
          <w:szCs w:val="50"/>
        </w:rPr>
      </w:pPr>
    </w:p>
    <w:p w:rsidR="00651BF1" w:rsidRPr="00C15922" w:rsidP="00651BF1" w14:paraId="181FAC20" w14:textId="77777777">
      <w:pPr>
        <w:pStyle w:val="Header"/>
        <w:jc w:val="center"/>
        <w:rPr>
          <w:sz w:val="50"/>
          <w:szCs w:val="50"/>
        </w:rPr>
      </w:pPr>
      <w:r w:rsidRPr="00C15922">
        <w:rPr>
          <w:sz w:val="50"/>
          <w:szCs w:val="50"/>
        </w:rPr>
        <w:t>National Healthcare Safety Network (NHSN)</w:t>
      </w:r>
    </w:p>
    <w:p w:rsidR="00651BF1" w:rsidRPr="00C15922" w:rsidP="00651BF1" w14:paraId="121B0957" w14:textId="77777777">
      <w:pPr>
        <w:pStyle w:val="Header"/>
        <w:jc w:val="center"/>
        <w:rPr>
          <w:sz w:val="50"/>
          <w:szCs w:val="50"/>
        </w:rPr>
      </w:pPr>
      <w:r w:rsidRPr="00C15922">
        <w:rPr>
          <w:sz w:val="50"/>
          <w:szCs w:val="50"/>
        </w:rPr>
        <w:t>OMB Control No. 0920-0666</w:t>
      </w:r>
    </w:p>
    <w:p w:rsidR="00651BF1" w:rsidRPr="00C15922" w:rsidP="00651BF1" w14:paraId="32420D8C" w14:textId="13C9AEF9">
      <w:pPr>
        <w:pStyle w:val="Header"/>
        <w:jc w:val="center"/>
        <w:rPr>
          <w:sz w:val="50"/>
          <w:szCs w:val="50"/>
        </w:rPr>
      </w:pPr>
      <w:r w:rsidRPr="00C15922">
        <w:rPr>
          <w:sz w:val="50"/>
          <w:szCs w:val="50"/>
        </w:rPr>
        <w:t xml:space="preserve">Expiration </w:t>
      </w:r>
      <w:r w:rsidR="001008AE">
        <w:rPr>
          <w:sz w:val="50"/>
          <w:szCs w:val="50"/>
        </w:rPr>
        <w:t>01/31/2025</w:t>
      </w:r>
    </w:p>
    <w:p w:rsidR="00651BF1" w:rsidRPr="00C15922" w:rsidP="00651BF1" w14:paraId="2B0E7D84" w14:textId="7FB0D62C">
      <w:pPr>
        <w:pStyle w:val="Header"/>
        <w:jc w:val="center"/>
        <w:rPr>
          <w:sz w:val="50"/>
          <w:szCs w:val="50"/>
        </w:rPr>
      </w:pPr>
      <w:r>
        <w:rPr>
          <w:sz w:val="50"/>
          <w:szCs w:val="50"/>
        </w:rPr>
        <w:t>Emergency</w:t>
      </w:r>
      <w:r w:rsidRPr="00C15922">
        <w:rPr>
          <w:sz w:val="50"/>
          <w:szCs w:val="50"/>
        </w:rPr>
        <w:t xml:space="preserve"> </w:t>
      </w:r>
      <w:r>
        <w:rPr>
          <w:sz w:val="50"/>
          <w:szCs w:val="50"/>
        </w:rPr>
        <w:t xml:space="preserve">ICR </w:t>
      </w:r>
      <w:r w:rsidRPr="00C15922">
        <w:rPr>
          <w:sz w:val="50"/>
          <w:szCs w:val="50"/>
        </w:rPr>
        <w:t xml:space="preserve">Request </w:t>
      </w:r>
    </w:p>
    <w:p w:rsidR="00651BF1" w:rsidRPr="00C15922" w:rsidP="00651BF1" w14:paraId="65F1F9A2" w14:textId="77777777">
      <w:pPr>
        <w:pStyle w:val="Header"/>
        <w:jc w:val="center"/>
        <w:rPr>
          <w:sz w:val="44"/>
          <w:szCs w:val="44"/>
        </w:rPr>
      </w:pPr>
      <w:r w:rsidRPr="00C15922">
        <w:rPr>
          <w:sz w:val="44"/>
          <w:szCs w:val="44"/>
        </w:rPr>
        <w:t>Supporting Statement Part B</w:t>
      </w:r>
    </w:p>
    <w:p w:rsidR="00651BF1" w:rsidRPr="00C15922" w:rsidP="00651BF1" w14:paraId="0F029D09" w14:textId="77777777">
      <w:pPr>
        <w:pStyle w:val="Header"/>
        <w:jc w:val="center"/>
        <w:rPr>
          <w:sz w:val="50"/>
          <w:szCs w:val="50"/>
        </w:rPr>
      </w:pPr>
    </w:p>
    <w:p w:rsidR="00651BF1" w:rsidRPr="00C15922" w:rsidP="00651BF1" w14:paraId="724F2C4C" w14:textId="77777777">
      <w:pPr>
        <w:pStyle w:val="Header"/>
        <w:rPr>
          <w:sz w:val="30"/>
          <w:szCs w:val="30"/>
        </w:rPr>
      </w:pPr>
    </w:p>
    <w:p w:rsidR="00651BF1" w:rsidRPr="00C15922" w:rsidP="00651BF1" w14:paraId="62634B21" w14:textId="77777777">
      <w:pPr>
        <w:pStyle w:val="Header"/>
        <w:rPr>
          <w:sz w:val="30"/>
          <w:szCs w:val="30"/>
        </w:rPr>
      </w:pPr>
    </w:p>
    <w:p w:rsidR="00651BF1" w:rsidRPr="00C15922" w:rsidP="00651BF1" w14:paraId="16462402" w14:textId="77777777">
      <w:pPr>
        <w:pStyle w:val="Header"/>
        <w:rPr>
          <w:sz w:val="30"/>
          <w:szCs w:val="30"/>
        </w:rPr>
      </w:pPr>
    </w:p>
    <w:p w:rsidR="00651BF1" w:rsidRPr="00C15922" w:rsidP="00651BF1" w14:paraId="1BE00D3D" w14:textId="77777777">
      <w:pPr>
        <w:pStyle w:val="Header"/>
        <w:rPr>
          <w:sz w:val="30"/>
          <w:szCs w:val="30"/>
        </w:rPr>
      </w:pPr>
    </w:p>
    <w:p w:rsidR="00651BF1" w:rsidRPr="00C15922" w:rsidP="00651BF1" w14:paraId="7D688C96" w14:textId="77777777">
      <w:pPr>
        <w:pStyle w:val="Header"/>
        <w:rPr>
          <w:sz w:val="30"/>
          <w:szCs w:val="30"/>
        </w:rPr>
      </w:pPr>
    </w:p>
    <w:p w:rsidR="00651BF1" w:rsidRPr="00C15922" w:rsidP="00651BF1" w14:paraId="2EE655DF" w14:textId="77777777">
      <w:pPr>
        <w:pStyle w:val="Header"/>
        <w:rPr>
          <w:sz w:val="30"/>
          <w:szCs w:val="30"/>
        </w:rPr>
      </w:pPr>
    </w:p>
    <w:p w:rsidR="00651BF1" w:rsidRPr="00C15922" w:rsidP="00651BF1" w14:paraId="55791DC2" w14:textId="77777777">
      <w:pPr>
        <w:pStyle w:val="Header"/>
        <w:rPr>
          <w:sz w:val="30"/>
          <w:szCs w:val="30"/>
        </w:rPr>
      </w:pPr>
    </w:p>
    <w:p w:rsidR="00651BF1" w:rsidRPr="00C15922" w:rsidP="00651BF1" w14:paraId="22777BD6" w14:textId="77777777">
      <w:pPr>
        <w:pStyle w:val="Header"/>
        <w:rPr>
          <w:sz w:val="30"/>
          <w:szCs w:val="30"/>
        </w:rPr>
      </w:pPr>
    </w:p>
    <w:p w:rsidR="00965764" w:rsidRPr="00B36EB2" w:rsidP="00965764" w14:paraId="69242F1F" w14:textId="77777777">
      <w:pPr>
        <w:pStyle w:val="Header"/>
        <w:rPr>
          <w:sz w:val="30"/>
          <w:szCs w:val="30"/>
        </w:rPr>
      </w:pPr>
      <w:r>
        <w:rPr>
          <w:sz w:val="30"/>
          <w:szCs w:val="30"/>
        </w:rPr>
        <w:t>Lauren Wattenmaker, MPH</w:t>
      </w:r>
    </w:p>
    <w:p w:rsidR="00965764" w:rsidRPr="00B36EB2" w:rsidP="00965764" w14:paraId="2C30A270" w14:textId="77777777">
      <w:pPr>
        <w:pStyle w:val="Header"/>
        <w:rPr>
          <w:sz w:val="30"/>
          <w:szCs w:val="30"/>
        </w:rPr>
      </w:pPr>
      <w:r>
        <w:rPr>
          <w:sz w:val="30"/>
          <w:szCs w:val="30"/>
        </w:rPr>
        <w:t>Lead, NHSN Policy &amp; Operations Team</w:t>
      </w:r>
    </w:p>
    <w:p w:rsidR="00965764" w:rsidRPr="00B36EB2" w:rsidP="00965764" w14:paraId="60D464EC" w14:textId="77777777">
      <w:pPr>
        <w:pStyle w:val="Header"/>
        <w:rPr>
          <w:sz w:val="30"/>
          <w:szCs w:val="30"/>
        </w:rPr>
      </w:pPr>
      <w:r w:rsidRPr="00B36EB2">
        <w:rPr>
          <w:sz w:val="30"/>
          <w:szCs w:val="30"/>
        </w:rPr>
        <w:t>Division of Healthcare Quality Promotion</w:t>
      </w:r>
    </w:p>
    <w:p w:rsidR="00965764" w:rsidRPr="00B36EB2" w:rsidP="00965764" w14:paraId="4F30A174" w14:textId="77777777">
      <w:pPr>
        <w:pStyle w:val="Header"/>
        <w:rPr>
          <w:sz w:val="30"/>
          <w:szCs w:val="30"/>
        </w:rPr>
      </w:pPr>
      <w:r w:rsidRPr="00B36EB2">
        <w:rPr>
          <w:sz w:val="30"/>
          <w:szCs w:val="30"/>
        </w:rPr>
        <w:t>National Center for Emerging and Zoonotic Infectious Diseases</w:t>
      </w:r>
    </w:p>
    <w:p w:rsidR="00965764" w:rsidRPr="00B36EB2" w:rsidP="00965764" w14:paraId="17AEB250" w14:textId="77777777">
      <w:pPr>
        <w:pStyle w:val="Header"/>
        <w:rPr>
          <w:sz w:val="30"/>
          <w:szCs w:val="30"/>
        </w:rPr>
      </w:pPr>
      <w:r w:rsidRPr="00B36EB2">
        <w:rPr>
          <w:sz w:val="30"/>
          <w:szCs w:val="30"/>
        </w:rPr>
        <w:t>Centers for Disease Control and Prevention</w:t>
      </w:r>
    </w:p>
    <w:p w:rsidR="00965764" w:rsidRPr="00B36EB2" w:rsidP="00965764" w14:paraId="23FB725E" w14:textId="77777777">
      <w:pPr>
        <w:pStyle w:val="Header"/>
        <w:rPr>
          <w:sz w:val="30"/>
          <w:szCs w:val="30"/>
        </w:rPr>
      </w:pPr>
      <w:r w:rsidRPr="00B36EB2">
        <w:rPr>
          <w:sz w:val="30"/>
          <w:szCs w:val="30"/>
        </w:rPr>
        <w:t>Atlanta, Georgia 30329-4018</w:t>
      </w:r>
    </w:p>
    <w:p w:rsidR="00965764" w:rsidRPr="00B36EB2" w:rsidP="00965764" w14:paraId="005F48AF" w14:textId="77777777">
      <w:pPr>
        <w:pStyle w:val="Header"/>
        <w:rPr>
          <w:sz w:val="30"/>
          <w:szCs w:val="30"/>
        </w:rPr>
      </w:pPr>
      <w:r w:rsidRPr="00B36EB2">
        <w:rPr>
          <w:sz w:val="30"/>
          <w:szCs w:val="30"/>
        </w:rPr>
        <w:t xml:space="preserve">Phone: (404) </w:t>
      </w:r>
      <w:r>
        <w:rPr>
          <w:sz w:val="30"/>
          <w:szCs w:val="30"/>
        </w:rPr>
        <w:t>718-5842</w:t>
      </w:r>
    </w:p>
    <w:p w:rsidR="00965764" w:rsidRPr="00B36EB2" w:rsidP="00965764" w14:paraId="62740E74" w14:textId="77777777">
      <w:pPr>
        <w:pStyle w:val="Header"/>
        <w:rPr>
          <w:sz w:val="30"/>
          <w:szCs w:val="30"/>
        </w:rPr>
      </w:pPr>
      <w:r w:rsidRPr="00B36EB2">
        <w:rPr>
          <w:sz w:val="30"/>
          <w:szCs w:val="30"/>
        </w:rPr>
        <w:t>Fax: (404) 639-4043</w:t>
      </w:r>
    </w:p>
    <w:p w:rsidR="00965764" w:rsidRPr="00B36EB2" w:rsidP="00965764" w14:paraId="195B70C8" w14:textId="77777777">
      <w:pPr>
        <w:pStyle w:val="Header"/>
        <w:rPr>
          <w:sz w:val="30"/>
          <w:szCs w:val="30"/>
        </w:rPr>
      </w:pPr>
      <w:r w:rsidRPr="00B36EB2">
        <w:rPr>
          <w:sz w:val="30"/>
          <w:szCs w:val="30"/>
        </w:rPr>
        <w:t xml:space="preserve">Email: </w:t>
      </w:r>
      <w:r>
        <w:rPr>
          <w:sz w:val="30"/>
          <w:szCs w:val="30"/>
        </w:rPr>
        <w:t>nlh3@cdc.gov</w:t>
      </w:r>
    </w:p>
    <w:p w:rsidR="00651BF1" w:rsidRPr="00C15922" w:rsidP="00D830F2" w14:paraId="3983BC8F" w14:textId="77777777">
      <w:pPr>
        <w:pStyle w:val="NoSpacing"/>
        <w:jc w:val="center"/>
        <w:rPr>
          <w:b/>
          <w:sz w:val="26"/>
          <w:szCs w:val="26"/>
        </w:rPr>
      </w:pPr>
    </w:p>
    <w:p w:rsidR="00651BF1" w:rsidRPr="00C15922" w14:paraId="0DE58149" w14:textId="77777777">
      <w:pPr>
        <w:spacing w:after="200" w:line="276" w:lineRule="auto"/>
        <w:rPr>
          <w:rFonts w:eastAsiaTheme="minorHAnsi"/>
          <w:b/>
          <w:sz w:val="26"/>
          <w:szCs w:val="26"/>
        </w:rPr>
      </w:pPr>
      <w:r w:rsidRPr="00C15922">
        <w:rPr>
          <w:b/>
          <w:sz w:val="26"/>
          <w:szCs w:val="26"/>
        </w:rPr>
        <w:br w:type="page"/>
      </w:r>
    </w:p>
    <w:p w:rsidR="002F574F" w:rsidRPr="00C15922" w:rsidP="002F574F" w14:paraId="389D7E00" w14:textId="77777777">
      <w:pPr>
        <w:pStyle w:val="NoSpacing"/>
        <w:jc w:val="center"/>
        <w:rPr>
          <w:b/>
          <w:sz w:val="26"/>
          <w:szCs w:val="26"/>
        </w:rPr>
      </w:pPr>
      <w:r w:rsidRPr="00C15922">
        <w:rPr>
          <w:b/>
          <w:sz w:val="26"/>
          <w:szCs w:val="26"/>
        </w:rPr>
        <w:t>OMB No. 0920-0666</w:t>
      </w:r>
    </w:p>
    <w:p w:rsidR="002F574F" w:rsidRPr="00C15922" w:rsidP="002F574F" w14:paraId="0CF78D7C" w14:textId="77777777">
      <w:pPr>
        <w:pStyle w:val="NoSpacing"/>
        <w:jc w:val="center"/>
        <w:rPr>
          <w:b/>
          <w:bCs/>
          <w:sz w:val="26"/>
          <w:szCs w:val="26"/>
        </w:rPr>
      </w:pPr>
      <w:r w:rsidRPr="00C15922">
        <w:rPr>
          <w:b/>
          <w:bCs/>
          <w:sz w:val="26"/>
          <w:szCs w:val="26"/>
        </w:rPr>
        <w:t>National Healthcare Safety Network (NHSN)</w:t>
      </w:r>
    </w:p>
    <w:p w:rsidR="00EE45D7" w:rsidRPr="00C15922" w:rsidP="002F574F" w14:paraId="7E625EE8" w14:textId="77777777">
      <w:pPr>
        <w:pStyle w:val="NoSpacing"/>
        <w:jc w:val="center"/>
        <w:rPr>
          <w:b/>
          <w:sz w:val="26"/>
          <w:szCs w:val="26"/>
        </w:rPr>
      </w:pPr>
    </w:p>
    <w:p w:rsidR="002F574F" w:rsidRPr="00C15922" w:rsidP="002F574F" w14:paraId="40487078" w14:textId="77777777">
      <w:pPr>
        <w:pStyle w:val="NoSpacing"/>
        <w:jc w:val="center"/>
        <w:rPr>
          <w:b/>
          <w:sz w:val="26"/>
          <w:szCs w:val="26"/>
        </w:rPr>
      </w:pPr>
    </w:p>
    <w:p w:rsidR="002F574F" w:rsidRPr="00C15922" w:rsidP="002F574F" w14:paraId="360F911F" w14:textId="77777777">
      <w:pPr>
        <w:pStyle w:val="NoSpacing"/>
        <w:rPr>
          <w:b/>
        </w:rPr>
      </w:pPr>
      <w:r w:rsidRPr="00C15922">
        <w:rPr>
          <w:b/>
        </w:rPr>
        <w:t>Supporting Statement Part B – Table of Contents</w:t>
      </w:r>
    </w:p>
    <w:p w:rsidR="002F574F" w:rsidRPr="00C15922" w:rsidP="002F574F" w14:paraId="0E3F30D3" w14:textId="77777777">
      <w:pPr>
        <w:pStyle w:val="NoSpacing"/>
        <w:numPr>
          <w:ilvl w:val="0"/>
          <w:numId w:val="2"/>
        </w:numPr>
      </w:pPr>
      <w:r w:rsidRPr="00C15922">
        <w:t>Statistical Methods</w:t>
      </w:r>
    </w:p>
    <w:p w:rsidR="002F574F" w:rsidRPr="00C15922" w:rsidP="002F574F" w14:paraId="2940CAF9" w14:textId="77777777">
      <w:pPr>
        <w:pStyle w:val="NoSpacing"/>
        <w:numPr>
          <w:ilvl w:val="1"/>
          <w:numId w:val="2"/>
        </w:numPr>
        <w:ind w:left="1080"/>
      </w:pPr>
      <w:r w:rsidRPr="00C15922">
        <w:t>Respondent Universe and Sampling Methods</w:t>
      </w:r>
    </w:p>
    <w:p w:rsidR="002F574F" w:rsidRPr="00C15922" w:rsidP="002F574F" w14:paraId="35B76E67" w14:textId="77777777">
      <w:pPr>
        <w:pStyle w:val="NoSpacing"/>
        <w:numPr>
          <w:ilvl w:val="1"/>
          <w:numId w:val="2"/>
        </w:numPr>
        <w:ind w:left="1080"/>
      </w:pPr>
      <w:r w:rsidRPr="00C15922">
        <w:t>Procedures for the Collection of Information</w:t>
      </w:r>
    </w:p>
    <w:p w:rsidR="002F574F" w:rsidRPr="00C15922" w:rsidP="002F574F" w14:paraId="591324E2" w14:textId="77777777">
      <w:pPr>
        <w:pStyle w:val="NoSpacing"/>
        <w:numPr>
          <w:ilvl w:val="1"/>
          <w:numId w:val="2"/>
        </w:numPr>
        <w:ind w:left="1080"/>
      </w:pPr>
      <w:r w:rsidRPr="00C15922">
        <w:t>Methods to Maximize Response Rates and Deal with Nonresponse</w:t>
      </w:r>
    </w:p>
    <w:p w:rsidR="002F574F" w:rsidRPr="00C15922" w:rsidP="002F574F" w14:paraId="4E7AC62C" w14:textId="77777777">
      <w:pPr>
        <w:pStyle w:val="NoSpacing"/>
        <w:numPr>
          <w:ilvl w:val="1"/>
          <w:numId w:val="2"/>
        </w:numPr>
        <w:ind w:left="1080"/>
      </w:pPr>
      <w:r w:rsidRPr="00C15922">
        <w:t>Test of Procedures or Methods to be Undertaken</w:t>
      </w:r>
    </w:p>
    <w:p w:rsidR="002F574F" w:rsidRPr="00C15922" w:rsidP="002F574F" w14:paraId="5711582E" w14:textId="49068075">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rsidR="002F574F" w:rsidRPr="00C15922" w:rsidP="002F574F" w14:paraId="4F70C084" w14:textId="77777777">
      <w:pPr>
        <w:pStyle w:val="NoSpacing"/>
        <w:rPr>
          <w:b/>
        </w:rPr>
      </w:pPr>
    </w:p>
    <w:p w:rsidR="002F574F" w:rsidRPr="00C15922" w:rsidP="002F574F" w14:paraId="33965FB2" w14:textId="77777777">
      <w:pPr>
        <w:pStyle w:val="NoSpacing"/>
        <w:rPr>
          <w:b/>
        </w:rPr>
      </w:pPr>
    </w:p>
    <w:p w:rsidR="002F574F" w:rsidRPr="00C15922" w:rsidP="002F574F" w14:paraId="0DFFDC15" w14:textId="77777777">
      <w:pPr>
        <w:pStyle w:val="NoSpacing"/>
        <w:sectPr w:rsidSect="002612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D830F2" w:rsidRPr="00C15922" w:rsidP="00D830F2" w14:paraId="2BAAD54A" w14:textId="77777777">
      <w:pPr>
        <w:pStyle w:val="NoSpacing"/>
        <w:jc w:val="center"/>
        <w:rPr>
          <w:b/>
          <w:sz w:val="26"/>
          <w:szCs w:val="26"/>
        </w:rPr>
      </w:pPr>
      <w:r w:rsidRPr="00C15922">
        <w:rPr>
          <w:b/>
          <w:sz w:val="26"/>
          <w:szCs w:val="26"/>
        </w:rPr>
        <w:t>OMB No. 0920-0666</w:t>
      </w:r>
    </w:p>
    <w:p w:rsidR="00D830F2" w:rsidRPr="00C15922" w:rsidP="00D830F2" w14:paraId="53C5528C" w14:textId="77777777">
      <w:pPr>
        <w:pStyle w:val="NoSpacing"/>
        <w:jc w:val="center"/>
        <w:rPr>
          <w:b/>
          <w:bCs/>
          <w:sz w:val="26"/>
          <w:szCs w:val="26"/>
        </w:rPr>
      </w:pPr>
      <w:r w:rsidRPr="00C15922">
        <w:rPr>
          <w:b/>
          <w:bCs/>
          <w:sz w:val="26"/>
          <w:szCs w:val="26"/>
        </w:rPr>
        <w:t>National Healthcare Safety Network (NHSN)</w:t>
      </w:r>
    </w:p>
    <w:p w:rsidR="0026129E" w:rsidRPr="00C15922" w14:paraId="1C24D8ED" w14:textId="77777777"/>
    <w:p w:rsidR="00D830F2" w:rsidRPr="00C15922" w:rsidP="00D830F2" w14:paraId="4CA2CE72" w14:textId="77777777">
      <w:pPr>
        <w:pStyle w:val="NoSpacing"/>
        <w:rPr>
          <w:b/>
        </w:rPr>
      </w:pPr>
      <w:r w:rsidRPr="00C15922">
        <w:rPr>
          <w:b/>
        </w:rPr>
        <w:t>B.</w:t>
      </w:r>
      <w:r w:rsidRPr="00C15922">
        <w:rPr>
          <w:b/>
        </w:rPr>
        <w:tab/>
        <w:t>Collections of Information Employing Statistical Methods</w:t>
      </w:r>
    </w:p>
    <w:p w:rsidR="00D830F2" w:rsidRPr="00C15922" w:rsidP="00D830F2" w14:paraId="1CD6B6CB" w14:textId="77777777">
      <w:pPr>
        <w:pStyle w:val="NoSpacing"/>
      </w:pPr>
    </w:p>
    <w:p w:rsidR="00D830F2" w:rsidRPr="00C15922" w:rsidP="00D830F2" w14:paraId="742F593E" w14:textId="77777777">
      <w:pPr>
        <w:pStyle w:val="NoSpacing"/>
        <w:rPr>
          <w:b/>
        </w:rPr>
      </w:pPr>
      <w:r w:rsidRPr="00C15922">
        <w:rPr>
          <w:b/>
        </w:rPr>
        <w:t>1.</w:t>
      </w:r>
      <w:r w:rsidRPr="00C15922">
        <w:rPr>
          <w:b/>
        </w:rPr>
        <w:tab/>
        <w:t>Respondent Universe and Sampling Methods</w:t>
      </w:r>
    </w:p>
    <w:p w:rsidR="003E1D78" w:rsidRPr="00C15922" w:rsidP="003E1D78" w14:paraId="577F9503" w14:textId="6C31E4BA">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Pr="00C15922" w:rsidR="00C77E3D">
        <w:t>,</w:t>
      </w:r>
      <w:r w:rsidRPr="00C15922" w:rsidR="00DE3B5B">
        <w:t xml:space="preserve"> but not limited to</w:t>
      </w:r>
      <w:r w:rsidRPr="00C15922" w:rsidR="00C77E3D">
        <w:t>,</w:t>
      </w:r>
      <w:r w:rsidRPr="00C15922">
        <w:t xml:space="preserve"> acute or long-term care facilities,</w:t>
      </w:r>
      <w:r w:rsidRPr="00C15922" w:rsidR="00B8440E">
        <w:t xml:space="preserve"> </w:t>
      </w:r>
      <w:r w:rsidRPr="002752F3" w:rsidR="00B8440E">
        <w:rPr>
          <w:noProof/>
        </w:rPr>
        <w:t>long</w:t>
      </w:r>
      <w:r w:rsidRPr="002752F3" w:rsidR="002752F3">
        <w:rPr>
          <w:noProof/>
        </w:rPr>
        <w:t>-</w:t>
      </w:r>
      <w:r w:rsidRPr="002752F3" w:rsidR="00B8440E">
        <w:rPr>
          <w:noProof/>
        </w:rPr>
        <w:t>term</w:t>
      </w:r>
      <w:r w:rsidRPr="00C15922" w:rsidR="00B8440E">
        <w:t xml:space="preserve"> acute care facilities,</w:t>
      </w:r>
      <w:r w:rsidRPr="00C15922">
        <w:t xml:space="preserve"> </w:t>
      </w:r>
      <w:r w:rsidRPr="00C15922" w:rsidR="00DE3B5B">
        <w:t>oncology facilities, inpatient rehabilitation facilities,</w:t>
      </w:r>
      <w:r w:rsidRPr="00C15922" w:rsidR="00B8440E">
        <w:t xml:space="preserve"> inpatient psychiatric facilities,</w:t>
      </w:r>
      <w:r w:rsidRPr="00C15922" w:rsidR="00DE3B5B">
        <w:t xml:space="preserve"> </w:t>
      </w:r>
      <w:r w:rsidRPr="00C15922">
        <w:t>outpatient dialysis centers,</w:t>
      </w:r>
      <w:r w:rsidRPr="00C15922" w:rsidR="00DE3B5B">
        <w:t xml:space="preserve"> and</w:t>
      </w:r>
      <w:r w:rsidRPr="00C15922">
        <w:t xml:space="preserve"> ambulatory surgery centers. </w:t>
      </w:r>
      <w:r w:rsidRPr="00C15922" w:rsidR="00C77E3D">
        <w:t>According to the</w:t>
      </w:r>
      <w:r w:rsidRPr="00C15922" w:rsidR="00382A6A">
        <w:t xml:space="preserve"> March 201</w:t>
      </w:r>
      <w:r w:rsidRPr="00C15922" w:rsidR="00C051E5">
        <w:t>6</w:t>
      </w:r>
      <w:r w:rsidRPr="00C15922" w:rsidR="00382A6A">
        <w:t xml:space="preserve"> Medicare Payment Advisory Commission Report to Congress on the Medicare Payment Policy (</w:t>
      </w:r>
      <w:hyperlink r:id="rId13" w:history="1">
        <w:r w:rsidRPr="00C15922" w:rsidR="00C051E5">
          <w:rPr>
            <w:rStyle w:val="Hyperlink"/>
          </w:rPr>
          <w:t>http://www.medpac.gov/documents/reports/march-2016-report-to-the-congress-medicare-payment-policy.pdf?sfvrsn=2</w:t>
        </w:r>
      </w:hyperlink>
      <w:r w:rsidRPr="00C15922" w:rsidR="00382A6A">
        <w:t>)</w:t>
      </w:r>
      <w:r w:rsidRPr="00C15922" w:rsidR="00C051E5">
        <w:t>, in 2014</w:t>
      </w:r>
      <w:r w:rsidRPr="00C15922" w:rsidR="00382A6A">
        <w:t xml:space="preserve"> </w:t>
      </w:r>
      <w:r w:rsidRPr="00C15922" w:rsidR="00C77E3D">
        <w:t xml:space="preserve">there </w:t>
      </w:r>
      <w:r w:rsidRPr="00C15922" w:rsidR="00AC3B57">
        <w:t>were</w:t>
      </w:r>
      <w:r w:rsidRPr="00C15922" w:rsidR="00EC264F">
        <w:t xml:space="preserve"> roughly </w:t>
      </w:r>
      <w:r w:rsidRPr="00C15922" w:rsidR="00382A6A">
        <w:t>4,700</w:t>
      </w:r>
      <w:r w:rsidRPr="00C15922" w:rsidR="00EC264F">
        <w:t xml:space="preserve"> acute care facilities, 6,</w:t>
      </w:r>
      <w:r w:rsidRPr="00C15922" w:rsidR="00AA7EFB">
        <w:t>3</w:t>
      </w:r>
      <w:r w:rsidRPr="00C15922" w:rsidR="00EC264F">
        <w:t>00 dialysis facilities, 2</w:t>
      </w:r>
      <w:r w:rsidRPr="00C15922" w:rsidR="00AA7EFB">
        <w:t>51</w:t>
      </w:r>
      <w:r w:rsidRPr="00C15922" w:rsidR="00EC264F">
        <w:t xml:space="preserve"> free-standing inpatient rehabilitation facilities (IRFs), </w:t>
      </w:r>
      <w:r w:rsidRPr="00C15922" w:rsidR="00AA7EFB">
        <w:t>391</w:t>
      </w:r>
      <w:r w:rsidRPr="00C15922" w:rsidR="00EC264F">
        <w:t xml:space="preserve"> long-term acute care facilities (LTAC/LTCHs), </w:t>
      </w:r>
      <w:r w:rsidRPr="00C15922" w:rsidR="00382A6A">
        <w:t>5,</w:t>
      </w:r>
      <w:r w:rsidRPr="00C15922" w:rsidR="00C051E5">
        <w:t>400</w:t>
      </w:r>
      <w:r w:rsidRPr="00C15922" w:rsidR="00EC264F">
        <w:t xml:space="preserve"> ambulatory surgery centers (ASCs), and over 1</w:t>
      </w:r>
      <w:r w:rsidRPr="00C15922" w:rsidR="00382A6A">
        <w:t>5</w:t>
      </w:r>
      <w:r w:rsidRPr="00C15922" w:rsidR="00EC264F">
        <w:t>,000 long-term care and skilled nursing facilities (LTCFs)</w:t>
      </w:r>
      <w:r w:rsidRPr="00C15922" w:rsidR="00382A6A">
        <w:t xml:space="preserve"> that billed for Medicare </w:t>
      </w:r>
      <w:r w:rsidRPr="00C15922" w:rsidR="00A75B05">
        <w:t>reimbursement</w:t>
      </w:r>
      <w:r w:rsidRPr="00C15922" w:rsidR="00EC264F">
        <w:t xml:space="preserve">. </w:t>
      </w:r>
      <w:r w:rsidRPr="00C15922" w:rsidR="00C77E3D">
        <w:t xml:space="preserve"> </w:t>
      </w:r>
    </w:p>
    <w:p w:rsidR="004541DB" w:rsidRPr="00AD0F59" w:rsidP="004541DB" w14:paraId="56954885" w14:textId="77777777">
      <w:pPr>
        <w:rPr>
          <w:rFonts w:eastAsiaTheme="minorHAnsi"/>
        </w:rPr>
      </w:pPr>
      <w:r w:rsidRPr="00AD0F59">
        <w:t xml:space="preserve">Enrollment in NHSN has continuously increased, with over 37,000 actively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AD0F59">
        <w:rPr>
          <w:noProof/>
        </w:rPr>
        <w:t>currently has</w:t>
      </w:r>
      <w:r w:rsidRPr="00AD0F59">
        <w:t xml:space="preserve"> seven components: Patient Safety (PS), Healthcare Personnel Safety (HPS), Biovigilance (BV), Long-Term Care Facility (LTCF), Outpatient Procedure (OPC), Dialysis Component, and Neonatal Component.</w:t>
      </w:r>
      <w:r w:rsidRPr="00AD0F59">
        <w:rPr>
          <w:sz w:val="22"/>
        </w:rPr>
        <w:t xml:space="preserve"> </w:t>
      </w:r>
    </w:p>
    <w:p w:rsidR="00D830F2" w:rsidRPr="00C15922" w:rsidP="00D830F2" w14:paraId="4721DD3D" w14:textId="77777777">
      <w:pPr>
        <w:pStyle w:val="NoSpacing"/>
        <w:rPr>
          <w:b/>
        </w:rPr>
      </w:pPr>
      <w:r w:rsidRPr="00AD0F59">
        <w:rPr>
          <w:b/>
        </w:rPr>
        <w:t>2.</w:t>
      </w:r>
      <w:r w:rsidRPr="00AD0F59">
        <w:rPr>
          <w:b/>
        </w:rPr>
        <w:tab/>
        <w:t>Procedures for the Collection of Information</w:t>
      </w:r>
    </w:p>
    <w:p w:rsidR="00673D8E" w:rsidRPr="00C15922" w:rsidP="00673D8E" w14:paraId="79313DDB" w14:textId="7543705E">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Pr="00C15922" w:rsidR="007E1DC5">
        <w:t>ventilator-</w:t>
      </w:r>
      <w:r w:rsidRPr="00C15922">
        <w:t xml:space="preserve">associated </w:t>
      </w:r>
      <w:r w:rsidRPr="00C15922" w:rsidR="007E1DC5">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on a monthly basis. Event data (CLABSI, surgical site infections, transfusion-associated lung injury</w:t>
      </w:r>
      <w:r w:rsidRPr="00C15922" w:rsidR="007E1DC5">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Pr="00C15922" w:rsidR="00AC3028">
        <w:t xml:space="preserve">eillance protocols (Attachment </w:t>
      </w:r>
      <w:r w:rsidRPr="00C15922" w:rsidR="006A72BC">
        <w:t>G</w:t>
      </w:r>
      <w:r w:rsidRPr="00C15922">
        <w:t>).</w:t>
      </w:r>
    </w:p>
    <w:p w:rsidR="00D830F2" w:rsidRPr="00C15922" w:rsidP="00D830F2" w14:paraId="711EEC72" w14:textId="77777777">
      <w:pPr>
        <w:pStyle w:val="NoSpacing"/>
      </w:pPr>
    </w:p>
    <w:p w:rsidR="00D830F2" w:rsidRPr="00C15922" w:rsidP="00D830F2" w14:paraId="4A61D536" w14:textId="77777777">
      <w:pPr>
        <w:pStyle w:val="NoSpacing"/>
        <w:rPr>
          <w:b/>
        </w:rPr>
      </w:pPr>
      <w:r w:rsidRPr="00C15922">
        <w:rPr>
          <w:b/>
        </w:rPr>
        <w:t>3.</w:t>
      </w:r>
      <w:r w:rsidRPr="00C15922">
        <w:rPr>
          <w:b/>
        </w:rPr>
        <w:tab/>
        <w:t>Methods to Maximize Response Rates and Deal with No response</w:t>
      </w:r>
    </w:p>
    <w:p w:rsidR="00673D8E" w:rsidRPr="00C15922" w:rsidP="00673D8E" w14:paraId="263D65F1" w14:textId="1F50840B">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w:t>
      </w:r>
      <w:r w:rsidRPr="00C15922">
        <w:t xml:space="preserve">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rsidR="00673D8E" w:rsidRPr="00F95666" w:rsidP="00673D8E" w14:paraId="1C7C828E" w14:textId="77777777">
      <w:pPr>
        <w:pStyle w:val="NoSpacing"/>
      </w:pPr>
    </w:p>
    <w:p w:rsidR="00673D8E" w:rsidRPr="00F372F6" w:rsidP="00CC7549" w14:paraId="6FA9374F" w14:textId="2EEA3710">
      <w:pPr>
        <w:pStyle w:val="NoSpacing"/>
        <w:numPr>
          <w:ilvl w:val="0"/>
          <w:numId w:val="1"/>
        </w:numPr>
      </w:pPr>
      <w:r w:rsidRPr="00F372F6">
        <w:t xml:space="preserve">As of </w:t>
      </w:r>
      <w:r w:rsidR="00B25B3B">
        <w:t>April 2021</w:t>
      </w:r>
      <w:r w:rsidRPr="00F372F6" w:rsidR="007E2DFD">
        <w:t>, 3</w:t>
      </w:r>
      <w:r w:rsidRPr="00F372F6" w:rsidR="00CC7549">
        <w:t>6</w:t>
      </w:r>
      <w:r w:rsidRPr="00F372F6">
        <w:t xml:space="preserve"> states</w:t>
      </w:r>
      <w:r w:rsidRPr="00F372F6" w:rsidR="00F95666">
        <w:t>,</w:t>
      </w:r>
      <w:r w:rsidRPr="00F372F6" w:rsidR="00CC7549">
        <w:t xml:space="preserve"> the District of Columbia</w:t>
      </w:r>
      <w:r w:rsidRPr="00F372F6" w:rsidR="00F95666">
        <w:t>,</w:t>
      </w:r>
      <w:r w:rsidRPr="00F372F6" w:rsidR="00CC7549">
        <w:t xml:space="preserve"> </w:t>
      </w:r>
      <w:r w:rsidRPr="00F372F6" w:rsidR="00F95666">
        <w:t xml:space="preserve">and </w:t>
      </w:r>
      <w:r w:rsidRPr="00F372F6" w:rsidR="00CC7549">
        <w:t>Philadelphia</w:t>
      </w:r>
      <w:r w:rsidRPr="00F372F6" w:rsidR="00784B0C">
        <w:t xml:space="preserve"> </w:t>
      </w:r>
      <w:r w:rsidRPr="00F372F6">
        <w:t>require facilities in their jurisdictions to join NHSN to c</w:t>
      </w:r>
      <w:r w:rsidRPr="00F372F6" w:rsidR="00F23FE4">
        <w:t xml:space="preserve">omply with legal requirements – </w:t>
      </w:r>
      <w:r w:rsidRPr="00F372F6">
        <w:t xml:space="preserve">including but not limited to state or federal laws, regulations, or other requirements – for mandatory reporting of healthcare facility-specific adverse event, prevention practice adherence, and other public health purposes. </w:t>
      </w:r>
    </w:p>
    <w:p w:rsidR="00673D8E" w:rsidRPr="00C15922" w:rsidP="00AA7EFB" w14:paraId="49BBB49B" w14:textId="77777777">
      <w:pPr>
        <w:pStyle w:val="NoSpacing"/>
        <w:ind w:left="720"/>
      </w:pPr>
    </w:p>
    <w:p w:rsidR="00673D8E" w:rsidRPr="00C15922" w:rsidP="00AA7EFB" w14:paraId="410C6F28" w14:textId="7BB91705">
      <w:pPr>
        <w:pStyle w:val="NoSpacing"/>
        <w:numPr>
          <w:ilvl w:val="0"/>
          <w:numId w:val="1"/>
        </w:numPr>
      </w:pPr>
      <w:r w:rsidRPr="00C15922">
        <w:t>The U.S. Center</w:t>
      </w:r>
      <w:r w:rsidRPr="00C15922" w:rsidR="00153CBB">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r w:rsidR="00013695">
        <w:t xml:space="preserve"> Beginning in </w:t>
      </w:r>
      <w:r w:rsidR="00953650">
        <w:t>May</w:t>
      </w:r>
      <w:r w:rsidR="00013695">
        <w:t xml:space="preserve"> 2020, CMS requires nursing homes to report Coronavirus (COVID-19) cases and deaths to NHSN at least weekly.  </w:t>
      </w:r>
    </w:p>
    <w:p w:rsidR="00673D8E" w:rsidRPr="00C15922" w:rsidP="00AA7EFB" w14:paraId="15112B00" w14:textId="77777777">
      <w:pPr>
        <w:pStyle w:val="NoSpacing"/>
        <w:ind w:left="720"/>
      </w:pPr>
    </w:p>
    <w:p w:rsidR="00673D8E" w:rsidP="00AA7EFB" w14:paraId="4EAB4DD4" w14:textId="2BC4B109">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rsidR="002752F3" w:rsidP="002752F3" w14:paraId="45963871" w14:textId="77777777">
      <w:pPr>
        <w:pStyle w:val="ListParagraph"/>
      </w:pPr>
    </w:p>
    <w:p w:rsidR="002752F3" w:rsidRPr="00C15922" w:rsidP="002752F3" w14:paraId="6A59C572" w14:textId="77777777">
      <w:pPr>
        <w:pStyle w:val="NoSpacing"/>
        <w:ind w:left="720"/>
      </w:pPr>
    </w:p>
    <w:p w:rsidR="00673D8E" w:rsidRPr="00C15922" w:rsidP="00673D8E" w14:paraId="4C34BB71" w14:textId="18DA2C32">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Pr="002752F3" w:rsidR="00424591">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Pr="00C15922">
        <w:t xml:space="preserve">The </w:t>
      </w:r>
      <w:r w:rsidR="00424591">
        <w:t xml:space="preserve">HAI and other healthcare outcome and process </w:t>
      </w:r>
      <w:r w:rsidRPr="00C15922">
        <w:t>data reported to NHSN are aggregated, summarized, and disseminated to participating facilities and the public through peer-review journal publications</w:t>
      </w:r>
      <w:r w:rsidR="00114E5A">
        <w:t xml:space="preserve"> and CDC publications</w:t>
      </w:r>
      <w:r w:rsidRPr="00C15922">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Pr="00C15922">
        <w:t xml:space="preserve">with published aggregate statistics. Detailed analysis methods and results can </w:t>
      </w:r>
      <w:r w:rsidRPr="0021098B">
        <w:rPr>
          <w:noProof/>
        </w:rPr>
        <w:t>be reviewed</w:t>
      </w:r>
      <w:r w:rsidRPr="00C15922">
        <w:t xml:space="preserve"> in the </w:t>
      </w:r>
      <w:r w:rsidR="008A6F92">
        <w:t xml:space="preserve">National and State HAI Progress </w:t>
      </w:r>
      <w:r w:rsidRPr="002752F3" w:rsidR="008A6F92">
        <w:rPr>
          <w:noProof/>
        </w:rPr>
        <w:t>Report</w:t>
      </w:r>
      <w:r w:rsidR="008A6F92">
        <w:t xml:space="preserve"> as well as </w:t>
      </w:r>
      <w:r w:rsidRPr="00C15922">
        <w:t xml:space="preserve">NHSN data summary reports published in the </w:t>
      </w:r>
      <w:r w:rsidRPr="00C15922">
        <w:rPr>
          <w:i/>
        </w:rPr>
        <w:t>American Journal of Infection Control</w:t>
      </w:r>
      <w:r w:rsidRPr="00C15922" w:rsidR="007E1DC5">
        <w:t xml:space="preserve"> and </w:t>
      </w:r>
      <w:r w:rsidRPr="00C15922" w:rsidR="007E1DC5">
        <w:rPr>
          <w:i/>
        </w:rPr>
        <w:t>Infection Control and Hospital Epidemiology</w:t>
      </w:r>
      <w:r w:rsidRPr="00C15922">
        <w:t xml:space="preserve">, which can </w:t>
      </w:r>
      <w:r w:rsidRPr="0021098B">
        <w:rPr>
          <w:noProof/>
        </w:rPr>
        <w:t>be found</w:t>
      </w:r>
      <w:r w:rsidRPr="00C15922">
        <w:t xml:space="preserve"> on the NHSN website: </w:t>
      </w:r>
      <w:hyperlink r:id="rId14" w:history="1">
        <w:r w:rsidRPr="00C15922">
          <w:rPr>
            <w:rStyle w:val="Hyperlink"/>
          </w:rPr>
          <w:t>http://www.cdc.gov/nhsn/dataStat.html</w:t>
        </w:r>
      </w:hyperlink>
      <w:r w:rsidRPr="00C15922">
        <w:t xml:space="preserve">. </w:t>
      </w:r>
      <w:r w:rsidR="002D4138">
        <w:t xml:space="preserve">National and State HAI Progress Reports </w:t>
      </w:r>
      <w:r w:rsidR="002752F3">
        <w:rPr>
          <w:noProof/>
        </w:rPr>
        <w:t>hav</w:t>
      </w:r>
      <w:r w:rsidRPr="002752F3" w:rsidR="002D4138">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Pr="00C15922">
        <w:t xml:space="preserve">Similar analyses of the </w:t>
      </w:r>
      <w:r w:rsidRPr="00C15922" w:rsidR="00E458FF">
        <w:t>other NHSN components’</w:t>
      </w:r>
      <w:r w:rsidRPr="00C15922">
        <w:t xml:space="preserve"> data </w:t>
      </w:r>
      <w:r w:rsidRPr="0021098B">
        <w:rPr>
          <w:noProof/>
        </w:rPr>
        <w:t>are planned</w:t>
      </w:r>
      <w:r w:rsidRPr="00C15922">
        <w:t>. CDC has limited ability to make population-based national estimates using these data.</w:t>
      </w:r>
    </w:p>
    <w:p w:rsidR="00673D8E" w:rsidRPr="00C15922" w:rsidP="00673D8E" w14:paraId="1E07BB6A" w14:textId="77777777">
      <w:pPr>
        <w:pStyle w:val="NoSpacing"/>
      </w:pPr>
    </w:p>
    <w:p w:rsidR="00673D8E" w:rsidRPr="00C15922" w:rsidP="00673D8E" w14:paraId="29AD916C" w14:textId="5EC84D5D">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 xml:space="preserve">These purposes, along with other NHSN purposes, are listed comprehensively in the section titled Purpose and Use of Data Collection of the Supporting Statement Part A. Historically and currently, the sample of hospitals participating in NHSN was </w:t>
      </w:r>
      <w:r w:rsidRPr="0021098B">
        <w:rPr>
          <w:noProof/>
        </w:rPr>
        <w:t>not selected randomly and might not represent all acute care hospitals in the U.S. As a result, use of NHSN for national estimates of the magnitude of HAIs or national HAI trend analyses must be done with caution and with appropriate caveats.</w:t>
      </w:r>
      <w:r w:rsidRPr="00C15922">
        <w:t xml:space="preserve"> Limitations of NHSN data for HAI 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Pr="00C15922" w:rsidR="00153CBB">
        <w:t xml:space="preserve">ly </w:t>
      </w:r>
      <w:r w:rsidRPr="00C15922" w:rsidR="00E81D62">
        <w:t>5,000</w:t>
      </w:r>
      <w:r w:rsidRPr="00C15922" w:rsidR="00153CBB">
        <w:t xml:space="preserve"> hospitals in spring 201</w:t>
      </w:r>
      <w:r w:rsidRPr="00C15922" w:rsidR="00E81D62">
        <w:t>6</w:t>
      </w:r>
      <w:r w:rsidRPr="00C15922">
        <w:t xml:space="preserve">, a </w:t>
      </w:r>
      <w:r w:rsidRPr="00C15922" w:rsidR="00EC264F">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rsidR="00D830F2" w:rsidRPr="00C15922" w:rsidP="00D830F2" w14:paraId="02B0B3C1" w14:textId="77777777">
      <w:pPr>
        <w:pStyle w:val="NoSpacing"/>
      </w:pPr>
    </w:p>
    <w:p w:rsidR="00D830F2" w:rsidRPr="00C15922" w:rsidP="00D830F2" w14:paraId="4FECAC95" w14:textId="77777777">
      <w:pPr>
        <w:pStyle w:val="NoSpacing"/>
        <w:rPr>
          <w:b/>
        </w:rPr>
      </w:pPr>
      <w:r w:rsidRPr="00C15922">
        <w:rPr>
          <w:b/>
        </w:rPr>
        <w:t>4.</w:t>
      </w:r>
      <w:r w:rsidRPr="00C15922">
        <w:rPr>
          <w:b/>
        </w:rPr>
        <w:tab/>
        <w:t>Tests of Procedures or Methods to be Undertaken</w:t>
      </w:r>
    </w:p>
    <w:p w:rsidR="00673D8E" w:rsidRPr="00C15922" w:rsidP="00673D8E" w14:paraId="45A5B62F" w14:textId="48ED3E1D">
      <w:pPr>
        <w:pStyle w:val="NoSpacing"/>
        <w:ind w:firstLine="720"/>
      </w:pPr>
      <w:r w:rsidRPr="00C15922">
        <w:t xml:space="preserve">NHSN is a surveillance system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Pr="00C15922" w:rsidR="00EA1755">
        <w:t xml:space="preserve"> </w:t>
      </w:r>
      <w:r w:rsidR="000D514D">
        <w:t xml:space="preserve">the </w:t>
      </w:r>
      <w:r w:rsidRPr="00C15922" w:rsidR="00EA1755">
        <w:t xml:space="preserve">successful pilot tests of the </w:t>
      </w:r>
      <w:r w:rsidRPr="00C15922">
        <w:t>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D830F2" w:rsidRPr="00C15922" w:rsidP="00D830F2" w14:paraId="014B02B1" w14:textId="77777777">
      <w:pPr>
        <w:pStyle w:val="NoSpacing"/>
      </w:pPr>
    </w:p>
    <w:p w:rsidR="00D830F2" w:rsidRPr="00C15922" w:rsidP="00D830F2" w14:paraId="35B2FD12" w14:textId="454CD14F">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rsidR="00673D8E" w:rsidRPr="00673D8E" w:rsidP="00673D8E" w14:paraId="2EA35AEE" w14:textId="4D7277A5">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rsidR="00673D8E" w:rsidRPr="00D830F2" w:rsidP="00D830F2" w14:paraId="4BE43507" w14:textId="77777777">
      <w:pPr>
        <w:pStyle w:val="NoSpacing"/>
        <w:rPr>
          <w:b/>
        </w:rPr>
      </w:pPr>
    </w:p>
    <w:sectPr w:rsidSect="0026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740" w14:paraId="56760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7065380"/>
      <w:docPartObj>
        <w:docPartGallery w:val="Page Numbers (Bottom of Page)"/>
        <w:docPartUnique/>
      </w:docPartObj>
    </w:sdtPr>
    <w:sdtContent>
      <w:p w:rsidR="00EE2740" w14:paraId="476E0043" w14:textId="2C3238F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EE2740" w14:paraId="620CE9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740" w14:paraId="6880D8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740" w14:paraId="439E2E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740" w14:paraId="2BB16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740" w14:paraId="3379E3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85E65"/>
    <w:multiLevelType w:val="hybridMultilevel"/>
    <w:tmpl w:val="4D2ABD2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EE7349"/>
    <w:multiLevelType w:val="hybridMultilevel"/>
    <w:tmpl w:val="AC26D906"/>
    <w:lvl w:ilvl="0">
      <w:start w:val="2"/>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72452D"/>
    <w:multiLevelType w:val="hybridMultilevel"/>
    <w:tmpl w:val="46EA0998"/>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B4E27"/>
    <w:multiLevelType w:val="hybridMultilevel"/>
    <w:tmpl w:val="C0C6E73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F2"/>
    <w:rsid w:val="00013695"/>
    <w:rsid w:val="000616D2"/>
    <w:rsid w:val="00062DF8"/>
    <w:rsid w:val="0008216F"/>
    <w:rsid w:val="000B5520"/>
    <w:rsid w:val="000B6351"/>
    <w:rsid w:val="000D43DB"/>
    <w:rsid w:val="000D514D"/>
    <w:rsid w:val="001008AE"/>
    <w:rsid w:val="00114E5A"/>
    <w:rsid w:val="00130784"/>
    <w:rsid w:val="00153CBB"/>
    <w:rsid w:val="0017008C"/>
    <w:rsid w:val="0017408B"/>
    <w:rsid w:val="00174DE4"/>
    <w:rsid w:val="001B28D3"/>
    <w:rsid w:val="001B4BAB"/>
    <w:rsid w:val="001E2C25"/>
    <w:rsid w:val="0021098B"/>
    <w:rsid w:val="00222477"/>
    <w:rsid w:val="002418AE"/>
    <w:rsid w:val="0026129E"/>
    <w:rsid w:val="00266172"/>
    <w:rsid w:val="00267BBE"/>
    <w:rsid w:val="00274A1C"/>
    <w:rsid w:val="002752F3"/>
    <w:rsid w:val="00286270"/>
    <w:rsid w:val="002D4138"/>
    <w:rsid w:val="002F47CB"/>
    <w:rsid w:val="002F574F"/>
    <w:rsid w:val="00304CC7"/>
    <w:rsid w:val="003071C4"/>
    <w:rsid w:val="00313FC0"/>
    <w:rsid w:val="00382A6A"/>
    <w:rsid w:val="00386B0A"/>
    <w:rsid w:val="003E1D78"/>
    <w:rsid w:val="003F3319"/>
    <w:rsid w:val="00413BD8"/>
    <w:rsid w:val="00421F89"/>
    <w:rsid w:val="00424591"/>
    <w:rsid w:val="00426306"/>
    <w:rsid w:val="00435EFC"/>
    <w:rsid w:val="00436E52"/>
    <w:rsid w:val="00446174"/>
    <w:rsid w:val="00453AD3"/>
    <w:rsid w:val="004541DB"/>
    <w:rsid w:val="004762D5"/>
    <w:rsid w:val="004E6BB9"/>
    <w:rsid w:val="0050186A"/>
    <w:rsid w:val="005018BA"/>
    <w:rsid w:val="00514F56"/>
    <w:rsid w:val="00554C64"/>
    <w:rsid w:val="00576FD3"/>
    <w:rsid w:val="005C4746"/>
    <w:rsid w:val="005F327B"/>
    <w:rsid w:val="005F5461"/>
    <w:rsid w:val="00607966"/>
    <w:rsid w:val="00641D26"/>
    <w:rsid w:val="00650127"/>
    <w:rsid w:val="00651BF1"/>
    <w:rsid w:val="00651DBF"/>
    <w:rsid w:val="00673D8E"/>
    <w:rsid w:val="006A72BC"/>
    <w:rsid w:val="007621C5"/>
    <w:rsid w:val="0077790C"/>
    <w:rsid w:val="00784B0C"/>
    <w:rsid w:val="0079188C"/>
    <w:rsid w:val="0079216F"/>
    <w:rsid w:val="007A15B7"/>
    <w:rsid w:val="007B20D6"/>
    <w:rsid w:val="007B6273"/>
    <w:rsid w:val="007C33CA"/>
    <w:rsid w:val="007C3F45"/>
    <w:rsid w:val="007C7098"/>
    <w:rsid w:val="007D40D7"/>
    <w:rsid w:val="007E1DC5"/>
    <w:rsid w:val="007E2DFD"/>
    <w:rsid w:val="007E7E18"/>
    <w:rsid w:val="007F1E10"/>
    <w:rsid w:val="00813762"/>
    <w:rsid w:val="00840998"/>
    <w:rsid w:val="00873019"/>
    <w:rsid w:val="008733F7"/>
    <w:rsid w:val="008A6F92"/>
    <w:rsid w:val="008B5975"/>
    <w:rsid w:val="008C7F92"/>
    <w:rsid w:val="008F3598"/>
    <w:rsid w:val="00907D5E"/>
    <w:rsid w:val="00953650"/>
    <w:rsid w:val="00965764"/>
    <w:rsid w:val="009A1495"/>
    <w:rsid w:val="009A2AC9"/>
    <w:rsid w:val="00A12793"/>
    <w:rsid w:val="00A3080E"/>
    <w:rsid w:val="00A5482E"/>
    <w:rsid w:val="00A60E7D"/>
    <w:rsid w:val="00A75B05"/>
    <w:rsid w:val="00AA054F"/>
    <w:rsid w:val="00AA7EFB"/>
    <w:rsid w:val="00AC3028"/>
    <w:rsid w:val="00AC3B57"/>
    <w:rsid w:val="00AD0F59"/>
    <w:rsid w:val="00AD1BA1"/>
    <w:rsid w:val="00B03090"/>
    <w:rsid w:val="00B071C3"/>
    <w:rsid w:val="00B25B3B"/>
    <w:rsid w:val="00B2717C"/>
    <w:rsid w:val="00B33461"/>
    <w:rsid w:val="00B36EB2"/>
    <w:rsid w:val="00B466B5"/>
    <w:rsid w:val="00B568D8"/>
    <w:rsid w:val="00B64209"/>
    <w:rsid w:val="00B8440E"/>
    <w:rsid w:val="00BA0EDE"/>
    <w:rsid w:val="00BC25D7"/>
    <w:rsid w:val="00C051E5"/>
    <w:rsid w:val="00C054CE"/>
    <w:rsid w:val="00C15922"/>
    <w:rsid w:val="00C213C5"/>
    <w:rsid w:val="00C2665C"/>
    <w:rsid w:val="00C305D7"/>
    <w:rsid w:val="00C368FB"/>
    <w:rsid w:val="00C50D36"/>
    <w:rsid w:val="00C77E3D"/>
    <w:rsid w:val="00CC7549"/>
    <w:rsid w:val="00CD7084"/>
    <w:rsid w:val="00CD70F5"/>
    <w:rsid w:val="00CF0574"/>
    <w:rsid w:val="00CF06DD"/>
    <w:rsid w:val="00D06842"/>
    <w:rsid w:val="00D07D3B"/>
    <w:rsid w:val="00D12E3A"/>
    <w:rsid w:val="00D255C3"/>
    <w:rsid w:val="00D27EE9"/>
    <w:rsid w:val="00D42C8E"/>
    <w:rsid w:val="00D5472D"/>
    <w:rsid w:val="00D558BC"/>
    <w:rsid w:val="00D61AF9"/>
    <w:rsid w:val="00D626B5"/>
    <w:rsid w:val="00D6545D"/>
    <w:rsid w:val="00D830F2"/>
    <w:rsid w:val="00D9253D"/>
    <w:rsid w:val="00DE3B5B"/>
    <w:rsid w:val="00E124DA"/>
    <w:rsid w:val="00E16D27"/>
    <w:rsid w:val="00E36AAD"/>
    <w:rsid w:val="00E458FF"/>
    <w:rsid w:val="00E81D62"/>
    <w:rsid w:val="00E82578"/>
    <w:rsid w:val="00E960F3"/>
    <w:rsid w:val="00EA1755"/>
    <w:rsid w:val="00EC264F"/>
    <w:rsid w:val="00ED45DF"/>
    <w:rsid w:val="00EE2740"/>
    <w:rsid w:val="00EE45D7"/>
    <w:rsid w:val="00F14A80"/>
    <w:rsid w:val="00F23FE4"/>
    <w:rsid w:val="00F26EF4"/>
    <w:rsid w:val="00F372F6"/>
    <w:rsid w:val="00F44CF9"/>
    <w:rsid w:val="00F810A8"/>
    <w:rsid w:val="00F95666"/>
    <w:rsid w:val="00FA06CF"/>
    <w:rsid w:val="00FC2060"/>
    <w:rsid w:val="00FF3BEB"/>
  </w:rsids>
  <w:docVars>
    <w:docVar w:name="__Grammarly_42___1" w:val="H4sIAAAAAAAEAKtWcslP9kxRslIyNDY0MzE3MTCxMDEwMzYzNzVW0lEKTi0uzszPAykwNKoFAPZAuC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www.medpac.gov/documents/reports/march-2016-report-to-the-congress-medicare-payment-policy.pdf?sfvrsn=2" TargetMode="External" /><Relationship Id="rId14" Type="http://schemas.openxmlformats.org/officeDocument/2006/relationships/hyperlink" Target="http://www.cdc.gov/nhsn/dataStat.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CE0F7-AE86-4F73-811C-525602F0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D0C17-61FE-42CA-BD67-309F283E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120F-1D1A-43E6-A80E-937AF238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2022-12-19T21:22:00Z</dcterms:created>
  <dcterms:modified xsi:type="dcterms:W3CDTF">2022-12-19T21:22:00Z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9bbd4965-cf53-4913-9fdb-cfeec7ae3ebf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2021-12-06T21:22:46Z</vt:lpwstr>
  </property>
  <property fmtid="{D5CDD505-2E9C-101B-9397-08002B2CF9AE}" pid="9" name="MSIP_Label_7b94a7b8-f06c-4dfe-bdcc-9b548fd58c31_SiteId">
    <vt:lpwstr>9ce70869-60db-44fd-abe8-d2767077fc8f</vt:lpwstr>
  </property>
</Properties>
</file>