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26881" w:rsidR="00DF242C" w:rsidP="00DE6BF4" w:rsidRDefault="00DF242C" w14:paraId="4F9DDF04" w14:textId="785BB1BD">
      <w:pPr>
        <w:pStyle w:val="Title"/>
        <w:jc w:val="center"/>
        <w:rPr>
          <w:rFonts w:ascii="Times New Roman" w:hAnsi="Times New Roman" w:cs="Times New Roman"/>
          <w:b/>
          <w:bCs/>
          <w:sz w:val="32"/>
          <w:szCs w:val="32"/>
        </w:rPr>
      </w:pPr>
      <w:r w:rsidRPr="00F26881">
        <w:rPr>
          <w:rFonts w:ascii="Times New Roman" w:hAnsi="Times New Roman" w:cs="Times New Roman"/>
          <w:b/>
          <w:bCs/>
          <w:sz w:val="32"/>
          <w:szCs w:val="32"/>
        </w:rPr>
        <w:t>A</w:t>
      </w:r>
      <w:r w:rsidRPr="00F26881" w:rsidR="00B94E48">
        <w:rPr>
          <w:rFonts w:ascii="Times New Roman" w:hAnsi="Times New Roman" w:cs="Times New Roman"/>
          <w:b/>
          <w:bCs/>
          <w:sz w:val="32"/>
          <w:szCs w:val="32"/>
        </w:rPr>
        <w:t>ttachment</w:t>
      </w:r>
      <w:r w:rsidRPr="00F26881">
        <w:rPr>
          <w:rFonts w:ascii="Times New Roman" w:hAnsi="Times New Roman" w:cs="Times New Roman"/>
          <w:b/>
          <w:bCs/>
          <w:sz w:val="32"/>
          <w:szCs w:val="32"/>
        </w:rPr>
        <w:t xml:space="preserve"> </w:t>
      </w:r>
      <w:r w:rsidRPr="00F26881" w:rsidR="00666A47">
        <w:rPr>
          <w:rFonts w:ascii="Times New Roman" w:hAnsi="Times New Roman" w:cs="Times New Roman"/>
          <w:b/>
          <w:bCs/>
          <w:sz w:val="32"/>
          <w:szCs w:val="32"/>
        </w:rPr>
        <w:t>IE</w:t>
      </w:r>
      <w:r w:rsidRPr="00F26881" w:rsidR="004D62BB">
        <w:rPr>
          <w:rFonts w:ascii="Times New Roman" w:hAnsi="Times New Roman" w:cs="Times New Roman"/>
          <w:b/>
          <w:bCs/>
          <w:sz w:val="32"/>
          <w:szCs w:val="32"/>
        </w:rPr>
        <w:t>-1</w:t>
      </w:r>
    </w:p>
    <w:p w:rsidRPr="00F26881" w:rsidR="00DF242C" w:rsidP="00DE6BF4" w:rsidRDefault="00DF242C" w14:paraId="76818D5E" w14:textId="77777777">
      <w:pPr>
        <w:jc w:val="center"/>
        <w:rPr>
          <w:b/>
          <w:bCs/>
          <w:sz w:val="32"/>
          <w:szCs w:val="32"/>
        </w:rPr>
      </w:pPr>
    </w:p>
    <w:p w:rsidRPr="00F26881" w:rsidR="00C803F0" w:rsidP="00DE6BF4" w:rsidRDefault="00DF242C" w14:paraId="63194515" w14:textId="037A6A6D">
      <w:pPr>
        <w:pStyle w:val="Title"/>
        <w:jc w:val="center"/>
        <w:rPr>
          <w:rFonts w:ascii="Times New Roman" w:hAnsi="Times New Roman" w:cs="Times New Roman"/>
          <w:b/>
          <w:bCs/>
          <w:sz w:val="32"/>
          <w:szCs w:val="32"/>
        </w:rPr>
      </w:pPr>
      <w:r w:rsidRPr="00F26881">
        <w:rPr>
          <w:rFonts w:ascii="Times New Roman" w:hAnsi="Times New Roman" w:cs="Times New Roman"/>
          <w:b/>
          <w:bCs/>
          <w:sz w:val="32"/>
          <w:szCs w:val="32"/>
        </w:rPr>
        <w:t xml:space="preserve">The </w:t>
      </w:r>
      <w:r w:rsidRPr="00F26881" w:rsidR="00C803F0">
        <w:rPr>
          <w:rFonts w:ascii="Times New Roman" w:hAnsi="Times New Roman" w:cs="Times New Roman"/>
          <w:b/>
          <w:bCs/>
          <w:sz w:val="32"/>
          <w:szCs w:val="32"/>
        </w:rPr>
        <w:t xml:space="preserve">National </w:t>
      </w:r>
      <w:r w:rsidRPr="00F26881" w:rsidR="00DE6BF4">
        <w:rPr>
          <w:rFonts w:ascii="Times New Roman" w:hAnsi="Times New Roman" w:cs="Times New Roman"/>
          <w:b/>
          <w:bCs/>
          <w:sz w:val="32"/>
          <w:szCs w:val="32"/>
        </w:rPr>
        <w:t xml:space="preserve">Survey on Drug </w:t>
      </w:r>
      <w:r w:rsidRPr="00F26881" w:rsidR="0065494D">
        <w:rPr>
          <w:rFonts w:ascii="Times New Roman" w:hAnsi="Times New Roman" w:cs="Times New Roman"/>
          <w:b/>
          <w:bCs/>
          <w:sz w:val="32"/>
          <w:szCs w:val="32"/>
        </w:rPr>
        <w:t xml:space="preserve">Use and </w:t>
      </w:r>
      <w:r w:rsidRPr="00F26881" w:rsidR="00C803F0">
        <w:rPr>
          <w:rFonts w:ascii="Times New Roman" w:hAnsi="Times New Roman" w:cs="Times New Roman"/>
          <w:b/>
          <w:bCs/>
          <w:sz w:val="32"/>
          <w:szCs w:val="32"/>
        </w:rPr>
        <w:t>Health (N</w:t>
      </w:r>
      <w:r w:rsidRPr="00F26881" w:rsidR="0065494D">
        <w:rPr>
          <w:rFonts w:ascii="Times New Roman" w:hAnsi="Times New Roman" w:cs="Times New Roman"/>
          <w:b/>
          <w:bCs/>
          <w:sz w:val="32"/>
          <w:szCs w:val="32"/>
        </w:rPr>
        <w:t>SDU</w:t>
      </w:r>
      <w:r w:rsidRPr="00F26881" w:rsidR="00C803F0">
        <w:rPr>
          <w:rFonts w:ascii="Times New Roman" w:hAnsi="Times New Roman" w:cs="Times New Roman"/>
          <w:b/>
          <w:bCs/>
          <w:sz w:val="32"/>
          <w:szCs w:val="32"/>
        </w:rPr>
        <w:t>H)</w:t>
      </w:r>
      <w:r w:rsidRPr="00F26881" w:rsidR="00222BBE">
        <w:rPr>
          <w:rFonts w:ascii="Times New Roman" w:hAnsi="Times New Roman" w:cs="Times New Roman"/>
          <w:b/>
          <w:bCs/>
          <w:sz w:val="32"/>
          <w:szCs w:val="32"/>
        </w:rPr>
        <w:t xml:space="preserve"> </w:t>
      </w:r>
      <w:r w:rsidRPr="00F26881" w:rsidR="0065494D">
        <w:rPr>
          <w:rFonts w:ascii="Times New Roman" w:hAnsi="Times New Roman" w:cs="Times New Roman"/>
          <w:b/>
          <w:bCs/>
          <w:sz w:val="32"/>
          <w:szCs w:val="32"/>
        </w:rPr>
        <w:t xml:space="preserve">Screening and Interview </w:t>
      </w:r>
      <w:r w:rsidRPr="00F26881" w:rsidR="00222BBE">
        <w:rPr>
          <w:rFonts w:ascii="Times New Roman" w:hAnsi="Times New Roman" w:cs="Times New Roman"/>
          <w:b/>
          <w:bCs/>
          <w:sz w:val="32"/>
          <w:szCs w:val="32"/>
        </w:rPr>
        <w:t xml:space="preserve">Incentive </w:t>
      </w:r>
      <w:r w:rsidRPr="00F26881" w:rsidR="0065494D">
        <w:rPr>
          <w:rFonts w:ascii="Times New Roman" w:hAnsi="Times New Roman" w:cs="Times New Roman"/>
          <w:b/>
          <w:bCs/>
          <w:sz w:val="32"/>
          <w:szCs w:val="32"/>
        </w:rPr>
        <w:t>Experiment</w:t>
      </w:r>
      <w:r w:rsidRPr="00F26881" w:rsidR="00082FCD">
        <w:rPr>
          <w:rFonts w:ascii="Times New Roman" w:hAnsi="Times New Roman" w:cs="Times New Roman"/>
          <w:b/>
          <w:bCs/>
          <w:sz w:val="32"/>
          <w:szCs w:val="32"/>
        </w:rPr>
        <w:t>al</w:t>
      </w:r>
      <w:r w:rsidRPr="00F26881" w:rsidR="0065494D">
        <w:rPr>
          <w:rFonts w:ascii="Times New Roman" w:hAnsi="Times New Roman" w:cs="Times New Roman"/>
          <w:b/>
          <w:bCs/>
          <w:sz w:val="32"/>
          <w:szCs w:val="32"/>
        </w:rPr>
        <w:t xml:space="preserve"> </w:t>
      </w:r>
      <w:r w:rsidRPr="00F26881" w:rsidR="0043007C">
        <w:rPr>
          <w:rFonts w:ascii="Times New Roman" w:hAnsi="Times New Roman" w:cs="Times New Roman"/>
          <w:b/>
          <w:bCs/>
          <w:sz w:val="32"/>
          <w:szCs w:val="32"/>
        </w:rPr>
        <w:t>Design and Power Analysis</w:t>
      </w:r>
    </w:p>
    <w:p w:rsidRPr="00F26881" w:rsidR="00C803F0" w:rsidP="00864C1F" w:rsidRDefault="00C803F0" w14:paraId="5B7C333C" w14:textId="77777777">
      <w:pPr>
        <w:spacing w:line="360" w:lineRule="auto"/>
        <w:jc w:val="both"/>
        <w:rPr>
          <w:sz w:val="32"/>
          <w:szCs w:val="32"/>
        </w:rPr>
      </w:pPr>
    </w:p>
    <w:p w:rsidRPr="00F26881" w:rsidR="00DE6BF4" w:rsidRDefault="00DE6BF4" w14:paraId="4D59F368" w14:textId="77777777">
      <w:pPr>
        <w:rPr>
          <w:rFonts w:eastAsiaTheme="majorEastAsia"/>
          <w:b/>
          <w:sz w:val="32"/>
        </w:rPr>
      </w:pPr>
      <w:r w:rsidRPr="00F26881">
        <w:rPr>
          <w:b/>
        </w:rPr>
        <w:br w:type="page"/>
      </w:r>
    </w:p>
    <w:p w:rsidRPr="00F26881" w:rsidR="00C803F0" w:rsidP="00F21287" w:rsidRDefault="00801335" w14:paraId="46C66142" w14:textId="2DA18E34">
      <w:pPr>
        <w:pStyle w:val="Heading1"/>
        <w:numPr>
          <w:ilvl w:val="0"/>
          <w:numId w:val="3"/>
        </w:numPr>
        <w:spacing w:line="360" w:lineRule="auto"/>
        <w:ind w:left="360"/>
        <w:rPr>
          <w:rFonts w:ascii="Times New Roman" w:hAnsi="Times New Roman" w:cs="Times New Roman"/>
          <w:b/>
          <w:color w:val="auto"/>
          <w:szCs w:val="24"/>
        </w:rPr>
      </w:pPr>
      <w:r w:rsidRPr="00F26881">
        <w:rPr>
          <w:rFonts w:ascii="Times New Roman" w:hAnsi="Times New Roman" w:cs="Times New Roman"/>
          <w:b/>
          <w:color w:val="auto"/>
          <w:szCs w:val="24"/>
        </w:rPr>
        <w:lastRenderedPageBreak/>
        <w:t>Overview</w:t>
      </w:r>
    </w:p>
    <w:p w:rsidRPr="00F26881" w:rsidR="00AC3463" w:rsidP="00AC3463" w:rsidRDefault="00AC3463" w14:paraId="27585A5A" w14:textId="2A5690DD">
      <w:pPr>
        <w:pStyle w:val="ListParagraph"/>
        <w:ind w:left="0"/>
        <w:contextualSpacing w:val="0"/>
        <w:rPr>
          <w:rFonts w:cstheme="minorHAnsi"/>
        </w:rPr>
      </w:pPr>
      <w:bookmarkStart w:name="_Hlk11334517" w:id="0"/>
      <w:r w:rsidRPr="00F26881">
        <w:rPr>
          <w:rFonts w:cstheme="minorHAnsi"/>
        </w:rPr>
        <w:t>Nonresponse has been increasing in face-to-face surveys in the United States (Williams and Brick, 2018). This trend has also been observed with the National Survey on Drug Use and Health (NSDUH) where nonresponse has been increasing despite the increased level of effort for data collection such as increasing contact attempts.</w:t>
      </w:r>
      <w:bookmarkEnd w:id="0"/>
      <w:r w:rsidRPr="00F26881">
        <w:rPr>
          <w:rFonts w:cstheme="minorHAnsi"/>
        </w:rPr>
        <w:t xml:space="preserve"> The NSDUH’s overall response rate is a product of the screening response rate </w:t>
      </w:r>
      <w:r w:rsidRPr="00F26881" w:rsidR="00094477">
        <w:rPr>
          <w:rFonts w:cstheme="minorHAnsi"/>
        </w:rPr>
        <w:t xml:space="preserve">(SRR) </w:t>
      </w:r>
      <w:r w:rsidRPr="00F26881">
        <w:rPr>
          <w:rFonts w:cstheme="minorHAnsi"/>
        </w:rPr>
        <w:t>and the main interview response rate</w:t>
      </w:r>
      <w:r w:rsidRPr="00F26881" w:rsidR="00094477">
        <w:rPr>
          <w:rFonts w:cstheme="minorHAnsi"/>
        </w:rPr>
        <w:t xml:space="preserve"> (IRR)</w:t>
      </w:r>
      <w:r w:rsidRPr="00F26881">
        <w:rPr>
          <w:rFonts w:cstheme="minorHAnsi"/>
        </w:rPr>
        <w:t xml:space="preserve">. While both response rate components are decreasing, screening nonresponse has been increasing at a faster rate than interview nonresponse in recent years. NSDUH weighted </w:t>
      </w:r>
      <w:r w:rsidRPr="00F26881" w:rsidR="007C254F">
        <w:rPr>
          <w:rFonts w:cstheme="minorHAnsi"/>
        </w:rPr>
        <w:t xml:space="preserve">SRRs </w:t>
      </w:r>
      <w:r w:rsidRPr="00F26881">
        <w:rPr>
          <w:rFonts w:cstheme="minorHAnsi"/>
        </w:rPr>
        <w:t>dropped to 73.3 percent for the 2018 survey year, compared to 88.0 percent in 2010.</w:t>
      </w:r>
    </w:p>
    <w:p w:rsidRPr="00F26881" w:rsidR="00AC3463" w:rsidP="00AC3463" w:rsidRDefault="00AC3463" w14:paraId="038F0385" w14:textId="77777777">
      <w:pPr>
        <w:pStyle w:val="ListParagraph"/>
        <w:ind w:left="0"/>
        <w:contextualSpacing w:val="0"/>
        <w:rPr>
          <w:rFonts w:cstheme="minorHAnsi"/>
        </w:rPr>
      </w:pPr>
    </w:p>
    <w:p w:rsidRPr="00F26881" w:rsidR="00AC3463" w:rsidP="00AC3463" w:rsidRDefault="00AC3463" w14:paraId="2086AA1C" w14:textId="2E4FB15E">
      <w:pPr>
        <w:pStyle w:val="ListParagraph"/>
        <w:ind w:left="0"/>
        <w:contextualSpacing w:val="0"/>
        <w:rPr>
          <w:rFonts w:cstheme="minorHAnsi"/>
        </w:rPr>
      </w:pPr>
      <w:r w:rsidRPr="00F26881">
        <w:rPr>
          <w:rFonts w:cstheme="minorHAnsi"/>
        </w:rPr>
        <w:t xml:space="preserve">Nonresponse bias in NSDUH estimates can result from nonresponse at the screening phase, the interview phase, or both. One of the approaches Substance Abuse and Mental Health Services Administration (SAMHSA) is considering to </w:t>
      </w:r>
      <w:r w:rsidRPr="00F26881" w:rsidR="00525967">
        <w:rPr>
          <w:rFonts w:cstheme="minorHAnsi"/>
        </w:rPr>
        <w:t>stem</w:t>
      </w:r>
      <w:r w:rsidRPr="00F26881">
        <w:rPr>
          <w:rFonts w:cstheme="minorHAnsi"/>
        </w:rPr>
        <w:t xml:space="preserve"> this decline is testing the impact of a $5 screening incentive. No incentive is currently offered for completing the screening interview.</w:t>
      </w:r>
    </w:p>
    <w:p w:rsidRPr="00F26881" w:rsidR="00AC3463" w:rsidP="00AC3463" w:rsidRDefault="00AC3463" w14:paraId="6938AEC3" w14:textId="77777777">
      <w:pPr>
        <w:pStyle w:val="ListParagraph"/>
        <w:ind w:left="0"/>
        <w:contextualSpacing w:val="0"/>
        <w:rPr>
          <w:rFonts w:cstheme="minorHAnsi"/>
        </w:rPr>
      </w:pPr>
    </w:p>
    <w:p w:rsidRPr="00F26881" w:rsidR="00AC3463" w:rsidP="004C105D" w:rsidRDefault="00AC3463" w14:paraId="3E9570B1" w14:textId="34355085">
      <w:pPr>
        <w:pStyle w:val="ListParagraph"/>
        <w:ind w:left="0"/>
        <w:contextualSpacing w:val="0"/>
        <w:rPr>
          <w:rFonts w:cstheme="minorHAnsi"/>
        </w:rPr>
      </w:pPr>
      <w:r w:rsidRPr="00F26881">
        <w:rPr>
          <w:rFonts w:cstheme="minorHAnsi"/>
        </w:rPr>
        <w:t>Since 2002, the NSDUH has offered a $30 incentive for completing the main interview to sample members selected after completion of the household screening. A second approach SAMHSA plans to test is increasing the $30 main interview incentive to $50. Combined with the $5 screening incentive, a 2</w:t>
      </w:r>
      <w:r w:rsidRPr="00F26881" w:rsidR="008B15BA">
        <w:rPr>
          <w:rFonts w:cstheme="minorHAnsi"/>
        </w:rPr>
        <w:t xml:space="preserve"> by </w:t>
      </w:r>
      <w:r w:rsidRPr="00F26881">
        <w:rPr>
          <w:rFonts w:cstheme="minorHAnsi"/>
        </w:rPr>
        <w:t>2 experiment is created by crossing the two screening incentive amounts and the two interview incentive amounts.</w:t>
      </w:r>
    </w:p>
    <w:p w:rsidRPr="00F26881" w:rsidR="00AC3463" w:rsidP="004C105D" w:rsidRDefault="00AC3463" w14:paraId="061107D4" w14:textId="77777777">
      <w:pPr>
        <w:pStyle w:val="ListParagraph"/>
        <w:ind w:left="0"/>
        <w:contextualSpacing w:val="0"/>
        <w:rPr>
          <w:rFonts w:cstheme="minorHAnsi"/>
        </w:rPr>
      </w:pPr>
    </w:p>
    <w:p w:rsidRPr="00F26881" w:rsidR="000378D1" w:rsidP="00216EE6" w:rsidRDefault="00AC3463" w14:paraId="660E62D4" w14:textId="6F99C1A4">
      <w:pPr>
        <w:pStyle w:val="ListParagraph"/>
        <w:spacing w:after="120"/>
        <w:ind w:left="0"/>
        <w:contextualSpacing w:val="0"/>
      </w:pPr>
      <w:r w:rsidRPr="00F26881">
        <w:rPr>
          <w:rFonts w:cstheme="minorHAnsi"/>
        </w:rPr>
        <w:t xml:space="preserve">Multiple studies have shown that incentives tend to increase participation among sample members who are less interested in or involved with the survey topic (Groves, Singer, &amp; Corning, 2000; Groves, Presser, &amp; </w:t>
      </w:r>
      <w:proofErr w:type="spellStart"/>
      <w:r w:rsidRPr="00F26881">
        <w:rPr>
          <w:rFonts w:cstheme="minorHAnsi"/>
        </w:rPr>
        <w:t>Dipko</w:t>
      </w:r>
      <w:proofErr w:type="spellEnd"/>
      <w:r w:rsidRPr="00F26881">
        <w:rPr>
          <w:rFonts w:cstheme="minorHAnsi"/>
        </w:rPr>
        <w:t xml:space="preserve">, 2004; Groves et al., 2006). Adding a screening incentive and increasing the main interview incentive could increase participation at both the screening and interviewing stages and therefore, reduce the potential for nonresponse bias </w:t>
      </w:r>
      <w:r w:rsidRPr="00F26881" w:rsidR="00F16E54">
        <w:rPr>
          <w:rFonts w:cstheme="minorHAnsi"/>
        </w:rPr>
        <w:t xml:space="preserve">in key NSDUH estimates </w:t>
      </w:r>
      <w:r w:rsidRPr="00F26881">
        <w:rPr>
          <w:rFonts w:cstheme="minorHAnsi"/>
        </w:rPr>
        <w:t>from households whose residents are less interested in substance use or mental health issues.</w:t>
      </w:r>
      <w:r w:rsidRPr="00F26881" w:rsidR="00F16E54">
        <w:rPr>
          <w:rFonts w:cstheme="minorHAnsi"/>
        </w:rPr>
        <w:t xml:space="preserve"> </w:t>
      </w:r>
      <w:r w:rsidRPr="00F26881" w:rsidR="000378D1">
        <w:t xml:space="preserve">The </w:t>
      </w:r>
      <w:r w:rsidRPr="00F26881" w:rsidR="002357B0">
        <w:t xml:space="preserve">screening and interview </w:t>
      </w:r>
      <w:r w:rsidRPr="00F26881" w:rsidR="000378D1">
        <w:t xml:space="preserve">incentive experiment will be used to </w:t>
      </w:r>
      <w:r w:rsidRPr="00F26881" w:rsidR="00CD7C00">
        <w:t xml:space="preserve">primarily </w:t>
      </w:r>
      <w:r w:rsidRPr="00F26881" w:rsidR="000378D1">
        <w:t xml:space="preserve">assess: </w:t>
      </w:r>
    </w:p>
    <w:p w:rsidRPr="00F26881" w:rsidR="00CD7C00" w:rsidP="007C7CE8" w:rsidRDefault="00CD7C00" w14:paraId="718256ED" w14:textId="32B618C9">
      <w:pPr>
        <w:numPr>
          <w:ilvl w:val="0"/>
          <w:numId w:val="30"/>
        </w:numPr>
        <w:ind w:left="1080"/>
      </w:pPr>
      <w:r w:rsidRPr="00F26881">
        <w:t>The impact of offering a screening incentive on screening response rates (SRR)</w:t>
      </w:r>
      <w:r w:rsidRPr="00F26881" w:rsidR="00B94E48">
        <w:t>;</w:t>
      </w:r>
      <w:r w:rsidRPr="00F26881">
        <w:t xml:space="preserve"> </w:t>
      </w:r>
    </w:p>
    <w:p w:rsidRPr="00F26881" w:rsidR="007C7CE8" w:rsidP="007C7CE8" w:rsidRDefault="00CD7C00" w14:paraId="5948330D" w14:textId="77777777">
      <w:pPr>
        <w:ind w:left="1080" w:hanging="360"/>
      </w:pPr>
      <w:r w:rsidRPr="00F26881">
        <w:t>2)</w:t>
      </w:r>
      <w:r w:rsidRPr="00F26881">
        <w:tab/>
        <w:t>The impact of a higher interview incentive on interview response rates (IRR)</w:t>
      </w:r>
      <w:r w:rsidRPr="00F26881" w:rsidR="00B94E48">
        <w:t>;</w:t>
      </w:r>
    </w:p>
    <w:p w:rsidRPr="00F26881" w:rsidR="00CD7C00" w:rsidP="007C7CE8" w:rsidRDefault="007C7CE8" w14:paraId="30778911" w14:textId="0EE1AED7">
      <w:pPr>
        <w:ind w:left="1080" w:hanging="360"/>
      </w:pPr>
      <w:r w:rsidRPr="00F26881">
        <w:t>3</w:t>
      </w:r>
      <w:r w:rsidRPr="00F26881" w:rsidR="00CD7C00">
        <w:t>)</w:t>
      </w:r>
      <w:r w:rsidRPr="00F26881" w:rsidR="00CD7C00">
        <w:tab/>
        <w:t xml:space="preserve">The impact of offering a screening incentive on data quality in terms of reducing nonresponse bias </w:t>
      </w:r>
      <w:r w:rsidRPr="00F26881" w:rsidR="00B94E48">
        <w:t>through the</w:t>
      </w:r>
      <w:r w:rsidRPr="00F26881" w:rsidR="00CD7C00">
        <w:t xml:space="preserve"> demographic composition of households screened</w:t>
      </w:r>
      <w:r w:rsidRPr="00F26881" w:rsidR="00B94E48">
        <w:t>.</w:t>
      </w:r>
      <w:r w:rsidRPr="00F26881" w:rsidR="00B94E48">
        <w:rPr>
          <w:rStyle w:val="FootnoteReference"/>
        </w:rPr>
        <w:footnoteReference w:id="1"/>
      </w:r>
      <w:r w:rsidRPr="00F26881">
        <w:t xml:space="preserve"> and</w:t>
      </w:r>
    </w:p>
    <w:p w:rsidRPr="00F26881" w:rsidR="007C7CE8" w:rsidP="007C7CE8" w:rsidRDefault="007C7CE8" w14:paraId="766628BC" w14:textId="6D030E67">
      <w:pPr>
        <w:ind w:left="1080" w:hanging="360"/>
      </w:pPr>
      <w:r w:rsidRPr="00F26881">
        <w:t>4)  The impact of the combination of screening and interview incentive amounts on SRRs, IRRs, and the demographic composition of households screened.</w:t>
      </w:r>
    </w:p>
    <w:p w:rsidRPr="00F26881" w:rsidR="00CD7C00" w:rsidP="000128E9" w:rsidRDefault="00CD7C00" w14:paraId="72CEC24E" w14:textId="5FCF0596">
      <w:pPr>
        <w:ind w:left="360"/>
      </w:pPr>
      <w:r w:rsidRPr="00F26881">
        <w:tab/>
      </w:r>
    </w:p>
    <w:p w:rsidRPr="00F26881" w:rsidR="00CD7C00" w:rsidP="000128E9" w:rsidRDefault="00CD7C00" w14:paraId="1CD521F5" w14:textId="4936FD56">
      <w:r w:rsidRPr="00F26881">
        <w:t>Secondarily, the screening and interview incentive experiment will also be used to assess:</w:t>
      </w:r>
    </w:p>
    <w:p w:rsidRPr="00F26881" w:rsidR="00CD7C00" w:rsidP="000128E9" w:rsidRDefault="00CD7C00" w14:paraId="74F3541B" w14:textId="77777777"/>
    <w:p w:rsidRPr="00F26881" w:rsidR="00B94E48" w:rsidP="007C7CE8" w:rsidRDefault="00B94E48" w14:paraId="2529EB49" w14:textId="78A37D7D">
      <w:pPr>
        <w:ind w:left="1080" w:hanging="360"/>
      </w:pPr>
      <w:r w:rsidRPr="00F26881">
        <w:t>1)</w:t>
      </w:r>
      <w:r w:rsidRPr="00F26881">
        <w:tab/>
        <w:t>The impact of a higher interview incentive on screening response rates (SRR);</w:t>
      </w:r>
      <w:r w:rsidRPr="00F26881">
        <w:rPr>
          <w:vertAlign w:val="superscript"/>
        </w:rPr>
        <w:t>1</w:t>
      </w:r>
      <w:r w:rsidRPr="00F26881">
        <w:t xml:space="preserve"> </w:t>
      </w:r>
    </w:p>
    <w:p w:rsidRPr="00F26881" w:rsidR="000128E9" w:rsidP="007C7CE8" w:rsidRDefault="00B94E48" w14:paraId="696F5C6E" w14:textId="195F7E1C">
      <w:pPr>
        <w:ind w:left="1080" w:hanging="360"/>
      </w:pPr>
      <w:r w:rsidRPr="00F26881">
        <w:t>2</w:t>
      </w:r>
      <w:r w:rsidRPr="00F26881" w:rsidR="000128E9">
        <w:t>)</w:t>
      </w:r>
      <w:r w:rsidRPr="00F26881" w:rsidR="000128E9">
        <w:tab/>
        <w:t>The impact of a higher interview incentive on data quality through reducing nonresponse bias in key estimates from the interviewing phase;</w:t>
      </w:r>
    </w:p>
    <w:p w:rsidRPr="00F26881" w:rsidR="00CD7C00" w:rsidP="007C7CE8" w:rsidRDefault="000128E9" w14:paraId="78A6A41D" w14:textId="1E19F7D0">
      <w:pPr>
        <w:pStyle w:val="ListParagraph"/>
        <w:ind w:left="1080" w:hanging="360"/>
        <w:contextualSpacing w:val="0"/>
      </w:pPr>
      <w:r w:rsidRPr="00F26881">
        <w:lastRenderedPageBreak/>
        <w:t>3</w:t>
      </w:r>
      <w:r w:rsidRPr="00F26881" w:rsidR="00CD7C00">
        <w:t>)</w:t>
      </w:r>
      <w:r w:rsidRPr="00F26881" w:rsidR="00CD7C00">
        <w:tab/>
        <w:t>The impact of the combination of screening and increased interview incentive amounts on data quality through reducing nonresponse bias in key estimates from the interviewing phase</w:t>
      </w:r>
    </w:p>
    <w:p w:rsidRPr="00F26881" w:rsidR="000128E9" w:rsidP="00A0554F" w:rsidRDefault="000128E9" w14:paraId="3752F2FA" w14:textId="02FD1D17">
      <w:pPr>
        <w:pStyle w:val="ListParagraph"/>
        <w:ind w:left="1080" w:hanging="360"/>
        <w:contextualSpacing w:val="0"/>
        <w:rPr>
          <w:rFonts w:cstheme="minorHAnsi"/>
        </w:rPr>
      </w:pPr>
      <w:r w:rsidRPr="00F26881">
        <w:t>4)</w:t>
      </w:r>
      <w:r w:rsidRPr="00F26881">
        <w:tab/>
      </w:r>
      <w:r w:rsidRPr="00F26881" w:rsidR="007C7CE8">
        <w:t>The impact of the screening incentive on the n</w:t>
      </w:r>
      <w:r w:rsidRPr="00F26881" w:rsidR="007C7CE8">
        <w:rPr>
          <w:rFonts w:cstheme="minorHAnsi"/>
        </w:rPr>
        <w:t>umber of contact attempts per completed screening; and</w:t>
      </w:r>
    </w:p>
    <w:p w:rsidRPr="00F26881" w:rsidR="007C7CE8" w:rsidP="00A0554F" w:rsidRDefault="007C7CE8" w14:paraId="6DA277CC" w14:textId="6BC74B86">
      <w:pPr>
        <w:pStyle w:val="ListParagraph"/>
        <w:ind w:left="1080" w:hanging="360"/>
        <w:contextualSpacing w:val="0"/>
      </w:pPr>
      <w:r w:rsidRPr="00F26881">
        <w:t>5)</w:t>
      </w:r>
      <w:r w:rsidRPr="00F26881" w:rsidR="00A0554F">
        <w:tab/>
      </w:r>
      <w:r w:rsidRPr="00F26881">
        <w:t>The impact o</w:t>
      </w:r>
      <w:r w:rsidRPr="00F26881" w:rsidR="00A0554F">
        <w:t>f the screening incentive or increased interview incentive on the n</w:t>
      </w:r>
      <w:r w:rsidRPr="00F26881" w:rsidR="00A0554F">
        <w:rPr>
          <w:rFonts w:cstheme="minorHAnsi"/>
        </w:rPr>
        <w:t>umber of contact attempts per completed interview.</w:t>
      </w:r>
    </w:p>
    <w:p w:rsidRPr="00F26881" w:rsidR="00250E3F" w:rsidP="00084CAF" w:rsidRDefault="00250E3F" w14:paraId="52330487" w14:textId="77777777">
      <w:pPr>
        <w:rPr>
          <w:rFonts w:cstheme="minorHAnsi"/>
        </w:rPr>
      </w:pPr>
    </w:p>
    <w:p w:rsidRPr="00F26881" w:rsidR="003165CB" w:rsidP="00084CAF" w:rsidRDefault="00AC3463" w14:paraId="0B0A28D4" w14:textId="1C1A8FA4">
      <w:pPr>
        <w:rPr>
          <w:rFonts w:cstheme="minorHAnsi"/>
        </w:rPr>
      </w:pPr>
      <w:r w:rsidRPr="00F26881">
        <w:rPr>
          <w:rFonts w:cstheme="minorHAnsi"/>
        </w:rPr>
        <w:t>SAMHSA would like to evaluate whether adding a screening incentive and/or increasing the interview incentive boosts</w:t>
      </w:r>
      <w:r w:rsidRPr="00F26881" w:rsidDel="00AA7F0C">
        <w:rPr>
          <w:rFonts w:cstheme="minorHAnsi"/>
        </w:rPr>
        <w:t xml:space="preserve"> </w:t>
      </w:r>
      <w:r w:rsidRPr="00F26881">
        <w:rPr>
          <w:rFonts w:cstheme="minorHAnsi"/>
        </w:rPr>
        <w:t>the likelihood of participation in the combined household screening interview and subsequent main interview(s). The current plan is to test th</w:t>
      </w:r>
      <w:r w:rsidRPr="00F26881" w:rsidR="001B18EC">
        <w:rPr>
          <w:rFonts w:cstheme="minorHAnsi"/>
        </w:rPr>
        <w:t xml:space="preserve">is </w:t>
      </w:r>
      <w:r w:rsidRPr="00F26881">
        <w:rPr>
          <w:rFonts w:cstheme="minorHAnsi"/>
        </w:rPr>
        <w:t>2</w:t>
      </w:r>
      <w:r w:rsidRPr="00F26881" w:rsidR="008B15BA">
        <w:rPr>
          <w:rFonts w:cstheme="minorHAnsi"/>
        </w:rPr>
        <w:t xml:space="preserve"> by </w:t>
      </w:r>
      <w:r w:rsidRPr="00F26881">
        <w:rPr>
          <w:rFonts w:cstheme="minorHAnsi"/>
        </w:rPr>
        <w:t xml:space="preserve">2 incentive experiment </w:t>
      </w:r>
      <w:r w:rsidRPr="00F26881" w:rsidR="005B7B27">
        <w:rPr>
          <w:rFonts w:cstheme="minorHAnsi"/>
        </w:rPr>
        <w:t>in a future NSDUH survey</w:t>
      </w:r>
      <w:r w:rsidRPr="00F26881">
        <w:rPr>
          <w:rFonts w:cstheme="minorHAnsi"/>
        </w:rPr>
        <w:t xml:space="preserve">. </w:t>
      </w:r>
      <w:r w:rsidRPr="00F26881" w:rsidR="00E03422">
        <w:rPr>
          <w:rFonts w:cstheme="minorHAnsi"/>
        </w:rPr>
        <w:t>This appendix includes a description of the incentives experiment and the power calculations made for assessing nonresponse bias at the screening and interview phases.</w:t>
      </w:r>
    </w:p>
    <w:p w:rsidRPr="00F26881" w:rsidR="0029212A" w:rsidRDefault="0029212A" w14:paraId="76D915F3" w14:textId="4477B312">
      <w:pPr>
        <w:rPr>
          <w:rFonts w:cstheme="minorHAnsi"/>
        </w:rPr>
      </w:pPr>
    </w:p>
    <w:p w:rsidRPr="00F26881" w:rsidR="00ED0770" w:rsidP="00F21287" w:rsidRDefault="00ED0770" w14:paraId="0B387635" w14:textId="77777777">
      <w:pPr>
        <w:pStyle w:val="ListParagraph"/>
        <w:numPr>
          <w:ilvl w:val="0"/>
          <w:numId w:val="3"/>
        </w:numPr>
        <w:spacing w:after="240"/>
        <w:ind w:left="360"/>
        <w:contextualSpacing w:val="0"/>
        <w:rPr>
          <w:rFonts w:cstheme="minorHAnsi"/>
          <w:b/>
          <w:iCs/>
          <w:sz w:val="32"/>
          <w:szCs w:val="32"/>
        </w:rPr>
      </w:pPr>
      <w:r w:rsidRPr="00F26881">
        <w:rPr>
          <w:rFonts w:cstheme="minorHAnsi"/>
          <w:b/>
          <w:iCs/>
          <w:sz w:val="32"/>
          <w:szCs w:val="32"/>
        </w:rPr>
        <w:t>Experimental Conditions for the Combined Screening and Interview Incentive Experiment</w:t>
      </w:r>
    </w:p>
    <w:p w:rsidRPr="00F26881" w:rsidR="00ED0770" w:rsidP="00792F65" w:rsidRDefault="00ED0770" w14:paraId="101B91B8" w14:textId="78E36795">
      <w:pPr>
        <w:pStyle w:val="Heading1"/>
        <w:rPr>
          <w:rFonts w:cstheme="minorHAnsi"/>
          <w:color w:val="auto"/>
        </w:rPr>
      </w:pPr>
      <w:r w:rsidRPr="00F26881">
        <w:rPr>
          <w:rFonts w:ascii="Times New Roman" w:hAnsi="Times New Roman" w:cs="Times New Roman"/>
          <w:color w:val="auto"/>
          <w:sz w:val="24"/>
          <w:szCs w:val="24"/>
        </w:rPr>
        <w:t>Based on discussion</w:t>
      </w:r>
      <w:r w:rsidRPr="00F26881" w:rsidR="001576B7">
        <w:rPr>
          <w:rFonts w:ascii="Times New Roman" w:hAnsi="Times New Roman" w:cs="Times New Roman"/>
          <w:color w:val="auto"/>
          <w:sz w:val="24"/>
          <w:szCs w:val="24"/>
        </w:rPr>
        <w:t>s</w:t>
      </w:r>
      <w:r w:rsidRPr="00F26881">
        <w:rPr>
          <w:rFonts w:ascii="Times New Roman" w:hAnsi="Times New Roman" w:cs="Times New Roman"/>
          <w:color w:val="auto"/>
          <w:sz w:val="24"/>
          <w:szCs w:val="24"/>
        </w:rPr>
        <w:t xml:space="preserve"> </w:t>
      </w:r>
      <w:r w:rsidRPr="00F26881" w:rsidR="001576B7">
        <w:rPr>
          <w:rFonts w:ascii="Times New Roman" w:hAnsi="Times New Roman" w:cs="Times New Roman"/>
          <w:color w:val="auto"/>
          <w:sz w:val="24"/>
          <w:szCs w:val="24"/>
        </w:rPr>
        <w:t xml:space="preserve">between </w:t>
      </w:r>
      <w:r w:rsidRPr="00F26881">
        <w:rPr>
          <w:rFonts w:ascii="Times New Roman" w:hAnsi="Times New Roman" w:cs="Times New Roman"/>
          <w:color w:val="auto"/>
          <w:sz w:val="24"/>
          <w:szCs w:val="24"/>
        </w:rPr>
        <w:t xml:space="preserve">OMB </w:t>
      </w:r>
      <w:r w:rsidRPr="00F26881" w:rsidR="001576B7">
        <w:rPr>
          <w:rFonts w:ascii="Times New Roman" w:hAnsi="Times New Roman" w:cs="Times New Roman"/>
          <w:color w:val="auto"/>
          <w:sz w:val="24"/>
          <w:szCs w:val="24"/>
        </w:rPr>
        <w:t xml:space="preserve">and SAMHSA </w:t>
      </w:r>
      <w:r w:rsidRPr="00F26881">
        <w:rPr>
          <w:rFonts w:ascii="Times New Roman" w:hAnsi="Times New Roman" w:cs="Times New Roman"/>
          <w:color w:val="auto"/>
          <w:sz w:val="24"/>
          <w:szCs w:val="24"/>
        </w:rPr>
        <w:t xml:space="preserve">about </w:t>
      </w:r>
      <w:r w:rsidRPr="00F26881" w:rsidR="00B76A53">
        <w:rPr>
          <w:rFonts w:ascii="Times New Roman" w:hAnsi="Times New Roman" w:cs="Times New Roman"/>
          <w:color w:val="auto"/>
          <w:sz w:val="24"/>
          <w:szCs w:val="24"/>
        </w:rPr>
        <w:t xml:space="preserve">testing </w:t>
      </w:r>
      <w:r w:rsidRPr="00F26881">
        <w:rPr>
          <w:rFonts w:ascii="Times New Roman" w:hAnsi="Times New Roman" w:cs="Times New Roman"/>
          <w:color w:val="auto"/>
          <w:sz w:val="24"/>
          <w:szCs w:val="24"/>
        </w:rPr>
        <w:t>incentive</w:t>
      </w:r>
      <w:r w:rsidRPr="00F26881" w:rsidR="00B76A53">
        <w:rPr>
          <w:rFonts w:ascii="Times New Roman" w:hAnsi="Times New Roman" w:cs="Times New Roman"/>
          <w:color w:val="auto"/>
          <w:sz w:val="24"/>
          <w:szCs w:val="24"/>
        </w:rPr>
        <w:t>s</w:t>
      </w:r>
      <w:r w:rsidRPr="00F26881" w:rsidR="0080669C">
        <w:rPr>
          <w:rFonts w:ascii="Times New Roman" w:hAnsi="Times New Roman" w:cs="Times New Roman"/>
          <w:color w:val="auto"/>
          <w:sz w:val="24"/>
          <w:szCs w:val="24"/>
        </w:rPr>
        <w:t xml:space="preserve">, </w:t>
      </w:r>
      <w:r w:rsidRPr="00F26881" w:rsidR="00732218">
        <w:rPr>
          <w:rFonts w:ascii="Times New Roman" w:hAnsi="Times New Roman" w:cs="Times New Roman"/>
          <w:color w:val="auto"/>
          <w:sz w:val="24"/>
          <w:szCs w:val="24"/>
        </w:rPr>
        <w:t>the NSD</w:t>
      </w:r>
      <w:r w:rsidRPr="00F26881" w:rsidR="0091204B">
        <w:rPr>
          <w:rFonts w:ascii="Times New Roman" w:hAnsi="Times New Roman" w:cs="Times New Roman"/>
          <w:color w:val="auto"/>
          <w:sz w:val="24"/>
          <w:szCs w:val="24"/>
        </w:rPr>
        <w:t>U</w:t>
      </w:r>
      <w:r w:rsidRPr="00F26881" w:rsidR="00732218">
        <w:rPr>
          <w:rFonts w:ascii="Times New Roman" w:hAnsi="Times New Roman" w:cs="Times New Roman"/>
          <w:color w:val="auto"/>
          <w:sz w:val="24"/>
          <w:szCs w:val="24"/>
        </w:rPr>
        <w:t xml:space="preserve">H </w:t>
      </w:r>
      <w:r w:rsidRPr="00F26881">
        <w:rPr>
          <w:rFonts w:ascii="Times New Roman" w:hAnsi="Times New Roman" w:cs="Times New Roman"/>
          <w:color w:val="auto"/>
          <w:sz w:val="24"/>
          <w:szCs w:val="24"/>
        </w:rPr>
        <w:t xml:space="preserve">incentive experiment will involve testing both a screening incentive ($0 versus $5) and an interview incentive ($30 versus $50). </w:t>
      </w:r>
      <w:r w:rsidRPr="00F26881" w:rsidR="0091204B">
        <w:rPr>
          <w:rFonts w:ascii="Times New Roman" w:hAnsi="Times New Roman" w:cs="Times New Roman"/>
          <w:color w:val="auto"/>
          <w:sz w:val="24"/>
          <w:szCs w:val="24"/>
        </w:rPr>
        <w:t xml:space="preserve">The $5 screening incentive and </w:t>
      </w:r>
      <w:r w:rsidRPr="00F26881" w:rsidR="00F329FC">
        <w:rPr>
          <w:rFonts w:ascii="Times New Roman" w:hAnsi="Times New Roman" w:cs="Times New Roman"/>
          <w:color w:val="auto"/>
          <w:sz w:val="24"/>
          <w:szCs w:val="24"/>
        </w:rPr>
        <w:t xml:space="preserve">the interview incentives will be promised incentives. That is, </w:t>
      </w:r>
      <w:r w:rsidRPr="00F26881" w:rsidR="00E36345">
        <w:rPr>
          <w:rFonts w:ascii="Times New Roman" w:hAnsi="Times New Roman" w:cs="Times New Roman"/>
          <w:color w:val="auto"/>
          <w:sz w:val="24"/>
          <w:szCs w:val="24"/>
        </w:rPr>
        <w:t xml:space="preserve">field interviewers (FIs) </w:t>
      </w:r>
      <w:r w:rsidRPr="00F26881" w:rsidR="00F329FC">
        <w:rPr>
          <w:rFonts w:ascii="Times New Roman" w:hAnsi="Times New Roman" w:cs="Times New Roman"/>
          <w:color w:val="auto"/>
          <w:sz w:val="24"/>
          <w:szCs w:val="24"/>
        </w:rPr>
        <w:t xml:space="preserve">will </w:t>
      </w:r>
      <w:r w:rsidRPr="00F26881" w:rsidR="004A77CD">
        <w:rPr>
          <w:rFonts w:ascii="Times New Roman" w:hAnsi="Times New Roman" w:cs="Times New Roman"/>
          <w:color w:val="auto"/>
          <w:sz w:val="24"/>
          <w:szCs w:val="24"/>
        </w:rPr>
        <w:t xml:space="preserve">only </w:t>
      </w:r>
      <w:r w:rsidRPr="00F26881" w:rsidR="00865781">
        <w:rPr>
          <w:rFonts w:ascii="Times New Roman" w:hAnsi="Times New Roman" w:cs="Times New Roman"/>
          <w:color w:val="auto"/>
          <w:sz w:val="24"/>
          <w:szCs w:val="24"/>
        </w:rPr>
        <w:t xml:space="preserve">provide the </w:t>
      </w:r>
      <w:r w:rsidRPr="00F26881" w:rsidR="00A0554F">
        <w:rPr>
          <w:rFonts w:ascii="Times New Roman" w:hAnsi="Times New Roman" w:cs="Times New Roman"/>
          <w:color w:val="auto"/>
          <w:sz w:val="24"/>
          <w:szCs w:val="24"/>
        </w:rPr>
        <w:t xml:space="preserve">screening </w:t>
      </w:r>
      <w:r w:rsidRPr="00F26881" w:rsidR="00865781">
        <w:rPr>
          <w:rFonts w:ascii="Times New Roman" w:hAnsi="Times New Roman" w:cs="Times New Roman"/>
          <w:color w:val="auto"/>
          <w:sz w:val="24"/>
          <w:szCs w:val="24"/>
        </w:rPr>
        <w:t xml:space="preserve">incentive to </w:t>
      </w:r>
      <w:r w:rsidRPr="00F26881" w:rsidR="00A0554F">
        <w:rPr>
          <w:rFonts w:ascii="Times New Roman" w:hAnsi="Times New Roman" w:cs="Times New Roman"/>
          <w:color w:val="auto"/>
          <w:sz w:val="24"/>
          <w:szCs w:val="24"/>
        </w:rPr>
        <w:t xml:space="preserve">household members who are determined to be eligible screening </w:t>
      </w:r>
      <w:r w:rsidRPr="00F26881" w:rsidR="00865781">
        <w:rPr>
          <w:rFonts w:ascii="Times New Roman" w:hAnsi="Times New Roman" w:cs="Times New Roman"/>
          <w:color w:val="auto"/>
          <w:sz w:val="24"/>
          <w:szCs w:val="24"/>
        </w:rPr>
        <w:t>respondents</w:t>
      </w:r>
      <w:r w:rsidRPr="00F26881" w:rsidR="00A0554F">
        <w:rPr>
          <w:rFonts w:ascii="Times New Roman" w:hAnsi="Times New Roman" w:cs="Times New Roman"/>
          <w:color w:val="auto"/>
          <w:sz w:val="24"/>
          <w:szCs w:val="24"/>
        </w:rPr>
        <w:t xml:space="preserve"> (SRs)</w:t>
      </w:r>
      <w:r w:rsidRPr="00F26881" w:rsidR="00A0554F">
        <w:rPr>
          <w:rStyle w:val="FootnoteReference"/>
          <w:rFonts w:ascii="Times New Roman" w:hAnsi="Times New Roman" w:cs="Times New Roman"/>
          <w:color w:val="auto"/>
          <w:sz w:val="24"/>
          <w:szCs w:val="24"/>
        </w:rPr>
        <w:footnoteReference w:id="2"/>
      </w:r>
      <w:r w:rsidRPr="00F26881" w:rsidR="00865781">
        <w:rPr>
          <w:rFonts w:ascii="Times New Roman" w:hAnsi="Times New Roman" w:cs="Times New Roman"/>
          <w:color w:val="auto"/>
          <w:sz w:val="24"/>
          <w:szCs w:val="24"/>
        </w:rPr>
        <w:t xml:space="preserve"> </w:t>
      </w:r>
      <w:r w:rsidRPr="00F26881" w:rsidR="00A0554F">
        <w:rPr>
          <w:rFonts w:ascii="Times New Roman" w:hAnsi="Times New Roman" w:cs="Times New Roman"/>
          <w:color w:val="auto"/>
          <w:sz w:val="24"/>
          <w:szCs w:val="24"/>
        </w:rPr>
        <w:t xml:space="preserve"> and FIs will provide the</w:t>
      </w:r>
      <w:r w:rsidRPr="00F26881" w:rsidR="00865781">
        <w:rPr>
          <w:rFonts w:ascii="Times New Roman" w:hAnsi="Times New Roman" w:cs="Times New Roman"/>
          <w:color w:val="auto"/>
          <w:sz w:val="24"/>
          <w:szCs w:val="24"/>
        </w:rPr>
        <w:t xml:space="preserve"> interview</w:t>
      </w:r>
      <w:r w:rsidRPr="00F26881" w:rsidR="00A0554F">
        <w:rPr>
          <w:rFonts w:ascii="Times New Roman" w:hAnsi="Times New Roman" w:cs="Times New Roman"/>
          <w:color w:val="auto"/>
          <w:sz w:val="24"/>
          <w:szCs w:val="24"/>
        </w:rPr>
        <w:t xml:space="preserve"> incentive after selected respondents complete the interview</w:t>
      </w:r>
      <w:r w:rsidRPr="00F26881" w:rsidR="00865781">
        <w:rPr>
          <w:rFonts w:ascii="Times New Roman" w:hAnsi="Times New Roman" w:cs="Times New Roman"/>
          <w:color w:val="auto"/>
          <w:sz w:val="24"/>
          <w:szCs w:val="24"/>
        </w:rPr>
        <w:t xml:space="preserve">. The literature on incentives clearly demonstrates monetary incentives are effective in increasing survey cooperation rates. In addition, prepaid incentives have been shown to be more effective than promised incentives (Singer and Ye, 2013). However, much of this research on prepaid incentives has been conducted in the context of mail and telephone surveys. Offering promised incentives for in-person surveys </w:t>
      </w:r>
      <w:r w:rsidRPr="00F26881" w:rsidR="0072446D">
        <w:rPr>
          <w:rFonts w:ascii="Times New Roman" w:hAnsi="Times New Roman" w:cs="Times New Roman"/>
          <w:color w:val="auto"/>
          <w:sz w:val="24"/>
          <w:szCs w:val="24"/>
        </w:rPr>
        <w:t>like the NSD</w:t>
      </w:r>
      <w:r w:rsidRPr="00F26881" w:rsidR="005E2FB8">
        <w:rPr>
          <w:rFonts w:ascii="Times New Roman" w:hAnsi="Times New Roman" w:cs="Times New Roman"/>
          <w:color w:val="auto"/>
          <w:sz w:val="24"/>
          <w:szCs w:val="24"/>
        </w:rPr>
        <w:t>U</w:t>
      </w:r>
      <w:r w:rsidRPr="00F26881" w:rsidR="0072446D">
        <w:rPr>
          <w:rFonts w:ascii="Times New Roman" w:hAnsi="Times New Roman" w:cs="Times New Roman"/>
          <w:color w:val="auto"/>
          <w:sz w:val="24"/>
          <w:szCs w:val="24"/>
        </w:rPr>
        <w:t xml:space="preserve">H </w:t>
      </w:r>
      <w:r w:rsidRPr="00F26881" w:rsidR="00865781">
        <w:rPr>
          <w:rFonts w:ascii="Times New Roman" w:hAnsi="Times New Roman" w:cs="Times New Roman"/>
          <w:color w:val="auto"/>
          <w:sz w:val="24"/>
          <w:szCs w:val="24"/>
        </w:rPr>
        <w:t>can function similarly to prepaid incentives in self-administered survey modes. F</w:t>
      </w:r>
      <w:r w:rsidRPr="00F26881" w:rsidR="00E36345">
        <w:rPr>
          <w:rFonts w:ascii="Times New Roman" w:hAnsi="Times New Roman" w:cs="Times New Roman"/>
          <w:color w:val="auto"/>
          <w:sz w:val="24"/>
          <w:szCs w:val="24"/>
        </w:rPr>
        <w:t>I</w:t>
      </w:r>
      <w:r w:rsidRPr="00F26881" w:rsidR="00865781">
        <w:rPr>
          <w:rFonts w:ascii="Times New Roman" w:hAnsi="Times New Roman" w:cs="Times New Roman"/>
          <w:color w:val="auto"/>
          <w:sz w:val="24"/>
          <w:szCs w:val="24"/>
        </w:rPr>
        <w:t xml:space="preserve">s can clearly demonstrate to potential </w:t>
      </w:r>
      <w:r w:rsidRPr="00F26881" w:rsidR="00865781">
        <w:rPr>
          <w:rFonts w:ascii="Times New Roman" w:hAnsi="Times New Roman" w:eastAsia="Times New Roman" w:cs="Times New Roman"/>
          <w:color w:val="auto"/>
          <w:sz w:val="24"/>
          <w:szCs w:val="24"/>
        </w:rPr>
        <w:t>SR</w:t>
      </w:r>
      <w:r w:rsidRPr="00F26881" w:rsidR="00A0554F">
        <w:rPr>
          <w:rFonts w:ascii="Times New Roman" w:hAnsi="Times New Roman" w:eastAsia="Times New Roman" w:cs="Times New Roman"/>
          <w:color w:val="auto"/>
          <w:sz w:val="24"/>
          <w:szCs w:val="24"/>
        </w:rPr>
        <w:t>s</w:t>
      </w:r>
      <w:r w:rsidRPr="00F26881" w:rsidR="00865781">
        <w:rPr>
          <w:rFonts w:ascii="Times New Roman" w:hAnsi="Times New Roman" w:eastAsia="Times New Roman" w:cs="Times New Roman"/>
          <w:color w:val="auto"/>
          <w:sz w:val="24"/>
          <w:szCs w:val="24"/>
        </w:rPr>
        <w:t xml:space="preserve"> </w:t>
      </w:r>
      <w:r w:rsidRPr="00F26881" w:rsidR="00865781">
        <w:rPr>
          <w:rFonts w:ascii="Times New Roman" w:hAnsi="Times New Roman" w:cs="Times New Roman"/>
          <w:color w:val="auto"/>
          <w:sz w:val="24"/>
          <w:szCs w:val="24"/>
        </w:rPr>
        <w:t xml:space="preserve">that they have the promised screening </w:t>
      </w:r>
      <w:r w:rsidRPr="00F26881" w:rsidR="00A0554F">
        <w:rPr>
          <w:rFonts w:ascii="Times New Roman" w:hAnsi="Times New Roman" w:cs="Times New Roman"/>
          <w:color w:val="auto"/>
          <w:sz w:val="24"/>
          <w:szCs w:val="24"/>
        </w:rPr>
        <w:t xml:space="preserve">and interview </w:t>
      </w:r>
      <w:r w:rsidRPr="00F26881" w:rsidR="00865781">
        <w:rPr>
          <w:rFonts w:ascii="Times New Roman" w:hAnsi="Times New Roman" w:cs="Times New Roman"/>
          <w:color w:val="auto"/>
          <w:sz w:val="24"/>
          <w:szCs w:val="24"/>
        </w:rPr>
        <w:t>incentive</w:t>
      </w:r>
      <w:r w:rsidRPr="00F26881" w:rsidR="00A0554F">
        <w:rPr>
          <w:rFonts w:ascii="Times New Roman" w:hAnsi="Times New Roman" w:cs="Times New Roman"/>
          <w:color w:val="auto"/>
          <w:sz w:val="24"/>
          <w:szCs w:val="24"/>
        </w:rPr>
        <w:t>s</w:t>
      </w:r>
      <w:r w:rsidRPr="00F26881" w:rsidR="00865781">
        <w:rPr>
          <w:rFonts w:ascii="Times New Roman" w:hAnsi="Times New Roman" w:cs="Times New Roman"/>
          <w:color w:val="auto"/>
          <w:sz w:val="24"/>
          <w:szCs w:val="24"/>
        </w:rPr>
        <w:t xml:space="preserve"> and will p</w:t>
      </w:r>
      <w:r w:rsidRPr="00F26881" w:rsidR="00C94D94">
        <w:rPr>
          <w:rFonts w:ascii="Times New Roman" w:hAnsi="Times New Roman" w:cs="Times New Roman"/>
          <w:color w:val="auto"/>
          <w:sz w:val="24"/>
          <w:szCs w:val="24"/>
        </w:rPr>
        <w:t xml:space="preserve">rovide </w:t>
      </w:r>
      <w:r w:rsidRPr="00F26881" w:rsidR="00A0554F">
        <w:rPr>
          <w:rFonts w:ascii="Times New Roman" w:hAnsi="Times New Roman" w:cs="Times New Roman"/>
          <w:color w:val="auto"/>
          <w:sz w:val="24"/>
          <w:szCs w:val="24"/>
        </w:rPr>
        <w:t>these when stated in the NSDUH materials and scripts</w:t>
      </w:r>
      <w:r w:rsidRPr="00F26881" w:rsidR="00865781">
        <w:rPr>
          <w:rFonts w:ascii="Times New Roman" w:hAnsi="Times New Roman" w:cs="Times New Roman"/>
          <w:color w:val="auto"/>
          <w:sz w:val="24"/>
          <w:szCs w:val="24"/>
        </w:rPr>
        <w:t>.</w:t>
      </w:r>
      <w:r w:rsidRPr="00F26881" w:rsidR="00A13C2A">
        <w:rPr>
          <w:rFonts w:ascii="Times New Roman" w:hAnsi="Times New Roman" w:cs="Times New Roman"/>
          <w:color w:val="auto"/>
          <w:sz w:val="24"/>
          <w:szCs w:val="24"/>
        </w:rPr>
        <w:t xml:space="preserve"> </w:t>
      </w:r>
      <w:r w:rsidRPr="00F26881">
        <w:rPr>
          <w:rFonts w:ascii="Times New Roman" w:hAnsi="Times New Roman" w:cs="Times New Roman"/>
          <w:bCs/>
          <w:color w:val="auto"/>
          <w:sz w:val="24"/>
          <w:szCs w:val="24"/>
        </w:rPr>
        <w:t xml:space="preserve">Table </w:t>
      </w:r>
      <w:r w:rsidRPr="00F26881" w:rsidR="0080669C">
        <w:rPr>
          <w:rFonts w:ascii="Times New Roman" w:hAnsi="Times New Roman" w:cs="Times New Roman"/>
          <w:bCs/>
          <w:color w:val="auto"/>
          <w:sz w:val="24"/>
          <w:szCs w:val="24"/>
        </w:rPr>
        <w:t>1</w:t>
      </w:r>
      <w:r w:rsidRPr="00F26881">
        <w:rPr>
          <w:rFonts w:ascii="Times New Roman" w:hAnsi="Times New Roman" w:cs="Times New Roman"/>
          <w:color w:val="auto"/>
          <w:sz w:val="24"/>
          <w:szCs w:val="24"/>
        </w:rPr>
        <w:t xml:space="preserve"> presents the four possible combinations of screening and interview incentive amounts that would comprise the four experimental conditions. </w:t>
      </w:r>
    </w:p>
    <w:p w:rsidRPr="00F26881" w:rsidR="004A39CA" w:rsidRDefault="004A39CA" w14:paraId="593673FC" w14:textId="1775C3F1">
      <w:pPr>
        <w:rPr>
          <w:rFonts w:cstheme="minorHAnsi"/>
          <w:b/>
        </w:rPr>
      </w:pPr>
    </w:p>
    <w:p w:rsidRPr="00F26881" w:rsidR="00ED0770" w:rsidP="00ED0770" w:rsidRDefault="00ED0770" w14:paraId="2279FAD5" w14:textId="5DEE3CB3">
      <w:pPr>
        <w:pStyle w:val="ListParagraph"/>
        <w:ind w:left="0"/>
        <w:rPr>
          <w:rFonts w:cstheme="minorHAnsi"/>
          <w:b/>
        </w:rPr>
      </w:pPr>
      <w:r w:rsidRPr="00F26881">
        <w:rPr>
          <w:rFonts w:cstheme="minorHAnsi"/>
          <w:b/>
        </w:rPr>
        <w:t xml:space="preserve">Table </w:t>
      </w:r>
      <w:r w:rsidRPr="00F26881" w:rsidR="0080669C">
        <w:rPr>
          <w:rFonts w:cstheme="minorHAnsi"/>
          <w:b/>
        </w:rPr>
        <w:t>1</w:t>
      </w:r>
      <w:r w:rsidRPr="00F26881">
        <w:rPr>
          <w:rFonts w:cstheme="minorHAnsi"/>
          <w:b/>
        </w:rPr>
        <w:t>. Four Possible Experimental Conditions for the Combined Experiment</w:t>
      </w:r>
    </w:p>
    <w:p w:rsidRPr="00F26881" w:rsidR="00C43E18" w:rsidP="00C43E18" w:rsidRDefault="00C43E18" w14:paraId="200BAEEB" w14:textId="7B423A05"/>
    <w:tbl>
      <w:tblPr>
        <w:tblW w:w="6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20"/>
        <w:gridCol w:w="336"/>
        <w:gridCol w:w="1884"/>
        <w:gridCol w:w="360"/>
        <w:gridCol w:w="1800"/>
      </w:tblGrid>
      <w:tr w:rsidRPr="00F26881" w:rsidR="00F26881" w:rsidTr="00094477" w14:paraId="4BCFEE9F" w14:textId="77777777">
        <w:trPr>
          <w:trHeight w:val="300"/>
        </w:trPr>
        <w:tc>
          <w:tcPr>
            <w:tcW w:w="1928" w:type="dxa"/>
            <w:tcBorders>
              <w:top w:val="nil"/>
              <w:left w:val="nil"/>
              <w:bottom w:val="single" w:color="auto" w:sz="8" w:space="0"/>
              <w:right w:val="single" w:color="auto" w:sz="8" w:space="0"/>
            </w:tcBorders>
          </w:tcPr>
          <w:p w:rsidRPr="00F26881" w:rsidR="00C43E18" w:rsidP="00094477" w:rsidRDefault="00C43E18" w14:paraId="6A5287AA" w14:textId="77777777">
            <w:pPr>
              <w:ind w:left="720"/>
              <w:rPr>
                <w:rFonts w:cstheme="minorHAnsi"/>
              </w:rPr>
            </w:pPr>
          </w:p>
        </w:tc>
        <w:tc>
          <w:tcPr>
            <w:tcW w:w="4372" w:type="dxa"/>
            <w:gridSpan w:val="4"/>
            <w:tcBorders>
              <w:top w:val="single" w:color="auto" w:sz="8" w:space="0"/>
              <w:left w:val="single" w:color="auto" w:sz="8" w:space="0"/>
              <w:bottom w:val="single" w:color="auto" w:sz="8" w:space="0"/>
              <w:right w:val="single" w:color="auto" w:sz="8" w:space="0"/>
            </w:tcBorders>
            <w:shd w:val="clear" w:color="auto" w:fill="FFFFFF" w:themeFill="background1"/>
            <w:noWrap/>
          </w:tcPr>
          <w:p w:rsidRPr="00F26881" w:rsidR="00C43E18" w:rsidP="00094477" w:rsidRDefault="00C43E18" w14:paraId="7B2B6BB5" w14:textId="77777777">
            <w:pPr>
              <w:ind w:left="720"/>
              <w:rPr>
                <w:rFonts w:cstheme="minorHAnsi"/>
                <w:b/>
              </w:rPr>
            </w:pPr>
            <w:r w:rsidRPr="00F26881">
              <w:rPr>
                <w:rFonts w:cstheme="minorHAnsi"/>
                <w:b/>
              </w:rPr>
              <w:t>Screening Incentive Amounts</w:t>
            </w:r>
          </w:p>
        </w:tc>
      </w:tr>
      <w:tr w:rsidRPr="00F26881" w:rsidR="00F26881" w:rsidTr="00B0204C" w14:paraId="6CF62A9F" w14:textId="77777777">
        <w:trPr>
          <w:trHeight w:val="150"/>
        </w:trPr>
        <w:tc>
          <w:tcPr>
            <w:tcW w:w="1928" w:type="dxa"/>
            <w:vMerge w:val="restart"/>
            <w:tcBorders>
              <w:top w:val="single" w:color="auto" w:sz="8" w:space="0"/>
              <w:left w:val="single" w:color="auto" w:sz="8" w:space="0"/>
              <w:bottom w:val="single" w:color="auto" w:sz="8" w:space="0"/>
              <w:right w:val="single" w:color="auto" w:sz="8" w:space="0"/>
            </w:tcBorders>
            <w:shd w:val="clear" w:color="auto" w:fill="FFFFFF" w:themeFill="background1"/>
          </w:tcPr>
          <w:p w:rsidRPr="00F26881" w:rsidR="00C43E18" w:rsidP="00094477" w:rsidRDefault="00C43E18" w14:paraId="03022AF3" w14:textId="77777777">
            <w:pPr>
              <w:spacing w:before="120"/>
              <w:jc w:val="center"/>
              <w:rPr>
                <w:rFonts w:cstheme="minorHAnsi"/>
                <w:b/>
              </w:rPr>
            </w:pPr>
            <w:r w:rsidRPr="00F26881">
              <w:rPr>
                <w:rFonts w:cstheme="minorHAnsi"/>
                <w:b/>
              </w:rPr>
              <w:t>Interview Incentive Amounts</w:t>
            </w:r>
          </w:p>
        </w:tc>
        <w:tc>
          <w:tcPr>
            <w:tcW w:w="328" w:type="dxa"/>
            <w:vMerge w:val="restart"/>
            <w:tcBorders>
              <w:top w:val="single" w:color="auto" w:sz="8" w:space="0"/>
              <w:left w:val="single" w:color="auto" w:sz="8" w:space="0"/>
              <w:right w:val="single" w:color="auto" w:sz="8" w:space="0"/>
            </w:tcBorders>
            <w:shd w:val="clear" w:color="auto" w:fill="F2F2F2" w:themeFill="background1" w:themeFillShade="F2"/>
            <w:noWrap/>
            <w:vAlign w:val="center"/>
          </w:tcPr>
          <w:p w:rsidRPr="00F26881" w:rsidR="00C43E18" w:rsidP="00094477" w:rsidRDefault="00C43E18" w14:paraId="05364FF2" w14:textId="77777777">
            <w:pPr>
              <w:rPr>
                <w:rFonts w:cstheme="minorHAnsi"/>
              </w:rPr>
            </w:pPr>
            <w:r w:rsidRPr="00F26881">
              <w:rPr>
                <w:rFonts w:cstheme="minorHAnsi"/>
              </w:rPr>
              <w:t>1</w:t>
            </w:r>
          </w:p>
        </w:tc>
        <w:tc>
          <w:tcPr>
            <w:tcW w:w="1884" w:type="dxa"/>
            <w:tcBorders>
              <w:top w:val="single" w:color="auto" w:sz="8" w:space="0"/>
              <w:left w:val="single" w:color="auto" w:sz="8" w:space="0"/>
              <w:bottom w:val="nil"/>
              <w:right w:val="single" w:color="auto" w:sz="8" w:space="0"/>
            </w:tcBorders>
            <w:shd w:val="clear" w:color="auto" w:fill="auto"/>
          </w:tcPr>
          <w:p w:rsidRPr="00F26881" w:rsidR="00C43E18" w:rsidP="00094477" w:rsidRDefault="00C43E18" w14:paraId="0FA5BC14" w14:textId="77777777">
            <w:pPr>
              <w:ind w:left="144"/>
              <w:rPr>
                <w:rFonts w:cstheme="minorHAnsi"/>
              </w:rPr>
            </w:pPr>
            <w:r w:rsidRPr="00F26881">
              <w:rPr>
                <w:rFonts w:cstheme="minorHAnsi"/>
              </w:rPr>
              <w:t>$0 screening +</w:t>
            </w:r>
          </w:p>
        </w:tc>
        <w:tc>
          <w:tcPr>
            <w:tcW w:w="360" w:type="dxa"/>
            <w:vMerge w:val="restart"/>
            <w:tcBorders>
              <w:top w:val="single" w:color="auto" w:sz="8" w:space="0"/>
              <w:left w:val="single" w:color="auto" w:sz="8" w:space="0"/>
              <w:right w:val="single" w:color="auto" w:sz="8" w:space="0"/>
            </w:tcBorders>
            <w:shd w:val="clear" w:color="auto" w:fill="DBE5F1" w:themeFill="accent1" w:themeFillTint="33"/>
            <w:noWrap/>
            <w:vAlign w:val="center"/>
          </w:tcPr>
          <w:p w:rsidRPr="00F26881" w:rsidR="00C43E18" w:rsidP="00094477" w:rsidRDefault="00C43E18" w14:paraId="642D0879" w14:textId="77777777">
            <w:pPr>
              <w:rPr>
                <w:rFonts w:cstheme="minorHAnsi"/>
              </w:rPr>
            </w:pPr>
            <w:r w:rsidRPr="00F26881">
              <w:rPr>
                <w:rFonts w:cstheme="minorHAnsi"/>
              </w:rPr>
              <w:t>2</w:t>
            </w:r>
          </w:p>
        </w:tc>
        <w:tc>
          <w:tcPr>
            <w:tcW w:w="1800" w:type="dxa"/>
            <w:tcBorders>
              <w:top w:val="single" w:color="auto" w:sz="8" w:space="0"/>
              <w:left w:val="single" w:color="auto" w:sz="8" w:space="0"/>
              <w:bottom w:val="nil"/>
              <w:right w:val="single" w:color="auto" w:sz="8" w:space="0"/>
            </w:tcBorders>
            <w:shd w:val="clear" w:color="auto" w:fill="auto"/>
          </w:tcPr>
          <w:p w:rsidRPr="00F26881" w:rsidR="00C43E18" w:rsidP="00094477" w:rsidRDefault="00C43E18" w14:paraId="2EAAE3E9" w14:textId="77777777">
            <w:pPr>
              <w:ind w:left="144"/>
              <w:rPr>
                <w:rFonts w:cstheme="minorHAnsi"/>
              </w:rPr>
            </w:pPr>
            <w:r w:rsidRPr="00F26881">
              <w:rPr>
                <w:rFonts w:cstheme="minorHAnsi"/>
              </w:rPr>
              <w:t>$5 screening +</w:t>
            </w:r>
          </w:p>
        </w:tc>
      </w:tr>
      <w:tr w:rsidRPr="00F26881" w:rsidR="00F26881" w:rsidTr="00B0204C" w14:paraId="71038BF8" w14:textId="77777777">
        <w:trPr>
          <w:trHeight w:val="150"/>
        </w:trPr>
        <w:tc>
          <w:tcPr>
            <w:tcW w:w="1928" w:type="dxa"/>
            <w:vMerge/>
            <w:tcBorders>
              <w:left w:val="single" w:color="auto" w:sz="8" w:space="0"/>
              <w:bottom w:val="single" w:color="auto" w:sz="8" w:space="0"/>
              <w:right w:val="single" w:color="auto" w:sz="8" w:space="0"/>
            </w:tcBorders>
            <w:shd w:val="clear" w:color="auto" w:fill="FFFFFF" w:themeFill="background1"/>
          </w:tcPr>
          <w:p w:rsidRPr="00F26881" w:rsidR="00C43E18" w:rsidP="00094477" w:rsidRDefault="00C43E18" w14:paraId="3ACE12D1" w14:textId="77777777">
            <w:pPr>
              <w:rPr>
                <w:rFonts w:cstheme="minorHAnsi"/>
              </w:rPr>
            </w:pPr>
          </w:p>
        </w:tc>
        <w:tc>
          <w:tcPr>
            <w:tcW w:w="328" w:type="dxa"/>
            <w:vMerge/>
            <w:tcBorders>
              <w:left w:val="single" w:color="auto" w:sz="8" w:space="0"/>
              <w:bottom w:val="single" w:color="auto" w:sz="8" w:space="0"/>
              <w:right w:val="single" w:color="auto" w:sz="8" w:space="0"/>
            </w:tcBorders>
            <w:shd w:val="clear" w:color="auto" w:fill="F2F2F2" w:themeFill="background1" w:themeFillShade="F2"/>
            <w:noWrap/>
          </w:tcPr>
          <w:p w:rsidRPr="00F26881" w:rsidR="00C43E18" w:rsidP="00094477" w:rsidRDefault="00C43E18" w14:paraId="0EB4BBEA" w14:textId="77777777">
            <w:pPr>
              <w:jc w:val="center"/>
              <w:rPr>
                <w:rFonts w:cstheme="minorHAnsi"/>
              </w:rPr>
            </w:pPr>
          </w:p>
        </w:tc>
        <w:tc>
          <w:tcPr>
            <w:tcW w:w="1884" w:type="dxa"/>
            <w:tcBorders>
              <w:top w:val="nil"/>
              <w:left w:val="single" w:color="auto" w:sz="8" w:space="0"/>
              <w:bottom w:val="single" w:color="auto" w:sz="8" w:space="0"/>
              <w:right w:val="single" w:color="auto" w:sz="8" w:space="0"/>
            </w:tcBorders>
            <w:shd w:val="clear" w:color="auto" w:fill="auto"/>
          </w:tcPr>
          <w:p w:rsidRPr="00F26881" w:rsidR="00C43E18" w:rsidP="00094477" w:rsidRDefault="00C43E18" w14:paraId="4699A745" w14:textId="77777777">
            <w:pPr>
              <w:ind w:left="144"/>
              <w:rPr>
                <w:rFonts w:cstheme="minorHAnsi"/>
              </w:rPr>
            </w:pPr>
            <w:r w:rsidRPr="00F26881">
              <w:rPr>
                <w:rFonts w:cstheme="minorHAnsi"/>
              </w:rPr>
              <w:t>$30 interview</w:t>
            </w:r>
          </w:p>
        </w:tc>
        <w:tc>
          <w:tcPr>
            <w:tcW w:w="360" w:type="dxa"/>
            <w:vMerge/>
            <w:tcBorders>
              <w:left w:val="single" w:color="auto" w:sz="8" w:space="0"/>
              <w:bottom w:val="single" w:color="auto" w:sz="8" w:space="0"/>
              <w:right w:val="single" w:color="auto" w:sz="8" w:space="0"/>
            </w:tcBorders>
            <w:shd w:val="clear" w:color="auto" w:fill="DBE5F1" w:themeFill="accent1" w:themeFillTint="33"/>
            <w:noWrap/>
            <w:vAlign w:val="center"/>
          </w:tcPr>
          <w:p w:rsidRPr="00F26881" w:rsidR="00C43E18" w:rsidP="00094477" w:rsidRDefault="00C43E18" w14:paraId="0FB2E2CD" w14:textId="77777777">
            <w:pPr>
              <w:rPr>
                <w:rFonts w:cstheme="minorHAnsi"/>
              </w:rPr>
            </w:pPr>
          </w:p>
        </w:tc>
        <w:tc>
          <w:tcPr>
            <w:tcW w:w="1800" w:type="dxa"/>
            <w:tcBorders>
              <w:top w:val="nil"/>
              <w:left w:val="single" w:color="auto" w:sz="8" w:space="0"/>
              <w:bottom w:val="single" w:color="auto" w:sz="8" w:space="0"/>
              <w:right w:val="single" w:color="auto" w:sz="8" w:space="0"/>
            </w:tcBorders>
            <w:shd w:val="clear" w:color="auto" w:fill="auto"/>
          </w:tcPr>
          <w:p w:rsidRPr="00F26881" w:rsidR="00C43E18" w:rsidP="00094477" w:rsidRDefault="00C43E18" w14:paraId="5CB3990E" w14:textId="77777777">
            <w:pPr>
              <w:ind w:left="144"/>
              <w:rPr>
                <w:rFonts w:cstheme="minorHAnsi"/>
              </w:rPr>
            </w:pPr>
            <w:r w:rsidRPr="00F26881">
              <w:rPr>
                <w:rFonts w:cstheme="minorHAnsi"/>
              </w:rPr>
              <w:t>$30 interview</w:t>
            </w:r>
          </w:p>
        </w:tc>
      </w:tr>
      <w:tr w:rsidRPr="00F26881" w:rsidR="00F26881" w:rsidTr="00B0204C" w14:paraId="60AA3A83" w14:textId="77777777">
        <w:trPr>
          <w:trHeight w:val="150"/>
        </w:trPr>
        <w:tc>
          <w:tcPr>
            <w:tcW w:w="1928" w:type="dxa"/>
            <w:vMerge/>
            <w:tcBorders>
              <w:left w:val="single" w:color="auto" w:sz="8" w:space="0"/>
              <w:bottom w:val="single" w:color="auto" w:sz="8" w:space="0"/>
              <w:right w:val="single" w:color="auto" w:sz="8" w:space="0"/>
            </w:tcBorders>
            <w:shd w:val="clear" w:color="auto" w:fill="FFFFFF" w:themeFill="background1"/>
          </w:tcPr>
          <w:p w:rsidRPr="00F26881" w:rsidR="00C43E18" w:rsidP="00094477" w:rsidRDefault="00C43E18" w14:paraId="301D99CA" w14:textId="77777777">
            <w:pPr>
              <w:ind w:left="720"/>
              <w:rPr>
                <w:rFonts w:cstheme="minorHAnsi"/>
              </w:rPr>
            </w:pPr>
          </w:p>
        </w:tc>
        <w:tc>
          <w:tcPr>
            <w:tcW w:w="328" w:type="dxa"/>
            <w:vMerge w:val="restart"/>
            <w:tcBorders>
              <w:top w:val="single" w:color="auto" w:sz="8" w:space="0"/>
              <w:left w:val="single" w:color="auto" w:sz="8" w:space="0"/>
              <w:right w:val="single" w:color="auto" w:sz="8" w:space="0"/>
            </w:tcBorders>
            <w:shd w:val="clear" w:color="auto" w:fill="BFBFBF" w:themeFill="background1" w:themeFillShade="BF"/>
            <w:noWrap/>
            <w:vAlign w:val="center"/>
          </w:tcPr>
          <w:p w:rsidRPr="00F26881" w:rsidR="00C43E18" w:rsidP="00094477" w:rsidRDefault="00C43E18" w14:paraId="7AA1950C" w14:textId="77777777">
            <w:pPr>
              <w:rPr>
                <w:rFonts w:cstheme="minorHAnsi"/>
              </w:rPr>
            </w:pPr>
            <w:r w:rsidRPr="00F26881">
              <w:rPr>
                <w:rFonts w:cstheme="minorHAnsi"/>
              </w:rPr>
              <w:t>3</w:t>
            </w:r>
          </w:p>
        </w:tc>
        <w:tc>
          <w:tcPr>
            <w:tcW w:w="1884" w:type="dxa"/>
            <w:tcBorders>
              <w:top w:val="single" w:color="auto" w:sz="8" w:space="0"/>
              <w:left w:val="single" w:color="auto" w:sz="8" w:space="0"/>
              <w:bottom w:val="nil"/>
              <w:right w:val="single" w:color="auto" w:sz="8" w:space="0"/>
            </w:tcBorders>
            <w:shd w:val="clear" w:color="auto" w:fill="auto"/>
          </w:tcPr>
          <w:p w:rsidRPr="00F26881" w:rsidR="00C43E18" w:rsidP="00094477" w:rsidRDefault="00C43E18" w14:paraId="23DFF62E" w14:textId="77777777">
            <w:pPr>
              <w:ind w:left="144"/>
              <w:rPr>
                <w:rFonts w:cstheme="minorHAnsi"/>
              </w:rPr>
            </w:pPr>
            <w:r w:rsidRPr="00F26881">
              <w:rPr>
                <w:rFonts w:cstheme="minorHAnsi"/>
              </w:rPr>
              <w:t>$0 screening +</w:t>
            </w:r>
          </w:p>
        </w:tc>
        <w:tc>
          <w:tcPr>
            <w:tcW w:w="360" w:type="dxa"/>
            <w:vMerge w:val="restart"/>
            <w:tcBorders>
              <w:top w:val="single" w:color="auto" w:sz="8" w:space="0"/>
              <w:left w:val="single" w:color="auto" w:sz="8" w:space="0"/>
              <w:right w:val="single" w:color="auto" w:sz="8" w:space="0"/>
            </w:tcBorders>
            <w:shd w:val="clear" w:color="auto" w:fill="B8CCE4" w:themeFill="accent1" w:themeFillTint="66"/>
            <w:noWrap/>
            <w:vAlign w:val="center"/>
          </w:tcPr>
          <w:p w:rsidRPr="00F26881" w:rsidR="00C43E18" w:rsidP="00094477" w:rsidRDefault="00C43E18" w14:paraId="61F41043" w14:textId="77777777">
            <w:pPr>
              <w:rPr>
                <w:rFonts w:cstheme="minorHAnsi"/>
              </w:rPr>
            </w:pPr>
            <w:r w:rsidRPr="00F26881">
              <w:rPr>
                <w:rFonts w:cstheme="minorHAnsi"/>
              </w:rPr>
              <w:t>4</w:t>
            </w:r>
          </w:p>
        </w:tc>
        <w:tc>
          <w:tcPr>
            <w:tcW w:w="1800" w:type="dxa"/>
            <w:tcBorders>
              <w:top w:val="single" w:color="auto" w:sz="8" w:space="0"/>
              <w:left w:val="single" w:color="auto" w:sz="8" w:space="0"/>
              <w:bottom w:val="nil"/>
              <w:right w:val="single" w:color="auto" w:sz="8" w:space="0"/>
            </w:tcBorders>
            <w:shd w:val="clear" w:color="auto" w:fill="auto"/>
          </w:tcPr>
          <w:p w:rsidRPr="00F26881" w:rsidR="00C43E18" w:rsidP="00094477" w:rsidRDefault="00C43E18" w14:paraId="6B20B41A" w14:textId="77777777">
            <w:pPr>
              <w:ind w:left="144"/>
              <w:rPr>
                <w:rFonts w:cstheme="minorHAnsi"/>
              </w:rPr>
            </w:pPr>
            <w:r w:rsidRPr="00F26881">
              <w:rPr>
                <w:rFonts w:cstheme="minorHAnsi"/>
              </w:rPr>
              <w:t>$5 screening +</w:t>
            </w:r>
          </w:p>
        </w:tc>
      </w:tr>
      <w:tr w:rsidRPr="00F26881" w:rsidR="00F26881" w:rsidTr="00B0204C" w14:paraId="2D8FBD3D" w14:textId="77777777">
        <w:trPr>
          <w:trHeight w:val="150"/>
        </w:trPr>
        <w:tc>
          <w:tcPr>
            <w:tcW w:w="1928" w:type="dxa"/>
            <w:vMerge/>
            <w:tcBorders>
              <w:left w:val="single" w:color="auto" w:sz="8" w:space="0"/>
              <w:bottom w:val="single" w:color="auto" w:sz="8" w:space="0"/>
              <w:right w:val="single" w:color="auto" w:sz="8" w:space="0"/>
            </w:tcBorders>
            <w:shd w:val="clear" w:color="auto" w:fill="FFFFFF" w:themeFill="background1"/>
          </w:tcPr>
          <w:p w:rsidRPr="00F26881" w:rsidR="00C43E18" w:rsidP="00094477" w:rsidRDefault="00C43E18" w14:paraId="7D93912C" w14:textId="77777777">
            <w:pPr>
              <w:ind w:left="720"/>
              <w:rPr>
                <w:rFonts w:cstheme="minorHAnsi"/>
              </w:rPr>
            </w:pPr>
          </w:p>
        </w:tc>
        <w:tc>
          <w:tcPr>
            <w:tcW w:w="328" w:type="dxa"/>
            <w:vMerge/>
            <w:tcBorders>
              <w:left w:val="single" w:color="auto" w:sz="8" w:space="0"/>
              <w:bottom w:val="single" w:color="auto" w:sz="8" w:space="0"/>
              <w:right w:val="single" w:color="auto" w:sz="8" w:space="0"/>
            </w:tcBorders>
            <w:shd w:val="clear" w:color="auto" w:fill="BFBFBF" w:themeFill="background1" w:themeFillShade="BF"/>
            <w:noWrap/>
            <w:vAlign w:val="bottom"/>
          </w:tcPr>
          <w:p w:rsidRPr="00F26881" w:rsidR="00C43E18" w:rsidP="00094477" w:rsidRDefault="00C43E18" w14:paraId="2135402B" w14:textId="77777777">
            <w:pPr>
              <w:jc w:val="center"/>
              <w:rPr>
                <w:rFonts w:cstheme="minorHAnsi"/>
              </w:rPr>
            </w:pPr>
          </w:p>
        </w:tc>
        <w:tc>
          <w:tcPr>
            <w:tcW w:w="1884" w:type="dxa"/>
            <w:tcBorders>
              <w:top w:val="nil"/>
              <w:left w:val="single" w:color="auto" w:sz="8" w:space="0"/>
              <w:bottom w:val="single" w:color="auto" w:sz="8" w:space="0"/>
              <w:right w:val="single" w:color="auto" w:sz="8" w:space="0"/>
            </w:tcBorders>
            <w:shd w:val="clear" w:color="auto" w:fill="auto"/>
            <w:vAlign w:val="bottom"/>
          </w:tcPr>
          <w:p w:rsidRPr="00F26881" w:rsidR="00C43E18" w:rsidP="00094477" w:rsidRDefault="00C43E18" w14:paraId="12EB7CC7" w14:textId="77777777">
            <w:pPr>
              <w:ind w:left="144"/>
              <w:rPr>
                <w:rFonts w:cstheme="minorHAnsi"/>
              </w:rPr>
            </w:pPr>
            <w:r w:rsidRPr="00F26881">
              <w:rPr>
                <w:rFonts w:cstheme="minorHAnsi"/>
              </w:rPr>
              <w:t>$50 interview</w:t>
            </w:r>
          </w:p>
        </w:tc>
        <w:tc>
          <w:tcPr>
            <w:tcW w:w="360" w:type="dxa"/>
            <w:vMerge/>
            <w:tcBorders>
              <w:left w:val="single" w:color="auto" w:sz="8" w:space="0"/>
              <w:bottom w:val="single" w:color="auto" w:sz="8" w:space="0"/>
              <w:right w:val="single" w:color="auto" w:sz="8" w:space="0"/>
            </w:tcBorders>
            <w:shd w:val="clear" w:color="auto" w:fill="B8CCE4" w:themeFill="accent1" w:themeFillTint="66"/>
            <w:noWrap/>
            <w:vAlign w:val="bottom"/>
          </w:tcPr>
          <w:p w:rsidRPr="00F26881" w:rsidR="00C43E18" w:rsidP="00094477" w:rsidRDefault="00C43E18" w14:paraId="6F1E98E2" w14:textId="77777777">
            <w:pPr>
              <w:jc w:val="center"/>
              <w:rPr>
                <w:rFonts w:cstheme="minorHAnsi"/>
              </w:rPr>
            </w:pPr>
          </w:p>
        </w:tc>
        <w:tc>
          <w:tcPr>
            <w:tcW w:w="1800" w:type="dxa"/>
            <w:tcBorders>
              <w:top w:val="nil"/>
              <w:left w:val="single" w:color="auto" w:sz="8" w:space="0"/>
              <w:bottom w:val="single" w:color="auto" w:sz="8" w:space="0"/>
              <w:right w:val="single" w:color="auto" w:sz="8" w:space="0"/>
            </w:tcBorders>
            <w:shd w:val="clear" w:color="auto" w:fill="auto"/>
            <w:vAlign w:val="bottom"/>
          </w:tcPr>
          <w:p w:rsidRPr="00F26881" w:rsidR="00C43E18" w:rsidP="00094477" w:rsidRDefault="00C43E18" w14:paraId="03DC17F5" w14:textId="77777777">
            <w:pPr>
              <w:ind w:left="144"/>
              <w:rPr>
                <w:rFonts w:cstheme="minorHAnsi"/>
              </w:rPr>
            </w:pPr>
            <w:r w:rsidRPr="00F26881">
              <w:rPr>
                <w:rFonts w:cstheme="minorHAnsi"/>
              </w:rPr>
              <w:t>$50 interview</w:t>
            </w:r>
          </w:p>
        </w:tc>
      </w:tr>
    </w:tbl>
    <w:p w:rsidRPr="00F26881" w:rsidR="00C43E18" w:rsidP="00C43E18" w:rsidRDefault="00C43E18" w14:paraId="36B8CB0D" w14:textId="481B618A"/>
    <w:p w:rsidRPr="00F26881" w:rsidR="00A13C2A" w:rsidP="00344422" w:rsidRDefault="001A1BA1" w14:paraId="47573E4F" w14:textId="7BFE8307">
      <w:pPr>
        <w:spacing w:after="120"/>
      </w:pPr>
      <w:r w:rsidRPr="00F26881">
        <w:lastRenderedPageBreak/>
        <w:t xml:space="preserve">Some important </w:t>
      </w:r>
      <w:r w:rsidRPr="00F26881" w:rsidR="004A39CA">
        <w:t xml:space="preserve">components of the experimental </w:t>
      </w:r>
      <w:r w:rsidRPr="00F26881" w:rsidR="00D41A60">
        <w:t xml:space="preserve">design </w:t>
      </w:r>
      <w:r w:rsidRPr="00F26881" w:rsidR="009561BE">
        <w:t xml:space="preserve">to note </w:t>
      </w:r>
      <w:r w:rsidRPr="00F26881" w:rsidR="00D41A60">
        <w:t>are:</w:t>
      </w:r>
    </w:p>
    <w:p w:rsidRPr="00F26881" w:rsidR="00DC51DF" w:rsidP="00A0554F" w:rsidRDefault="00DC51DF" w14:paraId="57D995D0" w14:textId="6FCD24AC">
      <w:pPr>
        <w:pStyle w:val="ListParagraph"/>
        <w:numPr>
          <w:ilvl w:val="0"/>
          <w:numId w:val="4"/>
        </w:numPr>
        <w:spacing w:after="120"/>
        <w:ind w:left="1080"/>
        <w:contextualSpacing w:val="0"/>
        <w:rPr>
          <w:rFonts w:cstheme="minorHAnsi"/>
        </w:rPr>
      </w:pPr>
      <w:r w:rsidRPr="00F26881">
        <w:rPr>
          <w:rFonts w:cstheme="minorHAnsi"/>
        </w:rPr>
        <w:t xml:space="preserve">Four segments will be </w:t>
      </w:r>
      <w:r w:rsidRPr="00F26881" w:rsidR="00D41A60">
        <w:rPr>
          <w:rFonts w:cstheme="minorHAnsi"/>
        </w:rPr>
        <w:t xml:space="preserve">sampled </w:t>
      </w:r>
      <w:r w:rsidRPr="00F26881">
        <w:rPr>
          <w:rFonts w:cstheme="minorHAnsi"/>
        </w:rPr>
        <w:t xml:space="preserve">within each </w:t>
      </w:r>
      <w:r w:rsidRPr="00F26881" w:rsidR="00011035">
        <w:rPr>
          <w:rFonts w:cstheme="minorHAnsi"/>
        </w:rPr>
        <w:t>state sampling region (</w:t>
      </w:r>
      <w:r w:rsidRPr="00F26881">
        <w:rPr>
          <w:rFonts w:cstheme="minorHAnsi"/>
        </w:rPr>
        <w:t>SSR</w:t>
      </w:r>
      <w:r w:rsidRPr="00F26881" w:rsidR="00011035">
        <w:rPr>
          <w:rFonts w:cstheme="minorHAnsi"/>
        </w:rPr>
        <w:t>)</w:t>
      </w:r>
      <w:r w:rsidRPr="00F26881">
        <w:rPr>
          <w:rFonts w:cstheme="minorHAnsi"/>
        </w:rPr>
        <w:t>;</w:t>
      </w:r>
    </w:p>
    <w:p w:rsidRPr="00F26881" w:rsidR="00DC51DF" w:rsidP="00A0554F" w:rsidRDefault="00DC51DF" w14:paraId="51553FF4" w14:textId="75AF2468">
      <w:pPr>
        <w:pStyle w:val="ListParagraph"/>
        <w:numPr>
          <w:ilvl w:val="0"/>
          <w:numId w:val="4"/>
        </w:numPr>
        <w:spacing w:after="120"/>
        <w:ind w:left="1080"/>
        <w:contextualSpacing w:val="0"/>
        <w:rPr>
          <w:rFonts w:cstheme="minorHAnsi"/>
        </w:rPr>
      </w:pPr>
      <w:r w:rsidRPr="00F26881">
        <w:rPr>
          <w:rFonts w:cstheme="minorHAnsi"/>
        </w:rPr>
        <w:t>Each segment</w:t>
      </w:r>
      <w:r w:rsidRPr="00F26881" w:rsidR="00050C46">
        <w:rPr>
          <w:rFonts w:cstheme="minorHAnsi"/>
        </w:rPr>
        <w:t xml:space="preserve"> selected</w:t>
      </w:r>
      <w:r w:rsidRPr="00F26881">
        <w:rPr>
          <w:rFonts w:cstheme="minorHAnsi"/>
        </w:rPr>
        <w:t xml:space="preserve"> will be assigned to one of the four experimental conditions in Table </w:t>
      </w:r>
      <w:r w:rsidRPr="00F26881" w:rsidR="00FA5D04">
        <w:rPr>
          <w:rFonts w:cstheme="minorHAnsi"/>
        </w:rPr>
        <w:t>1</w:t>
      </w:r>
      <w:r w:rsidRPr="00F26881">
        <w:rPr>
          <w:rFonts w:cstheme="minorHAnsi"/>
        </w:rPr>
        <w:t>, with only one segment assigned to each of the four conditions within an SSR;</w:t>
      </w:r>
    </w:p>
    <w:p w:rsidRPr="00F26881" w:rsidR="00DC51DF" w:rsidP="00A0554F" w:rsidRDefault="00DC51DF" w14:paraId="4E8342FD" w14:textId="4709A6FB">
      <w:pPr>
        <w:pStyle w:val="ListParagraph"/>
        <w:numPr>
          <w:ilvl w:val="0"/>
          <w:numId w:val="4"/>
        </w:numPr>
        <w:spacing w:after="120"/>
        <w:ind w:left="1080"/>
        <w:contextualSpacing w:val="0"/>
        <w:rPr>
          <w:rFonts w:cstheme="minorHAnsi"/>
        </w:rPr>
      </w:pPr>
      <w:r w:rsidRPr="00F26881">
        <w:rPr>
          <w:rFonts w:cstheme="minorHAnsi"/>
        </w:rPr>
        <w:t>An equal number of segments will be assigned to each of the four experimental conditions across the sample;</w:t>
      </w:r>
    </w:p>
    <w:p w:rsidRPr="00F26881" w:rsidR="00DC51DF" w:rsidP="00A0554F" w:rsidRDefault="00DC51DF" w14:paraId="1CADCB77" w14:textId="48E5852E">
      <w:pPr>
        <w:pStyle w:val="ListParagraph"/>
        <w:numPr>
          <w:ilvl w:val="0"/>
          <w:numId w:val="4"/>
        </w:numPr>
        <w:spacing w:after="120"/>
        <w:ind w:left="1080"/>
        <w:contextualSpacing w:val="0"/>
        <w:rPr>
          <w:rFonts w:cstheme="minorHAnsi"/>
        </w:rPr>
      </w:pPr>
      <w:r w:rsidRPr="00F26881">
        <w:rPr>
          <w:rFonts w:cstheme="minorHAnsi"/>
        </w:rPr>
        <w:t xml:space="preserve">Two </w:t>
      </w:r>
      <w:r w:rsidRPr="00F26881" w:rsidR="008B15BA">
        <w:rPr>
          <w:rFonts w:cstheme="minorHAnsi"/>
        </w:rPr>
        <w:t xml:space="preserve">FIs </w:t>
      </w:r>
      <w:r w:rsidRPr="00F26881">
        <w:rPr>
          <w:rFonts w:cstheme="minorHAnsi"/>
        </w:rPr>
        <w:t>will be assigned to each segment/condition within each SSR, so that each interviewer works four segments with each of the four experimental conditions;</w:t>
      </w:r>
      <w:r w:rsidRPr="00F26881" w:rsidR="00344422">
        <w:rPr>
          <w:rFonts w:cstheme="minorHAnsi"/>
        </w:rPr>
        <w:t xml:space="preserve"> and</w:t>
      </w:r>
    </w:p>
    <w:p w:rsidRPr="00F26881" w:rsidR="00344422" w:rsidP="00250E3F" w:rsidRDefault="00DC51DF" w14:paraId="526348C1" w14:textId="38C9D8E4">
      <w:pPr>
        <w:pStyle w:val="ListParagraph"/>
        <w:numPr>
          <w:ilvl w:val="0"/>
          <w:numId w:val="4"/>
        </w:numPr>
        <w:spacing w:after="240"/>
        <w:ind w:left="1080"/>
        <w:contextualSpacing w:val="0"/>
        <w:rPr>
          <w:rFonts w:cstheme="minorHAnsi"/>
        </w:rPr>
      </w:pPr>
      <w:r w:rsidRPr="00F26881">
        <w:rPr>
          <w:rFonts w:cstheme="minorHAnsi"/>
        </w:rPr>
        <w:t>FIs will be trained and monitored to ensure their work is balanced across the four segments and conditions throughout the entire field period</w:t>
      </w:r>
      <w:r w:rsidRPr="00F26881" w:rsidR="00344422">
        <w:rPr>
          <w:rFonts w:cstheme="minorHAnsi"/>
        </w:rPr>
        <w:t>.</w:t>
      </w:r>
    </w:p>
    <w:p w:rsidRPr="00F26881" w:rsidR="00250E3F" w:rsidP="00250E3F" w:rsidRDefault="00A526FE" w14:paraId="08CC1E00" w14:textId="551BBA15">
      <w:pPr>
        <w:pStyle w:val="Heading1"/>
        <w:spacing w:before="0" w:after="120"/>
        <w:rPr>
          <w:rFonts w:ascii="Times New Roman" w:hAnsi="Times New Roman" w:cs="Times New Roman"/>
          <w:color w:val="auto"/>
          <w:sz w:val="24"/>
          <w:szCs w:val="24"/>
        </w:rPr>
      </w:pPr>
      <w:r w:rsidRPr="00F26881">
        <w:rPr>
          <w:rFonts w:ascii="Times New Roman" w:hAnsi="Times New Roman" w:cs="Times New Roman"/>
          <w:color w:val="auto"/>
          <w:sz w:val="24"/>
          <w:szCs w:val="24"/>
        </w:rPr>
        <w:t xml:space="preserve">This experimental design </w:t>
      </w:r>
      <w:r w:rsidRPr="00F26881" w:rsidR="00354420">
        <w:rPr>
          <w:rFonts w:ascii="Times New Roman" w:hAnsi="Times New Roman" w:cs="Times New Roman"/>
          <w:color w:val="auto"/>
          <w:sz w:val="24"/>
          <w:szCs w:val="24"/>
        </w:rPr>
        <w:t>is intended to</w:t>
      </w:r>
      <w:r w:rsidRPr="00F26881" w:rsidR="00250E3F">
        <w:rPr>
          <w:rFonts w:ascii="Times New Roman" w:hAnsi="Times New Roman" w:cs="Times New Roman"/>
          <w:color w:val="auto"/>
          <w:sz w:val="24"/>
          <w:szCs w:val="24"/>
        </w:rPr>
        <w:t>:</w:t>
      </w:r>
    </w:p>
    <w:p w:rsidRPr="00F26881" w:rsidR="00250E3F" w:rsidP="00250E3F" w:rsidRDefault="006D445E" w14:paraId="4C2B00D7" w14:textId="3619BA2D">
      <w:pPr>
        <w:pStyle w:val="Heading1"/>
        <w:numPr>
          <w:ilvl w:val="0"/>
          <w:numId w:val="42"/>
        </w:numPr>
        <w:spacing w:before="0" w:after="120"/>
        <w:rPr>
          <w:rFonts w:ascii="Times New Roman" w:hAnsi="Times New Roman" w:cs="Times New Roman"/>
          <w:color w:val="auto"/>
          <w:sz w:val="24"/>
          <w:szCs w:val="24"/>
        </w:rPr>
      </w:pPr>
      <w:r w:rsidRPr="00F26881">
        <w:rPr>
          <w:rFonts w:ascii="Times New Roman" w:hAnsi="Times New Roman" w:cs="Times New Roman"/>
          <w:color w:val="auto"/>
          <w:sz w:val="24"/>
          <w:szCs w:val="24"/>
        </w:rPr>
        <w:t>minimize</w:t>
      </w:r>
      <w:r w:rsidRPr="00F26881" w:rsidR="0022641B">
        <w:rPr>
          <w:rFonts w:ascii="Times New Roman" w:hAnsi="Times New Roman" w:cs="Times New Roman"/>
          <w:color w:val="auto"/>
          <w:sz w:val="24"/>
          <w:szCs w:val="24"/>
        </w:rPr>
        <w:t xml:space="preserve"> the potential for “spillover” </w:t>
      </w:r>
      <w:r w:rsidRPr="00F26881" w:rsidR="00917F2D">
        <w:rPr>
          <w:rFonts w:ascii="Times New Roman" w:hAnsi="Times New Roman" w:cs="Times New Roman"/>
          <w:color w:val="auto"/>
          <w:sz w:val="24"/>
          <w:szCs w:val="24"/>
        </w:rPr>
        <w:t xml:space="preserve">errors or </w:t>
      </w:r>
      <w:r w:rsidRPr="00F26881" w:rsidR="0022641B">
        <w:rPr>
          <w:rFonts w:ascii="Times New Roman" w:hAnsi="Times New Roman" w:cs="Times New Roman"/>
          <w:color w:val="auto"/>
          <w:sz w:val="24"/>
          <w:szCs w:val="24"/>
        </w:rPr>
        <w:t xml:space="preserve">effects </w:t>
      </w:r>
      <w:r w:rsidRPr="00F26881" w:rsidR="008B15BA">
        <w:rPr>
          <w:rFonts w:ascii="Times New Roman" w:hAnsi="Times New Roman" w:cs="Times New Roman"/>
          <w:color w:val="auto"/>
          <w:sz w:val="24"/>
          <w:szCs w:val="24"/>
        </w:rPr>
        <w:t>by assigning each FI</w:t>
      </w:r>
      <w:r w:rsidRPr="00F26881" w:rsidR="009561BE">
        <w:rPr>
          <w:rFonts w:ascii="Times New Roman" w:hAnsi="Times New Roman" w:cs="Times New Roman"/>
          <w:color w:val="auto"/>
          <w:sz w:val="24"/>
          <w:szCs w:val="24"/>
        </w:rPr>
        <w:t xml:space="preserve"> </w:t>
      </w:r>
      <w:r w:rsidRPr="00F26881" w:rsidR="00D62D3D">
        <w:rPr>
          <w:rFonts w:ascii="Times New Roman" w:hAnsi="Times New Roman" w:cs="Times New Roman"/>
          <w:color w:val="auto"/>
          <w:sz w:val="24"/>
          <w:szCs w:val="24"/>
        </w:rPr>
        <w:t>four segments represent</w:t>
      </w:r>
      <w:r w:rsidRPr="00F26881" w:rsidR="00CD01A8">
        <w:rPr>
          <w:rFonts w:ascii="Times New Roman" w:hAnsi="Times New Roman" w:cs="Times New Roman"/>
          <w:color w:val="auto"/>
          <w:sz w:val="24"/>
          <w:szCs w:val="24"/>
        </w:rPr>
        <w:t xml:space="preserve">ing </w:t>
      </w:r>
      <w:r w:rsidRPr="00F26881" w:rsidR="00D62D3D">
        <w:rPr>
          <w:rFonts w:ascii="Times New Roman" w:hAnsi="Times New Roman" w:cs="Times New Roman"/>
          <w:color w:val="auto"/>
          <w:sz w:val="24"/>
          <w:szCs w:val="24"/>
        </w:rPr>
        <w:t xml:space="preserve">the four </w:t>
      </w:r>
      <w:r w:rsidRPr="00F26881" w:rsidR="00137CAC">
        <w:rPr>
          <w:rFonts w:ascii="Times New Roman" w:hAnsi="Times New Roman" w:cs="Times New Roman"/>
          <w:color w:val="auto"/>
          <w:sz w:val="24"/>
          <w:szCs w:val="24"/>
        </w:rPr>
        <w:t xml:space="preserve">different </w:t>
      </w:r>
      <w:r w:rsidRPr="00F26881" w:rsidR="00D62D3D">
        <w:rPr>
          <w:rFonts w:ascii="Times New Roman" w:hAnsi="Times New Roman" w:cs="Times New Roman"/>
          <w:color w:val="auto"/>
          <w:sz w:val="24"/>
          <w:szCs w:val="24"/>
        </w:rPr>
        <w:t>experimental incentive conditions.</w:t>
      </w:r>
      <w:r w:rsidRPr="00F26881" w:rsidR="00CD01A8">
        <w:rPr>
          <w:rFonts w:ascii="Times New Roman" w:hAnsi="Times New Roman" w:cs="Times New Roman"/>
          <w:color w:val="auto"/>
          <w:sz w:val="24"/>
          <w:szCs w:val="24"/>
        </w:rPr>
        <w:t xml:space="preserve"> Each FI will know the experimental incentive condition</w:t>
      </w:r>
      <w:r w:rsidRPr="00F26881" w:rsidR="0028510F">
        <w:rPr>
          <w:rFonts w:ascii="Times New Roman" w:hAnsi="Times New Roman" w:cs="Times New Roman"/>
          <w:color w:val="auto"/>
          <w:sz w:val="24"/>
          <w:szCs w:val="24"/>
        </w:rPr>
        <w:t xml:space="preserve"> for all SDUs within each segment</w:t>
      </w:r>
      <w:r w:rsidRPr="00F26881" w:rsidR="00317210">
        <w:rPr>
          <w:rFonts w:ascii="Times New Roman" w:hAnsi="Times New Roman" w:cs="Times New Roman"/>
          <w:color w:val="auto"/>
          <w:sz w:val="24"/>
          <w:szCs w:val="24"/>
        </w:rPr>
        <w:t>, to reduce the potential for offering an SDU in the same segment the wrong incentive conditions</w:t>
      </w:r>
      <w:r w:rsidRPr="00F26881" w:rsidR="00250E3F">
        <w:rPr>
          <w:rFonts w:ascii="Times New Roman" w:hAnsi="Times New Roman" w:cs="Times New Roman"/>
          <w:color w:val="auto"/>
          <w:sz w:val="24"/>
          <w:szCs w:val="24"/>
        </w:rPr>
        <w:t xml:space="preserve">; and </w:t>
      </w:r>
    </w:p>
    <w:p w:rsidRPr="00F26881" w:rsidR="00250E3F" w:rsidP="00250E3F" w:rsidRDefault="006D445E" w14:paraId="0A36D21F" w14:textId="10C79465">
      <w:pPr>
        <w:pStyle w:val="ListParagraph"/>
        <w:numPr>
          <w:ilvl w:val="0"/>
          <w:numId w:val="42"/>
        </w:numPr>
      </w:pPr>
      <w:r w:rsidRPr="00F26881">
        <w:t>m</w:t>
      </w:r>
      <w:r w:rsidRPr="00F26881" w:rsidR="00A0554F">
        <w:t>inimize the need to account for interviewer effects on the screening and interviewing response rates by experimental condition. By assigning each FI four segments representing the four different experimental incentive conditions and ensuring FIs balance their work across the four segments, any interviewer effects should be spread evenly across the four conditions in each SSR.</w:t>
      </w:r>
    </w:p>
    <w:p w:rsidRPr="00F26881" w:rsidR="00C84906" w:rsidP="00F21287" w:rsidRDefault="007F2F93" w14:paraId="0FC59F4F" w14:textId="25781127">
      <w:pPr>
        <w:pStyle w:val="Heading1"/>
        <w:numPr>
          <w:ilvl w:val="0"/>
          <w:numId w:val="3"/>
        </w:numPr>
        <w:ind w:left="360"/>
        <w:rPr>
          <w:rFonts w:ascii="Times New Roman" w:hAnsi="Times New Roman" w:cs="Times New Roman"/>
          <w:b/>
          <w:color w:val="auto"/>
          <w:szCs w:val="24"/>
        </w:rPr>
      </w:pPr>
      <w:r w:rsidRPr="00F26881">
        <w:rPr>
          <w:rFonts w:ascii="Times New Roman" w:hAnsi="Times New Roman" w:cs="Times New Roman"/>
          <w:b/>
          <w:color w:val="auto"/>
          <w:szCs w:val="24"/>
        </w:rPr>
        <w:t xml:space="preserve">Screening </w:t>
      </w:r>
      <w:r w:rsidRPr="00F26881" w:rsidR="00584827">
        <w:rPr>
          <w:rFonts w:ascii="Times New Roman" w:hAnsi="Times New Roman" w:cs="Times New Roman"/>
          <w:b/>
          <w:color w:val="auto"/>
          <w:szCs w:val="24"/>
        </w:rPr>
        <w:t xml:space="preserve">Response Rates </w:t>
      </w:r>
      <w:r w:rsidRPr="00F26881" w:rsidR="00C21611">
        <w:rPr>
          <w:rFonts w:ascii="Times New Roman" w:hAnsi="Times New Roman" w:cs="Times New Roman"/>
          <w:b/>
          <w:color w:val="auto"/>
          <w:szCs w:val="24"/>
        </w:rPr>
        <w:t>and</w:t>
      </w:r>
      <w:r w:rsidRPr="00F26881" w:rsidR="006D41A3">
        <w:rPr>
          <w:rFonts w:ascii="Times New Roman" w:hAnsi="Times New Roman" w:cs="Times New Roman"/>
          <w:b/>
          <w:color w:val="auto"/>
        </w:rPr>
        <w:t xml:space="preserve"> a Screening Incentive</w:t>
      </w:r>
      <w:r w:rsidRPr="00F26881" w:rsidR="00C21611">
        <w:rPr>
          <w:rFonts w:ascii="Times New Roman" w:hAnsi="Times New Roman" w:cs="Times New Roman"/>
          <w:b/>
          <w:color w:val="auto"/>
          <w:szCs w:val="24"/>
        </w:rPr>
        <w:t xml:space="preserve"> </w:t>
      </w:r>
    </w:p>
    <w:p w:rsidRPr="00F26881" w:rsidR="007F2F93" w:rsidP="007F2F93" w:rsidRDefault="007F2F93" w14:paraId="03399387" w14:textId="77777777">
      <w:pPr>
        <w:pStyle w:val="ListParagraph"/>
      </w:pPr>
    </w:p>
    <w:p w:rsidRPr="00F26881" w:rsidR="00C84906" w:rsidP="00C3593E" w:rsidRDefault="0049749E" w14:paraId="00CD0B9C" w14:textId="61077BC1">
      <w:r w:rsidRPr="00F26881">
        <w:t xml:space="preserve">The </w:t>
      </w:r>
      <w:r w:rsidRPr="00F26881" w:rsidR="007D0F4D">
        <w:t xml:space="preserve">weighted </w:t>
      </w:r>
      <w:r w:rsidRPr="00F26881" w:rsidR="00BE3562">
        <w:t>N</w:t>
      </w:r>
      <w:r w:rsidRPr="00F26881" w:rsidR="00084CAF">
        <w:t>SDUH</w:t>
      </w:r>
      <w:r w:rsidRPr="00F26881" w:rsidR="00BE3562">
        <w:t xml:space="preserve"> </w:t>
      </w:r>
      <w:r w:rsidRPr="00F26881" w:rsidR="00084CAF">
        <w:t xml:space="preserve">SRR </w:t>
      </w:r>
      <w:r w:rsidRPr="00F26881" w:rsidR="009D5DDE">
        <w:t>for the most recent completed year (201</w:t>
      </w:r>
      <w:r w:rsidRPr="00F26881" w:rsidR="003A291B">
        <w:t>8</w:t>
      </w:r>
      <w:r w:rsidRPr="00F26881" w:rsidR="009D5DDE">
        <w:t xml:space="preserve">) </w:t>
      </w:r>
      <w:r w:rsidRPr="00F26881" w:rsidR="00C3593E">
        <w:t>wa</w:t>
      </w:r>
      <w:r w:rsidRPr="00F26881" w:rsidR="009D5DDE">
        <w:t>s</w:t>
      </w:r>
      <w:r w:rsidRPr="00F26881" w:rsidR="00AF3885">
        <w:t xml:space="preserve"> </w:t>
      </w:r>
      <w:r w:rsidRPr="00F26881" w:rsidR="00CA7223">
        <w:t>73.3</w:t>
      </w:r>
      <w:r w:rsidRPr="00F26881" w:rsidR="0082255B">
        <w:t>%</w:t>
      </w:r>
      <w:r w:rsidRPr="00F26881" w:rsidR="00AF3885">
        <w:t>.</w:t>
      </w:r>
      <w:r w:rsidRPr="00F26881" w:rsidR="0082255B">
        <w:t xml:space="preserve"> </w:t>
      </w:r>
      <w:r w:rsidRPr="00F26881" w:rsidR="00AF3885">
        <w:t xml:space="preserve">This </w:t>
      </w:r>
      <w:r w:rsidRPr="00F26881" w:rsidR="0082255B">
        <w:t>is lower than previous years</w:t>
      </w:r>
      <w:r w:rsidRPr="00F26881" w:rsidR="00BB212A">
        <w:t xml:space="preserve"> – about </w:t>
      </w:r>
      <w:r w:rsidRPr="00F26881" w:rsidR="00BD0993">
        <w:t xml:space="preserve">2 </w:t>
      </w:r>
      <w:r w:rsidRPr="00F26881" w:rsidR="00AF3885">
        <w:t>percentage point</w:t>
      </w:r>
      <w:r w:rsidRPr="00F26881" w:rsidR="00B54356">
        <w:t>s</w:t>
      </w:r>
      <w:r w:rsidRPr="00F26881" w:rsidR="00AF3885">
        <w:t xml:space="preserve"> lower than 201</w:t>
      </w:r>
      <w:r w:rsidRPr="00F26881" w:rsidR="00BB212A">
        <w:t>7</w:t>
      </w:r>
      <w:r w:rsidRPr="00F26881" w:rsidR="00AF3885">
        <w:t xml:space="preserve"> and </w:t>
      </w:r>
      <w:r w:rsidRPr="00F26881" w:rsidR="00BD0993">
        <w:t xml:space="preserve">over 4 </w:t>
      </w:r>
      <w:r w:rsidRPr="00F26881" w:rsidR="00AF3885">
        <w:t>percentage points lower than 201</w:t>
      </w:r>
      <w:r w:rsidRPr="00F26881" w:rsidR="00BB212A">
        <w:t>6</w:t>
      </w:r>
      <w:r w:rsidRPr="00F26881" w:rsidR="00D94FBF">
        <w:t>.</w:t>
      </w:r>
      <w:r w:rsidRPr="00F26881" w:rsidR="001F7D99">
        <w:t xml:space="preserve"> </w:t>
      </w:r>
      <w:r w:rsidRPr="00F26881" w:rsidR="00885CBD">
        <w:t xml:space="preserve">Despite increases in the level of effort </w:t>
      </w:r>
      <w:r w:rsidRPr="00F26881" w:rsidR="00242A94">
        <w:t xml:space="preserve">to complete interviews </w:t>
      </w:r>
      <w:r w:rsidRPr="00F26881" w:rsidR="00264408">
        <w:t>(</w:t>
      </w:r>
      <w:r w:rsidRPr="00F26881" w:rsidR="0082255B">
        <w:t>as measured in terms of number of contact attempts</w:t>
      </w:r>
      <w:r w:rsidRPr="00F26881" w:rsidR="00264408">
        <w:t>)</w:t>
      </w:r>
      <w:r w:rsidRPr="00F26881" w:rsidR="00242A94">
        <w:t>, r</w:t>
      </w:r>
      <w:r w:rsidRPr="00F26881" w:rsidR="00885CBD">
        <w:t xml:space="preserve">ecent literature reviews have shown </w:t>
      </w:r>
      <w:r w:rsidRPr="00F26881" w:rsidR="007737D7">
        <w:t>declining response rates</w:t>
      </w:r>
      <w:r w:rsidRPr="00F26881" w:rsidR="00885CBD">
        <w:t xml:space="preserve"> </w:t>
      </w:r>
      <w:r w:rsidRPr="00F26881" w:rsidR="00885CBD">
        <w:rPr>
          <w:rFonts w:cstheme="minorHAnsi"/>
        </w:rPr>
        <w:t>(Williams and Brick, 2018</w:t>
      </w:r>
      <w:r w:rsidRPr="00F26881" w:rsidR="00C70A1F">
        <w:rPr>
          <w:rFonts w:cstheme="minorHAnsi"/>
        </w:rPr>
        <w:t>)</w:t>
      </w:r>
      <w:r w:rsidRPr="00F26881" w:rsidR="007737D7">
        <w:t>. Recent NSDUH experience</w:t>
      </w:r>
      <w:r w:rsidRPr="00F26881" w:rsidR="008A719D">
        <w:t xml:space="preserve"> has been consistent with this trend for </w:t>
      </w:r>
      <w:r w:rsidRPr="00F26881" w:rsidR="00094477">
        <w:t>SRR</w:t>
      </w:r>
      <w:r w:rsidRPr="00F26881" w:rsidR="008A719D">
        <w:t>s.</w:t>
      </w:r>
      <w:r w:rsidRPr="00F26881" w:rsidR="007737D7">
        <w:t xml:space="preserve"> </w:t>
      </w:r>
      <w:r w:rsidRPr="00F26881" w:rsidR="00B736D0">
        <w:rPr>
          <w:rFonts w:cstheme="minorHAnsi"/>
        </w:rPr>
        <w:t xml:space="preserve">The most important impact of declining SRRs is the potential impact of screening nonresponse on bias, from both the composition of households screened and the estimates generated from interviews completed in these households. </w:t>
      </w:r>
      <w:r w:rsidRPr="00F26881" w:rsidR="007F6ECB">
        <w:t xml:space="preserve">No screening incentive is currently offered to NSDUH </w:t>
      </w:r>
      <w:r w:rsidRPr="00F26881" w:rsidR="00F24E5F">
        <w:t xml:space="preserve">screening respondents (SRs). </w:t>
      </w:r>
      <w:r w:rsidRPr="00F26881" w:rsidR="009E46C8">
        <w:t xml:space="preserve">These factors directly informed </w:t>
      </w:r>
      <w:r w:rsidRPr="00F26881" w:rsidR="00F24E5F">
        <w:t>SAMHSA</w:t>
      </w:r>
      <w:r w:rsidRPr="00F26881" w:rsidR="009E46C8">
        <w:t>’s</w:t>
      </w:r>
      <w:r w:rsidRPr="00F26881" w:rsidR="00F24E5F">
        <w:t xml:space="preserve"> </w:t>
      </w:r>
      <w:r w:rsidRPr="00F26881" w:rsidR="00970B03">
        <w:t xml:space="preserve">plan </w:t>
      </w:r>
      <w:r w:rsidRPr="00F26881" w:rsidR="009E46C8">
        <w:t xml:space="preserve">to </w:t>
      </w:r>
      <w:r w:rsidRPr="00F26881" w:rsidR="00F24E5F">
        <w:t xml:space="preserve">test a </w:t>
      </w:r>
      <w:r w:rsidRPr="00F26881" w:rsidR="00827913">
        <w:t xml:space="preserve">promised </w:t>
      </w:r>
      <w:r w:rsidRPr="00F26881" w:rsidR="009E46C8">
        <w:t>$5 screening incentive.</w:t>
      </w:r>
      <w:r w:rsidRPr="00F26881" w:rsidDel="00250E3F" w:rsidR="00250E3F">
        <w:rPr>
          <w:rStyle w:val="FootnoteReference"/>
        </w:rPr>
        <w:t xml:space="preserve"> </w:t>
      </w:r>
    </w:p>
    <w:p w:rsidRPr="00F26881" w:rsidR="00C84906" w:rsidP="00C3593E" w:rsidRDefault="00C84906" w14:paraId="55431864" w14:textId="77777777"/>
    <w:p w:rsidRPr="00F26881" w:rsidR="00250E3F" w:rsidRDefault="00250E3F" w14:paraId="0D1664D1" w14:textId="77777777">
      <w:r w:rsidRPr="00F26881">
        <w:br w:type="page"/>
      </w:r>
    </w:p>
    <w:p w:rsidRPr="00F26881" w:rsidR="00AA680D" w:rsidP="00B4446B" w:rsidRDefault="00AA680D" w14:paraId="41E7976D" w14:textId="2391026A">
      <w:pPr>
        <w:keepNext/>
        <w:spacing w:line="360" w:lineRule="auto"/>
        <w:jc w:val="both"/>
      </w:pPr>
      <w:r w:rsidRPr="00F26881">
        <w:lastRenderedPageBreak/>
        <w:t xml:space="preserve">The </w:t>
      </w:r>
      <w:r w:rsidRPr="00F26881" w:rsidR="009171BE">
        <w:t xml:space="preserve">experimental test of </w:t>
      </w:r>
      <w:r w:rsidRPr="00F26881" w:rsidR="007B7E88">
        <w:t xml:space="preserve">a $5 </w:t>
      </w:r>
      <w:r w:rsidRPr="00F26881" w:rsidR="002D39C1">
        <w:t>screen</w:t>
      </w:r>
      <w:r w:rsidRPr="00F26881" w:rsidR="00896951">
        <w:t xml:space="preserve">ing </w:t>
      </w:r>
      <w:r w:rsidRPr="00F26881" w:rsidR="00F17513">
        <w:t xml:space="preserve">incentive </w:t>
      </w:r>
      <w:r w:rsidRPr="00F26881">
        <w:t xml:space="preserve">will </w:t>
      </w:r>
      <w:r w:rsidRPr="00F26881" w:rsidR="007B7E88">
        <w:t>be used to assess</w:t>
      </w:r>
      <w:r w:rsidRPr="00F26881">
        <w:t>:</w:t>
      </w:r>
    </w:p>
    <w:p w:rsidRPr="00F26881" w:rsidR="00364E51" w:rsidP="00364E51" w:rsidRDefault="00364E51" w14:paraId="1EDA0FDD" w14:textId="59EA8AF3">
      <w:pPr>
        <w:pStyle w:val="ListParagraph"/>
        <w:numPr>
          <w:ilvl w:val="0"/>
          <w:numId w:val="5"/>
        </w:numPr>
        <w:spacing w:after="120"/>
        <w:ind w:left="1080"/>
        <w:contextualSpacing w:val="0"/>
      </w:pPr>
      <w:r w:rsidRPr="00F26881">
        <w:t>The impact of offering a screening incentive on SRRs; and</w:t>
      </w:r>
    </w:p>
    <w:p w:rsidRPr="00F26881" w:rsidR="00364E51" w:rsidP="00250E3F" w:rsidRDefault="00364E51" w14:paraId="2E9F63EF" w14:textId="0741CE98">
      <w:pPr>
        <w:pStyle w:val="ListParagraph"/>
        <w:keepNext/>
        <w:numPr>
          <w:ilvl w:val="0"/>
          <w:numId w:val="5"/>
        </w:numPr>
        <w:ind w:left="1080"/>
        <w:contextualSpacing w:val="0"/>
      </w:pPr>
      <w:r w:rsidRPr="00F26881">
        <w:t>The impact of offering a screening incentive on data quality in terms of the quality of screening data and on the demographic composition of households screened.</w:t>
      </w:r>
    </w:p>
    <w:p w:rsidRPr="00F26881" w:rsidR="007570F6" w:rsidP="00F21287" w:rsidRDefault="00801335" w14:paraId="576C1FBE" w14:textId="568E8786">
      <w:pPr>
        <w:pStyle w:val="Heading1"/>
        <w:numPr>
          <w:ilvl w:val="0"/>
          <w:numId w:val="3"/>
        </w:numPr>
        <w:spacing w:line="360" w:lineRule="auto"/>
        <w:ind w:left="360"/>
        <w:rPr>
          <w:rFonts w:ascii="Times New Roman" w:hAnsi="Times New Roman" w:cs="Times New Roman"/>
          <w:b/>
          <w:color w:val="auto"/>
          <w:szCs w:val="24"/>
        </w:rPr>
      </w:pPr>
      <w:r w:rsidRPr="00F26881">
        <w:rPr>
          <w:rFonts w:ascii="Times New Roman" w:hAnsi="Times New Roman" w:cs="Times New Roman"/>
          <w:b/>
          <w:color w:val="auto"/>
          <w:szCs w:val="24"/>
        </w:rPr>
        <w:t xml:space="preserve">Interview </w:t>
      </w:r>
      <w:r w:rsidRPr="00F26881" w:rsidR="00842995">
        <w:rPr>
          <w:rFonts w:ascii="Times New Roman" w:hAnsi="Times New Roman" w:cs="Times New Roman"/>
          <w:b/>
          <w:color w:val="auto"/>
          <w:szCs w:val="24"/>
        </w:rPr>
        <w:t>Incentives</w:t>
      </w:r>
    </w:p>
    <w:p w:rsidRPr="00F26881" w:rsidR="000852F4" w:rsidP="00CE16BB" w:rsidRDefault="00842995" w14:paraId="4F374789" w14:textId="35D0D048">
      <w:r w:rsidRPr="00F26881">
        <w:t xml:space="preserve">The weighted NSDUH </w:t>
      </w:r>
      <w:r w:rsidRPr="00F26881" w:rsidR="00094477">
        <w:t>IRR</w:t>
      </w:r>
      <w:r w:rsidRPr="00F26881">
        <w:t xml:space="preserve"> for the most recent completed year (2018) was </w:t>
      </w:r>
      <w:r w:rsidRPr="00F26881" w:rsidR="00687C8F">
        <w:t>66</w:t>
      </w:r>
      <w:r w:rsidRPr="00F26881">
        <w:t>.</w:t>
      </w:r>
      <w:r w:rsidRPr="00F26881" w:rsidR="00687C8F">
        <w:t>6</w:t>
      </w:r>
      <w:r w:rsidRPr="00F26881">
        <w:t xml:space="preserve">%. This is lower than previous years – about </w:t>
      </w:r>
      <w:r w:rsidRPr="00F26881" w:rsidR="00687C8F">
        <w:t>1</w:t>
      </w:r>
      <w:r w:rsidRPr="00F26881">
        <w:t xml:space="preserve"> percentage point lower than 2017 and </w:t>
      </w:r>
      <w:r w:rsidRPr="00F26881" w:rsidR="00687C8F">
        <w:t>about 2</w:t>
      </w:r>
      <w:r w:rsidRPr="00F26881">
        <w:t xml:space="preserve"> percentage points lower than 2016. Despite increases in the level of effort to complete screenings and interviews (as measured in terms of number of contact attempts), recent literature reviews have shown declining response rates </w:t>
      </w:r>
      <w:r w:rsidRPr="00F26881">
        <w:rPr>
          <w:rFonts w:cstheme="minorHAnsi"/>
        </w:rPr>
        <w:t>(Williams and Brick, 2018</w:t>
      </w:r>
      <w:r w:rsidRPr="00F26881" w:rsidR="00F330FE">
        <w:rPr>
          <w:rFonts w:cstheme="minorHAnsi"/>
        </w:rPr>
        <w:t>)</w:t>
      </w:r>
      <w:r w:rsidRPr="00F26881">
        <w:t xml:space="preserve">. Recent NSDUH experience has been consistent with this trend for </w:t>
      </w:r>
      <w:r w:rsidRPr="00F26881" w:rsidR="00094477">
        <w:t>IRR</w:t>
      </w:r>
      <w:r w:rsidRPr="00F26881">
        <w:t xml:space="preserve">s. </w:t>
      </w:r>
    </w:p>
    <w:p w:rsidRPr="00F26881" w:rsidR="000852F4" w:rsidP="00CE16BB" w:rsidRDefault="000852F4" w14:paraId="678756CE" w14:textId="77777777"/>
    <w:p w:rsidRPr="00F26881" w:rsidR="002631AD" w:rsidP="00CE16BB" w:rsidRDefault="009171BE" w14:paraId="3169C0F7" w14:textId="7DAF873E">
      <w:pPr>
        <w:spacing w:after="120"/>
      </w:pPr>
      <w:r w:rsidRPr="00F26881">
        <w:t>Since 2002, t</w:t>
      </w:r>
      <w:r w:rsidRPr="00F26881" w:rsidR="000852F4">
        <w:t xml:space="preserve">he interview incentive </w:t>
      </w:r>
      <w:r w:rsidRPr="00F26881" w:rsidR="0068094E">
        <w:t xml:space="preserve">promised </w:t>
      </w:r>
      <w:r w:rsidRPr="00F26881" w:rsidR="00842995">
        <w:t xml:space="preserve">to NSDUH </w:t>
      </w:r>
      <w:r w:rsidRPr="00F26881" w:rsidR="003E3F55">
        <w:t>respondent</w:t>
      </w:r>
      <w:r w:rsidRPr="00F26881" w:rsidR="00C70A1F">
        <w:t>s ha</w:t>
      </w:r>
      <w:r w:rsidRPr="00F26881" w:rsidR="000852F4">
        <w:t xml:space="preserve">s </w:t>
      </w:r>
      <w:r w:rsidRPr="00F26881" w:rsidR="00C70A1F">
        <w:t xml:space="preserve">been </w:t>
      </w:r>
      <w:r w:rsidRPr="00F26881" w:rsidR="000852F4">
        <w:t>$30</w:t>
      </w:r>
      <w:r w:rsidRPr="00F26881" w:rsidR="00B625C1">
        <w:t>.</w:t>
      </w:r>
      <w:r w:rsidRPr="00F26881" w:rsidR="0068094E">
        <w:t xml:space="preserve"> SAMHSA would like to test a higher </w:t>
      </w:r>
      <w:r w:rsidRPr="00F26881" w:rsidR="0062422A">
        <w:t>interview i</w:t>
      </w:r>
      <w:r w:rsidRPr="00F26881" w:rsidR="0068094E">
        <w:t xml:space="preserve">ncentive amount </w:t>
      </w:r>
      <w:r w:rsidRPr="00F26881" w:rsidR="0062422A">
        <w:t xml:space="preserve">of $50 against </w:t>
      </w:r>
      <w:r w:rsidRPr="00F26881" w:rsidR="003753FE">
        <w:t>t</w:t>
      </w:r>
      <w:r w:rsidRPr="00F26881" w:rsidR="00783BBE">
        <w:t>he</w:t>
      </w:r>
      <w:r w:rsidRPr="00F26881" w:rsidR="0062422A">
        <w:t xml:space="preserve"> current </w:t>
      </w:r>
      <w:r w:rsidRPr="00F26881" w:rsidR="00B45C43">
        <w:t xml:space="preserve">interview incentive amount. </w:t>
      </w:r>
      <w:r w:rsidRPr="00F26881" w:rsidR="00FA6A93">
        <w:t>T</w:t>
      </w:r>
      <w:r w:rsidRPr="00F26881" w:rsidR="0058385F">
        <w:t>he</w:t>
      </w:r>
      <w:r w:rsidRPr="00F26881" w:rsidR="00892407">
        <w:t xml:space="preserve"> higher interview incentive</w:t>
      </w:r>
      <w:r w:rsidRPr="00F26881" w:rsidR="004358B0">
        <w:t xml:space="preserve"> </w:t>
      </w:r>
      <w:r w:rsidRPr="00F26881" w:rsidR="00F330FE">
        <w:t xml:space="preserve">amount is proposed </w:t>
      </w:r>
      <w:r w:rsidRPr="00F26881" w:rsidR="0058385F">
        <w:t xml:space="preserve">based on </w:t>
      </w:r>
      <w:r w:rsidRPr="00F26881" w:rsidR="00FA6A93">
        <w:t xml:space="preserve">a review of </w:t>
      </w:r>
      <w:r w:rsidRPr="00F26881" w:rsidR="008630C7">
        <w:t xml:space="preserve">other </w:t>
      </w:r>
      <w:r w:rsidRPr="00F26881" w:rsidR="00EC5BF5">
        <w:t>nationally-representative in-person surveys</w:t>
      </w:r>
      <w:r w:rsidRPr="00F26881" w:rsidR="000D296E">
        <w:t xml:space="preserve"> that have recently conducted experimental tests </w:t>
      </w:r>
      <w:r w:rsidRPr="00F26881" w:rsidR="007276C6">
        <w:t>to determine the impact of increasing the interview incentive amount.</w:t>
      </w:r>
      <w:r w:rsidRPr="00F26881" w:rsidR="00EC5BF5">
        <w:t xml:space="preserve"> </w:t>
      </w:r>
      <w:r w:rsidRPr="00F26881" w:rsidR="00AB0B63">
        <w:t xml:space="preserve">Examples of </w:t>
      </w:r>
      <w:r w:rsidRPr="00F26881" w:rsidR="00BA4122">
        <w:t>other</w:t>
      </w:r>
      <w:r w:rsidRPr="00F26881" w:rsidR="008630C7">
        <w:t xml:space="preserve"> </w:t>
      </w:r>
      <w:r w:rsidRPr="00F26881" w:rsidR="00BA4122">
        <w:t xml:space="preserve">nationally-representative in-person surveys </w:t>
      </w:r>
      <w:r w:rsidRPr="00F26881" w:rsidR="00E0314D">
        <w:t>reviewed included</w:t>
      </w:r>
      <w:r w:rsidRPr="00F26881" w:rsidR="00351FC0">
        <w:t>:</w:t>
      </w:r>
    </w:p>
    <w:p w:rsidRPr="00F26881" w:rsidR="0058385F" w:rsidP="00F21287" w:rsidRDefault="0058385F" w14:paraId="727D0C45" w14:textId="03F017AB">
      <w:pPr>
        <w:pStyle w:val="ListParagraph"/>
        <w:numPr>
          <w:ilvl w:val="0"/>
          <w:numId w:val="1"/>
        </w:numPr>
        <w:spacing w:after="120"/>
        <w:contextualSpacing w:val="0"/>
      </w:pPr>
      <w:r w:rsidRPr="00F26881">
        <w:rPr>
          <w:i/>
          <w:iCs/>
        </w:rPr>
        <w:t>Medical Expenditure Panel Survey (MEPS)</w:t>
      </w:r>
      <w:r w:rsidRPr="00F26881" w:rsidR="00790366">
        <w:rPr>
          <w:i/>
          <w:iCs/>
        </w:rPr>
        <w:t>.</w:t>
      </w:r>
      <w:r w:rsidRPr="00F26881" w:rsidR="00790366">
        <w:t xml:space="preserve"> The interview incentive was increased from $30 to</w:t>
      </w:r>
      <w:r w:rsidRPr="00F26881">
        <w:t xml:space="preserve"> $50 in 2011</w:t>
      </w:r>
      <w:r w:rsidRPr="00F26881" w:rsidR="00790366">
        <w:t>.</w:t>
      </w:r>
      <w:r w:rsidRPr="00F26881" w:rsidR="00F70BF2">
        <w:t xml:space="preserve"> A higher incentive amount of $70 has been tested, but no</w:t>
      </w:r>
      <w:r w:rsidRPr="00F26881" w:rsidR="00783BBE">
        <w:t>t</w:t>
      </w:r>
      <w:r w:rsidRPr="00F26881" w:rsidR="00F70BF2">
        <w:t xml:space="preserve"> implemented.</w:t>
      </w:r>
    </w:p>
    <w:p w:rsidRPr="00F26881" w:rsidR="00950584" w:rsidP="00F21287" w:rsidRDefault="00950584" w14:paraId="6CB56641" w14:textId="3B51D4F1">
      <w:pPr>
        <w:pStyle w:val="ListParagraph"/>
        <w:numPr>
          <w:ilvl w:val="0"/>
          <w:numId w:val="1"/>
        </w:numPr>
        <w:spacing w:after="120"/>
        <w:contextualSpacing w:val="0"/>
      </w:pPr>
      <w:r w:rsidRPr="00F26881">
        <w:rPr>
          <w:rStyle w:val="Hyperlink"/>
          <w:i/>
          <w:iCs/>
          <w:color w:val="auto"/>
          <w:u w:val="none"/>
        </w:rPr>
        <w:t>Panel Study of Income Dynamics (PSID</w:t>
      </w:r>
      <w:r w:rsidRPr="00F26881" w:rsidR="00790366">
        <w:rPr>
          <w:rStyle w:val="Hyperlink"/>
          <w:i/>
          <w:iCs/>
          <w:color w:val="auto"/>
          <w:u w:val="none"/>
        </w:rPr>
        <w:t>)</w:t>
      </w:r>
      <w:r w:rsidRPr="00F26881" w:rsidR="000D296E">
        <w:rPr>
          <w:rStyle w:val="Hyperlink"/>
          <w:color w:val="auto"/>
          <w:u w:val="none"/>
        </w:rPr>
        <w:t xml:space="preserve">. </w:t>
      </w:r>
      <w:r w:rsidRPr="00F26881" w:rsidR="000D296E">
        <w:t>Between 2002 and 2015, the PSID interview incentive increased by $5 increments three times about every 3 to 4 years, from a starting incentive of $55 in 2003 to the current incentive of $70 in 2015.</w:t>
      </w:r>
    </w:p>
    <w:p w:rsidRPr="00F26881" w:rsidR="001613E8" w:rsidP="00F21287" w:rsidRDefault="0058385F" w14:paraId="6E588DBD" w14:textId="2CC89EB7">
      <w:pPr>
        <w:pStyle w:val="ListParagraph"/>
        <w:numPr>
          <w:ilvl w:val="0"/>
          <w:numId w:val="1"/>
        </w:numPr>
        <w:spacing w:after="240"/>
        <w:contextualSpacing w:val="0"/>
      </w:pPr>
      <w:r w:rsidRPr="00F26881">
        <w:rPr>
          <w:i/>
          <w:iCs/>
        </w:rPr>
        <w:t>National Survey of Family Growth (NSFG)</w:t>
      </w:r>
      <w:r w:rsidRPr="00F26881" w:rsidR="009565F0">
        <w:t xml:space="preserve">. The interview incentive has been </w:t>
      </w:r>
      <w:r w:rsidRPr="00F26881">
        <w:t>$40 since 2006</w:t>
      </w:r>
      <w:r w:rsidRPr="00F26881" w:rsidR="007C69BE">
        <w:t xml:space="preserve">, </w:t>
      </w:r>
      <w:r w:rsidRPr="00F26881" w:rsidR="008630C7">
        <w:t>with a</w:t>
      </w:r>
      <w:r w:rsidRPr="00F26881" w:rsidR="009565F0">
        <w:t>n</w:t>
      </w:r>
      <w:r w:rsidRPr="00F26881" w:rsidR="008630C7">
        <w:t xml:space="preserve"> increased incentive </w:t>
      </w:r>
      <w:r w:rsidRPr="00F26881" w:rsidR="001613E8">
        <w:t xml:space="preserve">promised </w:t>
      </w:r>
      <w:r w:rsidRPr="00F26881" w:rsidR="008630C7">
        <w:t xml:space="preserve">for </w:t>
      </w:r>
      <w:r w:rsidRPr="00F26881" w:rsidR="001613E8">
        <w:t>nonresponse follow-up.</w:t>
      </w:r>
      <w:r w:rsidRPr="00F26881" w:rsidR="00046572">
        <w:t xml:space="preserve"> A higher incentive amount of $60 has been tested, but no</w:t>
      </w:r>
      <w:r w:rsidRPr="00F26881" w:rsidR="00783BBE">
        <w:t>t</w:t>
      </w:r>
      <w:r w:rsidRPr="00F26881" w:rsidR="00046572">
        <w:t xml:space="preserve"> implemented.</w:t>
      </w:r>
    </w:p>
    <w:p w:rsidRPr="00F26881" w:rsidR="00540F71" w:rsidP="00CE16BB" w:rsidRDefault="0028545E" w14:paraId="31001AD4" w14:textId="36C53D3A">
      <w:pPr>
        <w:spacing w:after="120"/>
      </w:pPr>
      <w:r w:rsidRPr="00F26881">
        <w:t xml:space="preserve">These examples illustrate the value of testing different interview incentive amounts </w:t>
      </w:r>
      <w:r w:rsidRPr="00F26881" w:rsidR="00657E53">
        <w:t xml:space="preserve">to determine whether increased and/or additional incentives </w:t>
      </w:r>
      <w:r w:rsidRPr="00F26881" w:rsidR="009E5F2D">
        <w:t>reduce nonresponse bias in key estimates.</w:t>
      </w:r>
      <w:r w:rsidRPr="00F26881" w:rsidR="00274640">
        <w:t xml:space="preserve"> </w:t>
      </w:r>
      <w:r w:rsidRPr="00F26881" w:rsidR="00046572">
        <w:t>Consistent with this approach</w:t>
      </w:r>
      <w:r w:rsidRPr="00F26881" w:rsidR="00274640">
        <w:t xml:space="preserve">, SAMHSA would like to </w:t>
      </w:r>
      <w:r w:rsidRPr="00F26881" w:rsidR="00540F71">
        <w:t>experimental</w:t>
      </w:r>
      <w:r w:rsidRPr="00F26881" w:rsidR="00274640">
        <w:t xml:space="preserve">ly </w:t>
      </w:r>
      <w:r w:rsidRPr="00F26881" w:rsidR="00540F71">
        <w:t xml:space="preserve">test </w:t>
      </w:r>
      <w:r w:rsidRPr="00F26881" w:rsidR="00274640">
        <w:t xml:space="preserve">the current </w:t>
      </w:r>
      <w:r w:rsidRPr="00F26881" w:rsidR="00B4446B">
        <w:t>$30 versus a $</w:t>
      </w:r>
      <w:r w:rsidRPr="00F26881" w:rsidR="00540F71">
        <w:t>5</w:t>
      </w:r>
      <w:r w:rsidRPr="00F26881" w:rsidR="00B4446B">
        <w:t xml:space="preserve">0 interview </w:t>
      </w:r>
      <w:r w:rsidRPr="00F26881" w:rsidR="00540F71">
        <w:t>incentive</w:t>
      </w:r>
      <w:r w:rsidRPr="00F26881" w:rsidR="00CE16BB">
        <w:t>. This test of two interview incentive amounts</w:t>
      </w:r>
      <w:r w:rsidRPr="00F26881" w:rsidR="00540F71">
        <w:t xml:space="preserve"> will be used to assess:</w:t>
      </w:r>
    </w:p>
    <w:p w:rsidRPr="00F26881" w:rsidR="00364E51" w:rsidP="00364E51" w:rsidRDefault="00364E51" w14:paraId="44AFD6F9" w14:textId="15FD1ABE">
      <w:pPr>
        <w:pStyle w:val="ListParagraph"/>
        <w:numPr>
          <w:ilvl w:val="0"/>
          <w:numId w:val="6"/>
        </w:numPr>
        <w:spacing w:after="240"/>
        <w:ind w:left="1080"/>
        <w:contextualSpacing w:val="0"/>
      </w:pPr>
      <w:r w:rsidRPr="00F26881">
        <w:t>The impact of a higher interview incentive on SRRs and IRRs;</w:t>
      </w:r>
      <w:r w:rsidRPr="00F26881">
        <w:rPr>
          <w:vertAlign w:val="superscript"/>
        </w:rPr>
        <w:t>1</w:t>
      </w:r>
      <w:r w:rsidRPr="00F26881">
        <w:t xml:space="preserve"> </w:t>
      </w:r>
    </w:p>
    <w:p w:rsidRPr="00F26881" w:rsidR="00364E51" w:rsidP="00364E51" w:rsidRDefault="00364E51" w14:paraId="28D6F470" w14:textId="77777777">
      <w:pPr>
        <w:pStyle w:val="ListParagraph"/>
        <w:numPr>
          <w:ilvl w:val="0"/>
          <w:numId w:val="6"/>
        </w:numPr>
        <w:spacing w:after="120"/>
        <w:ind w:left="1080"/>
        <w:contextualSpacing w:val="0"/>
      </w:pPr>
      <w:r w:rsidRPr="00F26881">
        <w:t>The impact of a higher interview incentive on data quality through reducing non-response bias in key estimates, either from the screening or interviewing phase; and</w:t>
      </w:r>
    </w:p>
    <w:p w:rsidRPr="00F26881" w:rsidR="00364E51" w:rsidP="00364E51" w:rsidRDefault="00364E51" w14:paraId="596C2854" w14:textId="77777777">
      <w:pPr>
        <w:pStyle w:val="ListParagraph"/>
        <w:numPr>
          <w:ilvl w:val="0"/>
          <w:numId w:val="6"/>
        </w:numPr>
        <w:spacing w:after="120"/>
        <w:ind w:left="1080"/>
        <w:contextualSpacing w:val="0"/>
      </w:pPr>
      <w:r w:rsidRPr="00F26881">
        <w:t>The impact of the combination of screening and increased interview incentive amounts on data quality through reducing non-response bias in key estimates from the interviewing phase.</w:t>
      </w:r>
    </w:p>
    <w:p w:rsidRPr="00F26881" w:rsidR="00364E51" w:rsidP="00CE16BB" w:rsidRDefault="00364E51" w14:paraId="47CAA885" w14:textId="77777777">
      <w:pPr>
        <w:spacing w:after="120"/>
      </w:pPr>
    </w:p>
    <w:p w:rsidRPr="00F26881" w:rsidR="00FC120F" w:rsidP="00F21287" w:rsidRDefault="00B96E5A" w14:paraId="54DA5F48" w14:textId="622824F7">
      <w:pPr>
        <w:pStyle w:val="Heading1"/>
        <w:numPr>
          <w:ilvl w:val="0"/>
          <w:numId w:val="3"/>
        </w:numPr>
        <w:spacing w:line="360" w:lineRule="auto"/>
        <w:ind w:left="360"/>
        <w:rPr>
          <w:rFonts w:ascii="Times New Roman" w:hAnsi="Times New Roman" w:cs="Times New Roman"/>
          <w:b/>
          <w:color w:val="auto"/>
          <w:szCs w:val="24"/>
        </w:rPr>
      </w:pPr>
      <w:r w:rsidRPr="00F26881">
        <w:rPr>
          <w:rFonts w:ascii="Times New Roman" w:hAnsi="Times New Roman" w:cs="Times New Roman"/>
          <w:b/>
          <w:color w:val="auto"/>
        </w:rPr>
        <w:lastRenderedPageBreak/>
        <w:t>P</w:t>
      </w:r>
      <w:r w:rsidRPr="00F26881" w:rsidR="00FC120F">
        <w:rPr>
          <w:rFonts w:ascii="Times New Roman" w:hAnsi="Times New Roman" w:cs="Times New Roman"/>
          <w:b/>
          <w:color w:val="auto"/>
        </w:rPr>
        <w:t>ower Analysis</w:t>
      </w:r>
    </w:p>
    <w:p w:rsidRPr="00F26881" w:rsidR="00881002" w:rsidP="005E40F4" w:rsidRDefault="00B15F40" w14:paraId="2C0A58C7" w14:textId="34CBEB93">
      <w:pPr>
        <w:tabs>
          <w:tab w:val="left" w:pos="990"/>
        </w:tabs>
        <w:spacing w:after="120"/>
      </w:pPr>
      <w:r w:rsidRPr="00F26881">
        <w:t xml:space="preserve">The sample </w:t>
      </w:r>
      <w:r w:rsidRPr="00F26881" w:rsidR="005E40F4">
        <w:t xml:space="preserve">will </w:t>
      </w:r>
      <w:r w:rsidRPr="00F26881" w:rsidR="004A57BE">
        <w:t xml:space="preserve">involve </w:t>
      </w:r>
      <w:r w:rsidRPr="00F26881" w:rsidR="008759FE">
        <w:t xml:space="preserve">89 state sampling regions (SSRs), </w:t>
      </w:r>
      <w:r w:rsidRPr="00F26881" w:rsidR="004A57BE">
        <w:t>an estimated 356 segments</w:t>
      </w:r>
      <w:r w:rsidRPr="00F26881" w:rsidR="00B96E5A">
        <w:t>,</w:t>
      </w:r>
      <w:r w:rsidRPr="00F26881" w:rsidR="004A57BE">
        <w:t xml:space="preserve"> and 12,774 sample dwelling units (SDUs) to yield approximately 8,110 completed screening interviews and 4,000 completed interviews</w:t>
      </w:r>
      <w:r w:rsidRPr="00F26881" w:rsidR="005E40F4">
        <w:t>.</w:t>
      </w:r>
      <w:r w:rsidRPr="00F26881">
        <w:t xml:space="preserve"> To determine whether the sample will support </w:t>
      </w:r>
      <w:r w:rsidRPr="00F26881" w:rsidR="007C254F">
        <w:t>assessment</w:t>
      </w:r>
      <w:r w:rsidRPr="00F26881">
        <w:t xml:space="preserve"> of the impact of the screening and interview incentive conditions on nonresponse bias, SAMHSA conducted a power analysis for </w:t>
      </w:r>
      <w:r w:rsidRPr="00F26881" w:rsidR="007C254F">
        <w:t xml:space="preserve">two </w:t>
      </w:r>
      <w:r w:rsidRPr="00F26881">
        <w:t>key analyses planned.</w:t>
      </w:r>
      <w:r w:rsidRPr="00F26881" w:rsidR="005E40F4">
        <w:t xml:space="preserve"> </w:t>
      </w:r>
      <w:r w:rsidRPr="00F26881" w:rsidR="00881002">
        <w:t xml:space="preserve">The goal of the power analysis </w:t>
      </w:r>
      <w:r w:rsidRPr="00F26881" w:rsidR="005E40F4">
        <w:t xml:space="preserve">was </w:t>
      </w:r>
      <w:r w:rsidRPr="00F26881" w:rsidR="00881002">
        <w:t xml:space="preserve">to determine </w:t>
      </w:r>
      <w:r w:rsidRPr="00F26881" w:rsidR="0012600A">
        <w:t>minimum</w:t>
      </w:r>
      <w:r w:rsidRPr="00F26881" w:rsidR="00881002">
        <w:t xml:space="preserve"> detectable differences </w:t>
      </w:r>
      <w:r w:rsidRPr="00F26881" w:rsidR="005E40F4">
        <w:t xml:space="preserve">(MDD) </w:t>
      </w:r>
      <w:r w:rsidRPr="00F26881" w:rsidR="00881002">
        <w:t xml:space="preserve">for </w:t>
      </w:r>
      <w:r w:rsidRPr="00F26881" w:rsidR="007C254F">
        <w:t xml:space="preserve">selected </w:t>
      </w:r>
      <w:r w:rsidRPr="00F26881" w:rsidR="00881002">
        <w:t>outcome</w:t>
      </w:r>
      <w:r w:rsidRPr="00F26881" w:rsidR="008D1CBD">
        <w:t>s</w:t>
      </w:r>
      <w:r w:rsidRPr="00F26881" w:rsidR="00881002">
        <w:t xml:space="preserve"> </w:t>
      </w:r>
      <w:r w:rsidRPr="00F26881" w:rsidR="007C254F">
        <w:t xml:space="preserve">from </w:t>
      </w:r>
      <w:r w:rsidRPr="00F26881" w:rsidR="008D1CBD">
        <w:t>the</w:t>
      </w:r>
      <w:r w:rsidRPr="00F26881" w:rsidR="00776144">
        <w:t xml:space="preserve"> combinations of</w:t>
      </w:r>
      <w:r w:rsidRPr="00F26881" w:rsidR="008D1CBD">
        <w:t xml:space="preserve"> </w:t>
      </w:r>
      <w:r w:rsidRPr="00F26881" w:rsidR="00776144">
        <w:t xml:space="preserve">the two </w:t>
      </w:r>
      <w:r w:rsidRPr="00F26881" w:rsidR="008D1CBD">
        <w:t>s</w:t>
      </w:r>
      <w:r w:rsidRPr="00F26881" w:rsidR="00881002">
        <w:t>creening incentive amounts ($0 and $5)</w:t>
      </w:r>
      <w:r w:rsidRPr="00F26881" w:rsidR="00776144">
        <w:t xml:space="preserve"> and </w:t>
      </w:r>
      <w:r w:rsidRPr="00F26881" w:rsidR="008D1CBD">
        <w:t>the</w:t>
      </w:r>
      <w:r w:rsidRPr="00F26881" w:rsidR="00881002">
        <w:t xml:space="preserve"> </w:t>
      </w:r>
      <w:r w:rsidRPr="00F26881" w:rsidR="00776144">
        <w:t xml:space="preserve">two </w:t>
      </w:r>
      <w:r w:rsidRPr="00F26881" w:rsidR="00881002">
        <w:t>interview incentive amounts ($30 and $50).</w:t>
      </w:r>
      <w:r w:rsidRPr="00F26881" w:rsidR="00273848">
        <w:t xml:space="preserve"> </w:t>
      </w:r>
      <w:r w:rsidRPr="00F26881" w:rsidR="006E537D">
        <w:t xml:space="preserve">Given </w:t>
      </w:r>
      <w:r w:rsidRPr="00F26881" w:rsidR="00532B1F">
        <w:t xml:space="preserve">that the experiment will </w:t>
      </w:r>
      <w:r w:rsidRPr="00F26881" w:rsidR="00C83A31">
        <w:t xml:space="preserve">test all </w:t>
      </w:r>
      <w:r w:rsidRPr="00F26881" w:rsidR="00532B1F">
        <w:t>combin</w:t>
      </w:r>
      <w:r w:rsidRPr="00F26881" w:rsidR="00C83A31">
        <w:t>ations of</w:t>
      </w:r>
      <w:r w:rsidRPr="00F26881" w:rsidR="00532B1F">
        <w:t xml:space="preserve"> these screening and interview incentive</w:t>
      </w:r>
      <w:r w:rsidRPr="00F26881" w:rsidR="00C83A31">
        <w:t xml:space="preserve"> amount</w:t>
      </w:r>
      <w:r w:rsidRPr="00F26881" w:rsidR="00532B1F">
        <w:t>s, t</w:t>
      </w:r>
      <w:r w:rsidRPr="00F26881" w:rsidR="006E537D">
        <w:t xml:space="preserve">he power analysis examined </w:t>
      </w:r>
      <w:r w:rsidRPr="00F26881" w:rsidR="00C83A31">
        <w:t xml:space="preserve">both </w:t>
      </w:r>
      <w:r w:rsidRPr="00F26881" w:rsidR="00532B1F">
        <w:t xml:space="preserve">marginal </w:t>
      </w:r>
      <w:r w:rsidRPr="00F26881" w:rsidR="009D2AF4">
        <w:t xml:space="preserve">mean </w:t>
      </w:r>
      <w:r w:rsidRPr="00F26881" w:rsidR="00532B1F">
        <w:t xml:space="preserve">differences </w:t>
      </w:r>
      <w:r w:rsidRPr="00F26881" w:rsidR="00ED34FD">
        <w:t>(</w:t>
      </w:r>
      <w:r w:rsidRPr="00F26881" w:rsidR="00532B1F">
        <w:t xml:space="preserve">main effects applicable when the interaction </w:t>
      </w:r>
      <w:r w:rsidRPr="00F26881" w:rsidR="00C83A31">
        <w:t>between the screening and interview incentive</w:t>
      </w:r>
      <w:r w:rsidRPr="00F26881" w:rsidR="00ED34FD">
        <w:t xml:space="preserve"> amounts are </w:t>
      </w:r>
      <w:r w:rsidRPr="00F26881" w:rsidR="00532B1F">
        <w:t>not significant</w:t>
      </w:r>
      <w:r w:rsidRPr="00F26881" w:rsidR="00ED34FD">
        <w:t xml:space="preserve">) </w:t>
      </w:r>
      <w:r w:rsidRPr="00F26881" w:rsidR="00532B1F">
        <w:t xml:space="preserve">and conditional </w:t>
      </w:r>
      <w:r w:rsidRPr="00F26881" w:rsidR="009D2AF4">
        <w:t xml:space="preserve">mean </w:t>
      </w:r>
      <w:r w:rsidRPr="00F26881" w:rsidR="00532B1F">
        <w:t xml:space="preserve">differences (applicable when the interaction </w:t>
      </w:r>
      <w:r w:rsidRPr="00F26881" w:rsidR="00783BBE">
        <w:t xml:space="preserve">of </w:t>
      </w:r>
      <w:r w:rsidRPr="00F26881" w:rsidR="00ED34FD">
        <w:t xml:space="preserve">the screening and interview incentive amounts </w:t>
      </w:r>
      <w:r w:rsidRPr="00F26881" w:rsidR="00532B1F">
        <w:t>is significant)</w:t>
      </w:r>
      <w:r w:rsidRPr="00F26881" w:rsidR="00ED34FD">
        <w:t xml:space="preserve">. </w:t>
      </w:r>
    </w:p>
    <w:p w:rsidRPr="00F26881" w:rsidR="009D3AC0" w:rsidP="0012600A" w:rsidRDefault="009D3AC0" w14:paraId="3F58FD6C" w14:textId="1A7383B7">
      <w:pPr>
        <w:keepNext/>
        <w:tabs>
          <w:tab w:val="left" w:pos="990"/>
        </w:tabs>
        <w:spacing w:after="120"/>
      </w:pPr>
      <w:r w:rsidRPr="00F26881">
        <w:t>The power analysis was</w:t>
      </w:r>
      <w:r w:rsidRPr="00F26881" w:rsidR="007C254F">
        <w:t xml:space="preserve"> conducted</w:t>
      </w:r>
      <w:r w:rsidRPr="00F26881">
        <w:t xml:space="preserve"> for</w:t>
      </w:r>
      <w:r w:rsidRPr="00F26881" w:rsidR="0043007C">
        <w:t xml:space="preserve"> the following</w:t>
      </w:r>
      <w:r w:rsidRPr="00F26881">
        <w:t xml:space="preserve"> outcomes:</w:t>
      </w:r>
    </w:p>
    <w:p w:rsidRPr="00F26881" w:rsidR="0043007C" w:rsidP="00C01E5B" w:rsidRDefault="00BD3D77" w14:paraId="35D02980" w14:textId="0E1940D8">
      <w:pPr>
        <w:pStyle w:val="ListParagraph"/>
        <w:keepNext/>
        <w:numPr>
          <w:ilvl w:val="0"/>
          <w:numId w:val="7"/>
        </w:numPr>
        <w:spacing w:after="120"/>
        <w:ind w:left="1080"/>
        <w:contextualSpacing w:val="0"/>
        <w:rPr>
          <w:bCs/>
        </w:rPr>
      </w:pPr>
      <w:r w:rsidRPr="00F26881">
        <w:rPr>
          <w:bCs/>
          <w:iCs/>
        </w:rPr>
        <w:t xml:space="preserve">Weighted </w:t>
      </w:r>
      <w:r w:rsidRPr="00F26881" w:rsidR="00094477">
        <w:rPr>
          <w:bCs/>
          <w:iCs/>
        </w:rPr>
        <w:t>SRR</w:t>
      </w:r>
      <w:r w:rsidRPr="00F26881" w:rsidR="00472BCF">
        <w:rPr>
          <w:bCs/>
          <w:iCs/>
        </w:rPr>
        <w:t>;</w:t>
      </w:r>
    </w:p>
    <w:p w:rsidRPr="00F26881" w:rsidR="009D3AC0" w:rsidP="00C01E5B" w:rsidRDefault="0043007C" w14:paraId="714973D4" w14:textId="79D95B28">
      <w:pPr>
        <w:pStyle w:val="ListParagraph"/>
        <w:keepNext/>
        <w:numPr>
          <w:ilvl w:val="0"/>
          <w:numId w:val="7"/>
        </w:numPr>
        <w:spacing w:after="120"/>
        <w:ind w:left="1080"/>
        <w:contextualSpacing w:val="0"/>
        <w:rPr>
          <w:bCs/>
        </w:rPr>
      </w:pPr>
      <w:r w:rsidRPr="00F26881">
        <w:rPr>
          <w:bCs/>
          <w:iCs/>
        </w:rPr>
        <w:t xml:space="preserve">Weighted </w:t>
      </w:r>
      <w:r w:rsidRPr="00F26881" w:rsidR="00094477">
        <w:rPr>
          <w:bCs/>
          <w:iCs/>
        </w:rPr>
        <w:t>IRR</w:t>
      </w:r>
      <w:r w:rsidRPr="00F26881" w:rsidR="00472BCF">
        <w:rPr>
          <w:bCs/>
          <w:iCs/>
        </w:rPr>
        <w:t>; and</w:t>
      </w:r>
    </w:p>
    <w:p w:rsidRPr="00F26881" w:rsidR="00872BAF" w:rsidP="00C01E5B" w:rsidRDefault="001E771C" w14:paraId="38C8FECE" w14:textId="0F86778C">
      <w:pPr>
        <w:pStyle w:val="ListParagraph"/>
        <w:keepNext/>
        <w:numPr>
          <w:ilvl w:val="0"/>
          <w:numId w:val="7"/>
        </w:numPr>
        <w:spacing w:after="240"/>
        <w:ind w:left="1080"/>
        <w:contextualSpacing w:val="0"/>
        <w:rPr>
          <w:bCs/>
        </w:rPr>
      </w:pPr>
      <w:bookmarkStart w:name="_Hlk17210594" w:id="1"/>
      <w:r w:rsidRPr="00F26881">
        <w:rPr>
          <w:bCs/>
          <w:iCs/>
        </w:rPr>
        <w:t>S</w:t>
      </w:r>
      <w:r w:rsidRPr="00F26881" w:rsidR="00047FE7">
        <w:rPr>
          <w:bCs/>
          <w:iCs/>
        </w:rPr>
        <w:t>elected d</w:t>
      </w:r>
      <w:r w:rsidRPr="00F26881" w:rsidR="00D42CB3">
        <w:rPr>
          <w:bCs/>
          <w:iCs/>
        </w:rPr>
        <w:t xml:space="preserve">emographic </w:t>
      </w:r>
      <w:r w:rsidRPr="00F26881" w:rsidR="00047FE7">
        <w:rPr>
          <w:bCs/>
          <w:iCs/>
        </w:rPr>
        <w:t>c</w:t>
      </w:r>
      <w:r w:rsidRPr="00F26881" w:rsidR="00D42CB3">
        <w:rPr>
          <w:bCs/>
          <w:iCs/>
        </w:rPr>
        <w:t xml:space="preserve">haracteristics </w:t>
      </w:r>
      <w:r w:rsidRPr="00F26881" w:rsidR="00047FE7">
        <w:rPr>
          <w:bCs/>
          <w:iCs/>
        </w:rPr>
        <w:t xml:space="preserve">of household members </w:t>
      </w:r>
      <w:r w:rsidRPr="00F26881" w:rsidR="00D42CB3">
        <w:rPr>
          <w:bCs/>
          <w:iCs/>
        </w:rPr>
        <w:t xml:space="preserve">from </w:t>
      </w:r>
      <w:r w:rsidRPr="00F26881" w:rsidR="00047FE7">
        <w:rPr>
          <w:bCs/>
          <w:iCs/>
        </w:rPr>
        <w:t>the screener</w:t>
      </w:r>
      <w:bookmarkEnd w:id="1"/>
      <w:r w:rsidRPr="00F26881" w:rsidR="00472BCF">
        <w:rPr>
          <w:bCs/>
          <w:iCs/>
        </w:rPr>
        <w:t>.</w:t>
      </w:r>
    </w:p>
    <w:p w:rsidRPr="00F26881" w:rsidR="004F6283" w:rsidP="005E40F4" w:rsidRDefault="00A86C8F" w14:paraId="5BF75DB0" w14:textId="70B62B79">
      <w:pPr>
        <w:tabs>
          <w:tab w:val="left" w:pos="990"/>
        </w:tabs>
        <w:spacing w:after="120"/>
      </w:pPr>
      <w:r w:rsidRPr="00F26881">
        <w:t xml:space="preserve">Several </w:t>
      </w:r>
      <w:r w:rsidRPr="00F26881" w:rsidR="004F6283">
        <w:t xml:space="preserve">important assumptions were </w:t>
      </w:r>
      <w:r w:rsidRPr="00F26881" w:rsidR="003B0C5C">
        <w:t>applied to</w:t>
      </w:r>
      <w:r w:rsidRPr="00F26881" w:rsidR="004F6283">
        <w:t xml:space="preserve"> the power analysis</w:t>
      </w:r>
      <w:r w:rsidRPr="00F26881" w:rsidR="0033463E">
        <w:t xml:space="preserve"> for</w:t>
      </w:r>
      <w:r w:rsidRPr="00F26881" w:rsidR="0043007C">
        <w:t xml:space="preserve"> the primary goals of the study</w:t>
      </w:r>
      <w:r w:rsidRPr="00F26881" w:rsidR="00C83A31">
        <w:t>:</w:t>
      </w:r>
    </w:p>
    <w:p w:rsidRPr="00F26881" w:rsidR="00FF2786" w:rsidP="00C01E5B" w:rsidRDefault="00472BCF" w14:paraId="2F88B5F1" w14:textId="2DD43F00">
      <w:pPr>
        <w:pStyle w:val="ListParagraph"/>
        <w:numPr>
          <w:ilvl w:val="0"/>
          <w:numId w:val="8"/>
        </w:numPr>
        <w:spacing w:after="120"/>
        <w:ind w:left="1080"/>
        <w:contextualSpacing w:val="0"/>
      </w:pPr>
      <w:r w:rsidRPr="00F26881">
        <w:t>T</w:t>
      </w:r>
      <w:r w:rsidRPr="00F26881" w:rsidR="0016569B">
        <w:t>he current sample design involves 12,774 SDUs yielding 8,110 completed screenings and 4,000 completed interviews</w:t>
      </w:r>
      <w:r w:rsidRPr="00F26881">
        <w:t>.</w:t>
      </w:r>
    </w:p>
    <w:p w:rsidRPr="00F26881" w:rsidR="00512EB1" w:rsidP="00C01E5B" w:rsidRDefault="00550AB5" w14:paraId="1E11C829" w14:textId="67C0F779">
      <w:pPr>
        <w:pStyle w:val="ListParagraph"/>
        <w:numPr>
          <w:ilvl w:val="0"/>
          <w:numId w:val="9"/>
        </w:numPr>
        <w:spacing w:after="120"/>
        <w:ind w:left="1080"/>
        <w:contextualSpacing w:val="0"/>
      </w:pPr>
      <w:r w:rsidRPr="00F26881">
        <w:t>Random a</w:t>
      </w:r>
      <w:r w:rsidRPr="00F26881" w:rsidR="00031067">
        <w:t>llo</w:t>
      </w:r>
      <w:r w:rsidRPr="00F26881" w:rsidR="00061A08">
        <w:t xml:space="preserve">cation of the </w:t>
      </w:r>
      <w:r w:rsidRPr="00F26881" w:rsidR="00AE0211">
        <w:t xml:space="preserve">screening and interview </w:t>
      </w:r>
      <w:r w:rsidRPr="00F26881" w:rsidR="00061A08">
        <w:t xml:space="preserve">incentive </w:t>
      </w:r>
      <w:r w:rsidRPr="00F26881" w:rsidR="00AE0211">
        <w:t xml:space="preserve">amounts </w:t>
      </w:r>
      <w:r w:rsidRPr="00F26881" w:rsidR="001846C0">
        <w:t>among the</w:t>
      </w:r>
      <w:r w:rsidRPr="00F26881" w:rsidR="00061A08">
        <w:t xml:space="preserve"> SDUs</w:t>
      </w:r>
      <w:r w:rsidRPr="00F26881" w:rsidR="00397EAC">
        <w:t xml:space="preserve"> w</w:t>
      </w:r>
      <w:r w:rsidRPr="00F26881" w:rsidR="0085640F">
        <w:t xml:space="preserve">ill </w:t>
      </w:r>
      <w:r w:rsidRPr="00F26881" w:rsidR="00397EAC">
        <w:t xml:space="preserve">be </w:t>
      </w:r>
      <w:r w:rsidRPr="00F26881" w:rsidR="003E4160">
        <w:t>equal</w:t>
      </w:r>
      <w:r w:rsidRPr="00F26881" w:rsidR="0085640F">
        <w:t>, so that</w:t>
      </w:r>
      <w:r w:rsidRPr="00F26881" w:rsidR="003E4160">
        <w:t>:</w:t>
      </w:r>
    </w:p>
    <w:p w:rsidRPr="00F26881" w:rsidR="003E4160" w:rsidP="00C01E5B" w:rsidRDefault="003E4160" w14:paraId="6DA2A9AE" w14:textId="7DE19616">
      <w:pPr>
        <w:pStyle w:val="ListParagraph"/>
        <w:numPr>
          <w:ilvl w:val="0"/>
          <w:numId w:val="11"/>
        </w:numPr>
        <w:spacing w:after="120"/>
        <w:contextualSpacing w:val="0"/>
      </w:pPr>
      <w:r w:rsidRPr="00F26881">
        <w:rPr>
          <w:bCs/>
        </w:rPr>
        <w:t xml:space="preserve">50% </w:t>
      </w:r>
      <w:r w:rsidRPr="00F26881" w:rsidR="0085640F">
        <w:rPr>
          <w:bCs/>
        </w:rPr>
        <w:t xml:space="preserve">of SDUs will be </w:t>
      </w:r>
      <w:r w:rsidRPr="00F26881" w:rsidR="00550AB5">
        <w:rPr>
          <w:bCs/>
        </w:rPr>
        <w:t xml:space="preserve">assigned to </w:t>
      </w:r>
      <w:r w:rsidRPr="00F26881">
        <w:rPr>
          <w:bCs/>
        </w:rPr>
        <w:t xml:space="preserve">no screening incentive and 50% </w:t>
      </w:r>
      <w:r w:rsidRPr="00F26881" w:rsidR="00550AB5">
        <w:rPr>
          <w:bCs/>
        </w:rPr>
        <w:t xml:space="preserve">assigned to </w:t>
      </w:r>
      <w:r w:rsidRPr="00F26881" w:rsidR="0085640F">
        <w:rPr>
          <w:bCs/>
        </w:rPr>
        <w:t xml:space="preserve">a </w:t>
      </w:r>
      <w:r w:rsidRPr="00F26881">
        <w:rPr>
          <w:bCs/>
        </w:rPr>
        <w:t>$5 screening incentive</w:t>
      </w:r>
    </w:p>
    <w:p w:rsidRPr="00F26881" w:rsidR="003E4160" w:rsidP="00C01E5B" w:rsidRDefault="003E4160" w14:paraId="3BDAAD12" w14:textId="78DBA679">
      <w:pPr>
        <w:pStyle w:val="ListParagraph"/>
        <w:numPr>
          <w:ilvl w:val="0"/>
          <w:numId w:val="11"/>
        </w:numPr>
        <w:spacing w:after="120"/>
        <w:contextualSpacing w:val="0"/>
      </w:pPr>
      <w:r w:rsidRPr="00F26881">
        <w:rPr>
          <w:bCs/>
        </w:rPr>
        <w:t xml:space="preserve">50% </w:t>
      </w:r>
      <w:r w:rsidRPr="00F26881" w:rsidR="0085640F">
        <w:rPr>
          <w:bCs/>
        </w:rPr>
        <w:t xml:space="preserve">of SDUs will be </w:t>
      </w:r>
      <w:r w:rsidRPr="00F26881" w:rsidR="00550AB5">
        <w:rPr>
          <w:bCs/>
        </w:rPr>
        <w:t xml:space="preserve">assigned to </w:t>
      </w:r>
      <w:r w:rsidRPr="00F26881" w:rsidR="0085640F">
        <w:rPr>
          <w:bCs/>
        </w:rPr>
        <w:t xml:space="preserve">a </w:t>
      </w:r>
      <w:r w:rsidRPr="00F26881">
        <w:rPr>
          <w:bCs/>
        </w:rPr>
        <w:t xml:space="preserve">$30 interview incentive and 50% </w:t>
      </w:r>
      <w:r w:rsidRPr="00F26881" w:rsidR="00550AB5">
        <w:rPr>
          <w:bCs/>
        </w:rPr>
        <w:t xml:space="preserve">assigned to </w:t>
      </w:r>
      <w:r w:rsidRPr="00F26881" w:rsidR="0085640F">
        <w:rPr>
          <w:bCs/>
        </w:rPr>
        <w:t xml:space="preserve">a </w:t>
      </w:r>
      <w:r w:rsidRPr="00F26881">
        <w:rPr>
          <w:bCs/>
        </w:rPr>
        <w:t>$50 interview incentive</w:t>
      </w:r>
    </w:p>
    <w:p w:rsidRPr="00F26881" w:rsidR="00F37AFF" w:rsidP="00C01E5B" w:rsidRDefault="001F3FD8" w14:paraId="16DFD89F" w14:textId="491241E6">
      <w:pPr>
        <w:pStyle w:val="ListParagraph"/>
        <w:numPr>
          <w:ilvl w:val="0"/>
          <w:numId w:val="9"/>
        </w:numPr>
        <w:spacing w:after="120"/>
        <w:ind w:left="1080"/>
        <w:contextualSpacing w:val="0"/>
      </w:pPr>
      <w:r w:rsidRPr="00F26881">
        <w:t>The s</w:t>
      </w:r>
      <w:r w:rsidRPr="00F26881" w:rsidR="00F37AFF">
        <w:t xml:space="preserve">tatistical power </w:t>
      </w:r>
      <w:r w:rsidRPr="00F26881">
        <w:t xml:space="preserve">assumed </w:t>
      </w:r>
      <w:r w:rsidRPr="00F26881" w:rsidR="00512EB1">
        <w:t xml:space="preserve">for detecting differences </w:t>
      </w:r>
      <w:r w:rsidRPr="00F26881" w:rsidR="001C3C06">
        <w:t xml:space="preserve">in outcomes </w:t>
      </w:r>
      <w:r w:rsidRPr="00F26881">
        <w:t>was</w:t>
      </w:r>
      <w:r w:rsidRPr="00F26881" w:rsidR="00512EB1">
        <w:t xml:space="preserve"> </w:t>
      </w:r>
      <w:r w:rsidRPr="00F26881" w:rsidR="00F37AFF">
        <w:rPr>
          <w:bCs/>
        </w:rPr>
        <w:t>0.80</w:t>
      </w:r>
      <w:r w:rsidRPr="00F26881" w:rsidR="00512EB1">
        <w:rPr>
          <w:bCs/>
        </w:rPr>
        <w:t>.</w:t>
      </w:r>
    </w:p>
    <w:p w:rsidRPr="00F26881" w:rsidR="00881002" w:rsidP="00C01E5B" w:rsidRDefault="002A6FD7" w14:paraId="4E8B411B" w14:textId="4094FB61">
      <w:pPr>
        <w:pStyle w:val="ListParagraph"/>
        <w:numPr>
          <w:ilvl w:val="0"/>
          <w:numId w:val="9"/>
        </w:numPr>
        <w:spacing w:after="120"/>
        <w:ind w:left="1080"/>
        <w:contextualSpacing w:val="0"/>
        <w:rPr>
          <w:bCs/>
          <w:iCs/>
        </w:rPr>
      </w:pPr>
      <w:r w:rsidRPr="00F26881">
        <w:t xml:space="preserve">In addition to the standard significance level α = 0.05, additional </w:t>
      </w:r>
      <w:r w:rsidRPr="00F26881" w:rsidR="004E24AE">
        <w:t xml:space="preserve">alpha levels were included in the power analysis to observe how MDDs changed </w:t>
      </w:r>
      <w:r w:rsidRPr="00F26881" w:rsidR="00C7443B">
        <w:t xml:space="preserve">across different </w:t>
      </w:r>
      <w:r w:rsidRPr="00F26881" w:rsidR="004E24AE">
        <w:t>significance level</w:t>
      </w:r>
      <w:r w:rsidRPr="00F26881" w:rsidR="00C7443B">
        <w:t>s.</w:t>
      </w:r>
      <w:r w:rsidRPr="00F26881" w:rsidR="004E24AE">
        <w:t xml:space="preserve"> </w:t>
      </w:r>
      <w:r w:rsidRPr="00F26881" w:rsidR="00CA2CA8">
        <w:t xml:space="preserve">For both marginal differences (main effects applicable when the interaction is not significant) and conditional differences (applicable when the interaction is significant), </w:t>
      </w:r>
      <w:r w:rsidRPr="00F26881" w:rsidR="00CD25E8">
        <w:t>t</w:t>
      </w:r>
      <w:r w:rsidRPr="00F26881" w:rsidR="00881002">
        <w:t xml:space="preserve">he power analysis </w:t>
      </w:r>
      <w:r w:rsidRPr="00F26881" w:rsidR="00CD25E8">
        <w:t>was</w:t>
      </w:r>
      <w:r w:rsidRPr="00F26881" w:rsidR="00881002">
        <w:t xml:space="preserve"> conducted with </w:t>
      </w:r>
      <w:r w:rsidRPr="00F26881" w:rsidR="00CD25E8">
        <w:t>significance level α = 0.0</w:t>
      </w:r>
      <w:r w:rsidRPr="00F26881" w:rsidR="00D06D19">
        <w:t xml:space="preserve">5 and α = 0.10. For </w:t>
      </w:r>
      <w:r w:rsidRPr="00F26881" w:rsidR="00881002">
        <w:t>conditional differences applicable when the interaction is significant</w:t>
      </w:r>
      <w:r w:rsidRPr="00F26881" w:rsidR="00D06D19">
        <w:t xml:space="preserve">, </w:t>
      </w:r>
      <w:r w:rsidRPr="00F26881" w:rsidR="00E101D1">
        <w:t>tw</w:t>
      </w:r>
      <w:r w:rsidRPr="00F26881" w:rsidR="00D06D19">
        <w:rPr>
          <w:bCs/>
          <w:iCs/>
        </w:rPr>
        <w:t>o additional alpha</w:t>
      </w:r>
      <w:r w:rsidRPr="00F26881" w:rsidR="00D06D19">
        <w:t xml:space="preserve"> </w:t>
      </w:r>
      <w:r w:rsidRPr="00F26881" w:rsidR="00D06D19">
        <w:rPr>
          <w:bCs/>
          <w:iCs/>
        </w:rPr>
        <w:t xml:space="preserve">levels were </w:t>
      </w:r>
      <w:r w:rsidRPr="00F26881" w:rsidR="00197FEF">
        <w:rPr>
          <w:bCs/>
          <w:iCs/>
        </w:rPr>
        <w:t>applied</w:t>
      </w:r>
      <w:r w:rsidRPr="00F26881" w:rsidR="00881002">
        <w:rPr>
          <w:bCs/>
          <w:iCs/>
        </w:rPr>
        <w:t>:</w:t>
      </w:r>
      <w:r w:rsidRPr="00F26881" w:rsidR="00197FEF">
        <w:rPr>
          <w:bCs/>
          <w:iCs/>
        </w:rPr>
        <w:t xml:space="preserve"> </w:t>
      </w:r>
      <w:r w:rsidRPr="00F26881" w:rsidR="00197FEF">
        <w:t>α = 0.01</w:t>
      </w:r>
      <w:r w:rsidRPr="00F26881" w:rsidR="00E101D1">
        <w:t xml:space="preserve"> and</w:t>
      </w:r>
      <w:r w:rsidRPr="00F26881" w:rsidR="00197FEF">
        <w:t xml:space="preserve"> α = 0.02.</w:t>
      </w:r>
    </w:p>
    <w:p w:rsidRPr="00F26881" w:rsidR="00B34F89" w:rsidP="00C01E5B" w:rsidRDefault="0033463E" w14:paraId="05868FD3" w14:textId="01CDA2F8">
      <w:pPr>
        <w:pStyle w:val="ListParagraph"/>
        <w:numPr>
          <w:ilvl w:val="0"/>
          <w:numId w:val="9"/>
        </w:numPr>
        <w:tabs>
          <w:tab w:val="left" w:pos="990"/>
        </w:tabs>
        <w:ind w:left="1080"/>
        <w:contextualSpacing w:val="0"/>
        <w:rPr>
          <w:iCs/>
          <w:u w:val="single"/>
        </w:rPr>
      </w:pPr>
      <w:r w:rsidRPr="00F26881">
        <w:t xml:space="preserve">Appropriate </w:t>
      </w:r>
      <w:r w:rsidRPr="00F26881" w:rsidR="003F2730">
        <w:t>d</w:t>
      </w:r>
      <w:r w:rsidRPr="00F26881">
        <w:t xml:space="preserve">esign effects were </w:t>
      </w:r>
      <w:r w:rsidRPr="00F26881" w:rsidR="003F2730">
        <w:t xml:space="preserve">included </w:t>
      </w:r>
      <w:r w:rsidRPr="00F26881">
        <w:t xml:space="preserve">in </w:t>
      </w:r>
      <w:r w:rsidRPr="00F26881" w:rsidR="00E101D1">
        <w:t>all</w:t>
      </w:r>
      <w:r w:rsidRPr="00F26881">
        <w:t xml:space="preserve"> power analysis calculations. </w:t>
      </w:r>
      <w:r w:rsidRPr="00F26881" w:rsidR="006F584B">
        <w:t xml:space="preserve">The </w:t>
      </w:r>
      <w:r w:rsidRPr="00F26881" w:rsidR="00E101D1">
        <w:t xml:space="preserve">appropriate </w:t>
      </w:r>
      <w:r w:rsidRPr="00F26881">
        <w:t>NSDUH design effect</w:t>
      </w:r>
      <w:r w:rsidRPr="00F26881" w:rsidR="006F584B">
        <w:t>s</w:t>
      </w:r>
      <w:r w:rsidRPr="00F26881">
        <w:t xml:space="preserve"> </w:t>
      </w:r>
      <w:r w:rsidRPr="00F26881" w:rsidR="00E101D1">
        <w:t xml:space="preserve">for each outcome </w:t>
      </w:r>
      <w:r w:rsidRPr="00F26881" w:rsidR="00752A73">
        <w:t>w</w:t>
      </w:r>
      <w:r w:rsidRPr="00F26881" w:rsidR="006F584B">
        <w:t>ere</w:t>
      </w:r>
      <w:r w:rsidRPr="00F26881" w:rsidR="00752A73">
        <w:t xml:space="preserve"> </w:t>
      </w:r>
      <w:r w:rsidRPr="00F26881">
        <w:t xml:space="preserve">divided by the </w:t>
      </w:r>
      <w:r w:rsidRPr="00F26881" w:rsidR="00752A73">
        <w:t>un</w:t>
      </w:r>
      <w:r w:rsidRPr="00F26881" w:rsidR="001B64CB">
        <w:t>e</w:t>
      </w:r>
      <w:r w:rsidRPr="00F26881" w:rsidR="00752A73">
        <w:t xml:space="preserve">qual weighting effect </w:t>
      </w:r>
      <w:r w:rsidRPr="00F26881">
        <w:t xml:space="preserve">for states, based on the assumption of a national sample </w:t>
      </w:r>
      <w:r w:rsidRPr="00F26881" w:rsidR="00F3391E">
        <w:t xml:space="preserve">of SSRs </w:t>
      </w:r>
      <w:r w:rsidRPr="00F26881">
        <w:t xml:space="preserve">and NSDUH age group allocation (i.e., states </w:t>
      </w:r>
      <w:r w:rsidRPr="00F26881" w:rsidR="001B64CB">
        <w:t xml:space="preserve">will be </w:t>
      </w:r>
      <w:r w:rsidRPr="00F26881">
        <w:t>sampled proportional to size).</w:t>
      </w:r>
      <w:r w:rsidRPr="00F26881" w:rsidR="00DC72D2">
        <w:t xml:space="preserve"> By using the NSDUH design effect adjusted for the disproportionate sampling of states, </w:t>
      </w:r>
      <w:r w:rsidRPr="00F26881" w:rsidR="00DC72D2">
        <w:lastRenderedPageBreak/>
        <w:t xml:space="preserve">the impact of clustering is included in the design effect for the </w:t>
      </w:r>
      <w:r w:rsidRPr="00F26881" w:rsidR="006F584B">
        <w:t xml:space="preserve">SRRs, </w:t>
      </w:r>
      <w:r w:rsidRPr="00F26881" w:rsidR="00094477">
        <w:t>IRR</w:t>
      </w:r>
      <w:r w:rsidRPr="00F26881" w:rsidR="00DC72D2">
        <w:t>s</w:t>
      </w:r>
      <w:r w:rsidRPr="00F26881" w:rsidR="006F584B">
        <w:t>,</w:t>
      </w:r>
      <w:r w:rsidRPr="00F26881" w:rsidR="0047623F">
        <w:t xml:space="preserve"> </w:t>
      </w:r>
      <w:r w:rsidRPr="00F26881" w:rsidR="00E101D1">
        <w:t xml:space="preserve">and </w:t>
      </w:r>
      <w:r w:rsidRPr="00F26881" w:rsidR="00DC72D2">
        <w:t>screener demographic items.</w:t>
      </w:r>
    </w:p>
    <w:p w:rsidRPr="00F26881" w:rsidR="00B34F89" w:rsidP="00332D84" w:rsidRDefault="00B34F89" w14:paraId="6D9C5424" w14:textId="3FC66B73">
      <w:pPr>
        <w:tabs>
          <w:tab w:val="left" w:pos="990"/>
        </w:tabs>
        <w:spacing w:after="120"/>
        <w:rPr>
          <w:iCs/>
          <w:u w:val="single"/>
        </w:rPr>
      </w:pPr>
    </w:p>
    <w:p w:rsidRPr="00F26881" w:rsidR="00B96E5A" w:rsidP="00A801BE" w:rsidRDefault="004F32B0" w14:paraId="4DDA0706" w14:textId="7ACBDCD7">
      <w:pPr>
        <w:rPr>
          <w:b/>
        </w:rPr>
      </w:pPr>
      <w:r w:rsidRPr="00F26881">
        <w:rPr>
          <w:b/>
          <w:i/>
        </w:rPr>
        <w:t>Analysis 1</w:t>
      </w:r>
      <w:r w:rsidRPr="00F26881">
        <w:rPr>
          <w:b/>
          <w:iCs/>
        </w:rPr>
        <w:t xml:space="preserve">: </w:t>
      </w:r>
      <w:r w:rsidRPr="00F26881" w:rsidR="00B96E5A">
        <w:rPr>
          <w:b/>
          <w:iCs/>
        </w:rPr>
        <w:t xml:space="preserve">Weighted </w:t>
      </w:r>
      <w:r w:rsidRPr="00F26881" w:rsidR="00094477">
        <w:rPr>
          <w:b/>
          <w:iCs/>
        </w:rPr>
        <w:t>SRRs</w:t>
      </w:r>
    </w:p>
    <w:p w:rsidRPr="00F26881" w:rsidR="000D16E3" w:rsidP="00A801BE" w:rsidRDefault="000D16E3" w14:paraId="631FEF2F" w14:textId="77777777">
      <w:pPr>
        <w:rPr>
          <w:bCs/>
        </w:rPr>
      </w:pPr>
    </w:p>
    <w:p w:rsidRPr="00F26881" w:rsidR="00881002" w:rsidP="00472BCF" w:rsidRDefault="008D1BD7" w14:paraId="07AF2480" w14:textId="228B12AE">
      <w:pPr>
        <w:rPr>
          <w:bCs/>
        </w:rPr>
      </w:pPr>
      <w:r w:rsidRPr="00F26881">
        <w:rPr>
          <w:bCs/>
        </w:rPr>
        <w:t xml:space="preserve">For </w:t>
      </w:r>
      <w:r w:rsidRPr="00F26881" w:rsidR="00A801BE">
        <w:rPr>
          <w:bCs/>
          <w:i/>
          <w:iCs/>
        </w:rPr>
        <w:t>A</w:t>
      </w:r>
      <w:r w:rsidRPr="00F26881">
        <w:rPr>
          <w:bCs/>
          <w:i/>
          <w:iCs/>
        </w:rPr>
        <w:t>nalysis</w:t>
      </w:r>
      <w:r w:rsidRPr="00F26881" w:rsidR="00A801BE">
        <w:rPr>
          <w:bCs/>
          <w:i/>
          <w:iCs/>
        </w:rPr>
        <w:t xml:space="preserve"> 1</w:t>
      </w:r>
      <w:r w:rsidRPr="00F26881">
        <w:rPr>
          <w:bCs/>
        </w:rPr>
        <w:t>, the assumed s</w:t>
      </w:r>
      <w:r w:rsidRPr="00F26881" w:rsidR="00881002">
        <w:rPr>
          <w:bCs/>
        </w:rPr>
        <w:t xml:space="preserve">ample size </w:t>
      </w:r>
      <w:r w:rsidRPr="00F26881" w:rsidR="00472BCF">
        <w:rPr>
          <w:bCs/>
        </w:rPr>
        <w:t>was</w:t>
      </w:r>
      <w:r w:rsidRPr="00F26881">
        <w:rPr>
          <w:bCs/>
        </w:rPr>
        <w:t xml:space="preserve"> based on </w:t>
      </w:r>
      <w:r w:rsidRPr="00F26881" w:rsidR="000D16E3">
        <w:rPr>
          <w:bCs/>
        </w:rPr>
        <w:t xml:space="preserve">the expected number </w:t>
      </w:r>
      <w:r w:rsidRPr="00F26881" w:rsidR="004818EA">
        <w:rPr>
          <w:bCs/>
        </w:rPr>
        <w:t xml:space="preserve">of </w:t>
      </w:r>
      <w:r w:rsidRPr="00F26881">
        <w:rPr>
          <w:bCs/>
        </w:rPr>
        <w:t xml:space="preserve">eligible SDUs </w:t>
      </w:r>
      <w:r w:rsidRPr="00F26881" w:rsidR="004818EA">
        <w:rPr>
          <w:bCs/>
        </w:rPr>
        <w:t>determined in the sample</w:t>
      </w:r>
      <w:r w:rsidRPr="00F26881" w:rsidR="009B50ED">
        <w:rPr>
          <w:bCs/>
        </w:rPr>
        <w:t>,</w:t>
      </w:r>
      <w:r w:rsidRPr="00F26881" w:rsidR="004818EA">
        <w:rPr>
          <w:bCs/>
        </w:rPr>
        <w:t xml:space="preserve"> </w:t>
      </w:r>
      <w:r w:rsidRPr="00F26881" w:rsidR="00472BCF">
        <w:rPr>
          <w:bCs/>
        </w:rPr>
        <w:t xml:space="preserve">which </w:t>
      </w:r>
      <w:r w:rsidRPr="00F26881" w:rsidR="00596721">
        <w:rPr>
          <w:bCs/>
        </w:rPr>
        <w:t>wa</w:t>
      </w:r>
      <w:r w:rsidRPr="00F26881" w:rsidR="00472BCF">
        <w:rPr>
          <w:bCs/>
        </w:rPr>
        <w:t xml:space="preserve">s </w:t>
      </w:r>
      <w:r w:rsidRPr="00F26881" w:rsidR="008C0EE0">
        <w:rPr>
          <w:bCs/>
        </w:rPr>
        <w:t xml:space="preserve">projected to be </w:t>
      </w:r>
      <w:r w:rsidRPr="00F26881" w:rsidR="00472BCF">
        <w:rPr>
          <w:bCs/>
        </w:rPr>
        <w:t>10</w:t>
      </w:r>
      <w:r w:rsidRPr="00F26881" w:rsidR="008C0EE0">
        <w:rPr>
          <w:bCs/>
        </w:rPr>
        <w:t>,</w:t>
      </w:r>
      <w:r w:rsidRPr="00F26881" w:rsidR="00472BCF">
        <w:rPr>
          <w:bCs/>
        </w:rPr>
        <w:t>798.</w:t>
      </w:r>
    </w:p>
    <w:p w:rsidRPr="00F26881" w:rsidR="0032079B" w:rsidP="0032079B" w:rsidRDefault="0032079B" w14:paraId="5D5AB020" w14:textId="77777777">
      <w:pPr>
        <w:tabs>
          <w:tab w:val="left" w:pos="990"/>
        </w:tabs>
      </w:pPr>
    </w:p>
    <w:p w:rsidRPr="00F26881" w:rsidR="00881002" w:rsidP="00111419" w:rsidRDefault="00111419" w14:paraId="724C02C4" w14:textId="4FED4222">
      <w:pPr>
        <w:spacing w:after="120"/>
      </w:pPr>
      <w:r w:rsidRPr="00F26881">
        <w:t>The n</w:t>
      </w:r>
      <w:r w:rsidRPr="00F26881" w:rsidR="00881002">
        <w:t>ull</w:t>
      </w:r>
      <w:r w:rsidRPr="00F26881" w:rsidR="00D22522">
        <w:t xml:space="preserve"> (H</w:t>
      </w:r>
      <w:r w:rsidRPr="00F26881" w:rsidR="00D22522">
        <w:rPr>
          <w:vertAlign w:val="subscript"/>
        </w:rPr>
        <w:t>o</w:t>
      </w:r>
      <w:r w:rsidRPr="00F26881" w:rsidR="00D22522">
        <w:t xml:space="preserve">) </w:t>
      </w:r>
      <w:r w:rsidRPr="00F26881" w:rsidR="00881002">
        <w:t xml:space="preserve">and alternative </w:t>
      </w:r>
      <w:r w:rsidRPr="00F26881" w:rsidR="00D22522">
        <w:t>(H</w:t>
      </w:r>
      <w:r w:rsidRPr="00F26881" w:rsidR="00D22522">
        <w:rPr>
          <w:vertAlign w:val="subscript"/>
        </w:rPr>
        <w:t>a</w:t>
      </w:r>
      <w:r w:rsidRPr="00F26881" w:rsidR="00D22522">
        <w:t xml:space="preserve">) </w:t>
      </w:r>
      <w:r w:rsidRPr="00F26881" w:rsidR="00881002">
        <w:t>hypotheses</w:t>
      </w:r>
      <w:r w:rsidRPr="00F26881" w:rsidR="00283342">
        <w:t xml:space="preserve"> specified</w:t>
      </w:r>
      <w:r w:rsidRPr="00F26881" w:rsidR="00881002">
        <w:t xml:space="preserve"> </w:t>
      </w:r>
      <w:r w:rsidRPr="00F26881">
        <w:t xml:space="preserve">for </w:t>
      </w:r>
      <w:r w:rsidRPr="00F26881" w:rsidR="00494E6C">
        <w:t xml:space="preserve">each </w:t>
      </w:r>
      <w:r w:rsidRPr="00F26881" w:rsidR="00881002">
        <w:t>marginal difference</w:t>
      </w:r>
      <w:r w:rsidRPr="00F26881" w:rsidR="003B3385">
        <w:t xml:space="preserve"> (main effects applicable when the interaction between the screening and interview incentive amounts are not significant)</w:t>
      </w:r>
      <w:r w:rsidRPr="00F26881" w:rsidR="004F332C">
        <w:t xml:space="preserve"> were</w:t>
      </w:r>
      <w:r w:rsidRPr="00F26881" w:rsidR="00881002">
        <w:t>:</w:t>
      </w:r>
    </w:p>
    <w:p w:rsidRPr="00F26881" w:rsidR="00881002" w:rsidP="00C01E5B" w:rsidRDefault="00881002" w14:paraId="6912FB48" w14:textId="3C86F580">
      <w:pPr>
        <w:pStyle w:val="ListParagraph"/>
        <w:numPr>
          <w:ilvl w:val="1"/>
          <w:numId w:val="14"/>
        </w:numPr>
        <w:spacing w:after="120"/>
        <w:ind w:left="1080"/>
        <w:contextualSpacing w:val="0"/>
      </w:pPr>
      <w:bookmarkStart w:name="_Hlk10642211" w:id="2"/>
      <w:r w:rsidRPr="00F26881">
        <w:t xml:space="preserve">Screening incentive and </w:t>
      </w:r>
      <w:r w:rsidRPr="00F26881" w:rsidR="00094477">
        <w:t>SRR</w:t>
      </w:r>
    </w:p>
    <w:p w:rsidRPr="00F26881" w:rsidR="00881002" w:rsidP="00C01E5B" w:rsidRDefault="00881002" w14:paraId="183EF085" w14:textId="77777777">
      <w:pPr>
        <w:spacing w:after="120"/>
        <w:ind w:left="1440" w:hanging="360"/>
      </w:pPr>
      <w:r w:rsidRPr="00F26881">
        <w:t>H</w:t>
      </w:r>
      <w:r w:rsidRPr="00F26881">
        <w:rPr>
          <w:vertAlign w:val="subscript"/>
        </w:rPr>
        <w:t>o</w:t>
      </w:r>
      <w:r w:rsidRPr="00F26881">
        <w:t>: SRR ($5) – SRR ($0) = 0</w:t>
      </w:r>
    </w:p>
    <w:p w:rsidRPr="00F26881" w:rsidR="00881002" w:rsidP="00C01E5B" w:rsidRDefault="00881002" w14:paraId="419DDF5B" w14:textId="77777777">
      <w:pPr>
        <w:spacing w:after="120"/>
        <w:ind w:left="1440" w:hanging="360"/>
      </w:pPr>
      <w:r w:rsidRPr="00F26881">
        <w:t>H</w:t>
      </w:r>
      <w:r w:rsidRPr="00F26881">
        <w:rPr>
          <w:vertAlign w:val="subscript"/>
        </w:rPr>
        <w:t>a</w:t>
      </w:r>
      <w:r w:rsidRPr="00F26881">
        <w:t>: SRR ($5) – SRR ($0) &gt; 0</w:t>
      </w:r>
    </w:p>
    <w:bookmarkEnd w:id="2"/>
    <w:p w:rsidRPr="00F26881" w:rsidR="00881002" w:rsidP="00C01E5B" w:rsidRDefault="00881002" w14:paraId="608E7302" w14:textId="6369A993">
      <w:pPr>
        <w:pStyle w:val="ListParagraph"/>
        <w:numPr>
          <w:ilvl w:val="0"/>
          <w:numId w:val="15"/>
        </w:numPr>
        <w:spacing w:after="120"/>
        <w:ind w:left="1080"/>
        <w:contextualSpacing w:val="0"/>
      </w:pPr>
      <w:r w:rsidRPr="00F26881">
        <w:t>Screening incentive and IRR</w:t>
      </w:r>
    </w:p>
    <w:p w:rsidRPr="00F26881" w:rsidR="00881002" w:rsidP="00C01E5B" w:rsidRDefault="00881002" w14:paraId="53DF0278" w14:textId="77777777">
      <w:pPr>
        <w:pStyle w:val="ListParagraph"/>
        <w:spacing w:after="120"/>
        <w:ind w:left="1440" w:hanging="360"/>
        <w:contextualSpacing w:val="0"/>
      </w:pPr>
      <w:r w:rsidRPr="00F26881">
        <w:t>H</w:t>
      </w:r>
      <w:r w:rsidRPr="00F26881">
        <w:rPr>
          <w:vertAlign w:val="subscript"/>
        </w:rPr>
        <w:t>o</w:t>
      </w:r>
      <w:r w:rsidRPr="00F26881">
        <w:t>: IRR ($5) – IRR ($0) = 0</w:t>
      </w:r>
    </w:p>
    <w:p w:rsidRPr="00F26881" w:rsidR="00881002" w:rsidP="008B1081" w:rsidRDefault="00881002" w14:paraId="2D6EA144" w14:textId="77777777">
      <w:pPr>
        <w:pStyle w:val="ListParagraph"/>
        <w:ind w:left="1440" w:hanging="360"/>
        <w:contextualSpacing w:val="0"/>
      </w:pPr>
      <w:r w:rsidRPr="00F26881">
        <w:t>H</w:t>
      </w:r>
      <w:r w:rsidRPr="00F26881">
        <w:rPr>
          <w:vertAlign w:val="subscript"/>
        </w:rPr>
        <w:t>a</w:t>
      </w:r>
      <w:r w:rsidRPr="00F26881">
        <w:t>: IRR ($5) – IRR ($0) &gt; 0</w:t>
      </w:r>
    </w:p>
    <w:p w:rsidRPr="00F26881" w:rsidR="004F332C" w:rsidP="00B009FF" w:rsidRDefault="004F332C" w14:paraId="70D45124" w14:textId="77777777"/>
    <w:p w:rsidRPr="00F26881" w:rsidR="00881002" w:rsidP="0012600A" w:rsidRDefault="004F332C" w14:paraId="7957F635" w14:textId="5B22BEF1">
      <w:pPr>
        <w:keepNext/>
        <w:spacing w:after="120"/>
      </w:pPr>
      <w:r w:rsidRPr="00F26881">
        <w:t>The n</w:t>
      </w:r>
      <w:r w:rsidRPr="00F26881" w:rsidR="00881002">
        <w:t xml:space="preserve">ull </w:t>
      </w:r>
      <w:r w:rsidRPr="00F26881" w:rsidR="007C254F">
        <w:t>(H</w:t>
      </w:r>
      <w:r w:rsidRPr="00F26881" w:rsidR="007C254F">
        <w:rPr>
          <w:vertAlign w:val="subscript"/>
        </w:rPr>
        <w:t>o</w:t>
      </w:r>
      <w:r w:rsidRPr="00F26881" w:rsidR="007C254F">
        <w:t>) and alternative (H</w:t>
      </w:r>
      <w:r w:rsidRPr="00F26881" w:rsidR="007C254F">
        <w:rPr>
          <w:vertAlign w:val="subscript"/>
        </w:rPr>
        <w:t>a</w:t>
      </w:r>
      <w:r w:rsidRPr="00F26881" w:rsidR="007C254F">
        <w:t>)</w:t>
      </w:r>
      <w:r w:rsidRPr="00F26881" w:rsidR="00881002">
        <w:t xml:space="preserve"> hypotheses </w:t>
      </w:r>
      <w:r w:rsidRPr="00F26881" w:rsidR="00283342">
        <w:t xml:space="preserve">specified </w:t>
      </w:r>
      <w:r w:rsidRPr="00F26881" w:rsidR="007C254F">
        <w:t xml:space="preserve">for each </w:t>
      </w:r>
      <w:r w:rsidRPr="00F26881" w:rsidR="00881002">
        <w:t>conditional difference</w:t>
      </w:r>
      <w:r w:rsidRPr="00F26881" w:rsidR="007C254F">
        <w:t xml:space="preserve"> (applicable when the interaction the screening and interview incentive amounts is significant), were</w:t>
      </w:r>
      <w:r w:rsidRPr="00F26881" w:rsidR="00881002">
        <w:t>:</w:t>
      </w:r>
    </w:p>
    <w:p w:rsidRPr="00F26881" w:rsidR="00881002" w:rsidP="00C01E5B" w:rsidRDefault="00881002" w14:paraId="3E8D451E" w14:textId="5763D09F">
      <w:pPr>
        <w:pStyle w:val="ListParagraph"/>
        <w:keepNext/>
        <w:numPr>
          <w:ilvl w:val="1"/>
          <w:numId w:val="18"/>
        </w:numPr>
        <w:spacing w:after="120"/>
        <w:ind w:left="1080"/>
        <w:contextualSpacing w:val="0"/>
      </w:pPr>
      <w:r w:rsidRPr="00F26881">
        <w:t xml:space="preserve">Screening incentive and </w:t>
      </w:r>
      <w:r w:rsidRPr="00F26881" w:rsidR="00094477">
        <w:t>SRR</w:t>
      </w:r>
      <w:r w:rsidRPr="00F26881">
        <w:t>, conditional on $30 interview incentive</w:t>
      </w:r>
    </w:p>
    <w:p w:rsidRPr="00F26881" w:rsidR="00881002" w:rsidP="00C01E5B" w:rsidRDefault="00881002" w14:paraId="4CA15F19" w14:textId="77777777">
      <w:pPr>
        <w:spacing w:after="120"/>
        <w:ind w:left="1080"/>
      </w:pPr>
      <w:bookmarkStart w:name="_Hlk12368697" w:id="3"/>
      <w:r w:rsidRPr="00F26881">
        <w:t>H</w:t>
      </w:r>
      <w:r w:rsidRPr="00F26881">
        <w:rPr>
          <w:vertAlign w:val="subscript"/>
        </w:rPr>
        <w:t>o</w:t>
      </w:r>
      <w:r w:rsidRPr="00F26881">
        <w:t>: SRR ($5; $30) – SRR ($0; $30) = 0</w:t>
      </w:r>
    </w:p>
    <w:p w:rsidRPr="00F26881" w:rsidR="00881002" w:rsidP="00C01E5B" w:rsidRDefault="00881002" w14:paraId="65CA1BB2" w14:textId="77777777">
      <w:pPr>
        <w:spacing w:after="120"/>
        <w:ind w:left="1080"/>
      </w:pPr>
      <w:r w:rsidRPr="00F26881">
        <w:t>H</w:t>
      </w:r>
      <w:r w:rsidRPr="00F26881">
        <w:rPr>
          <w:vertAlign w:val="subscript"/>
        </w:rPr>
        <w:t>a</w:t>
      </w:r>
      <w:r w:rsidRPr="00F26881">
        <w:t>: SRR ($5; $30) – SRR ($0; $30) &gt; 0</w:t>
      </w:r>
    </w:p>
    <w:bookmarkEnd w:id="3"/>
    <w:p w:rsidRPr="00F26881" w:rsidR="00881002" w:rsidP="00C01E5B" w:rsidRDefault="00881002" w14:paraId="15955ECC" w14:textId="67C266BA">
      <w:pPr>
        <w:pStyle w:val="ListParagraph"/>
        <w:numPr>
          <w:ilvl w:val="0"/>
          <w:numId w:val="19"/>
        </w:numPr>
        <w:spacing w:after="120"/>
        <w:ind w:left="1080"/>
        <w:contextualSpacing w:val="0"/>
      </w:pPr>
      <w:r w:rsidRPr="00F26881">
        <w:t xml:space="preserve">Screening incentive and </w:t>
      </w:r>
      <w:r w:rsidRPr="00F26881" w:rsidR="00094477">
        <w:t>SRR</w:t>
      </w:r>
      <w:r w:rsidRPr="00F26881">
        <w:t>, conditional on $50 interview incentive</w:t>
      </w:r>
    </w:p>
    <w:p w:rsidRPr="00F26881" w:rsidR="00881002" w:rsidP="00C01E5B" w:rsidRDefault="00881002" w14:paraId="1E627780" w14:textId="77777777">
      <w:pPr>
        <w:spacing w:after="120"/>
        <w:ind w:left="1080"/>
      </w:pPr>
      <w:r w:rsidRPr="00F26881">
        <w:t>H</w:t>
      </w:r>
      <w:r w:rsidRPr="00F26881">
        <w:rPr>
          <w:vertAlign w:val="subscript"/>
        </w:rPr>
        <w:t>o</w:t>
      </w:r>
      <w:r w:rsidRPr="00F26881">
        <w:t>: SRR ($5; $50) – SRR ($0; $50) = 0</w:t>
      </w:r>
    </w:p>
    <w:p w:rsidRPr="00F26881" w:rsidR="00881002" w:rsidP="00C01E5B" w:rsidRDefault="00881002" w14:paraId="428F369A" w14:textId="77777777">
      <w:pPr>
        <w:spacing w:after="120"/>
        <w:ind w:left="1080"/>
      </w:pPr>
      <w:r w:rsidRPr="00F26881">
        <w:t>H</w:t>
      </w:r>
      <w:r w:rsidRPr="00F26881">
        <w:rPr>
          <w:vertAlign w:val="subscript"/>
        </w:rPr>
        <w:t>a</w:t>
      </w:r>
      <w:r w:rsidRPr="00F26881">
        <w:t>: SRR ($5; $50) – SRR ($0; $50) &gt; 0</w:t>
      </w:r>
    </w:p>
    <w:p w:rsidRPr="00F26881" w:rsidR="00494E6C" w:rsidRDefault="00494E6C" w14:paraId="64E86D87" w14:textId="6150DBC9">
      <w:pPr>
        <w:rPr>
          <w:rFonts w:cstheme="minorHAnsi"/>
        </w:rPr>
      </w:pPr>
    </w:p>
    <w:p w:rsidRPr="00F26881" w:rsidR="004521F1" w:rsidP="004521F1" w:rsidRDefault="004521F1" w14:paraId="64CCBCC4" w14:textId="75320751">
      <w:pPr>
        <w:rPr>
          <w:rFonts w:cstheme="minorHAnsi"/>
        </w:rPr>
      </w:pPr>
      <w:r w:rsidRPr="00F26881">
        <w:rPr>
          <w:rFonts w:cstheme="minorHAnsi"/>
        </w:rPr>
        <w:t xml:space="preserve">Table 2 shows the MDDs for SRRs for marginal mean differences. The table indicates the alpha level assumed for each MDD. For the </w:t>
      </w:r>
      <w:r w:rsidRPr="00F26881" w:rsidR="00074165">
        <w:rPr>
          <w:rFonts w:cstheme="minorHAnsi"/>
        </w:rPr>
        <w:t xml:space="preserve">marginal </w:t>
      </w:r>
      <w:r w:rsidRPr="00F26881">
        <w:rPr>
          <w:rFonts w:cstheme="minorHAnsi"/>
        </w:rPr>
        <w:t>mean differences, the expected sample size for comparing SRRs across the four incentive conditions will allow for detecting</w:t>
      </w:r>
      <w:r w:rsidRPr="00F26881" w:rsidR="00F85B53">
        <w:rPr>
          <w:rFonts w:cstheme="minorHAnsi"/>
        </w:rPr>
        <w:t xml:space="preserve"> a </w:t>
      </w:r>
      <w:r w:rsidRPr="00F26881">
        <w:rPr>
          <w:rFonts w:cstheme="minorHAnsi"/>
        </w:rPr>
        <w:t>difference</w:t>
      </w:r>
      <w:r w:rsidRPr="00F26881" w:rsidR="00F85B53">
        <w:rPr>
          <w:rFonts w:cstheme="minorHAnsi"/>
        </w:rPr>
        <w:t xml:space="preserve"> of 4.7% </w:t>
      </w:r>
      <w:r w:rsidRPr="00F26881" w:rsidR="00A91630">
        <w:rPr>
          <w:rFonts w:cstheme="minorHAnsi"/>
        </w:rPr>
        <w:t xml:space="preserve">as statistically significant </w:t>
      </w:r>
      <w:r w:rsidRPr="00F26881" w:rsidR="00F85B53">
        <w:rPr>
          <w:rFonts w:cstheme="minorHAnsi"/>
        </w:rPr>
        <w:t xml:space="preserve">when alpha is 0.05 and </w:t>
      </w:r>
      <w:r w:rsidRPr="00F26881" w:rsidR="006C6B81">
        <w:rPr>
          <w:rFonts w:cstheme="minorHAnsi"/>
        </w:rPr>
        <w:t xml:space="preserve">a difference of </w:t>
      </w:r>
      <w:r w:rsidRPr="00F26881" w:rsidR="00F85B53">
        <w:rPr>
          <w:rFonts w:cstheme="minorHAnsi"/>
        </w:rPr>
        <w:t xml:space="preserve">4.1% </w:t>
      </w:r>
      <w:r w:rsidRPr="00F26881" w:rsidR="00A91630">
        <w:rPr>
          <w:rFonts w:cstheme="minorHAnsi"/>
        </w:rPr>
        <w:t xml:space="preserve">as statistically significant </w:t>
      </w:r>
      <w:r w:rsidRPr="00F26881" w:rsidR="00F85B53">
        <w:rPr>
          <w:rFonts w:cstheme="minorHAnsi"/>
        </w:rPr>
        <w:t xml:space="preserve">when </w:t>
      </w:r>
      <w:r w:rsidRPr="00F26881">
        <w:rPr>
          <w:rFonts w:cstheme="minorHAnsi"/>
        </w:rPr>
        <w:t xml:space="preserve">alpha </w:t>
      </w:r>
      <w:r w:rsidRPr="00F26881" w:rsidR="00F85B53">
        <w:rPr>
          <w:rFonts w:cstheme="minorHAnsi"/>
        </w:rPr>
        <w:t>is 0.10</w:t>
      </w:r>
      <w:r w:rsidRPr="00F26881" w:rsidR="00842A9E">
        <w:rPr>
          <w:rFonts w:cstheme="minorHAnsi"/>
        </w:rPr>
        <w:t>.</w:t>
      </w:r>
    </w:p>
    <w:p w:rsidRPr="00F26881" w:rsidR="00BB1029" w:rsidRDefault="00BB1029" w14:paraId="760C9305" w14:textId="70D3F094">
      <w:pPr>
        <w:rPr>
          <w:rFonts w:cstheme="minorHAnsi"/>
        </w:rPr>
      </w:pPr>
    </w:p>
    <w:p w:rsidRPr="00F26881" w:rsidR="005A1F78" w:rsidRDefault="005A1F78" w14:paraId="5C1D9B8B" w14:textId="77777777">
      <w:pPr>
        <w:rPr>
          <w:rFonts w:cstheme="minorHAnsi"/>
        </w:rPr>
      </w:pPr>
      <w:r w:rsidRPr="00F26881">
        <w:rPr>
          <w:rFonts w:cstheme="minorHAnsi"/>
        </w:rPr>
        <w:br w:type="page"/>
      </w:r>
    </w:p>
    <w:p w:rsidRPr="00F26881" w:rsidR="00373C0E" w:rsidP="00373C0E" w:rsidRDefault="00373C0E" w14:paraId="4B0D1CD8" w14:textId="088B1E7F">
      <w:pPr>
        <w:spacing w:after="120"/>
        <w:ind w:left="864" w:hanging="864"/>
      </w:pPr>
      <w:r w:rsidRPr="00F26881">
        <w:rPr>
          <w:rFonts w:cstheme="minorHAnsi"/>
        </w:rPr>
        <w:lastRenderedPageBreak/>
        <w:t xml:space="preserve">Table 2. Minimum Detectable Differences for Screening Response Rates: </w:t>
      </w:r>
      <w:r w:rsidRPr="00F26881" w:rsidR="008A21AA">
        <w:t>Marginal</w:t>
      </w:r>
      <w:r w:rsidRPr="00F26881">
        <w:t xml:space="preserve"> Mean Differences</w:t>
      </w:r>
    </w:p>
    <w:tbl>
      <w:tblPr>
        <w:tblW w:w="4320" w:type="dxa"/>
        <w:tblInd w:w="10" w:type="dxa"/>
        <w:tblLook w:val="04A0" w:firstRow="1" w:lastRow="0" w:firstColumn="1" w:lastColumn="0" w:noHBand="0" w:noVBand="1"/>
      </w:tblPr>
      <w:tblGrid>
        <w:gridCol w:w="2160"/>
        <w:gridCol w:w="2160"/>
      </w:tblGrid>
      <w:tr w:rsidRPr="00F26881" w:rsidR="00F26881" w:rsidTr="00F85B53" w14:paraId="4448715C" w14:textId="77777777">
        <w:trPr>
          <w:trHeight w:val="280"/>
        </w:trPr>
        <w:tc>
          <w:tcPr>
            <w:tcW w:w="2160" w:type="dxa"/>
            <w:tcBorders>
              <w:top w:val="single" w:color="auto" w:sz="8" w:space="0"/>
              <w:left w:val="single" w:color="auto" w:sz="8" w:space="0"/>
              <w:bottom w:val="single" w:color="auto" w:sz="8" w:space="0"/>
              <w:right w:val="single" w:color="auto" w:sz="8" w:space="0"/>
            </w:tcBorders>
            <w:shd w:val="clear" w:color="auto" w:fill="B8CCE4" w:themeFill="accent1" w:themeFillTint="66"/>
            <w:vAlign w:val="bottom"/>
          </w:tcPr>
          <w:p w:rsidRPr="00F26881" w:rsidR="008B5578" w:rsidP="00E50893" w:rsidRDefault="008B5578" w14:paraId="606512D1" w14:textId="77777777">
            <w:pPr>
              <w:jc w:val="center"/>
              <w:rPr>
                <w:b/>
                <w:bCs/>
                <w:i/>
                <w:iCs/>
                <w:sz w:val="22"/>
                <w:szCs w:val="22"/>
              </w:rPr>
            </w:pPr>
            <w:r w:rsidRPr="00F26881">
              <w:rPr>
                <w:b/>
                <w:bCs/>
                <w:i/>
                <w:iCs/>
                <w:sz w:val="22"/>
                <w:szCs w:val="22"/>
              </w:rPr>
              <w:t>Alpha=0.05</w:t>
            </w:r>
          </w:p>
        </w:tc>
        <w:tc>
          <w:tcPr>
            <w:tcW w:w="2160" w:type="dxa"/>
            <w:tcBorders>
              <w:top w:val="single" w:color="auto" w:sz="8" w:space="0"/>
              <w:left w:val="single" w:color="auto" w:sz="8" w:space="0"/>
              <w:bottom w:val="single" w:color="auto" w:sz="8" w:space="0"/>
              <w:right w:val="single" w:color="auto" w:sz="8" w:space="0"/>
            </w:tcBorders>
            <w:shd w:val="clear" w:color="auto" w:fill="B8CCE4" w:themeFill="accent1" w:themeFillTint="66"/>
            <w:vAlign w:val="bottom"/>
          </w:tcPr>
          <w:p w:rsidRPr="00F26881" w:rsidR="008B5578" w:rsidP="00E50893" w:rsidRDefault="008B5578" w14:paraId="208FB611" w14:textId="77777777">
            <w:pPr>
              <w:jc w:val="center"/>
              <w:rPr>
                <w:b/>
                <w:bCs/>
                <w:i/>
                <w:iCs/>
                <w:sz w:val="22"/>
                <w:szCs w:val="22"/>
              </w:rPr>
            </w:pPr>
            <w:r w:rsidRPr="00F26881">
              <w:rPr>
                <w:b/>
                <w:bCs/>
                <w:i/>
                <w:iCs/>
                <w:sz w:val="22"/>
                <w:szCs w:val="22"/>
              </w:rPr>
              <w:t>Alpha=0.10</w:t>
            </w:r>
          </w:p>
        </w:tc>
      </w:tr>
      <w:tr w:rsidRPr="00F26881" w:rsidR="00F26881" w:rsidTr="008B5578" w14:paraId="28B20901" w14:textId="77777777">
        <w:trPr>
          <w:trHeight w:val="270"/>
        </w:trPr>
        <w:tc>
          <w:tcPr>
            <w:tcW w:w="2160" w:type="dxa"/>
            <w:tcBorders>
              <w:top w:val="single" w:color="auto" w:sz="8" w:space="0"/>
              <w:left w:val="single" w:color="auto" w:sz="8" w:space="0"/>
              <w:bottom w:val="single" w:color="auto" w:sz="8" w:space="0"/>
              <w:right w:val="single" w:color="auto" w:sz="8" w:space="0"/>
            </w:tcBorders>
            <w:vAlign w:val="bottom"/>
          </w:tcPr>
          <w:p w:rsidRPr="00F26881" w:rsidR="008B5578" w:rsidP="00E50893" w:rsidRDefault="008B5578" w14:paraId="1CCCED31" w14:textId="360AF453">
            <w:pPr>
              <w:jc w:val="center"/>
              <w:rPr>
                <w:sz w:val="22"/>
                <w:szCs w:val="22"/>
              </w:rPr>
            </w:pPr>
            <w:r w:rsidRPr="00F26881">
              <w:rPr>
                <w:sz w:val="22"/>
                <w:szCs w:val="22"/>
              </w:rPr>
              <w:t>0.047</w:t>
            </w:r>
          </w:p>
        </w:tc>
        <w:tc>
          <w:tcPr>
            <w:tcW w:w="2160" w:type="dxa"/>
            <w:tcBorders>
              <w:top w:val="single" w:color="auto" w:sz="8" w:space="0"/>
              <w:left w:val="single" w:color="auto" w:sz="8" w:space="0"/>
              <w:bottom w:val="single" w:color="auto" w:sz="8" w:space="0"/>
              <w:right w:val="single" w:color="auto" w:sz="8" w:space="0"/>
            </w:tcBorders>
            <w:vAlign w:val="bottom"/>
          </w:tcPr>
          <w:p w:rsidRPr="00F26881" w:rsidR="008B5578" w:rsidP="00E50893" w:rsidRDefault="008B5578" w14:paraId="7CB43715" w14:textId="50A043BD">
            <w:pPr>
              <w:jc w:val="center"/>
              <w:rPr>
                <w:sz w:val="22"/>
                <w:szCs w:val="22"/>
              </w:rPr>
            </w:pPr>
            <w:r w:rsidRPr="00F26881">
              <w:rPr>
                <w:sz w:val="22"/>
                <w:szCs w:val="22"/>
              </w:rPr>
              <w:t>0.041</w:t>
            </w:r>
          </w:p>
        </w:tc>
      </w:tr>
    </w:tbl>
    <w:p w:rsidRPr="00F26881" w:rsidR="00373C0E" w:rsidP="00373C0E" w:rsidRDefault="00373C0E" w14:paraId="51104640" w14:textId="77777777">
      <w:pPr>
        <w:spacing w:before="120" w:after="360"/>
        <w:jc w:val="both"/>
        <w:rPr>
          <w:sz w:val="20"/>
          <w:szCs w:val="20"/>
        </w:rPr>
      </w:pPr>
      <w:r w:rsidRPr="00F26881">
        <w:rPr>
          <w:sz w:val="20"/>
          <w:szCs w:val="20"/>
        </w:rPr>
        <w:t>* Minimal detectable differences in the table represent actual changes in rates. Percentages are presented in the paragraph above.</w:t>
      </w:r>
    </w:p>
    <w:p w:rsidRPr="00F26881" w:rsidR="007C254F" w:rsidRDefault="00094477" w14:paraId="0B5F481E" w14:textId="1B4F9767">
      <w:pPr>
        <w:rPr>
          <w:rFonts w:cstheme="minorHAnsi"/>
        </w:rPr>
      </w:pPr>
      <w:r w:rsidRPr="00F26881">
        <w:rPr>
          <w:rFonts w:cstheme="minorHAnsi"/>
        </w:rPr>
        <w:t xml:space="preserve">Table </w:t>
      </w:r>
      <w:r w:rsidRPr="00F26881" w:rsidR="005911FD">
        <w:rPr>
          <w:rFonts w:cstheme="minorHAnsi"/>
        </w:rPr>
        <w:t>3</w:t>
      </w:r>
      <w:r w:rsidRPr="00F26881">
        <w:rPr>
          <w:rFonts w:cstheme="minorHAnsi"/>
        </w:rPr>
        <w:t xml:space="preserve"> </w:t>
      </w:r>
      <w:r w:rsidRPr="00F26881" w:rsidR="007C254F">
        <w:rPr>
          <w:rFonts w:cstheme="minorHAnsi"/>
        </w:rPr>
        <w:t xml:space="preserve">shows </w:t>
      </w:r>
      <w:r w:rsidRPr="00F26881">
        <w:rPr>
          <w:rFonts w:cstheme="minorHAnsi"/>
        </w:rPr>
        <w:t xml:space="preserve">the MDDs for SRRs for conditional mean differences. </w:t>
      </w:r>
      <w:r w:rsidRPr="00F26881" w:rsidR="008707CD">
        <w:rPr>
          <w:rFonts w:cstheme="minorHAnsi"/>
        </w:rPr>
        <w:t xml:space="preserve">The </w:t>
      </w:r>
      <w:r w:rsidRPr="00F26881" w:rsidR="00B009FF">
        <w:rPr>
          <w:rFonts w:cstheme="minorHAnsi"/>
        </w:rPr>
        <w:t>table indicate</w:t>
      </w:r>
      <w:r w:rsidRPr="00F26881" w:rsidR="008707CD">
        <w:rPr>
          <w:rFonts w:cstheme="minorHAnsi"/>
        </w:rPr>
        <w:t>s</w:t>
      </w:r>
      <w:r w:rsidRPr="00F26881" w:rsidR="00B009FF">
        <w:rPr>
          <w:rFonts w:cstheme="minorHAnsi"/>
        </w:rPr>
        <w:t xml:space="preserve"> the alpha level assumed for each MDD</w:t>
      </w:r>
      <w:r w:rsidRPr="00F26881">
        <w:rPr>
          <w:rFonts w:cstheme="minorHAnsi"/>
        </w:rPr>
        <w:t xml:space="preserve">. For </w:t>
      </w:r>
      <w:r w:rsidRPr="00F26881" w:rsidR="008707CD">
        <w:rPr>
          <w:rFonts w:cstheme="minorHAnsi"/>
        </w:rPr>
        <w:t xml:space="preserve">the </w:t>
      </w:r>
      <w:r w:rsidRPr="00F26881">
        <w:rPr>
          <w:rFonts w:cstheme="minorHAnsi"/>
        </w:rPr>
        <w:t xml:space="preserve">conditional mean differences, the expected sample size for </w:t>
      </w:r>
      <w:r w:rsidRPr="00F26881" w:rsidR="00B009FF">
        <w:rPr>
          <w:rFonts w:cstheme="minorHAnsi"/>
        </w:rPr>
        <w:t xml:space="preserve">comparing </w:t>
      </w:r>
      <w:r w:rsidRPr="00F26881">
        <w:rPr>
          <w:rFonts w:cstheme="minorHAnsi"/>
        </w:rPr>
        <w:t xml:space="preserve">SRRs across the four incentive conditions </w:t>
      </w:r>
      <w:r w:rsidRPr="00F26881" w:rsidR="00B009FF">
        <w:rPr>
          <w:rFonts w:cstheme="minorHAnsi"/>
        </w:rPr>
        <w:t xml:space="preserve">will allow for detecting </w:t>
      </w:r>
      <w:r w:rsidRPr="00F26881">
        <w:rPr>
          <w:rFonts w:cstheme="minorHAnsi"/>
        </w:rPr>
        <w:t xml:space="preserve">differences ranging from </w:t>
      </w:r>
      <w:r w:rsidRPr="00F26881" w:rsidR="008B1081">
        <w:rPr>
          <w:rFonts w:cstheme="minorHAnsi"/>
        </w:rPr>
        <w:t>5</w:t>
      </w:r>
      <w:r w:rsidRPr="00F26881">
        <w:rPr>
          <w:rFonts w:cstheme="minorHAnsi"/>
        </w:rPr>
        <w:t>.</w:t>
      </w:r>
      <w:r w:rsidRPr="00F26881" w:rsidR="00E101D1">
        <w:rPr>
          <w:rFonts w:cstheme="minorHAnsi"/>
        </w:rPr>
        <w:t>6</w:t>
      </w:r>
      <w:r w:rsidRPr="00F26881" w:rsidR="008B1081">
        <w:rPr>
          <w:rFonts w:cstheme="minorHAnsi"/>
        </w:rPr>
        <w:t>%</w:t>
      </w:r>
      <w:r w:rsidRPr="00F26881">
        <w:rPr>
          <w:rFonts w:cstheme="minorHAnsi"/>
        </w:rPr>
        <w:t xml:space="preserve"> to </w:t>
      </w:r>
      <w:r w:rsidRPr="00F26881" w:rsidR="00E101D1">
        <w:rPr>
          <w:rFonts w:cstheme="minorHAnsi"/>
        </w:rPr>
        <w:t>8</w:t>
      </w:r>
      <w:r w:rsidRPr="00F26881" w:rsidR="008B1081">
        <w:rPr>
          <w:rFonts w:cstheme="minorHAnsi"/>
        </w:rPr>
        <w:t>.3%</w:t>
      </w:r>
      <w:r w:rsidRPr="00F26881" w:rsidR="00B009FF">
        <w:rPr>
          <w:rFonts w:cstheme="minorHAnsi"/>
        </w:rPr>
        <w:t xml:space="preserve"> as statistically significant, </w:t>
      </w:r>
      <w:r w:rsidRPr="00F26881">
        <w:rPr>
          <w:rFonts w:cstheme="minorHAnsi"/>
        </w:rPr>
        <w:t xml:space="preserve">across the </w:t>
      </w:r>
      <w:r w:rsidRPr="00F26881" w:rsidR="00965C69">
        <w:rPr>
          <w:rFonts w:cstheme="minorHAnsi"/>
        </w:rPr>
        <w:t>four</w:t>
      </w:r>
      <w:r w:rsidRPr="00F26881" w:rsidR="00B009FF">
        <w:rPr>
          <w:rFonts w:cstheme="minorHAnsi"/>
        </w:rPr>
        <w:t xml:space="preserve"> </w:t>
      </w:r>
      <w:r w:rsidRPr="00F26881">
        <w:rPr>
          <w:rFonts w:cstheme="minorHAnsi"/>
        </w:rPr>
        <w:t>alpha levels.</w:t>
      </w:r>
    </w:p>
    <w:p w:rsidRPr="00F26881" w:rsidR="007C254F" w:rsidRDefault="007C254F" w14:paraId="051786C4" w14:textId="77777777">
      <w:pPr>
        <w:rPr>
          <w:rFonts w:cstheme="minorHAnsi"/>
        </w:rPr>
      </w:pPr>
    </w:p>
    <w:p w:rsidRPr="00F26881" w:rsidR="00BC4AFA" w:rsidP="008924D1" w:rsidRDefault="00BC4AFA" w14:paraId="2C768470" w14:textId="4A3E583B">
      <w:pPr>
        <w:spacing w:after="120"/>
        <w:ind w:left="864" w:hanging="864"/>
      </w:pPr>
      <w:r w:rsidRPr="00F26881">
        <w:rPr>
          <w:rFonts w:cstheme="minorHAnsi"/>
        </w:rPr>
        <w:t xml:space="preserve">Table </w:t>
      </w:r>
      <w:r w:rsidRPr="00F26881" w:rsidR="005911FD">
        <w:rPr>
          <w:rFonts w:cstheme="minorHAnsi"/>
        </w:rPr>
        <w:t>3</w:t>
      </w:r>
      <w:r w:rsidRPr="00F26881">
        <w:rPr>
          <w:rFonts w:cstheme="minorHAnsi"/>
        </w:rPr>
        <w:t xml:space="preserve">. </w:t>
      </w:r>
      <w:r w:rsidRPr="00F26881" w:rsidR="0012600A">
        <w:rPr>
          <w:rFonts w:cstheme="minorHAnsi"/>
        </w:rPr>
        <w:t>Minimum</w:t>
      </w:r>
      <w:r w:rsidRPr="00F26881" w:rsidR="007068D4">
        <w:rPr>
          <w:rFonts w:cstheme="minorHAnsi"/>
        </w:rPr>
        <w:t xml:space="preserve"> Detectable Differences</w:t>
      </w:r>
      <w:r w:rsidRPr="00F26881">
        <w:rPr>
          <w:rFonts w:cstheme="minorHAnsi"/>
        </w:rPr>
        <w:t xml:space="preserve"> for Screening Response Rates: </w:t>
      </w:r>
      <w:r w:rsidRPr="00F26881">
        <w:t>Conditional Mean Differences</w:t>
      </w:r>
      <w:r w:rsidRPr="00F26881" w:rsidR="003618DC">
        <w:t xml:space="preserve"> </w:t>
      </w:r>
      <w:r w:rsidRPr="00F26881" w:rsidR="00A32AF4">
        <w:t>(</w:t>
      </w:r>
      <w:r w:rsidRPr="00F26881" w:rsidR="003618DC">
        <w:t xml:space="preserve">sample size = n/2 if interaction </w:t>
      </w:r>
      <w:r w:rsidRPr="00F26881" w:rsidR="00A32AF4">
        <w:t xml:space="preserve">is </w:t>
      </w:r>
      <w:r w:rsidRPr="00F26881" w:rsidR="003618DC">
        <w:t>statistically significant)</w:t>
      </w:r>
    </w:p>
    <w:tbl>
      <w:tblPr>
        <w:tblW w:w="8720" w:type="dxa"/>
        <w:tblLook w:val="04A0" w:firstRow="1" w:lastRow="0" w:firstColumn="1" w:lastColumn="0" w:noHBand="0" w:noVBand="1"/>
      </w:tblPr>
      <w:tblGrid>
        <w:gridCol w:w="2240"/>
        <w:gridCol w:w="2160"/>
        <w:gridCol w:w="2160"/>
        <w:gridCol w:w="2160"/>
      </w:tblGrid>
      <w:tr w:rsidRPr="00F26881" w:rsidR="00F26881" w:rsidTr="001754C1" w14:paraId="2CD000B0" w14:textId="769B5FFA">
        <w:trPr>
          <w:trHeight w:val="280"/>
        </w:trPr>
        <w:tc>
          <w:tcPr>
            <w:tcW w:w="2240" w:type="dxa"/>
            <w:tcBorders>
              <w:top w:val="single" w:color="auto" w:sz="8" w:space="0"/>
              <w:left w:val="single" w:color="auto" w:sz="8" w:space="0"/>
              <w:bottom w:val="single" w:color="auto" w:sz="8" w:space="0"/>
              <w:right w:val="single" w:color="auto" w:sz="8" w:space="0"/>
            </w:tcBorders>
            <w:shd w:val="clear" w:color="auto" w:fill="B8CCE4" w:themeFill="accent1" w:themeFillTint="66"/>
            <w:noWrap/>
            <w:vAlign w:val="bottom"/>
          </w:tcPr>
          <w:p w:rsidRPr="00F26881" w:rsidR="00332D84" w:rsidP="00332D84" w:rsidRDefault="00332D84" w14:paraId="2EF60295" w14:textId="55C22A95">
            <w:pPr>
              <w:jc w:val="center"/>
              <w:rPr>
                <w:b/>
                <w:bCs/>
                <w:i/>
                <w:iCs/>
                <w:sz w:val="22"/>
                <w:szCs w:val="22"/>
              </w:rPr>
            </w:pPr>
            <w:r w:rsidRPr="00F26881">
              <w:rPr>
                <w:b/>
                <w:bCs/>
                <w:i/>
                <w:iCs/>
                <w:sz w:val="22"/>
                <w:szCs w:val="22"/>
              </w:rPr>
              <w:t>Alpha=0.01</w:t>
            </w:r>
          </w:p>
        </w:tc>
        <w:tc>
          <w:tcPr>
            <w:tcW w:w="2160" w:type="dxa"/>
            <w:tcBorders>
              <w:top w:val="single" w:color="auto" w:sz="8" w:space="0"/>
              <w:left w:val="nil"/>
              <w:bottom w:val="single" w:color="auto" w:sz="8" w:space="0"/>
              <w:right w:val="single" w:color="auto" w:sz="8" w:space="0"/>
            </w:tcBorders>
            <w:shd w:val="clear" w:color="auto" w:fill="B8CCE4" w:themeFill="accent1" w:themeFillTint="66"/>
            <w:noWrap/>
            <w:vAlign w:val="bottom"/>
          </w:tcPr>
          <w:p w:rsidRPr="00F26881" w:rsidR="00332D84" w:rsidP="00332D84" w:rsidRDefault="00332D84" w14:paraId="2ECDEB7E" w14:textId="1E226C7F">
            <w:pPr>
              <w:jc w:val="center"/>
              <w:rPr>
                <w:b/>
                <w:bCs/>
                <w:i/>
                <w:iCs/>
                <w:sz w:val="22"/>
                <w:szCs w:val="22"/>
              </w:rPr>
            </w:pPr>
            <w:r w:rsidRPr="00F26881">
              <w:rPr>
                <w:b/>
                <w:bCs/>
                <w:i/>
                <w:iCs/>
                <w:sz w:val="22"/>
                <w:szCs w:val="22"/>
              </w:rPr>
              <w:t>Alpha=0.02</w:t>
            </w:r>
          </w:p>
        </w:tc>
        <w:tc>
          <w:tcPr>
            <w:tcW w:w="2160" w:type="dxa"/>
            <w:tcBorders>
              <w:top w:val="single" w:color="auto" w:sz="8" w:space="0"/>
              <w:left w:val="nil"/>
              <w:bottom w:val="single" w:color="auto" w:sz="8" w:space="0"/>
              <w:right w:val="single" w:color="auto" w:sz="8" w:space="0"/>
            </w:tcBorders>
            <w:shd w:val="clear" w:color="auto" w:fill="B8CCE4" w:themeFill="accent1" w:themeFillTint="66"/>
            <w:vAlign w:val="bottom"/>
          </w:tcPr>
          <w:p w:rsidRPr="00F26881" w:rsidR="00332D84" w:rsidP="00332D84" w:rsidRDefault="00332D84" w14:paraId="21D744FC" w14:textId="3608963A">
            <w:pPr>
              <w:jc w:val="center"/>
              <w:rPr>
                <w:b/>
                <w:bCs/>
                <w:i/>
                <w:iCs/>
                <w:sz w:val="22"/>
                <w:szCs w:val="22"/>
              </w:rPr>
            </w:pPr>
            <w:r w:rsidRPr="00F26881">
              <w:rPr>
                <w:b/>
                <w:bCs/>
                <w:i/>
                <w:iCs/>
                <w:sz w:val="22"/>
                <w:szCs w:val="22"/>
              </w:rPr>
              <w:t>Alpha=0.05</w:t>
            </w:r>
          </w:p>
        </w:tc>
        <w:tc>
          <w:tcPr>
            <w:tcW w:w="2160" w:type="dxa"/>
            <w:tcBorders>
              <w:top w:val="single" w:color="auto" w:sz="8" w:space="0"/>
              <w:left w:val="single" w:color="auto" w:sz="8" w:space="0"/>
              <w:bottom w:val="single" w:color="auto" w:sz="8" w:space="0"/>
              <w:right w:val="single" w:color="auto" w:sz="8" w:space="0"/>
            </w:tcBorders>
            <w:shd w:val="clear" w:color="auto" w:fill="B8CCE4" w:themeFill="accent1" w:themeFillTint="66"/>
            <w:vAlign w:val="bottom"/>
          </w:tcPr>
          <w:p w:rsidRPr="00F26881" w:rsidR="00332D84" w:rsidP="00332D84" w:rsidRDefault="00332D84" w14:paraId="693CB77F" w14:textId="33402D01">
            <w:pPr>
              <w:jc w:val="center"/>
              <w:rPr>
                <w:b/>
                <w:bCs/>
                <w:i/>
                <w:iCs/>
                <w:sz w:val="22"/>
                <w:szCs w:val="22"/>
              </w:rPr>
            </w:pPr>
            <w:r w:rsidRPr="00F26881">
              <w:rPr>
                <w:b/>
                <w:bCs/>
                <w:i/>
                <w:iCs/>
                <w:sz w:val="22"/>
                <w:szCs w:val="22"/>
              </w:rPr>
              <w:t>Alpha=0.10</w:t>
            </w:r>
          </w:p>
        </w:tc>
      </w:tr>
      <w:tr w:rsidRPr="00F26881" w:rsidR="00F26881" w:rsidTr="00332D84" w14:paraId="4A371058" w14:textId="2D7E88C3">
        <w:trPr>
          <w:trHeight w:val="270"/>
        </w:trPr>
        <w:tc>
          <w:tcPr>
            <w:tcW w:w="2240" w:type="dxa"/>
            <w:tcBorders>
              <w:top w:val="nil"/>
              <w:left w:val="single" w:color="auto" w:sz="8" w:space="0"/>
              <w:bottom w:val="single" w:color="auto" w:sz="8" w:space="0"/>
              <w:right w:val="single" w:color="auto" w:sz="8" w:space="0"/>
            </w:tcBorders>
            <w:shd w:val="clear" w:color="auto" w:fill="auto"/>
            <w:noWrap/>
            <w:vAlign w:val="bottom"/>
            <w:hideMark/>
          </w:tcPr>
          <w:p w:rsidRPr="00F26881" w:rsidR="00332D84" w:rsidP="00332D84" w:rsidRDefault="00332D84" w14:paraId="147CBEE8" w14:textId="78F801B8">
            <w:pPr>
              <w:jc w:val="center"/>
              <w:rPr>
                <w:b/>
                <w:bCs/>
                <w:sz w:val="22"/>
                <w:szCs w:val="22"/>
              </w:rPr>
            </w:pPr>
            <w:r w:rsidRPr="00F26881">
              <w:rPr>
                <w:sz w:val="22"/>
                <w:szCs w:val="22"/>
              </w:rPr>
              <w:t>0.083</w:t>
            </w:r>
          </w:p>
        </w:tc>
        <w:tc>
          <w:tcPr>
            <w:tcW w:w="2160" w:type="dxa"/>
            <w:tcBorders>
              <w:top w:val="single" w:color="auto" w:sz="8" w:space="0"/>
              <w:left w:val="single" w:color="auto" w:sz="8" w:space="0"/>
              <w:bottom w:val="single" w:color="auto" w:sz="8" w:space="0"/>
              <w:right w:val="single" w:color="auto" w:sz="8" w:space="0"/>
            </w:tcBorders>
            <w:vAlign w:val="bottom"/>
          </w:tcPr>
          <w:p w:rsidRPr="00F26881" w:rsidR="00332D84" w:rsidP="00332D84" w:rsidRDefault="00332D84" w14:paraId="14DB1691" w14:textId="70F24D1A">
            <w:pPr>
              <w:jc w:val="center"/>
              <w:rPr>
                <w:b/>
                <w:bCs/>
                <w:sz w:val="22"/>
                <w:szCs w:val="22"/>
              </w:rPr>
            </w:pPr>
            <w:r w:rsidRPr="00F26881">
              <w:rPr>
                <w:sz w:val="22"/>
                <w:szCs w:val="22"/>
              </w:rPr>
              <w:t>0.076</w:t>
            </w:r>
          </w:p>
        </w:tc>
        <w:tc>
          <w:tcPr>
            <w:tcW w:w="2160" w:type="dxa"/>
            <w:tcBorders>
              <w:top w:val="single" w:color="auto" w:sz="8" w:space="0"/>
              <w:left w:val="single" w:color="auto" w:sz="8" w:space="0"/>
              <w:bottom w:val="single" w:color="auto" w:sz="8" w:space="0"/>
              <w:right w:val="single" w:color="auto" w:sz="8" w:space="0"/>
            </w:tcBorders>
            <w:vAlign w:val="bottom"/>
          </w:tcPr>
          <w:p w:rsidRPr="00F26881" w:rsidR="00332D84" w:rsidP="00332D84" w:rsidRDefault="00332D84" w14:paraId="3813F685" w14:textId="02780E15">
            <w:pPr>
              <w:jc w:val="center"/>
              <w:rPr>
                <w:sz w:val="22"/>
                <w:szCs w:val="22"/>
              </w:rPr>
            </w:pPr>
            <w:r w:rsidRPr="00F26881">
              <w:rPr>
                <w:sz w:val="22"/>
                <w:szCs w:val="22"/>
              </w:rPr>
              <w:t>0.066</w:t>
            </w:r>
          </w:p>
        </w:tc>
        <w:tc>
          <w:tcPr>
            <w:tcW w:w="2160" w:type="dxa"/>
            <w:tcBorders>
              <w:top w:val="single" w:color="auto" w:sz="8" w:space="0"/>
              <w:left w:val="single" w:color="auto" w:sz="8" w:space="0"/>
              <w:bottom w:val="single" w:color="auto" w:sz="8" w:space="0"/>
              <w:right w:val="single" w:color="auto" w:sz="8" w:space="0"/>
            </w:tcBorders>
            <w:vAlign w:val="bottom"/>
          </w:tcPr>
          <w:p w:rsidRPr="00F26881" w:rsidR="00332D84" w:rsidP="00332D84" w:rsidRDefault="00332D84" w14:paraId="31776C04" w14:textId="400B60D8">
            <w:pPr>
              <w:jc w:val="center"/>
              <w:rPr>
                <w:sz w:val="22"/>
                <w:szCs w:val="22"/>
              </w:rPr>
            </w:pPr>
            <w:r w:rsidRPr="00F26881">
              <w:rPr>
                <w:sz w:val="22"/>
                <w:szCs w:val="22"/>
              </w:rPr>
              <w:t>0.056</w:t>
            </w:r>
          </w:p>
        </w:tc>
      </w:tr>
    </w:tbl>
    <w:p w:rsidRPr="00F26881" w:rsidR="004C531D" w:rsidP="00C32B8D" w:rsidRDefault="008B1081" w14:paraId="755A040A" w14:textId="0A131A4C">
      <w:pPr>
        <w:spacing w:before="120" w:after="360"/>
        <w:jc w:val="both"/>
        <w:rPr>
          <w:sz w:val="20"/>
          <w:szCs w:val="20"/>
        </w:rPr>
      </w:pPr>
      <w:bookmarkStart w:name="_Hlk18580343" w:id="4"/>
      <w:r w:rsidRPr="00F26881">
        <w:rPr>
          <w:sz w:val="20"/>
          <w:szCs w:val="20"/>
        </w:rPr>
        <w:t>* Minimal detectable differences in the table represent actual changes in rates. Percentages are presented in the paragraph above.</w:t>
      </w:r>
    </w:p>
    <w:bookmarkEnd w:id="4"/>
    <w:p w:rsidRPr="00F26881" w:rsidR="00472BCF" w:rsidP="00472BCF" w:rsidRDefault="00472BCF" w14:paraId="2C7901F7" w14:textId="4C61E9DC">
      <w:pPr>
        <w:pStyle w:val="ListParagraph"/>
        <w:spacing w:after="120"/>
        <w:ind w:left="0"/>
        <w:contextualSpacing w:val="0"/>
        <w:rPr>
          <w:bCs/>
        </w:rPr>
      </w:pPr>
      <w:r w:rsidRPr="00F26881">
        <w:rPr>
          <w:b/>
          <w:i/>
        </w:rPr>
        <w:t>Analysis 2</w:t>
      </w:r>
      <w:r w:rsidRPr="00F26881">
        <w:rPr>
          <w:b/>
          <w:iCs/>
        </w:rPr>
        <w:t>: Weighted IRRs</w:t>
      </w:r>
    </w:p>
    <w:p w:rsidRPr="00F26881" w:rsidR="00472BCF" w:rsidP="001754C1" w:rsidRDefault="00472BCF" w14:paraId="0DCBA851" w14:textId="287DD090">
      <w:pPr>
        <w:pStyle w:val="ListParagraph"/>
        <w:ind w:left="0"/>
        <w:contextualSpacing w:val="0"/>
        <w:rPr>
          <w:bCs/>
        </w:rPr>
      </w:pPr>
      <w:r w:rsidRPr="00F26881">
        <w:rPr>
          <w:bCs/>
        </w:rPr>
        <w:t xml:space="preserve">For IRRs, sample sizes for the three sampling scenarios were based on the expected number of persons aged 12 or older </w:t>
      </w:r>
      <w:r w:rsidRPr="00F26881">
        <w:t xml:space="preserve">selected for an interview, among all completed screenings for each sample size scenario, which </w:t>
      </w:r>
      <w:r w:rsidRPr="00F26881" w:rsidR="00596721">
        <w:t>wa</w:t>
      </w:r>
      <w:r w:rsidRPr="00F26881">
        <w:t>s projected to be</w:t>
      </w:r>
      <w:r w:rsidRPr="00F26881" w:rsidR="008C0EE0">
        <w:t xml:space="preserve"> 6,206.</w:t>
      </w:r>
    </w:p>
    <w:p w:rsidRPr="00F26881" w:rsidR="00472BCF" w:rsidP="00B009FF" w:rsidRDefault="00472BCF" w14:paraId="2ADAFCCF" w14:textId="61113899">
      <w:pPr>
        <w:rPr>
          <w:rFonts w:cstheme="minorHAnsi"/>
          <w:i/>
          <w:iCs/>
        </w:rPr>
      </w:pPr>
    </w:p>
    <w:p w:rsidRPr="00F26881" w:rsidR="008C0EE0" w:rsidP="008C0EE0" w:rsidRDefault="008C0EE0" w14:paraId="7B8343E7" w14:textId="77777777">
      <w:pPr>
        <w:spacing w:after="240"/>
      </w:pPr>
      <w:r w:rsidRPr="00F26881">
        <w:t>The null (H</w:t>
      </w:r>
      <w:r w:rsidRPr="00F26881">
        <w:rPr>
          <w:vertAlign w:val="subscript"/>
        </w:rPr>
        <w:t>o</w:t>
      </w:r>
      <w:r w:rsidRPr="00F26881">
        <w:t>) and alternative (H</w:t>
      </w:r>
      <w:r w:rsidRPr="00F26881">
        <w:rPr>
          <w:vertAlign w:val="subscript"/>
        </w:rPr>
        <w:t>a</w:t>
      </w:r>
      <w:r w:rsidRPr="00F26881">
        <w:t>) hypotheses specified for each marginal difference (main effects applicable when the interaction between the screening and interview incentive amounts are not significant) were:</w:t>
      </w:r>
    </w:p>
    <w:p w:rsidRPr="00F26881" w:rsidR="008C0EE0" w:rsidP="008C0EE0" w:rsidRDefault="008C0EE0" w14:paraId="75D0F4D1" w14:textId="77777777">
      <w:pPr>
        <w:pStyle w:val="ListParagraph"/>
        <w:numPr>
          <w:ilvl w:val="0"/>
          <w:numId w:val="40"/>
        </w:numPr>
        <w:spacing w:after="120"/>
        <w:ind w:left="1080"/>
        <w:contextualSpacing w:val="0"/>
      </w:pPr>
      <w:r w:rsidRPr="00F26881">
        <w:t>Interview incentive and SRR</w:t>
      </w:r>
    </w:p>
    <w:p w:rsidRPr="00F26881" w:rsidR="008C0EE0" w:rsidP="008C0EE0" w:rsidRDefault="008C0EE0" w14:paraId="6C4CF886" w14:textId="77777777">
      <w:pPr>
        <w:pStyle w:val="ListParagraph"/>
        <w:spacing w:after="120"/>
        <w:ind w:left="1440" w:hanging="360"/>
        <w:contextualSpacing w:val="0"/>
      </w:pPr>
      <w:r w:rsidRPr="00F26881">
        <w:t>H</w:t>
      </w:r>
      <w:r w:rsidRPr="00F26881">
        <w:rPr>
          <w:vertAlign w:val="subscript"/>
        </w:rPr>
        <w:t>o</w:t>
      </w:r>
      <w:r w:rsidRPr="00F26881">
        <w:t>: SRR ($30) – SRR ($50) = 0</w:t>
      </w:r>
    </w:p>
    <w:p w:rsidRPr="00F26881" w:rsidR="008C0EE0" w:rsidP="008C0EE0" w:rsidRDefault="008C0EE0" w14:paraId="5FE71D98" w14:textId="77777777">
      <w:pPr>
        <w:pStyle w:val="ListParagraph"/>
        <w:spacing w:after="240"/>
        <w:ind w:left="1440" w:hanging="360"/>
        <w:contextualSpacing w:val="0"/>
      </w:pPr>
      <w:r w:rsidRPr="00F26881">
        <w:t>H</w:t>
      </w:r>
      <w:r w:rsidRPr="00F26881">
        <w:rPr>
          <w:vertAlign w:val="subscript"/>
        </w:rPr>
        <w:t>a</w:t>
      </w:r>
      <w:r w:rsidRPr="00F26881">
        <w:t>: SRR ($50) – SRR ($30) &gt; 0</w:t>
      </w:r>
    </w:p>
    <w:p w:rsidRPr="00F26881" w:rsidR="008C0EE0" w:rsidP="008C0EE0" w:rsidRDefault="008C0EE0" w14:paraId="4067463B" w14:textId="77777777">
      <w:pPr>
        <w:pStyle w:val="ListParagraph"/>
        <w:numPr>
          <w:ilvl w:val="0"/>
          <w:numId w:val="40"/>
        </w:numPr>
        <w:spacing w:after="120"/>
        <w:ind w:left="1080"/>
        <w:contextualSpacing w:val="0"/>
      </w:pPr>
      <w:r w:rsidRPr="00F26881">
        <w:t>Interview incentive and IRR</w:t>
      </w:r>
    </w:p>
    <w:p w:rsidRPr="00F26881" w:rsidR="008C0EE0" w:rsidP="008C0EE0" w:rsidRDefault="008C0EE0" w14:paraId="54FE227E" w14:textId="77777777">
      <w:pPr>
        <w:pStyle w:val="ListParagraph"/>
        <w:spacing w:after="120"/>
        <w:ind w:left="1440" w:hanging="360"/>
        <w:contextualSpacing w:val="0"/>
      </w:pPr>
      <w:r w:rsidRPr="00F26881">
        <w:t>H</w:t>
      </w:r>
      <w:r w:rsidRPr="00F26881">
        <w:rPr>
          <w:vertAlign w:val="subscript"/>
        </w:rPr>
        <w:t>o</w:t>
      </w:r>
      <w:r w:rsidRPr="00F26881">
        <w:t>: IRR ($30) – IRR ($50) = 0</w:t>
      </w:r>
    </w:p>
    <w:p w:rsidRPr="00F26881" w:rsidR="008C0EE0" w:rsidP="008C0EE0" w:rsidRDefault="008C0EE0" w14:paraId="347E2C8B" w14:textId="77777777">
      <w:pPr>
        <w:pStyle w:val="ListParagraph"/>
        <w:spacing w:after="240"/>
        <w:ind w:left="1440" w:hanging="360"/>
        <w:contextualSpacing w:val="0"/>
      </w:pPr>
      <w:r w:rsidRPr="00F26881">
        <w:t>H</w:t>
      </w:r>
      <w:r w:rsidRPr="00F26881">
        <w:rPr>
          <w:vertAlign w:val="subscript"/>
        </w:rPr>
        <w:t>a</w:t>
      </w:r>
      <w:r w:rsidRPr="00F26881">
        <w:t>: IRR ($50) – IRR ($30) &gt; 0</w:t>
      </w:r>
    </w:p>
    <w:p w:rsidRPr="00F26881" w:rsidR="005A1F78" w:rsidRDefault="005A1F78" w14:paraId="4A44D900" w14:textId="77777777">
      <w:r w:rsidRPr="00F26881">
        <w:br w:type="page"/>
      </w:r>
    </w:p>
    <w:p w:rsidRPr="00F26881" w:rsidR="008C0EE0" w:rsidP="008C0EE0" w:rsidRDefault="008C0EE0" w14:paraId="677F9222" w14:textId="76E5002E">
      <w:pPr>
        <w:keepNext/>
        <w:spacing w:after="240"/>
      </w:pPr>
      <w:r w:rsidRPr="00F26881">
        <w:lastRenderedPageBreak/>
        <w:t>The null (H</w:t>
      </w:r>
      <w:r w:rsidRPr="00F26881">
        <w:rPr>
          <w:vertAlign w:val="subscript"/>
        </w:rPr>
        <w:t>o</w:t>
      </w:r>
      <w:r w:rsidRPr="00F26881">
        <w:t>) and alternative (H</w:t>
      </w:r>
      <w:r w:rsidRPr="00F26881">
        <w:rPr>
          <w:vertAlign w:val="subscript"/>
        </w:rPr>
        <w:t>a</w:t>
      </w:r>
      <w:r w:rsidRPr="00F26881">
        <w:t>) hypotheses specified for each conditional difference (applicable when the interaction the screening and interview incentive amounts is significant), were:</w:t>
      </w:r>
    </w:p>
    <w:p w:rsidRPr="00F26881" w:rsidR="008C0EE0" w:rsidP="008C0EE0" w:rsidRDefault="008C0EE0" w14:paraId="241600B0" w14:textId="77777777">
      <w:pPr>
        <w:pStyle w:val="ListParagraph"/>
        <w:numPr>
          <w:ilvl w:val="0"/>
          <w:numId w:val="41"/>
        </w:numPr>
        <w:spacing w:after="120"/>
        <w:ind w:left="1080"/>
        <w:contextualSpacing w:val="0"/>
      </w:pPr>
      <w:r w:rsidRPr="00F26881">
        <w:t>Interview incentive and IRR, conditional on $0 screening incentive</w:t>
      </w:r>
    </w:p>
    <w:p w:rsidRPr="00F26881" w:rsidR="008C0EE0" w:rsidP="008C0EE0" w:rsidRDefault="008C0EE0" w14:paraId="7B252DB6" w14:textId="77777777">
      <w:pPr>
        <w:spacing w:after="120"/>
        <w:ind w:left="1080"/>
      </w:pPr>
      <w:r w:rsidRPr="00F26881">
        <w:t>H</w:t>
      </w:r>
      <w:r w:rsidRPr="00F26881">
        <w:rPr>
          <w:vertAlign w:val="subscript"/>
        </w:rPr>
        <w:t>o</w:t>
      </w:r>
      <w:r w:rsidRPr="00F26881">
        <w:t>: IRR ($50; $0) – IRR ($30; $0) = 0</w:t>
      </w:r>
    </w:p>
    <w:p w:rsidRPr="00F26881" w:rsidR="008C0EE0" w:rsidP="008C0EE0" w:rsidRDefault="008C0EE0" w14:paraId="5C578DC9" w14:textId="77777777">
      <w:pPr>
        <w:spacing w:after="240"/>
        <w:ind w:left="1080"/>
      </w:pPr>
      <w:r w:rsidRPr="00F26881">
        <w:t>H</w:t>
      </w:r>
      <w:r w:rsidRPr="00F26881">
        <w:rPr>
          <w:vertAlign w:val="subscript"/>
        </w:rPr>
        <w:t>a</w:t>
      </w:r>
      <w:r w:rsidRPr="00F26881">
        <w:t>: IRR ($50; $0) – IRR ($30; $0) &gt; 0</w:t>
      </w:r>
    </w:p>
    <w:p w:rsidRPr="00F26881" w:rsidR="008C0EE0" w:rsidP="008C0EE0" w:rsidRDefault="008C0EE0" w14:paraId="25E73CCD" w14:textId="77777777">
      <w:pPr>
        <w:pStyle w:val="ListParagraph"/>
        <w:keepNext/>
        <w:numPr>
          <w:ilvl w:val="0"/>
          <w:numId w:val="41"/>
        </w:numPr>
        <w:spacing w:after="120"/>
        <w:ind w:left="1080"/>
        <w:contextualSpacing w:val="0"/>
      </w:pPr>
      <w:r w:rsidRPr="00F26881">
        <w:t>Interview incentive and IRR, conditional on $5 screening incentive</w:t>
      </w:r>
    </w:p>
    <w:p w:rsidRPr="00F26881" w:rsidR="008C0EE0" w:rsidP="008C0EE0" w:rsidRDefault="008C0EE0" w14:paraId="331443B7" w14:textId="77777777">
      <w:pPr>
        <w:keepNext/>
        <w:spacing w:after="120"/>
        <w:ind w:left="1080"/>
      </w:pPr>
      <w:r w:rsidRPr="00F26881">
        <w:t>H</w:t>
      </w:r>
      <w:r w:rsidRPr="00F26881">
        <w:rPr>
          <w:vertAlign w:val="subscript"/>
        </w:rPr>
        <w:t>o</w:t>
      </w:r>
      <w:r w:rsidRPr="00F26881">
        <w:t>: IRR ($50; $5) – IRR ($30; $5) = 0</w:t>
      </w:r>
    </w:p>
    <w:p w:rsidRPr="00F26881" w:rsidR="008C0EE0" w:rsidP="008C0EE0" w:rsidRDefault="008C0EE0" w14:paraId="2B7682A6" w14:textId="77777777">
      <w:pPr>
        <w:keepNext/>
        <w:spacing w:after="240"/>
        <w:ind w:left="1080"/>
      </w:pPr>
      <w:r w:rsidRPr="00F26881">
        <w:t>H</w:t>
      </w:r>
      <w:r w:rsidRPr="00F26881">
        <w:rPr>
          <w:vertAlign w:val="subscript"/>
        </w:rPr>
        <w:t>a</w:t>
      </w:r>
      <w:r w:rsidRPr="00F26881">
        <w:t>: IRR ($50; $5) – IRR ($30; $5) &gt; 0</w:t>
      </w:r>
    </w:p>
    <w:p w:rsidRPr="00F26881" w:rsidR="000A4EDC" w:rsidP="000A4EDC" w:rsidRDefault="000A4EDC" w14:paraId="1F4C9A81" w14:textId="0D37D83B">
      <w:pPr>
        <w:rPr>
          <w:rFonts w:cstheme="minorHAnsi"/>
        </w:rPr>
      </w:pPr>
      <w:r w:rsidRPr="00F26881">
        <w:rPr>
          <w:rFonts w:cstheme="minorHAnsi"/>
        </w:rPr>
        <w:t xml:space="preserve">Table 4 shows the MDDs for IRRs for </w:t>
      </w:r>
      <w:r w:rsidRPr="00F26881" w:rsidR="009B59F4">
        <w:rPr>
          <w:rFonts w:cstheme="minorHAnsi"/>
        </w:rPr>
        <w:t xml:space="preserve">marginal </w:t>
      </w:r>
      <w:r w:rsidRPr="00F26881">
        <w:rPr>
          <w:rFonts w:cstheme="minorHAnsi"/>
        </w:rPr>
        <w:t xml:space="preserve">mean differences. The table indicates the alpha level assumed for each MDD. For conditional mean differences, the expected sample size for comparing IRRs across the four incentive conditions will allow for detecting </w:t>
      </w:r>
      <w:r w:rsidRPr="00F26881" w:rsidR="00EA654B">
        <w:rPr>
          <w:rFonts w:cstheme="minorHAnsi"/>
        </w:rPr>
        <w:t xml:space="preserve">a difference of </w:t>
      </w:r>
      <w:r w:rsidRPr="00F26881" w:rsidR="00F11B67">
        <w:rPr>
          <w:rFonts w:cstheme="minorHAnsi"/>
        </w:rPr>
        <w:t>5</w:t>
      </w:r>
      <w:r w:rsidRPr="00F26881" w:rsidR="00EA654B">
        <w:rPr>
          <w:rFonts w:cstheme="minorHAnsi"/>
        </w:rPr>
        <w:t>.</w:t>
      </w:r>
      <w:r w:rsidRPr="00F26881" w:rsidR="00F11B67">
        <w:rPr>
          <w:rFonts w:cstheme="minorHAnsi"/>
        </w:rPr>
        <w:t>2</w:t>
      </w:r>
      <w:r w:rsidRPr="00F26881" w:rsidR="00EA654B">
        <w:rPr>
          <w:rFonts w:cstheme="minorHAnsi"/>
        </w:rPr>
        <w:t xml:space="preserve">% </w:t>
      </w:r>
      <w:r w:rsidRPr="00F26881" w:rsidR="00A91630">
        <w:rPr>
          <w:rFonts w:cstheme="minorHAnsi"/>
        </w:rPr>
        <w:t xml:space="preserve">as statistically significant </w:t>
      </w:r>
      <w:r w:rsidRPr="00F26881" w:rsidR="00EA654B">
        <w:rPr>
          <w:rFonts w:cstheme="minorHAnsi"/>
        </w:rPr>
        <w:t xml:space="preserve">when alpha is 0.05 and </w:t>
      </w:r>
      <w:r w:rsidRPr="00F26881" w:rsidR="006C6B81">
        <w:rPr>
          <w:rFonts w:cstheme="minorHAnsi"/>
        </w:rPr>
        <w:t xml:space="preserve">a difference of </w:t>
      </w:r>
      <w:r w:rsidRPr="00F26881" w:rsidR="00EA654B">
        <w:rPr>
          <w:rFonts w:cstheme="minorHAnsi"/>
        </w:rPr>
        <w:t>4.</w:t>
      </w:r>
      <w:r w:rsidRPr="00F26881" w:rsidR="00F11B67">
        <w:rPr>
          <w:rFonts w:cstheme="minorHAnsi"/>
        </w:rPr>
        <w:t>4</w:t>
      </w:r>
      <w:r w:rsidRPr="00F26881" w:rsidR="00EA654B">
        <w:rPr>
          <w:rFonts w:cstheme="minorHAnsi"/>
        </w:rPr>
        <w:t xml:space="preserve">% </w:t>
      </w:r>
      <w:r w:rsidRPr="00F26881" w:rsidR="00A91630">
        <w:rPr>
          <w:rFonts w:cstheme="minorHAnsi"/>
        </w:rPr>
        <w:t xml:space="preserve">as statistically significant </w:t>
      </w:r>
      <w:r w:rsidRPr="00F26881" w:rsidR="00EA654B">
        <w:rPr>
          <w:rFonts w:cstheme="minorHAnsi"/>
        </w:rPr>
        <w:t>when alpha is 0.10</w:t>
      </w:r>
      <w:r w:rsidRPr="00F26881" w:rsidR="00A91630">
        <w:rPr>
          <w:rFonts w:cstheme="minorHAnsi"/>
        </w:rPr>
        <w:t>.</w:t>
      </w:r>
    </w:p>
    <w:p w:rsidRPr="00F26881" w:rsidR="00771B3B" w:rsidP="000A4EDC" w:rsidRDefault="00771B3B" w14:paraId="2ECD3312" w14:textId="112D1089">
      <w:pPr>
        <w:rPr>
          <w:rFonts w:cstheme="minorHAnsi"/>
        </w:rPr>
      </w:pPr>
    </w:p>
    <w:p w:rsidRPr="00F26881" w:rsidR="00771B3B" w:rsidP="00771B3B" w:rsidRDefault="00771B3B" w14:paraId="1572A931" w14:textId="40BC1B51">
      <w:pPr>
        <w:spacing w:after="120"/>
        <w:ind w:left="864" w:hanging="864"/>
      </w:pPr>
      <w:r w:rsidRPr="00F26881">
        <w:rPr>
          <w:rFonts w:cstheme="minorHAnsi"/>
        </w:rPr>
        <w:t xml:space="preserve">Table </w:t>
      </w:r>
      <w:r w:rsidRPr="00F26881" w:rsidR="00A409A0">
        <w:rPr>
          <w:rFonts w:cstheme="minorHAnsi"/>
        </w:rPr>
        <w:t>4</w:t>
      </w:r>
      <w:r w:rsidRPr="00F26881">
        <w:rPr>
          <w:rFonts w:cstheme="minorHAnsi"/>
        </w:rPr>
        <w:t xml:space="preserve">. Minimum Detectable Differences for Interview Response Rates: </w:t>
      </w:r>
      <w:r w:rsidRPr="00F26881">
        <w:t>Marginal Mean Differences</w:t>
      </w:r>
    </w:p>
    <w:tbl>
      <w:tblPr>
        <w:tblW w:w="4320" w:type="dxa"/>
        <w:tblInd w:w="10" w:type="dxa"/>
        <w:tblLook w:val="04A0" w:firstRow="1" w:lastRow="0" w:firstColumn="1" w:lastColumn="0" w:noHBand="0" w:noVBand="1"/>
      </w:tblPr>
      <w:tblGrid>
        <w:gridCol w:w="2160"/>
        <w:gridCol w:w="2160"/>
      </w:tblGrid>
      <w:tr w:rsidRPr="00F26881" w:rsidR="00F26881" w:rsidTr="00E50893" w14:paraId="6C12336F" w14:textId="77777777">
        <w:trPr>
          <w:trHeight w:val="280"/>
        </w:trPr>
        <w:tc>
          <w:tcPr>
            <w:tcW w:w="2160" w:type="dxa"/>
            <w:tcBorders>
              <w:top w:val="single" w:color="auto" w:sz="8" w:space="0"/>
              <w:left w:val="single" w:color="auto" w:sz="8" w:space="0"/>
              <w:bottom w:val="single" w:color="auto" w:sz="8" w:space="0"/>
              <w:right w:val="single" w:color="auto" w:sz="8" w:space="0"/>
            </w:tcBorders>
            <w:shd w:val="clear" w:color="auto" w:fill="B8CCE4" w:themeFill="accent1" w:themeFillTint="66"/>
            <w:vAlign w:val="bottom"/>
          </w:tcPr>
          <w:p w:rsidRPr="00F26881" w:rsidR="00771B3B" w:rsidP="00E50893" w:rsidRDefault="00771B3B" w14:paraId="6AD17CCA" w14:textId="77777777">
            <w:pPr>
              <w:jc w:val="center"/>
              <w:rPr>
                <w:b/>
                <w:bCs/>
                <w:i/>
                <w:iCs/>
                <w:sz w:val="22"/>
                <w:szCs w:val="22"/>
              </w:rPr>
            </w:pPr>
            <w:r w:rsidRPr="00F26881">
              <w:rPr>
                <w:b/>
                <w:bCs/>
                <w:i/>
                <w:iCs/>
                <w:sz w:val="22"/>
                <w:szCs w:val="22"/>
              </w:rPr>
              <w:t>Alpha=0.05</w:t>
            </w:r>
          </w:p>
        </w:tc>
        <w:tc>
          <w:tcPr>
            <w:tcW w:w="2160" w:type="dxa"/>
            <w:tcBorders>
              <w:top w:val="single" w:color="auto" w:sz="8" w:space="0"/>
              <w:left w:val="single" w:color="auto" w:sz="8" w:space="0"/>
              <w:bottom w:val="single" w:color="auto" w:sz="8" w:space="0"/>
              <w:right w:val="single" w:color="auto" w:sz="8" w:space="0"/>
            </w:tcBorders>
            <w:shd w:val="clear" w:color="auto" w:fill="B8CCE4" w:themeFill="accent1" w:themeFillTint="66"/>
            <w:vAlign w:val="bottom"/>
          </w:tcPr>
          <w:p w:rsidRPr="00F26881" w:rsidR="00771B3B" w:rsidP="00E50893" w:rsidRDefault="00771B3B" w14:paraId="01AD2FDF" w14:textId="77777777">
            <w:pPr>
              <w:jc w:val="center"/>
              <w:rPr>
                <w:b/>
                <w:bCs/>
                <w:i/>
                <w:iCs/>
                <w:sz w:val="22"/>
                <w:szCs w:val="22"/>
              </w:rPr>
            </w:pPr>
            <w:r w:rsidRPr="00F26881">
              <w:rPr>
                <w:b/>
                <w:bCs/>
                <w:i/>
                <w:iCs/>
                <w:sz w:val="22"/>
                <w:szCs w:val="22"/>
              </w:rPr>
              <w:t>Alpha=0.10</w:t>
            </w:r>
          </w:p>
        </w:tc>
      </w:tr>
      <w:tr w:rsidRPr="00F26881" w:rsidR="00771B3B" w:rsidTr="00E50893" w14:paraId="286E587C" w14:textId="77777777">
        <w:trPr>
          <w:trHeight w:val="270"/>
        </w:trPr>
        <w:tc>
          <w:tcPr>
            <w:tcW w:w="2160" w:type="dxa"/>
            <w:tcBorders>
              <w:top w:val="single" w:color="auto" w:sz="8" w:space="0"/>
              <w:left w:val="single" w:color="auto" w:sz="8" w:space="0"/>
              <w:bottom w:val="single" w:color="auto" w:sz="8" w:space="0"/>
              <w:right w:val="single" w:color="auto" w:sz="8" w:space="0"/>
            </w:tcBorders>
            <w:vAlign w:val="bottom"/>
          </w:tcPr>
          <w:p w:rsidRPr="00F26881" w:rsidR="00771B3B" w:rsidP="00E50893" w:rsidRDefault="00771B3B" w14:paraId="114C16BA" w14:textId="0635DC9D">
            <w:pPr>
              <w:jc w:val="center"/>
              <w:rPr>
                <w:sz w:val="22"/>
                <w:szCs w:val="22"/>
              </w:rPr>
            </w:pPr>
            <w:r w:rsidRPr="00F26881">
              <w:rPr>
                <w:sz w:val="22"/>
                <w:szCs w:val="22"/>
              </w:rPr>
              <w:t>0.0</w:t>
            </w:r>
            <w:r w:rsidRPr="00F26881" w:rsidR="00F11B67">
              <w:rPr>
                <w:sz w:val="22"/>
                <w:szCs w:val="22"/>
              </w:rPr>
              <w:t>52</w:t>
            </w:r>
          </w:p>
        </w:tc>
        <w:tc>
          <w:tcPr>
            <w:tcW w:w="2160" w:type="dxa"/>
            <w:tcBorders>
              <w:top w:val="single" w:color="auto" w:sz="8" w:space="0"/>
              <w:left w:val="single" w:color="auto" w:sz="8" w:space="0"/>
              <w:bottom w:val="single" w:color="auto" w:sz="8" w:space="0"/>
              <w:right w:val="single" w:color="auto" w:sz="8" w:space="0"/>
            </w:tcBorders>
            <w:vAlign w:val="bottom"/>
          </w:tcPr>
          <w:p w:rsidRPr="00F26881" w:rsidR="00771B3B" w:rsidP="00E50893" w:rsidRDefault="00771B3B" w14:paraId="2F108941" w14:textId="217E2B8A">
            <w:pPr>
              <w:jc w:val="center"/>
              <w:rPr>
                <w:sz w:val="22"/>
                <w:szCs w:val="22"/>
              </w:rPr>
            </w:pPr>
            <w:r w:rsidRPr="00F26881">
              <w:rPr>
                <w:sz w:val="22"/>
                <w:szCs w:val="22"/>
              </w:rPr>
              <w:t>0.04</w:t>
            </w:r>
            <w:r w:rsidRPr="00F26881" w:rsidR="00F11B67">
              <w:rPr>
                <w:sz w:val="22"/>
                <w:szCs w:val="22"/>
              </w:rPr>
              <w:t>4</w:t>
            </w:r>
          </w:p>
        </w:tc>
      </w:tr>
    </w:tbl>
    <w:p w:rsidRPr="00F26881" w:rsidR="00771B3B" w:rsidP="000A4EDC" w:rsidRDefault="00771B3B" w14:paraId="08E006D4" w14:textId="77777777">
      <w:pPr>
        <w:rPr>
          <w:rFonts w:cstheme="minorHAnsi"/>
        </w:rPr>
      </w:pPr>
    </w:p>
    <w:p w:rsidRPr="00F26881" w:rsidR="00B009FF" w:rsidP="00B009FF" w:rsidRDefault="00B009FF" w14:paraId="1EA595B9" w14:textId="1261A23A">
      <w:pPr>
        <w:rPr>
          <w:rFonts w:cstheme="minorHAnsi"/>
        </w:rPr>
      </w:pPr>
      <w:r w:rsidRPr="00F26881">
        <w:rPr>
          <w:rFonts w:cstheme="minorHAnsi"/>
        </w:rPr>
        <w:t xml:space="preserve">Table </w:t>
      </w:r>
      <w:r w:rsidRPr="00F26881" w:rsidR="009B59F4">
        <w:rPr>
          <w:rFonts w:cstheme="minorHAnsi"/>
        </w:rPr>
        <w:t>5</w:t>
      </w:r>
      <w:r w:rsidRPr="00F26881">
        <w:rPr>
          <w:rFonts w:cstheme="minorHAnsi"/>
        </w:rPr>
        <w:t xml:space="preserve"> shows the MDDs for IRRs for conditional mean differences. </w:t>
      </w:r>
      <w:r w:rsidRPr="00F26881" w:rsidR="00353DE8">
        <w:rPr>
          <w:rFonts w:cstheme="minorHAnsi"/>
        </w:rPr>
        <w:t xml:space="preserve">The </w:t>
      </w:r>
      <w:r w:rsidRPr="00F26881">
        <w:rPr>
          <w:rFonts w:cstheme="minorHAnsi"/>
        </w:rPr>
        <w:t>table indicate</w:t>
      </w:r>
      <w:r w:rsidRPr="00F26881" w:rsidR="00353DE8">
        <w:rPr>
          <w:rFonts w:cstheme="minorHAnsi"/>
        </w:rPr>
        <w:t>s</w:t>
      </w:r>
      <w:r w:rsidRPr="00F26881">
        <w:rPr>
          <w:rFonts w:cstheme="minorHAnsi"/>
        </w:rPr>
        <w:t xml:space="preserve"> the alpha level assumed for each MDD. For conditional mean differences, the expected sample sizes for comparing IRRs across the four incentive conditions will allow for detecting differences ranging from </w:t>
      </w:r>
      <w:r w:rsidRPr="00F26881" w:rsidR="008B1081">
        <w:rPr>
          <w:rFonts w:cstheme="minorHAnsi"/>
        </w:rPr>
        <w:t>.</w:t>
      </w:r>
      <w:r w:rsidRPr="00F26881" w:rsidR="00245D50">
        <w:rPr>
          <w:rFonts w:cstheme="minorHAnsi"/>
        </w:rPr>
        <w:t>2</w:t>
      </w:r>
      <w:r w:rsidRPr="00F26881" w:rsidR="008B1081">
        <w:rPr>
          <w:rFonts w:cstheme="minorHAnsi"/>
        </w:rPr>
        <w:t>%</w:t>
      </w:r>
      <w:r w:rsidRPr="00F26881">
        <w:rPr>
          <w:rFonts w:cstheme="minorHAnsi"/>
        </w:rPr>
        <w:t xml:space="preserve"> to </w:t>
      </w:r>
      <w:r w:rsidRPr="00F26881" w:rsidR="008B1081">
        <w:rPr>
          <w:rFonts w:cstheme="minorHAnsi"/>
        </w:rPr>
        <w:t>9.2%</w:t>
      </w:r>
      <w:r w:rsidRPr="00F26881">
        <w:rPr>
          <w:rFonts w:cstheme="minorHAnsi"/>
        </w:rPr>
        <w:t xml:space="preserve"> as statistically significant, across the </w:t>
      </w:r>
      <w:r w:rsidRPr="00F26881" w:rsidR="007669D6">
        <w:rPr>
          <w:rFonts w:cstheme="minorHAnsi"/>
        </w:rPr>
        <w:t>four</w:t>
      </w:r>
      <w:r w:rsidRPr="00F26881">
        <w:rPr>
          <w:rFonts w:cstheme="minorHAnsi"/>
        </w:rPr>
        <w:t xml:space="preserve"> alpha levels. </w:t>
      </w:r>
    </w:p>
    <w:p w:rsidRPr="00F26881" w:rsidR="008B1081" w:rsidP="00B009FF" w:rsidRDefault="008B1081" w14:paraId="18DEAE6D" w14:textId="77777777">
      <w:pPr>
        <w:rPr>
          <w:rFonts w:cstheme="minorHAnsi"/>
        </w:rPr>
      </w:pPr>
    </w:p>
    <w:p w:rsidRPr="00F26881" w:rsidR="00EC375E" w:rsidP="008924D1" w:rsidRDefault="00EC375E" w14:paraId="3E19F217" w14:textId="2977B731">
      <w:pPr>
        <w:spacing w:after="120"/>
        <w:ind w:left="864" w:hanging="864"/>
      </w:pPr>
      <w:r w:rsidRPr="00F26881">
        <w:rPr>
          <w:rFonts w:cstheme="minorHAnsi"/>
        </w:rPr>
        <w:t xml:space="preserve">Table </w:t>
      </w:r>
      <w:r w:rsidRPr="00F26881" w:rsidR="009D3ADE">
        <w:rPr>
          <w:rFonts w:cstheme="minorHAnsi"/>
        </w:rPr>
        <w:t>5</w:t>
      </w:r>
      <w:r w:rsidRPr="00F26881">
        <w:rPr>
          <w:rFonts w:cstheme="minorHAnsi"/>
        </w:rPr>
        <w:t xml:space="preserve">. </w:t>
      </w:r>
      <w:r w:rsidRPr="00F26881" w:rsidR="0012600A">
        <w:rPr>
          <w:rFonts w:cstheme="minorHAnsi"/>
        </w:rPr>
        <w:t>Minimum</w:t>
      </w:r>
      <w:r w:rsidRPr="00F26881">
        <w:rPr>
          <w:rFonts w:cstheme="minorHAnsi"/>
        </w:rPr>
        <w:t xml:space="preserve"> Detectable Differences for </w:t>
      </w:r>
      <w:r w:rsidRPr="00F26881" w:rsidR="000C0B82">
        <w:rPr>
          <w:rFonts w:cstheme="minorHAnsi"/>
        </w:rPr>
        <w:t>Interview</w:t>
      </w:r>
      <w:r w:rsidRPr="00F26881">
        <w:rPr>
          <w:rFonts w:cstheme="minorHAnsi"/>
        </w:rPr>
        <w:t xml:space="preserve"> Response Rates: </w:t>
      </w:r>
      <w:r w:rsidRPr="00F26881">
        <w:t>Conditional Mean Differences (sample size = n/2 if interaction is statistically significant)</w:t>
      </w:r>
    </w:p>
    <w:tbl>
      <w:tblPr>
        <w:tblW w:w="8720" w:type="dxa"/>
        <w:tblLook w:val="04A0" w:firstRow="1" w:lastRow="0" w:firstColumn="1" w:lastColumn="0" w:noHBand="0" w:noVBand="1"/>
      </w:tblPr>
      <w:tblGrid>
        <w:gridCol w:w="2240"/>
        <w:gridCol w:w="2160"/>
        <w:gridCol w:w="2160"/>
        <w:gridCol w:w="2160"/>
      </w:tblGrid>
      <w:tr w:rsidRPr="00F26881" w:rsidR="00F26881" w:rsidTr="001754C1" w14:paraId="52009DCD" w14:textId="0573A094">
        <w:trPr>
          <w:trHeight w:val="280"/>
        </w:trPr>
        <w:tc>
          <w:tcPr>
            <w:tcW w:w="2240" w:type="dxa"/>
            <w:tcBorders>
              <w:top w:val="single" w:color="auto" w:sz="8" w:space="0"/>
              <w:left w:val="single" w:color="auto" w:sz="8" w:space="0"/>
              <w:bottom w:val="single" w:color="auto" w:sz="8" w:space="0"/>
              <w:right w:val="single" w:color="auto" w:sz="8" w:space="0"/>
            </w:tcBorders>
            <w:shd w:val="clear" w:color="auto" w:fill="B8CCE4" w:themeFill="accent1" w:themeFillTint="66"/>
            <w:noWrap/>
            <w:vAlign w:val="bottom"/>
          </w:tcPr>
          <w:p w:rsidRPr="00F26881" w:rsidR="001754C1" w:rsidP="001754C1" w:rsidRDefault="001754C1" w14:paraId="0469317A" w14:textId="77777777">
            <w:pPr>
              <w:jc w:val="center"/>
              <w:rPr>
                <w:b/>
                <w:bCs/>
                <w:i/>
                <w:iCs/>
                <w:sz w:val="22"/>
                <w:szCs w:val="22"/>
              </w:rPr>
            </w:pPr>
            <w:r w:rsidRPr="00F26881">
              <w:rPr>
                <w:b/>
                <w:bCs/>
                <w:i/>
                <w:iCs/>
                <w:sz w:val="22"/>
                <w:szCs w:val="22"/>
              </w:rPr>
              <w:t>Alpha=0.01</w:t>
            </w:r>
          </w:p>
        </w:tc>
        <w:tc>
          <w:tcPr>
            <w:tcW w:w="2160" w:type="dxa"/>
            <w:tcBorders>
              <w:top w:val="single" w:color="auto" w:sz="8" w:space="0"/>
              <w:left w:val="nil"/>
              <w:bottom w:val="single" w:color="auto" w:sz="4" w:space="0"/>
              <w:right w:val="single" w:color="auto" w:sz="8" w:space="0"/>
            </w:tcBorders>
            <w:shd w:val="clear" w:color="auto" w:fill="B8CCE4" w:themeFill="accent1" w:themeFillTint="66"/>
            <w:noWrap/>
            <w:vAlign w:val="bottom"/>
          </w:tcPr>
          <w:p w:rsidRPr="00F26881" w:rsidR="001754C1" w:rsidP="001754C1" w:rsidRDefault="001754C1" w14:paraId="529BD5FC" w14:textId="77777777">
            <w:pPr>
              <w:jc w:val="center"/>
              <w:rPr>
                <w:b/>
                <w:bCs/>
                <w:i/>
                <w:iCs/>
                <w:sz w:val="22"/>
                <w:szCs w:val="22"/>
              </w:rPr>
            </w:pPr>
            <w:r w:rsidRPr="00F26881">
              <w:rPr>
                <w:b/>
                <w:bCs/>
                <w:i/>
                <w:iCs/>
                <w:sz w:val="22"/>
                <w:szCs w:val="22"/>
              </w:rPr>
              <w:t>Alpha=0.02</w:t>
            </w:r>
          </w:p>
        </w:tc>
        <w:tc>
          <w:tcPr>
            <w:tcW w:w="2160" w:type="dxa"/>
            <w:tcBorders>
              <w:top w:val="single" w:color="auto" w:sz="8" w:space="0"/>
              <w:left w:val="nil"/>
              <w:bottom w:val="single" w:color="auto" w:sz="4" w:space="0"/>
              <w:right w:val="single" w:color="auto" w:sz="8" w:space="0"/>
            </w:tcBorders>
            <w:shd w:val="clear" w:color="auto" w:fill="B8CCE4" w:themeFill="accent1" w:themeFillTint="66"/>
            <w:vAlign w:val="bottom"/>
          </w:tcPr>
          <w:p w:rsidRPr="00F26881" w:rsidR="001754C1" w:rsidP="001754C1" w:rsidRDefault="001754C1" w14:paraId="11F92D27" w14:textId="17BDE5E0">
            <w:pPr>
              <w:jc w:val="center"/>
              <w:rPr>
                <w:b/>
                <w:bCs/>
                <w:i/>
                <w:iCs/>
                <w:sz w:val="22"/>
                <w:szCs w:val="22"/>
              </w:rPr>
            </w:pPr>
            <w:r w:rsidRPr="00F26881">
              <w:rPr>
                <w:b/>
                <w:bCs/>
                <w:i/>
                <w:iCs/>
                <w:sz w:val="22"/>
                <w:szCs w:val="22"/>
              </w:rPr>
              <w:t>Alpha=0.05</w:t>
            </w:r>
          </w:p>
        </w:tc>
        <w:tc>
          <w:tcPr>
            <w:tcW w:w="2160" w:type="dxa"/>
            <w:tcBorders>
              <w:top w:val="single" w:color="auto" w:sz="8" w:space="0"/>
              <w:left w:val="single" w:color="auto" w:sz="8" w:space="0"/>
              <w:bottom w:val="single" w:color="auto" w:sz="8" w:space="0"/>
              <w:right w:val="single" w:color="auto" w:sz="8" w:space="0"/>
            </w:tcBorders>
            <w:shd w:val="clear" w:color="auto" w:fill="B8CCE4" w:themeFill="accent1" w:themeFillTint="66"/>
            <w:vAlign w:val="bottom"/>
          </w:tcPr>
          <w:p w:rsidRPr="00F26881" w:rsidR="001754C1" w:rsidP="001754C1" w:rsidRDefault="001754C1" w14:paraId="776234D1" w14:textId="1A6C5502">
            <w:pPr>
              <w:jc w:val="center"/>
              <w:rPr>
                <w:b/>
                <w:bCs/>
                <w:i/>
                <w:iCs/>
                <w:sz w:val="22"/>
                <w:szCs w:val="22"/>
              </w:rPr>
            </w:pPr>
            <w:r w:rsidRPr="00F26881">
              <w:rPr>
                <w:b/>
                <w:bCs/>
                <w:i/>
                <w:iCs/>
                <w:sz w:val="22"/>
                <w:szCs w:val="22"/>
              </w:rPr>
              <w:t>Alpha=0.10</w:t>
            </w:r>
          </w:p>
        </w:tc>
      </w:tr>
      <w:tr w:rsidRPr="00F26881" w:rsidR="00F26881" w:rsidTr="001754C1" w14:paraId="31C250EA" w14:textId="2B831D01">
        <w:trPr>
          <w:trHeight w:val="270"/>
        </w:trPr>
        <w:tc>
          <w:tcPr>
            <w:tcW w:w="2240"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F26881" w:rsidR="001754C1" w:rsidP="001754C1" w:rsidRDefault="001754C1" w14:paraId="5F3B567B" w14:textId="5B6EACAA">
            <w:pPr>
              <w:jc w:val="center"/>
              <w:rPr>
                <w:b/>
                <w:bCs/>
                <w:sz w:val="22"/>
                <w:szCs w:val="22"/>
              </w:rPr>
            </w:pPr>
            <w:r w:rsidRPr="00F26881">
              <w:rPr>
                <w:sz w:val="22"/>
                <w:szCs w:val="22"/>
              </w:rPr>
              <w:t>0.092</w:t>
            </w:r>
          </w:p>
        </w:tc>
        <w:tc>
          <w:tcPr>
            <w:tcW w:w="2160" w:type="dxa"/>
            <w:tcBorders>
              <w:top w:val="single" w:color="auto" w:sz="8" w:space="0"/>
              <w:left w:val="single" w:color="auto" w:sz="8" w:space="0"/>
              <w:bottom w:val="single" w:color="auto" w:sz="8" w:space="0"/>
              <w:right w:val="single" w:color="auto" w:sz="8" w:space="0"/>
            </w:tcBorders>
            <w:vAlign w:val="bottom"/>
          </w:tcPr>
          <w:p w:rsidRPr="00F26881" w:rsidR="001754C1" w:rsidP="001754C1" w:rsidRDefault="001754C1" w14:paraId="75959D92" w14:textId="21386E14">
            <w:pPr>
              <w:jc w:val="center"/>
              <w:rPr>
                <w:b/>
                <w:bCs/>
                <w:sz w:val="22"/>
                <w:szCs w:val="22"/>
              </w:rPr>
            </w:pPr>
            <w:r w:rsidRPr="00F26881">
              <w:rPr>
                <w:sz w:val="22"/>
                <w:szCs w:val="22"/>
              </w:rPr>
              <w:t>0.084</w:t>
            </w:r>
          </w:p>
        </w:tc>
        <w:tc>
          <w:tcPr>
            <w:tcW w:w="2160" w:type="dxa"/>
            <w:tcBorders>
              <w:top w:val="single" w:color="auto" w:sz="8" w:space="0"/>
              <w:left w:val="single" w:color="auto" w:sz="8" w:space="0"/>
              <w:bottom w:val="single" w:color="auto" w:sz="8" w:space="0"/>
              <w:right w:val="single" w:color="auto" w:sz="8" w:space="0"/>
            </w:tcBorders>
            <w:vAlign w:val="bottom"/>
          </w:tcPr>
          <w:p w:rsidRPr="00F26881" w:rsidR="001754C1" w:rsidP="001754C1" w:rsidRDefault="001754C1" w14:paraId="56E8A50B" w14:textId="6B287B2B">
            <w:pPr>
              <w:jc w:val="center"/>
              <w:rPr>
                <w:sz w:val="22"/>
                <w:szCs w:val="22"/>
              </w:rPr>
            </w:pPr>
            <w:r w:rsidRPr="00F26881">
              <w:rPr>
                <w:sz w:val="22"/>
                <w:szCs w:val="22"/>
              </w:rPr>
              <w:t>0.072</w:t>
            </w:r>
          </w:p>
        </w:tc>
        <w:tc>
          <w:tcPr>
            <w:tcW w:w="2160" w:type="dxa"/>
            <w:tcBorders>
              <w:top w:val="single" w:color="auto" w:sz="8" w:space="0"/>
              <w:left w:val="single" w:color="auto" w:sz="8" w:space="0"/>
              <w:bottom w:val="single" w:color="auto" w:sz="8" w:space="0"/>
              <w:right w:val="single" w:color="auto" w:sz="8" w:space="0"/>
            </w:tcBorders>
            <w:vAlign w:val="bottom"/>
          </w:tcPr>
          <w:p w:rsidRPr="00F26881" w:rsidR="001754C1" w:rsidP="001754C1" w:rsidRDefault="001754C1" w14:paraId="15B6EEAC" w14:textId="4905E0E7">
            <w:pPr>
              <w:jc w:val="center"/>
              <w:rPr>
                <w:sz w:val="22"/>
                <w:szCs w:val="22"/>
              </w:rPr>
            </w:pPr>
            <w:r w:rsidRPr="00F26881">
              <w:rPr>
                <w:sz w:val="22"/>
                <w:szCs w:val="22"/>
              </w:rPr>
              <w:t>0.062</w:t>
            </w:r>
          </w:p>
        </w:tc>
      </w:tr>
    </w:tbl>
    <w:p w:rsidRPr="00F26881" w:rsidR="008B1081" w:rsidP="00C32B8D" w:rsidRDefault="008B1081" w14:paraId="6623E2D5" w14:textId="77777777">
      <w:pPr>
        <w:spacing w:before="120" w:after="360"/>
        <w:jc w:val="both"/>
        <w:rPr>
          <w:sz w:val="20"/>
          <w:szCs w:val="20"/>
        </w:rPr>
      </w:pPr>
      <w:bookmarkStart w:name="_Hlk18580610" w:id="5"/>
      <w:r w:rsidRPr="00F26881">
        <w:rPr>
          <w:sz w:val="20"/>
          <w:szCs w:val="20"/>
        </w:rPr>
        <w:t>* Minimal detectable differences in the table represent actual changes in rates. Percentages are presented in the paragraph above.</w:t>
      </w:r>
    </w:p>
    <w:bookmarkEnd w:id="5"/>
    <w:p w:rsidRPr="00F26881" w:rsidR="00BA64CC" w:rsidP="00BA64CC" w:rsidRDefault="00BA64CC" w14:paraId="704F790C" w14:textId="4A296A1B">
      <w:pPr>
        <w:spacing w:after="120"/>
        <w:rPr>
          <w:b/>
        </w:rPr>
      </w:pPr>
      <w:r w:rsidRPr="00F26881">
        <w:rPr>
          <w:b/>
          <w:i/>
        </w:rPr>
        <w:t xml:space="preserve">Analysis </w:t>
      </w:r>
      <w:r w:rsidRPr="00F26881" w:rsidR="00EC6B53">
        <w:rPr>
          <w:b/>
          <w:i/>
        </w:rPr>
        <w:t>3</w:t>
      </w:r>
      <w:r w:rsidRPr="00F26881">
        <w:rPr>
          <w:b/>
          <w:iCs/>
        </w:rPr>
        <w:t xml:space="preserve">: </w:t>
      </w:r>
      <w:r w:rsidRPr="00F26881" w:rsidR="00245D50">
        <w:rPr>
          <w:b/>
          <w:iCs/>
        </w:rPr>
        <w:t xml:space="preserve">Selected </w:t>
      </w:r>
      <w:r w:rsidRPr="00F26881">
        <w:rPr>
          <w:b/>
          <w:iCs/>
        </w:rPr>
        <w:t xml:space="preserve">Demographic Characteristics </w:t>
      </w:r>
      <w:r w:rsidRPr="00F26881" w:rsidR="00245D50">
        <w:rPr>
          <w:b/>
          <w:iCs/>
        </w:rPr>
        <w:t xml:space="preserve">of Household Members </w:t>
      </w:r>
      <w:r w:rsidRPr="00F26881">
        <w:rPr>
          <w:b/>
          <w:iCs/>
        </w:rPr>
        <w:t>from the Screener</w:t>
      </w:r>
    </w:p>
    <w:p w:rsidRPr="00F26881" w:rsidR="006F584B" w:rsidP="00596721" w:rsidRDefault="006F584B" w14:paraId="49927801" w14:textId="69E9E7DF">
      <w:pPr>
        <w:spacing w:after="240"/>
      </w:pPr>
      <w:r w:rsidRPr="00F26881">
        <w:rPr>
          <w:rFonts w:cstheme="minorHAnsi"/>
        </w:rPr>
        <w:t xml:space="preserve">For </w:t>
      </w:r>
      <w:r w:rsidRPr="00F26881" w:rsidR="00245D50">
        <w:rPr>
          <w:rFonts w:cstheme="minorHAnsi"/>
        </w:rPr>
        <w:t>the screener demographics data</w:t>
      </w:r>
      <w:r w:rsidRPr="00F26881" w:rsidR="00EC6B53">
        <w:rPr>
          <w:rFonts w:cstheme="minorHAnsi"/>
        </w:rPr>
        <w:t>,</w:t>
      </w:r>
      <w:r w:rsidRPr="00F26881">
        <w:rPr>
          <w:rFonts w:cstheme="minorHAnsi"/>
        </w:rPr>
        <w:t xml:space="preserve"> the sample size</w:t>
      </w:r>
      <w:r w:rsidRPr="00F26881" w:rsidR="00EC6B53">
        <w:rPr>
          <w:rFonts w:cstheme="minorHAnsi"/>
        </w:rPr>
        <w:t xml:space="preserve"> wa</w:t>
      </w:r>
      <w:r w:rsidRPr="00F26881">
        <w:rPr>
          <w:rFonts w:cstheme="minorHAnsi"/>
        </w:rPr>
        <w:t xml:space="preserve">s </w:t>
      </w:r>
      <w:r w:rsidRPr="00F26881" w:rsidR="00596721">
        <w:rPr>
          <w:rFonts w:cstheme="minorHAnsi"/>
        </w:rPr>
        <w:t xml:space="preserve">defined as </w:t>
      </w:r>
      <w:r w:rsidRPr="00F26881">
        <w:t xml:space="preserve">100% of the </w:t>
      </w:r>
      <w:r w:rsidRPr="00F26881" w:rsidR="00596721">
        <w:rPr>
          <w:rFonts w:cstheme="minorHAnsi"/>
        </w:rPr>
        <w:t>projected</w:t>
      </w:r>
      <w:r w:rsidRPr="00F26881">
        <w:t xml:space="preserve"> number of persons aged 12 or older for whom screener data </w:t>
      </w:r>
      <w:r w:rsidRPr="00F26881" w:rsidR="00245D50">
        <w:t xml:space="preserve">is expected to </w:t>
      </w:r>
      <w:r w:rsidRPr="00F26881">
        <w:t>be collected</w:t>
      </w:r>
      <w:r w:rsidRPr="00F26881">
        <w:rPr>
          <w:rFonts w:cstheme="minorHAnsi"/>
        </w:rPr>
        <w:t>. T</w:t>
      </w:r>
      <w:r w:rsidRPr="00F26881" w:rsidR="00596721">
        <w:rPr>
          <w:rFonts w:cstheme="minorHAnsi"/>
        </w:rPr>
        <w:t>his</w:t>
      </w:r>
      <w:r w:rsidRPr="00F26881">
        <w:rPr>
          <w:rFonts w:cstheme="minorHAnsi"/>
        </w:rPr>
        <w:t xml:space="preserve"> sample size d</w:t>
      </w:r>
      <w:r w:rsidRPr="00F26881" w:rsidR="00596721">
        <w:rPr>
          <w:rFonts w:cstheme="minorHAnsi"/>
        </w:rPr>
        <w:t>id</w:t>
      </w:r>
      <w:r w:rsidRPr="00F26881">
        <w:rPr>
          <w:rFonts w:cstheme="minorHAnsi"/>
        </w:rPr>
        <w:t xml:space="preserve"> not include a</w:t>
      </w:r>
      <w:r w:rsidRPr="00F26881" w:rsidR="00245D50">
        <w:rPr>
          <w:rFonts w:cstheme="minorHAnsi"/>
        </w:rPr>
        <w:t>n adjustment for</w:t>
      </w:r>
      <w:r w:rsidRPr="00F26881">
        <w:rPr>
          <w:rFonts w:cstheme="minorHAnsi"/>
        </w:rPr>
        <w:t xml:space="preserve"> </w:t>
      </w:r>
      <w:r w:rsidRPr="00F26881" w:rsidR="00245D50">
        <w:rPr>
          <w:rFonts w:cstheme="minorHAnsi"/>
        </w:rPr>
        <w:t xml:space="preserve">item </w:t>
      </w:r>
      <w:r w:rsidRPr="00F26881">
        <w:rPr>
          <w:rFonts w:cstheme="minorHAnsi"/>
        </w:rPr>
        <w:t xml:space="preserve">missingness because the </w:t>
      </w:r>
      <w:r w:rsidRPr="00F26881" w:rsidR="00245D50">
        <w:rPr>
          <w:rFonts w:cstheme="minorHAnsi"/>
        </w:rPr>
        <w:t xml:space="preserve">NSDUH </w:t>
      </w:r>
      <w:r w:rsidRPr="00F26881">
        <w:rPr>
          <w:rFonts w:cstheme="minorHAnsi"/>
        </w:rPr>
        <w:t xml:space="preserve">screener data for each person residing in </w:t>
      </w:r>
      <w:r w:rsidRPr="00F26881" w:rsidR="00245D50">
        <w:rPr>
          <w:rFonts w:cstheme="minorHAnsi"/>
        </w:rPr>
        <w:t xml:space="preserve">a </w:t>
      </w:r>
      <w:r w:rsidRPr="00F26881">
        <w:rPr>
          <w:rFonts w:cstheme="minorHAnsi"/>
        </w:rPr>
        <w:t xml:space="preserve">screened household </w:t>
      </w:r>
      <w:r w:rsidRPr="00F26881" w:rsidR="00245D50">
        <w:rPr>
          <w:rFonts w:cstheme="minorHAnsi"/>
        </w:rPr>
        <w:t xml:space="preserve">is </w:t>
      </w:r>
      <w:r w:rsidRPr="00F26881">
        <w:rPr>
          <w:rFonts w:cstheme="minorHAnsi"/>
        </w:rPr>
        <w:t xml:space="preserve">typically </w:t>
      </w:r>
      <w:r w:rsidRPr="00F26881" w:rsidR="00245D50">
        <w:rPr>
          <w:rFonts w:cstheme="minorHAnsi"/>
        </w:rPr>
        <w:t>complete</w:t>
      </w:r>
      <w:r w:rsidRPr="00F26881">
        <w:rPr>
          <w:rFonts w:cstheme="minorHAnsi"/>
        </w:rPr>
        <w:t xml:space="preserve">. </w:t>
      </w:r>
      <w:r w:rsidRPr="00F26881">
        <w:t xml:space="preserve">The expected sample sizes for </w:t>
      </w:r>
      <w:r w:rsidRPr="00F26881">
        <w:rPr>
          <w:rFonts w:cstheme="minorHAnsi"/>
        </w:rPr>
        <w:t xml:space="preserve">the three demographic items – gender, age, and race/ethnicity – </w:t>
      </w:r>
      <w:r w:rsidRPr="00F26881" w:rsidR="00596721">
        <w:rPr>
          <w:rFonts w:cstheme="minorHAnsi"/>
        </w:rPr>
        <w:t>was projected to be 17,390.</w:t>
      </w:r>
    </w:p>
    <w:p w:rsidRPr="00F26881" w:rsidR="000349B8" w:rsidP="000349B8" w:rsidRDefault="000349B8" w14:paraId="25AA51BC" w14:textId="13129E46">
      <w:pPr>
        <w:spacing w:after="120"/>
      </w:pPr>
      <w:r w:rsidRPr="00F26881">
        <w:lastRenderedPageBreak/>
        <w:t>The null (H</w:t>
      </w:r>
      <w:r w:rsidRPr="00F26881">
        <w:rPr>
          <w:vertAlign w:val="subscript"/>
        </w:rPr>
        <w:t>o</w:t>
      </w:r>
      <w:r w:rsidRPr="00F26881">
        <w:t>) and alternative (H</w:t>
      </w:r>
      <w:r w:rsidRPr="00F26881">
        <w:rPr>
          <w:vertAlign w:val="subscript"/>
        </w:rPr>
        <w:t>a</w:t>
      </w:r>
      <w:r w:rsidRPr="00F26881">
        <w:t>) hypotheses specified for each marginal difference (main effects applicable when the interaction between the screening and interview incentive amounts are not significant) were:</w:t>
      </w:r>
    </w:p>
    <w:p w:rsidRPr="00F26881" w:rsidR="006858C2" w:rsidP="008C0EE0" w:rsidRDefault="006858C2" w14:paraId="394FC269" w14:textId="77777777">
      <w:pPr>
        <w:pStyle w:val="ListParagraph"/>
        <w:numPr>
          <w:ilvl w:val="0"/>
          <w:numId w:val="29"/>
        </w:numPr>
        <w:spacing w:after="120"/>
        <w:ind w:left="720"/>
        <w:contextualSpacing w:val="0"/>
      </w:pPr>
      <w:r w:rsidRPr="00F26881">
        <w:t xml:space="preserve">Screening incentive and </w:t>
      </w:r>
      <w:r w:rsidRPr="00F26881">
        <w:rPr>
          <w:bCs/>
          <w:iCs/>
        </w:rPr>
        <w:t>demographic screener items</w:t>
      </w:r>
    </w:p>
    <w:p w:rsidRPr="00F26881" w:rsidR="006858C2" w:rsidP="006858C2" w:rsidRDefault="006858C2" w14:paraId="43E2160E" w14:textId="77777777">
      <w:pPr>
        <w:spacing w:after="120"/>
        <w:ind w:left="1080" w:hanging="360"/>
      </w:pPr>
      <w:r w:rsidRPr="00F26881">
        <w:t>H</w:t>
      </w:r>
      <w:r w:rsidRPr="00F26881">
        <w:rPr>
          <w:vertAlign w:val="subscript"/>
        </w:rPr>
        <w:t>o</w:t>
      </w:r>
      <w:r w:rsidRPr="00F26881">
        <w:t>: estimated % ($5) = estimated % ($0)</w:t>
      </w:r>
    </w:p>
    <w:p w:rsidRPr="00F26881" w:rsidR="006858C2" w:rsidP="006858C2" w:rsidRDefault="006858C2" w14:paraId="5374DDBE" w14:textId="77777777">
      <w:pPr>
        <w:spacing w:after="120"/>
        <w:ind w:left="1080" w:hanging="360"/>
      </w:pPr>
      <w:r w:rsidRPr="00F26881">
        <w:t>H</w:t>
      </w:r>
      <w:r w:rsidRPr="00F26881">
        <w:rPr>
          <w:vertAlign w:val="subscript"/>
        </w:rPr>
        <w:t>a</w:t>
      </w:r>
      <w:r w:rsidRPr="00F26881">
        <w:t>: estimated % ($5) ≠ estimated % ($0)</w:t>
      </w:r>
    </w:p>
    <w:p w:rsidRPr="00F26881" w:rsidR="006858C2" w:rsidP="008C0EE0" w:rsidRDefault="006858C2" w14:paraId="485FF800" w14:textId="77777777">
      <w:pPr>
        <w:pStyle w:val="ListParagraph"/>
        <w:numPr>
          <w:ilvl w:val="0"/>
          <w:numId w:val="29"/>
        </w:numPr>
        <w:spacing w:after="120"/>
        <w:ind w:left="720"/>
        <w:contextualSpacing w:val="0"/>
      </w:pPr>
      <w:r w:rsidRPr="00F26881">
        <w:t xml:space="preserve">Interview incentive and </w:t>
      </w:r>
      <w:r w:rsidRPr="00F26881">
        <w:rPr>
          <w:bCs/>
          <w:iCs/>
        </w:rPr>
        <w:t>demographic screener items</w:t>
      </w:r>
    </w:p>
    <w:p w:rsidRPr="00F26881" w:rsidR="006858C2" w:rsidP="006858C2" w:rsidRDefault="006858C2" w14:paraId="24B9E747" w14:textId="77777777">
      <w:pPr>
        <w:pStyle w:val="ListParagraph"/>
        <w:spacing w:after="120"/>
        <w:ind w:left="1080" w:hanging="360"/>
        <w:contextualSpacing w:val="0"/>
      </w:pPr>
      <w:r w:rsidRPr="00F26881">
        <w:t>H</w:t>
      </w:r>
      <w:r w:rsidRPr="00F26881">
        <w:rPr>
          <w:vertAlign w:val="subscript"/>
        </w:rPr>
        <w:t>o</w:t>
      </w:r>
      <w:r w:rsidRPr="00F26881">
        <w:t>: estimated % ($30) = estimated % ($50)</w:t>
      </w:r>
    </w:p>
    <w:p w:rsidRPr="00F26881" w:rsidR="006858C2" w:rsidP="006858C2" w:rsidRDefault="006858C2" w14:paraId="0AEA4904" w14:textId="77777777">
      <w:pPr>
        <w:pStyle w:val="ListParagraph"/>
        <w:spacing w:after="240"/>
        <w:ind w:left="1080" w:hanging="360"/>
        <w:contextualSpacing w:val="0"/>
      </w:pPr>
      <w:r w:rsidRPr="00F26881">
        <w:t>H</w:t>
      </w:r>
      <w:r w:rsidRPr="00F26881">
        <w:rPr>
          <w:vertAlign w:val="subscript"/>
        </w:rPr>
        <w:t>a</w:t>
      </w:r>
      <w:r w:rsidRPr="00F26881">
        <w:t>: estimated % ($30) ≠ estimated % ($50)</w:t>
      </w:r>
    </w:p>
    <w:p w:rsidRPr="00F26881" w:rsidR="000349B8" w:rsidP="000349B8" w:rsidRDefault="000349B8" w14:paraId="51C9A012" w14:textId="0375D0D0">
      <w:pPr>
        <w:spacing w:after="120"/>
      </w:pPr>
      <w:r w:rsidRPr="00F26881">
        <w:t>The null (H</w:t>
      </w:r>
      <w:r w:rsidRPr="00F26881">
        <w:rPr>
          <w:vertAlign w:val="subscript"/>
        </w:rPr>
        <w:t>o</w:t>
      </w:r>
      <w:r w:rsidRPr="00F26881">
        <w:t>) and alternative (H</w:t>
      </w:r>
      <w:r w:rsidRPr="00F26881">
        <w:rPr>
          <w:vertAlign w:val="subscript"/>
        </w:rPr>
        <w:t>a</w:t>
      </w:r>
      <w:r w:rsidRPr="00F26881">
        <w:t>) hypotheses specified for each conditional difference</w:t>
      </w:r>
      <w:r w:rsidRPr="00F26881" w:rsidR="00F462CC">
        <w:t>,</w:t>
      </w:r>
      <w:r w:rsidRPr="00F26881">
        <w:t xml:space="preserve"> (applicable when the interaction the screening and interview incentive amounts is significant), were:</w:t>
      </w:r>
    </w:p>
    <w:p w:rsidRPr="00F26881" w:rsidR="00B40D11" w:rsidP="008C0EE0" w:rsidRDefault="00B40D11" w14:paraId="143FBD24" w14:textId="0A5CDBF0">
      <w:pPr>
        <w:pStyle w:val="ListParagraph"/>
        <w:numPr>
          <w:ilvl w:val="1"/>
          <w:numId w:val="23"/>
        </w:numPr>
        <w:spacing w:after="120"/>
        <w:ind w:left="720"/>
        <w:contextualSpacing w:val="0"/>
      </w:pPr>
      <w:r w:rsidRPr="00F26881">
        <w:t xml:space="preserve">Screening incentive and </w:t>
      </w:r>
      <w:r w:rsidRPr="00F26881">
        <w:rPr>
          <w:bCs/>
          <w:iCs/>
        </w:rPr>
        <w:t>demographic screener items</w:t>
      </w:r>
      <w:r w:rsidRPr="00F26881">
        <w:t>, conditional on $30 interview incentive</w:t>
      </w:r>
    </w:p>
    <w:p w:rsidRPr="00F26881" w:rsidR="00B40D11" w:rsidP="00B0099A" w:rsidRDefault="00B40D11" w14:paraId="6C47C97E" w14:textId="77777777">
      <w:pPr>
        <w:spacing w:after="120"/>
        <w:ind w:left="1080" w:hanging="360"/>
      </w:pPr>
      <w:r w:rsidRPr="00F26881">
        <w:t>H</w:t>
      </w:r>
      <w:r w:rsidRPr="00F26881">
        <w:rPr>
          <w:vertAlign w:val="subscript"/>
        </w:rPr>
        <w:t>o</w:t>
      </w:r>
      <w:r w:rsidRPr="00F26881">
        <w:t>: estimated % ($5; $30) = estimated % ($0; $30)</w:t>
      </w:r>
    </w:p>
    <w:p w:rsidRPr="00F26881" w:rsidR="00B40D11" w:rsidP="00B0099A" w:rsidRDefault="00B40D11" w14:paraId="1909E88D" w14:textId="77777777">
      <w:pPr>
        <w:spacing w:after="120"/>
        <w:ind w:left="1080" w:hanging="360"/>
      </w:pPr>
      <w:r w:rsidRPr="00F26881">
        <w:t>H</w:t>
      </w:r>
      <w:r w:rsidRPr="00F26881">
        <w:rPr>
          <w:vertAlign w:val="subscript"/>
        </w:rPr>
        <w:t>a</w:t>
      </w:r>
      <w:r w:rsidRPr="00F26881">
        <w:t>: estimated % ($5; $30) ≠ estimated % ($0; $30)</w:t>
      </w:r>
    </w:p>
    <w:p w:rsidRPr="00F26881" w:rsidR="00B40D11" w:rsidP="008C0EE0" w:rsidRDefault="00B40D11" w14:paraId="2C2B33C7" w14:textId="276E37CB">
      <w:pPr>
        <w:pStyle w:val="ListParagraph"/>
        <w:numPr>
          <w:ilvl w:val="0"/>
          <w:numId w:val="24"/>
        </w:numPr>
        <w:spacing w:after="120"/>
        <w:ind w:left="720"/>
        <w:contextualSpacing w:val="0"/>
      </w:pPr>
      <w:r w:rsidRPr="00F26881">
        <w:t xml:space="preserve">Screening incentive and </w:t>
      </w:r>
      <w:r w:rsidRPr="00F26881">
        <w:rPr>
          <w:bCs/>
          <w:iCs/>
        </w:rPr>
        <w:t>demographic screener items</w:t>
      </w:r>
      <w:r w:rsidRPr="00F26881">
        <w:t>, conditional on $50 interview incentive</w:t>
      </w:r>
    </w:p>
    <w:p w:rsidRPr="00F26881" w:rsidR="00B40D11" w:rsidP="00B0099A" w:rsidRDefault="00B40D11" w14:paraId="106E28DF" w14:textId="77777777">
      <w:pPr>
        <w:spacing w:after="120"/>
        <w:ind w:left="1080" w:hanging="360"/>
      </w:pPr>
      <w:r w:rsidRPr="00F26881">
        <w:t>H</w:t>
      </w:r>
      <w:r w:rsidRPr="00F26881">
        <w:rPr>
          <w:vertAlign w:val="subscript"/>
        </w:rPr>
        <w:t>o</w:t>
      </w:r>
      <w:r w:rsidRPr="00F26881">
        <w:t>: estimated % ($5; $50) = estimated % ($0; $50)</w:t>
      </w:r>
    </w:p>
    <w:p w:rsidRPr="00F26881" w:rsidR="00B40D11" w:rsidP="00B0099A" w:rsidRDefault="00B40D11" w14:paraId="6D22A2BD" w14:textId="77777777">
      <w:pPr>
        <w:spacing w:after="120"/>
        <w:ind w:left="1080" w:hanging="360"/>
      </w:pPr>
      <w:r w:rsidRPr="00F26881">
        <w:t>H</w:t>
      </w:r>
      <w:r w:rsidRPr="00F26881">
        <w:rPr>
          <w:vertAlign w:val="subscript"/>
        </w:rPr>
        <w:t>a</w:t>
      </w:r>
      <w:r w:rsidRPr="00F26881">
        <w:t>: estimated % ($5; $50) ≠ estimated % ($0; $50)</w:t>
      </w:r>
    </w:p>
    <w:p w:rsidRPr="00F26881" w:rsidR="00B40D11" w:rsidP="008C0EE0" w:rsidRDefault="00B40D11" w14:paraId="64CA218C" w14:textId="4A5F23AA">
      <w:pPr>
        <w:pStyle w:val="ListParagraph"/>
        <w:numPr>
          <w:ilvl w:val="0"/>
          <w:numId w:val="25"/>
        </w:numPr>
        <w:spacing w:after="120"/>
        <w:ind w:left="720"/>
        <w:contextualSpacing w:val="0"/>
      </w:pPr>
      <w:r w:rsidRPr="00F26881">
        <w:t xml:space="preserve">Interview incentive and </w:t>
      </w:r>
      <w:r w:rsidRPr="00F26881">
        <w:rPr>
          <w:bCs/>
          <w:iCs/>
        </w:rPr>
        <w:t>demographic screener items</w:t>
      </w:r>
      <w:r w:rsidRPr="00F26881">
        <w:t>, conditional on $0 screening incentive</w:t>
      </w:r>
    </w:p>
    <w:p w:rsidRPr="00F26881" w:rsidR="00B40D11" w:rsidP="00B0099A" w:rsidRDefault="00B40D11" w14:paraId="3975DF7C" w14:textId="77777777">
      <w:pPr>
        <w:spacing w:after="120"/>
        <w:ind w:left="1080" w:hanging="360"/>
      </w:pPr>
      <w:r w:rsidRPr="00F26881">
        <w:t>H</w:t>
      </w:r>
      <w:r w:rsidRPr="00F26881">
        <w:rPr>
          <w:vertAlign w:val="subscript"/>
        </w:rPr>
        <w:t>o</w:t>
      </w:r>
      <w:r w:rsidRPr="00F26881">
        <w:t>: estimated % ($50; $0) = estimated % ($30; $0)</w:t>
      </w:r>
    </w:p>
    <w:p w:rsidRPr="00F26881" w:rsidR="00B40D11" w:rsidP="00B0099A" w:rsidRDefault="00B40D11" w14:paraId="7A0B79E6" w14:textId="77777777">
      <w:pPr>
        <w:spacing w:after="120"/>
        <w:ind w:left="1080" w:hanging="360"/>
      </w:pPr>
      <w:r w:rsidRPr="00F26881">
        <w:t>H</w:t>
      </w:r>
      <w:r w:rsidRPr="00F26881">
        <w:rPr>
          <w:vertAlign w:val="subscript"/>
        </w:rPr>
        <w:t>a</w:t>
      </w:r>
      <w:r w:rsidRPr="00F26881">
        <w:t>: estimated % ($50; $0) ≠ estimated % ($30; $0)</w:t>
      </w:r>
    </w:p>
    <w:p w:rsidRPr="00F26881" w:rsidR="00B40D11" w:rsidP="008C0EE0" w:rsidRDefault="00B40D11" w14:paraId="2550754D" w14:textId="650B56D9">
      <w:pPr>
        <w:pStyle w:val="ListParagraph"/>
        <w:numPr>
          <w:ilvl w:val="0"/>
          <w:numId w:val="26"/>
        </w:numPr>
        <w:spacing w:after="120"/>
        <w:ind w:left="720"/>
        <w:contextualSpacing w:val="0"/>
      </w:pPr>
      <w:r w:rsidRPr="00F26881">
        <w:t xml:space="preserve">Interview incentive and </w:t>
      </w:r>
      <w:r w:rsidRPr="00F26881">
        <w:rPr>
          <w:bCs/>
          <w:iCs/>
        </w:rPr>
        <w:t>demographic screener items</w:t>
      </w:r>
      <w:r w:rsidRPr="00F26881">
        <w:t>, conditional on $5 screening incentive</w:t>
      </w:r>
    </w:p>
    <w:p w:rsidRPr="00F26881" w:rsidR="00B40D11" w:rsidP="00B0099A" w:rsidRDefault="00B40D11" w14:paraId="1AB0D17C" w14:textId="77777777">
      <w:pPr>
        <w:spacing w:after="120"/>
        <w:ind w:left="1080" w:hanging="360"/>
      </w:pPr>
      <w:r w:rsidRPr="00F26881">
        <w:t>H</w:t>
      </w:r>
      <w:r w:rsidRPr="00F26881">
        <w:rPr>
          <w:vertAlign w:val="subscript"/>
        </w:rPr>
        <w:t>o</w:t>
      </w:r>
      <w:r w:rsidRPr="00F26881">
        <w:t>: estimated % ($50; $5) = estimated % ($30; $5)</w:t>
      </w:r>
    </w:p>
    <w:p w:rsidRPr="00F26881" w:rsidR="0012600A" w:rsidP="00171DAD" w:rsidRDefault="00B40D11" w14:paraId="01F1E2DA" w14:textId="77777777">
      <w:pPr>
        <w:ind w:left="1080" w:hanging="360"/>
      </w:pPr>
      <w:r w:rsidRPr="00F26881">
        <w:t>H</w:t>
      </w:r>
      <w:r w:rsidRPr="00F26881">
        <w:rPr>
          <w:vertAlign w:val="subscript"/>
        </w:rPr>
        <w:t>a</w:t>
      </w:r>
      <w:r w:rsidRPr="00F26881">
        <w:t>: estimated % ($50; $5) ≠ estimated % ($30; $5)</w:t>
      </w:r>
    </w:p>
    <w:p w:rsidRPr="00F26881" w:rsidR="00C64B70" w:rsidRDefault="00C64B70" w14:paraId="34FE792E" w14:textId="77777777">
      <w:pPr>
        <w:rPr>
          <w:bCs/>
          <w:iCs/>
        </w:rPr>
      </w:pPr>
    </w:p>
    <w:p w:rsidRPr="00F26881" w:rsidR="00446E0C" w:rsidRDefault="00446E0C" w14:paraId="1736778A" w14:textId="77777777">
      <w:pPr>
        <w:rPr>
          <w:rFonts w:cstheme="minorHAnsi"/>
        </w:rPr>
      </w:pPr>
      <w:r w:rsidRPr="00F26881">
        <w:rPr>
          <w:rFonts w:cstheme="minorHAnsi"/>
        </w:rPr>
        <w:br w:type="page"/>
      </w:r>
    </w:p>
    <w:p w:rsidRPr="00F26881" w:rsidR="00186E42" w:rsidP="00186E42" w:rsidRDefault="00186E42" w14:paraId="32CF8977" w14:textId="0EF63AB2">
      <w:pPr>
        <w:rPr>
          <w:rFonts w:cstheme="minorHAnsi"/>
        </w:rPr>
      </w:pPr>
      <w:r w:rsidRPr="00F26881">
        <w:rPr>
          <w:rFonts w:cstheme="minorHAnsi"/>
        </w:rPr>
        <w:lastRenderedPageBreak/>
        <w:t>Table 6 shows the MDDs for the selected demographic screener data for marginal mean differences. The demographic data includes age group, gender (represented as proportion who are men</w:t>
      </w:r>
      <w:r w:rsidRPr="00F26881">
        <w:rPr>
          <w:rStyle w:val="FootnoteReference"/>
          <w:rFonts w:cstheme="minorHAnsi"/>
        </w:rPr>
        <w:footnoteReference w:id="3"/>
      </w:r>
      <w:r w:rsidRPr="00F26881">
        <w:rPr>
          <w:rFonts w:cstheme="minorHAnsi"/>
        </w:rPr>
        <w:t>), and racial and ethnic groups. The table indicates the alpha level assumed for each MDD.</w:t>
      </w:r>
    </w:p>
    <w:p w:rsidRPr="00F26881" w:rsidR="00186E42" w:rsidP="00186E42" w:rsidRDefault="00186E42" w14:paraId="5ED97844" w14:textId="77777777">
      <w:pPr>
        <w:rPr>
          <w:rFonts w:cstheme="minorHAnsi"/>
        </w:rPr>
      </w:pPr>
    </w:p>
    <w:p w:rsidRPr="00F26881" w:rsidR="00186E42" w:rsidP="00186E42" w:rsidRDefault="00186E42" w14:paraId="57E7A0F8" w14:textId="69E670FE">
      <w:pPr>
        <w:rPr>
          <w:rFonts w:cstheme="minorHAnsi"/>
        </w:rPr>
      </w:pPr>
      <w:r w:rsidRPr="00F26881">
        <w:rPr>
          <w:rFonts w:cstheme="minorHAnsi"/>
          <w:i/>
          <w:iCs/>
        </w:rPr>
        <w:t>Age groups</w:t>
      </w:r>
      <w:r w:rsidRPr="00F26881">
        <w:rPr>
          <w:rFonts w:cstheme="minorHAnsi"/>
        </w:rPr>
        <w:t xml:space="preserve">: For marginal mean differences in Table 6, the expected sample size for comparing age groups across the four incentive conditions will allow for detecting differences ranging from </w:t>
      </w:r>
      <w:r w:rsidRPr="00F26881" w:rsidR="006153C2">
        <w:rPr>
          <w:rFonts w:cstheme="minorHAnsi"/>
        </w:rPr>
        <w:t>1</w:t>
      </w:r>
      <w:r w:rsidRPr="00F26881">
        <w:rPr>
          <w:rFonts w:cstheme="minorHAnsi"/>
        </w:rPr>
        <w:t>.</w:t>
      </w:r>
      <w:r w:rsidRPr="00F26881" w:rsidR="006153C2">
        <w:rPr>
          <w:rFonts w:cstheme="minorHAnsi"/>
        </w:rPr>
        <w:t>6</w:t>
      </w:r>
      <w:r w:rsidRPr="00F26881">
        <w:rPr>
          <w:rFonts w:cstheme="minorHAnsi"/>
        </w:rPr>
        <w:t xml:space="preserve">% to </w:t>
      </w:r>
      <w:r w:rsidRPr="00F26881" w:rsidR="006153C2">
        <w:rPr>
          <w:rFonts w:cstheme="minorHAnsi"/>
        </w:rPr>
        <w:t>4</w:t>
      </w:r>
      <w:r w:rsidRPr="00F26881">
        <w:rPr>
          <w:rFonts w:cstheme="minorHAnsi"/>
        </w:rPr>
        <w:t>.</w:t>
      </w:r>
      <w:r w:rsidRPr="00F26881" w:rsidR="006153C2">
        <w:rPr>
          <w:rFonts w:cstheme="minorHAnsi"/>
        </w:rPr>
        <w:t>0</w:t>
      </w:r>
      <w:r w:rsidRPr="00F26881">
        <w:rPr>
          <w:rFonts w:cstheme="minorHAnsi"/>
        </w:rPr>
        <w:t xml:space="preserve">% as statistically significant, across the six age categories and the </w:t>
      </w:r>
      <w:r w:rsidRPr="00F26881" w:rsidR="00060CB1">
        <w:rPr>
          <w:rFonts w:cstheme="minorHAnsi"/>
        </w:rPr>
        <w:t>two</w:t>
      </w:r>
      <w:r w:rsidRPr="00F26881">
        <w:rPr>
          <w:rFonts w:cstheme="minorHAnsi"/>
        </w:rPr>
        <w:t xml:space="preserve"> alpha levels.</w:t>
      </w:r>
    </w:p>
    <w:p w:rsidRPr="00F26881" w:rsidR="00186E42" w:rsidP="00186E42" w:rsidRDefault="00186E42" w14:paraId="6C1722E2" w14:textId="77777777">
      <w:pPr>
        <w:rPr>
          <w:rFonts w:cstheme="minorHAnsi"/>
        </w:rPr>
      </w:pPr>
    </w:p>
    <w:p w:rsidRPr="00F26881" w:rsidR="00186E42" w:rsidP="00186E42" w:rsidRDefault="00186E42" w14:paraId="4EA21B4E" w14:textId="20E9E84B">
      <w:pPr>
        <w:rPr>
          <w:rFonts w:cstheme="minorHAnsi"/>
        </w:rPr>
      </w:pPr>
      <w:r w:rsidRPr="00F26881">
        <w:rPr>
          <w:rFonts w:cstheme="minorHAnsi"/>
          <w:i/>
          <w:iCs/>
        </w:rPr>
        <w:t>Gender</w:t>
      </w:r>
      <w:r w:rsidRPr="00F26881">
        <w:rPr>
          <w:rFonts w:cstheme="minorHAnsi"/>
        </w:rPr>
        <w:t xml:space="preserve">: For marginal mean differences in Table 6, the expected sample size for comparing gender across the four incentive conditions </w:t>
      </w:r>
      <w:r w:rsidRPr="00F26881" w:rsidR="00151520">
        <w:rPr>
          <w:rFonts w:cstheme="minorHAnsi"/>
        </w:rPr>
        <w:t xml:space="preserve">will allow for detecting a difference of </w:t>
      </w:r>
      <w:r w:rsidRPr="00F26881" w:rsidR="001F24AE">
        <w:rPr>
          <w:rFonts w:cstheme="minorHAnsi"/>
        </w:rPr>
        <w:t>3</w:t>
      </w:r>
      <w:r w:rsidRPr="00F26881" w:rsidR="00151520">
        <w:rPr>
          <w:rFonts w:cstheme="minorHAnsi"/>
        </w:rPr>
        <w:t>.</w:t>
      </w:r>
      <w:r w:rsidRPr="00F26881" w:rsidR="001F24AE">
        <w:rPr>
          <w:rFonts w:cstheme="minorHAnsi"/>
        </w:rPr>
        <w:t>3</w:t>
      </w:r>
      <w:r w:rsidRPr="00F26881" w:rsidR="00151520">
        <w:rPr>
          <w:rFonts w:cstheme="minorHAnsi"/>
        </w:rPr>
        <w:t xml:space="preserve">% as statistically significant when alpha is 0.05 and </w:t>
      </w:r>
      <w:r w:rsidRPr="00F26881" w:rsidR="001F24AE">
        <w:rPr>
          <w:rFonts w:cstheme="minorHAnsi"/>
        </w:rPr>
        <w:t>a difference of 2.9</w:t>
      </w:r>
      <w:r w:rsidRPr="00F26881" w:rsidR="00151520">
        <w:rPr>
          <w:rFonts w:cstheme="minorHAnsi"/>
        </w:rPr>
        <w:t>% as statistically significant when alpha is 0.10</w:t>
      </w:r>
      <w:r w:rsidRPr="00F26881">
        <w:rPr>
          <w:rFonts w:cstheme="minorHAnsi"/>
        </w:rPr>
        <w:t>.</w:t>
      </w:r>
    </w:p>
    <w:p w:rsidRPr="00F26881" w:rsidR="00186E42" w:rsidP="00186E42" w:rsidRDefault="00186E42" w14:paraId="3BFE6C0F" w14:textId="77777777">
      <w:pPr>
        <w:rPr>
          <w:rFonts w:cstheme="minorHAnsi"/>
          <w:i/>
          <w:iCs/>
        </w:rPr>
      </w:pPr>
    </w:p>
    <w:p w:rsidRPr="00F26881" w:rsidR="00186E42" w:rsidP="00186E42" w:rsidRDefault="00186E42" w14:paraId="2A84446E" w14:textId="1BAC2540">
      <w:pPr>
        <w:rPr>
          <w:rFonts w:cstheme="minorHAnsi"/>
        </w:rPr>
      </w:pPr>
      <w:r w:rsidRPr="00F26881">
        <w:rPr>
          <w:rFonts w:cstheme="minorHAnsi"/>
          <w:i/>
          <w:iCs/>
        </w:rPr>
        <w:t>Race/ethnicity groups</w:t>
      </w:r>
      <w:r w:rsidRPr="00F26881">
        <w:rPr>
          <w:rFonts w:cstheme="minorHAnsi"/>
        </w:rPr>
        <w:t xml:space="preserve">: For marginal mean differences in Table 6, the expected sample size for comparing race/ethnicity groups across the four incentive conditions will allow for detecting differences ranging from </w:t>
      </w:r>
      <w:r w:rsidRPr="00F26881" w:rsidR="00F139B5">
        <w:rPr>
          <w:rFonts w:cstheme="minorHAnsi"/>
        </w:rPr>
        <w:t>2</w:t>
      </w:r>
      <w:r w:rsidRPr="00F26881">
        <w:rPr>
          <w:rFonts w:cstheme="minorHAnsi"/>
        </w:rPr>
        <w:t>.</w:t>
      </w:r>
      <w:r w:rsidRPr="00F26881" w:rsidR="00F139B5">
        <w:rPr>
          <w:rFonts w:cstheme="minorHAnsi"/>
        </w:rPr>
        <w:t>5</w:t>
      </w:r>
      <w:r w:rsidRPr="00F26881">
        <w:rPr>
          <w:rFonts w:cstheme="minorHAnsi"/>
        </w:rPr>
        <w:t xml:space="preserve">% to </w:t>
      </w:r>
      <w:r w:rsidRPr="00F26881" w:rsidR="00F139B5">
        <w:rPr>
          <w:rFonts w:cstheme="minorHAnsi"/>
        </w:rPr>
        <w:t>5</w:t>
      </w:r>
      <w:r w:rsidRPr="00F26881">
        <w:rPr>
          <w:rFonts w:cstheme="minorHAnsi"/>
        </w:rPr>
        <w:t>.</w:t>
      </w:r>
      <w:r w:rsidRPr="00F26881" w:rsidR="00F139B5">
        <w:rPr>
          <w:rFonts w:cstheme="minorHAnsi"/>
        </w:rPr>
        <w:t>0</w:t>
      </w:r>
      <w:r w:rsidRPr="00F26881">
        <w:rPr>
          <w:rFonts w:cstheme="minorHAnsi"/>
        </w:rPr>
        <w:t xml:space="preserve">% as statistically significant, across the four categories and the </w:t>
      </w:r>
      <w:r w:rsidRPr="00F26881" w:rsidR="00F139B5">
        <w:rPr>
          <w:rFonts w:cstheme="minorHAnsi"/>
        </w:rPr>
        <w:t>tw</w:t>
      </w:r>
      <w:r w:rsidRPr="00F26881">
        <w:rPr>
          <w:rFonts w:cstheme="minorHAnsi"/>
        </w:rPr>
        <w:t>o alpha levels.</w:t>
      </w:r>
    </w:p>
    <w:p w:rsidRPr="00F26881" w:rsidR="00CA30B6" w:rsidRDefault="00CA30B6" w14:paraId="7821AD1A" w14:textId="77777777">
      <w:pPr>
        <w:rPr>
          <w:rFonts w:cstheme="minorHAnsi"/>
        </w:rPr>
      </w:pPr>
    </w:p>
    <w:p w:rsidRPr="00F26881" w:rsidR="00CA30B6" w:rsidP="00CA30B6" w:rsidRDefault="00CA30B6" w14:paraId="5B941DD9" w14:textId="41DCCA33">
      <w:pPr>
        <w:spacing w:after="120"/>
        <w:ind w:left="864" w:hanging="864"/>
      </w:pPr>
      <w:r w:rsidRPr="00F26881">
        <w:rPr>
          <w:rFonts w:cstheme="minorHAnsi"/>
        </w:rPr>
        <w:t xml:space="preserve">Table </w:t>
      </w:r>
      <w:r w:rsidRPr="00F26881" w:rsidR="00CC5859">
        <w:rPr>
          <w:rFonts w:cstheme="minorHAnsi"/>
        </w:rPr>
        <w:t>6</w:t>
      </w:r>
      <w:r w:rsidRPr="00F26881">
        <w:rPr>
          <w:rFonts w:cstheme="minorHAnsi"/>
        </w:rPr>
        <w:t xml:space="preserve">. Minimum Detectable Differences for Age, Gender, and Race/Ethnicity: </w:t>
      </w:r>
      <w:r w:rsidRPr="00F26881">
        <w:t>Marginal Mean Differences</w:t>
      </w:r>
    </w:p>
    <w:tbl>
      <w:tblPr>
        <w:tblW w:w="6020" w:type="dxa"/>
        <w:tblLook w:val="04A0" w:firstRow="1" w:lastRow="0" w:firstColumn="1" w:lastColumn="0" w:noHBand="0" w:noVBand="1"/>
      </w:tblPr>
      <w:tblGrid>
        <w:gridCol w:w="2150"/>
        <w:gridCol w:w="1980"/>
        <w:gridCol w:w="1890"/>
      </w:tblGrid>
      <w:tr w:rsidRPr="00F26881" w:rsidR="00F26881" w:rsidTr="007478C2" w14:paraId="77A3D0CB" w14:textId="77777777">
        <w:trPr>
          <w:trHeight w:val="280"/>
        </w:trPr>
        <w:tc>
          <w:tcPr>
            <w:tcW w:w="2150" w:type="dxa"/>
            <w:tcBorders>
              <w:top w:val="single" w:color="auto" w:sz="8" w:space="0"/>
              <w:left w:val="single" w:color="auto" w:sz="8" w:space="0"/>
              <w:bottom w:val="single" w:color="auto" w:sz="4" w:space="0"/>
              <w:right w:val="single" w:color="auto" w:sz="8" w:space="0"/>
            </w:tcBorders>
            <w:shd w:val="clear" w:color="auto" w:fill="B8CCE4" w:themeFill="accent1" w:themeFillTint="66"/>
          </w:tcPr>
          <w:p w:rsidRPr="00F26881" w:rsidR="007478C2" w:rsidP="00E50893" w:rsidRDefault="007478C2" w14:paraId="5C49E4D3" w14:textId="77777777">
            <w:pPr>
              <w:jc w:val="center"/>
              <w:rPr>
                <w:b/>
                <w:bCs/>
                <w:i/>
                <w:iCs/>
                <w:sz w:val="22"/>
                <w:szCs w:val="22"/>
              </w:rPr>
            </w:pPr>
          </w:p>
        </w:tc>
        <w:tc>
          <w:tcPr>
            <w:tcW w:w="1980" w:type="dxa"/>
            <w:tcBorders>
              <w:top w:val="single" w:color="auto" w:sz="8" w:space="0"/>
              <w:left w:val="nil"/>
              <w:bottom w:val="single" w:color="auto" w:sz="4" w:space="0"/>
              <w:right w:val="single" w:color="auto" w:sz="8" w:space="0"/>
            </w:tcBorders>
            <w:shd w:val="clear" w:color="auto" w:fill="B8CCE4" w:themeFill="accent1" w:themeFillTint="66"/>
            <w:vAlign w:val="bottom"/>
          </w:tcPr>
          <w:p w:rsidRPr="00F26881" w:rsidR="007478C2" w:rsidP="00E50893" w:rsidRDefault="007478C2" w14:paraId="660D3A41" w14:textId="77777777">
            <w:pPr>
              <w:jc w:val="center"/>
              <w:rPr>
                <w:b/>
                <w:bCs/>
                <w:i/>
                <w:iCs/>
                <w:sz w:val="22"/>
                <w:szCs w:val="22"/>
              </w:rPr>
            </w:pPr>
            <w:r w:rsidRPr="00F26881">
              <w:rPr>
                <w:b/>
                <w:bCs/>
                <w:i/>
                <w:iCs/>
                <w:sz w:val="22"/>
                <w:szCs w:val="22"/>
              </w:rPr>
              <w:t>Alpha=0.05</w:t>
            </w:r>
          </w:p>
        </w:tc>
        <w:tc>
          <w:tcPr>
            <w:tcW w:w="1890" w:type="dxa"/>
            <w:tcBorders>
              <w:top w:val="single" w:color="auto" w:sz="8" w:space="0"/>
              <w:left w:val="single" w:color="auto" w:sz="8" w:space="0"/>
              <w:bottom w:val="single" w:color="auto" w:sz="4" w:space="0"/>
              <w:right w:val="single" w:color="auto" w:sz="8" w:space="0"/>
            </w:tcBorders>
            <w:shd w:val="clear" w:color="auto" w:fill="B8CCE4" w:themeFill="accent1" w:themeFillTint="66"/>
            <w:vAlign w:val="bottom"/>
          </w:tcPr>
          <w:p w:rsidRPr="00F26881" w:rsidR="007478C2" w:rsidP="00E50893" w:rsidRDefault="007478C2" w14:paraId="2480AE1A" w14:textId="77777777">
            <w:pPr>
              <w:jc w:val="center"/>
              <w:rPr>
                <w:b/>
                <w:bCs/>
                <w:i/>
                <w:iCs/>
                <w:sz w:val="22"/>
                <w:szCs w:val="22"/>
              </w:rPr>
            </w:pPr>
            <w:r w:rsidRPr="00F26881">
              <w:rPr>
                <w:b/>
                <w:bCs/>
                <w:i/>
                <w:iCs/>
                <w:sz w:val="22"/>
                <w:szCs w:val="22"/>
              </w:rPr>
              <w:t>Alpha=0.10</w:t>
            </w:r>
          </w:p>
        </w:tc>
      </w:tr>
      <w:tr w:rsidRPr="00F26881" w:rsidR="00F26881" w:rsidTr="007478C2" w14:paraId="6BC26C4D" w14:textId="77777777">
        <w:trPr>
          <w:trHeight w:val="270"/>
        </w:trPr>
        <w:tc>
          <w:tcPr>
            <w:tcW w:w="2150" w:type="dxa"/>
            <w:tcBorders>
              <w:top w:val="nil"/>
              <w:left w:val="single" w:color="auto" w:sz="8" w:space="0"/>
              <w:bottom w:val="nil"/>
              <w:right w:val="single" w:color="auto" w:sz="4" w:space="0"/>
            </w:tcBorders>
            <w:vAlign w:val="bottom"/>
          </w:tcPr>
          <w:p w:rsidRPr="00F26881" w:rsidR="007478C2" w:rsidP="00E50893" w:rsidRDefault="007478C2" w14:paraId="628DE22C" w14:textId="77777777">
            <w:pPr>
              <w:rPr>
                <w:b/>
                <w:bCs/>
                <w:i/>
                <w:iCs/>
                <w:sz w:val="22"/>
                <w:szCs w:val="22"/>
              </w:rPr>
            </w:pPr>
            <w:r w:rsidRPr="00F26881">
              <w:rPr>
                <w:b/>
                <w:bCs/>
                <w:i/>
                <w:iCs/>
                <w:sz w:val="22"/>
                <w:szCs w:val="22"/>
              </w:rPr>
              <w:t>Age Group</w:t>
            </w:r>
          </w:p>
        </w:tc>
        <w:tc>
          <w:tcPr>
            <w:tcW w:w="1980" w:type="dxa"/>
            <w:tcBorders>
              <w:top w:val="nil"/>
              <w:left w:val="single" w:color="auto" w:sz="8" w:space="0"/>
              <w:bottom w:val="nil"/>
              <w:right w:val="single" w:color="auto" w:sz="8" w:space="0"/>
            </w:tcBorders>
            <w:vAlign w:val="bottom"/>
          </w:tcPr>
          <w:p w:rsidRPr="00F26881" w:rsidR="007478C2" w:rsidP="00E50893" w:rsidRDefault="007478C2" w14:paraId="3CCCA3A3" w14:textId="77777777">
            <w:pPr>
              <w:jc w:val="center"/>
              <w:rPr>
                <w:b/>
                <w:bCs/>
                <w:sz w:val="22"/>
                <w:szCs w:val="22"/>
              </w:rPr>
            </w:pPr>
          </w:p>
        </w:tc>
        <w:tc>
          <w:tcPr>
            <w:tcW w:w="1890" w:type="dxa"/>
            <w:tcBorders>
              <w:top w:val="nil"/>
              <w:left w:val="single" w:color="auto" w:sz="8" w:space="0"/>
              <w:bottom w:val="nil"/>
              <w:right w:val="single" w:color="auto" w:sz="8" w:space="0"/>
            </w:tcBorders>
            <w:vAlign w:val="bottom"/>
          </w:tcPr>
          <w:p w:rsidRPr="00F26881" w:rsidR="007478C2" w:rsidP="00E50893" w:rsidRDefault="007478C2" w14:paraId="11AE6E19" w14:textId="77777777">
            <w:pPr>
              <w:jc w:val="center"/>
              <w:rPr>
                <w:b/>
                <w:bCs/>
                <w:sz w:val="22"/>
                <w:szCs w:val="22"/>
              </w:rPr>
            </w:pPr>
          </w:p>
        </w:tc>
      </w:tr>
      <w:tr w:rsidRPr="00F26881" w:rsidR="00F26881" w:rsidTr="007478C2" w14:paraId="771BF5EE" w14:textId="77777777">
        <w:trPr>
          <w:trHeight w:val="270"/>
        </w:trPr>
        <w:tc>
          <w:tcPr>
            <w:tcW w:w="2150" w:type="dxa"/>
            <w:tcBorders>
              <w:top w:val="nil"/>
              <w:left w:val="single" w:color="auto" w:sz="8" w:space="0"/>
              <w:bottom w:val="nil"/>
              <w:right w:val="single" w:color="auto" w:sz="4" w:space="0"/>
            </w:tcBorders>
            <w:vAlign w:val="bottom"/>
          </w:tcPr>
          <w:p w:rsidRPr="00F26881" w:rsidR="007478C2" w:rsidP="00E50893" w:rsidRDefault="007478C2" w14:paraId="1CC1C128" w14:textId="77777777">
            <w:pPr>
              <w:rPr>
                <w:b/>
                <w:bCs/>
                <w:sz w:val="22"/>
                <w:szCs w:val="22"/>
              </w:rPr>
            </w:pPr>
            <w:r w:rsidRPr="00F26881">
              <w:rPr>
                <w:b/>
                <w:bCs/>
                <w:sz w:val="22"/>
                <w:szCs w:val="22"/>
              </w:rPr>
              <w:t>Age 12-20</w:t>
            </w:r>
          </w:p>
        </w:tc>
        <w:tc>
          <w:tcPr>
            <w:tcW w:w="1980" w:type="dxa"/>
            <w:tcBorders>
              <w:top w:val="nil"/>
              <w:left w:val="single" w:color="auto" w:sz="8" w:space="0"/>
              <w:bottom w:val="nil"/>
              <w:right w:val="single" w:color="auto" w:sz="8" w:space="0"/>
            </w:tcBorders>
            <w:vAlign w:val="bottom"/>
          </w:tcPr>
          <w:p w:rsidRPr="00F26881" w:rsidR="007478C2" w:rsidP="00E50893" w:rsidRDefault="007478C2" w14:paraId="5EE744E4" w14:textId="6733B28C">
            <w:pPr>
              <w:jc w:val="center"/>
              <w:rPr>
                <w:sz w:val="22"/>
                <w:szCs w:val="22"/>
              </w:rPr>
            </w:pPr>
            <w:r w:rsidRPr="00F26881">
              <w:rPr>
                <w:sz w:val="22"/>
                <w:szCs w:val="22"/>
              </w:rPr>
              <w:t>0.0</w:t>
            </w:r>
            <w:r w:rsidRPr="00F26881" w:rsidR="00773749">
              <w:rPr>
                <w:sz w:val="22"/>
                <w:szCs w:val="22"/>
              </w:rPr>
              <w:t>21</w:t>
            </w:r>
          </w:p>
        </w:tc>
        <w:tc>
          <w:tcPr>
            <w:tcW w:w="1890" w:type="dxa"/>
            <w:tcBorders>
              <w:top w:val="nil"/>
              <w:left w:val="single" w:color="auto" w:sz="8" w:space="0"/>
              <w:bottom w:val="nil"/>
              <w:right w:val="single" w:color="auto" w:sz="8" w:space="0"/>
            </w:tcBorders>
            <w:vAlign w:val="bottom"/>
          </w:tcPr>
          <w:p w:rsidRPr="00F26881" w:rsidR="007478C2" w:rsidP="00E50893" w:rsidRDefault="007478C2" w14:paraId="694AD6B6" w14:textId="1F481285">
            <w:pPr>
              <w:jc w:val="center"/>
              <w:rPr>
                <w:sz w:val="22"/>
                <w:szCs w:val="22"/>
              </w:rPr>
            </w:pPr>
            <w:r w:rsidRPr="00F26881">
              <w:rPr>
                <w:sz w:val="22"/>
                <w:szCs w:val="22"/>
              </w:rPr>
              <w:t>0.0</w:t>
            </w:r>
            <w:r w:rsidRPr="00F26881" w:rsidR="00A60E83">
              <w:rPr>
                <w:sz w:val="22"/>
                <w:szCs w:val="22"/>
              </w:rPr>
              <w:t>19</w:t>
            </w:r>
          </w:p>
        </w:tc>
      </w:tr>
      <w:tr w:rsidRPr="00F26881" w:rsidR="00F26881" w:rsidTr="007478C2" w14:paraId="65608547" w14:textId="77777777">
        <w:trPr>
          <w:trHeight w:val="270"/>
        </w:trPr>
        <w:tc>
          <w:tcPr>
            <w:tcW w:w="2150" w:type="dxa"/>
            <w:tcBorders>
              <w:top w:val="nil"/>
              <w:left w:val="single" w:color="auto" w:sz="8" w:space="0"/>
              <w:bottom w:val="nil"/>
              <w:right w:val="single" w:color="auto" w:sz="4" w:space="0"/>
            </w:tcBorders>
            <w:vAlign w:val="bottom"/>
          </w:tcPr>
          <w:p w:rsidRPr="00F26881" w:rsidR="007478C2" w:rsidP="00E50893" w:rsidRDefault="007478C2" w14:paraId="06B6A84C" w14:textId="77777777">
            <w:pPr>
              <w:rPr>
                <w:b/>
                <w:bCs/>
                <w:sz w:val="22"/>
                <w:szCs w:val="22"/>
              </w:rPr>
            </w:pPr>
            <w:r w:rsidRPr="00F26881">
              <w:rPr>
                <w:b/>
                <w:bCs/>
                <w:sz w:val="22"/>
                <w:szCs w:val="22"/>
              </w:rPr>
              <w:t>Age 21-25</w:t>
            </w:r>
          </w:p>
        </w:tc>
        <w:tc>
          <w:tcPr>
            <w:tcW w:w="1980" w:type="dxa"/>
            <w:tcBorders>
              <w:top w:val="nil"/>
              <w:left w:val="single" w:color="auto" w:sz="8" w:space="0"/>
              <w:bottom w:val="nil"/>
              <w:right w:val="single" w:color="auto" w:sz="8" w:space="0"/>
            </w:tcBorders>
            <w:vAlign w:val="bottom"/>
          </w:tcPr>
          <w:p w:rsidRPr="00F26881" w:rsidR="007478C2" w:rsidP="00E50893" w:rsidRDefault="007478C2" w14:paraId="6B1C2093" w14:textId="77FAAC49">
            <w:pPr>
              <w:jc w:val="center"/>
              <w:rPr>
                <w:sz w:val="22"/>
                <w:szCs w:val="22"/>
              </w:rPr>
            </w:pPr>
            <w:r w:rsidRPr="00F26881">
              <w:rPr>
                <w:sz w:val="22"/>
                <w:szCs w:val="22"/>
              </w:rPr>
              <w:t>0.0</w:t>
            </w:r>
            <w:r w:rsidRPr="00F26881" w:rsidR="000120B0">
              <w:rPr>
                <w:sz w:val="22"/>
                <w:szCs w:val="22"/>
              </w:rPr>
              <w:t>18</w:t>
            </w:r>
          </w:p>
        </w:tc>
        <w:tc>
          <w:tcPr>
            <w:tcW w:w="1890" w:type="dxa"/>
            <w:tcBorders>
              <w:top w:val="nil"/>
              <w:left w:val="single" w:color="auto" w:sz="8" w:space="0"/>
              <w:bottom w:val="nil"/>
              <w:right w:val="single" w:color="auto" w:sz="8" w:space="0"/>
            </w:tcBorders>
            <w:vAlign w:val="bottom"/>
          </w:tcPr>
          <w:p w:rsidRPr="00F26881" w:rsidR="007478C2" w:rsidP="00E50893" w:rsidRDefault="007478C2" w14:paraId="311A9F5D" w14:textId="53D96A95">
            <w:pPr>
              <w:jc w:val="center"/>
              <w:rPr>
                <w:sz w:val="22"/>
                <w:szCs w:val="22"/>
              </w:rPr>
            </w:pPr>
            <w:r w:rsidRPr="00F26881">
              <w:rPr>
                <w:sz w:val="22"/>
                <w:szCs w:val="22"/>
              </w:rPr>
              <w:t>0.0</w:t>
            </w:r>
            <w:r w:rsidRPr="00F26881" w:rsidR="00A60E83">
              <w:rPr>
                <w:sz w:val="22"/>
                <w:szCs w:val="22"/>
              </w:rPr>
              <w:t>16</w:t>
            </w:r>
          </w:p>
        </w:tc>
      </w:tr>
      <w:tr w:rsidRPr="00F26881" w:rsidR="00F26881" w:rsidTr="007478C2" w14:paraId="75B134BB" w14:textId="77777777">
        <w:trPr>
          <w:trHeight w:val="270"/>
        </w:trPr>
        <w:tc>
          <w:tcPr>
            <w:tcW w:w="2150" w:type="dxa"/>
            <w:tcBorders>
              <w:top w:val="nil"/>
              <w:left w:val="single" w:color="auto" w:sz="8" w:space="0"/>
              <w:right w:val="single" w:color="auto" w:sz="4" w:space="0"/>
            </w:tcBorders>
            <w:shd w:val="clear" w:color="auto" w:fill="auto"/>
            <w:vAlign w:val="bottom"/>
          </w:tcPr>
          <w:p w:rsidRPr="00F26881" w:rsidR="007478C2" w:rsidP="00E50893" w:rsidRDefault="007478C2" w14:paraId="42E5F479" w14:textId="77777777">
            <w:pPr>
              <w:rPr>
                <w:b/>
                <w:bCs/>
                <w:sz w:val="22"/>
                <w:szCs w:val="22"/>
              </w:rPr>
            </w:pPr>
            <w:r w:rsidRPr="00F26881">
              <w:rPr>
                <w:b/>
                <w:bCs/>
                <w:sz w:val="22"/>
                <w:szCs w:val="22"/>
              </w:rPr>
              <w:t>Age 26-34</w:t>
            </w:r>
          </w:p>
        </w:tc>
        <w:tc>
          <w:tcPr>
            <w:tcW w:w="1980" w:type="dxa"/>
            <w:tcBorders>
              <w:top w:val="nil"/>
              <w:left w:val="single" w:color="auto" w:sz="8" w:space="0"/>
              <w:right w:val="single" w:color="auto" w:sz="8" w:space="0"/>
            </w:tcBorders>
            <w:vAlign w:val="bottom"/>
          </w:tcPr>
          <w:p w:rsidRPr="00F26881" w:rsidR="007478C2" w:rsidP="00E50893" w:rsidRDefault="007478C2" w14:paraId="17290B2A" w14:textId="6C207779">
            <w:pPr>
              <w:jc w:val="center"/>
              <w:rPr>
                <w:sz w:val="22"/>
                <w:szCs w:val="22"/>
              </w:rPr>
            </w:pPr>
            <w:r w:rsidRPr="00F26881">
              <w:rPr>
                <w:sz w:val="22"/>
                <w:szCs w:val="22"/>
              </w:rPr>
              <w:t>0.0</w:t>
            </w:r>
            <w:r w:rsidRPr="00F26881" w:rsidR="00EA147B">
              <w:rPr>
                <w:sz w:val="22"/>
                <w:szCs w:val="22"/>
              </w:rPr>
              <w:t>27</w:t>
            </w:r>
          </w:p>
        </w:tc>
        <w:tc>
          <w:tcPr>
            <w:tcW w:w="1890" w:type="dxa"/>
            <w:tcBorders>
              <w:top w:val="nil"/>
              <w:left w:val="single" w:color="auto" w:sz="8" w:space="0"/>
              <w:right w:val="single" w:color="auto" w:sz="8" w:space="0"/>
            </w:tcBorders>
            <w:vAlign w:val="bottom"/>
          </w:tcPr>
          <w:p w:rsidRPr="00F26881" w:rsidR="007478C2" w:rsidP="00E50893" w:rsidRDefault="007478C2" w14:paraId="1C9E084D" w14:textId="7F23C634">
            <w:pPr>
              <w:jc w:val="center"/>
              <w:rPr>
                <w:sz w:val="22"/>
                <w:szCs w:val="22"/>
              </w:rPr>
            </w:pPr>
            <w:r w:rsidRPr="00F26881">
              <w:rPr>
                <w:sz w:val="22"/>
                <w:szCs w:val="22"/>
              </w:rPr>
              <w:t>0.0</w:t>
            </w:r>
            <w:r w:rsidRPr="00F26881" w:rsidR="006262C2">
              <w:rPr>
                <w:sz w:val="22"/>
                <w:szCs w:val="22"/>
              </w:rPr>
              <w:t>2</w:t>
            </w:r>
            <w:r w:rsidRPr="00F26881">
              <w:rPr>
                <w:sz w:val="22"/>
                <w:szCs w:val="22"/>
              </w:rPr>
              <w:t>3</w:t>
            </w:r>
          </w:p>
        </w:tc>
      </w:tr>
      <w:tr w:rsidRPr="00F26881" w:rsidR="00F26881" w:rsidTr="007478C2" w14:paraId="5316EEB9" w14:textId="77777777">
        <w:trPr>
          <w:trHeight w:val="270"/>
        </w:trPr>
        <w:tc>
          <w:tcPr>
            <w:tcW w:w="2150" w:type="dxa"/>
            <w:tcBorders>
              <w:top w:val="nil"/>
              <w:left w:val="single" w:color="auto" w:sz="8" w:space="0"/>
              <w:right w:val="single" w:color="auto" w:sz="4" w:space="0"/>
            </w:tcBorders>
            <w:shd w:val="clear" w:color="auto" w:fill="auto"/>
            <w:vAlign w:val="bottom"/>
          </w:tcPr>
          <w:p w:rsidRPr="00F26881" w:rsidR="007478C2" w:rsidP="00E50893" w:rsidRDefault="007478C2" w14:paraId="2A40E412" w14:textId="77777777">
            <w:pPr>
              <w:rPr>
                <w:b/>
                <w:bCs/>
                <w:sz w:val="22"/>
                <w:szCs w:val="22"/>
              </w:rPr>
            </w:pPr>
            <w:r w:rsidRPr="00F26881">
              <w:rPr>
                <w:b/>
                <w:bCs/>
                <w:sz w:val="22"/>
                <w:szCs w:val="22"/>
              </w:rPr>
              <w:t>Age 35-49</w:t>
            </w:r>
          </w:p>
        </w:tc>
        <w:tc>
          <w:tcPr>
            <w:tcW w:w="1980" w:type="dxa"/>
            <w:tcBorders>
              <w:top w:val="nil"/>
              <w:left w:val="single" w:color="auto" w:sz="8" w:space="0"/>
              <w:right w:val="single" w:color="auto" w:sz="8" w:space="0"/>
            </w:tcBorders>
            <w:vAlign w:val="bottom"/>
          </w:tcPr>
          <w:p w:rsidRPr="00F26881" w:rsidR="007478C2" w:rsidP="00E50893" w:rsidRDefault="007478C2" w14:paraId="509D99A4" w14:textId="5FFE37EB">
            <w:pPr>
              <w:jc w:val="center"/>
              <w:rPr>
                <w:sz w:val="22"/>
                <w:szCs w:val="22"/>
              </w:rPr>
            </w:pPr>
            <w:r w:rsidRPr="00F26881">
              <w:rPr>
                <w:sz w:val="22"/>
                <w:szCs w:val="22"/>
              </w:rPr>
              <w:t>0.0</w:t>
            </w:r>
            <w:r w:rsidRPr="00F26881" w:rsidR="00EA147B">
              <w:rPr>
                <w:sz w:val="22"/>
                <w:szCs w:val="22"/>
              </w:rPr>
              <w:t>29</w:t>
            </w:r>
          </w:p>
        </w:tc>
        <w:tc>
          <w:tcPr>
            <w:tcW w:w="1890" w:type="dxa"/>
            <w:tcBorders>
              <w:top w:val="nil"/>
              <w:left w:val="single" w:color="auto" w:sz="8" w:space="0"/>
              <w:right w:val="single" w:color="auto" w:sz="8" w:space="0"/>
            </w:tcBorders>
            <w:vAlign w:val="bottom"/>
          </w:tcPr>
          <w:p w:rsidRPr="00F26881" w:rsidR="007478C2" w:rsidP="00E50893" w:rsidRDefault="007478C2" w14:paraId="491C05CA" w14:textId="77777777">
            <w:pPr>
              <w:jc w:val="center"/>
              <w:rPr>
                <w:sz w:val="22"/>
                <w:szCs w:val="22"/>
              </w:rPr>
            </w:pPr>
            <w:r w:rsidRPr="00F26881">
              <w:rPr>
                <w:sz w:val="22"/>
                <w:szCs w:val="22"/>
              </w:rPr>
              <w:t>0.037</w:t>
            </w:r>
          </w:p>
        </w:tc>
      </w:tr>
      <w:tr w:rsidRPr="00F26881" w:rsidR="00F26881" w:rsidTr="007478C2" w14:paraId="083CCABA" w14:textId="77777777">
        <w:trPr>
          <w:trHeight w:val="270"/>
        </w:trPr>
        <w:tc>
          <w:tcPr>
            <w:tcW w:w="2150" w:type="dxa"/>
            <w:tcBorders>
              <w:top w:val="nil"/>
              <w:left w:val="single" w:color="auto" w:sz="8" w:space="0"/>
              <w:right w:val="single" w:color="auto" w:sz="4" w:space="0"/>
            </w:tcBorders>
            <w:shd w:val="clear" w:color="auto" w:fill="auto"/>
            <w:vAlign w:val="bottom"/>
          </w:tcPr>
          <w:p w:rsidRPr="00F26881" w:rsidR="007478C2" w:rsidP="00E50893" w:rsidRDefault="007478C2" w14:paraId="31D10EF7" w14:textId="77777777">
            <w:pPr>
              <w:rPr>
                <w:b/>
                <w:bCs/>
                <w:sz w:val="22"/>
                <w:szCs w:val="22"/>
              </w:rPr>
            </w:pPr>
            <w:r w:rsidRPr="00F26881">
              <w:rPr>
                <w:b/>
                <w:bCs/>
                <w:sz w:val="22"/>
                <w:szCs w:val="22"/>
              </w:rPr>
              <w:t>Age 50-64</w:t>
            </w:r>
          </w:p>
        </w:tc>
        <w:tc>
          <w:tcPr>
            <w:tcW w:w="1980" w:type="dxa"/>
            <w:tcBorders>
              <w:top w:val="nil"/>
              <w:left w:val="single" w:color="auto" w:sz="8" w:space="0"/>
              <w:right w:val="single" w:color="auto" w:sz="8" w:space="0"/>
            </w:tcBorders>
            <w:vAlign w:val="bottom"/>
          </w:tcPr>
          <w:p w:rsidRPr="00F26881" w:rsidR="007478C2" w:rsidP="00E50893" w:rsidRDefault="007478C2" w14:paraId="27C488DB" w14:textId="5DE273FD">
            <w:pPr>
              <w:jc w:val="center"/>
              <w:rPr>
                <w:sz w:val="22"/>
                <w:szCs w:val="22"/>
              </w:rPr>
            </w:pPr>
            <w:r w:rsidRPr="00F26881">
              <w:rPr>
                <w:sz w:val="22"/>
                <w:szCs w:val="22"/>
              </w:rPr>
              <w:t>0.0</w:t>
            </w:r>
            <w:r w:rsidRPr="00F26881" w:rsidR="00EA147B">
              <w:rPr>
                <w:sz w:val="22"/>
                <w:szCs w:val="22"/>
              </w:rPr>
              <w:t>37</w:t>
            </w:r>
          </w:p>
        </w:tc>
        <w:tc>
          <w:tcPr>
            <w:tcW w:w="1890" w:type="dxa"/>
            <w:tcBorders>
              <w:top w:val="nil"/>
              <w:left w:val="single" w:color="auto" w:sz="8" w:space="0"/>
              <w:right w:val="single" w:color="auto" w:sz="8" w:space="0"/>
            </w:tcBorders>
            <w:vAlign w:val="bottom"/>
          </w:tcPr>
          <w:p w:rsidRPr="00F26881" w:rsidR="007478C2" w:rsidP="00E50893" w:rsidRDefault="007478C2" w14:paraId="39C2FBA5" w14:textId="327126B9">
            <w:pPr>
              <w:jc w:val="center"/>
              <w:rPr>
                <w:sz w:val="22"/>
                <w:szCs w:val="22"/>
              </w:rPr>
            </w:pPr>
            <w:r w:rsidRPr="00F26881">
              <w:rPr>
                <w:sz w:val="22"/>
                <w:szCs w:val="22"/>
              </w:rPr>
              <w:t>0.0</w:t>
            </w:r>
            <w:r w:rsidRPr="00F26881" w:rsidR="006262C2">
              <w:rPr>
                <w:sz w:val="22"/>
                <w:szCs w:val="22"/>
              </w:rPr>
              <w:t>33</w:t>
            </w:r>
          </w:p>
        </w:tc>
      </w:tr>
      <w:tr w:rsidRPr="00F26881" w:rsidR="00F26881" w:rsidTr="007478C2" w14:paraId="60841E26" w14:textId="77777777">
        <w:trPr>
          <w:trHeight w:val="270"/>
        </w:trPr>
        <w:tc>
          <w:tcPr>
            <w:tcW w:w="2150" w:type="dxa"/>
            <w:tcBorders>
              <w:left w:val="single" w:color="auto" w:sz="8" w:space="0"/>
              <w:bottom w:val="single" w:color="auto" w:sz="4" w:space="0"/>
              <w:right w:val="single" w:color="auto" w:sz="4" w:space="0"/>
            </w:tcBorders>
            <w:shd w:val="clear" w:color="auto" w:fill="auto"/>
            <w:vAlign w:val="bottom"/>
          </w:tcPr>
          <w:p w:rsidRPr="00F26881" w:rsidR="007478C2" w:rsidP="00E50893" w:rsidRDefault="007478C2" w14:paraId="1F39F69F" w14:textId="77777777">
            <w:pPr>
              <w:rPr>
                <w:b/>
                <w:bCs/>
                <w:sz w:val="22"/>
                <w:szCs w:val="22"/>
              </w:rPr>
            </w:pPr>
            <w:r w:rsidRPr="00F26881">
              <w:rPr>
                <w:b/>
                <w:bCs/>
                <w:sz w:val="22"/>
                <w:szCs w:val="22"/>
              </w:rPr>
              <w:t>Age 65+</w:t>
            </w:r>
          </w:p>
        </w:tc>
        <w:tc>
          <w:tcPr>
            <w:tcW w:w="1980" w:type="dxa"/>
            <w:tcBorders>
              <w:left w:val="single" w:color="auto" w:sz="8" w:space="0"/>
              <w:bottom w:val="single" w:color="auto" w:sz="4" w:space="0"/>
              <w:right w:val="single" w:color="auto" w:sz="8" w:space="0"/>
            </w:tcBorders>
            <w:vAlign w:val="bottom"/>
          </w:tcPr>
          <w:p w:rsidRPr="00F26881" w:rsidR="007478C2" w:rsidP="00E50893" w:rsidRDefault="007478C2" w14:paraId="07E6F919" w14:textId="23CA05EB">
            <w:pPr>
              <w:jc w:val="center"/>
              <w:rPr>
                <w:sz w:val="22"/>
                <w:szCs w:val="22"/>
              </w:rPr>
            </w:pPr>
            <w:r w:rsidRPr="00F26881">
              <w:rPr>
                <w:sz w:val="22"/>
                <w:szCs w:val="22"/>
              </w:rPr>
              <w:t>0.0</w:t>
            </w:r>
            <w:r w:rsidRPr="00F26881" w:rsidR="00C023CE">
              <w:rPr>
                <w:sz w:val="22"/>
                <w:szCs w:val="22"/>
              </w:rPr>
              <w:t>40</w:t>
            </w:r>
          </w:p>
        </w:tc>
        <w:tc>
          <w:tcPr>
            <w:tcW w:w="1890" w:type="dxa"/>
            <w:tcBorders>
              <w:left w:val="single" w:color="auto" w:sz="8" w:space="0"/>
              <w:bottom w:val="single" w:color="auto" w:sz="4" w:space="0"/>
              <w:right w:val="single" w:color="auto" w:sz="8" w:space="0"/>
            </w:tcBorders>
            <w:vAlign w:val="bottom"/>
          </w:tcPr>
          <w:p w:rsidRPr="00F26881" w:rsidR="007478C2" w:rsidP="00E50893" w:rsidRDefault="007478C2" w14:paraId="42EEDC3E" w14:textId="57A4A208">
            <w:pPr>
              <w:jc w:val="center"/>
              <w:rPr>
                <w:sz w:val="22"/>
                <w:szCs w:val="22"/>
              </w:rPr>
            </w:pPr>
            <w:r w:rsidRPr="00F26881">
              <w:rPr>
                <w:sz w:val="22"/>
                <w:szCs w:val="22"/>
              </w:rPr>
              <w:t>0.</w:t>
            </w:r>
            <w:r w:rsidRPr="00F26881" w:rsidR="006262C2">
              <w:rPr>
                <w:sz w:val="22"/>
                <w:szCs w:val="22"/>
              </w:rPr>
              <w:t>03</w:t>
            </w:r>
            <w:r w:rsidRPr="00F26881">
              <w:rPr>
                <w:sz w:val="22"/>
                <w:szCs w:val="22"/>
              </w:rPr>
              <w:t>5</w:t>
            </w:r>
          </w:p>
        </w:tc>
      </w:tr>
      <w:tr w:rsidRPr="00F26881" w:rsidR="00F26881" w:rsidTr="007478C2" w14:paraId="793F4DBF" w14:textId="77777777">
        <w:trPr>
          <w:trHeight w:val="270"/>
        </w:trPr>
        <w:tc>
          <w:tcPr>
            <w:tcW w:w="2150" w:type="dxa"/>
            <w:tcBorders>
              <w:top w:val="single" w:color="auto" w:sz="4" w:space="0"/>
              <w:left w:val="single" w:color="auto" w:sz="8" w:space="0"/>
              <w:right w:val="single" w:color="auto" w:sz="4" w:space="0"/>
            </w:tcBorders>
            <w:shd w:val="clear" w:color="auto" w:fill="F2F2F2" w:themeFill="background1" w:themeFillShade="F2"/>
            <w:vAlign w:val="bottom"/>
          </w:tcPr>
          <w:p w:rsidRPr="00F26881" w:rsidR="007478C2" w:rsidP="00E50893" w:rsidRDefault="007478C2" w14:paraId="478579A9" w14:textId="77777777">
            <w:pPr>
              <w:rPr>
                <w:b/>
                <w:bCs/>
                <w:i/>
                <w:iCs/>
                <w:sz w:val="22"/>
                <w:szCs w:val="22"/>
              </w:rPr>
            </w:pPr>
            <w:r w:rsidRPr="00F26881">
              <w:rPr>
                <w:b/>
                <w:bCs/>
                <w:i/>
                <w:iCs/>
                <w:sz w:val="22"/>
                <w:szCs w:val="22"/>
              </w:rPr>
              <w:t>Gender</w:t>
            </w:r>
          </w:p>
        </w:tc>
        <w:tc>
          <w:tcPr>
            <w:tcW w:w="1980" w:type="dxa"/>
            <w:tcBorders>
              <w:top w:val="single" w:color="auto" w:sz="4" w:space="0"/>
              <w:left w:val="single" w:color="auto" w:sz="8" w:space="0"/>
              <w:right w:val="single" w:color="auto" w:sz="8" w:space="0"/>
            </w:tcBorders>
            <w:shd w:val="clear" w:color="auto" w:fill="F2F2F2" w:themeFill="background1" w:themeFillShade="F2"/>
            <w:vAlign w:val="bottom"/>
          </w:tcPr>
          <w:p w:rsidRPr="00F26881" w:rsidR="007478C2" w:rsidP="00E50893" w:rsidRDefault="007478C2" w14:paraId="4475E185" w14:textId="77777777">
            <w:pPr>
              <w:jc w:val="center"/>
              <w:rPr>
                <w:b/>
                <w:bCs/>
                <w:sz w:val="22"/>
                <w:szCs w:val="22"/>
              </w:rPr>
            </w:pPr>
          </w:p>
        </w:tc>
        <w:tc>
          <w:tcPr>
            <w:tcW w:w="1890" w:type="dxa"/>
            <w:tcBorders>
              <w:top w:val="single" w:color="auto" w:sz="4" w:space="0"/>
              <w:left w:val="single" w:color="auto" w:sz="8" w:space="0"/>
              <w:right w:val="single" w:color="auto" w:sz="8" w:space="0"/>
            </w:tcBorders>
            <w:shd w:val="clear" w:color="auto" w:fill="F2F2F2" w:themeFill="background1" w:themeFillShade="F2"/>
            <w:vAlign w:val="bottom"/>
          </w:tcPr>
          <w:p w:rsidRPr="00F26881" w:rsidR="007478C2" w:rsidP="00E50893" w:rsidRDefault="007478C2" w14:paraId="79597DE2" w14:textId="77777777">
            <w:pPr>
              <w:jc w:val="center"/>
              <w:rPr>
                <w:b/>
                <w:bCs/>
                <w:sz w:val="22"/>
                <w:szCs w:val="22"/>
              </w:rPr>
            </w:pPr>
          </w:p>
        </w:tc>
      </w:tr>
      <w:tr w:rsidRPr="00F26881" w:rsidR="00F26881" w:rsidTr="007478C2" w14:paraId="4876066C" w14:textId="77777777">
        <w:trPr>
          <w:trHeight w:val="270"/>
        </w:trPr>
        <w:tc>
          <w:tcPr>
            <w:tcW w:w="2150" w:type="dxa"/>
            <w:tcBorders>
              <w:top w:val="nil"/>
              <w:left w:val="single" w:color="auto" w:sz="8" w:space="0"/>
              <w:bottom w:val="single" w:color="auto" w:sz="4" w:space="0"/>
              <w:right w:val="single" w:color="auto" w:sz="4" w:space="0"/>
            </w:tcBorders>
            <w:shd w:val="clear" w:color="auto" w:fill="F2F2F2" w:themeFill="background1" w:themeFillShade="F2"/>
            <w:vAlign w:val="bottom"/>
          </w:tcPr>
          <w:p w:rsidRPr="00F26881" w:rsidR="007478C2" w:rsidP="00E50893" w:rsidRDefault="007478C2" w14:paraId="0C9681F7" w14:textId="77777777">
            <w:pPr>
              <w:rPr>
                <w:b/>
                <w:bCs/>
                <w:sz w:val="22"/>
                <w:szCs w:val="22"/>
              </w:rPr>
            </w:pPr>
            <w:r w:rsidRPr="00F26881">
              <w:rPr>
                <w:b/>
                <w:bCs/>
                <w:sz w:val="22"/>
                <w:szCs w:val="22"/>
              </w:rPr>
              <w:t>Male</w:t>
            </w:r>
          </w:p>
        </w:tc>
        <w:tc>
          <w:tcPr>
            <w:tcW w:w="1980" w:type="dxa"/>
            <w:tcBorders>
              <w:top w:val="nil"/>
              <w:left w:val="single" w:color="auto" w:sz="8" w:space="0"/>
              <w:bottom w:val="single" w:color="auto" w:sz="4" w:space="0"/>
              <w:right w:val="single" w:color="auto" w:sz="8" w:space="0"/>
            </w:tcBorders>
            <w:shd w:val="clear" w:color="auto" w:fill="F2F2F2" w:themeFill="background1" w:themeFillShade="F2"/>
            <w:vAlign w:val="bottom"/>
          </w:tcPr>
          <w:p w:rsidRPr="00F26881" w:rsidR="007478C2" w:rsidP="00E50893" w:rsidRDefault="007478C2" w14:paraId="1F08FB35" w14:textId="1A8515BC">
            <w:pPr>
              <w:jc w:val="center"/>
              <w:rPr>
                <w:sz w:val="22"/>
                <w:szCs w:val="22"/>
              </w:rPr>
            </w:pPr>
            <w:r w:rsidRPr="00F26881">
              <w:rPr>
                <w:sz w:val="22"/>
                <w:szCs w:val="22"/>
              </w:rPr>
              <w:t>0.0</w:t>
            </w:r>
            <w:r w:rsidRPr="00F26881" w:rsidR="00C023CE">
              <w:rPr>
                <w:sz w:val="22"/>
                <w:szCs w:val="22"/>
              </w:rPr>
              <w:t>33</w:t>
            </w:r>
          </w:p>
        </w:tc>
        <w:tc>
          <w:tcPr>
            <w:tcW w:w="1890" w:type="dxa"/>
            <w:tcBorders>
              <w:top w:val="nil"/>
              <w:left w:val="single" w:color="auto" w:sz="8" w:space="0"/>
              <w:bottom w:val="single" w:color="auto" w:sz="4" w:space="0"/>
              <w:right w:val="single" w:color="auto" w:sz="8" w:space="0"/>
            </w:tcBorders>
            <w:shd w:val="clear" w:color="auto" w:fill="F2F2F2" w:themeFill="background1" w:themeFillShade="F2"/>
            <w:vAlign w:val="bottom"/>
          </w:tcPr>
          <w:p w:rsidRPr="00F26881" w:rsidR="007478C2" w:rsidP="00E50893" w:rsidRDefault="007478C2" w14:paraId="3699E1BE" w14:textId="03551391">
            <w:pPr>
              <w:jc w:val="center"/>
              <w:rPr>
                <w:sz w:val="22"/>
                <w:szCs w:val="22"/>
              </w:rPr>
            </w:pPr>
            <w:r w:rsidRPr="00F26881">
              <w:rPr>
                <w:sz w:val="22"/>
                <w:szCs w:val="22"/>
              </w:rPr>
              <w:t>0.0</w:t>
            </w:r>
            <w:r w:rsidRPr="00F26881" w:rsidR="00620C4E">
              <w:rPr>
                <w:sz w:val="22"/>
                <w:szCs w:val="22"/>
              </w:rPr>
              <w:t>29</w:t>
            </w:r>
          </w:p>
        </w:tc>
      </w:tr>
      <w:tr w:rsidRPr="00F26881" w:rsidR="00F26881" w:rsidTr="007478C2" w14:paraId="7524E191" w14:textId="77777777">
        <w:trPr>
          <w:trHeight w:val="270"/>
        </w:trPr>
        <w:tc>
          <w:tcPr>
            <w:tcW w:w="2150" w:type="dxa"/>
            <w:tcBorders>
              <w:top w:val="single" w:color="auto" w:sz="4" w:space="0"/>
              <w:left w:val="single" w:color="auto" w:sz="8" w:space="0"/>
              <w:bottom w:val="nil"/>
              <w:right w:val="single" w:color="auto" w:sz="4" w:space="0"/>
            </w:tcBorders>
            <w:shd w:val="clear" w:color="auto" w:fill="auto"/>
            <w:vAlign w:val="bottom"/>
          </w:tcPr>
          <w:p w:rsidRPr="00F26881" w:rsidR="007478C2" w:rsidP="00E50893" w:rsidRDefault="007478C2" w14:paraId="72E13340" w14:textId="77777777">
            <w:pPr>
              <w:rPr>
                <w:b/>
                <w:bCs/>
                <w:sz w:val="22"/>
                <w:szCs w:val="22"/>
              </w:rPr>
            </w:pPr>
            <w:r w:rsidRPr="00F26881">
              <w:rPr>
                <w:b/>
                <w:bCs/>
                <w:i/>
                <w:iCs/>
                <w:sz w:val="22"/>
                <w:szCs w:val="22"/>
              </w:rPr>
              <w:t>Race/Ethnicity</w:t>
            </w:r>
          </w:p>
        </w:tc>
        <w:tc>
          <w:tcPr>
            <w:tcW w:w="1980" w:type="dxa"/>
            <w:tcBorders>
              <w:top w:val="single" w:color="auto" w:sz="4" w:space="0"/>
              <w:left w:val="single" w:color="auto" w:sz="8" w:space="0"/>
              <w:bottom w:val="nil"/>
              <w:right w:val="single" w:color="auto" w:sz="8" w:space="0"/>
            </w:tcBorders>
            <w:shd w:val="clear" w:color="auto" w:fill="auto"/>
            <w:vAlign w:val="bottom"/>
          </w:tcPr>
          <w:p w:rsidRPr="00F26881" w:rsidR="007478C2" w:rsidP="00E50893" w:rsidRDefault="007478C2" w14:paraId="28120C81" w14:textId="77777777">
            <w:pPr>
              <w:jc w:val="center"/>
              <w:rPr>
                <w:b/>
                <w:bCs/>
                <w:sz w:val="22"/>
                <w:szCs w:val="22"/>
              </w:rPr>
            </w:pPr>
          </w:p>
        </w:tc>
        <w:tc>
          <w:tcPr>
            <w:tcW w:w="1890" w:type="dxa"/>
            <w:tcBorders>
              <w:top w:val="single" w:color="auto" w:sz="4" w:space="0"/>
              <w:left w:val="single" w:color="auto" w:sz="8" w:space="0"/>
              <w:bottom w:val="nil"/>
              <w:right w:val="single" w:color="auto" w:sz="8" w:space="0"/>
            </w:tcBorders>
            <w:vAlign w:val="bottom"/>
          </w:tcPr>
          <w:p w:rsidRPr="00F26881" w:rsidR="007478C2" w:rsidP="00E50893" w:rsidRDefault="007478C2" w14:paraId="57766C48" w14:textId="77777777">
            <w:pPr>
              <w:jc w:val="center"/>
              <w:rPr>
                <w:b/>
                <w:bCs/>
                <w:sz w:val="22"/>
                <w:szCs w:val="22"/>
              </w:rPr>
            </w:pPr>
          </w:p>
        </w:tc>
      </w:tr>
      <w:tr w:rsidRPr="00F26881" w:rsidR="00F26881" w:rsidTr="007478C2" w14:paraId="453BB2C3" w14:textId="77777777">
        <w:trPr>
          <w:trHeight w:val="270"/>
        </w:trPr>
        <w:tc>
          <w:tcPr>
            <w:tcW w:w="2150" w:type="dxa"/>
            <w:tcBorders>
              <w:top w:val="nil"/>
              <w:left w:val="single" w:color="auto" w:sz="8" w:space="0"/>
              <w:bottom w:val="nil"/>
              <w:right w:val="single" w:color="auto" w:sz="4" w:space="0"/>
            </w:tcBorders>
            <w:shd w:val="clear" w:color="auto" w:fill="auto"/>
            <w:vAlign w:val="bottom"/>
          </w:tcPr>
          <w:p w:rsidRPr="00F26881" w:rsidR="007478C2" w:rsidP="00E50893" w:rsidRDefault="007478C2" w14:paraId="22EE6898" w14:textId="77777777">
            <w:pPr>
              <w:rPr>
                <w:b/>
                <w:bCs/>
                <w:sz w:val="22"/>
                <w:szCs w:val="22"/>
              </w:rPr>
            </w:pPr>
            <w:r w:rsidRPr="00F26881">
              <w:rPr>
                <w:b/>
                <w:bCs/>
                <w:sz w:val="22"/>
                <w:szCs w:val="22"/>
              </w:rPr>
              <w:t>Non-Hispanic White</w:t>
            </w:r>
          </w:p>
        </w:tc>
        <w:tc>
          <w:tcPr>
            <w:tcW w:w="1980" w:type="dxa"/>
            <w:tcBorders>
              <w:top w:val="nil"/>
              <w:left w:val="single" w:color="auto" w:sz="8" w:space="0"/>
              <w:bottom w:val="nil"/>
              <w:right w:val="single" w:color="auto" w:sz="8" w:space="0"/>
            </w:tcBorders>
            <w:shd w:val="clear" w:color="auto" w:fill="auto"/>
            <w:vAlign w:val="bottom"/>
          </w:tcPr>
          <w:p w:rsidRPr="00F26881" w:rsidR="007478C2" w:rsidP="00E50893" w:rsidRDefault="007478C2" w14:paraId="7A66DB85" w14:textId="6308940B">
            <w:pPr>
              <w:jc w:val="center"/>
              <w:rPr>
                <w:sz w:val="22"/>
                <w:szCs w:val="22"/>
              </w:rPr>
            </w:pPr>
            <w:r w:rsidRPr="00F26881">
              <w:rPr>
                <w:sz w:val="22"/>
                <w:szCs w:val="22"/>
              </w:rPr>
              <w:t>-0.0</w:t>
            </w:r>
            <w:r w:rsidRPr="00F26881" w:rsidR="00852B2C">
              <w:rPr>
                <w:sz w:val="22"/>
                <w:szCs w:val="22"/>
              </w:rPr>
              <w:t>50</w:t>
            </w:r>
          </w:p>
        </w:tc>
        <w:tc>
          <w:tcPr>
            <w:tcW w:w="1890" w:type="dxa"/>
            <w:tcBorders>
              <w:top w:val="nil"/>
              <w:left w:val="single" w:color="auto" w:sz="8" w:space="0"/>
              <w:bottom w:val="nil"/>
              <w:right w:val="single" w:color="auto" w:sz="8" w:space="0"/>
            </w:tcBorders>
            <w:vAlign w:val="bottom"/>
          </w:tcPr>
          <w:p w:rsidRPr="00F26881" w:rsidR="007478C2" w:rsidP="00E50893" w:rsidRDefault="007478C2" w14:paraId="57006551" w14:textId="2E168D04">
            <w:pPr>
              <w:jc w:val="center"/>
              <w:rPr>
                <w:sz w:val="22"/>
                <w:szCs w:val="22"/>
              </w:rPr>
            </w:pPr>
            <w:r w:rsidRPr="00F26881">
              <w:rPr>
                <w:sz w:val="22"/>
                <w:szCs w:val="22"/>
              </w:rPr>
              <w:t>-0.0</w:t>
            </w:r>
            <w:r w:rsidRPr="00F26881" w:rsidR="00620C4E">
              <w:rPr>
                <w:sz w:val="22"/>
                <w:szCs w:val="22"/>
              </w:rPr>
              <w:t>45</w:t>
            </w:r>
          </w:p>
        </w:tc>
      </w:tr>
      <w:tr w:rsidRPr="00F26881" w:rsidR="00F26881" w:rsidTr="007478C2" w14:paraId="7E6F5627" w14:textId="77777777">
        <w:trPr>
          <w:trHeight w:val="270"/>
        </w:trPr>
        <w:tc>
          <w:tcPr>
            <w:tcW w:w="2150" w:type="dxa"/>
            <w:tcBorders>
              <w:top w:val="nil"/>
              <w:left w:val="single" w:color="auto" w:sz="8" w:space="0"/>
              <w:bottom w:val="nil"/>
              <w:right w:val="single" w:color="auto" w:sz="4" w:space="0"/>
            </w:tcBorders>
            <w:shd w:val="clear" w:color="auto" w:fill="auto"/>
            <w:vAlign w:val="bottom"/>
          </w:tcPr>
          <w:p w:rsidRPr="00F26881" w:rsidR="007478C2" w:rsidP="00E50893" w:rsidRDefault="007478C2" w14:paraId="1E45B09E" w14:textId="77777777">
            <w:pPr>
              <w:rPr>
                <w:b/>
                <w:bCs/>
                <w:sz w:val="22"/>
                <w:szCs w:val="22"/>
              </w:rPr>
            </w:pPr>
            <w:r w:rsidRPr="00F26881">
              <w:rPr>
                <w:b/>
                <w:bCs/>
                <w:sz w:val="22"/>
                <w:szCs w:val="22"/>
              </w:rPr>
              <w:t>Non-Hispanic Black</w:t>
            </w:r>
          </w:p>
        </w:tc>
        <w:tc>
          <w:tcPr>
            <w:tcW w:w="1980" w:type="dxa"/>
            <w:tcBorders>
              <w:top w:val="nil"/>
              <w:left w:val="single" w:color="auto" w:sz="8" w:space="0"/>
              <w:bottom w:val="nil"/>
              <w:right w:val="single" w:color="auto" w:sz="8" w:space="0"/>
            </w:tcBorders>
            <w:shd w:val="clear" w:color="auto" w:fill="auto"/>
            <w:vAlign w:val="bottom"/>
          </w:tcPr>
          <w:p w:rsidRPr="00F26881" w:rsidR="007478C2" w:rsidP="00E50893" w:rsidRDefault="007478C2" w14:paraId="015D6A5B" w14:textId="4DEBA3E6">
            <w:pPr>
              <w:jc w:val="center"/>
              <w:rPr>
                <w:sz w:val="22"/>
                <w:szCs w:val="22"/>
              </w:rPr>
            </w:pPr>
            <w:r w:rsidRPr="00F26881">
              <w:rPr>
                <w:sz w:val="22"/>
                <w:szCs w:val="22"/>
              </w:rPr>
              <w:t>0.0</w:t>
            </w:r>
            <w:r w:rsidRPr="00F26881" w:rsidR="00852B2C">
              <w:rPr>
                <w:sz w:val="22"/>
                <w:szCs w:val="22"/>
              </w:rPr>
              <w:t>36</w:t>
            </w:r>
          </w:p>
        </w:tc>
        <w:tc>
          <w:tcPr>
            <w:tcW w:w="1890" w:type="dxa"/>
            <w:tcBorders>
              <w:top w:val="nil"/>
              <w:left w:val="single" w:color="auto" w:sz="8" w:space="0"/>
              <w:bottom w:val="nil"/>
              <w:right w:val="single" w:color="auto" w:sz="8" w:space="0"/>
            </w:tcBorders>
            <w:vAlign w:val="bottom"/>
          </w:tcPr>
          <w:p w:rsidRPr="00F26881" w:rsidR="007478C2" w:rsidP="00E50893" w:rsidRDefault="007478C2" w14:paraId="77C5E857" w14:textId="4C405318">
            <w:pPr>
              <w:jc w:val="center"/>
              <w:rPr>
                <w:sz w:val="22"/>
                <w:szCs w:val="22"/>
              </w:rPr>
            </w:pPr>
            <w:r w:rsidRPr="00F26881">
              <w:rPr>
                <w:sz w:val="22"/>
                <w:szCs w:val="22"/>
              </w:rPr>
              <w:t>0.0</w:t>
            </w:r>
            <w:r w:rsidRPr="00F26881" w:rsidR="00620C4E">
              <w:rPr>
                <w:sz w:val="22"/>
                <w:szCs w:val="22"/>
              </w:rPr>
              <w:t>31</w:t>
            </w:r>
          </w:p>
        </w:tc>
      </w:tr>
      <w:tr w:rsidRPr="00F26881" w:rsidR="00F26881" w:rsidTr="007478C2" w14:paraId="2AF6F829" w14:textId="77777777">
        <w:trPr>
          <w:trHeight w:val="270"/>
        </w:trPr>
        <w:tc>
          <w:tcPr>
            <w:tcW w:w="2150" w:type="dxa"/>
            <w:tcBorders>
              <w:top w:val="nil"/>
              <w:left w:val="single" w:color="auto" w:sz="8" w:space="0"/>
              <w:bottom w:val="nil"/>
              <w:right w:val="single" w:color="auto" w:sz="4" w:space="0"/>
            </w:tcBorders>
            <w:shd w:val="clear" w:color="auto" w:fill="auto"/>
            <w:vAlign w:val="bottom"/>
          </w:tcPr>
          <w:p w:rsidRPr="00F26881" w:rsidR="007478C2" w:rsidP="00E50893" w:rsidRDefault="007478C2" w14:paraId="104907FD" w14:textId="77777777">
            <w:pPr>
              <w:rPr>
                <w:b/>
                <w:bCs/>
                <w:sz w:val="22"/>
                <w:szCs w:val="22"/>
              </w:rPr>
            </w:pPr>
            <w:r w:rsidRPr="00F26881">
              <w:rPr>
                <w:b/>
                <w:bCs/>
                <w:sz w:val="22"/>
                <w:szCs w:val="22"/>
              </w:rPr>
              <w:t>Non-Hispanic Other</w:t>
            </w:r>
          </w:p>
        </w:tc>
        <w:tc>
          <w:tcPr>
            <w:tcW w:w="1980" w:type="dxa"/>
            <w:tcBorders>
              <w:top w:val="nil"/>
              <w:left w:val="single" w:color="auto" w:sz="8" w:space="0"/>
              <w:bottom w:val="nil"/>
              <w:right w:val="single" w:color="auto" w:sz="8" w:space="0"/>
            </w:tcBorders>
            <w:shd w:val="clear" w:color="auto" w:fill="auto"/>
            <w:vAlign w:val="bottom"/>
          </w:tcPr>
          <w:p w:rsidRPr="00F26881" w:rsidR="007478C2" w:rsidP="00E50893" w:rsidRDefault="007478C2" w14:paraId="1A6C266B" w14:textId="724DEC6D">
            <w:pPr>
              <w:jc w:val="center"/>
              <w:rPr>
                <w:sz w:val="22"/>
                <w:szCs w:val="22"/>
              </w:rPr>
            </w:pPr>
            <w:r w:rsidRPr="00F26881">
              <w:rPr>
                <w:sz w:val="22"/>
                <w:szCs w:val="22"/>
              </w:rPr>
              <w:t>0.0</w:t>
            </w:r>
            <w:r w:rsidRPr="00F26881" w:rsidR="00852B2C">
              <w:rPr>
                <w:sz w:val="22"/>
                <w:szCs w:val="22"/>
              </w:rPr>
              <w:t>28</w:t>
            </w:r>
          </w:p>
        </w:tc>
        <w:tc>
          <w:tcPr>
            <w:tcW w:w="1890" w:type="dxa"/>
            <w:tcBorders>
              <w:top w:val="nil"/>
              <w:left w:val="single" w:color="auto" w:sz="8" w:space="0"/>
              <w:bottom w:val="nil"/>
              <w:right w:val="single" w:color="auto" w:sz="8" w:space="0"/>
            </w:tcBorders>
            <w:vAlign w:val="bottom"/>
          </w:tcPr>
          <w:p w:rsidRPr="00F26881" w:rsidR="007478C2" w:rsidP="00E50893" w:rsidRDefault="007478C2" w14:paraId="420A94B0" w14:textId="08E842F8">
            <w:pPr>
              <w:jc w:val="center"/>
              <w:rPr>
                <w:sz w:val="22"/>
                <w:szCs w:val="22"/>
              </w:rPr>
            </w:pPr>
            <w:r w:rsidRPr="00F26881">
              <w:rPr>
                <w:sz w:val="22"/>
                <w:szCs w:val="22"/>
              </w:rPr>
              <w:t>0.0</w:t>
            </w:r>
            <w:r w:rsidRPr="00F26881" w:rsidR="006153C2">
              <w:rPr>
                <w:sz w:val="22"/>
                <w:szCs w:val="22"/>
              </w:rPr>
              <w:t>25</w:t>
            </w:r>
          </w:p>
        </w:tc>
      </w:tr>
      <w:tr w:rsidRPr="00F26881" w:rsidR="00F26881" w:rsidTr="007478C2" w14:paraId="69723518" w14:textId="77777777">
        <w:trPr>
          <w:trHeight w:val="270"/>
        </w:trPr>
        <w:tc>
          <w:tcPr>
            <w:tcW w:w="2150" w:type="dxa"/>
            <w:tcBorders>
              <w:top w:val="nil"/>
              <w:left w:val="single" w:color="auto" w:sz="8" w:space="0"/>
              <w:bottom w:val="single" w:color="auto" w:sz="8" w:space="0"/>
              <w:right w:val="single" w:color="auto" w:sz="4" w:space="0"/>
            </w:tcBorders>
            <w:shd w:val="clear" w:color="auto" w:fill="auto"/>
            <w:vAlign w:val="bottom"/>
          </w:tcPr>
          <w:p w:rsidRPr="00F26881" w:rsidR="007478C2" w:rsidP="00E50893" w:rsidRDefault="007478C2" w14:paraId="5F9AF6AA" w14:textId="77777777">
            <w:pPr>
              <w:rPr>
                <w:b/>
                <w:bCs/>
                <w:sz w:val="22"/>
                <w:szCs w:val="22"/>
              </w:rPr>
            </w:pPr>
            <w:r w:rsidRPr="00F26881">
              <w:rPr>
                <w:b/>
                <w:bCs/>
                <w:sz w:val="22"/>
                <w:szCs w:val="22"/>
              </w:rPr>
              <w:t>Hispanic</w:t>
            </w:r>
          </w:p>
        </w:tc>
        <w:tc>
          <w:tcPr>
            <w:tcW w:w="1980" w:type="dxa"/>
            <w:tcBorders>
              <w:top w:val="nil"/>
              <w:left w:val="single" w:color="auto" w:sz="8" w:space="0"/>
              <w:bottom w:val="single" w:color="auto" w:sz="8" w:space="0"/>
              <w:right w:val="single" w:color="auto" w:sz="8" w:space="0"/>
            </w:tcBorders>
            <w:shd w:val="clear" w:color="auto" w:fill="auto"/>
            <w:vAlign w:val="bottom"/>
          </w:tcPr>
          <w:p w:rsidRPr="00F26881" w:rsidR="007478C2" w:rsidP="00E50893" w:rsidRDefault="007478C2" w14:paraId="6755767C" w14:textId="5F6B58BE">
            <w:pPr>
              <w:jc w:val="center"/>
              <w:rPr>
                <w:sz w:val="22"/>
                <w:szCs w:val="22"/>
              </w:rPr>
            </w:pPr>
            <w:r w:rsidRPr="00F26881">
              <w:rPr>
                <w:sz w:val="22"/>
                <w:szCs w:val="22"/>
              </w:rPr>
              <w:t>0.0</w:t>
            </w:r>
            <w:r w:rsidRPr="00F26881" w:rsidR="00852B2C">
              <w:rPr>
                <w:sz w:val="22"/>
                <w:szCs w:val="22"/>
              </w:rPr>
              <w:t>41</w:t>
            </w:r>
          </w:p>
        </w:tc>
        <w:tc>
          <w:tcPr>
            <w:tcW w:w="1890" w:type="dxa"/>
            <w:tcBorders>
              <w:top w:val="nil"/>
              <w:left w:val="single" w:color="auto" w:sz="8" w:space="0"/>
              <w:bottom w:val="single" w:color="auto" w:sz="8" w:space="0"/>
              <w:right w:val="single" w:color="auto" w:sz="8" w:space="0"/>
            </w:tcBorders>
            <w:vAlign w:val="bottom"/>
          </w:tcPr>
          <w:p w:rsidRPr="00F26881" w:rsidR="007478C2" w:rsidP="00E50893" w:rsidRDefault="007478C2" w14:paraId="54AF7040" w14:textId="7B48D424">
            <w:pPr>
              <w:jc w:val="center"/>
              <w:rPr>
                <w:sz w:val="22"/>
                <w:szCs w:val="22"/>
              </w:rPr>
            </w:pPr>
            <w:r w:rsidRPr="00F26881">
              <w:rPr>
                <w:sz w:val="22"/>
                <w:szCs w:val="22"/>
              </w:rPr>
              <w:t>0.0</w:t>
            </w:r>
            <w:r w:rsidRPr="00F26881" w:rsidR="006153C2">
              <w:rPr>
                <w:sz w:val="22"/>
                <w:szCs w:val="22"/>
              </w:rPr>
              <w:t>36</w:t>
            </w:r>
          </w:p>
        </w:tc>
      </w:tr>
    </w:tbl>
    <w:p w:rsidRPr="00F26881" w:rsidR="00CA30B6" w:rsidP="00115523" w:rsidRDefault="00CA30B6" w14:paraId="5D6BBE7F" w14:textId="77777777">
      <w:pPr>
        <w:spacing w:before="120" w:after="120"/>
        <w:jc w:val="both"/>
        <w:rPr>
          <w:sz w:val="20"/>
          <w:szCs w:val="20"/>
        </w:rPr>
      </w:pPr>
      <w:r w:rsidRPr="00F26881">
        <w:rPr>
          <w:sz w:val="20"/>
          <w:szCs w:val="20"/>
        </w:rPr>
        <w:t>* Minimal detectable differences in the table represent actual changes in rates. Percentages are presented in the paragraph above.</w:t>
      </w:r>
    </w:p>
    <w:p w:rsidRPr="00F26881" w:rsidR="00115523" w:rsidP="0012600A" w:rsidRDefault="00115523" w14:paraId="6156AD59" w14:textId="77777777">
      <w:pPr>
        <w:rPr>
          <w:rFonts w:cstheme="minorHAnsi"/>
        </w:rPr>
      </w:pPr>
    </w:p>
    <w:p w:rsidRPr="00F26881" w:rsidR="00512C6C" w:rsidP="0012600A" w:rsidRDefault="0012600A" w14:paraId="7FB0CA7D" w14:textId="0F34380B">
      <w:pPr>
        <w:rPr>
          <w:rFonts w:cstheme="minorHAnsi"/>
        </w:rPr>
      </w:pPr>
      <w:r w:rsidRPr="00F26881">
        <w:rPr>
          <w:rFonts w:cstheme="minorHAnsi"/>
        </w:rPr>
        <w:t xml:space="preserve">Table </w:t>
      </w:r>
      <w:r w:rsidRPr="00F26881" w:rsidR="00AD703C">
        <w:rPr>
          <w:rFonts w:cstheme="minorHAnsi"/>
        </w:rPr>
        <w:t>7</w:t>
      </w:r>
      <w:r w:rsidRPr="00F26881">
        <w:rPr>
          <w:rFonts w:cstheme="minorHAnsi"/>
        </w:rPr>
        <w:t xml:space="preserve"> shows the MDDs for </w:t>
      </w:r>
      <w:r w:rsidRPr="00F26881" w:rsidR="00747777">
        <w:rPr>
          <w:rFonts w:cstheme="minorHAnsi"/>
        </w:rPr>
        <w:t xml:space="preserve">the </w:t>
      </w:r>
      <w:r w:rsidRPr="00F26881" w:rsidR="006858C2">
        <w:rPr>
          <w:rFonts w:cstheme="minorHAnsi"/>
        </w:rPr>
        <w:t xml:space="preserve">selected demographic </w:t>
      </w:r>
      <w:r w:rsidRPr="00F26881" w:rsidR="00747777">
        <w:rPr>
          <w:rFonts w:cstheme="minorHAnsi"/>
        </w:rPr>
        <w:t xml:space="preserve">screener </w:t>
      </w:r>
      <w:r w:rsidRPr="00F26881" w:rsidR="006858C2">
        <w:rPr>
          <w:rFonts w:cstheme="minorHAnsi"/>
        </w:rPr>
        <w:t xml:space="preserve">data </w:t>
      </w:r>
      <w:r w:rsidRPr="00F26881">
        <w:rPr>
          <w:rFonts w:cstheme="minorHAnsi"/>
        </w:rPr>
        <w:t xml:space="preserve">for conditional mean differences. </w:t>
      </w:r>
      <w:r w:rsidRPr="00F26881" w:rsidR="00512C6C">
        <w:rPr>
          <w:rFonts w:cstheme="minorHAnsi"/>
        </w:rPr>
        <w:t xml:space="preserve">The demographic data includes age group, gender (represented as proportion who </w:t>
      </w:r>
      <w:r w:rsidRPr="00F26881" w:rsidR="00512C6C">
        <w:rPr>
          <w:rFonts w:cstheme="minorHAnsi"/>
        </w:rPr>
        <w:lastRenderedPageBreak/>
        <w:t>are men</w:t>
      </w:r>
      <w:r w:rsidRPr="00F26881" w:rsidR="00512C6C">
        <w:rPr>
          <w:rStyle w:val="FootnoteReference"/>
          <w:rFonts w:cstheme="minorHAnsi"/>
        </w:rPr>
        <w:footnoteReference w:id="4"/>
      </w:r>
      <w:r w:rsidRPr="00F26881" w:rsidR="00512C6C">
        <w:rPr>
          <w:rFonts w:cstheme="minorHAnsi"/>
        </w:rPr>
        <w:t xml:space="preserve">), and racial and ethnic groups. </w:t>
      </w:r>
      <w:r w:rsidRPr="00F26881" w:rsidR="00E43C02">
        <w:rPr>
          <w:rFonts w:cstheme="minorHAnsi"/>
        </w:rPr>
        <w:t xml:space="preserve">The </w:t>
      </w:r>
      <w:r w:rsidRPr="00F26881">
        <w:rPr>
          <w:rFonts w:cstheme="minorHAnsi"/>
        </w:rPr>
        <w:t>table indicate</w:t>
      </w:r>
      <w:r w:rsidRPr="00F26881" w:rsidR="00E43C02">
        <w:rPr>
          <w:rFonts w:cstheme="minorHAnsi"/>
        </w:rPr>
        <w:t>s</w:t>
      </w:r>
      <w:r w:rsidRPr="00F26881">
        <w:rPr>
          <w:rFonts w:cstheme="minorHAnsi"/>
        </w:rPr>
        <w:t xml:space="preserve"> the alpha level assumed for each MDD.</w:t>
      </w:r>
    </w:p>
    <w:p w:rsidRPr="00F26881" w:rsidR="00512C6C" w:rsidP="0012600A" w:rsidRDefault="00512C6C" w14:paraId="25A36123" w14:textId="77777777">
      <w:pPr>
        <w:rPr>
          <w:rFonts w:cstheme="minorHAnsi"/>
        </w:rPr>
      </w:pPr>
    </w:p>
    <w:p w:rsidRPr="00F26881" w:rsidR="0012600A" w:rsidP="0012600A" w:rsidRDefault="00E42DDD" w14:paraId="6CFDA998" w14:textId="1798B9EF">
      <w:pPr>
        <w:rPr>
          <w:rFonts w:cstheme="minorHAnsi"/>
        </w:rPr>
      </w:pPr>
      <w:r w:rsidRPr="00F26881">
        <w:rPr>
          <w:rFonts w:cstheme="minorHAnsi"/>
          <w:i/>
          <w:iCs/>
        </w:rPr>
        <w:t>Age groups</w:t>
      </w:r>
      <w:r w:rsidRPr="00F26881">
        <w:rPr>
          <w:rFonts w:cstheme="minorHAnsi"/>
        </w:rPr>
        <w:t xml:space="preserve">: </w:t>
      </w:r>
      <w:r w:rsidRPr="00F26881" w:rsidR="0012600A">
        <w:rPr>
          <w:rFonts w:cstheme="minorHAnsi"/>
        </w:rPr>
        <w:t>For conditional mean differences</w:t>
      </w:r>
      <w:r w:rsidRPr="00F26881">
        <w:rPr>
          <w:rFonts w:cstheme="minorHAnsi"/>
        </w:rPr>
        <w:t xml:space="preserve"> in Table </w:t>
      </w:r>
      <w:r w:rsidRPr="00F26881" w:rsidR="00186E42">
        <w:rPr>
          <w:rFonts w:cstheme="minorHAnsi"/>
        </w:rPr>
        <w:t>7</w:t>
      </w:r>
      <w:r w:rsidRPr="00F26881" w:rsidR="0012600A">
        <w:rPr>
          <w:rFonts w:cstheme="minorHAnsi"/>
        </w:rPr>
        <w:t xml:space="preserve">, the expected sample size for comparing </w:t>
      </w:r>
      <w:r w:rsidRPr="00F26881">
        <w:rPr>
          <w:rFonts w:cstheme="minorHAnsi"/>
        </w:rPr>
        <w:t xml:space="preserve">age groups </w:t>
      </w:r>
      <w:r w:rsidRPr="00F26881" w:rsidR="0012600A">
        <w:rPr>
          <w:rFonts w:cstheme="minorHAnsi"/>
        </w:rPr>
        <w:t xml:space="preserve">across the four incentive conditions will allow for detecting differences ranging from </w:t>
      </w:r>
      <w:bookmarkStart w:name="_Hlk18581335" w:id="6"/>
      <w:r w:rsidRPr="00F26881" w:rsidR="00C32B8D">
        <w:rPr>
          <w:rFonts w:cstheme="minorHAnsi"/>
        </w:rPr>
        <w:t>2</w:t>
      </w:r>
      <w:r w:rsidRPr="00F26881" w:rsidR="00087B61">
        <w:rPr>
          <w:rFonts w:cstheme="minorHAnsi"/>
        </w:rPr>
        <w:t>.</w:t>
      </w:r>
      <w:r w:rsidRPr="00F26881" w:rsidR="007D250F">
        <w:rPr>
          <w:rFonts w:cstheme="minorHAnsi"/>
        </w:rPr>
        <w:t>2</w:t>
      </w:r>
      <w:r w:rsidRPr="00F26881" w:rsidR="00087B61">
        <w:rPr>
          <w:rFonts w:cstheme="minorHAnsi"/>
        </w:rPr>
        <w:t>%</w:t>
      </w:r>
      <w:r w:rsidRPr="00F26881" w:rsidR="0012600A">
        <w:rPr>
          <w:rFonts w:cstheme="minorHAnsi"/>
        </w:rPr>
        <w:t xml:space="preserve"> to </w:t>
      </w:r>
      <w:r w:rsidRPr="00F26881" w:rsidR="00087B61">
        <w:rPr>
          <w:rFonts w:cstheme="minorHAnsi"/>
        </w:rPr>
        <w:t>7</w:t>
      </w:r>
      <w:r w:rsidRPr="00F26881" w:rsidR="0012600A">
        <w:rPr>
          <w:rFonts w:cstheme="minorHAnsi"/>
        </w:rPr>
        <w:t>.</w:t>
      </w:r>
      <w:r w:rsidRPr="00F26881" w:rsidR="00087B61">
        <w:rPr>
          <w:rFonts w:cstheme="minorHAnsi"/>
        </w:rPr>
        <w:t>1%</w:t>
      </w:r>
      <w:r w:rsidRPr="00F26881" w:rsidR="0012600A">
        <w:rPr>
          <w:rFonts w:cstheme="minorHAnsi"/>
        </w:rPr>
        <w:t xml:space="preserve"> </w:t>
      </w:r>
      <w:bookmarkEnd w:id="6"/>
      <w:r w:rsidRPr="00F26881" w:rsidR="0012600A">
        <w:rPr>
          <w:rFonts w:cstheme="minorHAnsi"/>
        </w:rPr>
        <w:t xml:space="preserve">as statistically significant, across </w:t>
      </w:r>
      <w:r w:rsidRPr="00F26881">
        <w:rPr>
          <w:rFonts w:cstheme="minorHAnsi"/>
        </w:rPr>
        <w:t xml:space="preserve">the </w:t>
      </w:r>
      <w:r w:rsidRPr="00F26881" w:rsidR="007D250F">
        <w:rPr>
          <w:rFonts w:cstheme="minorHAnsi"/>
        </w:rPr>
        <w:t>six</w:t>
      </w:r>
      <w:r w:rsidRPr="00F26881">
        <w:rPr>
          <w:rFonts w:cstheme="minorHAnsi"/>
        </w:rPr>
        <w:t xml:space="preserve"> age categories</w:t>
      </w:r>
      <w:r w:rsidRPr="00F26881" w:rsidR="0012600A">
        <w:rPr>
          <w:rFonts w:cstheme="minorHAnsi"/>
        </w:rPr>
        <w:t xml:space="preserve"> and the </w:t>
      </w:r>
      <w:r w:rsidRPr="00F26881" w:rsidR="00E31975">
        <w:rPr>
          <w:rFonts w:cstheme="minorHAnsi"/>
        </w:rPr>
        <w:t>four</w:t>
      </w:r>
      <w:r w:rsidRPr="00F26881" w:rsidR="0012600A">
        <w:rPr>
          <w:rFonts w:cstheme="minorHAnsi"/>
        </w:rPr>
        <w:t xml:space="preserve"> alpha levels.</w:t>
      </w:r>
    </w:p>
    <w:p w:rsidRPr="00F26881" w:rsidR="0012600A" w:rsidP="0012600A" w:rsidRDefault="0012600A" w14:paraId="5A602A52" w14:textId="77777777">
      <w:pPr>
        <w:rPr>
          <w:rFonts w:cstheme="minorHAnsi"/>
        </w:rPr>
      </w:pPr>
    </w:p>
    <w:p w:rsidRPr="00F26881" w:rsidR="0012600A" w:rsidP="0012600A" w:rsidRDefault="00E42DDD" w14:paraId="3644809A" w14:textId="5921B524">
      <w:pPr>
        <w:rPr>
          <w:rFonts w:cstheme="minorHAnsi"/>
        </w:rPr>
      </w:pPr>
      <w:r w:rsidRPr="00F26881">
        <w:rPr>
          <w:rFonts w:cstheme="minorHAnsi"/>
          <w:i/>
          <w:iCs/>
        </w:rPr>
        <w:t>Gender</w:t>
      </w:r>
      <w:r w:rsidRPr="00F26881">
        <w:rPr>
          <w:rFonts w:cstheme="minorHAnsi"/>
        </w:rPr>
        <w:t xml:space="preserve">: For conditional mean differences in Table </w:t>
      </w:r>
      <w:r w:rsidRPr="00F26881" w:rsidR="00186E42">
        <w:rPr>
          <w:rFonts w:cstheme="minorHAnsi"/>
        </w:rPr>
        <w:t>7</w:t>
      </w:r>
      <w:r w:rsidRPr="00F26881">
        <w:rPr>
          <w:rFonts w:cstheme="minorHAnsi"/>
        </w:rPr>
        <w:t xml:space="preserve">, the expected sample size for comparing gender across the four incentive conditions will allow for detecting differences ranging from </w:t>
      </w:r>
      <w:bookmarkStart w:name="_Hlk18581356" w:id="7"/>
      <w:r w:rsidRPr="00F26881" w:rsidR="00C32B8D">
        <w:rPr>
          <w:rFonts w:cstheme="minorHAnsi"/>
        </w:rPr>
        <w:t>4</w:t>
      </w:r>
      <w:r w:rsidRPr="00F26881" w:rsidR="00087B61">
        <w:rPr>
          <w:rFonts w:cstheme="minorHAnsi"/>
        </w:rPr>
        <w:t>.</w:t>
      </w:r>
      <w:r w:rsidRPr="00F26881" w:rsidR="007D250F">
        <w:rPr>
          <w:rFonts w:cstheme="minorHAnsi"/>
        </w:rPr>
        <w:t>1</w:t>
      </w:r>
      <w:r w:rsidRPr="00F26881" w:rsidR="00087B61">
        <w:rPr>
          <w:rFonts w:cstheme="minorHAnsi"/>
        </w:rPr>
        <w:t>%</w:t>
      </w:r>
      <w:r w:rsidRPr="00F26881">
        <w:rPr>
          <w:rFonts w:cstheme="minorHAnsi"/>
        </w:rPr>
        <w:t xml:space="preserve"> to </w:t>
      </w:r>
      <w:r w:rsidRPr="00F26881" w:rsidR="00087B61">
        <w:rPr>
          <w:rFonts w:cstheme="minorHAnsi"/>
        </w:rPr>
        <w:t>5.</w:t>
      </w:r>
      <w:r w:rsidRPr="00F26881" w:rsidR="007D250F">
        <w:rPr>
          <w:rFonts w:cstheme="minorHAnsi"/>
        </w:rPr>
        <w:t>6</w:t>
      </w:r>
      <w:r w:rsidRPr="00F26881" w:rsidR="00087B61">
        <w:rPr>
          <w:rFonts w:cstheme="minorHAnsi"/>
        </w:rPr>
        <w:t>%</w:t>
      </w:r>
      <w:r w:rsidRPr="00F26881">
        <w:rPr>
          <w:rFonts w:cstheme="minorHAnsi"/>
        </w:rPr>
        <w:t xml:space="preserve"> </w:t>
      </w:r>
      <w:bookmarkEnd w:id="7"/>
      <w:r w:rsidRPr="00F26881">
        <w:rPr>
          <w:rFonts w:cstheme="minorHAnsi"/>
        </w:rPr>
        <w:t xml:space="preserve">as statistically significant, across the </w:t>
      </w:r>
      <w:r w:rsidRPr="00F26881" w:rsidR="00E31975">
        <w:rPr>
          <w:rFonts w:cstheme="minorHAnsi"/>
        </w:rPr>
        <w:t xml:space="preserve">four </w:t>
      </w:r>
      <w:r w:rsidRPr="00F26881">
        <w:rPr>
          <w:rFonts w:cstheme="minorHAnsi"/>
        </w:rPr>
        <w:t>alpha levels</w:t>
      </w:r>
      <w:r w:rsidRPr="00F26881" w:rsidR="0012600A">
        <w:rPr>
          <w:rFonts w:cstheme="minorHAnsi"/>
        </w:rPr>
        <w:t>.</w:t>
      </w:r>
    </w:p>
    <w:p w:rsidRPr="00F26881" w:rsidR="00E42DDD" w:rsidP="00E42DDD" w:rsidRDefault="00E42DDD" w14:paraId="6C8EF8CC" w14:textId="77777777">
      <w:pPr>
        <w:rPr>
          <w:rFonts w:cstheme="minorHAnsi"/>
          <w:i/>
          <w:iCs/>
        </w:rPr>
      </w:pPr>
    </w:p>
    <w:p w:rsidRPr="00F26881" w:rsidR="00E42DDD" w:rsidP="00E42DDD" w:rsidRDefault="00E42DDD" w14:paraId="21497661" w14:textId="104BEE71">
      <w:pPr>
        <w:rPr>
          <w:rFonts w:cstheme="minorHAnsi"/>
        </w:rPr>
      </w:pPr>
      <w:r w:rsidRPr="00F26881">
        <w:rPr>
          <w:rFonts w:cstheme="minorHAnsi"/>
          <w:i/>
          <w:iCs/>
        </w:rPr>
        <w:t>Rac</w:t>
      </w:r>
      <w:r w:rsidRPr="00F26881" w:rsidR="005B2D08">
        <w:rPr>
          <w:rFonts w:cstheme="minorHAnsi"/>
          <w:i/>
          <w:iCs/>
        </w:rPr>
        <w:t>e</w:t>
      </w:r>
      <w:r w:rsidRPr="00F26881">
        <w:rPr>
          <w:rFonts w:cstheme="minorHAnsi"/>
          <w:i/>
          <w:iCs/>
        </w:rPr>
        <w:t>/ethnic</w:t>
      </w:r>
      <w:r w:rsidRPr="00F26881" w:rsidR="005B2D08">
        <w:rPr>
          <w:rFonts w:cstheme="minorHAnsi"/>
          <w:i/>
          <w:iCs/>
        </w:rPr>
        <w:t>ity</w:t>
      </w:r>
      <w:r w:rsidRPr="00F26881">
        <w:rPr>
          <w:rFonts w:cstheme="minorHAnsi"/>
          <w:i/>
          <w:iCs/>
        </w:rPr>
        <w:t xml:space="preserve"> groups</w:t>
      </w:r>
      <w:r w:rsidRPr="00F26881">
        <w:rPr>
          <w:rFonts w:cstheme="minorHAnsi"/>
        </w:rPr>
        <w:t xml:space="preserve">: For conditional mean differences in Table </w:t>
      </w:r>
      <w:r w:rsidRPr="00F26881" w:rsidR="00186E42">
        <w:rPr>
          <w:rFonts w:cstheme="minorHAnsi"/>
        </w:rPr>
        <w:t>7</w:t>
      </w:r>
      <w:r w:rsidRPr="00F26881">
        <w:rPr>
          <w:rFonts w:cstheme="minorHAnsi"/>
        </w:rPr>
        <w:t xml:space="preserve">, the expected sample size for comparing </w:t>
      </w:r>
      <w:r w:rsidRPr="00F26881" w:rsidR="005B2D08">
        <w:rPr>
          <w:rFonts w:cstheme="minorHAnsi"/>
        </w:rPr>
        <w:t xml:space="preserve">race/ethnicity </w:t>
      </w:r>
      <w:r w:rsidRPr="00F26881">
        <w:rPr>
          <w:rFonts w:cstheme="minorHAnsi"/>
        </w:rPr>
        <w:t xml:space="preserve">groups across the four incentive conditions will allow for detecting differences ranging from </w:t>
      </w:r>
      <w:bookmarkStart w:name="_Hlk18581389" w:id="8"/>
      <w:r w:rsidRPr="00F26881">
        <w:rPr>
          <w:rFonts w:cstheme="minorHAnsi"/>
        </w:rPr>
        <w:t>3</w:t>
      </w:r>
      <w:r w:rsidRPr="00F26881" w:rsidR="00087B61">
        <w:rPr>
          <w:rFonts w:cstheme="minorHAnsi"/>
        </w:rPr>
        <w:t>.</w:t>
      </w:r>
      <w:r w:rsidRPr="00F26881" w:rsidR="007D250F">
        <w:rPr>
          <w:rFonts w:cstheme="minorHAnsi"/>
        </w:rPr>
        <w:t>6</w:t>
      </w:r>
      <w:r w:rsidRPr="00F26881" w:rsidR="00087B61">
        <w:rPr>
          <w:rFonts w:cstheme="minorHAnsi"/>
        </w:rPr>
        <w:t>%</w:t>
      </w:r>
      <w:r w:rsidRPr="00F26881">
        <w:rPr>
          <w:rFonts w:cstheme="minorHAnsi"/>
        </w:rPr>
        <w:t xml:space="preserve"> to </w:t>
      </w:r>
      <w:r w:rsidRPr="00F26881" w:rsidR="00087B61">
        <w:rPr>
          <w:rFonts w:cstheme="minorHAnsi"/>
        </w:rPr>
        <w:t>8.8%</w:t>
      </w:r>
      <w:r w:rsidRPr="00F26881">
        <w:rPr>
          <w:rFonts w:cstheme="minorHAnsi"/>
        </w:rPr>
        <w:t xml:space="preserve"> </w:t>
      </w:r>
      <w:bookmarkEnd w:id="8"/>
      <w:r w:rsidRPr="00F26881">
        <w:rPr>
          <w:rFonts w:cstheme="minorHAnsi"/>
        </w:rPr>
        <w:t xml:space="preserve">as statistically significant, across the four categories and the </w:t>
      </w:r>
      <w:r w:rsidRPr="00F26881" w:rsidR="00E31975">
        <w:rPr>
          <w:rFonts w:cstheme="minorHAnsi"/>
        </w:rPr>
        <w:t xml:space="preserve">four </w:t>
      </w:r>
      <w:r w:rsidRPr="00F26881">
        <w:rPr>
          <w:rFonts w:cstheme="minorHAnsi"/>
        </w:rPr>
        <w:t>alpha levels.</w:t>
      </w:r>
    </w:p>
    <w:p w:rsidRPr="00F26881" w:rsidR="00176E36" w:rsidRDefault="00176E36" w14:paraId="01735B9D" w14:textId="77777777">
      <w:pPr>
        <w:rPr>
          <w:b/>
          <w:i/>
        </w:rPr>
      </w:pPr>
    </w:p>
    <w:p w:rsidRPr="00F26881" w:rsidR="00835AFC" w:rsidP="00835AFC" w:rsidRDefault="00835AFC" w14:paraId="316C3777" w14:textId="2B883B18">
      <w:pPr>
        <w:spacing w:after="120"/>
        <w:ind w:left="864" w:hanging="864"/>
      </w:pPr>
      <w:r w:rsidRPr="00F26881">
        <w:rPr>
          <w:rFonts w:cstheme="minorHAnsi"/>
        </w:rPr>
        <w:t xml:space="preserve">Table </w:t>
      </w:r>
      <w:r w:rsidRPr="00F26881" w:rsidR="00AA7DDF">
        <w:rPr>
          <w:rFonts w:cstheme="minorHAnsi"/>
        </w:rPr>
        <w:t>7</w:t>
      </w:r>
      <w:r w:rsidRPr="00F26881">
        <w:rPr>
          <w:rFonts w:cstheme="minorHAnsi"/>
        </w:rPr>
        <w:t xml:space="preserve">. </w:t>
      </w:r>
      <w:r w:rsidRPr="00F26881" w:rsidR="0012600A">
        <w:rPr>
          <w:rFonts w:cstheme="minorHAnsi"/>
        </w:rPr>
        <w:t>Minimum</w:t>
      </w:r>
      <w:r w:rsidRPr="00F26881">
        <w:rPr>
          <w:rFonts w:cstheme="minorHAnsi"/>
        </w:rPr>
        <w:t xml:space="preserve"> Detectable Differences </w:t>
      </w:r>
      <w:r w:rsidRPr="00F26881" w:rsidR="00483A4B">
        <w:rPr>
          <w:rFonts w:cstheme="minorHAnsi"/>
        </w:rPr>
        <w:t>for Age</w:t>
      </w:r>
      <w:r w:rsidRPr="00F26881" w:rsidR="00747777">
        <w:rPr>
          <w:rFonts w:cstheme="minorHAnsi"/>
        </w:rPr>
        <w:t>,</w:t>
      </w:r>
      <w:r w:rsidRPr="00F26881" w:rsidR="00483A4B">
        <w:rPr>
          <w:rFonts w:cstheme="minorHAnsi"/>
        </w:rPr>
        <w:t xml:space="preserve"> Gender</w:t>
      </w:r>
      <w:r w:rsidRPr="00F26881" w:rsidR="00747777">
        <w:rPr>
          <w:rFonts w:cstheme="minorHAnsi"/>
        </w:rPr>
        <w:t>, and Race/Ethnicity</w:t>
      </w:r>
      <w:r w:rsidRPr="00F26881" w:rsidR="00483A4B">
        <w:rPr>
          <w:rFonts w:cstheme="minorHAnsi"/>
        </w:rPr>
        <w:t xml:space="preserve">: </w:t>
      </w:r>
      <w:r w:rsidRPr="00F26881">
        <w:t>Conditional Mean Differences (sample size = n/2 if interaction is statistically significant)</w:t>
      </w:r>
    </w:p>
    <w:tbl>
      <w:tblPr>
        <w:tblW w:w="9980" w:type="dxa"/>
        <w:tblLook w:val="04A0" w:firstRow="1" w:lastRow="0" w:firstColumn="1" w:lastColumn="0" w:noHBand="0" w:noVBand="1"/>
      </w:tblPr>
      <w:tblGrid>
        <w:gridCol w:w="2150"/>
        <w:gridCol w:w="1980"/>
        <w:gridCol w:w="1980"/>
        <w:gridCol w:w="1980"/>
        <w:gridCol w:w="1890"/>
      </w:tblGrid>
      <w:tr w:rsidRPr="00F26881" w:rsidR="00F26881" w:rsidTr="00087B61" w14:paraId="13153825" w14:textId="230EEA6E">
        <w:trPr>
          <w:trHeight w:val="280"/>
        </w:trPr>
        <w:tc>
          <w:tcPr>
            <w:tcW w:w="2150" w:type="dxa"/>
            <w:tcBorders>
              <w:top w:val="single" w:color="auto" w:sz="8" w:space="0"/>
              <w:left w:val="single" w:color="auto" w:sz="8" w:space="0"/>
              <w:bottom w:val="single" w:color="auto" w:sz="4" w:space="0"/>
              <w:right w:val="single" w:color="auto" w:sz="8" w:space="0"/>
            </w:tcBorders>
            <w:shd w:val="clear" w:color="auto" w:fill="B8CCE4" w:themeFill="accent1" w:themeFillTint="66"/>
          </w:tcPr>
          <w:p w:rsidRPr="00F26881" w:rsidR="00171DAD" w:rsidP="00171DAD" w:rsidRDefault="00171DAD" w14:paraId="709429D0" w14:textId="77777777">
            <w:pPr>
              <w:jc w:val="center"/>
              <w:rPr>
                <w:b/>
                <w:bCs/>
                <w:i/>
                <w:iCs/>
                <w:sz w:val="22"/>
                <w:szCs w:val="22"/>
              </w:rPr>
            </w:pPr>
          </w:p>
        </w:tc>
        <w:tc>
          <w:tcPr>
            <w:tcW w:w="1980" w:type="dxa"/>
            <w:tcBorders>
              <w:top w:val="single" w:color="auto" w:sz="8" w:space="0"/>
              <w:left w:val="single" w:color="auto" w:sz="8" w:space="0"/>
              <w:bottom w:val="single" w:color="auto" w:sz="4" w:space="0"/>
              <w:right w:val="single" w:color="auto" w:sz="8" w:space="0"/>
            </w:tcBorders>
            <w:shd w:val="clear" w:color="auto" w:fill="B8CCE4" w:themeFill="accent1" w:themeFillTint="66"/>
            <w:noWrap/>
            <w:vAlign w:val="bottom"/>
          </w:tcPr>
          <w:p w:rsidRPr="00F26881" w:rsidR="00171DAD" w:rsidP="00171DAD" w:rsidRDefault="00171DAD" w14:paraId="7F150213" w14:textId="341C6434">
            <w:pPr>
              <w:jc w:val="center"/>
              <w:rPr>
                <w:b/>
                <w:bCs/>
                <w:i/>
                <w:iCs/>
                <w:sz w:val="22"/>
                <w:szCs w:val="22"/>
              </w:rPr>
            </w:pPr>
            <w:r w:rsidRPr="00F26881">
              <w:rPr>
                <w:b/>
                <w:bCs/>
                <w:i/>
                <w:iCs/>
                <w:sz w:val="22"/>
                <w:szCs w:val="22"/>
              </w:rPr>
              <w:t>Alpha=0.01</w:t>
            </w:r>
          </w:p>
        </w:tc>
        <w:tc>
          <w:tcPr>
            <w:tcW w:w="1980" w:type="dxa"/>
            <w:tcBorders>
              <w:top w:val="single" w:color="auto" w:sz="8" w:space="0"/>
              <w:left w:val="nil"/>
              <w:bottom w:val="single" w:color="auto" w:sz="4" w:space="0"/>
              <w:right w:val="single" w:color="auto" w:sz="8" w:space="0"/>
            </w:tcBorders>
            <w:shd w:val="clear" w:color="auto" w:fill="B8CCE4" w:themeFill="accent1" w:themeFillTint="66"/>
            <w:noWrap/>
            <w:vAlign w:val="bottom"/>
          </w:tcPr>
          <w:p w:rsidRPr="00F26881" w:rsidR="00171DAD" w:rsidP="00171DAD" w:rsidRDefault="00171DAD" w14:paraId="63FD9A4C" w14:textId="417A9E2E">
            <w:pPr>
              <w:jc w:val="center"/>
              <w:rPr>
                <w:b/>
                <w:bCs/>
                <w:i/>
                <w:iCs/>
                <w:sz w:val="22"/>
                <w:szCs w:val="22"/>
              </w:rPr>
            </w:pPr>
            <w:r w:rsidRPr="00F26881">
              <w:rPr>
                <w:b/>
                <w:bCs/>
                <w:i/>
                <w:iCs/>
                <w:sz w:val="22"/>
                <w:szCs w:val="22"/>
              </w:rPr>
              <w:t>Alpha=0.02</w:t>
            </w:r>
          </w:p>
        </w:tc>
        <w:tc>
          <w:tcPr>
            <w:tcW w:w="1980" w:type="dxa"/>
            <w:tcBorders>
              <w:top w:val="single" w:color="auto" w:sz="8" w:space="0"/>
              <w:left w:val="nil"/>
              <w:bottom w:val="single" w:color="auto" w:sz="4" w:space="0"/>
              <w:right w:val="single" w:color="auto" w:sz="8" w:space="0"/>
            </w:tcBorders>
            <w:shd w:val="clear" w:color="auto" w:fill="B8CCE4" w:themeFill="accent1" w:themeFillTint="66"/>
            <w:vAlign w:val="bottom"/>
          </w:tcPr>
          <w:p w:rsidRPr="00F26881" w:rsidR="00171DAD" w:rsidP="00171DAD" w:rsidRDefault="00171DAD" w14:paraId="241BFA0E" w14:textId="352413C9">
            <w:pPr>
              <w:jc w:val="center"/>
              <w:rPr>
                <w:b/>
                <w:bCs/>
                <w:i/>
                <w:iCs/>
                <w:sz w:val="22"/>
                <w:szCs w:val="22"/>
              </w:rPr>
            </w:pPr>
            <w:r w:rsidRPr="00F26881">
              <w:rPr>
                <w:b/>
                <w:bCs/>
                <w:i/>
                <w:iCs/>
                <w:sz w:val="22"/>
                <w:szCs w:val="22"/>
              </w:rPr>
              <w:t>Alpha=0.05</w:t>
            </w:r>
          </w:p>
        </w:tc>
        <w:tc>
          <w:tcPr>
            <w:tcW w:w="1890" w:type="dxa"/>
            <w:tcBorders>
              <w:top w:val="single" w:color="auto" w:sz="8" w:space="0"/>
              <w:left w:val="single" w:color="auto" w:sz="8" w:space="0"/>
              <w:bottom w:val="single" w:color="auto" w:sz="4" w:space="0"/>
              <w:right w:val="single" w:color="auto" w:sz="8" w:space="0"/>
            </w:tcBorders>
            <w:shd w:val="clear" w:color="auto" w:fill="B8CCE4" w:themeFill="accent1" w:themeFillTint="66"/>
            <w:vAlign w:val="bottom"/>
          </w:tcPr>
          <w:p w:rsidRPr="00F26881" w:rsidR="00171DAD" w:rsidP="00171DAD" w:rsidRDefault="00171DAD" w14:paraId="690F657B" w14:textId="2C43EC61">
            <w:pPr>
              <w:jc w:val="center"/>
              <w:rPr>
                <w:b/>
                <w:bCs/>
                <w:i/>
                <w:iCs/>
                <w:sz w:val="22"/>
                <w:szCs w:val="22"/>
              </w:rPr>
            </w:pPr>
            <w:r w:rsidRPr="00F26881">
              <w:rPr>
                <w:b/>
                <w:bCs/>
                <w:i/>
                <w:iCs/>
                <w:sz w:val="22"/>
                <w:szCs w:val="22"/>
              </w:rPr>
              <w:t>Alpha=0.10</w:t>
            </w:r>
          </w:p>
        </w:tc>
      </w:tr>
      <w:tr w:rsidRPr="00F26881" w:rsidR="00F26881" w:rsidTr="00087B61" w14:paraId="047C3682" w14:textId="6B76ACD8">
        <w:trPr>
          <w:trHeight w:val="270"/>
        </w:trPr>
        <w:tc>
          <w:tcPr>
            <w:tcW w:w="2150" w:type="dxa"/>
            <w:tcBorders>
              <w:top w:val="nil"/>
              <w:left w:val="single" w:color="auto" w:sz="8" w:space="0"/>
              <w:bottom w:val="nil"/>
              <w:right w:val="single" w:color="auto" w:sz="4" w:space="0"/>
            </w:tcBorders>
            <w:vAlign w:val="bottom"/>
          </w:tcPr>
          <w:p w:rsidRPr="00F26881" w:rsidR="00171DAD" w:rsidP="00171DAD" w:rsidRDefault="00171DAD" w14:paraId="39F8866C" w14:textId="77777777">
            <w:pPr>
              <w:rPr>
                <w:b/>
                <w:bCs/>
                <w:i/>
                <w:iCs/>
                <w:sz w:val="22"/>
                <w:szCs w:val="22"/>
              </w:rPr>
            </w:pPr>
            <w:r w:rsidRPr="00F26881">
              <w:rPr>
                <w:b/>
                <w:bCs/>
                <w:i/>
                <w:iCs/>
                <w:sz w:val="22"/>
                <w:szCs w:val="22"/>
              </w:rPr>
              <w:t>Age Group</w:t>
            </w:r>
          </w:p>
        </w:tc>
        <w:tc>
          <w:tcPr>
            <w:tcW w:w="1980" w:type="dxa"/>
            <w:tcBorders>
              <w:top w:val="nil"/>
              <w:left w:val="single" w:color="auto" w:sz="8" w:space="0"/>
              <w:bottom w:val="nil"/>
              <w:right w:val="single" w:color="auto" w:sz="4" w:space="0"/>
            </w:tcBorders>
            <w:shd w:val="clear" w:color="auto" w:fill="auto"/>
            <w:noWrap/>
            <w:vAlign w:val="bottom"/>
          </w:tcPr>
          <w:p w:rsidRPr="00F26881" w:rsidR="00171DAD" w:rsidP="00171DAD" w:rsidRDefault="00171DAD" w14:paraId="726EAA48" w14:textId="77777777">
            <w:pPr>
              <w:jc w:val="center"/>
              <w:rPr>
                <w:b/>
                <w:bCs/>
                <w:sz w:val="22"/>
                <w:szCs w:val="22"/>
              </w:rPr>
            </w:pPr>
          </w:p>
        </w:tc>
        <w:tc>
          <w:tcPr>
            <w:tcW w:w="1980" w:type="dxa"/>
            <w:tcBorders>
              <w:top w:val="nil"/>
              <w:left w:val="single" w:color="auto" w:sz="8" w:space="0"/>
              <w:bottom w:val="nil"/>
              <w:right w:val="single" w:color="auto" w:sz="8" w:space="0"/>
            </w:tcBorders>
            <w:shd w:val="clear" w:color="auto" w:fill="auto"/>
            <w:noWrap/>
            <w:vAlign w:val="bottom"/>
          </w:tcPr>
          <w:p w:rsidRPr="00F26881" w:rsidR="00171DAD" w:rsidP="00171DAD" w:rsidRDefault="00171DAD" w14:paraId="227BDA8E" w14:textId="77777777">
            <w:pPr>
              <w:jc w:val="center"/>
              <w:rPr>
                <w:b/>
                <w:bCs/>
                <w:sz w:val="22"/>
                <w:szCs w:val="22"/>
              </w:rPr>
            </w:pPr>
          </w:p>
        </w:tc>
        <w:tc>
          <w:tcPr>
            <w:tcW w:w="1980" w:type="dxa"/>
            <w:tcBorders>
              <w:top w:val="nil"/>
              <w:left w:val="single" w:color="auto" w:sz="8" w:space="0"/>
              <w:bottom w:val="nil"/>
              <w:right w:val="single" w:color="auto" w:sz="8" w:space="0"/>
            </w:tcBorders>
            <w:vAlign w:val="bottom"/>
          </w:tcPr>
          <w:p w:rsidRPr="00F26881" w:rsidR="00171DAD" w:rsidP="00171DAD" w:rsidRDefault="00171DAD" w14:paraId="29622B57" w14:textId="77777777">
            <w:pPr>
              <w:jc w:val="center"/>
              <w:rPr>
                <w:b/>
                <w:bCs/>
                <w:sz w:val="22"/>
                <w:szCs w:val="22"/>
              </w:rPr>
            </w:pPr>
          </w:p>
        </w:tc>
        <w:tc>
          <w:tcPr>
            <w:tcW w:w="1890" w:type="dxa"/>
            <w:tcBorders>
              <w:top w:val="nil"/>
              <w:left w:val="single" w:color="auto" w:sz="8" w:space="0"/>
              <w:bottom w:val="nil"/>
              <w:right w:val="single" w:color="auto" w:sz="8" w:space="0"/>
            </w:tcBorders>
            <w:vAlign w:val="bottom"/>
          </w:tcPr>
          <w:p w:rsidRPr="00F26881" w:rsidR="00171DAD" w:rsidP="00171DAD" w:rsidRDefault="00171DAD" w14:paraId="55363D67" w14:textId="77777777">
            <w:pPr>
              <w:jc w:val="center"/>
              <w:rPr>
                <w:b/>
                <w:bCs/>
                <w:sz w:val="22"/>
                <w:szCs w:val="22"/>
              </w:rPr>
            </w:pPr>
          </w:p>
        </w:tc>
      </w:tr>
      <w:tr w:rsidRPr="00F26881" w:rsidR="00F26881" w:rsidTr="00087B61" w14:paraId="2703897A" w14:textId="078DEC82">
        <w:trPr>
          <w:trHeight w:val="270"/>
        </w:trPr>
        <w:tc>
          <w:tcPr>
            <w:tcW w:w="2150" w:type="dxa"/>
            <w:tcBorders>
              <w:top w:val="nil"/>
              <w:left w:val="single" w:color="auto" w:sz="8" w:space="0"/>
              <w:bottom w:val="nil"/>
              <w:right w:val="single" w:color="auto" w:sz="4" w:space="0"/>
            </w:tcBorders>
            <w:vAlign w:val="bottom"/>
          </w:tcPr>
          <w:p w:rsidRPr="00F26881" w:rsidR="00171DAD" w:rsidP="00171DAD" w:rsidRDefault="00171DAD" w14:paraId="165FA3AC" w14:textId="25A49AA6">
            <w:pPr>
              <w:rPr>
                <w:b/>
                <w:bCs/>
                <w:sz w:val="22"/>
                <w:szCs w:val="22"/>
              </w:rPr>
            </w:pPr>
            <w:r w:rsidRPr="00F26881">
              <w:rPr>
                <w:b/>
                <w:bCs/>
                <w:sz w:val="22"/>
                <w:szCs w:val="22"/>
              </w:rPr>
              <w:t>Age 12-20</w:t>
            </w:r>
          </w:p>
        </w:tc>
        <w:tc>
          <w:tcPr>
            <w:tcW w:w="1980" w:type="dxa"/>
            <w:tcBorders>
              <w:top w:val="nil"/>
              <w:left w:val="single" w:color="auto" w:sz="8" w:space="0"/>
              <w:bottom w:val="nil"/>
              <w:right w:val="single" w:color="auto" w:sz="4" w:space="0"/>
            </w:tcBorders>
            <w:shd w:val="clear" w:color="auto" w:fill="auto"/>
            <w:noWrap/>
            <w:vAlign w:val="bottom"/>
          </w:tcPr>
          <w:p w:rsidRPr="00F26881" w:rsidR="00171DAD" w:rsidP="00171DAD" w:rsidRDefault="00171DAD" w14:paraId="4C40A444" w14:textId="23C601E4">
            <w:pPr>
              <w:jc w:val="center"/>
              <w:rPr>
                <w:b/>
                <w:bCs/>
                <w:sz w:val="22"/>
                <w:szCs w:val="22"/>
              </w:rPr>
            </w:pPr>
            <w:r w:rsidRPr="00F26881">
              <w:rPr>
                <w:sz w:val="22"/>
                <w:szCs w:val="22"/>
              </w:rPr>
              <w:t>0.038</w:t>
            </w:r>
          </w:p>
        </w:tc>
        <w:tc>
          <w:tcPr>
            <w:tcW w:w="1980" w:type="dxa"/>
            <w:tcBorders>
              <w:top w:val="nil"/>
              <w:left w:val="single" w:color="auto" w:sz="8" w:space="0"/>
              <w:bottom w:val="nil"/>
              <w:right w:val="single" w:color="auto" w:sz="8" w:space="0"/>
            </w:tcBorders>
            <w:shd w:val="clear" w:color="auto" w:fill="auto"/>
            <w:noWrap/>
            <w:vAlign w:val="bottom"/>
          </w:tcPr>
          <w:p w:rsidRPr="00F26881" w:rsidR="00171DAD" w:rsidP="00171DAD" w:rsidRDefault="00171DAD" w14:paraId="53F2DC8A" w14:textId="16D4C609">
            <w:pPr>
              <w:jc w:val="center"/>
              <w:rPr>
                <w:b/>
                <w:bCs/>
                <w:sz w:val="22"/>
                <w:szCs w:val="22"/>
              </w:rPr>
            </w:pPr>
            <w:r w:rsidRPr="00F26881">
              <w:rPr>
                <w:sz w:val="22"/>
                <w:szCs w:val="22"/>
              </w:rPr>
              <w:t>0.035</w:t>
            </w:r>
          </w:p>
        </w:tc>
        <w:tc>
          <w:tcPr>
            <w:tcW w:w="1980" w:type="dxa"/>
            <w:tcBorders>
              <w:top w:val="nil"/>
              <w:left w:val="single" w:color="auto" w:sz="8" w:space="0"/>
              <w:bottom w:val="nil"/>
              <w:right w:val="single" w:color="auto" w:sz="8" w:space="0"/>
            </w:tcBorders>
            <w:vAlign w:val="bottom"/>
          </w:tcPr>
          <w:p w:rsidRPr="00F26881" w:rsidR="00171DAD" w:rsidP="00171DAD" w:rsidRDefault="00171DAD" w14:paraId="54E2656D" w14:textId="4417DAD7">
            <w:pPr>
              <w:jc w:val="center"/>
              <w:rPr>
                <w:sz w:val="22"/>
                <w:szCs w:val="22"/>
              </w:rPr>
            </w:pPr>
            <w:r w:rsidRPr="00F26881">
              <w:rPr>
                <w:sz w:val="22"/>
                <w:szCs w:val="22"/>
              </w:rPr>
              <w:t>0.030</w:t>
            </w:r>
          </w:p>
        </w:tc>
        <w:tc>
          <w:tcPr>
            <w:tcW w:w="1890" w:type="dxa"/>
            <w:tcBorders>
              <w:top w:val="nil"/>
              <w:left w:val="single" w:color="auto" w:sz="8" w:space="0"/>
              <w:bottom w:val="nil"/>
              <w:right w:val="single" w:color="auto" w:sz="8" w:space="0"/>
            </w:tcBorders>
            <w:vAlign w:val="bottom"/>
          </w:tcPr>
          <w:p w:rsidRPr="00F26881" w:rsidR="00171DAD" w:rsidP="00171DAD" w:rsidRDefault="00171DAD" w14:paraId="1FE2DC58" w14:textId="44D0108B">
            <w:pPr>
              <w:jc w:val="center"/>
              <w:rPr>
                <w:sz w:val="22"/>
                <w:szCs w:val="22"/>
              </w:rPr>
            </w:pPr>
            <w:r w:rsidRPr="00F26881">
              <w:rPr>
                <w:sz w:val="22"/>
                <w:szCs w:val="22"/>
              </w:rPr>
              <w:t>0.027</w:t>
            </w:r>
          </w:p>
        </w:tc>
      </w:tr>
      <w:tr w:rsidRPr="00F26881" w:rsidR="00F26881" w:rsidTr="00087B61" w14:paraId="21BE0638" w14:textId="075C614C">
        <w:trPr>
          <w:trHeight w:val="270"/>
        </w:trPr>
        <w:tc>
          <w:tcPr>
            <w:tcW w:w="2150" w:type="dxa"/>
            <w:tcBorders>
              <w:top w:val="nil"/>
              <w:left w:val="single" w:color="auto" w:sz="8" w:space="0"/>
              <w:bottom w:val="nil"/>
              <w:right w:val="single" w:color="auto" w:sz="4" w:space="0"/>
            </w:tcBorders>
            <w:vAlign w:val="bottom"/>
          </w:tcPr>
          <w:p w:rsidRPr="00F26881" w:rsidR="00171DAD" w:rsidP="00171DAD" w:rsidRDefault="00171DAD" w14:paraId="2C43C031" w14:textId="6289E992">
            <w:pPr>
              <w:rPr>
                <w:b/>
                <w:bCs/>
                <w:sz w:val="22"/>
                <w:szCs w:val="22"/>
              </w:rPr>
            </w:pPr>
            <w:r w:rsidRPr="00F26881">
              <w:rPr>
                <w:b/>
                <w:bCs/>
                <w:sz w:val="22"/>
                <w:szCs w:val="22"/>
              </w:rPr>
              <w:t>Age 21-25</w:t>
            </w:r>
          </w:p>
        </w:tc>
        <w:tc>
          <w:tcPr>
            <w:tcW w:w="1980" w:type="dxa"/>
            <w:tcBorders>
              <w:top w:val="nil"/>
              <w:left w:val="single" w:color="auto" w:sz="8" w:space="0"/>
              <w:bottom w:val="nil"/>
              <w:right w:val="single" w:color="auto" w:sz="4" w:space="0"/>
            </w:tcBorders>
            <w:shd w:val="clear" w:color="auto" w:fill="auto"/>
            <w:noWrap/>
            <w:vAlign w:val="bottom"/>
          </w:tcPr>
          <w:p w:rsidRPr="00F26881" w:rsidR="00171DAD" w:rsidP="00171DAD" w:rsidRDefault="00171DAD" w14:paraId="2D008941" w14:textId="2BA6471F">
            <w:pPr>
              <w:jc w:val="center"/>
              <w:rPr>
                <w:b/>
                <w:bCs/>
                <w:sz w:val="22"/>
                <w:szCs w:val="22"/>
              </w:rPr>
            </w:pPr>
            <w:r w:rsidRPr="00F26881">
              <w:rPr>
                <w:sz w:val="22"/>
                <w:szCs w:val="22"/>
              </w:rPr>
              <w:t>0.031</w:t>
            </w:r>
          </w:p>
        </w:tc>
        <w:tc>
          <w:tcPr>
            <w:tcW w:w="1980" w:type="dxa"/>
            <w:tcBorders>
              <w:top w:val="nil"/>
              <w:left w:val="single" w:color="auto" w:sz="8" w:space="0"/>
              <w:bottom w:val="nil"/>
              <w:right w:val="single" w:color="auto" w:sz="8" w:space="0"/>
            </w:tcBorders>
            <w:shd w:val="clear" w:color="auto" w:fill="auto"/>
            <w:noWrap/>
            <w:vAlign w:val="bottom"/>
          </w:tcPr>
          <w:p w:rsidRPr="00F26881" w:rsidR="00171DAD" w:rsidP="00171DAD" w:rsidRDefault="00171DAD" w14:paraId="020555ED" w14:textId="38BB646F">
            <w:pPr>
              <w:jc w:val="center"/>
              <w:rPr>
                <w:b/>
                <w:bCs/>
                <w:sz w:val="22"/>
                <w:szCs w:val="22"/>
              </w:rPr>
            </w:pPr>
            <w:r w:rsidRPr="00F26881">
              <w:rPr>
                <w:sz w:val="22"/>
                <w:szCs w:val="22"/>
              </w:rPr>
              <w:t>0.029</w:t>
            </w:r>
          </w:p>
        </w:tc>
        <w:tc>
          <w:tcPr>
            <w:tcW w:w="1980" w:type="dxa"/>
            <w:tcBorders>
              <w:top w:val="nil"/>
              <w:left w:val="single" w:color="auto" w:sz="8" w:space="0"/>
              <w:bottom w:val="nil"/>
              <w:right w:val="single" w:color="auto" w:sz="8" w:space="0"/>
            </w:tcBorders>
            <w:vAlign w:val="bottom"/>
          </w:tcPr>
          <w:p w:rsidRPr="00F26881" w:rsidR="00171DAD" w:rsidP="00171DAD" w:rsidRDefault="00171DAD" w14:paraId="7003CED9" w14:textId="62333542">
            <w:pPr>
              <w:jc w:val="center"/>
              <w:rPr>
                <w:sz w:val="22"/>
                <w:szCs w:val="22"/>
              </w:rPr>
            </w:pPr>
            <w:r w:rsidRPr="00F26881">
              <w:rPr>
                <w:sz w:val="22"/>
                <w:szCs w:val="22"/>
              </w:rPr>
              <w:t>0.025</w:t>
            </w:r>
          </w:p>
        </w:tc>
        <w:tc>
          <w:tcPr>
            <w:tcW w:w="1890" w:type="dxa"/>
            <w:tcBorders>
              <w:top w:val="nil"/>
              <w:left w:val="single" w:color="auto" w:sz="8" w:space="0"/>
              <w:bottom w:val="nil"/>
              <w:right w:val="single" w:color="auto" w:sz="8" w:space="0"/>
            </w:tcBorders>
            <w:vAlign w:val="bottom"/>
          </w:tcPr>
          <w:p w:rsidRPr="00F26881" w:rsidR="00171DAD" w:rsidP="00171DAD" w:rsidRDefault="00171DAD" w14:paraId="78908E3E" w14:textId="7D176D06">
            <w:pPr>
              <w:jc w:val="center"/>
              <w:rPr>
                <w:sz w:val="22"/>
                <w:szCs w:val="22"/>
              </w:rPr>
            </w:pPr>
            <w:r w:rsidRPr="00F26881">
              <w:rPr>
                <w:sz w:val="22"/>
                <w:szCs w:val="22"/>
              </w:rPr>
              <w:t>0.022</w:t>
            </w:r>
          </w:p>
        </w:tc>
      </w:tr>
      <w:tr w:rsidRPr="00F26881" w:rsidR="00F26881" w:rsidTr="00087B61" w14:paraId="6ADAC054" w14:textId="6198F391">
        <w:trPr>
          <w:trHeight w:val="270"/>
        </w:trPr>
        <w:tc>
          <w:tcPr>
            <w:tcW w:w="2150" w:type="dxa"/>
            <w:tcBorders>
              <w:top w:val="nil"/>
              <w:left w:val="single" w:color="auto" w:sz="8" w:space="0"/>
              <w:right w:val="single" w:color="auto" w:sz="4" w:space="0"/>
            </w:tcBorders>
            <w:shd w:val="clear" w:color="auto" w:fill="auto"/>
            <w:vAlign w:val="bottom"/>
          </w:tcPr>
          <w:p w:rsidRPr="00F26881" w:rsidR="00171DAD" w:rsidP="00171DAD" w:rsidRDefault="00171DAD" w14:paraId="120150C4" w14:textId="136C85C5">
            <w:pPr>
              <w:rPr>
                <w:b/>
                <w:bCs/>
                <w:sz w:val="22"/>
                <w:szCs w:val="22"/>
              </w:rPr>
            </w:pPr>
            <w:r w:rsidRPr="00F26881">
              <w:rPr>
                <w:b/>
                <w:bCs/>
                <w:sz w:val="22"/>
                <w:szCs w:val="22"/>
              </w:rPr>
              <w:t>Age 26-34</w:t>
            </w:r>
          </w:p>
        </w:tc>
        <w:tc>
          <w:tcPr>
            <w:tcW w:w="1980" w:type="dxa"/>
            <w:tcBorders>
              <w:top w:val="nil"/>
              <w:left w:val="single" w:color="auto" w:sz="8" w:space="0"/>
              <w:right w:val="single" w:color="auto" w:sz="4" w:space="0"/>
            </w:tcBorders>
            <w:shd w:val="clear" w:color="auto" w:fill="auto"/>
            <w:noWrap/>
            <w:vAlign w:val="bottom"/>
          </w:tcPr>
          <w:p w:rsidRPr="00F26881" w:rsidR="00171DAD" w:rsidP="00171DAD" w:rsidRDefault="00171DAD" w14:paraId="32CC62BE" w14:textId="6EC38080">
            <w:pPr>
              <w:jc w:val="center"/>
              <w:rPr>
                <w:b/>
                <w:bCs/>
                <w:sz w:val="22"/>
                <w:szCs w:val="22"/>
              </w:rPr>
            </w:pPr>
            <w:r w:rsidRPr="00F26881">
              <w:rPr>
                <w:sz w:val="22"/>
                <w:szCs w:val="22"/>
              </w:rPr>
              <w:t>0.047</w:t>
            </w:r>
          </w:p>
        </w:tc>
        <w:tc>
          <w:tcPr>
            <w:tcW w:w="1980" w:type="dxa"/>
            <w:tcBorders>
              <w:top w:val="nil"/>
              <w:left w:val="single" w:color="auto" w:sz="8" w:space="0"/>
              <w:right w:val="single" w:color="auto" w:sz="8" w:space="0"/>
            </w:tcBorders>
            <w:shd w:val="clear" w:color="auto" w:fill="auto"/>
            <w:noWrap/>
            <w:vAlign w:val="bottom"/>
          </w:tcPr>
          <w:p w:rsidRPr="00F26881" w:rsidR="00171DAD" w:rsidP="00171DAD" w:rsidRDefault="00171DAD" w14:paraId="1CB1C4E2" w14:textId="3973E56F">
            <w:pPr>
              <w:jc w:val="center"/>
              <w:rPr>
                <w:b/>
                <w:bCs/>
                <w:sz w:val="22"/>
                <w:szCs w:val="22"/>
              </w:rPr>
            </w:pPr>
            <w:r w:rsidRPr="00F26881">
              <w:rPr>
                <w:sz w:val="22"/>
                <w:szCs w:val="22"/>
              </w:rPr>
              <w:t>0.043</w:t>
            </w:r>
          </w:p>
        </w:tc>
        <w:tc>
          <w:tcPr>
            <w:tcW w:w="1980" w:type="dxa"/>
            <w:tcBorders>
              <w:top w:val="nil"/>
              <w:left w:val="single" w:color="auto" w:sz="8" w:space="0"/>
              <w:right w:val="single" w:color="auto" w:sz="8" w:space="0"/>
            </w:tcBorders>
            <w:vAlign w:val="bottom"/>
          </w:tcPr>
          <w:p w:rsidRPr="00F26881" w:rsidR="00171DAD" w:rsidP="00171DAD" w:rsidRDefault="00171DAD" w14:paraId="2D1DFFFC" w14:textId="618F05EF">
            <w:pPr>
              <w:jc w:val="center"/>
              <w:rPr>
                <w:sz w:val="22"/>
                <w:szCs w:val="22"/>
              </w:rPr>
            </w:pPr>
            <w:r w:rsidRPr="00F26881">
              <w:rPr>
                <w:sz w:val="22"/>
                <w:szCs w:val="22"/>
              </w:rPr>
              <w:t>0.038</w:t>
            </w:r>
          </w:p>
        </w:tc>
        <w:tc>
          <w:tcPr>
            <w:tcW w:w="1890" w:type="dxa"/>
            <w:tcBorders>
              <w:top w:val="nil"/>
              <w:left w:val="single" w:color="auto" w:sz="8" w:space="0"/>
              <w:right w:val="single" w:color="auto" w:sz="8" w:space="0"/>
            </w:tcBorders>
            <w:vAlign w:val="bottom"/>
          </w:tcPr>
          <w:p w:rsidRPr="00F26881" w:rsidR="00171DAD" w:rsidP="00171DAD" w:rsidRDefault="00171DAD" w14:paraId="131D8D91" w14:textId="06BE78CB">
            <w:pPr>
              <w:jc w:val="center"/>
              <w:rPr>
                <w:sz w:val="22"/>
                <w:szCs w:val="22"/>
              </w:rPr>
            </w:pPr>
            <w:r w:rsidRPr="00F26881">
              <w:rPr>
                <w:sz w:val="22"/>
                <w:szCs w:val="22"/>
              </w:rPr>
              <w:t>0.033</w:t>
            </w:r>
          </w:p>
        </w:tc>
      </w:tr>
      <w:tr w:rsidRPr="00F26881" w:rsidR="00F26881" w:rsidTr="00087B61" w14:paraId="21877557" w14:textId="73C41600">
        <w:trPr>
          <w:trHeight w:val="270"/>
        </w:trPr>
        <w:tc>
          <w:tcPr>
            <w:tcW w:w="2150" w:type="dxa"/>
            <w:tcBorders>
              <w:top w:val="nil"/>
              <w:left w:val="single" w:color="auto" w:sz="8" w:space="0"/>
              <w:right w:val="single" w:color="auto" w:sz="4" w:space="0"/>
            </w:tcBorders>
            <w:shd w:val="clear" w:color="auto" w:fill="auto"/>
            <w:vAlign w:val="bottom"/>
          </w:tcPr>
          <w:p w:rsidRPr="00F26881" w:rsidR="00171DAD" w:rsidP="00171DAD" w:rsidRDefault="00171DAD" w14:paraId="2AE98A93" w14:textId="64FD3AFE">
            <w:pPr>
              <w:rPr>
                <w:b/>
                <w:bCs/>
                <w:sz w:val="22"/>
                <w:szCs w:val="22"/>
              </w:rPr>
            </w:pPr>
            <w:r w:rsidRPr="00F26881">
              <w:rPr>
                <w:b/>
                <w:bCs/>
                <w:sz w:val="22"/>
                <w:szCs w:val="22"/>
              </w:rPr>
              <w:t>Age 35-49</w:t>
            </w:r>
          </w:p>
        </w:tc>
        <w:tc>
          <w:tcPr>
            <w:tcW w:w="1980" w:type="dxa"/>
            <w:tcBorders>
              <w:top w:val="nil"/>
              <w:left w:val="single" w:color="auto" w:sz="8" w:space="0"/>
              <w:right w:val="single" w:color="auto" w:sz="4" w:space="0"/>
            </w:tcBorders>
            <w:shd w:val="clear" w:color="auto" w:fill="auto"/>
            <w:noWrap/>
            <w:vAlign w:val="bottom"/>
          </w:tcPr>
          <w:p w:rsidRPr="00F26881" w:rsidR="00171DAD" w:rsidP="00171DAD" w:rsidRDefault="00171DAD" w14:paraId="271DDEAA" w14:textId="5582E636">
            <w:pPr>
              <w:jc w:val="center"/>
              <w:rPr>
                <w:b/>
                <w:bCs/>
                <w:sz w:val="22"/>
                <w:szCs w:val="22"/>
              </w:rPr>
            </w:pPr>
            <w:r w:rsidRPr="00F26881">
              <w:rPr>
                <w:sz w:val="22"/>
                <w:szCs w:val="22"/>
              </w:rPr>
              <w:t>0.051</w:t>
            </w:r>
          </w:p>
        </w:tc>
        <w:tc>
          <w:tcPr>
            <w:tcW w:w="1980" w:type="dxa"/>
            <w:tcBorders>
              <w:top w:val="nil"/>
              <w:left w:val="single" w:color="auto" w:sz="8" w:space="0"/>
              <w:right w:val="single" w:color="auto" w:sz="8" w:space="0"/>
            </w:tcBorders>
            <w:shd w:val="clear" w:color="auto" w:fill="auto"/>
            <w:noWrap/>
            <w:vAlign w:val="bottom"/>
          </w:tcPr>
          <w:p w:rsidRPr="00F26881" w:rsidR="00171DAD" w:rsidP="00171DAD" w:rsidRDefault="00171DAD" w14:paraId="235F7E92" w14:textId="10B27C0E">
            <w:pPr>
              <w:jc w:val="center"/>
              <w:rPr>
                <w:b/>
                <w:bCs/>
                <w:sz w:val="22"/>
                <w:szCs w:val="22"/>
              </w:rPr>
            </w:pPr>
            <w:r w:rsidRPr="00F26881">
              <w:rPr>
                <w:sz w:val="22"/>
                <w:szCs w:val="22"/>
              </w:rPr>
              <w:t>0.047</w:t>
            </w:r>
          </w:p>
        </w:tc>
        <w:tc>
          <w:tcPr>
            <w:tcW w:w="1980" w:type="dxa"/>
            <w:tcBorders>
              <w:top w:val="nil"/>
              <w:left w:val="single" w:color="auto" w:sz="8" w:space="0"/>
              <w:right w:val="single" w:color="auto" w:sz="8" w:space="0"/>
            </w:tcBorders>
            <w:vAlign w:val="bottom"/>
          </w:tcPr>
          <w:p w:rsidRPr="00F26881" w:rsidR="00171DAD" w:rsidP="00171DAD" w:rsidRDefault="00171DAD" w14:paraId="519D1325" w14:textId="46E37D50">
            <w:pPr>
              <w:jc w:val="center"/>
              <w:rPr>
                <w:sz w:val="22"/>
                <w:szCs w:val="22"/>
              </w:rPr>
            </w:pPr>
            <w:r w:rsidRPr="00F26881">
              <w:rPr>
                <w:sz w:val="22"/>
                <w:szCs w:val="22"/>
              </w:rPr>
              <w:t>0.041</w:t>
            </w:r>
          </w:p>
        </w:tc>
        <w:tc>
          <w:tcPr>
            <w:tcW w:w="1890" w:type="dxa"/>
            <w:tcBorders>
              <w:top w:val="nil"/>
              <w:left w:val="single" w:color="auto" w:sz="8" w:space="0"/>
              <w:right w:val="single" w:color="auto" w:sz="8" w:space="0"/>
            </w:tcBorders>
            <w:vAlign w:val="bottom"/>
          </w:tcPr>
          <w:p w:rsidRPr="00F26881" w:rsidR="00171DAD" w:rsidP="00171DAD" w:rsidRDefault="00171DAD" w14:paraId="1C2952D4" w14:textId="542CAFBA">
            <w:pPr>
              <w:jc w:val="center"/>
              <w:rPr>
                <w:sz w:val="22"/>
                <w:szCs w:val="22"/>
              </w:rPr>
            </w:pPr>
            <w:r w:rsidRPr="00F26881">
              <w:rPr>
                <w:sz w:val="22"/>
                <w:szCs w:val="22"/>
              </w:rPr>
              <w:t>0.037</w:t>
            </w:r>
          </w:p>
        </w:tc>
      </w:tr>
      <w:tr w:rsidRPr="00F26881" w:rsidR="00F26881" w:rsidTr="00087B61" w14:paraId="358B7F89" w14:textId="6D3DC273">
        <w:trPr>
          <w:trHeight w:val="270"/>
        </w:trPr>
        <w:tc>
          <w:tcPr>
            <w:tcW w:w="2150" w:type="dxa"/>
            <w:tcBorders>
              <w:top w:val="nil"/>
              <w:left w:val="single" w:color="auto" w:sz="8" w:space="0"/>
              <w:right w:val="single" w:color="auto" w:sz="4" w:space="0"/>
            </w:tcBorders>
            <w:shd w:val="clear" w:color="auto" w:fill="auto"/>
            <w:vAlign w:val="bottom"/>
          </w:tcPr>
          <w:p w:rsidRPr="00F26881" w:rsidR="00171DAD" w:rsidP="00171DAD" w:rsidRDefault="00171DAD" w14:paraId="7BE92D20" w14:textId="128018B9">
            <w:pPr>
              <w:rPr>
                <w:b/>
                <w:bCs/>
                <w:sz w:val="22"/>
                <w:szCs w:val="22"/>
              </w:rPr>
            </w:pPr>
            <w:r w:rsidRPr="00F26881">
              <w:rPr>
                <w:b/>
                <w:bCs/>
                <w:sz w:val="22"/>
                <w:szCs w:val="22"/>
              </w:rPr>
              <w:t>Age 50-64</w:t>
            </w:r>
          </w:p>
        </w:tc>
        <w:tc>
          <w:tcPr>
            <w:tcW w:w="1980" w:type="dxa"/>
            <w:tcBorders>
              <w:top w:val="nil"/>
              <w:left w:val="single" w:color="auto" w:sz="8" w:space="0"/>
              <w:right w:val="single" w:color="auto" w:sz="4" w:space="0"/>
            </w:tcBorders>
            <w:shd w:val="clear" w:color="auto" w:fill="auto"/>
            <w:noWrap/>
            <w:vAlign w:val="bottom"/>
          </w:tcPr>
          <w:p w:rsidRPr="00F26881" w:rsidR="00171DAD" w:rsidP="00171DAD" w:rsidRDefault="00171DAD" w14:paraId="7DDFCD41" w14:textId="54F7A25E">
            <w:pPr>
              <w:jc w:val="center"/>
              <w:rPr>
                <w:b/>
                <w:bCs/>
                <w:sz w:val="22"/>
                <w:szCs w:val="22"/>
              </w:rPr>
            </w:pPr>
            <w:r w:rsidRPr="00F26881">
              <w:rPr>
                <w:sz w:val="22"/>
                <w:szCs w:val="22"/>
              </w:rPr>
              <w:t>0.065</w:t>
            </w:r>
          </w:p>
        </w:tc>
        <w:tc>
          <w:tcPr>
            <w:tcW w:w="1980" w:type="dxa"/>
            <w:tcBorders>
              <w:top w:val="nil"/>
              <w:left w:val="single" w:color="auto" w:sz="8" w:space="0"/>
              <w:right w:val="single" w:color="auto" w:sz="8" w:space="0"/>
            </w:tcBorders>
            <w:shd w:val="clear" w:color="auto" w:fill="auto"/>
            <w:noWrap/>
            <w:vAlign w:val="bottom"/>
          </w:tcPr>
          <w:p w:rsidRPr="00F26881" w:rsidR="00171DAD" w:rsidP="00171DAD" w:rsidRDefault="00171DAD" w14:paraId="4DD6691E" w14:textId="3F53E075">
            <w:pPr>
              <w:jc w:val="center"/>
              <w:rPr>
                <w:b/>
                <w:bCs/>
                <w:sz w:val="22"/>
                <w:szCs w:val="22"/>
              </w:rPr>
            </w:pPr>
            <w:r w:rsidRPr="00F26881">
              <w:rPr>
                <w:sz w:val="22"/>
                <w:szCs w:val="22"/>
              </w:rPr>
              <w:t>0.060</w:t>
            </w:r>
          </w:p>
        </w:tc>
        <w:tc>
          <w:tcPr>
            <w:tcW w:w="1980" w:type="dxa"/>
            <w:tcBorders>
              <w:top w:val="nil"/>
              <w:left w:val="single" w:color="auto" w:sz="8" w:space="0"/>
              <w:right w:val="single" w:color="auto" w:sz="8" w:space="0"/>
            </w:tcBorders>
            <w:vAlign w:val="bottom"/>
          </w:tcPr>
          <w:p w:rsidRPr="00F26881" w:rsidR="00171DAD" w:rsidP="00171DAD" w:rsidRDefault="00171DAD" w14:paraId="6749D35B" w14:textId="204B3796">
            <w:pPr>
              <w:jc w:val="center"/>
              <w:rPr>
                <w:sz w:val="22"/>
                <w:szCs w:val="22"/>
              </w:rPr>
            </w:pPr>
            <w:r w:rsidRPr="00F26881">
              <w:rPr>
                <w:sz w:val="22"/>
                <w:szCs w:val="22"/>
              </w:rPr>
              <w:t>0.052</w:t>
            </w:r>
          </w:p>
        </w:tc>
        <w:tc>
          <w:tcPr>
            <w:tcW w:w="1890" w:type="dxa"/>
            <w:tcBorders>
              <w:top w:val="nil"/>
              <w:left w:val="single" w:color="auto" w:sz="8" w:space="0"/>
              <w:right w:val="single" w:color="auto" w:sz="8" w:space="0"/>
            </w:tcBorders>
            <w:vAlign w:val="bottom"/>
          </w:tcPr>
          <w:p w:rsidRPr="00F26881" w:rsidR="00171DAD" w:rsidP="00171DAD" w:rsidRDefault="00171DAD" w14:paraId="64513C8F" w14:textId="515E6450">
            <w:pPr>
              <w:jc w:val="center"/>
              <w:rPr>
                <w:sz w:val="22"/>
                <w:szCs w:val="22"/>
              </w:rPr>
            </w:pPr>
            <w:r w:rsidRPr="00F26881">
              <w:rPr>
                <w:sz w:val="22"/>
                <w:szCs w:val="22"/>
              </w:rPr>
              <w:t>0.046</w:t>
            </w:r>
          </w:p>
        </w:tc>
      </w:tr>
      <w:tr w:rsidRPr="00F26881" w:rsidR="00F26881" w:rsidTr="00087B61" w14:paraId="2B6310A8" w14:textId="0B542AA1">
        <w:trPr>
          <w:trHeight w:val="270"/>
        </w:trPr>
        <w:tc>
          <w:tcPr>
            <w:tcW w:w="2150" w:type="dxa"/>
            <w:tcBorders>
              <w:left w:val="single" w:color="auto" w:sz="8" w:space="0"/>
              <w:bottom w:val="single" w:color="auto" w:sz="4" w:space="0"/>
              <w:right w:val="single" w:color="auto" w:sz="4" w:space="0"/>
            </w:tcBorders>
            <w:shd w:val="clear" w:color="auto" w:fill="auto"/>
            <w:vAlign w:val="bottom"/>
          </w:tcPr>
          <w:p w:rsidRPr="00F26881" w:rsidR="00171DAD" w:rsidP="00171DAD" w:rsidRDefault="00171DAD" w14:paraId="6511597D" w14:textId="6AB41E07">
            <w:pPr>
              <w:rPr>
                <w:b/>
                <w:bCs/>
                <w:sz w:val="22"/>
                <w:szCs w:val="22"/>
              </w:rPr>
            </w:pPr>
            <w:r w:rsidRPr="00F26881">
              <w:rPr>
                <w:b/>
                <w:bCs/>
                <w:sz w:val="22"/>
                <w:szCs w:val="22"/>
              </w:rPr>
              <w:t>Age 65+</w:t>
            </w:r>
          </w:p>
        </w:tc>
        <w:tc>
          <w:tcPr>
            <w:tcW w:w="1980" w:type="dxa"/>
            <w:tcBorders>
              <w:left w:val="single" w:color="auto" w:sz="8" w:space="0"/>
              <w:bottom w:val="single" w:color="auto" w:sz="4" w:space="0"/>
              <w:right w:val="single" w:color="auto" w:sz="4" w:space="0"/>
            </w:tcBorders>
            <w:shd w:val="clear" w:color="auto" w:fill="auto"/>
            <w:noWrap/>
            <w:vAlign w:val="bottom"/>
          </w:tcPr>
          <w:p w:rsidRPr="00F26881" w:rsidR="00171DAD" w:rsidP="00171DAD" w:rsidRDefault="00171DAD" w14:paraId="6EF344B2" w14:textId="41E421CE">
            <w:pPr>
              <w:jc w:val="center"/>
              <w:rPr>
                <w:b/>
                <w:bCs/>
                <w:sz w:val="22"/>
                <w:szCs w:val="22"/>
              </w:rPr>
            </w:pPr>
            <w:r w:rsidRPr="00F26881">
              <w:rPr>
                <w:sz w:val="22"/>
                <w:szCs w:val="22"/>
              </w:rPr>
              <w:t>0.071</w:t>
            </w:r>
          </w:p>
        </w:tc>
        <w:tc>
          <w:tcPr>
            <w:tcW w:w="1980" w:type="dxa"/>
            <w:tcBorders>
              <w:left w:val="single" w:color="auto" w:sz="8" w:space="0"/>
              <w:bottom w:val="single" w:color="auto" w:sz="4" w:space="0"/>
              <w:right w:val="single" w:color="auto" w:sz="8" w:space="0"/>
            </w:tcBorders>
            <w:shd w:val="clear" w:color="auto" w:fill="auto"/>
            <w:noWrap/>
            <w:vAlign w:val="bottom"/>
          </w:tcPr>
          <w:p w:rsidRPr="00F26881" w:rsidR="00171DAD" w:rsidP="00171DAD" w:rsidRDefault="00171DAD" w14:paraId="1891C5EF" w14:textId="6E5F9C9F">
            <w:pPr>
              <w:jc w:val="center"/>
              <w:rPr>
                <w:b/>
                <w:bCs/>
                <w:sz w:val="22"/>
                <w:szCs w:val="22"/>
              </w:rPr>
            </w:pPr>
            <w:r w:rsidRPr="00F26881">
              <w:rPr>
                <w:sz w:val="22"/>
                <w:szCs w:val="22"/>
              </w:rPr>
              <w:t>0.065</w:t>
            </w:r>
          </w:p>
        </w:tc>
        <w:tc>
          <w:tcPr>
            <w:tcW w:w="1980" w:type="dxa"/>
            <w:tcBorders>
              <w:left w:val="single" w:color="auto" w:sz="8" w:space="0"/>
              <w:bottom w:val="single" w:color="auto" w:sz="4" w:space="0"/>
              <w:right w:val="single" w:color="auto" w:sz="8" w:space="0"/>
            </w:tcBorders>
            <w:vAlign w:val="bottom"/>
          </w:tcPr>
          <w:p w:rsidRPr="00F26881" w:rsidR="00171DAD" w:rsidP="00171DAD" w:rsidRDefault="00171DAD" w14:paraId="6CF3522F" w14:textId="00A040F3">
            <w:pPr>
              <w:jc w:val="center"/>
              <w:rPr>
                <w:sz w:val="22"/>
                <w:szCs w:val="22"/>
              </w:rPr>
            </w:pPr>
            <w:r w:rsidRPr="00F26881">
              <w:rPr>
                <w:sz w:val="22"/>
                <w:szCs w:val="22"/>
              </w:rPr>
              <w:t>0.057</w:t>
            </w:r>
          </w:p>
        </w:tc>
        <w:tc>
          <w:tcPr>
            <w:tcW w:w="1890" w:type="dxa"/>
            <w:tcBorders>
              <w:left w:val="single" w:color="auto" w:sz="8" w:space="0"/>
              <w:bottom w:val="single" w:color="auto" w:sz="4" w:space="0"/>
              <w:right w:val="single" w:color="auto" w:sz="8" w:space="0"/>
            </w:tcBorders>
            <w:vAlign w:val="bottom"/>
          </w:tcPr>
          <w:p w:rsidRPr="00F26881" w:rsidR="00171DAD" w:rsidP="00171DAD" w:rsidRDefault="00171DAD" w14:paraId="107064B6" w14:textId="2D3B2090">
            <w:pPr>
              <w:jc w:val="center"/>
              <w:rPr>
                <w:sz w:val="22"/>
                <w:szCs w:val="22"/>
              </w:rPr>
            </w:pPr>
            <w:r w:rsidRPr="00F26881">
              <w:rPr>
                <w:sz w:val="22"/>
                <w:szCs w:val="22"/>
              </w:rPr>
              <w:t>0.050</w:t>
            </w:r>
          </w:p>
        </w:tc>
      </w:tr>
      <w:tr w:rsidRPr="00F26881" w:rsidR="00F26881" w:rsidTr="00087B61" w14:paraId="28E5CA97" w14:textId="4E48E766">
        <w:trPr>
          <w:trHeight w:val="270"/>
        </w:trPr>
        <w:tc>
          <w:tcPr>
            <w:tcW w:w="2150" w:type="dxa"/>
            <w:tcBorders>
              <w:top w:val="single" w:color="auto" w:sz="4" w:space="0"/>
              <w:left w:val="single" w:color="auto" w:sz="8" w:space="0"/>
              <w:right w:val="single" w:color="auto" w:sz="4" w:space="0"/>
            </w:tcBorders>
            <w:shd w:val="clear" w:color="auto" w:fill="F2F2F2" w:themeFill="background1" w:themeFillShade="F2"/>
            <w:vAlign w:val="bottom"/>
          </w:tcPr>
          <w:p w:rsidRPr="00F26881" w:rsidR="00171DAD" w:rsidP="00171DAD" w:rsidRDefault="00171DAD" w14:paraId="1282C4AA" w14:textId="77777777">
            <w:pPr>
              <w:rPr>
                <w:b/>
                <w:bCs/>
                <w:i/>
                <w:iCs/>
                <w:sz w:val="22"/>
                <w:szCs w:val="22"/>
              </w:rPr>
            </w:pPr>
            <w:r w:rsidRPr="00F26881">
              <w:rPr>
                <w:b/>
                <w:bCs/>
                <w:i/>
                <w:iCs/>
                <w:sz w:val="22"/>
                <w:szCs w:val="22"/>
              </w:rPr>
              <w:t>Gender</w:t>
            </w:r>
          </w:p>
        </w:tc>
        <w:tc>
          <w:tcPr>
            <w:tcW w:w="1980" w:type="dxa"/>
            <w:tcBorders>
              <w:top w:val="single" w:color="auto" w:sz="4" w:space="0"/>
              <w:left w:val="single" w:color="auto" w:sz="8" w:space="0"/>
              <w:right w:val="single" w:color="auto" w:sz="4" w:space="0"/>
            </w:tcBorders>
            <w:shd w:val="clear" w:color="auto" w:fill="F2F2F2" w:themeFill="background1" w:themeFillShade="F2"/>
            <w:noWrap/>
            <w:vAlign w:val="bottom"/>
          </w:tcPr>
          <w:p w:rsidRPr="00F26881" w:rsidR="00171DAD" w:rsidP="00171DAD" w:rsidRDefault="00171DAD" w14:paraId="56F684AF" w14:textId="77777777">
            <w:pPr>
              <w:jc w:val="center"/>
              <w:rPr>
                <w:b/>
                <w:bCs/>
                <w:sz w:val="22"/>
                <w:szCs w:val="22"/>
              </w:rPr>
            </w:pPr>
          </w:p>
        </w:tc>
        <w:tc>
          <w:tcPr>
            <w:tcW w:w="1980" w:type="dxa"/>
            <w:tcBorders>
              <w:top w:val="single" w:color="auto" w:sz="4" w:space="0"/>
              <w:left w:val="single" w:color="auto" w:sz="8" w:space="0"/>
              <w:right w:val="single" w:color="auto" w:sz="8" w:space="0"/>
            </w:tcBorders>
            <w:shd w:val="clear" w:color="auto" w:fill="F2F2F2" w:themeFill="background1" w:themeFillShade="F2"/>
            <w:noWrap/>
            <w:vAlign w:val="bottom"/>
          </w:tcPr>
          <w:p w:rsidRPr="00F26881" w:rsidR="00171DAD" w:rsidP="00171DAD" w:rsidRDefault="00171DAD" w14:paraId="389E3862" w14:textId="77777777">
            <w:pPr>
              <w:jc w:val="center"/>
              <w:rPr>
                <w:b/>
                <w:bCs/>
                <w:sz w:val="22"/>
                <w:szCs w:val="22"/>
              </w:rPr>
            </w:pPr>
          </w:p>
        </w:tc>
        <w:tc>
          <w:tcPr>
            <w:tcW w:w="1980" w:type="dxa"/>
            <w:tcBorders>
              <w:top w:val="single" w:color="auto" w:sz="4" w:space="0"/>
              <w:left w:val="single" w:color="auto" w:sz="8" w:space="0"/>
              <w:right w:val="single" w:color="auto" w:sz="8" w:space="0"/>
            </w:tcBorders>
            <w:shd w:val="clear" w:color="auto" w:fill="F2F2F2" w:themeFill="background1" w:themeFillShade="F2"/>
            <w:vAlign w:val="bottom"/>
          </w:tcPr>
          <w:p w:rsidRPr="00F26881" w:rsidR="00171DAD" w:rsidP="00171DAD" w:rsidRDefault="00171DAD" w14:paraId="4621275A" w14:textId="77777777">
            <w:pPr>
              <w:jc w:val="center"/>
              <w:rPr>
                <w:b/>
                <w:bCs/>
                <w:sz w:val="22"/>
                <w:szCs w:val="22"/>
              </w:rPr>
            </w:pPr>
          </w:p>
        </w:tc>
        <w:tc>
          <w:tcPr>
            <w:tcW w:w="1890" w:type="dxa"/>
            <w:tcBorders>
              <w:top w:val="single" w:color="auto" w:sz="4" w:space="0"/>
              <w:left w:val="single" w:color="auto" w:sz="8" w:space="0"/>
              <w:right w:val="single" w:color="auto" w:sz="8" w:space="0"/>
            </w:tcBorders>
            <w:shd w:val="clear" w:color="auto" w:fill="F2F2F2" w:themeFill="background1" w:themeFillShade="F2"/>
            <w:vAlign w:val="bottom"/>
          </w:tcPr>
          <w:p w:rsidRPr="00F26881" w:rsidR="00171DAD" w:rsidP="00171DAD" w:rsidRDefault="00171DAD" w14:paraId="654FD649" w14:textId="77777777">
            <w:pPr>
              <w:jc w:val="center"/>
              <w:rPr>
                <w:b/>
                <w:bCs/>
                <w:sz w:val="22"/>
                <w:szCs w:val="22"/>
              </w:rPr>
            </w:pPr>
          </w:p>
        </w:tc>
      </w:tr>
      <w:tr w:rsidRPr="00F26881" w:rsidR="00F26881" w:rsidTr="00087B61" w14:paraId="25701C3B" w14:textId="4743F8F2">
        <w:trPr>
          <w:trHeight w:val="270"/>
        </w:trPr>
        <w:tc>
          <w:tcPr>
            <w:tcW w:w="2150" w:type="dxa"/>
            <w:tcBorders>
              <w:top w:val="nil"/>
              <w:left w:val="single" w:color="auto" w:sz="8" w:space="0"/>
              <w:bottom w:val="single" w:color="auto" w:sz="4" w:space="0"/>
              <w:right w:val="single" w:color="auto" w:sz="4" w:space="0"/>
            </w:tcBorders>
            <w:shd w:val="clear" w:color="auto" w:fill="F2F2F2" w:themeFill="background1" w:themeFillShade="F2"/>
            <w:vAlign w:val="bottom"/>
          </w:tcPr>
          <w:p w:rsidRPr="00F26881" w:rsidR="00171DAD" w:rsidP="00171DAD" w:rsidRDefault="00171DAD" w14:paraId="1299C52C" w14:textId="77777777">
            <w:pPr>
              <w:rPr>
                <w:b/>
                <w:bCs/>
                <w:sz w:val="22"/>
                <w:szCs w:val="22"/>
              </w:rPr>
            </w:pPr>
            <w:r w:rsidRPr="00F26881">
              <w:rPr>
                <w:b/>
                <w:bCs/>
                <w:sz w:val="22"/>
                <w:szCs w:val="22"/>
              </w:rPr>
              <w:t>Male</w:t>
            </w:r>
          </w:p>
        </w:tc>
        <w:tc>
          <w:tcPr>
            <w:tcW w:w="1980" w:type="dxa"/>
            <w:tcBorders>
              <w:top w:val="nil"/>
              <w:left w:val="single" w:color="auto" w:sz="8" w:space="0"/>
              <w:bottom w:val="single" w:color="auto" w:sz="4" w:space="0"/>
              <w:right w:val="single" w:color="auto" w:sz="4" w:space="0"/>
            </w:tcBorders>
            <w:shd w:val="clear" w:color="auto" w:fill="F2F2F2" w:themeFill="background1" w:themeFillShade="F2"/>
            <w:noWrap/>
            <w:vAlign w:val="bottom"/>
          </w:tcPr>
          <w:p w:rsidRPr="00F26881" w:rsidR="00171DAD" w:rsidP="00171DAD" w:rsidRDefault="00171DAD" w14:paraId="1AB53B69" w14:textId="088C281B">
            <w:pPr>
              <w:jc w:val="center"/>
              <w:rPr>
                <w:b/>
                <w:bCs/>
                <w:sz w:val="22"/>
                <w:szCs w:val="22"/>
              </w:rPr>
            </w:pPr>
            <w:r w:rsidRPr="00F26881">
              <w:rPr>
                <w:sz w:val="22"/>
                <w:szCs w:val="22"/>
              </w:rPr>
              <w:t>0.056</w:t>
            </w:r>
          </w:p>
        </w:tc>
        <w:tc>
          <w:tcPr>
            <w:tcW w:w="1980" w:type="dxa"/>
            <w:tcBorders>
              <w:top w:val="nil"/>
              <w:left w:val="single" w:color="auto" w:sz="8" w:space="0"/>
              <w:bottom w:val="single" w:color="auto" w:sz="4" w:space="0"/>
              <w:right w:val="single" w:color="auto" w:sz="8" w:space="0"/>
            </w:tcBorders>
            <w:shd w:val="clear" w:color="auto" w:fill="F2F2F2" w:themeFill="background1" w:themeFillShade="F2"/>
            <w:noWrap/>
            <w:vAlign w:val="bottom"/>
          </w:tcPr>
          <w:p w:rsidRPr="00F26881" w:rsidR="00171DAD" w:rsidP="00171DAD" w:rsidRDefault="00171DAD" w14:paraId="09308522" w14:textId="34080634">
            <w:pPr>
              <w:jc w:val="center"/>
              <w:rPr>
                <w:b/>
                <w:bCs/>
                <w:sz w:val="22"/>
                <w:szCs w:val="22"/>
              </w:rPr>
            </w:pPr>
            <w:r w:rsidRPr="00F26881">
              <w:rPr>
                <w:sz w:val="22"/>
                <w:szCs w:val="22"/>
              </w:rPr>
              <w:t>0.052</w:t>
            </w:r>
          </w:p>
        </w:tc>
        <w:tc>
          <w:tcPr>
            <w:tcW w:w="1980" w:type="dxa"/>
            <w:tcBorders>
              <w:top w:val="nil"/>
              <w:left w:val="single" w:color="auto" w:sz="8" w:space="0"/>
              <w:bottom w:val="single" w:color="auto" w:sz="4" w:space="0"/>
              <w:right w:val="single" w:color="auto" w:sz="8" w:space="0"/>
            </w:tcBorders>
            <w:shd w:val="clear" w:color="auto" w:fill="F2F2F2" w:themeFill="background1" w:themeFillShade="F2"/>
            <w:vAlign w:val="bottom"/>
          </w:tcPr>
          <w:p w:rsidRPr="00F26881" w:rsidR="00171DAD" w:rsidP="00171DAD" w:rsidRDefault="00171DAD" w14:paraId="000F8D86" w14:textId="1EE85A62">
            <w:pPr>
              <w:jc w:val="center"/>
              <w:rPr>
                <w:sz w:val="22"/>
                <w:szCs w:val="22"/>
              </w:rPr>
            </w:pPr>
            <w:r w:rsidRPr="00F26881">
              <w:rPr>
                <w:sz w:val="22"/>
                <w:szCs w:val="22"/>
              </w:rPr>
              <w:t>0.046</w:t>
            </w:r>
          </w:p>
        </w:tc>
        <w:tc>
          <w:tcPr>
            <w:tcW w:w="1890" w:type="dxa"/>
            <w:tcBorders>
              <w:top w:val="nil"/>
              <w:left w:val="single" w:color="auto" w:sz="8" w:space="0"/>
              <w:bottom w:val="single" w:color="auto" w:sz="4" w:space="0"/>
              <w:right w:val="single" w:color="auto" w:sz="8" w:space="0"/>
            </w:tcBorders>
            <w:shd w:val="clear" w:color="auto" w:fill="F2F2F2" w:themeFill="background1" w:themeFillShade="F2"/>
            <w:vAlign w:val="bottom"/>
          </w:tcPr>
          <w:p w:rsidRPr="00F26881" w:rsidR="00171DAD" w:rsidP="00171DAD" w:rsidRDefault="00171DAD" w14:paraId="2516D8AD" w14:textId="505D0370">
            <w:pPr>
              <w:jc w:val="center"/>
              <w:rPr>
                <w:sz w:val="22"/>
                <w:szCs w:val="22"/>
              </w:rPr>
            </w:pPr>
            <w:r w:rsidRPr="00F26881">
              <w:rPr>
                <w:sz w:val="22"/>
                <w:szCs w:val="22"/>
              </w:rPr>
              <w:t>0.041</w:t>
            </w:r>
          </w:p>
        </w:tc>
      </w:tr>
      <w:tr w:rsidRPr="00F26881" w:rsidR="00F26881" w:rsidTr="00087B61" w14:paraId="4614EC45" w14:textId="70ADFFD1">
        <w:trPr>
          <w:trHeight w:val="270"/>
        </w:trPr>
        <w:tc>
          <w:tcPr>
            <w:tcW w:w="2150" w:type="dxa"/>
            <w:tcBorders>
              <w:top w:val="single" w:color="auto" w:sz="4" w:space="0"/>
              <w:left w:val="single" w:color="auto" w:sz="8" w:space="0"/>
              <w:bottom w:val="nil"/>
              <w:right w:val="single" w:color="auto" w:sz="4" w:space="0"/>
            </w:tcBorders>
            <w:shd w:val="clear" w:color="auto" w:fill="auto"/>
            <w:vAlign w:val="bottom"/>
          </w:tcPr>
          <w:p w:rsidRPr="00F26881" w:rsidR="00171DAD" w:rsidP="00171DAD" w:rsidRDefault="00171DAD" w14:paraId="69587B19" w14:textId="01BE3901">
            <w:pPr>
              <w:rPr>
                <w:b/>
                <w:bCs/>
                <w:sz w:val="22"/>
                <w:szCs w:val="22"/>
              </w:rPr>
            </w:pPr>
            <w:r w:rsidRPr="00F26881">
              <w:rPr>
                <w:b/>
                <w:bCs/>
                <w:i/>
                <w:iCs/>
                <w:sz w:val="22"/>
                <w:szCs w:val="22"/>
              </w:rPr>
              <w:t>Race/Ethnicity</w:t>
            </w:r>
          </w:p>
        </w:tc>
        <w:tc>
          <w:tcPr>
            <w:tcW w:w="1980" w:type="dxa"/>
            <w:tcBorders>
              <w:top w:val="single" w:color="auto" w:sz="4" w:space="0"/>
              <w:left w:val="single" w:color="auto" w:sz="8" w:space="0"/>
              <w:bottom w:val="nil"/>
              <w:right w:val="single" w:color="auto" w:sz="4" w:space="0"/>
            </w:tcBorders>
            <w:shd w:val="clear" w:color="auto" w:fill="auto"/>
            <w:noWrap/>
            <w:vAlign w:val="bottom"/>
          </w:tcPr>
          <w:p w:rsidRPr="00F26881" w:rsidR="00171DAD" w:rsidP="00171DAD" w:rsidRDefault="00171DAD" w14:paraId="35A71164" w14:textId="77777777">
            <w:pPr>
              <w:jc w:val="center"/>
              <w:rPr>
                <w:b/>
                <w:bCs/>
                <w:sz w:val="22"/>
                <w:szCs w:val="22"/>
              </w:rPr>
            </w:pPr>
          </w:p>
        </w:tc>
        <w:tc>
          <w:tcPr>
            <w:tcW w:w="1980" w:type="dxa"/>
            <w:tcBorders>
              <w:top w:val="single" w:color="auto" w:sz="4" w:space="0"/>
              <w:left w:val="single" w:color="auto" w:sz="8" w:space="0"/>
              <w:bottom w:val="nil"/>
              <w:right w:val="single" w:color="auto" w:sz="8" w:space="0"/>
            </w:tcBorders>
            <w:shd w:val="clear" w:color="auto" w:fill="auto"/>
            <w:noWrap/>
            <w:vAlign w:val="bottom"/>
          </w:tcPr>
          <w:p w:rsidRPr="00F26881" w:rsidR="00171DAD" w:rsidP="00171DAD" w:rsidRDefault="00171DAD" w14:paraId="2EE29904" w14:textId="77777777">
            <w:pPr>
              <w:jc w:val="center"/>
              <w:rPr>
                <w:b/>
                <w:bCs/>
                <w:sz w:val="22"/>
                <w:szCs w:val="22"/>
              </w:rPr>
            </w:pPr>
          </w:p>
        </w:tc>
        <w:tc>
          <w:tcPr>
            <w:tcW w:w="1980" w:type="dxa"/>
            <w:tcBorders>
              <w:top w:val="single" w:color="auto" w:sz="4" w:space="0"/>
              <w:left w:val="single" w:color="auto" w:sz="8" w:space="0"/>
              <w:bottom w:val="nil"/>
              <w:right w:val="single" w:color="auto" w:sz="8" w:space="0"/>
            </w:tcBorders>
            <w:shd w:val="clear" w:color="auto" w:fill="auto"/>
            <w:vAlign w:val="bottom"/>
          </w:tcPr>
          <w:p w:rsidRPr="00F26881" w:rsidR="00171DAD" w:rsidP="00171DAD" w:rsidRDefault="00171DAD" w14:paraId="0B8A74C5" w14:textId="77777777">
            <w:pPr>
              <w:jc w:val="center"/>
              <w:rPr>
                <w:b/>
                <w:bCs/>
                <w:sz w:val="22"/>
                <w:szCs w:val="22"/>
              </w:rPr>
            </w:pPr>
          </w:p>
        </w:tc>
        <w:tc>
          <w:tcPr>
            <w:tcW w:w="1890" w:type="dxa"/>
            <w:tcBorders>
              <w:top w:val="single" w:color="auto" w:sz="4" w:space="0"/>
              <w:left w:val="single" w:color="auto" w:sz="8" w:space="0"/>
              <w:bottom w:val="nil"/>
              <w:right w:val="single" w:color="auto" w:sz="8" w:space="0"/>
            </w:tcBorders>
            <w:vAlign w:val="bottom"/>
          </w:tcPr>
          <w:p w:rsidRPr="00F26881" w:rsidR="00171DAD" w:rsidP="00171DAD" w:rsidRDefault="00171DAD" w14:paraId="5C9E87E7" w14:textId="77777777">
            <w:pPr>
              <w:jc w:val="center"/>
              <w:rPr>
                <w:b/>
                <w:bCs/>
                <w:sz w:val="22"/>
                <w:szCs w:val="22"/>
              </w:rPr>
            </w:pPr>
          </w:p>
        </w:tc>
      </w:tr>
      <w:tr w:rsidRPr="00F26881" w:rsidR="00F26881" w:rsidTr="00087B61" w14:paraId="278CDA49" w14:textId="3C578ED3">
        <w:trPr>
          <w:trHeight w:val="270"/>
        </w:trPr>
        <w:tc>
          <w:tcPr>
            <w:tcW w:w="2150" w:type="dxa"/>
            <w:tcBorders>
              <w:top w:val="nil"/>
              <w:left w:val="single" w:color="auto" w:sz="8" w:space="0"/>
              <w:bottom w:val="nil"/>
              <w:right w:val="single" w:color="auto" w:sz="4" w:space="0"/>
            </w:tcBorders>
            <w:shd w:val="clear" w:color="auto" w:fill="auto"/>
            <w:vAlign w:val="bottom"/>
          </w:tcPr>
          <w:p w:rsidRPr="00F26881" w:rsidR="00171DAD" w:rsidP="00171DAD" w:rsidRDefault="00171DAD" w14:paraId="2CE139F2" w14:textId="44132785">
            <w:pPr>
              <w:rPr>
                <w:b/>
                <w:bCs/>
                <w:sz w:val="22"/>
                <w:szCs w:val="22"/>
              </w:rPr>
            </w:pPr>
            <w:r w:rsidRPr="00F26881">
              <w:rPr>
                <w:b/>
                <w:bCs/>
                <w:sz w:val="22"/>
                <w:szCs w:val="22"/>
              </w:rPr>
              <w:t>Non-Hispanic White</w:t>
            </w:r>
          </w:p>
        </w:tc>
        <w:tc>
          <w:tcPr>
            <w:tcW w:w="1980" w:type="dxa"/>
            <w:tcBorders>
              <w:top w:val="nil"/>
              <w:left w:val="single" w:color="auto" w:sz="8" w:space="0"/>
              <w:bottom w:val="nil"/>
              <w:right w:val="single" w:color="auto" w:sz="4" w:space="0"/>
            </w:tcBorders>
            <w:shd w:val="clear" w:color="auto" w:fill="auto"/>
            <w:noWrap/>
            <w:vAlign w:val="bottom"/>
          </w:tcPr>
          <w:p w:rsidRPr="00F26881" w:rsidR="00171DAD" w:rsidP="00171DAD" w:rsidRDefault="00171DAD" w14:paraId="7030F460" w14:textId="44618D47">
            <w:pPr>
              <w:jc w:val="center"/>
              <w:rPr>
                <w:b/>
                <w:bCs/>
                <w:sz w:val="22"/>
                <w:szCs w:val="22"/>
              </w:rPr>
            </w:pPr>
            <w:r w:rsidRPr="00F26881">
              <w:rPr>
                <w:sz w:val="22"/>
                <w:szCs w:val="22"/>
              </w:rPr>
              <w:t>-0.088</w:t>
            </w:r>
          </w:p>
        </w:tc>
        <w:tc>
          <w:tcPr>
            <w:tcW w:w="1980" w:type="dxa"/>
            <w:tcBorders>
              <w:top w:val="nil"/>
              <w:left w:val="single" w:color="auto" w:sz="8" w:space="0"/>
              <w:bottom w:val="nil"/>
              <w:right w:val="single" w:color="auto" w:sz="8" w:space="0"/>
            </w:tcBorders>
            <w:shd w:val="clear" w:color="auto" w:fill="auto"/>
            <w:noWrap/>
            <w:vAlign w:val="bottom"/>
          </w:tcPr>
          <w:p w:rsidRPr="00F26881" w:rsidR="00171DAD" w:rsidP="00171DAD" w:rsidRDefault="00171DAD" w14:paraId="2E30F752" w14:textId="7A54B404">
            <w:pPr>
              <w:jc w:val="center"/>
              <w:rPr>
                <w:b/>
                <w:bCs/>
                <w:sz w:val="22"/>
                <w:szCs w:val="22"/>
              </w:rPr>
            </w:pPr>
            <w:r w:rsidRPr="00F26881">
              <w:rPr>
                <w:sz w:val="22"/>
                <w:szCs w:val="22"/>
              </w:rPr>
              <w:t>-0.081</w:t>
            </w:r>
          </w:p>
        </w:tc>
        <w:tc>
          <w:tcPr>
            <w:tcW w:w="1980" w:type="dxa"/>
            <w:tcBorders>
              <w:top w:val="nil"/>
              <w:left w:val="single" w:color="auto" w:sz="8" w:space="0"/>
              <w:bottom w:val="nil"/>
              <w:right w:val="single" w:color="auto" w:sz="8" w:space="0"/>
            </w:tcBorders>
            <w:shd w:val="clear" w:color="auto" w:fill="auto"/>
            <w:vAlign w:val="bottom"/>
          </w:tcPr>
          <w:p w:rsidRPr="00F26881" w:rsidR="00171DAD" w:rsidP="00171DAD" w:rsidRDefault="00171DAD" w14:paraId="1203375C" w14:textId="52E02C9B">
            <w:pPr>
              <w:jc w:val="center"/>
              <w:rPr>
                <w:sz w:val="22"/>
                <w:szCs w:val="22"/>
              </w:rPr>
            </w:pPr>
            <w:r w:rsidRPr="00F26881">
              <w:rPr>
                <w:sz w:val="22"/>
                <w:szCs w:val="22"/>
              </w:rPr>
              <w:t>-0.071</w:t>
            </w:r>
          </w:p>
        </w:tc>
        <w:tc>
          <w:tcPr>
            <w:tcW w:w="1890" w:type="dxa"/>
            <w:tcBorders>
              <w:top w:val="nil"/>
              <w:left w:val="single" w:color="auto" w:sz="8" w:space="0"/>
              <w:bottom w:val="nil"/>
              <w:right w:val="single" w:color="auto" w:sz="8" w:space="0"/>
            </w:tcBorders>
            <w:vAlign w:val="bottom"/>
          </w:tcPr>
          <w:p w:rsidRPr="00F26881" w:rsidR="00171DAD" w:rsidP="00171DAD" w:rsidRDefault="00171DAD" w14:paraId="05377B7E" w14:textId="1B59B256">
            <w:pPr>
              <w:jc w:val="center"/>
              <w:rPr>
                <w:sz w:val="22"/>
                <w:szCs w:val="22"/>
              </w:rPr>
            </w:pPr>
            <w:r w:rsidRPr="00F26881">
              <w:rPr>
                <w:sz w:val="22"/>
                <w:szCs w:val="22"/>
              </w:rPr>
              <w:t>-0.063</w:t>
            </w:r>
          </w:p>
        </w:tc>
      </w:tr>
      <w:tr w:rsidRPr="00F26881" w:rsidR="00F26881" w:rsidTr="00087B61" w14:paraId="5F6DD7A1" w14:textId="0813C753">
        <w:trPr>
          <w:trHeight w:val="270"/>
        </w:trPr>
        <w:tc>
          <w:tcPr>
            <w:tcW w:w="2150" w:type="dxa"/>
            <w:tcBorders>
              <w:top w:val="nil"/>
              <w:left w:val="single" w:color="auto" w:sz="8" w:space="0"/>
              <w:bottom w:val="nil"/>
              <w:right w:val="single" w:color="auto" w:sz="4" w:space="0"/>
            </w:tcBorders>
            <w:shd w:val="clear" w:color="auto" w:fill="auto"/>
            <w:vAlign w:val="bottom"/>
          </w:tcPr>
          <w:p w:rsidRPr="00F26881" w:rsidR="00171DAD" w:rsidP="00171DAD" w:rsidRDefault="00171DAD" w14:paraId="0CB3DF9C" w14:textId="2DDFEB24">
            <w:pPr>
              <w:rPr>
                <w:b/>
                <w:bCs/>
                <w:sz w:val="22"/>
                <w:szCs w:val="22"/>
              </w:rPr>
            </w:pPr>
            <w:r w:rsidRPr="00F26881">
              <w:rPr>
                <w:b/>
                <w:bCs/>
                <w:sz w:val="22"/>
                <w:szCs w:val="22"/>
              </w:rPr>
              <w:t>Non-Hispanic Black</w:t>
            </w:r>
          </w:p>
        </w:tc>
        <w:tc>
          <w:tcPr>
            <w:tcW w:w="1980" w:type="dxa"/>
            <w:tcBorders>
              <w:top w:val="nil"/>
              <w:left w:val="single" w:color="auto" w:sz="8" w:space="0"/>
              <w:bottom w:val="nil"/>
              <w:right w:val="single" w:color="auto" w:sz="4" w:space="0"/>
            </w:tcBorders>
            <w:shd w:val="clear" w:color="auto" w:fill="auto"/>
            <w:noWrap/>
            <w:vAlign w:val="bottom"/>
          </w:tcPr>
          <w:p w:rsidRPr="00F26881" w:rsidR="00171DAD" w:rsidP="00171DAD" w:rsidRDefault="00171DAD" w14:paraId="4046B760" w14:textId="0A86CCBE">
            <w:pPr>
              <w:jc w:val="center"/>
              <w:rPr>
                <w:b/>
                <w:bCs/>
                <w:sz w:val="22"/>
                <w:szCs w:val="22"/>
              </w:rPr>
            </w:pPr>
            <w:r w:rsidRPr="00F26881">
              <w:rPr>
                <w:sz w:val="22"/>
                <w:szCs w:val="22"/>
              </w:rPr>
              <w:t>0.064</w:t>
            </w:r>
          </w:p>
        </w:tc>
        <w:tc>
          <w:tcPr>
            <w:tcW w:w="1980" w:type="dxa"/>
            <w:tcBorders>
              <w:top w:val="nil"/>
              <w:left w:val="single" w:color="auto" w:sz="8" w:space="0"/>
              <w:bottom w:val="nil"/>
              <w:right w:val="single" w:color="auto" w:sz="8" w:space="0"/>
            </w:tcBorders>
            <w:shd w:val="clear" w:color="auto" w:fill="auto"/>
            <w:noWrap/>
            <w:vAlign w:val="bottom"/>
          </w:tcPr>
          <w:p w:rsidRPr="00F26881" w:rsidR="00171DAD" w:rsidP="00171DAD" w:rsidRDefault="00171DAD" w14:paraId="1AB651D3" w14:textId="24078DEF">
            <w:pPr>
              <w:jc w:val="center"/>
              <w:rPr>
                <w:b/>
                <w:bCs/>
                <w:sz w:val="22"/>
                <w:szCs w:val="22"/>
              </w:rPr>
            </w:pPr>
            <w:r w:rsidRPr="00F26881">
              <w:rPr>
                <w:sz w:val="22"/>
                <w:szCs w:val="22"/>
              </w:rPr>
              <w:t>0.059</w:t>
            </w:r>
          </w:p>
        </w:tc>
        <w:tc>
          <w:tcPr>
            <w:tcW w:w="1980" w:type="dxa"/>
            <w:tcBorders>
              <w:top w:val="nil"/>
              <w:left w:val="single" w:color="auto" w:sz="8" w:space="0"/>
              <w:bottom w:val="nil"/>
              <w:right w:val="single" w:color="auto" w:sz="8" w:space="0"/>
            </w:tcBorders>
            <w:shd w:val="clear" w:color="auto" w:fill="auto"/>
            <w:vAlign w:val="bottom"/>
          </w:tcPr>
          <w:p w:rsidRPr="00F26881" w:rsidR="00171DAD" w:rsidP="00171DAD" w:rsidRDefault="00171DAD" w14:paraId="70CD3369" w14:textId="7D1C14D4">
            <w:pPr>
              <w:jc w:val="center"/>
              <w:rPr>
                <w:sz w:val="22"/>
                <w:szCs w:val="22"/>
              </w:rPr>
            </w:pPr>
            <w:r w:rsidRPr="00F26881">
              <w:rPr>
                <w:sz w:val="22"/>
                <w:szCs w:val="22"/>
              </w:rPr>
              <w:t>0.051</w:t>
            </w:r>
          </w:p>
        </w:tc>
        <w:tc>
          <w:tcPr>
            <w:tcW w:w="1890" w:type="dxa"/>
            <w:tcBorders>
              <w:top w:val="nil"/>
              <w:left w:val="single" w:color="auto" w:sz="8" w:space="0"/>
              <w:bottom w:val="nil"/>
              <w:right w:val="single" w:color="auto" w:sz="8" w:space="0"/>
            </w:tcBorders>
            <w:vAlign w:val="bottom"/>
          </w:tcPr>
          <w:p w:rsidRPr="00F26881" w:rsidR="00171DAD" w:rsidP="00171DAD" w:rsidRDefault="00171DAD" w14:paraId="7A314FBA" w14:textId="5B1B4E21">
            <w:pPr>
              <w:jc w:val="center"/>
              <w:rPr>
                <w:sz w:val="22"/>
                <w:szCs w:val="22"/>
              </w:rPr>
            </w:pPr>
            <w:r w:rsidRPr="00F26881">
              <w:rPr>
                <w:sz w:val="22"/>
                <w:szCs w:val="22"/>
              </w:rPr>
              <w:t>0.045</w:t>
            </w:r>
          </w:p>
        </w:tc>
      </w:tr>
      <w:tr w:rsidRPr="00F26881" w:rsidR="00F26881" w:rsidTr="00087B61" w14:paraId="28DCC729" w14:textId="17C8953A">
        <w:trPr>
          <w:trHeight w:val="270"/>
        </w:trPr>
        <w:tc>
          <w:tcPr>
            <w:tcW w:w="2150" w:type="dxa"/>
            <w:tcBorders>
              <w:top w:val="nil"/>
              <w:left w:val="single" w:color="auto" w:sz="8" w:space="0"/>
              <w:bottom w:val="nil"/>
              <w:right w:val="single" w:color="auto" w:sz="4" w:space="0"/>
            </w:tcBorders>
            <w:shd w:val="clear" w:color="auto" w:fill="auto"/>
            <w:vAlign w:val="bottom"/>
          </w:tcPr>
          <w:p w:rsidRPr="00F26881" w:rsidR="00171DAD" w:rsidP="00171DAD" w:rsidRDefault="00171DAD" w14:paraId="1B765825" w14:textId="024C850C">
            <w:pPr>
              <w:rPr>
                <w:b/>
                <w:bCs/>
                <w:sz w:val="22"/>
                <w:szCs w:val="22"/>
              </w:rPr>
            </w:pPr>
            <w:r w:rsidRPr="00F26881">
              <w:rPr>
                <w:b/>
                <w:bCs/>
                <w:sz w:val="22"/>
                <w:szCs w:val="22"/>
              </w:rPr>
              <w:t>Non-Hispanic Other</w:t>
            </w:r>
          </w:p>
        </w:tc>
        <w:tc>
          <w:tcPr>
            <w:tcW w:w="1980" w:type="dxa"/>
            <w:tcBorders>
              <w:top w:val="nil"/>
              <w:left w:val="single" w:color="auto" w:sz="8" w:space="0"/>
              <w:bottom w:val="nil"/>
              <w:right w:val="single" w:color="auto" w:sz="4" w:space="0"/>
            </w:tcBorders>
            <w:shd w:val="clear" w:color="auto" w:fill="auto"/>
            <w:noWrap/>
            <w:vAlign w:val="bottom"/>
          </w:tcPr>
          <w:p w:rsidRPr="00F26881" w:rsidR="00171DAD" w:rsidP="00171DAD" w:rsidRDefault="00171DAD" w14:paraId="40D7C512" w14:textId="471078D3">
            <w:pPr>
              <w:jc w:val="center"/>
              <w:rPr>
                <w:b/>
                <w:bCs/>
                <w:sz w:val="22"/>
                <w:szCs w:val="22"/>
              </w:rPr>
            </w:pPr>
            <w:r w:rsidRPr="00F26881">
              <w:rPr>
                <w:sz w:val="22"/>
                <w:szCs w:val="22"/>
              </w:rPr>
              <w:t>0.051</w:t>
            </w:r>
          </w:p>
        </w:tc>
        <w:tc>
          <w:tcPr>
            <w:tcW w:w="1980" w:type="dxa"/>
            <w:tcBorders>
              <w:top w:val="nil"/>
              <w:left w:val="single" w:color="auto" w:sz="8" w:space="0"/>
              <w:bottom w:val="nil"/>
              <w:right w:val="single" w:color="auto" w:sz="8" w:space="0"/>
            </w:tcBorders>
            <w:shd w:val="clear" w:color="auto" w:fill="auto"/>
            <w:noWrap/>
            <w:vAlign w:val="bottom"/>
          </w:tcPr>
          <w:p w:rsidRPr="00F26881" w:rsidR="00171DAD" w:rsidP="00171DAD" w:rsidRDefault="00171DAD" w14:paraId="2943CB58" w14:textId="65323F39">
            <w:pPr>
              <w:jc w:val="center"/>
              <w:rPr>
                <w:b/>
                <w:bCs/>
                <w:sz w:val="22"/>
                <w:szCs w:val="22"/>
              </w:rPr>
            </w:pPr>
            <w:r w:rsidRPr="00F26881">
              <w:rPr>
                <w:sz w:val="22"/>
                <w:szCs w:val="22"/>
              </w:rPr>
              <w:t>0.047</w:t>
            </w:r>
          </w:p>
        </w:tc>
        <w:tc>
          <w:tcPr>
            <w:tcW w:w="1980" w:type="dxa"/>
            <w:tcBorders>
              <w:top w:val="nil"/>
              <w:left w:val="single" w:color="auto" w:sz="8" w:space="0"/>
              <w:bottom w:val="nil"/>
              <w:right w:val="single" w:color="auto" w:sz="8" w:space="0"/>
            </w:tcBorders>
            <w:shd w:val="clear" w:color="auto" w:fill="auto"/>
            <w:vAlign w:val="bottom"/>
          </w:tcPr>
          <w:p w:rsidRPr="00F26881" w:rsidR="00171DAD" w:rsidP="00171DAD" w:rsidRDefault="00171DAD" w14:paraId="5558FD87" w14:textId="3957FB5B">
            <w:pPr>
              <w:jc w:val="center"/>
              <w:rPr>
                <w:sz w:val="22"/>
                <w:szCs w:val="22"/>
              </w:rPr>
            </w:pPr>
            <w:r w:rsidRPr="00F26881">
              <w:rPr>
                <w:sz w:val="22"/>
                <w:szCs w:val="22"/>
              </w:rPr>
              <w:t>0.041</w:t>
            </w:r>
          </w:p>
        </w:tc>
        <w:tc>
          <w:tcPr>
            <w:tcW w:w="1890" w:type="dxa"/>
            <w:tcBorders>
              <w:top w:val="nil"/>
              <w:left w:val="single" w:color="auto" w:sz="8" w:space="0"/>
              <w:bottom w:val="nil"/>
              <w:right w:val="single" w:color="auto" w:sz="8" w:space="0"/>
            </w:tcBorders>
            <w:vAlign w:val="bottom"/>
          </w:tcPr>
          <w:p w:rsidRPr="00F26881" w:rsidR="00171DAD" w:rsidP="00171DAD" w:rsidRDefault="00171DAD" w14:paraId="5355859B" w14:textId="41912D5E">
            <w:pPr>
              <w:jc w:val="center"/>
              <w:rPr>
                <w:sz w:val="22"/>
                <w:szCs w:val="22"/>
              </w:rPr>
            </w:pPr>
            <w:r w:rsidRPr="00F26881">
              <w:rPr>
                <w:sz w:val="22"/>
                <w:szCs w:val="22"/>
              </w:rPr>
              <w:t>0.036</w:t>
            </w:r>
          </w:p>
        </w:tc>
      </w:tr>
      <w:tr w:rsidRPr="00F26881" w:rsidR="00F26881" w:rsidTr="00087B61" w14:paraId="2EB427DA" w14:textId="0B516824">
        <w:trPr>
          <w:trHeight w:val="270"/>
        </w:trPr>
        <w:tc>
          <w:tcPr>
            <w:tcW w:w="2150" w:type="dxa"/>
            <w:tcBorders>
              <w:top w:val="nil"/>
              <w:left w:val="single" w:color="auto" w:sz="8" w:space="0"/>
              <w:bottom w:val="single" w:color="auto" w:sz="8" w:space="0"/>
              <w:right w:val="single" w:color="auto" w:sz="4" w:space="0"/>
            </w:tcBorders>
            <w:shd w:val="clear" w:color="auto" w:fill="auto"/>
            <w:vAlign w:val="bottom"/>
          </w:tcPr>
          <w:p w:rsidRPr="00F26881" w:rsidR="00171DAD" w:rsidP="00171DAD" w:rsidRDefault="00171DAD" w14:paraId="334EF70F" w14:textId="4C98BCFB">
            <w:pPr>
              <w:rPr>
                <w:b/>
                <w:bCs/>
                <w:sz w:val="22"/>
                <w:szCs w:val="22"/>
              </w:rPr>
            </w:pPr>
            <w:r w:rsidRPr="00F26881">
              <w:rPr>
                <w:b/>
                <w:bCs/>
                <w:sz w:val="22"/>
                <w:szCs w:val="22"/>
              </w:rPr>
              <w:t>Hispanic</w:t>
            </w:r>
          </w:p>
        </w:tc>
        <w:tc>
          <w:tcPr>
            <w:tcW w:w="1980" w:type="dxa"/>
            <w:tcBorders>
              <w:top w:val="nil"/>
              <w:left w:val="single" w:color="auto" w:sz="8" w:space="0"/>
              <w:bottom w:val="single" w:color="auto" w:sz="8" w:space="0"/>
              <w:right w:val="single" w:color="auto" w:sz="4" w:space="0"/>
            </w:tcBorders>
            <w:shd w:val="clear" w:color="auto" w:fill="auto"/>
            <w:noWrap/>
            <w:vAlign w:val="bottom"/>
          </w:tcPr>
          <w:p w:rsidRPr="00F26881" w:rsidR="00171DAD" w:rsidP="00171DAD" w:rsidRDefault="00171DAD" w14:paraId="0AE8332F" w14:textId="182704C2">
            <w:pPr>
              <w:jc w:val="center"/>
              <w:rPr>
                <w:b/>
                <w:bCs/>
                <w:sz w:val="22"/>
                <w:szCs w:val="22"/>
              </w:rPr>
            </w:pPr>
            <w:r w:rsidRPr="00F26881">
              <w:rPr>
                <w:sz w:val="22"/>
                <w:szCs w:val="22"/>
              </w:rPr>
              <w:t>0.072</w:t>
            </w:r>
          </w:p>
        </w:tc>
        <w:tc>
          <w:tcPr>
            <w:tcW w:w="1980" w:type="dxa"/>
            <w:tcBorders>
              <w:top w:val="nil"/>
              <w:left w:val="single" w:color="auto" w:sz="8" w:space="0"/>
              <w:bottom w:val="single" w:color="auto" w:sz="8" w:space="0"/>
              <w:right w:val="single" w:color="auto" w:sz="8" w:space="0"/>
            </w:tcBorders>
            <w:shd w:val="clear" w:color="auto" w:fill="auto"/>
            <w:noWrap/>
            <w:vAlign w:val="bottom"/>
          </w:tcPr>
          <w:p w:rsidRPr="00F26881" w:rsidR="00171DAD" w:rsidP="00171DAD" w:rsidRDefault="00171DAD" w14:paraId="4F69F3A0" w14:textId="699993D2">
            <w:pPr>
              <w:jc w:val="center"/>
              <w:rPr>
                <w:b/>
                <w:bCs/>
                <w:sz w:val="22"/>
                <w:szCs w:val="22"/>
              </w:rPr>
            </w:pPr>
            <w:r w:rsidRPr="00F26881">
              <w:rPr>
                <w:sz w:val="22"/>
                <w:szCs w:val="22"/>
              </w:rPr>
              <w:t>0.066</w:t>
            </w:r>
          </w:p>
        </w:tc>
        <w:tc>
          <w:tcPr>
            <w:tcW w:w="1980" w:type="dxa"/>
            <w:tcBorders>
              <w:top w:val="nil"/>
              <w:left w:val="single" w:color="auto" w:sz="8" w:space="0"/>
              <w:bottom w:val="single" w:color="auto" w:sz="8" w:space="0"/>
              <w:right w:val="single" w:color="auto" w:sz="8" w:space="0"/>
            </w:tcBorders>
            <w:shd w:val="clear" w:color="auto" w:fill="auto"/>
            <w:vAlign w:val="bottom"/>
          </w:tcPr>
          <w:p w:rsidRPr="00F26881" w:rsidR="00171DAD" w:rsidP="00171DAD" w:rsidRDefault="00171DAD" w14:paraId="572340A9" w14:textId="7F52B316">
            <w:pPr>
              <w:jc w:val="center"/>
              <w:rPr>
                <w:sz w:val="22"/>
                <w:szCs w:val="22"/>
              </w:rPr>
            </w:pPr>
            <w:r w:rsidRPr="00F26881">
              <w:rPr>
                <w:sz w:val="22"/>
                <w:szCs w:val="22"/>
              </w:rPr>
              <w:t>0.058</w:t>
            </w:r>
          </w:p>
        </w:tc>
        <w:tc>
          <w:tcPr>
            <w:tcW w:w="1890" w:type="dxa"/>
            <w:tcBorders>
              <w:top w:val="nil"/>
              <w:left w:val="single" w:color="auto" w:sz="8" w:space="0"/>
              <w:bottom w:val="single" w:color="auto" w:sz="8" w:space="0"/>
              <w:right w:val="single" w:color="auto" w:sz="8" w:space="0"/>
            </w:tcBorders>
            <w:vAlign w:val="bottom"/>
          </w:tcPr>
          <w:p w:rsidRPr="00F26881" w:rsidR="00171DAD" w:rsidP="00171DAD" w:rsidRDefault="00171DAD" w14:paraId="2114369B" w14:textId="79863FC5">
            <w:pPr>
              <w:jc w:val="center"/>
              <w:rPr>
                <w:sz w:val="22"/>
                <w:szCs w:val="22"/>
              </w:rPr>
            </w:pPr>
            <w:r w:rsidRPr="00F26881">
              <w:rPr>
                <w:sz w:val="22"/>
                <w:szCs w:val="22"/>
              </w:rPr>
              <w:t>0.051</w:t>
            </w:r>
          </w:p>
        </w:tc>
      </w:tr>
    </w:tbl>
    <w:p w:rsidRPr="00F26881" w:rsidR="008B1081" w:rsidP="008B1081" w:rsidRDefault="008B1081" w14:paraId="137B35DD" w14:textId="77777777">
      <w:pPr>
        <w:spacing w:before="120" w:after="240"/>
        <w:jc w:val="both"/>
        <w:rPr>
          <w:sz w:val="20"/>
          <w:szCs w:val="20"/>
        </w:rPr>
      </w:pPr>
      <w:bookmarkStart w:name="_Hlk18581432" w:id="9"/>
      <w:r w:rsidRPr="00F26881">
        <w:rPr>
          <w:sz w:val="20"/>
          <w:szCs w:val="20"/>
        </w:rPr>
        <w:t>* Minimal detectable differences in the table represent actual changes in rates. Percentages are presented in the paragraph above.</w:t>
      </w:r>
    </w:p>
    <w:bookmarkEnd w:id="9"/>
    <w:p w:rsidRPr="00F26881" w:rsidR="00601463" w:rsidRDefault="00601463" w14:paraId="6FD1762D" w14:textId="77777777">
      <w:pPr>
        <w:rPr>
          <w:b/>
          <w:i/>
        </w:rPr>
      </w:pPr>
      <w:r w:rsidRPr="00F26881">
        <w:rPr>
          <w:b/>
          <w:i/>
        </w:rPr>
        <w:br w:type="page"/>
      </w:r>
    </w:p>
    <w:p w:rsidRPr="00F26881" w:rsidR="008B1081" w:rsidRDefault="00921D94" w14:paraId="391270B9" w14:textId="3922317E">
      <w:pPr>
        <w:rPr>
          <w:b/>
          <w:iCs/>
        </w:rPr>
      </w:pPr>
      <w:r w:rsidRPr="00F26881">
        <w:rPr>
          <w:b/>
          <w:i/>
        </w:rPr>
        <w:lastRenderedPageBreak/>
        <w:t>Summary</w:t>
      </w:r>
      <w:r w:rsidRPr="00F26881" w:rsidR="003B5A19">
        <w:rPr>
          <w:b/>
          <w:i/>
        </w:rPr>
        <w:t xml:space="preserve"> of Power Analysis Results</w:t>
      </w:r>
      <w:r w:rsidRPr="00F26881">
        <w:rPr>
          <w:b/>
          <w:iCs/>
        </w:rPr>
        <w:t>:</w:t>
      </w:r>
    </w:p>
    <w:p w:rsidRPr="00F26881" w:rsidR="003B5A19" w:rsidRDefault="003B5A19" w14:paraId="62C2B783" w14:textId="1B09BF34">
      <w:pPr>
        <w:rPr>
          <w:b/>
          <w:iCs/>
        </w:rPr>
      </w:pPr>
    </w:p>
    <w:p w:rsidRPr="00F26881" w:rsidR="00171C91" w:rsidP="00171C91" w:rsidRDefault="00171C91" w14:paraId="13C37C91" w14:textId="3768E2F7">
      <w:pPr>
        <w:spacing w:after="240"/>
        <w:ind w:firstLine="720"/>
      </w:pPr>
      <w:r w:rsidRPr="00F26881">
        <w:t xml:space="preserve">Focusing on the MDDs for </w:t>
      </w:r>
      <w:r w:rsidRPr="00F26881">
        <w:rPr>
          <w:rFonts w:cstheme="minorHAnsi"/>
        </w:rPr>
        <w:t xml:space="preserve">marginal mean differences, </w:t>
      </w:r>
      <w:r w:rsidRPr="00F26881">
        <w:t>an increase of approximately 5% for either the screening or interview response rate will be considered meaningful. The sample and experimental design will be able to detect differences in SRRs between incentive conditions of at least 4.7% and differences in IRRs of at least 5.2% with 80% power</w:t>
      </w:r>
      <w:r w:rsidRPr="00F26881" w:rsidR="00B0543A">
        <w:t xml:space="preserve"> and assuming alpha is 0.05</w:t>
      </w:r>
      <w:r w:rsidRPr="00F26881">
        <w:t xml:space="preserve">. As a result, observed differences between incentive conditions that are at, or above, these differences in rates will be interpreted as statistically significant and meaningfully different. For the demographic composition of screened SDUs, households offered the $5 screening incentive compared to those not offered the screening incentive, if one or more of the demographic characteristics (1) differs significantly between the no incentive and $5 incentive condition and (2) the estimate from the $5 incentive condition is closer to American Community Survey (ACS) estimates, these differences will also interpreted as statistically significant and meaningfully different. For age groups, </w:t>
      </w:r>
      <w:r w:rsidRPr="00F26881">
        <w:rPr>
          <w:rFonts w:cstheme="minorHAnsi"/>
        </w:rPr>
        <w:t xml:space="preserve">marginal mean </w:t>
      </w:r>
      <w:r w:rsidRPr="00F26881">
        <w:t xml:space="preserve">differences ranging from </w:t>
      </w:r>
      <w:r w:rsidRPr="00F26881" w:rsidR="00C53C9C">
        <w:t xml:space="preserve">1.8% to </w:t>
      </w:r>
      <w:r w:rsidRPr="00F26881">
        <w:t>4</w:t>
      </w:r>
      <w:r w:rsidRPr="00F26881" w:rsidR="00C53C9C">
        <w:t>.</w:t>
      </w:r>
      <w:r w:rsidRPr="00F26881" w:rsidR="003C7C45">
        <w:t>0</w:t>
      </w:r>
      <w:r w:rsidRPr="00F26881" w:rsidR="00C53C9C">
        <w:t>%</w:t>
      </w:r>
      <w:r w:rsidRPr="00F26881">
        <w:t xml:space="preserve"> would be detectable as statistically significant. For gender, a </w:t>
      </w:r>
      <w:r w:rsidRPr="00F26881">
        <w:rPr>
          <w:rFonts w:cstheme="minorHAnsi"/>
        </w:rPr>
        <w:t xml:space="preserve">marginal mean </w:t>
      </w:r>
      <w:r w:rsidRPr="00F26881">
        <w:t>difference of</w:t>
      </w:r>
      <w:r w:rsidRPr="00F26881" w:rsidR="00C53C9C">
        <w:t xml:space="preserve"> </w:t>
      </w:r>
      <w:r w:rsidRPr="00F26881">
        <w:t>3</w:t>
      </w:r>
      <w:r w:rsidRPr="00F26881" w:rsidR="00C53C9C">
        <w:t>.</w:t>
      </w:r>
      <w:r w:rsidRPr="00F26881">
        <w:t>3</w:t>
      </w:r>
      <w:r w:rsidRPr="00F26881" w:rsidR="00C53C9C">
        <w:t>%</w:t>
      </w:r>
      <w:r w:rsidRPr="00F26881">
        <w:t xml:space="preserve"> would be statistically significant. For race/ethnicity, </w:t>
      </w:r>
      <w:r w:rsidRPr="00F26881">
        <w:rPr>
          <w:rFonts w:cstheme="minorHAnsi"/>
        </w:rPr>
        <w:t xml:space="preserve">marginal mean </w:t>
      </w:r>
      <w:r w:rsidRPr="00F26881">
        <w:t>differences ranging from 2</w:t>
      </w:r>
      <w:r w:rsidRPr="00F26881" w:rsidR="00FF7691">
        <w:t>.</w:t>
      </w:r>
      <w:r w:rsidRPr="00F26881">
        <w:t>8</w:t>
      </w:r>
      <w:r w:rsidRPr="00F26881" w:rsidR="00FF7691">
        <w:t>%</w:t>
      </w:r>
      <w:r w:rsidRPr="00F26881">
        <w:t xml:space="preserve"> to 5</w:t>
      </w:r>
      <w:r w:rsidRPr="00F26881" w:rsidR="00FF7691">
        <w:t>.</w:t>
      </w:r>
      <w:r w:rsidRPr="00F26881">
        <w:t>0</w:t>
      </w:r>
      <w:r w:rsidRPr="00F26881" w:rsidR="00FF7691">
        <w:t>%</w:t>
      </w:r>
      <w:r w:rsidRPr="00F26881">
        <w:t xml:space="preserve"> would be statistically significant.</w:t>
      </w:r>
    </w:p>
    <w:p w:rsidRPr="00F26881" w:rsidR="00171C91" w:rsidP="00171C91" w:rsidRDefault="00171C91" w14:paraId="4D8E70DC" w14:textId="4C586E82">
      <w:pPr>
        <w:spacing w:after="240"/>
        <w:ind w:firstLine="720"/>
      </w:pPr>
      <w:r w:rsidRPr="00F26881">
        <w:rPr>
          <w:rFonts w:cstheme="minorHAnsi"/>
        </w:rPr>
        <w:t xml:space="preserve">The sample size implemented, the alpha levels used in the analysis, and the significance (or lack thereof) of the interaction between the screening and interview incentives will determine the actual MDDs when comparing outcomes across experimental conditions. As shown in the tables providing the power calculations for conditional mean </w:t>
      </w:r>
      <w:r w:rsidRPr="00F26881">
        <w:t xml:space="preserve">differences, if </w:t>
      </w:r>
      <w:r w:rsidRPr="00F26881">
        <w:rPr>
          <w:rFonts w:cstheme="minorHAnsi"/>
        </w:rPr>
        <w:t xml:space="preserve">the interaction between the screening and interview incentives is significant, this effectively reduces the sample size by half. In this case, the MDDs that can be </w:t>
      </w:r>
      <w:r w:rsidRPr="00F26881">
        <w:t>interpreted as statistically significant and meaningfully different</w:t>
      </w:r>
      <w:r w:rsidRPr="00F26881">
        <w:rPr>
          <w:rFonts w:cstheme="minorHAnsi"/>
        </w:rPr>
        <w:t xml:space="preserve"> will be higher.</w:t>
      </w:r>
    </w:p>
    <w:p w:rsidRPr="00F26881" w:rsidR="00756572" w:rsidRDefault="00756572" w14:paraId="5FF8FAD7" w14:textId="77777777">
      <w:pPr>
        <w:rPr>
          <w:b/>
          <w:iCs/>
        </w:rPr>
      </w:pPr>
    </w:p>
    <w:p w:rsidRPr="00F26881" w:rsidR="003B5A19" w:rsidRDefault="003B5A19" w14:paraId="205BE6C7" w14:textId="77777777">
      <w:pPr>
        <w:rPr>
          <w:b/>
          <w:i/>
        </w:rPr>
      </w:pPr>
    </w:p>
    <w:p w:rsidRPr="00F26881" w:rsidR="00C13DCC" w:rsidRDefault="00C13DCC" w14:paraId="45040A04" w14:textId="76EE8FE0">
      <w:pPr>
        <w:rPr>
          <w:b/>
          <w:i/>
        </w:rPr>
      </w:pPr>
      <w:r w:rsidRPr="00F26881">
        <w:rPr>
          <w:b/>
          <w:i/>
        </w:rPr>
        <w:br w:type="page"/>
      </w:r>
    </w:p>
    <w:p w:rsidRPr="00F26881" w:rsidR="00120FD8" w:rsidP="00B37BE5" w:rsidRDefault="004C5A98" w14:paraId="631734E8" w14:textId="06706C56">
      <w:pPr>
        <w:pStyle w:val="Heading1"/>
        <w:spacing w:line="360" w:lineRule="auto"/>
        <w:rPr>
          <w:rFonts w:ascii="Times New Roman" w:hAnsi="Times New Roman" w:cs="Times New Roman"/>
          <w:color w:val="auto"/>
        </w:rPr>
      </w:pPr>
      <w:r w:rsidRPr="00F26881">
        <w:rPr>
          <w:rFonts w:ascii="Times New Roman" w:hAnsi="Times New Roman" w:cs="Times New Roman"/>
          <w:b/>
          <w:color w:val="auto"/>
          <w:szCs w:val="24"/>
        </w:rPr>
        <w:lastRenderedPageBreak/>
        <w:t>References</w:t>
      </w:r>
      <w:r w:rsidRPr="00F26881" w:rsidR="00B548E6">
        <w:rPr>
          <w:rFonts w:ascii="Times New Roman" w:hAnsi="Times New Roman" w:cs="Times New Roman"/>
          <w:noProof/>
          <w:color w:val="auto"/>
        </w:rPr>
        <w:fldChar w:fldCharType="begin"/>
      </w:r>
      <w:r w:rsidRPr="00F26881" w:rsidR="00B548E6">
        <w:rPr>
          <w:rFonts w:ascii="Times New Roman" w:hAnsi="Times New Roman" w:cs="Times New Roman"/>
          <w:color w:val="auto"/>
        </w:rPr>
        <w:instrText xml:space="preserve"> ADDIN EN.REFLIST </w:instrText>
      </w:r>
      <w:r w:rsidRPr="00F26881" w:rsidR="00B548E6">
        <w:rPr>
          <w:rFonts w:ascii="Times New Roman" w:hAnsi="Times New Roman" w:cs="Times New Roman"/>
          <w:noProof/>
          <w:color w:val="auto"/>
        </w:rPr>
        <w:fldChar w:fldCharType="separate"/>
      </w:r>
    </w:p>
    <w:p w:rsidRPr="00F26881" w:rsidR="00120FD8" w:rsidP="00120FD8" w:rsidRDefault="00120FD8" w14:paraId="501796B3" w14:textId="77777777">
      <w:pPr>
        <w:pStyle w:val="EndNoteBibliography"/>
      </w:pPr>
      <w:r w:rsidRPr="00F26881">
        <w:t xml:space="preserve">Groves, R. M., Couper, M. P., Presser, S., Singer, E., Tourangeau, R., Acosta, G. P., &amp; Nelson, L. (2006). Experiments in producing nonresponse bias. </w:t>
      </w:r>
      <w:r w:rsidRPr="00F26881">
        <w:rPr>
          <w:i/>
        </w:rPr>
        <w:t>Public Opinion Quarterly, 70</w:t>
      </w:r>
      <w:r w:rsidRPr="00F26881">
        <w:t>(5), 720-736.</w:t>
      </w:r>
    </w:p>
    <w:p w:rsidRPr="00F26881" w:rsidR="00120FD8" w:rsidP="00120FD8" w:rsidRDefault="00120FD8" w14:paraId="33FD3FD9" w14:textId="77777777">
      <w:pPr>
        <w:pStyle w:val="EndNoteBibliography"/>
      </w:pPr>
    </w:p>
    <w:p w:rsidRPr="00F26881" w:rsidR="00120FD8" w:rsidP="00120FD8" w:rsidRDefault="00120FD8" w14:paraId="1587341D" w14:textId="77777777">
      <w:pPr>
        <w:pStyle w:val="EndNoteBibliography"/>
      </w:pPr>
      <w:r w:rsidRPr="00F26881">
        <w:t xml:space="preserve">Groves, R. M., Presser, S., &amp; Dipko, S. (2004). The role of topic interest in survey participation decisions. </w:t>
      </w:r>
      <w:r w:rsidRPr="00F26881">
        <w:rPr>
          <w:i/>
        </w:rPr>
        <w:t>Public Opinion Quarterly, 68</w:t>
      </w:r>
      <w:r w:rsidRPr="00F26881">
        <w:t>(1), 2-31.</w:t>
      </w:r>
    </w:p>
    <w:p w:rsidRPr="00F26881" w:rsidR="00120FD8" w:rsidP="00120FD8" w:rsidRDefault="00120FD8" w14:paraId="7EE6EC90" w14:textId="77777777">
      <w:pPr>
        <w:pStyle w:val="EndNoteBibliography"/>
      </w:pPr>
    </w:p>
    <w:p w:rsidRPr="00F26881" w:rsidR="00120FD8" w:rsidP="00120FD8" w:rsidRDefault="00120FD8" w14:paraId="7C0E3AB5" w14:textId="77777777">
      <w:pPr>
        <w:pStyle w:val="EndNoteBibliography"/>
      </w:pPr>
      <w:r w:rsidRPr="00F26881">
        <w:t xml:space="preserve">Groves, R. M., Singer, E., &amp; Corning, A. (2000). Leverage-saliency theory of survey participation - Description and an illustration. </w:t>
      </w:r>
      <w:r w:rsidRPr="00F26881">
        <w:rPr>
          <w:i/>
        </w:rPr>
        <w:t>Public Opinion Quarterly, 64</w:t>
      </w:r>
      <w:r w:rsidRPr="00F26881">
        <w:t>(3), 299-308.</w:t>
      </w:r>
    </w:p>
    <w:p w:rsidRPr="00F26881" w:rsidR="00120FD8" w:rsidP="00120FD8" w:rsidRDefault="00120FD8" w14:paraId="48EF2F42" w14:textId="77777777">
      <w:pPr>
        <w:autoSpaceDE w:val="0"/>
        <w:autoSpaceDN w:val="0"/>
        <w:adjustRightInd w:val="0"/>
      </w:pPr>
    </w:p>
    <w:p w:rsidRPr="00F26881" w:rsidR="005366F7" w:rsidP="00120FD8" w:rsidRDefault="005366F7" w14:paraId="2F283D6D" w14:textId="03D6049F">
      <w:pPr>
        <w:autoSpaceDE w:val="0"/>
        <w:autoSpaceDN w:val="0"/>
        <w:adjustRightInd w:val="0"/>
      </w:pPr>
      <w:r w:rsidRPr="00F26881">
        <w:t xml:space="preserve">Singer, E., &amp; Ye, C. (2013). The use and effects of incentives in surveys. </w:t>
      </w:r>
      <w:r w:rsidRPr="00F26881" w:rsidR="00983803">
        <w:rPr>
          <w:i/>
          <w:iCs/>
        </w:rPr>
        <w:t xml:space="preserve">The </w:t>
      </w:r>
      <w:r w:rsidRPr="00F26881">
        <w:rPr>
          <w:i/>
          <w:iCs/>
        </w:rPr>
        <w:t>Annals of the American Academy of Political and Social Science, 645</w:t>
      </w:r>
      <w:r w:rsidRPr="00F26881">
        <w:t>, 112–141.</w:t>
      </w:r>
    </w:p>
    <w:p w:rsidRPr="00F26881" w:rsidR="005366F7" w:rsidP="00120FD8" w:rsidRDefault="005366F7" w14:paraId="5EF78073" w14:textId="77777777">
      <w:pPr>
        <w:autoSpaceDE w:val="0"/>
        <w:autoSpaceDN w:val="0"/>
        <w:adjustRightInd w:val="0"/>
      </w:pPr>
    </w:p>
    <w:p w:rsidRPr="00F26881" w:rsidR="00120FD8" w:rsidP="00120FD8" w:rsidRDefault="00120FD8" w14:paraId="1AF4DA69" w14:textId="6213DD93">
      <w:pPr>
        <w:autoSpaceDE w:val="0"/>
        <w:autoSpaceDN w:val="0"/>
        <w:adjustRightInd w:val="0"/>
      </w:pPr>
      <w:r w:rsidRPr="00F26881">
        <w:t xml:space="preserve">Williams, D., &amp; Brick, M. (2018). Trends in U.S. face-to-face household survey nonresponse and level of effort. </w:t>
      </w:r>
      <w:r w:rsidRPr="00F26881">
        <w:rPr>
          <w:i/>
        </w:rPr>
        <w:t>Journal of Survey Statistics and Methodology, 6</w:t>
      </w:r>
      <w:r w:rsidRPr="00F26881">
        <w:t>, 186-211.</w:t>
      </w:r>
    </w:p>
    <w:p w:rsidRPr="00F26881" w:rsidR="00120FD8" w:rsidP="00DC7BA5" w:rsidRDefault="00120FD8" w14:paraId="4867C5AF" w14:textId="77777777">
      <w:pPr>
        <w:pStyle w:val="EndNoteBibliography"/>
        <w:spacing w:line="360" w:lineRule="auto"/>
        <w:ind w:left="720" w:hanging="720"/>
        <w:jc w:val="left"/>
      </w:pPr>
    </w:p>
    <w:p w:rsidRPr="00F26881" w:rsidR="00FC120F" w:rsidP="00864C1F" w:rsidRDefault="00B548E6" w14:paraId="6C227578" w14:textId="6C3B860B">
      <w:pPr>
        <w:spacing w:line="360" w:lineRule="auto"/>
      </w:pPr>
      <w:r w:rsidRPr="00F26881">
        <w:fldChar w:fldCharType="end"/>
      </w:r>
    </w:p>
    <w:sectPr w:rsidRPr="00F26881" w:rsidR="00FC120F" w:rsidSect="00C803F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F24C7" w14:textId="77777777" w:rsidR="008C2F0B" w:rsidRDefault="008C2F0B" w:rsidP="007570F6">
      <w:r>
        <w:separator/>
      </w:r>
    </w:p>
  </w:endnote>
  <w:endnote w:type="continuationSeparator" w:id="0">
    <w:p w14:paraId="16F0CC3A" w14:textId="77777777" w:rsidR="008C2F0B" w:rsidRDefault="008C2F0B" w:rsidP="0075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3181965"/>
      <w:docPartObj>
        <w:docPartGallery w:val="Page Numbers (Bottom of Page)"/>
        <w:docPartUnique/>
      </w:docPartObj>
    </w:sdtPr>
    <w:sdtEndPr>
      <w:rPr>
        <w:rFonts w:asciiTheme="minorHAnsi" w:hAnsiTheme="minorHAnsi" w:cstheme="minorHAnsi"/>
        <w:noProof/>
      </w:rPr>
    </w:sdtEndPr>
    <w:sdtContent>
      <w:p w14:paraId="74545EAD" w14:textId="264231DE" w:rsidR="007C7CE8" w:rsidRPr="004D0274" w:rsidRDefault="007C7CE8">
        <w:pPr>
          <w:pStyle w:val="Footer"/>
          <w:jc w:val="center"/>
          <w:rPr>
            <w:rFonts w:asciiTheme="minorHAnsi" w:hAnsiTheme="minorHAnsi" w:cstheme="minorHAnsi"/>
          </w:rPr>
        </w:pPr>
        <w:r w:rsidRPr="00C01E5B">
          <w:fldChar w:fldCharType="begin"/>
        </w:r>
        <w:r w:rsidRPr="00332D84">
          <w:instrText xml:space="preserve"> PAGE   \* MERGEFORMAT </w:instrText>
        </w:r>
        <w:r w:rsidRPr="00C01E5B">
          <w:fldChar w:fldCharType="separate"/>
        </w:r>
        <w:r w:rsidRPr="00332D84">
          <w:rPr>
            <w:noProof/>
          </w:rPr>
          <w:t>1</w:t>
        </w:r>
        <w:r w:rsidRPr="00C01E5B">
          <w:rPr>
            <w:noProof/>
          </w:rPr>
          <w:fldChar w:fldCharType="end"/>
        </w:r>
      </w:p>
    </w:sdtContent>
  </w:sdt>
  <w:p w14:paraId="63C11273" w14:textId="77777777" w:rsidR="007C7CE8" w:rsidRDefault="007C7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F67388" w14:textId="77777777" w:rsidR="008C2F0B" w:rsidRDefault="008C2F0B" w:rsidP="007570F6">
      <w:r>
        <w:separator/>
      </w:r>
    </w:p>
  </w:footnote>
  <w:footnote w:type="continuationSeparator" w:id="0">
    <w:p w14:paraId="5B6B01EB" w14:textId="77777777" w:rsidR="008C2F0B" w:rsidRDefault="008C2F0B" w:rsidP="007570F6">
      <w:r>
        <w:continuationSeparator/>
      </w:r>
    </w:p>
  </w:footnote>
  <w:footnote w:id="1">
    <w:p w14:paraId="27DA6851" w14:textId="312FBD9C" w:rsidR="007C7CE8" w:rsidRDefault="007C7CE8">
      <w:pPr>
        <w:pStyle w:val="FootnoteText"/>
      </w:pPr>
      <w:r>
        <w:rPr>
          <w:rStyle w:val="FootnoteReference"/>
        </w:rPr>
        <w:footnoteRef/>
      </w:r>
      <w:r>
        <w:t xml:space="preserve"> </w:t>
      </w:r>
      <w:r w:rsidRPr="005D0465">
        <w:rPr>
          <w:rFonts w:ascii="Times New Roman" w:hAnsi="Times New Roman" w:cs="Times New Roman"/>
        </w:rPr>
        <w:t>Given that s</w:t>
      </w:r>
      <w:r>
        <w:rPr>
          <w:rFonts w:ascii="Times New Roman" w:hAnsi="Times New Roman" w:cs="Times New Roman"/>
        </w:rPr>
        <w:t xml:space="preserve">ampled </w:t>
      </w:r>
      <w:r w:rsidRPr="005D0465">
        <w:rPr>
          <w:rFonts w:ascii="Times New Roman" w:hAnsi="Times New Roman" w:cs="Times New Roman"/>
        </w:rPr>
        <w:t>NSDUH households are alerted to the interview incentive in an advance letter</w:t>
      </w:r>
      <w:r>
        <w:rPr>
          <w:rFonts w:ascii="Times New Roman" w:hAnsi="Times New Roman" w:cs="Times New Roman"/>
        </w:rPr>
        <w:t xml:space="preserve"> </w:t>
      </w:r>
      <w:r w:rsidRPr="005D0465">
        <w:rPr>
          <w:rFonts w:ascii="Times New Roman" w:hAnsi="Times New Roman" w:cs="Times New Roman"/>
        </w:rPr>
        <w:t xml:space="preserve">and this letter is provided by FIs </w:t>
      </w:r>
      <w:r>
        <w:rPr>
          <w:rFonts w:ascii="Times New Roman" w:hAnsi="Times New Roman" w:cs="Times New Roman"/>
        </w:rPr>
        <w:t>in person t</w:t>
      </w:r>
      <w:r w:rsidRPr="005D0465">
        <w:rPr>
          <w:rFonts w:ascii="Times New Roman" w:hAnsi="Times New Roman" w:cs="Times New Roman"/>
        </w:rPr>
        <w:t>o household</w:t>
      </w:r>
      <w:r>
        <w:rPr>
          <w:rFonts w:ascii="Times New Roman" w:hAnsi="Times New Roman" w:cs="Times New Roman"/>
        </w:rPr>
        <w:t xml:space="preserve"> members</w:t>
      </w:r>
      <w:r w:rsidRPr="005D0465">
        <w:rPr>
          <w:rFonts w:ascii="Times New Roman" w:hAnsi="Times New Roman" w:cs="Times New Roman"/>
        </w:rPr>
        <w:t xml:space="preserve"> who indicate they have not seen the letter, the interview incentive amount could influence </w:t>
      </w:r>
      <w:r>
        <w:rPr>
          <w:rFonts w:ascii="Times New Roman" w:hAnsi="Times New Roman" w:cs="Times New Roman"/>
        </w:rPr>
        <w:t xml:space="preserve">the propensity </w:t>
      </w:r>
      <w:r w:rsidRPr="005D0465">
        <w:rPr>
          <w:rFonts w:ascii="Times New Roman" w:hAnsi="Times New Roman" w:cs="Times New Roman"/>
        </w:rPr>
        <w:t>to complete the screening to determine if anyone is selected for an interview</w:t>
      </w:r>
      <w:r>
        <w:rPr>
          <w:rFonts w:ascii="Times New Roman" w:hAnsi="Times New Roman" w:cs="Times New Roman"/>
        </w:rPr>
        <w:t>.</w:t>
      </w:r>
    </w:p>
  </w:footnote>
  <w:footnote w:id="2">
    <w:p w14:paraId="2C8285C2" w14:textId="419D0E82" w:rsidR="00A0554F" w:rsidRDefault="00A0554F">
      <w:pPr>
        <w:pStyle w:val="FootnoteText"/>
      </w:pPr>
      <w:r>
        <w:rPr>
          <w:rStyle w:val="FootnoteReference"/>
        </w:rPr>
        <w:footnoteRef/>
      </w:r>
      <w:r>
        <w:t xml:space="preserve"> </w:t>
      </w:r>
      <w:r w:rsidR="00C32B8D" w:rsidRPr="00EB303D">
        <w:rPr>
          <w:rFonts w:ascii="Times New Roman" w:hAnsi="Times New Roman" w:cs="Times New Roman"/>
        </w:rPr>
        <w:t>For</w:t>
      </w:r>
      <w:r w:rsidRPr="00EB303D">
        <w:rPr>
          <w:rFonts w:ascii="Times New Roman" w:hAnsi="Times New Roman" w:cs="Times New Roman"/>
        </w:rPr>
        <w:t xml:space="preserve"> household members to be eligible as a screening respondent, the person must be aged 18 years or older and be confirmed as a resident of the household.</w:t>
      </w:r>
    </w:p>
  </w:footnote>
  <w:footnote w:id="3">
    <w:p w14:paraId="2F4206A8" w14:textId="77777777" w:rsidR="00186E42" w:rsidRDefault="00186E42" w:rsidP="00186E42">
      <w:pPr>
        <w:pStyle w:val="FootnoteText"/>
      </w:pPr>
      <w:r>
        <w:rPr>
          <w:rStyle w:val="FootnoteReference"/>
        </w:rPr>
        <w:footnoteRef/>
      </w:r>
      <w:r>
        <w:t xml:space="preserve"> </w:t>
      </w:r>
      <w:r w:rsidRPr="00512C6C">
        <w:rPr>
          <w:rFonts w:ascii="Times New Roman" w:hAnsi="Times New Roman" w:cs="Times New Roman"/>
        </w:rPr>
        <w:t xml:space="preserve">Using male or female in the power calculations would produce identical results, because this variable is being treated as </w:t>
      </w:r>
      <w:r>
        <w:rPr>
          <w:rFonts w:ascii="Times New Roman" w:hAnsi="Times New Roman" w:cs="Times New Roman"/>
        </w:rPr>
        <w:t>binary</w:t>
      </w:r>
      <w:r w:rsidRPr="00512C6C">
        <w:rPr>
          <w:rFonts w:ascii="Times New Roman" w:hAnsi="Times New Roman" w:cs="Times New Roman"/>
        </w:rPr>
        <w:t>.</w:t>
      </w:r>
    </w:p>
  </w:footnote>
  <w:footnote w:id="4">
    <w:p w14:paraId="6D5B82C1" w14:textId="45A788D9" w:rsidR="007C7CE8" w:rsidRDefault="007C7CE8">
      <w:pPr>
        <w:pStyle w:val="FootnoteText"/>
      </w:pPr>
      <w:r>
        <w:rPr>
          <w:rStyle w:val="FootnoteReference"/>
        </w:rPr>
        <w:footnoteRef/>
      </w:r>
      <w:r>
        <w:t xml:space="preserve"> </w:t>
      </w:r>
      <w:r w:rsidRPr="00512C6C">
        <w:rPr>
          <w:rFonts w:ascii="Times New Roman" w:hAnsi="Times New Roman" w:cs="Times New Roman"/>
        </w:rPr>
        <w:t xml:space="preserve">Using male or female in the power calculations would produce identical results, because this variable is being treated as </w:t>
      </w:r>
      <w:r>
        <w:rPr>
          <w:rFonts w:ascii="Times New Roman" w:hAnsi="Times New Roman" w:cs="Times New Roman"/>
        </w:rPr>
        <w:t>binary</w:t>
      </w:r>
      <w:r w:rsidRPr="00512C6C">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75D41"/>
    <w:multiLevelType w:val="hybridMultilevel"/>
    <w:tmpl w:val="C8AE45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01CDE"/>
    <w:multiLevelType w:val="hybridMultilevel"/>
    <w:tmpl w:val="4ACE1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E1DEB"/>
    <w:multiLevelType w:val="hybridMultilevel"/>
    <w:tmpl w:val="DED29D9C"/>
    <w:lvl w:ilvl="0" w:tplc="9FC86CC4">
      <w:start w:val="2"/>
      <w:numFmt w:val="decimal"/>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6D232B"/>
    <w:multiLevelType w:val="hybridMultilevel"/>
    <w:tmpl w:val="98CAE8C8"/>
    <w:lvl w:ilvl="0" w:tplc="7C16F0AC">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15:restartNumberingAfterBreak="0">
    <w:nsid w:val="1F717886"/>
    <w:multiLevelType w:val="hybridMultilevel"/>
    <w:tmpl w:val="C8AE45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F7F3D"/>
    <w:multiLevelType w:val="hybridMultilevel"/>
    <w:tmpl w:val="2F80BA12"/>
    <w:lvl w:ilvl="0" w:tplc="B67666E8">
      <w:start w:val="3"/>
      <w:numFmt w:val="decimal"/>
      <w:lvlText w:val="%1)"/>
      <w:lvlJc w:val="left"/>
      <w:pPr>
        <w:ind w:left="144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809F4"/>
    <w:multiLevelType w:val="hybridMultilevel"/>
    <w:tmpl w:val="87D6B7CE"/>
    <w:lvl w:ilvl="0" w:tplc="4EC41B76">
      <w:start w:val="1"/>
      <w:numFmt w:val="decimal"/>
      <w:lvlText w:val="%1."/>
      <w:lvlJc w:val="left"/>
      <w:pPr>
        <w:ind w:left="720" w:hanging="360"/>
      </w:pPr>
      <w:rPr>
        <w:rFonts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9A00E8"/>
    <w:multiLevelType w:val="hybridMultilevel"/>
    <w:tmpl w:val="E640DD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08E6B1F"/>
    <w:multiLevelType w:val="hybridMultilevel"/>
    <w:tmpl w:val="A7CCCF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6FB074F"/>
    <w:multiLevelType w:val="hybridMultilevel"/>
    <w:tmpl w:val="118EF8BE"/>
    <w:lvl w:ilvl="0" w:tplc="0866AB4E">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4443F7"/>
    <w:multiLevelType w:val="hybridMultilevel"/>
    <w:tmpl w:val="2DB62686"/>
    <w:lvl w:ilvl="0" w:tplc="0BF62068">
      <w:start w:val="4"/>
      <w:numFmt w:val="decimal"/>
      <w:lvlText w:val="%1)"/>
      <w:lvlJc w:val="left"/>
      <w:pPr>
        <w:ind w:left="144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0E2286"/>
    <w:multiLevelType w:val="hybridMultilevel"/>
    <w:tmpl w:val="DA60207C"/>
    <w:lvl w:ilvl="0" w:tplc="18246470">
      <w:start w:val="1"/>
      <w:numFmt w:val="decimal"/>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611543"/>
    <w:multiLevelType w:val="hybridMultilevel"/>
    <w:tmpl w:val="AC6AE1F6"/>
    <w:lvl w:ilvl="0" w:tplc="8326DF88">
      <w:start w:val="1"/>
      <w:numFmt w:val="decimal"/>
      <w:lvlText w:val="%1)"/>
      <w:lvlJc w:val="left"/>
      <w:pPr>
        <w:ind w:left="144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51197F"/>
    <w:multiLevelType w:val="hybridMultilevel"/>
    <w:tmpl w:val="85DA9510"/>
    <w:lvl w:ilvl="0" w:tplc="84A8849A">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6C5108"/>
    <w:multiLevelType w:val="hybridMultilevel"/>
    <w:tmpl w:val="C7021F6A"/>
    <w:lvl w:ilvl="0" w:tplc="285E2930">
      <w:start w:val="1"/>
      <w:numFmt w:val="decimal"/>
      <w:lvlText w:val="%1)"/>
      <w:lvlJc w:val="left"/>
      <w:pPr>
        <w:ind w:left="144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27567F"/>
    <w:multiLevelType w:val="multilevel"/>
    <w:tmpl w:val="1048E6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C2F6B0A"/>
    <w:multiLevelType w:val="hybridMultilevel"/>
    <w:tmpl w:val="35882904"/>
    <w:lvl w:ilvl="0" w:tplc="CB3C5F8A">
      <w:start w:val="4"/>
      <w:numFmt w:val="decimal"/>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BD4C0B"/>
    <w:multiLevelType w:val="hybridMultilevel"/>
    <w:tmpl w:val="24B6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0E6B7C"/>
    <w:multiLevelType w:val="hybridMultilevel"/>
    <w:tmpl w:val="91422272"/>
    <w:lvl w:ilvl="0" w:tplc="3DCE7E28">
      <w:start w:val="1"/>
      <w:numFmt w:val="decimal"/>
      <w:lvlText w:val="%1."/>
      <w:lvlJc w:val="left"/>
      <w:pPr>
        <w:ind w:left="720" w:hanging="360"/>
      </w:pPr>
      <w:rPr>
        <w:rFonts w:hint="default"/>
        <w:b w:val="0"/>
        <w:i w:val="0"/>
      </w:rPr>
    </w:lvl>
    <w:lvl w:ilvl="1" w:tplc="8326DF88">
      <w:start w:val="1"/>
      <w:numFmt w:val="decimal"/>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2D0F87"/>
    <w:multiLevelType w:val="hybridMultilevel"/>
    <w:tmpl w:val="CE1A5696"/>
    <w:lvl w:ilvl="0" w:tplc="3DCE7E28">
      <w:start w:val="1"/>
      <w:numFmt w:val="decimal"/>
      <w:lvlText w:val="%1."/>
      <w:lvlJc w:val="left"/>
      <w:pPr>
        <w:ind w:left="720" w:hanging="360"/>
      </w:pPr>
      <w:rPr>
        <w:rFonts w:hint="default"/>
        <w:b w:val="0"/>
        <w:i w:val="0"/>
      </w:rPr>
    </w:lvl>
    <w:lvl w:ilvl="1" w:tplc="EB5A7FAE">
      <w:start w:val="1"/>
      <w:numFmt w:val="decimal"/>
      <w:lvlText w:val="%2)"/>
      <w:lvlJc w:val="left"/>
      <w:pPr>
        <w:ind w:left="1440" w:hanging="360"/>
      </w:pPr>
      <w:rPr>
        <w:rFonts w:hint="default"/>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120F99"/>
    <w:multiLevelType w:val="hybridMultilevel"/>
    <w:tmpl w:val="AC6AE1F6"/>
    <w:lvl w:ilvl="0" w:tplc="8326DF88">
      <w:start w:val="1"/>
      <w:numFmt w:val="decimal"/>
      <w:lvlText w:val="%1)"/>
      <w:lvlJc w:val="left"/>
      <w:pPr>
        <w:ind w:left="144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4B6FD2"/>
    <w:multiLevelType w:val="hybridMultilevel"/>
    <w:tmpl w:val="5308C46C"/>
    <w:lvl w:ilvl="0" w:tplc="4A564D74">
      <w:start w:val="2"/>
      <w:numFmt w:val="decimal"/>
      <w:lvlText w:val="%1)"/>
      <w:lvlJc w:val="left"/>
      <w:pPr>
        <w:ind w:left="144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910BE6"/>
    <w:multiLevelType w:val="hybridMultilevel"/>
    <w:tmpl w:val="6AA220B0"/>
    <w:lvl w:ilvl="0" w:tplc="8326DF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8326DF8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980402"/>
    <w:multiLevelType w:val="hybridMultilevel"/>
    <w:tmpl w:val="C6EE123A"/>
    <w:lvl w:ilvl="0" w:tplc="9CD2A22A">
      <w:start w:val="3"/>
      <w:numFmt w:val="decimal"/>
      <w:lvlText w:val="%1)"/>
      <w:lvlJc w:val="left"/>
      <w:pPr>
        <w:ind w:left="144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456FDC"/>
    <w:multiLevelType w:val="hybridMultilevel"/>
    <w:tmpl w:val="1FDCC4F2"/>
    <w:lvl w:ilvl="0" w:tplc="A89E2898">
      <w:start w:val="4"/>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5558F3"/>
    <w:multiLevelType w:val="hybridMultilevel"/>
    <w:tmpl w:val="767AB8C0"/>
    <w:lvl w:ilvl="0" w:tplc="3DCE7E28">
      <w:start w:val="1"/>
      <w:numFmt w:val="decimal"/>
      <w:lvlText w:val="%1."/>
      <w:lvlJc w:val="left"/>
      <w:pPr>
        <w:ind w:left="720" w:hanging="360"/>
      </w:pPr>
      <w:rPr>
        <w:rFonts w:hint="default"/>
        <w:b w:val="0"/>
        <w:i w:val="0"/>
      </w:rPr>
    </w:lvl>
    <w:lvl w:ilvl="1" w:tplc="8326DF88">
      <w:start w:val="1"/>
      <w:numFmt w:val="decimal"/>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250802"/>
    <w:multiLevelType w:val="hybridMultilevel"/>
    <w:tmpl w:val="E0E2F3DA"/>
    <w:lvl w:ilvl="0" w:tplc="819CCA12">
      <w:start w:val="3"/>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7412C3"/>
    <w:multiLevelType w:val="hybridMultilevel"/>
    <w:tmpl w:val="CD18A490"/>
    <w:lvl w:ilvl="0" w:tplc="FC026E08">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B6500E"/>
    <w:multiLevelType w:val="hybridMultilevel"/>
    <w:tmpl w:val="E0B898BC"/>
    <w:lvl w:ilvl="0" w:tplc="81A6614A">
      <w:start w:val="2"/>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F468B4"/>
    <w:multiLevelType w:val="hybridMultilevel"/>
    <w:tmpl w:val="C8AE452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F420A4"/>
    <w:multiLevelType w:val="hybridMultilevel"/>
    <w:tmpl w:val="C8AE45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BF0D76"/>
    <w:multiLevelType w:val="hybridMultilevel"/>
    <w:tmpl w:val="43FC8514"/>
    <w:lvl w:ilvl="0" w:tplc="8326DF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A97E3E"/>
    <w:multiLevelType w:val="hybridMultilevel"/>
    <w:tmpl w:val="5324DB1C"/>
    <w:lvl w:ilvl="0" w:tplc="A0AA2A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472F84"/>
    <w:multiLevelType w:val="hybridMultilevel"/>
    <w:tmpl w:val="3C4202D2"/>
    <w:lvl w:ilvl="0" w:tplc="8326DF88">
      <w:start w:val="1"/>
      <w:numFmt w:val="decimal"/>
      <w:lvlText w:val="%1)"/>
      <w:lvlJc w:val="left"/>
      <w:pPr>
        <w:ind w:left="1440" w:hanging="360"/>
      </w:pPr>
      <w:rPr>
        <w:rFonts w:hint="default"/>
        <w:b w:val="0"/>
        <w:i w:val="0"/>
      </w:rPr>
    </w:lvl>
    <w:lvl w:ilvl="1" w:tplc="EB5A7FAE">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0"/>
  </w:num>
  <w:num w:numId="3">
    <w:abstractNumId w:val="6"/>
  </w:num>
  <w:num w:numId="4">
    <w:abstractNumId w:val="1"/>
  </w:num>
  <w:num w:numId="5">
    <w:abstractNumId w:val="0"/>
  </w:num>
  <w:num w:numId="6">
    <w:abstractNumId w:val="4"/>
  </w:num>
  <w:num w:numId="7">
    <w:abstractNumId w:val="29"/>
  </w:num>
  <w:num w:numId="8">
    <w:abstractNumId w:val="31"/>
  </w:num>
  <w:num w:numId="9">
    <w:abstractNumId w:val="9"/>
  </w:num>
  <w:num w:numId="10">
    <w:abstractNumId w:val="7"/>
  </w:num>
  <w:num w:numId="11">
    <w:abstractNumId w:val="8"/>
  </w:num>
  <w:num w:numId="12">
    <w:abstractNumId w:val="18"/>
  </w:num>
  <w:num w:numId="13">
    <w:abstractNumId w:val="22"/>
  </w:num>
  <w:num w:numId="14">
    <w:abstractNumId w:val="25"/>
  </w:num>
  <w:num w:numId="15">
    <w:abstractNumId w:val="2"/>
  </w:num>
  <w:num w:numId="16">
    <w:abstractNumId w:val="5"/>
  </w:num>
  <w:num w:numId="17">
    <w:abstractNumId w:val="16"/>
  </w:num>
  <w:num w:numId="18">
    <w:abstractNumId w:val="19"/>
  </w:num>
  <w:num w:numId="19">
    <w:abstractNumId w:val="21"/>
  </w:num>
  <w:num w:numId="20">
    <w:abstractNumId w:val="23"/>
  </w:num>
  <w:num w:numId="21">
    <w:abstractNumId w:val="10"/>
  </w:num>
  <w:num w:numId="22">
    <w:abstractNumId w:val="12"/>
  </w:num>
  <w:num w:numId="23">
    <w:abstractNumId w:val="33"/>
  </w:num>
  <w:num w:numId="24">
    <w:abstractNumId w:val="28"/>
  </w:num>
  <w:num w:numId="25">
    <w:abstractNumId w:val="26"/>
  </w:num>
  <w:num w:numId="26">
    <w:abstractNumId w:val="24"/>
  </w:num>
  <w:num w:numId="27">
    <w:abstractNumId w:val="27"/>
  </w:num>
  <w:num w:numId="28">
    <w:abstractNumId w:val="20"/>
  </w:num>
  <w:num w:numId="29">
    <w:abstractNumId w:val="13"/>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11"/>
  </w:num>
  <w:num w:numId="41">
    <w:abstractNumId w:val="14"/>
  </w:num>
  <w:num w:numId="42">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5p9es2xnaver6eazd9prx0pv902e00dzds9&quot;&gt;My EndNote Library&lt;record-ids&gt;&lt;item&gt;7&lt;/item&gt;&lt;item&gt;39&lt;/item&gt;&lt;item&gt;43&lt;/item&gt;&lt;item&gt;44&lt;/item&gt;&lt;item&gt;45&lt;/item&gt;&lt;item&gt;46&lt;/item&gt;&lt;item&gt;47&lt;/item&gt;&lt;item&gt;48&lt;/item&gt;&lt;/record-ids&gt;&lt;/item&gt;&lt;/Libraries&gt;"/>
  </w:docVars>
  <w:rsids>
    <w:rsidRoot w:val="00C803F0"/>
    <w:rsid w:val="00004FFE"/>
    <w:rsid w:val="00005716"/>
    <w:rsid w:val="00006FEF"/>
    <w:rsid w:val="000076FE"/>
    <w:rsid w:val="00007A72"/>
    <w:rsid w:val="00011035"/>
    <w:rsid w:val="00011386"/>
    <w:rsid w:val="000120B0"/>
    <w:rsid w:val="0001235F"/>
    <w:rsid w:val="000128E9"/>
    <w:rsid w:val="0001398F"/>
    <w:rsid w:val="00014263"/>
    <w:rsid w:val="000164A2"/>
    <w:rsid w:val="000212A3"/>
    <w:rsid w:val="0002189A"/>
    <w:rsid w:val="00022331"/>
    <w:rsid w:val="00022DF3"/>
    <w:rsid w:val="00023197"/>
    <w:rsid w:val="00025DB9"/>
    <w:rsid w:val="00031067"/>
    <w:rsid w:val="000311B6"/>
    <w:rsid w:val="00033CA9"/>
    <w:rsid w:val="000349B8"/>
    <w:rsid w:val="000378D1"/>
    <w:rsid w:val="000406E7"/>
    <w:rsid w:val="000432FB"/>
    <w:rsid w:val="00044370"/>
    <w:rsid w:val="000460BC"/>
    <w:rsid w:val="00046572"/>
    <w:rsid w:val="00047555"/>
    <w:rsid w:val="00047FE7"/>
    <w:rsid w:val="00050C46"/>
    <w:rsid w:val="000515D7"/>
    <w:rsid w:val="00052656"/>
    <w:rsid w:val="00060CB1"/>
    <w:rsid w:val="00061A08"/>
    <w:rsid w:val="00061AB1"/>
    <w:rsid w:val="00062B9E"/>
    <w:rsid w:val="00066213"/>
    <w:rsid w:val="00067C42"/>
    <w:rsid w:val="000740EC"/>
    <w:rsid w:val="00074165"/>
    <w:rsid w:val="00077396"/>
    <w:rsid w:val="0008209F"/>
    <w:rsid w:val="00082FCD"/>
    <w:rsid w:val="00084CAF"/>
    <w:rsid w:val="000852F4"/>
    <w:rsid w:val="00087B61"/>
    <w:rsid w:val="00091610"/>
    <w:rsid w:val="00094477"/>
    <w:rsid w:val="000A1641"/>
    <w:rsid w:val="000A47D0"/>
    <w:rsid w:val="000A4EDC"/>
    <w:rsid w:val="000B0A9F"/>
    <w:rsid w:val="000B13E7"/>
    <w:rsid w:val="000B2B49"/>
    <w:rsid w:val="000C0B82"/>
    <w:rsid w:val="000C443C"/>
    <w:rsid w:val="000D16E3"/>
    <w:rsid w:val="000D1810"/>
    <w:rsid w:val="000D296E"/>
    <w:rsid w:val="000D2BA8"/>
    <w:rsid w:val="000D72D4"/>
    <w:rsid w:val="000E3DB2"/>
    <w:rsid w:val="000E3FDA"/>
    <w:rsid w:val="000E4AC8"/>
    <w:rsid w:val="000E6BF8"/>
    <w:rsid w:val="000F0298"/>
    <w:rsid w:val="000F0F20"/>
    <w:rsid w:val="000F6E29"/>
    <w:rsid w:val="000F7EBE"/>
    <w:rsid w:val="00106372"/>
    <w:rsid w:val="00111419"/>
    <w:rsid w:val="00111639"/>
    <w:rsid w:val="00111E7A"/>
    <w:rsid w:val="00115523"/>
    <w:rsid w:val="0011675B"/>
    <w:rsid w:val="001174C3"/>
    <w:rsid w:val="001176C0"/>
    <w:rsid w:val="00120953"/>
    <w:rsid w:val="00120FD8"/>
    <w:rsid w:val="00124F7C"/>
    <w:rsid w:val="00125B9A"/>
    <w:rsid w:val="0012600A"/>
    <w:rsid w:val="00127334"/>
    <w:rsid w:val="0013048B"/>
    <w:rsid w:val="001327E1"/>
    <w:rsid w:val="00137CAC"/>
    <w:rsid w:val="00141726"/>
    <w:rsid w:val="00151520"/>
    <w:rsid w:val="00151B1F"/>
    <w:rsid w:val="001538AF"/>
    <w:rsid w:val="00155888"/>
    <w:rsid w:val="001572D2"/>
    <w:rsid w:val="001576B7"/>
    <w:rsid w:val="001613E8"/>
    <w:rsid w:val="00161471"/>
    <w:rsid w:val="00162FCD"/>
    <w:rsid w:val="00163598"/>
    <w:rsid w:val="001641D2"/>
    <w:rsid w:val="00164825"/>
    <w:rsid w:val="0016569B"/>
    <w:rsid w:val="00171C91"/>
    <w:rsid w:val="00171DAD"/>
    <w:rsid w:val="00173792"/>
    <w:rsid w:val="001754C1"/>
    <w:rsid w:val="00176ADD"/>
    <w:rsid w:val="00176E36"/>
    <w:rsid w:val="00177682"/>
    <w:rsid w:val="001846C0"/>
    <w:rsid w:val="00186E42"/>
    <w:rsid w:val="00190C8E"/>
    <w:rsid w:val="00194D93"/>
    <w:rsid w:val="00197FEF"/>
    <w:rsid w:val="001A0860"/>
    <w:rsid w:val="001A1BA1"/>
    <w:rsid w:val="001A2E63"/>
    <w:rsid w:val="001A3207"/>
    <w:rsid w:val="001A4C25"/>
    <w:rsid w:val="001B18EC"/>
    <w:rsid w:val="001B433C"/>
    <w:rsid w:val="001B4D19"/>
    <w:rsid w:val="001B64CB"/>
    <w:rsid w:val="001C0443"/>
    <w:rsid w:val="001C06CF"/>
    <w:rsid w:val="001C2F2F"/>
    <w:rsid w:val="001C3C06"/>
    <w:rsid w:val="001D1CD1"/>
    <w:rsid w:val="001D2EAC"/>
    <w:rsid w:val="001D30F9"/>
    <w:rsid w:val="001D4EFF"/>
    <w:rsid w:val="001E11C9"/>
    <w:rsid w:val="001E252F"/>
    <w:rsid w:val="001E771C"/>
    <w:rsid w:val="001F0821"/>
    <w:rsid w:val="001F10FD"/>
    <w:rsid w:val="001F24AE"/>
    <w:rsid w:val="001F356E"/>
    <w:rsid w:val="001F3FD8"/>
    <w:rsid w:val="001F6329"/>
    <w:rsid w:val="001F7D99"/>
    <w:rsid w:val="00200FB8"/>
    <w:rsid w:val="0020314F"/>
    <w:rsid w:val="00216EE6"/>
    <w:rsid w:val="00217DD9"/>
    <w:rsid w:val="00217EB6"/>
    <w:rsid w:val="002223BF"/>
    <w:rsid w:val="00222BBE"/>
    <w:rsid w:val="00225E77"/>
    <w:rsid w:val="0022641B"/>
    <w:rsid w:val="002275F4"/>
    <w:rsid w:val="00231B20"/>
    <w:rsid w:val="002357B0"/>
    <w:rsid w:val="00240E26"/>
    <w:rsid w:val="0024244A"/>
    <w:rsid w:val="00242A94"/>
    <w:rsid w:val="00245146"/>
    <w:rsid w:val="00245D50"/>
    <w:rsid w:val="00246CFD"/>
    <w:rsid w:val="00250E3F"/>
    <w:rsid w:val="00253EEA"/>
    <w:rsid w:val="002548AB"/>
    <w:rsid w:val="00256C46"/>
    <w:rsid w:val="00261B9C"/>
    <w:rsid w:val="002631AD"/>
    <w:rsid w:val="00264408"/>
    <w:rsid w:val="00267319"/>
    <w:rsid w:val="00270B50"/>
    <w:rsid w:val="00273848"/>
    <w:rsid w:val="00274640"/>
    <w:rsid w:val="00277261"/>
    <w:rsid w:val="00282A53"/>
    <w:rsid w:val="00283342"/>
    <w:rsid w:val="0028510F"/>
    <w:rsid w:val="0028545E"/>
    <w:rsid w:val="0029212A"/>
    <w:rsid w:val="002A0D37"/>
    <w:rsid w:val="002A0EC8"/>
    <w:rsid w:val="002A2A51"/>
    <w:rsid w:val="002A3DD3"/>
    <w:rsid w:val="002A68B2"/>
    <w:rsid w:val="002A6CBB"/>
    <w:rsid w:val="002A6FBB"/>
    <w:rsid w:val="002A6FD7"/>
    <w:rsid w:val="002A7D45"/>
    <w:rsid w:val="002B3B29"/>
    <w:rsid w:val="002B504F"/>
    <w:rsid w:val="002C2649"/>
    <w:rsid w:val="002C3DB2"/>
    <w:rsid w:val="002C5072"/>
    <w:rsid w:val="002C531D"/>
    <w:rsid w:val="002D0D8A"/>
    <w:rsid w:val="002D10B5"/>
    <w:rsid w:val="002D10D7"/>
    <w:rsid w:val="002D1101"/>
    <w:rsid w:val="002D22C8"/>
    <w:rsid w:val="002D39B4"/>
    <w:rsid w:val="002D39C1"/>
    <w:rsid w:val="002D68B6"/>
    <w:rsid w:val="002D715D"/>
    <w:rsid w:val="002E65D9"/>
    <w:rsid w:val="002E6669"/>
    <w:rsid w:val="002F33CF"/>
    <w:rsid w:val="002F4965"/>
    <w:rsid w:val="003061CB"/>
    <w:rsid w:val="003068EC"/>
    <w:rsid w:val="00314FC6"/>
    <w:rsid w:val="0031634F"/>
    <w:rsid w:val="003165CB"/>
    <w:rsid w:val="00317210"/>
    <w:rsid w:val="00317E00"/>
    <w:rsid w:val="0032079B"/>
    <w:rsid w:val="0032712A"/>
    <w:rsid w:val="00330E68"/>
    <w:rsid w:val="003324E1"/>
    <w:rsid w:val="00332D84"/>
    <w:rsid w:val="00333F90"/>
    <w:rsid w:val="0033463E"/>
    <w:rsid w:val="00334E13"/>
    <w:rsid w:val="00341F22"/>
    <w:rsid w:val="00343C60"/>
    <w:rsid w:val="00344422"/>
    <w:rsid w:val="00347C12"/>
    <w:rsid w:val="00350968"/>
    <w:rsid w:val="00351822"/>
    <w:rsid w:val="00351FC0"/>
    <w:rsid w:val="00353DE8"/>
    <w:rsid w:val="00354420"/>
    <w:rsid w:val="003618DC"/>
    <w:rsid w:val="00363619"/>
    <w:rsid w:val="00364E51"/>
    <w:rsid w:val="00371485"/>
    <w:rsid w:val="0037152D"/>
    <w:rsid w:val="00373C0E"/>
    <w:rsid w:val="003753FE"/>
    <w:rsid w:val="00383BC8"/>
    <w:rsid w:val="00387A76"/>
    <w:rsid w:val="0039058C"/>
    <w:rsid w:val="00395627"/>
    <w:rsid w:val="00397EAC"/>
    <w:rsid w:val="003A0F93"/>
    <w:rsid w:val="003A291B"/>
    <w:rsid w:val="003A674D"/>
    <w:rsid w:val="003B0170"/>
    <w:rsid w:val="003B01CA"/>
    <w:rsid w:val="003B0C5C"/>
    <w:rsid w:val="003B3385"/>
    <w:rsid w:val="003B4B91"/>
    <w:rsid w:val="003B5A19"/>
    <w:rsid w:val="003C2FB2"/>
    <w:rsid w:val="003C6655"/>
    <w:rsid w:val="003C7C45"/>
    <w:rsid w:val="003D5014"/>
    <w:rsid w:val="003D5A1B"/>
    <w:rsid w:val="003E3F55"/>
    <w:rsid w:val="003E4160"/>
    <w:rsid w:val="003E5319"/>
    <w:rsid w:val="003F05D2"/>
    <w:rsid w:val="003F2730"/>
    <w:rsid w:val="003F2F26"/>
    <w:rsid w:val="003F34B2"/>
    <w:rsid w:val="003F43C9"/>
    <w:rsid w:val="003F710E"/>
    <w:rsid w:val="003F7BF7"/>
    <w:rsid w:val="00401E39"/>
    <w:rsid w:val="00406C06"/>
    <w:rsid w:val="00411B0D"/>
    <w:rsid w:val="00414BA0"/>
    <w:rsid w:val="0041733E"/>
    <w:rsid w:val="004209B8"/>
    <w:rsid w:val="0042689B"/>
    <w:rsid w:val="004271FC"/>
    <w:rsid w:val="0043007C"/>
    <w:rsid w:val="004326DE"/>
    <w:rsid w:val="004358B0"/>
    <w:rsid w:val="00437D33"/>
    <w:rsid w:val="0044128F"/>
    <w:rsid w:val="00441A02"/>
    <w:rsid w:val="00441F14"/>
    <w:rsid w:val="00446E0C"/>
    <w:rsid w:val="00447B54"/>
    <w:rsid w:val="004521F1"/>
    <w:rsid w:val="00452968"/>
    <w:rsid w:val="00453848"/>
    <w:rsid w:val="00457627"/>
    <w:rsid w:val="004610B9"/>
    <w:rsid w:val="00462B25"/>
    <w:rsid w:val="00463464"/>
    <w:rsid w:val="004647F4"/>
    <w:rsid w:val="00465677"/>
    <w:rsid w:val="00472BCF"/>
    <w:rsid w:val="0047623F"/>
    <w:rsid w:val="00481806"/>
    <w:rsid w:val="004818EA"/>
    <w:rsid w:val="004825D5"/>
    <w:rsid w:val="00483A4B"/>
    <w:rsid w:val="00485B19"/>
    <w:rsid w:val="00487E22"/>
    <w:rsid w:val="004928F9"/>
    <w:rsid w:val="00494701"/>
    <w:rsid w:val="00494E6C"/>
    <w:rsid w:val="00497007"/>
    <w:rsid w:val="0049749E"/>
    <w:rsid w:val="004A0043"/>
    <w:rsid w:val="004A070E"/>
    <w:rsid w:val="004A2F65"/>
    <w:rsid w:val="004A39CA"/>
    <w:rsid w:val="004A57BE"/>
    <w:rsid w:val="004A77CD"/>
    <w:rsid w:val="004B5062"/>
    <w:rsid w:val="004B6F45"/>
    <w:rsid w:val="004B7BDC"/>
    <w:rsid w:val="004B7DD3"/>
    <w:rsid w:val="004C105D"/>
    <w:rsid w:val="004C14C9"/>
    <w:rsid w:val="004C3943"/>
    <w:rsid w:val="004C51FF"/>
    <w:rsid w:val="004C531D"/>
    <w:rsid w:val="004C5A98"/>
    <w:rsid w:val="004D0274"/>
    <w:rsid w:val="004D4C20"/>
    <w:rsid w:val="004D62BB"/>
    <w:rsid w:val="004D652D"/>
    <w:rsid w:val="004D70EB"/>
    <w:rsid w:val="004E24AE"/>
    <w:rsid w:val="004E42AF"/>
    <w:rsid w:val="004F2DC9"/>
    <w:rsid w:val="004F32B0"/>
    <w:rsid w:val="004F332C"/>
    <w:rsid w:val="004F36BC"/>
    <w:rsid w:val="004F51A0"/>
    <w:rsid w:val="004F5A7E"/>
    <w:rsid w:val="004F6283"/>
    <w:rsid w:val="004F69F2"/>
    <w:rsid w:val="005065DC"/>
    <w:rsid w:val="00511A05"/>
    <w:rsid w:val="00512C6C"/>
    <w:rsid w:val="00512EB1"/>
    <w:rsid w:val="0051404D"/>
    <w:rsid w:val="00516061"/>
    <w:rsid w:val="00517212"/>
    <w:rsid w:val="00522663"/>
    <w:rsid w:val="00523BD1"/>
    <w:rsid w:val="00525967"/>
    <w:rsid w:val="00531BC7"/>
    <w:rsid w:val="005329B2"/>
    <w:rsid w:val="00532B1F"/>
    <w:rsid w:val="00535404"/>
    <w:rsid w:val="005366F7"/>
    <w:rsid w:val="00540F71"/>
    <w:rsid w:val="005413C9"/>
    <w:rsid w:val="00542680"/>
    <w:rsid w:val="00545D35"/>
    <w:rsid w:val="00547A6D"/>
    <w:rsid w:val="00550AB5"/>
    <w:rsid w:val="00552137"/>
    <w:rsid w:val="0055310B"/>
    <w:rsid w:val="00553658"/>
    <w:rsid w:val="00560EE8"/>
    <w:rsid w:val="0056669D"/>
    <w:rsid w:val="00567486"/>
    <w:rsid w:val="00567B71"/>
    <w:rsid w:val="00567E8B"/>
    <w:rsid w:val="005703D1"/>
    <w:rsid w:val="00582993"/>
    <w:rsid w:val="0058385F"/>
    <w:rsid w:val="00584827"/>
    <w:rsid w:val="005905A3"/>
    <w:rsid w:val="005911FD"/>
    <w:rsid w:val="00595DEE"/>
    <w:rsid w:val="00596721"/>
    <w:rsid w:val="00596889"/>
    <w:rsid w:val="005A1F78"/>
    <w:rsid w:val="005A1FD3"/>
    <w:rsid w:val="005A4FDE"/>
    <w:rsid w:val="005A6D85"/>
    <w:rsid w:val="005B05B5"/>
    <w:rsid w:val="005B07AB"/>
    <w:rsid w:val="005B1520"/>
    <w:rsid w:val="005B2D08"/>
    <w:rsid w:val="005B30F4"/>
    <w:rsid w:val="005B428E"/>
    <w:rsid w:val="005B7B27"/>
    <w:rsid w:val="005C2534"/>
    <w:rsid w:val="005C7E97"/>
    <w:rsid w:val="005D0465"/>
    <w:rsid w:val="005D0650"/>
    <w:rsid w:val="005D19A8"/>
    <w:rsid w:val="005D4585"/>
    <w:rsid w:val="005D6776"/>
    <w:rsid w:val="005E2FB8"/>
    <w:rsid w:val="005E40F4"/>
    <w:rsid w:val="005F2869"/>
    <w:rsid w:val="005F44FF"/>
    <w:rsid w:val="005F5634"/>
    <w:rsid w:val="005F5B71"/>
    <w:rsid w:val="00601463"/>
    <w:rsid w:val="00601D35"/>
    <w:rsid w:val="00614164"/>
    <w:rsid w:val="00615003"/>
    <w:rsid w:val="006153C2"/>
    <w:rsid w:val="00617D9A"/>
    <w:rsid w:val="00620C4E"/>
    <w:rsid w:val="0062422A"/>
    <w:rsid w:val="00624D1F"/>
    <w:rsid w:val="006262C2"/>
    <w:rsid w:val="0063581C"/>
    <w:rsid w:val="006405D5"/>
    <w:rsid w:val="0064250F"/>
    <w:rsid w:val="00645CAA"/>
    <w:rsid w:val="0065494D"/>
    <w:rsid w:val="00655589"/>
    <w:rsid w:val="0065576E"/>
    <w:rsid w:val="00657E53"/>
    <w:rsid w:val="00661D9C"/>
    <w:rsid w:val="006627C3"/>
    <w:rsid w:val="0066324B"/>
    <w:rsid w:val="00664D3F"/>
    <w:rsid w:val="00664DDA"/>
    <w:rsid w:val="00666A47"/>
    <w:rsid w:val="00667C5B"/>
    <w:rsid w:val="0067684C"/>
    <w:rsid w:val="00676CA8"/>
    <w:rsid w:val="0068094E"/>
    <w:rsid w:val="00683EA9"/>
    <w:rsid w:val="006858C2"/>
    <w:rsid w:val="00687A88"/>
    <w:rsid w:val="00687B2B"/>
    <w:rsid w:val="00687C8F"/>
    <w:rsid w:val="00692F14"/>
    <w:rsid w:val="00692F56"/>
    <w:rsid w:val="00694FF2"/>
    <w:rsid w:val="006952E7"/>
    <w:rsid w:val="006969E9"/>
    <w:rsid w:val="006A6E52"/>
    <w:rsid w:val="006B3734"/>
    <w:rsid w:val="006B6F3F"/>
    <w:rsid w:val="006C2B6C"/>
    <w:rsid w:val="006C6B81"/>
    <w:rsid w:val="006D41A3"/>
    <w:rsid w:val="006D445E"/>
    <w:rsid w:val="006E3CF7"/>
    <w:rsid w:val="006E537D"/>
    <w:rsid w:val="006E56B9"/>
    <w:rsid w:val="006E58D9"/>
    <w:rsid w:val="006F3AD3"/>
    <w:rsid w:val="006F584B"/>
    <w:rsid w:val="007068D4"/>
    <w:rsid w:val="00707142"/>
    <w:rsid w:val="007224E9"/>
    <w:rsid w:val="0072446D"/>
    <w:rsid w:val="007255BE"/>
    <w:rsid w:val="00725B27"/>
    <w:rsid w:val="007276C6"/>
    <w:rsid w:val="00731865"/>
    <w:rsid w:val="00732218"/>
    <w:rsid w:val="00734A32"/>
    <w:rsid w:val="007400E0"/>
    <w:rsid w:val="00744CFD"/>
    <w:rsid w:val="00747777"/>
    <w:rsid w:val="007478C2"/>
    <w:rsid w:val="00752A73"/>
    <w:rsid w:val="00754148"/>
    <w:rsid w:val="00756572"/>
    <w:rsid w:val="007570F6"/>
    <w:rsid w:val="00757C0E"/>
    <w:rsid w:val="00761EED"/>
    <w:rsid w:val="0076528A"/>
    <w:rsid w:val="007657ED"/>
    <w:rsid w:val="007669D6"/>
    <w:rsid w:val="007676A7"/>
    <w:rsid w:val="00771B3B"/>
    <w:rsid w:val="00773749"/>
    <w:rsid w:val="007737D7"/>
    <w:rsid w:val="00776144"/>
    <w:rsid w:val="0077620E"/>
    <w:rsid w:val="007819DA"/>
    <w:rsid w:val="00783BBE"/>
    <w:rsid w:val="00786D5E"/>
    <w:rsid w:val="00790366"/>
    <w:rsid w:val="007910F8"/>
    <w:rsid w:val="0079192A"/>
    <w:rsid w:val="00792F65"/>
    <w:rsid w:val="0079671C"/>
    <w:rsid w:val="007968F0"/>
    <w:rsid w:val="007979A6"/>
    <w:rsid w:val="007A0607"/>
    <w:rsid w:val="007A1518"/>
    <w:rsid w:val="007A1869"/>
    <w:rsid w:val="007B2BC1"/>
    <w:rsid w:val="007B5E89"/>
    <w:rsid w:val="007B7842"/>
    <w:rsid w:val="007B7E88"/>
    <w:rsid w:val="007C254F"/>
    <w:rsid w:val="007C5A04"/>
    <w:rsid w:val="007C69BE"/>
    <w:rsid w:val="007C7CE8"/>
    <w:rsid w:val="007D0F4D"/>
    <w:rsid w:val="007D250F"/>
    <w:rsid w:val="007D6989"/>
    <w:rsid w:val="007F0252"/>
    <w:rsid w:val="007F2F93"/>
    <w:rsid w:val="007F5C64"/>
    <w:rsid w:val="007F6ECB"/>
    <w:rsid w:val="00800C3C"/>
    <w:rsid w:val="00801335"/>
    <w:rsid w:val="008029FF"/>
    <w:rsid w:val="008033D7"/>
    <w:rsid w:val="0080669C"/>
    <w:rsid w:val="0081002C"/>
    <w:rsid w:val="00812A00"/>
    <w:rsid w:val="00816081"/>
    <w:rsid w:val="00816AAB"/>
    <w:rsid w:val="00821B55"/>
    <w:rsid w:val="0082255B"/>
    <w:rsid w:val="00824ED9"/>
    <w:rsid w:val="00827913"/>
    <w:rsid w:val="00832069"/>
    <w:rsid w:val="00834B50"/>
    <w:rsid w:val="00835AFC"/>
    <w:rsid w:val="0083783C"/>
    <w:rsid w:val="00837BF8"/>
    <w:rsid w:val="00840BC5"/>
    <w:rsid w:val="008423C8"/>
    <w:rsid w:val="00842995"/>
    <w:rsid w:val="00842A9E"/>
    <w:rsid w:val="008507D7"/>
    <w:rsid w:val="00852B2C"/>
    <w:rsid w:val="008530B1"/>
    <w:rsid w:val="008536BB"/>
    <w:rsid w:val="0085640F"/>
    <w:rsid w:val="008630AB"/>
    <w:rsid w:val="008630C7"/>
    <w:rsid w:val="00864C1F"/>
    <w:rsid w:val="00865781"/>
    <w:rsid w:val="0086601E"/>
    <w:rsid w:val="00866A4F"/>
    <w:rsid w:val="008707CD"/>
    <w:rsid w:val="00870A57"/>
    <w:rsid w:val="008713D6"/>
    <w:rsid w:val="00872BAF"/>
    <w:rsid w:val="0087368B"/>
    <w:rsid w:val="00874A6C"/>
    <w:rsid w:val="0087503D"/>
    <w:rsid w:val="008759FE"/>
    <w:rsid w:val="008769DF"/>
    <w:rsid w:val="00881002"/>
    <w:rsid w:val="00883339"/>
    <w:rsid w:val="00883405"/>
    <w:rsid w:val="00885CBD"/>
    <w:rsid w:val="00887DED"/>
    <w:rsid w:val="00891E2F"/>
    <w:rsid w:val="00892407"/>
    <w:rsid w:val="008924D1"/>
    <w:rsid w:val="00892667"/>
    <w:rsid w:val="00896951"/>
    <w:rsid w:val="00896AC0"/>
    <w:rsid w:val="00897413"/>
    <w:rsid w:val="00897C8E"/>
    <w:rsid w:val="008A1165"/>
    <w:rsid w:val="008A21AA"/>
    <w:rsid w:val="008A329F"/>
    <w:rsid w:val="008A5140"/>
    <w:rsid w:val="008A719D"/>
    <w:rsid w:val="008B1081"/>
    <w:rsid w:val="008B15BA"/>
    <w:rsid w:val="008B4434"/>
    <w:rsid w:val="008B5578"/>
    <w:rsid w:val="008B5F81"/>
    <w:rsid w:val="008B6A9C"/>
    <w:rsid w:val="008C0EE0"/>
    <w:rsid w:val="008C1A70"/>
    <w:rsid w:val="008C2F0B"/>
    <w:rsid w:val="008C3548"/>
    <w:rsid w:val="008C44F6"/>
    <w:rsid w:val="008C69C4"/>
    <w:rsid w:val="008D1BD7"/>
    <w:rsid w:val="008D1CBD"/>
    <w:rsid w:val="008D7F93"/>
    <w:rsid w:val="008E24AC"/>
    <w:rsid w:val="008E437B"/>
    <w:rsid w:val="008E6DD4"/>
    <w:rsid w:val="008E7414"/>
    <w:rsid w:val="008F1728"/>
    <w:rsid w:val="008F195F"/>
    <w:rsid w:val="008F557A"/>
    <w:rsid w:val="008F65A2"/>
    <w:rsid w:val="00904A20"/>
    <w:rsid w:val="00911FE3"/>
    <w:rsid w:val="0091204B"/>
    <w:rsid w:val="009121D7"/>
    <w:rsid w:val="009153F1"/>
    <w:rsid w:val="009171BE"/>
    <w:rsid w:val="00917F2D"/>
    <w:rsid w:val="00920D62"/>
    <w:rsid w:val="0092174B"/>
    <w:rsid w:val="00921A90"/>
    <w:rsid w:val="00921D94"/>
    <w:rsid w:val="009245F4"/>
    <w:rsid w:val="00924AA6"/>
    <w:rsid w:val="00926078"/>
    <w:rsid w:val="00927360"/>
    <w:rsid w:val="009357D9"/>
    <w:rsid w:val="009426A5"/>
    <w:rsid w:val="00943479"/>
    <w:rsid w:val="00945B8C"/>
    <w:rsid w:val="00947C2F"/>
    <w:rsid w:val="00947C47"/>
    <w:rsid w:val="00950584"/>
    <w:rsid w:val="00952115"/>
    <w:rsid w:val="009527B9"/>
    <w:rsid w:val="00953AB1"/>
    <w:rsid w:val="00954AF5"/>
    <w:rsid w:val="009561BE"/>
    <w:rsid w:val="009565F0"/>
    <w:rsid w:val="00956B1F"/>
    <w:rsid w:val="00964CA8"/>
    <w:rsid w:val="00965C69"/>
    <w:rsid w:val="00966113"/>
    <w:rsid w:val="00970B03"/>
    <w:rsid w:val="0097344B"/>
    <w:rsid w:val="009743E9"/>
    <w:rsid w:val="00983156"/>
    <w:rsid w:val="00983803"/>
    <w:rsid w:val="00985472"/>
    <w:rsid w:val="0098562E"/>
    <w:rsid w:val="00985774"/>
    <w:rsid w:val="00986487"/>
    <w:rsid w:val="0099178D"/>
    <w:rsid w:val="009A3523"/>
    <w:rsid w:val="009A5269"/>
    <w:rsid w:val="009A6BB0"/>
    <w:rsid w:val="009B50ED"/>
    <w:rsid w:val="009B59F4"/>
    <w:rsid w:val="009B5EA3"/>
    <w:rsid w:val="009B67CA"/>
    <w:rsid w:val="009C02A1"/>
    <w:rsid w:val="009C27CB"/>
    <w:rsid w:val="009C2D93"/>
    <w:rsid w:val="009C3936"/>
    <w:rsid w:val="009C5501"/>
    <w:rsid w:val="009C5E0F"/>
    <w:rsid w:val="009C5F39"/>
    <w:rsid w:val="009D2101"/>
    <w:rsid w:val="009D2AF4"/>
    <w:rsid w:val="009D2B88"/>
    <w:rsid w:val="009D2D3C"/>
    <w:rsid w:val="009D3AC0"/>
    <w:rsid w:val="009D3ADE"/>
    <w:rsid w:val="009D5DDE"/>
    <w:rsid w:val="009E000D"/>
    <w:rsid w:val="009E46C8"/>
    <w:rsid w:val="009E5F2D"/>
    <w:rsid w:val="009E6977"/>
    <w:rsid w:val="009E71C0"/>
    <w:rsid w:val="009F11CE"/>
    <w:rsid w:val="009F618F"/>
    <w:rsid w:val="00A0554F"/>
    <w:rsid w:val="00A074F7"/>
    <w:rsid w:val="00A07679"/>
    <w:rsid w:val="00A10A12"/>
    <w:rsid w:val="00A1345C"/>
    <w:rsid w:val="00A13C2A"/>
    <w:rsid w:val="00A15504"/>
    <w:rsid w:val="00A17E54"/>
    <w:rsid w:val="00A21FE2"/>
    <w:rsid w:val="00A24735"/>
    <w:rsid w:val="00A30917"/>
    <w:rsid w:val="00A32AF4"/>
    <w:rsid w:val="00A33E5C"/>
    <w:rsid w:val="00A409A0"/>
    <w:rsid w:val="00A428AD"/>
    <w:rsid w:val="00A441D4"/>
    <w:rsid w:val="00A526FE"/>
    <w:rsid w:val="00A55175"/>
    <w:rsid w:val="00A60E83"/>
    <w:rsid w:val="00A60F83"/>
    <w:rsid w:val="00A61203"/>
    <w:rsid w:val="00A6486E"/>
    <w:rsid w:val="00A65247"/>
    <w:rsid w:val="00A65AF0"/>
    <w:rsid w:val="00A66FDF"/>
    <w:rsid w:val="00A72715"/>
    <w:rsid w:val="00A7431B"/>
    <w:rsid w:val="00A74B21"/>
    <w:rsid w:val="00A761C4"/>
    <w:rsid w:val="00A801BE"/>
    <w:rsid w:val="00A83320"/>
    <w:rsid w:val="00A838F3"/>
    <w:rsid w:val="00A845EC"/>
    <w:rsid w:val="00A85355"/>
    <w:rsid w:val="00A86C8F"/>
    <w:rsid w:val="00A91630"/>
    <w:rsid w:val="00A91EE2"/>
    <w:rsid w:val="00A97309"/>
    <w:rsid w:val="00A97F4D"/>
    <w:rsid w:val="00AA355C"/>
    <w:rsid w:val="00AA52EF"/>
    <w:rsid w:val="00AA680D"/>
    <w:rsid w:val="00AA74F4"/>
    <w:rsid w:val="00AA7DDF"/>
    <w:rsid w:val="00AB0B63"/>
    <w:rsid w:val="00AB7DE3"/>
    <w:rsid w:val="00AC3463"/>
    <w:rsid w:val="00AC49C0"/>
    <w:rsid w:val="00AC4AD8"/>
    <w:rsid w:val="00AD53E5"/>
    <w:rsid w:val="00AD5D1D"/>
    <w:rsid w:val="00AD703C"/>
    <w:rsid w:val="00AE0211"/>
    <w:rsid w:val="00AE43FC"/>
    <w:rsid w:val="00AF3885"/>
    <w:rsid w:val="00B0099A"/>
    <w:rsid w:val="00B009FF"/>
    <w:rsid w:val="00B0204C"/>
    <w:rsid w:val="00B02275"/>
    <w:rsid w:val="00B0543A"/>
    <w:rsid w:val="00B055C8"/>
    <w:rsid w:val="00B06DC9"/>
    <w:rsid w:val="00B073AF"/>
    <w:rsid w:val="00B14C35"/>
    <w:rsid w:val="00B15719"/>
    <w:rsid w:val="00B15F40"/>
    <w:rsid w:val="00B26282"/>
    <w:rsid w:val="00B31B7F"/>
    <w:rsid w:val="00B31ED9"/>
    <w:rsid w:val="00B32FD7"/>
    <w:rsid w:val="00B3324F"/>
    <w:rsid w:val="00B34737"/>
    <w:rsid w:val="00B34F89"/>
    <w:rsid w:val="00B35B7E"/>
    <w:rsid w:val="00B379B4"/>
    <w:rsid w:val="00B37BE5"/>
    <w:rsid w:val="00B40D11"/>
    <w:rsid w:val="00B4446B"/>
    <w:rsid w:val="00B45C43"/>
    <w:rsid w:val="00B50F4F"/>
    <w:rsid w:val="00B52765"/>
    <w:rsid w:val="00B54356"/>
    <w:rsid w:val="00B548E6"/>
    <w:rsid w:val="00B56BCD"/>
    <w:rsid w:val="00B57870"/>
    <w:rsid w:val="00B625C1"/>
    <w:rsid w:val="00B63DB6"/>
    <w:rsid w:val="00B644EA"/>
    <w:rsid w:val="00B70DBA"/>
    <w:rsid w:val="00B71804"/>
    <w:rsid w:val="00B731C7"/>
    <w:rsid w:val="00B736D0"/>
    <w:rsid w:val="00B7501F"/>
    <w:rsid w:val="00B76A53"/>
    <w:rsid w:val="00B80551"/>
    <w:rsid w:val="00B836FE"/>
    <w:rsid w:val="00B858C8"/>
    <w:rsid w:val="00B93222"/>
    <w:rsid w:val="00B94E48"/>
    <w:rsid w:val="00B95781"/>
    <w:rsid w:val="00B960A6"/>
    <w:rsid w:val="00B969F0"/>
    <w:rsid w:val="00B96E5A"/>
    <w:rsid w:val="00B978AE"/>
    <w:rsid w:val="00BA0677"/>
    <w:rsid w:val="00BA129E"/>
    <w:rsid w:val="00BA15B9"/>
    <w:rsid w:val="00BA16DB"/>
    <w:rsid w:val="00BA29B1"/>
    <w:rsid w:val="00BA4122"/>
    <w:rsid w:val="00BA441C"/>
    <w:rsid w:val="00BA64CC"/>
    <w:rsid w:val="00BA7628"/>
    <w:rsid w:val="00BB1029"/>
    <w:rsid w:val="00BB14EB"/>
    <w:rsid w:val="00BB212A"/>
    <w:rsid w:val="00BB5942"/>
    <w:rsid w:val="00BB618D"/>
    <w:rsid w:val="00BC4092"/>
    <w:rsid w:val="00BC4AFA"/>
    <w:rsid w:val="00BD0993"/>
    <w:rsid w:val="00BD3D77"/>
    <w:rsid w:val="00BD4C3D"/>
    <w:rsid w:val="00BD5C3D"/>
    <w:rsid w:val="00BE2EE2"/>
    <w:rsid w:val="00BE3562"/>
    <w:rsid w:val="00BF1D92"/>
    <w:rsid w:val="00BF580C"/>
    <w:rsid w:val="00BF5CC3"/>
    <w:rsid w:val="00BF5CD0"/>
    <w:rsid w:val="00BF5F6A"/>
    <w:rsid w:val="00C01E5B"/>
    <w:rsid w:val="00C023CE"/>
    <w:rsid w:val="00C04C6E"/>
    <w:rsid w:val="00C10618"/>
    <w:rsid w:val="00C117D8"/>
    <w:rsid w:val="00C127C2"/>
    <w:rsid w:val="00C13508"/>
    <w:rsid w:val="00C13DCC"/>
    <w:rsid w:val="00C20FB5"/>
    <w:rsid w:val="00C21611"/>
    <w:rsid w:val="00C233A0"/>
    <w:rsid w:val="00C24D62"/>
    <w:rsid w:val="00C302FE"/>
    <w:rsid w:val="00C3115F"/>
    <w:rsid w:val="00C32B8D"/>
    <w:rsid w:val="00C34798"/>
    <w:rsid w:val="00C3593E"/>
    <w:rsid w:val="00C36A2D"/>
    <w:rsid w:val="00C36F37"/>
    <w:rsid w:val="00C413A3"/>
    <w:rsid w:val="00C43E18"/>
    <w:rsid w:val="00C45BDF"/>
    <w:rsid w:val="00C503FF"/>
    <w:rsid w:val="00C52843"/>
    <w:rsid w:val="00C53A2B"/>
    <w:rsid w:val="00C53C9C"/>
    <w:rsid w:val="00C61D3F"/>
    <w:rsid w:val="00C63C02"/>
    <w:rsid w:val="00C64B70"/>
    <w:rsid w:val="00C674B4"/>
    <w:rsid w:val="00C67869"/>
    <w:rsid w:val="00C70A1F"/>
    <w:rsid w:val="00C732A4"/>
    <w:rsid w:val="00C7429C"/>
    <w:rsid w:val="00C7443B"/>
    <w:rsid w:val="00C75479"/>
    <w:rsid w:val="00C755CA"/>
    <w:rsid w:val="00C803F0"/>
    <w:rsid w:val="00C806B7"/>
    <w:rsid w:val="00C815F1"/>
    <w:rsid w:val="00C823B3"/>
    <w:rsid w:val="00C83A31"/>
    <w:rsid w:val="00C83F5D"/>
    <w:rsid w:val="00C84906"/>
    <w:rsid w:val="00C90D5B"/>
    <w:rsid w:val="00C932EA"/>
    <w:rsid w:val="00C9453E"/>
    <w:rsid w:val="00C94D94"/>
    <w:rsid w:val="00C960A8"/>
    <w:rsid w:val="00C968F2"/>
    <w:rsid w:val="00C97CE7"/>
    <w:rsid w:val="00CA027B"/>
    <w:rsid w:val="00CA2462"/>
    <w:rsid w:val="00CA2CA8"/>
    <w:rsid w:val="00CA30B6"/>
    <w:rsid w:val="00CA7223"/>
    <w:rsid w:val="00CB2311"/>
    <w:rsid w:val="00CB6A30"/>
    <w:rsid w:val="00CB7C83"/>
    <w:rsid w:val="00CC10E7"/>
    <w:rsid w:val="00CC1778"/>
    <w:rsid w:val="00CC1DB1"/>
    <w:rsid w:val="00CC33CF"/>
    <w:rsid w:val="00CC3DB2"/>
    <w:rsid w:val="00CC47E2"/>
    <w:rsid w:val="00CC5859"/>
    <w:rsid w:val="00CD01A8"/>
    <w:rsid w:val="00CD25E8"/>
    <w:rsid w:val="00CD39A4"/>
    <w:rsid w:val="00CD3EF4"/>
    <w:rsid w:val="00CD7C00"/>
    <w:rsid w:val="00CE0303"/>
    <w:rsid w:val="00CE16BB"/>
    <w:rsid w:val="00CF04BF"/>
    <w:rsid w:val="00CF28C2"/>
    <w:rsid w:val="00CF5699"/>
    <w:rsid w:val="00CF5E4D"/>
    <w:rsid w:val="00D0280F"/>
    <w:rsid w:val="00D037C1"/>
    <w:rsid w:val="00D06D19"/>
    <w:rsid w:val="00D07364"/>
    <w:rsid w:val="00D22522"/>
    <w:rsid w:val="00D24846"/>
    <w:rsid w:val="00D41A60"/>
    <w:rsid w:val="00D42CB3"/>
    <w:rsid w:val="00D43527"/>
    <w:rsid w:val="00D461DC"/>
    <w:rsid w:val="00D51695"/>
    <w:rsid w:val="00D60835"/>
    <w:rsid w:val="00D61D68"/>
    <w:rsid w:val="00D62D3D"/>
    <w:rsid w:val="00D64AEB"/>
    <w:rsid w:val="00D74147"/>
    <w:rsid w:val="00D76AE9"/>
    <w:rsid w:val="00D77274"/>
    <w:rsid w:val="00D849D1"/>
    <w:rsid w:val="00D853FC"/>
    <w:rsid w:val="00D94231"/>
    <w:rsid w:val="00D94FBF"/>
    <w:rsid w:val="00DA1E7D"/>
    <w:rsid w:val="00DA5FF5"/>
    <w:rsid w:val="00DB09DA"/>
    <w:rsid w:val="00DB2C2A"/>
    <w:rsid w:val="00DB35C5"/>
    <w:rsid w:val="00DB3641"/>
    <w:rsid w:val="00DB423A"/>
    <w:rsid w:val="00DB6B4F"/>
    <w:rsid w:val="00DC3781"/>
    <w:rsid w:val="00DC51DF"/>
    <w:rsid w:val="00DC72D2"/>
    <w:rsid w:val="00DC7BA5"/>
    <w:rsid w:val="00DD1D36"/>
    <w:rsid w:val="00DE091C"/>
    <w:rsid w:val="00DE2D2E"/>
    <w:rsid w:val="00DE4CF0"/>
    <w:rsid w:val="00DE6BF4"/>
    <w:rsid w:val="00DF1FCA"/>
    <w:rsid w:val="00DF242C"/>
    <w:rsid w:val="00DF2D76"/>
    <w:rsid w:val="00DF3E8A"/>
    <w:rsid w:val="00DF4925"/>
    <w:rsid w:val="00DF6DE8"/>
    <w:rsid w:val="00DF7E42"/>
    <w:rsid w:val="00E0314D"/>
    <w:rsid w:val="00E03422"/>
    <w:rsid w:val="00E101D1"/>
    <w:rsid w:val="00E1085C"/>
    <w:rsid w:val="00E1234D"/>
    <w:rsid w:val="00E132D1"/>
    <w:rsid w:val="00E20D8F"/>
    <w:rsid w:val="00E2247D"/>
    <w:rsid w:val="00E24631"/>
    <w:rsid w:val="00E25215"/>
    <w:rsid w:val="00E304F8"/>
    <w:rsid w:val="00E31975"/>
    <w:rsid w:val="00E3464F"/>
    <w:rsid w:val="00E36345"/>
    <w:rsid w:val="00E41B82"/>
    <w:rsid w:val="00E42DDD"/>
    <w:rsid w:val="00E43C02"/>
    <w:rsid w:val="00E44EB9"/>
    <w:rsid w:val="00E50480"/>
    <w:rsid w:val="00E57978"/>
    <w:rsid w:val="00E6491F"/>
    <w:rsid w:val="00E64E57"/>
    <w:rsid w:val="00E6526F"/>
    <w:rsid w:val="00E65C0A"/>
    <w:rsid w:val="00E66C78"/>
    <w:rsid w:val="00E85523"/>
    <w:rsid w:val="00E91E39"/>
    <w:rsid w:val="00E93654"/>
    <w:rsid w:val="00E955DC"/>
    <w:rsid w:val="00EA147B"/>
    <w:rsid w:val="00EA2964"/>
    <w:rsid w:val="00EA5FFC"/>
    <w:rsid w:val="00EA654B"/>
    <w:rsid w:val="00EB0196"/>
    <w:rsid w:val="00EB0D42"/>
    <w:rsid w:val="00EB2A70"/>
    <w:rsid w:val="00EB31D5"/>
    <w:rsid w:val="00EB4054"/>
    <w:rsid w:val="00EB4212"/>
    <w:rsid w:val="00EB448B"/>
    <w:rsid w:val="00EC375E"/>
    <w:rsid w:val="00EC5BF5"/>
    <w:rsid w:val="00EC5FEC"/>
    <w:rsid w:val="00EC6367"/>
    <w:rsid w:val="00EC6B53"/>
    <w:rsid w:val="00ED0770"/>
    <w:rsid w:val="00ED284A"/>
    <w:rsid w:val="00ED34FD"/>
    <w:rsid w:val="00ED5988"/>
    <w:rsid w:val="00EE030E"/>
    <w:rsid w:val="00EE0649"/>
    <w:rsid w:val="00EE18A2"/>
    <w:rsid w:val="00EE5579"/>
    <w:rsid w:val="00EF1D92"/>
    <w:rsid w:val="00EF3557"/>
    <w:rsid w:val="00F015ED"/>
    <w:rsid w:val="00F119FC"/>
    <w:rsid w:val="00F11B67"/>
    <w:rsid w:val="00F139B5"/>
    <w:rsid w:val="00F16E54"/>
    <w:rsid w:val="00F17513"/>
    <w:rsid w:val="00F17C7F"/>
    <w:rsid w:val="00F21287"/>
    <w:rsid w:val="00F21730"/>
    <w:rsid w:val="00F24E5F"/>
    <w:rsid w:val="00F26881"/>
    <w:rsid w:val="00F27ADD"/>
    <w:rsid w:val="00F329FC"/>
    <w:rsid w:val="00F330FE"/>
    <w:rsid w:val="00F3391E"/>
    <w:rsid w:val="00F35EE7"/>
    <w:rsid w:val="00F37AFF"/>
    <w:rsid w:val="00F42751"/>
    <w:rsid w:val="00F462CC"/>
    <w:rsid w:val="00F669B3"/>
    <w:rsid w:val="00F67FC8"/>
    <w:rsid w:val="00F70BF2"/>
    <w:rsid w:val="00F71272"/>
    <w:rsid w:val="00F808E9"/>
    <w:rsid w:val="00F83F48"/>
    <w:rsid w:val="00F84075"/>
    <w:rsid w:val="00F85B53"/>
    <w:rsid w:val="00F86784"/>
    <w:rsid w:val="00F86983"/>
    <w:rsid w:val="00F9055B"/>
    <w:rsid w:val="00F963D2"/>
    <w:rsid w:val="00F97D17"/>
    <w:rsid w:val="00FA31A6"/>
    <w:rsid w:val="00FA5D04"/>
    <w:rsid w:val="00FA6A93"/>
    <w:rsid w:val="00FC120F"/>
    <w:rsid w:val="00FC15DC"/>
    <w:rsid w:val="00FC1C9D"/>
    <w:rsid w:val="00FC7210"/>
    <w:rsid w:val="00FD10FF"/>
    <w:rsid w:val="00FD311D"/>
    <w:rsid w:val="00FD4D77"/>
    <w:rsid w:val="00FD5B77"/>
    <w:rsid w:val="00FE04B3"/>
    <w:rsid w:val="00FE09B8"/>
    <w:rsid w:val="00FE0FFF"/>
    <w:rsid w:val="00FE4A89"/>
    <w:rsid w:val="00FF2786"/>
    <w:rsid w:val="00FF76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0AB179D"/>
  <w15:docId w15:val="{84DF12E0-5657-441E-8207-C1CAC1BDA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0133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1174C3"/>
    <w:pPr>
      <w:keepNext/>
      <w:tabs>
        <w:tab w:val="left" w:pos="1195"/>
      </w:tabs>
      <w:spacing w:line="360" w:lineRule="atLeast"/>
      <w:ind w:left="1195" w:hanging="1195"/>
      <w:outlineLvl w:val="1"/>
    </w:pPr>
    <w:rPr>
      <w:rFonts w:ascii="Arial" w:hAnsi="Arial" w:cs="Arial"/>
      <w:b/>
      <w:bCs/>
      <w:sz w:val="18"/>
      <w:szCs w:val="18"/>
    </w:rPr>
  </w:style>
  <w:style w:type="paragraph" w:styleId="Heading3">
    <w:name w:val="heading 3"/>
    <w:basedOn w:val="Normal"/>
    <w:next w:val="Normal"/>
    <w:link w:val="Heading3Char"/>
    <w:qFormat/>
    <w:rsid w:val="001174C3"/>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174C3"/>
    <w:pPr>
      <w:keepNext/>
      <w:keepLines/>
      <w:spacing w:before="240" w:line="240" w:lineRule="atLeast"/>
      <w:jc w:val="center"/>
      <w:outlineLvl w:val="3"/>
    </w:pPr>
    <w:rPr>
      <w:rFonts w:ascii="Arial" w:hAnsi="Arial" w:cs="Arial"/>
      <w:b/>
      <w:bCs/>
      <w:sz w:val="18"/>
      <w:szCs w:val="18"/>
    </w:rPr>
  </w:style>
  <w:style w:type="paragraph" w:styleId="Heading5">
    <w:name w:val="heading 5"/>
    <w:basedOn w:val="Normal"/>
    <w:next w:val="Normal"/>
    <w:link w:val="Heading5Char"/>
    <w:qFormat/>
    <w:rsid w:val="001174C3"/>
    <w:pPr>
      <w:keepLines/>
      <w:spacing w:before="360" w:line="360" w:lineRule="atLeast"/>
      <w:jc w:val="center"/>
      <w:outlineLvl w:val="4"/>
    </w:pPr>
    <w:rPr>
      <w:rFonts w:ascii="Arial" w:hAnsi="Arial" w:cs="Arial"/>
      <w:sz w:val="18"/>
      <w:szCs w:val="18"/>
    </w:rPr>
  </w:style>
  <w:style w:type="paragraph" w:styleId="Heading6">
    <w:name w:val="heading 6"/>
    <w:basedOn w:val="Normal"/>
    <w:next w:val="Normal"/>
    <w:link w:val="Heading6Char"/>
    <w:qFormat/>
    <w:rsid w:val="001174C3"/>
    <w:pPr>
      <w:keepNext/>
      <w:spacing w:before="240" w:line="240" w:lineRule="atLeast"/>
      <w:jc w:val="center"/>
      <w:outlineLvl w:val="5"/>
    </w:pPr>
    <w:rPr>
      <w:rFonts w:ascii="Arial" w:hAnsi="Arial" w:cs="Arial"/>
      <w:b/>
      <w:bCs/>
      <w:caps/>
      <w:sz w:val="18"/>
      <w:szCs w:val="18"/>
    </w:rPr>
  </w:style>
  <w:style w:type="paragraph" w:styleId="Heading7">
    <w:name w:val="heading 7"/>
    <w:basedOn w:val="Normal"/>
    <w:next w:val="Normal"/>
    <w:link w:val="Heading7Char"/>
    <w:qFormat/>
    <w:rsid w:val="001174C3"/>
    <w:pPr>
      <w:spacing w:before="240" w:after="60" w:line="360" w:lineRule="atLeast"/>
      <w:ind w:firstLine="1152"/>
      <w:jc w:val="both"/>
      <w:outlineLvl w:val="6"/>
    </w:pPr>
    <w:rPr>
      <w:rFonts w:ascii="Arial" w:hAnsi="Arial" w:cs="Arial"/>
      <w:sz w:val="20"/>
      <w:szCs w:val="20"/>
    </w:rPr>
  </w:style>
  <w:style w:type="paragraph" w:styleId="Heading8">
    <w:name w:val="heading 8"/>
    <w:basedOn w:val="Normal"/>
    <w:next w:val="Normal"/>
    <w:link w:val="Heading8Char"/>
    <w:qFormat/>
    <w:rsid w:val="001174C3"/>
    <w:pPr>
      <w:keepNext/>
      <w:spacing w:line="240" w:lineRule="atLeast"/>
      <w:outlineLvl w:val="7"/>
    </w:pPr>
    <w:rPr>
      <w:rFonts w:ascii="Arial" w:hAnsi="Arial"/>
      <w:sz w:val="18"/>
      <w:szCs w:val="20"/>
    </w:rPr>
  </w:style>
  <w:style w:type="paragraph" w:styleId="Heading9">
    <w:name w:val="heading 9"/>
    <w:basedOn w:val="Normal"/>
    <w:next w:val="Normal"/>
    <w:link w:val="Heading9Char"/>
    <w:qFormat/>
    <w:rsid w:val="001174C3"/>
    <w:pPr>
      <w:keepNext/>
      <w:spacing w:line="240" w:lineRule="atLeast"/>
      <w:outlineLvl w:val="8"/>
    </w:pPr>
    <w:rPr>
      <w:rFonts w:ascii="Arial" w:hAnsi="Arial"/>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5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7F5C64"/>
    <w:rPr>
      <w:rFonts w:ascii="Segoe UI" w:hAnsi="Segoe UI" w:cs="Segoe UI"/>
      <w:sz w:val="18"/>
      <w:szCs w:val="18"/>
    </w:rPr>
  </w:style>
  <w:style w:type="character" w:customStyle="1" w:styleId="BalloonTextChar">
    <w:name w:val="Balloon Text Char"/>
    <w:basedOn w:val="DefaultParagraphFont"/>
    <w:link w:val="BalloonText"/>
    <w:uiPriority w:val="99"/>
    <w:rsid w:val="007F5C64"/>
    <w:rPr>
      <w:rFonts w:ascii="Segoe UI" w:hAnsi="Segoe UI" w:cs="Segoe UI"/>
      <w:sz w:val="18"/>
      <w:szCs w:val="18"/>
    </w:rPr>
  </w:style>
  <w:style w:type="paragraph" w:styleId="ListParagraph">
    <w:name w:val="List Paragraph"/>
    <w:basedOn w:val="Normal"/>
    <w:uiPriority w:val="34"/>
    <w:qFormat/>
    <w:rsid w:val="00AA680D"/>
    <w:pPr>
      <w:ind w:left="720"/>
      <w:contextualSpacing/>
    </w:pPr>
  </w:style>
  <w:style w:type="paragraph" w:styleId="Header">
    <w:name w:val="header"/>
    <w:basedOn w:val="Normal"/>
    <w:link w:val="HeaderChar"/>
    <w:unhideWhenUsed/>
    <w:rsid w:val="007570F6"/>
    <w:pPr>
      <w:tabs>
        <w:tab w:val="center" w:pos="4680"/>
        <w:tab w:val="right" w:pos="9360"/>
      </w:tabs>
    </w:pPr>
  </w:style>
  <w:style w:type="character" w:customStyle="1" w:styleId="HeaderChar">
    <w:name w:val="Header Char"/>
    <w:basedOn w:val="DefaultParagraphFont"/>
    <w:link w:val="Header"/>
    <w:rsid w:val="007570F6"/>
    <w:rPr>
      <w:sz w:val="24"/>
      <w:szCs w:val="24"/>
    </w:rPr>
  </w:style>
  <w:style w:type="paragraph" w:styleId="Footer">
    <w:name w:val="footer"/>
    <w:basedOn w:val="Normal"/>
    <w:link w:val="FooterChar"/>
    <w:unhideWhenUsed/>
    <w:rsid w:val="007570F6"/>
    <w:pPr>
      <w:tabs>
        <w:tab w:val="center" w:pos="4680"/>
        <w:tab w:val="right" w:pos="9360"/>
      </w:tabs>
    </w:pPr>
  </w:style>
  <w:style w:type="character" w:customStyle="1" w:styleId="FooterChar">
    <w:name w:val="Footer Char"/>
    <w:basedOn w:val="DefaultParagraphFont"/>
    <w:link w:val="Footer"/>
    <w:rsid w:val="007570F6"/>
    <w:rPr>
      <w:sz w:val="24"/>
      <w:szCs w:val="24"/>
    </w:rPr>
  </w:style>
  <w:style w:type="character" w:styleId="Hyperlink">
    <w:name w:val="Hyperlink"/>
    <w:basedOn w:val="DefaultParagraphFont"/>
    <w:unhideWhenUsed/>
    <w:rsid w:val="00D94231"/>
    <w:rPr>
      <w:color w:val="0000FF" w:themeColor="hyperlink"/>
      <w:u w:val="single"/>
    </w:rPr>
  </w:style>
  <w:style w:type="character" w:styleId="CommentReference">
    <w:name w:val="annotation reference"/>
    <w:basedOn w:val="DefaultParagraphFont"/>
    <w:uiPriority w:val="99"/>
    <w:unhideWhenUsed/>
    <w:rsid w:val="00067C42"/>
    <w:rPr>
      <w:sz w:val="16"/>
      <w:szCs w:val="16"/>
    </w:rPr>
  </w:style>
  <w:style w:type="paragraph" w:styleId="CommentText">
    <w:name w:val="annotation text"/>
    <w:basedOn w:val="Normal"/>
    <w:link w:val="CommentTextChar"/>
    <w:uiPriority w:val="99"/>
    <w:unhideWhenUsed/>
    <w:rsid w:val="00067C42"/>
    <w:rPr>
      <w:sz w:val="20"/>
      <w:szCs w:val="20"/>
    </w:rPr>
  </w:style>
  <w:style w:type="character" w:customStyle="1" w:styleId="CommentTextChar">
    <w:name w:val="Comment Text Char"/>
    <w:basedOn w:val="DefaultParagraphFont"/>
    <w:link w:val="CommentText"/>
    <w:uiPriority w:val="99"/>
    <w:rsid w:val="00067C42"/>
  </w:style>
  <w:style w:type="paragraph" w:styleId="CommentSubject">
    <w:name w:val="annotation subject"/>
    <w:basedOn w:val="CommentText"/>
    <w:next w:val="CommentText"/>
    <w:link w:val="CommentSubjectChar"/>
    <w:uiPriority w:val="99"/>
    <w:semiHidden/>
    <w:unhideWhenUsed/>
    <w:rsid w:val="00067C42"/>
    <w:rPr>
      <w:b/>
      <w:bCs/>
    </w:rPr>
  </w:style>
  <w:style w:type="character" w:customStyle="1" w:styleId="CommentSubjectChar">
    <w:name w:val="Comment Subject Char"/>
    <w:basedOn w:val="CommentTextChar"/>
    <w:link w:val="CommentSubject"/>
    <w:uiPriority w:val="99"/>
    <w:semiHidden/>
    <w:rsid w:val="00067C42"/>
    <w:rPr>
      <w:b/>
      <w:bCs/>
    </w:rPr>
  </w:style>
  <w:style w:type="paragraph" w:styleId="Title">
    <w:name w:val="Title"/>
    <w:basedOn w:val="Normal"/>
    <w:next w:val="Normal"/>
    <w:link w:val="TitleChar"/>
    <w:qFormat/>
    <w:rsid w:val="0080133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0133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801335"/>
    <w:rPr>
      <w:rFonts w:asciiTheme="majorHAnsi" w:eastAsiaTheme="majorEastAsia" w:hAnsiTheme="majorHAnsi" w:cstheme="majorBidi"/>
      <w:color w:val="365F91" w:themeColor="accent1" w:themeShade="BF"/>
      <w:sz w:val="32"/>
      <w:szCs w:val="32"/>
    </w:rPr>
  </w:style>
  <w:style w:type="table" w:customStyle="1" w:styleId="PlainTable11">
    <w:name w:val="Plain Table 11"/>
    <w:basedOn w:val="TableNormal"/>
    <w:uiPriority w:val="41"/>
    <w:rsid w:val="004D027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ndNoteBibliographyTitle">
    <w:name w:val="EndNote Bibliography Title"/>
    <w:basedOn w:val="Normal"/>
    <w:link w:val="EndNoteBibliographyTitleChar"/>
    <w:rsid w:val="00B548E6"/>
    <w:pPr>
      <w:jc w:val="center"/>
    </w:pPr>
    <w:rPr>
      <w:noProof/>
    </w:rPr>
  </w:style>
  <w:style w:type="character" w:customStyle="1" w:styleId="EndNoteBibliographyTitleChar">
    <w:name w:val="EndNote Bibliography Title Char"/>
    <w:basedOn w:val="DefaultParagraphFont"/>
    <w:link w:val="EndNoteBibliographyTitle"/>
    <w:rsid w:val="00B548E6"/>
    <w:rPr>
      <w:noProof/>
      <w:sz w:val="24"/>
      <w:szCs w:val="24"/>
    </w:rPr>
  </w:style>
  <w:style w:type="paragraph" w:customStyle="1" w:styleId="EndNoteBibliography">
    <w:name w:val="EndNote Bibliography"/>
    <w:basedOn w:val="Normal"/>
    <w:link w:val="EndNoteBibliographyChar"/>
    <w:rsid w:val="00B548E6"/>
    <w:pPr>
      <w:jc w:val="both"/>
    </w:pPr>
    <w:rPr>
      <w:noProof/>
    </w:rPr>
  </w:style>
  <w:style w:type="character" w:customStyle="1" w:styleId="EndNoteBibliographyChar">
    <w:name w:val="EndNote Bibliography Char"/>
    <w:basedOn w:val="DefaultParagraphFont"/>
    <w:link w:val="EndNoteBibliography"/>
    <w:rsid w:val="00B548E6"/>
    <w:rPr>
      <w:noProof/>
      <w:sz w:val="24"/>
      <w:szCs w:val="24"/>
    </w:rPr>
  </w:style>
  <w:style w:type="paragraph" w:customStyle="1" w:styleId="SL-FlLftSgl">
    <w:name w:val="SL-Fl Lft Sgl"/>
    <w:link w:val="SL-FlLftSglChar"/>
    <w:rsid w:val="00816AAB"/>
    <w:pPr>
      <w:spacing w:line="240" w:lineRule="atLeast"/>
      <w:jc w:val="both"/>
    </w:pPr>
    <w:rPr>
      <w:sz w:val="22"/>
    </w:rPr>
  </w:style>
  <w:style w:type="paragraph" w:styleId="NoSpacing">
    <w:name w:val="No Spacing"/>
    <w:uiPriority w:val="1"/>
    <w:qFormat/>
    <w:rsid w:val="00816AAB"/>
    <w:rPr>
      <w:rFonts w:ascii="Calibri" w:eastAsiaTheme="minorHAnsi" w:hAnsi="Calibri"/>
      <w:sz w:val="22"/>
      <w:szCs w:val="22"/>
    </w:rPr>
  </w:style>
  <w:style w:type="paragraph" w:styleId="Revision">
    <w:name w:val="Revision"/>
    <w:hidden/>
    <w:uiPriority w:val="99"/>
    <w:semiHidden/>
    <w:rsid w:val="00E6491F"/>
    <w:rPr>
      <w:sz w:val="24"/>
      <w:szCs w:val="24"/>
    </w:rPr>
  </w:style>
  <w:style w:type="character" w:customStyle="1" w:styleId="Heading2Char">
    <w:name w:val="Heading 2 Char"/>
    <w:basedOn w:val="DefaultParagraphFont"/>
    <w:link w:val="Heading2"/>
    <w:rsid w:val="001174C3"/>
    <w:rPr>
      <w:rFonts w:ascii="Arial" w:hAnsi="Arial" w:cs="Arial"/>
      <w:b/>
      <w:bCs/>
      <w:sz w:val="18"/>
      <w:szCs w:val="18"/>
    </w:rPr>
  </w:style>
  <w:style w:type="character" w:customStyle="1" w:styleId="Heading3Char">
    <w:name w:val="Heading 3 Char"/>
    <w:basedOn w:val="DefaultParagraphFont"/>
    <w:link w:val="Heading3"/>
    <w:rsid w:val="001174C3"/>
    <w:rPr>
      <w:rFonts w:ascii="Arial" w:hAnsi="Arial" w:cs="Arial"/>
      <w:b/>
      <w:bCs/>
      <w:sz w:val="26"/>
      <w:szCs w:val="26"/>
    </w:rPr>
  </w:style>
  <w:style w:type="character" w:customStyle="1" w:styleId="Heading4Char">
    <w:name w:val="Heading 4 Char"/>
    <w:basedOn w:val="DefaultParagraphFont"/>
    <w:link w:val="Heading4"/>
    <w:rsid w:val="001174C3"/>
    <w:rPr>
      <w:rFonts w:ascii="Arial" w:hAnsi="Arial" w:cs="Arial"/>
      <w:b/>
      <w:bCs/>
      <w:sz w:val="18"/>
      <w:szCs w:val="18"/>
    </w:rPr>
  </w:style>
  <w:style w:type="character" w:customStyle="1" w:styleId="Heading5Char">
    <w:name w:val="Heading 5 Char"/>
    <w:basedOn w:val="DefaultParagraphFont"/>
    <w:link w:val="Heading5"/>
    <w:rsid w:val="001174C3"/>
    <w:rPr>
      <w:rFonts w:ascii="Arial" w:hAnsi="Arial" w:cs="Arial"/>
      <w:sz w:val="18"/>
      <w:szCs w:val="18"/>
    </w:rPr>
  </w:style>
  <w:style w:type="character" w:customStyle="1" w:styleId="Heading6Char">
    <w:name w:val="Heading 6 Char"/>
    <w:basedOn w:val="DefaultParagraphFont"/>
    <w:link w:val="Heading6"/>
    <w:rsid w:val="001174C3"/>
    <w:rPr>
      <w:rFonts w:ascii="Arial" w:hAnsi="Arial" w:cs="Arial"/>
      <w:b/>
      <w:bCs/>
      <w:caps/>
      <w:sz w:val="18"/>
      <w:szCs w:val="18"/>
    </w:rPr>
  </w:style>
  <w:style w:type="character" w:customStyle="1" w:styleId="Heading7Char">
    <w:name w:val="Heading 7 Char"/>
    <w:basedOn w:val="DefaultParagraphFont"/>
    <w:link w:val="Heading7"/>
    <w:rsid w:val="001174C3"/>
    <w:rPr>
      <w:rFonts w:ascii="Arial" w:hAnsi="Arial" w:cs="Arial"/>
    </w:rPr>
  </w:style>
  <w:style w:type="character" w:customStyle="1" w:styleId="Heading8Char">
    <w:name w:val="Heading 8 Char"/>
    <w:basedOn w:val="DefaultParagraphFont"/>
    <w:link w:val="Heading8"/>
    <w:rsid w:val="001174C3"/>
    <w:rPr>
      <w:rFonts w:ascii="Arial" w:hAnsi="Arial"/>
      <w:sz w:val="18"/>
    </w:rPr>
  </w:style>
  <w:style w:type="character" w:customStyle="1" w:styleId="Heading9Char">
    <w:name w:val="Heading 9 Char"/>
    <w:basedOn w:val="DefaultParagraphFont"/>
    <w:link w:val="Heading9"/>
    <w:rsid w:val="001174C3"/>
    <w:rPr>
      <w:rFonts w:ascii="Arial" w:hAnsi="Arial"/>
      <w:sz w:val="32"/>
    </w:rPr>
  </w:style>
  <w:style w:type="paragraph" w:styleId="BodyText">
    <w:name w:val="Body Text"/>
    <w:basedOn w:val="Normal"/>
    <w:link w:val="BodyTextChar"/>
    <w:rsid w:val="001174C3"/>
    <w:pPr>
      <w:spacing w:after="120"/>
    </w:pPr>
  </w:style>
  <w:style w:type="character" w:customStyle="1" w:styleId="BodyTextChar">
    <w:name w:val="Body Text Char"/>
    <w:basedOn w:val="DefaultParagraphFont"/>
    <w:link w:val="BodyText"/>
    <w:rsid w:val="001174C3"/>
    <w:rPr>
      <w:sz w:val="24"/>
      <w:szCs w:val="24"/>
    </w:rPr>
  </w:style>
  <w:style w:type="paragraph" w:styleId="Subtitle">
    <w:name w:val="Subtitle"/>
    <w:basedOn w:val="Normal"/>
    <w:link w:val="SubtitleChar"/>
    <w:qFormat/>
    <w:rsid w:val="001174C3"/>
    <w:pPr>
      <w:spacing w:after="60"/>
      <w:jc w:val="center"/>
      <w:outlineLvl w:val="1"/>
    </w:pPr>
    <w:rPr>
      <w:rFonts w:ascii="Arial" w:hAnsi="Arial" w:cs="Arial"/>
    </w:rPr>
  </w:style>
  <w:style w:type="character" w:customStyle="1" w:styleId="SubtitleChar">
    <w:name w:val="Subtitle Char"/>
    <w:basedOn w:val="DefaultParagraphFont"/>
    <w:link w:val="Subtitle"/>
    <w:rsid w:val="001174C3"/>
    <w:rPr>
      <w:rFonts w:ascii="Arial" w:hAnsi="Arial" w:cs="Arial"/>
      <w:sz w:val="24"/>
      <w:szCs w:val="24"/>
    </w:rPr>
  </w:style>
  <w:style w:type="paragraph" w:customStyle="1" w:styleId="Style1">
    <w:name w:val="Style1"/>
    <w:basedOn w:val="Normal"/>
    <w:rsid w:val="001174C3"/>
    <w:pPr>
      <w:widowControl w:val="0"/>
      <w:tabs>
        <w:tab w:val="left" w:pos="720"/>
      </w:tabs>
      <w:autoSpaceDE w:val="0"/>
      <w:autoSpaceDN w:val="0"/>
      <w:adjustRightInd w:val="0"/>
      <w:ind w:right="783"/>
    </w:pPr>
    <w:rPr>
      <w:rFonts w:cs="Arial"/>
    </w:rPr>
  </w:style>
  <w:style w:type="paragraph" w:customStyle="1" w:styleId="BodyStyle1">
    <w:name w:val="Body Style1"/>
    <w:basedOn w:val="BodyText"/>
    <w:rsid w:val="001174C3"/>
    <w:pPr>
      <w:tabs>
        <w:tab w:val="left" w:pos="720"/>
      </w:tabs>
      <w:spacing w:line="240" w:lineRule="atLeast"/>
      <w:ind w:left="720"/>
    </w:pPr>
    <w:rPr>
      <w:rFonts w:ascii="Arial" w:hAnsi="Arial"/>
      <w:spacing w:val="-5"/>
      <w:sz w:val="20"/>
      <w:szCs w:val="20"/>
    </w:rPr>
  </w:style>
  <w:style w:type="paragraph" w:customStyle="1" w:styleId="HeadingStyle1">
    <w:name w:val="Heading Style1"/>
    <w:basedOn w:val="Heading3"/>
    <w:next w:val="BodyStyle1"/>
    <w:rsid w:val="001174C3"/>
    <w:pPr>
      <w:keepLines/>
      <w:spacing w:before="120" w:after="120" w:line="240" w:lineRule="atLeast"/>
      <w:ind w:left="360"/>
    </w:pPr>
    <w:rPr>
      <w:rFonts w:ascii="Arial Black" w:hAnsi="Arial Black" w:cs="Times New Roman"/>
      <w:b w:val="0"/>
      <w:bCs w:val="0"/>
      <w:spacing w:val="-10"/>
      <w:kern w:val="28"/>
      <w:sz w:val="20"/>
      <w:szCs w:val="20"/>
    </w:rPr>
  </w:style>
  <w:style w:type="paragraph" w:customStyle="1" w:styleId="Style2">
    <w:name w:val="Style2"/>
    <w:rsid w:val="001174C3"/>
    <w:rPr>
      <w:sz w:val="16"/>
      <w:szCs w:val="16"/>
    </w:rPr>
  </w:style>
  <w:style w:type="paragraph" w:customStyle="1" w:styleId="Style3">
    <w:name w:val="Style3"/>
    <w:basedOn w:val="PlainText"/>
    <w:rsid w:val="001174C3"/>
  </w:style>
  <w:style w:type="paragraph" w:styleId="PlainText">
    <w:name w:val="Plain Text"/>
    <w:basedOn w:val="Normal"/>
    <w:link w:val="PlainTextChar"/>
    <w:rsid w:val="001174C3"/>
    <w:rPr>
      <w:rFonts w:ascii="Courier New" w:hAnsi="Courier New" w:cs="Courier New"/>
      <w:sz w:val="20"/>
      <w:szCs w:val="20"/>
    </w:rPr>
  </w:style>
  <w:style w:type="character" w:customStyle="1" w:styleId="PlainTextChar">
    <w:name w:val="Plain Text Char"/>
    <w:basedOn w:val="DefaultParagraphFont"/>
    <w:link w:val="PlainText"/>
    <w:rsid w:val="001174C3"/>
    <w:rPr>
      <w:rFonts w:ascii="Courier New" w:hAnsi="Courier New" w:cs="Courier New"/>
    </w:rPr>
  </w:style>
  <w:style w:type="paragraph" w:styleId="BodyTextFirstIndent">
    <w:name w:val="Body Text First Indent"/>
    <w:basedOn w:val="BodyText"/>
    <w:link w:val="BodyTextFirstIndentChar"/>
    <w:rsid w:val="001174C3"/>
    <w:pPr>
      <w:ind w:firstLine="210"/>
    </w:pPr>
  </w:style>
  <w:style w:type="character" w:customStyle="1" w:styleId="BodyTextFirstIndentChar">
    <w:name w:val="Body Text First Indent Char"/>
    <w:basedOn w:val="BodyTextChar"/>
    <w:link w:val="BodyTextFirstIndent"/>
    <w:rsid w:val="001174C3"/>
    <w:rPr>
      <w:sz w:val="24"/>
      <w:szCs w:val="24"/>
    </w:rPr>
  </w:style>
  <w:style w:type="paragraph" w:styleId="BodyTextIndent">
    <w:name w:val="Body Text Indent"/>
    <w:basedOn w:val="Normal"/>
    <w:link w:val="BodyTextIndentChar"/>
    <w:rsid w:val="001174C3"/>
    <w:pPr>
      <w:spacing w:after="120"/>
      <w:ind w:left="360"/>
    </w:pPr>
  </w:style>
  <w:style w:type="character" w:customStyle="1" w:styleId="BodyTextIndentChar">
    <w:name w:val="Body Text Indent Char"/>
    <w:basedOn w:val="DefaultParagraphFont"/>
    <w:link w:val="BodyTextIndent"/>
    <w:rsid w:val="001174C3"/>
    <w:rPr>
      <w:sz w:val="24"/>
      <w:szCs w:val="24"/>
    </w:rPr>
  </w:style>
  <w:style w:type="paragraph" w:styleId="BodyTextFirstIndent2">
    <w:name w:val="Body Text First Indent 2"/>
    <w:basedOn w:val="BodyTextIndent"/>
    <w:link w:val="BodyTextFirstIndent2Char"/>
    <w:rsid w:val="001174C3"/>
    <w:pPr>
      <w:ind w:firstLine="210"/>
    </w:pPr>
  </w:style>
  <w:style w:type="character" w:customStyle="1" w:styleId="BodyTextFirstIndent2Char">
    <w:name w:val="Body Text First Indent 2 Char"/>
    <w:basedOn w:val="BodyTextIndentChar"/>
    <w:link w:val="BodyTextFirstIndent2"/>
    <w:rsid w:val="001174C3"/>
    <w:rPr>
      <w:sz w:val="24"/>
      <w:szCs w:val="24"/>
    </w:rPr>
  </w:style>
  <w:style w:type="paragraph" w:styleId="BodyTextIndent2">
    <w:name w:val="Body Text Indent 2"/>
    <w:basedOn w:val="Normal"/>
    <w:link w:val="BodyTextIndent2Char"/>
    <w:rsid w:val="001174C3"/>
    <w:pPr>
      <w:spacing w:after="120" w:line="480" w:lineRule="auto"/>
      <w:ind w:left="360"/>
    </w:pPr>
  </w:style>
  <w:style w:type="character" w:customStyle="1" w:styleId="BodyTextIndent2Char">
    <w:name w:val="Body Text Indent 2 Char"/>
    <w:basedOn w:val="DefaultParagraphFont"/>
    <w:link w:val="BodyTextIndent2"/>
    <w:rsid w:val="001174C3"/>
    <w:rPr>
      <w:sz w:val="24"/>
      <w:szCs w:val="24"/>
    </w:rPr>
  </w:style>
  <w:style w:type="paragraph" w:customStyle="1" w:styleId="Q1-FirstLevelQuestion">
    <w:name w:val="Q1-First Level Question"/>
    <w:link w:val="Q1-FirstLevelQuestionChar"/>
    <w:rsid w:val="001174C3"/>
    <w:pPr>
      <w:tabs>
        <w:tab w:val="left" w:pos="1152"/>
      </w:tabs>
      <w:spacing w:line="240" w:lineRule="atLeast"/>
      <w:ind w:left="1152" w:hanging="1152"/>
      <w:jc w:val="both"/>
    </w:pPr>
    <w:rPr>
      <w:rFonts w:ascii="Arial" w:hAnsi="Arial"/>
      <w:sz w:val="18"/>
    </w:rPr>
  </w:style>
  <w:style w:type="character" w:customStyle="1" w:styleId="Q1-FirstLevelQuestionChar">
    <w:name w:val="Q1-First Level Question Char"/>
    <w:link w:val="Q1-FirstLevelQuestion"/>
    <w:rsid w:val="001174C3"/>
    <w:rPr>
      <w:rFonts w:ascii="Arial" w:hAnsi="Arial"/>
      <w:sz w:val="18"/>
    </w:rPr>
  </w:style>
  <w:style w:type="paragraph" w:customStyle="1" w:styleId="A5-2ndLeader">
    <w:name w:val="A5-2nd Leader"/>
    <w:link w:val="A5-2ndLeaderChar"/>
    <w:rsid w:val="001174C3"/>
    <w:pPr>
      <w:tabs>
        <w:tab w:val="right" w:leader="dot" w:pos="7200"/>
        <w:tab w:val="right" w:pos="7488"/>
        <w:tab w:val="left" w:pos="7632"/>
      </w:tabs>
      <w:spacing w:line="240" w:lineRule="atLeast"/>
      <w:ind w:left="3600"/>
    </w:pPr>
    <w:rPr>
      <w:rFonts w:ascii="Arial" w:hAnsi="Arial"/>
      <w:sz w:val="18"/>
    </w:rPr>
  </w:style>
  <w:style w:type="character" w:customStyle="1" w:styleId="A5-2ndLeaderChar">
    <w:name w:val="A5-2nd Leader Char"/>
    <w:link w:val="A5-2ndLeader"/>
    <w:locked/>
    <w:rsid w:val="001174C3"/>
    <w:rPr>
      <w:rFonts w:ascii="Arial" w:hAnsi="Arial"/>
      <w:sz w:val="18"/>
    </w:rPr>
  </w:style>
  <w:style w:type="character" w:customStyle="1" w:styleId="SL-FlLftSglChar">
    <w:name w:val="SL-Fl Lft Sgl Char"/>
    <w:link w:val="SL-FlLftSgl"/>
    <w:rsid w:val="001174C3"/>
    <w:rPr>
      <w:sz w:val="22"/>
    </w:rPr>
  </w:style>
  <w:style w:type="paragraph" w:customStyle="1" w:styleId="C1-CtrBoldHd">
    <w:name w:val="C1-Ctr BoldHd"/>
    <w:rsid w:val="001174C3"/>
    <w:pPr>
      <w:keepNext/>
      <w:spacing w:line="240" w:lineRule="atLeast"/>
      <w:jc w:val="center"/>
    </w:pPr>
    <w:rPr>
      <w:rFonts w:ascii="Arial" w:hAnsi="Arial"/>
      <w:b/>
      <w:caps/>
      <w:sz w:val="18"/>
    </w:rPr>
  </w:style>
  <w:style w:type="paragraph" w:customStyle="1" w:styleId="C2-CtrSglSp">
    <w:name w:val="C2-Ctr Sgl Sp"/>
    <w:rsid w:val="001174C3"/>
    <w:pPr>
      <w:keepNext/>
      <w:spacing w:line="240" w:lineRule="atLeast"/>
      <w:jc w:val="center"/>
    </w:pPr>
    <w:rPr>
      <w:rFonts w:ascii="Arial" w:hAnsi="Arial"/>
      <w:sz w:val="18"/>
    </w:rPr>
  </w:style>
  <w:style w:type="table" w:customStyle="1" w:styleId="TableNormal1">
    <w:name w:val="Table Normal1"/>
    <w:next w:val="TableNormal"/>
    <w:semiHidden/>
    <w:rsid w:val="001174C3"/>
    <w:rPr>
      <w:rFonts w:ascii="CG Times (WN)" w:hAnsi="CG Times (WN)"/>
      <w:lang w:eastAsia="zh-TW"/>
    </w:rPr>
    <w:tblPr>
      <w:tblInd w:w="0" w:type="dxa"/>
      <w:tblCellMar>
        <w:top w:w="0" w:type="dxa"/>
        <w:left w:w="108" w:type="dxa"/>
        <w:bottom w:w="0" w:type="dxa"/>
        <w:right w:w="108" w:type="dxa"/>
      </w:tblCellMar>
    </w:tblPr>
  </w:style>
  <w:style w:type="character" w:styleId="PageNumber">
    <w:name w:val="page number"/>
    <w:basedOn w:val="DefaultParagraphFont"/>
    <w:rsid w:val="001174C3"/>
  </w:style>
  <w:style w:type="paragraph" w:customStyle="1" w:styleId="N0-FlLftBullet">
    <w:name w:val="N0-Fl Lft Bullet"/>
    <w:basedOn w:val="Normal"/>
    <w:rsid w:val="001174C3"/>
    <w:pPr>
      <w:tabs>
        <w:tab w:val="left" w:pos="576"/>
      </w:tabs>
      <w:spacing w:after="240" w:line="240" w:lineRule="atLeast"/>
      <w:ind w:left="576" w:hanging="576"/>
      <w:jc w:val="both"/>
    </w:pPr>
    <w:rPr>
      <w:sz w:val="22"/>
      <w:szCs w:val="22"/>
    </w:rPr>
  </w:style>
  <w:style w:type="paragraph" w:styleId="BodyText2">
    <w:name w:val="Body Text 2"/>
    <w:basedOn w:val="Normal"/>
    <w:link w:val="BodyText2Char"/>
    <w:rsid w:val="001174C3"/>
    <w:pPr>
      <w:tabs>
        <w:tab w:val="left" w:pos="5130"/>
        <w:tab w:val="left" w:pos="5760"/>
        <w:tab w:val="left" w:pos="6300"/>
        <w:tab w:val="left" w:pos="6660"/>
      </w:tabs>
      <w:spacing w:line="360" w:lineRule="atLeast"/>
      <w:ind w:firstLine="1152"/>
      <w:jc w:val="both"/>
    </w:pPr>
    <w:rPr>
      <w:rFonts w:ascii="Arial" w:hAnsi="Arial" w:cs="Arial"/>
      <w:sz w:val="23"/>
      <w:szCs w:val="23"/>
    </w:rPr>
  </w:style>
  <w:style w:type="character" w:customStyle="1" w:styleId="BodyText2Char">
    <w:name w:val="Body Text 2 Char"/>
    <w:basedOn w:val="DefaultParagraphFont"/>
    <w:link w:val="BodyText2"/>
    <w:rsid w:val="001174C3"/>
    <w:rPr>
      <w:rFonts w:ascii="Arial" w:hAnsi="Arial" w:cs="Arial"/>
      <w:sz w:val="23"/>
      <w:szCs w:val="23"/>
    </w:rPr>
  </w:style>
  <w:style w:type="paragraph" w:styleId="BodyText3">
    <w:name w:val="Body Text 3"/>
    <w:basedOn w:val="Normal"/>
    <w:link w:val="BodyText3Char"/>
    <w:rsid w:val="001174C3"/>
    <w:pPr>
      <w:tabs>
        <w:tab w:val="left" w:pos="3600"/>
        <w:tab w:val="left" w:pos="5130"/>
        <w:tab w:val="left" w:pos="5760"/>
      </w:tabs>
      <w:spacing w:line="360" w:lineRule="atLeast"/>
      <w:ind w:firstLine="1152"/>
      <w:jc w:val="both"/>
    </w:pPr>
    <w:rPr>
      <w:rFonts w:ascii="Arial" w:hAnsi="Arial" w:cs="Arial"/>
      <w:sz w:val="18"/>
      <w:szCs w:val="18"/>
    </w:rPr>
  </w:style>
  <w:style w:type="character" w:customStyle="1" w:styleId="BodyText3Char">
    <w:name w:val="Body Text 3 Char"/>
    <w:basedOn w:val="DefaultParagraphFont"/>
    <w:link w:val="BodyText3"/>
    <w:rsid w:val="001174C3"/>
    <w:rPr>
      <w:rFonts w:ascii="Arial" w:hAnsi="Arial" w:cs="Arial"/>
      <w:sz w:val="18"/>
      <w:szCs w:val="18"/>
    </w:rPr>
  </w:style>
  <w:style w:type="paragraph" w:styleId="BodyTextIndent3">
    <w:name w:val="Body Text Indent 3"/>
    <w:basedOn w:val="Normal"/>
    <w:link w:val="BodyTextIndent3Char"/>
    <w:rsid w:val="001174C3"/>
    <w:pPr>
      <w:spacing w:line="360" w:lineRule="atLeast"/>
      <w:ind w:left="-90" w:firstLine="1152"/>
      <w:jc w:val="both"/>
    </w:pPr>
    <w:rPr>
      <w:rFonts w:ascii="Arial" w:hAnsi="Arial" w:cs="Arial"/>
      <w:sz w:val="23"/>
      <w:szCs w:val="23"/>
    </w:rPr>
  </w:style>
  <w:style w:type="character" w:customStyle="1" w:styleId="BodyTextIndent3Char">
    <w:name w:val="Body Text Indent 3 Char"/>
    <w:basedOn w:val="DefaultParagraphFont"/>
    <w:link w:val="BodyTextIndent3"/>
    <w:rsid w:val="001174C3"/>
    <w:rPr>
      <w:rFonts w:ascii="Arial" w:hAnsi="Arial" w:cs="Arial"/>
      <w:sz w:val="23"/>
      <w:szCs w:val="23"/>
    </w:rPr>
  </w:style>
  <w:style w:type="paragraph" w:customStyle="1" w:styleId="N1-1stBullet">
    <w:name w:val="N1-1st Bullet"/>
    <w:rsid w:val="001174C3"/>
    <w:pPr>
      <w:tabs>
        <w:tab w:val="left" w:pos="1152"/>
      </w:tabs>
      <w:spacing w:after="240" w:line="240" w:lineRule="atLeast"/>
      <w:ind w:left="1152" w:hanging="576"/>
      <w:jc w:val="both"/>
    </w:pPr>
    <w:rPr>
      <w:rFonts w:ascii="Arial" w:hAnsi="Arial" w:cs="Arial"/>
      <w:sz w:val="18"/>
      <w:szCs w:val="18"/>
    </w:rPr>
  </w:style>
  <w:style w:type="paragraph" w:customStyle="1" w:styleId="N2-2ndBullet">
    <w:name w:val="N2-2nd Bullet"/>
    <w:rsid w:val="001174C3"/>
    <w:pPr>
      <w:tabs>
        <w:tab w:val="left" w:pos="1728"/>
      </w:tabs>
      <w:spacing w:after="240" w:line="240" w:lineRule="atLeast"/>
      <w:ind w:left="1728" w:hanging="576"/>
      <w:jc w:val="both"/>
    </w:pPr>
    <w:rPr>
      <w:rFonts w:ascii="Arial" w:hAnsi="Arial" w:cs="Arial"/>
      <w:sz w:val="18"/>
      <w:szCs w:val="18"/>
    </w:rPr>
  </w:style>
  <w:style w:type="paragraph" w:customStyle="1" w:styleId="N3-3rdBullet">
    <w:name w:val="N3-3rd Bullet"/>
    <w:rsid w:val="001174C3"/>
    <w:pPr>
      <w:tabs>
        <w:tab w:val="left" w:pos="2304"/>
      </w:tabs>
      <w:spacing w:after="240" w:line="240" w:lineRule="atLeast"/>
      <w:ind w:left="2304" w:hanging="576"/>
      <w:jc w:val="both"/>
    </w:pPr>
    <w:rPr>
      <w:rFonts w:ascii="Arial" w:hAnsi="Arial" w:cs="Arial"/>
      <w:sz w:val="18"/>
      <w:szCs w:val="18"/>
    </w:rPr>
  </w:style>
  <w:style w:type="paragraph" w:customStyle="1" w:styleId="L1-FlLfSp12">
    <w:name w:val="L1-FlLfSp&amp;1/2"/>
    <w:rsid w:val="001174C3"/>
    <w:pPr>
      <w:tabs>
        <w:tab w:val="left" w:pos="1152"/>
      </w:tabs>
      <w:spacing w:line="360" w:lineRule="atLeast"/>
      <w:jc w:val="both"/>
    </w:pPr>
    <w:rPr>
      <w:rFonts w:ascii="Arial" w:hAnsi="Arial" w:cs="Arial"/>
      <w:sz w:val="18"/>
      <w:szCs w:val="18"/>
    </w:rPr>
  </w:style>
  <w:style w:type="paragraph" w:customStyle="1" w:styleId="SP-SglSpPara">
    <w:name w:val="SP-Sgl Sp Para"/>
    <w:rsid w:val="001174C3"/>
    <w:pPr>
      <w:spacing w:line="240" w:lineRule="atLeast"/>
      <w:ind w:firstLine="576"/>
      <w:jc w:val="both"/>
    </w:pPr>
    <w:rPr>
      <w:rFonts w:ascii="Arial" w:hAnsi="Arial" w:cs="Arial"/>
      <w:sz w:val="18"/>
      <w:szCs w:val="18"/>
    </w:rPr>
  </w:style>
  <w:style w:type="paragraph" w:customStyle="1" w:styleId="P1-StandPara">
    <w:name w:val="P1-Stand Para"/>
    <w:rsid w:val="001174C3"/>
    <w:pPr>
      <w:spacing w:line="360" w:lineRule="atLeast"/>
      <w:ind w:firstLine="1152"/>
      <w:jc w:val="both"/>
    </w:pPr>
    <w:rPr>
      <w:rFonts w:ascii="Arial" w:hAnsi="Arial" w:cs="Arial"/>
      <w:sz w:val="18"/>
      <w:szCs w:val="18"/>
    </w:rPr>
  </w:style>
  <w:style w:type="paragraph" w:customStyle="1" w:styleId="Q2-SecondLevelQuestion">
    <w:name w:val="Q2-Second Level Question"/>
    <w:rsid w:val="001174C3"/>
    <w:pPr>
      <w:tabs>
        <w:tab w:val="left" w:pos="1440"/>
      </w:tabs>
      <w:spacing w:line="240" w:lineRule="atLeast"/>
      <w:ind w:left="1440" w:hanging="720"/>
      <w:jc w:val="both"/>
    </w:pPr>
    <w:rPr>
      <w:rFonts w:ascii="Arial" w:hAnsi="Arial" w:cs="Arial"/>
      <w:sz w:val="18"/>
      <w:szCs w:val="18"/>
    </w:rPr>
  </w:style>
  <w:style w:type="paragraph" w:customStyle="1" w:styleId="A1-1stLeader">
    <w:name w:val="A1-1st Leader"/>
    <w:rsid w:val="001174C3"/>
    <w:pPr>
      <w:tabs>
        <w:tab w:val="right" w:leader="dot" w:pos="7200"/>
        <w:tab w:val="right" w:pos="7488"/>
        <w:tab w:val="left" w:pos="7632"/>
      </w:tabs>
      <w:spacing w:line="240" w:lineRule="atLeast"/>
      <w:ind w:left="1440"/>
    </w:pPr>
    <w:rPr>
      <w:rFonts w:ascii="Arial" w:hAnsi="Arial" w:cs="Arial"/>
      <w:sz w:val="18"/>
      <w:szCs w:val="18"/>
    </w:rPr>
  </w:style>
  <w:style w:type="paragraph" w:customStyle="1" w:styleId="A3-1stTabLeader">
    <w:name w:val="A3-1st Tab Leader"/>
    <w:rsid w:val="001174C3"/>
    <w:pPr>
      <w:tabs>
        <w:tab w:val="left" w:pos="1872"/>
        <w:tab w:val="right" w:leader="dot" w:pos="7200"/>
        <w:tab w:val="right" w:pos="7488"/>
        <w:tab w:val="left" w:pos="7632"/>
      </w:tabs>
      <w:spacing w:line="240" w:lineRule="atLeast"/>
      <w:ind w:left="1440"/>
    </w:pPr>
    <w:rPr>
      <w:rFonts w:ascii="Arial" w:hAnsi="Arial" w:cs="Arial"/>
      <w:sz w:val="18"/>
      <w:szCs w:val="18"/>
    </w:rPr>
  </w:style>
  <w:style w:type="paragraph" w:customStyle="1" w:styleId="A4-1stTabLine">
    <w:name w:val="A4-1st Tab Line"/>
    <w:rsid w:val="001174C3"/>
    <w:pPr>
      <w:tabs>
        <w:tab w:val="left" w:pos="1872"/>
        <w:tab w:val="right" w:leader="underscore" w:pos="7200"/>
        <w:tab w:val="right" w:pos="7488"/>
        <w:tab w:val="left" w:pos="7632"/>
      </w:tabs>
      <w:spacing w:line="240" w:lineRule="atLeast"/>
      <w:ind w:left="1440"/>
    </w:pPr>
    <w:rPr>
      <w:rFonts w:ascii="Arial" w:hAnsi="Arial" w:cs="Arial"/>
      <w:sz w:val="18"/>
      <w:szCs w:val="18"/>
    </w:rPr>
  </w:style>
  <w:style w:type="paragraph" w:customStyle="1" w:styleId="A6-2ndLine">
    <w:name w:val="A6-2nd Line"/>
    <w:rsid w:val="001174C3"/>
    <w:pPr>
      <w:tabs>
        <w:tab w:val="right" w:leader="underscore" w:pos="7200"/>
        <w:tab w:val="right" w:pos="7488"/>
        <w:tab w:val="left" w:pos="7632"/>
      </w:tabs>
      <w:spacing w:line="240" w:lineRule="atLeast"/>
      <w:ind w:left="3600"/>
    </w:pPr>
    <w:rPr>
      <w:rFonts w:ascii="Arial" w:hAnsi="Arial" w:cs="Arial"/>
      <w:sz w:val="18"/>
      <w:szCs w:val="18"/>
    </w:rPr>
  </w:style>
  <w:style w:type="paragraph" w:customStyle="1" w:styleId="A2-lstLine">
    <w:name w:val="A2-lst Line"/>
    <w:rsid w:val="001174C3"/>
    <w:pPr>
      <w:tabs>
        <w:tab w:val="right" w:leader="underscore" w:pos="7200"/>
        <w:tab w:val="right" w:pos="7488"/>
        <w:tab w:val="left" w:pos="7632"/>
      </w:tabs>
      <w:spacing w:line="240" w:lineRule="atLeast"/>
      <w:ind w:left="1440"/>
    </w:pPr>
    <w:rPr>
      <w:rFonts w:ascii="Arial" w:hAnsi="Arial" w:cs="Arial"/>
      <w:sz w:val="18"/>
      <w:szCs w:val="18"/>
    </w:rPr>
  </w:style>
  <w:style w:type="paragraph" w:customStyle="1" w:styleId="Y0-YNHead">
    <w:name w:val="Y0-Y/N Head"/>
    <w:rsid w:val="001174C3"/>
    <w:pPr>
      <w:tabs>
        <w:tab w:val="center" w:pos="7632"/>
        <w:tab w:val="center" w:pos="8352"/>
        <w:tab w:val="center" w:pos="9072"/>
      </w:tabs>
      <w:spacing w:line="240" w:lineRule="atLeast"/>
      <w:ind w:left="7200"/>
    </w:pPr>
    <w:rPr>
      <w:rFonts w:ascii="Arial" w:hAnsi="Arial" w:cs="Arial"/>
      <w:sz w:val="18"/>
      <w:szCs w:val="18"/>
      <w:u w:val="words"/>
    </w:rPr>
  </w:style>
  <w:style w:type="paragraph" w:customStyle="1" w:styleId="Y3-YNTabLeader">
    <w:name w:val="Y3-Y/N Tab Leader"/>
    <w:rsid w:val="001174C3"/>
    <w:pPr>
      <w:tabs>
        <w:tab w:val="left" w:pos="1872"/>
        <w:tab w:val="right" w:leader="dot" w:pos="7200"/>
        <w:tab w:val="center" w:pos="7632"/>
        <w:tab w:val="center" w:pos="8352"/>
        <w:tab w:val="center" w:pos="9072"/>
      </w:tabs>
      <w:spacing w:line="240" w:lineRule="atLeast"/>
      <w:ind w:left="1440"/>
    </w:pPr>
    <w:rPr>
      <w:rFonts w:ascii="Arial" w:hAnsi="Arial" w:cs="Arial"/>
      <w:sz w:val="18"/>
      <w:szCs w:val="18"/>
    </w:rPr>
  </w:style>
  <w:style w:type="paragraph" w:customStyle="1" w:styleId="Y4-YNTabLine">
    <w:name w:val="Y4-Y/N Tab Line"/>
    <w:rsid w:val="001174C3"/>
    <w:pPr>
      <w:tabs>
        <w:tab w:val="left" w:pos="1872"/>
        <w:tab w:val="right" w:leader="underscore" w:pos="7200"/>
        <w:tab w:val="center" w:pos="7632"/>
        <w:tab w:val="center" w:pos="8352"/>
        <w:tab w:val="center" w:pos="9072"/>
      </w:tabs>
      <w:spacing w:line="240" w:lineRule="atLeast"/>
      <w:ind w:left="1440"/>
    </w:pPr>
    <w:rPr>
      <w:rFonts w:ascii="Arial" w:hAnsi="Arial" w:cs="Arial"/>
      <w:sz w:val="18"/>
      <w:szCs w:val="18"/>
    </w:rPr>
  </w:style>
  <w:style w:type="paragraph" w:customStyle="1" w:styleId="Y5-YN2ndLeader">
    <w:name w:val="Y5-Y/N 2nd Leader"/>
    <w:rsid w:val="001174C3"/>
    <w:pPr>
      <w:tabs>
        <w:tab w:val="right" w:leader="dot" w:pos="7200"/>
        <w:tab w:val="center" w:pos="7632"/>
        <w:tab w:val="center" w:pos="8352"/>
        <w:tab w:val="center" w:pos="9072"/>
      </w:tabs>
      <w:spacing w:line="240" w:lineRule="atLeast"/>
      <w:ind w:left="3600"/>
    </w:pPr>
    <w:rPr>
      <w:rFonts w:ascii="Arial" w:hAnsi="Arial" w:cs="Arial"/>
      <w:sz w:val="18"/>
      <w:szCs w:val="18"/>
    </w:rPr>
  </w:style>
  <w:style w:type="paragraph" w:customStyle="1" w:styleId="Y6-YN2ndLine">
    <w:name w:val="Y6-Y/N 2nd Line"/>
    <w:rsid w:val="001174C3"/>
    <w:pPr>
      <w:tabs>
        <w:tab w:val="right" w:leader="underscore" w:pos="7200"/>
        <w:tab w:val="center" w:pos="7632"/>
        <w:tab w:val="center" w:pos="8352"/>
        <w:tab w:val="center" w:pos="9072"/>
      </w:tabs>
      <w:spacing w:line="240" w:lineRule="atLeast"/>
      <w:ind w:left="3600"/>
    </w:pPr>
    <w:rPr>
      <w:rFonts w:ascii="Arial" w:hAnsi="Arial" w:cs="Arial"/>
      <w:sz w:val="18"/>
      <w:szCs w:val="18"/>
    </w:rPr>
  </w:style>
  <w:style w:type="paragraph" w:customStyle="1" w:styleId="Y1-YN1stLeader">
    <w:name w:val="Y1-Y/N 1st Leader"/>
    <w:rsid w:val="001174C3"/>
    <w:pPr>
      <w:tabs>
        <w:tab w:val="right" w:leader="dot" w:pos="7200"/>
        <w:tab w:val="center" w:pos="7632"/>
        <w:tab w:val="center" w:pos="8352"/>
        <w:tab w:val="center" w:pos="9072"/>
      </w:tabs>
      <w:spacing w:line="240" w:lineRule="atLeast"/>
      <w:ind w:left="1440"/>
    </w:pPr>
    <w:rPr>
      <w:rFonts w:ascii="Arial" w:hAnsi="Arial" w:cs="Arial"/>
      <w:sz w:val="18"/>
      <w:szCs w:val="18"/>
    </w:rPr>
  </w:style>
  <w:style w:type="paragraph" w:customStyle="1" w:styleId="Y2-YN1stLine">
    <w:name w:val="Y2-Y/N 1st Line"/>
    <w:rsid w:val="001174C3"/>
    <w:pPr>
      <w:tabs>
        <w:tab w:val="right" w:leader="underscore" w:pos="7200"/>
        <w:tab w:val="center" w:pos="7632"/>
        <w:tab w:val="center" w:pos="8352"/>
        <w:tab w:val="center" w:pos="9072"/>
      </w:tabs>
      <w:spacing w:line="240" w:lineRule="atLeast"/>
      <w:ind w:left="1440"/>
    </w:pPr>
    <w:rPr>
      <w:rFonts w:ascii="Arial" w:hAnsi="Arial" w:cs="Arial"/>
      <w:sz w:val="18"/>
      <w:szCs w:val="18"/>
    </w:rPr>
  </w:style>
  <w:style w:type="paragraph" w:customStyle="1" w:styleId="TitleCover">
    <w:name w:val="Title Cover"/>
    <w:basedOn w:val="Normal"/>
    <w:next w:val="Normal"/>
    <w:rsid w:val="001174C3"/>
    <w:pPr>
      <w:keepNext/>
      <w:keepLines/>
      <w:pBdr>
        <w:top w:val="single" w:sz="48" w:space="31" w:color="auto"/>
      </w:pBdr>
      <w:tabs>
        <w:tab w:val="left" w:pos="0"/>
      </w:tabs>
      <w:spacing w:before="240" w:after="500" w:line="640" w:lineRule="exact"/>
    </w:pPr>
    <w:rPr>
      <w:rFonts w:ascii="Arial Black" w:hAnsi="Arial Black"/>
      <w:b/>
      <w:spacing w:val="-48"/>
      <w:kern w:val="28"/>
      <w:sz w:val="64"/>
      <w:szCs w:val="20"/>
    </w:rPr>
  </w:style>
  <w:style w:type="paragraph" w:customStyle="1" w:styleId="StyleSubtitleCover2TopNoborder">
    <w:name w:val="Style Subtitle Cover2 + Top: (No border)"/>
    <w:basedOn w:val="Normal"/>
    <w:rsid w:val="001174C3"/>
    <w:pPr>
      <w:keepNext/>
      <w:keepLines/>
      <w:spacing w:line="480" w:lineRule="atLeast"/>
      <w:jc w:val="right"/>
    </w:pPr>
    <w:rPr>
      <w:kern w:val="28"/>
      <w:sz w:val="32"/>
      <w:szCs w:val="20"/>
    </w:rPr>
  </w:style>
  <w:style w:type="paragraph" w:styleId="EndnoteText">
    <w:name w:val="endnote text"/>
    <w:basedOn w:val="Normal"/>
    <w:link w:val="EndnoteTextChar"/>
    <w:uiPriority w:val="99"/>
    <w:semiHidden/>
    <w:unhideWhenUsed/>
    <w:rsid w:val="001174C3"/>
    <w:pPr>
      <w:spacing w:line="360" w:lineRule="atLeast"/>
      <w:ind w:firstLine="1152"/>
      <w:jc w:val="both"/>
    </w:pPr>
    <w:rPr>
      <w:rFonts w:ascii="Arial" w:hAnsi="Arial" w:cs="Arial"/>
      <w:sz w:val="20"/>
      <w:szCs w:val="20"/>
    </w:rPr>
  </w:style>
  <w:style w:type="character" w:customStyle="1" w:styleId="EndnoteTextChar">
    <w:name w:val="Endnote Text Char"/>
    <w:basedOn w:val="DefaultParagraphFont"/>
    <w:link w:val="EndnoteText"/>
    <w:uiPriority w:val="99"/>
    <w:semiHidden/>
    <w:rsid w:val="001174C3"/>
    <w:rPr>
      <w:rFonts w:ascii="Arial" w:hAnsi="Arial" w:cs="Arial"/>
    </w:rPr>
  </w:style>
  <w:style w:type="character" w:styleId="EndnoteReference">
    <w:name w:val="endnote reference"/>
    <w:uiPriority w:val="99"/>
    <w:semiHidden/>
    <w:unhideWhenUsed/>
    <w:rsid w:val="001174C3"/>
    <w:rPr>
      <w:vertAlign w:val="superscript"/>
    </w:rPr>
  </w:style>
  <w:style w:type="paragraph" w:styleId="NormalWeb">
    <w:name w:val="Normal (Web)"/>
    <w:basedOn w:val="Normal"/>
    <w:uiPriority w:val="99"/>
    <w:semiHidden/>
    <w:unhideWhenUsed/>
    <w:rsid w:val="001174C3"/>
    <w:pPr>
      <w:spacing w:before="100" w:beforeAutospacing="1" w:after="100" w:afterAutospacing="1"/>
    </w:pPr>
    <w:rPr>
      <w:rFonts w:ascii="Verdana" w:hAnsi="Verdana"/>
      <w:sz w:val="12"/>
      <w:szCs w:val="12"/>
    </w:rPr>
  </w:style>
  <w:style w:type="character" w:customStyle="1" w:styleId="A5-2ndLeade">
    <w:name w:val="A5-2nd Leade"/>
    <w:rsid w:val="001174C3"/>
  </w:style>
  <w:style w:type="paragraph" w:customStyle="1" w:styleId="Default">
    <w:name w:val="Default"/>
    <w:rsid w:val="001174C3"/>
    <w:pPr>
      <w:autoSpaceDE w:val="0"/>
      <w:autoSpaceDN w:val="0"/>
      <w:adjustRightInd w:val="0"/>
    </w:pPr>
    <w:rPr>
      <w:color w:val="000000"/>
      <w:sz w:val="24"/>
      <w:szCs w:val="24"/>
    </w:rPr>
  </w:style>
  <w:style w:type="paragraph" w:customStyle="1" w:styleId="MTDisplayEquation">
    <w:name w:val="MTDisplayEquation"/>
    <w:basedOn w:val="Normal"/>
    <w:next w:val="Normal"/>
    <w:link w:val="MTDisplayEquationChar"/>
    <w:rsid w:val="001174C3"/>
    <w:pPr>
      <w:tabs>
        <w:tab w:val="center" w:pos="4900"/>
        <w:tab w:val="right" w:pos="9800"/>
      </w:tabs>
      <w:spacing w:line="360" w:lineRule="atLeast"/>
      <w:ind w:firstLine="1152"/>
      <w:jc w:val="both"/>
    </w:pPr>
    <w:rPr>
      <w:rFonts w:ascii="Arial" w:hAnsi="Arial" w:cs="Arial"/>
      <w:sz w:val="18"/>
      <w:szCs w:val="18"/>
    </w:rPr>
  </w:style>
  <w:style w:type="character" w:customStyle="1" w:styleId="MTDisplayEquationChar">
    <w:name w:val="MTDisplayEquation Char"/>
    <w:basedOn w:val="DefaultParagraphFont"/>
    <w:link w:val="MTDisplayEquation"/>
    <w:rsid w:val="001174C3"/>
    <w:rPr>
      <w:rFonts w:ascii="Arial" w:hAnsi="Arial" w:cs="Arial"/>
      <w:sz w:val="18"/>
      <w:szCs w:val="18"/>
    </w:rPr>
  </w:style>
  <w:style w:type="character" w:customStyle="1" w:styleId="Q1-FirstLev">
    <w:name w:val="Q1-First Lev"/>
    <w:rsid w:val="001174C3"/>
  </w:style>
  <w:style w:type="character" w:customStyle="1" w:styleId="CharacterStyle1">
    <w:name w:val="Character Style 1"/>
    <w:uiPriority w:val="99"/>
    <w:rsid w:val="001174C3"/>
    <w:rPr>
      <w:rFonts w:ascii="Arial" w:hAnsi="Arial"/>
      <w:sz w:val="18"/>
    </w:rPr>
  </w:style>
  <w:style w:type="character" w:styleId="Emphasis">
    <w:name w:val="Emphasis"/>
    <w:basedOn w:val="DefaultParagraphFont"/>
    <w:uiPriority w:val="20"/>
    <w:qFormat/>
    <w:rsid w:val="001174C3"/>
    <w:rPr>
      <w:i/>
      <w:iCs/>
    </w:rPr>
  </w:style>
  <w:style w:type="paragraph" w:styleId="FootnoteText">
    <w:name w:val="footnote text"/>
    <w:basedOn w:val="Normal"/>
    <w:link w:val="FootnoteTextChar"/>
    <w:uiPriority w:val="99"/>
    <w:unhideWhenUsed/>
    <w:rsid w:val="0029212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29212A"/>
    <w:rPr>
      <w:rFonts w:asciiTheme="minorHAnsi" w:eastAsiaTheme="minorHAnsi" w:hAnsiTheme="minorHAnsi" w:cstheme="minorBidi"/>
    </w:rPr>
  </w:style>
  <w:style w:type="character" w:styleId="FootnoteReference">
    <w:name w:val="footnote reference"/>
    <w:basedOn w:val="DefaultParagraphFont"/>
    <w:unhideWhenUsed/>
    <w:rsid w:val="0029212A"/>
    <w:rPr>
      <w:vertAlign w:val="superscript"/>
    </w:rPr>
  </w:style>
  <w:style w:type="character" w:customStyle="1" w:styleId="ablue">
    <w:name w:val="ablue"/>
    <w:basedOn w:val="DefaultParagraphFont"/>
    <w:uiPriority w:val="1"/>
    <w:qFormat/>
    <w:rsid w:val="00D0280F"/>
    <w:rPr>
      <w:color w:val="3333FF"/>
    </w:rPr>
  </w:style>
  <w:style w:type="paragraph" w:customStyle="1" w:styleId="m7797442034888548057m-8983394223609312062m-7846231463367660444m5916642096953914132m2725520085100697541m-589295464688407517m-520824643703404419gmail-m-3549093940348842156msolistparagraph">
    <w:name w:val="m_7797442034888548057m_-8983394223609312062m_-7846231463367660444m_5916642096953914132m_2725520085100697541m_-589295464688407517m_-520824643703404419gmail-m_-3549093940348842156msolistparagraph"/>
    <w:basedOn w:val="Normal"/>
    <w:rsid w:val="00AB7DE3"/>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3991">
      <w:bodyDiv w:val="1"/>
      <w:marLeft w:val="0"/>
      <w:marRight w:val="0"/>
      <w:marTop w:val="0"/>
      <w:marBottom w:val="0"/>
      <w:divBdr>
        <w:top w:val="none" w:sz="0" w:space="0" w:color="auto"/>
        <w:left w:val="none" w:sz="0" w:space="0" w:color="auto"/>
        <w:bottom w:val="none" w:sz="0" w:space="0" w:color="auto"/>
        <w:right w:val="none" w:sz="0" w:space="0" w:color="auto"/>
      </w:divBdr>
    </w:div>
    <w:div w:id="100341136">
      <w:bodyDiv w:val="1"/>
      <w:marLeft w:val="0"/>
      <w:marRight w:val="0"/>
      <w:marTop w:val="0"/>
      <w:marBottom w:val="0"/>
      <w:divBdr>
        <w:top w:val="none" w:sz="0" w:space="0" w:color="auto"/>
        <w:left w:val="none" w:sz="0" w:space="0" w:color="auto"/>
        <w:bottom w:val="none" w:sz="0" w:space="0" w:color="auto"/>
        <w:right w:val="none" w:sz="0" w:space="0" w:color="auto"/>
      </w:divBdr>
    </w:div>
    <w:div w:id="468286994">
      <w:bodyDiv w:val="1"/>
      <w:marLeft w:val="0"/>
      <w:marRight w:val="0"/>
      <w:marTop w:val="0"/>
      <w:marBottom w:val="0"/>
      <w:divBdr>
        <w:top w:val="none" w:sz="0" w:space="0" w:color="auto"/>
        <w:left w:val="none" w:sz="0" w:space="0" w:color="auto"/>
        <w:bottom w:val="none" w:sz="0" w:space="0" w:color="auto"/>
        <w:right w:val="none" w:sz="0" w:space="0" w:color="auto"/>
      </w:divBdr>
    </w:div>
    <w:div w:id="855652983">
      <w:bodyDiv w:val="1"/>
      <w:marLeft w:val="0"/>
      <w:marRight w:val="0"/>
      <w:marTop w:val="0"/>
      <w:marBottom w:val="0"/>
      <w:divBdr>
        <w:top w:val="none" w:sz="0" w:space="0" w:color="auto"/>
        <w:left w:val="none" w:sz="0" w:space="0" w:color="auto"/>
        <w:bottom w:val="none" w:sz="0" w:space="0" w:color="auto"/>
        <w:right w:val="none" w:sz="0" w:space="0" w:color="auto"/>
      </w:divBdr>
    </w:div>
    <w:div w:id="1360938297">
      <w:bodyDiv w:val="1"/>
      <w:marLeft w:val="0"/>
      <w:marRight w:val="0"/>
      <w:marTop w:val="0"/>
      <w:marBottom w:val="0"/>
      <w:divBdr>
        <w:top w:val="none" w:sz="0" w:space="0" w:color="auto"/>
        <w:left w:val="none" w:sz="0" w:space="0" w:color="auto"/>
        <w:bottom w:val="none" w:sz="0" w:space="0" w:color="auto"/>
        <w:right w:val="none" w:sz="0" w:space="0" w:color="auto"/>
      </w:divBdr>
    </w:div>
    <w:div w:id="1436293540">
      <w:bodyDiv w:val="1"/>
      <w:marLeft w:val="0"/>
      <w:marRight w:val="0"/>
      <w:marTop w:val="0"/>
      <w:marBottom w:val="0"/>
      <w:divBdr>
        <w:top w:val="none" w:sz="0" w:space="0" w:color="auto"/>
        <w:left w:val="none" w:sz="0" w:space="0" w:color="auto"/>
        <w:bottom w:val="none" w:sz="0" w:space="0" w:color="auto"/>
        <w:right w:val="none" w:sz="0" w:space="0" w:color="auto"/>
      </w:divBdr>
    </w:div>
    <w:div w:id="1566719914">
      <w:bodyDiv w:val="1"/>
      <w:marLeft w:val="0"/>
      <w:marRight w:val="0"/>
      <w:marTop w:val="0"/>
      <w:marBottom w:val="0"/>
      <w:divBdr>
        <w:top w:val="none" w:sz="0" w:space="0" w:color="auto"/>
        <w:left w:val="none" w:sz="0" w:space="0" w:color="auto"/>
        <w:bottom w:val="none" w:sz="0" w:space="0" w:color="auto"/>
        <w:right w:val="none" w:sz="0" w:space="0" w:color="auto"/>
      </w:divBdr>
    </w:div>
    <w:div w:id="209617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37A3C9123BDE44C8AD50F808F186529" ma:contentTypeVersion="10" ma:contentTypeDescription="Create a new document." ma:contentTypeScope="" ma:versionID="98b94320b4ea7035686d47034c622e09">
  <xsd:schema xmlns:xsd="http://www.w3.org/2001/XMLSchema" xmlns:xs="http://www.w3.org/2001/XMLSchema" xmlns:p="http://schemas.microsoft.com/office/2006/metadata/properties" xmlns:ns3="4f5febe0-14ac-4f16-963b-fc17ffa2fe2a" targetNamespace="http://schemas.microsoft.com/office/2006/metadata/properties" ma:root="true" ma:fieldsID="5c1a27583baecd5a7c13d63e6471bfad" ns3:_="">
    <xsd:import namespace="4f5febe0-14ac-4f16-963b-fc17ffa2fe2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febe0-14ac-4f16-963b-fc17ffa2fe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15A559-D965-4D06-9181-187D8EFACF9F}">
  <ds:schemaRefs>
    <ds:schemaRef ds:uri="http://schemas.microsoft.com/sharepoint/v3/contenttype/forms"/>
  </ds:schemaRefs>
</ds:datastoreItem>
</file>

<file path=customXml/itemProps2.xml><?xml version="1.0" encoding="utf-8"?>
<ds:datastoreItem xmlns:ds="http://schemas.openxmlformats.org/officeDocument/2006/customXml" ds:itemID="{97654966-88F3-4D8E-BACD-2BBF7B21585C}">
  <ds:schemaRefs>
    <ds:schemaRef ds:uri="http://schemas.openxmlformats.org/officeDocument/2006/bibliography"/>
  </ds:schemaRefs>
</ds:datastoreItem>
</file>

<file path=customXml/itemProps3.xml><?xml version="1.0" encoding="utf-8"?>
<ds:datastoreItem xmlns:ds="http://schemas.openxmlformats.org/officeDocument/2006/customXml" ds:itemID="{479340AC-E66F-4108-9233-8BC17FDF3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febe0-14ac-4f16-963b-fc17ffa2f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7DD0DC-ECF1-43E8-B703-D77F402A82E0}">
  <ds:schemaRef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4f5febe0-14ac-4f16-963b-fc17ffa2fe2a"/>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4142</Words>
  <Characters>23166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Williams</dc:creator>
  <cp:keywords/>
  <dc:description/>
  <cp:lastModifiedBy>Graham, Carlos (SAMHSA/OA)</cp:lastModifiedBy>
  <cp:revision>4</cp:revision>
  <cp:lastPrinted>2018-10-19T12:47:00Z</cp:lastPrinted>
  <dcterms:created xsi:type="dcterms:W3CDTF">2021-09-21T20:00:00Z</dcterms:created>
  <dcterms:modified xsi:type="dcterms:W3CDTF">2021-10-04T15:55:00Z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0x010100037A3C9123BDE44C8AD50F808F186529</vt:lpwstr>
  </property>
</Properties>
</file>