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306A" w:rsidR="00B427AC" w:rsidP="00B427AC" w:rsidRDefault="00B427AC" w14:paraId="2F568AE1" w14:textId="0DD48231">
      <w:pPr>
        <w:rPr>
          <w:rFonts w:ascii="Times New Roman" w:hAnsi="Times New Roman" w:cs="Times New Roman"/>
          <w:b/>
        </w:rPr>
      </w:pPr>
      <w:r w:rsidRPr="003C306A">
        <w:rPr>
          <w:rFonts w:ascii="Times New Roman" w:hAnsi="Times New Roman" w:cs="Times New Roman"/>
          <w:b/>
        </w:rPr>
        <w:t xml:space="preserve">National Survey on Drug Use and Health (NSDUH) </w:t>
      </w:r>
      <w:r w:rsidR="004E59B6">
        <w:rPr>
          <w:rFonts w:ascii="Times New Roman" w:hAnsi="Times New Roman" w:cs="Times New Roman"/>
          <w:b/>
        </w:rPr>
        <w:t>Incentive Experiment</w:t>
      </w:r>
      <w:r w:rsidR="00610F0D">
        <w:rPr>
          <w:rFonts w:ascii="Times New Roman" w:hAnsi="Times New Roman" w:cs="Times New Roman"/>
          <w:b/>
        </w:rPr>
        <w:t xml:space="preserve"> Addendum</w:t>
      </w:r>
    </w:p>
    <w:p w:rsidRPr="003C306A" w:rsidR="00A27AFA" w:rsidP="00A27AFA" w:rsidRDefault="00A27AFA" w14:paraId="261AB8F9" w14:textId="77777777">
      <w:pPr>
        <w:rPr>
          <w:rFonts w:ascii="Times New Roman" w:hAnsi="Times New Roman" w:cs="Times New Roman"/>
        </w:rPr>
      </w:pPr>
    </w:p>
    <w:p w:rsidRPr="00BF2183" w:rsidR="00535718" w:rsidP="00212BCD" w:rsidRDefault="001D7049" w14:paraId="06592CE2" w14:textId="7FCD804C">
      <w:pPr>
        <w:rPr>
          <w:rFonts w:ascii="Times New Roman" w:hAnsi="Times New Roman" w:cs="Times New Roman"/>
        </w:rPr>
      </w:pPr>
      <w:r w:rsidRPr="00BF2183">
        <w:rPr>
          <w:rFonts w:ascii="Times New Roman" w:hAnsi="Times New Roman" w:cs="Times New Roman"/>
        </w:rPr>
        <w:t>Similar to other national surveys, response rates for NSDUH have been declining (Center for Behavioral Health Statistics and Quality, 2013; 2014; 2015; 2016; 2017)</w:t>
      </w:r>
      <w:r w:rsidRPr="00BF2183" w:rsidR="0098731F">
        <w:rPr>
          <w:rFonts w:ascii="Times New Roman" w:hAnsi="Times New Roman" w:cs="Times New Roman"/>
        </w:rPr>
        <w:t xml:space="preserve"> </w:t>
      </w:r>
      <w:r w:rsidRPr="00BF2183" w:rsidR="00DD63F9">
        <w:rPr>
          <w:rFonts w:ascii="Times New Roman" w:hAnsi="Times New Roman" w:cs="Times New Roman"/>
        </w:rPr>
        <w:t>and this</w:t>
      </w:r>
      <w:r w:rsidRPr="00BF2183" w:rsidR="0098731F">
        <w:rPr>
          <w:rFonts w:ascii="Times New Roman" w:hAnsi="Times New Roman" w:cs="Times New Roman"/>
        </w:rPr>
        <w:t xml:space="preserve"> is particularly true for screening response rates</w:t>
      </w:r>
      <w:r w:rsidRPr="00BF2183">
        <w:rPr>
          <w:rFonts w:ascii="Times New Roman" w:hAnsi="Times New Roman" w:cs="Times New Roman"/>
        </w:rPr>
        <w:t>. Adding a screening incentive and increasing the main interview incentive could increase participation at both the screening and interviewing stages</w:t>
      </w:r>
      <w:r w:rsidRPr="00BF2183" w:rsidR="0098731F">
        <w:rPr>
          <w:rFonts w:ascii="Times New Roman" w:hAnsi="Times New Roman" w:cs="Times New Roman"/>
        </w:rPr>
        <w:t xml:space="preserve">. </w:t>
      </w:r>
      <w:r w:rsidRPr="00BF2183" w:rsidR="00C81B0E">
        <w:rPr>
          <w:rFonts w:ascii="Times New Roman" w:hAnsi="Times New Roman" w:cs="Times New Roman"/>
        </w:rPr>
        <w:t>If lower response rates reflect systematic shifts in who is being screened</w:t>
      </w:r>
      <w:r w:rsidR="00FF4914">
        <w:rPr>
          <w:rFonts w:ascii="Times New Roman" w:hAnsi="Times New Roman" w:cs="Times New Roman"/>
        </w:rPr>
        <w:t>,</w:t>
      </w:r>
      <w:r w:rsidRPr="00BF2183" w:rsidR="00C81B0E">
        <w:rPr>
          <w:rFonts w:ascii="Times New Roman" w:hAnsi="Times New Roman" w:cs="Times New Roman"/>
        </w:rPr>
        <w:t xml:space="preserve"> then increasing screening response could reduce nonre</w:t>
      </w:r>
      <w:r w:rsidRPr="00BF2183" w:rsidR="00DD63F9">
        <w:rPr>
          <w:rFonts w:ascii="Times New Roman" w:hAnsi="Times New Roman" w:cs="Times New Roman"/>
        </w:rPr>
        <w:t xml:space="preserve">sponse bias across both stages </w:t>
      </w:r>
      <w:r w:rsidRPr="00BF2183">
        <w:rPr>
          <w:rFonts w:ascii="Times New Roman" w:hAnsi="Times New Roman" w:cs="Times New Roman"/>
        </w:rPr>
        <w:t>and</w:t>
      </w:r>
      <w:r w:rsidR="00FF4914">
        <w:rPr>
          <w:rFonts w:ascii="Times New Roman" w:hAnsi="Times New Roman" w:cs="Times New Roman"/>
        </w:rPr>
        <w:t>,</w:t>
      </w:r>
      <w:r w:rsidRPr="00BF2183">
        <w:rPr>
          <w:rFonts w:ascii="Times New Roman" w:hAnsi="Times New Roman" w:cs="Times New Roman"/>
        </w:rPr>
        <w:t xml:space="preserve"> therefore, reduce the potential for nonresponse bias in key NSDUH estimates</w:t>
      </w:r>
      <w:r w:rsidRPr="00BF2183" w:rsidR="00EE7703">
        <w:rPr>
          <w:rFonts w:ascii="Times New Roman" w:hAnsi="Times New Roman" w:cs="Times New Roman"/>
        </w:rPr>
        <w:t>.</w:t>
      </w:r>
      <w:r w:rsidRPr="00BF2183">
        <w:rPr>
          <w:rFonts w:ascii="Times New Roman" w:hAnsi="Times New Roman" w:cs="Times New Roman"/>
        </w:rPr>
        <w:t xml:space="preserve"> </w:t>
      </w:r>
    </w:p>
    <w:p w:rsidRPr="00BF2183" w:rsidR="00535718" w:rsidP="00212BCD" w:rsidRDefault="00535718" w14:paraId="261B875C" w14:textId="77777777">
      <w:pPr>
        <w:rPr>
          <w:rFonts w:ascii="Times New Roman" w:hAnsi="Times New Roman" w:cs="Times New Roman"/>
        </w:rPr>
      </w:pPr>
    </w:p>
    <w:p w:rsidRPr="00BF2183" w:rsidR="00297CD1" w:rsidP="00212BCD" w:rsidRDefault="00D52252" w14:paraId="0924A32D" w14:textId="77777777">
      <w:pPr>
        <w:rPr>
          <w:rFonts w:ascii="Times New Roman" w:hAnsi="Times New Roman" w:cs="Times New Roman"/>
        </w:rPr>
      </w:pPr>
      <w:bookmarkStart w:name="_Hlk82985372" w:id="0"/>
      <w:r w:rsidRPr="00BF2183">
        <w:rPr>
          <w:rFonts w:ascii="Times New Roman" w:hAnsi="Times New Roman" w:cs="Times New Roman"/>
        </w:rPr>
        <w:t xml:space="preserve">The literature on incentives demonstrates </w:t>
      </w:r>
      <w:r w:rsidRPr="00BF2183" w:rsidR="00EE7703">
        <w:rPr>
          <w:rFonts w:ascii="Times New Roman" w:hAnsi="Times New Roman" w:cs="Times New Roman"/>
        </w:rPr>
        <w:t xml:space="preserve">that </w:t>
      </w:r>
      <w:r w:rsidRPr="00BF2183">
        <w:rPr>
          <w:rFonts w:ascii="Times New Roman" w:hAnsi="Times New Roman" w:cs="Times New Roman"/>
        </w:rPr>
        <w:t>monetary incentives are effective in increasing survey cooperation rates. Multiple studies have shown that incentives tend to increase participation among sample members who are less interested in or involved with the survey topic (Groves, Singer, &amp; Corning, 2000; Groves, Presser, &amp; Dipko, 2004; Groves et al., 2006).</w:t>
      </w:r>
      <w:r w:rsidRPr="00BF2183" w:rsidR="00297CD1">
        <w:rPr>
          <w:rFonts w:ascii="Times New Roman" w:hAnsi="Times New Roman" w:eastAsia="Times New Roman" w:cs="Times New Roman"/>
        </w:rPr>
        <w:t xml:space="preserve"> Research has also demonstrated that r</w:t>
      </w:r>
      <w:r w:rsidRPr="00BF2183" w:rsidR="00297CD1">
        <w:rPr>
          <w:rFonts w:ascii="Times New Roman" w:hAnsi="Times New Roman" w:cs="Times New Roman"/>
        </w:rPr>
        <w:t>espondent incentives (either at the screening or interview stage) can increase response rates and, in some situations, can reduce nonresponse bias in survey estimates (Armstrong, 1975; Church, 1993; Groves &amp; Couper, 1998; Groves et al., 2006; Kulka, 1994; Singer, 2002; Singer &amp; Ye, 2013).</w:t>
      </w:r>
      <w:r w:rsidRPr="00BF2183">
        <w:rPr>
          <w:rFonts w:ascii="Times New Roman" w:hAnsi="Times New Roman" w:cs="Times New Roman"/>
        </w:rPr>
        <w:t xml:space="preserve"> </w:t>
      </w:r>
    </w:p>
    <w:bookmarkEnd w:id="0"/>
    <w:p w:rsidRPr="00BF2183" w:rsidR="00D52252" w:rsidP="00212BCD" w:rsidRDefault="00D52252" w14:paraId="5D94A527" w14:textId="77777777">
      <w:pPr>
        <w:rPr>
          <w:rFonts w:ascii="Times New Roman" w:hAnsi="Times New Roman" w:cs="Times New Roman"/>
        </w:rPr>
      </w:pPr>
    </w:p>
    <w:p w:rsidRPr="00A02892" w:rsidR="00E32D17" w:rsidP="00E32D17" w:rsidRDefault="000425BD" w14:paraId="3269E150" w14:textId="76B1274C">
      <w:pPr>
        <w:pStyle w:val="BodyText"/>
        <w:rPr>
          <w:rFonts w:ascii="Times New Roman" w:hAnsi="Times New Roman" w:cs="Times New Roman"/>
        </w:rPr>
      </w:pPr>
      <w:bookmarkStart w:name="_Hlk83117789" w:id="1"/>
      <w:r w:rsidRPr="00A02892">
        <w:rPr>
          <w:rFonts w:ascii="Times New Roman" w:hAnsi="Times New Roman" w:cs="Times New Roman"/>
        </w:rPr>
        <w:t>L</w:t>
      </w:r>
      <w:r w:rsidRPr="00A02892" w:rsidR="003B69A6">
        <w:rPr>
          <w:rFonts w:ascii="Times New Roman" w:hAnsi="Times New Roman" w:cs="Times New Roman"/>
        </w:rPr>
        <w:t>ike many other national surveys,</w:t>
      </w:r>
      <w:r w:rsidRPr="00A02892" w:rsidR="00D52252">
        <w:rPr>
          <w:rFonts w:ascii="Times New Roman" w:hAnsi="Times New Roman" w:cs="Times New Roman"/>
        </w:rPr>
        <w:t xml:space="preserve"> recent</w:t>
      </w:r>
      <w:r w:rsidRPr="00A02892" w:rsidR="003B69A6">
        <w:rPr>
          <w:rFonts w:ascii="Times New Roman" w:hAnsi="Times New Roman" w:cs="Times New Roman"/>
        </w:rPr>
        <w:t xml:space="preserve"> NSDUH response rates have been steadily declining</w:t>
      </w:r>
      <w:r w:rsidRPr="00A02892" w:rsidR="00D52252">
        <w:rPr>
          <w:rFonts w:ascii="Times New Roman" w:hAnsi="Times New Roman" w:cs="Times New Roman"/>
        </w:rPr>
        <w:t xml:space="preserve"> (Williams and Brick, 2018)</w:t>
      </w:r>
      <w:r w:rsidRPr="00A02892" w:rsidR="003B69A6">
        <w:rPr>
          <w:rFonts w:ascii="Times New Roman" w:hAnsi="Times New Roman" w:cs="Times New Roman"/>
        </w:rPr>
        <w:t>.</w:t>
      </w:r>
      <w:r w:rsidRPr="00A02892" w:rsidR="00212BCD">
        <w:rPr>
          <w:rFonts w:ascii="Times New Roman" w:hAnsi="Times New Roman" w:cs="Times New Roman"/>
        </w:rPr>
        <w:t xml:space="preserve"> </w:t>
      </w:r>
      <w:r w:rsidRPr="00A02892" w:rsidR="00E32D17">
        <w:rPr>
          <w:rFonts w:ascii="Times New Roman" w:hAnsi="Times New Roman" w:cs="Times New Roman"/>
        </w:rPr>
        <w:t xml:space="preserve">Furthermore, this trend was exacerbated in 2020 due to the public health emergency related to COVID-19. Data collection methods were modified during 2020 due to the COVID-19 pandemic to ensure the safety of the public and FIs. Quarter 1 (January to March 2020) was completed using standard NSDUH protocols with in-person data collection. However, Quarter 1 data collection ended 15 days early when work was suspended on March 16, 2020. </w:t>
      </w:r>
    </w:p>
    <w:p w:rsidRPr="00A02892" w:rsidR="00E32D17" w:rsidP="00E32D17" w:rsidRDefault="00E32D17" w14:paraId="22F579FA" w14:textId="77777777">
      <w:pPr>
        <w:pStyle w:val="BodyText"/>
        <w:rPr>
          <w:rFonts w:ascii="Times New Roman" w:hAnsi="Times New Roman" w:cs="Times New Roman"/>
        </w:rPr>
      </w:pPr>
      <w:r w:rsidRPr="00A02892">
        <w:rPr>
          <w:rFonts w:ascii="Times New Roman" w:hAnsi="Times New Roman" w:cs="Times New Roman"/>
        </w:rPr>
        <w:t xml:space="preserve">Data collection resumed in Quarter 4, but in-person data collection was limited to a small number of eligible states and counties due to COVID-19 infection rates. Web-based screening and interviewing procedures were developed to account for suspended data collection in Quarter 2 and most of Quarter 3 and to maximize the number of completed interviews for national estimates. NSDUH data collection in Quarter 4 used in-person and web-based procedures. </w:t>
      </w:r>
    </w:p>
    <w:p w:rsidRPr="00A02892" w:rsidR="00E32D17" w:rsidP="00E32D17" w:rsidRDefault="00E32D17" w14:paraId="68051A13" w14:textId="016CA4CC">
      <w:pPr>
        <w:pStyle w:val="BodyText"/>
        <w:rPr>
          <w:rFonts w:ascii="Times New Roman" w:hAnsi="Times New Roman" w:cs="Times New Roman"/>
        </w:rPr>
      </w:pPr>
      <w:r w:rsidRPr="00A02892">
        <w:rPr>
          <w:rFonts w:ascii="Times New Roman" w:hAnsi="Times New Roman" w:cs="Times New Roman"/>
        </w:rPr>
        <w:t xml:space="preserve">However, because a vast majority of the interviews completed in Quarter 4 were completed via the web-based option (93%), comparisons of response rates between Quarter 1 and Quarter 4 can be thought of as differences between in-person (Quarter 1) and web-based (Quarter 4) response rates. </w:t>
      </w:r>
      <w:r w:rsidR="00FF4914">
        <w:rPr>
          <w:rFonts w:ascii="Times New Roman" w:hAnsi="Times New Roman" w:cs="Times New Roman"/>
        </w:rPr>
        <w:t xml:space="preserve"> </w:t>
      </w:r>
      <w:r w:rsidRPr="00A02892">
        <w:rPr>
          <w:rFonts w:ascii="Times New Roman" w:hAnsi="Times New Roman" w:cs="Times New Roman"/>
        </w:rPr>
        <w:t>The weighted screening response rate in Quarter 1 was 67.8 percent. The weighted interview response rate and overall response rate in Quarter 1 were 63.2, and 42.9 percent, respectively.</w:t>
      </w:r>
    </w:p>
    <w:p w:rsidRPr="00A02892" w:rsidR="00E32D17" w:rsidP="00E32D17" w:rsidRDefault="00E32D17" w14:paraId="26C630F5" w14:textId="77777777">
      <w:pPr>
        <w:pStyle w:val="BodyText"/>
        <w:rPr>
          <w:rFonts w:ascii="Times New Roman" w:hAnsi="Times New Roman" w:cs="Times New Roman"/>
        </w:rPr>
      </w:pPr>
      <w:r w:rsidRPr="00A02892">
        <w:rPr>
          <w:rFonts w:ascii="Times New Roman" w:hAnsi="Times New Roman" w:cs="Times New Roman"/>
        </w:rPr>
        <w:t>Although the addition of web-based data collection in Quarter 4 increased the number of interviews that were completed, web-based data collection yielded lower response rates than in-person data collection. Further, Quarter 4 in-person response rates were negatively affected by the COVID-19 pandemic. Specifically, the pandemic could have exacerbated people’s reluctance to open their doors to FIs in areas where in-person interviewing was allowed. FIs also could have had a shorter amount of time to follow up with households that started out as being eligible for in-person data collection but became ineligible based on changing state- and county-level health metrics.</w:t>
      </w:r>
    </w:p>
    <w:p w:rsidRPr="00A02892" w:rsidR="00E32D17" w:rsidP="00E32D17" w:rsidRDefault="00E32D17" w14:paraId="1C50E99E" w14:textId="5BA9B697">
      <w:pPr>
        <w:rPr>
          <w:rFonts w:ascii="Times New Roman" w:hAnsi="Times New Roman" w:cs="Times New Roman"/>
        </w:rPr>
      </w:pPr>
      <w:r w:rsidRPr="00A02892">
        <w:rPr>
          <w:rFonts w:ascii="Times New Roman" w:hAnsi="Times New Roman" w:cs="Times New Roman"/>
        </w:rPr>
        <w:t>The weighted screening response rate in Quarter 4 was 11.1 percent. The weighted interview response rate and overall response rate in Quarter 4 were 59.5, and 6.6 percent, respectively.</w:t>
      </w:r>
    </w:p>
    <w:p w:rsidRPr="00CC3D2B" w:rsidR="00E32D17" w:rsidP="00E32D17" w:rsidRDefault="00E32D17" w14:paraId="18CEA92E" w14:textId="77777777">
      <w:pPr>
        <w:rPr>
          <w:rFonts w:ascii="Times New Roman" w:hAnsi="Times New Roman" w:cs="Times New Roman"/>
          <w:color w:val="FF0000"/>
        </w:rPr>
      </w:pPr>
    </w:p>
    <w:p w:rsidRPr="00BF2183" w:rsidR="00EE7703" w:rsidP="00EE7703" w:rsidRDefault="00212BCD" w14:paraId="2A909EAA" w14:textId="53E2FED0">
      <w:pPr>
        <w:rPr>
          <w:rFonts w:ascii="Times New Roman" w:hAnsi="Times New Roman" w:cs="Times New Roman"/>
        </w:rPr>
      </w:pPr>
      <w:r w:rsidRPr="00BF2183">
        <w:rPr>
          <w:rFonts w:ascii="Times New Roman" w:hAnsi="Times New Roman" w:cs="Times New Roman"/>
        </w:rPr>
        <w:t>Despite increases in the level of effort to complete screenings and interviews (as measured in terms of number of contact attempts),</w:t>
      </w:r>
      <w:r w:rsidRPr="00BF2183" w:rsidR="00D52252">
        <w:rPr>
          <w:rFonts w:ascii="Times New Roman" w:hAnsi="Times New Roman" w:cs="Times New Roman"/>
        </w:rPr>
        <w:t xml:space="preserve"> response rates continue to decline</w:t>
      </w:r>
      <w:r w:rsidRPr="00BF2183" w:rsidR="006213F5">
        <w:rPr>
          <w:rFonts w:ascii="Times New Roman" w:hAnsi="Times New Roman" w:cs="Times New Roman"/>
        </w:rPr>
        <w:t>, particularly at the screening stage</w:t>
      </w:r>
      <w:r w:rsidRPr="00BF2183" w:rsidR="00D52252">
        <w:rPr>
          <w:rFonts w:ascii="Times New Roman" w:hAnsi="Times New Roman" w:cs="Times New Roman"/>
        </w:rPr>
        <w:t xml:space="preserve">. </w:t>
      </w:r>
      <w:r w:rsidRPr="00BF2183" w:rsidR="00BF2183">
        <w:rPr>
          <w:rFonts w:ascii="Times New Roman" w:hAnsi="Times New Roman" w:cs="Times New Roman"/>
        </w:rPr>
        <w:t>I</w:t>
      </w:r>
      <w:r w:rsidRPr="00BF2183" w:rsidR="00EE7703">
        <w:rPr>
          <w:rFonts w:ascii="Times New Roman" w:hAnsi="Times New Roman" w:cs="Times New Roman"/>
        </w:rPr>
        <w:t xml:space="preserve">ncreasing screening response could reduce nonresponse bias </w:t>
      </w:r>
      <w:r w:rsidRPr="00BF2183" w:rsidR="000425BD">
        <w:rPr>
          <w:rFonts w:ascii="Times New Roman" w:hAnsi="Times New Roman" w:cs="Times New Roman"/>
        </w:rPr>
        <w:t>by bringing in</w:t>
      </w:r>
      <w:r w:rsidRPr="00BF2183" w:rsidR="00EE7703">
        <w:rPr>
          <w:rFonts w:ascii="Times New Roman" w:hAnsi="Times New Roman" w:cs="Times New Roman"/>
        </w:rPr>
        <w:t xml:space="preserve"> households whose residents are less interested in substance use or mental health issues. </w:t>
      </w:r>
    </w:p>
    <w:bookmarkEnd w:id="1"/>
    <w:p w:rsidR="003B69A6" w:rsidP="00212BCD" w:rsidRDefault="003B69A6" w14:paraId="09239CE7" w14:textId="77777777">
      <w:pPr>
        <w:rPr>
          <w:rFonts w:ascii="Times New Roman" w:hAnsi="Times New Roman" w:cs="Times New Roman"/>
        </w:rPr>
      </w:pPr>
    </w:p>
    <w:p w:rsidR="00297CD1" w:rsidP="00297CD1" w:rsidRDefault="00297CD1" w14:paraId="364705C9" w14:textId="7AF2F96B">
      <w:pPr>
        <w:rPr>
          <w:rFonts w:ascii="Times New Roman" w:hAnsi="Times New Roman" w:cs="Times New Roman"/>
        </w:rPr>
      </w:pPr>
      <w:r w:rsidRPr="001D7049">
        <w:rPr>
          <w:rFonts w:ascii="Times New Roman" w:hAnsi="Times New Roman" w:cs="Times New Roman"/>
        </w:rPr>
        <w:lastRenderedPageBreak/>
        <w:t xml:space="preserve">Currently, NSDUH interview respondents are offered a $30 cash incentive only when they complete the main </w:t>
      </w:r>
      <w:r>
        <w:rPr>
          <w:rFonts w:ascii="Times New Roman" w:hAnsi="Times New Roman" w:cs="Times New Roman"/>
        </w:rPr>
        <w:t xml:space="preserve">interview. No incentive is offered for completing the household screening or as part of refusal conversions efforts. </w:t>
      </w:r>
      <w:r w:rsidRPr="00457446">
        <w:rPr>
          <w:rFonts w:ascii="Times New Roman" w:hAnsi="Times New Roman" w:cs="Times New Roman"/>
        </w:rPr>
        <w:t xml:space="preserve">SAMHSA would like to evaluate whether adding a screening incentive and increasing the interview incentive </w:t>
      </w:r>
      <w:r>
        <w:rPr>
          <w:rFonts w:ascii="Times New Roman" w:hAnsi="Times New Roman" w:cs="Times New Roman"/>
        </w:rPr>
        <w:t>increases</w:t>
      </w:r>
      <w:r w:rsidRPr="00457446">
        <w:rPr>
          <w:rFonts w:ascii="Times New Roman" w:hAnsi="Times New Roman" w:cs="Times New Roman"/>
        </w:rPr>
        <w:t xml:space="preserve"> the likelihood of participation in the household screening and subsequent interview(s).</w:t>
      </w:r>
      <w:r w:rsidRPr="001D7049">
        <w:rPr>
          <w:rFonts w:ascii="Times New Roman" w:hAnsi="Times New Roman" w:cs="Times New Roman"/>
        </w:rPr>
        <w:t xml:space="preserve"> </w:t>
      </w:r>
      <w:r>
        <w:rPr>
          <w:rFonts w:ascii="Times New Roman" w:hAnsi="Times New Roman" w:cs="Times New Roman"/>
        </w:rPr>
        <w:t xml:space="preserve">The </w:t>
      </w:r>
      <w:r w:rsidRPr="00457446">
        <w:rPr>
          <w:rFonts w:ascii="Times New Roman" w:hAnsi="Times New Roman" w:cs="Times New Roman"/>
        </w:rPr>
        <w:t>NSDUH incentive experiment will involve testing both a</w:t>
      </w:r>
      <w:r>
        <w:rPr>
          <w:rFonts w:ascii="Times New Roman" w:hAnsi="Times New Roman" w:cs="Times New Roman"/>
        </w:rPr>
        <w:t xml:space="preserve"> new</w:t>
      </w:r>
      <w:r w:rsidRPr="00457446">
        <w:rPr>
          <w:rFonts w:ascii="Times New Roman" w:hAnsi="Times New Roman" w:cs="Times New Roman"/>
        </w:rPr>
        <w:t xml:space="preserve"> </w:t>
      </w:r>
      <w:r w:rsidRPr="00BD0324">
        <w:rPr>
          <w:rFonts w:ascii="Times New Roman" w:hAnsi="Times New Roman" w:cs="Times New Roman"/>
        </w:rPr>
        <w:t>screening incentive ($5 vs. $0) and an increased interview incentive ($50 v</w:t>
      </w:r>
      <w:r w:rsidRPr="004E29B3">
        <w:rPr>
          <w:rFonts w:ascii="Times New Roman" w:hAnsi="Times New Roman" w:cs="Times New Roman"/>
        </w:rPr>
        <w:t xml:space="preserve">s. $30). </w:t>
      </w:r>
      <w:r w:rsidRPr="004E29B3" w:rsidR="00713646">
        <w:rPr>
          <w:rFonts w:ascii="Times New Roman" w:hAnsi="Times New Roman" w:cs="Times New Roman"/>
        </w:rPr>
        <w:t xml:space="preserve">For more information on the </w:t>
      </w:r>
      <w:bookmarkStart w:name="_Hlk82983657" w:id="2"/>
      <w:r w:rsidRPr="004E29B3" w:rsidR="00BD0324">
        <w:rPr>
          <w:rFonts w:ascii="Times New Roman" w:hAnsi="Times New Roman" w:cs="Times New Roman"/>
        </w:rPr>
        <w:t>screening and interview incentive experimental design and power analysis</w:t>
      </w:r>
      <w:bookmarkEnd w:id="2"/>
      <w:r w:rsidRPr="004E29B3" w:rsidR="00BD0324">
        <w:rPr>
          <w:rFonts w:ascii="Times New Roman" w:hAnsi="Times New Roman" w:cs="Times New Roman"/>
        </w:rPr>
        <w:t xml:space="preserve">, </w:t>
      </w:r>
      <w:r w:rsidRPr="004E29B3" w:rsidR="00713646">
        <w:rPr>
          <w:rFonts w:ascii="Times New Roman" w:hAnsi="Times New Roman" w:cs="Times New Roman"/>
        </w:rPr>
        <w:t xml:space="preserve">see </w:t>
      </w:r>
      <w:r w:rsidR="00E32D17">
        <w:rPr>
          <w:rFonts w:ascii="Times New Roman" w:hAnsi="Times New Roman" w:cs="Times New Roman"/>
        </w:rPr>
        <w:t>the Power Analysis Report (</w:t>
      </w:r>
      <w:r w:rsidRPr="004E29B3" w:rsidR="00713646">
        <w:rPr>
          <w:rFonts w:ascii="Times New Roman" w:hAnsi="Times New Roman" w:cs="Times New Roman"/>
        </w:rPr>
        <w:t xml:space="preserve">Attachment </w:t>
      </w:r>
      <w:r w:rsidR="000867EC">
        <w:rPr>
          <w:rFonts w:ascii="Times New Roman" w:hAnsi="Times New Roman" w:cs="Times New Roman"/>
        </w:rPr>
        <w:t>IE</w:t>
      </w:r>
      <w:r w:rsidRPr="004E29B3" w:rsidR="00CF5D3E">
        <w:rPr>
          <w:rFonts w:ascii="Times New Roman" w:hAnsi="Times New Roman" w:cs="Times New Roman"/>
        </w:rPr>
        <w:t>-</w:t>
      </w:r>
      <w:r w:rsidRPr="004E29B3" w:rsidR="00D53F19">
        <w:rPr>
          <w:rFonts w:ascii="Times New Roman" w:hAnsi="Times New Roman" w:cs="Times New Roman"/>
        </w:rPr>
        <w:t>1</w:t>
      </w:r>
      <w:r w:rsidR="00E32D17">
        <w:rPr>
          <w:rFonts w:ascii="Times New Roman" w:hAnsi="Times New Roman" w:cs="Times New Roman"/>
        </w:rPr>
        <w:t>)</w:t>
      </w:r>
      <w:r w:rsidRPr="004E29B3" w:rsidR="00713646">
        <w:rPr>
          <w:rFonts w:ascii="Times New Roman" w:hAnsi="Times New Roman" w:cs="Times New Roman"/>
        </w:rPr>
        <w:t>.</w:t>
      </w:r>
    </w:p>
    <w:p w:rsidR="00297CD1" w:rsidP="00297CD1" w:rsidRDefault="00297CD1" w14:paraId="5DB5CEE1" w14:textId="77777777">
      <w:pPr>
        <w:rPr>
          <w:rFonts w:ascii="Times New Roman" w:hAnsi="Times New Roman" w:cs="Times New Roman"/>
        </w:rPr>
      </w:pPr>
    </w:p>
    <w:p w:rsidRPr="00457446" w:rsidR="00297CD1" w:rsidP="00297CD1" w:rsidRDefault="00297CD1" w14:paraId="22CE65EE" w14:textId="77777777">
      <w:pPr>
        <w:rPr>
          <w:rFonts w:ascii="Times New Roman" w:hAnsi="Times New Roman" w:cs="Times New Roman"/>
        </w:rPr>
      </w:pPr>
      <w:r w:rsidRPr="00457446">
        <w:rPr>
          <w:rFonts w:ascii="Times New Roman" w:hAnsi="Times New Roman" w:cs="Times New Roman"/>
        </w:rPr>
        <w:t>The higher interview incentive amount is proposed based on a review of other nationally-representative in-person surveys that have recently conducted experimental tests to determine the impact of increasing the interview incentive amount. Examples of other nationally-representative in-person surveys reviewed included:</w:t>
      </w:r>
    </w:p>
    <w:p w:rsidRPr="00457446" w:rsidR="00297CD1" w:rsidP="00297CD1" w:rsidRDefault="00297CD1" w14:paraId="63292D48" w14:textId="77777777">
      <w:pPr>
        <w:numPr>
          <w:ilvl w:val="0"/>
          <w:numId w:val="15"/>
        </w:numPr>
        <w:rPr>
          <w:rFonts w:ascii="Times New Roman" w:hAnsi="Times New Roman" w:cs="Times New Roman"/>
        </w:rPr>
      </w:pPr>
      <w:r w:rsidRPr="00457446">
        <w:rPr>
          <w:rFonts w:ascii="Times New Roman" w:hAnsi="Times New Roman" w:cs="Times New Roman"/>
          <w:i/>
          <w:iCs/>
        </w:rPr>
        <w:t>Medical Expenditure Panel Survey (MEPS).</w:t>
      </w:r>
      <w:r w:rsidRPr="00457446">
        <w:rPr>
          <w:rFonts w:ascii="Times New Roman" w:hAnsi="Times New Roman" w:cs="Times New Roman"/>
        </w:rPr>
        <w:t xml:space="preserve"> The interview incentive was increased from $30 to $50 in 2011. A higher incentive amount of $70 has been tested, but not implemented.</w:t>
      </w:r>
    </w:p>
    <w:p w:rsidRPr="00457446" w:rsidR="00297CD1" w:rsidP="00297CD1" w:rsidRDefault="00297CD1" w14:paraId="3DBB0A7C" w14:textId="77777777">
      <w:pPr>
        <w:numPr>
          <w:ilvl w:val="0"/>
          <w:numId w:val="15"/>
        </w:numPr>
        <w:rPr>
          <w:rFonts w:ascii="Times New Roman" w:hAnsi="Times New Roman" w:cs="Times New Roman"/>
        </w:rPr>
      </w:pPr>
      <w:r w:rsidRPr="00186953">
        <w:rPr>
          <w:rFonts w:ascii="Times New Roman" w:hAnsi="Times New Roman" w:cs="Times New Roman"/>
          <w:i/>
          <w:iCs/>
        </w:rPr>
        <w:t>Panel Study of Income Dynamics (PSID)</w:t>
      </w:r>
      <w:r w:rsidRPr="00186953">
        <w:rPr>
          <w:rFonts w:ascii="Times New Roman" w:hAnsi="Times New Roman" w:cs="Times New Roman"/>
        </w:rPr>
        <w:t>.</w:t>
      </w:r>
      <w:r w:rsidRPr="00BF2183">
        <w:rPr>
          <w:rFonts w:ascii="Times New Roman" w:hAnsi="Times New Roman" w:cs="Times New Roman"/>
        </w:rPr>
        <w:t xml:space="preserve"> </w:t>
      </w:r>
      <w:r w:rsidRPr="00457446">
        <w:rPr>
          <w:rFonts w:ascii="Times New Roman" w:hAnsi="Times New Roman" w:cs="Times New Roman"/>
        </w:rPr>
        <w:t>Between 2002 and 2015, the PSID interview incentive increased by $5 increments three times about every 3 to 4 years, from a starting incentive of $55 in 2003 to the current incentive of $70 in 2015.</w:t>
      </w:r>
    </w:p>
    <w:p w:rsidR="00297CD1" w:rsidP="00297CD1" w:rsidRDefault="00297CD1" w14:paraId="4B8DFD08" w14:textId="77777777">
      <w:pPr>
        <w:numPr>
          <w:ilvl w:val="0"/>
          <w:numId w:val="15"/>
        </w:numPr>
        <w:rPr>
          <w:rFonts w:ascii="Times New Roman" w:hAnsi="Times New Roman" w:cs="Times New Roman"/>
        </w:rPr>
      </w:pPr>
      <w:r w:rsidRPr="00457446">
        <w:rPr>
          <w:rFonts w:ascii="Times New Roman" w:hAnsi="Times New Roman" w:cs="Times New Roman"/>
          <w:i/>
          <w:iCs/>
        </w:rPr>
        <w:t>National Survey of Family Growth (NSFG)</w:t>
      </w:r>
      <w:r w:rsidRPr="00457446">
        <w:rPr>
          <w:rFonts w:ascii="Times New Roman" w:hAnsi="Times New Roman" w:cs="Times New Roman"/>
        </w:rPr>
        <w:t>. The interview incentive has been $40 since 2006, with an increased incentive promised for nonresponse follow-up. A higher incentive amount of $60 has been tested, but not implemented.</w:t>
      </w:r>
    </w:p>
    <w:p w:rsidR="00297CD1" w:rsidP="00297CD1" w:rsidRDefault="00297CD1" w14:paraId="2130E869" w14:textId="77777777">
      <w:pPr>
        <w:rPr>
          <w:rFonts w:ascii="Times New Roman" w:hAnsi="Times New Roman" w:cs="Times New Roman"/>
        </w:rPr>
      </w:pPr>
    </w:p>
    <w:p w:rsidRPr="00186953" w:rsidR="00297CD1" w:rsidP="00297CD1" w:rsidRDefault="00297CD1" w14:paraId="6C50C914" w14:textId="77777777">
      <w:pPr>
        <w:rPr>
          <w:rFonts w:ascii="Times New Roman" w:hAnsi="Times New Roman" w:cs="Times New Roman"/>
        </w:rPr>
      </w:pPr>
      <w:r w:rsidRPr="00186953">
        <w:rPr>
          <w:rFonts w:ascii="Times New Roman" w:hAnsi="Times New Roman" w:cs="Times New Roman"/>
        </w:rPr>
        <w:t>These examples illustrate the value of testing different interview incentive amounts to determine whether increased and/or additional incentives increase response rates and reduce nonresponse bias in key estimates.</w:t>
      </w:r>
    </w:p>
    <w:p w:rsidR="001F57D3" w:rsidP="001F57D3" w:rsidRDefault="001F57D3" w14:paraId="723EE24C" w14:textId="77777777">
      <w:pPr>
        <w:rPr>
          <w:rFonts w:ascii="Times New Roman" w:hAnsi="Times New Roman" w:cs="Times New Roman"/>
        </w:rPr>
      </w:pPr>
    </w:p>
    <w:p w:rsidR="00A320AB" w:rsidP="001F57D3" w:rsidRDefault="00713646" w14:paraId="717C7C4F" w14:textId="21EACA25">
      <w:pPr>
        <w:rPr>
          <w:rFonts w:ascii="Times New Roman" w:hAnsi="Times New Roman" w:cs="Times New Roman"/>
        </w:rPr>
      </w:pPr>
      <w:bookmarkStart w:name="_Hlk82985505" w:id="3"/>
      <w:r w:rsidRPr="00713646">
        <w:rPr>
          <w:rFonts w:ascii="Times New Roman" w:hAnsi="Times New Roman" w:cs="Times New Roman"/>
        </w:rPr>
        <w:t>Evidence from many surveys across different data collection modes indicates that prepaid incentives are usually more effective than promised (or conditional) incentives, especially for self-administered surveys (Gelman, Stevens, &amp; Chan, 2002; Singer, 2002).</w:t>
      </w:r>
      <w:r w:rsidR="00267582">
        <w:rPr>
          <w:rFonts w:ascii="Times New Roman" w:hAnsi="Times New Roman" w:cs="Times New Roman"/>
        </w:rPr>
        <w:t xml:space="preserve"> Most of </w:t>
      </w:r>
      <w:r w:rsidR="00BF2183">
        <w:rPr>
          <w:rFonts w:ascii="Times New Roman" w:hAnsi="Times New Roman" w:cs="Times New Roman"/>
        </w:rPr>
        <w:t>these studies use incentives delivered in advance by mail</w:t>
      </w:r>
      <w:r w:rsidR="00267582">
        <w:rPr>
          <w:rFonts w:ascii="Times New Roman" w:hAnsi="Times New Roman" w:cs="Times New Roman"/>
        </w:rPr>
        <w:t>.</w:t>
      </w:r>
      <w:r w:rsidRPr="00713646">
        <w:rPr>
          <w:rFonts w:ascii="Times New Roman" w:hAnsi="Times New Roman" w:cs="Times New Roman"/>
        </w:rPr>
        <w:t xml:space="preserve"> For surveys where nearly all sample units are eligible to participate in the survey based on the established criteria for eligible dwelling units (DUs), sending prepaid screening incentives</w:t>
      </w:r>
      <w:r w:rsidR="00BF2183">
        <w:rPr>
          <w:rFonts w:ascii="Times New Roman" w:hAnsi="Times New Roman" w:cs="Times New Roman"/>
        </w:rPr>
        <w:t xml:space="preserve"> by mail</w:t>
      </w:r>
      <w:r w:rsidRPr="00713646">
        <w:rPr>
          <w:rFonts w:ascii="Times New Roman" w:hAnsi="Times New Roman" w:cs="Times New Roman"/>
        </w:rPr>
        <w:t xml:space="preserve"> can be cost-effective. Key factors in determining whether prepaid incentives are cost-effective are the eligibility rates of selected DUs and of individuals who live in the eligible DUs. </w:t>
      </w:r>
    </w:p>
    <w:bookmarkEnd w:id="3"/>
    <w:p w:rsidR="00A320AB" w:rsidP="001F57D3" w:rsidRDefault="00A320AB" w14:paraId="4FB9E8E5" w14:textId="77777777">
      <w:pPr>
        <w:rPr>
          <w:rFonts w:ascii="Times New Roman" w:hAnsi="Times New Roman" w:cs="Times New Roman"/>
        </w:rPr>
      </w:pPr>
    </w:p>
    <w:p w:rsidRPr="00457446" w:rsidR="001F57D3" w:rsidP="00AA08A4" w:rsidRDefault="00A16E59" w14:paraId="6C979C39" w14:textId="7009562C">
      <w:pPr>
        <w:rPr>
          <w:rFonts w:ascii="Times New Roman" w:hAnsi="Times New Roman" w:cs="Times New Roman"/>
        </w:rPr>
      </w:pPr>
      <w:r>
        <w:rPr>
          <w:rFonts w:ascii="Times New Roman" w:hAnsi="Times New Roman" w:cs="Times New Roman"/>
        </w:rPr>
        <w:t xml:space="preserve">We propose a 2x2 design to assess the separate impacts of the screening and increased interview incentive on response rates, and therefore, potential reduction in nonresponse bias. </w:t>
      </w:r>
      <w:r w:rsidRPr="00457446" w:rsidR="001F57D3">
        <w:rPr>
          <w:rFonts w:ascii="Times New Roman" w:hAnsi="Times New Roman" w:cs="Times New Roman"/>
        </w:rPr>
        <w:t xml:space="preserve">Table </w:t>
      </w:r>
      <w:r w:rsidR="00BA17C0">
        <w:rPr>
          <w:rFonts w:ascii="Times New Roman" w:hAnsi="Times New Roman" w:cs="Times New Roman"/>
        </w:rPr>
        <w:t>1</w:t>
      </w:r>
      <w:r w:rsidRPr="00457446" w:rsidR="00804ABF">
        <w:rPr>
          <w:rFonts w:ascii="Times New Roman" w:hAnsi="Times New Roman" w:cs="Times New Roman"/>
        </w:rPr>
        <w:t xml:space="preserve"> </w:t>
      </w:r>
      <w:r w:rsidRPr="00457446" w:rsidR="001F57D3">
        <w:rPr>
          <w:rFonts w:ascii="Times New Roman" w:hAnsi="Times New Roman" w:cs="Times New Roman"/>
        </w:rPr>
        <w:t xml:space="preserve">presents the four possible combinations of screening and interview incentive amounts that </w:t>
      </w:r>
      <w:r w:rsidR="005B215D">
        <w:rPr>
          <w:rFonts w:ascii="Times New Roman" w:hAnsi="Times New Roman" w:cs="Times New Roman"/>
        </w:rPr>
        <w:t>c</w:t>
      </w:r>
      <w:r w:rsidRPr="00457446" w:rsidR="001F57D3">
        <w:rPr>
          <w:rFonts w:ascii="Times New Roman" w:hAnsi="Times New Roman" w:cs="Times New Roman"/>
        </w:rPr>
        <w:t xml:space="preserve">ould comprise the four experimental conditions. </w:t>
      </w:r>
    </w:p>
    <w:p w:rsidRPr="00457446" w:rsidR="001F57D3" w:rsidP="001F57D3" w:rsidRDefault="001F57D3" w14:paraId="0F511C17" w14:textId="77777777">
      <w:pPr>
        <w:rPr>
          <w:rFonts w:ascii="Times New Roman" w:hAnsi="Times New Roman" w:cs="Times New Roman"/>
          <w:b/>
          <w:bCs/>
        </w:rPr>
      </w:pPr>
    </w:p>
    <w:p w:rsidRPr="00457446" w:rsidR="001F57D3" w:rsidP="001F57D3" w:rsidRDefault="001F57D3" w14:paraId="35AF48B1" w14:textId="355FF078">
      <w:pPr>
        <w:rPr>
          <w:rFonts w:ascii="Times New Roman" w:hAnsi="Times New Roman" w:cs="Times New Roman"/>
          <w:b/>
          <w:bCs/>
        </w:rPr>
      </w:pPr>
      <w:r w:rsidRPr="00457446">
        <w:rPr>
          <w:rFonts w:ascii="Times New Roman" w:hAnsi="Times New Roman" w:cs="Times New Roman"/>
          <w:b/>
          <w:bCs/>
        </w:rPr>
        <w:t xml:space="preserve">Table </w:t>
      </w:r>
      <w:r w:rsidR="00BA17C0">
        <w:rPr>
          <w:rFonts w:ascii="Times New Roman" w:hAnsi="Times New Roman" w:cs="Times New Roman"/>
          <w:b/>
          <w:bCs/>
        </w:rPr>
        <w:t>1</w:t>
      </w:r>
      <w:r w:rsidRPr="00457446">
        <w:rPr>
          <w:rFonts w:ascii="Times New Roman" w:hAnsi="Times New Roman" w:cs="Times New Roman"/>
          <w:b/>
          <w:bCs/>
        </w:rPr>
        <w:t xml:space="preserve">. Four Possible Experimental Conditions for the </w:t>
      </w:r>
      <w:r w:rsidR="00D52252">
        <w:rPr>
          <w:rFonts w:ascii="Times New Roman" w:hAnsi="Times New Roman" w:cs="Times New Roman"/>
          <w:b/>
          <w:bCs/>
        </w:rPr>
        <w:t>Incentive</w:t>
      </w:r>
      <w:r w:rsidRPr="00457446" w:rsidR="00D52252">
        <w:rPr>
          <w:rFonts w:ascii="Times New Roman" w:hAnsi="Times New Roman" w:cs="Times New Roman"/>
          <w:b/>
          <w:bCs/>
        </w:rPr>
        <w:t xml:space="preserve"> </w:t>
      </w:r>
      <w:r w:rsidRPr="00457446">
        <w:rPr>
          <w:rFonts w:ascii="Times New Roman" w:hAnsi="Times New Roman" w:cs="Times New Roman"/>
          <w:b/>
          <w:bCs/>
        </w:rPr>
        <w:t>Experiment</w:t>
      </w:r>
    </w:p>
    <w:p w:rsidRPr="00457446" w:rsidR="001F57D3" w:rsidP="001F57D3" w:rsidRDefault="001F57D3" w14:paraId="208479D5" w14:textId="77777777">
      <w:pPr>
        <w:rPr>
          <w:rFonts w:ascii="Times New Roman" w:hAnsi="Times New Roman" w:cs="Times New Roman"/>
        </w:rPr>
      </w:pPr>
    </w:p>
    <w:tbl>
      <w:tblPr>
        <w:tblW w:w="6300" w:type="dxa"/>
        <w:tblCellMar>
          <w:left w:w="0" w:type="dxa"/>
          <w:right w:w="0" w:type="dxa"/>
        </w:tblCellMar>
        <w:tblLook w:val="04A0" w:firstRow="1" w:lastRow="0" w:firstColumn="1" w:lastColumn="0" w:noHBand="0" w:noVBand="1"/>
      </w:tblPr>
      <w:tblGrid>
        <w:gridCol w:w="1928"/>
        <w:gridCol w:w="328"/>
        <w:gridCol w:w="1884"/>
        <w:gridCol w:w="360"/>
        <w:gridCol w:w="1800"/>
      </w:tblGrid>
      <w:tr w:rsidRPr="00457446" w:rsidR="001F57D3" w:rsidTr="001F57D3" w14:paraId="72DC2D92" w14:textId="77777777">
        <w:trPr>
          <w:trHeight w:val="300"/>
        </w:trPr>
        <w:tc>
          <w:tcPr>
            <w:tcW w:w="1928" w:type="dxa"/>
            <w:tcBorders>
              <w:top w:val="nil"/>
              <w:left w:val="nil"/>
              <w:bottom w:val="single" w:color="auto" w:sz="8" w:space="0"/>
              <w:right w:val="single" w:color="auto" w:sz="8" w:space="0"/>
            </w:tcBorders>
            <w:tcMar>
              <w:top w:w="0" w:type="dxa"/>
              <w:left w:w="108" w:type="dxa"/>
              <w:bottom w:w="0" w:type="dxa"/>
              <w:right w:w="108" w:type="dxa"/>
            </w:tcMar>
          </w:tcPr>
          <w:p w:rsidRPr="00457446" w:rsidR="001F57D3" w:rsidP="001F57D3" w:rsidRDefault="001F57D3" w14:paraId="15429774" w14:textId="77777777">
            <w:pPr>
              <w:rPr>
                <w:rFonts w:ascii="Times New Roman" w:hAnsi="Times New Roman" w:cs="Times New Roman"/>
              </w:rPr>
            </w:pPr>
          </w:p>
        </w:tc>
        <w:tc>
          <w:tcPr>
            <w:tcW w:w="4372" w:type="dxa"/>
            <w:gridSpan w:val="4"/>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hideMark/>
          </w:tcPr>
          <w:p w:rsidRPr="00457446" w:rsidR="001F57D3" w:rsidP="001F57D3" w:rsidRDefault="001F57D3" w14:paraId="36B90406" w14:textId="77777777">
            <w:pPr>
              <w:rPr>
                <w:rFonts w:ascii="Times New Roman" w:hAnsi="Times New Roman" w:cs="Times New Roman"/>
                <w:b/>
                <w:bCs/>
              </w:rPr>
            </w:pPr>
            <w:r w:rsidRPr="00457446">
              <w:rPr>
                <w:rFonts w:ascii="Times New Roman" w:hAnsi="Times New Roman" w:cs="Times New Roman"/>
                <w:b/>
                <w:bCs/>
              </w:rPr>
              <w:t>Screening Incentive Amounts</w:t>
            </w:r>
          </w:p>
        </w:tc>
      </w:tr>
      <w:tr w:rsidRPr="00457446" w:rsidR="001F57D3" w:rsidTr="001F57D3" w14:paraId="53C5733B" w14:textId="77777777">
        <w:trPr>
          <w:trHeight w:val="150"/>
        </w:trPr>
        <w:tc>
          <w:tcPr>
            <w:tcW w:w="1928" w:type="dxa"/>
            <w:vMerge w:val="restar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457446" w:rsidR="001F57D3" w:rsidP="001F57D3" w:rsidRDefault="001F57D3" w14:paraId="03CD409D" w14:textId="77777777">
            <w:pPr>
              <w:rPr>
                <w:rFonts w:ascii="Times New Roman" w:hAnsi="Times New Roman" w:cs="Times New Roman"/>
                <w:b/>
                <w:bCs/>
              </w:rPr>
            </w:pPr>
            <w:r w:rsidRPr="00457446">
              <w:rPr>
                <w:rFonts w:ascii="Times New Roman" w:hAnsi="Times New Roman" w:cs="Times New Roman"/>
                <w:b/>
                <w:bCs/>
              </w:rPr>
              <w:t>Interview Incentive Amounts</w:t>
            </w:r>
          </w:p>
        </w:tc>
        <w:tc>
          <w:tcPr>
            <w:tcW w:w="328" w:type="dxa"/>
            <w:vMerge w:val="restart"/>
            <w:tcBorders>
              <w:top w:val="nil"/>
              <w:left w:val="nil"/>
              <w:bottom w:val="single" w:color="auto" w:sz="8" w:space="0"/>
              <w:right w:val="single" w:color="auto" w:sz="8" w:space="0"/>
            </w:tcBorders>
            <w:shd w:val="clear" w:color="auto" w:fill="F2F2F2"/>
            <w:noWrap/>
            <w:tcMar>
              <w:top w:w="0" w:type="dxa"/>
              <w:left w:w="108" w:type="dxa"/>
              <w:bottom w:w="0" w:type="dxa"/>
              <w:right w:w="108" w:type="dxa"/>
            </w:tcMar>
            <w:vAlign w:val="center"/>
            <w:hideMark/>
          </w:tcPr>
          <w:p w:rsidRPr="00457446" w:rsidR="001F57D3" w:rsidP="001F57D3" w:rsidRDefault="001F57D3" w14:paraId="74348333" w14:textId="77777777">
            <w:pPr>
              <w:rPr>
                <w:rFonts w:ascii="Times New Roman" w:hAnsi="Times New Roman" w:cs="Times New Roman"/>
              </w:rPr>
            </w:pPr>
            <w:r w:rsidRPr="00457446">
              <w:rPr>
                <w:rFonts w:ascii="Times New Roman" w:hAnsi="Times New Roman" w:cs="Times New Roman"/>
              </w:rPr>
              <w:t>1</w:t>
            </w:r>
          </w:p>
        </w:tc>
        <w:tc>
          <w:tcPr>
            <w:tcW w:w="1884" w:type="dxa"/>
            <w:tcBorders>
              <w:top w:val="nil"/>
              <w:left w:val="nil"/>
              <w:bottom w:val="nil"/>
              <w:right w:val="single" w:color="auto" w:sz="8" w:space="0"/>
            </w:tcBorders>
            <w:tcMar>
              <w:top w:w="0" w:type="dxa"/>
              <w:left w:w="108" w:type="dxa"/>
              <w:bottom w:w="0" w:type="dxa"/>
              <w:right w:w="108" w:type="dxa"/>
            </w:tcMar>
            <w:hideMark/>
          </w:tcPr>
          <w:p w:rsidRPr="00457446" w:rsidR="001F57D3" w:rsidP="001F57D3" w:rsidRDefault="001F57D3" w14:paraId="1D9A3643" w14:textId="77777777">
            <w:pPr>
              <w:rPr>
                <w:rFonts w:ascii="Times New Roman" w:hAnsi="Times New Roman" w:cs="Times New Roman"/>
              </w:rPr>
            </w:pPr>
            <w:r w:rsidRPr="00457446">
              <w:rPr>
                <w:rFonts w:ascii="Times New Roman" w:hAnsi="Times New Roman" w:cs="Times New Roman"/>
              </w:rPr>
              <w:t>$0 screening +</w:t>
            </w:r>
          </w:p>
        </w:tc>
        <w:tc>
          <w:tcPr>
            <w:tcW w:w="360" w:type="dxa"/>
            <w:vMerge w:val="restart"/>
            <w:tcBorders>
              <w:top w:val="nil"/>
              <w:left w:val="nil"/>
              <w:bottom w:val="single" w:color="auto" w:sz="8" w:space="0"/>
              <w:right w:val="single" w:color="auto" w:sz="8" w:space="0"/>
            </w:tcBorders>
            <w:shd w:val="clear" w:color="auto" w:fill="D9E2F3"/>
            <w:noWrap/>
            <w:tcMar>
              <w:top w:w="0" w:type="dxa"/>
              <w:left w:w="108" w:type="dxa"/>
              <w:bottom w:w="0" w:type="dxa"/>
              <w:right w:w="108" w:type="dxa"/>
            </w:tcMar>
            <w:vAlign w:val="center"/>
            <w:hideMark/>
          </w:tcPr>
          <w:p w:rsidRPr="00457446" w:rsidR="001F57D3" w:rsidP="001F57D3" w:rsidRDefault="001F57D3" w14:paraId="40207032" w14:textId="77777777">
            <w:pPr>
              <w:rPr>
                <w:rFonts w:ascii="Times New Roman" w:hAnsi="Times New Roman" w:cs="Times New Roman"/>
              </w:rPr>
            </w:pPr>
            <w:r w:rsidRPr="00457446">
              <w:rPr>
                <w:rFonts w:ascii="Times New Roman" w:hAnsi="Times New Roman" w:cs="Times New Roman"/>
              </w:rPr>
              <w:t>2</w:t>
            </w:r>
          </w:p>
        </w:tc>
        <w:tc>
          <w:tcPr>
            <w:tcW w:w="1800" w:type="dxa"/>
            <w:tcBorders>
              <w:top w:val="nil"/>
              <w:left w:val="nil"/>
              <w:bottom w:val="nil"/>
              <w:right w:val="single" w:color="auto" w:sz="8" w:space="0"/>
            </w:tcBorders>
            <w:tcMar>
              <w:top w:w="0" w:type="dxa"/>
              <w:left w:w="108" w:type="dxa"/>
              <w:bottom w:w="0" w:type="dxa"/>
              <w:right w:w="108" w:type="dxa"/>
            </w:tcMar>
            <w:hideMark/>
          </w:tcPr>
          <w:p w:rsidRPr="00457446" w:rsidR="001F57D3" w:rsidP="001F57D3" w:rsidRDefault="001F57D3" w14:paraId="377D0F6C" w14:textId="77777777">
            <w:pPr>
              <w:rPr>
                <w:rFonts w:ascii="Times New Roman" w:hAnsi="Times New Roman" w:cs="Times New Roman"/>
              </w:rPr>
            </w:pPr>
            <w:r w:rsidRPr="00457446">
              <w:rPr>
                <w:rFonts w:ascii="Times New Roman" w:hAnsi="Times New Roman" w:cs="Times New Roman"/>
              </w:rPr>
              <w:t>$5 screening +</w:t>
            </w:r>
          </w:p>
        </w:tc>
      </w:tr>
      <w:tr w:rsidRPr="00457446" w:rsidR="001F57D3" w:rsidTr="001F57D3" w14:paraId="2D3A03E0" w14:textId="77777777">
        <w:trPr>
          <w:trHeight w:val="150"/>
        </w:trPr>
        <w:tc>
          <w:tcPr>
            <w:tcW w:w="0" w:type="auto"/>
            <w:vMerge/>
            <w:tcBorders>
              <w:top w:val="nil"/>
              <w:left w:val="single" w:color="auto" w:sz="8" w:space="0"/>
              <w:bottom w:val="single" w:color="auto" w:sz="8" w:space="0"/>
              <w:right w:val="single" w:color="auto" w:sz="8" w:space="0"/>
            </w:tcBorders>
            <w:vAlign w:val="center"/>
            <w:hideMark/>
          </w:tcPr>
          <w:p w:rsidRPr="00457446" w:rsidR="001F57D3" w:rsidP="001F57D3" w:rsidRDefault="001F57D3" w14:paraId="58E285D5" w14:textId="77777777">
            <w:pPr>
              <w:rPr>
                <w:rFonts w:ascii="Times New Roman" w:hAnsi="Times New Roman" w:cs="Times New Roman"/>
                <w:b/>
                <w:bCs/>
              </w:rPr>
            </w:pPr>
          </w:p>
        </w:tc>
        <w:tc>
          <w:tcPr>
            <w:tcW w:w="0" w:type="auto"/>
            <w:vMerge/>
            <w:tcBorders>
              <w:top w:val="nil"/>
              <w:left w:val="nil"/>
              <w:bottom w:val="single" w:color="auto" w:sz="8" w:space="0"/>
              <w:right w:val="single" w:color="auto" w:sz="8" w:space="0"/>
            </w:tcBorders>
            <w:vAlign w:val="center"/>
            <w:hideMark/>
          </w:tcPr>
          <w:p w:rsidRPr="00457446" w:rsidR="001F57D3" w:rsidP="001F57D3" w:rsidRDefault="001F57D3" w14:paraId="05352FB3" w14:textId="77777777">
            <w:pPr>
              <w:rPr>
                <w:rFonts w:ascii="Times New Roman" w:hAnsi="Times New Roman" w:cs="Times New Roman"/>
              </w:rPr>
            </w:pPr>
          </w:p>
        </w:tc>
        <w:tc>
          <w:tcPr>
            <w:tcW w:w="1884" w:type="dxa"/>
            <w:tcBorders>
              <w:top w:val="nil"/>
              <w:left w:val="nil"/>
              <w:bottom w:val="single" w:color="auto" w:sz="8" w:space="0"/>
              <w:right w:val="single" w:color="auto" w:sz="8" w:space="0"/>
            </w:tcBorders>
            <w:tcMar>
              <w:top w:w="0" w:type="dxa"/>
              <w:left w:w="108" w:type="dxa"/>
              <w:bottom w:w="0" w:type="dxa"/>
              <w:right w:w="108" w:type="dxa"/>
            </w:tcMar>
            <w:hideMark/>
          </w:tcPr>
          <w:p w:rsidRPr="00457446" w:rsidR="001F57D3" w:rsidP="001F57D3" w:rsidRDefault="001F57D3" w14:paraId="6473880B" w14:textId="77777777">
            <w:pPr>
              <w:rPr>
                <w:rFonts w:ascii="Times New Roman" w:hAnsi="Times New Roman" w:cs="Times New Roman"/>
              </w:rPr>
            </w:pPr>
            <w:r w:rsidRPr="00457446">
              <w:rPr>
                <w:rFonts w:ascii="Times New Roman" w:hAnsi="Times New Roman" w:cs="Times New Roman"/>
              </w:rPr>
              <w:t>$30 interview</w:t>
            </w:r>
          </w:p>
        </w:tc>
        <w:tc>
          <w:tcPr>
            <w:tcW w:w="0" w:type="auto"/>
            <w:vMerge/>
            <w:tcBorders>
              <w:top w:val="nil"/>
              <w:left w:val="nil"/>
              <w:bottom w:val="single" w:color="auto" w:sz="8" w:space="0"/>
              <w:right w:val="single" w:color="auto" w:sz="8" w:space="0"/>
            </w:tcBorders>
            <w:vAlign w:val="center"/>
            <w:hideMark/>
          </w:tcPr>
          <w:p w:rsidRPr="00457446" w:rsidR="001F57D3" w:rsidP="001F57D3" w:rsidRDefault="001F57D3" w14:paraId="3F36F9AB" w14:textId="77777777">
            <w:pPr>
              <w:rPr>
                <w:rFonts w:ascii="Times New Roman" w:hAnsi="Times New Roman" w:cs="Times New Roman"/>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457446" w:rsidR="001F57D3" w:rsidP="001F57D3" w:rsidRDefault="001F57D3" w14:paraId="3B14EFA3" w14:textId="77777777">
            <w:pPr>
              <w:rPr>
                <w:rFonts w:ascii="Times New Roman" w:hAnsi="Times New Roman" w:cs="Times New Roman"/>
              </w:rPr>
            </w:pPr>
            <w:r w:rsidRPr="00457446">
              <w:rPr>
                <w:rFonts w:ascii="Times New Roman" w:hAnsi="Times New Roman" w:cs="Times New Roman"/>
              </w:rPr>
              <w:t>$30 interview</w:t>
            </w:r>
          </w:p>
        </w:tc>
      </w:tr>
      <w:tr w:rsidRPr="00457446" w:rsidR="001F57D3" w:rsidTr="001F57D3" w14:paraId="2CF5A5C4" w14:textId="77777777">
        <w:trPr>
          <w:trHeight w:val="150"/>
        </w:trPr>
        <w:tc>
          <w:tcPr>
            <w:tcW w:w="0" w:type="auto"/>
            <w:vMerge/>
            <w:tcBorders>
              <w:top w:val="nil"/>
              <w:left w:val="single" w:color="auto" w:sz="8" w:space="0"/>
              <w:bottom w:val="single" w:color="auto" w:sz="8" w:space="0"/>
              <w:right w:val="single" w:color="auto" w:sz="8" w:space="0"/>
            </w:tcBorders>
            <w:vAlign w:val="center"/>
            <w:hideMark/>
          </w:tcPr>
          <w:p w:rsidRPr="00457446" w:rsidR="001F57D3" w:rsidP="001F57D3" w:rsidRDefault="001F57D3" w14:paraId="25B3830A" w14:textId="77777777">
            <w:pPr>
              <w:rPr>
                <w:rFonts w:ascii="Times New Roman" w:hAnsi="Times New Roman" w:cs="Times New Roman"/>
                <w:b/>
                <w:bCs/>
              </w:rPr>
            </w:pPr>
          </w:p>
        </w:tc>
        <w:tc>
          <w:tcPr>
            <w:tcW w:w="328" w:type="dxa"/>
            <w:vMerge w:val="restart"/>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center"/>
            <w:hideMark/>
          </w:tcPr>
          <w:p w:rsidRPr="00457446" w:rsidR="001F57D3" w:rsidP="001F57D3" w:rsidRDefault="001F57D3" w14:paraId="72B6E83A" w14:textId="77777777">
            <w:pPr>
              <w:rPr>
                <w:rFonts w:ascii="Times New Roman" w:hAnsi="Times New Roman" w:cs="Times New Roman"/>
              </w:rPr>
            </w:pPr>
            <w:r w:rsidRPr="00457446">
              <w:rPr>
                <w:rFonts w:ascii="Times New Roman" w:hAnsi="Times New Roman" w:cs="Times New Roman"/>
              </w:rPr>
              <w:t>3</w:t>
            </w:r>
          </w:p>
        </w:tc>
        <w:tc>
          <w:tcPr>
            <w:tcW w:w="1884" w:type="dxa"/>
            <w:tcBorders>
              <w:top w:val="nil"/>
              <w:left w:val="nil"/>
              <w:bottom w:val="nil"/>
              <w:right w:val="single" w:color="auto" w:sz="8" w:space="0"/>
            </w:tcBorders>
            <w:tcMar>
              <w:top w:w="0" w:type="dxa"/>
              <w:left w:w="108" w:type="dxa"/>
              <w:bottom w:w="0" w:type="dxa"/>
              <w:right w:w="108" w:type="dxa"/>
            </w:tcMar>
            <w:hideMark/>
          </w:tcPr>
          <w:p w:rsidRPr="00457446" w:rsidR="001F57D3" w:rsidP="001F57D3" w:rsidRDefault="001F57D3" w14:paraId="6DF7F1DA" w14:textId="77777777">
            <w:pPr>
              <w:rPr>
                <w:rFonts w:ascii="Times New Roman" w:hAnsi="Times New Roman" w:cs="Times New Roman"/>
              </w:rPr>
            </w:pPr>
            <w:r w:rsidRPr="00457446">
              <w:rPr>
                <w:rFonts w:ascii="Times New Roman" w:hAnsi="Times New Roman" w:cs="Times New Roman"/>
              </w:rPr>
              <w:t>$0 screening +</w:t>
            </w:r>
          </w:p>
        </w:tc>
        <w:tc>
          <w:tcPr>
            <w:tcW w:w="360" w:type="dxa"/>
            <w:vMerge w:val="restart"/>
            <w:tcBorders>
              <w:top w:val="nil"/>
              <w:left w:val="nil"/>
              <w:bottom w:val="single" w:color="auto" w:sz="8" w:space="0"/>
              <w:right w:val="single" w:color="auto" w:sz="8" w:space="0"/>
            </w:tcBorders>
            <w:shd w:val="clear" w:color="auto" w:fill="B4C6E7"/>
            <w:noWrap/>
            <w:tcMar>
              <w:top w:w="0" w:type="dxa"/>
              <w:left w:w="108" w:type="dxa"/>
              <w:bottom w:w="0" w:type="dxa"/>
              <w:right w:w="108" w:type="dxa"/>
            </w:tcMar>
            <w:vAlign w:val="center"/>
            <w:hideMark/>
          </w:tcPr>
          <w:p w:rsidRPr="00457446" w:rsidR="001F57D3" w:rsidP="001F57D3" w:rsidRDefault="001F57D3" w14:paraId="5C0630E7" w14:textId="77777777">
            <w:pPr>
              <w:rPr>
                <w:rFonts w:ascii="Times New Roman" w:hAnsi="Times New Roman" w:cs="Times New Roman"/>
              </w:rPr>
            </w:pPr>
            <w:r w:rsidRPr="00457446">
              <w:rPr>
                <w:rFonts w:ascii="Times New Roman" w:hAnsi="Times New Roman" w:cs="Times New Roman"/>
              </w:rPr>
              <w:t>4</w:t>
            </w:r>
          </w:p>
        </w:tc>
        <w:tc>
          <w:tcPr>
            <w:tcW w:w="1800" w:type="dxa"/>
            <w:tcBorders>
              <w:top w:val="nil"/>
              <w:left w:val="nil"/>
              <w:bottom w:val="nil"/>
              <w:right w:val="single" w:color="auto" w:sz="8" w:space="0"/>
            </w:tcBorders>
            <w:tcMar>
              <w:top w:w="0" w:type="dxa"/>
              <w:left w:w="108" w:type="dxa"/>
              <w:bottom w:w="0" w:type="dxa"/>
              <w:right w:w="108" w:type="dxa"/>
            </w:tcMar>
            <w:hideMark/>
          </w:tcPr>
          <w:p w:rsidRPr="00457446" w:rsidR="001F57D3" w:rsidP="001F57D3" w:rsidRDefault="001F57D3" w14:paraId="748EFFBB" w14:textId="77777777">
            <w:pPr>
              <w:rPr>
                <w:rFonts w:ascii="Times New Roman" w:hAnsi="Times New Roman" w:cs="Times New Roman"/>
              </w:rPr>
            </w:pPr>
            <w:r w:rsidRPr="00457446">
              <w:rPr>
                <w:rFonts w:ascii="Times New Roman" w:hAnsi="Times New Roman" w:cs="Times New Roman"/>
              </w:rPr>
              <w:t>$5 screening +</w:t>
            </w:r>
          </w:p>
        </w:tc>
      </w:tr>
      <w:tr w:rsidRPr="00457446" w:rsidR="001F57D3" w:rsidTr="001F57D3" w14:paraId="48DC0549" w14:textId="77777777">
        <w:trPr>
          <w:trHeight w:val="150"/>
        </w:trPr>
        <w:tc>
          <w:tcPr>
            <w:tcW w:w="0" w:type="auto"/>
            <w:vMerge/>
            <w:tcBorders>
              <w:top w:val="nil"/>
              <w:left w:val="single" w:color="auto" w:sz="8" w:space="0"/>
              <w:bottom w:val="single" w:color="auto" w:sz="8" w:space="0"/>
              <w:right w:val="single" w:color="auto" w:sz="8" w:space="0"/>
            </w:tcBorders>
            <w:vAlign w:val="center"/>
            <w:hideMark/>
          </w:tcPr>
          <w:p w:rsidRPr="00457446" w:rsidR="001F57D3" w:rsidP="001F57D3" w:rsidRDefault="001F57D3" w14:paraId="66E51B5B" w14:textId="77777777">
            <w:pPr>
              <w:rPr>
                <w:rFonts w:ascii="Times New Roman" w:hAnsi="Times New Roman" w:cs="Times New Roman"/>
                <w:b/>
                <w:bCs/>
              </w:rPr>
            </w:pPr>
          </w:p>
        </w:tc>
        <w:tc>
          <w:tcPr>
            <w:tcW w:w="0" w:type="auto"/>
            <w:vMerge/>
            <w:tcBorders>
              <w:top w:val="nil"/>
              <w:left w:val="nil"/>
              <w:bottom w:val="single" w:color="auto" w:sz="8" w:space="0"/>
              <w:right w:val="single" w:color="auto" w:sz="8" w:space="0"/>
            </w:tcBorders>
            <w:vAlign w:val="center"/>
            <w:hideMark/>
          </w:tcPr>
          <w:p w:rsidRPr="00457446" w:rsidR="001F57D3" w:rsidP="001F57D3" w:rsidRDefault="001F57D3" w14:paraId="7E575303" w14:textId="77777777">
            <w:pPr>
              <w:rPr>
                <w:rFonts w:ascii="Times New Roman" w:hAnsi="Times New Roman" w:cs="Times New Roman"/>
              </w:rPr>
            </w:pPr>
          </w:p>
        </w:tc>
        <w:tc>
          <w:tcPr>
            <w:tcW w:w="188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457446" w:rsidR="001F57D3" w:rsidP="001F57D3" w:rsidRDefault="001F57D3" w14:paraId="77189BF0" w14:textId="77777777">
            <w:pPr>
              <w:rPr>
                <w:rFonts w:ascii="Times New Roman" w:hAnsi="Times New Roman" w:cs="Times New Roman"/>
              </w:rPr>
            </w:pPr>
            <w:r w:rsidRPr="00457446">
              <w:rPr>
                <w:rFonts w:ascii="Times New Roman" w:hAnsi="Times New Roman" w:cs="Times New Roman"/>
              </w:rPr>
              <w:t>$50 interview</w:t>
            </w:r>
          </w:p>
        </w:tc>
        <w:tc>
          <w:tcPr>
            <w:tcW w:w="0" w:type="auto"/>
            <w:vMerge/>
            <w:tcBorders>
              <w:top w:val="nil"/>
              <w:left w:val="nil"/>
              <w:bottom w:val="single" w:color="auto" w:sz="8" w:space="0"/>
              <w:right w:val="single" w:color="auto" w:sz="8" w:space="0"/>
            </w:tcBorders>
            <w:vAlign w:val="center"/>
            <w:hideMark/>
          </w:tcPr>
          <w:p w:rsidRPr="00457446" w:rsidR="001F57D3" w:rsidP="001F57D3" w:rsidRDefault="001F57D3" w14:paraId="06233E27" w14:textId="77777777">
            <w:pPr>
              <w:rPr>
                <w:rFonts w:ascii="Times New Roman" w:hAnsi="Times New Roman" w:cs="Times New Roman"/>
              </w:rPr>
            </w:pP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457446" w:rsidR="001F57D3" w:rsidP="001F57D3" w:rsidRDefault="001F57D3" w14:paraId="11140A4E" w14:textId="77777777">
            <w:pPr>
              <w:rPr>
                <w:rFonts w:ascii="Times New Roman" w:hAnsi="Times New Roman" w:cs="Times New Roman"/>
              </w:rPr>
            </w:pPr>
            <w:r w:rsidRPr="00457446">
              <w:rPr>
                <w:rFonts w:ascii="Times New Roman" w:hAnsi="Times New Roman" w:cs="Times New Roman"/>
              </w:rPr>
              <w:t>$50 interview</w:t>
            </w:r>
          </w:p>
        </w:tc>
      </w:tr>
    </w:tbl>
    <w:p w:rsidRPr="00186953" w:rsidR="001F57D3" w:rsidP="001F57D3" w:rsidRDefault="001F57D3" w14:paraId="5D22C7F3" w14:textId="67D44148">
      <w:pPr>
        <w:rPr>
          <w:rFonts w:ascii="Times New Roman" w:hAnsi="Times New Roman" w:cs="Times New Roman"/>
          <w:sz w:val="16"/>
          <w:szCs w:val="16"/>
        </w:rPr>
      </w:pPr>
      <w:r w:rsidRPr="00186953">
        <w:rPr>
          <w:rFonts w:ascii="Times New Roman" w:hAnsi="Times New Roman" w:cs="Times New Roman"/>
          <w:i/>
          <w:sz w:val="16"/>
          <w:szCs w:val="16"/>
        </w:rPr>
        <w:t>Note</w:t>
      </w:r>
      <w:r w:rsidRPr="00186953">
        <w:rPr>
          <w:rFonts w:ascii="Times New Roman" w:hAnsi="Times New Roman" w:cs="Times New Roman"/>
          <w:sz w:val="16"/>
          <w:szCs w:val="16"/>
        </w:rPr>
        <w:t>: Condition 1 represents current NSDUH practice.</w:t>
      </w:r>
    </w:p>
    <w:p w:rsidR="001F57D3" w:rsidP="001F57D3" w:rsidRDefault="001F57D3" w14:paraId="1A5DA73F" w14:textId="77777777">
      <w:pPr>
        <w:rPr>
          <w:rFonts w:ascii="Times New Roman" w:hAnsi="Times New Roman" w:cs="Times New Roman"/>
        </w:rPr>
      </w:pPr>
    </w:p>
    <w:p w:rsidRPr="00457446" w:rsidR="00CF03C4" w:rsidP="00CF03C4" w:rsidRDefault="00CF03C4" w14:paraId="7EA8AF19" w14:textId="77777777">
      <w:pPr>
        <w:rPr>
          <w:rFonts w:ascii="Times New Roman" w:hAnsi="Times New Roman" w:cs="Times New Roman"/>
        </w:rPr>
      </w:pPr>
      <w:r w:rsidRPr="00457446">
        <w:rPr>
          <w:rFonts w:ascii="Times New Roman" w:hAnsi="Times New Roman" w:cs="Times New Roman"/>
        </w:rPr>
        <w:t xml:space="preserve">The screening and interview incentive experiment will be used to assess: </w:t>
      </w:r>
    </w:p>
    <w:p w:rsidRPr="00457446" w:rsidR="00CF03C4" w:rsidP="00CF03C4" w:rsidRDefault="00CF03C4" w14:paraId="285244E0" w14:textId="77777777">
      <w:pPr>
        <w:numPr>
          <w:ilvl w:val="0"/>
          <w:numId w:val="14"/>
        </w:numPr>
        <w:rPr>
          <w:rFonts w:ascii="Times New Roman" w:hAnsi="Times New Roman" w:cs="Times New Roman"/>
        </w:rPr>
      </w:pPr>
      <w:r w:rsidRPr="00457446">
        <w:rPr>
          <w:rFonts w:ascii="Times New Roman" w:hAnsi="Times New Roman" w:cs="Times New Roman"/>
        </w:rPr>
        <w:t xml:space="preserve">The impact of offering a screening incentive on </w:t>
      </w:r>
      <w:r>
        <w:rPr>
          <w:rFonts w:ascii="Times New Roman" w:hAnsi="Times New Roman" w:cs="Times New Roman"/>
        </w:rPr>
        <w:t xml:space="preserve">screening response rates (SRR). </w:t>
      </w:r>
    </w:p>
    <w:p w:rsidR="00CF03C4" w:rsidP="00CF03C4" w:rsidRDefault="00CF03C4" w14:paraId="77290356" w14:textId="5ED0AF1A">
      <w:pPr>
        <w:numPr>
          <w:ilvl w:val="0"/>
          <w:numId w:val="14"/>
        </w:numPr>
        <w:rPr>
          <w:rFonts w:ascii="Times New Roman" w:hAnsi="Times New Roman" w:cs="Times New Roman"/>
        </w:rPr>
      </w:pPr>
      <w:r w:rsidRPr="00457446">
        <w:rPr>
          <w:rFonts w:ascii="Times New Roman" w:hAnsi="Times New Roman" w:cs="Times New Roman"/>
        </w:rPr>
        <w:lastRenderedPageBreak/>
        <w:t xml:space="preserve">The impact of a higher interview incentive on screening and </w:t>
      </w:r>
      <w:r>
        <w:rPr>
          <w:rFonts w:ascii="Times New Roman" w:hAnsi="Times New Roman" w:cs="Times New Roman"/>
        </w:rPr>
        <w:t>interview response rates (</w:t>
      </w:r>
      <w:r w:rsidRPr="00457446">
        <w:rPr>
          <w:rFonts w:ascii="Times New Roman" w:hAnsi="Times New Roman" w:cs="Times New Roman"/>
        </w:rPr>
        <w:t>IRR</w:t>
      </w:r>
      <w:r w:rsidR="0014108A">
        <w:rPr>
          <w:rFonts w:ascii="Times New Roman" w:hAnsi="Times New Roman" w:cs="Times New Roman"/>
        </w:rPr>
        <w:t>).</w:t>
      </w:r>
    </w:p>
    <w:p w:rsidRPr="00457446" w:rsidR="00CF03C4" w:rsidP="00CF03C4" w:rsidRDefault="00CF03C4" w14:paraId="7B7202C2" w14:textId="1D593B0E">
      <w:pPr>
        <w:numPr>
          <w:ilvl w:val="0"/>
          <w:numId w:val="14"/>
        </w:numPr>
        <w:rPr>
          <w:rFonts w:ascii="Times New Roman" w:hAnsi="Times New Roman" w:cs="Times New Roman"/>
        </w:rPr>
      </w:pPr>
      <w:r w:rsidRPr="00457446">
        <w:rPr>
          <w:rFonts w:ascii="Times New Roman" w:hAnsi="Times New Roman" w:cs="Times New Roman"/>
        </w:rPr>
        <w:t xml:space="preserve">The impact of offering a screening incentive on </w:t>
      </w:r>
      <w:r>
        <w:rPr>
          <w:rFonts w:ascii="Times New Roman" w:hAnsi="Times New Roman" w:cs="Times New Roman"/>
        </w:rPr>
        <w:t xml:space="preserve">nonresponse bias by examining </w:t>
      </w:r>
      <w:r w:rsidRPr="00457446">
        <w:rPr>
          <w:rFonts w:ascii="Times New Roman" w:hAnsi="Times New Roman" w:cs="Times New Roman"/>
        </w:rPr>
        <w:t>the demographic composition of households screened</w:t>
      </w:r>
      <w:r w:rsidR="0014108A">
        <w:rPr>
          <w:rFonts w:ascii="Times New Roman" w:hAnsi="Times New Roman" w:cs="Times New Roman"/>
        </w:rPr>
        <w:t>.</w:t>
      </w:r>
    </w:p>
    <w:p w:rsidR="00267582" w:rsidP="001F57D3" w:rsidRDefault="00267582" w14:paraId="4DD40410" w14:textId="77777777">
      <w:pPr>
        <w:rPr>
          <w:rFonts w:ascii="Times New Roman" w:hAnsi="Times New Roman" w:cs="Times New Roman"/>
          <w:u w:val="single"/>
        </w:rPr>
      </w:pPr>
    </w:p>
    <w:p w:rsidRPr="003336CA" w:rsidR="001F57D3" w:rsidP="001F57D3" w:rsidRDefault="004930FE" w14:paraId="50021006" w14:textId="05DE1DA3">
      <w:pPr>
        <w:pStyle w:val="ListParagraph"/>
        <w:ind w:left="0" w:firstLine="0"/>
        <w:rPr>
          <w:rFonts w:ascii="Times New Roman" w:hAnsi="Times New Roman" w:cs="Times New Roman" w:eastAsiaTheme="minorHAnsi"/>
          <w:sz w:val="22"/>
          <w:szCs w:val="22"/>
        </w:rPr>
      </w:pPr>
      <w:r>
        <w:rPr>
          <w:rFonts w:ascii="Times New Roman" w:hAnsi="Times New Roman" w:cs="Times New Roman" w:eastAsiaTheme="minorHAnsi"/>
          <w:sz w:val="22"/>
          <w:szCs w:val="22"/>
        </w:rPr>
        <w:t>We will use results of the experiment to make recommendations on the use of incentives</w:t>
      </w:r>
      <w:r w:rsidR="002A423C">
        <w:rPr>
          <w:rFonts w:ascii="Times New Roman" w:hAnsi="Times New Roman" w:cs="Times New Roman" w:eastAsiaTheme="minorHAnsi"/>
          <w:sz w:val="22"/>
          <w:szCs w:val="22"/>
        </w:rPr>
        <w:t xml:space="preserve"> for future NSDUHs</w:t>
      </w:r>
      <w:r>
        <w:rPr>
          <w:rFonts w:ascii="Times New Roman" w:hAnsi="Times New Roman" w:cs="Times New Roman" w:eastAsiaTheme="minorHAnsi"/>
          <w:sz w:val="22"/>
          <w:szCs w:val="22"/>
        </w:rPr>
        <w:t>. The screening incentive and increased interview incentive will be considered effective</w:t>
      </w:r>
      <w:r w:rsidRPr="003336CA" w:rsidR="001F57D3">
        <w:rPr>
          <w:rFonts w:ascii="Times New Roman" w:hAnsi="Times New Roman" w:cs="Times New Roman" w:eastAsiaTheme="minorHAnsi"/>
          <w:sz w:val="22"/>
          <w:szCs w:val="22"/>
        </w:rPr>
        <w:t xml:space="preserve"> if the results show</w:t>
      </w:r>
      <w:r w:rsidR="001201CA">
        <w:rPr>
          <w:rFonts w:ascii="Times New Roman" w:hAnsi="Times New Roman" w:cs="Times New Roman" w:eastAsiaTheme="minorHAnsi"/>
          <w:sz w:val="22"/>
          <w:szCs w:val="22"/>
        </w:rPr>
        <w:t xml:space="preserve"> meaningful</w:t>
      </w:r>
      <w:r w:rsidRPr="003336CA" w:rsidR="001F57D3">
        <w:rPr>
          <w:rFonts w:ascii="Times New Roman" w:hAnsi="Times New Roman" w:cs="Times New Roman" w:eastAsiaTheme="minorHAnsi"/>
          <w:sz w:val="22"/>
          <w:szCs w:val="22"/>
        </w:rPr>
        <w:t xml:space="preserve"> differences between experimental conditions that</w:t>
      </w:r>
      <w:r w:rsidR="001201CA">
        <w:rPr>
          <w:rFonts w:ascii="Times New Roman" w:hAnsi="Times New Roman" w:cs="Times New Roman" w:eastAsiaTheme="minorHAnsi"/>
          <w:sz w:val="22"/>
          <w:szCs w:val="22"/>
        </w:rPr>
        <w:t xml:space="preserve"> are</w:t>
      </w:r>
      <w:r w:rsidRPr="003336CA" w:rsidR="001F57D3">
        <w:rPr>
          <w:rFonts w:ascii="Times New Roman" w:hAnsi="Times New Roman" w:cs="Times New Roman" w:eastAsiaTheme="minorHAnsi"/>
          <w:sz w:val="22"/>
          <w:szCs w:val="22"/>
        </w:rPr>
        <w:t xml:space="preserve"> statistically significant.</w:t>
      </w:r>
      <w:r w:rsidR="00A24BB7">
        <w:rPr>
          <w:rFonts w:ascii="Times New Roman" w:hAnsi="Times New Roman" w:cs="Times New Roman" w:eastAsiaTheme="minorHAnsi"/>
          <w:sz w:val="22"/>
          <w:szCs w:val="22"/>
        </w:rPr>
        <w:t xml:space="preserve"> </w:t>
      </w:r>
    </w:p>
    <w:p w:rsidR="001F57D3" w:rsidP="001F57D3" w:rsidRDefault="001F57D3" w14:paraId="7A2D8A19" w14:textId="77777777">
      <w:pPr>
        <w:rPr>
          <w:rFonts w:ascii="Times New Roman" w:hAnsi="Times New Roman" w:cs="Times New Roman"/>
          <w:b/>
          <w:bCs/>
        </w:rPr>
      </w:pPr>
    </w:p>
    <w:p w:rsidRPr="00C0279E" w:rsidR="001F57D3" w:rsidP="001F57D3" w:rsidRDefault="00150763" w14:paraId="4017CBB5" w14:textId="5CC62184">
      <w:pPr>
        <w:rPr>
          <w:rFonts w:ascii="Times New Roman" w:hAnsi="Times New Roman" w:cs="Times New Roman"/>
        </w:rPr>
      </w:pPr>
      <w:r>
        <w:rPr>
          <w:rFonts w:ascii="Times New Roman" w:hAnsi="Times New Roman" w:cs="Times New Roman"/>
        </w:rPr>
        <w:t xml:space="preserve">We project that an increase of approximately 5% </w:t>
      </w:r>
      <w:r w:rsidR="00F81B5A">
        <w:rPr>
          <w:rFonts w:ascii="Times New Roman" w:hAnsi="Times New Roman" w:cs="Times New Roman"/>
        </w:rPr>
        <w:t>for</w:t>
      </w:r>
      <w:r>
        <w:rPr>
          <w:rFonts w:ascii="Times New Roman" w:hAnsi="Times New Roman" w:cs="Times New Roman"/>
        </w:rPr>
        <w:t xml:space="preserve"> either the screening or interview response rate will be meaningful. Our study design will be able to detect differences</w:t>
      </w:r>
      <w:r w:rsidR="00F81B5A">
        <w:rPr>
          <w:rFonts w:ascii="Times New Roman" w:hAnsi="Times New Roman" w:cs="Times New Roman"/>
        </w:rPr>
        <w:t xml:space="preserve"> in screening response rates</w:t>
      </w:r>
      <w:r>
        <w:rPr>
          <w:rFonts w:ascii="Times New Roman" w:hAnsi="Times New Roman" w:cs="Times New Roman"/>
        </w:rPr>
        <w:t xml:space="preserve"> </w:t>
      </w:r>
      <w:r w:rsidR="00F81B5A">
        <w:rPr>
          <w:rFonts w:ascii="Times New Roman" w:hAnsi="Times New Roman" w:cs="Times New Roman"/>
        </w:rPr>
        <w:t>of at least 4.7% and differences in interview response rates o</w:t>
      </w:r>
      <w:r w:rsidR="00C0279E">
        <w:rPr>
          <w:rFonts w:ascii="Times New Roman" w:hAnsi="Times New Roman" w:cs="Times New Roman"/>
        </w:rPr>
        <w:t>f at least 5.2%</w:t>
      </w:r>
      <w:r w:rsidR="00F81B5A">
        <w:rPr>
          <w:rFonts w:ascii="Times New Roman" w:hAnsi="Times New Roman" w:cs="Times New Roman"/>
        </w:rPr>
        <w:t xml:space="preserve">. </w:t>
      </w:r>
      <w:r w:rsidR="005B215D">
        <w:rPr>
          <w:rFonts w:ascii="Times New Roman" w:hAnsi="Times New Roman" w:cs="Times New Roman"/>
        </w:rPr>
        <w:t>D</w:t>
      </w:r>
      <w:r w:rsidR="00F81B5A">
        <w:rPr>
          <w:rFonts w:ascii="Times New Roman" w:hAnsi="Times New Roman" w:cs="Times New Roman"/>
        </w:rPr>
        <w:t xml:space="preserve">ifferences at or above these rates </w:t>
      </w:r>
      <w:r w:rsidR="005B215D">
        <w:rPr>
          <w:rFonts w:ascii="Times New Roman" w:hAnsi="Times New Roman" w:cs="Times New Roman"/>
        </w:rPr>
        <w:t xml:space="preserve">will likely </w:t>
      </w:r>
      <w:r w:rsidR="00F81B5A">
        <w:rPr>
          <w:rFonts w:ascii="Times New Roman" w:hAnsi="Times New Roman" w:cs="Times New Roman"/>
        </w:rPr>
        <w:t xml:space="preserve">be statistically significant and </w:t>
      </w:r>
      <w:r w:rsidR="005B215D">
        <w:rPr>
          <w:rFonts w:ascii="Times New Roman" w:hAnsi="Times New Roman" w:cs="Times New Roman"/>
        </w:rPr>
        <w:t xml:space="preserve">we would interpret these rates as </w:t>
      </w:r>
      <w:r w:rsidR="00F81B5A">
        <w:rPr>
          <w:rFonts w:ascii="Times New Roman" w:hAnsi="Times New Roman" w:cs="Times New Roman"/>
        </w:rPr>
        <w:t xml:space="preserve">meaningfully different. As such, these values represent our indicators of incentive effectiveness. In addition, we expect the screening incentive to impact the demographic composition of households screened. </w:t>
      </w:r>
      <w:r w:rsidRPr="00E71AB5" w:rsidR="00F81B5A">
        <w:rPr>
          <w:rFonts w:ascii="Times New Roman" w:hAnsi="Times New Roman" w:cs="Times New Roman"/>
        </w:rPr>
        <w:t xml:space="preserve">For households offered the $5 screening incentive compared to those </w:t>
      </w:r>
      <w:proofErr w:type="gramStart"/>
      <w:r w:rsidRPr="00E71AB5" w:rsidR="00F81B5A">
        <w:rPr>
          <w:rFonts w:ascii="Times New Roman" w:hAnsi="Times New Roman" w:cs="Times New Roman"/>
        </w:rPr>
        <w:t>not offered</w:t>
      </w:r>
      <w:proofErr w:type="gramEnd"/>
      <w:r w:rsidRPr="00E71AB5" w:rsidR="00F81B5A">
        <w:rPr>
          <w:rFonts w:ascii="Times New Roman" w:hAnsi="Times New Roman" w:cs="Times New Roman"/>
        </w:rPr>
        <w:t xml:space="preserve"> the screening incentive, one or more of the demographic characteristics (1) differs significantly between the no incentive and $5 incentive condition and (2) the estimate from the $5 incentive condition is closer to American Community Survey (ACS) estimates. </w:t>
      </w:r>
      <w:r w:rsidRPr="00C0279E" w:rsidR="00BA17C0">
        <w:rPr>
          <w:rFonts w:ascii="Times New Roman" w:hAnsi="Times New Roman" w:cs="Times New Roman"/>
        </w:rPr>
        <w:t>For age groups, marginal mean differences ranging from 1.8% to 4.0% would be detectable as statistically significant. For gender, a marginal mean difference of 3.3% would be statistically significant. For race/ethnicity, marginal mean differences ranging from 2.8% to 5.0% would be statistically significant.</w:t>
      </w:r>
      <w:r w:rsidR="00C0279E">
        <w:rPr>
          <w:rFonts w:ascii="Times New Roman" w:hAnsi="Times New Roman" w:cs="Times New Roman"/>
        </w:rPr>
        <w:t xml:space="preserve"> </w:t>
      </w:r>
      <w:r w:rsidR="00804ABF">
        <w:rPr>
          <w:rFonts w:ascii="Times New Roman" w:hAnsi="Times New Roman" w:cs="Times New Roman"/>
        </w:rPr>
        <w:t>Because n</w:t>
      </w:r>
      <w:r w:rsidRPr="003336CA" w:rsidR="00804ABF">
        <w:rPr>
          <w:rFonts w:ascii="Times New Roman" w:hAnsi="Times New Roman" w:cs="Times New Roman"/>
        </w:rPr>
        <w:t>onresponse bias is a property of each survey estimate, differences in response rates could result in no practical impact on nonresponse bias for some estimates and a meaningful impact for other estimates.</w:t>
      </w:r>
      <w:r w:rsidR="00804ABF">
        <w:rPr>
          <w:rFonts w:ascii="Times New Roman" w:hAnsi="Times New Roman" w:cs="Times New Roman"/>
        </w:rPr>
        <w:t xml:space="preserve"> </w:t>
      </w:r>
    </w:p>
    <w:p w:rsidR="00804ABF" w:rsidP="001F57D3" w:rsidRDefault="00804ABF" w14:paraId="68ADD810" w14:textId="77777777">
      <w:pPr>
        <w:rPr>
          <w:rFonts w:ascii="Times New Roman" w:hAnsi="Times New Roman" w:cs="Times New Roman"/>
        </w:rPr>
      </w:pPr>
    </w:p>
    <w:p w:rsidRPr="00E71AB5" w:rsidR="001F57D3" w:rsidP="001F57D3" w:rsidRDefault="001F57D3" w14:paraId="63B0BEA8" w14:textId="06B35CF2">
      <w:pPr>
        <w:rPr>
          <w:rFonts w:ascii="Times New Roman" w:hAnsi="Times New Roman" w:cs="Times New Roman"/>
        </w:rPr>
      </w:pPr>
      <w:r w:rsidRPr="00E71AB5">
        <w:rPr>
          <w:rFonts w:ascii="Times New Roman" w:hAnsi="Times New Roman" w:cs="Times New Roman"/>
        </w:rPr>
        <w:t xml:space="preserve">An important outcome of the incentive experiment will be to make a clear, informed decision about </w:t>
      </w:r>
      <w:r w:rsidR="00C0279E">
        <w:rPr>
          <w:rFonts w:ascii="Times New Roman" w:hAnsi="Times New Roman" w:cs="Times New Roman"/>
        </w:rPr>
        <w:t xml:space="preserve">whether the addition of a </w:t>
      </w:r>
      <w:r w:rsidRPr="00E71AB5">
        <w:rPr>
          <w:rFonts w:ascii="Times New Roman" w:hAnsi="Times New Roman" w:cs="Times New Roman"/>
        </w:rPr>
        <w:t>screening and</w:t>
      </w:r>
      <w:r w:rsidR="00C0279E">
        <w:rPr>
          <w:rFonts w:ascii="Times New Roman" w:hAnsi="Times New Roman" w:cs="Times New Roman"/>
        </w:rPr>
        <w:t xml:space="preserve">/or increase in an interview incentive is </w:t>
      </w:r>
      <w:r w:rsidRPr="00E71AB5">
        <w:rPr>
          <w:rFonts w:ascii="Times New Roman" w:hAnsi="Times New Roman" w:cs="Times New Roman"/>
        </w:rPr>
        <w:t xml:space="preserve">effective in </w:t>
      </w:r>
      <w:r w:rsidR="00C0279E">
        <w:rPr>
          <w:rFonts w:ascii="Times New Roman" w:hAnsi="Times New Roman" w:cs="Times New Roman"/>
        </w:rPr>
        <w:t>increasing response rates and potentially limiting nonresponse bias</w:t>
      </w:r>
      <w:r w:rsidRPr="00E71AB5">
        <w:rPr>
          <w:rFonts w:ascii="Times New Roman" w:hAnsi="Times New Roman" w:cs="Times New Roman"/>
        </w:rPr>
        <w:t xml:space="preserve">. The experimental design will determine whether the screening incentive has a significant effect on response rates independent of the increased interview incentive, whether the increased interview incentive has the primary impact on screening and interview response rates, or whether a specific combination of the screening and interview incentive amounts has the greatest impact on response rates. </w:t>
      </w:r>
      <w:r w:rsidR="00804ABF">
        <w:rPr>
          <w:rFonts w:ascii="Times New Roman" w:hAnsi="Times New Roman" w:cs="Times New Roman"/>
        </w:rPr>
        <w:t>The</w:t>
      </w:r>
      <w:r w:rsidRPr="00E71AB5">
        <w:rPr>
          <w:rFonts w:ascii="Times New Roman" w:hAnsi="Times New Roman" w:cs="Times New Roman"/>
        </w:rPr>
        <w:t xml:space="preserve"> incentive experiment </w:t>
      </w:r>
      <w:r w:rsidR="00804ABF">
        <w:rPr>
          <w:rFonts w:ascii="Times New Roman" w:hAnsi="Times New Roman" w:cs="Times New Roman"/>
        </w:rPr>
        <w:t>provides a foundation for</w:t>
      </w:r>
      <w:r w:rsidRPr="00E71AB5">
        <w:rPr>
          <w:rFonts w:ascii="Times New Roman" w:hAnsi="Times New Roman" w:cs="Times New Roman"/>
        </w:rPr>
        <w:t xml:space="preserve"> an evidence-based decision on whether adding a screening incentive, increasing the interview incentive, or a combination of </w:t>
      </w:r>
      <w:r w:rsidR="00804ABF">
        <w:rPr>
          <w:rFonts w:ascii="Times New Roman" w:hAnsi="Times New Roman" w:cs="Times New Roman"/>
        </w:rPr>
        <w:t xml:space="preserve">these </w:t>
      </w:r>
      <w:r w:rsidRPr="00E71AB5">
        <w:rPr>
          <w:rFonts w:ascii="Times New Roman" w:hAnsi="Times New Roman" w:cs="Times New Roman"/>
        </w:rPr>
        <w:t xml:space="preserve">incentives, </w:t>
      </w:r>
      <w:r w:rsidR="00804ABF">
        <w:rPr>
          <w:rFonts w:ascii="Times New Roman" w:hAnsi="Times New Roman" w:cs="Times New Roman"/>
        </w:rPr>
        <w:t>may</w:t>
      </w:r>
      <w:r w:rsidRPr="00E71AB5" w:rsidR="00804ABF">
        <w:rPr>
          <w:rFonts w:ascii="Times New Roman" w:hAnsi="Times New Roman" w:cs="Times New Roman"/>
        </w:rPr>
        <w:t xml:space="preserve"> </w:t>
      </w:r>
      <w:r w:rsidRPr="00E71AB5">
        <w:rPr>
          <w:rFonts w:ascii="Times New Roman" w:hAnsi="Times New Roman" w:cs="Times New Roman"/>
        </w:rPr>
        <w:t xml:space="preserve">improve response rates and mitigate nonresponse bias </w:t>
      </w:r>
      <w:r w:rsidR="00804ABF">
        <w:rPr>
          <w:rFonts w:ascii="Times New Roman" w:hAnsi="Times New Roman" w:cs="Times New Roman"/>
        </w:rPr>
        <w:t xml:space="preserve">in </w:t>
      </w:r>
      <w:r w:rsidR="009645BA">
        <w:rPr>
          <w:rFonts w:ascii="Times New Roman" w:hAnsi="Times New Roman" w:cs="Times New Roman"/>
        </w:rPr>
        <w:t>future</w:t>
      </w:r>
      <w:r w:rsidR="00804ABF">
        <w:rPr>
          <w:rFonts w:ascii="Times New Roman" w:hAnsi="Times New Roman" w:cs="Times New Roman"/>
        </w:rPr>
        <w:t xml:space="preserve"> NSDUH</w:t>
      </w:r>
      <w:r w:rsidR="009645BA">
        <w:rPr>
          <w:rFonts w:ascii="Times New Roman" w:hAnsi="Times New Roman" w:cs="Times New Roman"/>
        </w:rPr>
        <w:t>s</w:t>
      </w:r>
      <w:r w:rsidR="00804ABF">
        <w:rPr>
          <w:rFonts w:ascii="Times New Roman" w:hAnsi="Times New Roman" w:cs="Times New Roman"/>
        </w:rPr>
        <w:t>.</w:t>
      </w:r>
    </w:p>
    <w:p w:rsidRPr="003C306A" w:rsidR="001F57D3" w:rsidP="00DE563B" w:rsidRDefault="001F57D3" w14:paraId="21A2BEED" w14:textId="77777777">
      <w:pPr>
        <w:rPr>
          <w:rFonts w:ascii="Times New Roman" w:hAnsi="Times New Roman" w:cs="Times New Roman"/>
          <w:iCs/>
        </w:rPr>
      </w:pPr>
    </w:p>
    <w:p w:rsidRPr="003C306A" w:rsidR="00571AD9" w:rsidP="00571AD9" w:rsidRDefault="00571AD9" w14:paraId="46138BA1" w14:textId="40187E55">
      <w:pPr>
        <w:rPr>
          <w:rFonts w:ascii="Times New Roman" w:hAnsi="Times New Roman" w:cs="Times New Roman"/>
          <w:bCs/>
          <w:u w:val="single"/>
        </w:rPr>
      </w:pPr>
      <w:r w:rsidRPr="003C306A">
        <w:rPr>
          <w:rFonts w:ascii="Times New Roman" w:hAnsi="Times New Roman" w:cs="Times New Roman"/>
          <w:bCs/>
          <w:u w:val="single"/>
        </w:rPr>
        <w:t>Attachment</w:t>
      </w:r>
      <w:r w:rsidR="00223834">
        <w:rPr>
          <w:rFonts w:ascii="Times New Roman" w:hAnsi="Times New Roman" w:cs="Times New Roman"/>
          <w:bCs/>
          <w:u w:val="single"/>
        </w:rPr>
        <w:t>s</w:t>
      </w:r>
    </w:p>
    <w:p w:rsidRPr="003C306A" w:rsidR="00571AD9" w:rsidP="00571AD9" w:rsidRDefault="009645BA" w14:paraId="76E0761A" w14:textId="14C1A6B7">
      <w:pPr>
        <w:rPr>
          <w:rFonts w:ascii="Times New Roman" w:hAnsi="Times New Roman" w:cs="Times New Roman"/>
        </w:rPr>
      </w:pPr>
      <w:r>
        <w:rPr>
          <w:rFonts w:ascii="Times New Roman" w:hAnsi="Times New Roman" w:cs="Times New Roman"/>
        </w:rPr>
        <w:t>I</w:t>
      </w:r>
      <w:r w:rsidR="000867EC">
        <w:rPr>
          <w:rFonts w:ascii="Times New Roman" w:hAnsi="Times New Roman" w:cs="Times New Roman"/>
        </w:rPr>
        <w:t>E</w:t>
      </w:r>
      <w:r w:rsidRPr="003C306A" w:rsidR="00571AD9">
        <w:rPr>
          <w:rFonts w:ascii="Times New Roman" w:hAnsi="Times New Roman" w:cs="Times New Roman"/>
        </w:rPr>
        <w:t>-</w:t>
      </w:r>
      <w:r w:rsidR="00E0156A">
        <w:rPr>
          <w:rFonts w:ascii="Times New Roman" w:hAnsi="Times New Roman" w:cs="Times New Roman"/>
        </w:rPr>
        <w:t>1</w:t>
      </w:r>
      <w:r w:rsidRPr="003C306A" w:rsidR="00571AD9">
        <w:rPr>
          <w:rFonts w:ascii="Times New Roman" w:hAnsi="Times New Roman" w:cs="Times New Roman"/>
        </w:rPr>
        <w:t>.</w:t>
      </w:r>
      <w:r w:rsidRPr="003C306A" w:rsidR="00571AD9">
        <w:rPr>
          <w:rFonts w:ascii="Times New Roman" w:hAnsi="Times New Roman" w:cs="Times New Roman"/>
        </w:rPr>
        <w:tab/>
        <w:t>Power Analysis Report</w:t>
      </w:r>
    </w:p>
    <w:p w:rsidR="00E0156A" w:rsidP="000064CE" w:rsidRDefault="00E0156A" w14:paraId="7C58E9FF" w14:textId="77777777">
      <w:pPr>
        <w:jc w:val="center"/>
        <w:rPr>
          <w:rFonts w:ascii="Times New Roman" w:hAnsi="Times New Roman" w:cs="Times New Roman"/>
          <w:b/>
        </w:rPr>
      </w:pPr>
    </w:p>
    <w:p w:rsidR="00E0156A" w:rsidP="000064CE" w:rsidRDefault="00E0156A" w14:paraId="3537C67D" w14:textId="77777777">
      <w:pPr>
        <w:jc w:val="center"/>
        <w:rPr>
          <w:rFonts w:ascii="Times New Roman" w:hAnsi="Times New Roman" w:cs="Times New Roman"/>
          <w:b/>
        </w:rPr>
      </w:pPr>
    </w:p>
    <w:p w:rsidR="00E0156A" w:rsidP="000064CE" w:rsidRDefault="00E0156A" w14:paraId="552D455A" w14:textId="127E95DF">
      <w:pPr>
        <w:jc w:val="center"/>
        <w:rPr>
          <w:rFonts w:ascii="Times New Roman" w:hAnsi="Times New Roman" w:cs="Times New Roman"/>
          <w:b/>
        </w:rPr>
      </w:pPr>
    </w:p>
    <w:p w:rsidR="00CD4C53" w:rsidP="000064CE" w:rsidRDefault="00CD4C53" w14:paraId="1D484E1A" w14:textId="219641B5">
      <w:pPr>
        <w:jc w:val="center"/>
        <w:rPr>
          <w:rFonts w:ascii="Times New Roman" w:hAnsi="Times New Roman" w:cs="Times New Roman"/>
          <w:b/>
        </w:rPr>
      </w:pPr>
    </w:p>
    <w:p w:rsidR="00CD4C53" w:rsidP="000064CE" w:rsidRDefault="00CD4C53" w14:paraId="1C637002" w14:textId="77777777">
      <w:pPr>
        <w:jc w:val="center"/>
        <w:rPr>
          <w:rFonts w:ascii="Times New Roman" w:hAnsi="Times New Roman" w:cs="Times New Roman"/>
          <w:b/>
        </w:rPr>
      </w:pPr>
    </w:p>
    <w:p w:rsidR="004E29B3" w:rsidP="000064CE" w:rsidRDefault="004E29B3" w14:paraId="7D8BE0B9" w14:textId="77777777">
      <w:pPr>
        <w:jc w:val="center"/>
        <w:rPr>
          <w:rFonts w:ascii="Times New Roman" w:hAnsi="Times New Roman" w:cs="Times New Roman"/>
          <w:b/>
        </w:rPr>
      </w:pPr>
    </w:p>
    <w:p w:rsidR="004E29B3" w:rsidP="000064CE" w:rsidRDefault="004E29B3" w14:paraId="7B402682" w14:textId="77777777">
      <w:pPr>
        <w:jc w:val="center"/>
        <w:rPr>
          <w:rFonts w:ascii="Times New Roman" w:hAnsi="Times New Roman" w:cs="Times New Roman"/>
          <w:b/>
        </w:rPr>
      </w:pPr>
    </w:p>
    <w:p w:rsidR="004E29B3" w:rsidP="000064CE" w:rsidRDefault="004E29B3" w14:paraId="44A046CF" w14:textId="77777777">
      <w:pPr>
        <w:jc w:val="center"/>
        <w:rPr>
          <w:rFonts w:ascii="Times New Roman" w:hAnsi="Times New Roman" w:cs="Times New Roman"/>
          <w:b/>
        </w:rPr>
      </w:pPr>
    </w:p>
    <w:p w:rsidR="004E29B3" w:rsidP="000064CE" w:rsidRDefault="004E29B3" w14:paraId="6E43D74B" w14:textId="77777777">
      <w:pPr>
        <w:jc w:val="center"/>
        <w:rPr>
          <w:rFonts w:ascii="Times New Roman" w:hAnsi="Times New Roman" w:cs="Times New Roman"/>
          <w:b/>
        </w:rPr>
      </w:pPr>
    </w:p>
    <w:p w:rsidR="004E29B3" w:rsidP="000064CE" w:rsidRDefault="004E29B3" w14:paraId="195B9A9B" w14:textId="77777777">
      <w:pPr>
        <w:jc w:val="center"/>
        <w:rPr>
          <w:rFonts w:ascii="Times New Roman" w:hAnsi="Times New Roman" w:cs="Times New Roman"/>
          <w:b/>
        </w:rPr>
      </w:pPr>
    </w:p>
    <w:p w:rsidR="004E29B3" w:rsidP="000064CE" w:rsidRDefault="004E29B3" w14:paraId="3CD00A82" w14:textId="77777777">
      <w:pPr>
        <w:jc w:val="center"/>
        <w:rPr>
          <w:rFonts w:ascii="Times New Roman" w:hAnsi="Times New Roman" w:cs="Times New Roman"/>
          <w:b/>
        </w:rPr>
      </w:pPr>
    </w:p>
    <w:p w:rsidR="004E29B3" w:rsidP="000064CE" w:rsidRDefault="004E29B3" w14:paraId="1139E0ED" w14:textId="77777777">
      <w:pPr>
        <w:jc w:val="center"/>
        <w:rPr>
          <w:rFonts w:ascii="Times New Roman" w:hAnsi="Times New Roman" w:cs="Times New Roman"/>
          <w:b/>
        </w:rPr>
      </w:pPr>
    </w:p>
    <w:p w:rsidR="004E29B3" w:rsidP="000064CE" w:rsidRDefault="004E29B3" w14:paraId="054B4C73" w14:textId="77777777">
      <w:pPr>
        <w:jc w:val="center"/>
        <w:rPr>
          <w:rFonts w:ascii="Times New Roman" w:hAnsi="Times New Roman" w:cs="Times New Roman"/>
          <w:b/>
        </w:rPr>
      </w:pPr>
    </w:p>
    <w:p w:rsidR="004E29B3" w:rsidP="000064CE" w:rsidRDefault="004E29B3" w14:paraId="57AB654E" w14:textId="77777777">
      <w:pPr>
        <w:jc w:val="center"/>
        <w:rPr>
          <w:rFonts w:ascii="Times New Roman" w:hAnsi="Times New Roman" w:cs="Times New Roman"/>
          <w:b/>
        </w:rPr>
      </w:pPr>
    </w:p>
    <w:p w:rsidR="004E29B3" w:rsidP="000064CE" w:rsidRDefault="004E29B3" w14:paraId="523DF7C7" w14:textId="77777777">
      <w:pPr>
        <w:jc w:val="center"/>
        <w:rPr>
          <w:rFonts w:ascii="Times New Roman" w:hAnsi="Times New Roman" w:cs="Times New Roman"/>
          <w:b/>
        </w:rPr>
      </w:pPr>
    </w:p>
    <w:p w:rsidR="004E29B3" w:rsidP="000064CE" w:rsidRDefault="004E29B3" w14:paraId="69F416D5" w14:textId="77777777">
      <w:pPr>
        <w:jc w:val="center"/>
        <w:rPr>
          <w:rFonts w:ascii="Times New Roman" w:hAnsi="Times New Roman" w:cs="Times New Roman"/>
          <w:b/>
        </w:rPr>
      </w:pPr>
    </w:p>
    <w:p w:rsidR="004E29B3" w:rsidP="000064CE" w:rsidRDefault="004E29B3" w14:paraId="714E6C6C" w14:textId="77777777">
      <w:pPr>
        <w:jc w:val="center"/>
        <w:rPr>
          <w:rFonts w:ascii="Times New Roman" w:hAnsi="Times New Roman" w:cs="Times New Roman"/>
          <w:b/>
        </w:rPr>
      </w:pPr>
    </w:p>
    <w:p w:rsidRPr="005B3C1D" w:rsidR="000064CE" w:rsidP="000064CE" w:rsidRDefault="000064CE" w14:paraId="1DC4497D" w14:textId="541CD619">
      <w:pPr>
        <w:jc w:val="center"/>
        <w:rPr>
          <w:rFonts w:ascii="Times New Roman" w:hAnsi="Times New Roman" w:cs="Times New Roman"/>
          <w:b/>
        </w:rPr>
      </w:pPr>
      <w:r w:rsidRPr="005B3C1D">
        <w:rPr>
          <w:rFonts w:ascii="Times New Roman" w:hAnsi="Times New Roman" w:cs="Times New Roman"/>
          <w:b/>
        </w:rPr>
        <w:t>References</w:t>
      </w:r>
    </w:p>
    <w:p w:rsidRPr="004E29B3" w:rsidR="00180EDC" w:rsidRDefault="000D5EE9" w14:paraId="049CA4CF" w14:textId="559891CC">
      <w:pPr>
        <w:rPr>
          <w:rFonts w:ascii="Times New Roman" w:hAnsi="Times New Roman" w:cs="Times New Roman"/>
        </w:rPr>
      </w:pPr>
      <w:r w:rsidRPr="004E29B3">
        <w:rPr>
          <w:rFonts w:ascii="Times New Roman" w:hAnsi="Times New Roman" w:cs="Times New Roman"/>
        </w:rPr>
        <w:t xml:space="preserve">Armstrong, J. S. (1975). Monetary incentives in mail surveys. </w:t>
      </w:r>
      <w:r w:rsidRPr="004E29B3">
        <w:rPr>
          <w:rFonts w:ascii="Times New Roman" w:hAnsi="Times New Roman" w:cs="Times New Roman"/>
          <w:i/>
          <w:iCs/>
        </w:rPr>
        <w:t>Public Opinion Quarterly, 39</w:t>
      </w:r>
      <w:r w:rsidRPr="004E29B3">
        <w:rPr>
          <w:rFonts w:ascii="Times New Roman" w:hAnsi="Times New Roman" w:cs="Times New Roman"/>
        </w:rPr>
        <w:t>, 111-116. https://doi.org/10.1086/268203</w:t>
      </w:r>
    </w:p>
    <w:p w:rsidRPr="004E29B3" w:rsidR="000D5EE9" w:rsidRDefault="000D5EE9" w14:paraId="6E39A2CD" w14:textId="77777777">
      <w:pPr>
        <w:rPr>
          <w:rFonts w:ascii="Times New Roman" w:hAnsi="Times New Roman" w:cs="Times New Roman"/>
        </w:rPr>
      </w:pPr>
    </w:p>
    <w:p w:rsidRPr="004E29B3" w:rsidR="000064CE" w:rsidRDefault="00180EDC" w14:paraId="0E43F29E" w14:textId="5B55626F">
      <w:pPr>
        <w:rPr>
          <w:rFonts w:ascii="Times New Roman" w:hAnsi="Times New Roman" w:cs="Times New Roman"/>
        </w:rPr>
      </w:pPr>
      <w:r w:rsidRPr="004E29B3">
        <w:rPr>
          <w:rFonts w:ascii="Times New Roman" w:hAnsi="Times New Roman" w:cs="Times New Roman"/>
        </w:rPr>
        <w:t xml:space="preserve">Church, A. H. (1993). Estimating the effect of incentives on mail survey response rates: A meta-analysis. </w:t>
      </w:r>
      <w:r w:rsidRPr="004E29B3">
        <w:rPr>
          <w:rFonts w:ascii="Times New Roman" w:hAnsi="Times New Roman" w:cs="Times New Roman"/>
          <w:i/>
          <w:iCs/>
        </w:rPr>
        <w:t>Public Opinion Quarterl</w:t>
      </w:r>
      <w:r w:rsidRPr="004E29B3">
        <w:rPr>
          <w:rFonts w:ascii="Times New Roman" w:hAnsi="Times New Roman" w:cs="Times New Roman"/>
          <w:iCs/>
        </w:rPr>
        <w:t>y</w:t>
      </w:r>
      <w:r w:rsidRPr="004E29B3">
        <w:rPr>
          <w:rFonts w:ascii="Times New Roman" w:hAnsi="Times New Roman" w:cs="Times New Roman"/>
          <w:i/>
          <w:iCs/>
        </w:rPr>
        <w:t xml:space="preserve">, </w:t>
      </w:r>
      <w:r w:rsidRPr="004E29B3">
        <w:rPr>
          <w:rFonts w:ascii="Times New Roman" w:hAnsi="Times New Roman" w:cs="Times New Roman"/>
          <w:i/>
        </w:rPr>
        <w:t>57</w:t>
      </w:r>
      <w:r w:rsidRPr="004E29B3">
        <w:rPr>
          <w:rFonts w:ascii="Times New Roman" w:hAnsi="Times New Roman" w:cs="Times New Roman"/>
        </w:rPr>
        <w:t xml:space="preserve">, 62-79. </w:t>
      </w:r>
      <w:hyperlink w:history="1" r:id="rId8">
        <w:r w:rsidRPr="004E29B3">
          <w:rPr>
            <w:rStyle w:val="Hyperlink"/>
            <w:rFonts w:ascii="Times New Roman" w:hAnsi="Times New Roman" w:cs="Times New Roman"/>
          </w:rPr>
          <w:t>https://doi.org/10.1086/269355</w:t>
        </w:r>
      </w:hyperlink>
    </w:p>
    <w:p w:rsidRPr="004E29B3" w:rsidR="000D5EE9" w:rsidRDefault="000D5EE9" w14:paraId="75AE2466" w14:textId="5456E427">
      <w:pPr>
        <w:rPr>
          <w:rFonts w:ascii="Times New Roman" w:hAnsi="Times New Roman" w:cs="Times New Roman"/>
        </w:rPr>
      </w:pPr>
    </w:p>
    <w:p w:rsidRPr="004E29B3" w:rsidR="000D5EE9" w:rsidRDefault="000D5EE9" w14:paraId="247B8748" w14:textId="67A91452">
      <w:pPr>
        <w:rPr>
          <w:rFonts w:ascii="Times New Roman" w:hAnsi="Times New Roman" w:cs="Times New Roman"/>
        </w:rPr>
      </w:pPr>
      <w:r w:rsidRPr="004E29B3">
        <w:rPr>
          <w:rFonts w:ascii="Times New Roman" w:hAnsi="Times New Roman" w:cs="Times New Roman"/>
        </w:rPr>
        <w:t xml:space="preserve">Gelman, A., Stevens, M., &amp; Chan, V. (2002). Regression modeling and meta-analysis for decision making: A cost-benefit analysis of incentives in telephone surveys. </w:t>
      </w:r>
      <w:r w:rsidRPr="004E29B3">
        <w:rPr>
          <w:rFonts w:ascii="Times New Roman" w:hAnsi="Times New Roman" w:cs="Times New Roman"/>
          <w:i/>
          <w:iCs/>
        </w:rPr>
        <w:t>Journal of Business &amp; Economic Statistics, 21</w:t>
      </w:r>
      <w:r w:rsidRPr="004E29B3">
        <w:rPr>
          <w:rFonts w:ascii="Times New Roman" w:hAnsi="Times New Roman" w:cs="Times New Roman"/>
        </w:rPr>
        <w:t>, 213-225. https://doi.org/10.1198/073500103288618909</w:t>
      </w:r>
    </w:p>
    <w:p w:rsidRPr="004E29B3" w:rsidR="00180EDC" w:rsidP="000064CE" w:rsidRDefault="00180EDC" w14:paraId="028CD07C" w14:textId="77777777">
      <w:pPr>
        <w:rPr>
          <w:rFonts w:ascii="Times New Roman" w:hAnsi="Times New Roman" w:cs="Times New Roman"/>
        </w:rPr>
      </w:pPr>
    </w:p>
    <w:p w:rsidRPr="004E29B3" w:rsidR="00180EDC" w:rsidP="000D5EE9" w:rsidRDefault="00180EDC" w14:paraId="65BF9B2B" w14:textId="6EDF5C0E">
      <w:pPr>
        <w:pStyle w:val="ReferenceCitation"/>
      </w:pPr>
      <w:r w:rsidRPr="004E29B3">
        <w:rPr>
          <w:sz w:val="22"/>
          <w:szCs w:val="22"/>
        </w:rPr>
        <w:t xml:space="preserve">Groves, R. M., &amp; Couper, M. P. (1998). </w:t>
      </w:r>
      <w:r w:rsidRPr="004E29B3">
        <w:rPr>
          <w:i/>
          <w:sz w:val="22"/>
          <w:szCs w:val="22"/>
        </w:rPr>
        <w:t>Nonresponse in household interview surveys</w:t>
      </w:r>
      <w:r w:rsidRPr="004E29B3">
        <w:rPr>
          <w:sz w:val="22"/>
          <w:szCs w:val="22"/>
        </w:rPr>
        <w:t>. New York, NY: John Wiley &amp; Sons.</w:t>
      </w:r>
    </w:p>
    <w:p w:rsidRPr="004E29B3" w:rsidR="000064CE" w:rsidP="000064CE" w:rsidRDefault="000064CE" w14:paraId="5FBF3F55" w14:textId="18F40DBC">
      <w:pPr>
        <w:rPr>
          <w:rFonts w:ascii="Times New Roman" w:hAnsi="Times New Roman" w:cs="Times New Roman"/>
        </w:rPr>
      </w:pPr>
      <w:r w:rsidRPr="004E29B3">
        <w:rPr>
          <w:rFonts w:ascii="Times New Roman" w:hAnsi="Times New Roman" w:cs="Times New Roman"/>
        </w:rPr>
        <w:t xml:space="preserve">Groves, R. M., Couper, M. P., Presser, S., Singer, E., Tourangeau, R., Acosta, G. P., &amp; Nelson, L. (2006). Experiments in producing nonresponse bias. </w:t>
      </w:r>
      <w:r w:rsidRPr="004E29B3">
        <w:rPr>
          <w:rFonts w:ascii="Times New Roman" w:hAnsi="Times New Roman" w:cs="Times New Roman"/>
          <w:i/>
          <w:iCs/>
        </w:rPr>
        <w:t>Public Opinion Quarterly, 70</w:t>
      </w:r>
      <w:r w:rsidRPr="004E29B3">
        <w:rPr>
          <w:rFonts w:ascii="Times New Roman" w:hAnsi="Times New Roman" w:cs="Times New Roman"/>
        </w:rPr>
        <w:t>(5), 720-736.</w:t>
      </w:r>
    </w:p>
    <w:p w:rsidRPr="004E29B3" w:rsidR="000064CE" w:rsidP="000064CE" w:rsidRDefault="000064CE" w14:paraId="46ED98F7" w14:textId="77777777">
      <w:pPr>
        <w:rPr>
          <w:rFonts w:ascii="Times New Roman" w:hAnsi="Times New Roman" w:cs="Times New Roman"/>
        </w:rPr>
      </w:pPr>
    </w:p>
    <w:p w:rsidRPr="004E29B3" w:rsidR="000064CE" w:rsidP="000064CE" w:rsidRDefault="000064CE" w14:paraId="24120397" w14:textId="77777777">
      <w:pPr>
        <w:rPr>
          <w:rFonts w:ascii="Times New Roman" w:hAnsi="Times New Roman" w:cs="Times New Roman"/>
        </w:rPr>
      </w:pPr>
      <w:r w:rsidRPr="004E29B3">
        <w:rPr>
          <w:rFonts w:ascii="Times New Roman" w:hAnsi="Times New Roman" w:cs="Times New Roman"/>
        </w:rPr>
        <w:t xml:space="preserve">Groves, R. M., Presser, S., &amp; </w:t>
      </w:r>
      <w:proofErr w:type="spellStart"/>
      <w:r w:rsidRPr="004E29B3">
        <w:rPr>
          <w:rFonts w:ascii="Times New Roman" w:hAnsi="Times New Roman" w:cs="Times New Roman"/>
        </w:rPr>
        <w:t>Dipko</w:t>
      </w:r>
      <w:proofErr w:type="spellEnd"/>
      <w:r w:rsidRPr="004E29B3">
        <w:rPr>
          <w:rFonts w:ascii="Times New Roman" w:hAnsi="Times New Roman" w:cs="Times New Roman"/>
        </w:rPr>
        <w:t xml:space="preserve">, S. (2004). The role of topic interest in survey participation decisions. </w:t>
      </w:r>
      <w:r w:rsidRPr="004E29B3">
        <w:rPr>
          <w:rFonts w:ascii="Times New Roman" w:hAnsi="Times New Roman" w:cs="Times New Roman"/>
          <w:i/>
          <w:iCs/>
        </w:rPr>
        <w:t>Public Opinion Quarterly, 68</w:t>
      </w:r>
      <w:r w:rsidRPr="004E29B3">
        <w:rPr>
          <w:rFonts w:ascii="Times New Roman" w:hAnsi="Times New Roman" w:cs="Times New Roman"/>
        </w:rPr>
        <w:t>(1), 2-31.</w:t>
      </w:r>
    </w:p>
    <w:p w:rsidRPr="004E29B3" w:rsidR="000064CE" w:rsidP="000064CE" w:rsidRDefault="000064CE" w14:paraId="622072BF" w14:textId="77777777">
      <w:pPr>
        <w:rPr>
          <w:rFonts w:ascii="Times New Roman" w:hAnsi="Times New Roman" w:cs="Times New Roman"/>
        </w:rPr>
      </w:pPr>
    </w:p>
    <w:p w:rsidRPr="004E29B3" w:rsidR="000064CE" w:rsidP="000064CE" w:rsidRDefault="000064CE" w14:paraId="11DF00C0" w14:textId="5C7D88D2">
      <w:pPr>
        <w:rPr>
          <w:rFonts w:ascii="Times New Roman" w:hAnsi="Times New Roman" w:cs="Times New Roman"/>
        </w:rPr>
      </w:pPr>
      <w:r w:rsidRPr="004E29B3">
        <w:rPr>
          <w:rFonts w:ascii="Times New Roman" w:hAnsi="Times New Roman" w:cs="Times New Roman"/>
        </w:rPr>
        <w:t xml:space="preserve">Groves, R. M., Singer, E., &amp; Corning, A. (2000). Leverage-saliency theory of survey participation - Description and an illustration. </w:t>
      </w:r>
      <w:r w:rsidRPr="004E29B3">
        <w:rPr>
          <w:rFonts w:ascii="Times New Roman" w:hAnsi="Times New Roman" w:cs="Times New Roman"/>
          <w:i/>
          <w:iCs/>
        </w:rPr>
        <w:t>Public Opinion Quarterly, 64</w:t>
      </w:r>
      <w:r w:rsidRPr="004E29B3">
        <w:rPr>
          <w:rFonts w:ascii="Times New Roman" w:hAnsi="Times New Roman" w:cs="Times New Roman"/>
        </w:rPr>
        <w:t>(3), 299-308.</w:t>
      </w:r>
    </w:p>
    <w:p w:rsidRPr="004E29B3" w:rsidR="000D5EE9" w:rsidP="000064CE" w:rsidRDefault="000D5EE9" w14:paraId="56F6C3DE" w14:textId="53C504D9">
      <w:pPr>
        <w:rPr>
          <w:rFonts w:ascii="Times New Roman" w:hAnsi="Times New Roman" w:cs="Times New Roman"/>
        </w:rPr>
      </w:pPr>
    </w:p>
    <w:p w:rsidRPr="004E29B3" w:rsidR="000D5EE9" w:rsidP="000064CE" w:rsidRDefault="000D5EE9" w14:paraId="4857D392" w14:textId="12266D05">
      <w:pPr>
        <w:rPr>
          <w:rFonts w:ascii="Times New Roman" w:hAnsi="Times New Roman" w:cs="Times New Roman"/>
        </w:rPr>
      </w:pPr>
      <w:proofErr w:type="spellStart"/>
      <w:r w:rsidRPr="004E29B3">
        <w:rPr>
          <w:rFonts w:ascii="Times New Roman" w:hAnsi="Times New Roman" w:cs="Times New Roman"/>
        </w:rPr>
        <w:t>Kulka</w:t>
      </w:r>
      <w:proofErr w:type="spellEnd"/>
      <w:r w:rsidRPr="004E29B3">
        <w:rPr>
          <w:rFonts w:ascii="Times New Roman" w:hAnsi="Times New Roman" w:cs="Times New Roman"/>
        </w:rPr>
        <w:t xml:space="preserve">, R. (1994). The use of incentives to survey </w:t>
      </w:r>
      <w:r w:rsidRPr="004E29B3">
        <w:rPr>
          <w:rFonts w:ascii="Times New Roman" w:hAnsi="Times New Roman" w:cs="Times New Roman"/>
          <w:i/>
          <w:iCs/>
        </w:rPr>
        <w:t>"hard-to-reach" respondents: A brief review of empirical research and current practice</w:t>
      </w:r>
      <w:r w:rsidRPr="004E29B3">
        <w:rPr>
          <w:rFonts w:ascii="Times New Roman" w:hAnsi="Times New Roman" w:cs="Times New Roman"/>
        </w:rPr>
        <w:t>. Paper presented at the Seminar on New Directions in Statistical Methodology, sponsored by the Council of Professional Associations on Federal Statistics, Bethesda, MD.</w:t>
      </w:r>
    </w:p>
    <w:p w:rsidRPr="004E29B3" w:rsidR="000064CE" w:rsidRDefault="000064CE" w14:paraId="332C86CA" w14:textId="77777777">
      <w:pPr>
        <w:rPr>
          <w:rFonts w:ascii="Times New Roman" w:hAnsi="Times New Roman" w:cs="Times New Roman"/>
        </w:rPr>
      </w:pPr>
    </w:p>
    <w:p w:rsidRPr="004E29B3" w:rsidR="00180EDC" w:rsidP="000D5EE9" w:rsidRDefault="00180EDC" w14:paraId="40F76944" w14:textId="6FA9A43D">
      <w:pPr>
        <w:pStyle w:val="ReferenceCitation"/>
      </w:pPr>
      <w:r w:rsidRPr="004E29B3">
        <w:rPr>
          <w:rFonts w:eastAsiaTheme="minorHAnsi"/>
          <w:sz w:val="22"/>
          <w:szCs w:val="22"/>
        </w:rPr>
        <w:t xml:space="preserve">Singer, E. (2002). The use of incentives to reduce nonresponse in household surveys. In R. M. Groves, D. A. Dillman, J. L. </w:t>
      </w:r>
      <w:proofErr w:type="spellStart"/>
      <w:r w:rsidRPr="004E29B3">
        <w:rPr>
          <w:rFonts w:eastAsiaTheme="minorHAnsi"/>
          <w:sz w:val="22"/>
          <w:szCs w:val="22"/>
        </w:rPr>
        <w:t>Eltinge</w:t>
      </w:r>
      <w:proofErr w:type="spellEnd"/>
      <w:r w:rsidRPr="004E29B3">
        <w:rPr>
          <w:rFonts w:eastAsiaTheme="minorHAnsi"/>
          <w:sz w:val="22"/>
          <w:szCs w:val="22"/>
        </w:rPr>
        <w:t xml:space="preserve">, &amp; R. J. A. Little (Eds.), </w:t>
      </w:r>
      <w:r w:rsidRPr="004E29B3">
        <w:rPr>
          <w:rFonts w:eastAsiaTheme="minorHAnsi"/>
          <w:i/>
          <w:iCs/>
          <w:sz w:val="22"/>
          <w:szCs w:val="22"/>
        </w:rPr>
        <w:t>Survey nonresponse</w:t>
      </w:r>
      <w:r w:rsidRPr="004E29B3">
        <w:rPr>
          <w:rFonts w:eastAsiaTheme="minorHAnsi"/>
          <w:sz w:val="22"/>
          <w:szCs w:val="22"/>
        </w:rPr>
        <w:t xml:space="preserve"> (pp. 163-177). New York, NY: Wiley. </w:t>
      </w:r>
    </w:p>
    <w:p w:rsidRPr="004E29B3" w:rsidR="000064CE" w:rsidP="000064CE" w:rsidRDefault="000064CE" w14:paraId="4E3BC055" w14:textId="47F2997F">
      <w:pPr>
        <w:rPr>
          <w:rFonts w:ascii="Times New Roman" w:hAnsi="Times New Roman" w:cs="Times New Roman"/>
        </w:rPr>
      </w:pPr>
      <w:r w:rsidRPr="004E29B3">
        <w:rPr>
          <w:rFonts w:ascii="Times New Roman" w:hAnsi="Times New Roman" w:cs="Times New Roman"/>
        </w:rPr>
        <w:t xml:space="preserve">Singer, E., &amp; Ye, C. (2013). The use and effects of incentives in surveys. </w:t>
      </w:r>
      <w:r w:rsidRPr="004E29B3">
        <w:rPr>
          <w:rFonts w:ascii="Times New Roman" w:hAnsi="Times New Roman" w:cs="Times New Roman"/>
          <w:i/>
          <w:iCs/>
        </w:rPr>
        <w:t>The Annals of the American Academy of Political and Social Science, 645</w:t>
      </w:r>
      <w:r w:rsidRPr="004E29B3">
        <w:rPr>
          <w:rFonts w:ascii="Times New Roman" w:hAnsi="Times New Roman" w:cs="Times New Roman"/>
        </w:rPr>
        <w:t>, 112–141.</w:t>
      </w:r>
    </w:p>
    <w:p w:rsidRPr="004E29B3" w:rsidR="000064CE" w:rsidP="000064CE" w:rsidRDefault="000064CE" w14:paraId="654E6B9F" w14:textId="77777777">
      <w:pPr>
        <w:rPr>
          <w:rFonts w:ascii="Times New Roman" w:hAnsi="Times New Roman" w:cs="Times New Roman"/>
        </w:rPr>
      </w:pPr>
    </w:p>
    <w:p w:rsidRPr="004E29B3" w:rsidR="000064CE" w:rsidP="000064CE" w:rsidRDefault="000064CE" w14:paraId="0C839E70" w14:textId="77777777">
      <w:pPr>
        <w:rPr>
          <w:rFonts w:ascii="Times New Roman" w:hAnsi="Times New Roman" w:cs="Times New Roman"/>
        </w:rPr>
      </w:pPr>
      <w:r w:rsidRPr="004E29B3">
        <w:rPr>
          <w:rFonts w:ascii="Times New Roman" w:hAnsi="Times New Roman" w:cs="Times New Roman"/>
        </w:rPr>
        <w:t xml:space="preserve">Williams, D., &amp; Brick, M. (2018). Trends in U.S. face-to-face household survey nonresponse and level of effort. </w:t>
      </w:r>
      <w:r w:rsidRPr="004E29B3">
        <w:rPr>
          <w:rFonts w:ascii="Times New Roman" w:hAnsi="Times New Roman" w:cs="Times New Roman"/>
          <w:i/>
        </w:rPr>
        <w:t>Journal of Survey Statistics and Methodology, 6</w:t>
      </w:r>
      <w:r w:rsidRPr="004E29B3">
        <w:rPr>
          <w:rFonts w:ascii="Times New Roman" w:hAnsi="Times New Roman" w:cs="Times New Roman"/>
        </w:rPr>
        <w:t>, 186-211.</w:t>
      </w:r>
    </w:p>
    <w:p w:rsidRPr="003C306A" w:rsidR="000064CE" w:rsidRDefault="000064CE" w14:paraId="3061E2D7" w14:textId="77777777">
      <w:pPr>
        <w:rPr>
          <w:rFonts w:ascii="Times New Roman" w:hAnsi="Times New Roman" w:cs="Times New Roman"/>
        </w:rPr>
      </w:pPr>
    </w:p>
    <w:sectPr w:rsidRPr="003C306A" w:rsidR="000064C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F37D2F" w14:textId="77777777" w:rsidR="00CF5D3E" w:rsidRDefault="00CF5D3E" w:rsidP="00191903">
      <w:r>
        <w:separator/>
      </w:r>
    </w:p>
  </w:endnote>
  <w:endnote w:type="continuationSeparator" w:id="0">
    <w:p w14:paraId="799588BD" w14:textId="77777777" w:rsidR="00CF5D3E" w:rsidRDefault="00CF5D3E" w:rsidP="0019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840829"/>
      <w:docPartObj>
        <w:docPartGallery w:val="Page Numbers (Bottom of Page)"/>
        <w:docPartUnique/>
      </w:docPartObj>
    </w:sdtPr>
    <w:sdtEndPr>
      <w:rPr>
        <w:noProof/>
      </w:rPr>
    </w:sdtEndPr>
    <w:sdtContent>
      <w:p w14:paraId="07F8C1D7" w14:textId="69C2C6D6" w:rsidR="00CF5D3E" w:rsidRDefault="00CF5D3E">
        <w:pPr>
          <w:pStyle w:val="Footer"/>
          <w:jc w:val="center"/>
        </w:pPr>
        <w:r>
          <w:fldChar w:fldCharType="begin"/>
        </w:r>
        <w:r>
          <w:instrText xml:space="preserve"> PAGE   \* MERGEFORMAT </w:instrText>
        </w:r>
        <w:r>
          <w:fldChar w:fldCharType="separate"/>
        </w:r>
        <w:r w:rsidR="007A4696">
          <w:rPr>
            <w:noProof/>
          </w:rPr>
          <w:t>1</w:t>
        </w:r>
        <w:r>
          <w:rPr>
            <w:noProof/>
          </w:rPr>
          <w:fldChar w:fldCharType="end"/>
        </w:r>
      </w:p>
    </w:sdtContent>
  </w:sdt>
  <w:p w14:paraId="6D311445" w14:textId="77777777" w:rsidR="00CF5D3E" w:rsidRDefault="00CF5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BAD0E" w14:textId="77777777" w:rsidR="00CF5D3E" w:rsidRDefault="00CF5D3E" w:rsidP="00191903">
      <w:r>
        <w:separator/>
      </w:r>
    </w:p>
  </w:footnote>
  <w:footnote w:type="continuationSeparator" w:id="0">
    <w:p w14:paraId="2D2E4048" w14:textId="77777777" w:rsidR="00CF5D3E" w:rsidRDefault="00CF5D3E" w:rsidP="00191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11A2"/>
    <w:multiLevelType w:val="hybridMultilevel"/>
    <w:tmpl w:val="2E72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01CDE"/>
    <w:multiLevelType w:val="hybridMultilevel"/>
    <w:tmpl w:val="4ACE1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2010BF"/>
    <w:multiLevelType w:val="hybridMultilevel"/>
    <w:tmpl w:val="C2B663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81F4E55"/>
    <w:multiLevelType w:val="hybridMultilevel"/>
    <w:tmpl w:val="CCAEB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A17BEB"/>
    <w:multiLevelType w:val="hybridMultilevel"/>
    <w:tmpl w:val="93968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72B93"/>
    <w:multiLevelType w:val="hybridMultilevel"/>
    <w:tmpl w:val="C6F4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17886"/>
    <w:multiLevelType w:val="hybridMultilevel"/>
    <w:tmpl w:val="C8AE4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13902EA"/>
    <w:multiLevelType w:val="hybridMultilevel"/>
    <w:tmpl w:val="F434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395C318E"/>
    <w:multiLevelType w:val="hybridMultilevel"/>
    <w:tmpl w:val="4F5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82B5B"/>
    <w:multiLevelType w:val="hybridMultilevel"/>
    <w:tmpl w:val="501EE8AE"/>
    <w:lvl w:ilvl="0" w:tplc="0FE2C0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1912979"/>
    <w:multiLevelType w:val="hybridMultilevel"/>
    <w:tmpl w:val="A0A4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CA39BF"/>
    <w:multiLevelType w:val="hybridMultilevel"/>
    <w:tmpl w:val="221E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D4C0B"/>
    <w:multiLevelType w:val="hybridMultilevel"/>
    <w:tmpl w:val="24B6E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05F551A"/>
    <w:multiLevelType w:val="hybridMultilevel"/>
    <w:tmpl w:val="F76A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C5F87"/>
    <w:multiLevelType w:val="hybridMultilevel"/>
    <w:tmpl w:val="F782FF2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6" w15:restartNumberingAfterBreak="0">
    <w:nsid w:val="70F420A4"/>
    <w:multiLevelType w:val="hybridMultilevel"/>
    <w:tmpl w:val="C8AE45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D03E0C"/>
    <w:multiLevelType w:val="hybridMultilevel"/>
    <w:tmpl w:val="17AA3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5"/>
  </w:num>
  <w:num w:numId="4">
    <w:abstractNumId w:val="0"/>
  </w:num>
  <w:num w:numId="5">
    <w:abstractNumId w:val="14"/>
  </w:num>
  <w:num w:numId="6">
    <w:abstractNumId w:val="9"/>
  </w:num>
  <w:num w:numId="7">
    <w:abstractNumId w:val="7"/>
  </w:num>
  <w:num w:numId="8">
    <w:abstractNumId w:val="12"/>
  </w:num>
  <w:num w:numId="9">
    <w:abstractNumId w:val="11"/>
  </w:num>
  <w:num w:numId="10">
    <w:abstractNumId w:val="17"/>
  </w:num>
  <w:num w:numId="11">
    <w:abstractNumId w:val="4"/>
  </w:num>
  <w:num w:numId="12">
    <w:abstractNumId w:val="3"/>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680"/>
    <w:rsid w:val="000064CE"/>
    <w:rsid w:val="000308D8"/>
    <w:rsid w:val="000425BD"/>
    <w:rsid w:val="00060A8B"/>
    <w:rsid w:val="0006403A"/>
    <w:rsid w:val="000705E9"/>
    <w:rsid w:val="000742A4"/>
    <w:rsid w:val="00074990"/>
    <w:rsid w:val="00081EDF"/>
    <w:rsid w:val="000867EC"/>
    <w:rsid w:val="000928D6"/>
    <w:rsid w:val="000A47FF"/>
    <w:rsid w:val="000D1CA5"/>
    <w:rsid w:val="000D37C5"/>
    <w:rsid w:val="000D4ED3"/>
    <w:rsid w:val="000D5EE9"/>
    <w:rsid w:val="000F6A69"/>
    <w:rsid w:val="001201CA"/>
    <w:rsid w:val="00125380"/>
    <w:rsid w:val="00140F0E"/>
    <w:rsid w:val="0014108A"/>
    <w:rsid w:val="00150763"/>
    <w:rsid w:val="00154C92"/>
    <w:rsid w:val="0016003C"/>
    <w:rsid w:val="001674D2"/>
    <w:rsid w:val="0017038C"/>
    <w:rsid w:val="00180EDC"/>
    <w:rsid w:val="00186953"/>
    <w:rsid w:val="00191903"/>
    <w:rsid w:val="001A2273"/>
    <w:rsid w:val="001A5E9F"/>
    <w:rsid w:val="001C137B"/>
    <w:rsid w:val="001C6256"/>
    <w:rsid w:val="001C7D25"/>
    <w:rsid w:val="001D58D9"/>
    <w:rsid w:val="001D7049"/>
    <w:rsid w:val="001E14EA"/>
    <w:rsid w:val="001E3686"/>
    <w:rsid w:val="001E75D1"/>
    <w:rsid w:val="001F57D3"/>
    <w:rsid w:val="001F771F"/>
    <w:rsid w:val="0020786E"/>
    <w:rsid w:val="00212BCD"/>
    <w:rsid w:val="00223834"/>
    <w:rsid w:val="00226DCB"/>
    <w:rsid w:val="00233683"/>
    <w:rsid w:val="00243065"/>
    <w:rsid w:val="0025338F"/>
    <w:rsid w:val="00267582"/>
    <w:rsid w:val="00284EBA"/>
    <w:rsid w:val="00297CD1"/>
    <w:rsid w:val="002A423C"/>
    <w:rsid w:val="002E2E2E"/>
    <w:rsid w:val="003336CA"/>
    <w:rsid w:val="00355457"/>
    <w:rsid w:val="003676A6"/>
    <w:rsid w:val="003B69A6"/>
    <w:rsid w:val="003C306A"/>
    <w:rsid w:val="003D7ACB"/>
    <w:rsid w:val="003E3173"/>
    <w:rsid w:val="003E67B8"/>
    <w:rsid w:val="003F2FF4"/>
    <w:rsid w:val="00407B79"/>
    <w:rsid w:val="004108F8"/>
    <w:rsid w:val="00432170"/>
    <w:rsid w:val="00433249"/>
    <w:rsid w:val="00435712"/>
    <w:rsid w:val="0045225A"/>
    <w:rsid w:val="00452419"/>
    <w:rsid w:val="00457446"/>
    <w:rsid w:val="004753F7"/>
    <w:rsid w:val="00476613"/>
    <w:rsid w:val="00476B29"/>
    <w:rsid w:val="004901C4"/>
    <w:rsid w:val="004930FE"/>
    <w:rsid w:val="004A3559"/>
    <w:rsid w:val="004B45B1"/>
    <w:rsid w:val="004D4343"/>
    <w:rsid w:val="004E29B3"/>
    <w:rsid w:val="004E59B6"/>
    <w:rsid w:val="004F21F0"/>
    <w:rsid w:val="00500B5F"/>
    <w:rsid w:val="00535718"/>
    <w:rsid w:val="00544D43"/>
    <w:rsid w:val="00562EB1"/>
    <w:rsid w:val="005703E2"/>
    <w:rsid w:val="00571AD9"/>
    <w:rsid w:val="0058252A"/>
    <w:rsid w:val="00590DF9"/>
    <w:rsid w:val="005B215D"/>
    <w:rsid w:val="005C045C"/>
    <w:rsid w:val="00610F0D"/>
    <w:rsid w:val="006213F5"/>
    <w:rsid w:val="00631F88"/>
    <w:rsid w:val="00644D51"/>
    <w:rsid w:val="0067021C"/>
    <w:rsid w:val="006769C2"/>
    <w:rsid w:val="00676AAD"/>
    <w:rsid w:val="00682F31"/>
    <w:rsid w:val="00690400"/>
    <w:rsid w:val="006B25DE"/>
    <w:rsid w:val="006C50BA"/>
    <w:rsid w:val="006F377C"/>
    <w:rsid w:val="006F6596"/>
    <w:rsid w:val="007016C5"/>
    <w:rsid w:val="00713646"/>
    <w:rsid w:val="007167F7"/>
    <w:rsid w:val="00733A46"/>
    <w:rsid w:val="00764541"/>
    <w:rsid w:val="007721A2"/>
    <w:rsid w:val="00773F44"/>
    <w:rsid w:val="007838F2"/>
    <w:rsid w:val="00796350"/>
    <w:rsid w:val="007A1C25"/>
    <w:rsid w:val="007A4696"/>
    <w:rsid w:val="007A4FC9"/>
    <w:rsid w:val="007C7680"/>
    <w:rsid w:val="007D2E77"/>
    <w:rsid w:val="007E1559"/>
    <w:rsid w:val="00804ABF"/>
    <w:rsid w:val="00854339"/>
    <w:rsid w:val="0087315C"/>
    <w:rsid w:val="00873724"/>
    <w:rsid w:val="009104F8"/>
    <w:rsid w:val="0091109A"/>
    <w:rsid w:val="0091510E"/>
    <w:rsid w:val="00923738"/>
    <w:rsid w:val="00926082"/>
    <w:rsid w:val="009269BF"/>
    <w:rsid w:val="0093303E"/>
    <w:rsid w:val="0094030E"/>
    <w:rsid w:val="009549F3"/>
    <w:rsid w:val="00960312"/>
    <w:rsid w:val="009645BA"/>
    <w:rsid w:val="00980A15"/>
    <w:rsid w:val="0098731F"/>
    <w:rsid w:val="009C7D1C"/>
    <w:rsid w:val="009D0047"/>
    <w:rsid w:val="00A02892"/>
    <w:rsid w:val="00A16E59"/>
    <w:rsid w:val="00A24BB7"/>
    <w:rsid w:val="00A27AFA"/>
    <w:rsid w:val="00A320AB"/>
    <w:rsid w:val="00A36954"/>
    <w:rsid w:val="00A4111E"/>
    <w:rsid w:val="00A46311"/>
    <w:rsid w:val="00A51C39"/>
    <w:rsid w:val="00A74A9B"/>
    <w:rsid w:val="00A86EF2"/>
    <w:rsid w:val="00AA08A4"/>
    <w:rsid w:val="00AB57B1"/>
    <w:rsid w:val="00AC146A"/>
    <w:rsid w:val="00B12FB7"/>
    <w:rsid w:val="00B427AC"/>
    <w:rsid w:val="00B43942"/>
    <w:rsid w:val="00B501C2"/>
    <w:rsid w:val="00BA17C0"/>
    <w:rsid w:val="00BD0324"/>
    <w:rsid w:val="00BE1657"/>
    <w:rsid w:val="00BE7B71"/>
    <w:rsid w:val="00BF2183"/>
    <w:rsid w:val="00C0279E"/>
    <w:rsid w:val="00C466BF"/>
    <w:rsid w:val="00C70B71"/>
    <w:rsid w:val="00C723E7"/>
    <w:rsid w:val="00C81B0E"/>
    <w:rsid w:val="00CA7044"/>
    <w:rsid w:val="00CB5084"/>
    <w:rsid w:val="00CD4C53"/>
    <w:rsid w:val="00CE0494"/>
    <w:rsid w:val="00CF03C4"/>
    <w:rsid w:val="00CF5D3E"/>
    <w:rsid w:val="00D16B67"/>
    <w:rsid w:val="00D17693"/>
    <w:rsid w:val="00D52252"/>
    <w:rsid w:val="00D53F19"/>
    <w:rsid w:val="00D55940"/>
    <w:rsid w:val="00D609CE"/>
    <w:rsid w:val="00DA0320"/>
    <w:rsid w:val="00DB03F6"/>
    <w:rsid w:val="00DB0664"/>
    <w:rsid w:val="00DC52E5"/>
    <w:rsid w:val="00DD63F9"/>
    <w:rsid w:val="00DE563B"/>
    <w:rsid w:val="00E0156A"/>
    <w:rsid w:val="00E17F1B"/>
    <w:rsid w:val="00E22AE1"/>
    <w:rsid w:val="00E32D17"/>
    <w:rsid w:val="00E4389A"/>
    <w:rsid w:val="00E71AB5"/>
    <w:rsid w:val="00E95989"/>
    <w:rsid w:val="00EA6D80"/>
    <w:rsid w:val="00EE3BF8"/>
    <w:rsid w:val="00EE7703"/>
    <w:rsid w:val="00F36DBB"/>
    <w:rsid w:val="00F74F22"/>
    <w:rsid w:val="00F774E3"/>
    <w:rsid w:val="00F81B5A"/>
    <w:rsid w:val="00F91D4B"/>
    <w:rsid w:val="00FD5292"/>
    <w:rsid w:val="00FF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D1BE"/>
  <w15:docId w15:val="{24DDEC5D-1F7A-44AD-98F8-44E22242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C7680"/>
  </w:style>
  <w:style w:type="paragraph" w:styleId="ListParagraph">
    <w:name w:val="List Paragraph"/>
    <w:basedOn w:val="Normal"/>
    <w:uiPriority w:val="34"/>
    <w:qFormat/>
    <w:rsid w:val="00A27AFA"/>
    <w:pPr>
      <w:ind w:left="720" w:firstLine="720"/>
    </w:pPr>
    <w:rPr>
      <w:rFonts w:ascii="Courier New" w:eastAsia="Times New Roman" w:hAnsi="Courier New" w:cs="Courier New"/>
      <w:sz w:val="24"/>
      <w:szCs w:val="24"/>
    </w:rPr>
  </w:style>
  <w:style w:type="paragraph" w:styleId="BalloonText">
    <w:name w:val="Balloon Text"/>
    <w:basedOn w:val="Normal"/>
    <w:link w:val="BalloonTextChar"/>
    <w:uiPriority w:val="99"/>
    <w:semiHidden/>
    <w:unhideWhenUsed/>
    <w:rsid w:val="00AB5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7B1"/>
    <w:rPr>
      <w:rFonts w:ascii="Segoe UI" w:hAnsi="Segoe UI" w:cs="Segoe UI"/>
      <w:sz w:val="18"/>
      <w:szCs w:val="18"/>
    </w:rPr>
  </w:style>
  <w:style w:type="character" w:styleId="Hyperlink">
    <w:name w:val="Hyperlink"/>
    <w:basedOn w:val="DefaultParagraphFont"/>
    <w:uiPriority w:val="99"/>
    <w:rsid w:val="00D16B67"/>
    <w:rPr>
      <w:rFonts w:ascii="Arial" w:hAnsi="Arial" w:cs="Arial"/>
      <w:color w:val="005A9C"/>
      <w:u w:val="single"/>
    </w:rPr>
  </w:style>
  <w:style w:type="character" w:styleId="CommentReference">
    <w:name w:val="annotation reference"/>
    <w:basedOn w:val="DefaultParagraphFont"/>
    <w:unhideWhenUsed/>
    <w:rsid w:val="00DE563B"/>
    <w:rPr>
      <w:sz w:val="16"/>
      <w:szCs w:val="16"/>
    </w:rPr>
  </w:style>
  <w:style w:type="paragraph" w:styleId="CommentText">
    <w:name w:val="annotation text"/>
    <w:basedOn w:val="Normal"/>
    <w:link w:val="CommentTextChar"/>
    <w:uiPriority w:val="99"/>
    <w:unhideWhenUsed/>
    <w:rsid w:val="00DE563B"/>
    <w:rPr>
      <w:sz w:val="20"/>
      <w:szCs w:val="20"/>
    </w:rPr>
  </w:style>
  <w:style w:type="character" w:customStyle="1" w:styleId="CommentTextChar">
    <w:name w:val="Comment Text Char"/>
    <w:basedOn w:val="DefaultParagraphFont"/>
    <w:link w:val="CommentText"/>
    <w:uiPriority w:val="99"/>
    <w:rsid w:val="00DE563B"/>
    <w:rPr>
      <w:sz w:val="20"/>
      <w:szCs w:val="20"/>
    </w:rPr>
  </w:style>
  <w:style w:type="paragraph" w:styleId="CommentSubject">
    <w:name w:val="annotation subject"/>
    <w:basedOn w:val="CommentText"/>
    <w:next w:val="CommentText"/>
    <w:link w:val="CommentSubjectChar"/>
    <w:uiPriority w:val="99"/>
    <w:semiHidden/>
    <w:unhideWhenUsed/>
    <w:rsid w:val="009549F3"/>
    <w:rPr>
      <w:b/>
      <w:bCs/>
    </w:rPr>
  </w:style>
  <w:style w:type="character" w:customStyle="1" w:styleId="CommentSubjectChar">
    <w:name w:val="Comment Subject Char"/>
    <w:basedOn w:val="CommentTextChar"/>
    <w:link w:val="CommentSubject"/>
    <w:uiPriority w:val="99"/>
    <w:semiHidden/>
    <w:rsid w:val="009549F3"/>
    <w:rPr>
      <w:b/>
      <w:bCs/>
      <w:sz w:val="20"/>
      <w:szCs w:val="20"/>
    </w:rPr>
  </w:style>
  <w:style w:type="paragraph" w:customStyle="1" w:styleId="Sourcelast">
    <w:name w:val="Source last"/>
    <w:basedOn w:val="Normal"/>
    <w:rsid w:val="00433249"/>
    <w:pPr>
      <w:spacing w:after="240"/>
      <w:ind w:left="720" w:hanging="720"/>
    </w:pPr>
    <w:rPr>
      <w:rFonts w:ascii="Times New Roman" w:eastAsia="Times New Roman" w:hAnsi="Times New Roman" w:cs="Times New Roman"/>
      <w:sz w:val="20"/>
      <w:szCs w:val="20"/>
    </w:rPr>
  </w:style>
  <w:style w:type="paragraph" w:customStyle="1" w:styleId="TableHeaders">
    <w:name w:val="Table Headers"/>
    <w:basedOn w:val="Normal"/>
    <w:rsid w:val="00571AD9"/>
    <w:pPr>
      <w:keepNext/>
      <w:widowControl w:val="0"/>
      <w:autoSpaceDE w:val="0"/>
      <w:autoSpaceDN w:val="0"/>
      <w:adjustRightInd w:val="0"/>
      <w:spacing w:before="20" w:after="20" w:line="276" w:lineRule="auto"/>
      <w:jc w:val="center"/>
    </w:pPr>
    <w:rPr>
      <w:rFonts w:ascii="Times New Roman Bold" w:eastAsia="Times New Roman" w:hAnsi="Times New Roman Bold" w:cs="Arial"/>
      <w:b/>
      <w:snapToGrid w:val="0"/>
      <w:sz w:val="20"/>
      <w:szCs w:val="20"/>
      <w:lang w:bidi="en-US"/>
    </w:rPr>
  </w:style>
  <w:style w:type="paragraph" w:customStyle="1" w:styleId="TableText">
    <w:name w:val="TableText"/>
    <w:basedOn w:val="Normal"/>
    <w:qFormat/>
    <w:rsid w:val="00571AD9"/>
    <w:pPr>
      <w:widowControl w:val="0"/>
      <w:autoSpaceDE w:val="0"/>
      <w:autoSpaceDN w:val="0"/>
      <w:adjustRightInd w:val="0"/>
    </w:pPr>
    <w:rPr>
      <w:rFonts w:asciiTheme="majorBidi" w:eastAsia="Times New Roman" w:hAnsiTheme="majorBidi" w:cstheme="majorBidi"/>
      <w:color w:val="000000" w:themeColor="text1"/>
      <w:sz w:val="20"/>
      <w:szCs w:val="24"/>
    </w:rPr>
  </w:style>
  <w:style w:type="paragraph" w:styleId="Header">
    <w:name w:val="header"/>
    <w:basedOn w:val="Normal"/>
    <w:link w:val="HeaderChar"/>
    <w:uiPriority w:val="99"/>
    <w:unhideWhenUsed/>
    <w:rsid w:val="00191903"/>
    <w:pPr>
      <w:tabs>
        <w:tab w:val="center" w:pos="4680"/>
        <w:tab w:val="right" w:pos="9360"/>
      </w:tabs>
    </w:pPr>
  </w:style>
  <w:style w:type="character" w:customStyle="1" w:styleId="HeaderChar">
    <w:name w:val="Header Char"/>
    <w:basedOn w:val="DefaultParagraphFont"/>
    <w:link w:val="Header"/>
    <w:uiPriority w:val="99"/>
    <w:rsid w:val="00191903"/>
  </w:style>
  <w:style w:type="paragraph" w:styleId="Footer">
    <w:name w:val="footer"/>
    <w:basedOn w:val="Normal"/>
    <w:link w:val="FooterChar"/>
    <w:uiPriority w:val="99"/>
    <w:unhideWhenUsed/>
    <w:rsid w:val="00191903"/>
    <w:pPr>
      <w:tabs>
        <w:tab w:val="center" w:pos="4680"/>
        <w:tab w:val="right" w:pos="9360"/>
      </w:tabs>
    </w:pPr>
  </w:style>
  <w:style w:type="character" w:customStyle="1" w:styleId="FooterChar">
    <w:name w:val="Footer Char"/>
    <w:basedOn w:val="DefaultParagraphFont"/>
    <w:link w:val="Footer"/>
    <w:uiPriority w:val="99"/>
    <w:rsid w:val="00191903"/>
  </w:style>
  <w:style w:type="paragraph" w:customStyle="1" w:styleId="Bullett1">
    <w:name w:val="Bullett1"/>
    <w:basedOn w:val="BodyText"/>
    <w:qFormat/>
    <w:rsid w:val="00C466BF"/>
    <w:pPr>
      <w:numPr>
        <w:numId w:val="13"/>
      </w:numPr>
      <w:ind w:left="720"/>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C466BF"/>
    <w:pPr>
      <w:spacing w:after="120"/>
    </w:pPr>
  </w:style>
  <w:style w:type="character" w:customStyle="1" w:styleId="BodyTextChar">
    <w:name w:val="Body Text Char"/>
    <w:basedOn w:val="DefaultParagraphFont"/>
    <w:link w:val="BodyText"/>
    <w:uiPriority w:val="99"/>
    <w:rsid w:val="00C466BF"/>
  </w:style>
  <w:style w:type="paragraph" w:styleId="FootnoteText">
    <w:name w:val="footnote text"/>
    <w:basedOn w:val="Normal"/>
    <w:link w:val="FootnoteTextChar"/>
    <w:uiPriority w:val="99"/>
    <w:semiHidden/>
    <w:unhideWhenUsed/>
    <w:rsid w:val="00457446"/>
    <w:rPr>
      <w:rFonts w:ascii="Calibri" w:hAnsi="Calibri" w:cs="Calibri"/>
      <w:sz w:val="20"/>
      <w:szCs w:val="20"/>
    </w:rPr>
  </w:style>
  <w:style w:type="character" w:customStyle="1" w:styleId="FootnoteTextChar">
    <w:name w:val="Footnote Text Char"/>
    <w:basedOn w:val="DefaultParagraphFont"/>
    <w:link w:val="FootnoteText"/>
    <w:uiPriority w:val="99"/>
    <w:semiHidden/>
    <w:rsid w:val="00457446"/>
    <w:rPr>
      <w:rFonts w:ascii="Calibri" w:hAnsi="Calibri" w:cs="Calibri"/>
      <w:sz w:val="20"/>
      <w:szCs w:val="20"/>
    </w:rPr>
  </w:style>
  <w:style w:type="table" w:styleId="TableGrid">
    <w:name w:val="Table Grid"/>
    <w:basedOn w:val="TableNormal"/>
    <w:uiPriority w:val="59"/>
    <w:rsid w:val="00E7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6A69"/>
  </w:style>
  <w:style w:type="paragraph" w:customStyle="1" w:styleId="ReferenceCitation">
    <w:name w:val="Reference Citation"/>
    <w:basedOn w:val="Normal"/>
    <w:rsid w:val="00180EDC"/>
    <w:pPr>
      <w:keepLines/>
      <w:spacing w:after="2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169491">
      <w:bodyDiv w:val="1"/>
      <w:marLeft w:val="0"/>
      <w:marRight w:val="0"/>
      <w:marTop w:val="0"/>
      <w:marBottom w:val="0"/>
      <w:divBdr>
        <w:top w:val="none" w:sz="0" w:space="0" w:color="auto"/>
        <w:left w:val="none" w:sz="0" w:space="0" w:color="auto"/>
        <w:bottom w:val="none" w:sz="0" w:space="0" w:color="auto"/>
        <w:right w:val="none" w:sz="0" w:space="0" w:color="auto"/>
      </w:divBdr>
    </w:div>
    <w:div w:id="562376182">
      <w:bodyDiv w:val="1"/>
      <w:marLeft w:val="0"/>
      <w:marRight w:val="0"/>
      <w:marTop w:val="0"/>
      <w:marBottom w:val="0"/>
      <w:divBdr>
        <w:top w:val="none" w:sz="0" w:space="0" w:color="auto"/>
        <w:left w:val="none" w:sz="0" w:space="0" w:color="auto"/>
        <w:bottom w:val="none" w:sz="0" w:space="0" w:color="auto"/>
        <w:right w:val="none" w:sz="0" w:space="0" w:color="auto"/>
      </w:divBdr>
    </w:div>
    <w:div w:id="643773354">
      <w:bodyDiv w:val="1"/>
      <w:marLeft w:val="0"/>
      <w:marRight w:val="0"/>
      <w:marTop w:val="0"/>
      <w:marBottom w:val="0"/>
      <w:divBdr>
        <w:top w:val="none" w:sz="0" w:space="0" w:color="auto"/>
        <w:left w:val="none" w:sz="0" w:space="0" w:color="auto"/>
        <w:bottom w:val="none" w:sz="0" w:space="0" w:color="auto"/>
        <w:right w:val="none" w:sz="0" w:space="0" w:color="auto"/>
      </w:divBdr>
    </w:div>
    <w:div w:id="741217088">
      <w:bodyDiv w:val="1"/>
      <w:marLeft w:val="0"/>
      <w:marRight w:val="0"/>
      <w:marTop w:val="0"/>
      <w:marBottom w:val="0"/>
      <w:divBdr>
        <w:top w:val="none" w:sz="0" w:space="0" w:color="auto"/>
        <w:left w:val="none" w:sz="0" w:space="0" w:color="auto"/>
        <w:bottom w:val="none" w:sz="0" w:space="0" w:color="auto"/>
        <w:right w:val="none" w:sz="0" w:space="0" w:color="auto"/>
      </w:divBdr>
    </w:div>
    <w:div w:id="824786065">
      <w:bodyDiv w:val="1"/>
      <w:marLeft w:val="0"/>
      <w:marRight w:val="0"/>
      <w:marTop w:val="0"/>
      <w:marBottom w:val="0"/>
      <w:divBdr>
        <w:top w:val="none" w:sz="0" w:space="0" w:color="auto"/>
        <w:left w:val="none" w:sz="0" w:space="0" w:color="auto"/>
        <w:bottom w:val="none" w:sz="0" w:space="0" w:color="auto"/>
        <w:right w:val="none" w:sz="0" w:space="0" w:color="auto"/>
      </w:divBdr>
    </w:div>
    <w:div w:id="866409031">
      <w:bodyDiv w:val="1"/>
      <w:marLeft w:val="0"/>
      <w:marRight w:val="0"/>
      <w:marTop w:val="0"/>
      <w:marBottom w:val="0"/>
      <w:divBdr>
        <w:top w:val="none" w:sz="0" w:space="0" w:color="auto"/>
        <w:left w:val="none" w:sz="0" w:space="0" w:color="auto"/>
        <w:bottom w:val="none" w:sz="0" w:space="0" w:color="auto"/>
        <w:right w:val="none" w:sz="0" w:space="0" w:color="auto"/>
      </w:divBdr>
    </w:div>
    <w:div w:id="936517848">
      <w:bodyDiv w:val="1"/>
      <w:marLeft w:val="0"/>
      <w:marRight w:val="0"/>
      <w:marTop w:val="0"/>
      <w:marBottom w:val="0"/>
      <w:divBdr>
        <w:top w:val="none" w:sz="0" w:space="0" w:color="auto"/>
        <w:left w:val="none" w:sz="0" w:space="0" w:color="auto"/>
        <w:bottom w:val="none" w:sz="0" w:space="0" w:color="auto"/>
        <w:right w:val="none" w:sz="0" w:space="0" w:color="auto"/>
      </w:divBdr>
    </w:div>
    <w:div w:id="944653552">
      <w:bodyDiv w:val="1"/>
      <w:marLeft w:val="0"/>
      <w:marRight w:val="0"/>
      <w:marTop w:val="0"/>
      <w:marBottom w:val="0"/>
      <w:divBdr>
        <w:top w:val="none" w:sz="0" w:space="0" w:color="auto"/>
        <w:left w:val="none" w:sz="0" w:space="0" w:color="auto"/>
        <w:bottom w:val="none" w:sz="0" w:space="0" w:color="auto"/>
        <w:right w:val="none" w:sz="0" w:space="0" w:color="auto"/>
      </w:divBdr>
    </w:div>
    <w:div w:id="949169831">
      <w:bodyDiv w:val="1"/>
      <w:marLeft w:val="0"/>
      <w:marRight w:val="0"/>
      <w:marTop w:val="0"/>
      <w:marBottom w:val="0"/>
      <w:divBdr>
        <w:top w:val="none" w:sz="0" w:space="0" w:color="auto"/>
        <w:left w:val="none" w:sz="0" w:space="0" w:color="auto"/>
        <w:bottom w:val="none" w:sz="0" w:space="0" w:color="auto"/>
        <w:right w:val="none" w:sz="0" w:space="0" w:color="auto"/>
      </w:divBdr>
    </w:div>
    <w:div w:id="1032150616">
      <w:bodyDiv w:val="1"/>
      <w:marLeft w:val="0"/>
      <w:marRight w:val="0"/>
      <w:marTop w:val="0"/>
      <w:marBottom w:val="0"/>
      <w:divBdr>
        <w:top w:val="none" w:sz="0" w:space="0" w:color="auto"/>
        <w:left w:val="none" w:sz="0" w:space="0" w:color="auto"/>
        <w:bottom w:val="none" w:sz="0" w:space="0" w:color="auto"/>
        <w:right w:val="none" w:sz="0" w:space="0" w:color="auto"/>
      </w:divBdr>
    </w:div>
    <w:div w:id="1100293177">
      <w:bodyDiv w:val="1"/>
      <w:marLeft w:val="0"/>
      <w:marRight w:val="0"/>
      <w:marTop w:val="0"/>
      <w:marBottom w:val="0"/>
      <w:divBdr>
        <w:top w:val="none" w:sz="0" w:space="0" w:color="auto"/>
        <w:left w:val="none" w:sz="0" w:space="0" w:color="auto"/>
        <w:bottom w:val="none" w:sz="0" w:space="0" w:color="auto"/>
        <w:right w:val="none" w:sz="0" w:space="0" w:color="auto"/>
      </w:divBdr>
    </w:div>
    <w:div w:id="1203056737">
      <w:bodyDiv w:val="1"/>
      <w:marLeft w:val="0"/>
      <w:marRight w:val="0"/>
      <w:marTop w:val="0"/>
      <w:marBottom w:val="0"/>
      <w:divBdr>
        <w:top w:val="none" w:sz="0" w:space="0" w:color="auto"/>
        <w:left w:val="none" w:sz="0" w:space="0" w:color="auto"/>
        <w:bottom w:val="none" w:sz="0" w:space="0" w:color="auto"/>
        <w:right w:val="none" w:sz="0" w:space="0" w:color="auto"/>
      </w:divBdr>
    </w:div>
    <w:div w:id="1387945440">
      <w:bodyDiv w:val="1"/>
      <w:marLeft w:val="0"/>
      <w:marRight w:val="0"/>
      <w:marTop w:val="0"/>
      <w:marBottom w:val="0"/>
      <w:divBdr>
        <w:top w:val="none" w:sz="0" w:space="0" w:color="auto"/>
        <w:left w:val="none" w:sz="0" w:space="0" w:color="auto"/>
        <w:bottom w:val="none" w:sz="0" w:space="0" w:color="auto"/>
        <w:right w:val="none" w:sz="0" w:space="0" w:color="auto"/>
      </w:divBdr>
    </w:div>
    <w:div w:id="1428576843">
      <w:bodyDiv w:val="1"/>
      <w:marLeft w:val="0"/>
      <w:marRight w:val="0"/>
      <w:marTop w:val="0"/>
      <w:marBottom w:val="0"/>
      <w:divBdr>
        <w:top w:val="none" w:sz="0" w:space="0" w:color="auto"/>
        <w:left w:val="none" w:sz="0" w:space="0" w:color="auto"/>
        <w:bottom w:val="none" w:sz="0" w:space="0" w:color="auto"/>
        <w:right w:val="none" w:sz="0" w:space="0" w:color="auto"/>
      </w:divBdr>
    </w:div>
    <w:div w:id="1551190663">
      <w:bodyDiv w:val="1"/>
      <w:marLeft w:val="0"/>
      <w:marRight w:val="0"/>
      <w:marTop w:val="0"/>
      <w:marBottom w:val="0"/>
      <w:divBdr>
        <w:top w:val="none" w:sz="0" w:space="0" w:color="auto"/>
        <w:left w:val="none" w:sz="0" w:space="0" w:color="auto"/>
        <w:bottom w:val="none" w:sz="0" w:space="0" w:color="auto"/>
        <w:right w:val="none" w:sz="0" w:space="0" w:color="auto"/>
      </w:divBdr>
    </w:div>
    <w:div w:id="21189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6/2693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A1A2-AE3E-40F9-84D0-1A10CFEE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dc:creator>
  <cp:keywords/>
  <dc:description/>
  <cp:lastModifiedBy>Graham, Carlos (SAMHSA/OA)</cp:lastModifiedBy>
  <cp:revision>4</cp:revision>
  <dcterms:created xsi:type="dcterms:W3CDTF">2021-09-21T21:18:00Z</dcterms:created>
  <dcterms:modified xsi:type="dcterms:W3CDTF">2021-10-04T15:53:00Z</dcterms:modified>
</cp:coreProperties>
</file>