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25D7" w:rsidR="00D51AE0" w:rsidP="006E3E5A" w:rsidRDefault="00215ED2"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1312" behindDoc="0" locked="0" layoutInCell="1" allowOverlap="1" wp14:editId="70867944" wp14:anchorId="23967D1F">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Pr="004F3755" w:rsidR="008E25D7" w:rsidP="009519C2" w:rsidRDefault="008E25D7" w14:paraId="1BDEFAFE"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proofErr w:type="gramStart"/>
                            <w:r w:rsidRPr="004F3755">
                              <w:rPr>
                                <w:sz w:val="15"/>
                                <w:szCs w:val="15"/>
                              </w:rPr>
                              <w:t>gathering</w:t>
                            </w:r>
                            <w:proofErr w:type="gramEnd"/>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proofErr w:type="spellStart"/>
                            <w:r w:rsidR="00380631">
                              <w:rPr>
                                <w:sz w:val="15"/>
                                <w:szCs w:val="15"/>
                                <w:lang w:val="es-ES"/>
                              </w:rPr>
                              <w:t>xx</w:t>
                            </w:r>
                            <w:proofErr w:type="spellEnd"/>
                            <w:r w:rsidRPr="004F3755">
                              <w:rPr>
                                <w:sz w:val="15"/>
                                <w:szCs w:val="15"/>
                                <w:lang w:val="es-ES"/>
                              </w:rPr>
                              <w:t>/</w:t>
                            </w:r>
                            <w:proofErr w:type="spellStart"/>
                            <w:r w:rsidR="00380631">
                              <w:rPr>
                                <w:sz w:val="15"/>
                                <w:szCs w:val="15"/>
                                <w:lang w:val="es-ES"/>
                              </w:rPr>
                              <w:t>xx</w:t>
                            </w:r>
                            <w:proofErr w:type="spellEnd"/>
                            <w:r w:rsidRPr="004F3755">
                              <w:rPr>
                                <w:sz w:val="15"/>
                                <w:szCs w:val="15"/>
                              </w:rPr>
                              <w:t xml:space="preserve">. </w:t>
                            </w:r>
                          </w:p>
                          <w:p w:rsidRPr="00A71568" w:rsidR="008E25D7" w:rsidP="008E25D7" w:rsidRDefault="008E25D7" w14:paraId="544FA316" w14:textId="77777777">
                            <w:pPr>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967D1F">
                <v:stroke joinstyle="miter"/>
                <v:path gradientshapeok="t" o:connecttype="rect"/>
              </v:shapetype>
              <v:shape id="Text Box 7" style="position:absolute;margin-left:-4.2pt;margin-top:633.6pt;width:471pt;height:7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">
                <v:textbox>
                  <w:txbxContent>
                    <w:p w:rsidRPr="004F3755" w:rsidR="008E25D7" w:rsidP="009519C2" w:rsidRDefault="008E25D7" w14:paraId="1BDEFAFE"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proofErr w:type="gramStart"/>
                      <w:r w:rsidRPr="004F3755">
                        <w:rPr>
                          <w:sz w:val="15"/>
                          <w:szCs w:val="15"/>
                        </w:rPr>
                        <w:t>gathering</w:t>
                      </w:r>
                      <w:proofErr w:type="gramEnd"/>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proofErr w:type="spellStart"/>
                      <w:r w:rsidR="00380631">
                        <w:rPr>
                          <w:sz w:val="15"/>
                          <w:szCs w:val="15"/>
                          <w:lang w:val="es-ES"/>
                        </w:rPr>
                        <w:t>xx</w:t>
                      </w:r>
                      <w:proofErr w:type="spellEnd"/>
                      <w:r w:rsidRPr="004F3755">
                        <w:rPr>
                          <w:sz w:val="15"/>
                          <w:szCs w:val="15"/>
                          <w:lang w:val="es-ES"/>
                        </w:rPr>
                        <w:t>/</w:t>
                      </w:r>
                      <w:proofErr w:type="spellStart"/>
                      <w:r w:rsidR="00380631">
                        <w:rPr>
                          <w:sz w:val="15"/>
                          <w:szCs w:val="15"/>
                          <w:lang w:val="es-ES"/>
                        </w:rPr>
                        <w:t>xx</w:t>
                      </w:r>
                      <w:proofErr w:type="spellEnd"/>
                      <w:r w:rsidRPr="004F3755">
                        <w:rPr>
                          <w:sz w:val="15"/>
                          <w:szCs w:val="15"/>
                        </w:rPr>
                        <w:t xml:space="preserve">. </w:t>
                      </w:r>
                    </w:p>
                    <w:p w:rsidRPr="00A71568" w:rsidR="008E25D7" w:rsidP="008E25D7" w:rsidRDefault="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0288" behindDoc="0" locked="0" layoutInCell="1" allowOverlap="1" wp14:editId="23D37E6E" wp14:anchorId="2BE1CA82">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Pr="0049472F" w:rsidR="008E25D7" w:rsidP="006E3E5A" w:rsidRDefault="008E25D7" w14:paraId="3CA2DCD8" w14:textId="79C2756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380631">
                              <w:rPr>
                                <w:rFonts w:ascii="Verdana" w:hAnsi="Verdana"/>
                                <w:sz w:val="23"/>
                                <w:szCs w:val="23"/>
                              </w:rPr>
                              <w:t>2</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Pr="0049472F" w:rsidR="008E25D7" w:rsidP="00D573BA" w:rsidRDefault="008E25D7" w14:paraId="4EFF1745"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tobacco, alcohol, and drug use or non-use,</w:t>
                            </w:r>
                          </w:p>
                          <w:p w:rsidRPr="0049472F" w:rsidR="008E25D7" w:rsidP="00D573BA" w:rsidRDefault="008E25D7" w14:paraId="2B2C92E0"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knowledge and attitudes about drugs, </w:t>
                            </w:r>
                          </w:p>
                          <w:p w:rsidRPr="0049472F" w:rsidR="008E25D7" w:rsidP="00D573BA" w:rsidRDefault="008E25D7" w14:paraId="680B68EC"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mental health, and</w:t>
                            </w:r>
                          </w:p>
                          <w:p w:rsidRPr="0049472F" w:rsidR="008E25D7" w:rsidP="00D573BA" w:rsidRDefault="008E25D7" w14:paraId="18C525DD"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other health issues.  </w:t>
                            </w:r>
                          </w:p>
                          <w:p w:rsidRPr="0049472F" w:rsidR="008E25D7" w:rsidP="009E017A" w:rsidRDefault="008E25D7"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656B1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You cannot be identified through any information you give us.  Your name and address will never be connected to your answers.  Also, federal law requires us to keep </w:t>
                            </w:r>
                            <w:proofErr w:type="gramStart"/>
                            <w:r w:rsidRPr="0049472F">
                              <w:rPr>
                                <w:rFonts w:ascii="Verdana" w:hAnsi="Verdana"/>
                                <w:sz w:val="23"/>
                                <w:szCs w:val="23"/>
                              </w:rPr>
                              <w:t>all of</w:t>
                            </w:r>
                            <w:proofErr w:type="gramEnd"/>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Pr="0049472F" w:rsidR="008E25D7" w:rsidP="009E017A" w:rsidRDefault="008E25D7"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5AEB00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 in cash</w:t>
                            </w:r>
                            <w:r w:rsidRPr="0049472F">
                              <w:rPr>
                                <w:rFonts w:ascii="Verdana" w:hAnsi="Verdana"/>
                                <w:b/>
                                <w:sz w:val="23"/>
                                <w:szCs w:val="23"/>
                              </w:rPr>
                              <w:t xml:space="preserve">. </w:t>
                            </w:r>
                          </w:p>
                          <w:p w:rsidRPr="0049472F" w:rsidR="008E25D7" w:rsidP="009E017A" w:rsidRDefault="008E25D7"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4081FC87"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name="_Hlt16400188" w:id="0"/>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w:history="1" r:id="rId5">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Pr="0049472F" w:rsidR="008E25D7" w:rsidP="009E017A" w:rsidRDefault="008E25D7"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rsidRDefault="008E25D7"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Pr="00123372" w:rsidR="008E25D7" w:rsidP="006E3E5A" w:rsidRDefault="008E25D7"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Pr="00B44CE3" w:rsidR="008E25D7" w:rsidP="006E3E5A" w:rsidRDefault="008E25D7"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Pr="00A04E45" w:rsidR="008E25D7" w:rsidP="009E017A" w:rsidRDefault="008E25D7"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15.6pt;margin-top:146.4pt;width:466.8pt;height:479.4pt;z-index:251660288;visibility:visible;mso-wrap-style:square;mso-width-percent:0;mso-height-percent:0;mso-wrap-distance-left:12pt;mso-wrap-distance-top:12pt;mso-wrap-distance-right:12pt;mso-wrap-distance-bottom:12pt;mso-position-horizontal:right;mso-position-horizontal-relative:margin;mso-position-vertical:absolute;mso-position-vertical-relative:text;mso-width-percent:0;mso-height-percent:0;mso-width-relative:page;mso-height-relative:page;v-text-anchor:top" o:spid="_x0000_s1027"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" w14:anchorId="2BE1CA82">
                <v:stroke linestyle="thinThick"/>
                <v:textbox inset="6pt,6pt,6pt,6pt">
                  <w:txbxContent>
                    <w:p w:rsidRPr="0049472F" w:rsidR="008E25D7" w:rsidP="006E3E5A" w:rsidRDefault="008E25D7" w14:paraId="3CA2DCD8" w14:textId="79C2756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380631">
                        <w:rPr>
                          <w:rFonts w:ascii="Verdana" w:hAnsi="Verdana"/>
                          <w:sz w:val="23"/>
                          <w:szCs w:val="23"/>
                        </w:rPr>
                        <w:t>2</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Pr="0049472F" w:rsidR="008E25D7" w:rsidP="00D573BA" w:rsidRDefault="008E25D7" w14:paraId="4EFF1745"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tobacco, alcohol, and drug use or non-use,</w:t>
                      </w:r>
                    </w:p>
                    <w:p w:rsidRPr="0049472F" w:rsidR="008E25D7" w:rsidP="00D573BA" w:rsidRDefault="008E25D7" w14:paraId="2B2C92E0"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knowledge and attitudes about drugs, </w:t>
                      </w:r>
                    </w:p>
                    <w:p w:rsidRPr="0049472F" w:rsidR="008E25D7" w:rsidP="00D573BA" w:rsidRDefault="008E25D7" w14:paraId="680B68EC"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mental health, and</w:t>
                      </w:r>
                    </w:p>
                    <w:p w:rsidRPr="0049472F" w:rsidR="008E25D7" w:rsidP="00D573BA" w:rsidRDefault="008E25D7" w14:paraId="18C525DD" w14:textId="77777777">
                      <w:pPr>
                        <w:pStyle w:val="levnl11"/>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Symbol" w:hAnsi="Symbol"/>
                          <w:sz w:val="23"/>
                          <w:szCs w:val="23"/>
                        </w:rPr>
                      </w:pPr>
                      <w:r w:rsidRPr="0049472F">
                        <w:rPr>
                          <w:rFonts w:ascii="Verdana" w:hAnsi="Verdana"/>
                          <w:sz w:val="23"/>
                          <w:szCs w:val="23"/>
                        </w:rPr>
                        <w:tab/>
                        <w:t xml:space="preserve">other health issues.  </w:t>
                      </w:r>
                    </w:p>
                    <w:p w:rsidRPr="0049472F" w:rsidR="008E25D7" w:rsidP="009E017A" w:rsidRDefault="008E25D7"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656B1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You cannot be identified through any information you give us.  Your name and address will never be connected to your answers.  Also, federal law requires us to keep </w:t>
                      </w:r>
                      <w:proofErr w:type="gramStart"/>
                      <w:r w:rsidRPr="0049472F">
                        <w:rPr>
                          <w:rFonts w:ascii="Verdana" w:hAnsi="Verdana"/>
                          <w:sz w:val="23"/>
                          <w:szCs w:val="23"/>
                        </w:rPr>
                        <w:t>all of</w:t>
                      </w:r>
                      <w:proofErr w:type="gramEnd"/>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Pr="0049472F" w:rsidR="008E25D7" w:rsidP="009E017A" w:rsidRDefault="008E25D7"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5AEB00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 in cash</w:t>
                      </w:r>
                      <w:r w:rsidRPr="0049472F">
                        <w:rPr>
                          <w:rFonts w:ascii="Verdana" w:hAnsi="Verdana"/>
                          <w:b/>
                          <w:sz w:val="23"/>
                          <w:szCs w:val="23"/>
                        </w:rPr>
                        <w:t xml:space="preserve">. </w:t>
                      </w:r>
                    </w:p>
                    <w:p w:rsidRPr="0049472F" w:rsidR="008E25D7" w:rsidP="009E017A" w:rsidRDefault="008E25D7"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4081FC87"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name="_Hlt16400188" w:id="1"/>
                      <w:bookmarkEnd w:id="1"/>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w:history="1" r:id="rId6">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Pr="0049472F" w:rsidR="008E25D7" w:rsidP="009E017A" w:rsidRDefault="008E25D7"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Pr="0049472F" w:rsidR="008E25D7" w:rsidP="009E017A" w:rsidRDefault="008E25D7"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rsidRDefault="008E25D7"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Pr="00123372" w:rsidR="008E25D7" w:rsidP="006E3E5A" w:rsidRDefault="008E25D7"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Pr="00B44CE3" w:rsidR="008E25D7" w:rsidP="006E3E5A" w:rsidRDefault="008E25D7"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Pr="00A04E45" w:rsidR="008E25D7" w:rsidP="009E017A" w:rsidRDefault="008E25D7"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anchorx="margin"/>
              </v:shape>
            </w:pict>
          </mc:Fallback>
        </mc:AlternateContent>
      </w:r>
      <w:r w:rsidRPr="008E25D7" w:rsidR="008E25D7">
        <w:rPr>
          <w:noProof/>
          <w:szCs w:val="20"/>
        </w:rPr>
        <mc:AlternateContent>
          <mc:Choice Requires="wps">
            <w:drawing>
              <wp:anchor distT="152400" distB="152400" distL="152400" distR="152400" simplePos="0" relativeHeight="251658240" behindDoc="1" locked="0" layoutInCell="0" allowOverlap="1" wp14:editId="0EE49E3A" wp14:anchorId="56978C0C">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rsidRDefault="008E25D7" w14:paraId="71158129" w14:textId="77777777">
                            <w:pPr>
                              <w:jc w:val="center"/>
                              <w:rPr>
                                <w:rFonts w:ascii="Verdana" w:hAnsi="Verdana"/>
                                <w:b/>
                                <w:sz w:val="48"/>
                              </w:rPr>
                            </w:pPr>
                            <w:r>
                              <w:rPr>
                                <w:rFonts w:ascii="Verdana" w:hAnsi="Verdana"/>
                                <w:b/>
                                <w:sz w:val="48"/>
                              </w:rPr>
                              <w:t xml:space="preserve">Study </w:t>
                            </w:r>
                          </w:p>
                          <w:p w:rsidR="008E25D7" w:rsidP="008E25D7" w:rsidRDefault="008E25D7" w14:paraId="6108EC71"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28.3pt;margin-top:29.95pt;width:212.15pt;height:85.6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spid="_x0000_s1028" o:allowincell="f"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" w14:anchorId="56978C0C">
                <v:stroke linestyle="thinThick"/>
                <v:textbox inset="6pt,6pt,6pt,6pt">
                  <w:txbxContent>
                    <w:p w:rsidR="008E25D7" w:rsidP="008E25D7" w:rsidRDefault="008E25D7" w14:paraId="71158129" w14:textId="77777777">
                      <w:pPr>
                        <w:jc w:val="center"/>
                        <w:rPr>
                          <w:rFonts w:ascii="Verdana" w:hAnsi="Verdana"/>
                          <w:b/>
                          <w:sz w:val="48"/>
                        </w:rPr>
                      </w:pPr>
                      <w:r>
                        <w:rPr>
                          <w:rFonts w:ascii="Verdana" w:hAnsi="Verdana"/>
                          <w:b/>
                          <w:sz w:val="48"/>
                        </w:rPr>
                        <w:t xml:space="preserve">Study </w:t>
                      </w:r>
                    </w:p>
                    <w:p w:rsidR="008E25D7" w:rsidP="008E25D7" w:rsidRDefault="008E25D7" w14:paraId="6108EC71" w14:textId="77777777">
                      <w:pPr>
                        <w:jc w:val="center"/>
                        <w:rPr>
                          <w:rFonts w:ascii="Verdana" w:hAnsi="Verdana"/>
                          <w:b/>
                          <w:sz w:val="48"/>
                        </w:rPr>
                      </w:pPr>
                      <w:r>
                        <w:rPr>
                          <w:rFonts w:ascii="Verdana" w:hAnsi="Verdana"/>
                          <w:b/>
                          <w:sz w:val="48"/>
                        </w:rPr>
                        <w:t>Description</w:t>
                      </w:r>
                    </w:p>
                  </w:txbxContent>
                </v:textbox>
                <w10:wrap type="square" side="largest" anchorx="margin" anchory="margin"/>
              </v:shape>
            </w:pict>
          </mc:Fallback>
        </mc:AlternateContent>
      </w:r>
      <w:r w:rsidRPr="008E25D7" w:rsidR="008E25D7">
        <w:rPr>
          <w:noProof/>
          <w:szCs w:val="20"/>
        </w:rPr>
        <w:drawing>
          <wp:anchor distT="0" distB="0" distL="114300" distR="114300" simplePos="0" relativeHeight="251659264" behindDoc="0" locked="0" layoutInCell="1" allowOverlap="1" wp14:editId="1952EF66" wp14:anchorId="7396BFD4">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hs.gov/webrequestfaq/logos/logo_reflex.gif"/>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RPr="008E25D7" w:rsidR="00D51AE0"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1321C9"/>
    <w:rsid w:val="00135BF8"/>
    <w:rsid w:val="00215ED2"/>
    <w:rsid w:val="00257A8B"/>
    <w:rsid w:val="002F5B5E"/>
    <w:rsid w:val="00380631"/>
    <w:rsid w:val="003B60DE"/>
    <w:rsid w:val="00422AF9"/>
    <w:rsid w:val="004366D9"/>
    <w:rsid w:val="00647068"/>
    <w:rsid w:val="00694B5F"/>
    <w:rsid w:val="006A28BE"/>
    <w:rsid w:val="006E3E5A"/>
    <w:rsid w:val="0073185B"/>
    <w:rsid w:val="0081177E"/>
    <w:rsid w:val="00833766"/>
    <w:rsid w:val="0086751F"/>
    <w:rsid w:val="008E25D7"/>
    <w:rsid w:val="00943C07"/>
    <w:rsid w:val="009519C2"/>
    <w:rsid w:val="0097603C"/>
    <w:rsid w:val="009E017A"/>
    <w:rsid w:val="00A27504"/>
    <w:rsid w:val="00A71ABC"/>
    <w:rsid w:val="00AA3EA1"/>
    <w:rsid w:val="00B632FE"/>
    <w:rsid w:val="00B87378"/>
    <w:rsid w:val="00D51AE0"/>
    <w:rsid w:val="00D573BA"/>
    <w:rsid w:val="00D70A6A"/>
    <w:rsid w:val="00DB7B09"/>
    <w:rsid w:val="00E92BF8"/>
    <w:rsid w:val="00F83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135BF8"/>
    <w:rPr>
      <w:color w:val="0000E1"/>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duhwebesn.rti.org/" TargetMode="External"/><Relationship Id="rId5" Type="http://schemas.openxmlformats.org/officeDocument/2006/relationships/hyperlink" Target="https://nsduhwebesn.rt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Riggsbee, Beth H.</dc:creator>
  <cp:keywords/>
  <dc:description/>
  <cp:lastModifiedBy>McKamey, Allison</cp:lastModifiedBy>
  <cp:revision>10</cp:revision>
  <cp:lastPrinted>2019-10-17T19:30:00Z</cp:lastPrinted>
  <dcterms:created xsi:type="dcterms:W3CDTF">2019-10-17T18:58:00Z</dcterms:created>
  <dcterms:modified xsi:type="dcterms:W3CDTF">2021-03-15T21:22:00Z</dcterms:modified>
</cp:coreProperties>
</file>