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6E27" w:rsidRPr="00766E27" w:rsidP="008A2551">
      <w:pPr>
        <w:pStyle w:val="Heading1"/>
      </w:pPr>
      <w:r>
        <w:t xml:space="preserve">Aviso </w:t>
      </w:r>
      <w:r w:rsidR="005F120B">
        <w:t>para</w:t>
      </w:r>
      <w:r w:rsidR="00505A6A">
        <w:t xml:space="preserve"> </w:t>
      </w:r>
      <w:r w:rsidR="008B1BFC">
        <w:t xml:space="preserve">los </w:t>
      </w:r>
      <w:r>
        <w:t>paciente</w:t>
      </w:r>
      <w:r w:rsidR="005F120B">
        <w:t>s</w:t>
      </w:r>
      <w:r>
        <w:t xml:space="preserve"> ambulatorio</w:t>
      </w:r>
      <w:r w:rsidR="005F120B">
        <w:t>s</w:t>
      </w:r>
      <w:r>
        <w:t xml:space="preserve"> de Medicare</w:t>
      </w:r>
      <w:r w:rsidR="005F120B">
        <w:t xml:space="preserve"> </w:t>
      </w:r>
      <w:r w:rsidR="00C645EE">
        <w:t>sobre</w:t>
      </w:r>
      <w:r w:rsidR="005F120B">
        <w:t xml:space="preserve"> servicios de </w:t>
      </w:r>
      <w:r w:rsidRPr="005F120B" w:rsidR="005F120B">
        <w:t>observación</w:t>
      </w:r>
    </w:p>
    <w:p w:rsidR="00766E27" w:rsidRPr="00766E27" w:rsidP="00766E27">
      <w:pPr>
        <w:rPr>
          <w:rFonts w:asciiTheme="majorBidi" w:hAnsiTheme="majorBidi" w:cstheme="majorBidi"/>
        </w:rPr>
      </w:pPr>
    </w:p>
    <w:p w:rsidR="00766E27" w:rsidP="00766E27">
      <w:pPr>
        <w:pBdr>
          <w:bottom w:val="single" w:sz="12" w:space="1" w:color="auto"/>
        </w:pBdr>
        <w:tabs>
          <w:tab w:val="left" w:pos="5760"/>
        </w:tabs>
        <w:rPr>
          <w:rFonts w:asciiTheme="majorBidi" w:hAnsiTheme="majorBidi" w:cstheme="majorBidi"/>
          <w:b/>
          <w:bCs/>
        </w:rPr>
      </w:pPr>
      <w:r>
        <w:rPr>
          <w:rFonts w:asciiTheme="majorBidi" w:hAnsiTheme="majorBidi" w:cstheme="majorBidi"/>
          <w:b/>
        </w:rPr>
        <w:t xml:space="preserve">Nombre del paciente: </w:t>
      </w:r>
      <w:r w:rsidR="00C645EE">
        <w:t xml:space="preserve">                                                              </w:t>
      </w:r>
      <w:r>
        <w:rPr>
          <w:rFonts w:asciiTheme="majorBidi" w:hAnsiTheme="majorBidi" w:cstheme="majorBidi"/>
          <w:b/>
        </w:rPr>
        <w:t>Número de</w:t>
      </w:r>
      <w:r w:rsidR="005F120B">
        <w:rPr>
          <w:rFonts w:asciiTheme="majorBidi" w:hAnsiTheme="majorBidi" w:cstheme="majorBidi"/>
          <w:b/>
        </w:rPr>
        <w:t xml:space="preserve"> identificación del</w:t>
      </w:r>
      <w:r>
        <w:rPr>
          <w:rFonts w:asciiTheme="majorBidi" w:hAnsiTheme="majorBidi" w:cstheme="majorBidi"/>
          <w:b/>
        </w:rPr>
        <w:t xml:space="preserve"> paciente:</w:t>
      </w:r>
    </w:p>
    <w:p w:rsidR="00766E27" w:rsidRPr="00766E27" w:rsidP="00766E27">
      <w:pPr>
        <w:rPr>
          <w:rFonts w:asciiTheme="majorBidi" w:hAnsiTheme="majorBidi" w:cstheme="majorBidi"/>
          <w:sz w:val="28"/>
          <w:szCs w:val="28"/>
        </w:rPr>
      </w:pPr>
      <w:r>
        <w:rPr>
          <w:rFonts w:asciiTheme="majorBidi" w:hAnsiTheme="majorBidi" w:cstheme="majorBidi"/>
          <w:sz w:val="28"/>
        </w:rPr>
        <w:t>Usted es un paciente ambulatorio del hospital que está recibiendo servicios de observación.  Usted no es un paciente internado porque:</w:t>
      </w:r>
    </w:p>
    <w:p w:rsidR="00766E27" w:rsidP="00766E27">
      <w:pPr>
        <w:rPr>
          <w:rFonts w:asciiTheme="majorBidi" w:hAnsiTheme="majorBidi" w:cstheme="majorBidi"/>
        </w:rPr>
      </w:pPr>
    </w:p>
    <w:p w:rsidR="00766E27" w:rsidP="00766E27">
      <w:pPr>
        <w:pBdr>
          <w:bottom w:val="single" w:sz="12" w:space="1" w:color="auto"/>
        </w:pBdr>
        <w:rPr>
          <w:rFonts w:asciiTheme="majorBidi" w:hAnsiTheme="majorBidi" w:cstheme="majorBidi"/>
        </w:rPr>
      </w:pPr>
    </w:p>
    <w:p w:rsidR="00766E27" w:rsidRPr="00766E27" w:rsidP="00766E27">
      <w:pPr>
        <w:rPr>
          <w:rFonts w:asciiTheme="majorBidi" w:hAnsiTheme="majorBidi" w:cstheme="majorBidi"/>
          <w:sz w:val="28"/>
          <w:szCs w:val="28"/>
        </w:rPr>
      </w:pPr>
      <w:r>
        <w:rPr>
          <w:rFonts w:asciiTheme="majorBidi" w:hAnsiTheme="majorBidi" w:cstheme="majorBidi"/>
          <w:sz w:val="28"/>
        </w:rPr>
        <w:t>Ser un paciente ambulatorio podría afectar lo que paga en el hospital:</w:t>
      </w:r>
    </w:p>
    <w:p w:rsidR="00766E27" w:rsidRPr="00766E27" w:rsidP="00766E27">
      <w:pPr>
        <w:pStyle w:val="ListParagraph"/>
        <w:numPr>
          <w:ilvl w:val="0"/>
          <w:numId w:val="1"/>
        </w:numPr>
        <w:rPr>
          <w:rFonts w:asciiTheme="majorBidi" w:hAnsiTheme="majorBidi" w:cstheme="majorBidi"/>
        </w:rPr>
      </w:pPr>
      <w:r>
        <w:rPr>
          <w:rFonts w:asciiTheme="majorBidi" w:hAnsiTheme="majorBidi" w:cstheme="majorBidi"/>
        </w:rPr>
        <w:t xml:space="preserve">Cuando es paciente ambulatorio de un hospital, </w:t>
      </w:r>
      <w:r w:rsidR="00505A6A">
        <w:rPr>
          <w:rFonts w:asciiTheme="majorBidi" w:hAnsiTheme="majorBidi" w:cstheme="majorBidi"/>
        </w:rPr>
        <w:t>la</w:t>
      </w:r>
      <w:r>
        <w:rPr>
          <w:rFonts w:asciiTheme="majorBidi" w:hAnsiTheme="majorBidi" w:cstheme="majorBidi"/>
        </w:rPr>
        <w:t xml:space="preserve"> estancia para observación está cubierta por la Parte B de Medicare.</w:t>
      </w:r>
    </w:p>
    <w:p w:rsidR="00766E27" w:rsidRPr="00766E27" w:rsidP="00766E27">
      <w:pPr>
        <w:pStyle w:val="ListParagraph"/>
        <w:numPr>
          <w:ilvl w:val="0"/>
          <w:numId w:val="1"/>
        </w:numPr>
        <w:rPr>
          <w:rFonts w:asciiTheme="majorBidi" w:hAnsiTheme="majorBidi" w:cstheme="majorBidi"/>
        </w:rPr>
      </w:pPr>
      <w:r>
        <w:rPr>
          <w:rFonts w:asciiTheme="majorBidi" w:hAnsiTheme="majorBidi" w:cstheme="majorBidi"/>
        </w:rPr>
        <w:t>Por los servicios de la Parte B, en general usted paga:</w:t>
      </w:r>
    </w:p>
    <w:p w:rsidR="00766E27" w:rsidRPr="00766E27" w:rsidP="00766E27">
      <w:pPr>
        <w:pStyle w:val="ListParagraph"/>
        <w:numPr>
          <w:ilvl w:val="1"/>
          <w:numId w:val="1"/>
        </w:numPr>
        <w:rPr>
          <w:rFonts w:asciiTheme="majorBidi" w:hAnsiTheme="majorBidi" w:cstheme="majorBidi"/>
        </w:rPr>
      </w:pPr>
      <w:r>
        <w:rPr>
          <w:rFonts w:asciiTheme="majorBidi" w:hAnsiTheme="majorBidi" w:cstheme="majorBidi"/>
        </w:rPr>
        <w:t>Un copago por cada servicio hospitalario que recibe. Los copagos de la Parte B podrían variar según el tipo de servicio.</w:t>
      </w:r>
    </w:p>
    <w:p w:rsidR="00766E27" w:rsidRPr="00766E27" w:rsidP="00766E27">
      <w:pPr>
        <w:pStyle w:val="ListParagraph"/>
        <w:numPr>
          <w:ilvl w:val="1"/>
          <w:numId w:val="1"/>
        </w:numPr>
        <w:rPr>
          <w:rFonts w:asciiTheme="majorBidi" w:hAnsiTheme="majorBidi" w:cstheme="majorBidi"/>
        </w:rPr>
      </w:pPr>
      <w:r>
        <w:rPr>
          <w:rFonts w:asciiTheme="majorBidi" w:hAnsiTheme="majorBidi" w:cstheme="majorBidi"/>
        </w:rPr>
        <w:t>El 20% de la cantidad aprobada por Medicare p</w:t>
      </w:r>
      <w:r w:rsidR="003536F8">
        <w:rPr>
          <w:rFonts w:asciiTheme="majorBidi" w:hAnsiTheme="majorBidi" w:cstheme="majorBidi"/>
        </w:rPr>
        <w:t>ara</w:t>
      </w:r>
      <w:r>
        <w:rPr>
          <w:rFonts w:asciiTheme="majorBidi" w:hAnsiTheme="majorBidi" w:cstheme="majorBidi"/>
        </w:rPr>
        <w:t xml:space="preserve"> la mayor parte de los servicios médicos, después del deducible de la Parte B.</w:t>
      </w:r>
    </w:p>
    <w:p w:rsidR="00766E27" w:rsidRPr="00766E27" w:rsidP="00766E27">
      <w:pPr>
        <w:pBdr>
          <w:bottom w:val="single" w:sz="12" w:space="1" w:color="auto"/>
        </w:pBdr>
        <w:rPr>
          <w:rFonts w:asciiTheme="majorBidi" w:hAnsiTheme="majorBidi" w:cstheme="majorBidi"/>
        </w:rPr>
      </w:pPr>
    </w:p>
    <w:p w:rsidR="00766E27" w:rsidRPr="00073D63" w:rsidP="00766E27">
      <w:pPr>
        <w:rPr>
          <w:rFonts w:asciiTheme="majorBidi" w:hAnsiTheme="majorBidi" w:cstheme="majorBidi"/>
          <w:sz w:val="28"/>
          <w:szCs w:val="28"/>
        </w:rPr>
      </w:pPr>
      <w:r>
        <w:rPr>
          <w:rFonts w:asciiTheme="majorBidi" w:hAnsiTheme="majorBidi" w:cstheme="majorBidi"/>
          <w:sz w:val="28"/>
        </w:rPr>
        <w:t>Los servicios de observación podrían afectar</w:t>
      </w:r>
      <w:r w:rsidR="00505A6A">
        <w:rPr>
          <w:rFonts w:asciiTheme="majorBidi" w:hAnsiTheme="majorBidi" w:cstheme="majorBidi"/>
          <w:sz w:val="28"/>
        </w:rPr>
        <w:t xml:space="preserve"> </w:t>
      </w:r>
      <w:r>
        <w:rPr>
          <w:rFonts w:asciiTheme="majorBidi" w:hAnsiTheme="majorBidi" w:cstheme="majorBidi"/>
          <w:sz w:val="28"/>
        </w:rPr>
        <w:t xml:space="preserve">su cobertura y </w:t>
      </w:r>
      <w:r w:rsidR="00505A6A">
        <w:rPr>
          <w:rFonts w:asciiTheme="majorBidi" w:hAnsiTheme="majorBidi" w:cstheme="majorBidi"/>
          <w:sz w:val="28"/>
        </w:rPr>
        <w:t>a</w:t>
      </w:r>
      <w:r>
        <w:rPr>
          <w:rFonts w:asciiTheme="majorBidi" w:hAnsiTheme="majorBidi" w:cstheme="majorBidi"/>
          <w:sz w:val="28"/>
        </w:rPr>
        <w:t>l pago de su atención médica</w:t>
      </w:r>
      <w:r w:rsidR="00505A6A">
        <w:rPr>
          <w:rFonts w:asciiTheme="majorBidi" w:hAnsiTheme="majorBidi" w:cstheme="majorBidi"/>
          <w:sz w:val="28"/>
        </w:rPr>
        <w:t xml:space="preserve"> </w:t>
      </w:r>
      <w:r>
        <w:rPr>
          <w:rFonts w:asciiTheme="majorBidi" w:hAnsiTheme="majorBidi" w:cstheme="majorBidi"/>
          <w:sz w:val="28"/>
        </w:rPr>
        <w:t>después de salir del hospital:</w:t>
      </w:r>
    </w:p>
    <w:p w:rsidR="00766E27" w:rsidRPr="00073D63" w:rsidP="00073D63">
      <w:pPr>
        <w:pStyle w:val="ListParagraph"/>
        <w:numPr>
          <w:ilvl w:val="0"/>
          <w:numId w:val="2"/>
        </w:numPr>
        <w:rPr>
          <w:rFonts w:asciiTheme="majorBidi" w:hAnsiTheme="majorBidi" w:cstheme="majorBidi"/>
        </w:rPr>
      </w:pPr>
      <w:r>
        <w:rPr>
          <w:rFonts w:asciiTheme="majorBidi" w:hAnsiTheme="majorBidi" w:cstheme="majorBidi"/>
        </w:rPr>
        <w:t xml:space="preserve">Si necesita la atención de un centro de enfermería especializada (SNF) después de salir del hospital, la Parte A de Medicare solo cubrirá la atención de un SNF, si ha tenido una estadía mínima de 3 días en el hospital como paciente internado, por necesidad médica real, </w:t>
      </w:r>
      <w:r w:rsidR="00505A6A">
        <w:rPr>
          <w:rFonts w:asciiTheme="majorBidi" w:hAnsiTheme="majorBidi" w:cstheme="majorBidi"/>
        </w:rPr>
        <w:t xml:space="preserve">o </w:t>
      </w:r>
      <w:r>
        <w:rPr>
          <w:rFonts w:asciiTheme="majorBidi" w:hAnsiTheme="majorBidi" w:cstheme="majorBidi"/>
        </w:rPr>
        <w:t>como consecuencia de una enfermedad o lesión relacionada. Una estadía hospitalaria como paciente internado comienza el día en que el hospital lo ingresa bas</w:t>
      </w:r>
      <w:r w:rsidR="003536F8">
        <w:rPr>
          <w:rFonts w:asciiTheme="majorBidi" w:hAnsiTheme="majorBidi" w:cstheme="majorBidi"/>
        </w:rPr>
        <w:t>ado</w:t>
      </w:r>
      <w:r>
        <w:rPr>
          <w:rFonts w:asciiTheme="majorBidi" w:hAnsiTheme="majorBidi" w:cstheme="majorBidi"/>
        </w:rPr>
        <w:t xml:space="preserve"> en la orden de un médico</w:t>
      </w:r>
      <w:r w:rsidR="00505A6A">
        <w:rPr>
          <w:rFonts w:asciiTheme="majorBidi" w:hAnsiTheme="majorBidi" w:cstheme="majorBidi"/>
        </w:rPr>
        <w:t>,</w:t>
      </w:r>
      <w:r>
        <w:rPr>
          <w:rFonts w:asciiTheme="majorBidi" w:hAnsiTheme="majorBidi" w:cstheme="majorBidi"/>
        </w:rPr>
        <w:t xml:space="preserve"> y no incluye el día del alta.</w:t>
      </w:r>
    </w:p>
    <w:p w:rsidR="00766E27" w:rsidRPr="00073D63" w:rsidP="00073D63">
      <w:pPr>
        <w:pStyle w:val="ListParagraph"/>
        <w:numPr>
          <w:ilvl w:val="0"/>
          <w:numId w:val="2"/>
        </w:numPr>
        <w:rPr>
          <w:rFonts w:asciiTheme="majorBidi" w:hAnsiTheme="majorBidi" w:cstheme="majorBidi"/>
        </w:rPr>
      </w:pPr>
      <w:r>
        <w:rPr>
          <w:rFonts w:asciiTheme="majorBidi" w:hAnsiTheme="majorBidi" w:cstheme="majorBidi"/>
        </w:rPr>
        <w:t xml:space="preserve">Si tiene Medicaid, un plan Medicare </w:t>
      </w:r>
      <w:r>
        <w:rPr>
          <w:rFonts w:asciiTheme="majorBidi" w:hAnsiTheme="majorBidi" w:cstheme="majorBidi"/>
        </w:rPr>
        <w:t>Advantage</w:t>
      </w:r>
      <w:r>
        <w:rPr>
          <w:rFonts w:asciiTheme="majorBidi" w:hAnsiTheme="majorBidi" w:cstheme="majorBidi"/>
        </w:rPr>
        <w:t xml:space="preserve"> u otro plan de salud, Medicaid o el plan podrían tener reglas diferentes para la cobertura de </w:t>
      </w:r>
      <w:r w:rsidR="00505A6A">
        <w:rPr>
          <w:rFonts w:asciiTheme="majorBidi" w:hAnsiTheme="majorBidi" w:cstheme="majorBidi"/>
        </w:rPr>
        <w:t xml:space="preserve">un </w:t>
      </w:r>
      <w:r>
        <w:rPr>
          <w:rFonts w:asciiTheme="majorBidi" w:hAnsiTheme="majorBidi" w:cstheme="majorBidi"/>
        </w:rPr>
        <w:t>SNF después de que sale del hospital. Verifique con Medicaid o su plan.</w:t>
      </w:r>
    </w:p>
    <w:p w:rsidR="00766E27" w:rsidRPr="00766E27" w:rsidP="00766E27">
      <w:pPr>
        <w:rPr>
          <w:rFonts w:asciiTheme="majorBidi" w:hAnsiTheme="majorBidi" w:cstheme="majorBidi"/>
        </w:rPr>
      </w:pPr>
      <w:r>
        <w:rPr>
          <w:rFonts w:asciiTheme="majorBidi" w:hAnsiTheme="majorBidi" w:cstheme="majorBidi"/>
          <w:b/>
        </w:rPr>
        <w:t>NOTA</w:t>
      </w:r>
      <w:r>
        <w:rPr>
          <w:rFonts w:asciiTheme="majorBidi" w:hAnsiTheme="majorBidi" w:cstheme="majorBidi"/>
        </w:rPr>
        <w:t xml:space="preserve">: La Parte A de Medicare, en general, no cubre los servicios hospitalarios para pacientes ambulatorios como </w:t>
      </w:r>
      <w:r w:rsidR="00505A6A">
        <w:rPr>
          <w:rFonts w:asciiTheme="majorBidi" w:hAnsiTheme="majorBidi" w:cstheme="majorBidi"/>
        </w:rPr>
        <w:t>la</w:t>
      </w:r>
      <w:r>
        <w:rPr>
          <w:rFonts w:asciiTheme="majorBidi" w:hAnsiTheme="majorBidi" w:cstheme="majorBidi"/>
        </w:rPr>
        <w:t xml:space="preserve"> estadía para observación. Sin embargo, la Parte A, en general, cubre los servicios por necesidad médica real para pacientes internados si el hospital lo ingresa como paciente internado bas</w:t>
      </w:r>
      <w:r w:rsidR="00505A6A">
        <w:rPr>
          <w:rFonts w:asciiTheme="majorBidi" w:hAnsiTheme="majorBidi" w:cstheme="majorBidi"/>
        </w:rPr>
        <w:t>ándose</w:t>
      </w:r>
      <w:r>
        <w:rPr>
          <w:rFonts w:asciiTheme="majorBidi" w:hAnsiTheme="majorBidi" w:cstheme="majorBidi"/>
        </w:rPr>
        <w:t xml:space="preserve"> en la orden del médico. En la mayor parte de los casos, usted pagará </w:t>
      </w:r>
      <w:r w:rsidR="00333BC9">
        <w:rPr>
          <w:rFonts w:asciiTheme="majorBidi" w:hAnsiTheme="majorBidi" w:cstheme="majorBidi"/>
        </w:rPr>
        <w:t>un</w:t>
      </w:r>
      <w:r>
        <w:rPr>
          <w:rFonts w:asciiTheme="majorBidi" w:hAnsiTheme="majorBidi" w:cstheme="majorBidi"/>
        </w:rPr>
        <w:t xml:space="preserve"> deducible </w:t>
      </w:r>
      <w:r w:rsidR="00333BC9">
        <w:rPr>
          <w:rFonts w:asciiTheme="majorBidi" w:hAnsiTheme="majorBidi" w:cstheme="majorBidi"/>
        </w:rPr>
        <w:t>una sola</w:t>
      </w:r>
      <w:r>
        <w:rPr>
          <w:rFonts w:asciiTheme="majorBidi" w:hAnsiTheme="majorBidi" w:cstheme="majorBidi"/>
        </w:rPr>
        <w:t xml:space="preserve"> vez por todos </w:t>
      </w:r>
      <w:r w:rsidR="00505A6A">
        <w:rPr>
          <w:rFonts w:asciiTheme="majorBidi" w:hAnsiTheme="majorBidi" w:cstheme="majorBidi"/>
        </w:rPr>
        <w:t>los</w:t>
      </w:r>
      <w:r>
        <w:rPr>
          <w:rFonts w:asciiTheme="majorBidi" w:hAnsiTheme="majorBidi" w:cstheme="majorBidi"/>
        </w:rPr>
        <w:t xml:space="preserve"> servicios hospitalarios para pacientes internados</w:t>
      </w:r>
      <w:r w:rsidR="00505A6A">
        <w:rPr>
          <w:rFonts w:asciiTheme="majorBidi" w:hAnsiTheme="majorBidi" w:cstheme="majorBidi"/>
        </w:rPr>
        <w:t xml:space="preserve"> </w:t>
      </w:r>
      <w:r>
        <w:rPr>
          <w:rFonts w:asciiTheme="majorBidi" w:hAnsiTheme="majorBidi" w:cstheme="majorBidi"/>
        </w:rPr>
        <w:t xml:space="preserve">durante los primeros 60 días </w:t>
      </w:r>
      <w:r w:rsidR="00505A6A">
        <w:rPr>
          <w:rFonts w:asciiTheme="majorBidi" w:hAnsiTheme="majorBidi" w:cstheme="majorBidi"/>
        </w:rPr>
        <w:t xml:space="preserve">de </w:t>
      </w:r>
      <w:r>
        <w:rPr>
          <w:rFonts w:asciiTheme="majorBidi" w:hAnsiTheme="majorBidi" w:cstheme="majorBidi"/>
        </w:rPr>
        <w:t>permane</w:t>
      </w:r>
      <w:r w:rsidR="00505A6A">
        <w:rPr>
          <w:rFonts w:asciiTheme="majorBidi" w:hAnsiTheme="majorBidi" w:cstheme="majorBidi"/>
        </w:rPr>
        <w:t xml:space="preserve">ncia </w:t>
      </w:r>
      <w:r>
        <w:rPr>
          <w:rFonts w:asciiTheme="majorBidi" w:hAnsiTheme="majorBidi" w:cstheme="majorBidi"/>
        </w:rPr>
        <w:t>en el hospital.</w:t>
      </w:r>
    </w:p>
    <w:p w:rsidR="00766E27" w:rsidP="00766E27">
      <w:pPr>
        <w:pBdr>
          <w:bottom w:val="single" w:sz="12" w:space="1" w:color="auto"/>
        </w:pBdr>
        <w:rPr>
          <w:rFonts w:asciiTheme="majorBidi" w:hAnsiTheme="majorBidi" w:cstheme="majorBidi"/>
        </w:rPr>
      </w:pPr>
    </w:p>
    <w:p w:rsidR="00766E27" w:rsidRPr="00766E27" w:rsidP="00766E27">
      <w:pPr>
        <w:rPr>
          <w:rFonts w:asciiTheme="majorBidi" w:hAnsiTheme="majorBidi" w:cstheme="majorBidi"/>
        </w:rPr>
      </w:pPr>
      <w:r>
        <w:rPr>
          <w:rFonts w:asciiTheme="majorBidi" w:hAnsiTheme="majorBidi" w:cstheme="majorBidi"/>
        </w:rPr>
        <w:t xml:space="preserve">Si tiene preguntas sobre </w:t>
      </w:r>
      <w:r w:rsidR="00505A6A">
        <w:rPr>
          <w:rFonts w:asciiTheme="majorBidi" w:hAnsiTheme="majorBidi" w:cstheme="majorBidi"/>
        </w:rPr>
        <w:t>los</w:t>
      </w:r>
      <w:r>
        <w:rPr>
          <w:rFonts w:asciiTheme="majorBidi" w:hAnsiTheme="majorBidi" w:cstheme="majorBidi"/>
        </w:rPr>
        <w:t xml:space="preserve"> servicios de observación, </w:t>
      </w:r>
      <w:r w:rsidR="00A05D39">
        <w:rPr>
          <w:rFonts w:asciiTheme="majorBidi" w:hAnsiTheme="majorBidi" w:cstheme="majorBidi"/>
        </w:rPr>
        <w:t xml:space="preserve">pregunte </w:t>
      </w:r>
      <w:r>
        <w:rPr>
          <w:rFonts w:asciiTheme="majorBidi" w:hAnsiTheme="majorBidi" w:cstheme="majorBidi"/>
        </w:rPr>
        <w:t xml:space="preserve">al personal </w:t>
      </w:r>
      <w:r w:rsidR="00A05D39">
        <w:rPr>
          <w:rFonts w:asciiTheme="majorBidi" w:hAnsiTheme="majorBidi" w:cstheme="majorBidi"/>
        </w:rPr>
        <w:t xml:space="preserve">del </w:t>
      </w:r>
      <w:r>
        <w:rPr>
          <w:rFonts w:asciiTheme="majorBidi" w:hAnsiTheme="majorBidi" w:cstheme="majorBidi"/>
        </w:rPr>
        <w:t>hospital que le entreg</w:t>
      </w:r>
      <w:r w:rsidR="00505A6A">
        <w:rPr>
          <w:rFonts w:asciiTheme="majorBidi" w:hAnsiTheme="majorBidi" w:cstheme="majorBidi"/>
        </w:rPr>
        <w:t xml:space="preserve">ó </w:t>
      </w:r>
      <w:r>
        <w:rPr>
          <w:rFonts w:asciiTheme="majorBidi" w:hAnsiTheme="majorBidi" w:cstheme="majorBidi"/>
        </w:rPr>
        <w:t>este aviso</w:t>
      </w:r>
      <w:r w:rsidR="00B25C7F">
        <w:rPr>
          <w:rFonts w:asciiTheme="majorBidi" w:hAnsiTheme="majorBidi" w:cstheme="majorBidi"/>
        </w:rPr>
        <w:t>,</w:t>
      </w:r>
      <w:r>
        <w:rPr>
          <w:rFonts w:asciiTheme="majorBidi" w:hAnsiTheme="majorBidi" w:cstheme="majorBidi"/>
        </w:rPr>
        <w:t xml:space="preserve"> o al médico que le brinda atención médica. También puede pedir hablar con alguien del departamento de </w:t>
      </w:r>
      <w:r w:rsidR="00A05D39">
        <w:rPr>
          <w:rFonts w:asciiTheme="majorBidi" w:hAnsiTheme="majorBidi" w:cstheme="majorBidi"/>
        </w:rPr>
        <w:t xml:space="preserve">admisiones </w:t>
      </w:r>
      <w:r>
        <w:rPr>
          <w:rFonts w:asciiTheme="majorBidi" w:hAnsiTheme="majorBidi" w:cstheme="majorBidi"/>
        </w:rPr>
        <w:t>o planificación de altas del hospital.</w:t>
      </w:r>
    </w:p>
    <w:p w:rsidR="00766E27" w:rsidRPr="00766E27" w:rsidP="00766E27">
      <w:pPr>
        <w:rPr>
          <w:rFonts w:asciiTheme="majorBidi" w:hAnsiTheme="majorBidi" w:cstheme="majorBidi"/>
        </w:rPr>
      </w:pPr>
      <w:r>
        <w:rPr>
          <w:rFonts w:asciiTheme="majorBidi" w:hAnsiTheme="majorBidi" w:cstheme="majorBidi"/>
        </w:rPr>
        <w:t xml:space="preserve">También puede llamar al 1-800-MEDICARE (1-800-633-4227).   Los usuarios de TTY pueden llamar al 1-877-486-2048. </w:t>
      </w:r>
    </w:p>
    <w:p w:rsidR="00766E27" w:rsidRPr="00073D63" w:rsidP="00766E27">
      <w:pPr>
        <w:rPr>
          <w:rFonts w:asciiTheme="majorBidi" w:hAnsiTheme="majorBidi" w:cstheme="majorBidi"/>
          <w:sz w:val="28"/>
          <w:szCs w:val="28"/>
        </w:rPr>
      </w:pPr>
      <w:r>
        <w:rPr>
          <w:rFonts w:asciiTheme="majorBidi" w:hAnsiTheme="majorBidi" w:cstheme="majorBidi"/>
          <w:sz w:val="28"/>
        </w:rPr>
        <w:t>Sus costos por medicamentos:</w:t>
      </w:r>
    </w:p>
    <w:p w:rsidR="00766E27" w:rsidP="00766E27">
      <w:pPr>
        <w:pBdr>
          <w:bottom w:val="single" w:sz="12" w:space="1" w:color="auto"/>
        </w:pBdr>
        <w:rPr>
          <w:rFonts w:asciiTheme="majorBidi" w:hAnsiTheme="majorBidi" w:cstheme="majorBidi"/>
        </w:rPr>
      </w:pPr>
      <w:r>
        <w:rPr>
          <w:rFonts w:asciiTheme="majorBidi" w:hAnsiTheme="majorBidi" w:cstheme="majorBidi"/>
        </w:rPr>
        <w:t xml:space="preserve">En general, los medicamentos recetados y los de venta libre, incluidos los “medicamentos autoadministrados” que recibe en el entorno como paciente ambulatorio del hospital (como el departamento de emergencias) no están cubiertos por la Parte B. Los “medicamentos autoadministrados” son aquellos que usted puede tomar por sí solo. Por razones de seguridad, muchos hospitales no permiten que tome medicamentos que trae de su casa. Si tiene un plan de medicamentos recetados de Medicare (Parte D), su plan podría ayudarlo a pagar estos medicamentos. Es probable que deba pagar estos medicamentos como gastos de </w:t>
      </w:r>
      <w:r w:rsidR="00B25C7F">
        <w:rPr>
          <w:rFonts w:asciiTheme="majorBidi" w:hAnsiTheme="majorBidi" w:cstheme="majorBidi"/>
        </w:rPr>
        <w:t xml:space="preserve">su </w:t>
      </w:r>
      <w:r>
        <w:rPr>
          <w:rFonts w:asciiTheme="majorBidi" w:hAnsiTheme="majorBidi" w:cstheme="majorBidi"/>
        </w:rPr>
        <w:t xml:space="preserve">bolsillo y </w:t>
      </w:r>
      <w:r w:rsidR="00B25C7F">
        <w:rPr>
          <w:rFonts w:asciiTheme="majorBidi" w:hAnsiTheme="majorBidi" w:cstheme="majorBidi"/>
        </w:rPr>
        <w:t xml:space="preserve">luego </w:t>
      </w:r>
      <w:r>
        <w:rPr>
          <w:rFonts w:asciiTheme="majorBidi" w:hAnsiTheme="majorBidi" w:cstheme="majorBidi"/>
        </w:rPr>
        <w:t>presentar un reclamo a su plan de medicamentos para recibir un reembolso. Comuníquese con su plan de medicamentos para obtener más información.</w:t>
      </w:r>
    </w:p>
    <w:p w:rsidR="00073D63" w:rsidRPr="00766E27" w:rsidP="00766E27">
      <w:pPr>
        <w:pBdr>
          <w:bottom w:val="single" w:sz="12" w:space="1" w:color="auto"/>
        </w:pBdr>
        <w:rPr>
          <w:rFonts w:asciiTheme="majorBidi" w:hAnsiTheme="majorBidi" w:cstheme="majorBidi"/>
        </w:rPr>
      </w:pPr>
    </w:p>
    <w:p w:rsidR="00766E27" w:rsidRPr="00766E27" w:rsidP="00766E27">
      <w:pPr>
        <w:rPr>
          <w:rFonts w:asciiTheme="majorBidi" w:hAnsiTheme="majorBidi" w:cstheme="majorBidi"/>
        </w:rPr>
      </w:pPr>
      <w:r>
        <w:rPr>
          <w:rFonts w:asciiTheme="majorBidi" w:hAnsiTheme="majorBidi" w:cstheme="majorBidi"/>
          <w:b/>
        </w:rPr>
        <w:t xml:space="preserve">Si está inscrito en un plan Medicare </w:t>
      </w:r>
      <w:r>
        <w:rPr>
          <w:rFonts w:asciiTheme="majorBidi" w:hAnsiTheme="majorBidi" w:cstheme="majorBidi"/>
          <w:b/>
        </w:rPr>
        <w:t>Advantage</w:t>
      </w:r>
      <w:r>
        <w:rPr>
          <w:rFonts w:asciiTheme="majorBidi" w:hAnsiTheme="majorBidi" w:cstheme="majorBidi"/>
          <w:b/>
        </w:rPr>
        <w:t xml:space="preserve"> (como un HMO o PPO) u otro plan de salud Medicare (Parte C)</w:t>
      </w:r>
      <w:r>
        <w:rPr>
          <w:rFonts w:asciiTheme="majorBidi" w:hAnsiTheme="majorBidi" w:cstheme="majorBidi"/>
        </w:rPr>
        <w:t>, sus costos y cobertura podrían ser diferentes. Verifique con su plan para conocer la cobertura por servicios de observación para pacientes ambulatorios.</w:t>
      </w:r>
    </w:p>
    <w:p w:rsidR="00766E27" w:rsidP="00766E27">
      <w:pPr>
        <w:pBdr>
          <w:bottom w:val="single" w:sz="12" w:space="1" w:color="auto"/>
        </w:pBdr>
        <w:rPr>
          <w:rFonts w:asciiTheme="majorBidi" w:hAnsiTheme="majorBidi" w:cstheme="majorBidi"/>
        </w:rPr>
      </w:pPr>
      <w:r>
        <w:rPr>
          <w:rFonts w:asciiTheme="majorBidi" w:hAnsiTheme="majorBidi" w:cstheme="majorBidi"/>
          <w:b/>
        </w:rPr>
        <w:t xml:space="preserve">Si es Beneficiario Calificado de Medicare a través de su programa estatal de Medicaid, </w:t>
      </w:r>
      <w:r>
        <w:rPr>
          <w:rFonts w:asciiTheme="majorBidi" w:hAnsiTheme="majorBidi" w:cstheme="majorBidi"/>
        </w:rPr>
        <w:t xml:space="preserve">no pueden facturarle los deducibles, </w:t>
      </w:r>
      <w:r>
        <w:rPr>
          <w:rFonts w:asciiTheme="majorBidi" w:hAnsiTheme="majorBidi" w:cstheme="majorBidi"/>
        </w:rPr>
        <w:t>coseguros</w:t>
      </w:r>
      <w:r w:rsidR="00B15CE8">
        <w:rPr>
          <w:rFonts w:asciiTheme="majorBidi" w:hAnsiTheme="majorBidi" w:cstheme="majorBidi"/>
        </w:rPr>
        <w:t>,</w:t>
      </w:r>
      <w:r>
        <w:rPr>
          <w:rFonts w:asciiTheme="majorBidi" w:hAnsiTheme="majorBidi" w:cstheme="majorBidi"/>
        </w:rPr>
        <w:t xml:space="preserve"> ni copagos de las Partes A y B.</w:t>
      </w:r>
    </w:p>
    <w:p w:rsidR="00073D63" w:rsidRPr="00766E27" w:rsidP="00766E27">
      <w:pPr>
        <w:pBdr>
          <w:bottom w:val="single" w:sz="12" w:space="1" w:color="auto"/>
        </w:pBdr>
        <w:rPr>
          <w:rFonts w:asciiTheme="majorBidi" w:hAnsiTheme="majorBidi" w:cstheme="majorBidi"/>
        </w:rPr>
      </w:pPr>
    </w:p>
    <w:p w:rsidR="00766E27" w:rsidRPr="00073D63" w:rsidP="00766E27">
      <w:pPr>
        <w:rPr>
          <w:rFonts w:asciiTheme="majorBidi" w:hAnsiTheme="majorBidi" w:cstheme="majorBidi"/>
          <w:sz w:val="28"/>
          <w:szCs w:val="28"/>
        </w:rPr>
      </w:pPr>
      <w:r>
        <w:rPr>
          <w:rFonts w:asciiTheme="majorBidi" w:hAnsiTheme="majorBidi" w:cstheme="majorBidi"/>
          <w:sz w:val="28"/>
        </w:rPr>
        <w:t>Información adicional (</w:t>
      </w:r>
      <w:r w:rsidR="00B25C7F">
        <w:rPr>
          <w:rFonts w:asciiTheme="majorBidi" w:hAnsiTheme="majorBidi" w:cstheme="majorBidi"/>
          <w:sz w:val="28"/>
        </w:rPr>
        <w:t>o</w:t>
      </w:r>
      <w:r>
        <w:rPr>
          <w:rFonts w:asciiTheme="majorBidi" w:hAnsiTheme="majorBidi" w:cstheme="majorBidi"/>
          <w:sz w:val="28"/>
        </w:rPr>
        <w:t>pcional):</w:t>
      </w:r>
    </w:p>
    <w:p w:rsidR="00766E27" w:rsidRPr="00766E27" w:rsidP="00766E27">
      <w:pPr>
        <w:rPr>
          <w:rFonts w:asciiTheme="majorBidi" w:hAnsiTheme="majorBidi" w:cstheme="majorBidi"/>
        </w:rPr>
      </w:pPr>
    </w:p>
    <w:p w:rsidR="00766E27" w:rsidRPr="00766E27" w:rsidP="00766E27">
      <w:pPr>
        <w:rPr>
          <w:rFonts w:asciiTheme="majorBidi" w:hAnsiTheme="majorBidi" w:cstheme="majorBidi"/>
        </w:rPr>
      </w:pPr>
    </w:p>
    <w:p w:rsidR="00766E27" w:rsidP="002E278D">
      <w:pPr>
        <w:pStyle w:val="NoSpacing"/>
      </w:pPr>
    </w:p>
    <w:p w:rsidR="002E278D" w:rsidP="002E278D">
      <w:pPr>
        <w:pStyle w:val="NoSpacing"/>
      </w:pPr>
    </w:p>
    <w:p w:rsidR="002E278D" w:rsidRPr="00766E27" w:rsidP="00766E27">
      <w:pPr>
        <w:pBdr>
          <w:bottom w:val="single" w:sz="12" w:space="1" w:color="auto"/>
        </w:pBdr>
        <w:rPr>
          <w:rFonts w:asciiTheme="majorBidi" w:hAnsiTheme="majorBidi" w:cstheme="majorBidi"/>
        </w:rPr>
      </w:pPr>
    </w:p>
    <w:p w:rsidR="00766E27" w:rsidRPr="002E278D" w:rsidP="00766E27">
      <w:pPr>
        <w:rPr>
          <w:rFonts w:asciiTheme="majorBidi" w:hAnsiTheme="majorBidi" w:cstheme="majorBidi"/>
          <w:sz w:val="28"/>
          <w:szCs w:val="28"/>
        </w:rPr>
      </w:pPr>
      <w:r>
        <w:rPr>
          <w:rFonts w:asciiTheme="majorBidi" w:hAnsiTheme="majorBidi" w:cstheme="majorBidi"/>
          <w:sz w:val="28"/>
        </w:rPr>
        <w:t>Firme a continuación para mostrar que ha recibido y comprendido este aviso.</w:t>
      </w:r>
    </w:p>
    <w:p w:rsidR="00766E27" w:rsidP="00766E27">
      <w:pPr>
        <w:rPr>
          <w:rFonts w:asciiTheme="majorBidi" w:hAnsiTheme="majorBidi" w:cstheme="majorBidi"/>
        </w:rPr>
      </w:pPr>
      <w:r>
        <w:rPr>
          <w:rFonts w:asciiTheme="majorBidi" w:hAnsiTheme="majorBidi" w:cstheme="majorBidi"/>
        </w:rPr>
        <w:t>________________________________                                           ________________________</w:t>
      </w:r>
    </w:p>
    <w:p w:rsidR="00766E27" w:rsidRPr="00766E27" w:rsidP="00073D63">
      <w:pPr>
        <w:tabs>
          <w:tab w:val="left" w:pos="6570"/>
        </w:tabs>
        <w:rPr>
          <w:rFonts w:asciiTheme="majorBidi" w:hAnsiTheme="majorBidi" w:cstheme="majorBidi"/>
        </w:rPr>
      </w:pPr>
      <w:r>
        <w:rPr>
          <w:rFonts w:asciiTheme="majorBidi" w:hAnsiTheme="majorBidi" w:cstheme="majorBidi"/>
        </w:rPr>
        <w:t xml:space="preserve">Firma del paciente o representante </w:t>
      </w:r>
      <w:r>
        <w:tab/>
      </w:r>
      <w:r w:rsidR="004F653B">
        <w:rPr>
          <w:rFonts w:asciiTheme="majorBidi" w:hAnsiTheme="majorBidi" w:cstheme="majorBidi"/>
        </w:rPr>
        <w:t>Fecha /</w:t>
      </w:r>
      <w:r>
        <w:rPr>
          <w:rFonts w:asciiTheme="majorBidi" w:hAnsiTheme="majorBidi" w:cstheme="majorBidi"/>
        </w:rPr>
        <w:t>Hora</w:t>
      </w:r>
    </w:p>
    <w:p w:rsidR="00766E27" w:rsidRPr="00766E27" w:rsidP="00766E27">
      <w:pPr>
        <w:pBdr>
          <w:bottom w:val="single" w:sz="12" w:space="1" w:color="auto"/>
        </w:pBdr>
        <w:rPr>
          <w:rFonts w:asciiTheme="majorBidi" w:hAnsiTheme="majorBidi" w:cstheme="majorBidi"/>
        </w:rPr>
      </w:pPr>
    </w:p>
    <w:p w:rsidR="009D308D" w:rsidP="009D308D">
      <w:pPr>
        <w:contextualSpacing/>
        <w:rPr>
          <w:rFonts w:ascii="Calibri" w:hAnsi="Calibri" w:cs="Times New Roman"/>
          <w:sz w:val="20"/>
          <w:szCs w:val="20"/>
        </w:rPr>
      </w:pPr>
      <w:r w:rsidRPr="00160D93">
        <w:rPr>
          <w:rFonts w:ascii="Calibri" w:hAnsi="Calibri" w:cs="Times New Roman"/>
          <w:sz w:val="20"/>
          <w:szCs w:val="20"/>
        </w:rPr>
        <w:t xml:space="preserve">Tiene derecho a obtener información de Medicare en un formato accesible, como letra grande, Braille o audio. También tiene derecho a presentar una queja si considera que ha sido discriminado. </w:t>
      </w:r>
    </w:p>
    <w:p w:rsidR="009D308D" w:rsidP="009D308D">
      <w:pPr>
        <w:contextualSpacing/>
        <w:rPr>
          <w:rFonts w:ascii="Calibri" w:hAnsi="Calibri" w:cs="Times New Roman"/>
          <w:sz w:val="20"/>
          <w:szCs w:val="20"/>
        </w:rPr>
      </w:pPr>
    </w:p>
    <w:p w:rsidR="006108B4" w:rsidRPr="00766E27" w:rsidP="009D308D">
      <w:pPr>
        <w:jc w:val="center"/>
        <w:rPr>
          <w:rFonts w:asciiTheme="majorBidi" w:hAnsiTheme="majorBidi" w:cstheme="majorBidi"/>
        </w:rPr>
      </w:pPr>
      <w:r w:rsidRPr="00160D93">
        <w:rPr>
          <w:rFonts w:ascii="Calibri" w:hAnsi="Calibri" w:cs="Times New Roman"/>
          <w:sz w:val="20"/>
          <w:szCs w:val="20"/>
        </w:rPr>
        <w:t>Visite Medicare.gov/</w:t>
      </w:r>
      <w:r w:rsidRPr="00160D93">
        <w:rPr>
          <w:rFonts w:ascii="Calibri" w:hAnsi="Calibri" w:cs="Times New Roman"/>
          <w:sz w:val="20"/>
          <w:szCs w:val="20"/>
        </w:rPr>
        <w:t>about-us</w:t>
      </w:r>
      <w:r w:rsidRPr="00160D93">
        <w:rPr>
          <w:rFonts w:ascii="Calibri" w:hAnsi="Calibri" w:cs="Times New Roman"/>
          <w:sz w:val="20"/>
          <w:szCs w:val="20"/>
        </w:rPr>
        <w:t>/</w:t>
      </w:r>
      <w:r w:rsidRPr="00160D93">
        <w:rPr>
          <w:rFonts w:ascii="Calibri" w:hAnsi="Calibri" w:cs="Times New Roman"/>
          <w:sz w:val="20"/>
          <w:szCs w:val="20"/>
        </w:rPr>
        <w:t>accessibility-nondiscrimination-notice</w:t>
      </w:r>
      <w:r w:rsidRPr="00160D93">
        <w:rPr>
          <w:rFonts w:ascii="Calibri" w:hAnsi="Calibri" w:cs="Times New Roman"/>
          <w:sz w:val="20"/>
          <w:szCs w:val="20"/>
        </w:rPr>
        <w:t>, o llame al 1-800-MEDICARE (1-800-633-4227) para más información. Los usuarios de TTY pueden llamar al 1-877-486-2048.</w:t>
      </w:r>
      <w:bookmarkStart w:id="0" w:name="_GoBack"/>
      <w:bookmarkEnd w:id="0"/>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E27" w:rsidP="00766E27">
    <w:pPr>
      <w:pStyle w:val="Footer"/>
    </w:pPr>
    <w:r>
      <w:rPr>
        <w:noProof/>
        <w:lang w:val="en-US" w:eastAsia="en-US" w:bidi="ar-SA"/>
      </w:rPr>
      <mc:AlternateContent>
        <mc:Choice Requires="wps">
          <w:drawing>
            <wp:anchor distT="45720" distB="45720" distL="114300" distR="114300" simplePos="0" relativeHeight="251658240" behindDoc="0" locked="0" layoutInCell="1" allowOverlap="1">
              <wp:simplePos x="0" y="0"/>
              <wp:positionH relativeFrom="page">
                <wp:posOffset>4276725</wp:posOffset>
              </wp:positionH>
              <wp:positionV relativeFrom="paragraph">
                <wp:posOffset>-50165</wp:posOffset>
              </wp:positionV>
              <wp:extent cx="3497580" cy="257175"/>
              <wp:effectExtent l="0" t="0" r="7620" b="952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97580" cy="257175"/>
                      </a:xfrm>
                      <a:prstGeom prst="rect">
                        <a:avLst/>
                      </a:prstGeom>
                      <a:solidFill>
                        <a:srgbClr val="FFFFFF"/>
                      </a:solidFill>
                      <a:ln w="9525">
                        <a:noFill/>
                        <a:miter lim="800000"/>
                        <a:headEnd/>
                        <a:tailEnd/>
                      </a:ln>
                    </wps:spPr>
                    <wps:txbx>
                      <w:txbxContent>
                        <w:p w:rsidR="00766E27" w:rsidRPr="00766E27" w:rsidP="00766E27">
                          <w:pPr>
                            <w:ind w:left="20" w:right="-24"/>
                            <w:rPr>
                              <w:rFonts w:ascii="Arial" w:eastAsia="Arial" w:hAnsi="Arial" w:cs="Arial"/>
                              <w:b/>
                              <w:bCs/>
                              <w:sz w:val="16"/>
                              <w:szCs w:val="16"/>
                            </w:rPr>
                          </w:pPr>
                          <w:r>
                            <w:rPr>
                              <w:rFonts w:ascii="Arial" w:hAnsi="Arial"/>
                              <w:b/>
                              <w:spacing w:val="1"/>
                              <w:sz w:val="16"/>
                            </w:rPr>
                            <w:t xml:space="preserve">Vencimiento </w:t>
                          </w:r>
                          <w:r w:rsidR="006B5480">
                            <w:rPr>
                              <w:rFonts w:ascii="Arial" w:hAnsi="Arial"/>
                              <w:b/>
                              <w:spacing w:val="1"/>
                              <w:sz w:val="16"/>
                            </w:rPr>
                            <w:t>1</w:t>
                          </w:r>
                          <w:r w:rsidR="0098655F">
                            <w:rPr>
                              <w:rFonts w:ascii="Arial" w:hAnsi="Arial"/>
                              <w:b/>
                              <w:spacing w:val="1"/>
                              <w:sz w:val="16"/>
                            </w:rPr>
                            <w:t>1</w:t>
                          </w:r>
                          <w:r w:rsidR="006B5480">
                            <w:rPr>
                              <w:rFonts w:ascii="Arial" w:hAnsi="Arial"/>
                              <w:b/>
                              <w:spacing w:val="1"/>
                              <w:sz w:val="16"/>
                            </w:rPr>
                            <w:t>/3</w:t>
                          </w:r>
                          <w:r w:rsidR="0098655F">
                            <w:rPr>
                              <w:rFonts w:ascii="Arial" w:hAnsi="Arial"/>
                              <w:b/>
                              <w:spacing w:val="1"/>
                              <w:sz w:val="16"/>
                            </w:rPr>
                            <w:t>0</w:t>
                          </w:r>
                          <w:r w:rsidR="006B5480">
                            <w:rPr>
                              <w:rFonts w:ascii="Arial" w:hAnsi="Arial"/>
                              <w:b/>
                              <w:spacing w:val="1"/>
                              <w:sz w:val="16"/>
                            </w:rPr>
                            <w:t>/202</w:t>
                          </w:r>
                          <w:r w:rsidR="0098655F">
                            <w:rPr>
                              <w:rFonts w:ascii="Arial" w:hAnsi="Arial"/>
                              <w:b/>
                              <w:spacing w:val="1"/>
                              <w:sz w:val="16"/>
                            </w:rPr>
                            <w:t>5</w:t>
                          </w:r>
                          <w:r w:rsidR="00F164A4">
                            <w:rPr>
                              <w:rFonts w:ascii="Arial" w:hAnsi="Arial"/>
                              <w:b/>
                              <w:spacing w:val="1"/>
                              <w:sz w:val="16"/>
                            </w:rPr>
                            <w:t xml:space="preserve"> Aprobación OMB 0938-1308</w:t>
                          </w:r>
                        </w:p>
                        <w:p w:rsidR="00766E27" w:rsidP="00766E2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275.4pt;height:20.25pt;margin-top:-3.95pt;margin-left:336.7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stroked="f">
              <v:textbox>
                <w:txbxContent>
                  <w:p w:rsidR="00766E27" w:rsidRPr="00766E27" w:rsidP="00766E27">
                    <w:pPr>
                      <w:ind w:left="20" w:right="-24"/>
                      <w:rPr>
                        <w:rFonts w:ascii="Arial" w:eastAsia="Arial" w:hAnsi="Arial" w:cs="Arial"/>
                        <w:b/>
                        <w:bCs/>
                        <w:sz w:val="16"/>
                        <w:szCs w:val="16"/>
                      </w:rPr>
                    </w:pPr>
                    <w:r>
                      <w:rPr>
                        <w:rFonts w:ascii="Arial" w:hAnsi="Arial"/>
                        <w:b/>
                        <w:spacing w:val="1"/>
                        <w:sz w:val="16"/>
                      </w:rPr>
                      <w:t xml:space="preserve">Vencimiento </w:t>
                    </w:r>
                    <w:r w:rsidR="006B5480">
                      <w:rPr>
                        <w:rFonts w:ascii="Arial" w:hAnsi="Arial"/>
                        <w:b/>
                        <w:spacing w:val="1"/>
                        <w:sz w:val="16"/>
                      </w:rPr>
                      <w:t>1</w:t>
                    </w:r>
                    <w:r w:rsidR="0098655F">
                      <w:rPr>
                        <w:rFonts w:ascii="Arial" w:hAnsi="Arial"/>
                        <w:b/>
                        <w:spacing w:val="1"/>
                        <w:sz w:val="16"/>
                      </w:rPr>
                      <w:t>1</w:t>
                    </w:r>
                    <w:r w:rsidR="006B5480">
                      <w:rPr>
                        <w:rFonts w:ascii="Arial" w:hAnsi="Arial"/>
                        <w:b/>
                        <w:spacing w:val="1"/>
                        <w:sz w:val="16"/>
                      </w:rPr>
                      <w:t>/3</w:t>
                    </w:r>
                    <w:r w:rsidR="0098655F">
                      <w:rPr>
                        <w:rFonts w:ascii="Arial" w:hAnsi="Arial"/>
                        <w:b/>
                        <w:spacing w:val="1"/>
                        <w:sz w:val="16"/>
                      </w:rPr>
                      <w:t>0</w:t>
                    </w:r>
                    <w:r w:rsidR="006B5480">
                      <w:rPr>
                        <w:rFonts w:ascii="Arial" w:hAnsi="Arial"/>
                        <w:b/>
                        <w:spacing w:val="1"/>
                        <w:sz w:val="16"/>
                      </w:rPr>
                      <w:t>/202</w:t>
                    </w:r>
                    <w:r w:rsidR="0098655F">
                      <w:rPr>
                        <w:rFonts w:ascii="Arial" w:hAnsi="Arial"/>
                        <w:b/>
                        <w:spacing w:val="1"/>
                        <w:sz w:val="16"/>
                      </w:rPr>
                      <w:t>5</w:t>
                    </w:r>
                    <w:r w:rsidR="00F164A4">
                      <w:rPr>
                        <w:rFonts w:ascii="Arial" w:hAnsi="Arial"/>
                        <w:b/>
                        <w:spacing w:val="1"/>
                        <w:sz w:val="16"/>
                      </w:rPr>
                      <w:t xml:space="preserve"> Aprobación OMB 0938-1308</w:t>
                    </w:r>
                  </w:p>
                  <w:p w:rsidR="00766E27" w:rsidP="00766E27"/>
                </w:txbxContent>
              </v:textbox>
              <w10:wrap type="square"/>
            </v:shape>
          </w:pict>
        </mc:Fallback>
      </mc:AlternateContent>
    </w:r>
    <w:r>
      <w:rPr>
        <w:noProof/>
        <w:lang w:val="en-US" w:eastAsia="en-US" w:bidi="ar-SA"/>
      </w:rPr>
      <mc:AlternateContent>
        <mc:Choice Requires="wps">
          <w:drawing>
            <wp:anchor distT="45720" distB="45720" distL="114300" distR="114300" simplePos="0" relativeHeight="251660288" behindDoc="0" locked="0" layoutInCell="1" allowOverlap="1">
              <wp:simplePos x="0" y="0"/>
              <wp:positionH relativeFrom="page">
                <wp:posOffset>514350</wp:posOffset>
              </wp:positionH>
              <wp:positionV relativeFrom="paragraph">
                <wp:posOffset>6985</wp:posOffset>
              </wp:positionV>
              <wp:extent cx="2373630" cy="247650"/>
              <wp:effectExtent l="0" t="0" r="3810" b="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247650"/>
                      </a:xfrm>
                      <a:prstGeom prst="rect">
                        <a:avLst/>
                      </a:prstGeom>
                      <a:solidFill>
                        <a:srgbClr val="FFFFFF"/>
                      </a:solidFill>
                      <a:ln w="9525">
                        <a:noFill/>
                        <a:miter lim="800000"/>
                        <a:headEnd/>
                        <a:tailEnd/>
                      </a:ln>
                    </wps:spPr>
                    <wps:txbx>
                      <w:txbxContent>
                        <w:p w:rsidR="00766E27" w:rsidRPr="008A2551" w:rsidP="008A2551">
                          <w:pPr>
                            <w:pStyle w:val="Footer"/>
                            <w:rPr>
                              <w:rFonts w:ascii="Arial" w:eastAsia="Arial" w:hAnsi="Arial" w:cs="Arial"/>
                              <w:b/>
                              <w:bCs/>
                              <w:sz w:val="16"/>
                              <w:szCs w:val="16"/>
                            </w:rPr>
                          </w:pPr>
                          <w:r w:rsidRPr="008A2551">
                            <w:rPr>
                              <w:rFonts w:ascii="Arial" w:hAnsi="Arial" w:cs="Arial"/>
                              <w:b/>
                              <w:sz w:val="16"/>
                              <w:szCs w:val="16"/>
                            </w:rPr>
                            <w:t>Formulario CMS 10611-MOON</w:t>
                          </w:r>
                        </w:p>
                        <w:p w:rsidR="00766E27" w:rsidRPr="00766E27" w:rsidP="00766E27">
                          <w:pPr>
                            <w:ind w:left="20" w:right="-24"/>
                            <w:rPr>
                              <w:rFonts w:ascii="Arial" w:eastAsia="Arial" w:hAnsi="Arial" w:cs="Arial"/>
                              <w:b/>
                              <w:bCs/>
                              <w:sz w:val="16"/>
                              <w:szCs w:val="16"/>
                            </w:rPr>
                          </w:pPr>
                          <w:r>
                            <w:rPr>
                              <w:rFonts w:ascii="Arial" w:hAnsi="Arial"/>
                              <w:b/>
                              <w:spacing w:val="-1"/>
                              <w:sz w:val="16"/>
                            </w:rPr>
                            <w:t>xxxx</w:t>
                          </w:r>
                        </w:p>
                        <w:p w:rsidR="00766E27" w:rsidP="00766E2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3" o:spid="_x0000_s2051" type="#_x0000_t202" style="width:185.9pt;height:19.5pt;margin-top:0.55pt;margin-left:40.5pt;mso-height-percent:0;mso-height-relative:margin;mso-position-horizontal-relative:page;mso-width-percent:400;mso-width-relative:margin;mso-wrap-distance-bottom:3.6pt;mso-wrap-distance-left:9pt;mso-wrap-distance-right:9pt;mso-wrap-distance-top:3.6pt;mso-wrap-style:square;position:absolute;visibility:visible;v-text-anchor:top;z-index:251661312" stroked="f">
              <v:textbox>
                <w:txbxContent>
                  <w:p w:rsidR="00766E27" w:rsidRPr="008A2551" w:rsidP="008A2551">
                    <w:pPr>
                      <w:pStyle w:val="Footer"/>
                      <w:rPr>
                        <w:rFonts w:ascii="Arial" w:eastAsia="Arial" w:hAnsi="Arial" w:cs="Arial"/>
                        <w:b/>
                        <w:bCs/>
                        <w:sz w:val="16"/>
                        <w:szCs w:val="16"/>
                      </w:rPr>
                    </w:pPr>
                    <w:r w:rsidRPr="008A2551">
                      <w:rPr>
                        <w:rFonts w:ascii="Arial" w:hAnsi="Arial" w:cs="Arial"/>
                        <w:b/>
                        <w:sz w:val="16"/>
                        <w:szCs w:val="16"/>
                      </w:rPr>
                      <w:t>Formulario CMS 10611-MOON</w:t>
                    </w:r>
                  </w:p>
                  <w:p w:rsidR="00766E27" w:rsidRPr="00766E27" w:rsidP="00766E27">
                    <w:pPr>
                      <w:ind w:left="20" w:right="-24"/>
                      <w:rPr>
                        <w:rFonts w:ascii="Arial" w:eastAsia="Arial" w:hAnsi="Arial" w:cs="Arial"/>
                        <w:b/>
                        <w:bCs/>
                        <w:sz w:val="16"/>
                        <w:szCs w:val="16"/>
                      </w:rPr>
                    </w:pPr>
                    <w:r>
                      <w:rPr>
                        <w:rFonts w:ascii="Arial" w:hAnsi="Arial"/>
                        <w:b/>
                        <w:spacing w:val="-1"/>
                        <w:sz w:val="16"/>
                      </w:rPr>
                      <w:t>xxxx</w:t>
                    </w:r>
                  </w:p>
                  <w:p w:rsidR="00766E27" w:rsidP="00766E27"/>
                </w:txbxContent>
              </v:textbox>
              <w10:wrap type="square"/>
            </v:shape>
          </w:pict>
        </mc:Fallback>
      </mc:AlternateContent>
    </w:r>
  </w:p>
  <w:p w:rsidR="00766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5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E27" w:rsidRPr="00766E27" w:rsidP="00766E27">
    <w:pPr>
      <w:pStyle w:val="Header"/>
    </w:pPr>
    <w:r>
      <w:rPr>
        <w:noProof/>
        <w:lang w:val="en-US" w:eastAsia="en-US" w:bidi="ar-SA"/>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-353060</wp:posOffset>
              </wp:positionV>
              <wp:extent cx="4533900" cy="295275"/>
              <wp:effectExtent l="0" t="0" r="0" b="95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3900" cy="295275"/>
                      </a:xfrm>
                      <a:prstGeom prst="rect">
                        <a:avLst/>
                      </a:prstGeom>
                      <a:solidFill>
                        <a:srgbClr val="FFFFFF"/>
                      </a:solidFill>
                      <a:ln w="9525">
                        <a:noFill/>
                        <a:miter lim="800000"/>
                        <a:headEnd/>
                        <a:tailEnd/>
                      </a:ln>
                    </wps:spPr>
                    <wps:txbx>
                      <w:txbxContent>
                        <w:p w:rsidR="00766E27" w:rsidRPr="00766E27" w:rsidP="00766E27">
                          <w:pPr>
                            <w:pStyle w:val="Header"/>
                            <w:jc w:val="center"/>
                          </w:pPr>
                          <w:r>
                            <w:rPr>
                              <w:color w:val="000000" w:themeColor="text1"/>
                            </w:rPr>
                            <w:t>(Los hospitales pueden incluir información de contacto o logotipo aquí)</w:t>
                          </w:r>
                        </w:p>
                        <w:p w:rsidR="00766E27" w:rsidP="00766E2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57pt;height:23.25pt;margin-top:-27.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766E27" w:rsidRPr="00766E27" w:rsidP="00766E27">
                    <w:pPr>
                      <w:pStyle w:val="Header"/>
                      <w:jc w:val="center"/>
                    </w:pPr>
                    <w:r>
                      <w:rPr>
                        <w:color w:val="000000" w:themeColor="text1"/>
                      </w:rPr>
                      <w:t>(Los hospitales pueden incluir información de contacto o logotipo aquí)</w:t>
                    </w:r>
                  </w:p>
                  <w:p w:rsidR="00766E27" w:rsidP="00766E27"/>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B81D32"/>
    <w:multiLevelType w:val="hybridMultilevel"/>
    <w:tmpl w:val="EBBACA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67D77345"/>
    <w:multiLevelType w:val="hybridMultilevel"/>
    <w:tmpl w:val="ED0EE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27"/>
    <w:rsid w:val="00073D63"/>
    <w:rsid w:val="0007506F"/>
    <w:rsid w:val="00077469"/>
    <w:rsid w:val="00090B64"/>
    <w:rsid w:val="00160D93"/>
    <w:rsid w:val="002060AA"/>
    <w:rsid w:val="002478E5"/>
    <w:rsid w:val="00285AE5"/>
    <w:rsid w:val="002C1254"/>
    <w:rsid w:val="002E278D"/>
    <w:rsid w:val="002F6CF2"/>
    <w:rsid w:val="00333BC9"/>
    <w:rsid w:val="003536F8"/>
    <w:rsid w:val="003F6122"/>
    <w:rsid w:val="004B04A4"/>
    <w:rsid w:val="004F653B"/>
    <w:rsid w:val="004F7A3F"/>
    <w:rsid w:val="00505A6A"/>
    <w:rsid w:val="005D7263"/>
    <w:rsid w:val="005F120B"/>
    <w:rsid w:val="0060431D"/>
    <w:rsid w:val="006108B4"/>
    <w:rsid w:val="00635C44"/>
    <w:rsid w:val="006B5480"/>
    <w:rsid w:val="006C5949"/>
    <w:rsid w:val="006F0E0D"/>
    <w:rsid w:val="00766E27"/>
    <w:rsid w:val="00780A9F"/>
    <w:rsid w:val="008305BF"/>
    <w:rsid w:val="008A2551"/>
    <w:rsid w:val="008B1BFC"/>
    <w:rsid w:val="00945865"/>
    <w:rsid w:val="00947269"/>
    <w:rsid w:val="0098655F"/>
    <w:rsid w:val="009D308D"/>
    <w:rsid w:val="00A05D39"/>
    <w:rsid w:val="00A97E65"/>
    <w:rsid w:val="00B15CE8"/>
    <w:rsid w:val="00B25081"/>
    <w:rsid w:val="00B25C7F"/>
    <w:rsid w:val="00B766B8"/>
    <w:rsid w:val="00C645EE"/>
    <w:rsid w:val="00D10B03"/>
    <w:rsid w:val="00D90097"/>
    <w:rsid w:val="00E22260"/>
    <w:rsid w:val="00E96F6F"/>
    <w:rsid w:val="00ED2321"/>
    <w:rsid w:val="00F164A4"/>
    <w:rsid w:val="00F75A34"/>
    <w:rsid w:val="00F8799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B52EF139-77A3-44FE-81EC-ED10200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27"/>
  </w:style>
  <w:style w:type="paragraph" w:styleId="Footer">
    <w:name w:val="footer"/>
    <w:basedOn w:val="Normal"/>
    <w:link w:val="FooterChar"/>
    <w:uiPriority w:val="99"/>
    <w:unhideWhenUsed/>
    <w:rsid w:val="00766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27"/>
  </w:style>
  <w:style w:type="paragraph" w:styleId="ListParagraph">
    <w:name w:val="List Paragraph"/>
    <w:basedOn w:val="Normal"/>
    <w:uiPriority w:val="34"/>
    <w:qFormat/>
    <w:rsid w:val="00766E27"/>
    <w:pPr>
      <w:ind w:left="720"/>
      <w:contextualSpacing/>
    </w:pPr>
  </w:style>
  <w:style w:type="character" w:styleId="Hyperlink">
    <w:name w:val="Hyperlink"/>
    <w:basedOn w:val="DefaultParagraphFont"/>
    <w:uiPriority w:val="99"/>
    <w:unhideWhenUsed/>
    <w:rsid w:val="00073D63"/>
    <w:rPr>
      <w:color w:val="0563C1" w:themeColor="hyperlink"/>
      <w:u w:val="single"/>
    </w:rPr>
  </w:style>
  <w:style w:type="character" w:styleId="CommentReference">
    <w:name w:val="annotation reference"/>
    <w:basedOn w:val="DefaultParagraphFont"/>
    <w:uiPriority w:val="99"/>
    <w:semiHidden/>
    <w:unhideWhenUsed/>
    <w:rsid w:val="005F120B"/>
    <w:rPr>
      <w:sz w:val="16"/>
      <w:szCs w:val="16"/>
    </w:rPr>
  </w:style>
  <w:style w:type="paragraph" w:styleId="CommentText">
    <w:name w:val="annotation text"/>
    <w:basedOn w:val="Normal"/>
    <w:link w:val="CommentTextChar"/>
    <w:uiPriority w:val="99"/>
    <w:semiHidden/>
    <w:unhideWhenUsed/>
    <w:rsid w:val="005F120B"/>
    <w:pPr>
      <w:spacing w:line="240" w:lineRule="auto"/>
    </w:pPr>
    <w:rPr>
      <w:sz w:val="20"/>
      <w:szCs w:val="20"/>
    </w:rPr>
  </w:style>
  <w:style w:type="character" w:customStyle="1" w:styleId="CommentTextChar">
    <w:name w:val="Comment Text Char"/>
    <w:basedOn w:val="DefaultParagraphFont"/>
    <w:link w:val="CommentText"/>
    <w:uiPriority w:val="99"/>
    <w:semiHidden/>
    <w:rsid w:val="005F120B"/>
    <w:rPr>
      <w:sz w:val="20"/>
      <w:szCs w:val="20"/>
    </w:rPr>
  </w:style>
  <w:style w:type="paragraph" w:styleId="CommentSubject">
    <w:name w:val="annotation subject"/>
    <w:basedOn w:val="CommentText"/>
    <w:next w:val="CommentText"/>
    <w:link w:val="CommentSubjectChar"/>
    <w:uiPriority w:val="99"/>
    <w:semiHidden/>
    <w:unhideWhenUsed/>
    <w:rsid w:val="005F120B"/>
    <w:rPr>
      <w:b/>
      <w:bCs/>
    </w:rPr>
  </w:style>
  <w:style w:type="character" w:customStyle="1" w:styleId="CommentSubjectChar">
    <w:name w:val="Comment Subject Char"/>
    <w:basedOn w:val="CommentTextChar"/>
    <w:link w:val="CommentSubject"/>
    <w:uiPriority w:val="99"/>
    <w:semiHidden/>
    <w:rsid w:val="005F120B"/>
    <w:rPr>
      <w:b/>
      <w:bCs/>
      <w:sz w:val="20"/>
      <w:szCs w:val="20"/>
    </w:rPr>
  </w:style>
  <w:style w:type="paragraph" w:styleId="Revision">
    <w:name w:val="Revision"/>
    <w:hidden/>
    <w:uiPriority w:val="99"/>
    <w:semiHidden/>
    <w:rsid w:val="005F120B"/>
    <w:pPr>
      <w:spacing w:after="0" w:line="240" w:lineRule="auto"/>
    </w:pPr>
  </w:style>
  <w:style w:type="paragraph" w:styleId="BalloonText">
    <w:name w:val="Balloon Text"/>
    <w:basedOn w:val="Normal"/>
    <w:link w:val="BalloonTextChar"/>
    <w:uiPriority w:val="99"/>
    <w:semiHidden/>
    <w:unhideWhenUsed/>
    <w:rsid w:val="005F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0B"/>
    <w:rPr>
      <w:rFonts w:ascii="Segoe UI" w:hAnsi="Segoe UI" w:cs="Segoe UI"/>
      <w:sz w:val="18"/>
      <w:szCs w:val="18"/>
    </w:rPr>
  </w:style>
  <w:style w:type="paragraph" w:styleId="NoSpacing">
    <w:name w:val="No Spacing"/>
    <w:uiPriority w:val="1"/>
    <w:qFormat/>
    <w:rsid w:val="002E278D"/>
    <w:pPr>
      <w:spacing w:after="0" w:line="240" w:lineRule="auto"/>
    </w:pPr>
  </w:style>
  <w:style w:type="character" w:styleId="FollowedHyperlink">
    <w:name w:val="FollowedHyperlink"/>
    <w:basedOn w:val="DefaultParagraphFont"/>
    <w:uiPriority w:val="99"/>
    <w:semiHidden/>
    <w:unhideWhenUsed/>
    <w:rsid w:val="002C1254"/>
    <w:rPr>
      <w:color w:val="954F72" w:themeColor="followedHyperlink"/>
      <w:u w:val="single"/>
    </w:rPr>
  </w:style>
  <w:style w:type="paragraph" w:customStyle="1" w:styleId="Heading1">
    <w:name w:val="Heading1"/>
    <w:basedOn w:val="Normal"/>
    <w:link w:val="Heading1Char"/>
    <w:qFormat/>
    <w:rsid w:val="008A2551"/>
    <w:pPr>
      <w:jc w:val="center"/>
    </w:pPr>
    <w:rPr>
      <w:rFonts w:asciiTheme="majorBidi" w:hAnsiTheme="majorBidi" w:cstheme="majorBidi"/>
      <w:sz w:val="32"/>
    </w:rPr>
  </w:style>
  <w:style w:type="character" w:customStyle="1" w:styleId="Heading1Char">
    <w:name w:val="Heading1 Char"/>
    <w:basedOn w:val="DefaultParagraphFont"/>
    <w:link w:val="Heading1"/>
    <w:rsid w:val="008A2551"/>
    <w:rPr>
      <w:rFonts w:asciiTheme="majorBidi" w:hAnsiTheme="majorBidi" w:cstheme="majorBi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CAA9-0DC9-4D87-9859-5E1E8F4D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CMS-10611 MOON Spanish</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CMS-10611 MOON Spanish</dc:title>
  <dc:subject>CMS-10611 MOON Spanish</dc:subject>
  <dc:creator>CMS</dc:creator>
  <cp:lastModifiedBy>JANET MILLER</cp:lastModifiedBy>
  <cp:revision>3</cp:revision>
  <dcterms:created xsi:type="dcterms:W3CDTF">2022-12-15T21:21:00Z</dcterms:created>
  <dcterms:modified xsi:type="dcterms:W3CDTF">2022-12-15T21:24:00Z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