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8F570D" w:rsidRDefault="002C4F75" w14:paraId="12EE9856" w14:textId="77777777">
      <w:pPr>
        <w:jc w:val="center"/>
        <w:rPr>
          <w:rFonts w:ascii="Arial" w:hAnsi="Arial" w:cs="Arial"/>
          <w:b/>
        </w:rPr>
      </w:pPr>
    </w:p>
    <w:p w:rsidRPr="002C4F75" w:rsidR="002C4F75" w:rsidP="008F570D" w:rsidRDefault="002C4F75" w14:paraId="6656DB4E" w14:textId="77777777">
      <w:pPr>
        <w:pStyle w:val="ReportCover-Title"/>
        <w:rPr>
          <w:rFonts w:ascii="Arial" w:hAnsi="Arial" w:cs="Arial"/>
          <w:color w:val="auto"/>
        </w:rPr>
      </w:pPr>
    </w:p>
    <w:p w:rsidR="000B07A0" w:rsidP="00366643" w:rsidRDefault="00AB02FF" w14:paraId="050B1DD4" w14:textId="507EB447">
      <w:pPr>
        <w:pStyle w:val="ReportCover-Title"/>
        <w:jc w:val="center"/>
        <w:rPr>
          <w:rFonts w:ascii="Arial" w:hAnsi="Arial" w:cs="Arial"/>
          <w:color w:val="auto"/>
        </w:rPr>
      </w:pPr>
      <w:r>
        <w:rPr>
          <w:rFonts w:ascii="Arial" w:hAnsi="Arial" w:cs="Arial"/>
          <w:color w:val="auto"/>
        </w:rPr>
        <w:t xml:space="preserve">Services for Survivors of Torture </w:t>
      </w:r>
      <w:r w:rsidR="00E15151">
        <w:rPr>
          <w:rFonts w:ascii="Arial" w:hAnsi="Arial" w:cs="Arial"/>
          <w:color w:val="auto"/>
        </w:rPr>
        <w:t>Program</w:t>
      </w:r>
    </w:p>
    <w:p w:rsidRPr="002C4F75" w:rsidR="002C4F75" w:rsidP="00366643" w:rsidRDefault="00366643" w14:paraId="781830F9" w14:textId="3C963E26">
      <w:pPr>
        <w:pStyle w:val="ReportCover-Title"/>
        <w:jc w:val="center"/>
        <w:rPr>
          <w:rFonts w:ascii="Arial" w:hAnsi="Arial" w:cs="Arial"/>
          <w:color w:val="auto"/>
        </w:rPr>
      </w:pPr>
      <w:r w:rsidRPr="00366643">
        <w:rPr>
          <w:rFonts w:ascii="Arial" w:hAnsi="Arial" w:cs="Arial"/>
          <w:color w:val="auto"/>
        </w:rPr>
        <w:t xml:space="preserve">Medical </w:t>
      </w:r>
      <w:r w:rsidR="00AB02FF">
        <w:rPr>
          <w:rFonts w:ascii="Arial" w:hAnsi="Arial" w:cs="Arial"/>
          <w:color w:val="auto"/>
        </w:rPr>
        <w:t xml:space="preserve">Care </w:t>
      </w:r>
      <w:r w:rsidR="000B07A0">
        <w:rPr>
          <w:rFonts w:ascii="Arial" w:hAnsi="Arial" w:cs="Arial"/>
          <w:color w:val="auto"/>
        </w:rPr>
        <w:t>Survey</w:t>
      </w:r>
    </w:p>
    <w:p w:rsidRPr="002C4F75" w:rsidR="002C4F75" w:rsidP="008F570D" w:rsidRDefault="002C4F75" w14:paraId="531BA742" w14:textId="77777777">
      <w:pPr>
        <w:pStyle w:val="ReportCover-Title"/>
        <w:rPr>
          <w:rFonts w:ascii="Arial" w:hAnsi="Arial" w:cs="Arial"/>
          <w:color w:val="auto"/>
        </w:rPr>
      </w:pPr>
    </w:p>
    <w:p w:rsidRPr="008F570D" w:rsidR="00984BBF" w:rsidP="008F570D" w:rsidRDefault="00984BBF"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Pr="008F570D" w:rsidR="006D2637" w:rsidP="008F570D" w:rsidRDefault="006D2637" w14:paraId="1F236595" w14:textId="77777777">
      <w:pPr>
        <w:pStyle w:val="ReportCover-Title"/>
        <w:jc w:val="center"/>
        <w:rPr>
          <w:rFonts w:ascii="Arial" w:hAnsi="Arial" w:cs="Arial"/>
          <w:color w:val="auto"/>
          <w:sz w:val="32"/>
          <w:szCs w:val="32"/>
        </w:rPr>
      </w:pPr>
    </w:p>
    <w:p w:rsidRPr="002C4F75" w:rsidR="002C4F75" w:rsidP="008F570D" w:rsidRDefault="002C4F75"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Pr="002C4F75" w:rsidR="002C4F75" w:rsidP="008F570D" w:rsidRDefault="002C4F75" w14:paraId="1D64B464" w14:textId="77777777">
      <w:pPr>
        <w:rPr>
          <w:rFonts w:ascii="Arial" w:hAnsi="Arial" w:cs="Arial"/>
          <w:szCs w:val="22"/>
        </w:rPr>
      </w:pPr>
    </w:p>
    <w:p w:rsidRPr="002C4F75" w:rsidR="002C4F75" w:rsidP="008F570D" w:rsidRDefault="002C4F75" w14:paraId="3B692556" w14:textId="77777777">
      <w:pPr>
        <w:pStyle w:val="ReportCover-Date"/>
        <w:jc w:val="center"/>
        <w:rPr>
          <w:rFonts w:ascii="Arial" w:hAnsi="Arial" w:cs="Arial"/>
          <w:color w:val="auto"/>
        </w:rPr>
      </w:pPr>
    </w:p>
    <w:p w:rsidRPr="002C4F75" w:rsidR="002C4F75" w:rsidP="008F570D"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8F570D"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8F570D" w:rsidRDefault="00366643" w14:paraId="153EDE13" w14:textId="02DA8F48">
      <w:pPr>
        <w:pStyle w:val="ReportCover-Date"/>
        <w:jc w:val="center"/>
        <w:rPr>
          <w:rFonts w:ascii="Arial" w:hAnsi="Arial" w:cs="Arial"/>
          <w:color w:val="auto"/>
        </w:rPr>
      </w:pPr>
      <w:r>
        <w:rPr>
          <w:rFonts w:ascii="Arial" w:hAnsi="Arial" w:cs="Arial"/>
          <w:color w:val="auto"/>
        </w:rPr>
        <w:t>J</w:t>
      </w:r>
      <w:r w:rsidR="00E12693">
        <w:rPr>
          <w:rFonts w:ascii="Arial" w:hAnsi="Arial" w:cs="Arial"/>
          <w:color w:val="auto"/>
        </w:rPr>
        <w:t>u</w:t>
      </w:r>
      <w:r w:rsidR="00A865D8">
        <w:rPr>
          <w:rFonts w:ascii="Arial" w:hAnsi="Arial" w:cs="Arial"/>
          <w:color w:val="auto"/>
        </w:rPr>
        <w:t>ne</w:t>
      </w:r>
      <w:r>
        <w:rPr>
          <w:rFonts w:ascii="Arial" w:hAnsi="Arial" w:cs="Arial"/>
          <w:color w:val="auto"/>
        </w:rPr>
        <w:t xml:space="preserve"> 2022</w:t>
      </w:r>
    </w:p>
    <w:p w:rsidRPr="002C4F75" w:rsidR="002C4F75" w:rsidP="008F570D" w:rsidRDefault="002C4F75" w14:paraId="27DA3839" w14:textId="77777777">
      <w:pPr>
        <w:jc w:val="center"/>
        <w:rPr>
          <w:rFonts w:ascii="Arial" w:hAnsi="Arial" w:cs="Arial"/>
        </w:rPr>
      </w:pPr>
    </w:p>
    <w:p w:rsidRPr="002C4F75" w:rsidR="002C4F75" w:rsidP="008F570D" w:rsidRDefault="002C4F75" w14:paraId="79ABBAD2" w14:textId="77777777">
      <w:pPr>
        <w:jc w:val="center"/>
        <w:rPr>
          <w:rFonts w:ascii="Arial" w:hAnsi="Arial" w:cs="Arial"/>
        </w:rPr>
      </w:pPr>
      <w:r w:rsidRPr="002C4F75">
        <w:rPr>
          <w:rFonts w:ascii="Arial" w:hAnsi="Arial" w:cs="Arial"/>
        </w:rPr>
        <w:t>Submitted By:</w:t>
      </w:r>
    </w:p>
    <w:p w:rsidRPr="002C4F75" w:rsidR="002C4F75" w:rsidP="008F570D" w:rsidRDefault="00366643" w14:paraId="4C2AFB81" w14:textId="20ADE714">
      <w:pPr>
        <w:jc w:val="center"/>
        <w:rPr>
          <w:rFonts w:ascii="Arial" w:hAnsi="Arial" w:cs="Arial"/>
        </w:rPr>
      </w:pPr>
      <w:r>
        <w:rPr>
          <w:rFonts w:ascii="Arial" w:hAnsi="Arial" w:cs="Arial"/>
        </w:rPr>
        <w:t>Office of Refugee Resettlement</w:t>
      </w:r>
    </w:p>
    <w:p w:rsidRPr="002C4F75" w:rsidR="002C4F75" w:rsidP="008F570D"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8F570D"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8F570D" w:rsidRDefault="002C4F75" w14:paraId="5BB8A166" w14:textId="77777777">
      <w:pPr>
        <w:jc w:val="center"/>
        <w:rPr>
          <w:rFonts w:ascii="Arial" w:hAnsi="Arial" w:cs="Arial"/>
        </w:rPr>
      </w:pPr>
    </w:p>
    <w:p w:rsidRPr="002C4F75" w:rsidR="002C4F75" w:rsidP="008F570D"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8F570D"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8F570D"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8F570D" w:rsidRDefault="002C4F75" w14:paraId="258A9347" w14:textId="77777777">
      <w:pPr>
        <w:jc w:val="center"/>
        <w:rPr>
          <w:rFonts w:ascii="Arial" w:hAnsi="Arial" w:cs="Arial"/>
        </w:rPr>
      </w:pPr>
    </w:p>
    <w:p w:rsidR="008F570D" w:rsidP="008F570D" w:rsidRDefault="008F570D" w14:paraId="27779EA1" w14:textId="77777777">
      <w:pPr>
        <w:spacing w:after="120"/>
        <w:rPr>
          <w:b/>
        </w:rPr>
      </w:pPr>
    </w:p>
    <w:p w:rsidR="008F570D" w:rsidP="008F570D" w:rsidRDefault="008F570D" w14:paraId="1E1C42E7" w14:textId="77777777">
      <w:pPr>
        <w:spacing w:after="120"/>
        <w:rPr>
          <w:b/>
        </w:rPr>
      </w:pPr>
    </w:p>
    <w:p w:rsidR="008F570D" w:rsidP="008F570D" w:rsidRDefault="008F570D" w14:paraId="4497812F" w14:textId="77777777">
      <w:pPr>
        <w:spacing w:after="120"/>
        <w:rPr>
          <w:b/>
        </w:rPr>
      </w:pPr>
    </w:p>
    <w:p w:rsidR="008F570D" w:rsidP="008F570D" w:rsidRDefault="008F570D" w14:paraId="5B392B3F" w14:textId="77777777">
      <w:pPr>
        <w:spacing w:after="120"/>
        <w:rPr>
          <w:b/>
        </w:rPr>
      </w:pPr>
    </w:p>
    <w:p w:rsidR="008F570D" w:rsidP="008F570D" w:rsidRDefault="008F570D" w14:paraId="2AF66C36" w14:textId="77777777">
      <w:pPr>
        <w:spacing w:after="120"/>
        <w:rPr>
          <w:b/>
        </w:rPr>
      </w:pPr>
    </w:p>
    <w:p w:rsidRPr="000D53DF" w:rsidR="00945CD6" w:rsidP="008F570D" w:rsidRDefault="00292B70" w14:paraId="63932BF7" w14:textId="08E1BD27">
      <w:pPr>
        <w:spacing w:after="120"/>
        <w:rPr>
          <w:b/>
        </w:rPr>
      </w:pPr>
      <w:r w:rsidRPr="000D53DF">
        <w:rPr>
          <w:b/>
        </w:rPr>
        <w:lastRenderedPageBreak/>
        <w:t xml:space="preserve">A1. </w:t>
      </w:r>
      <w:r w:rsidRPr="000D53DF" w:rsidR="00945CD6">
        <w:rPr>
          <w:b/>
        </w:rPr>
        <w:t>Necessity for the Data Collection</w:t>
      </w:r>
    </w:p>
    <w:p w:rsidR="00984CA2" w:rsidP="008F570D" w:rsidRDefault="00984CA2" w14:paraId="516D2FC4" w14:textId="0DDC7379">
      <w:pPr>
        <w:rPr>
          <w:sz w:val="22"/>
          <w:szCs w:val="22"/>
        </w:rPr>
      </w:pPr>
      <w:r w:rsidRPr="000517EA">
        <w:rPr>
          <w:sz w:val="22"/>
          <w:szCs w:val="22"/>
        </w:rPr>
        <w:t>The Administration for Children and Families (ACF) at the U.S. Department of Health and Human Services (HHS) seeks approval for</w:t>
      </w:r>
      <w:r w:rsidRPr="00A90E73" w:rsidR="00A90E73">
        <w:rPr>
          <w:sz w:val="22"/>
          <w:szCs w:val="22"/>
        </w:rPr>
        <w:t xml:space="preserve"> </w:t>
      </w:r>
      <w:r w:rsidR="008A4146">
        <w:rPr>
          <w:sz w:val="22"/>
          <w:szCs w:val="22"/>
        </w:rPr>
        <w:t xml:space="preserve">a </w:t>
      </w:r>
      <w:r w:rsidR="00D32B15">
        <w:rPr>
          <w:sz w:val="22"/>
          <w:szCs w:val="22"/>
        </w:rPr>
        <w:t xml:space="preserve">survey of </w:t>
      </w:r>
      <w:r w:rsidR="00D05244">
        <w:rPr>
          <w:sz w:val="22"/>
          <w:szCs w:val="22"/>
        </w:rPr>
        <w:t xml:space="preserve">Services </w:t>
      </w:r>
      <w:r w:rsidR="00D32B15">
        <w:rPr>
          <w:sz w:val="22"/>
          <w:szCs w:val="22"/>
        </w:rPr>
        <w:t xml:space="preserve">for Survivors of Torture </w:t>
      </w:r>
      <w:r w:rsidR="00C61D89">
        <w:rPr>
          <w:sz w:val="22"/>
          <w:szCs w:val="22"/>
        </w:rPr>
        <w:t>(</w:t>
      </w:r>
      <w:proofErr w:type="gramStart"/>
      <w:r w:rsidR="00C61D89">
        <w:rPr>
          <w:sz w:val="22"/>
          <w:szCs w:val="22"/>
        </w:rPr>
        <w:t xml:space="preserve">SOT) </w:t>
      </w:r>
      <w:r w:rsidR="00B3503B">
        <w:rPr>
          <w:sz w:val="22"/>
          <w:szCs w:val="22"/>
        </w:rPr>
        <w:t xml:space="preserve"> </w:t>
      </w:r>
      <w:r w:rsidR="00D32B15">
        <w:rPr>
          <w:sz w:val="22"/>
          <w:szCs w:val="22"/>
        </w:rPr>
        <w:t>recipients</w:t>
      </w:r>
      <w:proofErr w:type="gramEnd"/>
      <w:r w:rsidR="00D32B15">
        <w:rPr>
          <w:sz w:val="22"/>
          <w:szCs w:val="22"/>
        </w:rPr>
        <w:t xml:space="preserve"> to </w:t>
      </w:r>
      <w:r w:rsidRPr="00A90E73" w:rsidR="00A90E73">
        <w:rPr>
          <w:sz w:val="22"/>
          <w:szCs w:val="22"/>
        </w:rPr>
        <w:t>assess the</w:t>
      </w:r>
      <w:r w:rsidR="00BC5BC8">
        <w:rPr>
          <w:sz w:val="22"/>
          <w:szCs w:val="22"/>
        </w:rPr>
        <w:t>ir</w:t>
      </w:r>
      <w:r w:rsidRPr="00A90E73" w:rsidR="00A90E73">
        <w:rPr>
          <w:sz w:val="22"/>
          <w:szCs w:val="22"/>
        </w:rPr>
        <w:t xml:space="preserve"> </w:t>
      </w:r>
      <w:r w:rsidR="00FC0215">
        <w:rPr>
          <w:sz w:val="22"/>
          <w:szCs w:val="22"/>
        </w:rPr>
        <w:t xml:space="preserve">capacity </w:t>
      </w:r>
      <w:r w:rsidR="00D322A6">
        <w:rPr>
          <w:sz w:val="22"/>
          <w:szCs w:val="22"/>
        </w:rPr>
        <w:t>fo</w:t>
      </w:r>
      <w:r w:rsidR="00BC5BC8">
        <w:rPr>
          <w:sz w:val="22"/>
          <w:szCs w:val="22"/>
        </w:rPr>
        <w:t>r</w:t>
      </w:r>
      <w:r w:rsidR="00204967">
        <w:rPr>
          <w:sz w:val="22"/>
          <w:szCs w:val="22"/>
        </w:rPr>
        <w:t xml:space="preserve"> providing</w:t>
      </w:r>
      <w:r w:rsidR="001C2CEE">
        <w:rPr>
          <w:sz w:val="22"/>
          <w:szCs w:val="22"/>
        </w:rPr>
        <w:t xml:space="preserve"> </w:t>
      </w:r>
      <w:r w:rsidRPr="00A90E73" w:rsidR="00A90E73">
        <w:rPr>
          <w:sz w:val="22"/>
          <w:szCs w:val="22"/>
        </w:rPr>
        <w:t>medical care</w:t>
      </w:r>
      <w:r w:rsidR="008A4146">
        <w:rPr>
          <w:sz w:val="22"/>
          <w:szCs w:val="22"/>
        </w:rPr>
        <w:t xml:space="preserve"> </w:t>
      </w:r>
      <w:r w:rsidR="00E6055C">
        <w:rPr>
          <w:sz w:val="22"/>
          <w:szCs w:val="22"/>
        </w:rPr>
        <w:t xml:space="preserve">to </w:t>
      </w:r>
      <w:r w:rsidRPr="00A90E73" w:rsidR="00A90E73">
        <w:rPr>
          <w:sz w:val="22"/>
          <w:szCs w:val="22"/>
        </w:rPr>
        <w:t>torture survivors</w:t>
      </w:r>
      <w:r w:rsidR="00853264">
        <w:rPr>
          <w:sz w:val="22"/>
          <w:szCs w:val="22"/>
        </w:rPr>
        <w:t xml:space="preserve"> and</w:t>
      </w:r>
      <w:r w:rsidR="00E6055C">
        <w:rPr>
          <w:sz w:val="22"/>
          <w:szCs w:val="22"/>
        </w:rPr>
        <w:t xml:space="preserve"> to identify</w:t>
      </w:r>
      <w:r w:rsidR="00853264">
        <w:rPr>
          <w:sz w:val="22"/>
          <w:szCs w:val="22"/>
        </w:rPr>
        <w:t xml:space="preserve"> technical assistance and training needs of recipients to strengthen and expand this capacity.</w:t>
      </w:r>
      <w:r w:rsidR="008A4146">
        <w:rPr>
          <w:sz w:val="22"/>
          <w:szCs w:val="22"/>
        </w:rPr>
        <w:t xml:space="preserve">  </w:t>
      </w:r>
    </w:p>
    <w:p w:rsidRPr="008F570D" w:rsidR="00893F85" w:rsidP="008F570D" w:rsidRDefault="00893F85" w14:paraId="199B0F5C" w14:textId="77777777">
      <w:pPr>
        <w:rPr>
          <w:sz w:val="22"/>
          <w:szCs w:val="22"/>
        </w:rPr>
      </w:pPr>
    </w:p>
    <w:p w:rsidRPr="008F570D" w:rsidR="00984BBF" w:rsidP="00D26996" w:rsidRDefault="00984BBF" w14:paraId="593F740E" w14:textId="77777777">
      <w:pPr>
        <w:pStyle w:val="Heading4"/>
        <w:numPr>
          <w:ilvl w:val="3"/>
          <w:numId w:val="0"/>
        </w:numPr>
        <w:tabs>
          <w:tab w:val="num" w:pos="180"/>
        </w:tabs>
        <w:spacing w:before="0" w:after="0" w:line="264" w:lineRule="auto"/>
        <w:rPr>
          <w:rFonts w:ascii="Times New Roman" w:hAnsi="Times New Roman"/>
          <w:b w:val="0"/>
          <w:sz w:val="22"/>
          <w:szCs w:val="24"/>
        </w:rPr>
      </w:pPr>
      <w:r w:rsidRPr="008F570D">
        <w:rPr>
          <w:rFonts w:ascii="Times New Roman" w:hAnsi="Times New Roman"/>
          <w:b w:val="0"/>
          <w:sz w:val="22"/>
          <w:szCs w:val="24"/>
        </w:rPr>
        <w:t xml:space="preserve">This proposed information collection meets the following goals of ACF’s generic clearance for formative data collections for program support (0970-0531): </w:t>
      </w:r>
    </w:p>
    <w:p w:rsidR="004B6298" w:rsidP="004A616E" w:rsidRDefault="00984BBF" w14:paraId="66FBDB44" w14:textId="14132580">
      <w:pPr>
        <w:pStyle w:val="ListParagraph"/>
        <w:numPr>
          <w:ilvl w:val="0"/>
          <w:numId w:val="18"/>
        </w:numPr>
        <w:ind w:left="720"/>
        <w:rPr>
          <w:sz w:val="22"/>
          <w:szCs w:val="22"/>
        </w:rPr>
      </w:pPr>
      <w:r w:rsidRPr="004A616E">
        <w:rPr>
          <w:sz w:val="22"/>
          <w:szCs w:val="22"/>
        </w:rPr>
        <w:t xml:space="preserve">Delivery of targeted assistance related to program </w:t>
      </w:r>
      <w:r w:rsidRPr="004A616E" w:rsidR="00CF2156">
        <w:rPr>
          <w:sz w:val="22"/>
          <w:szCs w:val="22"/>
        </w:rPr>
        <w:t xml:space="preserve">development, </w:t>
      </w:r>
      <w:r w:rsidRPr="004A616E">
        <w:rPr>
          <w:sz w:val="22"/>
          <w:szCs w:val="22"/>
        </w:rPr>
        <w:t>implementation</w:t>
      </w:r>
      <w:r w:rsidRPr="004A616E" w:rsidR="00CF2156">
        <w:rPr>
          <w:sz w:val="22"/>
          <w:szCs w:val="22"/>
        </w:rPr>
        <w:t>, and refinement of</w:t>
      </w:r>
      <w:r w:rsidRPr="004A616E" w:rsidR="00620C7F">
        <w:rPr>
          <w:sz w:val="22"/>
          <w:szCs w:val="22"/>
        </w:rPr>
        <w:t xml:space="preserve"> medical care</w:t>
      </w:r>
      <w:r w:rsidRPr="00827C1D" w:rsidR="00D65BEA">
        <w:rPr>
          <w:sz w:val="22"/>
          <w:szCs w:val="22"/>
        </w:rPr>
        <w:t xml:space="preserve">.  </w:t>
      </w:r>
      <w:r w:rsidRPr="004A616E">
        <w:rPr>
          <w:sz w:val="22"/>
          <w:szCs w:val="22"/>
        </w:rPr>
        <w:t xml:space="preserve"> </w:t>
      </w:r>
    </w:p>
    <w:p w:rsidRPr="00AF1F02" w:rsidR="00984BBF" w:rsidP="004A616E" w:rsidRDefault="004B6298" w14:paraId="20C95F35" w14:textId="33DED777">
      <w:pPr>
        <w:pStyle w:val="ListParagraph"/>
        <w:numPr>
          <w:ilvl w:val="0"/>
          <w:numId w:val="18"/>
        </w:numPr>
        <w:ind w:left="720"/>
        <w:rPr>
          <w:sz w:val="22"/>
          <w:szCs w:val="22"/>
        </w:rPr>
      </w:pPr>
      <w:r>
        <w:rPr>
          <w:sz w:val="22"/>
          <w:szCs w:val="22"/>
        </w:rPr>
        <w:t>Pl</w:t>
      </w:r>
      <w:r w:rsidRPr="004A616E" w:rsidR="00984BBF">
        <w:rPr>
          <w:sz w:val="22"/>
          <w:szCs w:val="22"/>
        </w:rPr>
        <w:t>anning for provision of programmatic</w:t>
      </w:r>
      <w:r>
        <w:rPr>
          <w:sz w:val="22"/>
          <w:szCs w:val="22"/>
        </w:rPr>
        <w:t xml:space="preserve"> </w:t>
      </w:r>
      <w:r w:rsidR="0038723D">
        <w:rPr>
          <w:sz w:val="22"/>
          <w:szCs w:val="22"/>
        </w:rPr>
        <w:t xml:space="preserve">and clinical </w:t>
      </w:r>
      <w:r w:rsidRPr="004A616E" w:rsidR="00984BBF">
        <w:rPr>
          <w:sz w:val="22"/>
          <w:szCs w:val="22"/>
        </w:rPr>
        <w:t xml:space="preserve">training </w:t>
      </w:r>
      <w:r w:rsidR="00AF1F02">
        <w:rPr>
          <w:sz w:val="22"/>
          <w:szCs w:val="22"/>
        </w:rPr>
        <w:t xml:space="preserve">and </w:t>
      </w:r>
      <w:r w:rsidRPr="004A616E" w:rsidR="00984BBF">
        <w:rPr>
          <w:sz w:val="22"/>
          <w:szCs w:val="22"/>
        </w:rPr>
        <w:t>technical assistance (T/TA)</w:t>
      </w:r>
      <w:r w:rsidRPr="004A616E" w:rsidR="00F518C1">
        <w:rPr>
          <w:sz w:val="22"/>
          <w:szCs w:val="22"/>
        </w:rPr>
        <w:t xml:space="preserve"> </w:t>
      </w:r>
      <w:r w:rsidR="0038723D">
        <w:rPr>
          <w:sz w:val="22"/>
          <w:szCs w:val="22"/>
        </w:rPr>
        <w:t xml:space="preserve">related to </w:t>
      </w:r>
      <w:r w:rsidRPr="00AF1F02" w:rsidR="00F518C1">
        <w:rPr>
          <w:sz w:val="22"/>
          <w:szCs w:val="22"/>
        </w:rPr>
        <w:t>medical care</w:t>
      </w:r>
      <w:r w:rsidRPr="00AF1F02" w:rsidR="00984BBF">
        <w:rPr>
          <w:sz w:val="22"/>
          <w:szCs w:val="22"/>
        </w:rPr>
        <w:t>.</w:t>
      </w:r>
    </w:p>
    <w:p w:rsidRPr="008A4146" w:rsidR="00984BBF" w:rsidP="008F570D" w:rsidRDefault="00984BBF" w14:paraId="68564AA5" w14:textId="47A79DB1">
      <w:pPr>
        <w:pStyle w:val="ListParagraph"/>
        <w:numPr>
          <w:ilvl w:val="0"/>
          <w:numId w:val="18"/>
        </w:numPr>
        <w:ind w:left="720"/>
        <w:rPr>
          <w:sz w:val="22"/>
          <w:szCs w:val="22"/>
        </w:rPr>
      </w:pPr>
      <w:r w:rsidRPr="008A4146">
        <w:rPr>
          <w:sz w:val="22"/>
          <w:szCs w:val="22"/>
        </w:rPr>
        <w:t>Obtaining grantee or other stakeholder input on the development of program performance measures</w:t>
      </w:r>
      <w:r w:rsidR="00F518C1">
        <w:rPr>
          <w:sz w:val="22"/>
          <w:szCs w:val="22"/>
        </w:rPr>
        <w:t xml:space="preserve"> related to medical care</w:t>
      </w:r>
      <w:r w:rsidRPr="008A4146">
        <w:rPr>
          <w:sz w:val="22"/>
          <w:szCs w:val="22"/>
        </w:rPr>
        <w:t>.</w:t>
      </w:r>
    </w:p>
    <w:p w:rsidRPr="008A4146" w:rsidR="00984BBF" w:rsidP="008F570D" w:rsidRDefault="00984BBF" w14:paraId="64808EBF" w14:textId="52AD671B">
      <w:pPr>
        <w:pStyle w:val="ListParagraph"/>
        <w:numPr>
          <w:ilvl w:val="0"/>
          <w:numId w:val="18"/>
        </w:numPr>
        <w:ind w:left="720"/>
        <w:rPr>
          <w:sz w:val="22"/>
          <w:szCs w:val="22"/>
        </w:rPr>
      </w:pPr>
      <w:r w:rsidRPr="008A4146">
        <w:rPr>
          <w:sz w:val="22"/>
          <w:szCs w:val="22"/>
        </w:rPr>
        <w:t>Development of learning agendas and research priorities</w:t>
      </w:r>
      <w:r w:rsidR="00F518C1">
        <w:rPr>
          <w:sz w:val="22"/>
          <w:szCs w:val="22"/>
        </w:rPr>
        <w:t xml:space="preserve"> related to medical care</w:t>
      </w:r>
      <w:r w:rsidRPr="008A4146">
        <w:rPr>
          <w:sz w:val="22"/>
          <w:szCs w:val="22"/>
        </w:rPr>
        <w:t>.</w:t>
      </w:r>
    </w:p>
    <w:p w:rsidRPr="008A4146" w:rsidR="00984BBF" w:rsidP="008F570D" w:rsidRDefault="00984BBF" w14:paraId="32F118BE" w14:textId="77777777"/>
    <w:p w:rsidRPr="00177982" w:rsidR="00984CA2" w:rsidP="00DD509F" w:rsidRDefault="00984CA2" w14:paraId="34493FD2" w14:textId="3E4B5A1C">
      <w:pPr>
        <w:pStyle w:val="Heading4"/>
        <w:numPr>
          <w:ilvl w:val="3"/>
          <w:numId w:val="0"/>
        </w:numPr>
        <w:tabs>
          <w:tab w:val="num" w:pos="180"/>
          <w:tab w:val="center" w:pos="46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r w:rsidR="00DD509F">
        <w:rPr>
          <w:rFonts w:ascii="Times New Roman" w:hAnsi="Times New Roman"/>
          <w:i/>
          <w:sz w:val="24"/>
          <w:szCs w:val="24"/>
        </w:rPr>
        <w:tab/>
      </w:r>
    </w:p>
    <w:p w:rsidRPr="008A4146" w:rsidR="008F570D" w:rsidP="00350893" w:rsidRDefault="00BE2066" w14:paraId="0CBB58A8" w14:textId="0A72D7B3">
      <w:pPr>
        <w:pStyle w:val="Heading4"/>
        <w:numPr>
          <w:ilvl w:val="3"/>
          <w:numId w:val="0"/>
        </w:numPr>
        <w:tabs>
          <w:tab w:val="num" w:pos="180"/>
        </w:tabs>
        <w:spacing w:before="0" w:after="0" w:line="264" w:lineRule="auto"/>
        <w:rPr>
          <w:rFonts w:ascii="Times New Roman" w:hAnsi="Times New Roman"/>
          <w:b w:val="0"/>
          <w:bCs w:val="0"/>
          <w:iCs/>
          <w:sz w:val="22"/>
          <w:szCs w:val="22"/>
        </w:rPr>
      </w:pPr>
      <w:r w:rsidRPr="00BE2066">
        <w:rPr>
          <w:rFonts w:ascii="Times New Roman" w:hAnsi="Times New Roman"/>
          <w:b w:val="0"/>
          <w:bCs w:val="0"/>
          <w:iCs/>
          <w:sz w:val="22"/>
          <w:szCs w:val="22"/>
        </w:rPr>
        <w:t>In the United States, survivors of torture constitute an extremely vulnerable demographic cohort, especially after their arrival in the country as refugees and immigrants</w:t>
      </w:r>
      <w:r w:rsidR="00CB3B0A">
        <w:rPr>
          <w:rFonts w:ascii="Times New Roman" w:hAnsi="Times New Roman"/>
          <w:b w:val="0"/>
          <w:bCs w:val="0"/>
          <w:iCs/>
          <w:sz w:val="22"/>
          <w:szCs w:val="22"/>
        </w:rPr>
        <w:t xml:space="preserve">.  </w:t>
      </w:r>
      <w:r w:rsidRPr="00CB3B0A" w:rsidR="00CB3B0A">
        <w:rPr>
          <w:rFonts w:ascii="Times New Roman" w:hAnsi="Times New Roman"/>
          <w:b w:val="0"/>
          <w:bCs w:val="0"/>
          <w:iCs/>
          <w:sz w:val="22"/>
          <w:szCs w:val="22"/>
        </w:rPr>
        <w:t>Survivors may experience long lasting physical consequences of torture such as acute injury, infections, chronic pain, and exacerbations of chronic illness. Additionally, they may suffer from the psychological effects of torture, which include post-traumatic stress disorder, depression, and anxiety disorders.</w:t>
      </w:r>
      <w:r w:rsidR="00C018BC">
        <w:rPr>
          <w:rFonts w:ascii="Times New Roman" w:hAnsi="Times New Roman"/>
          <w:b w:val="0"/>
          <w:bCs w:val="0"/>
          <w:iCs/>
          <w:sz w:val="22"/>
          <w:szCs w:val="22"/>
        </w:rPr>
        <w:t xml:space="preserve"> </w:t>
      </w:r>
      <w:r w:rsidR="00067FE8">
        <w:rPr>
          <w:rFonts w:ascii="Times New Roman" w:hAnsi="Times New Roman"/>
          <w:b w:val="0"/>
          <w:bCs w:val="0"/>
          <w:iCs/>
          <w:sz w:val="22"/>
          <w:szCs w:val="22"/>
        </w:rPr>
        <w:t>Providing access to medical and mental health care</w:t>
      </w:r>
      <w:r w:rsidR="008C27A1">
        <w:rPr>
          <w:rFonts w:ascii="Times New Roman" w:hAnsi="Times New Roman"/>
          <w:b w:val="0"/>
          <w:bCs w:val="0"/>
          <w:iCs/>
          <w:sz w:val="22"/>
          <w:szCs w:val="22"/>
        </w:rPr>
        <w:t xml:space="preserve"> </w:t>
      </w:r>
      <w:r w:rsidR="003372C8">
        <w:rPr>
          <w:rFonts w:ascii="Times New Roman" w:hAnsi="Times New Roman"/>
          <w:b w:val="0"/>
          <w:bCs w:val="0"/>
          <w:iCs/>
          <w:sz w:val="22"/>
          <w:szCs w:val="22"/>
        </w:rPr>
        <w:t>is central</w:t>
      </w:r>
      <w:r w:rsidR="00E31C7F">
        <w:rPr>
          <w:rFonts w:ascii="Times New Roman" w:hAnsi="Times New Roman"/>
          <w:b w:val="0"/>
          <w:bCs w:val="0"/>
          <w:iCs/>
          <w:sz w:val="22"/>
          <w:szCs w:val="22"/>
        </w:rPr>
        <w:t xml:space="preserve"> to the healing and recovery process for torture survivors.  </w:t>
      </w:r>
      <w:r w:rsidR="00D7547F">
        <w:rPr>
          <w:rFonts w:ascii="Times New Roman" w:hAnsi="Times New Roman"/>
          <w:b w:val="0"/>
          <w:bCs w:val="0"/>
          <w:iCs/>
          <w:sz w:val="22"/>
          <w:szCs w:val="22"/>
        </w:rPr>
        <w:t xml:space="preserve">ORR requires </w:t>
      </w:r>
      <w:r w:rsidR="00B9653D">
        <w:rPr>
          <w:rFonts w:ascii="Times New Roman" w:hAnsi="Times New Roman"/>
          <w:b w:val="0"/>
          <w:bCs w:val="0"/>
          <w:iCs/>
          <w:sz w:val="22"/>
          <w:szCs w:val="22"/>
        </w:rPr>
        <w:t xml:space="preserve">SOT </w:t>
      </w:r>
      <w:r w:rsidR="00E06D37">
        <w:rPr>
          <w:rFonts w:ascii="Times New Roman" w:hAnsi="Times New Roman"/>
          <w:b w:val="0"/>
          <w:bCs w:val="0"/>
          <w:iCs/>
          <w:sz w:val="22"/>
          <w:szCs w:val="22"/>
        </w:rPr>
        <w:t>recipients</w:t>
      </w:r>
      <w:r w:rsidR="00B9653D">
        <w:rPr>
          <w:rFonts w:ascii="Times New Roman" w:hAnsi="Times New Roman"/>
          <w:b w:val="0"/>
          <w:bCs w:val="0"/>
          <w:iCs/>
          <w:sz w:val="22"/>
          <w:szCs w:val="22"/>
        </w:rPr>
        <w:t xml:space="preserve"> to provide </w:t>
      </w:r>
      <w:r w:rsidR="002C5063">
        <w:rPr>
          <w:rFonts w:ascii="Times New Roman" w:hAnsi="Times New Roman"/>
          <w:b w:val="0"/>
          <w:bCs w:val="0"/>
          <w:iCs/>
          <w:sz w:val="22"/>
          <w:szCs w:val="22"/>
        </w:rPr>
        <w:t>access to</w:t>
      </w:r>
      <w:r w:rsidR="00500FBA">
        <w:rPr>
          <w:rFonts w:ascii="Times New Roman" w:hAnsi="Times New Roman"/>
          <w:b w:val="0"/>
          <w:bCs w:val="0"/>
          <w:iCs/>
          <w:sz w:val="22"/>
          <w:szCs w:val="22"/>
        </w:rPr>
        <w:t xml:space="preserve"> medical care to </w:t>
      </w:r>
      <w:r w:rsidR="007753E8">
        <w:rPr>
          <w:rFonts w:ascii="Times New Roman" w:hAnsi="Times New Roman"/>
          <w:b w:val="0"/>
          <w:bCs w:val="0"/>
          <w:iCs/>
          <w:sz w:val="22"/>
          <w:szCs w:val="22"/>
        </w:rPr>
        <w:t>enrolled survivors</w:t>
      </w:r>
      <w:r w:rsidR="00500FBA">
        <w:rPr>
          <w:rFonts w:ascii="Times New Roman" w:hAnsi="Times New Roman"/>
          <w:b w:val="0"/>
          <w:bCs w:val="0"/>
          <w:iCs/>
          <w:sz w:val="22"/>
          <w:szCs w:val="22"/>
        </w:rPr>
        <w:t xml:space="preserve">.  </w:t>
      </w:r>
      <w:r w:rsidR="007753E8">
        <w:rPr>
          <w:rFonts w:ascii="Times New Roman" w:hAnsi="Times New Roman"/>
          <w:b w:val="0"/>
          <w:bCs w:val="0"/>
          <w:iCs/>
          <w:sz w:val="22"/>
          <w:szCs w:val="22"/>
        </w:rPr>
        <w:t xml:space="preserve">These services may be provided either directly by the recipient or indirectly through partner organizations.  </w:t>
      </w:r>
      <w:r w:rsidRPr="008A4146" w:rsidR="00F17B4C">
        <w:rPr>
          <w:rFonts w:ascii="Times New Roman" w:hAnsi="Times New Roman"/>
          <w:b w:val="0"/>
          <w:bCs w:val="0"/>
          <w:iCs/>
          <w:sz w:val="22"/>
          <w:szCs w:val="22"/>
        </w:rPr>
        <w:t xml:space="preserve">ORR’s Division of Refugee Health </w:t>
      </w:r>
      <w:r w:rsidR="00F17B4C">
        <w:rPr>
          <w:rFonts w:ascii="Times New Roman" w:hAnsi="Times New Roman"/>
          <w:b w:val="0"/>
          <w:bCs w:val="0"/>
          <w:iCs/>
          <w:sz w:val="22"/>
          <w:szCs w:val="22"/>
        </w:rPr>
        <w:t xml:space="preserve">created the Medical Task Force (MTF) to better understand and strengthen the capacity of SOT recipients to provide access to medical </w:t>
      </w:r>
      <w:r w:rsidR="00A33767">
        <w:rPr>
          <w:rFonts w:ascii="Times New Roman" w:hAnsi="Times New Roman"/>
          <w:b w:val="0"/>
          <w:bCs w:val="0"/>
          <w:iCs/>
          <w:sz w:val="22"/>
          <w:szCs w:val="22"/>
        </w:rPr>
        <w:t xml:space="preserve">and mental health </w:t>
      </w:r>
      <w:r w:rsidR="00F17B4C">
        <w:rPr>
          <w:rFonts w:ascii="Times New Roman" w:hAnsi="Times New Roman"/>
          <w:b w:val="0"/>
          <w:bCs w:val="0"/>
          <w:iCs/>
          <w:sz w:val="22"/>
          <w:szCs w:val="22"/>
        </w:rPr>
        <w:t xml:space="preserve">care for survivors.  </w:t>
      </w:r>
      <w:r w:rsidR="00E6055C">
        <w:rPr>
          <w:rFonts w:ascii="Times New Roman" w:hAnsi="Times New Roman"/>
          <w:b w:val="0"/>
          <w:bCs w:val="0"/>
          <w:iCs/>
          <w:sz w:val="22"/>
          <w:szCs w:val="22"/>
        </w:rPr>
        <w:t xml:space="preserve">This proposed information collection supports this effort. </w:t>
      </w:r>
    </w:p>
    <w:p w:rsidR="008F570D" w:rsidP="00350893" w:rsidRDefault="008F570D"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Pr="00177982" w:rsidR="00984CA2" w:rsidP="00350893" w:rsidRDefault="00984CA2"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8F570D" w:rsidRDefault="00EA12DE" w14:paraId="3BDF35B0" w14:textId="77777777">
      <w:r w:rsidRPr="00A114C5">
        <w:rPr>
          <w:sz w:val="22"/>
          <w:szCs w:val="22"/>
        </w:rPr>
        <w:t xml:space="preserve">There are no legal or administrative requirements that necessitate the collection. </w:t>
      </w:r>
      <w:r w:rsidRPr="00A114C5">
        <w:rPr>
          <w:sz w:val="22"/>
        </w:rPr>
        <w:t>ACF is undertaking the collection at the discretion of the agency.</w:t>
      </w:r>
    </w:p>
    <w:p w:rsidR="0020382F" w:rsidP="008F570D" w:rsidRDefault="0020382F" w14:paraId="7D1B72AE" w14:textId="77777777"/>
    <w:p w:rsidR="00D90EF6" w:rsidP="008F570D" w:rsidRDefault="00D90EF6" w14:paraId="210B83EF" w14:textId="77777777"/>
    <w:p w:rsidRPr="0072204D" w:rsidR="00945CD6" w:rsidP="008F570D" w:rsidRDefault="00292B70" w14:paraId="617B0354" w14:textId="77777777">
      <w:pPr>
        <w:spacing w:after="120"/>
        <w:rPr>
          <w:b/>
        </w:rPr>
      </w:pPr>
      <w:r>
        <w:rPr>
          <w:b/>
        </w:rPr>
        <w:t xml:space="preserve">A2. </w:t>
      </w:r>
      <w:r w:rsidRPr="0072204D" w:rsidR="00945CD6">
        <w:rPr>
          <w:b/>
        </w:rPr>
        <w:t>Purpose of Survey and Data Collection Procedures</w:t>
      </w:r>
    </w:p>
    <w:p w:rsidR="008F570D" w:rsidP="008F570D" w:rsidRDefault="00984CA2" w14:paraId="24636DF8" w14:textId="77777777">
      <w:pPr>
        <w:spacing w:after="60"/>
        <w:rPr>
          <w:b/>
          <w:i/>
        </w:rPr>
      </w:pPr>
      <w:r w:rsidRPr="00177982">
        <w:rPr>
          <w:b/>
          <w:i/>
        </w:rPr>
        <w:t xml:space="preserve">Overview of Purpose and </w:t>
      </w:r>
      <w:r w:rsidR="008F570D">
        <w:rPr>
          <w:b/>
          <w:i/>
        </w:rPr>
        <w:t>Use</w:t>
      </w:r>
    </w:p>
    <w:p w:rsidRPr="00AC109A" w:rsidR="008F570D" w:rsidP="00886AAE" w:rsidRDefault="000A3658" w14:paraId="320194E8" w14:textId="5D468F3E">
      <w:pPr>
        <w:pStyle w:val="Heading4"/>
        <w:numPr>
          <w:ilvl w:val="3"/>
          <w:numId w:val="0"/>
        </w:numPr>
        <w:tabs>
          <w:tab w:val="num" w:pos="180"/>
        </w:tabs>
        <w:spacing w:before="0" w:after="0" w:line="264" w:lineRule="auto"/>
        <w:rPr>
          <w:b w:val="0"/>
          <w:iCs/>
        </w:rPr>
      </w:pPr>
      <w:r>
        <w:rPr>
          <w:rFonts w:ascii="Times New Roman" w:hAnsi="Times New Roman"/>
          <w:b w:val="0"/>
          <w:bCs w:val="0"/>
          <w:iCs/>
          <w:sz w:val="22"/>
          <w:szCs w:val="22"/>
        </w:rPr>
        <w:t xml:space="preserve">The MTF developed a survey to identify </w:t>
      </w:r>
      <w:r w:rsidR="00885622">
        <w:rPr>
          <w:rFonts w:ascii="Times New Roman" w:hAnsi="Times New Roman"/>
          <w:b w:val="0"/>
          <w:bCs w:val="0"/>
          <w:iCs/>
          <w:sz w:val="22"/>
          <w:szCs w:val="22"/>
        </w:rPr>
        <w:t xml:space="preserve">the </w:t>
      </w:r>
      <w:r>
        <w:rPr>
          <w:rFonts w:ascii="Times New Roman" w:hAnsi="Times New Roman"/>
          <w:b w:val="0"/>
          <w:bCs w:val="0"/>
          <w:iCs/>
          <w:sz w:val="22"/>
          <w:szCs w:val="22"/>
        </w:rPr>
        <w:t xml:space="preserve">current medical care </w:t>
      </w:r>
      <w:r w:rsidR="009032AD">
        <w:rPr>
          <w:rFonts w:ascii="Times New Roman" w:hAnsi="Times New Roman"/>
          <w:b w:val="0"/>
          <w:bCs w:val="0"/>
          <w:iCs/>
          <w:sz w:val="22"/>
          <w:szCs w:val="22"/>
        </w:rPr>
        <w:t xml:space="preserve">capacity </w:t>
      </w:r>
      <w:r w:rsidR="00885622">
        <w:rPr>
          <w:rFonts w:ascii="Times New Roman" w:hAnsi="Times New Roman"/>
          <w:b w:val="0"/>
          <w:bCs w:val="0"/>
          <w:iCs/>
          <w:sz w:val="22"/>
          <w:szCs w:val="22"/>
        </w:rPr>
        <w:t xml:space="preserve">of </w:t>
      </w:r>
      <w:r w:rsidR="009E7697">
        <w:rPr>
          <w:rFonts w:ascii="Times New Roman" w:hAnsi="Times New Roman"/>
          <w:b w:val="0"/>
          <w:bCs w:val="0"/>
          <w:iCs/>
          <w:sz w:val="22"/>
          <w:szCs w:val="22"/>
        </w:rPr>
        <w:t xml:space="preserve">SOT recipients and </w:t>
      </w:r>
      <w:r w:rsidR="00313786">
        <w:rPr>
          <w:rFonts w:ascii="Times New Roman" w:hAnsi="Times New Roman"/>
          <w:b w:val="0"/>
          <w:bCs w:val="0"/>
          <w:iCs/>
          <w:sz w:val="22"/>
          <w:szCs w:val="22"/>
        </w:rPr>
        <w:t>to better understand how to</w:t>
      </w:r>
      <w:r w:rsidR="006C769C">
        <w:rPr>
          <w:rFonts w:ascii="Times New Roman" w:hAnsi="Times New Roman"/>
          <w:b w:val="0"/>
          <w:bCs w:val="0"/>
          <w:iCs/>
          <w:sz w:val="22"/>
          <w:szCs w:val="22"/>
        </w:rPr>
        <w:t xml:space="preserve"> increase </w:t>
      </w:r>
      <w:r w:rsidR="00313786">
        <w:rPr>
          <w:rFonts w:ascii="Times New Roman" w:hAnsi="Times New Roman"/>
          <w:b w:val="0"/>
          <w:bCs w:val="0"/>
          <w:iCs/>
          <w:sz w:val="22"/>
          <w:szCs w:val="22"/>
        </w:rPr>
        <w:t>this capacity</w:t>
      </w:r>
      <w:r>
        <w:rPr>
          <w:rFonts w:ascii="Times New Roman" w:hAnsi="Times New Roman"/>
          <w:b w:val="0"/>
          <w:bCs w:val="0"/>
          <w:iCs/>
          <w:sz w:val="22"/>
          <w:szCs w:val="22"/>
        </w:rPr>
        <w:t>. The MTF wi</w:t>
      </w:r>
      <w:r w:rsidR="00752FFB">
        <w:rPr>
          <w:rFonts w:ascii="Times New Roman" w:hAnsi="Times New Roman"/>
          <w:b w:val="0"/>
          <w:bCs w:val="0"/>
          <w:iCs/>
          <w:sz w:val="22"/>
          <w:szCs w:val="22"/>
        </w:rPr>
        <w:t xml:space="preserve">ll </w:t>
      </w:r>
      <w:r w:rsidR="003F5B80">
        <w:rPr>
          <w:rFonts w:ascii="Times New Roman" w:hAnsi="Times New Roman"/>
          <w:b w:val="0"/>
          <w:bCs w:val="0"/>
          <w:iCs/>
          <w:sz w:val="22"/>
          <w:szCs w:val="22"/>
        </w:rPr>
        <w:t xml:space="preserve">use the </w:t>
      </w:r>
      <w:r w:rsidR="00E25C0D">
        <w:rPr>
          <w:rFonts w:ascii="Times New Roman" w:hAnsi="Times New Roman"/>
          <w:b w:val="0"/>
          <w:bCs w:val="0"/>
          <w:iCs/>
          <w:sz w:val="22"/>
          <w:szCs w:val="22"/>
        </w:rPr>
        <w:t xml:space="preserve">information </w:t>
      </w:r>
      <w:r w:rsidR="00886AAE">
        <w:rPr>
          <w:rFonts w:ascii="Times New Roman" w:hAnsi="Times New Roman"/>
          <w:b w:val="0"/>
          <w:bCs w:val="0"/>
          <w:iCs/>
          <w:sz w:val="22"/>
          <w:szCs w:val="22"/>
        </w:rPr>
        <w:t xml:space="preserve">in </w:t>
      </w:r>
      <w:r w:rsidR="003F5B80">
        <w:rPr>
          <w:rFonts w:ascii="Times New Roman" w:hAnsi="Times New Roman"/>
          <w:b w:val="0"/>
          <w:bCs w:val="0"/>
          <w:iCs/>
          <w:sz w:val="22"/>
          <w:szCs w:val="22"/>
        </w:rPr>
        <w:t xml:space="preserve">the survey to </w:t>
      </w:r>
      <w:r w:rsidR="006563FA">
        <w:rPr>
          <w:rFonts w:ascii="Times New Roman" w:hAnsi="Times New Roman"/>
          <w:b w:val="0"/>
          <w:bCs w:val="0"/>
          <w:iCs/>
          <w:sz w:val="22"/>
          <w:szCs w:val="22"/>
        </w:rPr>
        <w:t xml:space="preserve">make recommendations to ORR on ways </w:t>
      </w:r>
      <w:r>
        <w:rPr>
          <w:rFonts w:ascii="Times New Roman" w:hAnsi="Times New Roman"/>
          <w:b w:val="0"/>
          <w:bCs w:val="0"/>
          <w:iCs/>
          <w:sz w:val="22"/>
          <w:szCs w:val="22"/>
        </w:rPr>
        <w:t xml:space="preserve">standardize and </w:t>
      </w:r>
      <w:r w:rsidRPr="008A4146">
        <w:rPr>
          <w:rFonts w:ascii="Times New Roman" w:hAnsi="Times New Roman"/>
          <w:b w:val="0"/>
          <w:bCs w:val="0"/>
          <w:iCs/>
          <w:sz w:val="22"/>
          <w:szCs w:val="22"/>
        </w:rPr>
        <w:t xml:space="preserve">improve </w:t>
      </w:r>
      <w:r w:rsidR="00FE084D">
        <w:rPr>
          <w:rFonts w:ascii="Times New Roman" w:hAnsi="Times New Roman"/>
          <w:b w:val="0"/>
          <w:bCs w:val="0"/>
          <w:iCs/>
          <w:sz w:val="22"/>
          <w:szCs w:val="22"/>
        </w:rPr>
        <w:t>access to medical care</w:t>
      </w:r>
      <w:r>
        <w:rPr>
          <w:rFonts w:ascii="Times New Roman" w:hAnsi="Times New Roman"/>
          <w:b w:val="0"/>
          <w:bCs w:val="0"/>
          <w:iCs/>
          <w:sz w:val="22"/>
          <w:szCs w:val="22"/>
        </w:rPr>
        <w:t xml:space="preserve"> across programs.</w:t>
      </w:r>
      <w:r w:rsidR="00E6055C">
        <w:rPr>
          <w:rFonts w:ascii="Times New Roman" w:hAnsi="Times New Roman"/>
          <w:b w:val="0"/>
          <w:bCs w:val="0"/>
          <w:iCs/>
          <w:sz w:val="22"/>
          <w:szCs w:val="22"/>
        </w:rPr>
        <w:t xml:space="preserve"> ORR expects to use the information for program planning, provision of T/TA, and potentially may share disaggregated information with SOT programs and other stakeholders to share lessons learned or contextualize </w:t>
      </w:r>
      <w:r w:rsidR="00D01AA6">
        <w:rPr>
          <w:rFonts w:ascii="Times New Roman" w:hAnsi="Times New Roman"/>
          <w:b w:val="0"/>
          <w:bCs w:val="0"/>
          <w:iCs/>
          <w:sz w:val="22"/>
          <w:szCs w:val="22"/>
        </w:rPr>
        <w:t xml:space="preserve">T/TA or program updates. </w:t>
      </w:r>
      <w:r w:rsidR="00E6055C">
        <w:rPr>
          <w:rFonts w:ascii="Times New Roman" w:hAnsi="Times New Roman"/>
          <w:b w:val="0"/>
          <w:bCs w:val="0"/>
          <w:iCs/>
          <w:sz w:val="22"/>
          <w:szCs w:val="22"/>
        </w:rPr>
        <w:t xml:space="preserve"> </w:t>
      </w:r>
    </w:p>
    <w:p w:rsidR="008F570D" w:rsidP="00EE3AD0" w:rsidRDefault="008F570D" w14:paraId="75C799A6" w14:textId="77777777">
      <w:pPr>
        <w:rPr>
          <w:b/>
          <w:i/>
        </w:rPr>
      </w:pPr>
    </w:p>
    <w:p w:rsidRPr="00177982" w:rsidR="00984CA2" w:rsidP="008F570D" w:rsidRDefault="008F570D" w14:paraId="473B9418" w14:textId="6590E7ED">
      <w:pPr>
        <w:spacing w:after="60"/>
        <w:rPr>
          <w:b/>
          <w:i/>
        </w:rPr>
      </w:pPr>
      <w:r>
        <w:rPr>
          <w:b/>
          <w:i/>
        </w:rPr>
        <w:lastRenderedPageBreak/>
        <w:t>Process</w:t>
      </w:r>
      <w:r w:rsidR="003277CF">
        <w:rPr>
          <w:b/>
          <w:i/>
        </w:rPr>
        <w:t>es</w:t>
      </w:r>
      <w:r>
        <w:rPr>
          <w:b/>
          <w:i/>
        </w:rPr>
        <w:t xml:space="preserve"> for Information Collection </w:t>
      </w:r>
    </w:p>
    <w:p w:rsidR="00D90EF6" w:rsidP="008F570D" w:rsidRDefault="005E4FB2" w14:paraId="352753BD" w14:textId="20F1AF9C">
      <w:r>
        <w:t>T</w:t>
      </w:r>
      <w:r w:rsidR="00746BEA">
        <w:t xml:space="preserve">he </w:t>
      </w:r>
      <w:r w:rsidR="00346CDF">
        <w:t>M</w:t>
      </w:r>
      <w:r w:rsidR="00746BEA">
        <w:t xml:space="preserve">TF </w:t>
      </w:r>
      <w:r w:rsidR="00346CDF">
        <w:t xml:space="preserve">will email the survey to </w:t>
      </w:r>
      <w:r w:rsidR="00F75643">
        <w:t xml:space="preserve">the 35 SOT </w:t>
      </w:r>
      <w:r w:rsidR="00BA113D">
        <w:t xml:space="preserve">programs.  One person from each program will complete the online survey using the link in the email. </w:t>
      </w:r>
      <w:r w:rsidR="004C4E21">
        <w:t xml:space="preserve"> </w:t>
      </w:r>
      <w:r w:rsidR="00BA113D">
        <w:t xml:space="preserve">They will have the option to download a copy of the survey to </w:t>
      </w:r>
      <w:r w:rsidR="0087178D">
        <w:t xml:space="preserve">use for </w:t>
      </w:r>
      <w:r w:rsidR="00BA113D">
        <w:t xml:space="preserve">gathering information </w:t>
      </w:r>
      <w:r w:rsidR="0087178D">
        <w:t xml:space="preserve">before completing </w:t>
      </w:r>
      <w:r w:rsidR="001364F2">
        <w:t xml:space="preserve">the survey online.  </w:t>
      </w:r>
    </w:p>
    <w:p w:rsidR="002338AC" w:rsidP="008F570D" w:rsidRDefault="002338AC" w14:paraId="40C43AD9" w14:textId="77777777">
      <w:pPr>
        <w:ind w:left="180"/>
        <w:rPr>
          <w:b/>
          <w:i/>
        </w:rPr>
      </w:pPr>
    </w:p>
    <w:p w:rsidRPr="0072204D" w:rsidR="00945CD6" w:rsidP="008F570D" w:rsidRDefault="00292B70" w14:paraId="49EEF137" w14:textId="77777777">
      <w:pPr>
        <w:spacing w:after="120"/>
        <w:rPr>
          <w:b/>
        </w:rPr>
      </w:pPr>
      <w:r>
        <w:rPr>
          <w:b/>
        </w:rPr>
        <w:t xml:space="preserve">A3. </w:t>
      </w:r>
      <w:r w:rsidRPr="0072204D" w:rsidR="00945CD6">
        <w:rPr>
          <w:b/>
        </w:rPr>
        <w:t>Improved Information Technology to Reduce Burden</w:t>
      </w:r>
    </w:p>
    <w:p w:rsidR="00D90EF6" w:rsidP="008F570D" w:rsidRDefault="008F19A7" w14:paraId="6EA8B500" w14:textId="6556E263">
      <w:r>
        <w:t>The</w:t>
      </w:r>
      <w:r w:rsidR="000E4E23">
        <w:t xml:space="preserve"> survey is electronic and can be taken on any devi</w:t>
      </w:r>
      <w:r w:rsidR="00171616">
        <w:t xml:space="preserve">ce including </w:t>
      </w:r>
      <w:r w:rsidR="009309EC">
        <w:t xml:space="preserve">a </w:t>
      </w:r>
      <w:r w:rsidR="00171616">
        <w:t>laptop, cell phone, or tablet.   R</w:t>
      </w:r>
      <w:r w:rsidRPr="00171616" w:rsidR="00171616">
        <w:t>esponses are automatically saved after each page is completed</w:t>
      </w:r>
      <w:r w:rsidR="001D723D">
        <w:t xml:space="preserve"> (after clicking the “Next” button)</w:t>
      </w:r>
      <w:r w:rsidRPr="00171616" w:rsidR="00171616">
        <w:t xml:space="preserve">. </w:t>
      </w:r>
      <w:r w:rsidR="00171616">
        <w:t xml:space="preserve"> Participants </w:t>
      </w:r>
      <w:r w:rsidRPr="00171616" w:rsidR="00171616">
        <w:t>may change a response by clicking t</w:t>
      </w:r>
      <w:r w:rsidR="001D723D">
        <w:t>he</w:t>
      </w:r>
      <w:r w:rsidRPr="00171616" w:rsidR="00171616">
        <w:t xml:space="preserve"> </w:t>
      </w:r>
      <w:r w:rsidR="001D723D">
        <w:t>“</w:t>
      </w:r>
      <w:r w:rsidRPr="00171616" w:rsidR="00171616">
        <w:t>BACK</w:t>
      </w:r>
      <w:r w:rsidR="001D723D">
        <w:t>” button</w:t>
      </w:r>
      <w:r w:rsidR="00671071">
        <w:t>, and t</w:t>
      </w:r>
      <w:r w:rsidR="001D723D">
        <w:t>hen click</w:t>
      </w:r>
      <w:r w:rsidR="00671071">
        <w:t>ing</w:t>
      </w:r>
      <w:r w:rsidRPr="00171616" w:rsidR="00171616">
        <w:t xml:space="preserve"> </w:t>
      </w:r>
      <w:r w:rsidR="00671071">
        <w:t>“</w:t>
      </w:r>
      <w:r w:rsidRPr="00171616" w:rsidR="00171616">
        <w:t>NEXT</w:t>
      </w:r>
      <w:r w:rsidR="00671071">
        <w:t>”</w:t>
      </w:r>
      <w:r w:rsidRPr="00171616" w:rsidR="00171616">
        <w:t xml:space="preserve"> button to advance to the next page.  </w:t>
      </w:r>
      <w:r w:rsidR="00171616">
        <w:t xml:space="preserve"> </w:t>
      </w:r>
    </w:p>
    <w:p w:rsidR="00D90EF6" w:rsidP="008F570D" w:rsidRDefault="00D90EF6" w14:paraId="5934C206" w14:textId="77777777"/>
    <w:p w:rsidR="005046F0" w:rsidP="008F570D" w:rsidRDefault="005046F0" w14:paraId="5804584A" w14:textId="77777777">
      <w:pPr>
        <w:ind w:left="360"/>
      </w:pPr>
    </w:p>
    <w:p w:rsidRPr="0072204D" w:rsidR="00945CD6" w:rsidP="008F570D" w:rsidRDefault="00292B70" w14:paraId="39BBEF3E" w14:textId="77777777">
      <w:pPr>
        <w:spacing w:after="120"/>
        <w:rPr>
          <w:b/>
        </w:rPr>
      </w:pPr>
      <w:r>
        <w:rPr>
          <w:b/>
        </w:rPr>
        <w:t xml:space="preserve">A4. </w:t>
      </w:r>
      <w:r w:rsidRPr="0072204D" w:rsidR="00945CD6">
        <w:rPr>
          <w:b/>
        </w:rPr>
        <w:t>Efforts to Identify Duplication</w:t>
      </w:r>
    </w:p>
    <w:p w:rsidR="00A114C5" w:rsidP="008F570D" w:rsidRDefault="00A114C5" w14:paraId="2F609489" w14:textId="7C3117A8">
      <w:pPr>
        <w:rPr>
          <w:sz w:val="22"/>
          <w:szCs w:val="22"/>
        </w:rPr>
      </w:pPr>
      <w:r w:rsidRPr="00A114C5">
        <w:rPr>
          <w:sz w:val="22"/>
          <w:szCs w:val="22"/>
        </w:rPr>
        <w:t xml:space="preserve">There are currently no </w:t>
      </w:r>
      <w:r w:rsidR="007F52E7">
        <w:rPr>
          <w:sz w:val="22"/>
          <w:szCs w:val="22"/>
        </w:rPr>
        <w:t>standard surveys w</w:t>
      </w:r>
      <w:r w:rsidRPr="00A114C5">
        <w:rPr>
          <w:sz w:val="22"/>
          <w:szCs w:val="22"/>
        </w:rPr>
        <w:t xml:space="preserve">ithin the DS SOT program </w:t>
      </w:r>
      <w:r w:rsidR="007F52E7">
        <w:rPr>
          <w:sz w:val="22"/>
          <w:szCs w:val="22"/>
        </w:rPr>
        <w:t xml:space="preserve">to </w:t>
      </w:r>
      <w:r>
        <w:rPr>
          <w:sz w:val="22"/>
          <w:szCs w:val="22"/>
        </w:rPr>
        <w:t xml:space="preserve">collect </w:t>
      </w:r>
      <w:r w:rsidR="007F52E7">
        <w:rPr>
          <w:sz w:val="22"/>
          <w:szCs w:val="22"/>
        </w:rPr>
        <w:t xml:space="preserve">specific </w:t>
      </w:r>
      <w:r>
        <w:rPr>
          <w:sz w:val="22"/>
          <w:szCs w:val="22"/>
        </w:rPr>
        <w:t xml:space="preserve">information </w:t>
      </w:r>
      <w:r w:rsidR="00E6055C">
        <w:rPr>
          <w:sz w:val="22"/>
          <w:szCs w:val="22"/>
        </w:rPr>
        <w:t xml:space="preserve">about the </w:t>
      </w:r>
      <w:r w:rsidRPr="00A114C5">
        <w:rPr>
          <w:sz w:val="22"/>
          <w:szCs w:val="22"/>
        </w:rPr>
        <w:t xml:space="preserve">medical </w:t>
      </w:r>
      <w:r w:rsidR="00E6055C">
        <w:rPr>
          <w:sz w:val="22"/>
          <w:szCs w:val="22"/>
        </w:rPr>
        <w:t>care capacity</w:t>
      </w:r>
      <w:r w:rsidRPr="00A114C5">
        <w:rPr>
          <w:sz w:val="22"/>
          <w:szCs w:val="22"/>
        </w:rPr>
        <w:t xml:space="preserve"> a</w:t>
      </w:r>
      <w:r>
        <w:rPr>
          <w:sz w:val="22"/>
          <w:szCs w:val="22"/>
        </w:rPr>
        <w:t>mong the 35 recipients.  Each recipient provide</w:t>
      </w:r>
      <w:r w:rsidR="007F52E7">
        <w:rPr>
          <w:sz w:val="22"/>
          <w:szCs w:val="22"/>
        </w:rPr>
        <w:t>s</w:t>
      </w:r>
      <w:r>
        <w:rPr>
          <w:sz w:val="22"/>
          <w:szCs w:val="22"/>
        </w:rPr>
        <w:t xml:space="preserve"> </w:t>
      </w:r>
      <w:r w:rsidR="007F52E7">
        <w:rPr>
          <w:sz w:val="22"/>
          <w:szCs w:val="22"/>
        </w:rPr>
        <w:t xml:space="preserve">narrative </w:t>
      </w:r>
      <w:r>
        <w:rPr>
          <w:sz w:val="22"/>
          <w:szCs w:val="22"/>
        </w:rPr>
        <w:t xml:space="preserve">updates on their </w:t>
      </w:r>
      <w:r w:rsidR="007F52E7">
        <w:rPr>
          <w:sz w:val="22"/>
          <w:szCs w:val="22"/>
        </w:rPr>
        <w:t xml:space="preserve">individual </w:t>
      </w:r>
      <w:r>
        <w:rPr>
          <w:sz w:val="22"/>
          <w:szCs w:val="22"/>
        </w:rPr>
        <w:t>logic model and service delivery model through the semi-annual ACF Performance Progress Report (PPR)</w:t>
      </w:r>
      <w:r w:rsidR="00E6055C">
        <w:rPr>
          <w:sz w:val="22"/>
          <w:szCs w:val="22"/>
        </w:rPr>
        <w:t xml:space="preserve"> (OMB #0970-0406)</w:t>
      </w:r>
      <w:r>
        <w:rPr>
          <w:sz w:val="22"/>
          <w:szCs w:val="22"/>
        </w:rPr>
        <w:t xml:space="preserve">.  </w:t>
      </w:r>
      <w:r w:rsidR="00C24F59">
        <w:rPr>
          <w:sz w:val="22"/>
          <w:szCs w:val="22"/>
        </w:rPr>
        <w:t xml:space="preserve">ORR also collects annual program-level data points which include </w:t>
      </w:r>
      <w:r w:rsidR="007F52E7">
        <w:rPr>
          <w:sz w:val="22"/>
          <w:szCs w:val="22"/>
        </w:rPr>
        <w:t xml:space="preserve">the number of clients that request and receive medical services, and a summary of changes in the level of </w:t>
      </w:r>
      <w:r w:rsidR="008335AC">
        <w:rPr>
          <w:sz w:val="22"/>
          <w:szCs w:val="22"/>
        </w:rPr>
        <w:t xml:space="preserve">general medical </w:t>
      </w:r>
      <w:r w:rsidR="007F52E7">
        <w:rPr>
          <w:sz w:val="22"/>
          <w:szCs w:val="22"/>
        </w:rPr>
        <w:t>needs each program year</w:t>
      </w:r>
      <w:r w:rsidR="00E6055C">
        <w:rPr>
          <w:sz w:val="22"/>
          <w:szCs w:val="22"/>
        </w:rPr>
        <w:t xml:space="preserve"> (OMB #0970-0490)</w:t>
      </w:r>
      <w:r w:rsidR="007F52E7">
        <w:rPr>
          <w:sz w:val="22"/>
          <w:szCs w:val="22"/>
        </w:rPr>
        <w:t xml:space="preserve">.    </w:t>
      </w:r>
      <w:r w:rsidR="00C24F59">
        <w:rPr>
          <w:sz w:val="22"/>
          <w:szCs w:val="22"/>
        </w:rPr>
        <w:t xml:space="preserve">  </w:t>
      </w:r>
    </w:p>
    <w:p w:rsidR="00436F5E" w:rsidP="00D14620" w:rsidRDefault="00436F5E" w14:paraId="69A8EDD5" w14:textId="30B91BDB">
      <w:pPr>
        <w:rPr>
          <w:b/>
        </w:rPr>
      </w:pPr>
    </w:p>
    <w:p w:rsidR="00D14620" w:rsidP="003016AD" w:rsidRDefault="00D14620" w14:paraId="381A5FEA" w14:textId="77777777">
      <w:pPr>
        <w:rPr>
          <w:b/>
        </w:rPr>
      </w:pPr>
    </w:p>
    <w:p w:rsidRPr="0072204D" w:rsidR="00945CD6" w:rsidP="008F570D" w:rsidRDefault="00292B70" w14:paraId="10B90123" w14:textId="77777777">
      <w:pPr>
        <w:spacing w:after="120"/>
        <w:rPr>
          <w:b/>
        </w:rPr>
      </w:pPr>
      <w:r>
        <w:rPr>
          <w:b/>
        </w:rPr>
        <w:t xml:space="preserve">A5. </w:t>
      </w:r>
      <w:r w:rsidRPr="0072204D" w:rsidR="00945CD6">
        <w:rPr>
          <w:b/>
        </w:rPr>
        <w:t>Involvement of Small Organizations</w:t>
      </w:r>
    </w:p>
    <w:p w:rsidR="00D90EF6" w:rsidP="008F570D" w:rsidRDefault="005C0399" w14:paraId="246D5FC0" w14:textId="4D565209">
      <w:r>
        <w:t xml:space="preserve">No small businesses will be involved in this information collection.  </w:t>
      </w:r>
    </w:p>
    <w:p w:rsidR="00D90EF6" w:rsidP="008F570D" w:rsidRDefault="00D90EF6" w14:paraId="12FF1FE5" w14:textId="77777777"/>
    <w:p w:rsidR="008C78B4" w:rsidP="008F570D" w:rsidRDefault="008C78B4" w14:paraId="6077512E" w14:textId="77777777">
      <w:pPr>
        <w:rPr>
          <w:b/>
        </w:rPr>
      </w:pPr>
    </w:p>
    <w:p w:rsidRPr="0072204D" w:rsidR="00945CD6" w:rsidP="008F570D" w:rsidRDefault="00292B70" w14:paraId="5C724C5E" w14:textId="77777777">
      <w:pPr>
        <w:spacing w:after="120"/>
        <w:rPr>
          <w:b/>
        </w:rPr>
      </w:pPr>
      <w:r>
        <w:rPr>
          <w:b/>
        </w:rPr>
        <w:t xml:space="preserve">A6. </w:t>
      </w:r>
      <w:r w:rsidRPr="0072204D" w:rsidR="00945CD6">
        <w:rPr>
          <w:b/>
        </w:rPr>
        <w:t>Consequences of Less Frequent Data Collection</w:t>
      </w:r>
    </w:p>
    <w:p w:rsidR="00D90EF6" w:rsidP="008F570D" w:rsidRDefault="005C0399" w14:paraId="27E89940" w14:textId="6A6D5AD1">
      <w:r>
        <w:t>This is a one-time data collection.</w:t>
      </w:r>
    </w:p>
    <w:p w:rsidR="00D90EF6" w:rsidP="008F570D" w:rsidRDefault="00D90EF6" w14:paraId="214C03B2" w14:textId="77777777"/>
    <w:p w:rsidR="005046F0" w:rsidP="008F570D" w:rsidRDefault="005046F0" w14:paraId="7C36762A" w14:textId="77777777">
      <w:pPr>
        <w:ind w:left="360"/>
      </w:pPr>
    </w:p>
    <w:p w:rsidRPr="0072204D" w:rsidR="00945CD6" w:rsidP="008F570D" w:rsidRDefault="00292B70" w14:paraId="5060136E" w14:textId="77777777">
      <w:pPr>
        <w:spacing w:after="120"/>
        <w:rPr>
          <w:b/>
        </w:rPr>
      </w:pPr>
      <w:r>
        <w:rPr>
          <w:b/>
        </w:rPr>
        <w:t xml:space="preserve">A7. </w:t>
      </w:r>
      <w:r w:rsidRPr="0072204D" w:rsidR="00945CD6">
        <w:rPr>
          <w:b/>
        </w:rPr>
        <w:t>Special Circumstances</w:t>
      </w:r>
    </w:p>
    <w:p w:rsidR="0020382F" w:rsidP="008F570D" w:rsidRDefault="00D90EF6" w14:paraId="10D64BA4" w14:textId="77777777">
      <w:pPr>
        <w:rPr>
          <w:sz w:val="22"/>
          <w:szCs w:val="22"/>
        </w:rPr>
      </w:pPr>
      <w:r w:rsidRPr="005C0399">
        <w:rPr>
          <w:sz w:val="22"/>
          <w:szCs w:val="22"/>
        </w:rPr>
        <w:t>There are no special circumstances for the proposed data collection efforts.</w:t>
      </w:r>
    </w:p>
    <w:p w:rsidR="00BE7952" w:rsidP="008F570D" w:rsidRDefault="00BE7952" w14:paraId="08207C8B" w14:textId="77777777"/>
    <w:p w:rsidR="00D90EF6" w:rsidP="008F570D" w:rsidRDefault="00D90EF6" w14:paraId="6156892E" w14:textId="77777777">
      <w:pPr>
        <w:rPr>
          <w:b/>
        </w:rPr>
      </w:pPr>
    </w:p>
    <w:p w:rsidR="00D90EF6" w:rsidP="008F570D" w:rsidRDefault="00292B70" w14:paraId="4FD99BC0" w14:textId="77777777">
      <w:pPr>
        <w:spacing w:after="120"/>
        <w:rPr>
          <w:b/>
        </w:rPr>
      </w:pPr>
      <w:r w:rsidRPr="000D53DF">
        <w:rPr>
          <w:b/>
        </w:rPr>
        <w:t xml:space="preserve">A8. </w:t>
      </w:r>
      <w:r w:rsidRPr="000D53DF" w:rsidR="00945CD6">
        <w:rPr>
          <w:b/>
        </w:rPr>
        <w:t>Federal Register Notice and Consultation</w:t>
      </w:r>
    </w:p>
    <w:p w:rsidRPr="00B91D97" w:rsidR="00B91D97" w:rsidP="008F570D" w:rsidRDefault="00B91D97" w14:paraId="6A39001F" w14:textId="77777777">
      <w:pPr>
        <w:spacing w:after="60"/>
        <w:rPr>
          <w:b/>
          <w:i/>
        </w:rPr>
      </w:pPr>
      <w:r w:rsidRPr="004B63ED">
        <w:rPr>
          <w:b/>
          <w:i/>
        </w:rPr>
        <w:t>Federal Register Notice and Comments</w:t>
      </w:r>
    </w:p>
    <w:p w:rsidRPr="00D14620" w:rsidR="00D14620" w:rsidP="00D14620" w:rsidRDefault="008F10A2" w14:paraId="5AC564FB" w14:textId="4B1B3031">
      <w:r w:rsidRPr="00D14620">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D14620" w:rsidR="00D44EA5">
        <w:t xml:space="preserve">of the overarching generic clearance for formative information collection. This notice was published on </w:t>
      </w:r>
      <w:r w:rsidRPr="00D14620" w:rsidR="00680FFE">
        <w:t>November 3, 2020</w:t>
      </w:r>
      <w:r w:rsidRPr="00D14620" w:rsidR="00D14620">
        <w:t xml:space="preserve">, (85 FR 69627), and provided a sixty-day period for public comment. During the notice and comment period, no substantive </w:t>
      </w:r>
      <w:r w:rsidRPr="00D14620" w:rsidR="00D14620">
        <w:lastRenderedPageBreak/>
        <w:t xml:space="preserve">comments were received. </w:t>
      </w:r>
      <w:r w:rsidRPr="00D14620" w:rsidR="00D14620">
        <w:rPr>
          <w:rFonts w:eastAsiaTheme="minorHAnsi"/>
        </w:rPr>
        <w:t>A subsequent notice was published on December 28, 2020 (85 FR 84343) and provided a thirty-day period for public comment. During the notice and comment period, no substantive comments were received.</w:t>
      </w:r>
    </w:p>
    <w:p w:rsidRPr="008B7AC5" w:rsidR="00D14620" w:rsidP="00D14620" w:rsidRDefault="00D14620" w14:paraId="61BFE46C" w14:textId="77777777"/>
    <w:p w:rsidRPr="008B7AC5" w:rsidR="00D14620" w:rsidP="00D14620" w:rsidRDefault="00D14620" w14:paraId="19AAEB03" w14:textId="77777777">
      <w:r w:rsidRPr="008B7AC5">
        <w:t xml:space="preserve">On January 28, 2022, ACF a notice (87 FR 4603) providing a sixty-day period related to an extension request to this umbrella clearance. No comments were received. ACF will submit a request to extend approval and publish an additional notice allowing a thirty-day period for public comment prior to July 31, 2022. </w:t>
      </w:r>
    </w:p>
    <w:p w:rsidR="00D44EA5" w:rsidP="008F570D" w:rsidRDefault="00D44EA5" w14:paraId="27C68A44" w14:textId="1146B6AC"/>
    <w:p w:rsidRPr="00B91D97" w:rsidR="00B91D97" w:rsidP="0023202F" w:rsidRDefault="00B91D97" w14:paraId="21E62C00" w14:textId="72CBF5B8">
      <w:pPr>
        <w:pStyle w:val="Heading4"/>
        <w:spacing w:before="0"/>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3F16F2" w:rsidP="00776C1A" w:rsidRDefault="00776C1A" w14:paraId="2E9C6B2A" w14:textId="299BCA3C">
      <w:r w:rsidRPr="00776C1A">
        <w:t xml:space="preserve">The </w:t>
      </w:r>
      <w:r>
        <w:t>Medical Task Force is a project of ORR’s TA SOT recipient</w:t>
      </w:r>
      <w:r w:rsidR="003F16F2">
        <w:t>,</w:t>
      </w:r>
      <w:r>
        <w:t xml:space="preserve"> the National Capacity </w:t>
      </w:r>
      <w:r w:rsidR="003F16F2">
        <w:t xml:space="preserve">Building (NCB) project and the Task Force </w:t>
      </w:r>
      <w:r>
        <w:t>Chair</w:t>
      </w:r>
      <w:r w:rsidR="003F16F2">
        <w:t xml:space="preserve"> is part of the NCB project.  There are approximately twelve members of the task force, six of whom are DS SOT recipients and the other six are subject matter experts in the field of medicine or global mental health.   </w:t>
      </w:r>
    </w:p>
    <w:p w:rsidRPr="00776C1A" w:rsidR="00776C1A" w:rsidP="00776C1A" w:rsidRDefault="00776C1A" w14:paraId="75C70D8F" w14:textId="000DDB23">
      <w:r>
        <w:t xml:space="preserve">     </w:t>
      </w:r>
    </w:p>
    <w:p w:rsidR="00D90EF6" w:rsidP="008F570D" w:rsidRDefault="00D90EF6" w14:paraId="16A7A923" w14:textId="77777777">
      <w:pPr>
        <w:rPr>
          <w:b/>
        </w:rPr>
      </w:pPr>
    </w:p>
    <w:p w:rsidRPr="0072204D" w:rsidR="00945CD6" w:rsidP="008F570D" w:rsidRDefault="00292B70" w14:paraId="391068CD" w14:textId="6ECE22DD">
      <w:pPr>
        <w:spacing w:after="120"/>
        <w:rPr>
          <w:b/>
        </w:rPr>
      </w:pPr>
      <w:r>
        <w:rPr>
          <w:b/>
        </w:rPr>
        <w:t xml:space="preserve">A9. </w:t>
      </w:r>
      <w:r w:rsidR="00542413">
        <w:rPr>
          <w:b/>
        </w:rPr>
        <w:t xml:space="preserve">Tokens of Appreciation </w:t>
      </w:r>
      <w:r w:rsidR="00B66874">
        <w:rPr>
          <w:b/>
        </w:rPr>
        <w:t>for</w:t>
      </w:r>
      <w:r w:rsidRPr="0072204D" w:rsidR="00945CD6">
        <w:rPr>
          <w:b/>
        </w:rPr>
        <w:t xml:space="preserve"> Respondents</w:t>
      </w:r>
    </w:p>
    <w:p w:rsidRPr="00BE7952" w:rsidR="00D90EF6" w:rsidP="008F570D" w:rsidRDefault="00B66874" w14:paraId="45914615" w14:textId="4321F089">
      <w:pPr>
        <w:rPr>
          <w:b/>
        </w:rPr>
      </w:pPr>
      <w:r w:rsidRPr="008159FE">
        <w:t xml:space="preserve">No </w:t>
      </w:r>
      <w:r w:rsidRPr="008159FE" w:rsidR="00542413">
        <w:t>tokens of appreciation</w:t>
      </w:r>
      <w:r w:rsidRPr="008159FE">
        <w:t xml:space="preserve"> for</w:t>
      </w:r>
      <w:r w:rsidRPr="008159FE" w:rsidR="00BE7952">
        <w:t xml:space="preserve"> respondents are proposed for this information collection.</w:t>
      </w:r>
    </w:p>
    <w:p w:rsidR="00D90EF6" w:rsidP="008F570D" w:rsidRDefault="00D90EF6" w14:paraId="713A63A6" w14:textId="15B76AB7"/>
    <w:p w:rsidR="00A865D8" w:rsidP="008F570D" w:rsidRDefault="00A865D8" w14:paraId="3885B2BE" w14:textId="77777777"/>
    <w:p w:rsidRPr="0072204D" w:rsidR="004222F8" w:rsidP="008F570D" w:rsidRDefault="004222F8" w14:paraId="5BB4F440" w14:textId="77777777">
      <w:pPr>
        <w:spacing w:after="120"/>
        <w:rPr>
          <w:b/>
        </w:rPr>
      </w:pPr>
      <w:r>
        <w:rPr>
          <w:b/>
        </w:rPr>
        <w:t>A10. Privacy</w:t>
      </w:r>
      <w:r w:rsidRPr="0072204D">
        <w:rPr>
          <w:b/>
        </w:rPr>
        <w:t xml:space="preserve"> of Respondents</w:t>
      </w:r>
    </w:p>
    <w:p w:rsidR="004222F8" w:rsidP="008F570D" w:rsidRDefault="00436F5E" w14:paraId="480B2A5E" w14:textId="5B220F7D">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BC7120" w:rsidP="008F570D" w:rsidRDefault="00BC7120" w14:paraId="42F5CCB6" w14:textId="404D8949">
      <w:pPr>
        <w:widowControl w:val="0"/>
        <w:autoSpaceDE w:val="0"/>
        <w:autoSpaceDN w:val="0"/>
        <w:adjustRightInd w:val="0"/>
      </w:pPr>
    </w:p>
    <w:p w:rsidRPr="00436F5E" w:rsidR="00BC7120" w:rsidP="008F570D" w:rsidRDefault="006325AD" w14:paraId="2E78FAD6" w14:textId="4EB97D3F">
      <w:pPr>
        <w:widowControl w:val="0"/>
        <w:autoSpaceDE w:val="0"/>
        <w:autoSpaceDN w:val="0"/>
        <w:adjustRightInd w:val="0"/>
      </w:pPr>
      <w:r>
        <w:t xml:space="preserve">The platform securely </w:t>
      </w:r>
      <w:r w:rsidR="006C543E">
        <w:t>collects</w:t>
      </w:r>
      <w:r>
        <w:t xml:space="preserve"> </w:t>
      </w:r>
      <w:r w:rsidR="00BC7120">
        <w:t>r</w:t>
      </w:r>
      <w:r w:rsidRPr="00BC7120" w:rsidR="00BC7120">
        <w:t xml:space="preserve">espondents' information in </w:t>
      </w:r>
      <w:r w:rsidR="004D39F2">
        <w:t>Type II Accredited Security Operations Centers (SOC 2)</w:t>
      </w:r>
      <w:r w:rsidRPr="00BC7120" w:rsidR="00BC7120">
        <w:t xml:space="preserve">   that adhere to security and technical best practices. </w:t>
      </w:r>
      <w:r>
        <w:t xml:space="preserve"> </w:t>
      </w:r>
      <w:r w:rsidR="00B2103D">
        <w:t xml:space="preserve">The platform </w:t>
      </w:r>
      <w:r w:rsidRPr="00BC7120" w:rsidR="00BC7120">
        <w:t>ensure</w:t>
      </w:r>
      <w:r w:rsidR="00B2103D">
        <w:t>s</w:t>
      </w:r>
      <w:r w:rsidRPr="00BC7120" w:rsidR="00BC7120">
        <w:t xml:space="preserve"> that collected data is transmitted over a secure HTTPS connection, and user logins are protected via </w:t>
      </w:r>
      <w:r w:rsidR="004D39F2">
        <w:t>Transport Layer Security (</w:t>
      </w:r>
      <w:r w:rsidRPr="00BC7120" w:rsidR="00BC7120">
        <w:t>TLS</w:t>
      </w:r>
      <w:r w:rsidR="004D39F2">
        <w:t>)</w:t>
      </w:r>
      <w:r w:rsidRPr="00BC7120" w:rsidR="00BC7120">
        <w:t>.</w:t>
      </w:r>
    </w:p>
    <w:p w:rsidRPr="00436F5E" w:rsidR="004222F8" w:rsidP="008F570D" w:rsidRDefault="004222F8" w14:paraId="6F65404C" w14:textId="77777777">
      <w:pPr>
        <w:widowControl w:val="0"/>
        <w:autoSpaceDE w:val="0"/>
        <w:autoSpaceDN w:val="0"/>
        <w:adjustRightInd w:val="0"/>
        <w:ind w:left="360"/>
      </w:pPr>
    </w:p>
    <w:p w:rsidRPr="00436F5E" w:rsidR="00436F5E" w:rsidP="008F570D" w:rsidRDefault="005D1C29" w14:paraId="0D4F4390" w14:textId="3854BDBF">
      <w:pPr>
        <w:widowControl w:val="0"/>
        <w:autoSpaceDE w:val="0"/>
        <w:autoSpaceDN w:val="0"/>
        <w:adjustRightInd w:val="0"/>
      </w:pPr>
      <w:r>
        <w:t xml:space="preserve">Respondents have the option to provide their </w:t>
      </w:r>
      <w:r w:rsidR="006C4E7F">
        <w:t>name, organization name, and organization location</w:t>
      </w:r>
      <w:r w:rsidR="006C543E">
        <w:t xml:space="preserve"> at the end of the survey. </w:t>
      </w:r>
      <w:r w:rsidR="00394573">
        <w:t xml:space="preserve"> This information will be used</w:t>
      </w:r>
      <w:r w:rsidR="0006066B">
        <w:t xml:space="preserve"> </w:t>
      </w:r>
      <w:r w:rsidR="00C50931">
        <w:t>by the survey team</w:t>
      </w:r>
      <w:r w:rsidR="0006066B">
        <w:t xml:space="preserve"> to follow up </w:t>
      </w:r>
      <w:r w:rsidR="000873C2">
        <w:t xml:space="preserve">with respondents </w:t>
      </w:r>
      <w:r w:rsidR="0006066B">
        <w:t>if there are any questions or concerns about the survey</w:t>
      </w:r>
      <w:r w:rsidR="00940B40">
        <w:t>.</w:t>
      </w:r>
      <w:r w:rsidR="00DE3F85">
        <w:t xml:space="preserve"> </w:t>
      </w:r>
      <w:r w:rsidR="006C543E">
        <w:t xml:space="preserve"> </w:t>
      </w:r>
      <w:r w:rsidRPr="008159FE" w:rsidR="00436F5E">
        <w:t>Information will not be maintained in a paper or electronic system from which data are actually or directly retrieved by an individuals’ personal identifier.</w:t>
      </w:r>
    </w:p>
    <w:p w:rsidRPr="00436F5E" w:rsidR="00436F5E" w:rsidP="008F570D" w:rsidRDefault="00436F5E" w14:paraId="34DFAED3" w14:textId="77777777">
      <w:pPr>
        <w:widowControl w:val="0"/>
        <w:autoSpaceDE w:val="0"/>
        <w:autoSpaceDN w:val="0"/>
        <w:adjustRightInd w:val="0"/>
      </w:pPr>
    </w:p>
    <w:p w:rsidR="00436F5E" w:rsidP="008F570D" w:rsidRDefault="00436F5E" w14:paraId="0442A162" w14:textId="77777777"/>
    <w:p w:rsidRPr="0072204D" w:rsidR="00945CD6" w:rsidP="008F570D" w:rsidRDefault="00292B70" w14:paraId="0B35E015" w14:textId="77777777">
      <w:pPr>
        <w:spacing w:after="120"/>
        <w:rPr>
          <w:b/>
        </w:rPr>
      </w:pPr>
      <w:r>
        <w:rPr>
          <w:b/>
        </w:rPr>
        <w:t xml:space="preserve">A11. </w:t>
      </w:r>
      <w:r w:rsidRPr="0072204D" w:rsidR="00945CD6">
        <w:rPr>
          <w:b/>
        </w:rPr>
        <w:t>Sensitive Questions</w:t>
      </w:r>
    </w:p>
    <w:p w:rsidR="00D90EF6" w:rsidP="008F570D" w:rsidRDefault="00D90EF6" w14:paraId="2CE230F0" w14:textId="77777777">
      <w:r w:rsidRPr="003F16F2">
        <w:t>There are no sensitive questions in this data collection.</w:t>
      </w:r>
    </w:p>
    <w:p w:rsidR="00D90EF6" w:rsidP="008F570D" w:rsidRDefault="00D90EF6" w14:paraId="7C7C4093" w14:textId="77777777"/>
    <w:p w:rsidR="005046F0" w:rsidP="008F570D" w:rsidRDefault="005046F0" w14:paraId="45C63BFE" w14:textId="7C26FFB5">
      <w:pPr>
        <w:ind w:left="360"/>
      </w:pPr>
    </w:p>
    <w:p w:rsidR="00A865D8" w:rsidP="008F570D" w:rsidRDefault="00A865D8" w14:paraId="7F2CB70A" w14:textId="77777777">
      <w:pPr>
        <w:ind w:left="360"/>
      </w:pPr>
    </w:p>
    <w:p w:rsidRPr="00542413" w:rsidR="00542413" w:rsidP="00542413" w:rsidRDefault="00292B70" w14:paraId="3ABF848D" w14:textId="604CE552">
      <w:pPr>
        <w:spacing w:after="120"/>
        <w:rPr>
          <w:b/>
        </w:rPr>
      </w:pPr>
      <w:r>
        <w:rPr>
          <w:b/>
        </w:rPr>
        <w:lastRenderedPageBreak/>
        <w:t xml:space="preserve">A12. </w:t>
      </w:r>
      <w:r w:rsidRPr="0072204D" w:rsidR="00945CD6">
        <w:rPr>
          <w:b/>
        </w:rPr>
        <w:t>Estimation of Information Collection Burden</w:t>
      </w:r>
    </w:p>
    <w:p w:rsidR="00542413" w:rsidP="00542413" w:rsidRDefault="00542413" w14:paraId="3786490C" w14:textId="280438FA">
      <w:pPr>
        <w:spacing w:after="60"/>
        <w:rPr>
          <w:b/>
          <w:bCs/>
          <w:i/>
          <w:iCs/>
        </w:rPr>
      </w:pPr>
      <w:r w:rsidRPr="00542413">
        <w:rPr>
          <w:b/>
          <w:bCs/>
          <w:i/>
          <w:iCs/>
        </w:rPr>
        <w:t>Burden Estimates</w:t>
      </w:r>
    </w:p>
    <w:p w:rsidRPr="003F16F2" w:rsidR="003F16F2" w:rsidP="00542413" w:rsidRDefault="00DA71EE" w14:paraId="450AA2D1" w14:textId="3D06B620">
      <w:pPr>
        <w:spacing w:after="60"/>
      </w:pPr>
      <w:r>
        <w:t xml:space="preserve">The estimated burden in responding to the survey is </w:t>
      </w:r>
      <w:r w:rsidR="00A865D8">
        <w:t>4</w:t>
      </w:r>
      <w:r>
        <w:t xml:space="preserve">0 minutes.  The burden was calculated by estimating the length of time it would take to answer the 33 questions.  Twenty-eight of the questions can be answered by checking </w:t>
      </w:r>
      <w:r w:rsidR="00F613AF">
        <w:t>and/</w:t>
      </w:r>
      <w:r>
        <w:t xml:space="preserve">or </w:t>
      </w:r>
      <w:r w:rsidR="00F613AF">
        <w:t>entering a number count</w:t>
      </w:r>
      <w:r>
        <w:t xml:space="preserve">.  The last five questions </w:t>
      </w:r>
      <w:r w:rsidR="00F613AF">
        <w:t xml:space="preserve">can be answered with a short narrative response. </w:t>
      </w:r>
      <w:r w:rsidR="00E6055C">
        <w:t xml:space="preserve">We anticipate a program or medical director to complete the survey and to know </w:t>
      </w:r>
      <w:proofErr w:type="gramStart"/>
      <w:r w:rsidR="00E6055C">
        <w:t>the majority of</w:t>
      </w:r>
      <w:proofErr w:type="gramEnd"/>
      <w:r w:rsidR="00E6055C">
        <w:t xml:space="preserve"> the answers and have the information readily available for the few they do not. </w:t>
      </w:r>
      <w:r w:rsidR="00F613AF">
        <w:t xml:space="preserve"> </w:t>
      </w:r>
      <w:r>
        <w:t xml:space="preserve">  </w:t>
      </w:r>
    </w:p>
    <w:p w:rsidRPr="00542413" w:rsidR="00542413" w:rsidP="008F570D" w:rsidRDefault="00542413" w14:paraId="53AD5D50" w14:textId="77777777">
      <w:pPr>
        <w:rPr>
          <w:b/>
          <w:bCs/>
          <w:i/>
          <w:iCs/>
        </w:rPr>
      </w:pPr>
    </w:p>
    <w:p w:rsidRPr="002F3EDE" w:rsidR="00542413" w:rsidP="00542413" w:rsidRDefault="00542413" w14:paraId="6CBE253C" w14:textId="16147A58">
      <w:pPr>
        <w:spacing w:after="60"/>
        <w:rPr>
          <w:b/>
          <w:i/>
        </w:rPr>
      </w:pPr>
      <w:r w:rsidRPr="002F3EDE">
        <w:rPr>
          <w:b/>
          <w:i/>
        </w:rPr>
        <w:t>Cos</w:t>
      </w:r>
      <w:r>
        <w:rPr>
          <w:b/>
          <w:i/>
        </w:rPr>
        <w:t>t Estimates</w:t>
      </w:r>
    </w:p>
    <w:p w:rsidRPr="00EC26A5" w:rsidR="0033072C" w:rsidP="0033072C" w:rsidRDefault="0033072C" w14:paraId="59A18AED" w14:textId="60DAA047">
      <w:r w:rsidRPr="00EC26A5">
        <w:t xml:space="preserve">The cost to respondents was calculated using the Bureau of Labor Statistics (BLS) job code for </w:t>
      </w:r>
      <w:r w:rsidR="00CF0F15">
        <w:t>Medical and Health Services Managers</w:t>
      </w:r>
      <w:r w:rsidRPr="00EC26A5">
        <w:t xml:space="preserve"> [</w:t>
      </w:r>
      <w:r w:rsidRPr="00CF0F15" w:rsidR="00CF0F15">
        <w:t>11-9111</w:t>
      </w:r>
      <w:r w:rsidRPr="00EC26A5">
        <w:t xml:space="preserve">] and </w:t>
      </w:r>
      <w:r w:rsidR="00CF0F15">
        <w:t xml:space="preserve">median </w:t>
      </w:r>
      <w:r w:rsidRPr="00EC26A5">
        <w:t>wage data from May 20</w:t>
      </w:r>
      <w:r>
        <w:t>2</w:t>
      </w:r>
      <w:r w:rsidR="00D14620">
        <w:t>1</w:t>
      </w:r>
      <w:r w:rsidRPr="00EC26A5">
        <w:t>, which is $</w:t>
      </w:r>
      <w:r w:rsidR="00CF0F15">
        <w:t xml:space="preserve">48.72 </w:t>
      </w:r>
      <w:r w:rsidRPr="00EC26A5">
        <w:t>per hour. To account for fringe benefits and overhead the rate was multiplied by two which is $</w:t>
      </w:r>
      <w:r w:rsidRPr="00CF0F15">
        <w:t xml:space="preserve"> </w:t>
      </w:r>
      <w:r w:rsidR="00CF0F15">
        <w:t>97.44</w:t>
      </w:r>
      <w:r w:rsidRPr="00EC26A5">
        <w:t xml:space="preserve">.  </w:t>
      </w:r>
    </w:p>
    <w:p w:rsidRPr="00EC26A5" w:rsidR="0033072C" w:rsidP="0033072C" w:rsidRDefault="00D14620" w14:paraId="255B87E2" w14:textId="3E439BAF">
      <w:pPr>
        <w:ind w:left="360"/>
        <w:rPr>
          <w:sz w:val="32"/>
        </w:rPr>
      </w:pPr>
      <w:r w:rsidRPr="00D14620">
        <w:t>https://www.bls.gov/oes/current/oes119111.htm</w:t>
      </w:r>
      <w:r w:rsidRPr="00EC26A5" w:rsidR="0033072C">
        <w:t xml:space="preserve"> </w:t>
      </w:r>
    </w:p>
    <w:p w:rsidRPr="00542413" w:rsidR="00542413" w:rsidP="008F570D" w:rsidRDefault="00542413" w14:paraId="26232607" w14:textId="77777777">
      <w:pPr>
        <w:rPr>
          <w:i/>
          <w:iCs/>
        </w:rPr>
      </w:pPr>
    </w:p>
    <w:tbl>
      <w:tblPr>
        <w:tblW w:w="93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55"/>
        <w:gridCol w:w="1350"/>
        <w:gridCol w:w="1170"/>
        <w:gridCol w:w="990"/>
        <w:gridCol w:w="900"/>
        <w:gridCol w:w="900"/>
        <w:gridCol w:w="1029"/>
      </w:tblGrid>
      <w:tr w:rsidRPr="00BD4CFB" w:rsidR="00542413" w:rsidTr="00A865D8" w14:paraId="3DDE53E5" w14:textId="77777777">
        <w:trPr>
          <w:jc w:val="center"/>
        </w:trPr>
        <w:tc>
          <w:tcPr>
            <w:tcW w:w="3055" w:type="dxa"/>
            <w:shd w:val="clear" w:color="auto" w:fill="BFBFBF"/>
            <w:vAlign w:val="center"/>
          </w:tcPr>
          <w:p w:rsidRPr="00BD4CFB" w:rsidR="00542413" w:rsidP="008F570D" w:rsidRDefault="00542413" w14:paraId="2381BB0C" w14:textId="77777777">
            <w:pPr>
              <w:jc w:val="center"/>
              <w:rPr>
                <w:sz w:val="20"/>
                <w:szCs w:val="20"/>
              </w:rPr>
            </w:pPr>
            <w:r w:rsidRPr="00BD4CFB">
              <w:rPr>
                <w:sz w:val="20"/>
                <w:szCs w:val="20"/>
              </w:rPr>
              <w:t>Instrument</w:t>
            </w:r>
          </w:p>
        </w:tc>
        <w:tc>
          <w:tcPr>
            <w:tcW w:w="1350" w:type="dxa"/>
            <w:shd w:val="clear" w:color="auto" w:fill="BFBFBF"/>
            <w:vAlign w:val="center"/>
          </w:tcPr>
          <w:p w:rsidRPr="00BD4CFB" w:rsidR="00542413" w:rsidP="008F570D" w:rsidRDefault="00542413" w14:paraId="42F19101" w14:textId="77777777">
            <w:pPr>
              <w:jc w:val="center"/>
              <w:rPr>
                <w:sz w:val="20"/>
                <w:szCs w:val="20"/>
              </w:rPr>
            </w:pPr>
            <w:r>
              <w:rPr>
                <w:sz w:val="20"/>
                <w:szCs w:val="20"/>
              </w:rPr>
              <w:t xml:space="preserve">Total </w:t>
            </w:r>
            <w:r w:rsidRPr="00BD4CFB">
              <w:rPr>
                <w:sz w:val="20"/>
                <w:szCs w:val="20"/>
              </w:rPr>
              <w:t>Number of Respondents</w:t>
            </w:r>
          </w:p>
        </w:tc>
        <w:tc>
          <w:tcPr>
            <w:tcW w:w="1170" w:type="dxa"/>
            <w:shd w:val="clear" w:color="auto" w:fill="BFBFBF"/>
            <w:vAlign w:val="center"/>
          </w:tcPr>
          <w:p w:rsidRPr="00BD4CFB" w:rsidR="00542413" w:rsidP="008F570D" w:rsidRDefault="00542413"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90" w:type="dxa"/>
            <w:shd w:val="clear" w:color="auto" w:fill="BFBFBF"/>
            <w:vAlign w:val="center"/>
          </w:tcPr>
          <w:p w:rsidRPr="00BD4CFB" w:rsidR="00542413" w:rsidP="008F570D" w:rsidRDefault="00542413" w14:paraId="05CC723F" w14:textId="77777777">
            <w:pPr>
              <w:jc w:val="center"/>
              <w:rPr>
                <w:sz w:val="20"/>
                <w:szCs w:val="20"/>
              </w:rPr>
            </w:pPr>
            <w:r w:rsidRPr="00BD4CFB">
              <w:rPr>
                <w:sz w:val="20"/>
                <w:szCs w:val="20"/>
              </w:rPr>
              <w:t>Average Burden Hours Per Response</w:t>
            </w:r>
          </w:p>
        </w:tc>
        <w:tc>
          <w:tcPr>
            <w:tcW w:w="900" w:type="dxa"/>
            <w:shd w:val="clear" w:color="auto" w:fill="BFBFBF"/>
            <w:vAlign w:val="center"/>
          </w:tcPr>
          <w:p w:rsidR="00542413" w:rsidP="00542413" w:rsidRDefault="00542413" w14:paraId="110C4AE5" w14:textId="77777777">
            <w:pPr>
              <w:jc w:val="center"/>
              <w:rPr>
                <w:bCs/>
                <w:sz w:val="20"/>
                <w:szCs w:val="20"/>
              </w:rPr>
            </w:pPr>
            <w:r>
              <w:rPr>
                <w:bCs/>
                <w:sz w:val="20"/>
                <w:szCs w:val="20"/>
              </w:rPr>
              <w:t>Total</w:t>
            </w:r>
          </w:p>
          <w:p w:rsidR="00542413" w:rsidP="00542413" w:rsidRDefault="00542413" w14:paraId="1F591B58" w14:textId="47332B2D">
            <w:pPr>
              <w:jc w:val="center"/>
              <w:rPr>
                <w:bCs/>
                <w:sz w:val="20"/>
                <w:szCs w:val="20"/>
              </w:rPr>
            </w:pPr>
            <w:r>
              <w:rPr>
                <w:bCs/>
                <w:sz w:val="20"/>
                <w:szCs w:val="20"/>
              </w:rPr>
              <w:t>Burden Hours</w:t>
            </w:r>
          </w:p>
        </w:tc>
        <w:tc>
          <w:tcPr>
            <w:tcW w:w="900" w:type="dxa"/>
            <w:shd w:val="clear" w:color="auto" w:fill="BFBFBF"/>
            <w:vAlign w:val="center"/>
          </w:tcPr>
          <w:p w:rsidRPr="00BD4CFB" w:rsidR="00542413" w:rsidP="008F570D" w:rsidRDefault="00542413" w14:paraId="45DFE675" w14:textId="77777777">
            <w:pPr>
              <w:jc w:val="center"/>
              <w:rPr>
                <w:sz w:val="20"/>
                <w:szCs w:val="20"/>
              </w:rPr>
            </w:pPr>
            <w:r w:rsidRPr="00BD4CFB">
              <w:rPr>
                <w:bCs/>
                <w:sz w:val="20"/>
                <w:szCs w:val="20"/>
              </w:rPr>
              <w:t>Average Hourly Wage</w:t>
            </w:r>
          </w:p>
        </w:tc>
        <w:tc>
          <w:tcPr>
            <w:tcW w:w="1029" w:type="dxa"/>
            <w:shd w:val="clear" w:color="auto" w:fill="BFBFBF"/>
            <w:vAlign w:val="center"/>
          </w:tcPr>
          <w:p w:rsidRPr="00BD4CFB" w:rsidR="00542413" w:rsidP="008F570D" w:rsidRDefault="00542413" w14:paraId="39990194" w14:textId="77777777">
            <w:pPr>
              <w:jc w:val="center"/>
              <w:rPr>
                <w:sz w:val="20"/>
                <w:szCs w:val="20"/>
              </w:rPr>
            </w:pPr>
            <w:r w:rsidRPr="00BD4CFB">
              <w:rPr>
                <w:bCs/>
                <w:sz w:val="20"/>
                <w:szCs w:val="20"/>
              </w:rPr>
              <w:t>Total Annual Cost</w:t>
            </w:r>
          </w:p>
        </w:tc>
      </w:tr>
      <w:tr w:rsidRPr="00BD4CFB" w:rsidR="00542413" w:rsidTr="00A865D8" w14:paraId="7CE63E36" w14:textId="77777777">
        <w:trPr>
          <w:trHeight w:val="432"/>
          <w:jc w:val="center"/>
        </w:trPr>
        <w:tc>
          <w:tcPr>
            <w:tcW w:w="3055" w:type="dxa"/>
            <w:vAlign w:val="center"/>
          </w:tcPr>
          <w:p w:rsidRPr="00BD4CFB" w:rsidR="00542413" w:rsidP="008F570D" w:rsidRDefault="00CF0F15" w14:paraId="15455CD3" w14:textId="105242B9">
            <w:pPr>
              <w:tabs>
                <w:tab w:val="center" w:pos="4320"/>
                <w:tab w:val="right" w:pos="8640"/>
              </w:tabs>
              <w:rPr>
                <w:sz w:val="20"/>
                <w:szCs w:val="20"/>
              </w:rPr>
            </w:pPr>
            <w:r>
              <w:rPr>
                <w:sz w:val="20"/>
                <w:szCs w:val="20"/>
              </w:rPr>
              <w:t>Medical Needs Asse</w:t>
            </w:r>
            <w:r w:rsidR="00BC0BCF">
              <w:rPr>
                <w:sz w:val="20"/>
                <w:szCs w:val="20"/>
              </w:rPr>
              <w:t xml:space="preserve">ssment </w:t>
            </w:r>
          </w:p>
        </w:tc>
        <w:tc>
          <w:tcPr>
            <w:tcW w:w="1350" w:type="dxa"/>
            <w:vAlign w:val="center"/>
          </w:tcPr>
          <w:p w:rsidRPr="00BD4CFB" w:rsidR="00542413" w:rsidP="008F570D" w:rsidRDefault="00BC0BCF" w14:paraId="2106BBF5" w14:textId="2AFFEB98">
            <w:pPr>
              <w:tabs>
                <w:tab w:val="center" w:pos="4320"/>
                <w:tab w:val="right" w:pos="8640"/>
              </w:tabs>
              <w:jc w:val="center"/>
              <w:rPr>
                <w:sz w:val="20"/>
                <w:szCs w:val="20"/>
                <w:highlight w:val="yellow"/>
              </w:rPr>
            </w:pPr>
            <w:r w:rsidRPr="00BC0BCF">
              <w:rPr>
                <w:sz w:val="20"/>
                <w:szCs w:val="20"/>
              </w:rPr>
              <w:t>35</w:t>
            </w:r>
          </w:p>
        </w:tc>
        <w:tc>
          <w:tcPr>
            <w:tcW w:w="1170" w:type="dxa"/>
            <w:vAlign w:val="center"/>
          </w:tcPr>
          <w:p w:rsidRPr="00BD4CFB" w:rsidR="00542413" w:rsidP="008F570D" w:rsidRDefault="00BC0BCF" w14:paraId="402332F4" w14:textId="76A0724B">
            <w:pPr>
              <w:tabs>
                <w:tab w:val="center" w:pos="4320"/>
                <w:tab w:val="right" w:pos="8640"/>
              </w:tabs>
              <w:jc w:val="center"/>
              <w:rPr>
                <w:sz w:val="20"/>
                <w:szCs w:val="20"/>
              </w:rPr>
            </w:pPr>
            <w:r>
              <w:rPr>
                <w:sz w:val="20"/>
                <w:szCs w:val="20"/>
              </w:rPr>
              <w:t>1</w:t>
            </w:r>
          </w:p>
        </w:tc>
        <w:tc>
          <w:tcPr>
            <w:tcW w:w="990" w:type="dxa"/>
            <w:vAlign w:val="center"/>
          </w:tcPr>
          <w:p w:rsidRPr="00BD4CFB" w:rsidR="00542413" w:rsidP="008F570D" w:rsidRDefault="00BC0BCF" w14:paraId="2166A45E" w14:textId="4585B41B">
            <w:pPr>
              <w:tabs>
                <w:tab w:val="center" w:pos="4320"/>
                <w:tab w:val="right" w:pos="8640"/>
              </w:tabs>
              <w:jc w:val="center"/>
              <w:rPr>
                <w:sz w:val="20"/>
                <w:szCs w:val="20"/>
              </w:rPr>
            </w:pPr>
            <w:r>
              <w:rPr>
                <w:sz w:val="20"/>
                <w:szCs w:val="20"/>
              </w:rPr>
              <w:t>.</w:t>
            </w:r>
            <w:r w:rsidR="0060719F">
              <w:rPr>
                <w:sz w:val="20"/>
                <w:szCs w:val="20"/>
              </w:rPr>
              <w:t>66</w:t>
            </w:r>
            <w:r w:rsidR="00A865D8">
              <w:rPr>
                <w:sz w:val="20"/>
                <w:szCs w:val="20"/>
              </w:rPr>
              <w:t>7</w:t>
            </w:r>
          </w:p>
        </w:tc>
        <w:tc>
          <w:tcPr>
            <w:tcW w:w="900" w:type="dxa"/>
            <w:vAlign w:val="center"/>
          </w:tcPr>
          <w:p w:rsidRPr="00BD4CFB" w:rsidR="00542413" w:rsidP="00BC0BCF" w:rsidRDefault="0060719F" w14:paraId="5A6C5F6C" w14:textId="079014BA">
            <w:pPr>
              <w:tabs>
                <w:tab w:val="center" w:pos="4320"/>
                <w:tab w:val="right" w:pos="8640"/>
              </w:tabs>
              <w:jc w:val="center"/>
              <w:rPr>
                <w:sz w:val="20"/>
                <w:szCs w:val="20"/>
              </w:rPr>
            </w:pPr>
            <w:r>
              <w:rPr>
                <w:sz w:val="20"/>
                <w:szCs w:val="20"/>
              </w:rPr>
              <w:t>23</w:t>
            </w:r>
          </w:p>
        </w:tc>
        <w:tc>
          <w:tcPr>
            <w:tcW w:w="900" w:type="dxa"/>
            <w:vAlign w:val="center"/>
          </w:tcPr>
          <w:p w:rsidRPr="00BD4CFB" w:rsidR="00542413" w:rsidP="008F570D" w:rsidRDefault="00BC0BCF" w14:paraId="4C12A145" w14:textId="12AAD2C3">
            <w:pPr>
              <w:tabs>
                <w:tab w:val="center" w:pos="4320"/>
                <w:tab w:val="right" w:pos="8640"/>
              </w:tabs>
              <w:jc w:val="center"/>
              <w:rPr>
                <w:sz w:val="20"/>
                <w:szCs w:val="20"/>
              </w:rPr>
            </w:pPr>
            <w:r>
              <w:rPr>
                <w:sz w:val="20"/>
                <w:szCs w:val="20"/>
              </w:rPr>
              <w:t>$97.44</w:t>
            </w:r>
          </w:p>
        </w:tc>
        <w:tc>
          <w:tcPr>
            <w:tcW w:w="1029" w:type="dxa"/>
            <w:vAlign w:val="center"/>
          </w:tcPr>
          <w:p w:rsidRPr="00BD4CFB" w:rsidR="00542413" w:rsidP="008F570D" w:rsidRDefault="00BC0BCF" w14:paraId="01C1A511" w14:textId="75E8EF33">
            <w:pPr>
              <w:tabs>
                <w:tab w:val="center" w:pos="4320"/>
                <w:tab w:val="right" w:pos="8640"/>
              </w:tabs>
              <w:jc w:val="center"/>
              <w:rPr>
                <w:sz w:val="20"/>
                <w:szCs w:val="20"/>
              </w:rPr>
            </w:pPr>
            <w:r>
              <w:rPr>
                <w:sz w:val="20"/>
                <w:szCs w:val="20"/>
              </w:rPr>
              <w:t>$</w:t>
            </w:r>
            <w:r w:rsidR="0060719F">
              <w:rPr>
                <w:sz w:val="20"/>
                <w:szCs w:val="20"/>
              </w:rPr>
              <w:t>2,2</w:t>
            </w:r>
            <w:r w:rsidR="00A865D8">
              <w:rPr>
                <w:sz w:val="20"/>
                <w:szCs w:val="20"/>
              </w:rPr>
              <w:t>41</w:t>
            </w:r>
          </w:p>
        </w:tc>
      </w:tr>
    </w:tbl>
    <w:p w:rsidR="00436F5E" w:rsidP="008F570D" w:rsidRDefault="00436F5E" w14:paraId="4FC5BEDE" w14:textId="77777777"/>
    <w:p w:rsidR="002338AC" w:rsidP="008F570D" w:rsidRDefault="002338AC" w14:paraId="3C895703" w14:textId="77777777">
      <w:pPr>
        <w:ind w:left="360"/>
      </w:pPr>
    </w:p>
    <w:p w:rsidRPr="0072204D" w:rsidR="00945CD6" w:rsidP="00542413" w:rsidRDefault="00292B70" w14:paraId="7BDBE261" w14:textId="77777777">
      <w:pPr>
        <w:spacing w:after="120"/>
        <w:rPr>
          <w:b/>
        </w:rPr>
      </w:pPr>
      <w:r>
        <w:rPr>
          <w:b/>
        </w:rPr>
        <w:t xml:space="preserve">A13. </w:t>
      </w:r>
      <w:r w:rsidRPr="0072204D" w:rsidR="00945CD6">
        <w:rPr>
          <w:b/>
        </w:rPr>
        <w:t>Cost Burden to Respondents or Record Keepers</w:t>
      </w:r>
    </w:p>
    <w:p w:rsidR="00D90EF6" w:rsidP="008F570D" w:rsidRDefault="00B91D97" w14:paraId="3D88B0B4" w14:textId="77777777">
      <w:r w:rsidRPr="00507F35">
        <w:rPr>
          <w:sz w:val="22"/>
          <w:szCs w:val="22"/>
        </w:rPr>
        <w:t>There are no additional costs to respondents.</w:t>
      </w:r>
    </w:p>
    <w:p w:rsidR="00BE7952" w:rsidP="008F570D" w:rsidRDefault="00BE7952" w14:paraId="6BC5843E" w14:textId="77777777"/>
    <w:p w:rsidR="002338AC" w:rsidP="008F570D" w:rsidRDefault="002338AC" w14:paraId="136F28B3" w14:textId="77777777"/>
    <w:p w:rsidRPr="0072204D" w:rsidR="00945CD6" w:rsidP="008F570D" w:rsidRDefault="00292B70" w14:paraId="2A791D57" w14:textId="77777777">
      <w:pPr>
        <w:spacing w:after="60"/>
        <w:rPr>
          <w:b/>
        </w:rPr>
      </w:pPr>
      <w:r>
        <w:rPr>
          <w:b/>
        </w:rPr>
        <w:t xml:space="preserve">A14. </w:t>
      </w:r>
      <w:r w:rsidRPr="0072204D" w:rsidR="00945CD6">
        <w:rPr>
          <w:b/>
        </w:rPr>
        <w:t>Estimate of Cost to the Federal Government</w:t>
      </w:r>
    </w:p>
    <w:p w:rsidR="002338AC" w:rsidP="008F570D" w:rsidRDefault="00B91D97" w14:paraId="036762EF" w14:textId="62DFDC6E">
      <w:r w:rsidRPr="00BB2157">
        <w:t>The total cost for the</w:t>
      </w:r>
      <w:r>
        <w:t xml:space="preserve"> data collection activities under this current request </w:t>
      </w:r>
      <w:r w:rsidRPr="00BB2157">
        <w:t xml:space="preserve">will </w:t>
      </w:r>
      <w:r w:rsidRPr="001061C5">
        <w:t>be $</w:t>
      </w:r>
      <w:r w:rsidR="00507F35">
        <w:t>1,705</w:t>
      </w:r>
      <w:r>
        <w:t xml:space="preserve">. </w:t>
      </w:r>
    </w:p>
    <w:p w:rsidR="00436F5E" w:rsidP="008F570D" w:rsidRDefault="00436F5E" w14:paraId="304B1383" w14:textId="748441F1"/>
    <w:p w:rsidR="0033072C" w:rsidP="008F570D" w:rsidRDefault="0033072C" w14:paraId="10E2AD7E" w14:textId="77777777"/>
    <w:p w:rsidR="00945CD6" w:rsidP="008F570D" w:rsidRDefault="00292B70" w14:paraId="4B385444" w14:textId="77777777">
      <w:pPr>
        <w:spacing w:after="120"/>
        <w:rPr>
          <w:b/>
        </w:rPr>
      </w:pPr>
      <w:r>
        <w:rPr>
          <w:b/>
        </w:rPr>
        <w:t xml:space="preserve">A15. </w:t>
      </w:r>
      <w:r w:rsidRPr="0072204D" w:rsidR="00945CD6">
        <w:rPr>
          <w:b/>
        </w:rPr>
        <w:t>Change in Burden</w:t>
      </w:r>
    </w:p>
    <w:p w:rsidRPr="009C1668" w:rsidR="00CB2ED6" w:rsidP="008F570D" w:rsidRDefault="00CB2ED6" w14:paraId="4B05A013" w14:textId="02FAB3E5">
      <w:r w:rsidRPr="009C1668">
        <w:t xml:space="preserve">This is for an individual information collection under the umbrella </w:t>
      </w:r>
      <w:r w:rsidRPr="009C1668" w:rsidR="001140AB">
        <w:t>formative generic clearance for program support (0970-0531</w:t>
      </w:r>
      <w:r w:rsidRPr="009C1668" w:rsidR="00542413">
        <w:t>).</w:t>
      </w:r>
    </w:p>
    <w:p w:rsidRPr="009C1668" w:rsidR="002338AC" w:rsidP="008F570D" w:rsidRDefault="002338AC" w14:paraId="31DADDE8" w14:textId="632686D3">
      <w:pPr>
        <w:ind w:left="360"/>
        <w:rPr>
          <w:sz w:val="28"/>
          <w:szCs w:val="28"/>
        </w:rPr>
      </w:pPr>
    </w:p>
    <w:p w:rsidR="0033072C" w:rsidP="008F570D" w:rsidRDefault="0033072C" w14:paraId="580F3480" w14:textId="77777777">
      <w:pPr>
        <w:ind w:left="360"/>
      </w:pPr>
    </w:p>
    <w:p w:rsidRPr="005A64C5" w:rsidR="00945CD6" w:rsidP="008F570D" w:rsidRDefault="00292B70" w14:paraId="347FE16D" w14:textId="77777777">
      <w:pPr>
        <w:spacing w:after="60"/>
        <w:rPr>
          <w:b/>
        </w:rPr>
      </w:pPr>
      <w:r w:rsidRPr="005A64C5">
        <w:rPr>
          <w:b/>
        </w:rPr>
        <w:t xml:space="preserve">A16. </w:t>
      </w:r>
      <w:r w:rsidRPr="005A64C5" w:rsidR="00945CD6">
        <w:rPr>
          <w:b/>
        </w:rPr>
        <w:t>Plan and Time Schedule for Information Collection, Tabulation and Publication</w:t>
      </w:r>
    </w:p>
    <w:p w:rsidR="002338AC" w:rsidP="008F570D" w:rsidRDefault="002D73E8" w14:paraId="412227CC" w14:textId="72F87143">
      <w:r>
        <w:t>The Medical Task Force plans to disseminate the survey, analyze and collate the responses, and prepare a summary report</w:t>
      </w:r>
      <w:r w:rsidR="0001650B">
        <w:t xml:space="preserve"> for ORR</w:t>
      </w:r>
      <w:r>
        <w:t xml:space="preserve"> by September 30, 2022.  In addition, to a project specific report, in</w:t>
      </w:r>
      <w:r w:rsidRPr="002D73E8">
        <w:t>formation resulting from the</w:t>
      </w:r>
      <w:r>
        <w:t xml:space="preserve"> survey may be included in </w:t>
      </w:r>
      <w:r w:rsidRPr="002D73E8">
        <w:t xml:space="preserve">technical assistance plans, presentations, infographics, or other documents relevant to stakeholders such as federal </w:t>
      </w:r>
      <w:r w:rsidRPr="002D73E8">
        <w:lastRenderedPageBreak/>
        <w:t xml:space="preserve">leadership and staff, </w:t>
      </w:r>
      <w:r>
        <w:t>recipients</w:t>
      </w:r>
      <w:r w:rsidRPr="002D73E8">
        <w:t xml:space="preserve">, local implementing agencies, and/or T/TA providers. In sharing findings, we will describe the study methods and limitations </w:t>
      </w:r>
      <w:proofErr w:type="gramStart"/>
      <w:r w:rsidRPr="002D73E8">
        <w:t>with regard to</w:t>
      </w:r>
      <w:proofErr w:type="gramEnd"/>
      <w:r w:rsidRPr="002D73E8">
        <w:t xml:space="preserve"> generalizability and as a basis for policy. </w:t>
      </w:r>
    </w:p>
    <w:p w:rsidR="002338AC" w:rsidP="008F570D" w:rsidRDefault="002338AC" w14:paraId="565D87F6" w14:textId="77777777">
      <w:pPr>
        <w:rPr>
          <w:b/>
        </w:rPr>
      </w:pPr>
    </w:p>
    <w:p w:rsidR="002338AC" w:rsidP="008F570D" w:rsidRDefault="002338AC" w14:paraId="5D35D3D0" w14:textId="77777777">
      <w:pPr>
        <w:rPr>
          <w:b/>
        </w:rPr>
      </w:pPr>
    </w:p>
    <w:p w:rsidRPr="0072204D" w:rsidR="00945CD6" w:rsidP="008F570D" w:rsidRDefault="00292B70" w14:paraId="750BBE88" w14:textId="77777777">
      <w:pPr>
        <w:spacing w:after="120"/>
        <w:rPr>
          <w:b/>
        </w:rPr>
      </w:pPr>
      <w:r>
        <w:rPr>
          <w:b/>
        </w:rPr>
        <w:t xml:space="preserve">A17. </w:t>
      </w:r>
      <w:r w:rsidRPr="0072204D" w:rsidR="00945CD6">
        <w:rPr>
          <w:b/>
        </w:rPr>
        <w:t>Reasons Not to Display OMB Expiration Date</w:t>
      </w:r>
    </w:p>
    <w:p w:rsidR="00D90EF6" w:rsidP="008F570D" w:rsidRDefault="00D90EF6" w14:paraId="5E995DCB" w14:textId="77777777">
      <w:r w:rsidRPr="002D73E8">
        <w:t>All instruments will display the expiration date for OMB approval.</w:t>
      </w:r>
    </w:p>
    <w:p w:rsidR="005046F0" w:rsidP="008F570D" w:rsidRDefault="005046F0" w14:paraId="3CB00E49" w14:textId="77777777">
      <w:pPr>
        <w:ind w:left="360"/>
      </w:pPr>
    </w:p>
    <w:p w:rsidR="002338AC" w:rsidP="008F570D" w:rsidRDefault="002338AC" w14:paraId="4920E2AE" w14:textId="77777777">
      <w:pPr>
        <w:ind w:left="360"/>
      </w:pPr>
    </w:p>
    <w:p w:rsidRPr="000B5EA8" w:rsidR="00945CD6" w:rsidP="008F570D" w:rsidRDefault="00292B70"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F570D" w:rsidRDefault="00D90EF6" w14:paraId="117373B9" w14:textId="77777777">
      <w:r w:rsidRPr="002D73E8">
        <w:rPr>
          <w:szCs w:val="22"/>
        </w:rPr>
        <w:t>No exceptions are necessary for this information collection.</w:t>
      </w:r>
      <w:r w:rsidR="000B5EA8">
        <w:tab/>
      </w:r>
    </w:p>
    <w:p w:rsidR="00D90EF6" w:rsidP="008F570D" w:rsidRDefault="00D90EF6" w14:paraId="152B33B0" w14:textId="77777777"/>
    <w:p w:rsidR="00AA29C0" w:rsidP="008F570D" w:rsidRDefault="00AA29C0" w14:paraId="356A923F" w14:textId="77777777"/>
    <w:p w:rsidR="00D06D5F" w:rsidP="008F570D" w:rsidRDefault="00D06D5F" w14:paraId="54795446" w14:textId="77777777">
      <w:pPr>
        <w:tabs>
          <w:tab w:val="left" w:pos="360"/>
        </w:tabs>
      </w:pPr>
    </w:p>
    <w:p w:rsidRPr="0072204D" w:rsidR="0072204D" w:rsidP="008F570D" w:rsidRDefault="0072204D" w14:paraId="4DA2F605" w14:textId="77777777"/>
    <w:sectPr w:rsidRPr="0072204D" w:rsidR="0072204D" w:rsidSect="00327B2E">
      <w:footerReference w:type="default" r:id="rId11"/>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B88FA" w14:textId="77777777" w:rsidR="001C21D5" w:rsidRDefault="001C21D5">
      <w:r>
        <w:separator/>
      </w:r>
    </w:p>
  </w:endnote>
  <w:endnote w:type="continuationSeparator" w:id="0">
    <w:p w14:paraId="523210E9" w14:textId="77777777" w:rsidR="001C21D5" w:rsidRDefault="001C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45F91" w14:textId="77777777" w:rsidR="001C21D5" w:rsidRDefault="001C21D5">
      <w:r>
        <w:separator/>
      </w:r>
    </w:p>
  </w:footnote>
  <w:footnote w:type="continuationSeparator" w:id="0">
    <w:p w14:paraId="03878CE3" w14:textId="77777777" w:rsidR="001C21D5" w:rsidRDefault="001C2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0"/>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9"/>
  </w:num>
  <w:num w:numId="17">
    <w:abstractNumId w:val="20"/>
  </w:num>
  <w:num w:numId="18">
    <w:abstractNumId w:val="17"/>
  </w:num>
  <w:num w:numId="19">
    <w:abstractNumId w:val="16"/>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5826"/>
    <w:rsid w:val="0001650B"/>
    <w:rsid w:val="000206B7"/>
    <w:rsid w:val="00034E58"/>
    <w:rsid w:val="000431B8"/>
    <w:rsid w:val="00051673"/>
    <w:rsid w:val="0005666D"/>
    <w:rsid w:val="0006066B"/>
    <w:rsid w:val="00065909"/>
    <w:rsid w:val="00067FE8"/>
    <w:rsid w:val="000731FD"/>
    <w:rsid w:val="0008097D"/>
    <w:rsid w:val="00082486"/>
    <w:rsid w:val="0008643E"/>
    <w:rsid w:val="000873C2"/>
    <w:rsid w:val="00091C59"/>
    <w:rsid w:val="000924AF"/>
    <w:rsid w:val="000964A6"/>
    <w:rsid w:val="000A3658"/>
    <w:rsid w:val="000B07A0"/>
    <w:rsid w:val="000B5EA8"/>
    <w:rsid w:val="000C0AEF"/>
    <w:rsid w:val="000D53DF"/>
    <w:rsid w:val="000E4E23"/>
    <w:rsid w:val="000F3A8D"/>
    <w:rsid w:val="001140AB"/>
    <w:rsid w:val="001208FB"/>
    <w:rsid w:val="00124EBF"/>
    <w:rsid w:val="00130457"/>
    <w:rsid w:val="001364F2"/>
    <w:rsid w:val="001440CF"/>
    <w:rsid w:val="0016012E"/>
    <w:rsid w:val="0016728F"/>
    <w:rsid w:val="00171616"/>
    <w:rsid w:val="00180C07"/>
    <w:rsid w:val="00183C0F"/>
    <w:rsid w:val="001A5AF9"/>
    <w:rsid w:val="001C21D5"/>
    <w:rsid w:val="001C2CEE"/>
    <w:rsid w:val="001C4D60"/>
    <w:rsid w:val="001D723D"/>
    <w:rsid w:val="001E65C0"/>
    <w:rsid w:val="0020382F"/>
    <w:rsid w:val="00204967"/>
    <w:rsid w:val="00213793"/>
    <w:rsid w:val="002231FA"/>
    <w:rsid w:val="002235CF"/>
    <w:rsid w:val="002245DF"/>
    <w:rsid w:val="0023202F"/>
    <w:rsid w:val="002338AC"/>
    <w:rsid w:val="00234E8D"/>
    <w:rsid w:val="00235A6D"/>
    <w:rsid w:val="002408DE"/>
    <w:rsid w:val="0025173C"/>
    <w:rsid w:val="00253148"/>
    <w:rsid w:val="00255D2D"/>
    <w:rsid w:val="002912B2"/>
    <w:rsid w:val="00292B70"/>
    <w:rsid w:val="002A1F68"/>
    <w:rsid w:val="002A319B"/>
    <w:rsid w:val="002B4DBE"/>
    <w:rsid w:val="002C4F75"/>
    <w:rsid w:val="002C5063"/>
    <w:rsid w:val="002C6AD1"/>
    <w:rsid w:val="002C725A"/>
    <w:rsid w:val="002D4B0A"/>
    <w:rsid w:val="002D73E8"/>
    <w:rsid w:val="002F0E43"/>
    <w:rsid w:val="003016AD"/>
    <w:rsid w:val="00313786"/>
    <w:rsid w:val="0031518E"/>
    <w:rsid w:val="003277CF"/>
    <w:rsid w:val="00327B2E"/>
    <w:rsid w:val="0033072C"/>
    <w:rsid w:val="003372C8"/>
    <w:rsid w:val="00346CDF"/>
    <w:rsid w:val="00346CF5"/>
    <w:rsid w:val="00350893"/>
    <w:rsid w:val="00362A20"/>
    <w:rsid w:val="00366643"/>
    <w:rsid w:val="00374DAB"/>
    <w:rsid w:val="0038291A"/>
    <w:rsid w:val="0038723D"/>
    <w:rsid w:val="0039111A"/>
    <w:rsid w:val="003939BE"/>
    <w:rsid w:val="00394573"/>
    <w:rsid w:val="003A5C64"/>
    <w:rsid w:val="003B79E6"/>
    <w:rsid w:val="003D5231"/>
    <w:rsid w:val="003D77C7"/>
    <w:rsid w:val="003E0F2F"/>
    <w:rsid w:val="003F16F2"/>
    <w:rsid w:val="003F5B80"/>
    <w:rsid w:val="00417C9C"/>
    <w:rsid w:val="004222F8"/>
    <w:rsid w:val="00422C1B"/>
    <w:rsid w:val="00423DAF"/>
    <w:rsid w:val="00436B64"/>
    <w:rsid w:val="00436F5E"/>
    <w:rsid w:val="004511DB"/>
    <w:rsid w:val="004522FF"/>
    <w:rsid w:val="004554B1"/>
    <w:rsid w:val="00456E2F"/>
    <w:rsid w:val="004652D5"/>
    <w:rsid w:val="00482DDE"/>
    <w:rsid w:val="00483EE2"/>
    <w:rsid w:val="004A44DD"/>
    <w:rsid w:val="004A616E"/>
    <w:rsid w:val="004A6E85"/>
    <w:rsid w:val="004B587E"/>
    <w:rsid w:val="004B6298"/>
    <w:rsid w:val="004B62F7"/>
    <w:rsid w:val="004C11B4"/>
    <w:rsid w:val="004C2ADD"/>
    <w:rsid w:val="004C3B4D"/>
    <w:rsid w:val="004C4E21"/>
    <w:rsid w:val="004D39F2"/>
    <w:rsid w:val="004D6CA9"/>
    <w:rsid w:val="004F4749"/>
    <w:rsid w:val="004F4E1D"/>
    <w:rsid w:val="00500FBA"/>
    <w:rsid w:val="005046F0"/>
    <w:rsid w:val="00507F35"/>
    <w:rsid w:val="00520737"/>
    <w:rsid w:val="00533619"/>
    <w:rsid w:val="005353B7"/>
    <w:rsid w:val="00541024"/>
    <w:rsid w:val="00542413"/>
    <w:rsid w:val="005706CA"/>
    <w:rsid w:val="00595F9B"/>
    <w:rsid w:val="005A64C5"/>
    <w:rsid w:val="005C0399"/>
    <w:rsid w:val="005D1C29"/>
    <w:rsid w:val="005E4FB2"/>
    <w:rsid w:val="005F2061"/>
    <w:rsid w:val="006010CA"/>
    <w:rsid w:val="0060719F"/>
    <w:rsid w:val="00607351"/>
    <w:rsid w:val="006103BD"/>
    <w:rsid w:val="00620C7F"/>
    <w:rsid w:val="006228E1"/>
    <w:rsid w:val="006325AD"/>
    <w:rsid w:val="00651DBA"/>
    <w:rsid w:val="006563FA"/>
    <w:rsid w:val="00656804"/>
    <w:rsid w:val="00657424"/>
    <w:rsid w:val="00671071"/>
    <w:rsid w:val="00680FFE"/>
    <w:rsid w:val="006A5606"/>
    <w:rsid w:val="006A7EFA"/>
    <w:rsid w:val="006B6845"/>
    <w:rsid w:val="006C0DE9"/>
    <w:rsid w:val="006C4E7F"/>
    <w:rsid w:val="006C543E"/>
    <w:rsid w:val="006C769C"/>
    <w:rsid w:val="006D2637"/>
    <w:rsid w:val="006F020D"/>
    <w:rsid w:val="00701045"/>
    <w:rsid w:val="00711BC5"/>
    <w:rsid w:val="007168BB"/>
    <w:rsid w:val="00717DC8"/>
    <w:rsid w:val="0072204D"/>
    <w:rsid w:val="007250A3"/>
    <w:rsid w:val="00726F35"/>
    <w:rsid w:val="00736F1D"/>
    <w:rsid w:val="00746BEA"/>
    <w:rsid w:val="00752FFB"/>
    <w:rsid w:val="00762B97"/>
    <w:rsid w:val="0076621E"/>
    <w:rsid w:val="00772457"/>
    <w:rsid w:val="0077465C"/>
    <w:rsid w:val="007753E8"/>
    <w:rsid w:val="00776C1A"/>
    <w:rsid w:val="00784137"/>
    <w:rsid w:val="007907FB"/>
    <w:rsid w:val="007A075B"/>
    <w:rsid w:val="007A6C3C"/>
    <w:rsid w:val="007D295D"/>
    <w:rsid w:val="007D736B"/>
    <w:rsid w:val="007E2611"/>
    <w:rsid w:val="007F3253"/>
    <w:rsid w:val="007F52E7"/>
    <w:rsid w:val="008043BD"/>
    <w:rsid w:val="00806712"/>
    <w:rsid w:val="008159FE"/>
    <w:rsid w:val="00827C1D"/>
    <w:rsid w:val="00831860"/>
    <w:rsid w:val="008335AC"/>
    <w:rsid w:val="008352F7"/>
    <w:rsid w:val="00853264"/>
    <w:rsid w:val="0087178D"/>
    <w:rsid w:val="0087234E"/>
    <w:rsid w:val="00877346"/>
    <w:rsid w:val="00885622"/>
    <w:rsid w:val="00886425"/>
    <w:rsid w:val="00886AAE"/>
    <w:rsid w:val="00893F85"/>
    <w:rsid w:val="008A4146"/>
    <w:rsid w:val="008A7B77"/>
    <w:rsid w:val="008B7F2C"/>
    <w:rsid w:val="008C27A1"/>
    <w:rsid w:val="008C6A6B"/>
    <w:rsid w:val="008C76FA"/>
    <w:rsid w:val="008C78B4"/>
    <w:rsid w:val="008F10A2"/>
    <w:rsid w:val="008F19A7"/>
    <w:rsid w:val="008F51CB"/>
    <w:rsid w:val="008F570D"/>
    <w:rsid w:val="009032AD"/>
    <w:rsid w:val="009108F2"/>
    <w:rsid w:val="009160EF"/>
    <w:rsid w:val="009309EC"/>
    <w:rsid w:val="00932D71"/>
    <w:rsid w:val="00933DAA"/>
    <w:rsid w:val="00940B40"/>
    <w:rsid w:val="00945CD6"/>
    <w:rsid w:val="009476D1"/>
    <w:rsid w:val="00957AE3"/>
    <w:rsid w:val="009648CE"/>
    <w:rsid w:val="00984BBF"/>
    <w:rsid w:val="00984CA2"/>
    <w:rsid w:val="00986636"/>
    <w:rsid w:val="009B1638"/>
    <w:rsid w:val="009C1668"/>
    <w:rsid w:val="009C40DB"/>
    <w:rsid w:val="009D2DCD"/>
    <w:rsid w:val="009D47D2"/>
    <w:rsid w:val="009E28C8"/>
    <w:rsid w:val="009E7697"/>
    <w:rsid w:val="00A020E8"/>
    <w:rsid w:val="00A114C5"/>
    <w:rsid w:val="00A12E06"/>
    <w:rsid w:val="00A33767"/>
    <w:rsid w:val="00A35B0D"/>
    <w:rsid w:val="00A35E23"/>
    <w:rsid w:val="00A412C5"/>
    <w:rsid w:val="00A44209"/>
    <w:rsid w:val="00A61F03"/>
    <w:rsid w:val="00A865D8"/>
    <w:rsid w:val="00A90E73"/>
    <w:rsid w:val="00A91473"/>
    <w:rsid w:val="00AA29C0"/>
    <w:rsid w:val="00AB02FF"/>
    <w:rsid w:val="00AB6CE3"/>
    <w:rsid w:val="00AC0FED"/>
    <w:rsid w:val="00AC109A"/>
    <w:rsid w:val="00AC7BF8"/>
    <w:rsid w:val="00AD7A3F"/>
    <w:rsid w:val="00AE6861"/>
    <w:rsid w:val="00AF113D"/>
    <w:rsid w:val="00AF1F02"/>
    <w:rsid w:val="00B14396"/>
    <w:rsid w:val="00B2103D"/>
    <w:rsid w:val="00B269A7"/>
    <w:rsid w:val="00B3503B"/>
    <w:rsid w:val="00B66874"/>
    <w:rsid w:val="00B67D2D"/>
    <w:rsid w:val="00B70F87"/>
    <w:rsid w:val="00B73ACF"/>
    <w:rsid w:val="00B83986"/>
    <w:rsid w:val="00B84547"/>
    <w:rsid w:val="00B91D97"/>
    <w:rsid w:val="00B9653D"/>
    <w:rsid w:val="00BA113D"/>
    <w:rsid w:val="00BB13A6"/>
    <w:rsid w:val="00BB7C0F"/>
    <w:rsid w:val="00BC0BCF"/>
    <w:rsid w:val="00BC5BC8"/>
    <w:rsid w:val="00BC7120"/>
    <w:rsid w:val="00BD4CFB"/>
    <w:rsid w:val="00BE10E2"/>
    <w:rsid w:val="00BE2066"/>
    <w:rsid w:val="00BE4D8F"/>
    <w:rsid w:val="00BE7952"/>
    <w:rsid w:val="00C018BC"/>
    <w:rsid w:val="00C01959"/>
    <w:rsid w:val="00C12B95"/>
    <w:rsid w:val="00C1674B"/>
    <w:rsid w:val="00C24F59"/>
    <w:rsid w:val="00C50931"/>
    <w:rsid w:val="00C53E0A"/>
    <w:rsid w:val="00C56EA9"/>
    <w:rsid w:val="00C61D89"/>
    <w:rsid w:val="00C66C4D"/>
    <w:rsid w:val="00C81765"/>
    <w:rsid w:val="00C91BCA"/>
    <w:rsid w:val="00CA00CA"/>
    <w:rsid w:val="00CA0402"/>
    <w:rsid w:val="00CB2ED6"/>
    <w:rsid w:val="00CB3B0A"/>
    <w:rsid w:val="00CC2CD1"/>
    <w:rsid w:val="00CE6EFF"/>
    <w:rsid w:val="00CF0F15"/>
    <w:rsid w:val="00CF2156"/>
    <w:rsid w:val="00CF651B"/>
    <w:rsid w:val="00D012A6"/>
    <w:rsid w:val="00D01AA6"/>
    <w:rsid w:val="00D05244"/>
    <w:rsid w:val="00D0570F"/>
    <w:rsid w:val="00D05810"/>
    <w:rsid w:val="00D06D5F"/>
    <w:rsid w:val="00D14620"/>
    <w:rsid w:val="00D234D2"/>
    <w:rsid w:val="00D26996"/>
    <w:rsid w:val="00D277B1"/>
    <w:rsid w:val="00D322A6"/>
    <w:rsid w:val="00D32B15"/>
    <w:rsid w:val="00D44EA5"/>
    <w:rsid w:val="00D519D9"/>
    <w:rsid w:val="00D65BEA"/>
    <w:rsid w:val="00D7547F"/>
    <w:rsid w:val="00D90EF6"/>
    <w:rsid w:val="00DA71EE"/>
    <w:rsid w:val="00DB1C0B"/>
    <w:rsid w:val="00DD509F"/>
    <w:rsid w:val="00DE3F85"/>
    <w:rsid w:val="00DE5BED"/>
    <w:rsid w:val="00DF13AE"/>
    <w:rsid w:val="00E00860"/>
    <w:rsid w:val="00E05A0A"/>
    <w:rsid w:val="00E06D37"/>
    <w:rsid w:val="00E12693"/>
    <w:rsid w:val="00E15151"/>
    <w:rsid w:val="00E160D0"/>
    <w:rsid w:val="00E21852"/>
    <w:rsid w:val="00E226B8"/>
    <w:rsid w:val="00E25C0D"/>
    <w:rsid w:val="00E272EE"/>
    <w:rsid w:val="00E31C7F"/>
    <w:rsid w:val="00E337FC"/>
    <w:rsid w:val="00E41D46"/>
    <w:rsid w:val="00E43234"/>
    <w:rsid w:val="00E4323E"/>
    <w:rsid w:val="00E46612"/>
    <w:rsid w:val="00E6055C"/>
    <w:rsid w:val="00E620BB"/>
    <w:rsid w:val="00E631DB"/>
    <w:rsid w:val="00E72E9A"/>
    <w:rsid w:val="00E84B0F"/>
    <w:rsid w:val="00E86DB9"/>
    <w:rsid w:val="00EA12DE"/>
    <w:rsid w:val="00EB5B54"/>
    <w:rsid w:val="00EC0BFF"/>
    <w:rsid w:val="00EC329F"/>
    <w:rsid w:val="00EE0E1A"/>
    <w:rsid w:val="00EE3AD0"/>
    <w:rsid w:val="00EE5F78"/>
    <w:rsid w:val="00EE686B"/>
    <w:rsid w:val="00EE6E1A"/>
    <w:rsid w:val="00EF4813"/>
    <w:rsid w:val="00F045B4"/>
    <w:rsid w:val="00F13590"/>
    <w:rsid w:val="00F17B4C"/>
    <w:rsid w:val="00F236B2"/>
    <w:rsid w:val="00F366C1"/>
    <w:rsid w:val="00F514D1"/>
    <w:rsid w:val="00F5177C"/>
    <w:rsid w:val="00F518C1"/>
    <w:rsid w:val="00F613AF"/>
    <w:rsid w:val="00F64551"/>
    <w:rsid w:val="00F73374"/>
    <w:rsid w:val="00F73C6D"/>
    <w:rsid w:val="00F73FD1"/>
    <w:rsid w:val="00F75643"/>
    <w:rsid w:val="00F90DD2"/>
    <w:rsid w:val="00FA05FE"/>
    <w:rsid w:val="00FC0215"/>
    <w:rsid w:val="00FC04C5"/>
    <w:rsid w:val="00FC196A"/>
    <w:rsid w:val="00FC32FC"/>
    <w:rsid w:val="00FD1B70"/>
    <w:rsid w:val="00FD7600"/>
    <w:rsid w:val="00FE084D"/>
    <w:rsid w:val="00FE7BEF"/>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FollowedHyperlink">
    <w:name w:val="FollowedHyperlink"/>
    <w:basedOn w:val="DefaultParagraphFont"/>
    <w:rsid w:val="00CF0F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777725573">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1526</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ACF PRA</cp:lastModifiedBy>
  <cp:revision>2</cp:revision>
  <cp:lastPrinted>2009-01-26T16:35:00Z</cp:lastPrinted>
  <dcterms:created xsi:type="dcterms:W3CDTF">2022-06-28T17:00:00Z</dcterms:created>
  <dcterms:modified xsi:type="dcterms:W3CDTF">2022-06-28T17:00:00Z</dcterms:modified>
</cp:coreProperties>
</file>