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255A" w:rsidRPr="008C79A8" w14:paraId="44C74E1C" w14:textId="77777777">
      <w:pPr>
        <w:rPr>
          <w:rFonts w:cstheme="minorHAnsi"/>
          <w:b/>
        </w:rPr>
      </w:pPr>
    </w:p>
    <w:p w:rsidR="004A084F" w:rsidP="004A084F" w14:paraId="7773EC26" w14:textId="77777777">
      <w:pPr>
        <w:rPr>
          <w:rFonts w:cstheme="minorHAnsi"/>
          <w:b/>
        </w:rPr>
      </w:pPr>
    </w:p>
    <w:p w:rsidR="004A084F" w:rsidP="004A084F" w14:paraId="353753A2" w14:textId="77777777">
      <w:pPr>
        <w:pStyle w:val="ReportCover-Title"/>
        <w:jc w:val="center"/>
        <w:rPr>
          <w:rFonts w:ascii="Arial" w:eastAsia="Arial Unicode MS" w:hAnsi="Arial" w:cs="Arial"/>
          <w:noProof/>
          <w:color w:val="auto"/>
        </w:rPr>
      </w:pPr>
      <w:r>
        <w:rPr>
          <w:rFonts w:ascii="Arial" w:eastAsia="Arial Unicode MS" w:hAnsi="Arial" w:cs="Arial"/>
          <w:noProof/>
          <w:color w:val="auto"/>
        </w:rPr>
        <w:t xml:space="preserve">Court Improvement Program </w:t>
      </w:r>
    </w:p>
    <w:p w:rsidR="004A084F" w:rsidP="004A084F" w14:paraId="269041FF" w14:textId="77777777">
      <w:pPr>
        <w:pStyle w:val="ReportCover-Title"/>
        <w:jc w:val="center"/>
        <w:rPr>
          <w:rFonts w:ascii="Arial" w:eastAsia="Arial Unicode MS" w:hAnsi="Arial" w:cs="Arial"/>
          <w:noProof/>
          <w:color w:val="auto"/>
        </w:rPr>
      </w:pPr>
      <w:r>
        <w:rPr>
          <w:rFonts w:ascii="Arial" w:eastAsia="Arial Unicode MS" w:hAnsi="Arial" w:cs="Arial"/>
          <w:noProof/>
          <w:color w:val="auto"/>
        </w:rPr>
        <w:t>Court System Structures</w:t>
      </w:r>
    </w:p>
    <w:p w:rsidR="00D6674E" w:rsidRPr="00F112BA" w:rsidP="00B13297" w14:paraId="5FE27AD5" w14:textId="77777777">
      <w:pPr>
        <w:pStyle w:val="ReportCover-Title"/>
        <w:rPr>
          <w:rFonts w:ascii="Arial" w:hAnsi="Arial" w:cs="Arial"/>
          <w:color w:val="auto"/>
        </w:rPr>
      </w:pPr>
    </w:p>
    <w:p w:rsidR="00B3652D" w:rsidRPr="00F112BA" w:rsidP="00B3652D" w14:paraId="02912926" w14:textId="77777777">
      <w:pPr>
        <w:pStyle w:val="ReportCover-Title"/>
        <w:jc w:val="center"/>
        <w:rPr>
          <w:rFonts w:ascii="Arial" w:hAnsi="Arial" w:cs="Arial"/>
          <w:color w:val="auto"/>
          <w:sz w:val="32"/>
          <w:szCs w:val="32"/>
        </w:rPr>
      </w:pPr>
      <w:r w:rsidRPr="00F112BA">
        <w:rPr>
          <w:rFonts w:ascii="Arial" w:hAnsi="Arial" w:cs="Arial"/>
          <w:color w:val="auto"/>
          <w:sz w:val="32"/>
          <w:szCs w:val="32"/>
        </w:rPr>
        <w:t>Formative Data Collections for Program Support</w:t>
      </w:r>
    </w:p>
    <w:p w:rsidR="00B3652D" w:rsidRPr="00F112BA" w:rsidP="00B3652D" w14:paraId="15E44A95" w14:textId="77777777">
      <w:pPr>
        <w:pStyle w:val="ReportCover-Title"/>
        <w:jc w:val="center"/>
        <w:rPr>
          <w:rFonts w:ascii="Arial" w:hAnsi="Arial" w:cs="Arial"/>
          <w:color w:val="auto"/>
          <w:sz w:val="32"/>
          <w:szCs w:val="32"/>
        </w:rPr>
      </w:pPr>
    </w:p>
    <w:p w:rsidR="00B3652D" w:rsidRPr="00F112BA" w:rsidP="00B3652D" w14:paraId="720DFD4F" w14:textId="77777777">
      <w:pPr>
        <w:pStyle w:val="ReportCover-Title"/>
        <w:jc w:val="center"/>
        <w:rPr>
          <w:rFonts w:ascii="Arial" w:hAnsi="Arial" w:cs="Arial"/>
          <w:color w:val="auto"/>
          <w:sz w:val="32"/>
          <w:szCs w:val="32"/>
        </w:rPr>
      </w:pPr>
      <w:r w:rsidRPr="00F112BA">
        <w:rPr>
          <w:rFonts w:ascii="Arial" w:hAnsi="Arial" w:cs="Arial"/>
          <w:color w:val="auto"/>
          <w:sz w:val="32"/>
          <w:szCs w:val="32"/>
        </w:rPr>
        <w:t xml:space="preserve">0970 - </w:t>
      </w:r>
      <w:r w:rsidRPr="00F112BA" w:rsidR="008C2FD9">
        <w:rPr>
          <w:rFonts w:ascii="Arial" w:hAnsi="Arial" w:cs="Arial"/>
          <w:color w:val="auto"/>
          <w:sz w:val="32"/>
          <w:szCs w:val="32"/>
        </w:rPr>
        <w:t>0531</w:t>
      </w:r>
    </w:p>
    <w:p w:rsidR="0054255A" w:rsidRPr="00F112BA" w:rsidP="00B13297" w14:paraId="1DBBC5F9" w14:textId="77777777">
      <w:pPr>
        <w:rPr>
          <w:rFonts w:ascii="Arial" w:hAnsi="Arial" w:cs="Arial"/>
        </w:rPr>
      </w:pPr>
    </w:p>
    <w:p w:rsidR="0054255A" w:rsidRPr="00F112BA" w:rsidP="00B13297" w14:paraId="47A6A81D" w14:textId="77777777">
      <w:pPr>
        <w:pStyle w:val="ReportCover-Date"/>
        <w:jc w:val="center"/>
        <w:rPr>
          <w:rFonts w:ascii="Arial" w:hAnsi="Arial" w:cs="Arial"/>
          <w:color w:val="auto"/>
        </w:rPr>
      </w:pPr>
    </w:p>
    <w:p w:rsidR="0054255A" w:rsidRPr="00F112BA" w:rsidP="00B13297" w14:paraId="5F8C4563" w14:textId="77777777">
      <w:pPr>
        <w:pStyle w:val="ReportCover-Date"/>
        <w:spacing w:after="360" w:line="240" w:lineRule="auto"/>
        <w:jc w:val="center"/>
        <w:rPr>
          <w:rFonts w:ascii="Arial" w:hAnsi="Arial" w:cs="Arial"/>
          <w:color w:val="auto"/>
          <w:sz w:val="48"/>
          <w:szCs w:val="48"/>
        </w:rPr>
      </w:pPr>
      <w:r w:rsidRPr="00F112BA">
        <w:rPr>
          <w:rFonts w:ascii="Arial" w:hAnsi="Arial" w:cs="Arial"/>
          <w:color w:val="auto"/>
          <w:sz w:val="48"/>
          <w:szCs w:val="48"/>
        </w:rPr>
        <w:t>Supporting Statement</w:t>
      </w:r>
    </w:p>
    <w:p w:rsidR="0054255A" w:rsidRPr="00F112BA" w:rsidP="00B13297" w14:paraId="234ED38A" w14:textId="77777777">
      <w:pPr>
        <w:pStyle w:val="ReportCover-Date"/>
        <w:spacing w:after="360" w:line="240" w:lineRule="auto"/>
        <w:jc w:val="center"/>
        <w:rPr>
          <w:rFonts w:ascii="Arial" w:hAnsi="Arial" w:cs="Arial"/>
          <w:color w:val="auto"/>
          <w:sz w:val="48"/>
          <w:szCs w:val="48"/>
        </w:rPr>
      </w:pPr>
      <w:r w:rsidRPr="00F112BA">
        <w:rPr>
          <w:rFonts w:ascii="Arial" w:hAnsi="Arial" w:cs="Arial"/>
          <w:color w:val="auto"/>
          <w:sz w:val="48"/>
          <w:szCs w:val="48"/>
        </w:rPr>
        <w:t>Part A</w:t>
      </w:r>
    </w:p>
    <w:p w:rsidR="0054255A" w:rsidRPr="009D3A64" w:rsidP="00B13297" w14:paraId="2216102E" w14:textId="0C2F43B5">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October </w:t>
      </w:r>
      <w:r w:rsidR="00173A5A">
        <w:rPr>
          <w:rFonts w:asciiTheme="minorHAnsi" w:hAnsiTheme="minorHAnsi" w:cstheme="minorHAnsi"/>
          <w:color w:val="auto"/>
          <w:sz w:val="22"/>
          <w:szCs w:val="22"/>
        </w:rPr>
        <w:t>2022</w:t>
      </w:r>
    </w:p>
    <w:p w:rsidR="0054255A" w:rsidRPr="009D3A64" w:rsidP="00B13297" w14:paraId="43776D48" w14:textId="77777777">
      <w:pPr>
        <w:spacing w:after="0" w:line="240" w:lineRule="auto"/>
        <w:jc w:val="center"/>
        <w:rPr>
          <w:rFonts w:cstheme="minorHAnsi"/>
        </w:rPr>
      </w:pPr>
    </w:p>
    <w:p w:rsidR="0054255A" w:rsidRPr="009D3A64" w:rsidP="00B13297" w14:paraId="57A84250" w14:textId="77777777">
      <w:pPr>
        <w:spacing w:after="0" w:line="240" w:lineRule="auto"/>
        <w:jc w:val="center"/>
        <w:rPr>
          <w:rFonts w:cstheme="minorHAnsi"/>
        </w:rPr>
      </w:pPr>
      <w:r w:rsidRPr="009D3A64">
        <w:rPr>
          <w:rFonts w:cstheme="minorHAnsi"/>
        </w:rPr>
        <w:t>Submitted By:</w:t>
      </w:r>
    </w:p>
    <w:p w:rsidR="0054255A" w:rsidRPr="009D3A64" w:rsidP="00B13297" w14:paraId="6D04EB20" w14:textId="5CA8A920">
      <w:pPr>
        <w:spacing w:after="0" w:line="240" w:lineRule="auto"/>
        <w:jc w:val="center"/>
        <w:rPr>
          <w:rFonts w:cstheme="minorHAnsi"/>
        </w:rPr>
      </w:pPr>
      <w:r>
        <w:rPr>
          <w:rFonts w:cstheme="minorHAnsi"/>
        </w:rPr>
        <w:t>Children’s Bureau</w:t>
      </w:r>
    </w:p>
    <w:p w:rsidR="0054255A" w:rsidRPr="009D3A64" w:rsidP="00B13297" w14:paraId="70BD1253" w14:textId="77777777">
      <w:pPr>
        <w:spacing w:after="0" w:line="240" w:lineRule="auto"/>
        <w:jc w:val="center"/>
        <w:rPr>
          <w:rFonts w:cstheme="minorHAnsi"/>
        </w:rPr>
      </w:pPr>
      <w:r w:rsidRPr="009D3A64">
        <w:rPr>
          <w:rFonts w:cstheme="minorHAnsi"/>
        </w:rPr>
        <w:t xml:space="preserve">Administration for Children and Families </w:t>
      </w:r>
    </w:p>
    <w:p w:rsidR="0054255A" w:rsidRPr="009D3A64" w:rsidP="00B13297" w14:paraId="2074E2FB" w14:textId="77777777">
      <w:pPr>
        <w:spacing w:after="0" w:line="240" w:lineRule="auto"/>
        <w:jc w:val="center"/>
        <w:rPr>
          <w:rFonts w:cstheme="minorHAnsi"/>
        </w:rPr>
      </w:pPr>
      <w:r w:rsidRPr="009D3A64">
        <w:rPr>
          <w:rFonts w:cstheme="minorHAnsi"/>
        </w:rPr>
        <w:t>U.S. Department of Health and Human Services</w:t>
      </w:r>
    </w:p>
    <w:p w:rsidR="0054255A" w:rsidRPr="009D3A64" w:rsidP="00B13297" w14:paraId="3F346F28" w14:textId="77777777">
      <w:pPr>
        <w:spacing w:after="0" w:line="240" w:lineRule="auto"/>
        <w:jc w:val="center"/>
        <w:rPr>
          <w:rFonts w:cstheme="minorHAnsi"/>
        </w:rPr>
      </w:pPr>
    </w:p>
    <w:p w:rsidR="0054255A" w:rsidRPr="009D3A64" w:rsidP="00B13297" w14:paraId="59991F4E" w14:textId="77777777">
      <w:pPr>
        <w:spacing w:after="0" w:line="240" w:lineRule="auto"/>
        <w:jc w:val="center"/>
        <w:rPr>
          <w:rFonts w:cstheme="minorHAnsi"/>
        </w:rPr>
      </w:pPr>
      <w:r w:rsidRPr="009D3A64">
        <w:rPr>
          <w:rFonts w:cstheme="minorHAnsi"/>
        </w:rPr>
        <w:t>4</w:t>
      </w:r>
      <w:r w:rsidRPr="009D3A64">
        <w:rPr>
          <w:rFonts w:cstheme="minorHAnsi"/>
          <w:vertAlign w:val="superscript"/>
        </w:rPr>
        <w:t>th</w:t>
      </w:r>
      <w:r w:rsidRPr="009D3A64">
        <w:rPr>
          <w:rFonts w:cstheme="minorHAnsi"/>
        </w:rPr>
        <w:t xml:space="preserve"> Floor, Mary E. Switzer Building</w:t>
      </w:r>
    </w:p>
    <w:p w:rsidR="0054255A" w:rsidRPr="009D3A64" w:rsidP="00B13297" w14:paraId="6252E201" w14:textId="77777777">
      <w:pPr>
        <w:spacing w:after="0" w:line="240" w:lineRule="auto"/>
        <w:jc w:val="center"/>
        <w:rPr>
          <w:rFonts w:cstheme="minorHAnsi"/>
        </w:rPr>
      </w:pPr>
      <w:r w:rsidRPr="009D3A64">
        <w:rPr>
          <w:rFonts w:cstheme="minorHAnsi"/>
        </w:rPr>
        <w:t>330 C Street, SW</w:t>
      </w:r>
    </w:p>
    <w:p w:rsidR="0054255A" w:rsidRPr="009D3A64" w:rsidP="00B13297" w14:paraId="20B52512" w14:textId="77777777">
      <w:pPr>
        <w:spacing w:after="0" w:line="240" w:lineRule="auto"/>
        <w:jc w:val="center"/>
        <w:rPr>
          <w:rFonts w:cstheme="minorHAnsi"/>
        </w:rPr>
      </w:pPr>
      <w:r w:rsidRPr="009D3A64">
        <w:rPr>
          <w:rFonts w:cstheme="minorHAnsi"/>
        </w:rPr>
        <w:t>Washington, D.C. 20201</w:t>
      </w:r>
    </w:p>
    <w:p w:rsidR="0054255A" w:rsidRPr="009D3A64" w:rsidP="00B13297" w14:paraId="605BDBCF" w14:textId="77777777">
      <w:pPr>
        <w:spacing w:after="0" w:line="240" w:lineRule="auto"/>
        <w:jc w:val="center"/>
        <w:rPr>
          <w:rFonts w:cstheme="minorHAnsi"/>
        </w:rPr>
      </w:pPr>
    </w:p>
    <w:p w:rsidR="008C2FD9" w:rsidP="00B13297" w14:paraId="33539BA8" w14:textId="4AAB544C">
      <w:pPr>
        <w:spacing w:after="0" w:line="240" w:lineRule="auto"/>
        <w:jc w:val="center"/>
        <w:rPr>
          <w:rFonts w:cstheme="minorHAnsi"/>
        </w:rPr>
      </w:pPr>
      <w:r>
        <w:rPr>
          <w:rFonts w:cstheme="minorHAnsi"/>
        </w:rPr>
        <w:t>Contact:</w:t>
      </w:r>
      <w:r>
        <w:rPr>
          <w:rFonts w:cstheme="minorHAnsi"/>
        </w:rPr>
        <w:br/>
      </w:r>
    </w:p>
    <w:p w:rsidR="00431D25" w:rsidP="00B13297" w14:paraId="251B1C06" w14:textId="60C668C1">
      <w:pPr>
        <w:spacing w:after="0" w:line="240" w:lineRule="auto"/>
        <w:jc w:val="center"/>
        <w:rPr>
          <w:rFonts w:cstheme="minorHAnsi"/>
        </w:rPr>
      </w:pPr>
      <w:r>
        <w:rPr>
          <w:rFonts w:cstheme="minorHAnsi"/>
        </w:rPr>
        <w:t>Scott Trowbridge, JD</w:t>
      </w:r>
      <w:r>
        <w:rPr>
          <w:rFonts w:cstheme="minorHAnsi"/>
        </w:rPr>
        <w:br/>
      </w:r>
      <w:r>
        <w:rPr>
          <w:rFonts w:cstheme="minorHAnsi"/>
        </w:rPr>
        <w:t>Child Welfare Specialist for Court Improvement</w:t>
      </w:r>
    </w:p>
    <w:p w:rsidR="00DA32E5" w:rsidRPr="009D3A64" w:rsidP="00B13297" w14:paraId="36ADA9FA" w14:textId="79332F95">
      <w:pPr>
        <w:spacing w:after="0" w:line="240" w:lineRule="auto"/>
        <w:jc w:val="center"/>
        <w:rPr>
          <w:rFonts w:cstheme="minorHAnsi"/>
        </w:rPr>
      </w:pPr>
      <w:hyperlink r:id="rId9" w:history="1">
        <w:r w:rsidRPr="00C03BC4">
          <w:rPr>
            <w:rStyle w:val="Hyperlink"/>
            <w:rFonts w:cstheme="minorHAnsi"/>
          </w:rPr>
          <w:t>scott.trowbridge@acf.hhs.gov</w:t>
        </w:r>
      </w:hyperlink>
      <w:r>
        <w:rPr>
          <w:rFonts w:cstheme="minorHAnsi"/>
        </w:rPr>
        <w:t xml:space="preserve"> </w:t>
      </w:r>
    </w:p>
    <w:p w:rsidR="0054255A" w:rsidRPr="009D3A64" w:rsidP="00B13297" w14:paraId="4691ADB8" w14:textId="77777777">
      <w:pPr>
        <w:spacing w:after="0" w:line="240" w:lineRule="auto"/>
        <w:jc w:val="center"/>
        <w:rPr>
          <w:rFonts w:cstheme="minorHAnsi"/>
          <w:b/>
        </w:rPr>
      </w:pPr>
    </w:p>
    <w:p w:rsidR="0054255A" w:rsidRPr="009D3A64" w:rsidP="00B13297" w14:paraId="5DC25185" w14:textId="77777777">
      <w:pPr>
        <w:spacing w:after="0" w:line="240" w:lineRule="auto"/>
        <w:jc w:val="center"/>
        <w:rPr>
          <w:rFonts w:cstheme="minorHAnsi"/>
          <w:b/>
        </w:rPr>
      </w:pPr>
    </w:p>
    <w:p w:rsidR="0054255A" w:rsidRPr="009D3A64" w:rsidP="00B13297" w14:paraId="02BE47D1" w14:textId="77777777">
      <w:pPr>
        <w:jc w:val="center"/>
        <w:rPr>
          <w:rFonts w:cstheme="minorHAnsi"/>
          <w:b/>
        </w:rPr>
      </w:pPr>
    </w:p>
    <w:p w:rsidR="0054255A" w:rsidRPr="009D3A64" w:rsidP="00B13297" w14:paraId="58D5D100" w14:textId="77777777">
      <w:pPr>
        <w:rPr>
          <w:rFonts w:cstheme="minorHAnsi"/>
          <w:b/>
        </w:rPr>
      </w:pPr>
    </w:p>
    <w:p w:rsidR="0068303E" w:rsidRPr="009D3A64" w14:paraId="1DBFD00F" w14:textId="77777777">
      <w:pPr>
        <w:rPr>
          <w:rFonts w:cstheme="minorHAnsi"/>
          <w:b/>
        </w:rPr>
      </w:pPr>
    </w:p>
    <w:p w:rsidR="00624DDC" w:rsidRPr="009D3A64" w:rsidP="00624DDC" w14:paraId="629D9EDF" w14:textId="77777777">
      <w:pPr>
        <w:spacing w:after="0" w:line="240" w:lineRule="auto"/>
        <w:jc w:val="center"/>
        <w:rPr>
          <w:rFonts w:cstheme="minorHAnsi"/>
          <w:b/>
        </w:rPr>
      </w:pPr>
      <w:r w:rsidRPr="009D3A64">
        <w:rPr>
          <w:rFonts w:cstheme="minorHAnsi"/>
          <w:b/>
        </w:rPr>
        <w:t>Part A</w:t>
      </w:r>
    </w:p>
    <w:p w:rsidR="00624DDC" w:rsidRPr="009D3A64" w:rsidP="00624DDC" w14:paraId="53E4BF88" w14:textId="77777777">
      <w:pPr>
        <w:spacing w:after="0" w:line="240" w:lineRule="auto"/>
        <w:jc w:val="center"/>
        <w:rPr>
          <w:rFonts w:cstheme="minorHAnsi"/>
          <w:b/>
        </w:rPr>
      </w:pPr>
    </w:p>
    <w:p w:rsidR="00026192" w:rsidRPr="009D3A64" w:rsidP="000F1E4A" w14:paraId="09949B2D" w14:textId="77777777">
      <w:pPr>
        <w:spacing w:after="0" w:line="240" w:lineRule="auto"/>
        <w:rPr>
          <w:rFonts w:cstheme="minorHAnsi"/>
          <w:b/>
          <w:u w:val="single"/>
        </w:rPr>
      </w:pPr>
    </w:p>
    <w:p w:rsidR="00026192" w:rsidRPr="009D3A64" w:rsidP="000F1E4A" w14:paraId="2511CDDD" w14:textId="77777777">
      <w:pPr>
        <w:spacing w:after="0" w:line="240" w:lineRule="auto"/>
        <w:rPr>
          <w:rFonts w:cstheme="minorHAnsi"/>
          <w:b/>
          <w:u w:val="single"/>
        </w:rPr>
      </w:pPr>
    </w:p>
    <w:p w:rsidR="00840D32" w:rsidRPr="009D3A64" w:rsidP="000F1E4A" w14:paraId="371359D3" w14:textId="77777777">
      <w:pPr>
        <w:spacing w:after="0" w:line="240" w:lineRule="auto"/>
        <w:rPr>
          <w:rFonts w:cstheme="minorHAnsi"/>
          <w:b/>
        </w:rPr>
      </w:pPr>
      <w:r w:rsidRPr="009D3A64">
        <w:rPr>
          <w:rFonts w:cstheme="minorHAnsi"/>
          <w:b/>
          <w:u w:val="single"/>
        </w:rPr>
        <w:t>Executive Summary</w:t>
      </w:r>
    </w:p>
    <w:p w:rsidR="00B04785" w:rsidRPr="009D3A64" w:rsidP="000F1E4A" w14:paraId="7C69B284" w14:textId="77777777">
      <w:pPr>
        <w:spacing w:after="0" w:line="240" w:lineRule="auto"/>
        <w:rPr>
          <w:rFonts w:cstheme="minorHAnsi"/>
          <w:b/>
        </w:rPr>
      </w:pPr>
    </w:p>
    <w:p w:rsidR="00322F70" w:rsidP="00644080" w14:paraId="7DF25B00" w14:textId="1FE79C83">
      <w:pPr>
        <w:pStyle w:val="ListParagraph"/>
        <w:numPr>
          <w:ilvl w:val="0"/>
          <w:numId w:val="42"/>
        </w:numPr>
        <w:spacing w:after="120"/>
        <w:rPr>
          <w:rFonts w:cstheme="minorHAnsi"/>
        </w:rPr>
      </w:pPr>
      <w:r w:rsidRPr="009D3A64">
        <w:rPr>
          <w:rFonts w:cstheme="minorHAnsi"/>
          <w:b/>
        </w:rPr>
        <w:t xml:space="preserve">Type of Request: </w:t>
      </w:r>
      <w:r w:rsidRPr="009D3A64">
        <w:rPr>
          <w:rFonts w:cstheme="minorHAnsi"/>
        </w:rPr>
        <w:t>This Information Collection Request is for a</w:t>
      </w:r>
      <w:r w:rsidRPr="009D3A64" w:rsidR="00B3652D">
        <w:rPr>
          <w:rFonts w:cstheme="minorHAnsi"/>
        </w:rPr>
        <w:t xml:space="preserve"> generic information collection under the umbrella generic, </w:t>
      </w:r>
      <w:r w:rsidRPr="009D3A64">
        <w:rPr>
          <w:rFonts w:cstheme="minorHAnsi"/>
        </w:rPr>
        <w:t>Formative Data Collections for Program Support (0970-0531)</w:t>
      </w:r>
      <w:r w:rsidR="003F57CB">
        <w:rPr>
          <w:rFonts w:cstheme="minorHAnsi"/>
        </w:rPr>
        <w:t xml:space="preserve">. </w:t>
      </w:r>
    </w:p>
    <w:p w:rsidR="00644080" w:rsidRPr="009D3A64" w:rsidP="00644080" w14:paraId="136C1FF0" w14:textId="77777777">
      <w:pPr>
        <w:pStyle w:val="ListParagraph"/>
        <w:spacing w:after="120"/>
        <w:rPr>
          <w:rFonts w:cstheme="minorHAnsi"/>
        </w:rPr>
      </w:pPr>
    </w:p>
    <w:p w:rsidR="00BD7963" w:rsidRPr="009D3A64" w:rsidP="00644080" w14:paraId="1057A5E2" w14:textId="714342AE">
      <w:pPr>
        <w:pStyle w:val="ListParagraph"/>
        <w:numPr>
          <w:ilvl w:val="0"/>
          <w:numId w:val="28"/>
        </w:numPr>
        <w:spacing w:after="120" w:line="240" w:lineRule="auto"/>
        <w:rPr>
          <w:rFonts w:cstheme="minorHAnsi"/>
        </w:rPr>
      </w:pPr>
      <w:r w:rsidRPr="009D3A64">
        <w:rPr>
          <w:rFonts w:cstheme="minorHAnsi"/>
          <w:b/>
        </w:rPr>
        <w:t xml:space="preserve">Description of Request: </w:t>
      </w:r>
    </w:p>
    <w:p w:rsidR="00644080" w:rsidP="00D6674E" w14:paraId="21B51150" w14:textId="2E8E85F0">
      <w:pPr>
        <w:pStyle w:val="ListParagraph"/>
        <w:spacing w:after="120"/>
        <w:rPr>
          <w:rFonts w:cstheme="minorHAnsi"/>
        </w:rPr>
      </w:pPr>
      <w:r w:rsidRPr="009D3A64">
        <w:rPr>
          <w:rFonts w:cstheme="minorHAnsi"/>
        </w:rPr>
        <w:t>This inform</w:t>
      </w:r>
      <w:r w:rsidRPr="009D3A64" w:rsidR="007125AB">
        <w:rPr>
          <w:rFonts w:cstheme="minorHAnsi"/>
        </w:rPr>
        <w:t xml:space="preserve">ation request is </w:t>
      </w:r>
      <w:r w:rsidRPr="00D6674E" w:rsidR="00D6674E">
        <w:rPr>
          <w:rFonts w:cstheme="minorHAnsi"/>
        </w:rPr>
        <w:t>to collect child welfare court system data for a Court Improvement Program (CIP) Court System Structures database</w:t>
      </w:r>
      <w:r w:rsidR="00AB026D">
        <w:rPr>
          <w:rFonts w:cstheme="minorHAnsi"/>
        </w:rPr>
        <w:t xml:space="preserve"> that will be used to inform and deliver technical assistance (TA)</w:t>
      </w:r>
      <w:r w:rsidRPr="00D6674E" w:rsidR="00D6674E">
        <w:rPr>
          <w:rFonts w:cstheme="minorHAnsi"/>
        </w:rPr>
        <w:t xml:space="preserve">. The project will provide organized information for CIP </w:t>
      </w:r>
      <w:r w:rsidR="00036E91">
        <w:rPr>
          <w:rFonts w:cstheme="minorHAnsi"/>
        </w:rPr>
        <w:t xml:space="preserve">grantees </w:t>
      </w:r>
      <w:r w:rsidRPr="00D6674E" w:rsidR="00D6674E">
        <w:rPr>
          <w:rFonts w:cstheme="minorHAnsi"/>
        </w:rPr>
        <w:t xml:space="preserve">and key partners and stakeholders (e.g., federal staff, </w:t>
      </w:r>
      <w:r w:rsidR="00D6674E">
        <w:rPr>
          <w:rFonts w:cstheme="minorHAnsi"/>
        </w:rPr>
        <w:t>Children’s Bureau (</w:t>
      </w:r>
      <w:r w:rsidRPr="00D6674E" w:rsidR="00D6674E">
        <w:rPr>
          <w:rFonts w:cstheme="minorHAnsi"/>
        </w:rPr>
        <w:t>CB</w:t>
      </w:r>
      <w:r w:rsidR="00D6674E">
        <w:rPr>
          <w:rFonts w:cstheme="minorHAnsi"/>
        </w:rPr>
        <w:t>)</w:t>
      </w:r>
      <w:r w:rsidRPr="00D6674E" w:rsidR="00D6674E">
        <w:rPr>
          <w:rFonts w:cstheme="minorHAnsi"/>
        </w:rPr>
        <w:t>’s Child and Family Services Reviews unit) with key information about state child welfare court system</w:t>
      </w:r>
      <w:r w:rsidR="00D6674E">
        <w:rPr>
          <w:rFonts w:cstheme="minorHAnsi"/>
        </w:rPr>
        <w:t xml:space="preserve"> structures</w:t>
      </w:r>
      <w:r w:rsidRPr="00D6674E" w:rsidR="00D6674E">
        <w:rPr>
          <w:rFonts w:cstheme="minorHAnsi"/>
        </w:rPr>
        <w:t xml:space="preserve">. </w:t>
      </w:r>
      <w:r w:rsidR="00D6674E">
        <w:rPr>
          <w:rFonts w:cstheme="minorHAnsi"/>
        </w:rPr>
        <w:t xml:space="preserve">This information is needed to improve supports CB provides to current and potential grantees under Title IV-B and IV-E of the Social Security Act. Specifically, these data elements were formed with a combination of </w:t>
      </w:r>
      <w:r w:rsidR="00DA32E5">
        <w:rPr>
          <w:rFonts w:cstheme="minorHAnsi"/>
        </w:rPr>
        <w:t xml:space="preserve">informal </w:t>
      </w:r>
      <w:r w:rsidR="00D6674E">
        <w:rPr>
          <w:rFonts w:cstheme="minorHAnsi"/>
        </w:rPr>
        <w:t>input from current CIP grantees around data that would be helpful for them, elements identified that would be helpful for child welfare state-wide review processes, and elements that would be helpful in continuing to implement support for parents’ and children’s attorneys under Title IV-E.</w:t>
      </w:r>
      <w:r>
        <w:rPr>
          <w:rStyle w:val="FootnoteReference"/>
          <w:rFonts w:cstheme="minorHAnsi"/>
        </w:rPr>
        <w:footnoteReference w:id="2"/>
      </w:r>
    </w:p>
    <w:p w:rsidR="00D6674E" w:rsidP="00D6674E" w14:paraId="0561D7F4" w14:textId="77777777">
      <w:pPr>
        <w:pStyle w:val="ListParagraph"/>
        <w:spacing w:after="120"/>
        <w:rPr>
          <w:rFonts w:cstheme="minorHAnsi"/>
        </w:rPr>
      </w:pPr>
    </w:p>
    <w:p w:rsidR="00624DDC" w:rsidRPr="00E20795" w:rsidP="00644080" w14:paraId="20B1ECBE" w14:textId="56647026">
      <w:pPr>
        <w:pStyle w:val="ListParagraph"/>
        <w:numPr>
          <w:ilvl w:val="0"/>
          <w:numId w:val="28"/>
        </w:numPr>
        <w:spacing w:after="0" w:line="240" w:lineRule="auto"/>
        <w:rPr>
          <w:rFonts w:cstheme="minorHAnsi"/>
          <w:b/>
        </w:rPr>
      </w:pPr>
      <w:r w:rsidRPr="00E20795">
        <w:rPr>
          <w:rFonts w:cstheme="minorHAnsi"/>
          <w:b/>
        </w:rPr>
        <w:t>Time Sensitivity:</w:t>
      </w:r>
      <w:r w:rsidRPr="00E20795" w:rsidR="00487FB4">
        <w:rPr>
          <w:rFonts w:cstheme="minorHAnsi"/>
          <w:b/>
        </w:rPr>
        <w:t xml:space="preserve"> </w:t>
      </w:r>
      <w:r w:rsidRPr="00644080" w:rsidR="00E20795">
        <w:rPr>
          <w:rFonts w:cstheme="minorHAnsi"/>
          <w:bCs/>
        </w:rPr>
        <w:t xml:space="preserve">To align with </w:t>
      </w:r>
      <w:r w:rsidR="00D6674E">
        <w:rPr>
          <w:rFonts w:cstheme="minorHAnsi"/>
          <w:bCs/>
        </w:rPr>
        <w:t>our technical assistance provider</w:t>
      </w:r>
      <w:r w:rsidR="00DA32E5">
        <w:rPr>
          <w:rFonts w:cstheme="minorHAnsi"/>
          <w:bCs/>
        </w:rPr>
        <w:t>’s</w:t>
      </w:r>
      <w:r w:rsidR="00D6674E">
        <w:rPr>
          <w:rFonts w:cstheme="minorHAnsi"/>
          <w:bCs/>
        </w:rPr>
        <w:t xml:space="preserve"> timelines, we request approval by November 2022.</w:t>
      </w:r>
    </w:p>
    <w:p w:rsidR="001A38FD" w:rsidRPr="009D3A64" w14:paraId="64D3E9EC" w14:textId="77777777">
      <w:pPr>
        <w:rPr>
          <w:rFonts w:cstheme="minorHAnsi"/>
        </w:rPr>
      </w:pPr>
      <w:r w:rsidRPr="009D3A64">
        <w:rPr>
          <w:rFonts w:cstheme="minorHAnsi"/>
        </w:rPr>
        <w:br w:type="page"/>
      </w:r>
    </w:p>
    <w:p w:rsidR="00934F3B" w:rsidP="009D3A64" w14:paraId="1EA3764C" w14:textId="77777777">
      <w:pPr>
        <w:spacing w:after="120" w:line="240" w:lineRule="auto"/>
        <w:rPr>
          <w:rFonts w:cstheme="minorHAnsi"/>
          <w:b/>
        </w:rPr>
      </w:pPr>
    </w:p>
    <w:p w:rsidR="00487FB4" w:rsidRPr="008C79A8" w:rsidP="009D3A64" w14:paraId="3C1EB9F4" w14:textId="694BDE7E">
      <w:pPr>
        <w:spacing w:after="120" w:line="240" w:lineRule="auto"/>
        <w:rPr>
          <w:rFonts w:cstheme="minorHAnsi"/>
        </w:rPr>
      </w:pPr>
      <w:r w:rsidRPr="009D3A64">
        <w:rPr>
          <w:rFonts w:cstheme="minorHAnsi"/>
          <w:b/>
        </w:rPr>
        <w:t>A1</w:t>
      </w:r>
      <w:r w:rsidRPr="009D3A64">
        <w:rPr>
          <w:rFonts w:cstheme="minorHAnsi"/>
        </w:rPr>
        <w:t>.</w:t>
      </w:r>
      <w:r w:rsidRPr="009D3A64">
        <w:rPr>
          <w:rFonts w:cstheme="minorHAnsi"/>
        </w:rPr>
        <w:tab/>
      </w:r>
      <w:r w:rsidRPr="009D3A64" w:rsidR="004E5778">
        <w:rPr>
          <w:rFonts w:cstheme="minorHAnsi"/>
          <w:b/>
        </w:rPr>
        <w:t>Necessity for Collection</w:t>
      </w:r>
      <w:r w:rsidRPr="009D3A64" w:rsidR="004E5778">
        <w:rPr>
          <w:rFonts w:cstheme="minorHAnsi"/>
        </w:rPr>
        <w:t xml:space="preserve"> </w:t>
      </w:r>
    </w:p>
    <w:p w:rsidR="002F3553" w:rsidP="00CB6940" w14:paraId="413E351A" w14:textId="068F95A3">
      <w:pPr>
        <w:spacing w:after="0"/>
        <w:rPr>
          <w:color w:val="000000"/>
        </w:rPr>
      </w:pPr>
      <w:r w:rsidRPr="008C79A8">
        <w:rPr>
          <w:rFonts w:cstheme="minorHAnsi"/>
        </w:rPr>
        <w:t xml:space="preserve">The </w:t>
      </w:r>
      <w:r w:rsidR="00D6674E">
        <w:rPr>
          <w:rFonts w:cstheme="minorHAnsi"/>
        </w:rPr>
        <w:t>Children’s Bureau</w:t>
      </w:r>
      <w:r w:rsidRPr="008C79A8">
        <w:rPr>
          <w:rFonts w:cstheme="minorHAnsi"/>
        </w:rPr>
        <w:t xml:space="preserve"> </w:t>
      </w:r>
      <w:r w:rsidR="00CB6940">
        <w:rPr>
          <w:rFonts w:cstheme="minorHAnsi"/>
        </w:rPr>
        <w:t>(</w:t>
      </w:r>
      <w:r w:rsidR="00CB6940">
        <w:rPr>
          <w:color w:val="000000"/>
        </w:rPr>
        <w:t xml:space="preserve">CB) through its Regional Offices as well as a funded technical assistance (TA) provider, the Capacity Building Center for Courts, provide TA to </w:t>
      </w:r>
      <w:r w:rsidR="00CB6940">
        <w:rPr>
          <w:rFonts w:cstheme="minorHAnsi"/>
        </w:rPr>
        <w:t>Court Improvement Programs (</w:t>
      </w:r>
      <w:r w:rsidR="00CB6940">
        <w:rPr>
          <w:color w:val="000000"/>
        </w:rPr>
        <w:t xml:space="preserve">CIP). CIPs, in turn, provide TA to local child welfare legal staff. </w:t>
      </w:r>
      <w:r w:rsidR="00AB026D">
        <w:rPr>
          <w:color w:val="000000"/>
        </w:rPr>
        <w:t>These data will fill a gap in that there is currently no</w:t>
      </w:r>
      <w:r w:rsidR="00CB6940">
        <w:rPr>
          <w:color w:val="000000"/>
        </w:rPr>
        <w:t xml:space="preserve"> central information about how court systems </w:t>
      </w:r>
      <w:r w:rsidR="00AB026D">
        <w:rPr>
          <w:color w:val="000000"/>
        </w:rPr>
        <w:t xml:space="preserve">that serve child welfare </w:t>
      </w:r>
      <w:r w:rsidR="00CB6940">
        <w:rPr>
          <w:color w:val="000000"/>
        </w:rPr>
        <w:t xml:space="preserve">are structured. </w:t>
      </w:r>
      <w:r>
        <w:rPr>
          <w:color w:val="000000"/>
        </w:rPr>
        <w:t xml:space="preserve">Given this lack of central organization, basic infrastructure questions are often not known nationally or at the state level, such as how many practitioners are working in child welfare or whether they are full or part time. These types of information have regularly been sought by CIP grantees, for example, to make better decisions about site selection for replicability of pilots, to find states similarly situated as to practice models to compare lessons learned, and to help advise them on projected budgetary outlays. </w:t>
      </w:r>
    </w:p>
    <w:p w:rsidR="002F3553" w:rsidP="00CB6940" w14:paraId="1B7D64DA" w14:textId="77777777">
      <w:pPr>
        <w:spacing w:after="0"/>
        <w:rPr>
          <w:color w:val="000000"/>
        </w:rPr>
      </w:pPr>
    </w:p>
    <w:p w:rsidR="00CB6940" w:rsidP="00CB6940" w14:paraId="1DC565FE" w14:textId="469E6039">
      <w:pPr>
        <w:spacing w:after="0"/>
        <w:rPr>
          <w:color w:val="000000"/>
        </w:rPr>
      </w:pPr>
      <w:r>
        <w:rPr>
          <w:color w:val="000000"/>
        </w:rPr>
        <w:t>Additionally, t</w:t>
      </w:r>
      <w:r>
        <w:rPr>
          <w:color w:val="000000"/>
        </w:rPr>
        <w:t xml:space="preserve">here are many ways the TA and other support offered by CB to CIPs can be improved with having a centralized location for information about how court systems are structured. Having a snapshot nationally will also allow better targeting of CB resources based on scope and organization type. </w:t>
      </w:r>
    </w:p>
    <w:p w:rsidR="002F3553" w:rsidP="00CB6940" w14:paraId="7F554EAE" w14:textId="5E8C1D0B">
      <w:pPr>
        <w:spacing w:after="0"/>
        <w:rPr>
          <w:color w:val="000000"/>
        </w:rPr>
      </w:pPr>
    </w:p>
    <w:p w:rsidR="00E20795" w:rsidRPr="008C79A8" w:rsidP="00F87223" w14:paraId="22000CD0" w14:textId="4C3A43F7">
      <w:pPr>
        <w:rPr>
          <w:rFonts w:cstheme="minorHAnsi"/>
        </w:rPr>
      </w:pPr>
      <w:r>
        <w:rPr>
          <w:color w:val="000000"/>
        </w:rPr>
        <w:t>This information collection is proposed t</w:t>
      </w:r>
      <w:r w:rsidR="002F3553">
        <w:rPr>
          <w:color w:val="000000"/>
        </w:rPr>
        <w:t xml:space="preserve">o address needs expressed by CIP grantees, to inform </w:t>
      </w:r>
      <w:r w:rsidR="002F3553">
        <w:rPr>
          <w:rFonts w:cstheme="minorHAnsi"/>
        </w:rPr>
        <w:t xml:space="preserve">relevant and timely </w:t>
      </w:r>
      <w:r w:rsidR="002F3553">
        <w:rPr>
          <w:rFonts w:cstheme="minorHAnsi"/>
          <w:color w:val="000000"/>
        </w:rPr>
        <w:t>TA to grantees</w:t>
      </w:r>
      <w:r w:rsidR="002F3553">
        <w:rPr>
          <w:color w:val="000000"/>
        </w:rPr>
        <w:t xml:space="preserve">, and to </w:t>
      </w:r>
      <w:r w:rsidR="002F3553">
        <w:rPr>
          <w:rFonts w:cstheme="minorHAnsi"/>
          <w:color w:val="000000"/>
        </w:rPr>
        <w:t>inform support for continued implementation and engagement at the local level</w:t>
      </w:r>
      <w:r>
        <w:rPr>
          <w:rFonts w:cstheme="minorHAnsi"/>
          <w:color w:val="000000"/>
        </w:rPr>
        <w:t xml:space="preserve">. Data collected will include </w:t>
      </w:r>
      <w:r w:rsidRPr="008C79A8" w:rsidR="007C5721">
        <w:rPr>
          <w:rFonts w:cstheme="minorHAnsi"/>
        </w:rPr>
        <w:t xml:space="preserve">implementation information from </w:t>
      </w:r>
      <w:r w:rsidR="00D6674E">
        <w:rPr>
          <w:rFonts w:cstheme="minorHAnsi"/>
        </w:rPr>
        <w:t>state CIPs</w:t>
      </w:r>
      <w:r w:rsidR="002F3553">
        <w:rPr>
          <w:rFonts w:cstheme="minorHAnsi"/>
        </w:rPr>
        <w:t xml:space="preserve">.  </w:t>
      </w:r>
      <w:bookmarkStart w:id="0" w:name="_Hlk115867449"/>
      <w:r w:rsidR="00F87223">
        <w:rPr>
          <w:rFonts w:cstheme="minorHAnsi"/>
        </w:rPr>
        <w:t>Respondents will include CIP grantees who are funded under Title IV-</w:t>
      </w:r>
      <w:r w:rsidR="00934F3B">
        <w:rPr>
          <w:rFonts w:cstheme="minorHAnsi"/>
        </w:rPr>
        <w:t>B but</w:t>
      </w:r>
      <w:r w:rsidR="00F87223">
        <w:rPr>
          <w:rFonts w:cstheme="minorHAnsi"/>
        </w:rPr>
        <w:t xml:space="preserve"> will also include local legal and judicial stakeholders who are current or potential future IV-E grantees. </w:t>
      </w:r>
      <w:r w:rsidR="00F87223">
        <w:t xml:space="preserve"> </w:t>
      </w:r>
      <w:bookmarkEnd w:id="0"/>
    </w:p>
    <w:p w:rsidR="004328A4" w:rsidP="00E20795" w14:paraId="563BAC72" w14:textId="2F001DA6">
      <w:pPr>
        <w:spacing w:after="0"/>
        <w:rPr>
          <w:rFonts w:eastAsia="Times New Roman" w:cstheme="minorHAnsi"/>
        </w:rPr>
      </w:pPr>
      <w:r w:rsidRPr="008C79A8">
        <w:rPr>
          <w:rFonts w:cstheme="minorHAnsi"/>
        </w:rPr>
        <w:t xml:space="preserve">There are no legal or administrative requirements that necessitate or authorize this information collection. </w:t>
      </w:r>
      <w:r w:rsidRPr="009D3A64" w:rsidR="006741E8">
        <w:rPr>
          <w:rFonts w:eastAsia="Times New Roman" w:cstheme="minorHAnsi"/>
        </w:rPr>
        <w:t>ACF is undertaking the collection at the discretion of the agency.</w:t>
      </w:r>
    </w:p>
    <w:p w:rsidR="00E20795" w:rsidP="00E20795" w14:paraId="327E2493" w14:textId="2C4DE8E1">
      <w:pPr>
        <w:spacing w:after="0"/>
        <w:rPr>
          <w:rFonts w:eastAsia="Times New Roman" w:cstheme="minorHAnsi"/>
        </w:rPr>
      </w:pPr>
    </w:p>
    <w:p w:rsidR="00E20795" w:rsidRPr="008C79A8" w:rsidP="00644080" w14:paraId="43EBD289" w14:textId="77777777">
      <w:pPr>
        <w:spacing w:after="0"/>
        <w:rPr>
          <w:rFonts w:cstheme="minorHAnsi"/>
        </w:rPr>
      </w:pPr>
    </w:p>
    <w:p w:rsidR="004328A4" w:rsidRPr="009D3A64" w:rsidP="007D0F6E" w14:paraId="4A538361" w14:textId="77777777">
      <w:pPr>
        <w:spacing w:after="120" w:line="240" w:lineRule="auto"/>
        <w:rPr>
          <w:rFonts w:cstheme="minorHAnsi"/>
          <w:b/>
        </w:rPr>
      </w:pPr>
      <w:r w:rsidRPr="009D3A64">
        <w:rPr>
          <w:rFonts w:cstheme="minorHAnsi"/>
          <w:b/>
        </w:rPr>
        <w:t>A2</w:t>
      </w:r>
      <w:r w:rsidRPr="009D3A64">
        <w:rPr>
          <w:rFonts w:cstheme="minorHAnsi"/>
        </w:rPr>
        <w:t>.</w:t>
      </w:r>
      <w:r w:rsidRPr="009D3A64">
        <w:rPr>
          <w:rFonts w:cstheme="minorHAnsi"/>
        </w:rPr>
        <w:tab/>
      </w:r>
      <w:r w:rsidRPr="009D3A64" w:rsidR="00107D87">
        <w:rPr>
          <w:rFonts w:cstheme="minorHAnsi"/>
          <w:b/>
        </w:rPr>
        <w:t>Purpose</w:t>
      </w:r>
    </w:p>
    <w:p w:rsidR="004328A4" w:rsidRPr="009D3A64" w:rsidP="007D0F6E" w14:paraId="00E404A5" w14:textId="77777777">
      <w:pPr>
        <w:spacing w:after="120" w:line="240" w:lineRule="auto"/>
        <w:rPr>
          <w:rFonts w:cstheme="minorHAnsi"/>
          <w:i/>
        </w:rPr>
      </w:pPr>
      <w:r w:rsidRPr="009D3A64">
        <w:rPr>
          <w:rFonts w:cstheme="minorHAnsi"/>
          <w:i/>
        </w:rPr>
        <w:t xml:space="preserve">Purpose and Use </w:t>
      </w:r>
    </w:p>
    <w:p w:rsidR="00427E0D" w:rsidP="00427E0D" w14:paraId="7AFB451A" w14:textId="1C820002">
      <w:pPr>
        <w:spacing w:after="0"/>
        <w:rPr>
          <w:color w:val="000000"/>
        </w:rPr>
      </w:pPr>
      <w:r>
        <w:rPr>
          <w:rFonts w:cstheme="minorHAnsi"/>
        </w:rPr>
        <w:t xml:space="preserve">The purpose of this information collection is to gather </w:t>
      </w:r>
      <w:r w:rsidR="001E54D3">
        <w:rPr>
          <w:rFonts w:cstheme="minorHAnsi"/>
        </w:rPr>
        <w:t xml:space="preserve">fundamental court system </w:t>
      </w:r>
      <w:r w:rsidRPr="008C79A8">
        <w:rPr>
          <w:rFonts w:cstheme="minorHAnsi"/>
        </w:rPr>
        <w:t xml:space="preserve">information from </w:t>
      </w:r>
      <w:r>
        <w:rPr>
          <w:rFonts w:cstheme="minorHAnsi"/>
        </w:rPr>
        <w:t xml:space="preserve">state </w:t>
      </w:r>
      <w:r w:rsidR="001E54D3">
        <w:rPr>
          <w:rFonts w:cstheme="minorHAnsi"/>
        </w:rPr>
        <w:t xml:space="preserve">legal and judicial stakeholders </w:t>
      </w:r>
      <w:r>
        <w:rPr>
          <w:rFonts w:cstheme="minorHAnsi"/>
        </w:rPr>
        <w:t>to inform TA and other supports provided by CB</w:t>
      </w:r>
      <w:r w:rsidR="001E54D3">
        <w:rPr>
          <w:rFonts w:cstheme="minorHAnsi"/>
        </w:rPr>
        <w:t xml:space="preserve"> in many ways especially regarding the appropriateness of scope and scale of TA</w:t>
      </w:r>
      <w:r>
        <w:rPr>
          <w:rFonts w:cstheme="minorHAnsi"/>
        </w:rPr>
        <w:t xml:space="preserve">. </w:t>
      </w:r>
      <w:r w:rsidR="006B1967">
        <w:rPr>
          <w:rFonts w:cstheme="minorHAnsi"/>
        </w:rPr>
        <w:t xml:space="preserve">CB anticipates using </w:t>
      </w:r>
      <w:r w:rsidR="00AB026D">
        <w:rPr>
          <w:rFonts w:cstheme="minorHAnsi"/>
        </w:rPr>
        <w:t xml:space="preserve">the data to support </w:t>
      </w:r>
      <w:r w:rsidR="00F35328">
        <w:rPr>
          <w:rFonts w:cstheme="minorHAnsi"/>
        </w:rPr>
        <w:t>other ideas for national and tailored assistance</w:t>
      </w:r>
      <w:r w:rsidR="006B1967">
        <w:rPr>
          <w:rFonts w:cstheme="minorHAnsi"/>
        </w:rPr>
        <w:t xml:space="preserve"> and information collected will be shared through a centralized location with CIP grantees to their informational purposes and </w:t>
      </w:r>
      <w:r w:rsidR="00F35328">
        <w:rPr>
          <w:rFonts w:cstheme="minorHAnsi"/>
        </w:rPr>
        <w:t xml:space="preserve">as a TA resource in and of itself. </w:t>
      </w:r>
    </w:p>
    <w:p w:rsidR="00761D22" w:rsidP="00761D22" w14:paraId="3851AD45" w14:textId="1496EA96">
      <w:pPr>
        <w:spacing w:after="0"/>
        <w:rPr>
          <w:color w:val="000000"/>
        </w:rPr>
      </w:pPr>
    </w:p>
    <w:p w:rsidR="003B4779" w:rsidRPr="008C79A8" w:rsidP="006143C0" w14:paraId="4692F0B4" w14:textId="30710B8E">
      <w:pPr>
        <w:spacing w:after="120"/>
        <w:rPr>
          <w:rFonts w:cstheme="minorHAnsi"/>
        </w:rPr>
      </w:pPr>
      <w:r w:rsidRPr="008C79A8">
        <w:rPr>
          <w:rFonts w:cstheme="minorHAnsi"/>
        </w:rPr>
        <w:t xml:space="preserve">This proposed information collection meets the following goals of ACF’s generic clearance for formative data collections for program support (0970-0531): </w:t>
      </w:r>
    </w:p>
    <w:p w:rsidR="003B4779" w:rsidP="003B4779" w14:paraId="0E28FD2A" w14:textId="78A2C1C6">
      <w:pPr>
        <w:pStyle w:val="ListParagraph"/>
        <w:numPr>
          <w:ilvl w:val="0"/>
          <w:numId w:val="44"/>
        </w:numPr>
        <w:spacing w:after="0" w:line="240" w:lineRule="auto"/>
        <w:ind w:left="720"/>
        <w:contextualSpacing w:val="0"/>
        <w:rPr>
          <w:rFonts w:cstheme="minorHAnsi"/>
        </w:rPr>
      </w:pPr>
      <w:r w:rsidRPr="008C79A8">
        <w:rPr>
          <w:rFonts w:cstheme="minorHAnsi"/>
        </w:rPr>
        <w:t xml:space="preserve">Delivery of targeted </w:t>
      </w:r>
      <w:r w:rsidR="00761D22">
        <w:rPr>
          <w:rFonts w:cstheme="minorHAnsi"/>
        </w:rPr>
        <w:t>TA</w:t>
      </w:r>
      <w:r w:rsidRPr="008C79A8">
        <w:rPr>
          <w:rFonts w:cstheme="minorHAnsi"/>
        </w:rPr>
        <w:t xml:space="preserve"> related to program implementation </w:t>
      </w:r>
      <w:r w:rsidR="00020AA0">
        <w:rPr>
          <w:rFonts w:cstheme="minorHAnsi"/>
        </w:rPr>
        <w:t>and</w:t>
      </w:r>
      <w:r w:rsidRPr="008C79A8">
        <w:rPr>
          <w:rFonts w:cstheme="minorHAnsi"/>
        </w:rPr>
        <w:t xml:space="preserve"> the development</w:t>
      </w:r>
      <w:r w:rsidR="00020AA0">
        <w:rPr>
          <w:rFonts w:cstheme="minorHAnsi"/>
        </w:rPr>
        <w:t xml:space="preserve"> and</w:t>
      </w:r>
      <w:r w:rsidRPr="008C79A8">
        <w:rPr>
          <w:rFonts w:cstheme="minorHAnsi"/>
        </w:rPr>
        <w:t xml:space="preserve"> refinement of program and grantee processes</w:t>
      </w:r>
    </w:p>
    <w:p w:rsidR="00036E91" w:rsidRPr="008C79A8" w:rsidP="00934F3B" w14:paraId="69CE7FAF" w14:textId="1E4C128D">
      <w:pPr>
        <w:pStyle w:val="ListParagraph"/>
        <w:numPr>
          <w:ilvl w:val="1"/>
          <w:numId w:val="44"/>
        </w:numPr>
        <w:spacing w:after="120" w:line="240" w:lineRule="auto"/>
        <w:contextualSpacing w:val="0"/>
        <w:rPr>
          <w:rFonts w:cstheme="minorHAnsi"/>
        </w:rPr>
      </w:pPr>
      <w:r>
        <w:rPr>
          <w:rFonts w:cstheme="minorHAnsi"/>
        </w:rPr>
        <w:t xml:space="preserve">For example, questions about the basic court structures have come up frequently in the context of tailored and peer to peer TA around court and agency collaboration, in designing </w:t>
      </w:r>
      <w:r>
        <w:rPr>
          <w:rFonts w:cstheme="minorHAnsi"/>
        </w:rPr>
        <w:t>budget targets for related discretionary grants, and in developing wider dissemination strategies for resources</w:t>
      </w:r>
    </w:p>
    <w:p w:rsidR="00D22228" w:rsidP="00D22228" w14:paraId="2577DA59" w14:textId="26684F93">
      <w:pPr>
        <w:pStyle w:val="ListParagraph"/>
        <w:numPr>
          <w:ilvl w:val="0"/>
          <w:numId w:val="44"/>
        </w:numPr>
        <w:spacing w:after="0" w:line="240" w:lineRule="auto"/>
        <w:ind w:left="720"/>
        <w:contextualSpacing w:val="0"/>
        <w:rPr>
          <w:rFonts w:cstheme="minorHAnsi"/>
        </w:rPr>
      </w:pPr>
      <w:r w:rsidRPr="008C79A8">
        <w:rPr>
          <w:rFonts w:cstheme="minorHAnsi"/>
        </w:rPr>
        <w:t xml:space="preserve">Planning for provision of programmatic </w:t>
      </w:r>
      <w:r w:rsidR="00097C7C">
        <w:rPr>
          <w:rFonts w:cstheme="minorHAnsi"/>
        </w:rPr>
        <w:t>and</w:t>
      </w:r>
      <w:r w:rsidRPr="008C79A8" w:rsidR="00097C7C">
        <w:rPr>
          <w:rFonts w:cstheme="minorHAnsi"/>
        </w:rPr>
        <w:t xml:space="preserve"> </w:t>
      </w:r>
      <w:r w:rsidR="004921CC">
        <w:rPr>
          <w:rFonts w:cstheme="minorHAnsi"/>
        </w:rPr>
        <w:t>data -related</w:t>
      </w:r>
      <w:r w:rsidRPr="008C79A8">
        <w:rPr>
          <w:rFonts w:cstheme="minorHAnsi"/>
        </w:rPr>
        <w:t xml:space="preserve"> (TA)</w:t>
      </w:r>
    </w:p>
    <w:p w:rsidR="00036E91" w:rsidP="00934F3B" w14:paraId="6190F549" w14:textId="12D66511">
      <w:pPr>
        <w:pStyle w:val="ListParagraph"/>
        <w:numPr>
          <w:ilvl w:val="1"/>
          <w:numId w:val="44"/>
        </w:numPr>
        <w:spacing w:after="120" w:line="240" w:lineRule="auto"/>
        <w:contextualSpacing w:val="0"/>
        <w:rPr>
          <w:rFonts w:cstheme="minorHAnsi"/>
        </w:rPr>
      </w:pPr>
      <w:r>
        <w:rPr>
          <w:rFonts w:cstheme="minorHAnsi"/>
        </w:rPr>
        <w:t>For example, these basic court structure data can be useful in understanding the progress of implementing IV-E funding for independent legal representation. In other words, we do not currently know that level of adoption there has been under this IV-E option as we do not have even rough figures of how many attorneys are in the field on a national or state level</w:t>
      </w:r>
    </w:p>
    <w:p w:rsidR="00D22228" w:rsidRPr="00020AA0" w:rsidP="004446D0" w14:paraId="732B46A1" w14:textId="15B28BE4">
      <w:pPr>
        <w:pStyle w:val="ListParagraph"/>
        <w:numPr>
          <w:ilvl w:val="0"/>
          <w:numId w:val="44"/>
        </w:numPr>
        <w:spacing w:after="0" w:line="240" w:lineRule="auto"/>
        <w:contextualSpacing w:val="0"/>
        <w:rPr>
          <w:rFonts w:cstheme="minorHAnsi"/>
        </w:rPr>
      </w:pPr>
      <w:r w:rsidRPr="00020AA0">
        <w:rPr>
          <w:rFonts w:cstheme="minorHAnsi"/>
        </w:rPr>
        <w:t>Providing consolidated public sources of information for those using or interested in ACF funded services, or those interested in systems</w:t>
      </w:r>
      <w:r w:rsidRPr="00020AA0" w:rsidR="00020AA0">
        <w:rPr>
          <w:rFonts w:cstheme="minorHAnsi"/>
        </w:rPr>
        <w:t xml:space="preserve"> or</w:t>
      </w:r>
      <w:r w:rsidRPr="00020AA0">
        <w:rPr>
          <w:rFonts w:cstheme="minorHAnsi"/>
        </w:rPr>
        <w:t xml:space="preserve"> programs,</w:t>
      </w:r>
      <w:r w:rsidRPr="00020AA0" w:rsidR="00036E91">
        <w:rPr>
          <w:rFonts w:cstheme="minorHAnsi"/>
        </w:rPr>
        <w:t xml:space="preserve"> </w:t>
      </w:r>
      <w:r w:rsidRPr="00020AA0">
        <w:rPr>
          <w:rFonts w:cstheme="minorHAnsi"/>
        </w:rPr>
        <w:t>including</w:t>
      </w:r>
      <w:r w:rsidR="00020AA0">
        <w:rPr>
          <w:rFonts w:cstheme="minorHAnsi"/>
        </w:rPr>
        <w:t xml:space="preserve"> </w:t>
      </w:r>
      <w:r w:rsidRPr="00020AA0">
        <w:rPr>
          <w:rFonts w:cstheme="minorHAnsi"/>
        </w:rPr>
        <w:t>information about specific models or methods used</w:t>
      </w:r>
    </w:p>
    <w:p w:rsidR="00036E91" w:rsidRPr="00D22228" w:rsidP="004446D0" w14:paraId="3159AC72" w14:textId="7AC2B6BB">
      <w:pPr>
        <w:pStyle w:val="ListParagraph"/>
        <w:numPr>
          <w:ilvl w:val="1"/>
          <w:numId w:val="44"/>
        </w:numPr>
        <w:spacing w:after="0" w:line="240" w:lineRule="auto"/>
        <w:contextualSpacing w:val="0"/>
        <w:rPr>
          <w:rFonts w:cstheme="minorHAnsi"/>
        </w:rPr>
      </w:pPr>
      <w:r>
        <w:rPr>
          <w:rFonts w:cstheme="minorHAnsi"/>
        </w:rPr>
        <w:t>CIPs having access to t</w:t>
      </w:r>
      <w:r>
        <w:rPr>
          <w:rFonts w:cstheme="minorHAnsi"/>
        </w:rPr>
        <w:t>hese data</w:t>
      </w:r>
      <w:r>
        <w:rPr>
          <w:rFonts w:cstheme="minorHAnsi"/>
        </w:rPr>
        <w:t xml:space="preserve"> is</w:t>
      </w:r>
      <w:r>
        <w:rPr>
          <w:rFonts w:cstheme="minorHAnsi"/>
        </w:rPr>
        <w:t xml:space="preserve"> a TA resource on </w:t>
      </w:r>
      <w:r>
        <w:rPr>
          <w:rFonts w:cstheme="minorHAnsi"/>
        </w:rPr>
        <w:t>its</w:t>
      </w:r>
      <w:r>
        <w:rPr>
          <w:rFonts w:cstheme="minorHAnsi"/>
        </w:rPr>
        <w:t xml:space="preserve"> own. CIPs often want to learn from peers who are similarly situated for example, in how their practice operates, under which legal schemas, and other basic parameters such as their array of part-time to full-time legal staff. These data will help them understand where more apples</w:t>
      </w:r>
      <w:r>
        <w:rPr>
          <w:rFonts w:cstheme="minorHAnsi"/>
        </w:rPr>
        <w:t>-</w:t>
      </w:r>
      <w:r>
        <w:rPr>
          <w:rFonts w:cstheme="minorHAnsi"/>
        </w:rPr>
        <w:t>to</w:t>
      </w:r>
      <w:r>
        <w:rPr>
          <w:rFonts w:cstheme="minorHAnsi"/>
        </w:rPr>
        <w:t>-</w:t>
      </w:r>
      <w:r>
        <w:rPr>
          <w:rFonts w:cstheme="minorHAnsi"/>
        </w:rPr>
        <w:t xml:space="preserve">apples comparisons can be made and </w:t>
      </w:r>
      <w:r>
        <w:rPr>
          <w:rFonts w:cstheme="minorHAnsi"/>
        </w:rPr>
        <w:t xml:space="preserve">allow for </w:t>
      </w:r>
      <w:r>
        <w:rPr>
          <w:rFonts w:cstheme="minorHAnsi"/>
        </w:rPr>
        <w:t xml:space="preserve">better outreach for peer support. </w:t>
      </w:r>
    </w:p>
    <w:p w:rsidR="0088378A" w:rsidRPr="008C79A8" w:rsidP="00197222" w14:paraId="5292D2BC" w14:textId="77777777">
      <w:pPr>
        <w:spacing w:after="0"/>
        <w:rPr>
          <w:rFonts w:cstheme="minorHAnsi"/>
        </w:rPr>
      </w:pPr>
    </w:p>
    <w:p w:rsidR="003D36F9" w:rsidRPr="008C79A8" w:rsidP="00534AA0" w14:paraId="0112ED30" w14:textId="77777777">
      <w:pPr>
        <w:pStyle w:val="Head2"/>
        <w:rPr>
          <w:rFonts w:asciiTheme="minorHAnsi" w:hAnsiTheme="minorHAnsi" w:cstheme="minorHAnsi"/>
        </w:rPr>
      </w:pPr>
      <w:r w:rsidRPr="008C79A8">
        <w:rPr>
          <w:rFonts w:asciiTheme="minorHAnsi" w:hAnsiTheme="minorHAnsi" w:cstheme="minorHAnsi"/>
        </w:rPr>
        <w:t xml:space="preserve">Study Design </w:t>
      </w:r>
    </w:p>
    <w:p w:rsidR="00030C66" w:rsidP="00F87223" w14:paraId="5427B34B" w14:textId="28504B82">
      <w:pPr>
        <w:spacing w:after="0"/>
        <w:rPr>
          <w:rFonts w:cstheme="minorHAnsi"/>
          <w:iCs/>
        </w:rPr>
      </w:pPr>
      <w:r>
        <w:rPr>
          <w:rFonts w:cstheme="minorHAnsi"/>
          <w:iCs/>
        </w:rPr>
        <w:t xml:space="preserve">Data will be collected using </w:t>
      </w:r>
      <w:r w:rsidR="00B95E66">
        <w:rPr>
          <w:rFonts w:cstheme="minorHAnsi"/>
          <w:iCs/>
        </w:rPr>
        <w:t>two surveys</w:t>
      </w:r>
      <w:r>
        <w:rPr>
          <w:rFonts w:cstheme="minorHAnsi"/>
          <w:iCs/>
        </w:rPr>
        <w:t>. O</w:t>
      </w:r>
      <w:r w:rsidR="00B95E66">
        <w:rPr>
          <w:rFonts w:cstheme="minorHAnsi"/>
          <w:iCs/>
        </w:rPr>
        <w:t xml:space="preserve">ne </w:t>
      </w:r>
      <w:r>
        <w:rPr>
          <w:rFonts w:cstheme="minorHAnsi"/>
          <w:iCs/>
        </w:rPr>
        <w:t xml:space="preserve">(Instrument 1: CIP Survey for Court System Structures) </w:t>
      </w:r>
      <w:r w:rsidR="00B95E66">
        <w:rPr>
          <w:rFonts w:cstheme="minorHAnsi"/>
          <w:iCs/>
        </w:rPr>
        <w:t>will go to all CIP directors to complete. The other</w:t>
      </w:r>
      <w:r>
        <w:rPr>
          <w:rFonts w:cstheme="minorHAnsi"/>
          <w:iCs/>
        </w:rPr>
        <w:t xml:space="preserve"> (Instrument 2: CIP Local Stakeholder Survey) is for </w:t>
      </w:r>
      <w:r>
        <w:rPr>
          <w:rFonts w:cstheme="minorHAnsi"/>
        </w:rPr>
        <w:t xml:space="preserve">local legal and judicial stakeholders. </w:t>
      </w:r>
      <w:r w:rsidR="00B95E66">
        <w:rPr>
          <w:rFonts w:cstheme="minorHAnsi"/>
          <w:iCs/>
        </w:rPr>
        <w:t xml:space="preserve"> </w:t>
      </w:r>
      <w:r w:rsidR="00083404">
        <w:rPr>
          <w:color w:val="000000"/>
        </w:rPr>
        <w:t xml:space="preserve">Adding a local stakeholder survey came at a request of grantees in informal discussions as, again given the lack of central organization of courts in many states, those data are not even readily available to some CIPs. </w:t>
      </w:r>
      <w:r>
        <w:rPr>
          <w:rFonts w:cstheme="minorHAnsi"/>
          <w:iCs/>
        </w:rPr>
        <w:t>W</w:t>
      </w:r>
      <w:r w:rsidR="00B95E66">
        <w:rPr>
          <w:rFonts w:cstheme="minorHAnsi"/>
          <w:iCs/>
        </w:rPr>
        <w:t xml:space="preserve">e will ask CIP directors </w:t>
      </w:r>
      <w:r>
        <w:rPr>
          <w:rFonts w:cstheme="minorHAnsi"/>
          <w:iCs/>
        </w:rPr>
        <w:t>distribute the local stakeholder survey</w:t>
      </w:r>
      <w:r w:rsidR="00B95E66">
        <w:rPr>
          <w:rFonts w:cstheme="minorHAnsi"/>
          <w:iCs/>
        </w:rPr>
        <w:t xml:space="preserve"> in whatever way is readily available and not burdensome</w:t>
      </w:r>
      <w:r>
        <w:rPr>
          <w:rFonts w:cstheme="minorHAnsi"/>
          <w:iCs/>
        </w:rPr>
        <w:t xml:space="preserve"> (for example through listservs or publicized on a website)</w:t>
      </w:r>
      <w:r w:rsidR="00B95E66">
        <w:rPr>
          <w:rFonts w:cstheme="minorHAnsi"/>
          <w:iCs/>
        </w:rPr>
        <w:t xml:space="preserve">. </w:t>
      </w:r>
      <w:r>
        <w:rPr>
          <w:rFonts w:cstheme="minorHAnsi"/>
          <w:iCs/>
        </w:rPr>
        <w:t xml:space="preserve">The </w:t>
      </w:r>
      <w:r w:rsidR="00B95E66">
        <w:rPr>
          <w:rFonts w:cstheme="minorHAnsi"/>
          <w:iCs/>
        </w:rPr>
        <w:t xml:space="preserve">local survey will be a convenience sample. </w:t>
      </w:r>
    </w:p>
    <w:p w:rsidR="00030C66" w:rsidP="00644080" w14:paraId="760B7DF9" w14:textId="77777777">
      <w:pPr>
        <w:spacing w:after="0" w:line="240" w:lineRule="auto"/>
        <w:rPr>
          <w:rFonts w:cstheme="minorHAnsi"/>
          <w:iCs/>
        </w:rPr>
      </w:pPr>
    </w:p>
    <w:p w:rsidR="004328A4" w:rsidRPr="00B95E66" w:rsidP="00644080" w14:paraId="300D39E4" w14:textId="5F804728">
      <w:pPr>
        <w:spacing w:after="0" w:line="240" w:lineRule="auto"/>
        <w:rPr>
          <w:rFonts w:cstheme="minorHAnsi"/>
          <w:iCs/>
        </w:rPr>
      </w:pPr>
      <w:r>
        <w:rPr>
          <w:rFonts w:cstheme="minorHAnsi"/>
          <w:iCs/>
        </w:rPr>
        <w:t>N</w:t>
      </w:r>
      <w:r w:rsidRPr="002161BA">
        <w:rPr>
          <w:rFonts w:cstheme="minorHAnsi"/>
          <w:iCs/>
        </w:rPr>
        <w:t>o statistical methods and analyses</w:t>
      </w:r>
      <w:r>
        <w:rPr>
          <w:rFonts w:cstheme="minorHAnsi"/>
          <w:iCs/>
        </w:rPr>
        <w:t xml:space="preserve"> will be performed with </w:t>
      </w:r>
      <w:r w:rsidR="00F35328">
        <w:rPr>
          <w:rFonts w:cstheme="minorHAnsi"/>
          <w:iCs/>
        </w:rPr>
        <w:t>either of these surveys</w:t>
      </w:r>
      <w:r>
        <w:rPr>
          <w:rFonts w:cstheme="minorHAnsi"/>
          <w:iCs/>
        </w:rPr>
        <w:t xml:space="preserve">. This will include only medians and averages of responses. </w:t>
      </w:r>
    </w:p>
    <w:p w:rsidR="00B95E66" w:rsidRPr="009D3A64" w:rsidP="00644080" w14:paraId="3EA2A3ED" w14:textId="77777777">
      <w:pPr>
        <w:spacing w:after="0" w:line="240" w:lineRule="auto"/>
        <w:rPr>
          <w:rFonts w:cstheme="minorHAnsi"/>
          <w:i/>
        </w:rPr>
      </w:pPr>
    </w:p>
    <w:p w:rsidR="00983D89" w:rsidRPr="009D3A64" w:rsidP="007D0F6E" w14:paraId="113B00A2" w14:textId="34C12A8D">
      <w:pPr>
        <w:spacing w:after="120" w:line="240" w:lineRule="auto"/>
        <w:rPr>
          <w:rFonts w:cstheme="minorHAnsi"/>
          <w:b/>
        </w:rPr>
      </w:pPr>
      <w:r w:rsidRPr="009D3A64">
        <w:rPr>
          <w:rFonts w:cstheme="minorHAnsi"/>
          <w:b/>
        </w:rPr>
        <w:t>Table 1</w:t>
      </w:r>
    </w:p>
    <w:tbl>
      <w:tblPr>
        <w:tblStyle w:val="TableGrid"/>
        <w:tblW w:w="9355" w:type="dxa"/>
        <w:tblInd w:w="0" w:type="dxa"/>
        <w:tblLook w:val="04A0"/>
      </w:tblPr>
      <w:tblGrid>
        <w:gridCol w:w="1676"/>
        <w:gridCol w:w="5879"/>
        <w:gridCol w:w="1800"/>
      </w:tblGrid>
      <w:tr w14:paraId="4A274229" w14:textId="77777777" w:rsidTr="00F87223">
        <w:tblPrEx>
          <w:tblW w:w="9355" w:type="dxa"/>
          <w:tblInd w:w="0" w:type="dxa"/>
          <w:tblLook w:val="04A0"/>
        </w:tblPrEx>
        <w:tc>
          <w:tcPr>
            <w:tcW w:w="1676" w:type="dxa"/>
            <w:shd w:val="clear" w:color="auto" w:fill="BFBFBF" w:themeFill="background1" w:themeFillShade="BF"/>
          </w:tcPr>
          <w:p w:rsidR="00083404" w:rsidRPr="00644080" w:rsidP="005E7AE7" w14:paraId="77F9816E" w14:textId="06891E1A">
            <w:pPr>
              <w:rPr>
                <w:rFonts w:asciiTheme="minorHAnsi" w:hAnsiTheme="minorHAnsi" w:cstheme="minorHAnsi"/>
                <w:i/>
              </w:rPr>
            </w:pPr>
            <w:r w:rsidRPr="00644080">
              <w:rPr>
                <w:rFonts w:asciiTheme="minorHAnsi" w:hAnsiTheme="minorHAnsi" w:cstheme="minorHAnsi"/>
                <w:i/>
              </w:rPr>
              <w:t>Instrument</w:t>
            </w:r>
          </w:p>
        </w:tc>
        <w:tc>
          <w:tcPr>
            <w:tcW w:w="5879" w:type="dxa"/>
            <w:shd w:val="clear" w:color="auto" w:fill="BFBFBF" w:themeFill="background1" w:themeFillShade="BF"/>
          </w:tcPr>
          <w:p w:rsidR="00083404" w:rsidRPr="00644080" w:rsidP="005E7AE7" w14:paraId="39E75DA9" w14:textId="77777777">
            <w:pPr>
              <w:rPr>
                <w:rFonts w:asciiTheme="minorHAnsi" w:hAnsiTheme="minorHAnsi" w:cstheme="minorHAnsi"/>
                <w:i/>
              </w:rPr>
            </w:pPr>
            <w:r w:rsidRPr="00644080">
              <w:rPr>
                <w:rFonts w:asciiTheme="minorHAnsi" w:hAnsiTheme="minorHAnsi" w:cstheme="minorHAnsi"/>
                <w:i/>
              </w:rPr>
              <w:t>Respondent, Content, Purpose of Collection</w:t>
            </w:r>
          </w:p>
        </w:tc>
        <w:tc>
          <w:tcPr>
            <w:tcW w:w="1800" w:type="dxa"/>
            <w:shd w:val="clear" w:color="auto" w:fill="BFBFBF" w:themeFill="background1" w:themeFillShade="BF"/>
          </w:tcPr>
          <w:p w:rsidR="00083404" w:rsidRPr="00644080" w:rsidP="005E7AE7" w14:paraId="7C00EA3E" w14:textId="77777777">
            <w:pPr>
              <w:rPr>
                <w:rFonts w:asciiTheme="minorHAnsi" w:hAnsiTheme="minorHAnsi" w:cstheme="minorHAnsi"/>
                <w:i/>
              </w:rPr>
            </w:pPr>
            <w:r w:rsidRPr="00644080">
              <w:rPr>
                <w:rFonts w:asciiTheme="minorHAnsi" w:hAnsiTheme="minorHAnsi" w:cstheme="minorHAnsi"/>
                <w:i/>
              </w:rPr>
              <w:t>Mode and Duration</w:t>
            </w:r>
          </w:p>
        </w:tc>
      </w:tr>
      <w:tr w14:paraId="5E162B6C" w14:textId="77777777" w:rsidTr="00F87223">
        <w:tblPrEx>
          <w:tblW w:w="9355" w:type="dxa"/>
          <w:tblInd w:w="0" w:type="dxa"/>
          <w:tblLook w:val="04A0"/>
        </w:tblPrEx>
        <w:trPr>
          <w:trHeight w:val="3320"/>
        </w:trPr>
        <w:tc>
          <w:tcPr>
            <w:tcW w:w="1676" w:type="dxa"/>
          </w:tcPr>
          <w:p w:rsidR="00083404" w:rsidRPr="00644080" w:rsidP="005E7AE7" w14:paraId="36588A12" w14:textId="26C4F8BF">
            <w:pPr>
              <w:rPr>
                <w:rFonts w:asciiTheme="minorHAnsi" w:hAnsiTheme="minorHAnsi" w:cstheme="minorHAnsi"/>
              </w:rPr>
            </w:pPr>
            <w:r w:rsidRPr="00644080">
              <w:rPr>
                <w:rFonts w:asciiTheme="minorHAnsi" w:hAnsiTheme="minorHAnsi" w:cstheme="minorHAnsi"/>
              </w:rPr>
              <w:t xml:space="preserve">Instrument </w:t>
            </w:r>
            <w:r>
              <w:rPr>
                <w:rFonts w:asciiTheme="minorHAnsi" w:hAnsiTheme="minorHAnsi" w:cstheme="minorHAnsi"/>
              </w:rPr>
              <w:t>1</w:t>
            </w:r>
            <w:r w:rsidRPr="00644080">
              <w:rPr>
                <w:rFonts w:asciiTheme="minorHAnsi" w:hAnsiTheme="minorHAnsi" w:cstheme="minorHAnsi"/>
              </w:rPr>
              <w:t xml:space="preserve">: </w:t>
            </w:r>
            <w:r w:rsidRPr="0002037E">
              <w:rPr>
                <w:rFonts w:asciiTheme="minorHAnsi" w:hAnsiTheme="minorHAnsi" w:cstheme="minorHAnsi"/>
              </w:rPr>
              <w:t xml:space="preserve">CIP Survey </w:t>
            </w:r>
            <w:r>
              <w:rPr>
                <w:rFonts w:asciiTheme="minorHAnsi" w:hAnsiTheme="minorHAnsi" w:cstheme="minorHAnsi"/>
              </w:rPr>
              <w:t>f</w:t>
            </w:r>
            <w:r w:rsidRPr="0002037E">
              <w:rPr>
                <w:rFonts w:asciiTheme="minorHAnsi" w:hAnsiTheme="minorHAnsi" w:cstheme="minorHAnsi"/>
              </w:rPr>
              <w:t>or Court System Structures</w:t>
            </w:r>
          </w:p>
        </w:tc>
        <w:tc>
          <w:tcPr>
            <w:tcW w:w="5879" w:type="dxa"/>
          </w:tcPr>
          <w:p w:rsidR="00083404" w:rsidRPr="00644080" w:rsidP="005E7AE7" w14:paraId="7DB5B26C" w14:textId="47D3F2D1">
            <w:pPr>
              <w:rPr>
                <w:rFonts w:asciiTheme="minorHAnsi" w:hAnsiTheme="minorHAnsi" w:cstheme="minorHAnsi"/>
              </w:rPr>
            </w:pPr>
            <w:r w:rsidRPr="00644080">
              <w:rPr>
                <w:rFonts w:asciiTheme="minorHAnsi" w:hAnsiTheme="minorHAnsi" w:cstheme="minorHAnsi"/>
                <w:b/>
              </w:rPr>
              <w:t>Respondents</w:t>
            </w:r>
            <w:r w:rsidRPr="00644080">
              <w:rPr>
                <w:rFonts w:asciiTheme="minorHAnsi" w:hAnsiTheme="minorHAnsi" w:cstheme="minorHAnsi"/>
              </w:rPr>
              <w:t xml:space="preserve">: </w:t>
            </w:r>
            <w:r>
              <w:rPr>
                <w:rFonts w:asciiTheme="minorHAnsi" w:hAnsiTheme="minorHAnsi" w:cstheme="minorHAnsi"/>
              </w:rPr>
              <w:t>CIP g</w:t>
            </w:r>
            <w:r w:rsidRPr="00644080">
              <w:rPr>
                <w:rFonts w:asciiTheme="minorHAnsi" w:hAnsiTheme="minorHAnsi" w:cstheme="minorHAnsi"/>
              </w:rPr>
              <w:t>rantees</w:t>
            </w:r>
          </w:p>
          <w:p w:rsidR="00083404" w:rsidRPr="00644080" w:rsidP="005E7AE7" w14:paraId="3E8AC9ED" w14:textId="77777777">
            <w:pPr>
              <w:rPr>
                <w:rFonts w:asciiTheme="minorHAnsi" w:hAnsiTheme="minorHAnsi" w:cstheme="minorHAnsi"/>
              </w:rPr>
            </w:pPr>
          </w:p>
          <w:p w:rsidR="00083404" w:rsidRPr="00644080" w:rsidP="005E7AE7" w14:paraId="6D716A21" w14:textId="06212189">
            <w:pPr>
              <w:rPr>
                <w:rFonts w:asciiTheme="minorHAnsi" w:hAnsiTheme="minorHAnsi" w:cstheme="minorHAnsi"/>
              </w:rPr>
            </w:pPr>
            <w:r w:rsidRPr="00644080">
              <w:rPr>
                <w:rFonts w:asciiTheme="minorHAnsi" w:hAnsiTheme="minorHAnsi" w:cstheme="minorHAnsi"/>
                <w:b/>
              </w:rPr>
              <w:t>Content</w:t>
            </w:r>
            <w:r w:rsidRPr="00644080">
              <w:rPr>
                <w:rFonts w:asciiTheme="minorHAnsi" w:hAnsiTheme="minorHAnsi" w:cstheme="minorHAnsi"/>
              </w:rPr>
              <w:t xml:space="preserve">: </w:t>
            </w:r>
            <w:r>
              <w:rPr>
                <w:rFonts w:asciiTheme="minorHAnsi" w:hAnsiTheme="minorHAnsi" w:cstheme="minorHAnsi"/>
              </w:rPr>
              <w:t xml:space="preserve">This survey contains questions about legal and judicial systems serving child welfare from a state-level vantage. </w:t>
            </w:r>
            <w:r w:rsidRPr="00644080">
              <w:rPr>
                <w:rFonts w:asciiTheme="minorHAnsi" w:hAnsiTheme="minorHAnsi" w:cstheme="minorHAnsi"/>
              </w:rPr>
              <w:t xml:space="preserve"> </w:t>
            </w:r>
          </w:p>
          <w:p w:rsidR="00083404" w:rsidRPr="00644080" w:rsidP="005E7AE7" w14:paraId="33015672" w14:textId="77777777">
            <w:pPr>
              <w:rPr>
                <w:rFonts w:asciiTheme="minorHAnsi" w:hAnsiTheme="minorHAnsi" w:cstheme="minorHAnsi"/>
              </w:rPr>
            </w:pPr>
          </w:p>
          <w:p w:rsidR="00083404" w:rsidP="008C484B" w14:paraId="1D8B6EB9" w14:textId="77777777">
            <w:pPr>
              <w:rPr>
                <w:rFonts w:asciiTheme="minorHAnsi" w:hAnsiTheme="minorHAnsi" w:cstheme="minorHAnsi"/>
              </w:rPr>
            </w:pPr>
            <w:r w:rsidRPr="00644080">
              <w:rPr>
                <w:rFonts w:asciiTheme="minorHAnsi" w:hAnsiTheme="minorHAnsi" w:cstheme="minorHAnsi"/>
                <w:b/>
              </w:rPr>
              <w:t>General Purpose</w:t>
            </w:r>
            <w:r w:rsidRPr="00644080">
              <w:rPr>
                <w:rFonts w:asciiTheme="minorHAnsi" w:hAnsiTheme="minorHAnsi" w:cstheme="minorHAnsi"/>
              </w:rPr>
              <w:t xml:space="preserve">: </w:t>
            </w:r>
            <w:r>
              <w:rPr>
                <w:rFonts w:asciiTheme="minorHAnsi" w:hAnsiTheme="minorHAnsi" w:cstheme="minorHAnsi"/>
              </w:rPr>
              <w:t>This tool provides a general snapshot of legal system structures that were unable to be located through a public scan</w:t>
            </w:r>
            <w:r w:rsidRPr="00644080">
              <w:rPr>
                <w:rFonts w:asciiTheme="minorHAnsi" w:hAnsiTheme="minorHAnsi" w:cstheme="minorHAnsi"/>
              </w:rPr>
              <w:t>.</w:t>
            </w:r>
          </w:p>
          <w:p w:rsidR="00083404" w:rsidP="008C484B" w14:paraId="46F4B575" w14:textId="6AF03E1A">
            <w:pPr>
              <w:rPr>
                <w:rFonts w:asciiTheme="minorHAnsi" w:hAnsiTheme="minorHAnsi" w:cstheme="minorHAnsi"/>
              </w:rPr>
            </w:pPr>
            <w:r w:rsidRPr="00644080">
              <w:rPr>
                <w:rFonts w:asciiTheme="minorHAnsi" w:hAnsiTheme="minorHAnsi" w:cstheme="minorHAnsi"/>
              </w:rPr>
              <w:t xml:space="preserve"> </w:t>
            </w:r>
          </w:p>
          <w:p w:rsidR="00083404" w:rsidP="008C484B" w14:paraId="7115DA3A" w14:textId="401028A9">
            <w:pPr>
              <w:rPr>
                <w:rFonts w:asciiTheme="minorHAnsi" w:hAnsiTheme="minorHAnsi" w:cstheme="minorHAnsi"/>
              </w:rPr>
            </w:pPr>
            <w:r w:rsidRPr="00644080">
              <w:rPr>
                <w:rFonts w:asciiTheme="minorHAnsi" w:hAnsiTheme="minorHAnsi" w:cstheme="minorHAnsi"/>
                <w:b/>
              </w:rPr>
              <w:t>Purpose for program support:</w:t>
            </w:r>
            <w:r w:rsidRPr="00644080">
              <w:rPr>
                <w:rFonts w:asciiTheme="minorHAnsi" w:hAnsiTheme="minorHAnsi" w:cstheme="minorHAnsi"/>
              </w:rPr>
              <w:t xml:space="preserve"> Technical assistance </w:t>
            </w:r>
            <w:r>
              <w:rPr>
                <w:rFonts w:asciiTheme="minorHAnsi" w:hAnsiTheme="minorHAnsi" w:cstheme="minorHAnsi"/>
              </w:rPr>
              <w:t xml:space="preserve">will be targeted and developed based on these data. The data will be used directly by CIP grantees as well for their own research and peer to peer connections. </w:t>
            </w:r>
          </w:p>
          <w:p w:rsidR="00083404" w:rsidRPr="00644080" w:rsidP="00030C66" w14:paraId="500E849E" w14:textId="436E67A4">
            <w:pPr>
              <w:rPr>
                <w:rFonts w:asciiTheme="minorHAnsi" w:hAnsiTheme="minorHAnsi" w:cstheme="minorHAnsi"/>
              </w:rPr>
            </w:pPr>
          </w:p>
        </w:tc>
        <w:tc>
          <w:tcPr>
            <w:tcW w:w="1800" w:type="dxa"/>
          </w:tcPr>
          <w:p w:rsidR="00083404" w:rsidRPr="00644080" w:rsidP="005E7AE7" w14:paraId="58026F3F" w14:textId="3EF34CFC">
            <w:pPr>
              <w:rPr>
                <w:rFonts w:asciiTheme="minorHAnsi" w:hAnsiTheme="minorHAnsi" w:cstheme="minorHAnsi"/>
              </w:rPr>
            </w:pPr>
            <w:r w:rsidRPr="00644080">
              <w:rPr>
                <w:rFonts w:asciiTheme="minorHAnsi" w:hAnsiTheme="minorHAnsi" w:cstheme="minorHAnsi"/>
                <w:b/>
              </w:rPr>
              <w:t>Mode</w:t>
            </w:r>
            <w:r w:rsidRPr="00644080">
              <w:rPr>
                <w:rFonts w:asciiTheme="minorHAnsi" w:hAnsiTheme="minorHAnsi" w:cstheme="minorHAnsi"/>
              </w:rPr>
              <w:t xml:space="preserve">: </w:t>
            </w:r>
            <w:r>
              <w:rPr>
                <w:rFonts w:asciiTheme="minorHAnsi" w:hAnsiTheme="minorHAnsi" w:cstheme="minorHAnsi"/>
              </w:rPr>
              <w:t>Online survey, such as Survey Monkey</w:t>
            </w:r>
            <w:r w:rsidRPr="00644080">
              <w:rPr>
                <w:rFonts w:asciiTheme="minorHAnsi" w:hAnsiTheme="minorHAnsi" w:cstheme="minorHAnsi"/>
              </w:rPr>
              <w:t xml:space="preserve"> </w:t>
            </w:r>
          </w:p>
          <w:p w:rsidR="00083404" w:rsidRPr="00644080" w:rsidP="005E7AE7" w14:paraId="7072B986" w14:textId="77777777">
            <w:pPr>
              <w:rPr>
                <w:rFonts w:asciiTheme="minorHAnsi" w:hAnsiTheme="minorHAnsi" w:cstheme="minorHAnsi"/>
              </w:rPr>
            </w:pPr>
          </w:p>
          <w:p w:rsidR="00083404" w:rsidRPr="00644080" w:rsidP="00112747" w14:paraId="7C442A42" w14:textId="75CC1E0B">
            <w:pPr>
              <w:rPr>
                <w:rFonts w:asciiTheme="minorHAnsi" w:hAnsiTheme="minorHAnsi" w:cstheme="minorHAnsi"/>
              </w:rPr>
            </w:pPr>
            <w:r w:rsidRPr="00644080">
              <w:rPr>
                <w:rFonts w:asciiTheme="minorHAnsi" w:hAnsiTheme="minorHAnsi" w:cstheme="minorHAnsi"/>
                <w:b/>
              </w:rPr>
              <w:t>Duration</w:t>
            </w:r>
            <w:r w:rsidRPr="00644080">
              <w:rPr>
                <w:rFonts w:asciiTheme="minorHAnsi" w:hAnsiTheme="minorHAnsi" w:cstheme="minorHAnsi"/>
              </w:rPr>
              <w:t xml:space="preserve">: </w:t>
            </w:r>
            <w:r>
              <w:rPr>
                <w:rFonts w:asciiTheme="minorHAnsi" w:hAnsiTheme="minorHAnsi" w:cstheme="minorHAnsi"/>
              </w:rPr>
              <w:t>20-30 minutes</w:t>
            </w:r>
          </w:p>
        </w:tc>
      </w:tr>
      <w:tr w14:paraId="10073277" w14:textId="77777777" w:rsidTr="00F87223">
        <w:tblPrEx>
          <w:tblW w:w="9355" w:type="dxa"/>
          <w:tblInd w:w="0" w:type="dxa"/>
          <w:tblLook w:val="04A0"/>
        </w:tblPrEx>
        <w:tc>
          <w:tcPr>
            <w:tcW w:w="1676" w:type="dxa"/>
          </w:tcPr>
          <w:p w:rsidR="00083404" w:rsidRPr="00644080" w:rsidP="0002037E" w14:paraId="4012210F" w14:textId="1BEFEEE5">
            <w:pPr>
              <w:rPr>
                <w:rFonts w:cstheme="minorHAnsi"/>
              </w:rPr>
            </w:pPr>
            <w:r w:rsidRPr="00644080">
              <w:rPr>
                <w:rFonts w:asciiTheme="minorHAnsi" w:hAnsiTheme="minorHAnsi" w:cstheme="minorHAnsi"/>
              </w:rPr>
              <w:t xml:space="preserve">Instrument </w:t>
            </w:r>
            <w:r>
              <w:rPr>
                <w:rFonts w:asciiTheme="minorHAnsi" w:hAnsiTheme="minorHAnsi" w:cstheme="minorHAnsi"/>
              </w:rPr>
              <w:t>2</w:t>
            </w:r>
            <w:r w:rsidRPr="00644080">
              <w:rPr>
                <w:rFonts w:asciiTheme="minorHAnsi" w:hAnsiTheme="minorHAnsi" w:cstheme="minorHAnsi"/>
              </w:rPr>
              <w:t xml:space="preserve">: </w:t>
            </w:r>
            <w:r w:rsidRPr="00B95E66">
              <w:rPr>
                <w:rFonts w:asciiTheme="minorHAnsi" w:hAnsiTheme="minorHAnsi" w:cstheme="minorHAnsi"/>
              </w:rPr>
              <w:t>CIP Local Stakeholder Survey</w:t>
            </w:r>
          </w:p>
        </w:tc>
        <w:tc>
          <w:tcPr>
            <w:tcW w:w="5879" w:type="dxa"/>
          </w:tcPr>
          <w:p w:rsidR="00083404" w:rsidP="00030C66" w14:paraId="5C933F59" w14:textId="77777777">
            <w:pPr>
              <w:rPr>
                <w:rFonts w:asciiTheme="minorHAnsi" w:hAnsiTheme="minorHAnsi" w:cstheme="minorHAnsi"/>
              </w:rPr>
            </w:pPr>
            <w:r w:rsidRPr="00644080">
              <w:rPr>
                <w:rFonts w:asciiTheme="minorHAnsi" w:hAnsiTheme="minorHAnsi" w:cstheme="minorHAnsi"/>
                <w:b/>
              </w:rPr>
              <w:t>Respondents</w:t>
            </w:r>
            <w:r w:rsidRPr="00644080">
              <w:rPr>
                <w:rFonts w:asciiTheme="minorHAnsi" w:hAnsiTheme="minorHAnsi" w:cstheme="minorHAnsi"/>
              </w:rPr>
              <w:t xml:space="preserve">: </w:t>
            </w:r>
            <w:r>
              <w:rPr>
                <w:rFonts w:asciiTheme="minorHAnsi" w:hAnsiTheme="minorHAnsi" w:cstheme="minorHAnsi"/>
              </w:rPr>
              <w:t>Judges and attorneys practicing in child welfare</w:t>
            </w:r>
          </w:p>
          <w:p w:rsidR="00083404" w:rsidP="00030C66" w14:paraId="17F21712" w14:textId="77777777">
            <w:pPr>
              <w:rPr>
                <w:rFonts w:asciiTheme="minorHAnsi" w:hAnsiTheme="minorHAnsi" w:cstheme="minorHAnsi"/>
              </w:rPr>
            </w:pPr>
          </w:p>
          <w:p w:rsidR="00083404" w:rsidRPr="00644080" w:rsidP="00030C66" w14:paraId="3D6BC9EF" w14:textId="77777777">
            <w:pPr>
              <w:rPr>
                <w:rFonts w:asciiTheme="minorHAnsi" w:hAnsiTheme="minorHAnsi" w:cstheme="minorHAnsi"/>
              </w:rPr>
            </w:pPr>
            <w:r w:rsidRPr="00644080">
              <w:rPr>
                <w:rFonts w:asciiTheme="minorHAnsi" w:hAnsiTheme="minorHAnsi" w:cstheme="minorHAnsi"/>
                <w:b/>
              </w:rPr>
              <w:t>Content</w:t>
            </w:r>
            <w:r w:rsidRPr="00644080">
              <w:rPr>
                <w:rFonts w:asciiTheme="minorHAnsi" w:hAnsiTheme="minorHAnsi" w:cstheme="minorHAnsi"/>
              </w:rPr>
              <w:t xml:space="preserve">: </w:t>
            </w:r>
            <w:r>
              <w:rPr>
                <w:rFonts w:asciiTheme="minorHAnsi" w:hAnsiTheme="minorHAnsi" w:cstheme="minorHAnsi"/>
              </w:rPr>
              <w:t xml:space="preserve">This survey contains questions about the county level legal and judicial systems serving child welfare. </w:t>
            </w:r>
            <w:r w:rsidRPr="00644080">
              <w:rPr>
                <w:rFonts w:asciiTheme="minorHAnsi" w:hAnsiTheme="minorHAnsi" w:cstheme="minorHAnsi"/>
              </w:rPr>
              <w:t xml:space="preserve"> </w:t>
            </w:r>
          </w:p>
          <w:p w:rsidR="00083404" w:rsidP="00030C66" w14:paraId="6B2E98BC" w14:textId="77777777">
            <w:pPr>
              <w:rPr>
                <w:rFonts w:asciiTheme="minorHAnsi" w:hAnsiTheme="minorHAnsi" w:cstheme="minorHAnsi"/>
              </w:rPr>
            </w:pPr>
          </w:p>
          <w:p w:rsidR="00083404" w:rsidP="00030C66" w14:paraId="75A64600" w14:textId="0AAF776A">
            <w:pPr>
              <w:rPr>
                <w:rFonts w:asciiTheme="minorHAnsi" w:hAnsiTheme="minorHAnsi" w:cstheme="minorHAnsi"/>
              </w:rPr>
            </w:pPr>
            <w:r w:rsidRPr="00644080">
              <w:rPr>
                <w:rFonts w:asciiTheme="minorHAnsi" w:hAnsiTheme="minorHAnsi" w:cstheme="minorHAnsi"/>
                <w:b/>
              </w:rPr>
              <w:t>General Purpose</w:t>
            </w:r>
            <w:r w:rsidRPr="00644080">
              <w:rPr>
                <w:rFonts w:asciiTheme="minorHAnsi" w:hAnsiTheme="minorHAnsi" w:cstheme="minorHAnsi"/>
              </w:rPr>
              <w:t xml:space="preserve">: </w:t>
            </w:r>
            <w:r>
              <w:rPr>
                <w:rFonts w:asciiTheme="minorHAnsi" w:hAnsiTheme="minorHAnsi" w:cstheme="minorHAnsi"/>
              </w:rPr>
              <w:t>Same as above</w:t>
            </w:r>
          </w:p>
          <w:p w:rsidR="00083404" w:rsidP="00030C66" w14:paraId="0884D51C" w14:textId="77777777">
            <w:pPr>
              <w:rPr>
                <w:rFonts w:asciiTheme="minorHAnsi" w:hAnsiTheme="minorHAnsi" w:cstheme="minorHAnsi"/>
              </w:rPr>
            </w:pPr>
          </w:p>
          <w:p w:rsidR="00083404" w:rsidRPr="00644080" w:rsidP="00030C66" w14:paraId="06D868D0" w14:textId="77777777">
            <w:pPr>
              <w:rPr>
                <w:rFonts w:asciiTheme="minorHAnsi" w:hAnsiTheme="minorHAnsi" w:cstheme="minorHAnsi"/>
              </w:rPr>
            </w:pPr>
            <w:r w:rsidRPr="00644080">
              <w:rPr>
                <w:rFonts w:asciiTheme="minorHAnsi" w:hAnsiTheme="minorHAnsi" w:cstheme="minorHAnsi"/>
                <w:b/>
              </w:rPr>
              <w:t>Purpose for program support:</w:t>
            </w:r>
            <w:r>
              <w:rPr>
                <w:rFonts w:asciiTheme="minorHAnsi" w:hAnsiTheme="minorHAnsi" w:cstheme="minorHAnsi"/>
                <w:b/>
              </w:rPr>
              <w:t xml:space="preserve"> </w:t>
            </w:r>
            <w:r>
              <w:rPr>
                <w:rFonts w:asciiTheme="minorHAnsi" w:hAnsiTheme="minorHAnsi" w:cstheme="minorHAnsi"/>
              </w:rPr>
              <w:t>Same as above</w:t>
            </w:r>
          </w:p>
          <w:p w:rsidR="00083404" w:rsidRPr="00644080" w:rsidP="005E7AE7" w14:paraId="128B1804" w14:textId="77777777">
            <w:pPr>
              <w:rPr>
                <w:rFonts w:cstheme="minorHAnsi"/>
                <w:b/>
              </w:rPr>
            </w:pPr>
          </w:p>
        </w:tc>
        <w:tc>
          <w:tcPr>
            <w:tcW w:w="1800" w:type="dxa"/>
          </w:tcPr>
          <w:p w:rsidR="00083404" w:rsidRPr="00644080" w:rsidP="00030C66" w14:paraId="64A38E88" w14:textId="77777777">
            <w:pPr>
              <w:rPr>
                <w:rFonts w:asciiTheme="minorHAnsi" w:hAnsiTheme="minorHAnsi" w:cstheme="minorHAnsi"/>
              </w:rPr>
            </w:pPr>
            <w:r w:rsidRPr="00644080">
              <w:rPr>
                <w:rFonts w:asciiTheme="minorHAnsi" w:hAnsiTheme="minorHAnsi" w:cstheme="minorHAnsi"/>
                <w:b/>
              </w:rPr>
              <w:t>Mode</w:t>
            </w:r>
            <w:r w:rsidRPr="00644080">
              <w:rPr>
                <w:rFonts w:asciiTheme="minorHAnsi" w:hAnsiTheme="minorHAnsi" w:cstheme="minorHAnsi"/>
              </w:rPr>
              <w:t xml:space="preserve">: </w:t>
            </w:r>
            <w:r>
              <w:rPr>
                <w:rFonts w:asciiTheme="minorHAnsi" w:hAnsiTheme="minorHAnsi" w:cstheme="minorHAnsi"/>
              </w:rPr>
              <w:t>Online survey, such as Survey Monkey</w:t>
            </w:r>
            <w:r w:rsidRPr="00644080">
              <w:rPr>
                <w:rFonts w:asciiTheme="minorHAnsi" w:hAnsiTheme="minorHAnsi" w:cstheme="minorHAnsi"/>
              </w:rPr>
              <w:t xml:space="preserve"> </w:t>
            </w:r>
          </w:p>
          <w:p w:rsidR="00083404" w:rsidRPr="00644080" w:rsidP="00030C66" w14:paraId="719FF6A2" w14:textId="77777777">
            <w:pPr>
              <w:rPr>
                <w:rFonts w:asciiTheme="minorHAnsi" w:hAnsiTheme="minorHAnsi" w:cstheme="minorHAnsi"/>
              </w:rPr>
            </w:pPr>
          </w:p>
          <w:p w:rsidR="00083404" w:rsidP="00030C66" w14:paraId="20C58F07" w14:textId="77777777">
            <w:pPr>
              <w:rPr>
                <w:rFonts w:asciiTheme="minorHAnsi" w:hAnsiTheme="minorHAnsi" w:cstheme="minorHAnsi"/>
              </w:rPr>
            </w:pPr>
            <w:r w:rsidRPr="00644080">
              <w:rPr>
                <w:rFonts w:asciiTheme="minorHAnsi" w:hAnsiTheme="minorHAnsi" w:cstheme="minorHAnsi"/>
                <w:b/>
              </w:rPr>
              <w:t>Duration</w:t>
            </w:r>
            <w:r w:rsidRPr="00644080">
              <w:rPr>
                <w:rFonts w:asciiTheme="minorHAnsi" w:hAnsiTheme="minorHAnsi" w:cstheme="minorHAnsi"/>
              </w:rPr>
              <w:t xml:space="preserve">: </w:t>
            </w:r>
            <w:r>
              <w:rPr>
                <w:rFonts w:asciiTheme="minorHAnsi" w:hAnsiTheme="minorHAnsi" w:cstheme="minorHAnsi"/>
              </w:rPr>
              <w:t>10-15 minutes</w:t>
            </w:r>
          </w:p>
          <w:p w:rsidR="00083404" w:rsidRPr="00644080" w:rsidP="005E7AE7" w14:paraId="7D250394" w14:textId="77777777">
            <w:pPr>
              <w:rPr>
                <w:rFonts w:cstheme="minorHAnsi"/>
                <w:b/>
              </w:rPr>
            </w:pPr>
          </w:p>
        </w:tc>
      </w:tr>
    </w:tbl>
    <w:p w:rsidR="004328A4" w:rsidRPr="009D3A64" w:rsidP="00DF1291" w14:paraId="273AB215" w14:textId="77777777">
      <w:pPr>
        <w:spacing w:after="0" w:line="240" w:lineRule="auto"/>
        <w:rPr>
          <w:rFonts w:cstheme="minorHAnsi"/>
          <w:i/>
        </w:rPr>
      </w:pPr>
    </w:p>
    <w:p w:rsidR="004328A4" w:rsidRPr="009D3A64" w:rsidP="00644080" w14:paraId="4D1D46D3" w14:textId="07FE5CFD">
      <w:pPr>
        <w:spacing w:after="60" w:line="240" w:lineRule="auto"/>
        <w:rPr>
          <w:rFonts w:cstheme="minorHAnsi"/>
          <w:i/>
        </w:rPr>
      </w:pPr>
      <w:r w:rsidRPr="009D3A64">
        <w:rPr>
          <w:rFonts w:cstheme="minorHAnsi"/>
          <w:i/>
        </w:rPr>
        <w:t>Other Data Sources and Uses of Information</w:t>
      </w:r>
    </w:p>
    <w:p w:rsidR="00CB1F9B" w:rsidP="007D0F6E" w14:paraId="0C59B497" w14:textId="68EAD713">
      <w:pPr>
        <w:spacing w:after="0" w:line="240" w:lineRule="auto"/>
        <w:rPr>
          <w:rFonts w:cstheme="minorHAnsi"/>
        </w:rPr>
      </w:pPr>
      <w:r>
        <w:rPr>
          <w:rFonts w:cstheme="minorHAnsi"/>
        </w:rPr>
        <w:t xml:space="preserve">The study team has and will continue to gather publicly available information to compile within the centralized database. </w:t>
      </w:r>
      <w:r w:rsidR="00AA13E6">
        <w:rPr>
          <w:rFonts w:cstheme="minorHAnsi"/>
        </w:rPr>
        <w:t xml:space="preserve">For example, from statutory and </w:t>
      </w:r>
      <w:r w:rsidR="00CB3C55">
        <w:rPr>
          <w:rFonts w:cstheme="minorHAnsi"/>
        </w:rPr>
        <w:t xml:space="preserve">website research. </w:t>
      </w:r>
      <w:r>
        <w:rPr>
          <w:rFonts w:cstheme="minorHAnsi"/>
        </w:rPr>
        <w:t>This survey data will supplement the</w:t>
      </w:r>
      <w:r w:rsidR="00B17F51">
        <w:rPr>
          <w:rFonts w:cstheme="minorHAnsi"/>
        </w:rPr>
        <w:t xml:space="preserve"> publicly available data</w:t>
      </w:r>
      <w:r>
        <w:rPr>
          <w:rFonts w:cstheme="minorHAnsi"/>
        </w:rPr>
        <w:t xml:space="preserve"> to provide a more robust informational resource for CB and CIPs</w:t>
      </w:r>
      <w:r w:rsidR="00B17F51">
        <w:rPr>
          <w:rFonts w:cstheme="minorHAnsi"/>
        </w:rPr>
        <w:t xml:space="preserve"> </w:t>
      </w:r>
    </w:p>
    <w:p w:rsidR="00644080" w:rsidP="007D0F6E" w14:paraId="4C8C44F5" w14:textId="724E43B4">
      <w:pPr>
        <w:spacing w:after="0" w:line="240" w:lineRule="auto"/>
        <w:rPr>
          <w:rFonts w:cstheme="minorHAnsi"/>
        </w:rPr>
      </w:pPr>
    </w:p>
    <w:p w:rsidR="00934F3B" w:rsidRPr="009D3A64" w:rsidP="007D0F6E" w14:paraId="3F883C96" w14:textId="77777777">
      <w:pPr>
        <w:spacing w:after="0" w:line="240" w:lineRule="auto"/>
        <w:rPr>
          <w:rFonts w:cstheme="minorHAnsi"/>
        </w:rPr>
      </w:pPr>
    </w:p>
    <w:p w:rsidR="007D0F6E" w:rsidRPr="009D3A64" w:rsidP="007D0F6E" w14:paraId="6871AD3D" w14:textId="77777777">
      <w:pPr>
        <w:spacing w:after="120" w:line="240" w:lineRule="auto"/>
        <w:rPr>
          <w:rFonts w:cstheme="minorHAnsi"/>
          <w:b/>
        </w:rPr>
      </w:pPr>
      <w:r w:rsidRPr="009D3A64">
        <w:rPr>
          <w:rFonts w:cstheme="minorHAnsi"/>
          <w:b/>
        </w:rPr>
        <w:t>A3</w:t>
      </w:r>
      <w:r w:rsidRPr="009D3A64">
        <w:rPr>
          <w:rFonts w:cstheme="minorHAnsi"/>
        </w:rPr>
        <w:t>.</w:t>
      </w:r>
      <w:r w:rsidRPr="009D3A64">
        <w:rPr>
          <w:rFonts w:cstheme="minorHAnsi"/>
        </w:rPr>
        <w:tab/>
      </w:r>
      <w:r w:rsidRPr="009D3A64" w:rsidR="004E5778">
        <w:rPr>
          <w:rFonts w:cstheme="minorHAnsi"/>
          <w:b/>
        </w:rPr>
        <w:t>Use of Information Technology to Reduce Burden</w:t>
      </w:r>
    </w:p>
    <w:p w:rsidR="00CB1F9B" w:rsidRPr="009D3A64" w:rsidP="008C484B" w14:paraId="3BEAD0CB" w14:textId="478FAA50">
      <w:pPr>
        <w:spacing w:after="0" w:line="240" w:lineRule="auto"/>
        <w:rPr>
          <w:rFonts w:cstheme="minorHAnsi"/>
        </w:rPr>
      </w:pPr>
      <w:r w:rsidRPr="009D3A64">
        <w:rPr>
          <w:rFonts w:cstheme="minorHAnsi"/>
        </w:rPr>
        <w:t xml:space="preserve">Information will be collected </w:t>
      </w:r>
      <w:r w:rsidR="0002037E">
        <w:rPr>
          <w:rFonts w:cstheme="minorHAnsi"/>
        </w:rPr>
        <w:t>in an online survey such as Survey Monkey</w:t>
      </w:r>
      <w:r w:rsidRPr="009D3A64">
        <w:rPr>
          <w:rFonts w:cstheme="minorHAnsi"/>
        </w:rPr>
        <w:t xml:space="preserve">. We anticipate this format will provide the lowest burden to the respondent. </w:t>
      </w:r>
    </w:p>
    <w:p w:rsidR="00CB1F9B" w:rsidRPr="00934F3B" w:rsidP="00934F3B" w14:paraId="3A58DF54" w14:textId="77777777">
      <w:pPr>
        <w:spacing w:after="0" w:line="240" w:lineRule="auto"/>
        <w:rPr>
          <w:rFonts w:cstheme="minorHAnsi"/>
        </w:rPr>
      </w:pPr>
    </w:p>
    <w:p w:rsidR="005B5FCC" w:rsidRPr="009D3A64" w:rsidP="00DF1291" w14:paraId="7E7C5C59" w14:textId="77777777">
      <w:pPr>
        <w:pStyle w:val="ListParagraph"/>
        <w:spacing w:after="0" w:line="240" w:lineRule="auto"/>
        <w:ind w:left="360"/>
        <w:rPr>
          <w:rFonts w:cstheme="minorHAnsi"/>
        </w:rPr>
      </w:pPr>
    </w:p>
    <w:p w:rsidR="00891CD9" w:rsidP="007D0F6E" w14:paraId="03EFC370" w14:textId="72777A4E">
      <w:pPr>
        <w:spacing w:after="120" w:line="240" w:lineRule="auto"/>
        <w:ind w:left="720" w:hanging="720"/>
        <w:rPr>
          <w:rFonts w:cstheme="minorHAnsi"/>
          <w:b/>
        </w:rPr>
      </w:pPr>
      <w:r w:rsidRPr="009D3A64">
        <w:rPr>
          <w:rFonts w:cstheme="minorHAnsi"/>
          <w:b/>
        </w:rPr>
        <w:t>A4</w:t>
      </w:r>
      <w:r w:rsidRPr="009D3A64">
        <w:rPr>
          <w:rFonts w:cstheme="minorHAnsi"/>
        </w:rPr>
        <w:t>.</w:t>
      </w:r>
      <w:r w:rsidRPr="009D3A64">
        <w:rPr>
          <w:rFonts w:cstheme="minorHAnsi"/>
        </w:rPr>
        <w:tab/>
      </w:r>
      <w:r w:rsidRPr="009D3A64" w:rsidR="004E5778">
        <w:rPr>
          <w:rFonts w:cstheme="minorHAnsi"/>
          <w:b/>
        </w:rPr>
        <w:t xml:space="preserve">Use of Existing Data: </w:t>
      </w:r>
      <w:r w:rsidRPr="009D3A64" w:rsidR="0068303E">
        <w:rPr>
          <w:rFonts w:cstheme="minorHAnsi"/>
          <w:b/>
        </w:rPr>
        <w:t>E</w:t>
      </w:r>
      <w:r w:rsidRPr="009D3A64" w:rsidR="00CC4651">
        <w:rPr>
          <w:rFonts w:cstheme="minorHAnsi"/>
          <w:b/>
        </w:rPr>
        <w:t>fforts to</w:t>
      </w:r>
      <w:r w:rsidRPr="009D3A64">
        <w:rPr>
          <w:rFonts w:cstheme="minorHAnsi"/>
          <w:b/>
        </w:rPr>
        <w:t xml:space="preserve"> reduce duplication</w:t>
      </w:r>
      <w:r w:rsidRPr="009D3A64" w:rsidR="009A3AD8">
        <w:rPr>
          <w:rFonts w:cstheme="minorHAnsi"/>
          <w:b/>
        </w:rPr>
        <w:t>,</w:t>
      </w:r>
      <w:r w:rsidRPr="009D3A64" w:rsidR="00EA0D4F">
        <w:rPr>
          <w:rFonts w:cstheme="minorHAnsi"/>
          <w:b/>
        </w:rPr>
        <w:t xml:space="preserve"> minimize burden</w:t>
      </w:r>
      <w:r w:rsidRPr="009D3A64" w:rsidR="009A3AD8">
        <w:rPr>
          <w:rFonts w:cstheme="minorHAnsi"/>
          <w:b/>
        </w:rPr>
        <w:t>,</w:t>
      </w:r>
      <w:r w:rsidRPr="009D3A64" w:rsidR="00A03E3F">
        <w:rPr>
          <w:rFonts w:cstheme="minorHAnsi"/>
          <w:b/>
        </w:rPr>
        <w:t xml:space="preserve"> and</w:t>
      </w:r>
      <w:r w:rsidRPr="009D3A64" w:rsidR="00EA0D4F">
        <w:rPr>
          <w:rFonts w:cstheme="minorHAnsi"/>
          <w:b/>
        </w:rPr>
        <w:t xml:space="preserve"> increase</w:t>
      </w:r>
      <w:r w:rsidRPr="009D3A64" w:rsidR="00D55767">
        <w:rPr>
          <w:rFonts w:cstheme="minorHAnsi"/>
          <w:b/>
        </w:rPr>
        <w:t xml:space="preserve"> utility and</w:t>
      </w:r>
      <w:r w:rsidRPr="009D3A64" w:rsidR="00EA0D4F">
        <w:rPr>
          <w:rFonts w:cstheme="minorHAnsi"/>
          <w:b/>
        </w:rPr>
        <w:t xml:space="preserve"> government </w:t>
      </w:r>
      <w:r w:rsidRPr="009D3A64" w:rsidR="00591283">
        <w:rPr>
          <w:rFonts w:cstheme="minorHAnsi"/>
          <w:b/>
        </w:rPr>
        <w:t>efficiency</w:t>
      </w:r>
    </w:p>
    <w:p w:rsidR="0002037E" w:rsidP="0002037E" w14:paraId="685605A5" w14:textId="092BDE7F">
      <w:pPr>
        <w:spacing w:after="0"/>
        <w:rPr>
          <w:color w:val="000000"/>
        </w:rPr>
      </w:pPr>
      <w:r w:rsidRPr="00644080">
        <w:rPr>
          <w:rFonts w:cstheme="minorHAnsi"/>
          <w:bCs/>
        </w:rPr>
        <w:t xml:space="preserve">There is no information available that is duplicative and will allow </w:t>
      </w:r>
      <w:r>
        <w:rPr>
          <w:rFonts w:cstheme="minorHAnsi"/>
          <w:bCs/>
        </w:rPr>
        <w:t>CB</w:t>
      </w:r>
      <w:r w:rsidRPr="00644080">
        <w:rPr>
          <w:rFonts w:cstheme="minorHAnsi"/>
          <w:bCs/>
        </w:rPr>
        <w:t xml:space="preserve"> to provide </w:t>
      </w:r>
      <w:r>
        <w:rPr>
          <w:rFonts w:cstheme="minorHAnsi"/>
          <w:bCs/>
        </w:rPr>
        <w:t>TA</w:t>
      </w:r>
      <w:r w:rsidRPr="00644080">
        <w:rPr>
          <w:rFonts w:cstheme="minorHAnsi"/>
          <w:bCs/>
        </w:rPr>
        <w:t xml:space="preserve"> to grantees</w:t>
      </w:r>
      <w:r w:rsidR="00030C66">
        <w:rPr>
          <w:rFonts w:cstheme="minorHAnsi"/>
          <w:bCs/>
        </w:rPr>
        <w:t xml:space="preserve"> and there is no centralized location with information about overall court structures</w:t>
      </w:r>
      <w:r w:rsidRPr="00644080">
        <w:rPr>
          <w:rFonts w:cstheme="minorHAnsi"/>
          <w:bCs/>
        </w:rPr>
        <w:t>.</w:t>
      </w:r>
      <w:r>
        <w:rPr>
          <w:rFonts w:cstheme="minorHAnsi"/>
          <w:bCs/>
        </w:rPr>
        <w:t xml:space="preserve"> </w:t>
      </w:r>
      <w:r>
        <w:rPr>
          <w:color w:val="000000"/>
        </w:rPr>
        <w:t>This collection only includes a portion of the original data elements that were deemed needed in understanding the overall court structures.</w:t>
      </w:r>
      <w:r w:rsidR="00CB3C55">
        <w:rPr>
          <w:color w:val="000000"/>
        </w:rPr>
        <w:t xml:space="preserve"> As noted above, t</w:t>
      </w:r>
      <w:r>
        <w:rPr>
          <w:color w:val="000000"/>
        </w:rPr>
        <w:t xml:space="preserve">he majority of the elements were able to be gathered from online sources, for example, via statutory and website research. </w:t>
      </w:r>
    </w:p>
    <w:p w:rsidR="004921CC" w:rsidRPr="00644080" w:rsidP="006143C0" w14:paraId="6C9BEA8F" w14:textId="47238440">
      <w:pPr>
        <w:spacing w:after="0" w:line="240" w:lineRule="auto"/>
        <w:rPr>
          <w:rFonts w:cstheme="minorHAnsi"/>
          <w:bCs/>
        </w:rPr>
      </w:pPr>
    </w:p>
    <w:p w:rsidR="00A21B8A" w:rsidRPr="009D3A64" w:rsidP="00644080" w14:paraId="1A204D63" w14:textId="77777777">
      <w:pPr>
        <w:spacing w:after="0" w:line="240" w:lineRule="auto"/>
        <w:ind w:left="720" w:hanging="720"/>
        <w:rPr>
          <w:rFonts w:cstheme="minorHAnsi"/>
          <w:b/>
        </w:rPr>
      </w:pPr>
    </w:p>
    <w:p w:rsidR="00B9441B" w:rsidRPr="009D3A64" w:rsidP="00060B30" w14:paraId="4B58DB12" w14:textId="77777777">
      <w:pPr>
        <w:spacing w:after="120" w:line="240" w:lineRule="auto"/>
        <w:rPr>
          <w:rFonts w:cstheme="minorHAnsi"/>
        </w:rPr>
      </w:pPr>
      <w:r w:rsidRPr="009D3A64">
        <w:rPr>
          <w:rFonts w:cstheme="minorHAnsi"/>
          <w:b/>
        </w:rPr>
        <w:t>A5</w:t>
      </w:r>
      <w:r w:rsidRPr="009D3A64">
        <w:rPr>
          <w:rFonts w:cstheme="minorHAnsi"/>
        </w:rPr>
        <w:t>.</w:t>
      </w:r>
      <w:r w:rsidRPr="009D3A64">
        <w:rPr>
          <w:rFonts w:cstheme="minorHAnsi"/>
        </w:rPr>
        <w:tab/>
      </w:r>
      <w:r w:rsidRPr="009D3A64" w:rsidR="004E5778">
        <w:rPr>
          <w:rFonts w:cstheme="minorHAnsi"/>
          <w:b/>
        </w:rPr>
        <w:t>Impact on Small Businesses</w:t>
      </w:r>
      <w:r w:rsidRPr="009D3A64" w:rsidR="004E5778">
        <w:rPr>
          <w:rFonts w:cstheme="minorHAnsi"/>
        </w:rPr>
        <w:t xml:space="preserve"> </w:t>
      </w:r>
    </w:p>
    <w:p w:rsidR="00B9441B" w:rsidRPr="009D3A64" w:rsidP="00DF1291" w14:paraId="2AD924AC" w14:textId="61B1325C">
      <w:pPr>
        <w:spacing w:after="0" w:line="240" w:lineRule="auto"/>
        <w:rPr>
          <w:rFonts w:cstheme="minorHAnsi"/>
        </w:rPr>
      </w:pPr>
      <w:r>
        <w:rPr>
          <w:rFonts w:cstheme="minorHAnsi"/>
        </w:rPr>
        <w:t xml:space="preserve">Some attorneys requested to complete the </w:t>
      </w:r>
      <w:r w:rsidRPr="0002037E">
        <w:rPr>
          <w:rFonts w:cstheme="minorHAnsi"/>
        </w:rPr>
        <w:t>Local Stakeholder Survey</w:t>
      </w:r>
      <w:r>
        <w:rPr>
          <w:rFonts w:cstheme="minorHAnsi"/>
        </w:rPr>
        <w:t xml:space="preserve"> </w:t>
      </w:r>
      <w:r w:rsidR="00252295">
        <w:rPr>
          <w:rFonts w:cstheme="minorHAnsi"/>
        </w:rPr>
        <w:t xml:space="preserve">will likely represent small business entities. Some of these small business entities receive federal funding under Title IV-E and one aim of this data collection is continued implementation of that option. </w:t>
      </w:r>
      <w:r w:rsidR="00030C66">
        <w:rPr>
          <w:rFonts w:cstheme="minorHAnsi"/>
        </w:rPr>
        <w:t xml:space="preserve">The collection is voluntary and designed to be minimally burdensome. Respondents can complete the survey at their convenience. </w:t>
      </w:r>
    </w:p>
    <w:p w:rsidR="005B05B6" w:rsidP="00DF1291" w14:paraId="59A06A15" w14:textId="64459CAA">
      <w:pPr>
        <w:spacing w:after="0" w:line="240" w:lineRule="auto"/>
        <w:rPr>
          <w:rFonts w:cstheme="minorHAnsi"/>
        </w:rPr>
      </w:pPr>
    </w:p>
    <w:p w:rsidR="00A21B8A" w:rsidRPr="009D3A64" w:rsidP="00DF1291" w14:paraId="5D980D75" w14:textId="77777777">
      <w:pPr>
        <w:spacing w:after="0" w:line="240" w:lineRule="auto"/>
        <w:rPr>
          <w:rFonts w:cstheme="minorHAnsi"/>
        </w:rPr>
      </w:pPr>
    </w:p>
    <w:p w:rsidR="00CC4651" w:rsidRPr="009D3A64" w:rsidP="00060B30" w14:paraId="7FFBF379" w14:textId="77777777">
      <w:pPr>
        <w:spacing w:after="120"/>
        <w:rPr>
          <w:rFonts w:cstheme="minorHAnsi"/>
        </w:rPr>
      </w:pPr>
      <w:r w:rsidRPr="009D3A64">
        <w:rPr>
          <w:rFonts w:cstheme="minorHAnsi"/>
          <w:b/>
        </w:rPr>
        <w:t>A6</w:t>
      </w:r>
      <w:r w:rsidRPr="009D3A64">
        <w:rPr>
          <w:rFonts w:cstheme="minorHAnsi"/>
        </w:rPr>
        <w:t>.</w:t>
      </w:r>
      <w:r w:rsidRPr="009D3A64">
        <w:rPr>
          <w:rFonts w:cstheme="minorHAnsi"/>
        </w:rPr>
        <w:tab/>
      </w:r>
      <w:r w:rsidRPr="009D3A64" w:rsidR="004E5778">
        <w:rPr>
          <w:rFonts w:cstheme="minorHAnsi"/>
          <w:b/>
        </w:rPr>
        <w:t>Consequences of Less Frequent Collection</w:t>
      </w:r>
      <w:r w:rsidRPr="009D3A64" w:rsidR="004E5778">
        <w:rPr>
          <w:rFonts w:cstheme="minorHAnsi"/>
        </w:rPr>
        <w:t xml:space="preserve"> </w:t>
      </w:r>
      <w:r w:rsidRPr="009D3A64" w:rsidR="001253F4">
        <w:rPr>
          <w:rFonts w:cstheme="minorHAnsi"/>
        </w:rPr>
        <w:t xml:space="preserve"> </w:t>
      </w:r>
    </w:p>
    <w:p w:rsidR="00252295" w:rsidP="00252295" w14:paraId="0498929F" w14:textId="540219A5">
      <w:pPr>
        <w:spacing w:after="0"/>
        <w:rPr>
          <w:color w:val="000000"/>
        </w:rPr>
      </w:pPr>
      <w:r>
        <w:rPr>
          <w:color w:val="000000"/>
        </w:rPr>
        <w:t>This is a one-time data collection. To update the information regularly, t</w:t>
      </w:r>
      <w:r>
        <w:rPr>
          <w:color w:val="000000"/>
        </w:rPr>
        <w:t xml:space="preserve">he state level questions have been </w:t>
      </w:r>
      <w:r>
        <w:rPr>
          <w:color w:val="000000"/>
        </w:rPr>
        <w:t>included in the CIP Self-Assessment instrument approved under</w:t>
      </w:r>
      <w:r w:rsidRPr="00305370">
        <w:rPr>
          <w:color w:val="000000"/>
        </w:rPr>
        <w:t xml:space="preserve"> </w:t>
      </w:r>
      <w:r w:rsidRPr="0002037E">
        <w:rPr>
          <w:color w:val="000000"/>
        </w:rPr>
        <w:t>OMB # 0970–0307</w:t>
      </w:r>
      <w:r>
        <w:rPr>
          <w:color w:val="000000"/>
        </w:rPr>
        <w:t xml:space="preserve"> (</w:t>
      </w:r>
      <w:r w:rsidRPr="0002037E">
        <w:rPr>
          <w:color w:val="000000"/>
        </w:rPr>
        <w:t>State Court Improvement Program</w:t>
      </w:r>
      <w:r>
        <w:rPr>
          <w:color w:val="000000"/>
        </w:rPr>
        <w:t>).</w:t>
      </w:r>
      <w:r>
        <w:rPr>
          <w:color w:val="000000"/>
        </w:rPr>
        <w:t xml:space="preserve"> CIP applications are not due again until June 2023</w:t>
      </w:r>
      <w:r>
        <w:rPr>
          <w:color w:val="000000"/>
        </w:rPr>
        <w:t xml:space="preserve">, so this initial data collection will provide baseline information to fill a gap in knowledge and information for CIPs and ACF in a timely manner.  Updates to local level data is not likely to be needed annually and if additional data is needed, a future information collection request will be submitted specific to those needs. </w:t>
      </w:r>
    </w:p>
    <w:p w:rsidR="00CB1F9B" w:rsidRPr="009D3A64" w:rsidP="00060B30" w14:paraId="602001A5" w14:textId="0FB1AE09">
      <w:pPr>
        <w:spacing w:after="0"/>
        <w:rPr>
          <w:rFonts w:cstheme="minorHAnsi"/>
        </w:rPr>
      </w:pPr>
    </w:p>
    <w:p w:rsidR="00B9441B" w:rsidRPr="009D3A64" w:rsidP="00060B30" w14:paraId="46EBF247" w14:textId="7C22EA1D">
      <w:pPr>
        <w:spacing w:after="120" w:line="240" w:lineRule="auto"/>
        <w:rPr>
          <w:rFonts w:cstheme="minorHAnsi"/>
          <w:b/>
        </w:rPr>
      </w:pPr>
      <w:r w:rsidRPr="009D3A64">
        <w:rPr>
          <w:rFonts w:cstheme="minorHAnsi"/>
          <w:b/>
        </w:rPr>
        <w:t>A7</w:t>
      </w:r>
      <w:r w:rsidRPr="009D3A64">
        <w:rPr>
          <w:rFonts w:cstheme="minorHAnsi"/>
        </w:rPr>
        <w:t>.</w:t>
      </w:r>
      <w:r w:rsidRPr="009D3A64">
        <w:rPr>
          <w:rFonts w:cstheme="minorHAnsi"/>
        </w:rPr>
        <w:tab/>
      </w:r>
      <w:r w:rsidRPr="009D3A64">
        <w:rPr>
          <w:rFonts w:cstheme="minorHAnsi"/>
          <w:b/>
        </w:rPr>
        <w:t>Now subsumed under 2(b) above and 10 (below)</w:t>
      </w:r>
    </w:p>
    <w:p w:rsidR="005B05B6" w:rsidRPr="009D3A64" w:rsidP="009D3A64" w14:paraId="627C48E7" w14:textId="70DBFE79">
      <w:pPr>
        <w:spacing w:after="0" w:line="240" w:lineRule="auto"/>
        <w:rPr>
          <w:rFonts w:cstheme="minorHAnsi"/>
          <w:b/>
        </w:rPr>
      </w:pPr>
    </w:p>
    <w:p w:rsidR="005B05B6" w:rsidRPr="009D3A64" w:rsidP="009D3A64" w14:paraId="42BE6A1C" w14:textId="77777777">
      <w:pPr>
        <w:spacing w:after="0" w:line="240" w:lineRule="auto"/>
        <w:rPr>
          <w:rFonts w:cstheme="minorHAnsi"/>
          <w:b/>
        </w:rPr>
      </w:pPr>
    </w:p>
    <w:p w:rsidR="00B9441B" w:rsidRPr="009D3A64" w:rsidP="00060B30" w14:paraId="64BA77BD" w14:textId="77777777">
      <w:pPr>
        <w:spacing w:after="120"/>
        <w:rPr>
          <w:rFonts w:cstheme="minorHAnsi"/>
          <w:b/>
        </w:rPr>
      </w:pPr>
      <w:r w:rsidRPr="009D3A64">
        <w:rPr>
          <w:rFonts w:cstheme="minorHAnsi"/>
          <w:b/>
        </w:rPr>
        <w:t>A8</w:t>
      </w:r>
      <w:r w:rsidRPr="009D3A64">
        <w:rPr>
          <w:rFonts w:cstheme="minorHAnsi"/>
        </w:rPr>
        <w:t>.</w:t>
      </w:r>
      <w:r w:rsidRPr="009D3A64">
        <w:rPr>
          <w:rFonts w:cstheme="minorHAnsi"/>
        </w:rPr>
        <w:tab/>
      </w:r>
      <w:r w:rsidRPr="009D3A64">
        <w:rPr>
          <w:rFonts w:cstheme="minorHAnsi"/>
          <w:b/>
        </w:rPr>
        <w:t>Consultation</w:t>
      </w:r>
    </w:p>
    <w:p w:rsidR="00060B30" w:rsidRPr="009D3A64" w:rsidP="00644080" w14:paraId="609087B7" w14:textId="77777777">
      <w:pPr>
        <w:spacing w:after="60"/>
        <w:rPr>
          <w:rFonts w:cstheme="minorHAnsi"/>
          <w:i/>
        </w:rPr>
      </w:pPr>
      <w:r w:rsidRPr="009D3A64">
        <w:rPr>
          <w:rFonts w:cstheme="minorHAnsi"/>
          <w:i/>
        </w:rPr>
        <w:t>Federal Register Notice and Comments</w:t>
      </w:r>
    </w:p>
    <w:p w:rsidR="00305370" w:rsidP="00305370" w14:paraId="0BE69F7D" w14:textId="572CFCA1">
      <w:r w:rsidRPr="00A21B8A">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w:t>
      </w:r>
      <w:r w:rsidRPr="00F97C94">
        <w:t xml:space="preserve">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060B30" w:rsidRPr="009D3A64" w:rsidP="006143C0" w14:paraId="36652D5C" w14:textId="77777777">
      <w:pPr>
        <w:pStyle w:val="Heading4"/>
        <w:spacing w:before="0"/>
        <w:rPr>
          <w:rFonts w:asciiTheme="minorHAnsi" w:hAnsiTheme="minorHAnsi" w:cstheme="minorHAnsi"/>
          <w:b w:val="0"/>
          <w:i/>
          <w:sz w:val="22"/>
          <w:szCs w:val="22"/>
        </w:rPr>
      </w:pPr>
      <w:r w:rsidRPr="009D3A64">
        <w:rPr>
          <w:rFonts w:asciiTheme="minorHAnsi" w:hAnsiTheme="minorHAnsi" w:cstheme="minorHAnsi"/>
          <w:b w:val="0"/>
          <w:i/>
          <w:sz w:val="22"/>
          <w:szCs w:val="22"/>
        </w:rPr>
        <w:t>Consultation with Experts Outside of the Study</w:t>
      </w:r>
    </w:p>
    <w:p w:rsidR="00252295" w:rsidRPr="00252295" w:rsidP="00252295" w14:paraId="34685AAA" w14:textId="74145D4E">
      <w:pPr>
        <w:spacing w:after="0"/>
        <w:rPr>
          <w:rFonts w:cstheme="minorHAnsi"/>
        </w:rPr>
      </w:pPr>
      <w:r w:rsidRPr="00252295">
        <w:rPr>
          <w:rFonts w:cstheme="minorHAnsi"/>
        </w:rPr>
        <w:t xml:space="preserve">A number of efforts were made to consult with individuals outside the agency to develop and solicit input on these program requirements. Grantee feedback is sought informally during calls in the course of providing </w:t>
      </w:r>
      <w:r w:rsidR="00305370">
        <w:rPr>
          <w:rFonts w:cstheme="minorHAnsi"/>
        </w:rPr>
        <w:t>TA</w:t>
      </w:r>
      <w:r w:rsidRPr="00252295">
        <w:rPr>
          <w:rFonts w:cstheme="minorHAnsi"/>
        </w:rPr>
        <w:t xml:space="preserve"> and training for grantee new staff. </w:t>
      </w:r>
    </w:p>
    <w:p w:rsidR="00252295" w:rsidRPr="00252295" w:rsidP="00252295" w14:paraId="226AF02B" w14:textId="77777777">
      <w:pPr>
        <w:spacing w:after="0"/>
        <w:rPr>
          <w:rFonts w:cstheme="minorHAnsi"/>
        </w:rPr>
      </w:pPr>
    </w:p>
    <w:p w:rsidR="00252295" w:rsidRPr="00252295" w:rsidP="00252295" w14:paraId="7B8C753D" w14:textId="6B7BB656">
      <w:pPr>
        <w:spacing w:after="0"/>
        <w:rPr>
          <w:rFonts w:cstheme="minorHAnsi"/>
        </w:rPr>
      </w:pPr>
      <w:r w:rsidRPr="00252295">
        <w:rPr>
          <w:rFonts w:cstheme="minorHAnsi"/>
        </w:rPr>
        <w:t>The below grantee technical assistance providers were involved in ongoing review of the information collection. These providers have extensive experience in court evaluation and high degrees of familiarity with the CIP</w:t>
      </w:r>
      <w:r>
        <w:rPr>
          <w:rFonts w:cstheme="minorHAnsi"/>
        </w:rPr>
        <w:t>.</w:t>
      </w:r>
    </w:p>
    <w:p w:rsidR="00252295" w:rsidP="00252295" w14:paraId="42630EC2" w14:textId="77777777">
      <w:pPr>
        <w:spacing w:after="0"/>
        <w:rPr>
          <w:rFonts w:cstheme="minorHAnsi"/>
          <w:b/>
        </w:rPr>
      </w:pPr>
    </w:p>
    <w:p w:rsidR="005B05B6" w:rsidRPr="009D3A64" w:rsidP="00252295" w14:paraId="63692B88" w14:textId="748C3891">
      <w:pPr>
        <w:spacing w:after="0"/>
        <w:rPr>
          <w:rFonts w:cstheme="minorHAnsi"/>
          <w:b/>
        </w:rPr>
      </w:pPr>
      <w:r w:rsidRPr="009D3A64">
        <w:rPr>
          <w:rFonts w:cstheme="minorHAnsi"/>
          <w:b/>
        </w:rPr>
        <w:t>Table 3</w:t>
      </w:r>
      <w:r w:rsidR="00ED30F5">
        <w:rPr>
          <w:rFonts w:cstheme="minorHAnsi"/>
          <w:b/>
        </w:rPr>
        <w:t xml:space="preserve"> Consultations. </w:t>
      </w:r>
    </w:p>
    <w:tbl>
      <w:tblPr>
        <w:tblStyle w:val="TableGrid"/>
        <w:tblW w:w="0" w:type="auto"/>
        <w:tblInd w:w="0" w:type="dxa"/>
        <w:tblLook w:val="04A0"/>
      </w:tblPr>
      <w:tblGrid>
        <w:gridCol w:w="4675"/>
        <w:gridCol w:w="4675"/>
      </w:tblGrid>
      <w:tr w14:paraId="32E892C3" w14:textId="77777777" w:rsidTr="006143C0">
        <w:tblPrEx>
          <w:tblW w:w="0" w:type="auto"/>
          <w:tblInd w:w="0" w:type="dxa"/>
          <w:tblLook w:val="04A0"/>
        </w:tblPrEx>
        <w:tc>
          <w:tcPr>
            <w:tcW w:w="4675" w:type="dxa"/>
            <w:shd w:val="clear" w:color="auto" w:fill="BFBFBF" w:themeFill="background1" w:themeFillShade="BF"/>
          </w:tcPr>
          <w:p w:rsidR="00CF42A8" w:rsidRPr="009D3A64" w:rsidP="002560D7" w14:paraId="67B9D923" w14:textId="77777777">
            <w:pPr>
              <w:rPr>
                <w:rFonts w:asciiTheme="minorHAnsi" w:hAnsiTheme="minorHAnsi" w:cstheme="minorHAnsi"/>
                <w:b/>
                <w:sz w:val="22"/>
                <w:szCs w:val="22"/>
              </w:rPr>
            </w:pPr>
            <w:r w:rsidRPr="009D3A64">
              <w:rPr>
                <w:rFonts w:asciiTheme="minorHAnsi" w:hAnsiTheme="minorHAnsi" w:cstheme="minorHAnsi"/>
                <w:b/>
                <w:sz w:val="22"/>
                <w:szCs w:val="22"/>
              </w:rPr>
              <w:t xml:space="preserve">Name </w:t>
            </w:r>
          </w:p>
        </w:tc>
        <w:tc>
          <w:tcPr>
            <w:tcW w:w="4675" w:type="dxa"/>
            <w:shd w:val="clear" w:color="auto" w:fill="BFBFBF" w:themeFill="background1" w:themeFillShade="BF"/>
          </w:tcPr>
          <w:p w:rsidR="00CF42A8" w:rsidRPr="009D3A64" w:rsidP="002560D7" w14:paraId="5FCC1258" w14:textId="77777777">
            <w:pPr>
              <w:rPr>
                <w:rFonts w:asciiTheme="minorHAnsi" w:hAnsiTheme="minorHAnsi" w:cstheme="minorHAnsi"/>
                <w:b/>
                <w:sz w:val="22"/>
                <w:szCs w:val="22"/>
              </w:rPr>
            </w:pPr>
            <w:r w:rsidRPr="009D3A64">
              <w:rPr>
                <w:rFonts w:asciiTheme="minorHAnsi" w:hAnsiTheme="minorHAnsi" w:cstheme="minorHAnsi"/>
                <w:b/>
                <w:sz w:val="22"/>
                <w:szCs w:val="22"/>
              </w:rPr>
              <w:t xml:space="preserve">Affiliation </w:t>
            </w:r>
          </w:p>
        </w:tc>
      </w:tr>
      <w:tr w14:paraId="4AEC60CA" w14:textId="77777777" w:rsidTr="00CF42A8">
        <w:tblPrEx>
          <w:tblW w:w="0" w:type="auto"/>
          <w:tblInd w:w="0" w:type="dxa"/>
          <w:tblLook w:val="04A0"/>
        </w:tblPrEx>
        <w:tc>
          <w:tcPr>
            <w:tcW w:w="4675" w:type="dxa"/>
          </w:tcPr>
          <w:p w:rsidR="00D055E6" w:rsidRPr="00252295" w:rsidP="00D055E6" w14:paraId="7B1BFC1B" w14:textId="39B66868">
            <w:pPr>
              <w:rPr>
                <w:rFonts w:asciiTheme="minorHAnsi" w:hAnsiTheme="minorHAnsi" w:cstheme="minorHAnsi"/>
                <w:sz w:val="24"/>
                <w:szCs w:val="24"/>
              </w:rPr>
            </w:pPr>
            <w:r w:rsidRPr="00252295">
              <w:rPr>
                <w:rFonts w:asciiTheme="minorHAnsi" w:hAnsiTheme="minorHAnsi" w:cstheme="minorHAnsi"/>
                <w:sz w:val="24"/>
                <w:szCs w:val="24"/>
              </w:rPr>
              <w:t>Dr. Alicia Summers</w:t>
            </w:r>
          </w:p>
        </w:tc>
        <w:tc>
          <w:tcPr>
            <w:tcW w:w="4675" w:type="dxa"/>
          </w:tcPr>
          <w:p w:rsidR="00D055E6" w:rsidRPr="00252295" w:rsidP="00D055E6" w14:paraId="7BA3832D" w14:textId="568AF769">
            <w:pPr>
              <w:rPr>
                <w:rFonts w:asciiTheme="minorHAnsi" w:hAnsiTheme="minorHAnsi" w:cstheme="minorHAnsi"/>
                <w:sz w:val="24"/>
                <w:szCs w:val="24"/>
              </w:rPr>
            </w:pPr>
            <w:r w:rsidRPr="00252295">
              <w:rPr>
                <w:rFonts w:asciiTheme="minorHAnsi" w:hAnsiTheme="minorHAnsi" w:cstheme="minorHAnsi"/>
                <w:sz w:val="24"/>
                <w:szCs w:val="24"/>
              </w:rPr>
              <w:t>Capacity Building Center for Courts</w:t>
            </w:r>
          </w:p>
        </w:tc>
      </w:tr>
      <w:tr w14:paraId="6BD577A8" w14:textId="77777777" w:rsidTr="00CF42A8">
        <w:tblPrEx>
          <w:tblW w:w="0" w:type="auto"/>
          <w:tblInd w:w="0" w:type="dxa"/>
          <w:tblLook w:val="04A0"/>
        </w:tblPrEx>
        <w:tc>
          <w:tcPr>
            <w:tcW w:w="4675" w:type="dxa"/>
          </w:tcPr>
          <w:p w:rsidR="00D055E6" w:rsidRPr="00252295" w:rsidP="00D055E6" w14:paraId="694A0091" w14:textId="4B6EDF2C">
            <w:pPr>
              <w:rPr>
                <w:rFonts w:asciiTheme="minorHAnsi" w:hAnsiTheme="minorHAnsi" w:cstheme="minorHAnsi"/>
                <w:sz w:val="24"/>
                <w:szCs w:val="24"/>
              </w:rPr>
            </w:pPr>
            <w:r w:rsidRPr="00252295">
              <w:rPr>
                <w:rFonts w:asciiTheme="minorHAnsi" w:hAnsiTheme="minorHAnsi" w:cstheme="minorHAnsi"/>
                <w:sz w:val="24"/>
                <w:szCs w:val="24"/>
              </w:rPr>
              <w:t>Dr. Kristen Woodruff</w:t>
            </w:r>
          </w:p>
        </w:tc>
        <w:tc>
          <w:tcPr>
            <w:tcW w:w="4675" w:type="dxa"/>
          </w:tcPr>
          <w:p w:rsidR="00D055E6" w:rsidRPr="00252295" w:rsidP="00D055E6" w14:paraId="5704BD0D" w14:textId="5F010B50">
            <w:pPr>
              <w:rPr>
                <w:rFonts w:asciiTheme="minorHAnsi" w:hAnsiTheme="minorHAnsi" w:cstheme="minorHAnsi"/>
                <w:sz w:val="24"/>
                <w:szCs w:val="24"/>
              </w:rPr>
            </w:pPr>
            <w:r w:rsidRPr="00252295">
              <w:rPr>
                <w:rFonts w:asciiTheme="minorHAnsi" w:hAnsiTheme="minorHAnsi" w:cstheme="minorHAnsi"/>
                <w:sz w:val="24"/>
                <w:szCs w:val="24"/>
              </w:rPr>
              <w:t>Capacity Building Center for Courts</w:t>
            </w:r>
          </w:p>
        </w:tc>
      </w:tr>
      <w:tr w14:paraId="7E17E8DB" w14:textId="77777777" w:rsidTr="00CF42A8">
        <w:tblPrEx>
          <w:tblW w:w="0" w:type="auto"/>
          <w:tblInd w:w="0" w:type="dxa"/>
          <w:tblLook w:val="04A0"/>
        </w:tblPrEx>
        <w:tc>
          <w:tcPr>
            <w:tcW w:w="4675" w:type="dxa"/>
          </w:tcPr>
          <w:p w:rsidR="00252295" w:rsidRPr="00252295" w:rsidP="00D055E6" w14:paraId="0F01256D" w14:textId="5597D685">
            <w:pPr>
              <w:rPr>
                <w:rFonts w:asciiTheme="minorHAnsi" w:hAnsiTheme="minorHAnsi" w:cstheme="minorHAnsi"/>
                <w:sz w:val="24"/>
                <w:szCs w:val="24"/>
              </w:rPr>
            </w:pPr>
            <w:r w:rsidRPr="00252295">
              <w:rPr>
                <w:rFonts w:asciiTheme="minorHAnsi" w:hAnsiTheme="minorHAnsi" w:cstheme="minorHAnsi"/>
                <w:sz w:val="24"/>
                <w:szCs w:val="24"/>
              </w:rPr>
              <w:t>Dr. Andy Yost</w:t>
            </w:r>
          </w:p>
        </w:tc>
        <w:tc>
          <w:tcPr>
            <w:tcW w:w="4675" w:type="dxa"/>
          </w:tcPr>
          <w:p w:rsidR="00252295" w:rsidRPr="00252295" w:rsidP="00D055E6" w14:paraId="3A0572F5" w14:textId="38A58F7A">
            <w:pPr>
              <w:rPr>
                <w:rFonts w:asciiTheme="minorHAnsi" w:hAnsiTheme="minorHAnsi" w:cstheme="minorHAnsi"/>
                <w:sz w:val="24"/>
                <w:szCs w:val="24"/>
              </w:rPr>
            </w:pPr>
            <w:r w:rsidRPr="00252295">
              <w:rPr>
                <w:rFonts w:asciiTheme="minorHAnsi" w:hAnsiTheme="minorHAnsi" w:cstheme="minorHAnsi"/>
                <w:sz w:val="24"/>
                <w:szCs w:val="24"/>
              </w:rPr>
              <w:t>Capacity Building Center for Courts</w:t>
            </w:r>
          </w:p>
        </w:tc>
      </w:tr>
      <w:tr w14:paraId="73007533" w14:textId="77777777" w:rsidTr="00CF42A8">
        <w:tblPrEx>
          <w:tblW w:w="0" w:type="auto"/>
          <w:tblInd w:w="0" w:type="dxa"/>
          <w:tblLook w:val="04A0"/>
        </w:tblPrEx>
        <w:tc>
          <w:tcPr>
            <w:tcW w:w="4675" w:type="dxa"/>
          </w:tcPr>
          <w:p w:rsidR="00252295" w:rsidRPr="00252295" w:rsidP="00252295" w14:paraId="4D4B7BF1" w14:textId="16C5215B">
            <w:pPr>
              <w:rPr>
                <w:rFonts w:asciiTheme="minorHAnsi" w:hAnsiTheme="minorHAnsi" w:cstheme="minorHAnsi"/>
                <w:sz w:val="24"/>
                <w:szCs w:val="24"/>
              </w:rPr>
            </w:pPr>
            <w:r w:rsidRPr="00252295">
              <w:rPr>
                <w:rFonts w:asciiTheme="minorHAnsi" w:hAnsiTheme="minorHAnsi" w:cstheme="minorHAnsi"/>
                <w:sz w:val="24"/>
                <w:szCs w:val="24"/>
              </w:rPr>
              <w:t>Zubair Siddiqi, Esq.</w:t>
            </w:r>
          </w:p>
        </w:tc>
        <w:tc>
          <w:tcPr>
            <w:tcW w:w="4675" w:type="dxa"/>
          </w:tcPr>
          <w:p w:rsidR="00252295" w:rsidRPr="00252295" w:rsidP="00252295" w14:paraId="63DEBCDE" w14:textId="231F23A6">
            <w:pPr>
              <w:rPr>
                <w:rFonts w:asciiTheme="minorHAnsi" w:hAnsiTheme="minorHAnsi" w:cstheme="minorHAnsi"/>
                <w:sz w:val="24"/>
                <w:szCs w:val="24"/>
              </w:rPr>
            </w:pPr>
            <w:r w:rsidRPr="00252295">
              <w:rPr>
                <w:rFonts w:asciiTheme="minorHAnsi" w:hAnsiTheme="minorHAnsi" w:cstheme="minorHAnsi"/>
                <w:sz w:val="24"/>
                <w:szCs w:val="24"/>
              </w:rPr>
              <w:t>Capacity Building Center for Courts</w:t>
            </w:r>
          </w:p>
        </w:tc>
      </w:tr>
      <w:tr w14:paraId="683987F0" w14:textId="77777777" w:rsidTr="00CF42A8">
        <w:tblPrEx>
          <w:tblW w:w="0" w:type="auto"/>
          <w:tblInd w:w="0" w:type="dxa"/>
          <w:tblLook w:val="04A0"/>
        </w:tblPrEx>
        <w:tc>
          <w:tcPr>
            <w:tcW w:w="4675" w:type="dxa"/>
          </w:tcPr>
          <w:p w:rsidR="00252295" w:rsidRPr="00252295" w:rsidP="00252295" w14:paraId="48932F53" w14:textId="7FFC52E5">
            <w:pPr>
              <w:rPr>
                <w:rFonts w:asciiTheme="minorHAnsi" w:hAnsiTheme="minorHAnsi" w:cstheme="minorHAnsi"/>
                <w:sz w:val="24"/>
                <w:szCs w:val="24"/>
              </w:rPr>
            </w:pPr>
            <w:r w:rsidRPr="00252295">
              <w:rPr>
                <w:rFonts w:asciiTheme="minorHAnsi" w:hAnsiTheme="minorHAnsi" w:cstheme="minorHAnsi"/>
                <w:sz w:val="24"/>
                <w:szCs w:val="24"/>
              </w:rPr>
              <w:t>Christine Kiesel, Esq.</w:t>
            </w:r>
          </w:p>
        </w:tc>
        <w:tc>
          <w:tcPr>
            <w:tcW w:w="4675" w:type="dxa"/>
          </w:tcPr>
          <w:p w:rsidR="00252295" w:rsidRPr="00252295" w:rsidP="00252295" w14:paraId="518B4DEE" w14:textId="57DFE198">
            <w:pPr>
              <w:rPr>
                <w:rFonts w:asciiTheme="minorHAnsi" w:hAnsiTheme="minorHAnsi" w:cstheme="minorHAnsi"/>
                <w:sz w:val="24"/>
                <w:szCs w:val="24"/>
              </w:rPr>
            </w:pPr>
            <w:r>
              <w:rPr>
                <w:rFonts w:asciiTheme="minorHAnsi" w:hAnsiTheme="minorHAnsi" w:cstheme="minorHAnsi"/>
                <w:sz w:val="24"/>
                <w:szCs w:val="24"/>
              </w:rPr>
              <w:t xml:space="preserve">CB </w:t>
            </w:r>
            <w:r w:rsidRPr="00252295">
              <w:rPr>
                <w:rFonts w:asciiTheme="minorHAnsi" w:hAnsiTheme="minorHAnsi" w:cstheme="minorHAnsi"/>
                <w:sz w:val="24"/>
                <w:szCs w:val="24"/>
              </w:rPr>
              <w:t>Federal Contractor</w:t>
            </w:r>
          </w:p>
        </w:tc>
      </w:tr>
    </w:tbl>
    <w:p w:rsidR="002560D7" w:rsidP="002560D7" w14:paraId="5C1611A2" w14:textId="4539EC88">
      <w:pPr>
        <w:spacing w:after="0" w:line="240" w:lineRule="auto"/>
        <w:rPr>
          <w:rFonts w:cstheme="minorHAnsi"/>
        </w:rPr>
      </w:pPr>
    </w:p>
    <w:p w:rsidR="008650C9" w:rsidRPr="009D3A64" w:rsidP="002560D7" w14:paraId="5A3403E8" w14:textId="77777777">
      <w:pPr>
        <w:spacing w:after="0" w:line="240" w:lineRule="auto"/>
        <w:rPr>
          <w:rFonts w:cstheme="minorHAnsi"/>
        </w:rPr>
      </w:pPr>
    </w:p>
    <w:p w:rsidR="009A39E1" w:rsidRPr="009D3A64" w:rsidP="002560D7" w14:paraId="55AF582E" w14:textId="77777777">
      <w:pPr>
        <w:spacing w:after="120" w:line="240" w:lineRule="auto"/>
        <w:rPr>
          <w:rFonts w:cstheme="minorHAnsi"/>
          <w:b/>
        </w:rPr>
      </w:pPr>
      <w:r w:rsidRPr="009D3A64">
        <w:rPr>
          <w:rFonts w:cstheme="minorHAnsi"/>
          <w:b/>
        </w:rPr>
        <w:t>A9</w:t>
      </w:r>
      <w:r w:rsidRPr="009D3A64">
        <w:rPr>
          <w:rFonts w:cstheme="minorHAnsi"/>
        </w:rPr>
        <w:t>.</w:t>
      </w:r>
      <w:r w:rsidRPr="009D3A64">
        <w:rPr>
          <w:rFonts w:cstheme="minorHAnsi"/>
        </w:rPr>
        <w:tab/>
      </w:r>
      <w:r w:rsidRPr="009D3A64">
        <w:rPr>
          <w:rFonts w:cstheme="minorHAnsi"/>
          <w:b/>
        </w:rPr>
        <w:t>Tokens of App</w:t>
      </w:r>
      <w:r w:rsidRPr="009D3A64" w:rsidR="005B5FCC">
        <w:rPr>
          <w:rFonts w:cstheme="minorHAnsi"/>
          <w:b/>
        </w:rPr>
        <w:t>reciation</w:t>
      </w:r>
    </w:p>
    <w:p w:rsidR="009A39E1" w:rsidRPr="009D3A64" w:rsidP="002560D7" w14:paraId="42D6BEDE" w14:textId="77777777">
      <w:pPr>
        <w:spacing w:after="0"/>
        <w:rPr>
          <w:rFonts w:cstheme="minorHAnsi"/>
        </w:rPr>
      </w:pPr>
      <w:r w:rsidRPr="009D3A64">
        <w:rPr>
          <w:rFonts w:cstheme="minorHAnsi"/>
        </w:rPr>
        <w:t xml:space="preserve">This information collection </w:t>
      </w:r>
      <w:r w:rsidRPr="009D3A64" w:rsidR="00D81FB2">
        <w:rPr>
          <w:rFonts w:cstheme="minorHAnsi"/>
        </w:rPr>
        <w:t xml:space="preserve">will not include tokens of appreciation for participation. </w:t>
      </w:r>
    </w:p>
    <w:p w:rsidR="002560D7" w:rsidP="002560D7" w14:paraId="4365228A" w14:textId="57B5CF3B">
      <w:pPr>
        <w:spacing w:after="0"/>
        <w:rPr>
          <w:rFonts w:cstheme="minorHAnsi"/>
        </w:rPr>
      </w:pPr>
    </w:p>
    <w:p w:rsidR="008650C9" w:rsidRPr="009D3A64" w:rsidP="002560D7" w14:paraId="74DBE984" w14:textId="77777777">
      <w:pPr>
        <w:spacing w:after="0"/>
        <w:rPr>
          <w:rFonts w:cstheme="minorHAnsi"/>
        </w:rPr>
      </w:pPr>
    </w:p>
    <w:p w:rsidR="007C7B4B" w:rsidRPr="009D3A64" w:rsidP="00CB57CE" w14:paraId="19EAE472" w14:textId="77777777">
      <w:pPr>
        <w:spacing w:after="120" w:line="240" w:lineRule="auto"/>
        <w:rPr>
          <w:rFonts w:cstheme="minorHAnsi"/>
        </w:rPr>
      </w:pPr>
      <w:r w:rsidRPr="009D3A64">
        <w:rPr>
          <w:rFonts w:cstheme="minorHAnsi"/>
          <w:b/>
        </w:rPr>
        <w:t>A10</w:t>
      </w:r>
      <w:r w:rsidRPr="009D3A64">
        <w:rPr>
          <w:rFonts w:cstheme="minorHAnsi"/>
        </w:rPr>
        <w:t>.</w:t>
      </w:r>
      <w:r w:rsidRPr="009D3A64">
        <w:rPr>
          <w:rFonts w:cstheme="minorHAnsi"/>
        </w:rPr>
        <w:tab/>
      </w:r>
      <w:r w:rsidRPr="009D3A64" w:rsidR="002A41C6">
        <w:rPr>
          <w:rFonts w:cstheme="minorHAnsi"/>
          <w:b/>
        </w:rPr>
        <w:t xml:space="preserve">Privacy:  </w:t>
      </w:r>
      <w:r w:rsidRPr="009D3A64" w:rsidR="00FB5BF6">
        <w:rPr>
          <w:rFonts w:cstheme="minorHAnsi"/>
          <w:b/>
        </w:rPr>
        <w:t>Procedures to p</w:t>
      </w:r>
      <w:r w:rsidRPr="009D3A64" w:rsidR="004B75AC">
        <w:rPr>
          <w:rFonts w:cstheme="minorHAnsi"/>
          <w:b/>
        </w:rPr>
        <w:t xml:space="preserve">rotect </w:t>
      </w:r>
      <w:r w:rsidRPr="009D3A64" w:rsidR="00FB5BF6">
        <w:rPr>
          <w:rFonts w:cstheme="minorHAnsi"/>
          <w:b/>
        </w:rPr>
        <w:t>p</w:t>
      </w:r>
      <w:r w:rsidRPr="009D3A64" w:rsidR="00083227">
        <w:rPr>
          <w:rFonts w:cstheme="minorHAnsi"/>
          <w:b/>
        </w:rPr>
        <w:t>rivacy</w:t>
      </w:r>
      <w:r w:rsidRPr="009D3A64" w:rsidR="004B75AC">
        <w:rPr>
          <w:rFonts w:cstheme="minorHAnsi"/>
          <w:b/>
        </w:rPr>
        <w:t xml:space="preserve"> of </w:t>
      </w:r>
      <w:r w:rsidRPr="009D3A64" w:rsidR="00FB5BF6">
        <w:rPr>
          <w:rFonts w:cstheme="minorHAnsi"/>
          <w:b/>
        </w:rPr>
        <w:t>i</w:t>
      </w:r>
      <w:r w:rsidRPr="009D3A64" w:rsidR="004B75AC">
        <w:rPr>
          <w:rFonts w:cstheme="minorHAnsi"/>
          <w:b/>
        </w:rPr>
        <w:t>nformation</w:t>
      </w:r>
      <w:r w:rsidRPr="009D3A64" w:rsidR="00FB5BF6">
        <w:rPr>
          <w:rFonts w:cstheme="minorHAnsi"/>
          <w:b/>
        </w:rPr>
        <w:t>, while maximizing data sharing</w:t>
      </w:r>
    </w:p>
    <w:p w:rsidR="00CB57CE" w:rsidRPr="009D3A64" w:rsidP="006143C0" w14:paraId="634ABADC" w14:textId="77777777">
      <w:pPr>
        <w:spacing w:after="60" w:line="240" w:lineRule="auto"/>
        <w:rPr>
          <w:rFonts w:cstheme="minorHAnsi"/>
          <w:i/>
        </w:rPr>
      </w:pPr>
      <w:r w:rsidRPr="009D3A64">
        <w:rPr>
          <w:rFonts w:cstheme="minorHAnsi"/>
          <w:i/>
        </w:rPr>
        <w:t>Personally Identifiable Information</w:t>
      </w:r>
    </w:p>
    <w:p w:rsidR="00D81FB2" w:rsidP="00A21B8A" w14:paraId="44EF74C5" w14:textId="4E0492D4">
      <w:pPr>
        <w:spacing w:after="0"/>
        <w:rPr>
          <w:rFonts w:cstheme="minorHAnsi"/>
        </w:rPr>
      </w:pPr>
      <w:r w:rsidRPr="008C79A8">
        <w:rPr>
          <w:rFonts w:cstheme="minorHAnsi"/>
        </w:rPr>
        <w:t>This effort does not include the collection of personally identifiable information. Information collected will be at the</w:t>
      </w:r>
      <w:r w:rsidR="00252295">
        <w:rPr>
          <w:rFonts w:cstheme="minorHAnsi"/>
        </w:rPr>
        <w:t xml:space="preserve"> lowest at the county</w:t>
      </w:r>
      <w:r w:rsidRPr="008C79A8" w:rsidR="00E327A4">
        <w:rPr>
          <w:rFonts w:cstheme="minorHAnsi"/>
        </w:rPr>
        <w:t>-</w:t>
      </w:r>
      <w:r w:rsidRPr="008C79A8">
        <w:rPr>
          <w:rFonts w:cstheme="minorHAnsi"/>
        </w:rPr>
        <w:t>level.</w:t>
      </w:r>
      <w:r w:rsidRPr="008C79A8" w:rsidR="00E327A4">
        <w:rPr>
          <w:rFonts w:cstheme="minorHAnsi"/>
        </w:rPr>
        <w:t xml:space="preserve"> </w:t>
      </w:r>
    </w:p>
    <w:p w:rsidR="00A21B8A" w:rsidRPr="008C79A8" w:rsidP="00644080" w14:paraId="0E3E8220" w14:textId="77777777">
      <w:pPr>
        <w:spacing w:after="0"/>
        <w:rPr>
          <w:rFonts w:cstheme="minorHAnsi"/>
        </w:rPr>
      </w:pPr>
    </w:p>
    <w:p w:rsidR="002560D7" w:rsidRPr="009D3A64" w:rsidP="006143C0" w14:paraId="7F2EA46F" w14:textId="77777777">
      <w:pPr>
        <w:spacing w:after="60" w:line="240" w:lineRule="auto"/>
        <w:rPr>
          <w:rFonts w:cstheme="minorHAnsi"/>
          <w:i/>
        </w:rPr>
      </w:pPr>
      <w:r w:rsidRPr="009D3A64">
        <w:rPr>
          <w:rFonts w:cstheme="minorHAnsi"/>
          <w:i/>
        </w:rPr>
        <w:t>Assu</w:t>
      </w:r>
      <w:r w:rsidRPr="009D3A64">
        <w:rPr>
          <w:rFonts w:cstheme="minorHAnsi"/>
          <w:i/>
        </w:rPr>
        <w:t>rances of Privacy</w:t>
      </w:r>
    </w:p>
    <w:p w:rsidR="00A21B8A" w:rsidP="00A21B8A" w14:paraId="3A660446" w14:textId="04BDD3EC">
      <w:pPr>
        <w:spacing w:after="0"/>
        <w:rPr>
          <w:rFonts w:cstheme="minorHAnsi"/>
        </w:rPr>
      </w:pPr>
      <w:r w:rsidRPr="008C79A8">
        <w:rPr>
          <w:rFonts w:cstheme="minorHAnsi"/>
        </w:rPr>
        <w:t xml:space="preserve">We will inform respondents of all planned uses of data, that their participation is voluntary, and that their information will be kept private to the extent permitted by law. As the </w:t>
      </w:r>
      <w:r w:rsidR="00252295">
        <w:rPr>
          <w:rFonts w:cstheme="minorHAnsi"/>
        </w:rPr>
        <w:t>cooperative agreement</w:t>
      </w:r>
      <w:r w:rsidRPr="008C79A8">
        <w:rPr>
          <w:rFonts w:cstheme="minorHAnsi"/>
        </w:rPr>
        <w:t xml:space="preserve"> specifies, the </w:t>
      </w:r>
      <w:r w:rsidR="00252295">
        <w:rPr>
          <w:rFonts w:cstheme="minorHAnsi"/>
        </w:rPr>
        <w:t>grantee (CBCC)</w:t>
      </w:r>
      <w:r w:rsidRPr="008C79A8">
        <w:rPr>
          <w:rFonts w:cstheme="minorHAnsi"/>
        </w:rPr>
        <w:t xml:space="preserve"> will comply with all federal and departmental regulations for private information. The </w:t>
      </w:r>
      <w:r w:rsidR="00252295">
        <w:rPr>
          <w:rFonts w:cstheme="minorHAnsi"/>
        </w:rPr>
        <w:t>grantee</w:t>
      </w:r>
      <w:r w:rsidRPr="008C79A8">
        <w:rPr>
          <w:rFonts w:cstheme="minorHAnsi"/>
        </w:rPr>
        <w:t xml:space="preserve"> shall ensure that all of its employees, subcontractors (at all tiers), and employees of each subcontractor, who perform work under this </w:t>
      </w:r>
      <w:r w:rsidR="00252295">
        <w:rPr>
          <w:rFonts w:cstheme="minorHAnsi"/>
        </w:rPr>
        <w:t>grant or s</w:t>
      </w:r>
      <w:r w:rsidRPr="008C79A8">
        <w:rPr>
          <w:rFonts w:cstheme="minorHAnsi"/>
        </w:rPr>
        <w:t>ubcontract, are trained on data privacy issues and comply with the above requirements.</w:t>
      </w:r>
    </w:p>
    <w:p w:rsidR="00D81FB2" w:rsidRPr="008C79A8" w:rsidP="00644080" w14:paraId="3B672EA9" w14:textId="35F6068C">
      <w:pPr>
        <w:spacing w:after="0"/>
        <w:rPr>
          <w:rFonts w:cstheme="minorHAnsi"/>
        </w:rPr>
      </w:pPr>
      <w:r w:rsidRPr="008C79A8">
        <w:rPr>
          <w:rFonts w:cstheme="minorHAnsi"/>
        </w:rPr>
        <w:t xml:space="preserve"> </w:t>
      </w:r>
    </w:p>
    <w:p w:rsidR="002560D7" w:rsidRPr="009D3A64" w:rsidP="00644080" w14:paraId="43FD5917" w14:textId="77777777">
      <w:pPr>
        <w:spacing w:after="60" w:line="240" w:lineRule="auto"/>
        <w:rPr>
          <w:rFonts w:cstheme="minorHAnsi"/>
          <w:i/>
        </w:rPr>
      </w:pPr>
      <w:r w:rsidRPr="009D3A64">
        <w:rPr>
          <w:rFonts w:cstheme="minorHAnsi"/>
          <w:i/>
        </w:rPr>
        <w:t>Data Security and Monitoring</w:t>
      </w:r>
    </w:p>
    <w:p w:rsidR="00D81FB2" w:rsidP="00E52155" w14:paraId="31887A0A" w14:textId="3A90A8AF">
      <w:pPr>
        <w:pStyle w:val="NormalSS"/>
        <w:spacing w:after="0"/>
        <w:ind w:firstLine="0"/>
        <w:rPr>
          <w:rFonts w:cstheme="minorHAnsi"/>
          <w:szCs w:val="22"/>
        </w:rPr>
      </w:pPr>
      <w:r>
        <w:rPr>
          <w:rFonts w:cstheme="minorHAnsi"/>
          <w:szCs w:val="22"/>
        </w:rPr>
        <w:t xml:space="preserve">The information sought in this collection is basic public information at a county level that just are not available at the state or national level. There are no sensitivities to these data being shared publicly. </w:t>
      </w:r>
      <w:r w:rsidR="00AD2BCC">
        <w:rPr>
          <w:rFonts w:cstheme="minorHAnsi"/>
          <w:szCs w:val="22"/>
        </w:rPr>
        <w:t xml:space="preserve">The data will be screened for any un-asked for private information in open ended sections of the survey, which will be removed. </w:t>
      </w:r>
    </w:p>
    <w:p w:rsidR="00A21B8A" w:rsidRPr="009D3A64" w:rsidP="00E52155" w14:paraId="5BC9F253" w14:textId="77777777">
      <w:pPr>
        <w:pStyle w:val="NormalSS"/>
        <w:spacing w:after="0"/>
        <w:ind w:firstLine="0"/>
        <w:rPr>
          <w:rFonts w:cstheme="minorHAnsi"/>
          <w:szCs w:val="22"/>
        </w:rPr>
      </w:pPr>
    </w:p>
    <w:p w:rsidR="002560D7" w:rsidRPr="009D3A64" w:rsidP="002560D7" w14:paraId="3C0AC7DC" w14:textId="28AD0146">
      <w:pPr>
        <w:spacing w:after="0" w:line="240" w:lineRule="auto"/>
        <w:rPr>
          <w:rFonts w:cstheme="minorHAnsi"/>
        </w:rPr>
      </w:pPr>
    </w:p>
    <w:p w:rsidR="00717BDC" w:rsidRPr="009D3A64" w:rsidP="00D32E6D" w14:paraId="04A206F6" w14:textId="77777777">
      <w:pPr>
        <w:spacing w:after="120" w:line="240" w:lineRule="auto"/>
        <w:rPr>
          <w:rFonts w:cstheme="minorHAnsi"/>
        </w:rPr>
      </w:pPr>
      <w:r w:rsidRPr="009D3A64">
        <w:rPr>
          <w:rFonts w:cstheme="minorHAnsi"/>
          <w:b/>
        </w:rPr>
        <w:t>A11</w:t>
      </w:r>
      <w:r w:rsidRPr="009D3A64">
        <w:rPr>
          <w:rFonts w:cstheme="minorHAnsi"/>
        </w:rPr>
        <w:t>.</w:t>
      </w:r>
      <w:r w:rsidRPr="009D3A64">
        <w:rPr>
          <w:rFonts w:cstheme="minorHAnsi"/>
        </w:rPr>
        <w:tab/>
      </w:r>
      <w:r w:rsidRPr="009D3A64" w:rsidR="002A41C6">
        <w:rPr>
          <w:rFonts w:cstheme="minorHAnsi"/>
          <w:b/>
        </w:rPr>
        <w:t>Sensitive Information</w:t>
      </w:r>
      <w:r w:rsidRPr="009D3A64" w:rsidR="002560D7">
        <w:rPr>
          <w:rStyle w:val="FootnoteReference"/>
          <w:rFonts w:cstheme="minorHAnsi"/>
        </w:rPr>
        <w:t xml:space="preserve"> </w:t>
      </w:r>
      <w:r>
        <w:rPr>
          <w:rStyle w:val="FootnoteReference"/>
          <w:rFonts w:cstheme="minorHAnsi"/>
        </w:rPr>
        <w:footnoteReference w:id="3"/>
      </w:r>
    </w:p>
    <w:p w:rsidR="00D32E6D" w:rsidRPr="008C79A8" w:rsidP="00D32E6D" w14:paraId="12CBBACD" w14:textId="77777777">
      <w:pPr>
        <w:spacing w:after="0" w:line="240" w:lineRule="auto"/>
        <w:rPr>
          <w:rFonts w:cstheme="minorHAnsi"/>
        </w:rPr>
      </w:pPr>
      <w:r w:rsidRPr="008C79A8">
        <w:rPr>
          <w:rFonts w:cstheme="minorHAnsi"/>
        </w:rPr>
        <w:t xml:space="preserve">The information collection does not include sensitive information. </w:t>
      </w:r>
    </w:p>
    <w:p w:rsidR="00D32E6D" w:rsidP="00D32E6D" w14:paraId="2CC9F868" w14:textId="7F893CE7">
      <w:pPr>
        <w:spacing w:after="0" w:line="240" w:lineRule="auto"/>
        <w:rPr>
          <w:rFonts w:cstheme="minorHAnsi"/>
        </w:rPr>
      </w:pPr>
    </w:p>
    <w:p w:rsidR="008650C9" w:rsidRPr="008C79A8" w:rsidP="00D32E6D" w14:paraId="2F1CCD0E" w14:textId="486C5ABF">
      <w:pPr>
        <w:spacing w:after="0" w:line="240" w:lineRule="auto"/>
        <w:rPr>
          <w:rFonts w:cstheme="minorHAnsi"/>
        </w:rPr>
      </w:pPr>
    </w:p>
    <w:p w:rsidR="00230CAA" w:rsidRPr="009D3A64" w:rsidP="001F0446" w14:paraId="5B4B6E85" w14:textId="77777777">
      <w:pPr>
        <w:spacing w:after="120" w:line="240" w:lineRule="auto"/>
        <w:rPr>
          <w:rFonts w:cstheme="minorHAnsi"/>
          <w:b/>
        </w:rPr>
      </w:pPr>
      <w:r w:rsidRPr="009D3A64">
        <w:rPr>
          <w:rFonts w:cstheme="minorHAnsi"/>
          <w:b/>
        </w:rPr>
        <w:t>A12</w:t>
      </w:r>
      <w:r w:rsidRPr="009D3A64">
        <w:rPr>
          <w:rFonts w:cstheme="minorHAnsi"/>
        </w:rPr>
        <w:t>.</w:t>
      </w:r>
      <w:r w:rsidRPr="009D3A64">
        <w:rPr>
          <w:rFonts w:cstheme="minorHAnsi"/>
        </w:rPr>
        <w:tab/>
      </w:r>
      <w:r w:rsidRPr="009D3A64" w:rsidR="005D4A40">
        <w:rPr>
          <w:rFonts w:cstheme="minorHAnsi"/>
          <w:b/>
        </w:rPr>
        <w:t>Burden</w:t>
      </w:r>
    </w:p>
    <w:p w:rsidR="00230CAA" w:rsidP="006143C0" w14:paraId="77DBBBC1" w14:textId="12612072">
      <w:pPr>
        <w:spacing w:after="60" w:line="240" w:lineRule="auto"/>
        <w:rPr>
          <w:rFonts w:cstheme="minorHAnsi"/>
          <w:i/>
        </w:rPr>
      </w:pPr>
      <w:r w:rsidRPr="009D3A64">
        <w:rPr>
          <w:rFonts w:cstheme="minorHAnsi"/>
          <w:i/>
        </w:rPr>
        <w:t>Explanation of Burden Estimates</w:t>
      </w:r>
    </w:p>
    <w:p w:rsidR="00305370" w:rsidP="00305370" w14:paraId="73DCFC11" w14:textId="19E6E134">
      <w:pPr>
        <w:spacing w:after="0"/>
        <w:rPr>
          <w:rFonts w:cstheme="minorHAnsi"/>
        </w:rPr>
      </w:pPr>
      <w:r w:rsidRPr="00ED1971">
        <w:rPr>
          <w:rFonts w:cstheme="minorHAnsi"/>
        </w:rPr>
        <w:t>The first instrument is a survey of Court Improvement Program Professionals. It is estimated that 1 person from each state/territory will complete the survey. The survey ask</w:t>
      </w:r>
      <w:r>
        <w:rPr>
          <w:rFonts w:cstheme="minorHAnsi"/>
        </w:rPr>
        <w:t>s</w:t>
      </w:r>
      <w:r w:rsidRPr="00ED1971">
        <w:rPr>
          <w:rFonts w:cstheme="minorHAnsi"/>
        </w:rPr>
        <w:t xml:space="preserve"> the professional to estimate practice across the state related to child representation, parent representation, and agency representation. </w:t>
      </w:r>
    </w:p>
    <w:p w:rsidR="00305370" w:rsidRPr="00ED1971" w:rsidP="00305370" w14:paraId="7FBF0A96" w14:textId="77777777">
      <w:pPr>
        <w:spacing w:after="0"/>
        <w:rPr>
          <w:rFonts w:cstheme="minorHAnsi"/>
        </w:rPr>
      </w:pPr>
    </w:p>
    <w:p w:rsidR="00305370" w:rsidP="00305370" w14:paraId="5F062AC8" w14:textId="4E9B2438">
      <w:pPr>
        <w:spacing w:after="0"/>
        <w:rPr>
          <w:rFonts w:cstheme="minorHAnsi"/>
        </w:rPr>
      </w:pPr>
      <w:r w:rsidRPr="00ED1971">
        <w:rPr>
          <w:rFonts w:cstheme="minorHAnsi"/>
        </w:rPr>
        <w:t xml:space="preserve">The second instrument is designed for legal professionals to respond about specific practices. </w:t>
      </w:r>
      <w:r w:rsidR="00CB3C55">
        <w:rPr>
          <w:rFonts w:cstheme="minorHAnsi"/>
        </w:rPr>
        <w:t xml:space="preserve">Due to the lack of information in this area, the actual number of stakeholder respondents is not known. We have </w:t>
      </w:r>
      <w:r w:rsidRPr="00ED1971">
        <w:rPr>
          <w:rFonts w:cstheme="minorHAnsi"/>
        </w:rPr>
        <w:t xml:space="preserve">estimated that 7,000 professionals across the country </w:t>
      </w:r>
      <w:r w:rsidR="00CB3C55">
        <w:rPr>
          <w:rFonts w:cstheme="minorHAnsi"/>
        </w:rPr>
        <w:t>might</w:t>
      </w:r>
      <w:r w:rsidRPr="00ED1971" w:rsidR="00CB3C55">
        <w:rPr>
          <w:rFonts w:cstheme="minorHAnsi"/>
        </w:rPr>
        <w:t xml:space="preserve"> </w:t>
      </w:r>
      <w:r w:rsidRPr="00ED1971">
        <w:rPr>
          <w:rFonts w:cstheme="minorHAnsi"/>
        </w:rPr>
        <w:t>respond</w:t>
      </w:r>
      <w:r w:rsidR="00CB3C55">
        <w:rPr>
          <w:rFonts w:cstheme="minorHAnsi"/>
        </w:rPr>
        <w:t>, which is based on information we do have in a few states</w:t>
      </w:r>
      <w:r w:rsidRPr="00ED1971">
        <w:rPr>
          <w:rFonts w:cstheme="minorHAnsi"/>
        </w:rPr>
        <w:t>. The survey asks about parent representation, child representation, and agency representation models in their counties.</w:t>
      </w:r>
    </w:p>
    <w:p w:rsidR="00305370" w:rsidP="00305370" w14:paraId="0AA4121A" w14:textId="37CD3793">
      <w:pPr>
        <w:spacing w:after="0"/>
        <w:rPr>
          <w:rFonts w:cstheme="minorHAnsi"/>
        </w:rPr>
      </w:pPr>
    </w:p>
    <w:p w:rsidR="00305370" w:rsidP="00305370" w14:paraId="7DE333B4" w14:textId="7A24B368">
      <w:pPr>
        <w:spacing w:after="60" w:line="240" w:lineRule="auto"/>
        <w:rPr>
          <w:rFonts w:cstheme="minorHAnsi"/>
          <w:i/>
        </w:rPr>
      </w:pPr>
      <w:r w:rsidRPr="009D3A64">
        <w:rPr>
          <w:rFonts w:cstheme="minorHAnsi"/>
          <w:i/>
        </w:rPr>
        <w:t xml:space="preserve">Explanation of </w:t>
      </w:r>
      <w:r>
        <w:rPr>
          <w:rFonts w:cstheme="minorHAnsi"/>
          <w:i/>
        </w:rPr>
        <w:t xml:space="preserve">Cost </w:t>
      </w:r>
      <w:r w:rsidRPr="009D3A64">
        <w:rPr>
          <w:rFonts w:cstheme="minorHAnsi"/>
          <w:i/>
        </w:rPr>
        <w:t>Estimates</w:t>
      </w:r>
    </w:p>
    <w:p w:rsidR="00305370" w:rsidRPr="00ED1971" w:rsidP="00305370" w14:paraId="535721F2" w14:textId="77777777">
      <w:pPr>
        <w:spacing w:after="0"/>
        <w:rPr>
          <w:rFonts w:cstheme="minorHAnsi"/>
        </w:rPr>
      </w:pPr>
      <w:r w:rsidRPr="00ED1971">
        <w:rPr>
          <w:rFonts w:cstheme="minorHAnsi"/>
        </w:rPr>
        <w:t xml:space="preserve">The cost to respondents was calculated using the Bureau of Labor Statistics (BLS) job code for Legal Support Workers, All Other 23-2099 and wage data from May 2021, which is $35.10 per hour. To account for fringe benefits and overhead, the rate was multiplied by two which is $70.20.  </w:t>
      </w:r>
    </w:p>
    <w:p w:rsidR="00305370" w:rsidRPr="008C79A8" w:rsidP="00305370" w14:paraId="50BE2B16" w14:textId="77777777">
      <w:pPr>
        <w:spacing w:after="0"/>
        <w:rPr>
          <w:rStyle w:val="Hyperlink"/>
          <w:rFonts w:cstheme="minorHAnsi"/>
        </w:rPr>
      </w:pPr>
      <w:hyperlink r:id="rId10" w:history="1">
        <w:r w:rsidRPr="00C03BC4">
          <w:rPr>
            <w:rStyle w:val="Hyperlink"/>
            <w:rFonts w:cstheme="minorHAnsi"/>
          </w:rPr>
          <w:t>https://www.bls.gov/oes/current/oes232099.htm</w:t>
        </w:r>
      </w:hyperlink>
      <w:r>
        <w:rPr>
          <w:rFonts w:cstheme="minorHAnsi"/>
        </w:rPr>
        <w:t xml:space="preserve"> </w:t>
      </w:r>
    </w:p>
    <w:p w:rsidR="00305370" w:rsidRPr="009D3A64" w:rsidP="006143C0" w14:paraId="33268164" w14:textId="77777777">
      <w:pPr>
        <w:spacing w:after="60" w:line="240" w:lineRule="auto"/>
        <w:rPr>
          <w:rFonts w:cstheme="minorHAnsi"/>
          <w:i/>
        </w:rPr>
      </w:pPr>
    </w:p>
    <w:p w:rsidR="00934F3B" w:rsidP="001F0446" w14:paraId="4637EEF1" w14:textId="77777777">
      <w:pPr>
        <w:spacing w:after="0" w:line="240" w:lineRule="auto"/>
        <w:rPr>
          <w:rFonts w:cstheme="minorHAnsi"/>
          <w:b/>
        </w:rPr>
      </w:pPr>
    </w:p>
    <w:p w:rsidR="00934F3B" w:rsidP="001F0446" w14:paraId="3F12A84B" w14:textId="77777777">
      <w:pPr>
        <w:spacing w:after="0" w:line="240" w:lineRule="auto"/>
        <w:rPr>
          <w:rFonts w:cstheme="minorHAnsi"/>
          <w:b/>
        </w:rPr>
      </w:pPr>
    </w:p>
    <w:p w:rsidR="001F0446" w:rsidRPr="009D3A64" w:rsidP="001F0446" w14:paraId="0E5044C2" w14:textId="6AD66CA3">
      <w:pPr>
        <w:spacing w:after="0" w:line="240" w:lineRule="auto"/>
        <w:rPr>
          <w:rFonts w:cstheme="minorHAnsi"/>
        </w:rPr>
      </w:pPr>
      <w:r w:rsidRPr="009D3A64">
        <w:rPr>
          <w:rFonts w:cstheme="minorHAnsi"/>
          <w:b/>
        </w:rPr>
        <w:t>Table 4:</w:t>
      </w:r>
      <w:r w:rsidRPr="009D3A64">
        <w:rPr>
          <w:rFonts w:cstheme="minorHAnsi"/>
        </w:rPr>
        <w:t xml:space="preserve"> Estimated Annualized Burden and Costs to Respondents</w:t>
      </w:r>
    </w:p>
    <w:tbl>
      <w:tblPr>
        <w:tblStyle w:val="TableGrid"/>
        <w:tblW w:w="8820" w:type="dxa"/>
        <w:tblInd w:w="-5" w:type="dxa"/>
        <w:tblLayout w:type="fixed"/>
        <w:tblLook w:val="01E0"/>
      </w:tblPr>
      <w:tblGrid>
        <w:gridCol w:w="1530"/>
        <w:gridCol w:w="1440"/>
        <w:gridCol w:w="1530"/>
        <w:gridCol w:w="1170"/>
        <w:gridCol w:w="900"/>
        <w:gridCol w:w="990"/>
        <w:gridCol w:w="1260"/>
      </w:tblGrid>
      <w:tr w14:paraId="7C38993E" w14:textId="77777777" w:rsidTr="00CB3C55">
        <w:tblPrEx>
          <w:tblW w:w="8820" w:type="dxa"/>
          <w:tblInd w:w="-5"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3C55" w:rsidRPr="00934F3B" w:rsidP="00373D2F" w14:paraId="386A82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34F3B">
              <w:rPr>
                <w:rFonts w:asciiTheme="minorHAnsi" w:hAnsiTheme="minorHAnsi" w:cstheme="minorHAnsi"/>
                <w:bCs/>
              </w:rPr>
              <w:t xml:space="preserve">Instrument </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3C55" w:rsidRPr="00934F3B" w:rsidP="00373D2F" w14:paraId="690BC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34F3B">
              <w:rPr>
                <w:rFonts w:asciiTheme="minorHAnsi" w:hAnsiTheme="minorHAnsi"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3C55" w:rsidRPr="00934F3B" w:rsidP="00373D2F" w14:paraId="04381D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34F3B">
              <w:rPr>
                <w:rFonts w:asciiTheme="minorHAnsi" w:hAnsiTheme="minorHAnsi" w:cstheme="minorHAnsi"/>
                <w:b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3C55" w:rsidRPr="00934F3B" w:rsidP="00373D2F" w14:paraId="77D61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34F3B">
              <w:rPr>
                <w:rFonts w:asciiTheme="minorHAnsi" w:hAnsiTheme="minorHAnsi" w:cstheme="minorHAnsi"/>
                <w:bCs/>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B3C55" w:rsidRPr="00934F3B" w:rsidP="00373D2F" w14:paraId="6AADE6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34F3B">
              <w:rPr>
                <w:rFonts w:asciiTheme="minorHAnsi" w:hAnsiTheme="minorHAnsi" w:cstheme="minorHAnsi"/>
                <w:bCs/>
              </w:rPr>
              <w:t>Total Burden (in hours)</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3C55" w:rsidRPr="00934F3B" w:rsidP="00373D2F" w14:paraId="69D721A0" w14:textId="0571B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34F3B">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3C55" w:rsidRPr="00934F3B" w:rsidP="00373D2F" w14:paraId="7D31D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34F3B">
              <w:rPr>
                <w:rFonts w:asciiTheme="minorHAnsi" w:hAnsiTheme="minorHAnsi" w:cstheme="minorHAnsi"/>
                <w:bCs/>
              </w:rPr>
              <w:t>Total Annual Respondent Cost</w:t>
            </w:r>
          </w:p>
        </w:tc>
      </w:tr>
      <w:tr w14:paraId="41453AB0" w14:textId="77777777" w:rsidTr="00CB3C55">
        <w:tblPrEx>
          <w:tblW w:w="8820" w:type="dxa"/>
          <w:tblInd w:w="-5" w:type="dxa"/>
          <w:tblLayout w:type="fixed"/>
          <w:tblLook w:val="01E0"/>
        </w:tblPrEx>
        <w:tc>
          <w:tcPr>
            <w:tcW w:w="1530" w:type="dxa"/>
            <w:tcBorders>
              <w:top w:val="single" w:sz="4" w:space="0" w:color="auto"/>
              <w:left w:val="single" w:sz="4" w:space="0" w:color="auto"/>
              <w:bottom w:val="single" w:sz="4" w:space="0" w:color="auto"/>
              <w:right w:val="single" w:sz="4" w:space="0" w:color="auto"/>
            </w:tcBorders>
          </w:tcPr>
          <w:p w:rsidR="00CB3C55" w:rsidRPr="00934F3B" w:rsidP="00ED1971" w14:paraId="688BA5C7" w14:textId="77777777">
            <w:pPr>
              <w:rPr>
                <w:rFonts w:asciiTheme="minorHAnsi" w:hAnsiTheme="minorHAnsi" w:cstheme="minorHAnsi"/>
              </w:rPr>
            </w:pPr>
            <w:r w:rsidRPr="00934F3B">
              <w:rPr>
                <w:rFonts w:asciiTheme="minorHAnsi" w:hAnsiTheme="minorHAnsi" w:cstheme="minorHAnsi"/>
              </w:rPr>
              <w:t>Instrument 1: CIP Survey for Court System Structures</w:t>
            </w:r>
          </w:p>
          <w:p w:rsidR="00CB3C55" w:rsidRPr="00934F3B" w:rsidP="00373D2F" w14:paraId="225BDB88" w14:textId="5063A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3901BB8F" w14:textId="4D613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34F3B">
              <w:rPr>
                <w:rFonts w:asciiTheme="minorHAnsi" w:hAnsiTheme="minorHAnsi" w:cstheme="minorHAnsi"/>
                <w:bCs/>
              </w:rPr>
              <w:t>53</w:t>
            </w:r>
          </w:p>
        </w:tc>
        <w:tc>
          <w:tcPr>
            <w:tcW w:w="153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12853DE9" w14:textId="6017AB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34F3B">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1CA4C8C5" w14:textId="1DF2D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34F3B">
              <w:rPr>
                <w:rFonts w:asciiTheme="minorHAnsi" w:hAnsiTheme="minorHAnsi" w:cstheme="minorHAnsi"/>
                <w:bCs/>
              </w:rPr>
              <w:t>.5</w:t>
            </w:r>
          </w:p>
        </w:tc>
        <w:tc>
          <w:tcPr>
            <w:tcW w:w="90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78B6FF16" w14:textId="59C5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34F3B">
              <w:rPr>
                <w:rFonts w:asciiTheme="minorHAnsi" w:hAnsiTheme="minorHAnsi" w:cstheme="minorHAnsi"/>
                <w:bCs/>
              </w:rPr>
              <w:t>27</w:t>
            </w:r>
          </w:p>
        </w:tc>
        <w:tc>
          <w:tcPr>
            <w:tcW w:w="990" w:type="dxa"/>
            <w:tcBorders>
              <w:top w:val="single" w:sz="4" w:space="0" w:color="auto"/>
              <w:left w:val="single" w:sz="4" w:space="0" w:color="auto"/>
              <w:bottom w:val="single" w:sz="4" w:space="0" w:color="auto"/>
              <w:right w:val="single" w:sz="4" w:space="0" w:color="auto"/>
            </w:tcBorders>
            <w:vAlign w:val="center"/>
            <w:hideMark/>
          </w:tcPr>
          <w:p w:rsidR="00CB3C55" w:rsidRPr="00934F3B" w:rsidP="00AF470B" w14:paraId="7C113BBD" w14:textId="1208C7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34F3B">
              <w:rPr>
                <w:rFonts w:asciiTheme="minorHAnsi" w:hAnsiTheme="minorHAnsi" w:cstheme="minorHAnsi"/>
                <w:bCs/>
              </w:rPr>
              <w:t>$70.2</w:t>
            </w:r>
            <w:r>
              <w:rPr>
                <w:rStyle w:val="FootnoteReference"/>
                <w:rFonts w:asciiTheme="minorHAnsi" w:hAnsiTheme="minorHAnsi" w:cstheme="minorHAnsi"/>
                <w:bCs/>
              </w:rPr>
              <w:footnoteReference w:id="4"/>
            </w:r>
          </w:p>
        </w:tc>
        <w:tc>
          <w:tcPr>
            <w:tcW w:w="1260" w:type="dxa"/>
            <w:tcBorders>
              <w:top w:val="single" w:sz="4" w:space="0" w:color="auto"/>
              <w:left w:val="single" w:sz="4" w:space="0" w:color="auto"/>
              <w:bottom w:val="single" w:sz="4" w:space="0" w:color="auto"/>
              <w:right w:val="single" w:sz="4" w:space="0" w:color="auto"/>
            </w:tcBorders>
            <w:vAlign w:val="center"/>
            <w:hideMark/>
          </w:tcPr>
          <w:p w:rsidR="00CB3C55" w:rsidRPr="00934F3B" w:rsidP="00AF470B" w14:paraId="3C2DB9FF" w14:textId="4E21E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34F3B">
              <w:rPr>
                <w:rFonts w:asciiTheme="minorHAnsi" w:hAnsiTheme="minorHAnsi" w:cstheme="minorHAnsi"/>
                <w:bCs/>
              </w:rPr>
              <w:t>$1,895.40</w:t>
            </w:r>
          </w:p>
        </w:tc>
      </w:tr>
      <w:tr w14:paraId="580C4E6E" w14:textId="77777777" w:rsidTr="00CB3C55">
        <w:tblPrEx>
          <w:tblW w:w="8820" w:type="dxa"/>
          <w:tblInd w:w="-5" w:type="dxa"/>
          <w:tblLayout w:type="fixed"/>
          <w:tblLook w:val="01E0"/>
        </w:tblPrEx>
        <w:tc>
          <w:tcPr>
            <w:tcW w:w="1530" w:type="dxa"/>
            <w:tcBorders>
              <w:top w:val="single" w:sz="4" w:space="0" w:color="auto"/>
              <w:left w:val="single" w:sz="4" w:space="0" w:color="auto"/>
              <w:bottom w:val="single" w:sz="4" w:space="0" w:color="auto"/>
              <w:right w:val="single" w:sz="4" w:space="0" w:color="auto"/>
            </w:tcBorders>
          </w:tcPr>
          <w:p w:rsidR="00CB3C55" w:rsidRPr="00934F3B" w:rsidP="00373D2F" w14:paraId="32A053D5" w14:textId="5417A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934F3B">
              <w:rPr>
                <w:rFonts w:asciiTheme="minorHAnsi" w:hAnsiTheme="minorHAnsi" w:cstheme="minorHAnsi"/>
              </w:rPr>
              <w:t>Instrument 2: CIP Local Stakeholder Survey</w:t>
            </w:r>
          </w:p>
        </w:tc>
        <w:tc>
          <w:tcPr>
            <w:tcW w:w="144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4BBCEF84" w14:textId="7E14B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34F3B">
              <w:rPr>
                <w:rFonts w:asciiTheme="minorHAnsi" w:hAnsiTheme="minorHAnsi" w:cstheme="minorHAnsi"/>
                <w:bCs/>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2A3D6C54" w14:textId="7BC35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34F3B">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11719009" w14:textId="1B61B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34F3B">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4CAF619D" w14:textId="0E924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34F3B">
              <w:rPr>
                <w:rFonts w:asciiTheme="minorHAnsi" w:hAnsiTheme="minorHAnsi" w:cstheme="minorHAnsi"/>
                <w:bCs/>
              </w:rPr>
              <w:t>1750</w:t>
            </w:r>
          </w:p>
        </w:tc>
        <w:tc>
          <w:tcPr>
            <w:tcW w:w="99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705F44BB" w14:textId="5C915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34F3B">
              <w:rPr>
                <w:rFonts w:asciiTheme="minorHAnsi" w:hAnsiTheme="minorHAnsi" w:cstheme="minorHAnsi"/>
                <w:bCs/>
              </w:rPr>
              <w:t>$70.2</w:t>
            </w:r>
          </w:p>
        </w:tc>
        <w:tc>
          <w:tcPr>
            <w:tcW w:w="126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11DCA0AA" w14:textId="51B8E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34F3B">
              <w:rPr>
                <w:rFonts w:asciiTheme="minorHAnsi" w:hAnsiTheme="minorHAnsi" w:cstheme="minorHAnsi"/>
                <w:bCs/>
              </w:rPr>
              <w:t>$122,850.00</w:t>
            </w:r>
          </w:p>
        </w:tc>
      </w:tr>
      <w:tr w14:paraId="3920369E" w14:textId="77777777" w:rsidTr="00CB3C55">
        <w:tblPrEx>
          <w:tblW w:w="8820" w:type="dxa"/>
          <w:tblInd w:w="-5" w:type="dxa"/>
          <w:tblLayout w:type="fixed"/>
          <w:tblLook w:val="01E0"/>
        </w:tblPrEx>
        <w:tc>
          <w:tcPr>
            <w:tcW w:w="1530" w:type="dxa"/>
            <w:tcBorders>
              <w:top w:val="single" w:sz="4" w:space="0" w:color="auto"/>
              <w:left w:val="single" w:sz="4" w:space="0" w:color="auto"/>
              <w:bottom w:val="single" w:sz="4" w:space="0" w:color="auto"/>
              <w:right w:val="single" w:sz="4" w:space="0" w:color="auto"/>
            </w:tcBorders>
            <w:vAlign w:val="center"/>
          </w:tcPr>
          <w:p w:rsidR="00CB3C55" w:rsidRPr="00934F3B" w:rsidP="00CB3C55" w14:paraId="7BDCD478" w14:textId="076CF1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934F3B">
              <w:rPr>
                <w:rFonts w:asciiTheme="minorHAnsi" w:hAnsiTheme="minorHAnsi" w:cstheme="minorHAnsi"/>
              </w:rPr>
              <w:t xml:space="preserve">Totals: </w:t>
            </w:r>
          </w:p>
        </w:tc>
        <w:tc>
          <w:tcPr>
            <w:tcW w:w="144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61CFF30E" w14:textId="52512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34F3B">
              <w:rPr>
                <w:rFonts w:asciiTheme="minorHAnsi" w:hAnsiTheme="minorHAnsi" w:cstheme="minorHAnsi"/>
                <w:bCs/>
              </w:rPr>
              <w:t>7053</w:t>
            </w:r>
          </w:p>
        </w:tc>
        <w:tc>
          <w:tcPr>
            <w:tcW w:w="153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01AC5CD8" w14:textId="0F406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34F3B">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4C728E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61D1C201" w14:textId="3C792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34F3B">
              <w:rPr>
                <w:rFonts w:asciiTheme="minorHAnsi" w:hAnsiTheme="minorHAnsi" w:cstheme="minorHAnsi"/>
                <w:bCs/>
              </w:rPr>
              <w:t>1,777</w:t>
            </w:r>
          </w:p>
        </w:tc>
        <w:tc>
          <w:tcPr>
            <w:tcW w:w="99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499876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tcPr>
          <w:p w:rsidR="00CB3C55" w:rsidRPr="00934F3B" w:rsidP="00AF470B" w14:paraId="7904683F" w14:textId="0E8B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34F3B">
              <w:rPr>
                <w:rFonts w:asciiTheme="minorHAnsi" w:hAnsiTheme="minorHAnsi" w:cstheme="minorHAnsi"/>
                <w:bCs/>
              </w:rPr>
              <w:t>$124,745.40</w:t>
            </w:r>
          </w:p>
        </w:tc>
      </w:tr>
    </w:tbl>
    <w:p w:rsidR="00ED1971" w:rsidP="009D3A64" w14:paraId="26CAE804" w14:textId="77777777">
      <w:pPr>
        <w:spacing w:after="0"/>
        <w:rPr>
          <w:rFonts w:cstheme="minorHAnsi"/>
        </w:rPr>
      </w:pPr>
    </w:p>
    <w:p w:rsidR="006A3839" w:rsidRPr="008C79A8" w:rsidP="000F5E08" w14:paraId="06DA70DB" w14:textId="77777777">
      <w:pPr>
        <w:spacing w:after="0"/>
        <w:rPr>
          <w:rFonts w:cstheme="minorHAnsi"/>
        </w:rPr>
      </w:pPr>
    </w:p>
    <w:p w:rsidR="00373D2F" w:rsidRPr="008C79A8" w:rsidP="00577243" w14:paraId="61FEA434" w14:textId="77777777">
      <w:pPr>
        <w:spacing w:after="120" w:line="240" w:lineRule="auto"/>
        <w:rPr>
          <w:rFonts w:cstheme="minorHAnsi"/>
        </w:rPr>
      </w:pPr>
      <w:r w:rsidRPr="009D3A64">
        <w:rPr>
          <w:rFonts w:cstheme="minorHAnsi"/>
          <w:b/>
        </w:rPr>
        <w:t>A13</w:t>
      </w:r>
      <w:r w:rsidRPr="008C79A8">
        <w:rPr>
          <w:rFonts w:cstheme="minorHAnsi"/>
        </w:rPr>
        <w:t>.</w:t>
      </w:r>
      <w:r w:rsidRPr="008C79A8">
        <w:rPr>
          <w:rFonts w:cstheme="minorHAnsi"/>
        </w:rPr>
        <w:tab/>
      </w:r>
      <w:r w:rsidRPr="008C79A8" w:rsidR="00083227">
        <w:rPr>
          <w:rFonts w:cstheme="minorHAnsi"/>
          <w:b/>
        </w:rPr>
        <w:t>Costs</w:t>
      </w:r>
    </w:p>
    <w:p w:rsidR="00373D2F" w:rsidRPr="008C79A8" w:rsidP="00577243" w14:paraId="00EE3E6E" w14:textId="77777777">
      <w:pPr>
        <w:autoSpaceDE w:val="0"/>
        <w:autoSpaceDN w:val="0"/>
        <w:adjustRightInd w:val="0"/>
        <w:spacing w:after="0" w:line="240" w:lineRule="auto"/>
        <w:rPr>
          <w:rFonts w:cstheme="minorHAnsi"/>
        </w:rPr>
      </w:pPr>
      <w:r w:rsidRPr="009D3A64">
        <w:rPr>
          <w:rFonts w:cstheme="minorHAnsi"/>
        </w:rPr>
        <w:t>There are no additional costs to respondents.</w:t>
      </w:r>
    </w:p>
    <w:p w:rsidR="00577243" w:rsidRPr="008C79A8" w:rsidP="00577243" w14:paraId="4EDDA5C7" w14:textId="77777777">
      <w:pPr>
        <w:autoSpaceDE w:val="0"/>
        <w:autoSpaceDN w:val="0"/>
        <w:adjustRightInd w:val="0"/>
        <w:spacing w:after="0" w:line="240" w:lineRule="auto"/>
        <w:rPr>
          <w:rFonts w:cstheme="minorHAnsi"/>
        </w:rPr>
      </w:pPr>
    </w:p>
    <w:p w:rsidR="00577243" w:rsidRPr="008C79A8" w:rsidP="00577243" w14:paraId="282D9664" w14:textId="77777777">
      <w:pPr>
        <w:autoSpaceDE w:val="0"/>
        <w:autoSpaceDN w:val="0"/>
        <w:adjustRightInd w:val="0"/>
        <w:spacing w:after="0" w:line="240" w:lineRule="auto"/>
        <w:rPr>
          <w:rFonts w:cstheme="minorHAnsi"/>
        </w:rPr>
      </w:pPr>
    </w:p>
    <w:p w:rsidR="00373D2F" w:rsidRPr="008C79A8" w:rsidP="00577243" w14:paraId="77EF4A20" w14:textId="77777777">
      <w:pPr>
        <w:spacing w:after="120" w:line="240" w:lineRule="auto"/>
        <w:rPr>
          <w:rFonts w:cstheme="minorHAnsi"/>
        </w:rPr>
      </w:pPr>
      <w:r w:rsidRPr="008C79A8">
        <w:rPr>
          <w:rFonts w:cstheme="minorHAnsi"/>
          <w:b/>
        </w:rPr>
        <w:t>A14</w:t>
      </w:r>
      <w:r w:rsidRPr="008C79A8">
        <w:rPr>
          <w:rFonts w:cstheme="minorHAnsi"/>
        </w:rPr>
        <w:t>.</w:t>
      </w:r>
      <w:r w:rsidRPr="008C79A8">
        <w:rPr>
          <w:rFonts w:cstheme="minorHAnsi"/>
        </w:rPr>
        <w:tab/>
      </w:r>
      <w:r w:rsidRPr="008C79A8" w:rsidR="00577243">
        <w:rPr>
          <w:rFonts w:cstheme="minorHAnsi"/>
          <w:b/>
        </w:rPr>
        <w:t>Estimated Annualized Costs to the Federal Government</w:t>
      </w:r>
      <w:r w:rsidRPr="008C79A8" w:rsidR="00577243">
        <w:rPr>
          <w:rFonts w:cstheme="minorHAnsi"/>
        </w:rPr>
        <w:t xml:space="preserve"> </w:t>
      </w:r>
    </w:p>
    <w:p w:rsidR="00373D2F" w:rsidRPr="008C79A8" w:rsidP="00373D2F" w14:paraId="31FB98A0" w14:textId="1FD7D678">
      <w:pPr>
        <w:spacing w:after="0" w:line="240" w:lineRule="auto"/>
        <w:rPr>
          <w:rFonts w:cstheme="minorHAnsi"/>
        </w:rPr>
      </w:pPr>
      <w:r w:rsidRPr="00F55F08">
        <w:rPr>
          <w:rFonts w:cstheme="minorHAnsi"/>
          <w:b/>
          <w:bCs/>
        </w:rPr>
        <w:t>Table 5. Estimated Annualized Costs to the Federal Government</w:t>
      </w:r>
    </w:p>
    <w:tbl>
      <w:tblPr>
        <w:tblW w:w="9350" w:type="dxa"/>
        <w:tblCellMar>
          <w:left w:w="0" w:type="dxa"/>
          <w:right w:w="0" w:type="dxa"/>
        </w:tblCellMar>
        <w:tblLook w:val="04A0"/>
      </w:tblPr>
      <w:tblGrid>
        <w:gridCol w:w="6020"/>
        <w:gridCol w:w="3330"/>
      </w:tblGrid>
      <w:tr w14:paraId="4751A7D3" w14:textId="77777777" w:rsidTr="006143C0">
        <w:tblPrEx>
          <w:tblW w:w="9350" w:type="dxa"/>
          <w:tblCellMar>
            <w:left w:w="0" w:type="dxa"/>
            <w:right w:w="0" w:type="dxa"/>
          </w:tblCellMar>
          <w:tblLook w:val="04A0"/>
        </w:tblPrEx>
        <w:tc>
          <w:tcPr>
            <w:tcW w:w="602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A5C2F" w:rsidRPr="009D3A64" w:rsidP="009D3A64" w14:paraId="0AFC1B46" w14:textId="77777777">
            <w:pPr>
              <w:spacing w:after="0" w:line="240" w:lineRule="auto"/>
              <w:rPr>
                <w:rFonts w:cstheme="minorHAnsi"/>
                <w:b/>
                <w:bCs/>
              </w:rPr>
            </w:pPr>
            <w:r w:rsidRPr="009D3A64">
              <w:rPr>
                <w:rFonts w:cstheme="minorHAnsi"/>
                <w:b/>
                <w:bCs/>
              </w:rPr>
              <w:t>Cost Category</w:t>
            </w:r>
          </w:p>
        </w:tc>
        <w:tc>
          <w:tcPr>
            <w:tcW w:w="333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A5C2F" w:rsidRPr="009D3A64" w:rsidP="009D3A64" w14:paraId="04AEF74B" w14:textId="77777777">
            <w:pPr>
              <w:spacing w:after="0" w:line="240" w:lineRule="auto"/>
              <w:jc w:val="center"/>
              <w:rPr>
                <w:rFonts w:cstheme="minorHAnsi"/>
                <w:b/>
                <w:bCs/>
              </w:rPr>
            </w:pPr>
            <w:r w:rsidRPr="009D3A64">
              <w:rPr>
                <w:rFonts w:cstheme="minorHAnsi"/>
                <w:b/>
                <w:bCs/>
              </w:rPr>
              <w:t>Estimated Costs</w:t>
            </w:r>
          </w:p>
        </w:tc>
      </w:tr>
      <w:tr w14:paraId="21391548" w14:textId="77777777" w:rsidTr="006143C0">
        <w:tblPrEx>
          <w:tblW w:w="9350" w:type="dxa"/>
          <w:tblCellMar>
            <w:left w:w="0" w:type="dxa"/>
            <w:right w:w="0" w:type="dxa"/>
          </w:tblCellMar>
          <w:tblLook w:val="04A0"/>
        </w:tblPrEx>
        <w:tc>
          <w:tcPr>
            <w:tcW w:w="6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A5C2F" w:rsidRPr="006143C0" w:rsidP="006143C0" w14:paraId="090D308D" w14:textId="6E0EC014">
            <w:pPr>
              <w:spacing w:before="120" w:after="120" w:line="240" w:lineRule="auto"/>
              <w:rPr>
                <w:rFonts w:eastAsia="Calibri" w:cstheme="minorHAnsi"/>
                <w:sz w:val="20"/>
                <w:szCs w:val="20"/>
              </w:rPr>
            </w:pPr>
            <w:r w:rsidRPr="006143C0">
              <w:rPr>
                <w:rFonts w:cstheme="minorHAnsi"/>
                <w:sz w:val="20"/>
                <w:szCs w:val="20"/>
              </w:rPr>
              <w:t xml:space="preserve">Administration </w:t>
            </w:r>
            <w:r w:rsidRPr="006143C0" w:rsidR="00A21B8A">
              <w:rPr>
                <w:rFonts w:cstheme="minorHAnsi"/>
                <w:sz w:val="20"/>
                <w:szCs w:val="20"/>
              </w:rPr>
              <w:t xml:space="preserve">of Instruments </w:t>
            </w:r>
            <w:r w:rsidRPr="006143C0">
              <w:rPr>
                <w:rFonts w:cstheme="minorHAnsi"/>
                <w:sz w:val="20"/>
                <w:szCs w:val="20"/>
              </w:rPr>
              <w:t xml:space="preserve">and Analysis of </w:t>
            </w:r>
            <w:r w:rsidRPr="006143C0" w:rsidR="00A21B8A">
              <w:rPr>
                <w:rFonts w:cstheme="minorHAnsi"/>
                <w:sz w:val="20"/>
                <w:szCs w:val="20"/>
              </w:rPr>
              <w:t xml:space="preserve">Information </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5C2F" w:rsidRPr="006143C0" w:rsidP="009D3A64" w14:paraId="5A0C3423" w14:textId="6D643730">
            <w:pPr>
              <w:spacing w:after="0" w:line="240" w:lineRule="auto"/>
              <w:jc w:val="center"/>
              <w:rPr>
                <w:rFonts w:cstheme="minorHAnsi"/>
                <w:sz w:val="20"/>
                <w:szCs w:val="20"/>
              </w:rPr>
            </w:pPr>
            <w:r w:rsidRPr="006143C0">
              <w:rPr>
                <w:rFonts w:cstheme="minorHAnsi"/>
                <w:sz w:val="20"/>
                <w:szCs w:val="20"/>
              </w:rPr>
              <w:t>$</w:t>
            </w:r>
            <w:r w:rsidR="00B05CF0">
              <w:rPr>
                <w:rFonts w:cstheme="minorHAnsi"/>
                <w:sz w:val="20"/>
                <w:szCs w:val="20"/>
              </w:rPr>
              <w:t>10</w:t>
            </w:r>
            <w:r w:rsidR="00ED1971">
              <w:rPr>
                <w:rFonts w:cstheme="minorHAnsi"/>
                <w:sz w:val="20"/>
                <w:szCs w:val="20"/>
              </w:rPr>
              <w:t>00</w:t>
            </w:r>
          </w:p>
        </w:tc>
      </w:tr>
      <w:tr w14:paraId="3E1CC516" w14:textId="77777777" w:rsidTr="006143C0">
        <w:tblPrEx>
          <w:tblW w:w="9350" w:type="dxa"/>
          <w:tblCellMar>
            <w:left w:w="0" w:type="dxa"/>
            <w:right w:w="0" w:type="dxa"/>
          </w:tblCellMar>
          <w:tblLook w:val="04A0"/>
        </w:tblPrEx>
        <w:tc>
          <w:tcPr>
            <w:tcW w:w="6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A5C2F" w:rsidRPr="006143C0" w:rsidP="009D3A64" w14:paraId="618D4065" w14:textId="77777777">
            <w:pPr>
              <w:spacing w:after="0" w:line="240" w:lineRule="auto"/>
              <w:jc w:val="right"/>
              <w:rPr>
                <w:rFonts w:eastAsia="Calibri" w:cstheme="minorHAnsi"/>
                <w:b/>
                <w:bCs/>
                <w:sz w:val="20"/>
                <w:szCs w:val="20"/>
              </w:rPr>
            </w:pPr>
            <w:r w:rsidRPr="006143C0">
              <w:rPr>
                <w:rFonts w:cstheme="minorHAnsi"/>
                <w:b/>
                <w:color w:val="000000"/>
                <w:sz w:val="20"/>
                <w:szCs w:val="20"/>
              </w:rPr>
              <w:t>Total costs over the request period</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A5C2F" w:rsidRPr="006143C0" w:rsidP="009D3A64" w14:paraId="02EC4B98" w14:textId="01DFC7BA">
            <w:pPr>
              <w:spacing w:after="0" w:line="240" w:lineRule="auto"/>
              <w:jc w:val="center"/>
              <w:rPr>
                <w:rFonts w:cstheme="minorHAnsi"/>
                <w:b/>
                <w:bCs/>
                <w:sz w:val="20"/>
                <w:szCs w:val="20"/>
              </w:rPr>
            </w:pPr>
            <w:r w:rsidRPr="006143C0">
              <w:rPr>
                <w:rFonts w:cstheme="minorHAnsi"/>
                <w:sz w:val="20"/>
                <w:szCs w:val="20"/>
              </w:rPr>
              <w:t>$</w:t>
            </w:r>
            <w:r w:rsidR="00B05CF0">
              <w:rPr>
                <w:rFonts w:cstheme="minorHAnsi"/>
                <w:sz w:val="20"/>
                <w:szCs w:val="20"/>
              </w:rPr>
              <w:t>10</w:t>
            </w:r>
            <w:r w:rsidR="00ED1971">
              <w:rPr>
                <w:rFonts w:cstheme="minorHAnsi"/>
                <w:sz w:val="20"/>
                <w:szCs w:val="20"/>
              </w:rPr>
              <w:t>00</w:t>
            </w:r>
          </w:p>
        </w:tc>
      </w:tr>
    </w:tbl>
    <w:p w:rsidR="00B00FBC" w:rsidRPr="009D3A64" w:rsidP="000F5E08" w14:paraId="652B7DF7" w14:textId="77777777">
      <w:pPr>
        <w:spacing w:after="0"/>
        <w:rPr>
          <w:rFonts w:eastAsia="Calibri" w:cstheme="minorHAnsi"/>
          <w:color w:val="1F497D"/>
        </w:rPr>
      </w:pPr>
    </w:p>
    <w:p w:rsidR="006A3839" w:rsidRPr="009D3A64" w:rsidP="000F5E08" w14:paraId="51882D35" w14:textId="77777777">
      <w:pPr>
        <w:spacing w:after="0"/>
        <w:rPr>
          <w:rFonts w:eastAsia="Calibri" w:cstheme="minorHAnsi"/>
          <w:color w:val="1F497D"/>
        </w:rPr>
      </w:pPr>
    </w:p>
    <w:p w:rsidR="0068383E" w:rsidRPr="008C79A8" w:rsidP="00CB4358" w14:paraId="08302E49" w14:textId="77777777">
      <w:pPr>
        <w:spacing w:after="120" w:line="240" w:lineRule="auto"/>
        <w:rPr>
          <w:rFonts w:cstheme="minorHAnsi"/>
        </w:rPr>
      </w:pPr>
      <w:r w:rsidRPr="008C79A8">
        <w:rPr>
          <w:rFonts w:cstheme="minorHAnsi"/>
          <w:b/>
        </w:rPr>
        <w:t>A15</w:t>
      </w:r>
      <w:r w:rsidRPr="008C79A8">
        <w:rPr>
          <w:rFonts w:cstheme="minorHAnsi"/>
        </w:rPr>
        <w:t>.</w:t>
      </w:r>
      <w:r w:rsidRPr="008C79A8">
        <w:rPr>
          <w:rFonts w:cstheme="minorHAnsi"/>
        </w:rPr>
        <w:tab/>
      </w:r>
      <w:r w:rsidRPr="008C79A8" w:rsidR="007C7B4B">
        <w:rPr>
          <w:rFonts w:cstheme="minorHAnsi"/>
          <w:b/>
        </w:rPr>
        <w:t>Reasons for changes in burden</w:t>
      </w:r>
      <w:r w:rsidRPr="008C79A8" w:rsidR="007C7B4B">
        <w:rPr>
          <w:rFonts w:cstheme="minorHAnsi"/>
        </w:rPr>
        <w:t xml:space="preserve"> </w:t>
      </w:r>
    </w:p>
    <w:p w:rsidR="00CB4358" w:rsidRPr="009D3A64" w:rsidP="000F5E08" w14:paraId="269861D6" w14:textId="75271F35">
      <w:pPr>
        <w:spacing w:after="0"/>
        <w:rPr>
          <w:rFonts w:cstheme="minorHAnsi"/>
        </w:rPr>
      </w:pPr>
      <w:r w:rsidRPr="009D3A64">
        <w:rPr>
          <w:rFonts w:cstheme="minorHAnsi"/>
        </w:rPr>
        <w:t>This is for an individual information collection under the umbrella formative generic clearance for program support (0970-0531</w:t>
      </w:r>
      <w:r w:rsidRPr="009D3A64" w:rsidR="00932C12">
        <w:rPr>
          <w:rFonts w:cstheme="minorHAnsi"/>
        </w:rPr>
        <w:t xml:space="preserve">). </w:t>
      </w:r>
    </w:p>
    <w:p w:rsidR="006A3839" w:rsidRPr="009D3A64" w:rsidP="000F5E08" w14:paraId="78E5355A" w14:textId="3FA4B424">
      <w:pPr>
        <w:spacing w:after="0"/>
        <w:rPr>
          <w:rFonts w:cstheme="minorHAnsi"/>
        </w:rPr>
      </w:pPr>
    </w:p>
    <w:p w:rsidR="006A3839" w:rsidRPr="009D3A64" w:rsidP="000F5E08" w14:paraId="2C9FACA9" w14:textId="77777777">
      <w:pPr>
        <w:spacing w:after="0"/>
        <w:rPr>
          <w:rFonts w:cstheme="minorHAnsi"/>
        </w:rPr>
      </w:pPr>
    </w:p>
    <w:p w:rsidR="000D4E9A" w:rsidRPr="008C79A8" w:rsidP="00CB4358" w14:paraId="3EEE255C" w14:textId="77777777">
      <w:pPr>
        <w:spacing w:after="120" w:line="240" w:lineRule="auto"/>
        <w:rPr>
          <w:rFonts w:cstheme="minorHAnsi"/>
          <w:b/>
        </w:rPr>
      </w:pPr>
      <w:r w:rsidRPr="008C79A8">
        <w:rPr>
          <w:rFonts w:cstheme="minorHAnsi"/>
          <w:b/>
        </w:rPr>
        <w:t>A16</w:t>
      </w:r>
      <w:r w:rsidRPr="008C79A8">
        <w:rPr>
          <w:rFonts w:cstheme="minorHAnsi"/>
        </w:rPr>
        <w:t>.</w:t>
      </w:r>
      <w:r w:rsidRPr="008C79A8">
        <w:rPr>
          <w:rFonts w:cstheme="minorHAnsi"/>
        </w:rPr>
        <w:tab/>
      </w:r>
      <w:r w:rsidRPr="008C79A8" w:rsidR="00083227">
        <w:rPr>
          <w:rFonts w:cstheme="minorHAnsi"/>
          <w:b/>
        </w:rPr>
        <w:t>Timeline</w:t>
      </w:r>
    </w:p>
    <w:p w:rsidR="00F5059D" w:rsidP="00BD212B" w14:paraId="3D1FA190" w14:textId="3DC540FD">
      <w:pPr>
        <w:spacing w:after="240"/>
        <w:rPr>
          <w:rFonts w:cstheme="minorHAnsi"/>
        </w:rPr>
      </w:pPr>
      <w:r w:rsidRPr="008C79A8">
        <w:rPr>
          <w:rFonts w:cstheme="minorHAnsi"/>
        </w:rPr>
        <w:t xml:space="preserve">Data collection will take place following OMB approval </w:t>
      </w:r>
      <w:r w:rsidR="00AF5F9A">
        <w:rPr>
          <w:rFonts w:cstheme="minorHAnsi"/>
        </w:rPr>
        <w:t xml:space="preserve">for </w:t>
      </w:r>
      <w:r w:rsidR="00BB430E">
        <w:rPr>
          <w:rFonts w:cstheme="minorHAnsi"/>
        </w:rPr>
        <w:t>11</w:t>
      </w:r>
      <w:r w:rsidR="00AF5F9A">
        <w:rPr>
          <w:rFonts w:cstheme="minorHAnsi"/>
        </w:rPr>
        <w:t xml:space="preserve"> months</w:t>
      </w:r>
      <w:r w:rsidRPr="008C79A8">
        <w:rPr>
          <w:rFonts w:cstheme="minorHAnsi"/>
        </w:rPr>
        <w:t>.</w:t>
      </w:r>
      <w:r w:rsidRPr="008C79A8" w:rsidR="00463CC7">
        <w:rPr>
          <w:rFonts w:cstheme="minorHAnsi"/>
        </w:rPr>
        <w:t xml:space="preserve"> Grantees will submit their </w:t>
      </w:r>
      <w:r w:rsidR="00B05CF0">
        <w:rPr>
          <w:rFonts w:cstheme="minorHAnsi"/>
        </w:rPr>
        <w:t>surveys once during this period</w:t>
      </w:r>
      <w:r w:rsidRPr="008C79A8" w:rsidR="00463CC7">
        <w:rPr>
          <w:rFonts w:cstheme="minorHAnsi"/>
        </w:rPr>
        <w:t xml:space="preserve">. During this time, </w:t>
      </w:r>
      <w:r w:rsidRPr="008C79A8">
        <w:rPr>
          <w:rFonts w:cstheme="minorHAnsi"/>
        </w:rPr>
        <w:t xml:space="preserve">TA and </w:t>
      </w:r>
      <w:r w:rsidR="00B05CF0">
        <w:rPr>
          <w:rFonts w:cstheme="minorHAnsi"/>
        </w:rPr>
        <w:t>CB</w:t>
      </w:r>
      <w:r w:rsidRPr="008C79A8">
        <w:rPr>
          <w:rFonts w:cstheme="minorHAnsi"/>
        </w:rPr>
        <w:t xml:space="preserve"> staff team </w:t>
      </w:r>
      <w:r w:rsidRPr="008C79A8" w:rsidR="00463CC7">
        <w:rPr>
          <w:rFonts w:cstheme="minorHAnsi"/>
        </w:rPr>
        <w:t xml:space="preserve">will </w:t>
      </w:r>
      <w:r w:rsidR="00B05CF0">
        <w:rPr>
          <w:rFonts w:cstheme="minorHAnsi"/>
        </w:rPr>
        <w:t xml:space="preserve">collect and analyze the survey results and prepare the results for dissemination. </w:t>
      </w:r>
    </w:p>
    <w:p w:rsidR="00934F3B" w:rsidP="00BD212B" w14:paraId="535B0DA4" w14:textId="77777777">
      <w:pPr>
        <w:spacing w:after="240"/>
        <w:rPr>
          <w:rFonts w:cstheme="minorHAnsi"/>
        </w:rPr>
      </w:pPr>
    </w:p>
    <w:p w:rsidR="00ED30F5" w:rsidRPr="009D3A64" w:rsidP="009D3A64" w14:paraId="269F47EB" w14:textId="77D0626A">
      <w:pPr>
        <w:spacing w:after="0" w:line="240" w:lineRule="auto"/>
        <w:rPr>
          <w:rFonts w:cstheme="minorHAnsi"/>
          <w:b/>
        </w:rPr>
      </w:pPr>
      <w:r w:rsidRPr="009D3A64">
        <w:rPr>
          <w:rFonts w:cstheme="minorHAnsi"/>
          <w:b/>
        </w:rPr>
        <w:t>Table 6: Timeline</w:t>
      </w:r>
    </w:p>
    <w:tbl>
      <w:tblPr>
        <w:tblStyle w:val="TableGrid"/>
        <w:tblW w:w="9355" w:type="dxa"/>
        <w:tblInd w:w="0" w:type="dxa"/>
        <w:tblLook w:val="04A0"/>
      </w:tblPr>
      <w:tblGrid>
        <w:gridCol w:w="3235"/>
        <w:gridCol w:w="3330"/>
        <w:gridCol w:w="2790"/>
      </w:tblGrid>
      <w:tr w14:paraId="76FAD3A7" w14:textId="77777777" w:rsidTr="00CB3C55">
        <w:tblPrEx>
          <w:tblW w:w="9355" w:type="dxa"/>
          <w:tblInd w:w="0" w:type="dxa"/>
          <w:tblLook w:val="04A0"/>
        </w:tblPrEx>
        <w:tc>
          <w:tcPr>
            <w:tcW w:w="3235" w:type="dxa"/>
            <w:shd w:val="clear" w:color="auto" w:fill="BFBFBF" w:themeFill="background1" w:themeFillShade="BF"/>
          </w:tcPr>
          <w:p w:rsidR="00552616" w:rsidRPr="006143C0" w:rsidP="009D3A64" w14:paraId="0185F5CC" w14:textId="3CEFCA01">
            <w:pPr>
              <w:rPr>
                <w:rFonts w:asciiTheme="minorHAnsi" w:hAnsiTheme="minorHAnsi" w:cstheme="minorHAnsi"/>
                <w:b/>
                <w:bCs/>
                <w:sz w:val="22"/>
                <w:szCs w:val="22"/>
              </w:rPr>
            </w:pPr>
          </w:p>
        </w:tc>
        <w:tc>
          <w:tcPr>
            <w:tcW w:w="3330" w:type="dxa"/>
            <w:shd w:val="clear" w:color="auto" w:fill="BFBFBF" w:themeFill="background1" w:themeFillShade="BF"/>
          </w:tcPr>
          <w:p w:rsidR="00552616" w:rsidRPr="006143C0" w:rsidP="009D3A64" w14:paraId="0B33367B" w14:textId="77777777">
            <w:pPr>
              <w:rPr>
                <w:rFonts w:asciiTheme="minorHAnsi" w:hAnsiTheme="minorHAnsi" w:cstheme="minorHAnsi"/>
                <w:b/>
                <w:bCs/>
                <w:sz w:val="22"/>
                <w:szCs w:val="22"/>
              </w:rPr>
            </w:pPr>
            <w:r w:rsidRPr="006143C0">
              <w:rPr>
                <w:rFonts w:cstheme="minorHAnsi"/>
                <w:b/>
                <w:bCs/>
              </w:rPr>
              <w:t>Begins</w:t>
            </w:r>
          </w:p>
        </w:tc>
        <w:tc>
          <w:tcPr>
            <w:tcW w:w="2790" w:type="dxa"/>
            <w:shd w:val="clear" w:color="auto" w:fill="BFBFBF" w:themeFill="background1" w:themeFillShade="BF"/>
          </w:tcPr>
          <w:p w:rsidR="00552616" w:rsidRPr="006143C0" w:rsidP="009D3A64" w14:paraId="46BDB5F8" w14:textId="77777777">
            <w:pPr>
              <w:rPr>
                <w:rFonts w:asciiTheme="minorHAnsi" w:hAnsiTheme="minorHAnsi" w:cstheme="minorHAnsi"/>
                <w:b/>
                <w:bCs/>
                <w:sz w:val="22"/>
                <w:szCs w:val="22"/>
              </w:rPr>
            </w:pPr>
            <w:r w:rsidRPr="006143C0">
              <w:rPr>
                <w:rFonts w:cstheme="minorHAnsi"/>
                <w:b/>
                <w:bCs/>
              </w:rPr>
              <w:t>Complete</w:t>
            </w:r>
          </w:p>
        </w:tc>
      </w:tr>
      <w:tr w14:paraId="7A7A66B9" w14:textId="77777777" w:rsidTr="00CB3C55">
        <w:tblPrEx>
          <w:tblW w:w="9355" w:type="dxa"/>
          <w:tblInd w:w="0" w:type="dxa"/>
          <w:tblLook w:val="04A0"/>
        </w:tblPrEx>
        <w:tc>
          <w:tcPr>
            <w:tcW w:w="3235" w:type="dxa"/>
          </w:tcPr>
          <w:p w:rsidR="00552616" w:rsidRPr="00AD2BCC" w:rsidP="006143C0" w14:paraId="0F96AD0D" w14:textId="10ACB741">
            <w:pPr>
              <w:spacing w:before="120" w:after="120"/>
              <w:rPr>
                <w:rFonts w:asciiTheme="minorHAnsi" w:hAnsiTheme="minorHAnsi" w:cstheme="minorHAnsi"/>
                <w:sz w:val="22"/>
                <w:szCs w:val="22"/>
              </w:rPr>
            </w:pPr>
            <w:r w:rsidRPr="00AD2BCC">
              <w:rPr>
                <w:rFonts w:asciiTheme="minorHAnsi" w:hAnsiTheme="minorHAnsi" w:cstheme="minorHAnsi"/>
                <w:sz w:val="22"/>
                <w:szCs w:val="22"/>
              </w:rPr>
              <w:t>Surveys to be disseminated</w:t>
            </w:r>
            <w:r w:rsidRPr="00AD2BCC" w:rsidR="004323B0">
              <w:rPr>
                <w:rFonts w:asciiTheme="minorHAnsi" w:hAnsiTheme="minorHAnsi" w:cstheme="minorHAnsi"/>
                <w:sz w:val="22"/>
                <w:szCs w:val="22"/>
              </w:rPr>
              <w:t xml:space="preserve"> </w:t>
            </w:r>
          </w:p>
        </w:tc>
        <w:tc>
          <w:tcPr>
            <w:tcW w:w="3330" w:type="dxa"/>
          </w:tcPr>
          <w:p w:rsidR="00552616" w:rsidRPr="00AD2BCC" w:rsidP="006143C0" w14:paraId="2279771C" w14:textId="17392A96">
            <w:pPr>
              <w:spacing w:before="120"/>
              <w:rPr>
                <w:rFonts w:asciiTheme="minorHAnsi" w:hAnsiTheme="minorHAnsi" w:cstheme="minorHAnsi"/>
                <w:sz w:val="22"/>
                <w:szCs w:val="22"/>
              </w:rPr>
            </w:pPr>
            <w:r>
              <w:rPr>
                <w:rFonts w:asciiTheme="minorHAnsi" w:hAnsiTheme="minorHAnsi" w:cstheme="minorHAnsi"/>
                <w:sz w:val="22"/>
                <w:szCs w:val="22"/>
              </w:rPr>
              <w:t>Upon OMB Approval</w:t>
            </w:r>
          </w:p>
        </w:tc>
        <w:tc>
          <w:tcPr>
            <w:tcW w:w="2790" w:type="dxa"/>
          </w:tcPr>
          <w:p w:rsidR="00552616" w:rsidRPr="00AD2BCC" w:rsidP="006143C0" w14:paraId="28DB272B" w14:textId="07237C7C">
            <w:pPr>
              <w:spacing w:before="120"/>
              <w:rPr>
                <w:rFonts w:asciiTheme="minorHAnsi" w:hAnsiTheme="minorHAnsi" w:cstheme="minorHAnsi"/>
                <w:sz w:val="22"/>
                <w:szCs w:val="22"/>
              </w:rPr>
            </w:pPr>
            <w:r>
              <w:rPr>
                <w:rFonts w:asciiTheme="minorHAnsi" w:hAnsiTheme="minorHAnsi" w:cstheme="minorHAnsi"/>
                <w:sz w:val="22"/>
                <w:szCs w:val="22"/>
              </w:rPr>
              <w:t xml:space="preserve">About one month after OMB approval </w:t>
            </w:r>
          </w:p>
        </w:tc>
      </w:tr>
      <w:tr w14:paraId="06EC65B0" w14:textId="77777777" w:rsidTr="00CB3C55">
        <w:tblPrEx>
          <w:tblW w:w="9355" w:type="dxa"/>
          <w:tblInd w:w="0" w:type="dxa"/>
          <w:tblLook w:val="04A0"/>
        </w:tblPrEx>
        <w:tc>
          <w:tcPr>
            <w:tcW w:w="3235" w:type="dxa"/>
          </w:tcPr>
          <w:p w:rsidR="00B05CF0" w:rsidRPr="00AD2BCC" w:rsidP="006143C0" w14:paraId="20DA4DAE" w14:textId="16405B92">
            <w:pPr>
              <w:spacing w:before="120" w:after="120"/>
              <w:rPr>
                <w:rFonts w:asciiTheme="minorHAnsi" w:hAnsiTheme="minorHAnsi" w:cstheme="minorHAnsi"/>
                <w:sz w:val="22"/>
                <w:szCs w:val="22"/>
              </w:rPr>
            </w:pPr>
            <w:r w:rsidRPr="00AD2BCC">
              <w:rPr>
                <w:rFonts w:asciiTheme="minorHAnsi" w:hAnsiTheme="minorHAnsi" w:cstheme="minorHAnsi"/>
                <w:sz w:val="22"/>
                <w:szCs w:val="22"/>
              </w:rPr>
              <w:t>Surveys results analyzed</w:t>
            </w:r>
          </w:p>
        </w:tc>
        <w:tc>
          <w:tcPr>
            <w:tcW w:w="3330" w:type="dxa"/>
          </w:tcPr>
          <w:p w:rsidR="00B05CF0" w:rsidRPr="00AD2BCC" w:rsidP="006143C0" w14:paraId="71E2C41B" w14:textId="776B592A">
            <w:pPr>
              <w:spacing w:before="120"/>
              <w:rPr>
                <w:rFonts w:asciiTheme="minorHAnsi" w:hAnsiTheme="minorHAnsi" w:cstheme="minorHAnsi"/>
                <w:sz w:val="22"/>
                <w:szCs w:val="22"/>
              </w:rPr>
            </w:pPr>
            <w:r>
              <w:rPr>
                <w:rFonts w:asciiTheme="minorHAnsi" w:hAnsiTheme="minorHAnsi" w:cstheme="minorHAnsi"/>
                <w:sz w:val="22"/>
                <w:szCs w:val="22"/>
              </w:rPr>
              <w:t>Upon completion of data collection</w:t>
            </w:r>
          </w:p>
        </w:tc>
        <w:tc>
          <w:tcPr>
            <w:tcW w:w="2790" w:type="dxa"/>
          </w:tcPr>
          <w:p w:rsidR="00B05CF0" w:rsidRPr="00AD2BCC" w:rsidP="006143C0" w14:paraId="238A2CFB" w14:textId="6C48A255">
            <w:pPr>
              <w:spacing w:before="120"/>
              <w:rPr>
                <w:rFonts w:asciiTheme="minorHAnsi" w:hAnsiTheme="minorHAnsi" w:cstheme="minorHAnsi"/>
                <w:sz w:val="22"/>
                <w:szCs w:val="22"/>
              </w:rPr>
            </w:pPr>
            <w:r>
              <w:rPr>
                <w:rFonts w:asciiTheme="minorHAnsi" w:hAnsiTheme="minorHAnsi" w:cstheme="minorHAnsi"/>
                <w:sz w:val="22"/>
                <w:szCs w:val="22"/>
              </w:rPr>
              <w:t>About 2-3 weeks</w:t>
            </w:r>
          </w:p>
        </w:tc>
      </w:tr>
      <w:tr w14:paraId="55006CB5" w14:textId="77777777" w:rsidTr="000759ED">
        <w:tblPrEx>
          <w:tblW w:w="9355" w:type="dxa"/>
          <w:tblInd w:w="0" w:type="dxa"/>
          <w:tblLook w:val="04A0"/>
        </w:tblPrEx>
        <w:tc>
          <w:tcPr>
            <w:tcW w:w="3235" w:type="dxa"/>
          </w:tcPr>
          <w:p w:rsidR="00680879" w:rsidRPr="00AD2BCC" w:rsidP="006143C0" w14:paraId="613C8789" w14:textId="3C524952">
            <w:pPr>
              <w:spacing w:before="120" w:after="120"/>
              <w:rPr>
                <w:rFonts w:asciiTheme="minorHAnsi" w:hAnsiTheme="minorHAnsi" w:cstheme="minorHAnsi"/>
                <w:sz w:val="22"/>
                <w:szCs w:val="22"/>
              </w:rPr>
            </w:pPr>
            <w:r w:rsidRPr="00AD2BCC">
              <w:rPr>
                <w:rFonts w:asciiTheme="minorHAnsi" w:hAnsiTheme="minorHAnsi" w:cstheme="minorHAnsi"/>
                <w:sz w:val="22"/>
                <w:szCs w:val="22"/>
              </w:rPr>
              <w:t xml:space="preserve">Results disseminated </w:t>
            </w:r>
          </w:p>
        </w:tc>
        <w:tc>
          <w:tcPr>
            <w:tcW w:w="6120" w:type="dxa"/>
            <w:gridSpan w:val="2"/>
          </w:tcPr>
          <w:p w:rsidR="00680879" w:rsidRPr="00AD2BCC" w:rsidP="006143C0" w14:paraId="2D5C9D04" w14:textId="39887D4E">
            <w:pPr>
              <w:spacing w:before="120"/>
              <w:rPr>
                <w:rFonts w:asciiTheme="minorHAnsi" w:hAnsiTheme="minorHAnsi" w:cstheme="minorHAnsi"/>
                <w:sz w:val="22"/>
                <w:szCs w:val="22"/>
              </w:rPr>
            </w:pPr>
            <w:r>
              <w:rPr>
                <w:rFonts w:asciiTheme="minorHAnsi" w:hAnsiTheme="minorHAnsi" w:cstheme="minorHAnsi"/>
                <w:sz w:val="22"/>
                <w:szCs w:val="22"/>
              </w:rPr>
              <w:t>About 1.5-2 months after data analysis</w:t>
            </w:r>
          </w:p>
        </w:tc>
      </w:tr>
    </w:tbl>
    <w:p w:rsidR="00CB4358" w:rsidRPr="008C79A8" w:rsidP="00CB4358" w14:paraId="55BEDF56" w14:textId="77777777">
      <w:pPr>
        <w:spacing w:after="0" w:line="240" w:lineRule="auto"/>
        <w:rPr>
          <w:rFonts w:cstheme="minorHAnsi"/>
        </w:rPr>
      </w:pPr>
    </w:p>
    <w:p w:rsidR="00C73360" w:rsidRPr="008C79A8" w:rsidP="00CB1F9B" w14:paraId="168ACAB9" w14:textId="77777777">
      <w:pPr>
        <w:spacing w:after="120" w:line="240" w:lineRule="auto"/>
        <w:rPr>
          <w:rFonts w:cstheme="minorHAnsi"/>
        </w:rPr>
      </w:pPr>
      <w:r w:rsidRPr="008C79A8">
        <w:rPr>
          <w:rFonts w:cstheme="minorHAnsi"/>
          <w:b/>
        </w:rPr>
        <w:t>A17</w:t>
      </w:r>
      <w:r w:rsidRPr="008C79A8">
        <w:rPr>
          <w:rFonts w:cstheme="minorHAnsi"/>
        </w:rPr>
        <w:t>.</w:t>
      </w:r>
      <w:r w:rsidRPr="008C79A8">
        <w:rPr>
          <w:rFonts w:cstheme="minorHAnsi"/>
        </w:rPr>
        <w:tab/>
      </w:r>
      <w:r w:rsidRPr="008C79A8">
        <w:rPr>
          <w:rFonts w:cstheme="minorHAnsi"/>
          <w:b/>
        </w:rPr>
        <w:t>Exceptions</w:t>
      </w:r>
    </w:p>
    <w:p w:rsidR="00083227" w:rsidRPr="009D3A64" w:rsidP="00B13297" w14:paraId="658FE4EF" w14:textId="77777777">
      <w:pPr>
        <w:rPr>
          <w:rFonts w:cstheme="minorHAnsi"/>
        </w:rPr>
      </w:pPr>
      <w:r w:rsidRPr="009D3A64">
        <w:rPr>
          <w:rFonts w:cstheme="minorHAnsi"/>
        </w:rPr>
        <w:t>No exceptions are necessary for this information collection.</w:t>
      </w:r>
      <w:r w:rsidRPr="009D3A64">
        <w:rPr>
          <w:rFonts w:cstheme="minorHAnsi"/>
        </w:rPr>
        <w:tab/>
      </w:r>
    </w:p>
    <w:p w:rsidR="00306028" w:rsidRPr="009D3A64" w:rsidP="0045029C" w14:paraId="5C4E9AD6" w14:textId="61A8F2A3">
      <w:pPr>
        <w:spacing w:after="0" w:line="240" w:lineRule="auto"/>
        <w:rPr>
          <w:rFonts w:cstheme="minorHAnsi"/>
          <w:b/>
        </w:rPr>
      </w:pPr>
      <w:r w:rsidRPr="009D3A64">
        <w:rPr>
          <w:rFonts w:cstheme="minorHAnsi"/>
          <w:b/>
        </w:rPr>
        <w:t>Attachments</w:t>
      </w:r>
    </w:p>
    <w:p w:rsidR="006A3839" w:rsidRPr="009D3A64" w:rsidP="0045029C" w14:paraId="297147E9" w14:textId="182BAEDF">
      <w:pPr>
        <w:spacing w:after="0" w:line="240" w:lineRule="auto"/>
        <w:rPr>
          <w:rFonts w:cstheme="minorHAnsi"/>
          <w:b/>
        </w:rPr>
      </w:pPr>
    </w:p>
    <w:p w:rsidR="006A3839" w:rsidP="006143C0" w14:paraId="080D671F" w14:textId="5B7BE587">
      <w:pPr>
        <w:spacing w:after="60" w:line="240" w:lineRule="auto"/>
        <w:ind w:left="360" w:hanging="360"/>
        <w:rPr>
          <w:rFonts w:cstheme="minorHAnsi"/>
        </w:rPr>
      </w:pPr>
      <w:r w:rsidRPr="008C79A8">
        <w:rPr>
          <w:rFonts w:cstheme="minorHAnsi"/>
        </w:rPr>
        <w:t xml:space="preserve">Instrument 1: </w:t>
      </w:r>
      <w:r w:rsidRPr="00B05CF0" w:rsidR="00B05CF0">
        <w:rPr>
          <w:rFonts w:cstheme="minorHAnsi"/>
        </w:rPr>
        <w:t xml:space="preserve">CIP Survey </w:t>
      </w:r>
      <w:r w:rsidR="00B05CF0">
        <w:rPr>
          <w:rFonts w:cstheme="minorHAnsi"/>
        </w:rPr>
        <w:t>f</w:t>
      </w:r>
      <w:r w:rsidRPr="00B05CF0" w:rsidR="00B05CF0">
        <w:rPr>
          <w:rFonts w:cstheme="minorHAnsi"/>
        </w:rPr>
        <w:t>or Court System Structures</w:t>
      </w:r>
    </w:p>
    <w:p w:rsidR="00B05CF0" w:rsidRPr="009D3A64" w:rsidP="006143C0" w14:paraId="5CF6501F" w14:textId="69A9CD71">
      <w:pPr>
        <w:spacing w:after="60" w:line="240" w:lineRule="auto"/>
        <w:ind w:left="360" w:hanging="360"/>
        <w:rPr>
          <w:rFonts w:cstheme="minorHAnsi"/>
          <w:b/>
        </w:rPr>
      </w:pPr>
      <w:r w:rsidRPr="008C79A8">
        <w:rPr>
          <w:rFonts w:cstheme="minorHAnsi"/>
        </w:rPr>
        <w:t xml:space="preserve">Instrument </w:t>
      </w:r>
      <w:r>
        <w:rPr>
          <w:rFonts w:cstheme="minorHAnsi"/>
        </w:rPr>
        <w:t>2:</w:t>
      </w:r>
      <w:r w:rsidRPr="00B05CF0">
        <w:t xml:space="preserve"> </w:t>
      </w:r>
      <w:r w:rsidRPr="00B05CF0">
        <w:rPr>
          <w:rFonts w:cstheme="minorHAnsi"/>
        </w:rPr>
        <w:t>CIP Local Stakeholder Survey</w:t>
      </w: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D57F31" w14:paraId="1B533E84" w14:textId="3C783984">
        <w:pPr>
          <w:pStyle w:val="Footer"/>
          <w:jc w:val="right"/>
        </w:pPr>
        <w:r>
          <w:fldChar w:fldCharType="begin"/>
        </w:r>
        <w:r>
          <w:instrText xml:space="preserve"> PAGE   \* MERGEFORMAT </w:instrText>
        </w:r>
        <w:r>
          <w:fldChar w:fldCharType="separate"/>
        </w:r>
        <w:r w:rsidR="00FD7997">
          <w:rPr>
            <w:noProof/>
          </w:rPr>
          <w:t>12</w:t>
        </w:r>
        <w:r>
          <w:rPr>
            <w:noProof/>
          </w:rPr>
          <w:fldChar w:fldCharType="end"/>
        </w:r>
      </w:p>
    </w:sdtContent>
  </w:sdt>
  <w:p w:rsidR="00D57F31" w14:paraId="639210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175B2" w:rsidP="0004063C" w14:paraId="7158FF04" w14:textId="77777777">
      <w:pPr>
        <w:spacing w:after="0" w:line="240" w:lineRule="auto"/>
      </w:pPr>
      <w:r>
        <w:separator/>
      </w:r>
    </w:p>
  </w:footnote>
  <w:footnote w:type="continuationSeparator" w:id="1">
    <w:p w:rsidR="003175B2" w:rsidP="0004063C" w14:paraId="662F5EF3" w14:textId="77777777">
      <w:pPr>
        <w:spacing w:after="0" w:line="240" w:lineRule="auto"/>
      </w:pPr>
      <w:r>
        <w:continuationSeparator/>
      </w:r>
    </w:p>
  </w:footnote>
  <w:footnote w:id="2">
    <w:p w:rsidR="00D6674E" w14:paraId="4A755CC1" w14:textId="5FFF8688">
      <w:pPr>
        <w:pStyle w:val="FootnoteText"/>
      </w:pPr>
      <w:r>
        <w:rPr>
          <w:rStyle w:val="FootnoteReference"/>
        </w:rPr>
        <w:footnoteRef/>
      </w:r>
      <w:r>
        <w:t xml:space="preserve"> See, </w:t>
      </w:r>
      <w:r w:rsidRPr="00D6674E">
        <w:t>https://www.acf.hhs.gov/cb/training-technical-assistance/technical-bulletin-faqs-independent-legal-representation</w:t>
      </w:r>
    </w:p>
  </w:footnote>
  <w:footnote w:id="3">
    <w:p w:rsidR="00D57F31" w:rsidRPr="00D82755" w:rsidP="00E52155" w14:paraId="5637BC98" w14:textId="77777777">
      <w:pPr>
        <w:pStyle w:val="FootnoteText"/>
      </w:pPr>
    </w:p>
  </w:footnote>
  <w:footnote w:id="4">
    <w:p w:rsidR="00CB3C55" w:rsidP="00ED1971" w14:paraId="3E84C32F" w14:textId="2D689F42">
      <w:pPr>
        <w:rPr>
          <w:rFonts w:ascii="Calibri" w:hAnsi="Calibri" w:cs="Calibri"/>
        </w:rPr>
      </w:pPr>
      <w:r>
        <w:rPr>
          <w:rStyle w:val="FootnoteReference"/>
        </w:rPr>
        <w:footnoteRef/>
      </w:r>
      <w:r>
        <w:t xml:space="preserve"> </w:t>
      </w:r>
    </w:p>
    <w:p w:rsidR="00CB3C55" w14:paraId="75C7C4A8" w14:textId="0640BB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7F31" w:rsidRPr="000D7D44" w:rsidP="0054255A" w14:paraId="43525507" w14:textId="14A9DBDA">
    <w:pPr>
      <w:spacing w:after="0" w:line="240" w:lineRule="auto"/>
      <w:jc w:val="center"/>
      <w:rPr>
        <w:b/>
      </w:rPr>
    </w:pPr>
    <w:r>
      <w:rPr>
        <w:b/>
      </w:rPr>
      <w:t xml:space="preserve">Alternative </w:t>
    </w:r>
    <w:r w:rsidRPr="000D7D44">
      <w:rPr>
        <w:b/>
      </w:rPr>
      <w:t xml:space="preserve">Supporting Statement for Information Collections Designed for </w:t>
    </w:r>
  </w:p>
  <w:p w:rsidR="00D57F31" w:rsidP="0054255A" w14:paraId="4894B5C6" w14:textId="77777777">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404988"/>
    <w:multiLevelType w:val="hybridMultilevel"/>
    <w:tmpl w:val="3236C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856762"/>
    <w:multiLevelType w:val="hybridMultilevel"/>
    <w:tmpl w:val="4A9A4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306616B"/>
    <w:multiLevelType w:val="hybridMultilevel"/>
    <w:tmpl w:val="4A7270A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EE7FDA"/>
    <w:multiLevelType w:val="hybridMultilevel"/>
    <w:tmpl w:val="67047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5">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8C7765"/>
    <w:multiLevelType w:val="hybridMultilevel"/>
    <w:tmpl w:val="6E984A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B8E41B1"/>
    <w:multiLevelType w:val="hybridMultilevel"/>
    <w:tmpl w:val="4A54E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30"/>
  </w:num>
  <w:num w:numId="3">
    <w:abstractNumId w:val="6"/>
  </w:num>
  <w:num w:numId="4">
    <w:abstractNumId w:val="34"/>
  </w:num>
  <w:num w:numId="5">
    <w:abstractNumId w:val="24"/>
  </w:num>
  <w:num w:numId="6">
    <w:abstractNumId w:val="44"/>
  </w:num>
  <w:num w:numId="7">
    <w:abstractNumId w:val="4"/>
  </w:num>
  <w:num w:numId="8">
    <w:abstractNumId w:val="14"/>
  </w:num>
  <w:num w:numId="9">
    <w:abstractNumId w:val="23"/>
  </w:num>
  <w:num w:numId="10">
    <w:abstractNumId w:val="42"/>
  </w:num>
  <w:num w:numId="11">
    <w:abstractNumId w:val="48"/>
  </w:num>
  <w:num w:numId="12">
    <w:abstractNumId w:val="39"/>
  </w:num>
  <w:num w:numId="13">
    <w:abstractNumId w:val="33"/>
  </w:num>
  <w:num w:numId="14">
    <w:abstractNumId w:val="41"/>
  </w:num>
  <w:num w:numId="15">
    <w:abstractNumId w:val="26"/>
  </w:num>
  <w:num w:numId="16">
    <w:abstractNumId w:val="32"/>
  </w:num>
  <w:num w:numId="17">
    <w:abstractNumId w:val="22"/>
  </w:num>
  <w:num w:numId="18">
    <w:abstractNumId w:val="12"/>
  </w:num>
  <w:num w:numId="19">
    <w:abstractNumId w:val="11"/>
  </w:num>
  <w:num w:numId="20">
    <w:abstractNumId w:val="31"/>
  </w:num>
  <w:num w:numId="21">
    <w:abstractNumId w:val="0"/>
  </w:num>
  <w:num w:numId="22">
    <w:abstractNumId w:val="1"/>
  </w:num>
  <w:num w:numId="23">
    <w:abstractNumId w:val="27"/>
  </w:num>
  <w:num w:numId="24">
    <w:abstractNumId w:val="2"/>
  </w:num>
  <w:num w:numId="25">
    <w:abstractNumId w:val="17"/>
  </w:num>
  <w:num w:numId="26">
    <w:abstractNumId w:val="47"/>
  </w:num>
  <w:num w:numId="27">
    <w:abstractNumId w:val="40"/>
  </w:num>
  <w:num w:numId="28">
    <w:abstractNumId w:val="20"/>
  </w:num>
  <w:num w:numId="29">
    <w:abstractNumId w:val="19"/>
  </w:num>
  <w:num w:numId="30">
    <w:abstractNumId w:val="3"/>
  </w:num>
  <w:num w:numId="31">
    <w:abstractNumId w:val="13"/>
  </w:num>
  <w:num w:numId="32">
    <w:abstractNumId w:val="28"/>
  </w:num>
  <w:num w:numId="33">
    <w:abstractNumId w:val="35"/>
  </w:num>
  <w:num w:numId="34">
    <w:abstractNumId w:val="16"/>
  </w:num>
  <w:num w:numId="35">
    <w:abstractNumId w:val="25"/>
  </w:num>
  <w:num w:numId="36">
    <w:abstractNumId w:val="21"/>
  </w:num>
  <w:num w:numId="37">
    <w:abstractNumId w:val="36"/>
  </w:num>
  <w:num w:numId="38">
    <w:abstractNumId w:val="29"/>
  </w:num>
  <w:num w:numId="39">
    <w:abstractNumId w:val="9"/>
  </w:num>
  <w:num w:numId="40">
    <w:abstractNumId w:val="43"/>
  </w:num>
  <w:num w:numId="41">
    <w:abstractNumId w:val="37"/>
  </w:num>
  <w:num w:numId="42">
    <w:abstractNumId w:val="8"/>
  </w:num>
  <w:num w:numId="43">
    <w:abstractNumId w:val="46"/>
  </w:num>
  <w:num w:numId="44">
    <w:abstractNumId w:val="38"/>
  </w:num>
  <w:num w:numId="45">
    <w:abstractNumId w:val="38"/>
  </w:num>
  <w:num w:numId="46">
    <w:abstractNumId w:val="15"/>
  </w:num>
  <w:num w:numId="47">
    <w:abstractNumId w:val="45"/>
  </w:num>
  <w:num w:numId="48">
    <w:abstractNumId w:val="18"/>
  </w:num>
  <w:num w:numId="49">
    <w:abstractNumId w:val="10"/>
  </w:num>
  <w:num w:numId="5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EDC"/>
    <w:rsid w:val="00015A05"/>
    <w:rsid w:val="0002037E"/>
    <w:rsid w:val="00020AA0"/>
    <w:rsid w:val="00026192"/>
    <w:rsid w:val="00027E79"/>
    <w:rsid w:val="00030C66"/>
    <w:rsid w:val="00036E91"/>
    <w:rsid w:val="000377C7"/>
    <w:rsid w:val="0004063C"/>
    <w:rsid w:val="0004247F"/>
    <w:rsid w:val="00044CCF"/>
    <w:rsid w:val="000539A0"/>
    <w:rsid w:val="00054964"/>
    <w:rsid w:val="00057F4F"/>
    <w:rsid w:val="00060B30"/>
    <w:rsid w:val="00060C59"/>
    <w:rsid w:val="00062AFB"/>
    <w:rsid w:val="000655DD"/>
    <w:rsid w:val="00071F79"/>
    <w:rsid w:val="0007251B"/>
    <w:rsid w:val="000733A5"/>
    <w:rsid w:val="00080FCF"/>
    <w:rsid w:val="00082C5B"/>
    <w:rsid w:val="00083227"/>
    <w:rsid w:val="00083404"/>
    <w:rsid w:val="00086CBE"/>
    <w:rsid w:val="00090812"/>
    <w:rsid w:val="000921F0"/>
    <w:rsid w:val="00097C7C"/>
    <w:rsid w:val="000A012A"/>
    <w:rsid w:val="000B7562"/>
    <w:rsid w:val="000C21F3"/>
    <w:rsid w:val="000C45D0"/>
    <w:rsid w:val="000D2DB3"/>
    <w:rsid w:val="000D4BFE"/>
    <w:rsid w:val="000D4E9A"/>
    <w:rsid w:val="000D71F2"/>
    <w:rsid w:val="000D7D44"/>
    <w:rsid w:val="000F1E4A"/>
    <w:rsid w:val="000F5E08"/>
    <w:rsid w:val="00100D34"/>
    <w:rsid w:val="00103EFD"/>
    <w:rsid w:val="0010587A"/>
    <w:rsid w:val="00107D87"/>
    <w:rsid w:val="00112747"/>
    <w:rsid w:val="001253F4"/>
    <w:rsid w:val="00127CFB"/>
    <w:rsid w:val="001561D1"/>
    <w:rsid w:val="00157482"/>
    <w:rsid w:val="001707D8"/>
    <w:rsid w:val="00173A5A"/>
    <w:rsid w:val="00181E2A"/>
    <w:rsid w:val="001866A1"/>
    <w:rsid w:val="00190745"/>
    <w:rsid w:val="00191270"/>
    <w:rsid w:val="00197222"/>
    <w:rsid w:val="001A38FD"/>
    <w:rsid w:val="001A5C2F"/>
    <w:rsid w:val="001B0A76"/>
    <w:rsid w:val="001B6E1A"/>
    <w:rsid w:val="001C7C3D"/>
    <w:rsid w:val="001D74A5"/>
    <w:rsid w:val="001D7761"/>
    <w:rsid w:val="001E11A6"/>
    <w:rsid w:val="001E54D3"/>
    <w:rsid w:val="001F0446"/>
    <w:rsid w:val="001F57F5"/>
    <w:rsid w:val="0020204B"/>
    <w:rsid w:val="0020401C"/>
    <w:rsid w:val="002049BC"/>
    <w:rsid w:val="0020629A"/>
    <w:rsid w:val="00206E11"/>
    <w:rsid w:val="00206FE3"/>
    <w:rsid w:val="00207554"/>
    <w:rsid w:val="00211261"/>
    <w:rsid w:val="00213DB6"/>
    <w:rsid w:val="002161BA"/>
    <w:rsid w:val="00217195"/>
    <w:rsid w:val="00230CAA"/>
    <w:rsid w:val="00233188"/>
    <w:rsid w:val="0024527A"/>
    <w:rsid w:val="002517BB"/>
    <w:rsid w:val="00252295"/>
    <w:rsid w:val="002560D7"/>
    <w:rsid w:val="00256E24"/>
    <w:rsid w:val="00265491"/>
    <w:rsid w:val="00276CE2"/>
    <w:rsid w:val="00287AF1"/>
    <w:rsid w:val="00296520"/>
    <w:rsid w:val="00297E59"/>
    <w:rsid w:val="002A41C6"/>
    <w:rsid w:val="002B0CE6"/>
    <w:rsid w:val="002B3EB8"/>
    <w:rsid w:val="002B5DBE"/>
    <w:rsid w:val="002B785B"/>
    <w:rsid w:val="002C3C0F"/>
    <w:rsid w:val="002C7AB7"/>
    <w:rsid w:val="002D6C42"/>
    <w:rsid w:val="002E6CCF"/>
    <w:rsid w:val="002F33D0"/>
    <w:rsid w:val="002F3553"/>
    <w:rsid w:val="00300722"/>
    <w:rsid w:val="0030316D"/>
    <w:rsid w:val="00305370"/>
    <w:rsid w:val="00306028"/>
    <w:rsid w:val="00315D99"/>
    <w:rsid w:val="003175B2"/>
    <w:rsid w:val="00322F70"/>
    <w:rsid w:val="00323677"/>
    <w:rsid w:val="003314B7"/>
    <w:rsid w:val="003321FE"/>
    <w:rsid w:val="00333AB8"/>
    <w:rsid w:val="00334269"/>
    <w:rsid w:val="00360CC2"/>
    <w:rsid w:val="003664F6"/>
    <w:rsid w:val="00373D2F"/>
    <w:rsid w:val="00373E7B"/>
    <w:rsid w:val="003839A7"/>
    <w:rsid w:val="00385BB6"/>
    <w:rsid w:val="003918D9"/>
    <w:rsid w:val="00395E11"/>
    <w:rsid w:val="003A4C9F"/>
    <w:rsid w:val="003A7774"/>
    <w:rsid w:val="003B240B"/>
    <w:rsid w:val="003B4779"/>
    <w:rsid w:val="003C7358"/>
    <w:rsid w:val="003D36F9"/>
    <w:rsid w:val="003E1B4A"/>
    <w:rsid w:val="003E30D8"/>
    <w:rsid w:val="003E4836"/>
    <w:rsid w:val="003E5779"/>
    <w:rsid w:val="003E61F6"/>
    <w:rsid w:val="003F57CB"/>
    <w:rsid w:val="00401D0C"/>
    <w:rsid w:val="00403D06"/>
    <w:rsid w:val="00407537"/>
    <w:rsid w:val="004107F0"/>
    <w:rsid w:val="004165BD"/>
    <w:rsid w:val="0042220D"/>
    <w:rsid w:val="00427E0D"/>
    <w:rsid w:val="00431D25"/>
    <w:rsid w:val="004323B0"/>
    <w:rsid w:val="004328A4"/>
    <w:rsid w:val="0043377A"/>
    <w:rsid w:val="004379B6"/>
    <w:rsid w:val="0044428E"/>
    <w:rsid w:val="004446D0"/>
    <w:rsid w:val="00446465"/>
    <w:rsid w:val="0045029C"/>
    <w:rsid w:val="00460C5A"/>
    <w:rsid w:val="00460D54"/>
    <w:rsid w:val="00461D3E"/>
    <w:rsid w:val="00462DA7"/>
    <w:rsid w:val="00463CC7"/>
    <w:rsid w:val="004706CC"/>
    <w:rsid w:val="0048179C"/>
    <w:rsid w:val="00487FB4"/>
    <w:rsid w:val="004921CC"/>
    <w:rsid w:val="00493CFD"/>
    <w:rsid w:val="004A084F"/>
    <w:rsid w:val="004A1079"/>
    <w:rsid w:val="004B4839"/>
    <w:rsid w:val="004B75AC"/>
    <w:rsid w:val="004B7ADB"/>
    <w:rsid w:val="004C1413"/>
    <w:rsid w:val="004C143D"/>
    <w:rsid w:val="004C21B4"/>
    <w:rsid w:val="004C3644"/>
    <w:rsid w:val="004C6028"/>
    <w:rsid w:val="004D12DD"/>
    <w:rsid w:val="004E3390"/>
    <w:rsid w:val="004E5778"/>
    <w:rsid w:val="004E7ED8"/>
    <w:rsid w:val="0050376D"/>
    <w:rsid w:val="00512C25"/>
    <w:rsid w:val="005216E0"/>
    <w:rsid w:val="0053016A"/>
    <w:rsid w:val="005302CB"/>
    <w:rsid w:val="00534AA0"/>
    <w:rsid w:val="0054255A"/>
    <w:rsid w:val="005512D2"/>
    <w:rsid w:val="00552616"/>
    <w:rsid w:val="0055434C"/>
    <w:rsid w:val="00554E0A"/>
    <w:rsid w:val="0055771F"/>
    <w:rsid w:val="00560DB7"/>
    <w:rsid w:val="00573BBC"/>
    <w:rsid w:val="00574A9B"/>
    <w:rsid w:val="00577243"/>
    <w:rsid w:val="005843D5"/>
    <w:rsid w:val="00591283"/>
    <w:rsid w:val="00591B15"/>
    <w:rsid w:val="005A2A2C"/>
    <w:rsid w:val="005A56BD"/>
    <w:rsid w:val="005A61CE"/>
    <w:rsid w:val="005A7E5A"/>
    <w:rsid w:val="005B0080"/>
    <w:rsid w:val="005B05B6"/>
    <w:rsid w:val="005B1285"/>
    <w:rsid w:val="005B1410"/>
    <w:rsid w:val="005B5F32"/>
    <w:rsid w:val="005B5FCC"/>
    <w:rsid w:val="005D4A40"/>
    <w:rsid w:val="005D646B"/>
    <w:rsid w:val="005E30EE"/>
    <w:rsid w:val="005E3F36"/>
    <w:rsid w:val="005E493B"/>
    <w:rsid w:val="005E6883"/>
    <w:rsid w:val="005E7AE7"/>
    <w:rsid w:val="005F2951"/>
    <w:rsid w:val="00605A82"/>
    <w:rsid w:val="006143C0"/>
    <w:rsid w:val="00620A00"/>
    <w:rsid w:val="00620BF2"/>
    <w:rsid w:val="00621150"/>
    <w:rsid w:val="006240C9"/>
    <w:rsid w:val="00624DDC"/>
    <w:rsid w:val="006253B6"/>
    <w:rsid w:val="006257ED"/>
    <w:rsid w:val="0062686E"/>
    <w:rsid w:val="00630B30"/>
    <w:rsid w:val="0063473C"/>
    <w:rsid w:val="00644080"/>
    <w:rsid w:val="00644ED7"/>
    <w:rsid w:val="00651FF6"/>
    <w:rsid w:val="00667B7C"/>
    <w:rsid w:val="006741E8"/>
    <w:rsid w:val="00680879"/>
    <w:rsid w:val="0068303E"/>
    <w:rsid w:val="0068383E"/>
    <w:rsid w:val="00684AC7"/>
    <w:rsid w:val="00692129"/>
    <w:rsid w:val="006941CC"/>
    <w:rsid w:val="006948A2"/>
    <w:rsid w:val="006A2B00"/>
    <w:rsid w:val="006A3839"/>
    <w:rsid w:val="006A4D02"/>
    <w:rsid w:val="006B1967"/>
    <w:rsid w:val="006B1BF9"/>
    <w:rsid w:val="006B31DA"/>
    <w:rsid w:val="006B4195"/>
    <w:rsid w:val="006B53F1"/>
    <w:rsid w:val="006B6037"/>
    <w:rsid w:val="006B79EB"/>
    <w:rsid w:val="006C0E56"/>
    <w:rsid w:val="006D6927"/>
    <w:rsid w:val="006D766E"/>
    <w:rsid w:val="006E4420"/>
    <w:rsid w:val="006E4F82"/>
    <w:rsid w:val="006F12FE"/>
    <w:rsid w:val="007125AB"/>
    <w:rsid w:val="00717BDC"/>
    <w:rsid w:val="00721395"/>
    <w:rsid w:val="00722ABE"/>
    <w:rsid w:val="00723A28"/>
    <w:rsid w:val="00736B62"/>
    <w:rsid w:val="00753A81"/>
    <w:rsid w:val="00757BB1"/>
    <w:rsid w:val="00760814"/>
    <w:rsid w:val="00761D22"/>
    <w:rsid w:val="00764C85"/>
    <w:rsid w:val="00767645"/>
    <w:rsid w:val="00793E3E"/>
    <w:rsid w:val="007956ED"/>
    <w:rsid w:val="007A29C5"/>
    <w:rsid w:val="007A2DB2"/>
    <w:rsid w:val="007C0F69"/>
    <w:rsid w:val="007C5721"/>
    <w:rsid w:val="007C7B4B"/>
    <w:rsid w:val="007D0F6E"/>
    <w:rsid w:val="007E76D0"/>
    <w:rsid w:val="00811E09"/>
    <w:rsid w:val="00812135"/>
    <w:rsid w:val="00817D98"/>
    <w:rsid w:val="00823428"/>
    <w:rsid w:val="00830C60"/>
    <w:rsid w:val="0083182F"/>
    <w:rsid w:val="00834C54"/>
    <w:rsid w:val="008369BA"/>
    <w:rsid w:val="00836C9D"/>
    <w:rsid w:val="00840D32"/>
    <w:rsid w:val="00843933"/>
    <w:rsid w:val="00847392"/>
    <w:rsid w:val="008502D9"/>
    <w:rsid w:val="0085062B"/>
    <w:rsid w:val="00850F4C"/>
    <w:rsid w:val="00864C1F"/>
    <w:rsid w:val="008650C9"/>
    <w:rsid w:val="008654E9"/>
    <w:rsid w:val="00870FA1"/>
    <w:rsid w:val="00872E14"/>
    <w:rsid w:val="00873F39"/>
    <w:rsid w:val="008747BA"/>
    <w:rsid w:val="00875220"/>
    <w:rsid w:val="00875A72"/>
    <w:rsid w:val="0088378A"/>
    <w:rsid w:val="00891CD9"/>
    <w:rsid w:val="008C2FD9"/>
    <w:rsid w:val="008C484B"/>
    <w:rsid w:val="008C79A8"/>
    <w:rsid w:val="008C7CA9"/>
    <w:rsid w:val="008D0441"/>
    <w:rsid w:val="008E0239"/>
    <w:rsid w:val="008E08D1"/>
    <w:rsid w:val="008E4718"/>
    <w:rsid w:val="008E5ACD"/>
    <w:rsid w:val="008F2446"/>
    <w:rsid w:val="00901040"/>
    <w:rsid w:val="00906F6A"/>
    <w:rsid w:val="00923F25"/>
    <w:rsid w:val="00924D14"/>
    <w:rsid w:val="00931F67"/>
    <w:rsid w:val="00932C12"/>
    <w:rsid w:val="00934F3B"/>
    <w:rsid w:val="0093556B"/>
    <w:rsid w:val="00941C00"/>
    <w:rsid w:val="00943D05"/>
    <w:rsid w:val="009624D9"/>
    <w:rsid w:val="00963503"/>
    <w:rsid w:val="00965DBD"/>
    <w:rsid w:val="00971944"/>
    <w:rsid w:val="00980B29"/>
    <w:rsid w:val="009815C6"/>
    <w:rsid w:val="00983D89"/>
    <w:rsid w:val="00986CD5"/>
    <w:rsid w:val="00987A8A"/>
    <w:rsid w:val="00991B54"/>
    <w:rsid w:val="00996201"/>
    <w:rsid w:val="009A39E1"/>
    <w:rsid w:val="009A3AD8"/>
    <w:rsid w:val="009A6EE8"/>
    <w:rsid w:val="009B0F58"/>
    <w:rsid w:val="009C3380"/>
    <w:rsid w:val="009D3A64"/>
    <w:rsid w:val="009E7E38"/>
    <w:rsid w:val="009F173B"/>
    <w:rsid w:val="009F1D83"/>
    <w:rsid w:val="009F265B"/>
    <w:rsid w:val="009F482C"/>
    <w:rsid w:val="009F68DB"/>
    <w:rsid w:val="00A03E3F"/>
    <w:rsid w:val="00A1108E"/>
    <w:rsid w:val="00A21B8A"/>
    <w:rsid w:val="00A22910"/>
    <w:rsid w:val="00A22ABE"/>
    <w:rsid w:val="00A27CD0"/>
    <w:rsid w:val="00A36134"/>
    <w:rsid w:val="00A362B6"/>
    <w:rsid w:val="00A460D4"/>
    <w:rsid w:val="00A54859"/>
    <w:rsid w:val="00A550EE"/>
    <w:rsid w:val="00A67BDD"/>
    <w:rsid w:val="00A67DFF"/>
    <w:rsid w:val="00A71475"/>
    <w:rsid w:val="00A714DC"/>
    <w:rsid w:val="00A7179C"/>
    <w:rsid w:val="00A71D77"/>
    <w:rsid w:val="00A73E25"/>
    <w:rsid w:val="00A761CB"/>
    <w:rsid w:val="00A85701"/>
    <w:rsid w:val="00A94507"/>
    <w:rsid w:val="00AA13E6"/>
    <w:rsid w:val="00AB026D"/>
    <w:rsid w:val="00AD0344"/>
    <w:rsid w:val="00AD2BCC"/>
    <w:rsid w:val="00AD3261"/>
    <w:rsid w:val="00AD35C2"/>
    <w:rsid w:val="00AD4355"/>
    <w:rsid w:val="00AE0A37"/>
    <w:rsid w:val="00AE10E4"/>
    <w:rsid w:val="00AE3F5F"/>
    <w:rsid w:val="00AF470B"/>
    <w:rsid w:val="00AF5F9A"/>
    <w:rsid w:val="00B00FBC"/>
    <w:rsid w:val="00B026D1"/>
    <w:rsid w:val="00B039B9"/>
    <w:rsid w:val="00B04785"/>
    <w:rsid w:val="00B05CF0"/>
    <w:rsid w:val="00B10A1A"/>
    <w:rsid w:val="00B11F3B"/>
    <w:rsid w:val="00B13297"/>
    <w:rsid w:val="00B13DC4"/>
    <w:rsid w:val="00B17B7C"/>
    <w:rsid w:val="00B17F51"/>
    <w:rsid w:val="00B20687"/>
    <w:rsid w:val="00B23277"/>
    <w:rsid w:val="00B245AD"/>
    <w:rsid w:val="00B3652D"/>
    <w:rsid w:val="00B4182B"/>
    <w:rsid w:val="00B5286F"/>
    <w:rsid w:val="00B55E54"/>
    <w:rsid w:val="00B56589"/>
    <w:rsid w:val="00B6491D"/>
    <w:rsid w:val="00B64D05"/>
    <w:rsid w:val="00B651EB"/>
    <w:rsid w:val="00B70460"/>
    <w:rsid w:val="00B7258C"/>
    <w:rsid w:val="00B86D62"/>
    <w:rsid w:val="00B9441B"/>
    <w:rsid w:val="00B95E66"/>
    <w:rsid w:val="00BB1226"/>
    <w:rsid w:val="00BB430E"/>
    <w:rsid w:val="00BB4BF8"/>
    <w:rsid w:val="00BB61C9"/>
    <w:rsid w:val="00BD212B"/>
    <w:rsid w:val="00BD5918"/>
    <w:rsid w:val="00BD6568"/>
    <w:rsid w:val="00BD702B"/>
    <w:rsid w:val="00BD7963"/>
    <w:rsid w:val="00BD7B78"/>
    <w:rsid w:val="00BE371B"/>
    <w:rsid w:val="00BE773B"/>
    <w:rsid w:val="00BE7FC5"/>
    <w:rsid w:val="00BF15A6"/>
    <w:rsid w:val="00BF2C8E"/>
    <w:rsid w:val="00BF56AC"/>
    <w:rsid w:val="00C03BC4"/>
    <w:rsid w:val="00C05352"/>
    <w:rsid w:val="00C24CA2"/>
    <w:rsid w:val="00C32404"/>
    <w:rsid w:val="00C3394D"/>
    <w:rsid w:val="00C44CE4"/>
    <w:rsid w:val="00C53AEC"/>
    <w:rsid w:val="00C7152E"/>
    <w:rsid w:val="00C73360"/>
    <w:rsid w:val="00C75B42"/>
    <w:rsid w:val="00C86CB2"/>
    <w:rsid w:val="00C91C71"/>
    <w:rsid w:val="00C934CD"/>
    <w:rsid w:val="00C95126"/>
    <w:rsid w:val="00CA72A5"/>
    <w:rsid w:val="00CB1F9B"/>
    <w:rsid w:val="00CB3C55"/>
    <w:rsid w:val="00CB4358"/>
    <w:rsid w:val="00CB57CE"/>
    <w:rsid w:val="00CB6940"/>
    <w:rsid w:val="00CC07BF"/>
    <w:rsid w:val="00CC3A0A"/>
    <w:rsid w:val="00CC4651"/>
    <w:rsid w:val="00CE018E"/>
    <w:rsid w:val="00CE7A4A"/>
    <w:rsid w:val="00CF315D"/>
    <w:rsid w:val="00CF42A8"/>
    <w:rsid w:val="00CF63BF"/>
    <w:rsid w:val="00D008BA"/>
    <w:rsid w:val="00D039B2"/>
    <w:rsid w:val="00D055E6"/>
    <w:rsid w:val="00D10793"/>
    <w:rsid w:val="00D1343F"/>
    <w:rsid w:val="00D13AA8"/>
    <w:rsid w:val="00D22228"/>
    <w:rsid w:val="00D239B5"/>
    <w:rsid w:val="00D27EE7"/>
    <w:rsid w:val="00D30B6F"/>
    <w:rsid w:val="00D32B72"/>
    <w:rsid w:val="00D32E6D"/>
    <w:rsid w:val="00D347BD"/>
    <w:rsid w:val="00D3483F"/>
    <w:rsid w:val="00D4033C"/>
    <w:rsid w:val="00D45504"/>
    <w:rsid w:val="00D5346A"/>
    <w:rsid w:val="00D55767"/>
    <w:rsid w:val="00D57F31"/>
    <w:rsid w:val="00D6674E"/>
    <w:rsid w:val="00D71BA0"/>
    <w:rsid w:val="00D749DF"/>
    <w:rsid w:val="00D75929"/>
    <w:rsid w:val="00D811EE"/>
    <w:rsid w:val="00D81FB2"/>
    <w:rsid w:val="00D82755"/>
    <w:rsid w:val="00D82E67"/>
    <w:rsid w:val="00D831AC"/>
    <w:rsid w:val="00D87B09"/>
    <w:rsid w:val="00D90B4F"/>
    <w:rsid w:val="00D97926"/>
    <w:rsid w:val="00DA023D"/>
    <w:rsid w:val="00DA1B8A"/>
    <w:rsid w:val="00DA202A"/>
    <w:rsid w:val="00DA32E5"/>
    <w:rsid w:val="00DA3557"/>
    <w:rsid w:val="00DA4701"/>
    <w:rsid w:val="00DB3871"/>
    <w:rsid w:val="00DC65F2"/>
    <w:rsid w:val="00DC7876"/>
    <w:rsid w:val="00DC7DD5"/>
    <w:rsid w:val="00DE068A"/>
    <w:rsid w:val="00DE3ED7"/>
    <w:rsid w:val="00DF1291"/>
    <w:rsid w:val="00DF391C"/>
    <w:rsid w:val="00E01827"/>
    <w:rsid w:val="00E04BB3"/>
    <w:rsid w:val="00E10337"/>
    <w:rsid w:val="00E1392C"/>
    <w:rsid w:val="00E1460E"/>
    <w:rsid w:val="00E20795"/>
    <w:rsid w:val="00E22AC6"/>
    <w:rsid w:val="00E24830"/>
    <w:rsid w:val="00E2675C"/>
    <w:rsid w:val="00E26F8D"/>
    <w:rsid w:val="00E275EE"/>
    <w:rsid w:val="00E318A6"/>
    <w:rsid w:val="00E327A4"/>
    <w:rsid w:val="00E41C62"/>
    <w:rsid w:val="00E41EE9"/>
    <w:rsid w:val="00E43A14"/>
    <w:rsid w:val="00E44AB6"/>
    <w:rsid w:val="00E461D4"/>
    <w:rsid w:val="00E52155"/>
    <w:rsid w:val="00E62285"/>
    <w:rsid w:val="00E62819"/>
    <w:rsid w:val="00E6376A"/>
    <w:rsid w:val="00E71E25"/>
    <w:rsid w:val="00E9045F"/>
    <w:rsid w:val="00E90492"/>
    <w:rsid w:val="00E93531"/>
    <w:rsid w:val="00EA0BF4"/>
    <w:rsid w:val="00EA0D4F"/>
    <w:rsid w:val="00EA3DFE"/>
    <w:rsid w:val="00EA405B"/>
    <w:rsid w:val="00EB4C26"/>
    <w:rsid w:val="00EB6134"/>
    <w:rsid w:val="00EB745C"/>
    <w:rsid w:val="00EC1A6C"/>
    <w:rsid w:val="00EC1F64"/>
    <w:rsid w:val="00EC282C"/>
    <w:rsid w:val="00EC46E1"/>
    <w:rsid w:val="00EC58BB"/>
    <w:rsid w:val="00ED1971"/>
    <w:rsid w:val="00ED30F5"/>
    <w:rsid w:val="00ED4A1C"/>
    <w:rsid w:val="00ED523F"/>
    <w:rsid w:val="00ED7509"/>
    <w:rsid w:val="00EE38AF"/>
    <w:rsid w:val="00EE578E"/>
    <w:rsid w:val="00EF254B"/>
    <w:rsid w:val="00EF296A"/>
    <w:rsid w:val="00EF4FF2"/>
    <w:rsid w:val="00F00F28"/>
    <w:rsid w:val="00F0359F"/>
    <w:rsid w:val="00F051D8"/>
    <w:rsid w:val="00F0535D"/>
    <w:rsid w:val="00F071DE"/>
    <w:rsid w:val="00F112BA"/>
    <w:rsid w:val="00F35328"/>
    <w:rsid w:val="00F359FA"/>
    <w:rsid w:val="00F42246"/>
    <w:rsid w:val="00F43362"/>
    <w:rsid w:val="00F5059D"/>
    <w:rsid w:val="00F52C4C"/>
    <w:rsid w:val="00F55F08"/>
    <w:rsid w:val="00F736A8"/>
    <w:rsid w:val="00F74630"/>
    <w:rsid w:val="00F87223"/>
    <w:rsid w:val="00F87CA1"/>
    <w:rsid w:val="00F9122A"/>
    <w:rsid w:val="00F93708"/>
    <w:rsid w:val="00F97C94"/>
    <w:rsid w:val="00FA5B29"/>
    <w:rsid w:val="00FA6D2C"/>
    <w:rsid w:val="00FB273A"/>
    <w:rsid w:val="00FB5BF6"/>
    <w:rsid w:val="00FC779A"/>
    <w:rsid w:val="00FD7997"/>
    <w:rsid w:val="00FE345E"/>
    <w:rsid w:val="00FE3F1B"/>
    <w:rsid w:val="00FE7537"/>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8D26E8"/>
  <w15:docId w15:val="{01F90092-9E94-413A-BFA6-31E7D198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D81FB2"/>
    <w:pPr>
      <w:spacing w:after="240" w:line="259" w:lineRule="auto"/>
      <w:ind w:firstLine="432"/>
    </w:pPr>
    <w:rPr>
      <w:rFonts w:eastAsiaTheme="minorEastAsia"/>
      <w:szCs w:val="20"/>
    </w:rPr>
  </w:style>
  <w:style w:type="character" w:customStyle="1" w:styleId="NormalSSChar">
    <w:name w:val="NormalSS Char"/>
    <w:basedOn w:val="DefaultParagraphFont"/>
    <w:link w:val="NormalSS"/>
    <w:rsid w:val="00D81FB2"/>
    <w:rPr>
      <w:rFonts w:eastAsiaTheme="minorEastAsia"/>
      <w:szCs w:val="20"/>
    </w:rPr>
  </w:style>
  <w:style w:type="paragraph" w:customStyle="1" w:styleId="Head2">
    <w:name w:val="Head 2"/>
    <w:basedOn w:val="Heading4"/>
    <w:rsid w:val="005E7AE7"/>
    <w:pPr>
      <w:numPr>
        <w:ilvl w:val="3"/>
      </w:numPr>
      <w:tabs>
        <w:tab w:val="num" w:pos="180"/>
      </w:tabs>
      <w:spacing w:before="0" w:line="264" w:lineRule="auto"/>
    </w:pPr>
    <w:rPr>
      <w:rFonts w:ascii="Times New Roman" w:hAnsi="Times New Roman"/>
      <w:i/>
      <w:sz w:val="22"/>
      <w:szCs w:val="22"/>
    </w:rPr>
  </w:style>
  <w:style w:type="paragraph" w:styleId="BodyTextIndent">
    <w:name w:val="Body Text Indent"/>
    <w:basedOn w:val="Normal"/>
    <w:link w:val="BodyTextIndentChar"/>
    <w:uiPriority w:val="99"/>
    <w:rsid w:val="00190745"/>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uiPriority w:val="99"/>
    <w:rsid w:val="00190745"/>
    <w:rPr>
      <w:rFonts w:ascii="Baskerville Old Face" w:eastAsia="Times New Roman" w:hAnsi="Baskerville Old Face" w:cs="Times New Roman"/>
      <w:sz w:val="24"/>
      <w:szCs w:val="24"/>
    </w:rPr>
  </w:style>
  <w:style w:type="character" w:styleId="FollowedHyperlink">
    <w:name w:val="FollowedHyperlink"/>
    <w:basedOn w:val="DefaultParagraphFont"/>
    <w:uiPriority w:val="99"/>
    <w:semiHidden/>
    <w:unhideWhenUsed/>
    <w:rsid w:val="00DA023D"/>
    <w:rPr>
      <w:color w:val="800080" w:themeColor="followedHyperlink"/>
      <w:u w:val="single"/>
    </w:rPr>
  </w:style>
  <w:style w:type="character" w:styleId="UnresolvedMention">
    <w:name w:val="Unresolved Mention"/>
    <w:basedOn w:val="DefaultParagraphFont"/>
    <w:uiPriority w:val="99"/>
    <w:semiHidden/>
    <w:unhideWhenUsed/>
    <w:rsid w:val="00ED1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32099.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cott.trowbridge@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3E1503FD-EECF-4783-935C-9C293EED4F85}">
  <ds:schemaRefs>
    <ds:schemaRef ds:uri="http://schemas.openxmlformats.org/officeDocument/2006/bibliography"/>
  </ds:schemaRefs>
</ds:datastoreItem>
</file>

<file path=customXml/itemProps2.xml><?xml version="1.0" encoding="utf-8"?>
<ds:datastoreItem xmlns:ds="http://schemas.openxmlformats.org/officeDocument/2006/customXml" ds:itemID="{0E5B5ACE-100A-4CBD-BF47-198627FF3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Denmark, Nicole (ACF)</dc:creator>
  <cp:lastModifiedBy>ACF PRA</cp:lastModifiedBy>
  <cp:revision>4</cp:revision>
  <dcterms:created xsi:type="dcterms:W3CDTF">2022-10-05T19:06:00Z</dcterms:created>
  <dcterms:modified xsi:type="dcterms:W3CDTF">2022-10-05T19:12:00Z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