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67" w:rsidRPr="002A2767" w:rsidRDefault="002A2767" w:rsidP="002A2767">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b/>
          <w:bCs/>
          <w:sz w:val="24"/>
          <w:szCs w:val="24"/>
        </w:rPr>
        <w:t xml:space="preserve">30 U.S.C. </w:t>
      </w:r>
      <w:r w:rsidRPr="002A2767">
        <w:rPr>
          <w:rFonts w:ascii="Times New Roman" w:eastAsia="Times New Roman" w:hAnsi="Times New Roman" w:cs="Times New Roman"/>
          <w:sz w:val="24"/>
          <w:szCs w:val="24"/>
        </w:rPr>
        <w:br/>
      </w:r>
      <w:r w:rsidRPr="002A2767">
        <w:rPr>
          <w:rFonts w:ascii="Times New Roman" w:eastAsia="Times New Roman" w:hAnsi="Times New Roman" w:cs="Times New Roman"/>
          <w:sz w:val="20"/>
          <w:szCs w:val="20"/>
        </w:rPr>
        <w:t>United States Code, 2014 Edition</w:t>
      </w:r>
      <w:r w:rsidRPr="002A2767">
        <w:rPr>
          <w:rFonts w:ascii="Times New Roman" w:eastAsia="Times New Roman" w:hAnsi="Times New Roman" w:cs="Times New Roman"/>
          <w:sz w:val="24"/>
          <w:szCs w:val="24"/>
        </w:rPr>
        <w:br/>
      </w:r>
      <w:r w:rsidRPr="002A2767">
        <w:rPr>
          <w:rFonts w:ascii="Times New Roman" w:eastAsia="Times New Roman" w:hAnsi="Times New Roman" w:cs="Times New Roman"/>
          <w:sz w:val="20"/>
          <w:szCs w:val="20"/>
        </w:rPr>
        <w:t>Title 30 - MINERAL LANDS AND MINING</w:t>
      </w:r>
      <w:r w:rsidRPr="002A2767">
        <w:rPr>
          <w:rFonts w:ascii="Times New Roman" w:eastAsia="Times New Roman" w:hAnsi="Times New Roman" w:cs="Times New Roman"/>
          <w:sz w:val="24"/>
          <w:szCs w:val="24"/>
        </w:rPr>
        <w:br/>
      </w:r>
      <w:r w:rsidRPr="002A2767">
        <w:rPr>
          <w:rFonts w:ascii="Times New Roman" w:eastAsia="Times New Roman" w:hAnsi="Times New Roman" w:cs="Times New Roman"/>
          <w:sz w:val="20"/>
          <w:szCs w:val="20"/>
        </w:rPr>
        <w:t>CHAPTER 7 - LEASE OF MINERAL DEPOSITS WITHIN ACQUIRED LANDS</w:t>
      </w:r>
      <w:r w:rsidRPr="002A2767">
        <w:rPr>
          <w:rFonts w:ascii="Times New Roman" w:eastAsia="Times New Roman" w:hAnsi="Times New Roman" w:cs="Times New Roman"/>
          <w:sz w:val="24"/>
          <w:szCs w:val="24"/>
        </w:rPr>
        <w:br/>
      </w:r>
      <w:r w:rsidRPr="002A2767">
        <w:rPr>
          <w:rFonts w:ascii="Times New Roman" w:eastAsia="Times New Roman" w:hAnsi="Times New Roman" w:cs="Times New Roman"/>
          <w:sz w:val="20"/>
          <w:szCs w:val="20"/>
        </w:rPr>
        <w:t xml:space="preserve">From the U.S. Government Publishing Office, </w:t>
      </w:r>
      <w:hyperlink r:id="rId5" w:history="1">
        <w:r w:rsidRPr="002A2767">
          <w:rPr>
            <w:rFonts w:ascii="Times New Roman" w:eastAsia="Times New Roman" w:hAnsi="Times New Roman" w:cs="Times New Roman"/>
            <w:color w:val="0000FF"/>
            <w:sz w:val="20"/>
            <w:szCs w:val="20"/>
            <w:u w:val="single"/>
          </w:rPr>
          <w:t>www.gpo.gov</w:t>
        </w:r>
      </w:hyperlink>
      <w:r w:rsidRPr="002A2767">
        <w:rPr>
          <w:rFonts w:ascii="Times New Roman" w:eastAsia="Times New Roman" w:hAnsi="Times New Roman" w:cs="Times New Roman"/>
          <w:sz w:val="24"/>
          <w:szCs w:val="24"/>
        </w:rPr>
        <w:br/>
      </w:r>
      <w:r w:rsidRPr="002A2767">
        <w:rPr>
          <w:rFonts w:ascii="Times New Roman" w:eastAsia="Times New Roman" w:hAnsi="Times New Roman" w:cs="Times New Roman"/>
          <w:sz w:val="24"/>
          <w:szCs w:val="24"/>
        </w:rPr>
        <w:br/>
      </w:r>
    </w:p>
    <w:p w:rsidR="002A2767" w:rsidRPr="002A2767" w:rsidRDefault="002A2767" w:rsidP="002A2767">
      <w:pPr>
        <w:spacing w:before="750" w:after="45" w:line="240" w:lineRule="auto"/>
        <w:ind w:hanging="480"/>
        <w:jc w:val="center"/>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CHAPTER 7—LEASE OF MINERAL DEPOSITS WITHIN ACQUIRED LANDS</w:t>
      </w:r>
    </w:p>
    <w:p w:rsidR="002A2767" w:rsidRPr="002A2767" w:rsidRDefault="002A2767" w:rsidP="002A2767">
      <w:pPr>
        <w:spacing w:after="0" w:line="240" w:lineRule="auto"/>
        <w:rPr>
          <w:rFonts w:ascii="Times New Roman" w:eastAsia="Times New Roman" w:hAnsi="Times New Roman" w:cs="Times New Roman"/>
          <w:sz w:val="19"/>
          <w:szCs w:val="19"/>
        </w:rPr>
      </w:pPr>
      <w:r w:rsidRPr="002A2767">
        <w:rPr>
          <w:rFonts w:ascii="Times New Roman" w:eastAsia="Times New Roman" w:hAnsi="Times New Roman" w:cs="Times New Roman"/>
          <w:sz w:val="19"/>
          <w:szCs w:val="19"/>
        </w:rPr>
        <w:t>Sec.</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351.</w:t>
      </w:r>
      <w:r w:rsidR="005C0480">
        <w:rPr>
          <w:rFonts w:ascii="Times New Roman" w:eastAsia="Times New Roman" w:hAnsi="Times New Roman" w:cs="Times New Roman"/>
          <w:sz w:val="24"/>
          <w:szCs w:val="24"/>
        </w:rPr>
        <w:t xml:space="preserve"> </w:t>
      </w:r>
      <w:r w:rsidRPr="002A2767">
        <w:rPr>
          <w:rFonts w:ascii="Times New Roman" w:eastAsia="Times New Roman" w:hAnsi="Times New Roman" w:cs="Times New Roman"/>
          <w:sz w:val="24"/>
          <w:szCs w:val="24"/>
        </w:rPr>
        <w:t>Definitions.</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352.</w:t>
      </w:r>
      <w:r w:rsidR="005C0480">
        <w:rPr>
          <w:rFonts w:ascii="Times New Roman" w:eastAsia="Times New Roman" w:hAnsi="Times New Roman" w:cs="Times New Roman"/>
          <w:sz w:val="24"/>
          <w:szCs w:val="24"/>
        </w:rPr>
        <w:t xml:space="preserve"> </w:t>
      </w:r>
      <w:r w:rsidRPr="002A2767">
        <w:rPr>
          <w:rFonts w:ascii="Times New Roman" w:eastAsia="Times New Roman" w:hAnsi="Times New Roman" w:cs="Times New Roman"/>
          <w:sz w:val="24"/>
          <w:szCs w:val="24"/>
        </w:rPr>
        <w:t>Deposits subject to lease; consent of department heads; lands excluded.</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353.</w:t>
      </w:r>
      <w:r w:rsidR="005C0480">
        <w:rPr>
          <w:rFonts w:ascii="Times New Roman" w:eastAsia="Times New Roman" w:hAnsi="Times New Roman" w:cs="Times New Roman"/>
          <w:sz w:val="24"/>
          <w:szCs w:val="24"/>
        </w:rPr>
        <w:t xml:space="preserve"> </w:t>
      </w:r>
      <w:r w:rsidRPr="002A2767">
        <w:rPr>
          <w:rFonts w:ascii="Times New Roman" w:eastAsia="Times New Roman" w:hAnsi="Times New Roman" w:cs="Times New Roman"/>
          <w:sz w:val="24"/>
          <w:szCs w:val="24"/>
        </w:rPr>
        <w:t>Sale of lands unaffected; reservation of mineral rights; sale subject to prior lease; naval petroleum reserves unaffected.</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354.</w:t>
      </w:r>
      <w:r w:rsidR="005C0480">
        <w:rPr>
          <w:rFonts w:ascii="Times New Roman" w:eastAsia="Times New Roman" w:hAnsi="Times New Roman" w:cs="Times New Roman"/>
          <w:sz w:val="24"/>
          <w:szCs w:val="24"/>
        </w:rPr>
        <w:t xml:space="preserve"> </w:t>
      </w:r>
      <w:r w:rsidRPr="002A2767">
        <w:rPr>
          <w:rFonts w:ascii="Times New Roman" w:eastAsia="Times New Roman" w:hAnsi="Times New Roman" w:cs="Times New Roman"/>
          <w:sz w:val="24"/>
          <w:szCs w:val="24"/>
        </w:rPr>
        <w:t>Lease of partial or future interests in deposits.</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355.</w:t>
      </w:r>
      <w:r w:rsidR="005C0480">
        <w:rPr>
          <w:rFonts w:ascii="Times New Roman" w:eastAsia="Times New Roman" w:hAnsi="Times New Roman" w:cs="Times New Roman"/>
          <w:sz w:val="24"/>
          <w:szCs w:val="24"/>
        </w:rPr>
        <w:t xml:space="preserve"> </w:t>
      </w:r>
      <w:r w:rsidRPr="002A2767">
        <w:rPr>
          <w:rFonts w:ascii="Times New Roman" w:eastAsia="Times New Roman" w:hAnsi="Times New Roman" w:cs="Times New Roman"/>
          <w:sz w:val="24"/>
          <w:szCs w:val="24"/>
        </w:rPr>
        <w:t>Disposition of receipts.</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356.</w:t>
      </w:r>
      <w:r w:rsidR="005C0480">
        <w:rPr>
          <w:rFonts w:ascii="Times New Roman" w:eastAsia="Times New Roman" w:hAnsi="Times New Roman" w:cs="Times New Roman"/>
          <w:sz w:val="24"/>
          <w:szCs w:val="24"/>
        </w:rPr>
        <w:t xml:space="preserve"> </w:t>
      </w:r>
      <w:r w:rsidRPr="002A2767">
        <w:rPr>
          <w:rFonts w:ascii="Times New Roman" w:eastAsia="Times New Roman" w:hAnsi="Times New Roman" w:cs="Times New Roman"/>
          <w:sz w:val="24"/>
          <w:szCs w:val="24"/>
        </w:rPr>
        <w:t>Furnishing description of lands and title documents; recordation of documents; authenticated copies.</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357.</w:t>
      </w:r>
      <w:r w:rsidR="005C0480">
        <w:rPr>
          <w:rFonts w:ascii="Times New Roman" w:eastAsia="Times New Roman" w:hAnsi="Times New Roman" w:cs="Times New Roman"/>
          <w:sz w:val="24"/>
          <w:szCs w:val="24"/>
        </w:rPr>
        <w:t xml:space="preserve"> </w:t>
      </w:r>
      <w:r w:rsidRPr="002A2767">
        <w:rPr>
          <w:rFonts w:ascii="Times New Roman" w:eastAsia="Times New Roman" w:hAnsi="Times New Roman" w:cs="Times New Roman"/>
          <w:sz w:val="24"/>
          <w:szCs w:val="24"/>
        </w:rPr>
        <w:t>State or local government rights; taxation.</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358.</w:t>
      </w:r>
      <w:r w:rsidR="005C0480">
        <w:rPr>
          <w:rFonts w:ascii="Times New Roman" w:eastAsia="Times New Roman" w:hAnsi="Times New Roman" w:cs="Times New Roman"/>
          <w:sz w:val="24"/>
          <w:szCs w:val="24"/>
        </w:rPr>
        <w:t xml:space="preserve"> </w:t>
      </w:r>
      <w:r w:rsidRPr="002A2767">
        <w:rPr>
          <w:rFonts w:ascii="Times New Roman" w:eastAsia="Times New Roman" w:hAnsi="Times New Roman" w:cs="Times New Roman"/>
          <w:sz w:val="24"/>
          <w:szCs w:val="24"/>
        </w:rPr>
        <w:t>Rights under prior leases; priority of pending applications; exchange of leases.</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359.</w:t>
      </w:r>
      <w:r w:rsidR="005C0480">
        <w:rPr>
          <w:rFonts w:ascii="Times New Roman" w:eastAsia="Times New Roman" w:hAnsi="Times New Roman" w:cs="Times New Roman"/>
          <w:sz w:val="24"/>
          <w:szCs w:val="24"/>
        </w:rPr>
        <w:t xml:space="preserve"> </w:t>
      </w:r>
      <w:r w:rsidRPr="002A2767">
        <w:rPr>
          <w:rFonts w:ascii="Times New Roman" w:eastAsia="Times New Roman" w:hAnsi="Times New Roman" w:cs="Times New Roman"/>
          <w:sz w:val="24"/>
          <w:szCs w:val="24"/>
        </w:rPr>
        <w:t>Rules and regulations.</w:t>
      </w:r>
    </w:p>
    <w:p w:rsidR="002A2767" w:rsidRPr="002A2767" w:rsidRDefault="002A2767" w:rsidP="005C0480">
      <w:pPr>
        <w:spacing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360.</w:t>
      </w:r>
      <w:r w:rsidR="005C0480">
        <w:rPr>
          <w:rFonts w:ascii="Times New Roman" w:eastAsia="Times New Roman" w:hAnsi="Times New Roman" w:cs="Times New Roman"/>
          <w:sz w:val="24"/>
          <w:szCs w:val="24"/>
        </w:rPr>
        <w:t xml:space="preserve"> </w:t>
      </w:r>
      <w:bookmarkStart w:id="0" w:name="_GoBack"/>
      <w:bookmarkEnd w:id="0"/>
      <w:r w:rsidRPr="002A2767">
        <w:rPr>
          <w:rFonts w:ascii="Times New Roman" w:eastAsia="Times New Roman" w:hAnsi="Times New Roman" w:cs="Times New Roman"/>
          <w:sz w:val="24"/>
          <w:szCs w:val="24"/>
        </w:rPr>
        <w:t>Authority to manage certain mineral leases.</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        </w:t>
      </w:r>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§351. Definitions</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As used in this chapter "United States" includes Alaska. "Acquired lands" or "lands acquired by the United States" include all lands heretofore or hereafter acquired by the United States to which the "mineral leasing laws" have not been extended, including such lands acquired under the provisions of the Act of March 1, 1911 (36 Stat. 961, 16 U.S.C., sec. 552). "Secretary" means the Secretary of the Interior, "Mineral leasing laws" shall mean the Act of October 20, 1914 (38 Stat. 741, 48 U.S.C., sec. 432); the Act of February 25, 1920 (41 Stat. 437, 30 U.S.C., sec. 181); the Act of April 17, 1926 (44 Stat. 301, 30 U.S.C., sec. 271); the Act of February 7, 1927 (44 Stat. 1057, 30 U.S.C., sec. 281), and all Acts heretofore or hereafter enacted which are amendatory of or supplementary to any of the foregoing Acts. "Lease" includes "prospecting permit" unless the context otherwise requires. The term "oil" shall embrace all nongaseous hydrocarbon substances other than those leasable as coal, oil shale, or gilsonite (including all vein-type solid hydrocarbons).</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§2, 61 Stat. 913; Pub. L. 97–78, §1(9)(a), Nov. 16, 1981, 95 Stat. 1072.)</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References in Text</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Act of March 1, 1911, referred to in text, is act Mar. 1, 1911, ch. 186, 36 Stat. 961, as amended, known as the Weeks Law, which is classified to sections 480, 500, 513 to 519, 521, 552, and 563 of Title 16, Conservation. For complete classification of this Act to the Code, see Short Title note set out under section 552 of Title 16 and Tables.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 xml:space="preserve">Act of October 20, 1914, referred to in text, is act Oct. 20, 1914, ch. 330, 38 Stat. 741, known as the Alaska Coal Lands Act, which was repealed by Pub. L. 86–252, §1, Sept. 9, 1959, 73 Stat. 490. The </w:t>
      </w:r>
      <w:r w:rsidRPr="002A2767">
        <w:rPr>
          <w:rFonts w:ascii="Times New Roman" w:eastAsia="Times New Roman" w:hAnsi="Times New Roman" w:cs="Times New Roman"/>
        </w:rPr>
        <w:lastRenderedPageBreak/>
        <w:t>subject matter of this Act is generally covered by subchapters I to VII (§181 et seq.) of chapter 3A of this title. For complete classification of this Act to the Code prior to repeal, see Tables.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Act of February 25, 1920, referred to in text, is act Feb. 25, 1920, ch. 85, 41 Stat. 437, as amended, known as the Mineral Leasing Act, which is classified generally to chapter 3A (§181 et seq.) of this title. For complete classification of this Act to the Code, see Short Title note set out under section 181 of this title and Tables.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Act of April 17, 1926, referred to in text, is act Apr. 17, 1926, ch. 158, 44 Stat. 301, as amended, which is classified generally to subchapter VIII (§271 et seq.) of chapter 3A of this title. For complete classification of this Act to the Code, see Tables.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Act of February 7, 1927, referred to in text, is act Feb. 7, 1927, ch. 66, 44 Stat. 1057, as amended, which enacted subchapter IX (§281 et seq.) of chapter 3A of this title, amended sections 181 and 193 of this title, and repealed subchapter VII (§141 et seq.) of chapter 3 of this title. For complete classification of this Act to the Code, see Tables.</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Amendments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b/>
          <w:bCs/>
        </w:rPr>
        <w:t>1981</w:t>
      </w:r>
      <w:r w:rsidRPr="002A2767">
        <w:rPr>
          <w:rFonts w:ascii="Times New Roman" w:eastAsia="Times New Roman" w:hAnsi="Times New Roman" w:cs="Times New Roman"/>
        </w:rPr>
        <w:t>—Pub. L. 97–78 inserted definition of "oil".</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Short Title</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Act Aug. 7, 1947, ch. 513, §1, 61 Stat. 913, provided: "That this Act [enacting this chapter] may be cited as the 'Mineral Leasing Act for Acquired Lands'."</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Admission of Alaska as State</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Admission of Alaska into the Union was accomplished Jan. 3, 1959, on issuance of Proc. No. 3269, Jan. 3, 1959, 24 F.R. 81, 73 Stat. c16, as required by sections 1 and 8(c) of Pub. L. 85–508, July 7, 1958, 72 Stat. 339, set out as notes preceding section 21 of Title 48, Territories and Insular Possessions.</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Outer Continental Shelf Lands; Definition</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Definition of "outer Continental Shelf" with respect to jurisdiction of United States, and mineral leases on submerged lands of such shelf, see section 1331 et seq. of Title 43, Public Lands.</w:t>
      </w:r>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§352. Deposits subject to lease; consent of department heads; lands excluded</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 xml:space="preserve">Except where lands have been acquired by the United States for the development of the mineral deposits, by foreclosure or otherwise for resale, or reported as surplus pursuant to the provisions of the Surplus Property Act of October 3, 1944 (50 U.S.C., sec. 1611 and the following), all deposits of coal, phosphate, oil, oil shale, gilsonite (including all vein-type solid hydrocarbons), gas, sodium, potassium, and sulfur which are owned or may hereafter be acquired by the United States and which are within the lands acquired by the United States (exclusive of such deposits in such acquired lands as are (a) situated within incorporated cities, towns and villages, national parks or monuments, or (b) tidelands or submerged lands) may be leased by the Secretary under the same conditions as contained in the leasing provisions of the mineral leasing laws, subject to the provisions hereof. Coal or lignite under acquired lands set apart for military or naval purposes may be leased by the Secretary, with the concurrence of the Secretary of Defense, to a governmental entity (including any corporation primarily acting as an agency or instrumentality of a State) which produces electrical energy for sale to the public if such governmental entity is located in the State in which such lands are located. The provisions of subchapter VIII of chapter 3A of this title shall apply to deposits of sulfur covered by this chapter wherever situated. No mineral deposit covered by this section shall be leased except with the consent of the head of the executive department, independent establishment, or instrumentality having jurisdiction over the lands containing such deposit, or holding a mortgage or deed of trust secured by such lands which is unsatisfied of record, and subject to such </w:t>
      </w:r>
      <w:r w:rsidRPr="002A2767">
        <w:rPr>
          <w:rFonts w:ascii="Times New Roman" w:eastAsia="Times New Roman" w:hAnsi="Times New Roman" w:cs="Times New Roman"/>
          <w:sz w:val="24"/>
          <w:szCs w:val="24"/>
        </w:rPr>
        <w:lastRenderedPageBreak/>
        <w:t xml:space="preserve">conditions as that official may prescribe to insure the adequate utilization of the lands for the primary purposes for which they have been acquired or are being administered: </w:t>
      </w:r>
      <w:r w:rsidRPr="002A2767">
        <w:rPr>
          <w:rFonts w:ascii="Times New Roman" w:eastAsia="Times New Roman" w:hAnsi="Times New Roman" w:cs="Times New Roman"/>
          <w:i/>
          <w:iCs/>
          <w:sz w:val="24"/>
          <w:szCs w:val="24"/>
        </w:rPr>
        <w:t>Provided</w:t>
      </w:r>
      <w:r w:rsidRPr="002A2767">
        <w:rPr>
          <w:rFonts w:ascii="Times New Roman" w:eastAsia="Times New Roman" w:hAnsi="Times New Roman" w:cs="Times New Roman"/>
          <w:sz w:val="24"/>
          <w:szCs w:val="24"/>
        </w:rPr>
        <w:t>, That nothing in this chapter is intended, or shall be construed, to apply to or in any manner affect any mineral rights, exploration permits, leases or conveyances nor minerals that are or may be in any tidelands; or submerged lands; or in lands underlying the three mile zone or belt involved in the case of the United States of America against the State of California now pending on application for rehearing in the Supreme Court of the United States; or in lands underlying such three mile zone or belt, or the continental shelf, adjacent or littoral to any part of the land within the jurisdiction of the United States of America.</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§3, 61 Stat. 914; Pub. L. 94–377, §12, Aug. 4, 1976, 90 Stat. 1090; Pub. L. 97–78, §1(9)(b), Nov. 16, 1981, 95 Stat. 1072.)</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References in Text</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The Surplus Property Act of October 3, 1944, referred to in text, is act Oct. 3, 1944, ch. 479, 58 Stat. 765, which was classified principally to sections 1611 to 1646 of Title 50, Appendix, War and National Defense, and was repealed, effective July 1, 1949, with the exception of sections 1622, 1631, 1637, and 1641 of Title 50, Appendix, by act June 30, 1949, ch. 288, title VI, §602(a)(1), 63 Stat. 399, renumbered Sept. 5, 1950, ch. 849, §6(a), (b), 64 Stat. 583. Sections 1622 and 1641 were partially repealed by the 1949 act, and section 1622 is still set out in part in Title 50, Appendix. Section 1622(g) was repealed and reenacted as sections 47151 to 47153 of Title 49, Transportation, by Pub. L. 103–272, §§1(e), 7(b), July 5, 1994, 108 Stat. 1278–1280, 1379. Section 1631 was repealed by act June 7, 1939, ch. 190, §6(e), as added by act July 23, 1946, ch. 590, 60 Stat. 599, and is covered by sections 98 et seq. of Title 50. Section 1637 was repealed by act June 25, 1948, ch. 645, §21, 62 Stat. 862, eff. Sept. 1, 1948, and is covered by section 3287 of Title 18, Crimes and Criminal Procedure. Provisions of section 1641 not repealed by the 1949 act were repealed by Pub. L. 87–256, §111(a)(1), Sept. 21, 1961, 75 Stat. 538, and are covered by chapter 33 (§2451 et seq.) of Title 22, Foreign Relations and Intercourse. The provisions of the Surplus Property Act of 1944 originally repealed by the 1949 act were covered by provisions of the 1949 act which were classified to chapter 10 (§471 et seq.) of former Title 40, Public Buildings, Property, and Works, and which were repealed and reenacted by Pub. L. 107–217, §§1, 6(b), Aug. 21, 2002, 116 Stat. 1062, 1304, as chapters 1 to 11 of Title 40, Public Buildings, Property, and Works.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Subchapter VIII (§271 et seq.) of chapter 3A of this title, referred to in text, was in the original a reference to the provisions of the Act of April 17, 1926 (44 Stat. 301), as heretofore or hereafter amended.</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The application for rehearing in the case of the United States of America against the State of California, referred to in text, was denied on Oct. 13, 1947, by the Supreme Court of the United States. See 68 S. Ct. 37, 332 U.S. 787, 92 L. Ed. 370.</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Amendments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b/>
          <w:bCs/>
        </w:rPr>
        <w:t>1981</w:t>
      </w:r>
      <w:r w:rsidRPr="002A2767">
        <w:rPr>
          <w:rFonts w:ascii="Times New Roman" w:eastAsia="Times New Roman" w:hAnsi="Times New Roman" w:cs="Times New Roman"/>
        </w:rPr>
        <w:t>—Pub. L. 97–78 inserted reference to gilsonite (including all vein-type solid hydrocarbons).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b/>
          <w:bCs/>
        </w:rPr>
        <w:t>1976</w:t>
      </w:r>
      <w:r w:rsidRPr="002A2767">
        <w:rPr>
          <w:rFonts w:ascii="Times New Roman" w:eastAsia="Times New Roman" w:hAnsi="Times New Roman" w:cs="Times New Roman"/>
        </w:rPr>
        <w:t>—Pub. L. 94–377 substituted "or (b)" for "(b) set apart for military or naval purposes, or (c)" and inserted provision allowing the Secretary, with the concurrence of the Secretary of Defense, to lease coal or lignite under lands set aside for military purposes to a governmental entity which produces electrical energy for sale to the public if such governmental entity is located in the State in which such lands are located.</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Outer Continental Shelf; Leases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Grant by Secretary of the Interior of oil, gas, and other mineral leases on submerged lands of outer Continental Shelf, see section 1331 et seq. of Title 43, Public Lands.</w:t>
      </w:r>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§353. Sale of lands unaffected; reservation of mineral rights; sale subject to prior lease; naval petroleum reserves unaffected</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lastRenderedPageBreak/>
        <w:t xml:space="preserve">Nothing herein contained shall be deemed or construed to (a) amend, modify, or change any existing law authorizing or requiring the sale of acquired lands, or (b) empower any commission, bureau, or agency of the Government to make a reservation of the minerals in the sale of any acquired land: </w:t>
      </w:r>
      <w:r w:rsidRPr="002A2767">
        <w:rPr>
          <w:rFonts w:ascii="Times New Roman" w:eastAsia="Times New Roman" w:hAnsi="Times New Roman" w:cs="Times New Roman"/>
          <w:i/>
          <w:iCs/>
          <w:sz w:val="24"/>
          <w:szCs w:val="24"/>
        </w:rPr>
        <w:t>Provided</w:t>
      </w:r>
      <w:r w:rsidRPr="002A2767">
        <w:rPr>
          <w:rFonts w:ascii="Times New Roman" w:eastAsia="Times New Roman" w:hAnsi="Times New Roman" w:cs="Times New Roman"/>
          <w:sz w:val="24"/>
          <w:szCs w:val="24"/>
        </w:rPr>
        <w:t xml:space="preserve">, That any such sale or conveyance of lands shall be made by the agency having jurisdiction thereof, subject to any lease theretofore made, covering the mineral deposits underlying such lands: </w:t>
      </w:r>
      <w:r w:rsidRPr="002A2767">
        <w:rPr>
          <w:rFonts w:ascii="Times New Roman" w:eastAsia="Times New Roman" w:hAnsi="Times New Roman" w:cs="Times New Roman"/>
          <w:i/>
          <w:iCs/>
          <w:sz w:val="24"/>
          <w:szCs w:val="24"/>
        </w:rPr>
        <w:t>Provided further</w:t>
      </w:r>
      <w:r w:rsidRPr="002A2767">
        <w:rPr>
          <w:rFonts w:ascii="Times New Roman" w:eastAsia="Times New Roman" w:hAnsi="Times New Roman" w:cs="Times New Roman"/>
          <w:sz w:val="24"/>
          <w:szCs w:val="24"/>
        </w:rPr>
        <w:t>, That nothing in this chapter is intended, or shall be construed to affect in any manner any provision of chapter 641 of title 10.</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§4, 61 Stat. 914.)</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Codification</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"Chapter 641 of title 10" substituted in text for "the Act of June 30, 1938 (32 Stat. 1252), amending the Act of June 4, 1920 (41 Stat. 813)", which had been classified to section 524 of former Title 34, Navy, on authority of act Aug. 10, 1956, ch. 1041, §49(b), 70A Stat. 640, the first section of which enacted Title 10, Armed Forces.</w:t>
      </w:r>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§354. Lease of partial or future interests in deposits</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Where the United States does not own all of the mineral deposits under any lands sought to be leased and which are affected by this chapter, the Secretary is authorized to lease the interest of the United States in any such mineral deposits when, in the judgment of the Secretary, the public interest will be best served thereby; subject, however, to the provisions of section 352 of this title. Where the United States does not own any interest or owns less than a full interest in the minerals that may be produced from any lands sought to be leased, and which are or will be affected by this chapter and where, under the provisions of its acquisition, the United States is to acquire all or any part of such mineral deposits in the future, the Secretary may lease any interest of the United States then owned or to be acquired in the future in the same manner as provided in the preceding sentence.</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§5, 61 Stat. 914.)</w:t>
      </w:r>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§355. Disposition of receipts</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 xml:space="preserve">(a) Subject to the provisions of section 35(b) of the Mineral Leasing Act (30 U.S.C. 191(b)), all receipts derived from leases issued under the authority of this chapter shall be paid into the same funds or accounts in the Treasury and shall be distributed in the same manner as prescribed for other receipts from the lands affected by the lease, the intention of this provision being that this chapter shall not affect the distribution of receipts pursuant to legislation applicable to such lands: </w:t>
      </w:r>
      <w:r w:rsidRPr="002A2767">
        <w:rPr>
          <w:rFonts w:ascii="Times New Roman" w:eastAsia="Times New Roman" w:hAnsi="Times New Roman" w:cs="Times New Roman"/>
          <w:i/>
          <w:iCs/>
          <w:sz w:val="24"/>
          <w:szCs w:val="24"/>
        </w:rPr>
        <w:t>Provided, however</w:t>
      </w:r>
      <w:r w:rsidRPr="002A2767">
        <w:rPr>
          <w:rFonts w:ascii="Times New Roman" w:eastAsia="Times New Roman" w:hAnsi="Times New Roman" w:cs="Times New Roman"/>
          <w:sz w:val="24"/>
          <w:szCs w:val="24"/>
        </w:rPr>
        <w:t>, That receipts from leases or permits for minerals in lands set apart for Indian use, including lands the jurisdiction of which has been transferred to the Department of the Interior by the Executive order for Indian use, shall be deposited in a special fund in the Treasury until final disposition thereof by the Congress. Notwithstanding the preceding provisions of this section, all receipts derived from leases on lands acquired for military or naval purposes, except the naval petroleum reserves and national oil shale reserves, shall be paid into the Treasury of the United States and disposed of in the same manner as provided under section 35 of the Act of February 25, 1920 (41 Stat. 450; 30 U.S.C. 191), in the case of receipts from sales, bonuses, royalties, and rentals of the public lands under that Act [30 U.S.C. 181 et seq.].</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 xml:space="preserve">(b) Notwithstanding any other provision of law, any payment to a State under this section shall be made by the Secretary of the Interior and shall be made not later than the last business day of the month following the month in which such moneys or associated reports are received by the Secretary of the Interior, whichever is later. The preceding sentence shall also apply to any </w:t>
      </w:r>
      <w:r w:rsidRPr="002A2767">
        <w:rPr>
          <w:rFonts w:ascii="Times New Roman" w:eastAsia="Times New Roman" w:hAnsi="Times New Roman" w:cs="Times New Roman"/>
          <w:sz w:val="24"/>
          <w:szCs w:val="24"/>
        </w:rPr>
        <w:lastRenderedPageBreak/>
        <w:t>payment to a State derived from a lease for mineral resources issued by the Secretary of the Interior under section 520 of title 16. The Secretary shall pay interest to a State on any amount not paid to the State within that time at the rate prescribed under section 1721 </w:t>
      </w:r>
      <w:bookmarkStart w:id="1" w:name="355_1"/>
      <w:r w:rsidRPr="002A2767">
        <w:rPr>
          <w:rFonts w:ascii="Times New Roman" w:eastAsia="Times New Roman" w:hAnsi="Times New Roman" w:cs="Times New Roman"/>
          <w:sz w:val="24"/>
          <w:szCs w:val="24"/>
          <w:vertAlign w:val="superscript"/>
        </w:rPr>
        <w:fldChar w:fldCharType="begin"/>
      </w:r>
      <w:r w:rsidRPr="002A2767">
        <w:rPr>
          <w:rFonts w:ascii="Times New Roman" w:eastAsia="Times New Roman" w:hAnsi="Times New Roman" w:cs="Times New Roman"/>
          <w:sz w:val="24"/>
          <w:szCs w:val="24"/>
          <w:vertAlign w:val="superscript"/>
        </w:rPr>
        <w:instrText xml:space="preserve"> HYPERLINK "https://www.gpo.gov/fdsys/pkg/USCODE-2014-title30/html/USCODE-2014-title30-chap7.htm" \l "355_1_target" </w:instrText>
      </w:r>
      <w:r w:rsidRPr="002A2767">
        <w:rPr>
          <w:rFonts w:ascii="Times New Roman" w:eastAsia="Times New Roman" w:hAnsi="Times New Roman" w:cs="Times New Roman"/>
          <w:sz w:val="24"/>
          <w:szCs w:val="24"/>
          <w:vertAlign w:val="superscript"/>
        </w:rPr>
        <w:fldChar w:fldCharType="separate"/>
      </w:r>
      <w:r w:rsidRPr="002A2767">
        <w:rPr>
          <w:rFonts w:ascii="Times New Roman" w:eastAsia="Times New Roman" w:hAnsi="Times New Roman" w:cs="Times New Roman"/>
          <w:color w:val="0000FF"/>
          <w:sz w:val="24"/>
          <w:szCs w:val="24"/>
          <w:u w:val="single"/>
          <w:vertAlign w:val="superscript"/>
        </w:rPr>
        <w:t>1</w:t>
      </w:r>
      <w:r w:rsidRPr="002A2767">
        <w:rPr>
          <w:rFonts w:ascii="Times New Roman" w:eastAsia="Times New Roman" w:hAnsi="Times New Roman" w:cs="Times New Roman"/>
          <w:sz w:val="24"/>
          <w:szCs w:val="24"/>
          <w:vertAlign w:val="superscript"/>
        </w:rPr>
        <w:fldChar w:fldCharType="end"/>
      </w:r>
      <w:bookmarkEnd w:id="1"/>
      <w:r w:rsidRPr="002A2767">
        <w:rPr>
          <w:rFonts w:ascii="Times New Roman" w:eastAsia="Times New Roman" w:hAnsi="Times New Roman" w:cs="Times New Roman"/>
          <w:sz w:val="24"/>
          <w:szCs w:val="24"/>
        </w:rPr>
        <w:t xml:space="preserve"> of this title from the date payment was required to be made under this subsection until the date payment is made.</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§6, 61 Stat. 915; Pub. L. 97–94, §1, Dec. 17, 1981, 95 Stat. 1205; Pub. L. 102–486, title XXV, §2506(a), Oct. 24, 1992, 106 Stat. 3106; Pub. L. 103–66, title X, §10202(a), Aug. 10, 1993, 107 Stat. 408; Pub. L. 107–76, title VII, §751(e)(2), Nov. 28, 2001, 115 Stat. 739.)</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References in Text</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The Mineral Leasing Act, referred to in subsec. (a), is act Feb. 25, 1920, ch. 85, 41 Stat. 437, as amended, which is classified generally to chapter 3A (§181 et seq.) of this title. For complete classification of this Act to the Code, see Short Title note set out under section 181 of this title and Tables.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Section 1721 of this title, referred to in subsec. (b), was in the original "section 111 of the Federal Oil and Gas Royalty Management Act of 1982", which enacted section 1721 of this title and amended section 191 of this title.</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Amendments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b/>
          <w:bCs/>
        </w:rPr>
        <w:t>2001</w:t>
      </w:r>
      <w:r w:rsidRPr="002A2767">
        <w:rPr>
          <w:rFonts w:ascii="Times New Roman" w:eastAsia="Times New Roman" w:hAnsi="Times New Roman" w:cs="Times New Roman"/>
        </w:rPr>
        <w:t>—Subsec. (b). Pub. L. 107–76 inserted after first sentence "The preceding sentence shall also apply to any payment to a State derived from a lease for mineral resources issued by the Secretary of the Interior under section 520 of title 16."</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b/>
          <w:bCs/>
        </w:rPr>
        <w:t>1993</w:t>
      </w:r>
      <w:r w:rsidRPr="002A2767">
        <w:rPr>
          <w:rFonts w:ascii="Times New Roman" w:eastAsia="Times New Roman" w:hAnsi="Times New Roman" w:cs="Times New Roman"/>
        </w:rPr>
        <w:t>—Subsec. (a). Pub. L. 103–66 substituted "Subject to the provisions of section 35(b) of the Mineral Leasing Act (30 U.S.C. 191(b)), all receipts" for "All receipts" in first sentence.</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b/>
          <w:bCs/>
        </w:rPr>
        <w:t>1992</w:t>
      </w:r>
      <w:r w:rsidRPr="002A2767">
        <w:rPr>
          <w:rFonts w:ascii="Times New Roman" w:eastAsia="Times New Roman" w:hAnsi="Times New Roman" w:cs="Times New Roman"/>
        </w:rPr>
        <w:t>—Pub. L. 102–486 designated existing provisions as subsec. (a) and added subsec. (b).</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b/>
          <w:bCs/>
        </w:rPr>
        <w:t>1981</w:t>
      </w:r>
      <w:r w:rsidRPr="002A2767">
        <w:rPr>
          <w:rFonts w:ascii="Times New Roman" w:eastAsia="Times New Roman" w:hAnsi="Times New Roman" w:cs="Times New Roman"/>
        </w:rPr>
        <w:t>—Pub. L. 97–94 inserted provision that all receipts derived from leases on lands acquired for military or naval purposes, except the naval petroleum reserves and national shale oil reserves, be paid into the Treasury of the United States and disposed of in the same manner as provided under section 35 of the Act of February 25, 1920, in the case of receipts from sales, bonuses, royalties, and rentals of the public lands under that Act.</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Effective Date of 1981 Amendment</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Pub. L. 97–94, §2, Dec. 17, 1981, 95 Stat. 1205, provided that: "The amendment made by the first section of this Act [amending this section] shall take effect with respect to leases entered into after January 1, 1981."</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Outer Continental Shelf; Revenues From Leases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Disposition of revenues from leases on submerged lands of outer Continental Shelf, see sections 1337(g) and 1338 of Title 43, Public Lands.</w:t>
      </w:r>
    </w:p>
    <w:bookmarkStart w:id="2" w:name="355_1_target"/>
    <w:p w:rsidR="002A2767" w:rsidRPr="002A2767" w:rsidRDefault="002A2767" w:rsidP="002A2767">
      <w:pPr>
        <w:spacing w:before="240" w:after="240" w:line="240" w:lineRule="auto"/>
        <w:ind w:left="960" w:right="240" w:firstLine="240"/>
        <w:rPr>
          <w:rFonts w:ascii="Times New Roman" w:eastAsia="Times New Roman" w:hAnsi="Times New Roman" w:cs="Times New Roman"/>
          <w:i/>
          <w:iCs/>
          <w:sz w:val="24"/>
          <w:szCs w:val="24"/>
        </w:rPr>
      </w:pPr>
      <w:r w:rsidRPr="002A2767">
        <w:rPr>
          <w:rFonts w:ascii="Times New Roman" w:eastAsia="Times New Roman" w:hAnsi="Times New Roman" w:cs="Times New Roman"/>
          <w:i/>
          <w:iCs/>
          <w:sz w:val="24"/>
          <w:szCs w:val="24"/>
        </w:rPr>
        <w:fldChar w:fldCharType="begin"/>
      </w:r>
      <w:r w:rsidRPr="002A2767">
        <w:rPr>
          <w:rFonts w:ascii="Times New Roman" w:eastAsia="Times New Roman" w:hAnsi="Times New Roman" w:cs="Times New Roman"/>
          <w:i/>
          <w:iCs/>
          <w:sz w:val="24"/>
          <w:szCs w:val="24"/>
        </w:rPr>
        <w:instrText xml:space="preserve"> HYPERLINK "https://www.gpo.gov/fdsys/pkg/USCODE-2014-title30/html/USCODE-2014-title30-chap7.htm" \l "355_1" </w:instrText>
      </w:r>
      <w:r w:rsidRPr="002A2767">
        <w:rPr>
          <w:rFonts w:ascii="Times New Roman" w:eastAsia="Times New Roman" w:hAnsi="Times New Roman" w:cs="Times New Roman"/>
          <w:i/>
          <w:iCs/>
          <w:sz w:val="24"/>
          <w:szCs w:val="24"/>
        </w:rPr>
        <w:fldChar w:fldCharType="separate"/>
      </w:r>
      <w:r w:rsidRPr="002A2767">
        <w:rPr>
          <w:rFonts w:ascii="Times New Roman" w:eastAsia="Times New Roman" w:hAnsi="Times New Roman" w:cs="Times New Roman"/>
          <w:i/>
          <w:iCs/>
          <w:color w:val="0000FF"/>
          <w:sz w:val="24"/>
          <w:szCs w:val="24"/>
          <w:u w:val="single"/>
          <w:vertAlign w:val="superscript"/>
        </w:rPr>
        <w:t>1</w:t>
      </w:r>
      <w:r w:rsidRPr="002A2767">
        <w:rPr>
          <w:rFonts w:ascii="Times New Roman" w:eastAsia="Times New Roman" w:hAnsi="Times New Roman" w:cs="Times New Roman"/>
          <w:i/>
          <w:iCs/>
          <w:color w:val="0000FF"/>
          <w:sz w:val="24"/>
          <w:szCs w:val="24"/>
          <w:u w:val="single"/>
        </w:rPr>
        <w:t> See References in Text note below.</w:t>
      </w:r>
      <w:r w:rsidRPr="002A2767">
        <w:rPr>
          <w:rFonts w:ascii="Times New Roman" w:eastAsia="Times New Roman" w:hAnsi="Times New Roman" w:cs="Times New Roman"/>
          <w:i/>
          <w:iCs/>
          <w:sz w:val="24"/>
          <w:szCs w:val="24"/>
        </w:rPr>
        <w:fldChar w:fldCharType="end"/>
      </w:r>
      <w:bookmarkEnd w:id="2"/>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§356. Furnishing description of lands and title documents; recordation of documents; authenticated copies</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 xml:space="preserve">Upon request by the Secretary, the heads of all executive departments, independent establishments, or instrumentalities having jurisdiction over any of the lands referred to in section 351 of this title shall furnish to the Secretary the legal description of all of such lands, </w:t>
      </w:r>
      <w:r w:rsidRPr="002A2767">
        <w:rPr>
          <w:rFonts w:ascii="Times New Roman" w:eastAsia="Times New Roman" w:hAnsi="Times New Roman" w:cs="Times New Roman"/>
          <w:sz w:val="24"/>
          <w:szCs w:val="24"/>
        </w:rPr>
        <w:lastRenderedPageBreak/>
        <w:t>and all pertinent abstracts, title papers, and other documents in the possession of such agencies concerning the status of the title of the United States to the mineral deposits that may be found in such lands.</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Abstracts, title papers, and other documents furnished to the Secretary under this section shall be recorded promptly in the Bureau of Land Management in such form as the Secretary shall deem adequate for their preservation and use in the administration of this chapter, whereupon the originals shall be returned promptly to the agency from which they were received. Duly authenticated copies of any such abstracts, title papers, or other documents may, however, be furnished to the Secretary, in lieu of the originals, in the discretion of the agency concerned.</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§7, 61 Stat. 915.)</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Transfer of Functions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See note set out under section 1 of this title.</w:t>
      </w:r>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§357. State or local government rights; taxation</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Nothing contained in this chapter shall be construed to affect the rights of the State or other local authorities to exercise any right which they may have with respect to properties covered by leases issued under this chapter, including the right to levy and collect taxes upon improvements, output of mines, or other rights, property, or assets of any lessee of the United States.</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§8, 61 Stat. 915.)</w:t>
      </w:r>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§358. Rights under prior leases; priority of pending applications; exchange of leases</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Nothing in this chapter shall affect any rights acquired by any lessee of lands subject to this chapter under the law as it existed prior to August 7, 1947, and such rights shall be governed by the law in effect at the time of their acquisition; but any person qualified to hold a lease who, on August 7, 1947, had pending an application for an oil and gas lease for any lands subject to this chapter which on the date the application was filed was not situated within the known geologic structure of a producing oil or gas field, shall have a preference right over others to a lease of such lands without competitive bidding. Any person holding a lease on lands subject hereto, which lease was issued prior to August 7, 1947, shall be entitled to exchange such lease for a new lease issued under the provisions of this chapter, at any time prior to the expiration of such existing lease.</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§9, 61 Stat. 915.)</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Outer Continental Shelf; Jurisdiction of United States; Validation of Prior Leases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Jurisdiction of United States over outer Continental Shelf, grant of leases on submerged lands thereof, and validation of prior leases, see section 1331 et seq. of Title 43, Public Lands.</w:t>
      </w:r>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§359. Rules and regulations</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The Secretary of the Interior is authorized to prescribe such rules and regulations as are necessary and appropriate to carry out the purposes of this chapter, which rules and regulations shall be the same as those prescribed under the mineral leasing laws to the extent that they are applicable.</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§10, 61 Stat. 915.)</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t>References in Text</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For definition of "mineral leasing laws", see section 351 of this title.</w:t>
      </w:r>
    </w:p>
    <w:p w:rsidR="002A2767" w:rsidRPr="002A2767" w:rsidRDefault="002A2767" w:rsidP="002A2767">
      <w:pPr>
        <w:spacing w:before="150" w:after="45" w:line="240" w:lineRule="auto"/>
        <w:ind w:hanging="480"/>
        <w:jc w:val="center"/>
        <w:outlineLvl w:val="3"/>
        <w:rPr>
          <w:rFonts w:ascii="Times New Roman" w:eastAsia="Times New Roman" w:hAnsi="Times New Roman" w:cs="Times New Roman"/>
          <w:b/>
          <w:bCs/>
          <w:smallCaps/>
        </w:rPr>
      </w:pPr>
      <w:r w:rsidRPr="002A2767">
        <w:rPr>
          <w:rFonts w:ascii="Times New Roman" w:eastAsia="Times New Roman" w:hAnsi="Times New Roman" w:cs="Times New Roman"/>
          <w:b/>
          <w:bCs/>
          <w:smallCaps/>
        </w:rPr>
        <w:lastRenderedPageBreak/>
        <w:t>Transfer of Functions</w:t>
      </w:r>
    </w:p>
    <w:p w:rsidR="002A2767" w:rsidRPr="002A2767" w:rsidRDefault="002A2767" w:rsidP="002A2767">
      <w:pPr>
        <w:spacing w:after="0" w:line="240" w:lineRule="auto"/>
        <w:ind w:firstLine="240"/>
        <w:rPr>
          <w:rFonts w:ascii="Times New Roman" w:eastAsia="Times New Roman" w:hAnsi="Times New Roman" w:cs="Times New Roman"/>
        </w:rPr>
      </w:pPr>
      <w:r w:rsidRPr="002A2767">
        <w:rPr>
          <w:rFonts w:ascii="Times New Roman" w:eastAsia="Times New Roman" w:hAnsi="Times New Roman" w:cs="Times New Roman"/>
        </w:rPr>
        <w:t>Functions of Secretary of the Interior to promulgate regulations under this chapter relating to fostering of competition for Federal leases, implementation of alternative bidding systems authorized for award of Federal leases, establishment of diligence requirements for operations conducted on Federal leases, setting of rates for production of Federal leases, and specifying of procedures, terms, and conditions for acquisition and disposition of Federal royalty interests taken in kind, transferred to Secretary of Energy by section 7152(b) of Title 42, The Public Health and Welfare. Section 7152(b) of Title 42 was repealed by Pub. L. 97–100, title II, §201, Dec. 23, 1981, 95 Stat. 1407, and functions of Secretary of Energy returned to Secretary of the Interior. See House Report No. 97–315, pp. 25, 26, Nov. 5, 1981.</w:t>
      </w:r>
    </w:p>
    <w:p w:rsidR="002A2767" w:rsidRPr="002A2767" w:rsidRDefault="002A2767" w:rsidP="002A2767">
      <w:pPr>
        <w:spacing w:before="150" w:after="45" w:line="240" w:lineRule="auto"/>
        <w:ind w:hanging="480"/>
        <w:outlineLvl w:val="2"/>
        <w:rPr>
          <w:rFonts w:ascii="Times New Roman" w:eastAsia="Times New Roman" w:hAnsi="Times New Roman" w:cs="Times New Roman"/>
          <w:b/>
          <w:bCs/>
          <w:sz w:val="27"/>
          <w:szCs w:val="27"/>
        </w:rPr>
      </w:pPr>
      <w:r w:rsidRPr="002A2767">
        <w:rPr>
          <w:rFonts w:ascii="Times New Roman" w:eastAsia="Times New Roman" w:hAnsi="Times New Roman" w:cs="Times New Roman"/>
          <w:b/>
          <w:bCs/>
          <w:sz w:val="27"/>
          <w:szCs w:val="27"/>
        </w:rPr>
        <w:t>§360. Authority to manage certain mineral leases</w:t>
      </w:r>
    </w:p>
    <w:p w:rsidR="002A2767" w:rsidRPr="002A2767" w:rsidRDefault="002A2767" w:rsidP="002A2767">
      <w:pPr>
        <w:spacing w:after="0" w:line="240" w:lineRule="auto"/>
        <w:ind w:firstLine="240"/>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Each department, agency and instrumentality of the United States which administers lands acquired by the United States with one or more existing mineral lease shall transfer to the Secretary of the Interior the authority to administer such lease and to collect all receipts due and payable to the United States under the lease. In the case of lands acquired on or before October 24, 1992, the authority to administer the leases and collect receipts shall be transferred to the Secretary of the Interior as expeditiously as practicable after October 24, 1992. In the case of lands acquired after October 24, 1992, such authority shall be vested with the Secretary at the time of acquisition. The provisions of section 355 of this title shall apply to all receipts derived from such leases where such receipts are due and payable to the United States under the lease in the same manner as such provisions apply to receipts derived from leases issued under the authority of this chapter. For purposes of this section, the term "existing mineral lease" means any lease in existence at the time land is acquired by the United States. Nothing in this section shall be construed to affect the existing surface management authority of any Federal agency.</w:t>
      </w:r>
    </w:p>
    <w:p w:rsidR="002A2767" w:rsidRPr="002A2767" w:rsidRDefault="002A2767" w:rsidP="002A2767">
      <w:pPr>
        <w:spacing w:before="75" w:after="0" w:line="240" w:lineRule="auto"/>
        <w:rPr>
          <w:rFonts w:ascii="Times New Roman" w:eastAsia="Times New Roman" w:hAnsi="Times New Roman" w:cs="Times New Roman"/>
          <w:sz w:val="24"/>
          <w:szCs w:val="24"/>
        </w:rPr>
      </w:pPr>
      <w:r w:rsidRPr="002A2767">
        <w:rPr>
          <w:rFonts w:ascii="Times New Roman" w:eastAsia="Times New Roman" w:hAnsi="Times New Roman" w:cs="Times New Roman"/>
          <w:sz w:val="24"/>
          <w:szCs w:val="24"/>
        </w:rPr>
        <w:t>(Aug. 7, 1947, ch. 513, §11, as added Pub. L. 102–486, title XXV, §2506(b), Oct. 24, 1992, 106 Stat. 3106.)</w:t>
      </w:r>
    </w:p>
    <w:p w:rsidR="00D63CC3" w:rsidRDefault="00D63CC3"/>
    <w:sectPr w:rsidR="00D63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23"/>
    <w:rsid w:val="00294EAD"/>
    <w:rsid w:val="002A2767"/>
    <w:rsid w:val="005C0480"/>
    <w:rsid w:val="00D63CC3"/>
    <w:rsid w:val="00D9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2767"/>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A2767"/>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27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A2767"/>
    <w:rPr>
      <w:rFonts w:ascii="Times New Roman" w:eastAsia="Times New Roman" w:hAnsi="Times New Roman" w:cs="Times New Roman"/>
      <w:b/>
      <w:bCs/>
      <w:smallCaps/>
      <w:sz w:val="24"/>
      <w:szCs w:val="24"/>
    </w:rPr>
  </w:style>
  <w:style w:type="paragraph" w:styleId="NormalWeb">
    <w:name w:val="Normal (Web)"/>
    <w:basedOn w:val="Normal"/>
    <w:uiPriority w:val="99"/>
    <w:semiHidden/>
    <w:unhideWhenUsed/>
    <w:rsid w:val="002A2767"/>
    <w:pPr>
      <w:spacing w:after="0" w:line="240" w:lineRule="auto"/>
      <w:ind w:firstLine="240"/>
    </w:pPr>
    <w:rPr>
      <w:rFonts w:ascii="Times New Roman" w:eastAsia="Times New Roman" w:hAnsi="Times New Roman" w:cs="Times New Roman"/>
      <w:sz w:val="24"/>
      <w:szCs w:val="24"/>
    </w:rPr>
  </w:style>
  <w:style w:type="paragraph" w:customStyle="1" w:styleId="note-body">
    <w:name w:val="note-body"/>
    <w:basedOn w:val="Normal"/>
    <w:rsid w:val="002A2767"/>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2A2767"/>
    <w:pPr>
      <w:spacing w:before="75" w:after="0" w:line="240" w:lineRule="auto"/>
    </w:pPr>
    <w:rPr>
      <w:rFonts w:ascii="Times New Roman" w:eastAsia="Times New Roman" w:hAnsi="Times New Roman" w:cs="Times New Roman"/>
      <w:sz w:val="24"/>
      <w:szCs w:val="24"/>
    </w:rPr>
  </w:style>
  <w:style w:type="paragraph" w:customStyle="1" w:styleId="footnote">
    <w:name w:val="footnote"/>
    <w:basedOn w:val="Normal"/>
    <w:rsid w:val="002A2767"/>
    <w:pPr>
      <w:spacing w:before="240" w:after="240" w:line="240" w:lineRule="auto"/>
      <w:ind w:left="240" w:right="240" w:firstLine="240"/>
    </w:pPr>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2A2767"/>
    <w:rPr>
      <w:color w:val="0000FF"/>
      <w:u w:val="single"/>
    </w:rPr>
  </w:style>
  <w:style w:type="character" w:styleId="Strong">
    <w:name w:val="Strong"/>
    <w:basedOn w:val="DefaultParagraphFont"/>
    <w:uiPriority w:val="22"/>
    <w:qFormat/>
    <w:rsid w:val="002A2767"/>
    <w:rPr>
      <w:b/>
      <w:bCs/>
    </w:rPr>
  </w:style>
  <w:style w:type="paragraph" w:customStyle="1" w:styleId="statutory-body">
    <w:name w:val="statutory-body"/>
    <w:basedOn w:val="Normal"/>
    <w:rsid w:val="002A2767"/>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2767"/>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A2767"/>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27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A2767"/>
    <w:rPr>
      <w:rFonts w:ascii="Times New Roman" w:eastAsia="Times New Roman" w:hAnsi="Times New Roman" w:cs="Times New Roman"/>
      <w:b/>
      <w:bCs/>
      <w:smallCaps/>
      <w:sz w:val="24"/>
      <w:szCs w:val="24"/>
    </w:rPr>
  </w:style>
  <w:style w:type="paragraph" w:styleId="NormalWeb">
    <w:name w:val="Normal (Web)"/>
    <w:basedOn w:val="Normal"/>
    <w:uiPriority w:val="99"/>
    <w:semiHidden/>
    <w:unhideWhenUsed/>
    <w:rsid w:val="002A2767"/>
    <w:pPr>
      <w:spacing w:after="0" w:line="240" w:lineRule="auto"/>
      <w:ind w:firstLine="240"/>
    </w:pPr>
    <w:rPr>
      <w:rFonts w:ascii="Times New Roman" w:eastAsia="Times New Roman" w:hAnsi="Times New Roman" w:cs="Times New Roman"/>
      <w:sz w:val="24"/>
      <w:szCs w:val="24"/>
    </w:rPr>
  </w:style>
  <w:style w:type="paragraph" w:customStyle="1" w:styleId="note-body">
    <w:name w:val="note-body"/>
    <w:basedOn w:val="Normal"/>
    <w:rsid w:val="002A2767"/>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2A2767"/>
    <w:pPr>
      <w:spacing w:before="75" w:after="0" w:line="240" w:lineRule="auto"/>
    </w:pPr>
    <w:rPr>
      <w:rFonts w:ascii="Times New Roman" w:eastAsia="Times New Roman" w:hAnsi="Times New Roman" w:cs="Times New Roman"/>
      <w:sz w:val="24"/>
      <w:szCs w:val="24"/>
    </w:rPr>
  </w:style>
  <w:style w:type="paragraph" w:customStyle="1" w:styleId="footnote">
    <w:name w:val="footnote"/>
    <w:basedOn w:val="Normal"/>
    <w:rsid w:val="002A2767"/>
    <w:pPr>
      <w:spacing w:before="240" w:after="240" w:line="240" w:lineRule="auto"/>
      <w:ind w:left="240" w:right="240" w:firstLine="240"/>
    </w:pPr>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2A2767"/>
    <w:rPr>
      <w:color w:val="0000FF"/>
      <w:u w:val="single"/>
    </w:rPr>
  </w:style>
  <w:style w:type="character" w:styleId="Strong">
    <w:name w:val="Strong"/>
    <w:basedOn w:val="DefaultParagraphFont"/>
    <w:uiPriority w:val="22"/>
    <w:qFormat/>
    <w:rsid w:val="002A2767"/>
    <w:rPr>
      <w:b/>
      <w:bCs/>
    </w:rPr>
  </w:style>
  <w:style w:type="paragraph" w:customStyle="1" w:styleId="statutory-body">
    <w:name w:val="statutory-body"/>
    <w:basedOn w:val="Normal"/>
    <w:rsid w:val="002A2767"/>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49323">
      <w:bodyDiv w:val="1"/>
      <w:marLeft w:val="720"/>
      <w:marRight w:val="0"/>
      <w:marTop w:val="0"/>
      <w:marBottom w:val="0"/>
      <w:divBdr>
        <w:top w:val="none" w:sz="0" w:space="0" w:color="auto"/>
        <w:left w:val="none" w:sz="0" w:space="0" w:color="auto"/>
        <w:bottom w:val="none" w:sz="0" w:space="0" w:color="auto"/>
        <w:right w:val="none" w:sz="0" w:space="0" w:color="auto"/>
      </w:divBdr>
      <w:divsChild>
        <w:div w:id="1384018489">
          <w:marLeft w:val="0"/>
          <w:marRight w:val="0"/>
          <w:marTop w:val="0"/>
          <w:marBottom w:val="0"/>
          <w:divBdr>
            <w:top w:val="none" w:sz="0" w:space="0" w:color="auto"/>
            <w:left w:val="none" w:sz="0" w:space="0" w:color="auto"/>
            <w:bottom w:val="none" w:sz="0" w:space="0" w:color="auto"/>
            <w:right w:val="none" w:sz="0" w:space="0" w:color="auto"/>
          </w:divBdr>
          <w:divsChild>
            <w:div w:id="1140417699">
              <w:marLeft w:val="0"/>
              <w:marRight w:val="0"/>
              <w:marTop w:val="0"/>
              <w:marBottom w:val="0"/>
              <w:divBdr>
                <w:top w:val="none" w:sz="0" w:space="0" w:color="auto"/>
                <w:left w:val="none" w:sz="0" w:space="0" w:color="auto"/>
                <w:bottom w:val="none" w:sz="0" w:space="0" w:color="auto"/>
                <w:right w:val="none" w:sz="0" w:space="0" w:color="auto"/>
              </w:divBdr>
              <w:divsChild>
                <w:div w:id="1610887834">
                  <w:marLeft w:val="0"/>
                  <w:marRight w:val="0"/>
                  <w:marTop w:val="0"/>
                  <w:marBottom w:val="0"/>
                  <w:divBdr>
                    <w:top w:val="none" w:sz="0" w:space="0" w:color="auto"/>
                    <w:left w:val="none" w:sz="0" w:space="0" w:color="auto"/>
                    <w:bottom w:val="none" w:sz="0" w:space="0" w:color="auto"/>
                    <w:right w:val="none" w:sz="0" w:space="0" w:color="auto"/>
                  </w:divBdr>
                </w:div>
              </w:divsChild>
            </w:div>
            <w:div w:id="1886091191">
              <w:marLeft w:val="0"/>
              <w:marRight w:val="0"/>
              <w:marTop w:val="0"/>
              <w:marBottom w:val="0"/>
              <w:divBdr>
                <w:top w:val="none" w:sz="0" w:space="0" w:color="auto"/>
                <w:left w:val="none" w:sz="0" w:space="0" w:color="auto"/>
                <w:bottom w:val="none" w:sz="0" w:space="0" w:color="auto"/>
                <w:right w:val="none" w:sz="0" w:space="0" w:color="auto"/>
              </w:divBdr>
              <w:divsChild>
                <w:div w:id="1956015665">
                  <w:marLeft w:val="0"/>
                  <w:marRight w:val="0"/>
                  <w:marTop w:val="0"/>
                  <w:marBottom w:val="0"/>
                  <w:divBdr>
                    <w:top w:val="none" w:sz="0" w:space="0" w:color="auto"/>
                    <w:left w:val="none" w:sz="0" w:space="0" w:color="auto"/>
                    <w:bottom w:val="none" w:sz="0" w:space="0" w:color="auto"/>
                    <w:right w:val="none" w:sz="0" w:space="0" w:color="auto"/>
                  </w:divBdr>
                </w:div>
              </w:divsChild>
            </w:div>
            <w:div w:id="1037270256">
              <w:marLeft w:val="0"/>
              <w:marRight w:val="0"/>
              <w:marTop w:val="0"/>
              <w:marBottom w:val="0"/>
              <w:divBdr>
                <w:top w:val="none" w:sz="0" w:space="0" w:color="auto"/>
                <w:left w:val="none" w:sz="0" w:space="0" w:color="auto"/>
                <w:bottom w:val="none" w:sz="0" w:space="0" w:color="auto"/>
                <w:right w:val="none" w:sz="0" w:space="0" w:color="auto"/>
              </w:divBdr>
              <w:divsChild>
                <w:div w:id="1276981660">
                  <w:marLeft w:val="0"/>
                  <w:marRight w:val="0"/>
                  <w:marTop w:val="0"/>
                  <w:marBottom w:val="0"/>
                  <w:divBdr>
                    <w:top w:val="none" w:sz="0" w:space="0" w:color="auto"/>
                    <w:left w:val="none" w:sz="0" w:space="0" w:color="auto"/>
                    <w:bottom w:val="none" w:sz="0" w:space="0" w:color="auto"/>
                    <w:right w:val="none" w:sz="0" w:space="0" w:color="auto"/>
                  </w:divBdr>
                </w:div>
              </w:divsChild>
            </w:div>
            <w:div w:id="481971469">
              <w:marLeft w:val="0"/>
              <w:marRight w:val="0"/>
              <w:marTop w:val="0"/>
              <w:marBottom w:val="0"/>
              <w:divBdr>
                <w:top w:val="none" w:sz="0" w:space="0" w:color="auto"/>
                <w:left w:val="none" w:sz="0" w:space="0" w:color="auto"/>
                <w:bottom w:val="none" w:sz="0" w:space="0" w:color="auto"/>
                <w:right w:val="none" w:sz="0" w:space="0" w:color="auto"/>
              </w:divBdr>
              <w:divsChild>
                <w:div w:id="883442160">
                  <w:marLeft w:val="0"/>
                  <w:marRight w:val="0"/>
                  <w:marTop w:val="0"/>
                  <w:marBottom w:val="0"/>
                  <w:divBdr>
                    <w:top w:val="none" w:sz="0" w:space="0" w:color="auto"/>
                    <w:left w:val="none" w:sz="0" w:space="0" w:color="auto"/>
                    <w:bottom w:val="none" w:sz="0" w:space="0" w:color="auto"/>
                    <w:right w:val="none" w:sz="0" w:space="0" w:color="auto"/>
                  </w:divBdr>
                </w:div>
              </w:divsChild>
            </w:div>
            <w:div w:id="460419041">
              <w:marLeft w:val="0"/>
              <w:marRight w:val="0"/>
              <w:marTop w:val="0"/>
              <w:marBottom w:val="0"/>
              <w:divBdr>
                <w:top w:val="none" w:sz="0" w:space="0" w:color="auto"/>
                <w:left w:val="none" w:sz="0" w:space="0" w:color="auto"/>
                <w:bottom w:val="none" w:sz="0" w:space="0" w:color="auto"/>
                <w:right w:val="none" w:sz="0" w:space="0" w:color="auto"/>
              </w:divBdr>
              <w:divsChild>
                <w:div w:id="435830802">
                  <w:marLeft w:val="0"/>
                  <w:marRight w:val="0"/>
                  <w:marTop w:val="0"/>
                  <w:marBottom w:val="0"/>
                  <w:divBdr>
                    <w:top w:val="none" w:sz="0" w:space="0" w:color="auto"/>
                    <w:left w:val="none" w:sz="0" w:space="0" w:color="auto"/>
                    <w:bottom w:val="none" w:sz="0" w:space="0" w:color="auto"/>
                    <w:right w:val="none" w:sz="0" w:space="0" w:color="auto"/>
                  </w:divBdr>
                </w:div>
              </w:divsChild>
            </w:div>
            <w:div w:id="1136682869">
              <w:marLeft w:val="0"/>
              <w:marRight w:val="0"/>
              <w:marTop w:val="0"/>
              <w:marBottom w:val="0"/>
              <w:divBdr>
                <w:top w:val="none" w:sz="0" w:space="0" w:color="auto"/>
                <w:left w:val="none" w:sz="0" w:space="0" w:color="auto"/>
                <w:bottom w:val="none" w:sz="0" w:space="0" w:color="auto"/>
                <w:right w:val="none" w:sz="0" w:space="0" w:color="auto"/>
              </w:divBdr>
              <w:divsChild>
                <w:div w:id="1170482180">
                  <w:marLeft w:val="0"/>
                  <w:marRight w:val="0"/>
                  <w:marTop w:val="0"/>
                  <w:marBottom w:val="0"/>
                  <w:divBdr>
                    <w:top w:val="none" w:sz="0" w:space="0" w:color="auto"/>
                    <w:left w:val="none" w:sz="0" w:space="0" w:color="auto"/>
                    <w:bottom w:val="none" w:sz="0" w:space="0" w:color="auto"/>
                    <w:right w:val="none" w:sz="0" w:space="0" w:color="auto"/>
                  </w:divBdr>
                </w:div>
              </w:divsChild>
            </w:div>
            <w:div w:id="473452930">
              <w:marLeft w:val="0"/>
              <w:marRight w:val="0"/>
              <w:marTop w:val="0"/>
              <w:marBottom w:val="0"/>
              <w:divBdr>
                <w:top w:val="none" w:sz="0" w:space="0" w:color="auto"/>
                <w:left w:val="none" w:sz="0" w:space="0" w:color="auto"/>
                <w:bottom w:val="none" w:sz="0" w:space="0" w:color="auto"/>
                <w:right w:val="none" w:sz="0" w:space="0" w:color="auto"/>
              </w:divBdr>
              <w:divsChild>
                <w:div w:id="327903630">
                  <w:marLeft w:val="0"/>
                  <w:marRight w:val="0"/>
                  <w:marTop w:val="0"/>
                  <w:marBottom w:val="0"/>
                  <w:divBdr>
                    <w:top w:val="none" w:sz="0" w:space="0" w:color="auto"/>
                    <w:left w:val="none" w:sz="0" w:space="0" w:color="auto"/>
                    <w:bottom w:val="none" w:sz="0" w:space="0" w:color="auto"/>
                    <w:right w:val="none" w:sz="0" w:space="0" w:color="auto"/>
                  </w:divBdr>
                </w:div>
              </w:divsChild>
            </w:div>
            <w:div w:id="715735757">
              <w:marLeft w:val="0"/>
              <w:marRight w:val="0"/>
              <w:marTop w:val="0"/>
              <w:marBottom w:val="0"/>
              <w:divBdr>
                <w:top w:val="none" w:sz="0" w:space="0" w:color="auto"/>
                <w:left w:val="none" w:sz="0" w:space="0" w:color="auto"/>
                <w:bottom w:val="none" w:sz="0" w:space="0" w:color="auto"/>
                <w:right w:val="none" w:sz="0" w:space="0" w:color="auto"/>
              </w:divBdr>
              <w:divsChild>
                <w:div w:id="218322444">
                  <w:marLeft w:val="0"/>
                  <w:marRight w:val="0"/>
                  <w:marTop w:val="0"/>
                  <w:marBottom w:val="0"/>
                  <w:divBdr>
                    <w:top w:val="none" w:sz="0" w:space="0" w:color="auto"/>
                    <w:left w:val="none" w:sz="0" w:space="0" w:color="auto"/>
                    <w:bottom w:val="none" w:sz="0" w:space="0" w:color="auto"/>
                    <w:right w:val="none" w:sz="0" w:space="0" w:color="auto"/>
                  </w:divBdr>
                </w:div>
              </w:divsChild>
            </w:div>
            <w:div w:id="1084300403">
              <w:marLeft w:val="0"/>
              <w:marRight w:val="0"/>
              <w:marTop w:val="0"/>
              <w:marBottom w:val="0"/>
              <w:divBdr>
                <w:top w:val="none" w:sz="0" w:space="0" w:color="auto"/>
                <w:left w:val="none" w:sz="0" w:space="0" w:color="auto"/>
                <w:bottom w:val="none" w:sz="0" w:space="0" w:color="auto"/>
                <w:right w:val="none" w:sz="0" w:space="0" w:color="auto"/>
              </w:divBdr>
              <w:divsChild>
                <w:div w:id="1412774627">
                  <w:marLeft w:val="0"/>
                  <w:marRight w:val="0"/>
                  <w:marTop w:val="0"/>
                  <w:marBottom w:val="0"/>
                  <w:divBdr>
                    <w:top w:val="none" w:sz="0" w:space="0" w:color="auto"/>
                    <w:left w:val="none" w:sz="0" w:space="0" w:color="auto"/>
                    <w:bottom w:val="none" w:sz="0" w:space="0" w:color="auto"/>
                    <w:right w:val="none" w:sz="0" w:space="0" w:color="auto"/>
                  </w:divBdr>
                </w:div>
              </w:divsChild>
            </w:div>
            <w:div w:id="1926109521">
              <w:marLeft w:val="0"/>
              <w:marRight w:val="0"/>
              <w:marTop w:val="0"/>
              <w:marBottom w:val="0"/>
              <w:divBdr>
                <w:top w:val="none" w:sz="0" w:space="0" w:color="auto"/>
                <w:left w:val="none" w:sz="0" w:space="0" w:color="auto"/>
                <w:bottom w:val="none" w:sz="0" w:space="0" w:color="auto"/>
                <w:right w:val="none" w:sz="0" w:space="0" w:color="auto"/>
              </w:divBdr>
              <w:divsChild>
                <w:div w:id="2118518537">
                  <w:marLeft w:val="0"/>
                  <w:marRight w:val="0"/>
                  <w:marTop w:val="0"/>
                  <w:marBottom w:val="0"/>
                  <w:divBdr>
                    <w:top w:val="none" w:sz="0" w:space="0" w:color="auto"/>
                    <w:left w:val="none" w:sz="0" w:space="0" w:color="auto"/>
                    <w:bottom w:val="none" w:sz="0" w:space="0" w:color="auto"/>
                    <w:right w:val="none" w:sz="0" w:space="0" w:color="auto"/>
                  </w:divBdr>
                </w:div>
              </w:divsChild>
            </w:div>
            <w:div w:id="619645861">
              <w:marLeft w:val="0"/>
              <w:marRight w:val="0"/>
              <w:marTop w:val="0"/>
              <w:marBottom w:val="0"/>
              <w:divBdr>
                <w:top w:val="none" w:sz="0" w:space="0" w:color="auto"/>
                <w:left w:val="none" w:sz="0" w:space="0" w:color="auto"/>
                <w:bottom w:val="none" w:sz="0" w:space="0" w:color="auto"/>
                <w:right w:val="none" w:sz="0" w:space="0" w:color="auto"/>
              </w:divBdr>
              <w:divsChild>
                <w:div w:id="9487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3440</Words>
  <Characters>19611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4</cp:revision>
  <dcterms:created xsi:type="dcterms:W3CDTF">2016-07-01T13:12:00Z</dcterms:created>
  <dcterms:modified xsi:type="dcterms:W3CDTF">2016-07-01T13:15:00Z</dcterms:modified>
</cp:coreProperties>
</file>