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42AB" w14:paraId="68E830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p>
    <w:p w:rsidR="00295103" w14:paraId="2EA54D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 xml:space="preserve">Supporting Statement </w:t>
      </w:r>
      <w:r w:rsidR="007851E9">
        <w:rPr>
          <w:b/>
          <w:bCs/>
          <w:sz w:val="32"/>
          <w:szCs w:val="32"/>
        </w:rPr>
        <w:t>A</w:t>
      </w:r>
    </w:p>
    <w:p w:rsidR="009B359F" w14:paraId="16A526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P="004E75B9" w14:paraId="58C2F5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E75B9">
        <w:rPr>
          <w:b/>
          <w:bCs/>
          <w:sz w:val="32"/>
          <w:szCs w:val="32"/>
        </w:rPr>
        <w:t>Trust Land Mortgage Lender Checklist</w:t>
      </w:r>
      <w:r>
        <w:rPr>
          <w:b/>
          <w:bCs/>
          <w:sz w:val="32"/>
          <w:szCs w:val="32"/>
        </w:rPr>
        <w:t>s</w:t>
      </w:r>
    </w:p>
    <w:p w:rsidR="004E75B9" w:rsidP="004E75B9" w14:paraId="4A5443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P="009B359F" w14:paraId="1DA88E97" w14:textId="06A637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Pr="004B6AD9" w:rsidR="004B6AD9">
        <w:rPr>
          <w:b/>
          <w:bCs/>
          <w:sz w:val="32"/>
          <w:szCs w:val="32"/>
        </w:rPr>
        <w:t>1076-0195</w:t>
      </w:r>
    </w:p>
    <w:p w:rsidR="009B359F" w:rsidP="003F73B8" w14:paraId="667307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9B359F" w:rsidRPr="005E1497" w:rsidP="000F3AF1" w14:paraId="66011D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5E1497">
        <w:rPr>
          <w:b/>
          <w:bCs/>
          <w:sz w:val="24"/>
          <w:szCs w:val="24"/>
        </w:rPr>
        <w:t xml:space="preserve">Terms of Clearance: </w:t>
      </w:r>
      <w:r w:rsidRPr="005E1497" w:rsidR="002C2DA0">
        <w:rPr>
          <w:b/>
          <w:bCs/>
          <w:sz w:val="24"/>
          <w:szCs w:val="24"/>
        </w:rPr>
        <w:t>None.</w:t>
      </w:r>
    </w:p>
    <w:p w:rsidR="009B359F" w:rsidP="009B359F" w14:paraId="53D943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5100A7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Pr="003B5CB7" w14:paraId="211948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3B5CB7" w14:paraId="61FE4A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w:t>
      </w:r>
      <w:r w:rsidRPr="003B5CB7" w:rsidR="009B359F">
        <w:rPr>
          <w:b/>
          <w:sz w:val="24"/>
          <w:szCs w:val="24"/>
        </w:rPr>
        <w:t xml:space="preserve"> A </w:t>
      </w:r>
      <w:r w:rsidRPr="003B5CB7">
        <w:rPr>
          <w:b/>
          <w:sz w:val="24"/>
          <w:szCs w:val="24"/>
        </w:rPr>
        <w:t xml:space="preserve">must accompany each request for approval of a collection of information.  The Supporting Statement must be prepared in the format described below, and must contain the information </w:t>
      </w:r>
      <w:r w:rsidRPr="003B5CB7" w:rsidR="009B359F">
        <w:rPr>
          <w:b/>
          <w:sz w:val="24"/>
          <w:szCs w:val="24"/>
        </w:rPr>
        <w:t xml:space="preserve">specified </w:t>
      </w:r>
      <w:r w:rsidRPr="003B5CB7">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Pr>
          <w:b/>
          <w:sz w:val="24"/>
          <w:szCs w:val="24"/>
        </w:rPr>
        <w:t>is checked "Yes</w:t>
      </w:r>
      <w:r w:rsidRPr="003B5CB7" w:rsidR="009B359F">
        <w:rPr>
          <w:b/>
          <w:sz w:val="24"/>
          <w:szCs w:val="24"/>
        </w:rPr>
        <w:t>,</w:t>
      </w:r>
      <w:r w:rsidRPr="003B5CB7">
        <w:rPr>
          <w:b/>
          <w:sz w:val="24"/>
          <w:szCs w:val="24"/>
        </w:rPr>
        <w:t xml:space="preserve">" </w:t>
      </w:r>
      <w:r w:rsidRPr="003B5CB7" w:rsidR="009B359F">
        <w:rPr>
          <w:b/>
          <w:sz w:val="24"/>
          <w:szCs w:val="24"/>
        </w:rPr>
        <w:t xml:space="preserve">then a </w:t>
      </w:r>
      <w:r w:rsidRPr="003B5CB7">
        <w:rPr>
          <w:b/>
          <w:sz w:val="24"/>
          <w:szCs w:val="24"/>
        </w:rPr>
        <w:t xml:space="preserve">Supporting Statement </w:t>
      </w:r>
      <w:r w:rsidRPr="003B5CB7" w:rsidR="009B359F">
        <w:rPr>
          <w:b/>
          <w:sz w:val="24"/>
          <w:szCs w:val="24"/>
        </w:rPr>
        <w:t xml:space="preserve">B </w:t>
      </w:r>
      <w:r w:rsidRPr="003B5CB7">
        <w:rPr>
          <w:b/>
          <w:sz w:val="24"/>
          <w:szCs w:val="24"/>
        </w:rPr>
        <w:t>must be completed.  OMB reserves the right to require the submission of additional information with respect to any request for approval.</w:t>
      </w:r>
    </w:p>
    <w:p w:rsidR="00295103" w14:paraId="7389B7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54DC5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138E88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5E12AB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0D3FE6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6789F8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Pr="003B5CB7" w:rsidR="000F3AF1">
        <w:rPr>
          <w:b/>
          <w:sz w:val="24"/>
          <w:szCs w:val="24"/>
        </w:rPr>
        <w:t>.</w:t>
      </w:r>
    </w:p>
    <w:p w:rsidR="00FB5E17" w:rsidP="00D53FA7" w14:paraId="32FDAC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3FA7" w:rsidRPr="00D53FA7" w:rsidP="00D53FA7" w14:paraId="48DB9A34" w14:textId="5AC9480F">
      <w:pPr>
        <w:rPr>
          <w:sz w:val="24"/>
          <w:szCs w:val="22"/>
        </w:rPr>
      </w:pPr>
      <w:r w:rsidRPr="00D53FA7">
        <w:rPr>
          <w:sz w:val="24"/>
          <w:szCs w:val="22"/>
        </w:rPr>
        <w:t xml:space="preserve">This information collection is necessary for the Bureau of Indian Affairs (BIA) to </w:t>
      </w:r>
      <w:r w:rsidR="00FB5E17">
        <w:rPr>
          <w:sz w:val="24"/>
          <w:szCs w:val="22"/>
        </w:rPr>
        <w:t>approve mortgages on trust or restricted land</w:t>
      </w:r>
      <w:r w:rsidR="000A26CA">
        <w:rPr>
          <w:sz w:val="24"/>
          <w:szCs w:val="22"/>
        </w:rPr>
        <w:t xml:space="preserve"> by simplifying the process for </w:t>
      </w:r>
      <w:r w:rsidR="00045808">
        <w:rPr>
          <w:sz w:val="24"/>
          <w:szCs w:val="22"/>
        </w:rPr>
        <w:t>respondents</w:t>
      </w:r>
      <w:r w:rsidRPr="00D53FA7">
        <w:rPr>
          <w:sz w:val="24"/>
          <w:szCs w:val="22"/>
        </w:rPr>
        <w:t>.</w:t>
      </w:r>
      <w:r w:rsidR="00FB5E17">
        <w:rPr>
          <w:sz w:val="24"/>
          <w:szCs w:val="22"/>
        </w:rPr>
        <w:t xml:space="preserve"> In accordance with </w:t>
      </w:r>
      <w:hyperlink r:id="rId5" w:history="1">
        <w:r w:rsidRPr="00477361" w:rsidR="00FB5E17">
          <w:rPr>
            <w:rStyle w:val="Hyperlink"/>
            <w:sz w:val="24"/>
            <w:szCs w:val="22"/>
          </w:rPr>
          <w:t>25 CFR 152.34</w:t>
        </w:r>
      </w:hyperlink>
      <w:r w:rsidR="00FB5E17">
        <w:rPr>
          <w:sz w:val="24"/>
          <w:szCs w:val="22"/>
        </w:rPr>
        <w:t xml:space="preserve"> any individual Indian owner of trust or restricted lands may</w:t>
      </w:r>
      <w:r w:rsidR="00EF5CB7">
        <w:rPr>
          <w:sz w:val="24"/>
          <w:szCs w:val="22"/>
        </w:rPr>
        <w:t>,</w:t>
      </w:r>
      <w:r w:rsidR="00FB5E17">
        <w:rPr>
          <w:sz w:val="24"/>
          <w:szCs w:val="22"/>
        </w:rPr>
        <w:t xml:space="preserve"> with the approval of the Secretary</w:t>
      </w:r>
      <w:r w:rsidR="00EF5CB7">
        <w:rPr>
          <w:sz w:val="24"/>
          <w:szCs w:val="22"/>
        </w:rPr>
        <w:t>,</w:t>
      </w:r>
      <w:r w:rsidR="00FB5E17">
        <w:rPr>
          <w:sz w:val="24"/>
          <w:szCs w:val="22"/>
        </w:rPr>
        <w:t xml:space="preserve"> execute a mortgage or deed of trust to his land</w:t>
      </w:r>
      <w:r w:rsidR="008C46CE">
        <w:rPr>
          <w:sz w:val="24"/>
          <w:szCs w:val="22"/>
        </w:rPr>
        <w:t xml:space="preserve"> for the purpose of home acquisition and construction, home improvements, and economic development</w:t>
      </w:r>
      <w:r w:rsidR="00FB5E17">
        <w:rPr>
          <w:sz w:val="24"/>
          <w:szCs w:val="22"/>
        </w:rPr>
        <w:t xml:space="preserve">. Such lands shall be subject to foreclosure or sale pursuant to the terms of the mortgage or deed of trust in accordance with </w:t>
      </w:r>
      <w:r w:rsidR="008F5F56">
        <w:rPr>
          <w:sz w:val="24"/>
          <w:szCs w:val="22"/>
        </w:rPr>
        <w:t>the State in which the lands are located. 25 U.S.C</w:t>
      </w:r>
      <w:r w:rsidR="0009611C">
        <w:rPr>
          <w:sz w:val="24"/>
          <w:szCs w:val="22"/>
        </w:rPr>
        <w:t xml:space="preserve">. </w:t>
      </w:r>
      <w:r w:rsidR="008F5F56">
        <w:rPr>
          <w:sz w:val="24"/>
          <w:szCs w:val="22"/>
        </w:rPr>
        <w:t>5135 authorizes land be subject to foreclosure or sale pursuant to the terms of such mortgage or deed of trust in accordance with the laws of the tribe which has jurisdiction over such land or, in the case where no tribal foreclosure law exists</w:t>
      </w:r>
      <w:r w:rsidR="00EF5CB7">
        <w:rPr>
          <w:sz w:val="24"/>
          <w:szCs w:val="22"/>
        </w:rPr>
        <w:t xml:space="preserve"> and </w:t>
      </w:r>
      <w:r w:rsidR="008F5F56">
        <w:rPr>
          <w:sz w:val="24"/>
          <w:szCs w:val="22"/>
        </w:rPr>
        <w:t xml:space="preserve">in accordance with the State. </w:t>
      </w:r>
    </w:p>
    <w:p w:rsidR="002C2DA0" w14:paraId="2BB793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3C9A1B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3B5CB7" w:rsidR="00DE1FFE">
        <w:rPr>
          <w:b/>
          <w:sz w:val="24"/>
          <w:szCs w:val="24"/>
        </w:rPr>
        <w:t xml:space="preserve"> </w:t>
      </w:r>
      <w:r w:rsidRPr="003B5CB7">
        <w:rPr>
          <w:b/>
          <w:sz w:val="24"/>
          <w:szCs w:val="24"/>
        </w:rPr>
        <w:t xml:space="preserve">Be specific.  If this collection is a form or a questionnaire, every </w:t>
      </w:r>
      <w:r w:rsidRPr="003B5CB7" w:rsidR="00DE1FFE">
        <w:rPr>
          <w:b/>
          <w:sz w:val="24"/>
          <w:szCs w:val="24"/>
        </w:rPr>
        <w:t>question needs to be justified.</w:t>
      </w:r>
    </w:p>
    <w:p w:rsidR="00295103" w14:paraId="7F1FED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A2467" w:rsidP="00C36F07" w14:paraId="06EFDBEE" w14:textId="35BCE0DC">
      <w:pPr>
        <w:rPr>
          <w:sz w:val="24"/>
          <w:szCs w:val="22"/>
        </w:rPr>
      </w:pPr>
      <w:r w:rsidRPr="00D53FA7">
        <w:rPr>
          <w:sz w:val="24"/>
          <w:szCs w:val="22"/>
        </w:rPr>
        <w:t>BIA uses the information it collect</w:t>
      </w:r>
      <w:r>
        <w:rPr>
          <w:sz w:val="24"/>
          <w:szCs w:val="22"/>
        </w:rPr>
        <w:t xml:space="preserve">s </w:t>
      </w:r>
      <w:r w:rsidR="00680B44">
        <w:rPr>
          <w:sz w:val="24"/>
          <w:szCs w:val="22"/>
        </w:rPr>
        <w:t>from the Lender</w:t>
      </w:r>
      <w:r w:rsidR="0030464E">
        <w:rPr>
          <w:sz w:val="24"/>
          <w:szCs w:val="22"/>
        </w:rPr>
        <w:t>,</w:t>
      </w:r>
      <w:r w:rsidR="00680B44">
        <w:rPr>
          <w:sz w:val="24"/>
          <w:szCs w:val="22"/>
        </w:rPr>
        <w:t xml:space="preserve"> utilizing </w:t>
      </w:r>
      <w:r w:rsidR="00C36F07">
        <w:rPr>
          <w:sz w:val="24"/>
          <w:szCs w:val="22"/>
        </w:rPr>
        <w:t xml:space="preserve">both </w:t>
      </w:r>
      <w:r w:rsidR="00680B44">
        <w:rPr>
          <w:sz w:val="24"/>
          <w:szCs w:val="22"/>
        </w:rPr>
        <w:t xml:space="preserve">the Land Mortgage Lender Loan Checklist </w:t>
      </w:r>
      <w:r w:rsidR="00C36F07">
        <w:rPr>
          <w:sz w:val="24"/>
          <w:szCs w:val="22"/>
        </w:rPr>
        <w:t>and Leasehold Mortgage Lender Checklist</w:t>
      </w:r>
      <w:r w:rsidR="0030464E">
        <w:rPr>
          <w:sz w:val="24"/>
          <w:szCs w:val="22"/>
        </w:rPr>
        <w:t>,</w:t>
      </w:r>
      <w:r w:rsidR="00C36F07">
        <w:rPr>
          <w:sz w:val="24"/>
          <w:szCs w:val="22"/>
        </w:rPr>
        <w:t xml:space="preserve"> </w:t>
      </w:r>
      <w:r>
        <w:rPr>
          <w:sz w:val="24"/>
          <w:szCs w:val="22"/>
        </w:rPr>
        <w:t xml:space="preserve">to review the trust mortgage </w:t>
      </w:r>
      <w:r>
        <w:rPr>
          <w:sz w:val="24"/>
          <w:szCs w:val="22"/>
        </w:rPr>
        <w:t xml:space="preserve">application for conformity to statutes, policies, and regulations. BIA is responsible for conducting a review of the mortgage application documents </w:t>
      </w:r>
      <w:r w:rsidR="00680B44">
        <w:rPr>
          <w:sz w:val="24"/>
          <w:szCs w:val="22"/>
        </w:rPr>
        <w:t xml:space="preserve">to ensure completeness </w:t>
      </w:r>
      <w:r>
        <w:rPr>
          <w:sz w:val="24"/>
          <w:szCs w:val="22"/>
        </w:rPr>
        <w:t>for recommendat</w:t>
      </w:r>
      <w:r w:rsidR="00680B44">
        <w:rPr>
          <w:sz w:val="24"/>
          <w:szCs w:val="22"/>
        </w:rPr>
        <w:t xml:space="preserve">ion of approval or disapproval. </w:t>
      </w:r>
      <w:r w:rsidR="00460312">
        <w:rPr>
          <w:sz w:val="24"/>
          <w:szCs w:val="22"/>
        </w:rPr>
        <w:t xml:space="preserve">The documents on the following checklists are required from the Lender, these documents the Lender already has prepared. </w:t>
      </w:r>
    </w:p>
    <w:p w:rsidR="00C36F07" w:rsidP="00C36F07" w14:paraId="3AD4E78B" w14:textId="77777777">
      <w:pPr>
        <w:rPr>
          <w:sz w:val="24"/>
          <w:szCs w:val="22"/>
        </w:rPr>
      </w:pPr>
    </w:p>
    <w:p w:rsidR="00C36F07" w:rsidP="00C36F07" w14:paraId="14C38E2C" w14:textId="5121CAB6">
      <w:pPr>
        <w:rPr>
          <w:sz w:val="24"/>
          <w:szCs w:val="22"/>
        </w:rPr>
      </w:pPr>
      <w:r>
        <w:rPr>
          <w:sz w:val="24"/>
          <w:szCs w:val="22"/>
        </w:rPr>
        <w:t>The Land Mortgage Lender Loan Checklist</w:t>
      </w:r>
      <w:r w:rsidR="00B20103">
        <w:rPr>
          <w:sz w:val="24"/>
          <w:szCs w:val="22"/>
        </w:rPr>
        <w:t xml:space="preserve"> (</w:t>
      </w:r>
      <w:hyperlink r:id="rId5" w:history="1">
        <w:r w:rsidRPr="00477361" w:rsidR="00B20103">
          <w:rPr>
            <w:rStyle w:val="Hyperlink"/>
            <w:sz w:val="24"/>
            <w:szCs w:val="22"/>
          </w:rPr>
          <w:t>25 CFR 152.34</w:t>
        </w:r>
      </w:hyperlink>
      <w:r w:rsidR="00B20103">
        <w:rPr>
          <w:sz w:val="24"/>
          <w:szCs w:val="22"/>
        </w:rPr>
        <w:t>)</w:t>
      </w:r>
      <w:r>
        <w:rPr>
          <w:sz w:val="24"/>
          <w:szCs w:val="22"/>
        </w:rPr>
        <w:t xml:space="preserve"> </w:t>
      </w:r>
      <w:r w:rsidR="006A6FFA">
        <w:rPr>
          <w:sz w:val="24"/>
          <w:szCs w:val="22"/>
        </w:rPr>
        <w:t>requests</w:t>
      </w:r>
      <w:r w:rsidR="00AD6E83">
        <w:rPr>
          <w:sz w:val="24"/>
          <w:szCs w:val="22"/>
        </w:rPr>
        <w:t xml:space="preserve"> the following documents needed for a thorough review: commitment letter; satisfaction</w:t>
      </w:r>
      <w:r w:rsidR="00EF5CB7">
        <w:rPr>
          <w:sz w:val="24"/>
          <w:szCs w:val="22"/>
        </w:rPr>
        <w:t xml:space="preserve"> acknowledgement</w:t>
      </w:r>
      <w:r w:rsidR="00AD6E83">
        <w:rPr>
          <w:sz w:val="24"/>
          <w:szCs w:val="22"/>
        </w:rPr>
        <w:t xml:space="preserve">; borrower’s application; lenders’ appraisal; authorization to share information with BIA; </w:t>
      </w:r>
      <w:r w:rsidRPr="00232C54" w:rsidR="00232C54">
        <w:rPr>
          <w:sz w:val="24"/>
          <w:szCs w:val="22"/>
        </w:rPr>
        <w:t>National Environmental Policy Act</w:t>
      </w:r>
      <w:r w:rsidR="00232C54">
        <w:rPr>
          <w:sz w:val="24"/>
          <w:szCs w:val="22"/>
        </w:rPr>
        <w:t xml:space="preserve"> (</w:t>
      </w:r>
      <w:r w:rsidR="00AD6E83">
        <w:rPr>
          <w:sz w:val="24"/>
          <w:szCs w:val="22"/>
        </w:rPr>
        <w:t>NEPA</w:t>
      </w:r>
      <w:r w:rsidR="00232C54">
        <w:rPr>
          <w:sz w:val="24"/>
          <w:szCs w:val="22"/>
        </w:rPr>
        <w:t>)</w:t>
      </w:r>
      <w:r w:rsidR="00AD6E83">
        <w:rPr>
          <w:sz w:val="24"/>
          <w:szCs w:val="22"/>
        </w:rPr>
        <w:t xml:space="preserve"> documentation; survey/site report; </w:t>
      </w:r>
      <w:r w:rsidR="00232C54">
        <w:rPr>
          <w:sz w:val="24"/>
          <w:szCs w:val="22"/>
        </w:rPr>
        <w:t>Rights-of-Way (</w:t>
      </w:r>
      <w:r w:rsidR="00AD6E83">
        <w:rPr>
          <w:sz w:val="24"/>
          <w:szCs w:val="22"/>
        </w:rPr>
        <w:t>ROW</w:t>
      </w:r>
      <w:r w:rsidR="00232C54">
        <w:rPr>
          <w:sz w:val="24"/>
          <w:szCs w:val="22"/>
        </w:rPr>
        <w:t>)</w:t>
      </w:r>
      <w:r w:rsidR="00AD6E83">
        <w:rPr>
          <w:sz w:val="24"/>
          <w:szCs w:val="22"/>
        </w:rPr>
        <w:t xml:space="preserve"> for ingress/egress; certified </w:t>
      </w:r>
      <w:r w:rsidR="00232C54">
        <w:rPr>
          <w:sz w:val="24"/>
          <w:szCs w:val="22"/>
        </w:rPr>
        <w:t>Title Status Report (</w:t>
      </w:r>
      <w:r w:rsidR="00AD6E83">
        <w:rPr>
          <w:sz w:val="24"/>
          <w:szCs w:val="22"/>
        </w:rPr>
        <w:t>TSR</w:t>
      </w:r>
      <w:r w:rsidR="00232C54">
        <w:rPr>
          <w:sz w:val="24"/>
          <w:szCs w:val="22"/>
        </w:rPr>
        <w:t>)</w:t>
      </w:r>
      <w:r w:rsidR="00AD6E83">
        <w:rPr>
          <w:sz w:val="24"/>
          <w:szCs w:val="22"/>
        </w:rPr>
        <w:t xml:space="preserve">; draft mortgage documents; statement Borrower is not delinquent on federal debt; proof of employment. </w:t>
      </w:r>
    </w:p>
    <w:p w:rsidR="00AD6E83" w:rsidRPr="00B20103" w:rsidP="00C36F07" w14:paraId="2D31FD2F" w14:textId="77777777">
      <w:pPr>
        <w:rPr>
          <w:sz w:val="24"/>
          <w:szCs w:val="24"/>
        </w:rPr>
      </w:pPr>
    </w:p>
    <w:p w:rsidR="00AD6E83" w:rsidP="00B20103" w14:paraId="71CACDB0" w14:textId="7B4BF322">
      <w:pPr>
        <w:widowControl/>
        <w:autoSpaceDE/>
        <w:autoSpaceDN/>
        <w:adjustRightInd/>
        <w:rPr>
          <w:sz w:val="24"/>
          <w:szCs w:val="22"/>
        </w:rPr>
      </w:pPr>
      <w:r w:rsidRPr="00B20103">
        <w:rPr>
          <w:sz w:val="24"/>
          <w:szCs w:val="24"/>
        </w:rPr>
        <w:t xml:space="preserve">The Leasehold Mortgage Lender Checklist </w:t>
      </w:r>
      <w:r w:rsidRPr="00B20103" w:rsidR="00B20103">
        <w:rPr>
          <w:sz w:val="24"/>
          <w:szCs w:val="24"/>
        </w:rPr>
        <w:t>(</w:t>
      </w:r>
      <w:hyperlink r:id="rId6" w:history="1">
        <w:r w:rsidRPr="001213F4" w:rsidR="00B20103">
          <w:rPr>
            <w:rStyle w:val="Hyperlink"/>
            <w:sz w:val="24"/>
            <w:szCs w:val="24"/>
          </w:rPr>
          <w:t>162.244</w:t>
        </w:r>
      </w:hyperlink>
      <w:r w:rsidRPr="00B20103" w:rsidR="00B20103">
        <w:rPr>
          <w:sz w:val="24"/>
          <w:szCs w:val="24"/>
        </w:rPr>
        <w:t xml:space="preserve">, </w:t>
      </w:r>
      <w:hyperlink r:id="rId6" w:history="1">
        <w:r w:rsidRPr="001213F4" w:rsidR="00B20103">
          <w:rPr>
            <w:rStyle w:val="Hyperlink"/>
            <w:sz w:val="24"/>
            <w:szCs w:val="24"/>
          </w:rPr>
          <w:t>162.357</w:t>
        </w:r>
      </w:hyperlink>
      <w:r w:rsidRPr="00B20103" w:rsidR="00B20103">
        <w:rPr>
          <w:sz w:val="24"/>
          <w:szCs w:val="24"/>
        </w:rPr>
        <w:t xml:space="preserve">, </w:t>
      </w:r>
      <w:hyperlink r:id="rId6" w:history="1">
        <w:r w:rsidRPr="001213F4" w:rsidR="00B20103">
          <w:rPr>
            <w:rStyle w:val="Hyperlink"/>
            <w:sz w:val="24"/>
            <w:szCs w:val="24"/>
          </w:rPr>
          <w:t>162.457</w:t>
        </w:r>
      </w:hyperlink>
      <w:r w:rsidRPr="00B20103" w:rsidR="00B20103">
        <w:rPr>
          <w:sz w:val="24"/>
          <w:szCs w:val="24"/>
        </w:rPr>
        <w:t xml:space="preserve">, </w:t>
      </w:r>
      <w:hyperlink r:id="rId6" w:history="1">
        <w:r w:rsidRPr="001213F4" w:rsidR="00B20103">
          <w:rPr>
            <w:rStyle w:val="Hyperlink"/>
            <w:sz w:val="24"/>
            <w:szCs w:val="24"/>
          </w:rPr>
          <w:t>162.582</w:t>
        </w:r>
      </w:hyperlink>
      <w:r w:rsidRPr="00B20103" w:rsidR="00B20103">
        <w:rPr>
          <w:sz w:val="24"/>
          <w:szCs w:val="24"/>
        </w:rPr>
        <w:t xml:space="preserve">, </w:t>
      </w:r>
      <w:hyperlink r:id="rId7" w:history="1">
        <w:r w:rsidRPr="001213F4" w:rsidR="00B20103">
          <w:rPr>
            <w:rStyle w:val="Hyperlink"/>
            <w:sz w:val="24"/>
            <w:szCs w:val="24"/>
          </w:rPr>
          <w:t>169.210</w:t>
        </w:r>
      </w:hyperlink>
      <w:r w:rsidRPr="00B20103" w:rsidR="00B20103">
        <w:rPr>
          <w:sz w:val="24"/>
          <w:szCs w:val="24"/>
        </w:rPr>
        <w:t xml:space="preserve">) </w:t>
      </w:r>
      <w:r w:rsidRPr="00B20103">
        <w:rPr>
          <w:sz w:val="24"/>
          <w:szCs w:val="24"/>
        </w:rPr>
        <w:t>requests the following documents needed for a thorough review for approval or disapproval: approved</w:t>
      </w:r>
      <w:r w:rsidRPr="00B20103">
        <w:rPr>
          <w:sz w:val="28"/>
          <w:szCs w:val="22"/>
        </w:rPr>
        <w:t xml:space="preserve"> </w:t>
      </w:r>
      <w:r>
        <w:rPr>
          <w:sz w:val="24"/>
          <w:szCs w:val="22"/>
        </w:rPr>
        <w:t>BIA lease; TSR; original mortgage documents, including deed of trust, promissory note, and program rider; survey plat of the homesite location; consent of the landowners; satisfaction</w:t>
      </w:r>
      <w:r w:rsidR="00EF5CB7">
        <w:rPr>
          <w:sz w:val="24"/>
          <w:szCs w:val="22"/>
        </w:rPr>
        <w:t xml:space="preserve"> acknowledgment</w:t>
      </w:r>
      <w:r>
        <w:rPr>
          <w:sz w:val="24"/>
          <w:szCs w:val="22"/>
        </w:rPr>
        <w:t xml:space="preserve">. </w:t>
      </w:r>
    </w:p>
    <w:p w:rsidR="006E6FE9" w:rsidP="00B20103" w14:paraId="3443D1F7" w14:textId="2FAECABF">
      <w:pPr>
        <w:widowControl/>
        <w:autoSpaceDE/>
        <w:autoSpaceDN/>
        <w:adjustRightInd/>
        <w:rPr>
          <w:sz w:val="24"/>
          <w:szCs w:val="22"/>
        </w:rPr>
      </w:pPr>
    </w:p>
    <w:p w:rsidR="00B44880" w:rsidRPr="006E6FE9" w:rsidP="006E6FE9" w14:paraId="50D8BE01" w14:textId="47945DA4">
      <w:pPr>
        <w:widowControl/>
        <w:autoSpaceDE/>
        <w:autoSpaceDN/>
        <w:adjustRightInd/>
      </w:pPr>
      <w:r>
        <w:rPr>
          <w:sz w:val="24"/>
          <w:szCs w:val="22"/>
        </w:rPr>
        <w:t>Both forms were developed i</w:t>
      </w:r>
      <w:r w:rsidRPr="006E6FE9">
        <w:rPr>
          <w:sz w:val="24"/>
          <w:szCs w:val="22"/>
        </w:rPr>
        <w:t>n order to expedite and s</w:t>
      </w:r>
      <w:r>
        <w:rPr>
          <w:sz w:val="24"/>
          <w:szCs w:val="22"/>
        </w:rPr>
        <w:t>treamline the mortgage process. Each checklist guides the respondent</w:t>
      </w:r>
      <w:r w:rsidRPr="006E6FE9">
        <w:rPr>
          <w:sz w:val="24"/>
          <w:szCs w:val="22"/>
        </w:rPr>
        <w:t xml:space="preserve"> through submitting documents to BI</w:t>
      </w:r>
      <w:r>
        <w:rPr>
          <w:sz w:val="24"/>
          <w:szCs w:val="22"/>
        </w:rPr>
        <w:t>A for a mortgage request review.  Additionally, both checklists provide the respondent</w:t>
      </w:r>
      <w:r w:rsidRPr="006E6FE9">
        <w:rPr>
          <w:sz w:val="24"/>
          <w:szCs w:val="22"/>
        </w:rPr>
        <w:t xml:space="preserve"> with general guidance for documents required for a complete package.  </w:t>
      </w:r>
    </w:p>
    <w:p w:rsidR="00B44880" w14:paraId="25FE00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13F25" w:rsidRPr="00B13F25" w:rsidP="00B13F25" w14:paraId="1C6374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w:t>
      </w:r>
      <w:r>
        <w:rPr>
          <w:b/>
          <w:sz w:val="24"/>
          <w:szCs w:val="24"/>
        </w:rPr>
        <w:t>ection meets GPEA requirements.</w:t>
      </w:r>
      <w:r>
        <w:tab/>
      </w:r>
    </w:p>
    <w:p w:rsidR="00B13F25" w:rsidP="00D53FA7" w14:paraId="2E79F61F" w14:textId="77777777">
      <w:pPr>
        <w:rPr>
          <w:sz w:val="24"/>
          <w:szCs w:val="22"/>
        </w:rPr>
      </w:pPr>
    </w:p>
    <w:p w:rsidR="0069713E" w:rsidRPr="0069713E" w:rsidP="0069713E" w14:paraId="12A3F45E" w14:textId="77777777">
      <w:pPr>
        <w:rPr>
          <w:sz w:val="24"/>
          <w:szCs w:val="24"/>
        </w:rPr>
      </w:pPr>
      <w:r w:rsidRPr="00D53FA7">
        <w:rPr>
          <w:sz w:val="24"/>
          <w:szCs w:val="22"/>
        </w:rPr>
        <w:t xml:space="preserve">To the extent respondents provide information in written form, rather than orally, BIA accepts the information via fax or e-mail to reduce burden on respondents.  </w:t>
      </w:r>
      <w:r w:rsidRPr="0069713E">
        <w:rPr>
          <w:sz w:val="24"/>
          <w:szCs w:val="24"/>
        </w:rPr>
        <w:t xml:space="preserve">Contact information for Regional and Agency Offices can be found at </w:t>
      </w:r>
      <w:hyperlink r:id="rId8" w:history="1">
        <w:r w:rsidRPr="0069713E">
          <w:rPr>
            <w:color w:val="0000FF"/>
            <w:sz w:val="24"/>
            <w:szCs w:val="24"/>
            <w:u w:val="single"/>
          </w:rPr>
          <w:t>https://www.bia.gov/regional-offices</w:t>
        </w:r>
      </w:hyperlink>
      <w:r w:rsidRPr="0069713E">
        <w:rPr>
          <w:sz w:val="24"/>
          <w:szCs w:val="24"/>
        </w:rPr>
        <w:t xml:space="preserve">. </w:t>
      </w:r>
    </w:p>
    <w:p w:rsidR="002C2DA0" w:rsidRPr="0069713E" w:rsidP="0069713E" w14:paraId="1B5583BE" w14:textId="528C6258">
      <w:pPr>
        <w:rPr>
          <w:sz w:val="24"/>
          <w:szCs w:val="22"/>
        </w:rPr>
      </w:pPr>
    </w:p>
    <w:p w:rsidR="00295103" w:rsidRPr="003B5CB7" w14:paraId="3AABC3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Describe efforts to identify duplication.  Show specifically why any similar information already available cannot be used or modified for use for the purposes described in Item 2 above.</w:t>
      </w:r>
    </w:p>
    <w:p w:rsidR="00295103" w14:paraId="6A7217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3FA7" w:rsidRPr="00D53FA7" w:rsidP="00D53FA7" w14:paraId="35F9B898" w14:textId="77777777">
      <w:pPr>
        <w:tabs>
          <w:tab w:val="left" w:pos="0"/>
        </w:tabs>
        <w:rPr>
          <w:sz w:val="24"/>
          <w:szCs w:val="22"/>
        </w:rPr>
      </w:pPr>
      <w:r w:rsidRPr="00D53FA7">
        <w:rPr>
          <w:sz w:val="24"/>
          <w:szCs w:val="22"/>
        </w:rPr>
        <w:t xml:space="preserve">This information collected </w:t>
      </w:r>
      <w:r w:rsidR="00B20103">
        <w:rPr>
          <w:sz w:val="24"/>
          <w:szCs w:val="22"/>
        </w:rPr>
        <w:t xml:space="preserve">on these checklists </w:t>
      </w:r>
      <w:r w:rsidRPr="00D53FA7">
        <w:rPr>
          <w:sz w:val="24"/>
          <w:szCs w:val="22"/>
        </w:rPr>
        <w:t xml:space="preserve">is not duplicated in any other data collection.  In keeping with the Paperwork Reduction Act and other statutory requirements, the information collected is the minimum needed </w:t>
      </w:r>
      <w:r w:rsidR="009352FB">
        <w:rPr>
          <w:sz w:val="24"/>
          <w:szCs w:val="22"/>
        </w:rPr>
        <w:t>to operate the program</w:t>
      </w:r>
      <w:r w:rsidRPr="00D53FA7">
        <w:rPr>
          <w:sz w:val="24"/>
          <w:szCs w:val="22"/>
        </w:rPr>
        <w:t>.</w:t>
      </w:r>
    </w:p>
    <w:p w:rsidR="002C2DA0" w14:paraId="482B6C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C7EA1" w14:paraId="1CFD647B" w14:textId="77777777">
      <w:pPr>
        <w:widowControl/>
        <w:autoSpaceDE/>
        <w:autoSpaceDN/>
        <w:adjustRightInd/>
        <w:rPr>
          <w:b/>
          <w:sz w:val="24"/>
          <w:szCs w:val="24"/>
        </w:rPr>
      </w:pPr>
      <w:r>
        <w:rPr>
          <w:b/>
          <w:sz w:val="24"/>
          <w:szCs w:val="24"/>
        </w:rPr>
        <w:br w:type="page"/>
      </w:r>
    </w:p>
    <w:p w:rsidR="00295103" w:rsidRPr="003B5CB7" w14:paraId="44F5BB76" w14:textId="34E053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w:t>
      </w:r>
      <w:r w:rsidRPr="003B5CB7" w:rsidR="006E339F">
        <w:rPr>
          <w:b/>
          <w:sz w:val="24"/>
          <w:szCs w:val="24"/>
        </w:rPr>
        <w:t>inesses or other small entities</w:t>
      </w:r>
      <w:r w:rsidRPr="003B5CB7">
        <w:rPr>
          <w:b/>
          <w:sz w:val="24"/>
          <w:szCs w:val="24"/>
        </w:rPr>
        <w:t>, describe any methods used to minimize burden.</w:t>
      </w:r>
    </w:p>
    <w:p w:rsidR="00D53FA7" w:rsidP="00D53FA7" w14:paraId="22256CB2" w14:textId="77777777">
      <w:pPr>
        <w:rPr>
          <w:rFonts w:ascii="Arial" w:hAnsi="Arial" w:cs="Arial"/>
          <w:sz w:val="22"/>
          <w:szCs w:val="22"/>
        </w:rPr>
      </w:pPr>
    </w:p>
    <w:p w:rsidR="002C2DA0" w14:paraId="10C79F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737A2">
        <w:rPr>
          <w:sz w:val="24"/>
          <w:szCs w:val="22"/>
        </w:rPr>
        <w:t xml:space="preserve">There is no significant economic impact on a substantial number of small businesses.  The information collection burden under the Program is limited further by the fact that information is generally collected only when it is needed.  </w:t>
      </w:r>
    </w:p>
    <w:p w:rsidR="00B36099" w14:paraId="553C5D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07CAEC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rsidR="00295103" w14:paraId="0ED931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3FA7" w:rsidRPr="00D53FA7" w:rsidP="00D53FA7" w14:paraId="3D424853" w14:textId="77777777">
      <w:pPr>
        <w:rPr>
          <w:sz w:val="24"/>
          <w:szCs w:val="24"/>
        </w:rPr>
      </w:pPr>
      <w:r>
        <w:rPr>
          <w:sz w:val="24"/>
          <w:szCs w:val="24"/>
        </w:rPr>
        <w:t>The Secretary uses the information to make a decision in determining whether to approve or disapprove a Trust Land mortgage.</w:t>
      </w:r>
      <w:r w:rsidRPr="00D53FA7">
        <w:rPr>
          <w:sz w:val="24"/>
          <w:szCs w:val="24"/>
        </w:rPr>
        <w:t xml:space="preserve">  Information is collected</w:t>
      </w:r>
      <w:r w:rsidR="005764E5">
        <w:rPr>
          <w:sz w:val="24"/>
          <w:szCs w:val="24"/>
        </w:rPr>
        <w:t xml:space="preserve"> from the lender</w:t>
      </w:r>
      <w:r w:rsidRPr="00D53FA7">
        <w:rPr>
          <w:sz w:val="24"/>
          <w:szCs w:val="24"/>
        </w:rPr>
        <w:t xml:space="preserve">, as needed, when individual Indians want to enter into </w:t>
      </w:r>
      <w:r>
        <w:rPr>
          <w:sz w:val="24"/>
          <w:szCs w:val="24"/>
        </w:rPr>
        <w:t>a mortgage on their</w:t>
      </w:r>
      <w:r w:rsidRPr="00D53FA7">
        <w:rPr>
          <w:sz w:val="24"/>
          <w:szCs w:val="24"/>
        </w:rPr>
        <w:t xml:space="preserve"> land.  </w:t>
      </w:r>
      <w:r>
        <w:rPr>
          <w:sz w:val="24"/>
          <w:szCs w:val="24"/>
        </w:rPr>
        <w:t xml:space="preserve">Applications are initiated by individual Indians; the Secretary is obligated to evaluate such applications and respond accordingly. </w:t>
      </w:r>
    </w:p>
    <w:p w:rsidR="002C2DA0" w14:paraId="32DD72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74738E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rsidR="00295103" w:rsidRPr="002C2DA0" w14:paraId="1030D0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report information to the agency more often than quarterly;</w:t>
      </w:r>
    </w:p>
    <w:p w:rsidR="00295103" w:rsidRPr="002C2DA0" w14:paraId="3BCDD6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sidRPr="002C2DA0">
        <w:rPr>
          <w:b/>
          <w:sz w:val="24"/>
          <w:szCs w:val="24"/>
        </w:rPr>
        <w:t>*</w:t>
      </w:r>
      <w:r w:rsidRPr="002C2DA0">
        <w:rPr>
          <w:b/>
          <w:sz w:val="24"/>
          <w:szCs w:val="24"/>
        </w:rPr>
        <w:tab/>
        <w:t>requiring respondents to prepare a written response to a collection of information in fewer than 30 days after receipt of it;</w:t>
      </w:r>
    </w:p>
    <w:p w:rsidR="00295103" w:rsidRPr="002C2DA0" w14:paraId="629E17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submit more than an original and two copies of any document;</w:t>
      </w:r>
    </w:p>
    <w:p w:rsidR="00295103" w:rsidRPr="002C2DA0" w14:paraId="65EBCD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retain records, other than health, medical, government contract, grant-in-aid, or tax records, for more than three years;</w:t>
      </w:r>
    </w:p>
    <w:p w:rsidR="00295103" w:rsidRPr="002C2DA0" w14:paraId="2245CA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 conne</w:t>
      </w:r>
      <w:r w:rsidRPr="002C2DA0" w:rsidR="00352210">
        <w:rPr>
          <w:b/>
          <w:sz w:val="24"/>
          <w:szCs w:val="24"/>
        </w:rPr>
        <w:t>ction with a statistical survey</w:t>
      </w:r>
      <w:r w:rsidRPr="002C2DA0">
        <w:rPr>
          <w:b/>
          <w:sz w:val="24"/>
          <w:szCs w:val="24"/>
        </w:rPr>
        <w:t xml:space="preserve"> that is not designed to produce valid and reliable results that can be generalized to the universe of study;</w:t>
      </w:r>
    </w:p>
    <w:p w:rsidR="00295103" w:rsidRPr="002C2DA0" w14:paraId="6A76F0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the use of a statistical data classification that has not been reviewed and approved by OMB;</w:t>
      </w:r>
    </w:p>
    <w:p w:rsidR="00295103" w:rsidRPr="002C2DA0" w14:paraId="6FE276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2C2DA0" w14:paraId="5DEB33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submit proprietary trade secrets, or other confidential information</w:t>
      </w:r>
      <w:r w:rsidRPr="002C2DA0" w:rsidR="00352210">
        <w:rPr>
          <w:b/>
          <w:sz w:val="24"/>
          <w:szCs w:val="24"/>
        </w:rPr>
        <w:t>,</w:t>
      </w:r>
      <w:r w:rsidRPr="002C2DA0">
        <w:rPr>
          <w:b/>
          <w:sz w:val="24"/>
          <w:szCs w:val="24"/>
        </w:rPr>
        <w:t xml:space="preserve"> unless the agency can demonstrate that it has instituted procedures to protect the information's confidentiality to the extent permitted by law.</w:t>
      </w:r>
    </w:p>
    <w:p w:rsidR="002C2DA0" w:rsidP="002C2DA0" w14:paraId="231531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2"/>
        </w:rPr>
      </w:pPr>
    </w:p>
    <w:p w:rsidR="005764E5" w:rsidRPr="00CD6209" w:rsidP="005764E5" w14:paraId="7F09DAE1" w14:textId="77777777">
      <w:pPr>
        <w:rPr>
          <w:sz w:val="24"/>
          <w:szCs w:val="22"/>
        </w:rPr>
      </w:pPr>
      <w:r w:rsidRPr="00CD6209">
        <w:rPr>
          <w:sz w:val="24"/>
          <w:szCs w:val="22"/>
        </w:rPr>
        <w:t>There are no circumstances that require BIA to collect the information in the manner stated above.</w:t>
      </w:r>
    </w:p>
    <w:p w:rsidR="005764E5" w:rsidP="002C2DA0" w14:paraId="381EF6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C7EA1" w14:paraId="080D3F5C" w14:textId="77777777">
      <w:pPr>
        <w:widowControl/>
        <w:autoSpaceDE/>
        <w:autoSpaceDN/>
        <w:adjustRightInd/>
        <w:rPr>
          <w:b/>
          <w:sz w:val="24"/>
          <w:szCs w:val="24"/>
        </w:rPr>
      </w:pPr>
      <w:r>
        <w:rPr>
          <w:b/>
          <w:sz w:val="24"/>
          <w:szCs w:val="24"/>
        </w:rPr>
        <w:br w:type="page"/>
      </w:r>
    </w:p>
    <w:p w:rsidR="00295103" w:rsidRPr="002C2DA0" w14:paraId="16E47E93" w14:textId="400482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2C2DA0" w:rsidR="00DE1FFE">
        <w:rPr>
          <w:b/>
          <w:sz w:val="24"/>
          <w:szCs w:val="24"/>
        </w:rPr>
        <w:t xml:space="preserve">ved in response to that notice </w:t>
      </w:r>
      <w:r w:rsidRPr="002C2DA0">
        <w:rPr>
          <w:b/>
          <w:sz w:val="24"/>
          <w:szCs w:val="24"/>
        </w:rPr>
        <w:t>and in response to the PRA statement associated with the collec</w:t>
      </w:r>
      <w:r w:rsidRPr="002C2DA0" w:rsidR="00DE1FFE">
        <w:rPr>
          <w:b/>
          <w:sz w:val="24"/>
          <w:szCs w:val="24"/>
        </w:rPr>
        <w:t xml:space="preserve">tion over the past three years, </w:t>
      </w:r>
      <w:r w:rsidRPr="002C2DA0">
        <w:rPr>
          <w:b/>
          <w:sz w:val="24"/>
          <w:szCs w:val="24"/>
        </w:rPr>
        <w:t>and describe actions taken by the agency in response to these comments.  Specifically address comments received on cost and hour burden.</w:t>
      </w:r>
    </w:p>
    <w:p w:rsidR="002C2DA0" w:rsidP="002C2DA0" w14:paraId="56D885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95103" w14:paraId="0D2AE9A6" w14:textId="0BF4C8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E1497">
        <w:rPr>
          <w:sz w:val="24"/>
          <w:szCs w:val="24"/>
        </w:rPr>
        <w:t>A Federal Register notice with a 60-day public comment period soliciting comments on this collection of information was published on January 5, 2023 (88 FR 879).  No comments were received.</w:t>
      </w:r>
    </w:p>
    <w:p w:rsidR="005E1497" w:rsidRPr="002C2DA0" w14:paraId="6FEBE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14:paraId="425244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C2DA0" w:rsidR="00352210">
        <w:rPr>
          <w:b/>
          <w:sz w:val="24"/>
          <w:szCs w:val="24"/>
        </w:rPr>
        <w:t>.</w:t>
      </w:r>
    </w:p>
    <w:p w:rsidR="00741A5C" w14:paraId="69250D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741A5C" w:rsidRPr="002C2DA0" w:rsidP="00741A5C" w14:paraId="4D88F8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B5CB7" w:rsidP="002C2DA0" w14:paraId="1AAEB7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31460" w:rsidP="00452541" w14:paraId="45073731" w14:textId="41C15C18">
      <w:pPr>
        <w:rPr>
          <w:sz w:val="24"/>
          <w:szCs w:val="24"/>
        </w:rPr>
      </w:pPr>
      <w:r w:rsidRPr="00731460">
        <w:rPr>
          <w:sz w:val="24"/>
          <w:szCs w:val="24"/>
        </w:rPr>
        <w:t xml:space="preserve">The BIA </w:t>
      </w:r>
      <w:r w:rsidR="00C76752">
        <w:rPr>
          <w:sz w:val="24"/>
          <w:szCs w:val="24"/>
        </w:rPr>
        <w:t>received feedback from</w:t>
      </w:r>
      <w:r>
        <w:rPr>
          <w:sz w:val="24"/>
          <w:szCs w:val="24"/>
        </w:rPr>
        <w:t xml:space="preserve"> </w:t>
      </w:r>
      <w:r w:rsidR="001679CB">
        <w:rPr>
          <w:sz w:val="24"/>
          <w:szCs w:val="24"/>
        </w:rPr>
        <w:t>t</w:t>
      </w:r>
      <w:r w:rsidR="00C76752">
        <w:rPr>
          <w:sz w:val="24"/>
          <w:szCs w:val="24"/>
        </w:rPr>
        <w:t>hree</w:t>
      </w:r>
      <w:r w:rsidRPr="00731460">
        <w:rPr>
          <w:sz w:val="24"/>
          <w:szCs w:val="24"/>
        </w:rPr>
        <w:t xml:space="preserve"> </w:t>
      </w:r>
      <w:r w:rsidR="002F238B">
        <w:rPr>
          <w:sz w:val="24"/>
          <w:szCs w:val="24"/>
        </w:rPr>
        <w:t>respondents.  Respondents noted the instructions within the checklists are clear enough to provide the documents to BIA. Commentors indicated the documents the BIA are asking for in the Checklist are appropriate and reasonable.</w:t>
      </w:r>
    </w:p>
    <w:p w:rsidR="008B08BA" w14:paraId="26C217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7F10FC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t>Explain any decision to provide any payment or gift to respondents, other than remuneration of contractors or grantees.</w:t>
      </w:r>
    </w:p>
    <w:p w:rsidR="00D7712F" w:rsidP="002C2DA0" w14:paraId="49AC62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53FA7" w:rsidRPr="00D53FA7" w:rsidP="00D53FA7" w14:paraId="755829DE" w14:textId="77777777">
      <w:pPr>
        <w:tabs>
          <w:tab w:val="left" w:pos="720"/>
        </w:tabs>
        <w:ind w:left="720" w:hanging="720"/>
        <w:rPr>
          <w:sz w:val="24"/>
          <w:szCs w:val="22"/>
        </w:rPr>
      </w:pPr>
      <w:r w:rsidRPr="00D53FA7">
        <w:rPr>
          <w:sz w:val="24"/>
          <w:szCs w:val="22"/>
        </w:rPr>
        <w:t xml:space="preserve">The respondents </w:t>
      </w:r>
      <w:r w:rsidR="004C149E">
        <w:rPr>
          <w:sz w:val="24"/>
          <w:szCs w:val="22"/>
        </w:rPr>
        <w:t>do</w:t>
      </w:r>
      <w:r w:rsidRPr="00D53FA7" w:rsidR="004C149E">
        <w:rPr>
          <w:sz w:val="24"/>
          <w:szCs w:val="22"/>
        </w:rPr>
        <w:t xml:space="preserve"> </w:t>
      </w:r>
      <w:r w:rsidRPr="00D53FA7">
        <w:rPr>
          <w:sz w:val="24"/>
          <w:szCs w:val="22"/>
        </w:rPr>
        <w:t>not receive payments or gifts.</w:t>
      </w:r>
    </w:p>
    <w:p w:rsidR="00295103" w:rsidRPr="002C2DA0" w14:paraId="524B15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2C2DA0" w14:paraId="257525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t>Describe any assurance of confidentiality provided to respondents and the basis for the assurance in statute, regulation, or agency policy.</w:t>
      </w:r>
    </w:p>
    <w:p w:rsidR="002C2DA0" w:rsidP="002C2DA0" w14:paraId="1A3987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7712F" w:rsidP="00E6154A" w14:paraId="2BFF6879" w14:textId="505BFC9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54A">
        <w:rPr>
          <w:sz w:val="24"/>
          <w:szCs w:val="24"/>
        </w:rPr>
        <w:t xml:space="preserve">The information collected in this collection is covered by </w:t>
      </w:r>
      <w:r>
        <w:rPr>
          <w:sz w:val="24"/>
          <w:szCs w:val="24"/>
        </w:rPr>
        <w:t xml:space="preserve">the BIA’s Privacy Act System of </w:t>
      </w:r>
      <w:r w:rsidR="00F806DF">
        <w:rPr>
          <w:sz w:val="24"/>
          <w:szCs w:val="24"/>
        </w:rPr>
        <w:t>Records Notice BIA-12</w:t>
      </w:r>
      <w:r w:rsidRPr="00E6154A">
        <w:rPr>
          <w:sz w:val="24"/>
          <w:szCs w:val="24"/>
        </w:rPr>
        <w:t xml:space="preserve">:  </w:t>
      </w:r>
      <w:r w:rsidR="00F806DF">
        <w:rPr>
          <w:sz w:val="24"/>
          <w:szCs w:val="24"/>
        </w:rPr>
        <w:t>Indian Trust Land Mortgages</w:t>
      </w:r>
      <w:r w:rsidRPr="00E6154A">
        <w:rPr>
          <w:sz w:val="24"/>
          <w:szCs w:val="24"/>
        </w:rPr>
        <w:t xml:space="preserve">.  </w:t>
      </w:r>
      <w:r w:rsidRPr="00B0414E">
        <w:rPr>
          <w:sz w:val="24"/>
          <w:szCs w:val="24"/>
        </w:rPr>
        <w:t>Additionally, BIA</w:t>
      </w:r>
      <w:r w:rsidR="00B0414E">
        <w:rPr>
          <w:sz w:val="24"/>
          <w:szCs w:val="24"/>
        </w:rPr>
        <w:t xml:space="preserve"> agency policy seeks to protect confidential information submitted as a part of this collection.</w:t>
      </w:r>
      <w:r w:rsidR="00274F66">
        <w:rPr>
          <w:sz w:val="24"/>
          <w:szCs w:val="24"/>
        </w:rPr>
        <w:t xml:space="preserve">  Indian Affairs Manual (</w:t>
      </w:r>
      <w:r w:rsidRPr="00274F66" w:rsidR="00274F66">
        <w:rPr>
          <w:sz w:val="24"/>
          <w:szCs w:val="24"/>
        </w:rPr>
        <w:t>IAM 4</w:t>
      </w:r>
      <w:r w:rsidR="00274F66">
        <w:rPr>
          <w:sz w:val="24"/>
          <w:szCs w:val="24"/>
        </w:rPr>
        <w:t xml:space="preserve">), </w:t>
      </w:r>
      <w:r w:rsidRPr="00274F66" w:rsidR="00274F66">
        <w:rPr>
          <w:sz w:val="24"/>
          <w:szCs w:val="24"/>
        </w:rPr>
        <w:t>Processing Mortgages of Trust Properties</w:t>
      </w:r>
      <w:r w:rsidR="00274F66">
        <w:rPr>
          <w:sz w:val="24"/>
          <w:szCs w:val="24"/>
        </w:rPr>
        <w:t xml:space="preserve"> is available at: </w:t>
      </w:r>
      <w:hyperlink r:id="rId9" w:history="1">
        <w:r w:rsidRPr="004A5B72" w:rsidR="00274F66">
          <w:rPr>
            <w:rStyle w:val="Hyperlink"/>
            <w:sz w:val="24"/>
            <w:szCs w:val="24"/>
          </w:rPr>
          <w:t>https://www.bia.gov/sites/default/files/dup/assets/public/raca/manual/pdf/52%20IAM%204_%20Processing%20Mortgages%20of%20Trust%20Properties_FINAL_ver2_signed_footer_508_corrected%20page%203.pdf</w:t>
        </w:r>
      </w:hyperlink>
      <w:r w:rsidR="00274F66">
        <w:rPr>
          <w:sz w:val="24"/>
          <w:szCs w:val="24"/>
        </w:rPr>
        <w:t xml:space="preserve"> </w:t>
      </w:r>
    </w:p>
    <w:p w:rsidR="00E6154A" w:rsidRPr="00E6154A" w14:paraId="0057C6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2C2DA0" w14:paraId="427515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w:t>
      </w:r>
      <w:r w:rsidRPr="002C2DA0">
        <w:rPr>
          <w:b/>
          <w:sz w:val="24"/>
          <w:szCs w:val="24"/>
        </w:rPr>
        <w:t>considers the questions necessary, the specific uses to be made of the information, the explanation to be given to persons from whom the information is requested, and any steps to be taken to obtain their consent.</w:t>
      </w:r>
    </w:p>
    <w:p w:rsidR="00D53FA7" w:rsidP="00D53FA7" w14:paraId="20C5D991" w14:textId="77777777">
      <w:pPr>
        <w:tabs>
          <w:tab w:val="center" w:pos="4320"/>
          <w:tab w:val="right" w:pos="8640"/>
        </w:tabs>
        <w:rPr>
          <w:sz w:val="24"/>
          <w:szCs w:val="24"/>
        </w:rPr>
      </w:pPr>
    </w:p>
    <w:p w:rsidR="00F806DF" w:rsidRPr="00D53FA7" w:rsidP="00D53FA7" w14:paraId="61385548" w14:textId="77777777">
      <w:pPr>
        <w:tabs>
          <w:tab w:val="center" w:pos="4320"/>
          <w:tab w:val="right" w:pos="8640"/>
        </w:tabs>
        <w:rPr>
          <w:sz w:val="24"/>
          <w:szCs w:val="22"/>
        </w:rPr>
      </w:pPr>
      <w:r>
        <w:rPr>
          <w:sz w:val="24"/>
          <w:szCs w:val="24"/>
        </w:rPr>
        <w:t>There are no questions of a sensitive nature included in the information collected.</w:t>
      </w:r>
    </w:p>
    <w:p w:rsidR="00295103" w:rsidRPr="002C2DA0" w14:paraId="492CA1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503E2B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t>Provide estimates of the hour burden of the collection of information.  The statement should:</w:t>
      </w:r>
    </w:p>
    <w:p w:rsidR="00295103" w:rsidRPr="002C2DA0" w14:paraId="7C05D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2C2DA0" w14:paraId="06B369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rsidR="00295103" w:rsidRPr="002C2DA0" w14:paraId="2BF003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2C2DA0" w:rsidR="00DE7630">
        <w:rPr>
          <w:b/>
          <w:sz w:val="24"/>
          <w:szCs w:val="24"/>
        </w:rPr>
        <w:t>.</w:t>
      </w:r>
    </w:p>
    <w:p w:rsidR="00D7712F" w:rsidP="002C2DA0" w14:paraId="31C4CC4E"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3FA7" w:rsidP="00D53FA7" w14:paraId="65DE99E2" w14:textId="1DC15088">
      <w:pPr>
        <w:rPr>
          <w:b/>
          <w:sz w:val="24"/>
          <w:szCs w:val="22"/>
        </w:rPr>
      </w:pPr>
      <w:r w:rsidRPr="00731460">
        <w:rPr>
          <w:sz w:val="24"/>
          <w:szCs w:val="22"/>
        </w:rPr>
        <w:t xml:space="preserve">The </w:t>
      </w:r>
      <w:r w:rsidRPr="00F03A1F">
        <w:rPr>
          <w:sz w:val="24"/>
          <w:szCs w:val="24"/>
        </w:rPr>
        <w:t xml:space="preserve">BIA receives an average of </w:t>
      </w:r>
      <w:r w:rsidR="00B20103">
        <w:rPr>
          <w:sz w:val="24"/>
          <w:szCs w:val="24"/>
        </w:rPr>
        <w:t>131</w:t>
      </w:r>
      <w:r w:rsidR="005E0207">
        <w:rPr>
          <w:sz w:val="24"/>
          <w:szCs w:val="24"/>
        </w:rPr>
        <w:t xml:space="preserve"> </w:t>
      </w:r>
      <w:r w:rsidR="008A023B">
        <w:rPr>
          <w:sz w:val="24"/>
          <w:szCs w:val="24"/>
        </w:rPr>
        <w:t xml:space="preserve">submissions </w:t>
      </w:r>
      <w:r w:rsidRPr="00F03A1F">
        <w:rPr>
          <w:sz w:val="24"/>
          <w:szCs w:val="24"/>
        </w:rPr>
        <w:t>per year</w:t>
      </w:r>
      <w:r w:rsidRPr="00F03A1F" w:rsidR="00F03A1F">
        <w:rPr>
          <w:sz w:val="24"/>
          <w:szCs w:val="24"/>
        </w:rPr>
        <w:t>. T</w:t>
      </w:r>
      <w:r w:rsidRPr="00F03A1F">
        <w:rPr>
          <w:sz w:val="24"/>
          <w:szCs w:val="24"/>
        </w:rPr>
        <w:t>he estimated total annual number of respondents is</w:t>
      </w:r>
      <w:r w:rsidRPr="00F03A1F" w:rsidR="00731460">
        <w:rPr>
          <w:sz w:val="24"/>
          <w:szCs w:val="24"/>
        </w:rPr>
        <w:t xml:space="preserve"> </w:t>
      </w:r>
      <w:r w:rsidR="00B20103">
        <w:rPr>
          <w:sz w:val="24"/>
          <w:szCs w:val="24"/>
        </w:rPr>
        <w:t>56</w:t>
      </w:r>
      <w:r w:rsidRPr="00F03A1F" w:rsidR="008A023B">
        <w:rPr>
          <w:sz w:val="24"/>
          <w:szCs w:val="24"/>
        </w:rPr>
        <w:t xml:space="preserve"> </w:t>
      </w:r>
      <w:r w:rsidRPr="00F03A1F" w:rsidR="00F03A1F">
        <w:rPr>
          <w:sz w:val="24"/>
          <w:szCs w:val="24"/>
        </w:rPr>
        <w:t xml:space="preserve">because some lenders </w:t>
      </w:r>
      <w:r w:rsidR="00F03A1F">
        <w:rPr>
          <w:sz w:val="24"/>
          <w:szCs w:val="24"/>
        </w:rPr>
        <w:t>provide</w:t>
      </w:r>
      <w:r w:rsidRPr="00F03A1F" w:rsidR="00F03A1F">
        <w:rPr>
          <w:sz w:val="24"/>
          <w:szCs w:val="24"/>
        </w:rPr>
        <w:t xml:space="preserve"> </w:t>
      </w:r>
      <w:r w:rsidR="008A023B">
        <w:rPr>
          <w:sz w:val="24"/>
          <w:szCs w:val="24"/>
        </w:rPr>
        <w:t>multiple</w:t>
      </w:r>
      <w:r w:rsidRPr="00F03A1F" w:rsidR="008A023B">
        <w:rPr>
          <w:sz w:val="24"/>
          <w:szCs w:val="24"/>
        </w:rPr>
        <w:t xml:space="preserve"> </w:t>
      </w:r>
      <w:r w:rsidR="008A023B">
        <w:rPr>
          <w:sz w:val="24"/>
          <w:szCs w:val="24"/>
        </w:rPr>
        <w:t>checklists</w:t>
      </w:r>
      <w:r w:rsidRPr="00F03A1F" w:rsidR="00F03A1F">
        <w:rPr>
          <w:sz w:val="24"/>
          <w:szCs w:val="24"/>
        </w:rPr>
        <w:t xml:space="preserve"> </w:t>
      </w:r>
      <w:r w:rsidR="00F03A1F">
        <w:rPr>
          <w:sz w:val="24"/>
          <w:szCs w:val="24"/>
        </w:rPr>
        <w:t>each year</w:t>
      </w:r>
      <w:r w:rsidRPr="00F03A1F">
        <w:rPr>
          <w:sz w:val="24"/>
          <w:szCs w:val="24"/>
        </w:rPr>
        <w:t>.</w:t>
      </w:r>
      <w:r w:rsidR="003E3B34">
        <w:rPr>
          <w:sz w:val="24"/>
          <w:szCs w:val="22"/>
        </w:rPr>
        <w:t xml:space="preserve">  </w:t>
      </w:r>
      <w:r w:rsidRPr="00731460">
        <w:rPr>
          <w:sz w:val="24"/>
          <w:szCs w:val="22"/>
        </w:rPr>
        <w:t xml:space="preserve">The estimated total annual hour burden is </w:t>
      </w:r>
      <w:r w:rsidR="00B20103">
        <w:rPr>
          <w:sz w:val="24"/>
          <w:szCs w:val="22"/>
        </w:rPr>
        <w:t>3,840</w:t>
      </w:r>
      <w:r w:rsidRPr="00731460" w:rsidR="00F03A1F">
        <w:rPr>
          <w:sz w:val="24"/>
          <w:szCs w:val="22"/>
        </w:rPr>
        <w:t xml:space="preserve"> </w:t>
      </w:r>
      <w:r w:rsidRPr="00731460">
        <w:rPr>
          <w:sz w:val="24"/>
          <w:szCs w:val="22"/>
        </w:rPr>
        <w:t xml:space="preserve">hours.  The </w:t>
      </w:r>
      <w:r w:rsidRPr="00731460" w:rsidR="00313A4A">
        <w:rPr>
          <w:sz w:val="24"/>
          <w:szCs w:val="22"/>
        </w:rPr>
        <w:t xml:space="preserve">dollar equivalent </w:t>
      </w:r>
      <w:r w:rsidRPr="00731460">
        <w:rPr>
          <w:sz w:val="24"/>
          <w:szCs w:val="22"/>
        </w:rPr>
        <w:t xml:space="preserve">burden is </w:t>
      </w:r>
      <w:r w:rsidRPr="00707CB0" w:rsidR="00707CB0">
        <w:rPr>
          <w:b/>
          <w:sz w:val="24"/>
          <w:szCs w:val="22"/>
        </w:rPr>
        <w:t>$166,118</w:t>
      </w:r>
      <w:r w:rsidRPr="00731460" w:rsidR="00B3544C">
        <w:rPr>
          <w:b/>
          <w:sz w:val="24"/>
          <w:szCs w:val="22"/>
        </w:rPr>
        <w:t>.</w:t>
      </w:r>
    </w:p>
    <w:p w:rsidR="00707CB0" w:rsidRPr="00D53FA7" w:rsidP="00D53FA7" w14:paraId="0BC36626" w14:textId="77777777">
      <w:pPr>
        <w:rPr>
          <w:sz w:val="24"/>
          <w:szCs w:val="22"/>
        </w:rPr>
      </w:pPr>
    </w:p>
    <w:p w:rsidR="00707CB0" w:rsidRPr="00D53FA7" w:rsidP="00707CB0" w14:paraId="40B1275A" w14:textId="032CA62C">
      <w:pPr>
        <w:rPr>
          <w:bCs/>
          <w:sz w:val="24"/>
          <w:szCs w:val="22"/>
        </w:rPr>
      </w:pPr>
      <w:r w:rsidRPr="00C74C53">
        <w:rPr>
          <w:sz w:val="24"/>
          <w:szCs w:val="22"/>
        </w:rPr>
        <w:t xml:space="preserve">We are estimating salary using Bureau of Labor Statistics, </w:t>
      </w:r>
      <w:r w:rsidRPr="00C74C53">
        <w:rPr>
          <w:bCs/>
          <w:sz w:val="24"/>
          <w:szCs w:val="22"/>
        </w:rPr>
        <w:t>EMPLOYER COSTS FOR EMPLOYEE COMPENSATION—</w:t>
      </w:r>
      <w:r>
        <w:rPr>
          <w:bCs/>
          <w:sz w:val="24"/>
          <w:szCs w:val="22"/>
        </w:rPr>
        <w:t>June</w:t>
      </w:r>
      <w:r w:rsidRPr="00C74C53">
        <w:rPr>
          <w:bCs/>
          <w:sz w:val="24"/>
          <w:szCs w:val="22"/>
        </w:rPr>
        <w:t xml:space="preserve"> 20</w:t>
      </w:r>
      <w:r>
        <w:rPr>
          <w:bCs/>
          <w:sz w:val="24"/>
          <w:szCs w:val="22"/>
        </w:rPr>
        <w:t>23</w:t>
      </w:r>
      <w:r w:rsidRPr="00C74C53">
        <w:rPr>
          <w:bCs/>
          <w:sz w:val="24"/>
          <w:szCs w:val="22"/>
        </w:rPr>
        <w:t xml:space="preserve"> (released </w:t>
      </w:r>
      <w:r>
        <w:rPr>
          <w:bCs/>
          <w:sz w:val="24"/>
          <w:szCs w:val="22"/>
        </w:rPr>
        <w:t>September</w:t>
      </w:r>
      <w:r w:rsidRPr="00C74C53">
        <w:rPr>
          <w:bCs/>
          <w:sz w:val="24"/>
          <w:szCs w:val="22"/>
        </w:rPr>
        <w:t xml:space="preserve"> </w:t>
      </w:r>
      <w:r>
        <w:rPr>
          <w:bCs/>
          <w:sz w:val="24"/>
          <w:szCs w:val="22"/>
        </w:rPr>
        <w:t>12</w:t>
      </w:r>
      <w:r w:rsidRPr="00C74C53">
        <w:rPr>
          <w:bCs/>
          <w:sz w:val="24"/>
          <w:szCs w:val="22"/>
        </w:rPr>
        <w:t>, 20</w:t>
      </w:r>
      <w:r>
        <w:rPr>
          <w:bCs/>
          <w:sz w:val="24"/>
          <w:szCs w:val="22"/>
        </w:rPr>
        <w:t>23</w:t>
      </w:r>
      <w:r w:rsidRPr="00C74C53">
        <w:rPr>
          <w:bCs/>
          <w:sz w:val="24"/>
          <w:szCs w:val="22"/>
        </w:rPr>
        <w:t xml:space="preserve">), </w:t>
      </w:r>
      <w:r w:rsidRPr="00707CB0">
        <w:rPr>
          <w:bCs/>
          <w:sz w:val="24"/>
          <w:szCs w:val="22"/>
        </w:rPr>
        <w:t xml:space="preserve">USDL-23-1971 </w:t>
      </w:r>
      <w:r w:rsidRPr="00C74C53">
        <w:rPr>
          <w:bCs/>
          <w:sz w:val="24"/>
          <w:szCs w:val="22"/>
        </w:rPr>
        <w:t>T</w:t>
      </w:r>
      <w:r w:rsidRPr="00C74C53">
        <w:rPr>
          <w:sz w:val="24"/>
          <w:szCs w:val="22"/>
        </w:rPr>
        <w:t xml:space="preserve">able 2 </w:t>
      </w:r>
      <w:r w:rsidRPr="00C74C53">
        <w:rPr>
          <w:i/>
          <w:sz w:val="24"/>
          <w:szCs w:val="22"/>
        </w:rPr>
        <w:t>Employer Costs for Employee Compensation for civilian workers by occupational and industry group</w:t>
      </w:r>
      <w:r w:rsidRPr="00C74C53">
        <w:rPr>
          <w:sz w:val="24"/>
          <w:szCs w:val="22"/>
        </w:rPr>
        <w:t>, for all civilians, totaling $</w:t>
      </w:r>
      <w:r>
        <w:rPr>
          <w:sz w:val="24"/>
          <w:szCs w:val="22"/>
        </w:rPr>
        <w:t xml:space="preserve">43.26 per </w:t>
      </w:r>
      <w:r w:rsidRPr="00C74C53">
        <w:rPr>
          <w:sz w:val="24"/>
          <w:szCs w:val="22"/>
        </w:rPr>
        <w:t>hour, which includes a multiplier for benefits</w:t>
      </w:r>
      <w:r w:rsidRPr="00C74C53">
        <w:rPr>
          <w:bCs/>
          <w:sz w:val="24"/>
          <w:szCs w:val="22"/>
        </w:rPr>
        <w:t xml:space="preserve">.  </w:t>
      </w:r>
      <w:r w:rsidRPr="00C74C53">
        <w:rPr>
          <w:bCs/>
          <w:i/>
          <w:sz w:val="24"/>
          <w:szCs w:val="22"/>
        </w:rPr>
        <w:t>See</w:t>
      </w:r>
      <w:r w:rsidRPr="00C74C53">
        <w:rPr>
          <w:bCs/>
          <w:sz w:val="24"/>
          <w:szCs w:val="22"/>
        </w:rPr>
        <w:t xml:space="preserve"> </w:t>
      </w:r>
      <w:r w:rsidRPr="00C74C53">
        <w:rPr>
          <w:sz w:val="24"/>
          <w:szCs w:val="24"/>
        </w:rPr>
        <w:t>https://www.bls.gov/news.release/pdf/ecec.pdf</w:t>
      </w:r>
      <w:r w:rsidRPr="00C74C53">
        <w:t>.</w:t>
      </w:r>
    </w:p>
    <w:p w:rsidR="00D53FA7" w:rsidP="00D53FA7" w14:paraId="27C2733B" w14:textId="77777777">
      <w:pPr>
        <w:jc w:val="both"/>
        <w:rPr>
          <w:rFonts w:ascii="Arial" w:hAnsi="Arial" w:cs="Arial"/>
          <w:sz w:val="22"/>
          <w:szCs w:val="22"/>
        </w:rPr>
      </w:pPr>
    </w:p>
    <w:tbl>
      <w:tblPr>
        <w:tblW w:w="8280" w:type="dxa"/>
        <w:tblInd w:w="3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1620"/>
        <w:gridCol w:w="900"/>
        <w:gridCol w:w="810"/>
        <w:gridCol w:w="810"/>
        <w:gridCol w:w="810"/>
        <w:gridCol w:w="900"/>
        <w:gridCol w:w="900"/>
        <w:gridCol w:w="1530"/>
      </w:tblGrid>
      <w:tr w14:paraId="706032AE" w14:textId="77777777" w:rsidTr="003707B3">
        <w:tblPrEx>
          <w:tblW w:w="8280" w:type="dxa"/>
          <w:tblInd w:w="3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Ex>
        <w:trPr>
          <w:cantSplit/>
          <w:trHeight w:val="1412"/>
        </w:trPr>
        <w:tc>
          <w:tcPr>
            <w:tcW w:w="1620" w:type="dxa"/>
            <w:shd w:val="clear" w:color="auto" w:fill="auto"/>
            <w:noWrap/>
            <w:textDirection w:val="btLr"/>
            <w:vAlign w:val="bottom"/>
            <w:hideMark/>
          </w:tcPr>
          <w:p w:rsidR="003707B3" w:rsidRPr="00651A40" w:rsidP="003707B3" w14:paraId="69CB6923" w14:textId="77777777">
            <w:pPr>
              <w:widowControl/>
              <w:autoSpaceDE/>
              <w:autoSpaceDN/>
              <w:adjustRightInd/>
              <w:ind w:left="113" w:right="113"/>
            </w:pPr>
            <w:r>
              <w:t>Name of Checklist</w:t>
            </w:r>
          </w:p>
        </w:tc>
        <w:tc>
          <w:tcPr>
            <w:tcW w:w="900" w:type="dxa"/>
            <w:shd w:val="clear" w:color="auto" w:fill="auto"/>
            <w:textDirection w:val="btLr"/>
            <w:vAlign w:val="bottom"/>
            <w:hideMark/>
          </w:tcPr>
          <w:p w:rsidR="003707B3" w:rsidRPr="00651A40" w:rsidP="003707B3" w14:paraId="3B8D413A" w14:textId="77777777">
            <w:pPr>
              <w:widowControl/>
              <w:autoSpaceDE/>
              <w:autoSpaceDN/>
              <w:adjustRightInd/>
              <w:ind w:left="113" w:right="113"/>
            </w:pPr>
            <w:r w:rsidRPr="00651A40">
              <w:t>Respondent Type</w:t>
            </w:r>
          </w:p>
        </w:tc>
        <w:tc>
          <w:tcPr>
            <w:tcW w:w="810" w:type="dxa"/>
            <w:shd w:val="clear" w:color="auto" w:fill="auto"/>
            <w:textDirection w:val="btLr"/>
            <w:vAlign w:val="bottom"/>
            <w:hideMark/>
          </w:tcPr>
          <w:p w:rsidR="003707B3" w:rsidRPr="00651A40" w:rsidP="003707B3" w14:paraId="350C1BEC" w14:textId="77777777">
            <w:pPr>
              <w:widowControl/>
              <w:autoSpaceDE/>
              <w:autoSpaceDN/>
              <w:adjustRightInd/>
              <w:ind w:left="113" w:right="113"/>
            </w:pPr>
            <w:r w:rsidRPr="00651A40">
              <w:t>No. Respondents</w:t>
            </w:r>
          </w:p>
        </w:tc>
        <w:tc>
          <w:tcPr>
            <w:tcW w:w="810" w:type="dxa"/>
            <w:shd w:val="clear" w:color="auto" w:fill="auto"/>
            <w:textDirection w:val="btLr"/>
            <w:vAlign w:val="bottom"/>
            <w:hideMark/>
          </w:tcPr>
          <w:p w:rsidR="003707B3" w:rsidRPr="00651A40" w:rsidP="003707B3" w14:paraId="2C97FC03" w14:textId="77777777">
            <w:pPr>
              <w:widowControl/>
              <w:autoSpaceDE/>
              <w:autoSpaceDN/>
              <w:adjustRightInd/>
              <w:ind w:left="113" w:right="113"/>
            </w:pPr>
            <w:r w:rsidRPr="00651A40">
              <w:t>Annual Responses</w:t>
            </w:r>
          </w:p>
        </w:tc>
        <w:tc>
          <w:tcPr>
            <w:tcW w:w="810" w:type="dxa"/>
            <w:shd w:val="clear" w:color="auto" w:fill="auto"/>
            <w:textDirection w:val="btLr"/>
            <w:vAlign w:val="bottom"/>
            <w:hideMark/>
          </w:tcPr>
          <w:p w:rsidR="003707B3" w:rsidRPr="00651A40" w:rsidP="003707B3" w14:paraId="5DABB94F" w14:textId="77777777">
            <w:pPr>
              <w:widowControl/>
              <w:autoSpaceDE/>
              <w:autoSpaceDN/>
              <w:adjustRightInd/>
              <w:ind w:left="113" w:right="113"/>
            </w:pPr>
            <w:r w:rsidRPr="00651A40">
              <w:t>Burden Hours per Response</w:t>
            </w:r>
          </w:p>
        </w:tc>
        <w:tc>
          <w:tcPr>
            <w:tcW w:w="900" w:type="dxa"/>
            <w:textDirection w:val="btLr"/>
          </w:tcPr>
          <w:p w:rsidR="003707B3" w:rsidRPr="00651A40" w:rsidP="003707B3" w14:paraId="0255E3DF" w14:textId="6002CD87">
            <w:pPr>
              <w:widowControl/>
              <w:autoSpaceDE/>
              <w:autoSpaceDN/>
              <w:adjustRightInd/>
              <w:ind w:left="113" w:right="113"/>
            </w:pPr>
            <w:r>
              <w:t>Hourly Rate</w:t>
            </w:r>
          </w:p>
        </w:tc>
        <w:tc>
          <w:tcPr>
            <w:tcW w:w="900" w:type="dxa"/>
            <w:shd w:val="clear" w:color="auto" w:fill="auto"/>
            <w:textDirection w:val="btLr"/>
            <w:vAlign w:val="bottom"/>
            <w:hideMark/>
          </w:tcPr>
          <w:p w:rsidR="003707B3" w:rsidRPr="00651A40" w:rsidP="003707B3" w14:paraId="1FF0EAB6" w14:textId="57480E35">
            <w:pPr>
              <w:widowControl/>
              <w:autoSpaceDE/>
              <w:autoSpaceDN/>
              <w:adjustRightInd/>
              <w:ind w:left="113" w:right="113"/>
            </w:pPr>
            <w:r w:rsidRPr="00651A40">
              <w:t>Total Annual Burden Hours</w:t>
            </w:r>
          </w:p>
        </w:tc>
        <w:tc>
          <w:tcPr>
            <w:tcW w:w="1530" w:type="dxa"/>
            <w:shd w:val="clear" w:color="auto" w:fill="auto"/>
            <w:textDirection w:val="btLr"/>
            <w:vAlign w:val="bottom"/>
            <w:hideMark/>
          </w:tcPr>
          <w:p w:rsidR="003707B3" w:rsidRPr="00C74C53" w:rsidP="003707B3" w14:paraId="786907E1" w14:textId="77777777">
            <w:pPr>
              <w:widowControl/>
              <w:autoSpaceDE/>
              <w:autoSpaceDN/>
              <w:adjustRightInd/>
              <w:ind w:left="113" w:right="113"/>
            </w:pPr>
            <w:r w:rsidRPr="00C74C53">
              <w:t>Salary Burden</w:t>
            </w:r>
          </w:p>
        </w:tc>
      </w:tr>
      <w:tr w14:paraId="77BB8B8A" w14:textId="77777777" w:rsidTr="003707B3">
        <w:tblPrEx>
          <w:tblW w:w="8280" w:type="dxa"/>
          <w:tblInd w:w="355" w:type="dxa"/>
          <w:tblLayout w:type="fixed"/>
          <w:tblLook w:val="04A0"/>
        </w:tblPrEx>
        <w:trPr>
          <w:trHeight w:val="510"/>
        </w:trPr>
        <w:tc>
          <w:tcPr>
            <w:tcW w:w="1620" w:type="dxa"/>
            <w:shd w:val="clear" w:color="auto" w:fill="auto"/>
            <w:hideMark/>
          </w:tcPr>
          <w:p w:rsidR="003707B3" w:rsidRPr="00651A40" w:rsidP="003707B3" w14:paraId="35852570" w14:textId="77777777">
            <w:pPr>
              <w:widowControl/>
              <w:autoSpaceDE/>
              <w:autoSpaceDN/>
              <w:adjustRightInd/>
            </w:pPr>
            <w:r w:rsidRPr="00B20103">
              <w:t>Land Mortgage Lender Loan Checklist</w:t>
            </w:r>
          </w:p>
        </w:tc>
        <w:tc>
          <w:tcPr>
            <w:tcW w:w="900" w:type="dxa"/>
            <w:shd w:val="clear" w:color="auto" w:fill="auto"/>
            <w:hideMark/>
          </w:tcPr>
          <w:p w:rsidR="003707B3" w:rsidRPr="00651A40" w:rsidP="003707B3" w14:paraId="4FFA06A3" w14:textId="77777777">
            <w:pPr>
              <w:widowControl/>
              <w:autoSpaceDE/>
              <w:autoSpaceDN/>
              <w:adjustRightInd/>
            </w:pPr>
            <w:r>
              <w:t>Lenders</w:t>
            </w:r>
          </w:p>
        </w:tc>
        <w:tc>
          <w:tcPr>
            <w:tcW w:w="810" w:type="dxa"/>
            <w:shd w:val="clear" w:color="auto" w:fill="auto"/>
            <w:hideMark/>
          </w:tcPr>
          <w:p w:rsidR="003707B3" w:rsidRPr="00B20103" w:rsidP="003707B3" w14:paraId="45DD89F5" w14:textId="77777777">
            <w:pPr>
              <w:widowControl/>
              <w:autoSpaceDE/>
              <w:autoSpaceDN/>
              <w:adjustRightInd/>
              <w:jc w:val="right"/>
              <w:rPr>
                <w:highlight w:val="yellow"/>
              </w:rPr>
            </w:pPr>
            <w:r w:rsidRPr="00B20103">
              <w:t>25</w:t>
            </w:r>
          </w:p>
        </w:tc>
        <w:tc>
          <w:tcPr>
            <w:tcW w:w="810" w:type="dxa"/>
            <w:shd w:val="clear" w:color="auto" w:fill="auto"/>
            <w:hideMark/>
          </w:tcPr>
          <w:p w:rsidR="003707B3" w:rsidRPr="00B20103" w:rsidP="003707B3" w14:paraId="5F0267AD" w14:textId="77777777">
            <w:pPr>
              <w:widowControl/>
              <w:autoSpaceDE/>
              <w:autoSpaceDN/>
              <w:adjustRightInd/>
              <w:jc w:val="right"/>
              <w:rPr>
                <w:highlight w:val="yellow"/>
              </w:rPr>
            </w:pPr>
            <w:r>
              <w:t>70</w:t>
            </w:r>
          </w:p>
        </w:tc>
        <w:tc>
          <w:tcPr>
            <w:tcW w:w="810" w:type="dxa"/>
            <w:shd w:val="clear" w:color="auto" w:fill="auto"/>
            <w:hideMark/>
          </w:tcPr>
          <w:p w:rsidR="003707B3" w:rsidRPr="00F03A1F" w:rsidP="003707B3" w14:paraId="7A50325C" w14:textId="77777777">
            <w:pPr>
              <w:widowControl/>
              <w:autoSpaceDE/>
              <w:autoSpaceDN/>
              <w:adjustRightInd/>
              <w:jc w:val="right"/>
            </w:pPr>
            <w:r>
              <w:t>20</w:t>
            </w:r>
          </w:p>
          <w:p w:rsidR="003707B3" w:rsidRPr="00F03A1F" w:rsidP="003707B3" w14:paraId="71A8DD71" w14:textId="77777777">
            <w:pPr>
              <w:widowControl/>
              <w:autoSpaceDE/>
              <w:autoSpaceDN/>
              <w:adjustRightInd/>
              <w:jc w:val="right"/>
            </w:pPr>
          </w:p>
        </w:tc>
        <w:tc>
          <w:tcPr>
            <w:tcW w:w="900" w:type="dxa"/>
          </w:tcPr>
          <w:p w:rsidR="003707B3" w:rsidP="003707B3" w14:paraId="6B864EAC" w14:textId="14A693AC">
            <w:pPr>
              <w:widowControl/>
              <w:autoSpaceDE/>
              <w:autoSpaceDN/>
              <w:adjustRightInd/>
              <w:jc w:val="right"/>
            </w:pPr>
            <w:r w:rsidRPr="003707B3">
              <w:t xml:space="preserve">$43.26 </w:t>
            </w:r>
          </w:p>
        </w:tc>
        <w:tc>
          <w:tcPr>
            <w:tcW w:w="900" w:type="dxa"/>
            <w:shd w:val="clear" w:color="auto" w:fill="auto"/>
            <w:hideMark/>
          </w:tcPr>
          <w:p w:rsidR="003707B3" w:rsidRPr="00F03A1F" w:rsidP="003707B3" w14:paraId="76443926" w14:textId="3413829B">
            <w:pPr>
              <w:widowControl/>
              <w:autoSpaceDE/>
              <w:autoSpaceDN/>
              <w:adjustRightInd/>
              <w:jc w:val="right"/>
            </w:pPr>
            <w:r>
              <w:t>1,400</w:t>
            </w:r>
          </w:p>
        </w:tc>
        <w:tc>
          <w:tcPr>
            <w:tcW w:w="1530" w:type="dxa"/>
            <w:shd w:val="clear" w:color="auto" w:fill="auto"/>
            <w:hideMark/>
          </w:tcPr>
          <w:p w:rsidR="003707B3" w:rsidRPr="00C74C53" w:rsidP="003707B3" w14:paraId="325165CF" w14:textId="70035ED6">
            <w:pPr>
              <w:widowControl/>
              <w:autoSpaceDE/>
              <w:autoSpaceDN/>
              <w:adjustRightInd/>
              <w:jc w:val="right"/>
            </w:pPr>
            <w:r w:rsidRPr="00071222">
              <w:t xml:space="preserve">$60,564 </w:t>
            </w:r>
          </w:p>
        </w:tc>
      </w:tr>
      <w:tr w14:paraId="4ECCB20F" w14:textId="77777777" w:rsidTr="003707B3">
        <w:tblPrEx>
          <w:tblW w:w="8280" w:type="dxa"/>
          <w:tblInd w:w="355" w:type="dxa"/>
          <w:tblLayout w:type="fixed"/>
          <w:tblLook w:val="04A0"/>
        </w:tblPrEx>
        <w:trPr>
          <w:trHeight w:val="782"/>
        </w:trPr>
        <w:tc>
          <w:tcPr>
            <w:tcW w:w="1620" w:type="dxa"/>
            <w:shd w:val="clear" w:color="auto" w:fill="auto"/>
          </w:tcPr>
          <w:p w:rsidR="003707B3" w:rsidRPr="00B20103" w:rsidP="003707B3" w14:paraId="70E52910" w14:textId="77777777">
            <w:pPr>
              <w:widowControl/>
              <w:autoSpaceDE/>
              <w:autoSpaceDN/>
              <w:adjustRightInd/>
            </w:pPr>
            <w:r w:rsidRPr="00B20103">
              <w:t xml:space="preserve">Leasehold Mortgage Lender Checklist </w:t>
            </w:r>
          </w:p>
        </w:tc>
        <w:tc>
          <w:tcPr>
            <w:tcW w:w="900" w:type="dxa"/>
            <w:shd w:val="clear" w:color="auto" w:fill="auto"/>
          </w:tcPr>
          <w:p w:rsidR="003707B3" w:rsidP="003707B3" w14:paraId="22653570" w14:textId="77777777">
            <w:pPr>
              <w:widowControl/>
              <w:autoSpaceDE/>
              <w:autoSpaceDN/>
              <w:adjustRightInd/>
            </w:pPr>
            <w:r>
              <w:t>Lenders</w:t>
            </w:r>
          </w:p>
        </w:tc>
        <w:tc>
          <w:tcPr>
            <w:tcW w:w="810" w:type="dxa"/>
            <w:shd w:val="clear" w:color="auto" w:fill="auto"/>
          </w:tcPr>
          <w:p w:rsidR="003707B3" w:rsidRPr="00B20103" w:rsidP="003707B3" w14:paraId="1FBFCF73" w14:textId="77777777">
            <w:pPr>
              <w:widowControl/>
              <w:autoSpaceDE/>
              <w:autoSpaceDN/>
              <w:adjustRightInd/>
              <w:jc w:val="right"/>
              <w:rPr>
                <w:highlight w:val="yellow"/>
              </w:rPr>
            </w:pPr>
            <w:r w:rsidRPr="00B20103">
              <w:t>31</w:t>
            </w:r>
          </w:p>
        </w:tc>
        <w:tc>
          <w:tcPr>
            <w:tcW w:w="810" w:type="dxa"/>
            <w:shd w:val="clear" w:color="auto" w:fill="auto"/>
          </w:tcPr>
          <w:p w:rsidR="003707B3" w:rsidRPr="00F03A1F" w:rsidP="003707B3" w14:paraId="1C862660" w14:textId="77777777">
            <w:pPr>
              <w:widowControl/>
              <w:autoSpaceDE/>
              <w:autoSpaceDN/>
              <w:adjustRightInd/>
              <w:jc w:val="right"/>
            </w:pPr>
            <w:r w:rsidRPr="00F03A1F">
              <w:t>61</w:t>
            </w:r>
          </w:p>
        </w:tc>
        <w:tc>
          <w:tcPr>
            <w:tcW w:w="810" w:type="dxa"/>
            <w:shd w:val="clear" w:color="auto" w:fill="auto"/>
          </w:tcPr>
          <w:p w:rsidR="003707B3" w:rsidRPr="00F03A1F" w:rsidP="003707B3" w14:paraId="617B022C" w14:textId="77777777">
            <w:pPr>
              <w:widowControl/>
              <w:autoSpaceDE/>
              <w:autoSpaceDN/>
              <w:adjustRightInd/>
              <w:jc w:val="right"/>
            </w:pPr>
            <w:r>
              <w:t>40</w:t>
            </w:r>
          </w:p>
        </w:tc>
        <w:tc>
          <w:tcPr>
            <w:tcW w:w="900" w:type="dxa"/>
          </w:tcPr>
          <w:p w:rsidR="003707B3" w:rsidP="003707B3" w14:paraId="7DB3543D" w14:textId="557BF44A">
            <w:pPr>
              <w:widowControl/>
              <w:autoSpaceDE/>
              <w:autoSpaceDN/>
              <w:adjustRightInd/>
              <w:jc w:val="right"/>
            </w:pPr>
            <w:r w:rsidRPr="003707B3">
              <w:t xml:space="preserve">$43.26 </w:t>
            </w:r>
          </w:p>
        </w:tc>
        <w:tc>
          <w:tcPr>
            <w:tcW w:w="900" w:type="dxa"/>
            <w:shd w:val="clear" w:color="auto" w:fill="auto"/>
          </w:tcPr>
          <w:p w:rsidR="003707B3" w:rsidRPr="00F03A1F" w:rsidP="003707B3" w14:paraId="470F2EE5" w14:textId="1A850F94">
            <w:pPr>
              <w:widowControl/>
              <w:autoSpaceDE/>
              <w:autoSpaceDN/>
              <w:adjustRightInd/>
              <w:jc w:val="right"/>
            </w:pPr>
            <w:r>
              <w:t>2,440</w:t>
            </w:r>
          </w:p>
        </w:tc>
        <w:tc>
          <w:tcPr>
            <w:tcW w:w="1530" w:type="dxa"/>
            <w:shd w:val="clear" w:color="auto" w:fill="auto"/>
          </w:tcPr>
          <w:p w:rsidR="003707B3" w:rsidRPr="00C74C53" w:rsidP="003707B3" w14:paraId="2C86EA06" w14:textId="3D09E61C">
            <w:pPr>
              <w:widowControl/>
              <w:autoSpaceDE/>
              <w:autoSpaceDN/>
              <w:adjustRightInd/>
              <w:jc w:val="right"/>
            </w:pPr>
            <w:r w:rsidRPr="00071222">
              <w:t xml:space="preserve">$105,554 </w:t>
            </w:r>
          </w:p>
        </w:tc>
      </w:tr>
      <w:tr w14:paraId="1097A601" w14:textId="77777777" w:rsidTr="00494D39">
        <w:tblPrEx>
          <w:tblW w:w="8280" w:type="dxa"/>
          <w:tblInd w:w="355" w:type="dxa"/>
          <w:tblLayout w:type="fixed"/>
          <w:tblLook w:val="04A0"/>
        </w:tblPrEx>
        <w:trPr>
          <w:trHeight w:val="107"/>
        </w:trPr>
        <w:tc>
          <w:tcPr>
            <w:tcW w:w="1620" w:type="dxa"/>
            <w:tcBorders>
              <w:bottom w:val="single" w:sz="4" w:space="0" w:color="A6A6A6"/>
            </w:tcBorders>
            <w:shd w:val="clear" w:color="auto" w:fill="99FF99"/>
          </w:tcPr>
          <w:p w:rsidR="003707B3" w:rsidRPr="00B20103" w:rsidP="00707CB0" w14:paraId="1DD7C709" w14:textId="77777777">
            <w:pPr>
              <w:widowControl/>
              <w:autoSpaceDE/>
              <w:autoSpaceDN/>
              <w:adjustRightInd/>
              <w:rPr>
                <w:b/>
              </w:rPr>
            </w:pPr>
            <w:r w:rsidRPr="00B20103">
              <w:rPr>
                <w:b/>
              </w:rPr>
              <w:t>TOTAL</w:t>
            </w:r>
          </w:p>
        </w:tc>
        <w:tc>
          <w:tcPr>
            <w:tcW w:w="900" w:type="dxa"/>
            <w:tcBorders>
              <w:bottom w:val="single" w:sz="4" w:space="0" w:color="A6A6A6"/>
            </w:tcBorders>
            <w:shd w:val="clear" w:color="auto" w:fill="99FF99"/>
          </w:tcPr>
          <w:p w:rsidR="003707B3" w:rsidRPr="00B20103" w:rsidP="00707CB0" w14:paraId="79FB7916" w14:textId="77777777">
            <w:pPr>
              <w:widowControl/>
              <w:autoSpaceDE/>
              <w:autoSpaceDN/>
              <w:adjustRightInd/>
              <w:rPr>
                <w:b/>
              </w:rPr>
            </w:pPr>
          </w:p>
        </w:tc>
        <w:tc>
          <w:tcPr>
            <w:tcW w:w="810" w:type="dxa"/>
            <w:tcBorders>
              <w:bottom w:val="single" w:sz="4" w:space="0" w:color="A6A6A6"/>
            </w:tcBorders>
            <w:shd w:val="clear" w:color="auto" w:fill="99FF99"/>
          </w:tcPr>
          <w:p w:rsidR="003707B3" w:rsidRPr="00B20103" w:rsidP="00707CB0" w14:paraId="3F613282" w14:textId="77777777">
            <w:pPr>
              <w:widowControl/>
              <w:autoSpaceDE/>
              <w:autoSpaceDN/>
              <w:adjustRightInd/>
              <w:jc w:val="right"/>
              <w:rPr>
                <w:b/>
              </w:rPr>
            </w:pPr>
            <w:r w:rsidRPr="00B20103">
              <w:rPr>
                <w:b/>
              </w:rPr>
              <w:t>56</w:t>
            </w:r>
          </w:p>
        </w:tc>
        <w:tc>
          <w:tcPr>
            <w:tcW w:w="810" w:type="dxa"/>
            <w:tcBorders>
              <w:bottom w:val="single" w:sz="4" w:space="0" w:color="A6A6A6"/>
            </w:tcBorders>
            <w:shd w:val="clear" w:color="auto" w:fill="99FF99"/>
          </w:tcPr>
          <w:p w:rsidR="003707B3" w:rsidRPr="00B20103" w:rsidP="00707CB0" w14:paraId="0EDB8643" w14:textId="77777777">
            <w:pPr>
              <w:widowControl/>
              <w:autoSpaceDE/>
              <w:autoSpaceDN/>
              <w:adjustRightInd/>
              <w:jc w:val="right"/>
              <w:rPr>
                <w:b/>
              </w:rPr>
            </w:pPr>
            <w:r w:rsidRPr="00B20103">
              <w:rPr>
                <w:b/>
              </w:rPr>
              <w:t>131</w:t>
            </w:r>
          </w:p>
        </w:tc>
        <w:tc>
          <w:tcPr>
            <w:tcW w:w="810" w:type="dxa"/>
            <w:tcBorders>
              <w:bottom w:val="single" w:sz="4" w:space="0" w:color="A6A6A6"/>
            </w:tcBorders>
            <w:shd w:val="clear" w:color="auto" w:fill="99FF99"/>
          </w:tcPr>
          <w:p w:rsidR="003707B3" w:rsidRPr="00B20103" w:rsidP="00707CB0" w14:paraId="16BA746F" w14:textId="77777777">
            <w:pPr>
              <w:widowControl/>
              <w:autoSpaceDE/>
              <w:autoSpaceDN/>
              <w:adjustRightInd/>
              <w:jc w:val="right"/>
              <w:rPr>
                <w:b/>
              </w:rPr>
            </w:pPr>
          </w:p>
        </w:tc>
        <w:tc>
          <w:tcPr>
            <w:tcW w:w="900" w:type="dxa"/>
            <w:tcBorders>
              <w:bottom w:val="single" w:sz="4" w:space="0" w:color="A6A6A6"/>
            </w:tcBorders>
            <w:shd w:val="clear" w:color="auto" w:fill="99FF99"/>
          </w:tcPr>
          <w:p w:rsidR="003707B3" w:rsidRPr="00B20103" w:rsidP="00707CB0" w14:paraId="7D1577B3" w14:textId="77777777">
            <w:pPr>
              <w:widowControl/>
              <w:autoSpaceDE/>
              <w:autoSpaceDN/>
              <w:adjustRightInd/>
              <w:jc w:val="right"/>
              <w:rPr>
                <w:b/>
              </w:rPr>
            </w:pPr>
          </w:p>
        </w:tc>
        <w:tc>
          <w:tcPr>
            <w:tcW w:w="900" w:type="dxa"/>
            <w:tcBorders>
              <w:bottom w:val="single" w:sz="4" w:space="0" w:color="A6A6A6"/>
            </w:tcBorders>
            <w:shd w:val="clear" w:color="auto" w:fill="99FF99"/>
          </w:tcPr>
          <w:p w:rsidR="003707B3" w:rsidRPr="00B20103" w:rsidP="00707CB0" w14:paraId="0A1193BB" w14:textId="63B3A032">
            <w:pPr>
              <w:widowControl/>
              <w:autoSpaceDE/>
              <w:autoSpaceDN/>
              <w:adjustRightInd/>
              <w:jc w:val="right"/>
              <w:rPr>
                <w:b/>
              </w:rPr>
            </w:pPr>
            <w:r w:rsidRPr="00B20103">
              <w:rPr>
                <w:b/>
              </w:rPr>
              <w:t>3,840</w:t>
            </w:r>
          </w:p>
        </w:tc>
        <w:tc>
          <w:tcPr>
            <w:tcW w:w="1530" w:type="dxa"/>
            <w:tcBorders>
              <w:bottom w:val="single" w:sz="4" w:space="0" w:color="A6A6A6"/>
            </w:tcBorders>
            <w:shd w:val="clear" w:color="auto" w:fill="99FF99"/>
          </w:tcPr>
          <w:p w:rsidR="003707B3" w:rsidRPr="00707CB0" w:rsidP="003707B3" w14:paraId="5F5D1265" w14:textId="4F40C3C0">
            <w:pPr>
              <w:widowControl/>
              <w:autoSpaceDE/>
              <w:autoSpaceDN/>
              <w:adjustRightInd/>
              <w:jc w:val="right"/>
              <w:rPr>
                <w:b/>
                <w:bCs/>
              </w:rPr>
            </w:pPr>
            <w:r w:rsidRPr="00707CB0">
              <w:rPr>
                <w:b/>
                <w:bCs/>
              </w:rPr>
              <w:t xml:space="preserve">$166,118 </w:t>
            </w:r>
          </w:p>
        </w:tc>
      </w:tr>
    </w:tbl>
    <w:p w:rsidR="0001779A" w:rsidP="002C2DA0" w14:paraId="3588B16B"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580B32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w:t>
      </w:r>
      <w:r w:rsidRPr="002C2DA0" w:rsidR="00DE1FFE">
        <w:rPr>
          <w:b/>
          <w:sz w:val="24"/>
          <w:szCs w:val="24"/>
        </w:rPr>
        <w:t>non-hour</w:t>
      </w:r>
      <w:r w:rsidRPr="002C2DA0">
        <w:rPr>
          <w:b/>
          <w:sz w:val="24"/>
          <w:szCs w:val="24"/>
        </w:rPr>
        <w:t xml:space="preserve"> cost burden to respondents or recordkeepers resulting from the collection of information.  (Do not include the cost of any hour burden </w:t>
      </w:r>
      <w:r w:rsidRPr="002C2DA0" w:rsidR="004A6DFA">
        <w:rPr>
          <w:b/>
          <w:sz w:val="24"/>
          <w:szCs w:val="24"/>
        </w:rPr>
        <w:t xml:space="preserve">already reflected </w:t>
      </w:r>
      <w:r w:rsidRPr="002C2DA0" w:rsidR="00F73931">
        <w:rPr>
          <w:b/>
          <w:sz w:val="24"/>
          <w:szCs w:val="24"/>
        </w:rPr>
        <w:t>in item 12</w:t>
      </w:r>
      <w:r w:rsidRPr="002C2DA0" w:rsidR="004A6DFA">
        <w:rPr>
          <w:b/>
          <w:sz w:val="24"/>
          <w:szCs w:val="24"/>
        </w:rPr>
        <w:t>.)</w:t>
      </w:r>
    </w:p>
    <w:p w:rsidR="00295103" w:rsidRPr="002C2DA0" w14:paraId="40A525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2C2DA0" w:rsidR="000257C8">
        <w:rPr>
          <w:b/>
          <w:sz w:val="24"/>
          <w:szCs w:val="24"/>
        </w:rPr>
        <w:t>(</w:t>
      </w:r>
      <w:r w:rsidRPr="002C2DA0">
        <w:rPr>
          <w:b/>
          <w:sz w:val="24"/>
          <w:szCs w:val="24"/>
        </w:rPr>
        <w:t>including filing fees paid</w:t>
      </w:r>
      <w:r w:rsidRPr="002C2DA0" w:rsidR="000257C8">
        <w:rPr>
          <w:b/>
          <w:sz w:val="24"/>
          <w:szCs w:val="24"/>
        </w:rPr>
        <w:t xml:space="preserve"> for form processing)</w:t>
      </w:r>
      <w:r w:rsidRPr="002C2DA0">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2C2DA0" w14:paraId="1AA0EC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2C2DA0" w14:paraId="2A99E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P="002C2DA0" w14:paraId="6C8A23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A6F3C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There is no non-hour cost burden associated with this information collection. </w:t>
      </w:r>
    </w:p>
    <w:p w:rsidR="00445D89" w:rsidRPr="002C2DA0" w14:paraId="687A97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CC57E4" w14:paraId="420D06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t>
      </w:r>
      <w:r w:rsidRPr="00CC57E4">
        <w:rPr>
          <w:b/>
          <w:sz w:val="24"/>
          <w:szCs w:val="24"/>
        </w:rPr>
        <w:t xml:space="preserve">without this collection of information. </w:t>
      </w:r>
    </w:p>
    <w:p w:rsidR="00D7712F" w:rsidRPr="00494D39" w:rsidP="002C2DA0" w14:paraId="08AC11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53FA7" w:rsidRPr="00494D39" w:rsidP="00494D39" w14:paraId="4C2B43F7" w14:textId="272E7284">
      <w:pPr>
        <w:rPr>
          <w:color w:val="000000"/>
          <w:sz w:val="24"/>
          <w:szCs w:val="24"/>
        </w:rPr>
      </w:pPr>
      <w:r w:rsidRPr="00494D39">
        <w:rPr>
          <w:color w:val="000000"/>
          <w:sz w:val="24"/>
          <w:szCs w:val="24"/>
        </w:rPr>
        <w:t>The estimated total annual numbe</w:t>
      </w:r>
      <w:r w:rsidRPr="00494D39" w:rsidR="005146E8">
        <w:rPr>
          <w:color w:val="000000"/>
          <w:sz w:val="24"/>
          <w:szCs w:val="24"/>
        </w:rPr>
        <w:t>r of responses reviewed by the program is 131. T</w:t>
      </w:r>
      <w:r w:rsidRPr="00494D39">
        <w:rPr>
          <w:color w:val="000000"/>
          <w:sz w:val="24"/>
          <w:szCs w:val="24"/>
        </w:rPr>
        <w:t>he estimated t</w:t>
      </w:r>
      <w:r w:rsidRPr="00494D39" w:rsidR="005146E8">
        <w:rPr>
          <w:color w:val="000000"/>
          <w:sz w:val="24"/>
          <w:szCs w:val="24"/>
        </w:rPr>
        <w:t>otal annual hour burden</w:t>
      </w:r>
      <w:r w:rsidRPr="00494D39">
        <w:rPr>
          <w:color w:val="000000"/>
          <w:sz w:val="24"/>
          <w:szCs w:val="24"/>
        </w:rPr>
        <w:t xml:space="preserve"> to the </w:t>
      </w:r>
      <w:r w:rsidRPr="00494D39" w:rsidR="005146E8">
        <w:rPr>
          <w:color w:val="000000"/>
          <w:sz w:val="24"/>
          <w:szCs w:val="24"/>
        </w:rPr>
        <w:t xml:space="preserve">program is </w:t>
      </w:r>
      <w:r w:rsidRPr="00410C96" w:rsidR="005146E8">
        <w:rPr>
          <w:b/>
          <w:bCs/>
          <w:color w:val="000000" w:themeColor="text1"/>
          <w:sz w:val="24"/>
          <w:szCs w:val="24"/>
        </w:rPr>
        <w:t>1,0</w:t>
      </w:r>
      <w:r w:rsidRPr="00410C96" w:rsidR="00410C96">
        <w:rPr>
          <w:b/>
          <w:bCs/>
          <w:color w:val="000000" w:themeColor="text1"/>
          <w:sz w:val="24"/>
          <w:szCs w:val="24"/>
        </w:rPr>
        <w:t>6</w:t>
      </w:r>
      <w:r w:rsidRPr="00410C96" w:rsidR="005146E8">
        <w:rPr>
          <w:b/>
          <w:bCs/>
          <w:color w:val="000000" w:themeColor="text1"/>
          <w:sz w:val="24"/>
          <w:szCs w:val="24"/>
        </w:rPr>
        <w:t>8 hours</w:t>
      </w:r>
      <w:r w:rsidRPr="00410C96" w:rsidR="005146E8">
        <w:rPr>
          <w:color w:val="000000" w:themeColor="text1"/>
          <w:sz w:val="24"/>
          <w:szCs w:val="24"/>
        </w:rPr>
        <w:t xml:space="preserve"> </w:t>
      </w:r>
      <w:r w:rsidRPr="00494D39" w:rsidR="005146E8">
        <w:rPr>
          <w:color w:val="000000"/>
          <w:sz w:val="24"/>
          <w:szCs w:val="24"/>
        </w:rPr>
        <w:t xml:space="preserve">at a total salary cost of </w:t>
      </w:r>
      <w:r w:rsidRPr="00410C96" w:rsidR="00410C96">
        <w:rPr>
          <w:b/>
          <w:bCs/>
          <w:color w:val="000000"/>
          <w:sz w:val="24"/>
          <w:szCs w:val="24"/>
        </w:rPr>
        <w:t>$65,479</w:t>
      </w:r>
      <w:r w:rsidRPr="00494D39">
        <w:rPr>
          <w:color w:val="000000"/>
          <w:sz w:val="24"/>
          <w:szCs w:val="24"/>
        </w:rPr>
        <w:t xml:space="preserve">.  This hour burden includes careful checking of all records to ensure that none of the information has changed because of new liens, updated title, land records, possible probates.  </w:t>
      </w:r>
    </w:p>
    <w:p w:rsidR="003707B3" w:rsidRPr="00494D39" w:rsidP="00494D39" w14:paraId="6A388BE7" w14:textId="77777777">
      <w:pPr>
        <w:rPr>
          <w:color w:val="000000"/>
          <w:sz w:val="24"/>
          <w:szCs w:val="24"/>
        </w:rPr>
      </w:pPr>
    </w:p>
    <w:p w:rsidR="00494D39" w:rsidRPr="00494D39" w:rsidP="00494D39" w14:paraId="67218D1C" w14:textId="56B97B48">
      <w:pPr>
        <w:pStyle w:val="ListParagraph"/>
        <w:numPr>
          <w:ilvl w:val="0"/>
          <w:numId w:val="10"/>
        </w:numPr>
        <w:spacing w:after="0" w:line="240" w:lineRule="auto"/>
        <w:rPr>
          <w:rFonts w:ascii="Times New Roman" w:hAnsi="Times New Roman"/>
          <w:color w:val="000000"/>
          <w:sz w:val="24"/>
          <w:szCs w:val="24"/>
        </w:rPr>
      </w:pPr>
      <w:r w:rsidRPr="00494D39">
        <w:rPr>
          <w:rFonts w:ascii="Times New Roman" w:hAnsi="Times New Roman"/>
          <w:color w:val="000000"/>
          <w:sz w:val="24"/>
          <w:szCs w:val="24"/>
        </w:rPr>
        <w:t xml:space="preserve">We used </w:t>
      </w:r>
      <w:r w:rsidRPr="00494D39">
        <w:rPr>
          <w:rFonts w:ascii="Times New Roman" w:hAnsi="Times New Roman"/>
          <w:b/>
          <w:color w:val="000000"/>
          <w:sz w:val="24"/>
          <w:szCs w:val="24"/>
        </w:rPr>
        <w:t>$</w:t>
      </w:r>
      <w:r w:rsidRPr="008D0708" w:rsidR="008D0708">
        <w:rPr>
          <w:rFonts w:ascii="Times New Roman" w:hAnsi="Times New Roman"/>
          <w:b/>
          <w:color w:val="000000"/>
          <w:sz w:val="24"/>
          <w:szCs w:val="24"/>
        </w:rPr>
        <w:t>60.85</w:t>
      </w:r>
      <w:r w:rsidR="008D0708">
        <w:rPr>
          <w:rFonts w:ascii="Times New Roman" w:hAnsi="Times New Roman"/>
          <w:b/>
          <w:color w:val="000000"/>
          <w:sz w:val="24"/>
          <w:szCs w:val="24"/>
        </w:rPr>
        <w:t xml:space="preserve"> </w:t>
      </w:r>
      <w:r w:rsidRPr="00494D39">
        <w:rPr>
          <w:rFonts w:ascii="Times New Roman" w:hAnsi="Times New Roman"/>
          <w:color w:val="000000"/>
          <w:sz w:val="24"/>
          <w:szCs w:val="24"/>
        </w:rPr>
        <w:t>per hour ($3</w:t>
      </w:r>
      <w:r w:rsidR="00410C96">
        <w:rPr>
          <w:rFonts w:ascii="Times New Roman" w:hAnsi="Times New Roman"/>
          <w:color w:val="000000"/>
          <w:sz w:val="24"/>
          <w:szCs w:val="24"/>
        </w:rPr>
        <w:t>8.03</w:t>
      </w:r>
      <w:r w:rsidRPr="00494D39">
        <w:rPr>
          <w:rFonts w:ascii="Times New Roman" w:hAnsi="Times New Roman"/>
          <w:color w:val="000000"/>
          <w:sz w:val="24"/>
          <w:szCs w:val="24"/>
        </w:rPr>
        <w:t xml:space="preserve"> x 1.6) for GS-12.</w:t>
      </w:r>
    </w:p>
    <w:p w:rsidR="00494D39" w:rsidRPr="00494D39" w:rsidP="00494D39" w14:paraId="2558CB83" w14:textId="31ECD428">
      <w:pPr>
        <w:pStyle w:val="ListParagraph"/>
        <w:numPr>
          <w:ilvl w:val="0"/>
          <w:numId w:val="10"/>
        </w:numPr>
        <w:spacing w:after="0" w:line="240" w:lineRule="auto"/>
        <w:rPr>
          <w:rFonts w:ascii="Times New Roman" w:hAnsi="Times New Roman"/>
          <w:color w:val="000000"/>
          <w:sz w:val="24"/>
          <w:szCs w:val="24"/>
        </w:rPr>
      </w:pPr>
      <w:r w:rsidRPr="00494D39">
        <w:rPr>
          <w:rFonts w:ascii="Times New Roman" w:hAnsi="Times New Roman"/>
          <w:color w:val="000000"/>
          <w:sz w:val="24"/>
          <w:szCs w:val="24"/>
        </w:rPr>
        <w:t xml:space="preserve">We used </w:t>
      </w:r>
      <w:r w:rsidRPr="008D0708" w:rsidR="008D0708">
        <w:rPr>
          <w:rFonts w:ascii="Times New Roman" w:hAnsi="Times New Roman"/>
          <w:b/>
          <w:color w:val="000000"/>
          <w:sz w:val="24"/>
          <w:szCs w:val="24"/>
        </w:rPr>
        <w:t xml:space="preserve">$85.50 </w:t>
      </w:r>
      <w:r w:rsidRPr="00494D39">
        <w:rPr>
          <w:rFonts w:ascii="Times New Roman" w:hAnsi="Times New Roman"/>
          <w:color w:val="000000"/>
          <w:sz w:val="24"/>
          <w:szCs w:val="24"/>
        </w:rPr>
        <w:t>per hour ($</w:t>
      </w:r>
      <w:r w:rsidR="00410C96">
        <w:rPr>
          <w:rFonts w:ascii="Times New Roman" w:hAnsi="Times New Roman"/>
          <w:color w:val="000000"/>
          <w:sz w:val="24"/>
          <w:szCs w:val="24"/>
        </w:rPr>
        <w:t>53.44</w:t>
      </w:r>
      <w:r w:rsidRPr="00494D39">
        <w:rPr>
          <w:rFonts w:ascii="Times New Roman" w:hAnsi="Times New Roman"/>
          <w:color w:val="000000"/>
          <w:sz w:val="24"/>
          <w:szCs w:val="24"/>
        </w:rPr>
        <w:t xml:space="preserve"> x 1.6) for GS-14. </w:t>
      </w:r>
    </w:p>
    <w:p w:rsidR="00494D39" w:rsidRPr="00494D39" w:rsidP="00494D39" w14:paraId="187E3C4A" w14:textId="77777777">
      <w:pPr>
        <w:rPr>
          <w:color w:val="000000"/>
          <w:sz w:val="24"/>
          <w:szCs w:val="24"/>
        </w:rPr>
      </w:pPr>
    </w:p>
    <w:p w:rsidR="00D53FA7" w:rsidRPr="00410C96" w:rsidP="00410C96" w14:paraId="32DB3578" w14:textId="46EFF931">
      <w:pPr>
        <w:rPr>
          <w:color w:val="000000"/>
          <w:sz w:val="24"/>
          <w:szCs w:val="24"/>
        </w:rPr>
      </w:pPr>
      <w:r w:rsidRPr="00494D39">
        <w:rPr>
          <w:color w:val="000000"/>
          <w:sz w:val="24"/>
          <w:szCs w:val="24"/>
        </w:rPr>
        <w:t xml:space="preserve">See, 2023 General Schedule at </w:t>
      </w:r>
      <w:hyperlink r:id="rId10" w:history="1">
        <w:r w:rsidRPr="004A5B72">
          <w:rPr>
            <w:rStyle w:val="Hyperlink"/>
            <w:sz w:val="24"/>
            <w:szCs w:val="24"/>
          </w:rPr>
          <w:t>https://www.opm.gov/policy-data-oversight/pay-leave/salaries-wages/salary-tables/pdf/2022/RUS_h.pdf</w:t>
        </w:r>
      </w:hyperlink>
      <w:r>
        <w:rPr>
          <w:color w:val="000000"/>
          <w:sz w:val="24"/>
          <w:szCs w:val="24"/>
        </w:rPr>
        <w:t xml:space="preserve"> and a multiplier of 1.6 for benefits. </w:t>
      </w:r>
    </w:p>
    <w:p w:rsidR="005E1497" w:rsidP="00D53FA7" w14:paraId="1A777B57" w14:textId="77777777">
      <w:pPr>
        <w:jc w:val="both"/>
        <w:rPr>
          <w:rFonts w:ascii="Arial" w:hAnsi="Arial" w:cs="Arial"/>
          <w:color w:val="000000"/>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1080"/>
        <w:gridCol w:w="1170"/>
        <w:gridCol w:w="1170"/>
        <w:gridCol w:w="990"/>
        <w:gridCol w:w="1463"/>
      </w:tblGrid>
      <w:tr w14:paraId="731FD051" w14:textId="77777777" w:rsidTr="000426A7">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5E1497" w:rsidRPr="002C074C" w:rsidP="00684DC8" w14:paraId="5D879623" w14:textId="77777777">
            <w:pPr>
              <w:tabs>
                <w:tab w:val="left" w:pos="-1080"/>
                <w:tab w:val="left" w:pos="-720"/>
                <w:tab w:val="left" w:pos="360"/>
                <w:tab w:val="left" w:pos="720"/>
              </w:tabs>
              <w:jc w:val="center"/>
              <w:rPr>
                <w:b/>
                <w:sz w:val="16"/>
                <w:szCs w:val="16"/>
              </w:rPr>
            </w:pPr>
            <w:r>
              <w:rPr>
                <w:b/>
                <w:sz w:val="16"/>
                <w:szCs w:val="16"/>
              </w:rPr>
              <w:t>Program</w:t>
            </w:r>
          </w:p>
        </w:tc>
        <w:tc>
          <w:tcPr>
            <w:tcW w:w="900" w:type="dxa"/>
            <w:tcBorders>
              <w:top w:val="single" w:sz="4" w:space="0" w:color="auto"/>
              <w:left w:val="single" w:sz="4" w:space="0" w:color="auto"/>
              <w:bottom w:val="single" w:sz="4" w:space="0" w:color="auto"/>
              <w:right w:val="single" w:sz="4" w:space="0" w:color="auto"/>
            </w:tcBorders>
          </w:tcPr>
          <w:p w:rsidR="005E1497" w:rsidRPr="002C074C" w:rsidP="00684DC8" w14:paraId="3597AFE1" w14:textId="77777777">
            <w:pPr>
              <w:tabs>
                <w:tab w:val="left" w:pos="-1080"/>
                <w:tab w:val="left" w:pos="-720"/>
                <w:tab w:val="left" w:pos="360"/>
                <w:tab w:val="left" w:pos="720"/>
              </w:tabs>
              <w:jc w:val="center"/>
              <w:rPr>
                <w:b/>
                <w:sz w:val="16"/>
                <w:szCs w:val="16"/>
              </w:rPr>
            </w:pPr>
            <w:r w:rsidRPr="002C074C">
              <w:rPr>
                <w:b/>
                <w:sz w:val="16"/>
                <w:szCs w:val="16"/>
              </w:rPr>
              <w:t>Grade, Step</w:t>
            </w:r>
          </w:p>
        </w:tc>
        <w:tc>
          <w:tcPr>
            <w:tcW w:w="1080" w:type="dxa"/>
            <w:tcBorders>
              <w:top w:val="single" w:sz="4" w:space="0" w:color="auto"/>
              <w:left w:val="single" w:sz="4" w:space="0" w:color="auto"/>
              <w:bottom w:val="single" w:sz="4" w:space="0" w:color="auto"/>
              <w:right w:val="single" w:sz="4" w:space="0" w:color="auto"/>
            </w:tcBorders>
          </w:tcPr>
          <w:p w:rsidR="005E1497" w:rsidRPr="002C074C" w:rsidP="00684DC8" w14:paraId="17432B8C" w14:textId="77777777">
            <w:pPr>
              <w:tabs>
                <w:tab w:val="left" w:pos="-1080"/>
                <w:tab w:val="left" w:pos="-720"/>
                <w:tab w:val="left" w:pos="360"/>
                <w:tab w:val="left" w:pos="720"/>
              </w:tabs>
              <w:jc w:val="center"/>
              <w:rPr>
                <w:b/>
                <w:sz w:val="16"/>
                <w:szCs w:val="16"/>
              </w:rPr>
            </w:pPr>
            <w:r w:rsidRPr="002C074C">
              <w:rPr>
                <w:b/>
                <w:sz w:val="16"/>
                <w:szCs w:val="16"/>
              </w:rPr>
              <w:t>Loaded Rate</w:t>
            </w:r>
          </w:p>
        </w:tc>
        <w:tc>
          <w:tcPr>
            <w:tcW w:w="1170" w:type="dxa"/>
            <w:tcBorders>
              <w:top w:val="single" w:sz="4" w:space="0" w:color="auto"/>
              <w:left w:val="single" w:sz="4" w:space="0" w:color="auto"/>
              <w:bottom w:val="single" w:sz="4" w:space="0" w:color="auto"/>
              <w:right w:val="single" w:sz="4" w:space="0" w:color="auto"/>
            </w:tcBorders>
            <w:hideMark/>
          </w:tcPr>
          <w:p w:rsidR="005E1497" w:rsidRPr="002C074C" w:rsidP="00684DC8" w14:paraId="06EA676A" w14:textId="77777777">
            <w:pPr>
              <w:tabs>
                <w:tab w:val="left" w:pos="-1080"/>
                <w:tab w:val="left" w:pos="-720"/>
                <w:tab w:val="left" w:pos="360"/>
                <w:tab w:val="left" w:pos="720"/>
              </w:tabs>
              <w:jc w:val="center"/>
              <w:rPr>
                <w:b/>
                <w:sz w:val="16"/>
                <w:szCs w:val="16"/>
              </w:rPr>
            </w:pPr>
            <w:r w:rsidRPr="002C074C">
              <w:rPr>
                <w:b/>
                <w:sz w:val="16"/>
                <w:szCs w:val="16"/>
              </w:rPr>
              <w:t>Total Annual Responses</w:t>
            </w:r>
          </w:p>
        </w:tc>
        <w:tc>
          <w:tcPr>
            <w:tcW w:w="1170" w:type="dxa"/>
            <w:tcBorders>
              <w:top w:val="single" w:sz="4" w:space="0" w:color="auto"/>
              <w:left w:val="single" w:sz="4" w:space="0" w:color="auto"/>
              <w:bottom w:val="single" w:sz="4" w:space="0" w:color="auto"/>
              <w:right w:val="single" w:sz="4" w:space="0" w:color="auto"/>
            </w:tcBorders>
            <w:hideMark/>
          </w:tcPr>
          <w:p w:rsidR="005E1497" w:rsidRPr="002C074C" w:rsidP="00684DC8" w14:paraId="698E00E8" w14:textId="77777777">
            <w:pPr>
              <w:tabs>
                <w:tab w:val="left" w:pos="-1080"/>
                <w:tab w:val="left" w:pos="-720"/>
                <w:tab w:val="left" w:pos="360"/>
                <w:tab w:val="left" w:pos="720"/>
              </w:tabs>
              <w:jc w:val="center"/>
              <w:rPr>
                <w:b/>
                <w:sz w:val="16"/>
                <w:szCs w:val="16"/>
              </w:rPr>
            </w:pPr>
            <w:r w:rsidRPr="002C074C">
              <w:rPr>
                <w:b/>
                <w:sz w:val="16"/>
                <w:szCs w:val="16"/>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5E1497" w:rsidRPr="002C074C" w:rsidP="00684DC8" w14:paraId="07C5B55A" w14:textId="77777777">
            <w:pPr>
              <w:tabs>
                <w:tab w:val="left" w:pos="-1080"/>
                <w:tab w:val="left" w:pos="-720"/>
                <w:tab w:val="left" w:pos="360"/>
                <w:tab w:val="left" w:pos="720"/>
              </w:tabs>
              <w:jc w:val="center"/>
              <w:rPr>
                <w:b/>
                <w:sz w:val="16"/>
                <w:szCs w:val="16"/>
              </w:rPr>
            </w:pPr>
            <w:r w:rsidRPr="002C074C">
              <w:rPr>
                <w:b/>
                <w:sz w:val="16"/>
                <w:szCs w:val="16"/>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5E1497" w:rsidRPr="002C074C" w:rsidP="00684DC8" w14:paraId="46CAF4D8" w14:textId="77777777">
            <w:pPr>
              <w:tabs>
                <w:tab w:val="left" w:pos="-1080"/>
                <w:tab w:val="left" w:pos="-720"/>
                <w:tab w:val="left" w:pos="360"/>
                <w:tab w:val="left" w:pos="720"/>
              </w:tabs>
              <w:jc w:val="center"/>
              <w:rPr>
                <w:b/>
                <w:sz w:val="16"/>
                <w:szCs w:val="16"/>
              </w:rPr>
            </w:pPr>
            <w:r w:rsidRPr="002C074C">
              <w:rPr>
                <w:b/>
                <w:sz w:val="16"/>
                <w:szCs w:val="16"/>
              </w:rPr>
              <w:t>Value of Annual Burden Hours</w:t>
            </w:r>
          </w:p>
        </w:tc>
      </w:tr>
      <w:tr w14:paraId="3D6DAB8C" w14:textId="77777777" w:rsidTr="00684DC8">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5E1497" w:rsidRPr="00D27CA4" w:rsidP="00684DC8" w14:paraId="2687A911" w14:textId="77777777">
            <w:pPr>
              <w:tabs>
                <w:tab w:val="left" w:pos="-1080"/>
                <w:tab w:val="left" w:pos="-720"/>
                <w:tab w:val="left" w:pos="360"/>
                <w:tab w:val="left" w:pos="720"/>
              </w:tabs>
              <w:rPr>
                <w:b/>
              </w:rPr>
            </w:pPr>
            <w:r w:rsidRPr="00D27CA4">
              <w:rPr>
                <w:b/>
                <w:sz w:val="18"/>
                <w:szCs w:val="18"/>
              </w:rPr>
              <w:t>Information</w:t>
            </w:r>
            <w:r w:rsidRPr="00D27CA4">
              <w:rPr>
                <w:b/>
              </w:rPr>
              <w:t xml:space="preserve"> Collection Clearance</w:t>
            </w:r>
          </w:p>
        </w:tc>
      </w:tr>
      <w:tr w14:paraId="4EAA1F0E" w14:textId="77777777" w:rsidTr="000426A7">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5E1497" w:rsidRPr="002C074C" w:rsidP="00684DC8" w14:paraId="335AE071" w14:textId="77777777">
            <w:pPr>
              <w:tabs>
                <w:tab w:val="left" w:pos="-1080"/>
                <w:tab w:val="left" w:pos="-720"/>
                <w:tab w:val="left" w:pos="360"/>
                <w:tab w:val="left" w:pos="720"/>
              </w:tabs>
              <w:ind w:left="192"/>
              <w:rPr>
                <w:sz w:val="18"/>
                <w:szCs w:val="18"/>
              </w:rPr>
            </w:pPr>
            <w:r w:rsidRPr="00175C44">
              <w:t>DOI staff</w:t>
            </w:r>
          </w:p>
        </w:tc>
        <w:tc>
          <w:tcPr>
            <w:tcW w:w="900" w:type="dxa"/>
            <w:tcBorders>
              <w:top w:val="single" w:sz="4" w:space="0" w:color="auto"/>
              <w:left w:val="single" w:sz="4" w:space="0" w:color="auto"/>
              <w:bottom w:val="single" w:sz="4" w:space="0" w:color="auto"/>
              <w:right w:val="single" w:sz="4" w:space="0" w:color="auto"/>
            </w:tcBorders>
          </w:tcPr>
          <w:p w:rsidR="005E1497" w:rsidRPr="002C074C" w:rsidP="00684DC8" w14:paraId="40612CF0" w14:textId="77777777">
            <w:pPr>
              <w:tabs>
                <w:tab w:val="left" w:pos="360"/>
                <w:tab w:val="left" w:pos="720"/>
              </w:tabs>
              <w:rPr>
                <w:sz w:val="18"/>
                <w:szCs w:val="18"/>
              </w:rPr>
            </w:pPr>
            <w:r w:rsidRPr="00175C44">
              <w:t>GS-14, Step 1</w:t>
            </w:r>
          </w:p>
        </w:tc>
        <w:tc>
          <w:tcPr>
            <w:tcW w:w="1080" w:type="dxa"/>
            <w:tcBorders>
              <w:top w:val="single" w:sz="4" w:space="0" w:color="auto"/>
              <w:left w:val="single" w:sz="4" w:space="0" w:color="auto"/>
              <w:bottom w:val="single" w:sz="4" w:space="0" w:color="auto"/>
              <w:right w:val="single" w:sz="4" w:space="0" w:color="auto"/>
            </w:tcBorders>
          </w:tcPr>
          <w:p w:rsidR="005E1497" w:rsidRPr="00613E22" w:rsidP="008D0708" w14:paraId="6B05BD84" w14:textId="073155AF">
            <w:pPr>
              <w:tabs>
                <w:tab w:val="left" w:pos="360"/>
                <w:tab w:val="left" w:pos="720"/>
              </w:tabs>
              <w:jc w:val="right"/>
            </w:pPr>
            <w:r w:rsidRPr="008D0708">
              <w:t>$85.50</w:t>
            </w:r>
          </w:p>
        </w:tc>
        <w:tc>
          <w:tcPr>
            <w:tcW w:w="1170" w:type="dxa"/>
            <w:tcBorders>
              <w:top w:val="single" w:sz="4" w:space="0" w:color="auto"/>
              <w:left w:val="single" w:sz="4" w:space="0" w:color="auto"/>
              <w:bottom w:val="single" w:sz="4" w:space="0" w:color="auto"/>
              <w:right w:val="single" w:sz="4" w:space="0" w:color="auto"/>
            </w:tcBorders>
          </w:tcPr>
          <w:p w:rsidR="005E1497" w:rsidRPr="002C074C" w:rsidP="00684DC8" w14:paraId="564451FC" w14:textId="77777777">
            <w:pPr>
              <w:tabs>
                <w:tab w:val="left" w:pos="360"/>
                <w:tab w:val="left" w:pos="720"/>
              </w:tabs>
              <w:jc w:val="right"/>
              <w:rPr>
                <w:sz w:val="18"/>
                <w:szCs w:val="18"/>
              </w:rPr>
            </w:pPr>
            <w:r>
              <w:rPr>
                <w:sz w:val="18"/>
                <w:szCs w:val="18"/>
              </w:rPr>
              <w:t>N/A</w:t>
            </w:r>
          </w:p>
        </w:tc>
        <w:tc>
          <w:tcPr>
            <w:tcW w:w="1170" w:type="dxa"/>
            <w:tcBorders>
              <w:top w:val="single" w:sz="4" w:space="0" w:color="auto"/>
              <w:left w:val="single" w:sz="4" w:space="0" w:color="auto"/>
              <w:right w:val="single" w:sz="4" w:space="0" w:color="auto"/>
            </w:tcBorders>
          </w:tcPr>
          <w:p w:rsidR="005E1497" w:rsidRPr="002C074C" w:rsidP="00684DC8" w14:paraId="160A1315" w14:textId="77777777">
            <w:pPr>
              <w:tabs>
                <w:tab w:val="left" w:pos="360"/>
                <w:tab w:val="left" w:pos="720"/>
              </w:tabs>
              <w:jc w:val="right"/>
            </w:pPr>
            <w:r>
              <w:t>N/A</w:t>
            </w:r>
          </w:p>
        </w:tc>
        <w:tc>
          <w:tcPr>
            <w:tcW w:w="990" w:type="dxa"/>
            <w:tcBorders>
              <w:top w:val="single" w:sz="4" w:space="0" w:color="auto"/>
              <w:left w:val="single" w:sz="4" w:space="0" w:color="auto"/>
              <w:right w:val="single" w:sz="4" w:space="0" w:color="auto"/>
            </w:tcBorders>
          </w:tcPr>
          <w:p w:rsidR="005E1497" w:rsidRPr="002C074C" w:rsidP="00684DC8" w14:paraId="1B8ABAA3" w14:textId="77777777">
            <w:pPr>
              <w:tabs>
                <w:tab w:val="left" w:pos="360"/>
                <w:tab w:val="left" w:pos="720"/>
              </w:tabs>
              <w:jc w:val="right"/>
            </w:pPr>
            <w:r w:rsidRPr="00175C44">
              <w:t>20</w:t>
            </w:r>
          </w:p>
        </w:tc>
        <w:tc>
          <w:tcPr>
            <w:tcW w:w="1463" w:type="dxa"/>
            <w:tcBorders>
              <w:top w:val="single" w:sz="4" w:space="0" w:color="auto"/>
              <w:left w:val="single" w:sz="4" w:space="0" w:color="auto"/>
              <w:right w:val="single" w:sz="4" w:space="0" w:color="auto"/>
            </w:tcBorders>
          </w:tcPr>
          <w:p w:rsidR="005E1497" w:rsidRPr="006176B4" w:rsidP="00684DC8" w14:paraId="3426C6EC" w14:textId="34CD27CD">
            <w:pPr>
              <w:tabs>
                <w:tab w:val="left" w:pos="360"/>
                <w:tab w:val="left" w:pos="720"/>
              </w:tabs>
              <w:jc w:val="right"/>
            </w:pPr>
            <w:r w:rsidRPr="00175C44">
              <w:t>$1,7</w:t>
            </w:r>
            <w:r w:rsidR="008D0708">
              <w:t>10</w:t>
            </w:r>
          </w:p>
        </w:tc>
      </w:tr>
      <w:tr w14:paraId="24E897CE" w14:textId="77777777" w:rsidTr="00684DC8">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1497" w:rsidRPr="005E1497" w:rsidP="00684DC8" w14:paraId="6F763553" w14:textId="4602450F">
            <w:pPr>
              <w:tabs>
                <w:tab w:val="left" w:pos="-1080"/>
                <w:tab w:val="left" w:pos="-720"/>
                <w:tab w:val="left" w:pos="360"/>
                <w:tab w:val="left" w:pos="720"/>
              </w:tabs>
              <w:rPr>
                <w:b/>
                <w:color w:val="FF0000"/>
                <w:sz w:val="18"/>
                <w:szCs w:val="18"/>
              </w:rPr>
            </w:pPr>
            <w:r w:rsidRPr="008D0708">
              <w:rPr>
                <w:b/>
                <w:color w:val="000000" w:themeColor="text1"/>
                <w:sz w:val="18"/>
                <w:szCs w:val="18"/>
              </w:rPr>
              <w:t>Office of Trust Services (OTS) Staff</w:t>
            </w:r>
          </w:p>
        </w:tc>
      </w:tr>
      <w:tr w14:paraId="3851C155" w14:textId="77777777" w:rsidTr="000426A7">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8D0708" w:rsidRPr="002C074C" w:rsidP="008D0708" w14:paraId="0A148DFC" w14:textId="4EDC7003">
            <w:pPr>
              <w:tabs>
                <w:tab w:val="left" w:pos="-1080"/>
                <w:tab w:val="left" w:pos="-720"/>
                <w:tab w:val="left" w:pos="360"/>
                <w:tab w:val="left" w:pos="720"/>
              </w:tabs>
              <w:ind w:left="192"/>
              <w:rPr>
                <w:sz w:val="18"/>
                <w:szCs w:val="18"/>
              </w:rPr>
            </w:pPr>
            <w:r>
              <w:t xml:space="preserve">OTS Staff - </w:t>
            </w:r>
            <w:r w:rsidRPr="007C7EA1">
              <w:t>Land Mortgage Lender Loan Checklist</w:t>
            </w:r>
          </w:p>
        </w:tc>
        <w:tc>
          <w:tcPr>
            <w:tcW w:w="900" w:type="dxa"/>
            <w:tcBorders>
              <w:top w:val="single" w:sz="4" w:space="0" w:color="auto"/>
              <w:left w:val="single" w:sz="4" w:space="0" w:color="auto"/>
              <w:bottom w:val="single" w:sz="4" w:space="0" w:color="auto"/>
              <w:right w:val="single" w:sz="4" w:space="0" w:color="auto"/>
            </w:tcBorders>
          </w:tcPr>
          <w:p w:rsidR="008D0708" w:rsidRPr="002C074C" w:rsidP="008D0708" w14:paraId="5197AF59" w14:textId="17EC414E">
            <w:pPr>
              <w:tabs>
                <w:tab w:val="left" w:pos="360"/>
                <w:tab w:val="left" w:pos="720"/>
              </w:tabs>
              <w:rPr>
                <w:sz w:val="18"/>
                <w:szCs w:val="18"/>
              </w:rPr>
            </w:pPr>
            <w:r>
              <w:t>GS-12, Step 1</w:t>
            </w:r>
            <w:r w:rsidRPr="00C03664">
              <w:t xml:space="preserve"> </w:t>
            </w:r>
          </w:p>
        </w:tc>
        <w:tc>
          <w:tcPr>
            <w:tcW w:w="1080" w:type="dxa"/>
            <w:tcBorders>
              <w:top w:val="single" w:sz="4" w:space="0" w:color="auto"/>
              <w:left w:val="single" w:sz="4" w:space="0" w:color="auto"/>
              <w:bottom w:val="single" w:sz="4" w:space="0" w:color="auto"/>
              <w:right w:val="single" w:sz="4" w:space="0" w:color="auto"/>
            </w:tcBorders>
          </w:tcPr>
          <w:p w:rsidR="008D0708" w:rsidRPr="00613E22" w:rsidP="008D0708" w14:paraId="432EC904" w14:textId="2F381660">
            <w:pPr>
              <w:tabs>
                <w:tab w:val="left" w:pos="360"/>
                <w:tab w:val="left" w:pos="720"/>
              </w:tabs>
              <w:jc w:val="right"/>
            </w:pPr>
            <w:r w:rsidRPr="00483959">
              <w:t>$60.85</w:t>
            </w:r>
          </w:p>
        </w:tc>
        <w:tc>
          <w:tcPr>
            <w:tcW w:w="1170" w:type="dxa"/>
            <w:tcBorders>
              <w:top w:val="single" w:sz="4" w:space="0" w:color="auto"/>
              <w:left w:val="single" w:sz="4" w:space="0" w:color="auto"/>
              <w:bottom w:val="single" w:sz="4" w:space="0" w:color="auto"/>
              <w:right w:val="single" w:sz="4" w:space="0" w:color="auto"/>
            </w:tcBorders>
          </w:tcPr>
          <w:p w:rsidR="008D0708" w:rsidRPr="002C074C" w:rsidP="008D0708" w14:paraId="74E27691" w14:textId="6CA9C658">
            <w:pPr>
              <w:tabs>
                <w:tab w:val="left" w:pos="360"/>
                <w:tab w:val="left" w:pos="720"/>
              </w:tabs>
              <w:jc w:val="right"/>
              <w:rPr>
                <w:sz w:val="18"/>
                <w:szCs w:val="18"/>
              </w:rPr>
            </w:pPr>
            <w:r>
              <w:rPr>
                <w:sz w:val="18"/>
                <w:szCs w:val="18"/>
              </w:rPr>
              <w:t>70</w:t>
            </w:r>
          </w:p>
        </w:tc>
        <w:tc>
          <w:tcPr>
            <w:tcW w:w="1170" w:type="dxa"/>
            <w:tcBorders>
              <w:top w:val="single" w:sz="4" w:space="0" w:color="auto"/>
              <w:left w:val="single" w:sz="4" w:space="0" w:color="auto"/>
              <w:right w:val="single" w:sz="4" w:space="0" w:color="auto"/>
            </w:tcBorders>
          </w:tcPr>
          <w:p w:rsidR="008D0708" w:rsidRPr="002C074C" w:rsidP="008D0708" w14:paraId="2EEB89E5" w14:textId="37E5F85B">
            <w:pPr>
              <w:tabs>
                <w:tab w:val="left" w:pos="360"/>
                <w:tab w:val="left" w:pos="720"/>
              </w:tabs>
              <w:jc w:val="right"/>
            </w:pPr>
            <w:r>
              <w:t>8</w:t>
            </w:r>
          </w:p>
        </w:tc>
        <w:tc>
          <w:tcPr>
            <w:tcW w:w="990" w:type="dxa"/>
            <w:tcBorders>
              <w:top w:val="single" w:sz="4" w:space="0" w:color="auto"/>
              <w:left w:val="single" w:sz="4" w:space="0" w:color="auto"/>
              <w:right w:val="single" w:sz="4" w:space="0" w:color="auto"/>
            </w:tcBorders>
          </w:tcPr>
          <w:p w:rsidR="008D0708" w:rsidRPr="002C074C" w:rsidP="008D0708" w14:paraId="1D15DB5A" w14:textId="47A9AAF5">
            <w:pPr>
              <w:tabs>
                <w:tab w:val="left" w:pos="360"/>
                <w:tab w:val="left" w:pos="720"/>
              </w:tabs>
              <w:jc w:val="right"/>
            </w:pPr>
            <w:r>
              <w:t>560</w:t>
            </w:r>
            <w:r w:rsidRPr="00E856AF">
              <w:t xml:space="preserve"> </w:t>
            </w:r>
          </w:p>
        </w:tc>
        <w:tc>
          <w:tcPr>
            <w:tcW w:w="1463" w:type="dxa"/>
            <w:tcBorders>
              <w:top w:val="single" w:sz="4" w:space="0" w:color="auto"/>
              <w:left w:val="single" w:sz="4" w:space="0" w:color="auto"/>
              <w:right w:val="single" w:sz="4" w:space="0" w:color="auto"/>
            </w:tcBorders>
          </w:tcPr>
          <w:p w:rsidR="008D0708" w:rsidRPr="006176B4" w:rsidP="008D0708" w14:paraId="6A8CD845" w14:textId="19245430">
            <w:pPr>
              <w:tabs>
                <w:tab w:val="left" w:pos="360"/>
                <w:tab w:val="left" w:pos="720"/>
              </w:tabs>
              <w:jc w:val="right"/>
            </w:pPr>
            <w:r w:rsidRPr="009D19BF">
              <w:t xml:space="preserve">$34,075 </w:t>
            </w:r>
          </w:p>
        </w:tc>
      </w:tr>
      <w:tr w14:paraId="16DE606D" w14:textId="77777777" w:rsidTr="000426A7">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8D0708" w:rsidRPr="002C074C" w:rsidP="008D0708" w14:paraId="3372B3CB" w14:textId="55801CB4">
            <w:pPr>
              <w:tabs>
                <w:tab w:val="left" w:pos="-1080"/>
                <w:tab w:val="left" w:pos="-720"/>
                <w:tab w:val="left" w:pos="360"/>
                <w:tab w:val="left" w:pos="720"/>
              </w:tabs>
              <w:ind w:left="192"/>
              <w:rPr>
                <w:sz w:val="18"/>
                <w:szCs w:val="18"/>
              </w:rPr>
            </w:pPr>
            <w:r>
              <w:t xml:space="preserve">OTS Staff - </w:t>
            </w:r>
            <w:r w:rsidRPr="007C7EA1">
              <w:t>Leasehold Mortgage Lender Checklist</w:t>
            </w:r>
          </w:p>
        </w:tc>
        <w:tc>
          <w:tcPr>
            <w:tcW w:w="900" w:type="dxa"/>
            <w:tcBorders>
              <w:top w:val="single" w:sz="4" w:space="0" w:color="auto"/>
              <w:left w:val="single" w:sz="4" w:space="0" w:color="auto"/>
              <w:bottom w:val="single" w:sz="4" w:space="0" w:color="auto"/>
              <w:right w:val="single" w:sz="4" w:space="0" w:color="auto"/>
            </w:tcBorders>
          </w:tcPr>
          <w:p w:rsidR="008D0708" w:rsidRPr="002C074C" w:rsidP="008D0708" w14:paraId="52684B63" w14:textId="2769243A">
            <w:pPr>
              <w:tabs>
                <w:tab w:val="left" w:pos="360"/>
                <w:tab w:val="left" w:pos="720"/>
              </w:tabs>
              <w:rPr>
                <w:sz w:val="18"/>
                <w:szCs w:val="18"/>
              </w:rPr>
            </w:pPr>
            <w:r>
              <w:t>GS-12, Step 1</w:t>
            </w:r>
          </w:p>
        </w:tc>
        <w:tc>
          <w:tcPr>
            <w:tcW w:w="1080" w:type="dxa"/>
            <w:tcBorders>
              <w:top w:val="single" w:sz="4" w:space="0" w:color="auto"/>
              <w:left w:val="single" w:sz="4" w:space="0" w:color="auto"/>
              <w:bottom w:val="single" w:sz="4" w:space="0" w:color="auto"/>
              <w:right w:val="single" w:sz="4" w:space="0" w:color="auto"/>
            </w:tcBorders>
          </w:tcPr>
          <w:p w:rsidR="008D0708" w:rsidRPr="00613E22" w:rsidP="008D0708" w14:paraId="0620EA3D" w14:textId="600380C7">
            <w:pPr>
              <w:tabs>
                <w:tab w:val="left" w:pos="360"/>
                <w:tab w:val="left" w:pos="720"/>
              </w:tabs>
              <w:jc w:val="right"/>
            </w:pPr>
            <w:r w:rsidRPr="00483959">
              <w:t>$60.85</w:t>
            </w:r>
          </w:p>
        </w:tc>
        <w:tc>
          <w:tcPr>
            <w:tcW w:w="1170" w:type="dxa"/>
            <w:tcBorders>
              <w:top w:val="single" w:sz="4" w:space="0" w:color="auto"/>
              <w:left w:val="single" w:sz="4" w:space="0" w:color="auto"/>
              <w:bottom w:val="single" w:sz="4" w:space="0" w:color="auto"/>
              <w:right w:val="single" w:sz="4" w:space="0" w:color="auto"/>
            </w:tcBorders>
          </w:tcPr>
          <w:p w:rsidR="008D0708" w:rsidRPr="002C074C" w:rsidP="008D0708" w14:paraId="37C6CE66" w14:textId="383CFACD">
            <w:pPr>
              <w:tabs>
                <w:tab w:val="left" w:pos="360"/>
                <w:tab w:val="left" w:pos="720"/>
              </w:tabs>
              <w:jc w:val="right"/>
              <w:rPr>
                <w:sz w:val="18"/>
                <w:szCs w:val="18"/>
              </w:rPr>
            </w:pPr>
            <w:r>
              <w:rPr>
                <w:sz w:val="18"/>
                <w:szCs w:val="18"/>
              </w:rPr>
              <w:t>61</w:t>
            </w:r>
          </w:p>
        </w:tc>
        <w:tc>
          <w:tcPr>
            <w:tcW w:w="1170" w:type="dxa"/>
            <w:tcBorders>
              <w:top w:val="single" w:sz="4" w:space="0" w:color="auto"/>
              <w:left w:val="single" w:sz="4" w:space="0" w:color="auto"/>
              <w:right w:val="single" w:sz="4" w:space="0" w:color="auto"/>
            </w:tcBorders>
          </w:tcPr>
          <w:p w:rsidR="008D0708" w:rsidRPr="002C074C" w:rsidP="008D0708" w14:paraId="60E8E749" w14:textId="16092B4A">
            <w:pPr>
              <w:tabs>
                <w:tab w:val="left" w:pos="360"/>
                <w:tab w:val="left" w:pos="720"/>
              </w:tabs>
              <w:jc w:val="right"/>
            </w:pPr>
            <w:r>
              <w:t>8</w:t>
            </w:r>
          </w:p>
        </w:tc>
        <w:tc>
          <w:tcPr>
            <w:tcW w:w="990" w:type="dxa"/>
            <w:tcBorders>
              <w:top w:val="single" w:sz="4" w:space="0" w:color="auto"/>
              <w:left w:val="single" w:sz="4" w:space="0" w:color="auto"/>
              <w:right w:val="single" w:sz="4" w:space="0" w:color="auto"/>
            </w:tcBorders>
          </w:tcPr>
          <w:p w:rsidR="008D0708" w:rsidRPr="002C074C" w:rsidP="008D0708" w14:paraId="61FDB941" w14:textId="23D78723">
            <w:pPr>
              <w:tabs>
                <w:tab w:val="left" w:pos="360"/>
                <w:tab w:val="left" w:pos="720"/>
              </w:tabs>
              <w:jc w:val="right"/>
            </w:pPr>
            <w:r>
              <w:t>488</w:t>
            </w:r>
            <w:r w:rsidRPr="00E856AF">
              <w:t xml:space="preserve"> </w:t>
            </w:r>
          </w:p>
        </w:tc>
        <w:tc>
          <w:tcPr>
            <w:tcW w:w="1463" w:type="dxa"/>
            <w:tcBorders>
              <w:top w:val="single" w:sz="4" w:space="0" w:color="auto"/>
              <w:left w:val="single" w:sz="4" w:space="0" w:color="auto"/>
              <w:right w:val="single" w:sz="4" w:space="0" w:color="auto"/>
            </w:tcBorders>
          </w:tcPr>
          <w:p w:rsidR="008D0708" w:rsidRPr="006176B4" w:rsidP="008D0708" w14:paraId="5DB8D55E" w14:textId="1FC8F652">
            <w:pPr>
              <w:tabs>
                <w:tab w:val="left" w:pos="360"/>
                <w:tab w:val="left" w:pos="720"/>
              </w:tabs>
              <w:jc w:val="right"/>
            </w:pPr>
            <w:r w:rsidRPr="009D19BF">
              <w:t xml:space="preserve">$29,694 </w:t>
            </w:r>
          </w:p>
        </w:tc>
      </w:tr>
      <w:tr w14:paraId="1F499091" w14:textId="77777777" w:rsidTr="00410C96">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410C96" w:rsidRPr="00D27CA4" w:rsidP="008D0708" w14:paraId="2DCC9B1B" w14:textId="77777777">
            <w:pPr>
              <w:tabs>
                <w:tab w:val="left" w:pos="360"/>
                <w:tab w:val="left" w:pos="720"/>
              </w:tabs>
              <w:rPr>
                <w:b/>
                <w:color w:val="000000" w:themeColor="text1"/>
              </w:rPr>
            </w:pPr>
            <w:r>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410C96" w:rsidRPr="00D27CA4" w:rsidP="00410C96" w14:paraId="32B02168" w14:textId="76A00C2E">
            <w:pPr>
              <w:tabs>
                <w:tab w:val="left" w:pos="360"/>
                <w:tab w:val="left" w:pos="720"/>
              </w:tabs>
              <w:jc w:val="right"/>
              <w:rPr>
                <w:b/>
                <w:color w:val="000000" w:themeColor="text1"/>
              </w:rPr>
            </w:pPr>
            <w:r>
              <w:rPr>
                <w:b/>
                <w:color w:val="000000" w:themeColor="text1"/>
              </w:rPr>
              <w:t>1,068</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410C96" w:rsidRPr="008D0708" w:rsidP="008D0708" w14:paraId="29FE63DB" w14:textId="02234258">
            <w:pPr>
              <w:tabs>
                <w:tab w:val="left" w:pos="360"/>
                <w:tab w:val="left" w:pos="720"/>
              </w:tabs>
              <w:jc w:val="right"/>
              <w:rPr>
                <w:b/>
                <w:bCs/>
                <w:color w:val="000000" w:themeColor="text1"/>
              </w:rPr>
            </w:pPr>
            <w:r w:rsidRPr="008D0708">
              <w:rPr>
                <w:b/>
                <w:bCs/>
              </w:rPr>
              <w:t xml:space="preserve"> $65,479 </w:t>
            </w:r>
          </w:p>
        </w:tc>
      </w:tr>
    </w:tbl>
    <w:p w:rsidR="00D53FA7" w:rsidRPr="002C2DA0" w:rsidP="00D53FA7" w14:paraId="504B01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C2DA0" w14:paraId="688F9A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Pr="002C2DA0" w:rsidR="00F73931">
        <w:rPr>
          <w:b/>
          <w:sz w:val="24"/>
          <w:szCs w:val="24"/>
        </w:rPr>
        <w:t>in hour or cost burden</w:t>
      </w:r>
      <w:r w:rsidRPr="002C2DA0" w:rsidR="0060758B">
        <w:rPr>
          <w:b/>
          <w:sz w:val="24"/>
          <w:szCs w:val="24"/>
        </w:rPr>
        <w:t>.</w:t>
      </w:r>
    </w:p>
    <w:p w:rsidR="00D53FA7" w:rsidP="002C2DA0" w14:paraId="681CEE6C"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36099" w14:paraId="75F64D2B" w14:textId="514E55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E1497">
        <w:rPr>
          <w:sz w:val="24"/>
          <w:szCs w:val="24"/>
        </w:rPr>
        <w:t xml:space="preserve">Updates were made to the Bureau of Labor Statistics (BLS) and Office of Personnel Management (OPM) compensation data contained in Sections 12 and 14.  </w:t>
      </w:r>
    </w:p>
    <w:p w:rsidR="005E1497" w:rsidRPr="002C2DA0" w14:paraId="405C38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04FB57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P="002C2DA0" w14:paraId="395294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923041" w:rsidP="002C2DA0" w14:paraId="300587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There are no plans to publish the results of th</w:t>
      </w:r>
      <w:r w:rsidR="00D53FA7">
        <w:rPr>
          <w:sz w:val="24"/>
          <w:szCs w:val="24"/>
        </w:rPr>
        <w:t xml:space="preserve">is collection of information. </w:t>
      </w:r>
    </w:p>
    <w:p w:rsidR="00295103" w:rsidRPr="002C2DA0" w14:paraId="5F391E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2D62FE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If seeking approval to not display the expiration date for OMB approval of the information collection, explain the reasons that display would be inappropriate.</w:t>
      </w:r>
    </w:p>
    <w:p w:rsidR="00D7712F" w:rsidP="002C2DA0" w14:paraId="49BFB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5A1E01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2"/>
        </w:rPr>
      </w:pPr>
      <w:r>
        <w:rPr>
          <w:color w:val="000000"/>
          <w:sz w:val="24"/>
          <w:szCs w:val="22"/>
        </w:rPr>
        <w:t xml:space="preserve">OMB control number will be used on </w:t>
      </w:r>
      <w:r w:rsidR="005146E8">
        <w:rPr>
          <w:color w:val="000000"/>
          <w:sz w:val="24"/>
          <w:szCs w:val="22"/>
        </w:rPr>
        <w:t>both checklists and on any</w:t>
      </w:r>
      <w:r>
        <w:rPr>
          <w:color w:val="000000"/>
          <w:sz w:val="24"/>
          <w:szCs w:val="22"/>
        </w:rPr>
        <w:t xml:space="preserve"> information</w:t>
      </w:r>
      <w:r w:rsidR="005146E8">
        <w:rPr>
          <w:color w:val="000000"/>
          <w:sz w:val="24"/>
          <w:szCs w:val="22"/>
        </w:rPr>
        <w:t xml:space="preserve"> relating</w:t>
      </w:r>
      <w:r>
        <w:rPr>
          <w:color w:val="000000"/>
          <w:sz w:val="24"/>
          <w:szCs w:val="22"/>
        </w:rPr>
        <w:t xml:space="preserve"> to this collection. </w:t>
      </w:r>
    </w:p>
    <w:p w:rsidR="00445D89" w:rsidRPr="002C2DA0" w14:paraId="4C302D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6F5C44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 xml:space="preserve">Explain each exception to the </w:t>
      </w:r>
      <w:r w:rsidRPr="002C2DA0" w:rsidR="005D39A7">
        <w:rPr>
          <w:b/>
          <w:sz w:val="24"/>
          <w:szCs w:val="24"/>
        </w:rPr>
        <w:t xml:space="preserve">topics of the </w:t>
      </w:r>
      <w:r w:rsidRPr="002C2DA0">
        <w:rPr>
          <w:b/>
          <w:sz w:val="24"/>
          <w:szCs w:val="24"/>
        </w:rPr>
        <w:t>certification statement identified in "Certification for Paperwork Reduction Act Submissions</w:t>
      </w:r>
      <w:r w:rsidRPr="002C2DA0" w:rsidR="005D39A7">
        <w:rPr>
          <w:b/>
          <w:sz w:val="24"/>
          <w:szCs w:val="24"/>
        </w:rPr>
        <w:t>.</w:t>
      </w:r>
      <w:r w:rsidRPr="002C2DA0">
        <w:rPr>
          <w:b/>
          <w:sz w:val="24"/>
          <w:szCs w:val="24"/>
        </w:rPr>
        <w:t>"</w:t>
      </w:r>
    </w:p>
    <w:p w:rsidR="00D7712F" w14:paraId="41C0FF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2425CB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23041">
        <w:rPr>
          <w:sz w:val="24"/>
          <w:szCs w:val="24"/>
        </w:rPr>
        <w:t>There are no exceptions</w:t>
      </w:r>
      <w:r w:rsidR="00D7712F">
        <w:rPr>
          <w:sz w:val="24"/>
          <w:szCs w:val="24"/>
        </w:rPr>
        <w:t>.</w:t>
      </w:r>
    </w:p>
    <w:sectPr w:rsidSect="00782118">
      <w:footerReference w:type="default" r:id="rId11"/>
      <w:type w:val="continuous"/>
      <w:pgSz w:w="12240" w:h="15840"/>
      <w:pgMar w:top="1440" w:right="1440" w:bottom="1440" w:left="1440" w:header="1440" w:footer="6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A40" w14:paraId="4872BE46" w14:textId="1A463E6B">
    <w:pPr>
      <w:pStyle w:val="Footer"/>
      <w:jc w:val="center"/>
    </w:pPr>
    <w:r>
      <w:fldChar w:fldCharType="begin"/>
    </w:r>
    <w:r>
      <w:instrText xml:space="preserve"> PAGE   \* MERGEFORMAT </w:instrText>
    </w:r>
    <w:r>
      <w:fldChar w:fldCharType="separate"/>
    </w:r>
    <w:r w:rsidR="0069713E">
      <w:rPr>
        <w:noProof/>
      </w:rPr>
      <w:t>5</w:t>
    </w:r>
    <w:r>
      <w:rPr>
        <w:noProof/>
      </w:rPr>
      <w:fldChar w:fldCharType="end"/>
    </w:r>
  </w:p>
  <w:p w:rsidR="00651A40" w14:paraId="74FA55E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FB3DFC"/>
    <w:multiLevelType w:val="hybridMultilevel"/>
    <w:tmpl w:val="78C0F0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E430195"/>
    <w:multiLevelType w:val="hybridMultilevel"/>
    <w:tmpl w:val="7D222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B4C0D14"/>
    <w:multiLevelType w:val="hybridMultilevel"/>
    <w:tmpl w:val="F83CA0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1D17DB"/>
    <w:multiLevelType w:val="hybridMultilevel"/>
    <w:tmpl w:val="CB9E15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07A1018"/>
    <w:multiLevelType w:val="hybridMultilevel"/>
    <w:tmpl w:val="4A32B2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7B328DA"/>
    <w:multiLevelType w:val="hybridMultilevel"/>
    <w:tmpl w:val="B69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EC9130F"/>
    <w:multiLevelType w:val="hybridMultilevel"/>
    <w:tmpl w:val="CCECF158"/>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407D35"/>
    <w:multiLevelType w:val="hybridMultilevel"/>
    <w:tmpl w:val="61C2E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71420491">
    <w:abstractNumId w:val="9"/>
  </w:num>
  <w:num w:numId="2" w16cid:durableId="1618609374">
    <w:abstractNumId w:val="0"/>
  </w:num>
  <w:num w:numId="3" w16cid:durableId="1709601586">
    <w:abstractNumId w:val="7"/>
  </w:num>
  <w:num w:numId="4" w16cid:durableId="1056665860">
    <w:abstractNumId w:val="2"/>
  </w:num>
  <w:num w:numId="5" w16cid:durableId="2129158390">
    <w:abstractNumId w:val="8"/>
  </w:num>
  <w:num w:numId="6" w16cid:durableId="1949895079">
    <w:abstractNumId w:val="6"/>
  </w:num>
  <w:num w:numId="7" w16cid:durableId="1052770417">
    <w:abstractNumId w:val="5"/>
  </w:num>
  <w:num w:numId="8" w16cid:durableId="863904406">
    <w:abstractNumId w:val="4"/>
  </w:num>
  <w:num w:numId="9" w16cid:durableId="540214061">
    <w:abstractNumId w:val="1"/>
  </w:num>
  <w:num w:numId="10" w16cid:durableId="839125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174B"/>
    <w:rsid w:val="0000312A"/>
    <w:rsid w:val="000117E9"/>
    <w:rsid w:val="00012BCE"/>
    <w:rsid w:val="0001779A"/>
    <w:rsid w:val="000257C8"/>
    <w:rsid w:val="00026233"/>
    <w:rsid w:val="00026242"/>
    <w:rsid w:val="00034ACE"/>
    <w:rsid w:val="000426A7"/>
    <w:rsid w:val="0004361C"/>
    <w:rsid w:val="00045808"/>
    <w:rsid w:val="0005003E"/>
    <w:rsid w:val="0007067E"/>
    <w:rsid w:val="00071222"/>
    <w:rsid w:val="00071BAD"/>
    <w:rsid w:val="0009611C"/>
    <w:rsid w:val="000A26CA"/>
    <w:rsid w:val="000B0F7C"/>
    <w:rsid w:val="000B5D0A"/>
    <w:rsid w:val="000C096D"/>
    <w:rsid w:val="000C6BDE"/>
    <w:rsid w:val="000E5E3D"/>
    <w:rsid w:val="000F0A39"/>
    <w:rsid w:val="000F1C17"/>
    <w:rsid w:val="000F3AF1"/>
    <w:rsid w:val="001067FC"/>
    <w:rsid w:val="001208C4"/>
    <w:rsid w:val="001213F4"/>
    <w:rsid w:val="001232A6"/>
    <w:rsid w:val="00133401"/>
    <w:rsid w:val="00135C8C"/>
    <w:rsid w:val="00147EF9"/>
    <w:rsid w:val="001527CE"/>
    <w:rsid w:val="00162B02"/>
    <w:rsid w:val="00163AD6"/>
    <w:rsid w:val="00165D0E"/>
    <w:rsid w:val="0016703B"/>
    <w:rsid w:val="001679CB"/>
    <w:rsid w:val="0017359C"/>
    <w:rsid w:val="00175C44"/>
    <w:rsid w:val="00187482"/>
    <w:rsid w:val="001A5EA5"/>
    <w:rsid w:val="001B0FA0"/>
    <w:rsid w:val="001B41F2"/>
    <w:rsid w:val="001B7F86"/>
    <w:rsid w:val="001C1772"/>
    <w:rsid w:val="001E0947"/>
    <w:rsid w:val="00221B2B"/>
    <w:rsid w:val="00232C54"/>
    <w:rsid w:val="00244958"/>
    <w:rsid w:val="00247BA0"/>
    <w:rsid w:val="002541E5"/>
    <w:rsid w:val="00274F66"/>
    <w:rsid w:val="00276A3F"/>
    <w:rsid w:val="002950C0"/>
    <w:rsid w:val="00295103"/>
    <w:rsid w:val="002C074C"/>
    <w:rsid w:val="002C2DA0"/>
    <w:rsid w:val="002C49B1"/>
    <w:rsid w:val="002F238B"/>
    <w:rsid w:val="002F44D0"/>
    <w:rsid w:val="0030464E"/>
    <w:rsid w:val="00313A4A"/>
    <w:rsid w:val="00352210"/>
    <w:rsid w:val="003542AB"/>
    <w:rsid w:val="00355268"/>
    <w:rsid w:val="003707B3"/>
    <w:rsid w:val="0038389B"/>
    <w:rsid w:val="003A1DAE"/>
    <w:rsid w:val="003B4E52"/>
    <w:rsid w:val="003B5CB7"/>
    <w:rsid w:val="003B7A7D"/>
    <w:rsid w:val="003C06D8"/>
    <w:rsid w:val="003C3292"/>
    <w:rsid w:val="003C5098"/>
    <w:rsid w:val="003D0843"/>
    <w:rsid w:val="003E0111"/>
    <w:rsid w:val="003E3B34"/>
    <w:rsid w:val="003F73B8"/>
    <w:rsid w:val="00406014"/>
    <w:rsid w:val="00410C96"/>
    <w:rsid w:val="004123B5"/>
    <w:rsid w:val="00417A41"/>
    <w:rsid w:val="004244CF"/>
    <w:rsid w:val="004349EB"/>
    <w:rsid w:val="004444AD"/>
    <w:rsid w:val="00445D89"/>
    <w:rsid w:val="00452541"/>
    <w:rsid w:val="00460312"/>
    <w:rsid w:val="00477361"/>
    <w:rsid w:val="00483959"/>
    <w:rsid w:val="00494D39"/>
    <w:rsid w:val="004A5B72"/>
    <w:rsid w:val="004A6DFA"/>
    <w:rsid w:val="004B4D15"/>
    <w:rsid w:val="004B6AD9"/>
    <w:rsid w:val="004C149E"/>
    <w:rsid w:val="004E4F30"/>
    <w:rsid w:val="004E75B9"/>
    <w:rsid w:val="0050589B"/>
    <w:rsid w:val="0051006B"/>
    <w:rsid w:val="00511CBE"/>
    <w:rsid w:val="005146E8"/>
    <w:rsid w:val="00525467"/>
    <w:rsid w:val="00527C6C"/>
    <w:rsid w:val="0053432A"/>
    <w:rsid w:val="00553298"/>
    <w:rsid w:val="00563E17"/>
    <w:rsid w:val="00575906"/>
    <w:rsid w:val="005764E5"/>
    <w:rsid w:val="00580BE1"/>
    <w:rsid w:val="005C56A7"/>
    <w:rsid w:val="005D39A7"/>
    <w:rsid w:val="005E0031"/>
    <w:rsid w:val="005E0207"/>
    <w:rsid w:val="005E1497"/>
    <w:rsid w:val="005F08DC"/>
    <w:rsid w:val="00602796"/>
    <w:rsid w:val="0060758B"/>
    <w:rsid w:val="00613E22"/>
    <w:rsid w:val="006176B4"/>
    <w:rsid w:val="00623FF7"/>
    <w:rsid w:val="0063282C"/>
    <w:rsid w:val="00633A7E"/>
    <w:rsid w:val="00635DF0"/>
    <w:rsid w:val="00651A40"/>
    <w:rsid w:val="006577C0"/>
    <w:rsid w:val="00660616"/>
    <w:rsid w:val="006772B8"/>
    <w:rsid w:val="00680B44"/>
    <w:rsid w:val="00684DC8"/>
    <w:rsid w:val="00687BD8"/>
    <w:rsid w:val="0069713E"/>
    <w:rsid w:val="006A6FFA"/>
    <w:rsid w:val="006B7575"/>
    <w:rsid w:val="006C4E80"/>
    <w:rsid w:val="006D3527"/>
    <w:rsid w:val="006E339F"/>
    <w:rsid w:val="006E6FE9"/>
    <w:rsid w:val="00701C0C"/>
    <w:rsid w:val="00707CB0"/>
    <w:rsid w:val="00727A3E"/>
    <w:rsid w:val="00731460"/>
    <w:rsid w:val="00741A5C"/>
    <w:rsid w:val="007470A9"/>
    <w:rsid w:val="00774FDD"/>
    <w:rsid w:val="00782118"/>
    <w:rsid w:val="00784685"/>
    <w:rsid w:val="007851E9"/>
    <w:rsid w:val="00785427"/>
    <w:rsid w:val="00791544"/>
    <w:rsid w:val="007975D5"/>
    <w:rsid w:val="007A09C2"/>
    <w:rsid w:val="007A3420"/>
    <w:rsid w:val="007A4FEA"/>
    <w:rsid w:val="007B5B73"/>
    <w:rsid w:val="007C7EA1"/>
    <w:rsid w:val="007E21B5"/>
    <w:rsid w:val="007F26FF"/>
    <w:rsid w:val="0081259F"/>
    <w:rsid w:val="00812EDB"/>
    <w:rsid w:val="00823B9B"/>
    <w:rsid w:val="00840B66"/>
    <w:rsid w:val="00855BBA"/>
    <w:rsid w:val="0087064E"/>
    <w:rsid w:val="00872D05"/>
    <w:rsid w:val="00875C7E"/>
    <w:rsid w:val="008A023B"/>
    <w:rsid w:val="008A170C"/>
    <w:rsid w:val="008B08BA"/>
    <w:rsid w:val="008C2A57"/>
    <w:rsid w:val="008C46CE"/>
    <w:rsid w:val="008D0708"/>
    <w:rsid w:val="008E6590"/>
    <w:rsid w:val="008F5F56"/>
    <w:rsid w:val="008F77B7"/>
    <w:rsid w:val="00920AD1"/>
    <w:rsid w:val="00923041"/>
    <w:rsid w:val="00931078"/>
    <w:rsid w:val="0093516C"/>
    <w:rsid w:val="009352FB"/>
    <w:rsid w:val="00942F2A"/>
    <w:rsid w:val="00944C21"/>
    <w:rsid w:val="009518B9"/>
    <w:rsid w:val="00967265"/>
    <w:rsid w:val="009714FE"/>
    <w:rsid w:val="0098089B"/>
    <w:rsid w:val="009831BB"/>
    <w:rsid w:val="009B359F"/>
    <w:rsid w:val="009D0D70"/>
    <w:rsid w:val="009D19BF"/>
    <w:rsid w:val="009D3E06"/>
    <w:rsid w:val="009F0EB3"/>
    <w:rsid w:val="00A15525"/>
    <w:rsid w:val="00A164AB"/>
    <w:rsid w:val="00A16A7A"/>
    <w:rsid w:val="00A44883"/>
    <w:rsid w:val="00A44E36"/>
    <w:rsid w:val="00A562E4"/>
    <w:rsid w:val="00A6328F"/>
    <w:rsid w:val="00A85C95"/>
    <w:rsid w:val="00AD6E83"/>
    <w:rsid w:val="00AF615D"/>
    <w:rsid w:val="00AF7360"/>
    <w:rsid w:val="00B0414E"/>
    <w:rsid w:val="00B13698"/>
    <w:rsid w:val="00B13F25"/>
    <w:rsid w:val="00B20103"/>
    <w:rsid w:val="00B3544C"/>
    <w:rsid w:val="00B36099"/>
    <w:rsid w:val="00B40043"/>
    <w:rsid w:val="00B44880"/>
    <w:rsid w:val="00B52FA2"/>
    <w:rsid w:val="00B54A30"/>
    <w:rsid w:val="00B57263"/>
    <w:rsid w:val="00B63B19"/>
    <w:rsid w:val="00B6530F"/>
    <w:rsid w:val="00B95F66"/>
    <w:rsid w:val="00BA4005"/>
    <w:rsid w:val="00BB00DE"/>
    <w:rsid w:val="00BB196B"/>
    <w:rsid w:val="00BC368F"/>
    <w:rsid w:val="00BD10B8"/>
    <w:rsid w:val="00BD3199"/>
    <w:rsid w:val="00C008F5"/>
    <w:rsid w:val="00C010A9"/>
    <w:rsid w:val="00C03664"/>
    <w:rsid w:val="00C071C2"/>
    <w:rsid w:val="00C079C9"/>
    <w:rsid w:val="00C13190"/>
    <w:rsid w:val="00C1487F"/>
    <w:rsid w:val="00C30FB4"/>
    <w:rsid w:val="00C35361"/>
    <w:rsid w:val="00C36E3A"/>
    <w:rsid w:val="00C36F07"/>
    <w:rsid w:val="00C451C0"/>
    <w:rsid w:val="00C46477"/>
    <w:rsid w:val="00C567AB"/>
    <w:rsid w:val="00C56B4D"/>
    <w:rsid w:val="00C725D2"/>
    <w:rsid w:val="00C72AD5"/>
    <w:rsid w:val="00C74C53"/>
    <w:rsid w:val="00C76752"/>
    <w:rsid w:val="00C805B0"/>
    <w:rsid w:val="00C85103"/>
    <w:rsid w:val="00C863A9"/>
    <w:rsid w:val="00CB219A"/>
    <w:rsid w:val="00CB255A"/>
    <w:rsid w:val="00CB31E9"/>
    <w:rsid w:val="00CC57E4"/>
    <w:rsid w:val="00CD6209"/>
    <w:rsid w:val="00D20501"/>
    <w:rsid w:val="00D27CA4"/>
    <w:rsid w:val="00D53FA7"/>
    <w:rsid w:val="00D7712F"/>
    <w:rsid w:val="00D85C61"/>
    <w:rsid w:val="00D965A7"/>
    <w:rsid w:val="00DA23BD"/>
    <w:rsid w:val="00DB499E"/>
    <w:rsid w:val="00DC3183"/>
    <w:rsid w:val="00DD0E08"/>
    <w:rsid w:val="00DE18BB"/>
    <w:rsid w:val="00DE1FFE"/>
    <w:rsid w:val="00DE7630"/>
    <w:rsid w:val="00E12C58"/>
    <w:rsid w:val="00E150E9"/>
    <w:rsid w:val="00E24403"/>
    <w:rsid w:val="00E2512D"/>
    <w:rsid w:val="00E2557F"/>
    <w:rsid w:val="00E3146C"/>
    <w:rsid w:val="00E4375A"/>
    <w:rsid w:val="00E6013B"/>
    <w:rsid w:val="00E6154A"/>
    <w:rsid w:val="00E638B2"/>
    <w:rsid w:val="00E71F66"/>
    <w:rsid w:val="00E76430"/>
    <w:rsid w:val="00E80836"/>
    <w:rsid w:val="00E83423"/>
    <w:rsid w:val="00E856AF"/>
    <w:rsid w:val="00E96E55"/>
    <w:rsid w:val="00EA0C26"/>
    <w:rsid w:val="00EA2237"/>
    <w:rsid w:val="00EA5681"/>
    <w:rsid w:val="00EC3523"/>
    <w:rsid w:val="00EF0764"/>
    <w:rsid w:val="00EF17FA"/>
    <w:rsid w:val="00EF5CB7"/>
    <w:rsid w:val="00F03A1F"/>
    <w:rsid w:val="00F11C32"/>
    <w:rsid w:val="00F20962"/>
    <w:rsid w:val="00F25331"/>
    <w:rsid w:val="00F256EC"/>
    <w:rsid w:val="00F322EF"/>
    <w:rsid w:val="00F364F4"/>
    <w:rsid w:val="00F629B6"/>
    <w:rsid w:val="00F62CF5"/>
    <w:rsid w:val="00F737A2"/>
    <w:rsid w:val="00F73931"/>
    <w:rsid w:val="00F806DF"/>
    <w:rsid w:val="00F877A8"/>
    <w:rsid w:val="00FA1D4F"/>
    <w:rsid w:val="00FA2467"/>
    <w:rsid w:val="00FA3853"/>
    <w:rsid w:val="00FA4FC9"/>
    <w:rsid w:val="00FA6635"/>
    <w:rsid w:val="00FB4D0B"/>
    <w:rsid w:val="00FB5E17"/>
    <w:rsid w:val="00FD475D"/>
    <w:rsid w:val="00FE4F25"/>
    <w:rsid w:val="00FE6D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5CEC4DF"/>
  <w15:chartTrackingRefBased/>
  <w15:docId w15:val="{2D185F5C-47B8-4F7B-A73E-964FF60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477"/>
    <w:pPr>
      <w:tabs>
        <w:tab w:val="center" w:pos="4680"/>
        <w:tab w:val="right" w:pos="9360"/>
      </w:tabs>
    </w:pPr>
  </w:style>
  <w:style w:type="character" w:customStyle="1" w:styleId="HeaderChar">
    <w:name w:val="Header Char"/>
    <w:link w:val="Header"/>
    <w:uiPriority w:val="99"/>
    <w:rsid w:val="00C46477"/>
    <w:rPr>
      <w:rFonts w:ascii="Times New Roman" w:hAnsi="Times New Roman"/>
    </w:rPr>
  </w:style>
  <w:style w:type="paragraph" w:styleId="Footer">
    <w:name w:val="footer"/>
    <w:basedOn w:val="Normal"/>
    <w:link w:val="FooterChar"/>
    <w:uiPriority w:val="99"/>
    <w:unhideWhenUsed/>
    <w:rsid w:val="00C46477"/>
    <w:pPr>
      <w:tabs>
        <w:tab w:val="center" w:pos="4680"/>
        <w:tab w:val="right" w:pos="9360"/>
      </w:tabs>
    </w:pPr>
  </w:style>
  <w:style w:type="character" w:customStyle="1" w:styleId="FooterChar">
    <w:name w:val="Footer Char"/>
    <w:link w:val="Footer"/>
    <w:uiPriority w:val="99"/>
    <w:rsid w:val="00C46477"/>
    <w:rPr>
      <w:rFonts w:ascii="Times New Roman" w:hAnsi="Times New Roman"/>
    </w:rPr>
  </w:style>
  <w:style w:type="paragraph" w:styleId="ListParagraph">
    <w:name w:val="List Paragraph"/>
    <w:basedOn w:val="Normal"/>
    <w:uiPriority w:val="34"/>
    <w:qFormat/>
    <w:rsid w:val="00D53FA7"/>
    <w:pPr>
      <w:widowControl/>
      <w:tabs>
        <w:tab w:val="left" w:pos="709"/>
      </w:tabs>
      <w:suppressAutoHyphens/>
      <w:autoSpaceDE/>
      <w:autoSpaceDN/>
      <w:adjustRightInd/>
      <w:spacing w:after="200" w:line="276" w:lineRule="atLeast"/>
    </w:pPr>
    <w:rPr>
      <w:rFonts w:ascii="Calibri" w:eastAsia="DejaVu Sans" w:hAnsi="Calibri"/>
      <w:color w:val="00000A"/>
      <w:sz w:val="22"/>
      <w:szCs w:val="22"/>
    </w:rPr>
  </w:style>
  <w:style w:type="character" w:styleId="CommentReference">
    <w:name w:val="annotation reference"/>
    <w:uiPriority w:val="99"/>
    <w:semiHidden/>
    <w:unhideWhenUsed/>
    <w:rsid w:val="006B7575"/>
    <w:rPr>
      <w:sz w:val="16"/>
      <w:szCs w:val="16"/>
    </w:rPr>
  </w:style>
  <w:style w:type="paragraph" w:styleId="CommentText">
    <w:name w:val="annotation text"/>
    <w:basedOn w:val="Normal"/>
    <w:link w:val="CommentTextChar"/>
    <w:uiPriority w:val="99"/>
    <w:unhideWhenUsed/>
    <w:rsid w:val="006B7575"/>
  </w:style>
  <w:style w:type="character" w:customStyle="1" w:styleId="CommentTextChar">
    <w:name w:val="Comment Text Char"/>
    <w:link w:val="CommentText"/>
    <w:uiPriority w:val="99"/>
    <w:rsid w:val="006B757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7575"/>
    <w:rPr>
      <w:b/>
      <w:bCs/>
    </w:rPr>
  </w:style>
  <w:style w:type="character" w:customStyle="1" w:styleId="CommentSubjectChar">
    <w:name w:val="Comment Subject Char"/>
    <w:link w:val="CommentSubject"/>
    <w:uiPriority w:val="99"/>
    <w:semiHidden/>
    <w:rsid w:val="006B7575"/>
    <w:rPr>
      <w:rFonts w:ascii="Times New Roman" w:hAnsi="Times New Roman"/>
      <w:b/>
      <w:bCs/>
    </w:rPr>
  </w:style>
  <w:style w:type="paragraph" w:styleId="Revision">
    <w:name w:val="Revision"/>
    <w:hidden/>
    <w:uiPriority w:val="99"/>
    <w:semiHidden/>
    <w:rsid w:val="005C56A7"/>
    <w:rPr>
      <w:rFonts w:ascii="Times New Roman" w:hAnsi="Times New Roman"/>
    </w:rPr>
  </w:style>
  <w:style w:type="character" w:styleId="FollowedHyperlink">
    <w:name w:val="FollowedHyperlink"/>
    <w:uiPriority w:val="99"/>
    <w:semiHidden/>
    <w:unhideWhenUsed/>
    <w:rsid w:val="00313A4A"/>
    <w:rPr>
      <w:color w:val="954F72"/>
      <w:u w:val="single"/>
    </w:rPr>
  </w:style>
  <w:style w:type="character" w:styleId="UnresolvedMention">
    <w:name w:val="Unresolved Mention"/>
    <w:basedOn w:val="DefaultParagraphFont"/>
    <w:uiPriority w:val="99"/>
    <w:semiHidden/>
    <w:unhideWhenUsed/>
    <w:rsid w:val="00477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2/RUS_h.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rafting.ecfr.gov/current/title-25/chapter-I/subchapter-H/part-152/subject-group-ECFRe3f55098a255188/section-152.34" TargetMode="External" /><Relationship Id="rId6" Type="http://schemas.openxmlformats.org/officeDocument/2006/relationships/hyperlink" Target="https://drafting.ecfr.gov/current/title-25/chapter-I/subchapter-H/part-162/subpart-B/subject-group-ECFRa9db146eebf8251" TargetMode="External" /><Relationship Id="rId7" Type="http://schemas.openxmlformats.org/officeDocument/2006/relationships/hyperlink" Target="https://drafting.ecfr.gov/current/title-25/chapter-I/subchapter-H/part-169" TargetMode="External" /><Relationship Id="rId8" Type="http://schemas.openxmlformats.org/officeDocument/2006/relationships/hyperlink" Target="https://www.bia.gov/regional-offices" TargetMode="External" /><Relationship Id="rId9" Type="http://schemas.openxmlformats.org/officeDocument/2006/relationships/hyperlink" Target="https://www.bia.gov/sites/default/files/dup/assets/public/raca/manual/pdf/52%20IAM%204_%20Processing%20Mortgages%20of%20Trust%20Properties_FINAL_ver2_signed_footer_508_corrected%20page%20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EBA5-1FBF-402D-8593-80793412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2804</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3</cp:revision>
  <cp:lastPrinted>2015-11-23T23:08:00Z</cp:lastPrinted>
  <dcterms:created xsi:type="dcterms:W3CDTF">2023-10-23T19:08:00Z</dcterms:created>
  <dcterms:modified xsi:type="dcterms:W3CDTF">2023-10-23T19:12:00Z</dcterms:modified>
</cp:coreProperties>
</file>