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7FEE6" w14:textId="16C7EFD2" w:rsidR="00241B8F" w:rsidRDefault="00241B8F" w:rsidP="00241B8F">
      <w:pPr>
        <w:tabs>
          <w:tab w:val="center" w:pos="7560"/>
        </w:tabs>
        <w:outlineLvl w:val="0"/>
        <w:rPr>
          <w:b/>
          <w:sz w:val="22"/>
          <w:szCs w:val="22"/>
        </w:rPr>
      </w:pPr>
      <w:bookmarkStart w:id="0" w:name="_GoBack"/>
      <w:bookmarkEnd w:id="0"/>
      <w:r>
        <w:rPr>
          <w:b/>
          <w:sz w:val="22"/>
          <w:szCs w:val="22"/>
        </w:rPr>
        <w:tab/>
      </w:r>
      <w:r>
        <w:rPr>
          <w:b/>
          <w:sz w:val="22"/>
          <w:szCs w:val="22"/>
        </w:rPr>
        <w:tab/>
      </w:r>
      <w:r w:rsidRPr="00241B8F">
        <w:rPr>
          <w:b/>
          <w:color w:val="FF0000"/>
          <w:sz w:val="22"/>
          <w:szCs w:val="22"/>
        </w:rPr>
        <w:t>OMB CONTROL No. XXX-XXXX</w:t>
      </w:r>
    </w:p>
    <w:p w14:paraId="361E9A23" w14:textId="6A8A5237" w:rsidR="00F53EF0" w:rsidRDefault="006C486D" w:rsidP="00241B8F">
      <w:pPr>
        <w:tabs>
          <w:tab w:val="center" w:pos="5731"/>
        </w:tabs>
        <w:jc w:val="center"/>
        <w:outlineLvl w:val="0"/>
        <w:rPr>
          <w:b/>
          <w:sz w:val="22"/>
          <w:szCs w:val="22"/>
        </w:rPr>
      </w:pPr>
      <w:r w:rsidRPr="00C33E35">
        <w:rPr>
          <w:b/>
          <w:sz w:val="22"/>
          <w:szCs w:val="22"/>
        </w:rPr>
        <w:t>Agenda</w:t>
      </w:r>
      <w:r w:rsidR="00AB03DD" w:rsidRPr="00C33E35">
        <w:rPr>
          <w:b/>
          <w:sz w:val="22"/>
          <w:szCs w:val="22"/>
        </w:rPr>
        <w:t xml:space="preserve"> </w:t>
      </w:r>
      <w:r w:rsidR="00AF73A2" w:rsidRPr="00C33E35">
        <w:rPr>
          <w:b/>
          <w:sz w:val="22"/>
          <w:szCs w:val="22"/>
        </w:rPr>
        <w:t>–</w:t>
      </w:r>
      <w:r w:rsidR="00AB03DD" w:rsidRPr="00C33E35">
        <w:rPr>
          <w:b/>
          <w:sz w:val="22"/>
          <w:szCs w:val="22"/>
        </w:rPr>
        <w:t xml:space="preserve"> </w:t>
      </w:r>
      <w:r w:rsidR="000A3E95" w:rsidRPr="000A3E95">
        <w:rPr>
          <w:b/>
          <w:sz w:val="22"/>
          <w:szCs w:val="22"/>
          <w:highlight w:val="yellow"/>
        </w:rPr>
        <w:t>MMM YYYY</w:t>
      </w:r>
      <w:r w:rsidR="00AB03DD" w:rsidRPr="00C33E35">
        <w:rPr>
          <w:b/>
          <w:sz w:val="22"/>
          <w:szCs w:val="22"/>
        </w:rPr>
        <w:t xml:space="preserve"> Refunding</w:t>
      </w:r>
    </w:p>
    <w:p w14:paraId="4F0C0AC7" w14:textId="305DD21C" w:rsidR="00DC1B92" w:rsidRPr="00C33E35" w:rsidRDefault="00AB03DD" w:rsidP="00927481">
      <w:pPr>
        <w:jc w:val="center"/>
        <w:outlineLvl w:val="0"/>
        <w:rPr>
          <w:b/>
          <w:sz w:val="22"/>
          <w:szCs w:val="22"/>
        </w:rPr>
      </w:pPr>
      <w:r w:rsidRPr="00C33E35">
        <w:rPr>
          <w:b/>
          <w:sz w:val="22"/>
          <w:szCs w:val="22"/>
        </w:rPr>
        <w:t>Treasury Dealer Meetings</w:t>
      </w:r>
      <w:r w:rsidR="00320094">
        <w:rPr>
          <w:b/>
          <w:sz w:val="22"/>
          <w:szCs w:val="22"/>
        </w:rPr>
        <w:t xml:space="preserve"> </w:t>
      </w:r>
      <w:r w:rsidR="00320094" w:rsidRPr="00C33E35">
        <w:rPr>
          <w:b/>
          <w:sz w:val="22"/>
          <w:szCs w:val="22"/>
        </w:rPr>
        <w:t>–</w:t>
      </w:r>
      <w:r w:rsidR="00320094">
        <w:rPr>
          <w:b/>
          <w:sz w:val="22"/>
          <w:szCs w:val="22"/>
        </w:rPr>
        <w:t xml:space="preserve"> </w:t>
      </w:r>
      <w:r w:rsidR="000A3E95" w:rsidRPr="000A3E95">
        <w:rPr>
          <w:b/>
          <w:sz w:val="22"/>
          <w:szCs w:val="22"/>
          <w:highlight w:val="yellow"/>
        </w:rPr>
        <w:t xml:space="preserve">MMM DD </w:t>
      </w:r>
      <w:r w:rsidR="00314621" w:rsidRPr="000A3E95">
        <w:rPr>
          <w:b/>
          <w:sz w:val="22"/>
          <w:szCs w:val="22"/>
          <w:highlight w:val="yellow"/>
        </w:rPr>
        <w:t>–</w:t>
      </w:r>
      <w:r w:rsidR="001A133D" w:rsidRPr="000A3E95">
        <w:rPr>
          <w:b/>
          <w:sz w:val="22"/>
          <w:szCs w:val="22"/>
          <w:highlight w:val="yellow"/>
        </w:rPr>
        <w:t xml:space="preserve"> </w:t>
      </w:r>
      <w:r w:rsidR="000A3E95" w:rsidRPr="000A3E95">
        <w:rPr>
          <w:b/>
          <w:sz w:val="22"/>
          <w:szCs w:val="22"/>
          <w:highlight w:val="yellow"/>
        </w:rPr>
        <w:t>MMM DD</w:t>
      </w:r>
      <w:r w:rsidR="003F0FD4" w:rsidRPr="000A3E95">
        <w:rPr>
          <w:b/>
          <w:sz w:val="22"/>
          <w:szCs w:val="22"/>
          <w:highlight w:val="yellow"/>
        </w:rPr>
        <w:t xml:space="preserve">, </w:t>
      </w:r>
      <w:r w:rsidR="000A3E95" w:rsidRPr="000A3E95">
        <w:rPr>
          <w:b/>
          <w:sz w:val="22"/>
          <w:szCs w:val="22"/>
          <w:highlight w:val="yellow"/>
        </w:rPr>
        <w:t>YYYY</w:t>
      </w:r>
    </w:p>
    <w:p w14:paraId="1C065ADF" w14:textId="77777777" w:rsidR="00AB03DD" w:rsidRPr="00C33E35" w:rsidRDefault="00AB03DD" w:rsidP="00105D78">
      <w:pPr>
        <w:jc w:val="center"/>
        <w:outlineLvl w:val="0"/>
        <w:rPr>
          <w:b/>
          <w:sz w:val="22"/>
          <w:szCs w:val="22"/>
        </w:rPr>
      </w:pPr>
      <w:r w:rsidRPr="00C33E35">
        <w:rPr>
          <w:b/>
          <w:sz w:val="22"/>
          <w:szCs w:val="22"/>
        </w:rPr>
        <w:t>Dealer ___________________</w:t>
      </w:r>
    </w:p>
    <w:p w14:paraId="3AD8EA0A" w14:textId="05F1FAE0" w:rsidR="004E3E08" w:rsidRPr="0011281C" w:rsidRDefault="004E3E08" w:rsidP="0011281C">
      <w:pPr>
        <w:rPr>
          <w:color w:val="1F497D"/>
        </w:rPr>
      </w:pPr>
      <w:r w:rsidRPr="00A54281">
        <w:rPr>
          <w:sz w:val="22"/>
          <w:szCs w:val="22"/>
        </w:rPr>
        <w:t xml:space="preserve">To allow more time for discussion, please e-mail your responses prior to </w:t>
      </w:r>
      <w:r w:rsidR="00796361" w:rsidRPr="00A54281">
        <w:rPr>
          <w:sz w:val="22"/>
          <w:szCs w:val="22"/>
        </w:rPr>
        <w:t>12:</w:t>
      </w:r>
      <w:r w:rsidR="00061166" w:rsidRPr="00A54281">
        <w:rPr>
          <w:sz w:val="22"/>
          <w:szCs w:val="22"/>
        </w:rPr>
        <w:t xml:space="preserve">00 </w:t>
      </w:r>
      <w:r w:rsidR="005F2F6C" w:rsidRPr="00A54281">
        <w:rPr>
          <w:sz w:val="22"/>
          <w:szCs w:val="22"/>
        </w:rPr>
        <w:t xml:space="preserve">PM </w:t>
      </w:r>
      <w:r w:rsidR="00602721" w:rsidRPr="00A54281">
        <w:rPr>
          <w:sz w:val="22"/>
          <w:szCs w:val="22"/>
        </w:rPr>
        <w:t xml:space="preserve">on </w:t>
      </w:r>
      <w:r w:rsidR="00061166" w:rsidRPr="00A54281">
        <w:rPr>
          <w:sz w:val="22"/>
          <w:szCs w:val="22"/>
        </w:rPr>
        <w:t>Mond</w:t>
      </w:r>
      <w:r w:rsidRPr="00A54281">
        <w:rPr>
          <w:sz w:val="22"/>
          <w:szCs w:val="22"/>
        </w:rPr>
        <w:t xml:space="preserve">ay, </w:t>
      </w:r>
      <w:r w:rsidR="000A3E95" w:rsidRPr="000A3E95">
        <w:rPr>
          <w:sz w:val="22"/>
          <w:szCs w:val="22"/>
          <w:highlight w:val="yellow"/>
        </w:rPr>
        <w:t>MMM DD, YYYY</w:t>
      </w:r>
      <w:r w:rsidRPr="00A54281">
        <w:rPr>
          <w:sz w:val="22"/>
          <w:szCs w:val="22"/>
        </w:rPr>
        <w:t xml:space="preserve"> to </w:t>
      </w:r>
      <w:hyperlink r:id="rId12" w:history="1">
        <w:r w:rsidR="0085154B" w:rsidRPr="00A54281">
          <w:rPr>
            <w:rStyle w:val="Hyperlink"/>
            <w:sz w:val="22"/>
            <w:szCs w:val="22"/>
          </w:rPr>
          <w:t>Debt.Management@treasury.gov</w:t>
        </w:r>
      </w:hyperlink>
      <w:r w:rsidR="00A17217" w:rsidRPr="00A54281">
        <w:rPr>
          <w:rStyle w:val="Hyperlink"/>
          <w:sz w:val="22"/>
          <w:szCs w:val="22"/>
        </w:rPr>
        <w:t xml:space="preserve"> </w:t>
      </w:r>
      <w:r w:rsidR="0011281C">
        <w:rPr>
          <w:sz w:val="22"/>
          <w:szCs w:val="22"/>
        </w:rPr>
        <w:t xml:space="preserve"> and</w:t>
      </w:r>
      <w:r w:rsidR="00E21B25" w:rsidRPr="00A54281">
        <w:rPr>
          <w:sz w:val="22"/>
          <w:szCs w:val="22"/>
        </w:rPr>
        <w:t xml:space="preserve"> </w:t>
      </w:r>
      <w:hyperlink r:id="rId13" w:history="1">
        <w:r w:rsidR="0011281C">
          <w:rPr>
            <w:rStyle w:val="Hyperlink"/>
          </w:rPr>
          <w:t>NY.QTR@ny.frb.org</w:t>
        </w:r>
      </w:hyperlink>
      <w:r w:rsidR="0011281C">
        <w:rPr>
          <w:color w:val="1F497D"/>
        </w:rPr>
        <w:t xml:space="preserve">.  </w:t>
      </w:r>
      <w:r w:rsidRPr="00A54281">
        <w:rPr>
          <w:sz w:val="22"/>
          <w:szCs w:val="22"/>
        </w:rPr>
        <w:t xml:space="preserve">Even if you are not scheduled to meet with Treasury officials this quarter, your responses are still appreciated.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500"/>
        <w:gridCol w:w="1530"/>
        <w:gridCol w:w="1170"/>
        <w:gridCol w:w="2340"/>
      </w:tblGrid>
      <w:tr w:rsidR="004E3E08" w:rsidRPr="00C70F81" w14:paraId="4703EB88" w14:textId="77777777" w:rsidTr="00C65E87">
        <w:tc>
          <w:tcPr>
            <w:tcW w:w="5328" w:type="dxa"/>
            <w:gridSpan w:val="2"/>
            <w:tcBorders>
              <w:top w:val="nil"/>
              <w:left w:val="nil"/>
              <w:bottom w:val="nil"/>
              <w:right w:val="nil"/>
            </w:tcBorders>
          </w:tcPr>
          <w:p w14:paraId="2E9750FC" w14:textId="77777777" w:rsidR="00F423B7" w:rsidRPr="00621C9A" w:rsidRDefault="00F423B7" w:rsidP="00D54398">
            <w:pPr>
              <w:rPr>
                <w:b/>
                <w:sz w:val="22"/>
                <w:szCs w:val="22"/>
              </w:rPr>
            </w:pPr>
          </w:p>
          <w:p w14:paraId="7E0A94BB" w14:textId="4A986162" w:rsidR="004E3E08" w:rsidRPr="00621C9A" w:rsidRDefault="00C52472" w:rsidP="00FE306F">
            <w:pPr>
              <w:rPr>
                <w:sz w:val="22"/>
                <w:szCs w:val="22"/>
              </w:rPr>
            </w:pPr>
            <w:r w:rsidRPr="00621C9A">
              <w:rPr>
                <w:b/>
                <w:sz w:val="22"/>
                <w:szCs w:val="22"/>
              </w:rPr>
              <w:t xml:space="preserve">I.  </w:t>
            </w:r>
            <w:r w:rsidR="000927D7">
              <w:rPr>
                <w:b/>
                <w:sz w:val="22"/>
                <w:szCs w:val="22"/>
              </w:rPr>
              <w:t>Private</w:t>
            </w:r>
            <w:r w:rsidR="00FE306F">
              <w:rPr>
                <w:b/>
                <w:sz w:val="22"/>
                <w:szCs w:val="22"/>
              </w:rPr>
              <w:t>ly</w:t>
            </w:r>
            <w:r w:rsidR="000927D7">
              <w:rPr>
                <w:b/>
                <w:sz w:val="22"/>
                <w:szCs w:val="22"/>
              </w:rPr>
              <w:t xml:space="preserve">-Held </w:t>
            </w:r>
            <w:r w:rsidRPr="00621C9A">
              <w:rPr>
                <w:b/>
                <w:sz w:val="22"/>
                <w:szCs w:val="22"/>
              </w:rPr>
              <w:t>Marketable Borrowing Estimates</w:t>
            </w:r>
            <w:r w:rsidRPr="00621C9A" w:rsidDel="00C52472">
              <w:rPr>
                <w:b/>
                <w:sz w:val="22"/>
                <w:szCs w:val="22"/>
              </w:rPr>
              <w:t xml:space="preserve"> </w:t>
            </w:r>
            <w:r w:rsidR="00561910" w:rsidRPr="00561910">
              <w:rPr>
                <w:b/>
                <w:color w:val="FF0000"/>
                <w:sz w:val="22"/>
                <w:szCs w:val="22"/>
              </w:rPr>
              <w:t>#</w:t>
            </w:r>
          </w:p>
        </w:tc>
        <w:tc>
          <w:tcPr>
            <w:tcW w:w="1530" w:type="dxa"/>
            <w:tcBorders>
              <w:top w:val="nil"/>
              <w:left w:val="nil"/>
              <w:right w:val="nil"/>
            </w:tcBorders>
          </w:tcPr>
          <w:p w14:paraId="76F8CB2F" w14:textId="77777777" w:rsidR="004E3E08" w:rsidRPr="00621C9A" w:rsidRDefault="004E3E08" w:rsidP="00D54398">
            <w:pPr>
              <w:rPr>
                <w:sz w:val="22"/>
                <w:szCs w:val="22"/>
              </w:rPr>
            </w:pPr>
          </w:p>
        </w:tc>
        <w:tc>
          <w:tcPr>
            <w:tcW w:w="1170" w:type="dxa"/>
            <w:tcBorders>
              <w:top w:val="nil"/>
              <w:left w:val="nil"/>
              <w:right w:val="nil"/>
            </w:tcBorders>
          </w:tcPr>
          <w:p w14:paraId="4197B0A7" w14:textId="77777777" w:rsidR="004E3E08" w:rsidRPr="00C70F81" w:rsidRDefault="004E3E08" w:rsidP="00D54398">
            <w:pPr>
              <w:jc w:val="center"/>
              <w:rPr>
                <w:sz w:val="22"/>
                <w:szCs w:val="22"/>
              </w:rPr>
            </w:pPr>
            <w:r w:rsidRPr="00C70F81">
              <w:rPr>
                <w:sz w:val="22"/>
                <w:szCs w:val="22"/>
              </w:rPr>
              <w:t>Central</w:t>
            </w:r>
          </w:p>
          <w:p w14:paraId="7360C3C4" w14:textId="77777777" w:rsidR="004E3E08" w:rsidRPr="00C70F81" w:rsidRDefault="004E3E08" w:rsidP="00D54398">
            <w:pPr>
              <w:jc w:val="center"/>
              <w:rPr>
                <w:sz w:val="22"/>
                <w:szCs w:val="22"/>
              </w:rPr>
            </w:pPr>
            <w:r w:rsidRPr="00C70F81">
              <w:rPr>
                <w:sz w:val="22"/>
                <w:szCs w:val="22"/>
              </w:rPr>
              <w:t>Estimate</w:t>
            </w:r>
          </w:p>
        </w:tc>
        <w:tc>
          <w:tcPr>
            <w:tcW w:w="2340" w:type="dxa"/>
            <w:tcBorders>
              <w:top w:val="nil"/>
              <w:left w:val="nil"/>
              <w:right w:val="nil"/>
            </w:tcBorders>
          </w:tcPr>
          <w:p w14:paraId="624332E2" w14:textId="77777777" w:rsidR="004E3E08" w:rsidRPr="00C70F81" w:rsidRDefault="004E3E08" w:rsidP="00D54398">
            <w:pPr>
              <w:jc w:val="center"/>
              <w:rPr>
                <w:sz w:val="22"/>
                <w:szCs w:val="22"/>
              </w:rPr>
            </w:pPr>
            <w:r w:rsidRPr="00C70F81">
              <w:rPr>
                <w:sz w:val="22"/>
                <w:szCs w:val="22"/>
              </w:rPr>
              <w:t>Range that would not surprise you</w:t>
            </w:r>
          </w:p>
        </w:tc>
      </w:tr>
      <w:tr w:rsidR="004E3E08" w:rsidRPr="00C70F81" w14:paraId="3EA94CC1" w14:textId="77777777" w:rsidTr="000927D7">
        <w:trPr>
          <w:trHeight w:val="366"/>
        </w:trPr>
        <w:tc>
          <w:tcPr>
            <w:tcW w:w="828" w:type="dxa"/>
            <w:tcBorders>
              <w:top w:val="nil"/>
              <w:left w:val="nil"/>
              <w:bottom w:val="nil"/>
            </w:tcBorders>
          </w:tcPr>
          <w:p w14:paraId="7C6F9BAA" w14:textId="77777777" w:rsidR="004E3E08" w:rsidRPr="00621C9A" w:rsidRDefault="004E3E08" w:rsidP="00D54398">
            <w:pPr>
              <w:rPr>
                <w:sz w:val="22"/>
                <w:szCs w:val="22"/>
              </w:rPr>
            </w:pPr>
          </w:p>
        </w:tc>
        <w:tc>
          <w:tcPr>
            <w:tcW w:w="6030" w:type="dxa"/>
            <w:gridSpan w:val="2"/>
          </w:tcPr>
          <w:p w14:paraId="6D900755" w14:textId="1FE2B323" w:rsidR="004E3E08" w:rsidRPr="000927D7" w:rsidRDefault="00B90BB6" w:rsidP="003746F0">
            <w:pPr>
              <w:rPr>
                <w:b/>
                <w:sz w:val="18"/>
                <w:szCs w:val="18"/>
              </w:rPr>
            </w:pPr>
            <w:r w:rsidRPr="005D6B49">
              <w:rPr>
                <w:b/>
                <w:bCs/>
                <w:color w:val="FF0000"/>
                <w:sz w:val="16"/>
                <w:szCs w:val="16"/>
              </w:rPr>
              <w:t xml:space="preserve"># </w:t>
            </w:r>
            <w:r w:rsidRPr="00B90BB6">
              <w:rPr>
                <w:b/>
                <w:bCs/>
                <w:sz w:val="16"/>
                <w:szCs w:val="16"/>
              </w:rPr>
              <w:t xml:space="preserve">Privately-held marketable borrowing </w:t>
            </w:r>
            <w:r w:rsidRPr="00B90BB6">
              <w:rPr>
                <w:b/>
                <w:bCs/>
                <w:sz w:val="16"/>
                <w:szCs w:val="16"/>
                <w:u w:val="single"/>
              </w:rPr>
              <w:t>excludes</w:t>
            </w:r>
            <w:r w:rsidRPr="00B90BB6">
              <w:rPr>
                <w:b/>
                <w:bCs/>
                <w:sz w:val="16"/>
                <w:szCs w:val="16"/>
              </w:rPr>
              <w:t xml:space="preserve"> </w:t>
            </w:r>
            <w:r w:rsidRPr="005D6B49">
              <w:rPr>
                <w:b/>
                <w:bCs/>
                <w:sz w:val="16"/>
                <w:szCs w:val="16"/>
              </w:rPr>
              <w:t>rollovers</w:t>
            </w:r>
            <w:r w:rsidRPr="00B90BB6">
              <w:rPr>
                <w:b/>
                <w:bCs/>
                <w:sz w:val="16"/>
                <w:szCs w:val="16"/>
              </w:rPr>
              <w:t xml:space="preserve"> </w:t>
            </w:r>
            <w:r w:rsidR="0049329A">
              <w:rPr>
                <w:b/>
                <w:bCs/>
                <w:sz w:val="16"/>
                <w:szCs w:val="16"/>
              </w:rPr>
              <w:t xml:space="preserve">(auction “add-ons”) </w:t>
            </w:r>
            <w:r w:rsidRPr="00B90BB6">
              <w:rPr>
                <w:b/>
                <w:bCs/>
                <w:sz w:val="16"/>
                <w:szCs w:val="16"/>
              </w:rPr>
              <w:t xml:space="preserve">of Treasury securities </w:t>
            </w:r>
            <w:r w:rsidRPr="005D6B49">
              <w:rPr>
                <w:b/>
                <w:bCs/>
                <w:sz w:val="16"/>
                <w:szCs w:val="16"/>
              </w:rPr>
              <w:t>held in</w:t>
            </w:r>
            <w:r w:rsidRPr="00B90BB6">
              <w:rPr>
                <w:b/>
                <w:bCs/>
                <w:sz w:val="16"/>
                <w:szCs w:val="16"/>
              </w:rPr>
              <w:t xml:space="preserve"> the Federal Reserve’s System Open Market Account (SOMA</w:t>
            </w:r>
            <w:r w:rsidRPr="005D6B49">
              <w:rPr>
                <w:b/>
                <w:bCs/>
                <w:sz w:val="16"/>
                <w:szCs w:val="16"/>
              </w:rPr>
              <w:t>)</w:t>
            </w:r>
            <w:r w:rsidR="00244423">
              <w:rPr>
                <w:b/>
                <w:bCs/>
                <w:sz w:val="16"/>
                <w:szCs w:val="16"/>
              </w:rPr>
              <w:t xml:space="preserve"> but </w:t>
            </w:r>
            <w:r w:rsidR="00244423" w:rsidRPr="005D6B49">
              <w:rPr>
                <w:b/>
                <w:bCs/>
                <w:sz w:val="16"/>
                <w:szCs w:val="16"/>
                <w:u w:val="single"/>
              </w:rPr>
              <w:t>includes</w:t>
            </w:r>
            <w:r w:rsidR="00244423">
              <w:rPr>
                <w:b/>
                <w:bCs/>
                <w:sz w:val="16"/>
                <w:szCs w:val="16"/>
              </w:rPr>
              <w:t xml:space="preserve"> </w:t>
            </w:r>
            <w:r w:rsidR="003746F0">
              <w:rPr>
                <w:b/>
                <w:bCs/>
                <w:sz w:val="16"/>
                <w:szCs w:val="16"/>
              </w:rPr>
              <w:t>financing required due to</w:t>
            </w:r>
            <w:r w:rsidR="00244423">
              <w:rPr>
                <w:b/>
                <w:bCs/>
                <w:sz w:val="16"/>
                <w:szCs w:val="16"/>
              </w:rPr>
              <w:t xml:space="preserve"> SOMA redemptions</w:t>
            </w:r>
            <w:r w:rsidRPr="005D6B49">
              <w:rPr>
                <w:b/>
                <w:bCs/>
                <w:sz w:val="16"/>
                <w:szCs w:val="16"/>
              </w:rPr>
              <w:t>.</w:t>
            </w:r>
          </w:p>
        </w:tc>
        <w:tc>
          <w:tcPr>
            <w:tcW w:w="1170" w:type="dxa"/>
          </w:tcPr>
          <w:p w14:paraId="49764A8E" w14:textId="77777777" w:rsidR="004E3E08" w:rsidRPr="00C70F81" w:rsidRDefault="004E3E08" w:rsidP="00D54398">
            <w:pPr>
              <w:rPr>
                <w:sz w:val="22"/>
                <w:szCs w:val="22"/>
              </w:rPr>
            </w:pPr>
          </w:p>
        </w:tc>
        <w:tc>
          <w:tcPr>
            <w:tcW w:w="2340" w:type="dxa"/>
          </w:tcPr>
          <w:p w14:paraId="5A16FB08" w14:textId="77777777" w:rsidR="004E3E08" w:rsidRPr="00C70F81" w:rsidRDefault="004E3E08" w:rsidP="00D54398">
            <w:pPr>
              <w:jc w:val="center"/>
              <w:rPr>
                <w:i/>
                <w:sz w:val="22"/>
                <w:szCs w:val="22"/>
              </w:rPr>
            </w:pPr>
            <w:r w:rsidRPr="00C70F81">
              <w:rPr>
                <w:i/>
                <w:sz w:val="22"/>
                <w:szCs w:val="22"/>
              </w:rPr>
              <w:t>Low/High</w:t>
            </w:r>
          </w:p>
        </w:tc>
      </w:tr>
      <w:tr w:rsidR="004E3E08" w:rsidRPr="00C70F81" w14:paraId="7567DC97" w14:textId="77777777" w:rsidTr="00C65E87">
        <w:tc>
          <w:tcPr>
            <w:tcW w:w="828" w:type="dxa"/>
            <w:tcBorders>
              <w:top w:val="nil"/>
              <w:left w:val="nil"/>
              <w:bottom w:val="nil"/>
            </w:tcBorders>
          </w:tcPr>
          <w:p w14:paraId="7FF262B3" w14:textId="77777777" w:rsidR="004E3E08" w:rsidRPr="00621C9A" w:rsidRDefault="004E3E08" w:rsidP="00D54398">
            <w:pPr>
              <w:rPr>
                <w:sz w:val="22"/>
                <w:szCs w:val="22"/>
              </w:rPr>
            </w:pPr>
          </w:p>
        </w:tc>
        <w:tc>
          <w:tcPr>
            <w:tcW w:w="6030" w:type="dxa"/>
            <w:gridSpan w:val="2"/>
          </w:tcPr>
          <w:p w14:paraId="10C15E06" w14:textId="5781EC87" w:rsidR="004E3E08" w:rsidRPr="00621C9A" w:rsidRDefault="000A3E95" w:rsidP="000A3E95">
            <w:pPr>
              <w:rPr>
                <w:sz w:val="22"/>
                <w:szCs w:val="22"/>
              </w:rPr>
            </w:pPr>
            <w:r w:rsidRPr="000A3E95">
              <w:rPr>
                <w:sz w:val="22"/>
                <w:szCs w:val="22"/>
                <w:highlight w:val="yellow"/>
              </w:rPr>
              <w:t>MMM-MMM</w:t>
            </w:r>
            <w:r w:rsidR="00314621" w:rsidRPr="000A3E95">
              <w:rPr>
                <w:sz w:val="22"/>
                <w:szCs w:val="22"/>
                <w:highlight w:val="yellow"/>
              </w:rPr>
              <w:t xml:space="preserve"> </w:t>
            </w:r>
            <w:r w:rsidRPr="000A3E95">
              <w:rPr>
                <w:sz w:val="22"/>
                <w:szCs w:val="22"/>
                <w:highlight w:val="yellow"/>
              </w:rPr>
              <w:t>YYYY [current quarter]</w:t>
            </w:r>
            <w:r w:rsidR="000927D7">
              <w:rPr>
                <w:sz w:val="22"/>
                <w:szCs w:val="22"/>
              </w:rPr>
              <w:t xml:space="preserve"> Privately-Held</w:t>
            </w:r>
            <w:r w:rsidR="000927D7" w:rsidRPr="00621C9A">
              <w:rPr>
                <w:sz w:val="22"/>
                <w:szCs w:val="22"/>
              </w:rPr>
              <w:t xml:space="preserve"> Net Marketable Borrowing</w:t>
            </w:r>
          </w:p>
        </w:tc>
        <w:tc>
          <w:tcPr>
            <w:tcW w:w="1170" w:type="dxa"/>
          </w:tcPr>
          <w:p w14:paraId="6540BC5B" w14:textId="77777777" w:rsidR="004E3E08" w:rsidRPr="00C70F81" w:rsidRDefault="004E3E08" w:rsidP="00D54398">
            <w:pPr>
              <w:rPr>
                <w:sz w:val="22"/>
                <w:szCs w:val="22"/>
              </w:rPr>
            </w:pPr>
          </w:p>
        </w:tc>
        <w:tc>
          <w:tcPr>
            <w:tcW w:w="2340" w:type="dxa"/>
          </w:tcPr>
          <w:p w14:paraId="7F86E764" w14:textId="77777777" w:rsidR="004E3E08" w:rsidRPr="00C70F81" w:rsidRDefault="004E3E08" w:rsidP="00D54398">
            <w:pPr>
              <w:rPr>
                <w:sz w:val="22"/>
                <w:szCs w:val="22"/>
              </w:rPr>
            </w:pPr>
            <w:r w:rsidRPr="00C70F81">
              <w:rPr>
                <w:sz w:val="22"/>
                <w:szCs w:val="22"/>
              </w:rPr>
              <w:t xml:space="preserve">               /</w:t>
            </w:r>
          </w:p>
        </w:tc>
      </w:tr>
      <w:tr w:rsidR="00D371CD" w:rsidRPr="00C70F81" w14:paraId="02A02D25" w14:textId="77777777" w:rsidTr="00C65E87">
        <w:tc>
          <w:tcPr>
            <w:tcW w:w="828" w:type="dxa"/>
            <w:tcBorders>
              <w:top w:val="nil"/>
              <w:left w:val="nil"/>
              <w:bottom w:val="nil"/>
            </w:tcBorders>
          </w:tcPr>
          <w:p w14:paraId="2C867109" w14:textId="77777777" w:rsidR="00D371CD" w:rsidRPr="00621C9A" w:rsidRDefault="00D371CD" w:rsidP="00D54398">
            <w:pPr>
              <w:rPr>
                <w:sz w:val="22"/>
                <w:szCs w:val="22"/>
              </w:rPr>
            </w:pPr>
          </w:p>
        </w:tc>
        <w:tc>
          <w:tcPr>
            <w:tcW w:w="6030" w:type="dxa"/>
            <w:gridSpan w:val="2"/>
          </w:tcPr>
          <w:p w14:paraId="3CAB3A90" w14:textId="77777777" w:rsidR="00D371CD" w:rsidRPr="00621C9A" w:rsidRDefault="00D371CD" w:rsidP="000927D7">
            <w:pPr>
              <w:rPr>
                <w:sz w:val="22"/>
                <w:szCs w:val="22"/>
              </w:rPr>
            </w:pPr>
            <w:r>
              <w:rPr>
                <w:sz w:val="22"/>
                <w:szCs w:val="22"/>
              </w:rPr>
              <w:t xml:space="preserve">    </w:t>
            </w:r>
            <w:r w:rsidR="000927D7">
              <w:rPr>
                <w:sz w:val="22"/>
                <w:szCs w:val="22"/>
              </w:rPr>
              <w:t>SOMA Redemptions of Treasury Securities</w:t>
            </w:r>
          </w:p>
        </w:tc>
        <w:tc>
          <w:tcPr>
            <w:tcW w:w="1170" w:type="dxa"/>
          </w:tcPr>
          <w:p w14:paraId="0FF28D6B" w14:textId="77777777" w:rsidR="00D371CD" w:rsidRPr="00C70F81" w:rsidRDefault="00D371CD" w:rsidP="00D54398">
            <w:pPr>
              <w:rPr>
                <w:sz w:val="22"/>
                <w:szCs w:val="22"/>
              </w:rPr>
            </w:pPr>
          </w:p>
        </w:tc>
        <w:tc>
          <w:tcPr>
            <w:tcW w:w="2340" w:type="dxa"/>
          </w:tcPr>
          <w:p w14:paraId="6727F2F2" w14:textId="77777777" w:rsidR="00D371CD" w:rsidRPr="00C70F81" w:rsidRDefault="000927D7" w:rsidP="00D54398">
            <w:pPr>
              <w:rPr>
                <w:sz w:val="22"/>
                <w:szCs w:val="22"/>
              </w:rPr>
            </w:pPr>
            <w:r>
              <w:rPr>
                <w:sz w:val="22"/>
                <w:szCs w:val="22"/>
              </w:rPr>
              <w:t xml:space="preserve">               /</w:t>
            </w:r>
          </w:p>
        </w:tc>
      </w:tr>
      <w:tr w:rsidR="004E3E08" w:rsidRPr="00C70F81" w14:paraId="7528456D" w14:textId="77777777" w:rsidTr="00C65E87">
        <w:tc>
          <w:tcPr>
            <w:tcW w:w="828" w:type="dxa"/>
            <w:tcBorders>
              <w:top w:val="nil"/>
              <w:left w:val="nil"/>
              <w:bottom w:val="nil"/>
            </w:tcBorders>
          </w:tcPr>
          <w:p w14:paraId="55F0A840" w14:textId="77777777" w:rsidR="004E3E08" w:rsidRPr="00621C9A" w:rsidRDefault="004E3E08" w:rsidP="00D54398">
            <w:pPr>
              <w:rPr>
                <w:sz w:val="22"/>
                <w:szCs w:val="22"/>
              </w:rPr>
            </w:pPr>
          </w:p>
        </w:tc>
        <w:tc>
          <w:tcPr>
            <w:tcW w:w="6030" w:type="dxa"/>
            <w:gridSpan w:val="2"/>
          </w:tcPr>
          <w:p w14:paraId="0C7387DB" w14:textId="77777777" w:rsidR="004E3E08" w:rsidRPr="00621C9A" w:rsidRDefault="004E3E08" w:rsidP="00D54398">
            <w:pPr>
              <w:rPr>
                <w:sz w:val="22"/>
                <w:szCs w:val="22"/>
              </w:rPr>
            </w:pPr>
            <w:r w:rsidRPr="00621C9A">
              <w:rPr>
                <w:sz w:val="22"/>
                <w:szCs w:val="22"/>
              </w:rPr>
              <w:t xml:space="preserve">    Ending Cash Balance</w:t>
            </w:r>
            <w:r w:rsidR="000B07C6" w:rsidRPr="00621C9A">
              <w:rPr>
                <w:sz w:val="22"/>
                <w:szCs w:val="22"/>
              </w:rPr>
              <w:t xml:space="preserve"> </w:t>
            </w:r>
          </w:p>
        </w:tc>
        <w:tc>
          <w:tcPr>
            <w:tcW w:w="1170" w:type="dxa"/>
          </w:tcPr>
          <w:p w14:paraId="472F968E" w14:textId="77777777" w:rsidR="004E3E08" w:rsidRPr="00C70F81" w:rsidRDefault="004E3E08" w:rsidP="00D54398">
            <w:pPr>
              <w:rPr>
                <w:sz w:val="22"/>
                <w:szCs w:val="22"/>
              </w:rPr>
            </w:pPr>
          </w:p>
        </w:tc>
        <w:tc>
          <w:tcPr>
            <w:tcW w:w="2340" w:type="dxa"/>
          </w:tcPr>
          <w:p w14:paraId="07AF8FB2" w14:textId="77777777" w:rsidR="004E3E08" w:rsidRPr="00C70F81" w:rsidRDefault="004E3E08" w:rsidP="00D54398">
            <w:pPr>
              <w:rPr>
                <w:sz w:val="22"/>
                <w:szCs w:val="22"/>
              </w:rPr>
            </w:pPr>
            <w:r w:rsidRPr="00C70F81">
              <w:rPr>
                <w:sz w:val="22"/>
                <w:szCs w:val="22"/>
              </w:rPr>
              <w:t xml:space="preserve">               /</w:t>
            </w:r>
          </w:p>
        </w:tc>
      </w:tr>
      <w:tr w:rsidR="004E3E08" w:rsidRPr="00C70F81" w14:paraId="596F9979" w14:textId="77777777" w:rsidTr="000927D7">
        <w:trPr>
          <w:trHeight w:val="231"/>
        </w:trPr>
        <w:tc>
          <w:tcPr>
            <w:tcW w:w="828" w:type="dxa"/>
            <w:tcBorders>
              <w:top w:val="nil"/>
              <w:left w:val="nil"/>
              <w:bottom w:val="nil"/>
            </w:tcBorders>
          </w:tcPr>
          <w:p w14:paraId="24FC556B" w14:textId="77777777" w:rsidR="004E3E08" w:rsidRPr="00621C9A" w:rsidRDefault="004E3E08" w:rsidP="00D54398">
            <w:pPr>
              <w:rPr>
                <w:sz w:val="22"/>
                <w:szCs w:val="22"/>
              </w:rPr>
            </w:pPr>
          </w:p>
        </w:tc>
        <w:tc>
          <w:tcPr>
            <w:tcW w:w="6030" w:type="dxa"/>
            <w:gridSpan w:val="2"/>
          </w:tcPr>
          <w:p w14:paraId="7F65B638" w14:textId="7F844C79" w:rsidR="004E3E08" w:rsidRPr="00621C9A" w:rsidRDefault="000A3E95" w:rsidP="000A3E95">
            <w:pPr>
              <w:rPr>
                <w:sz w:val="22"/>
                <w:szCs w:val="22"/>
              </w:rPr>
            </w:pPr>
            <w:r w:rsidRPr="000A3E95">
              <w:rPr>
                <w:sz w:val="22"/>
                <w:szCs w:val="22"/>
                <w:highlight w:val="yellow"/>
              </w:rPr>
              <w:t>MMM-MMM YYYY [</w:t>
            </w:r>
            <w:r>
              <w:rPr>
                <w:sz w:val="22"/>
                <w:szCs w:val="22"/>
                <w:highlight w:val="yellow"/>
              </w:rPr>
              <w:t>next</w:t>
            </w:r>
            <w:r w:rsidRPr="000A3E95">
              <w:rPr>
                <w:sz w:val="22"/>
                <w:szCs w:val="22"/>
                <w:highlight w:val="yellow"/>
              </w:rPr>
              <w:t xml:space="preserve"> quarter]</w:t>
            </w:r>
            <w:r w:rsidR="000927D7">
              <w:rPr>
                <w:sz w:val="22"/>
                <w:szCs w:val="22"/>
              </w:rPr>
              <w:t xml:space="preserve"> Privately-Held</w:t>
            </w:r>
            <w:r w:rsidR="000927D7" w:rsidRPr="00621C9A">
              <w:rPr>
                <w:sz w:val="22"/>
                <w:szCs w:val="22"/>
              </w:rPr>
              <w:t xml:space="preserve"> Net Marketable Borrowing</w:t>
            </w:r>
          </w:p>
        </w:tc>
        <w:tc>
          <w:tcPr>
            <w:tcW w:w="1170" w:type="dxa"/>
          </w:tcPr>
          <w:p w14:paraId="7C0C8610" w14:textId="77777777" w:rsidR="004E3E08" w:rsidRPr="00C70F81" w:rsidRDefault="004E3E08" w:rsidP="00D54398">
            <w:pPr>
              <w:rPr>
                <w:sz w:val="22"/>
                <w:szCs w:val="22"/>
              </w:rPr>
            </w:pPr>
          </w:p>
        </w:tc>
        <w:tc>
          <w:tcPr>
            <w:tcW w:w="2340" w:type="dxa"/>
          </w:tcPr>
          <w:p w14:paraId="0780209B" w14:textId="77777777" w:rsidR="004E3E08" w:rsidRPr="00C70F81" w:rsidRDefault="004E3E08" w:rsidP="00D54398">
            <w:pPr>
              <w:rPr>
                <w:sz w:val="22"/>
                <w:szCs w:val="22"/>
              </w:rPr>
            </w:pPr>
            <w:r w:rsidRPr="00C70F81">
              <w:rPr>
                <w:sz w:val="22"/>
                <w:szCs w:val="22"/>
              </w:rPr>
              <w:t xml:space="preserve">               /</w:t>
            </w:r>
          </w:p>
        </w:tc>
      </w:tr>
      <w:tr w:rsidR="00D371CD" w:rsidRPr="00C70F81" w14:paraId="1BB0997E" w14:textId="77777777" w:rsidTr="00C65E87">
        <w:trPr>
          <w:trHeight w:val="70"/>
        </w:trPr>
        <w:tc>
          <w:tcPr>
            <w:tcW w:w="828" w:type="dxa"/>
            <w:tcBorders>
              <w:top w:val="nil"/>
              <w:left w:val="nil"/>
              <w:bottom w:val="nil"/>
            </w:tcBorders>
          </w:tcPr>
          <w:p w14:paraId="295F9585" w14:textId="77777777" w:rsidR="00D371CD" w:rsidRPr="00621C9A" w:rsidRDefault="00D371CD" w:rsidP="00D54398">
            <w:pPr>
              <w:rPr>
                <w:sz w:val="22"/>
                <w:szCs w:val="22"/>
              </w:rPr>
            </w:pPr>
          </w:p>
        </w:tc>
        <w:tc>
          <w:tcPr>
            <w:tcW w:w="6030" w:type="dxa"/>
            <w:gridSpan w:val="2"/>
          </w:tcPr>
          <w:p w14:paraId="52F7CBA2" w14:textId="77777777" w:rsidR="00D371CD" w:rsidRPr="00621C9A" w:rsidRDefault="00D371CD" w:rsidP="000927D7">
            <w:pPr>
              <w:rPr>
                <w:sz w:val="22"/>
                <w:szCs w:val="22"/>
              </w:rPr>
            </w:pPr>
            <w:r>
              <w:rPr>
                <w:sz w:val="22"/>
                <w:szCs w:val="22"/>
              </w:rPr>
              <w:t xml:space="preserve">   </w:t>
            </w:r>
            <w:r w:rsidR="000927D7">
              <w:rPr>
                <w:sz w:val="22"/>
                <w:szCs w:val="22"/>
              </w:rPr>
              <w:t xml:space="preserve"> SOMA Redemptions of Treasury Securities</w:t>
            </w:r>
          </w:p>
        </w:tc>
        <w:tc>
          <w:tcPr>
            <w:tcW w:w="1170" w:type="dxa"/>
          </w:tcPr>
          <w:p w14:paraId="074BE829" w14:textId="77777777" w:rsidR="00D371CD" w:rsidRPr="00C70F81" w:rsidRDefault="00D371CD" w:rsidP="00D54398">
            <w:pPr>
              <w:rPr>
                <w:sz w:val="22"/>
                <w:szCs w:val="22"/>
              </w:rPr>
            </w:pPr>
          </w:p>
        </w:tc>
        <w:tc>
          <w:tcPr>
            <w:tcW w:w="2340" w:type="dxa"/>
          </w:tcPr>
          <w:p w14:paraId="06162C5D" w14:textId="77777777" w:rsidR="00D371CD" w:rsidRPr="00C70F81" w:rsidRDefault="000927D7" w:rsidP="00D54398">
            <w:pPr>
              <w:rPr>
                <w:sz w:val="22"/>
                <w:szCs w:val="22"/>
              </w:rPr>
            </w:pPr>
            <w:r>
              <w:rPr>
                <w:sz w:val="22"/>
                <w:szCs w:val="22"/>
              </w:rPr>
              <w:t xml:space="preserve">               /</w:t>
            </w:r>
          </w:p>
        </w:tc>
      </w:tr>
      <w:tr w:rsidR="004E3E08" w:rsidRPr="00C70F81" w14:paraId="309F5A1C" w14:textId="77777777" w:rsidTr="00C65E87">
        <w:trPr>
          <w:trHeight w:val="70"/>
        </w:trPr>
        <w:tc>
          <w:tcPr>
            <w:tcW w:w="828" w:type="dxa"/>
            <w:tcBorders>
              <w:top w:val="nil"/>
              <w:left w:val="nil"/>
              <w:bottom w:val="nil"/>
            </w:tcBorders>
          </w:tcPr>
          <w:p w14:paraId="60FD48F8" w14:textId="77777777" w:rsidR="004E3E08" w:rsidRPr="00621C9A" w:rsidRDefault="004E3E08" w:rsidP="00D54398">
            <w:pPr>
              <w:rPr>
                <w:sz w:val="22"/>
                <w:szCs w:val="22"/>
              </w:rPr>
            </w:pPr>
          </w:p>
        </w:tc>
        <w:tc>
          <w:tcPr>
            <w:tcW w:w="6030" w:type="dxa"/>
            <w:gridSpan w:val="2"/>
          </w:tcPr>
          <w:p w14:paraId="6FE535E5" w14:textId="77777777" w:rsidR="004E3E08" w:rsidRPr="00621C9A" w:rsidRDefault="004E3E08" w:rsidP="00D54398">
            <w:pPr>
              <w:rPr>
                <w:sz w:val="22"/>
                <w:szCs w:val="22"/>
              </w:rPr>
            </w:pPr>
            <w:r w:rsidRPr="00621C9A">
              <w:rPr>
                <w:sz w:val="22"/>
                <w:szCs w:val="22"/>
              </w:rPr>
              <w:t xml:space="preserve">    Ending Cash Balance</w:t>
            </w:r>
            <w:r w:rsidR="000B07C6" w:rsidRPr="00621C9A">
              <w:rPr>
                <w:sz w:val="22"/>
                <w:szCs w:val="22"/>
              </w:rPr>
              <w:t xml:space="preserve"> </w:t>
            </w:r>
          </w:p>
        </w:tc>
        <w:tc>
          <w:tcPr>
            <w:tcW w:w="1170" w:type="dxa"/>
          </w:tcPr>
          <w:p w14:paraId="4751904C" w14:textId="77777777" w:rsidR="004E3E08" w:rsidRPr="00C70F81" w:rsidRDefault="004E3E08" w:rsidP="00D54398">
            <w:pPr>
              <w:rPr>
                <w:sz w:val="22"/>
                <w:szCs w:val="22"/>
              </w:rPr>
            </w:pPr>
          </w:p>
        </w:tc>
        <w:tc>
          <w:tcPr>
            <w:tcW w:w="2340" w:type="dxa"/>
          </w:tcPr>
          <w:p w14:paraId="1F198210" w14:textId="77777777" w:rsidR="004E3E08" w:rsidRPr="00C70F81" w:rsidRDefault="004E3E08" w:rsidP="00D54398">
            <w:pPr>
              <w:rPr>
                <w:sz w:val="22"/>
                <w:szCs w:val="22"/>
              </w:rPr>
            </w:pPr>
            <w:r w:rsidRPr="00C70F81">
              <w:rPr>
                <w:sz w:val="22"/>
                <w:szCs w:val="22"/>
              </w:rPr>
              <w:t xml:space="preserve">               /</w:t>
            </w:r>
          </w:p>
        </w:tc>
      </w:tr>
      <w:tr w:rsidR="00385281" w:rsidRPr="00C70F81" w14:paraId="04AF10E0" w14:textId="77777777" w:rsidTr="00C65E87">
        <w:trPr>
          <w:trHeight w:val="70"/>
        </w:trPr>
        <w:tc>
          <w:tcPr>
            <w:tcW w:w="828" w:type="dxa"/>
            <w:tcBorders>
              <w:top w:val="nil"/>
              <w:left w:val="nil"/>
              <w:bottom w:val="nil"/>
            </w:tcBorders>
          </w:tcPr>
          <w:p w14:paraId="6C50A3C9" w14:textId="77777777" w:rsidR="00385281" w:rsidRPr="00621C9A" w:rsidRDefault="00385281" w:rsidP="00D54398">
            <w:pPr>
              <w:rPr>
                <w:sz w:val="22"/>
                <w:szCs w:val="22"/>
              </w:rPr>
            </w:pPr>
          </w:p>
        </w:tc>
        <w:tc>
          <w:tcPr>
            <w:tcW w:w="6030" w:type="dxa"/>
            <w:gridSpan w:val="2"/>
          </w:tcPr>
          <w:p w14:paraId="6CA83806" w14:textId="7802B9E2" w:rsidR="00385281" w:rsidRPr="00621C9A" w:rsidRDefault="00385281" w:rsidP="000A3E95">
            <w:pPr>
              <w:rPr>
                <w:sz w:val="22"/>
                <w:szCs w:val="22"/>
              </w:rPr>
            </w:pPr>
            <w:r w:rsidRPr="00621C9A">
              <w:rPr>
                <w:sz w:val="22"/>
                <w:szCs w:val="22"/>
              </w:rPr>
              <w:t xml:space="preserve">FY </w:t>
            </w:r>
            <w:r w:rsidR="000A3E95" w:rsidRPr="000A3E95">
              <w:rPr>
                <w:sz w:val="22"/>
                <w:szCs w:val="22"/>
                <w:highlight w:val="yellow"/>
              </w:rPr>
              <w:t>YYYY [current]</w:t>
            </w:r>
            <w:r w:rsidR="000A3E95">
              <w:rPr>
                <w:sz w:val="22"/>
                <w:szCs w:val="22"/>
              </w:rPr>
              <w:t xml:space="preserve"> </w:t>
            </w:r>
            <w:r w:rsidR="00EE44F2">
              <w:rPr>
                <w:sz w:val="22"/>
                <w:szCs w:val="22"/>
              </w:rPr>
              <w:t>Privately-Held</w:t>
            </w:r>
            <w:r w:rsidRPr="00621C9A">
              <w:rPr>
                <w:sz w:val="22"/>
                <w:szCs w:val="22"/>
              </w:rPr>
              <w:t xml:space="preserve"> </w:t>
            </w:r>
            <w:r w:rsidR="00E67186" w:rsidRPr="00621C9A">
              <w:rPr>
                <w:sz w:val="22"/>
                <w:szCs w:val="22"/>
              </w:rPr>
              <w:t xml:space="preserve">Net </w:t>
            </w:r>
            <w:r w:rsidRPr="00621C9A">
              <w:rPr>
                <w:sz w:val="22"/>
                <w:szCs w:val="22"/>
              </w:rPr>
              <w:t>Marketable Borrowing</w:t>
            </w:r>
            <w:r w:rsidR="00BD5D23">
              <w:rPr>
                <w:sz w:val="22"/>
                <w:szCs w:val="22"/>
              </w:rPr>
              <w:t xml:space="preserve"> </w:t>
            </w:r>
          </w:p>
        </w:tc>
        <w:tc>
          <w:tcPr>
            <w:tcW w:w="1170" w:type="dxa"/>
          </w:tcPr>
          <w:p w14:paraId="0C7A2E80" w14:textId="77777777" w:rsidR="00385281" w:rsidRPr="00C70F81" w:rsidRDefault="00385281" w:rsidP="00D54398">
            <w:pPr>
              <w:rPr>
                <w:sz w:val="22"/>
                <w:szCs w:val="22"/>
              </w:rPr>
            </w:pPr>
          </w:p>
        </w:tc>
        <w:tc>
          <w:tcPr>
            <w:tcW w:w="2340" w:type="dxa"/>
          </w:tcPr>
          <w:p w14:paraId="4656A2C4" w14:textId="77777777" w:rsidR="00385281" w:rsidRPr="00C70F81" w:rsidRDefault="00385CE1" w:rsidP="00D54398">
            <w:pPr>
              <w:rPr>
                <w:sz w:val="22"/>
                <w:szCs w:val="22"/>
              </w:rPr>
            </w:pPr>
            <w:r>
              <w:rPr>
                <w:sz w:val="22"/>
                <w:szCs w:val="22"/>
              </w:rPr>
              <w:t xml:space="preserve">               </w:t>
            </w:r>
            <w:r w:rsidR="00E675B4">
              <w:rPr>
                <w:sz w:val="22"/>
                <w:szCs w:val="22"/>
              </w:rPr>
              <w:t>/</w:t>
            </w:r>
          </w:p>
        </w:tc>
      </w:tr>
      <w:tr w:rsidR="00D371CD" w:rsidRPr="00C70F81" w14:paraId="4E5115E7" w14:textId="77777777" w:rsidTr="00C65E87">
        <w:trPr>
          <w:trHeight w:val="70"/>
        </w:trPr>
        <w:tc>
          <w:tcPr>
            <w:tcW w:w="828" w:type="dxa"/>
            <w:tcBorders>
              <w:top w:val="nil"/>
              <w:left w:val="nil"/>
              <w:bottom w:val="nil"/>
            </w:tcBorders>
          </w:tcPr>
          <w:p w14:paraId="4B27026B" w14:textId="77777777" w:rsidR="00D371CD" w:rsidRPr="00621C9A" w:rsidRDefault="00D371CD" w:rsidP="00D54398">
            <w:pPr>
              <w:rPr>
                <w:sz w:val="22"/>
                <w:szCs w:val="22"/>
              </w:rPr>
            </w:pPr>
          </w:p>
        </w:tc>
        <w:tc>
          <w:tcPr>
            <w:tcW w:w="6030" w:type="dxa"/>
            <w:gridSpan w:val="2"/>
          </w:tcPr>
          <w:p w14:paraId="3294A0AF" w14:textId="77777777" w:rsidR="00D371CD" w:rsidRPr="00621C9A" w:rsidRDefault="00D371CD" w:rsidP="000927D7">
            <w:pPr>
              <w:rPr>
                <w:sz w:val="22"/>
                <w:szCs w:val="22"/>
              </w:rPr>
            </w:pPr>
            <w:r>
              <w:rPr>
                <w:sz w:val="22"/>
                <w:szCs w:val="22"/>
              </w:rPr>
              <w:t xml:space="preserve">    </w:t>
            </w:r>
            <w:r w:rsidR="000927D7">
              <w:rPr>
                <w:sz w:val="22"/>
                <w:szCs w:val="22"/>
              </w:rPr>
              <w:t>SOMA Redemptions of Treasury Securities</w:t>
            </w:r>
          </w:p>
        </w:tc>
        <w:tc>
          <w:tcPr>
            <w:tcW w:w="1170" w:type="dxa"/>
          </w:tcPr>
          <w:p w14:paraId="0AE51CF0" w14:textId="77777777" w:rsidR="00D371CD" w:rsidRPr="00C70F81" w:rsidRDefault="00D371CD" w:rsidP="00D54398">
            <w:pPr>
              <w:rPr>
                <w:sz w:val="22"/>
                <w:szCs w:val="22"/>
              </w:rPr>
            </w:pPr>
          </w:p>
        </w:tc>
        <w:tc>
          <w:tcPr>
            <w:tcW w:w="2340" w:type="dxa"/>
          </w:tcPr>
          <w:p w14:paraId="1293E1FB" w14:textId="77777777" w:rsidR="00D371CD" w:rsidRPr="00C70F81" w:rsidRDefault="000927D7" w:rsidP="00D54398">
            <w:pPr>
              <w:rPr>
                <w:sz w:val="22"/>
                <w:szCs w:val="22"/>
              </w:rPr>
            </w:pPr>
            <w:r>
              <w:rPr>
                <w:sz w:val="22"/>
                <w:szCs w:val="22"/>
              </w:rPr>
              <w:t xml:space="preserve">               /</w:t>
            </w:r>
          </w:p>
        </w:tc>
      </w:tr>
      <w:tr w:rsidR="00936849" w:rsidRPr="00C70F81" w14:paraId="323C762C" w14:textId="77777777" w:rsidTr="00C65E87">
        <w:trPr>
          <w:trHeight w:val="70"/>
        </w:trPr>
        <w:tc>
          <w:tcPr>
            <w:tcW w:w="828" w:type="dxa"/>
            <w:tcBorders>
              <w:top w:val="nil"/>
              <w:left w:val="nil"/>
              <w:bottom w:val="nil"/>
            </w:tcBorders>
          </w:tcPr>
          <w:p w14:paraId="17C20FD8" w14:textId="77777777" w:rsidR="00936849" w:rsidRPr="00621C9A" w:rsidRDefault="00936849" w:rsidP="00D54398">
            <w:pPr>
              <w:rPr>
                <w:sz w:val="22"/>
                <w:szCs w:val="22"/>
              </w:rPr>
            </w:pPr>
          </w:p>
        </w:tc>
        <w:tc>
          <w:tcPr>
            <w:tcW w:w="6030" w:type="dxa"/>
            <w:gridSpan w:val="2"/>
          </w:tcPr>
          <w:p w14:paraId="0AE68B8B" w14:textId="13E241BA" w:rsidR="00936849" w:rsidRPr="00621C9A" w:rsidRDefault="00936849" w:rsidP="000A3E95">
            <w:pPr>
              <w:rPr>
                <w:sz w:val="22"/>
                <w:szCs w:val="22"/>
              </w:rPr>
            </w:pPr>
            <w:r w:rsidRPr="00621C9A">
              <w:rPr>
                <w:sz w:val="22"/>
                <w:szCs w:val="22"/>
              </w:rPr>
              <w:t xml:space="preserve">FY </w:t>
            </w:r>
            <w:r w:rsidR="000A3E95" w:rsidRPr="000A3E95">
              <w:rPr>
                <w:sz w:val="22"/>
                <w:szCs w:val="22"/>
                <w:highlight w:val="yellow"/>
              </w:rPr>
              <w:t>YYYY [current + 1]</w:t>
            </w:r>
            <w:r w:rsidRPr="00621C9A">
              <w:rPr>
                <w:sz w:val="22"/>
                <w:szCs w:val="22"/>
              </w:rPr>
              <w:t xml:space="preserve"> </w:t>
            </w:r>
            <w:r w:rsidR="00EE44F2">
              <w:rPr>
                <w:sz w:val="22"/>
                <w:szCs w:val="22"/>
              </w:rPr>
              <w:t xml:space="preserve">Privately-Held </w:t>
            </w:r>
            <w:r w:rsidR="00E67186" w:rsidRPr="00621C9A">
              <w:rPr>
                <w:sz w:val="22"/>
                <w:szCs w:val="22"/>
              </w:rPr>
              <w:t xml:space="preserve">Net </w:t>
            </w:r>
            <w:r w:rsidRPr="00621C9A">
              <w:rPr>
                <w:sz w:val="22"/>
                <w:szCs w:val="22"/>
              </w:rPr>
              <w:t>Marketable Borrowing</w:t>
            </w:r>
            <w:r w:rsidR="00BD5D23">
              <w:rPr>
                <w:sz w:val="22"/>
                <w:szCs w:val="22"/>
              </w:rPr>
              <w:t xml:space="preserve"> </w:t>
            </w:r>
          </w:p>
        </w:tc>
        <w:tc>
          <w:tcPr>
            <w:tcW w:w="1170" w:type="dxa"/>
          </w:tcPr>
          <w:p w14:paraId="4983FE34" w14:textId="77777777" w:rsidR="00936849" w:rsidRPr="00C70F81" w:rsidRDefault="00936849" w:rsidP="00D54398">
            <w:pPr>
              <w:rPr>
                <w:sz w:val="22"/>
                <w:szCs w:val="22"/>
              </w:rPr>
            </w:pPr>
          </w:p>
        </w:tc>
        <w:tc>
          <w:tcPr>
            <w:tcW w:w="2340" w:type="dxa"/>
          </w:tcPr>
          <w:p w14:paraId="67BBFF42" w14:textId="77777777" w:rsidR="00936849" w:rsidRPr="00C70F81" w:rsidRDefault="00936849" w:rsidP="00D54398">
            <w:pPr>
              <w:rPr>
                <w:sz w:val="22"/>
                <w:szCs w:val="22"/>
              </w:rPr>
            </w:pPr>
            <w:r w:rsidRPr="00C70F81">
              <w:rPr>
                <w:sz w:val="22"/>
                <w:szCs w:val="22"/>
              </w:rPr>
              <w:t xml:space="preserve">               /</w:t>
            </w:r>
          </w:p>
        </w:tc>
      </w:tr>
      <w:tr w:rsidR="00D371CD" w:rsidRPr="00C70F81" w14:paraId="2F446EB3" w14:textId="77777777" w:rsidTr="00C65E87">
        <w:trPr>
          <w:trHeight w:val="70"/>
        </w:trPr>
        <w:tc>
          <w:tcPr>
            <w:tcW w:w="828" w:type="dxa"/>
            <w:tcBorders>
              <w:top w:val="nil"/>
              <w:left w:val="nil"/>
              <w:bottom w:val="nil"/>
            </w:tcBorders>
          </w:tcPr>
          <w:p w14:paraId="548E3EBD" w14:textId="77777777" w:rsidR="00D371CD" w:rsidRPr="00621C9A" w:rsidRDefault="00D371CD" w:rsidP="00D54398">
            <w:pPr>
              <w:rPr>
                <w:sz w:val="22"/>
                <w:szCs w:val="22"/>
              </w:rPr>
            </w:pPr>
          </w:p>
        </w:tc>
        <w:tc>
          <w:tcPr>
            <w:tcW w:w="6030" w:type="dxa"/>
            <w:gridSpan w:val="2"/>
          </w:tcPr>
          <w:p w14:paraId="7009C0CF" w14:textId="77777777" w:rsidR="00D371CD" w:rsidRPr="00621C9A" w:rsidRDefault="00D371CD" w:rsidP="000927D7">
            <w:pPr>
              <w:rPr>
                <w:sz w:val="22"/>
                <w:szCs w:val="22"/>
              </w:rPr>
            </w:pPr>
            <w:r>
              <w:rPr>
                <w:sz w:val="22"/>
                <w:szCs w:val="22"/>
              </w:rPr>
              <w:t xml:space="preserve">    </w:t>
            </w:r>
            <w:r w:rsidR="000927D7">
              <w:rPr>
                <w:sz w:val="22"/>
                <w:szCs w:val="22"/>
              </w:rPr>
              <w:t>SOMA Redemptions of Treasury Securities</w:t>
            </w:r>
          </w:p>
        </w:tc>
        <w:tc>
          <w:tcPr>
            <w:tcW w:w="1170" w:type="dxa"/>
          </w:tcPr>
          <w:p w14:paraId="4136B179" w14:textId="77777777" w:rsidR="00D371CD" w:rsidRPr="00C70F81" w:rsidRDefault="00D371CD" w:rsidP="00D54398">
            <w:pPr>
              <w:rPr>
                <w:sz w:val="22"/>
                <w:szCs w:val="22"/>
              </w:rPr>
            </w:pPr>
          </w:p>
        </w:tc>
        <w:tc>
          <w:tcPr>
            <w:tcW w:w="2340" w:type="dxa"/>
          </w:tcPr>
          <w:p w14:paraId="6A433490" w14:textId="77777777" w:rsidR="00D371CD" w:rsidRPr="00C70F81" w:rsidRDefault="000927D7" w:rsidP="00D54398">
            <w:pPr>
              <w:rPr>
                <w:sz w:val="22"/>
                <w:szCs w:val="22"/>
              </w:rPr>
            </w:pPr>
            <w:r>
              <w:rPr>
                <w:sz w:val="22"/>
                <w:szCs w:val="22"/>
              </w:rPr>
              <w:t xml:space="preserve">               /</w:t>
            </w:r>
          </w:p>
        </w:tc>
      </w:tr>
      <w:tr w:rsidR="00936849" w:rsidRPr="00C70F81" w14:paraId="26310E3F" w14:textId="77777777" w:rsidTr="00C65E87">
        <w:trPr>
          <w:trHeight w:val="70"/>
        </w:trPr>
        <w:tc>
          <w:tcPr>
            <w:tcW w:w="828" w:type="dxa"/>
            <w:tcBorders>
              <w:top w:val="nil"/>
              <w:left w:val="nil"/>
              <w:bottom w:val="nil"/>
            </w:tcBorders>
          </w:tcPr>
          <w:p w14:paraId="6F57A290" w14:textId="77777777" w:rsidR="00936849" w:rsidRPr="00621C9A" w:rsidRDefault="00936849" w:rsidP="00D54398">
            <w:pPr>
              <w:rPr>
                <w:sz w:val="22"/>
                <w:szCs w:val="22"/>
              </w:rPr>
            </w:pPr>
          </w:p>
        </w:tc>
        <w:tc>
          <w:tcPr>
            <w:tcW w:w="6030" w:type="dxa"/>
            <w:gridSpan w:val="2"/>
          </w:tcPr>
          <w:p w14:paraId="100470D7" w14:textId="7D177031" w:rsidR="00936849" w:rsidRPr="00621C9A" w:rsidRDefault="00936849" w:rsidP="000927D7">
            <w:pPr>
              <w:rPr>
                <w:sz w:val="22"/>
                <w:szCs w:val="22"/>
              </w:rPr>
            </w:pPr>
            <w:r w:rsidRPr="00621C9A">
              <w:rPr>
                <w:sz w:val="22"/>
                <w:szCs w:val="22"/>
              </w:rPr>
              <w:t xml:space="preserve">FY </w:t>
            </w:r>
            <w:r w:rsidR="000A3E95" w:rsidRPr="000A3E95">
              <w:rPr>
                <w:sz w:val="22"/>
                <w:szCs w:val="22"/>
                <w:highlight w:val="yellow"/>
              </w:rPr>
              <w:t>YYYY [current + 1]</w:t>
            </w:r>
            <w:r w:rsidRPr="00621C9A">
              <w:rPr>
                <w:sz w:val="22"/>
                <w:szCs w:val="22"/>
              </w:rPr>
              <w:t xml:space="preserve"> </w:t>
            </w:r>
            <w:r w:rsidR="00EE44F2">
              <w:rPr>
                <w:sz w:val="22"/>
                <w:szCs w:val="22"/>
              </w:rPr>
              <w:t xml:space="preserve">Privately-Held </w:t>
            </w:r>
            <w:r w:rsidR="00E67186" w:rsidRPr="00621C9A">
              <w:rPr>
                <w:sz w:val="22"/>
                <w:szCs w:val="22"/>
              </w:rPr>
              <w:t xml:space="preserve">Net </w:t>
            </w:r>
            <w:r w:rsidRPr="00621C9A">
              <w:rPr>
                <w:sz w:val="22"/>
                <w:szCs w:val="22"/>
              </w:rPr>
              <w:t>Marketable Borrowing</w:t>
            </w:r>
            <w:r w:rsidR="00BD5D23">
              <w:rPr>
                <w:sz w:val="22"/>
                <w:szCs w:val="22"/>
              </w:rPr>
              <w:t xml:space="preserve"> </w:t>
            </w:r>
          </w:p>
        </w:tc>
        <w:tc>
          <w:tcPr>
            <w:tcW w:w="1170" w:type="dxa"/>
          </w:tcPr>
          <w:p w14:paraId="1569ABC5" w14:textId="77777777" w:rsidR="00936849" w:rsidRPr="00C70F81" w:rsidRDefault="00936849" w:rsidP="00D54398">
            <w:pPr>
              <w:rPr>
                <w:sz w:val="22"/>
                <w:szCs w:val="22"/>
              </w:rPr>
            </w:pPr>
          </w:p>
        </w:tc>
        <w:tc>
          <w:tcPr>
            <w:tcW w:w="2340" w:type="dxa"/>
          </w:tcPr>
          <w:p w14:paraId="11EF58DF" w14:textId="77777777" w:rsidR="00936849" w:rsidRPr="00C70F81" w:rsidRDefault="00936849" w:rsidP="00D54398">
            <w:pPr>
              <w:rPr>
                <w:sz w:val="22"/>
                <w:szCs w:val="22"/>
              </w:rPr>
            </w:pPr>
            <w:r w:rsidRPr="00C70F81">
              <w:rPr>
                <w:sz w:val="22"/>
                <w:szCs w:val="22"/>
              </w:rPr>
              <w:t xml:space="preserve">               /</w:t>
            </w:r>
          </w:p>
        </w:tc>
      </w:tr>
      <w:tr w:rsidR="00D371CD" w:rsidRPr="00C70F81" w14:paraId="2F56D305" w14:textId="77777777" w:rsidTr="00C65E87">
        <w:trPr>
          <w:trHeight w:val="70"/>
        </w:trPr>
        <w:tc>
          <w:tcPr>
            <w:tcW w:w="828" w:type="dxa"/>
            <w:tcBorders>
              <w:top w:val="nil"/>
              <w:left w:val="nil"/>
              <w:bottom w:val="nil"/>
            </w:tcBorders>
          </w:tcPr>
          <w:p w14:paraId="42FC594F" w14:textId="77777777" w:rsidR="00D371CD" w:rsidRPr="00621C9A" w:rsidRDefault="00D371CD" w:rsidP="00D54398">
            <w:pPr>
              <w:rPr>
                <w:sz w:val="22"/>
                <w:szCs w:val="22"/>
              </w:rPr>
            </w:pPr>
          </w:p>
        </w:tc>
        <w:tc>
          <w:tcPr>
            <w:tcW w:w="6030" w:type="dxa"/>
            <w:gridSpan w:val="2"/>
          </w:tcPr>
          <w:p w14:paraId="65FAFE0B" w14:textId="77777777" w:rsidR="00D371CD" w:rsidRPr="00621C9A" w:rsidRDefault="00D371CD" w:rsidP="000927D7">
            <w:pPr>
              <w:rPr>
                <w:sz w:val="22"/>
                <w:szCs w:val="22"/>
              </w:rPr>
            </w:pPr>
            <w:r>
              <w:rPr>
                <w:sz w:val="22"/>
                <w:szCs w:val="22"/>
              </w:rPr>
              <w:t xml:space="preserve">    </w:t>
            </w:r>
            <w:r w:rsidR="000927D7">
              <w:rPr>
                <w:sz w:val="22"/>
                <w:szCs w:val="22"/>
              </w:rPr>
              <w:t>SOMA Redemptions of Treasury Securities</w:t>
            </w:r>
          </w:p>
        </w:tc>
        <w:tc>
          <w:tcPr>
            <w:tcW w:w="1170" w:type="dxa"/>
          </w:tcPr>
          <w:p w14:paraId="68F0DDBC" w14:textId="77777777" w:rsidR="00D371CD" w:rsidRPr="00C70F81" w:rsidRDefault="00D371CD" w:rsidP="00D54398">
            <w:pPr>
              <w:rPr>
                <w:sz w:val="22"/>
                <w:szCs w:val="22"/>
              </w:rPr>
            </w:pPr>
          </w:p>
        </w:tc>
        <w:tc>
          <w:tcPr>
            <w:tcW w:w="2340" w:type="dxa"/>
          </w:tcPr>
          <w:p w14:paraId="7B776B28" w14:textId="77777777" w:rsidR="00D371CD" w:rsidRPr="00C70F81" w:rsidRDefault="000927D7" w:rsidP="00D54398">
            <w:pPr>
              <w:rPr>
                <w:sz w:val="22"/>
                <w:szCs w:val="22"/>
              </w:rPr>
            </w:pPr>
            <w:r>
              <w:rPr>
                <w:sz w:val="22"/>
                <w:szCs w:val="22"/>
              </w:rPr>
              <w:t xml:space="preserve">               /</w:t>
            </w:r>
          </w:p>
        </w:tc>
      </w:tr>
      <w:tr w:rsidR="00C4084B" w:rsidRPr="00C70F81" w14:paraId="7C45EC6D" w14:textId="77777777" w:rsidTr="00C65E87">
        <w:tc>
          <w:tcPr>
            <w:tcW w:w="828" w:type="dxa"/>
            <w:tcBorders>
              <w:top w:val="nil"/>
              <w:left w:val="nil"/>
              <w:bottom w:val="nil"/>
              <w:right w:val="nil"/>
            </w:tcBorders>
          </w:tcPr>
          <w:p w14:paraId="30EA3977" w14:textId="77777777" w:rsidR="00C4084B" w:rsidRPr="00621C9A" w:rsidRDefault="00C4084B" w:rsidP="00D54398">
            <w:pPr>
              <w:rPr>
                <w:sz w:val="22"/>
                <w:szCs w:val="22"/>
              </w:rPr>
            </w:pPr>
          </w:p>
        </w:tc>
        <w:tc>
          <w:tcPr>
            <w:tcW w:w="6030" w:type="dxa"/>
            <w:gridSpan w:val="2"/>
            <w:tcBorders>
              <w:left w:val="nil"/>
              <w:bottom w:val="nil"/>
              <w:right w:val="nil"/>
            </w:tcBorders>
          </w:tcPr>
          <w:p w14:paraId="24AB4B1F" w14:textId="77777777" w:rsidR="00C4084B" w:rsidRPr="00621C9A" w:rsidRDefault="00C4084B" w:rsidP="00D54398">
            <w:pPr>
              <w:rPr>
                <w:sz w:val="22"/>
                <w:szCs w:val="22"/>
              </w:rPr>
            </w:pPr>
          </w:p>
        </w:tc>
        <w:tc>
          <w:tcPr>
            <w:tcW w:w="1170" w:type="dxa"/>
            <w:tcBorders>
              <w:left w:val="nil"/>
              <w:bottom w:val="nil"/>
              <w:right w:val="nil"/>
            </w:tcBorders>
          </w:tcPr>
          <w:p w14:paraId="5A6DA346" w14:textId="77777777" w:rsidR="00C4084B" w:rsidRPr="00C70F81" w:rsidRDefault="00C4084B" w:rsidP="00D54398">
            <w:pPr>
              <w:rPr>
                <w:sz w:val="22"/>
                <w:szCs w:val="22"/>
              </w:rPr>
            </w:pPr>
          </w:p>
        </w:tc>
        <w:tc>
          <w:tcPr>
            <w:tcW w:w="2340" w:type="dxa"/>
            <w:tcBorders>
              <w:left w:val="nil"/>
              <w:bottom w:val="nil"/>
              <w:right w:val="nil"/>
            </w:tcBorders>
          </w:tcPr>
          <w:p w14:paraId="3B1DAB6B" w14:textId="77777777" w:rsidR="00C4084B" w:rsidRPr="00C70F81" w:rsidRDefault="00C4084B" w:rsidP="00D54398">
            <w:pPr>
              <w:rPr>
                <w:sz w:val="22"/>
                <w:szCs w:val="22"/>
              </w:rPr>
            </w:pPr>
          </w:p>
        </w:tc>
      </w:tr>
      <w:tr w:rsidR="00C4084B" w:rsidRPr="00C70F81" w14:paraId="68479979" w14:textId="77777777" w:rsidTr="00C65E87">
        <w:tc>
          <w:tcPr>
            <w:tcW w:w="5328" w:type="dxa"/>
            <w:gridSpan w:val="2"/>
            <w:tcBorders>
              <w:top w:val="nil"/>
              <w:left w:val="nil"/>
              <w:bottom w:val="nil"/>
              <w:right w:val="nil"/>
            </w:tcBorders>
          </w:tcPr>
          <w:p w14:paraId="218C1985" w14:textId="77777777" w:rsidR="00C4084B" w:rsidRPr="00621C9A" w:rsidRDefault="00C4084B" w:rsidP="00D54398">
            <w:pPr>
              <w:rPr>
                <w:b/>
                <w:sz w:val="22"/>
                <w:szCs w:val="22"/>
              </w:rPr>
            </w:pPr>
            <w:r w:rsidRPr="00621C9A">
              <w:rPr>
                <w:b/>
                <w:sz w:val="22"/>
                <w:szCs w:val="22"/>
              </w:rPr>
              <w:t xml:space="preserve">II.  Budget Deficit </w:t>
            </w:r>
            <w:r w:rsidR="00E67186" w:rsidRPr="00621C9A">
              <w:rPr>
                <w:b/>
                <w:sz w:val="22"/>
                <w:szCs w:val="22"/>
              </w:rPr>
              <w:t>and Growth</w:t>
            </w:r>
            <w:r w:rsidR="00F51CBE" w:rsidRPr="00621C9A">
              <w:rPr>
                <w:b/>
                <w:sz w:val="22"/>
                <w:szCs w:val="22"/>
              </w:rPr>
              <w:t xml:space="preserve"> Estimates                               </w:t>
            </w:r>
          </w:p>
        </w:tc>
        <w:tc>
          <w:tcPr>
            <w:tcW w:w="1530" w:type="dxa"/>
            <w:tcBorders>
              <w:top w:val="nil"/>
              <w:left w:val="nil"/>
              <w:right w:val="nil"/>
            </w:tcBorders>
          </w:tcPr>
          <w:p w14:paraId="16BBC9FA" w14:textId="77777777" w:rsidR="00C4084B" w:rsidRPr="00621C9A" w:rsidRDefault="00C4084B" w:rsidP="00D54398">
            <w:pPr>
              <w:rPr>
                <w:b/>
                <w:sz w:val="22"/>
                <w:szCs w:val="22"/>
              </w:rPr>
            </w:pPr>
          </w:p>
        </w:tc>
        <w:tc>
          <w:tcPr>
            <w:tcW w:w="1170" w:type="dxa"/>
            <w:tcBorders>
              <w:top w:val="nil"/>
              <w:left w:val="nil"/>
              <w:right w:val="nil"/>
            </w:tcBorders>
          </w:tcPr>
          <w:p w14:paraId="3D403A50" w14:textId="77777777" w:rsidR="00C4084B" w:rsidRPr="00C70F81" w:rsidRDefault="00C4084B" w:rsidP="00D54398">
            <w:pPr>
              <w:rPr>
                <w:b/>
                <w:sz w:val="22"/>
                <w:szCs w:val="22"/>
              </w:rPr>
            </w:pPr>
          </w:p>
        </w:tc>
        <w:tc>
          <w:tcPr>
            <w:tcW w:w="2340" w:type="dxa"/>
            <w:tcBorders>
              <w:top w:val="nil"/>
              <w:left w:val="nil"/>
              <w:right w:val="nil"/>
            </w:tcBorders>
          </w:tcPr>
          <w:p w14:paraId="6409D545" w14:textId="77777777" w:rsidR="00C4084B" w:rsidRPr="00C70F81" w:rsidRDefault="00C4084B" w:rsidP="00D54398">
            <w:pPr>
              <w:rPr>
                <w:b/>
                <w:sz w:val="22"/>
                <w:szCs w:val="22"/>
              </w:rPr>
            </w:pPr>
          </w:p>
        </w:tc>
      </w:tr>
      <w:tr w:rsidR="00C4084B" w:rsidRPr="00C70F81" w14:paraId="1ACFAE36" w14:textId="77777777" w:rsidTr="00C65E87">
        <w:tc>
          <w:tcPr>
            <w:tcW w:w="828" w:type="dxa"/>
            <w:tcBorders>
              <w:top w:val="nil"/>
              <w:left w:val="nil"/>
              <w:bottom w:val="nil"/>
            </w:tcBorders>
          </w:tcPr>
          <w:p w14:paraId="1DD795E5" w14:textId="77777777" w:rsidR="00C4084B" w:rsidRPr="00621C9A" w:rsidRDefault="00C4084B" w:rsidP="00D54398">
            <w:pPr>
              <w:rPr>
                <w:sz w:val="22"/>
                <w:szCs w:val="22"/>
              </w:rPr>
            </w:pPr>
          </w:p>
        </w:tc>
        <w:tc>
          <w:tcPr>
            <w:tcW w:w="6030" w:type="dxa"/>
            <w:gridSpan w:val="2"/>
          </w:tcPr>
          <w:p w14:paraId="729E2AFC" w14:textId="35B2224D" w:rsidR="00C4084B" w:rsidRPr="00621C9A" w:rsidRDefault="000A3E95" w:rsidP="00BE1A78">
            <w:pPr>
              <w:rPr>
                <w:sz w:val="22"/>
                <w:szCs w:val="22"/>
              </w:rPr>
            </w:pPr>
            <w:r>
              <w:rPr>
                <w:sz w:val="22"/>
                <w:szCs w:val="22"/>
              </w:rPr>
              <w:t xml:space="preserve">FY </w:t>
            </w:r>
            <w:r w:rsidRPr="000A3E95">
              <w:rPr>
                <w:sz w:val="22"/>
                <w:szCs w:val="22"/>
                <w:highlight w:val="yellow"/>
              </w:rPr>
              <w:t>YYYY [current]</w:t>
            </w:r>
          </w:p>
        </w:tc>
        <w:tc>
          <w:tcPr>
            <w:tcW w:w="1170" w:type="dxa"/>
          </w:tcPr>
          <w:p w14:paraId="38E3F99D" w14:textId="77777777" w:rsidR="00C4084B" w:rsidRPr="00C70F81" w:rsidRDefault="00C4084B" w:rsidP="00D54398">
            <w:pPr>
              <w:rPr>
                <w:sz w:val="22"/>
                <w:szCs w:val="22"/>
              </w:rPr>
            </w:pPr>
          </w:p>
        </w:tc>
        <w:tc>
          <w:tcPr>
            <w:tcW w:w="2340" w:type="dxa"/>
          </w:tcPr>
          <w:p w14:paraId="1CEBBD73" w14:textId="77777777" w:rsidR="00C4084B" w:rsidRPr="00C70F81" w:rsidRDefault="00C4084B" w:rsidP="00D54398">
            <w:pPr>
              <w:rPr>
                <w:sz w:val="22"/>
                <w:szCs w:val="22"/>
              </w:rPr>
            </w:pPr>
            <w:r w:rsidRPr="00C70F81">
              <w:rPr>
                <w:sz w:val="22"/>
                <w:szCs w:val="22"/>
              </w:rPr>
              <w:t xml:space="preserve">              /</w:t>
            </w:r>
          </w:p>
        </w:tc>
      </w:tr>
      <w:tr w:rsidR="00C4084B" w:rsidRPr="00C70F81" w14:paraId="7D9438C4" w14:textId="77777777" w:rsidTr="00C65E87">
        <w:tc>
          <w:tcPr>
            <w:tcW w:w="828" w:type="dxa"/>
            <w:tcBorders>
              <w:top w:val="nil"/>
              <w:left w:val="nil"/>
              <w:bottom w:val="nil"/>
            </w:tcBorders>
          </w:tcPr>
          <w:p w14:paraId="2C5B0165" w14:textId="77777777" w:rsidR="00C4084B" w:rsidRPr="00621C9A" w:rsidRDefault="00C4084B" w:rsidP="00D54398">
            <w:pPr>
              <w:rPr>
                <w:sz w:val="22"/>
                <w:szCs w:val="22"/>
              </w:rPr>
            </w:pPr>
          </w:p>
        </w:tc>
        <w:tc>
          <w:tcPr>
            <w:tcW w:w="6030" w:type="dxa"/>
            <w:gridSpan w:val="2"/>
          </w:tcPr>
          <w:p w14:paraId="3A5146E0" w14:textId="7C554661" w:rsidR="00C4084B" w:rsidRPr="00621C9A" w:rsidRDefault="00C4084B" w:rsidP="000A3E95">
            <w:pPr>
              <w:rPr>
                <w:sz w:val="22"/>
                <w:szCs w:val="22"/>
              </w:rPr>
            </w:pPr>
            <w:r w:rsidRPr="00621C9A">
              <w:rPr>
                <w:sz w:val="22"/>
                <w:szCs w:val="22"/>
              </w:rPr>
              <w:t xml:space="preserve">FY </w:t>
            </w:r>
            <w:r w:rsidR="000A3E95" w:rsidRPr="000A3E95">
              <w:rPr>
                <w:sz w:val="22"/>
                <w:szCs w:val="22"/>
                <w:highlight w:val="yellow"/>
              </w:rPr>
              <w:t>YYYY [current + 1]</w:t>
            </w:r>
          </w:p>
        </w:tc>
        <w:tc>
          <w:tcPr>
            <w:tcW w:w="1170" w:type="dxa"/>
          </w:tcPr>
          <w:p w14:paraId="5B18C847" w14:textId="77777777" w:rsidR="00C4084B" w:rsidRPr="00C70F81" w:rsidRDefault="00C4084B" w:rsidP="00D54398">
            <w:pPr>
              <w:rPr>
                <w:sz w:val="22"/>
                <w:szCs w:val="22"/>
              </w:rPr>
            </w:pPr>
          </w:p>
        </w:tc>
        <w:tc>
          <w:tcPr>
            <w:tcW w:w="2340" w:type="dxa"/>
          </w:tcPr>
          <w:p w14:paraId="60C841E1" w14:textId="77777777" w:rsidR="00C4084B" w:rsidRPr="00C70F81" w:rsidRDefault="00C4084B" w:rsidP="00D54398">
            <w:pPr>
              <w:rPr>
                <w:sz w:val="22"/>
                <w:szCs w:val="22"/>
              </w:rPr>
            </w:pPr>
            <w:r w:rsidRPr="00C70F81">
              <w:rPr>
                <w:sz w:val="22"/>
                <w:szCs w:val="22"/>
              </w:rPr>
              <w:t xml:space="preserve">              /</w:t>
            </w:r>
          </w:p>
        </w:tc>
      </w:tr>
      <w:tr w:rsidR="00F80BD0" w:rsidRPr="00C70F81" w14:paraId="2B43EFB4" w14:textId="77777777" w:rsidTr="00C65E87">
        <w:tc>
          <w:tcPr>
            <w:tcW w:w="828" w:type="dxa"/>
            <w:tcBorders>
              <w:top w:val="nil"/>
              <w:left w:val="nil"/>
              <w:bottom w:val="nil"/>
            </w:tcBorders>
          </w:tcPr>
          <w:p w14:paraId="3A52A3DA" w14:textId="77777777" w:rsidR="00F80BD0" w:rsidRPr="00621C9A" w:rsidRDefault="00F80BD0" w:rsidP="00D54398">
            <w:pPr>
              <w:rPr>
                <w:sz w:val="22"/>
                <w:szCs w:val="22"/>
              </w:rPr>
            </w:pPr>
          </w:p>
        </w:tc>
        <w:tc>
          <w:tcPr>
            <w:tcW w:w="6030" w:type="dxa"/>
            <w:gridSpan w:val="2"/>
          </w:tcPr>
          <w:p w14:paraId="0F64A45C" w14:textId="3B03CF73" w:rsidR="00F80BD0" w:rsidRPr="00621C9A" w:rsidRDefault="00F80BD0" w:rsidP="000A3E95">
            <w:pPr>
              <w:rPr>
                <w:sz w:val="22"/>
                <w:szCs w:val="22"/>
              </w:rPr>
            </w:pPr>
            <w:r w:rsidRPr="00621C9A">
              <w:rPr>
                <w:sz w:val="22"/>
                <w:szCs w:val="22"/>
              </w:rPr>
              <w:t xml:space="preserve">FY </w:t>
            </w:r>
            <w:r w:rsidR="000A3E95" w:rsidRPr="000A3E95">
              <w:rPr>
                <w:sz w:val="22"/>
                <w:szCs w:val="22"/>
                <w:highlight w:val="yellow"/>
              </w:rPr>
              <w:t>YYYY [current + 2]</w:t>
            </w:r>
          </w:p>
        </w:tc>
        <w:tc>
          <w:tcPr>
            <w:tcW w:w="1170" w:type="dxa"/>
          </w:tcPr>
          <w:p w14:paraId="23021FCF" w14:textId="77777777" w:rsidR="00F80BD0" w:rsidRPr="00C70F81" w:rsidRDefault="00F80BD0" w:rsidP="00D54398">
            <w:pPr>
              <w:rPr>
                <w:sz w:val="22"/>
                <w:szCs w:val="22"/>
              </w:rPr>
            </w:pPr>
          </w:p>
        </w:tc>
        <w:tc>
          <w:tcPr>
            <w:tcW w:w="2340" w:type="dxa"/>
          </w:tcPr>
          <w:p w14:paraId="238B1F7E" w14:textId="77777777" w:rsidR="00F80BD0" w:rsidRPr="00C70F81" w:rsidRDefault="00F80BD0" w:rsidP="00D54398">
            <w:pPr>
              <w:rPr>
                <w:sz w:val="22"/>
                <w:szCs w:val="22"/>
              </w:rPr>
            </w:pPr>
            <w:r w:rsidRPr="00C70F81">
              <w:rPr>
                <w:sz w:val="22"/>
                <w:szCs w:val="22"/>
              </w:rPr>
              <w:t xml:space="preserve">              /</w:t>
            </w:r>
          </w:p>
        </w:tc>
      </w:tr>
      <w:tr w:rsidR="00E67186" w:rsidRPr="00C70F81" w14:paraId="7E81F5F8" w14:textId="77777777" w:rsidTr="00C65E87">
        <w:tc>
          <w:tcPr>
            <w:tcW w:w="828" w:type="dxa"/>
            <w:tcBorders>
              <w:top w:val="nil"/>
              <w:left w:val="nil"/>
              <w:bottom w:val="nil"/>
            </w:tcBorders>
          </w:tcPr>
          <w:p w14:paraId="684F9871" w14:textId="77777777" w:rsidR="00E67186" w:rsidRPr="00621C9A" w:rsidRDefault="00E67186" w:rsidP="00D54398">
            <w:pPr>
              <w:rPr>
                <w:sz w:val="22"/>
                <w:szCs w:val="22"/>
              </w:rPr>
            </w:pPr>
          </w:p>
        </w:tc>
        <w:tc>
          <w:tcPr>
            <w:tcW w:w="6030" w:type="dxa"/>
            <w:gridSpan w:val="2"/>
          </w:tcPr>
          <w:p w14:paraId="50980EE7" w14:textId="1B75D963" w:rsidR="00E67186" w:rsidRPr="00621C9A" w:rsidRDefault="00E67186" w:rsidP="000A3E95">
            <w:pPr>
              <w:rPr>
                <w:sz w:val="22"/>
                <w:szCs w:val="22"/>
              </w:rPr>
            </w:pPr>
            <w:r w:rsidRPr="00621C9A">
              <w:rPr>
                <w:sz w:val="22"/>
                <w:szCs w:val="22"/>
              </w:rPr>
              <w:t>Real GDP(4Q</w:t>
            </w:r>
            <w:r w:rsidR="00E61240" w:rsidRPr="00621C9A">
              <w:rPr>
                <w:sz w:val="22"/>
                <w:szCs w:val="22"/>
              </w:rPr>
              <w:t>/4Q</w:t>
            </w:r>
            <w:r w:rsidR="002E28CE" w:rsidRPr="00621C9A">
              <w:rPr>
                <w:sz w:val="22"/>
                <w:szCs w:val="22"/>
              </w:rPr>
              <w:t xml:space="preserve"> </w:t>
            </w:r>
            <w:r w:rsidRPr="00621C9A">
              <w:rPr>
                <w:sz w:val="22"/>
                <w:szCs w:val="22"/>
              </w:rPr>
              <w:t xml:space="preserve"> </w:t>
            </w:r>
            <w:r w:rsidR="00CD395E" w:rsidRPr="00621C9A">
              <w:rPr>
                <w:sz w:val="22"/>
                <w:szCs w:val="22"/>
              </w:rPr>
              <w:t xml:space="preserve">% </w:t>
            </w:r>
            <w:r w:rsidRPr="00621C9A">
              <w:rPr>
                <w:sz w:val="22"/>
                <w:szCs w:val="22"/>
              </w:rPr>
              <w:t xml:space="preserve">Chg) </w:t>
            </w:r>
            <w:r w:rsidR="00E61240" w:rsidRPr="00621C9A">
              <w:rPr>
                <w:sz w:val="22"/>
                <w:szCs w:val="22"/>
              </w:rPr>
              <w:t>C</w:t>
            </w:r>
            <w:r w:rsidRPr="00621C9A">
              <w:rPr>
                <w:sz w:val="22"/>
                <w:szCs w:val="22"/>
              </w:rPr>
              <w:t>Y</w:t>
            </w:r>
            <w:r w:rsidR="000A3E95">
              <w:rPr>
                <w:sz w:val="22"/>
                <w:szCs w:val="22"/>
              </w:rPr>
              <w:t xml:space="preserve"> </w:t>
            </w:r>
            <w:r w:rsidR="000A3E95" w:rsidRPr="000A3E95">
              <w:rPr>
                <w:sz w:val="22"/>
                <w:szCs w:val="22"/>
                <w:highlight w:val="yellow"/>
              </w:rPr>
              <w:t>YYYY [current]</w:t>
            </w:r>
          </w:p>
        </w:tc>
        <w:tc>
          <w:tcPr>
            <w:tcW w:w="1170" w:type="dxa"/>
          </w:tcPr>
          <w:p w14:paraId="74808450" w14:textId="77777777" w:rsidR="00E67186" w:rsidRPr="00C70F81" w:rsidRDefault="00E67186" w:rsidP="00D54398">
            <w:pPr>
              <w:rPr>
                <w:sz w:val="22"/>
                <w:szCs w:val="22"/>
              </w:rPr>
            </w:pPr>
          </w:p>
        </w:tc>
        <w:tc>
          <w:tcPr>
            <w:tcW w:w="2340" w:type="dxa"/>
          </w:tcPr>
          <w:p w14:paraId="0160ED73" w14:textId="77777777" w:rsidR="00E67186" w:rsidRPr="00C70F81" w:rsidRDefault="009714FE" w:rsidP="00D54398">
            <w:pPr>
              <w:rPr>
                <w:sz w:val="22"/>
                <w:szCs w:val="22"/>
              </w:rPr>
            </w:pPr>
            <w:r w:rsidRPr="00C70F81">
              <w:rPr>
                <w:sz w:val="22"/>
                <w:szCs w:val="22"/>
              </w:rPr>
              <w:t xml:space="preserve">              /</w:t>
            </w:r>
          </w:p>
        </w:tc>
      </w:tr>
      <w:tr w:rsidR="00E67186" w:rsidRPr="00C70F81" w14:paraId="11718EFB" w14:textId="77777777" w:rsidTr="00C65E87">
        <w:tc>
          <w:tcPr>
            <w:tcW w:w="828" w:type="dxa"/>
            <w:tcBorders>
              <w:top w:val="nil"/>
              <w:left w:val="nil"/>
              <w:bottom w:val="nil"/>
            </w:tcBorders>
          </w:tcPr>
          <w:p w14:paraId="5AC616D7" w14:textId="77777777" w:rsidR="00E67186" w:rsidRPr="00621C9A" w:rsidRDefault="00E67186" w:rsidP="00D54398">
            <w:pPr>
              <w:rPr>
                <w:sz w:val="22"/>
                <w:szCs w:val="22"/>
              </w:rPr>
            </w:pPr>
          </w:p>
        </w:tc>
        <w:tc>
          <w:tcPr>
            <w:tcW w:w="6030" w:type="dxa"/>
            <w:gridSpan w:val="2"/>
          </w:tcPr>
          <w:p w14:paraId="7C67231F" w14:textId="13215C7F" w:rsidR="00E67186" w:rsidRPr="00621C9A" w:rsidRDefault="00E67186" w:rsidP="000A3E95">
            <w:pPr>
              <w:rPr>
                <w:sz w:val="22"/>
                <w:szCs w:val="22"/>
              </w:rPr>
            </w:pPr>
            <w:r w:rsidRPr="00621C9A">
              <w:rPr>
                <w:sz w:val="22"/>
                <w:szCs w:val="22"/>
              </w:rPr>
              <w:t>Real GDP(4Q</w:t>
            </w:r>
            <w:r w:rsidR="00E61240" w:rsidRPr="00621C9A">
              <w:rPr>
                <w:sz w:val="22"/>
                <w:szCs w:val="22"/>
              </w:rPr>
              <w:t>/4Q</w:t>
            </w:r>
            <w:r w:rsidRPr="00621C9A">
              <w:rPr>
                <w:sz w:val="22"/>
                <w:szCs w:val="22"/>
              </w:rPr>
              <w:t xml:space="preserve">  </w:t>
            </w:r>
            <w:r w:rsidR="00CD395E" w:rsidRPr="00621C9A">
              <w:rPr>
                <w:sz w:val="22"/>
                <w:szCs w:val="22"/>
              </w:rPr>
              <w:t xml:space="preserve">% </w:t>
            </w:r>
            <w:r w:rsidRPr="00621C9A">
              <w:rPr>
                <w:sz w:val="22"/>
                <w:szCs w:val="22"/>
              </w:rPr>
              <w:t xml:space="preserve">Chg) </w:t>
            </w:r>
            <w:r w:rsidR="00E61240" w:rsidRPr="00621C9A">
              <w:rPr>
                <w:sz w:val="22"/>
                <w:szCs w:val="22"/>
              </w:rPr>
              <w:t>C</w:t>
            </w:r>
            <w:r w:rsidRPr="00621C9A">
              <w:rPr>
                <w:sz w:val="22"/>
                <w:szCs w:val="22"/>
              </w:rPr>
              <w:t>Y</w:t>
            </w:r>
            <w:r w:rsidR="000A3E95">
              <w:rPr>
                <w:sz w:val="22"/>
                <w:szCs w:val="22"/>
              </w:rPr>
              <w:t xml:space="preserve"> </w:t>
            </w:r>
            <w:r w:rsidR="000A3E95" w:rsidRPr="000A3E95">
              <w:rPr>
                <w:sz w:val="22"/>
                <w:szCs w:val="22"/>
                <w:highlight w:val="yellow"/>
              </w:rPr>
              <w:t>YYYY [current + 1]</w:t>
            </w:r>
          </w:p>
        </w:tc>
        <w:tc>
          <w:tcPr>
            <w:tcW w:w="1170" w:type="dxa"/>
          </w:tcPr>
          <w:p w14:paraId="1BBB677B" w14:textId="77777777" w:rsidR="00E67186" w:rsidRPr="00C70F81" w:rsidRDefault="00E67186" w:rsidP="00D54398">
            <w:pPr>
              <w:rPr>
                <w:sz w:val="22"/>
                <w:szCs w:val="22"/>
              </w:rPr>
            </w:pPr>
          </w:p>
        </w:tc>
        <w:tc>
          <w:tcPr>
            <w:tcW w:w="2340" w:type="dxa"/>
          </w:tcPr>
          <w:p w14:paraId="7F7DA00A" w14:textId="77777777" w:rsidR="00E67186" w:rsidRPr="00C70F81" w:rsidRDefault="009714FE" w:rsidP="00D54398">
            <w:pPr>
              <w:rPr>
                <w:sz w:val="22"/>
                <w:szCs w:val="22"/>
              </w:rPr>
            </w:pPr>
            <w:r w:rsidRPr="00C70F81">
              <w:rPr>
                <w:sz w:val="22"/>
                <w:szCs w:val="22"/>
              </w:rPr>
              <w:t xml:space="preserve">              /</w:t>
            </w:r>
          </w:p>
        </w:tc>
      </w:tr>
      <w:tr w:rsidR="00E67186" w:rsidRPr="00C70F81" w14:paraId="59C5D6C8" w14:textId="77777777" w:rsidTr="00C65E87">
        <w:tc>
          <w:tcPr>
            <w:tcW w:w="828" w:type="dxa"/>
            <w:tcBorders>
              <w:top w:val="nil"/>
              <w:left w:val="nil"/>
              <w:bottom w:val="nil"/>
            </w:tcBorders>
          </w:tcPr>
          <w:p w14:paraId="4C86E3A9" w14:textId="77777777" w:rsidR="00E67186" w:rsidRPr="00621C9A" w:rsidRDefault="00E67186" w:rsidP="00D54398">
            <w:pPr>
              <w:rPr>
                <w:sz w:val="22"/>
                <w:szCs w:val="22"/>
              </w:rPr>
            </w:pPr>
          </w:p>
        </w:tc>
        <w:tc>
          <w:tcPr>
            <w:tcW w:w="6030" w:type="dxa"/>
            <w:gridSpan w:val="2"/>
          </w:tcPr>
          <w:p w14:paraId="6DD8B83D" w14:textId="618ABA20" w:rsidR="00E67186" w:rsidRPr="00621C9A" w:rsidRDefault="00E67186" w:rsidP="00BE1A78">
            <w:pPr>
              <w:rPr>
                <w:sz w:val="22"/>
                <w:szCs w:val="22"/>
              </w:rPr>
            </w:pPr>
            <w:r w:rsidRPr="00621C9A">
              <w:rPr>
                <w:sz w:val="22"/>
                <w:szCs w:val="22"/>
              </w:rPr>
              <w:t>Nominal GDP(4Q</w:t>
            </w:r>
            <w:r w:rsidR="00E61240" w:rsidRPr="00621C9A">
              <w:rPr>
                <w:sz w:val="22"/>
                <w:szCs w:val="22"/>
              </w:rPr>
              <w:t>/4Q</w:t>
            </w:r>
            <w:r w:rsidRPr="00621C9A">
              <w:rPr>
                <w:sz w:val="22"/>
                <w:szCs w:val="22"/>
              </w:rPr>
              <w:t xml:space="preserve"> </w:t>
            </w:r>
            <w:r w:rsidR="00350ACD" w:rsidRPr="00621C9A">
              <w:rPr>
                <w:sz w:val="22"/>
                <w:szCs w:val="22"/>
              </w:rPr>
              <w:t xml:space="preserve"> </w:t>
            </w:r>
            <w:r w:rsidRPr="00621C9A">
              <w:rPr>
                <w:sz w:val="22"/>
                <w:szCs w:val="22"/>
              </w:rPr>
              <w:t xml:space="preserve">% Chg) </w:t>
            </w:r>
            <w:r w:rsidR="00E61240" w:rsidRPr="00621C9A">
              <w:rPr>
                <w:sz w:val="22"/>
                <w:szCs w:val="22"/>
              </w:rPr>
              <w:t>C</w:t>
            </w:r>
            <w:r w:rsidR="000A3E95">
              <w:rPr>
                <w:sz w:val="22"/>
                <w:szCs w:val="22"/>
              </w:rPr>
              <w:t xml:space="preserve">Y </w:t>
            </w:r>
            <w:r w:rsidR="000A3E95" w:rsidRPr="000A3E95">
              <w:rPr>
                <w:sz w:val="22"/>
                <w:szCs w:val="22"/>
                <w:highlight w:val="yellow"/>
              </w:rPr>
              <w:t>YYYY [current]</w:t>
            </w:r>
          </w:p>
        </w:tc>
        <w:tc>
          <w:tcPr>
            <w:tcW w:w="1170" w:type="dxa"/>
          </w:tcPr>
          <w:p w14:paraId="2E20E0F1" w14:textId="77777777" w:rsidR="00E67186" w:rsidRPr="00C70F81" w:rsidRDefault="00E67186" w:rsidP="00D54398">
            <w:pPr>
              <w:rPr>
                <w:sz w:val="22"/>
                <w:szCs w:val="22"/>
              </w:rPr>
            </w:pPr>
          </w:p>
        </w:tc>
        <w:tc>
          <w:tcPr>
            <w:tcW w:w="2340" w:type="dxa"/>
          </w:tcPr>
          <w:p w14:paraId="3E623CDE" w14:textId="77777777" w:rsidR="00E67186" w:rsidRPr="00C70F81" w:rsidRDefault="009714FE" w:rsidP="00D54398">
            <w:pPr>
              <w:rPr>
                <w:sz w:val="22"/>
                <w:szCs w:val="22"/>
              </w:rPr>
            </w:pPr>
            <w:r w:rsidRPr="00C70F81">
              <w:rPr>
                <w:sz w:val="22"/>
                <w:szCs w:val="22"/>
              </w:rPr>
              <w:t xml:space="preserve">              /</w:t>
            </w:r>
          </w:p>
        </w:tc>
      </w:tr>
      <w:tr w:rsidR="00E67186" w:rsidRPr="00C70F81" w14:paraId="0EB11A56" w14:textId="77777777" w:rsidTr="00C65E87">
        <w:tc>
          <w:tcPr>
            <w:tcW w:w="828" w:type="dxa"/>
            <w:tcBorders>
              <w:top w:val="nil"/>
              <w:left w:val="nil"/>
              <w:bottom w:val="nil"/>
            </w:tcBorders>
          </w:tcPr>
          <w:p w14:paraId="15CD9119" w14:textId="77777777" w:rsidR="00E67186" w:rsidRPr="00621C9A" w:rsidRDefault="00E67186" w:rsidP="00D54398">
            <w:pPr>
              <w:rPr>
                <w:sz w:val="22"/>
                <w:szCs w:val="22"/>
              </w:rPr>
            </w:pPr>
          </w:p>
        </w:tc>
        <w:tc>
          <w:tcPr>
            <w:tcW w:w="6030" w:type="dxa"/>
            <w:gridSpan w:val="2"/>
          </w:tcPr>
          <w:p w14:paraId="0A4428C7" w14:textId="66F547FB" w:rsidR="00E67186" w:rsidRPr="00621C9A" w:rsidRDefault="00E67186" w:rsidP="00BE1A78">
            <w:pPr>
              <w:rPr>
                <w:sz w:val="22"/>
                <w:szCs w:val="22"/>
              </w:rPr>
            </w:pPr>
            <w:r w:rsidRPr="00621C9A">
              <w:rPr>
                <w:sz w:val="22"/>
                <w:szCs w:val="22"/>
              </w:rPr>
              <w:t>Nominal GDP(4Q</w:t>
            </w:r>
            <w:r w:rsidR="00E61240" w:rsidRPr="00621C9A">
              <w:rPr>
                <w:sz w:val="22"/>
                <w:szCs w:val="22"/>
              </w:rPr>
              <w:t>/4Q</w:t>
            </w:r>
            <w:r w:rsidRPr="00621C9A">
              <w:rPr>
                <w:sz w:val="22"/>
                <w:szCs w:val="22"/>
              </w:rPr>
              <w:t xml:space="preserve">  % Chg) </w:t>
            </w:r>
            <w:r w:rsidR="00E61240" w:rsidRPr="00621C9A">
              <w:rPr>
                <w:sz w:val="22"/>
                <w:szCs w:val="22"/>
              </w:rPr>
              <w:t>C</w:t>
            </w:r>
            <w:r w:rsidR="000A3E95">
              <w:rPr>
                <w:sz w:val="22"/>
                <w:szCs w:val="22"/>
              </w:rPr>
              <w:t xml:space="preserve">Y </w:t>
            </w:r>
            <w:r w:rsidR="000A3E95" w:rsidRPr="000A3E95">
              <w:rPr>
                <w:sz w:val="22"/>
                <w:szCs w:val="22"/>
                <w:highlight w:val="yellow"/>
              </w:rPr>
              <w:t>YYYY [current + 1]</w:t>
            </w:r>
          </w:p>
        </w:tc>
        <w:tc>
          <w:tcPr>
            <w:tcW w:w="1170" w:type="dxa"/>
          </w:tcPr>
          <w:p w14:paraId="73DD12B6" w14:textId="77777777" w:rsidR="00E67186" w:rsidRPr="00C70F81" w:rsidRDefault="00E67186" w:rsidP="00D54398">
            <w:pPr>
              <w:rPr>
                <w:sz w:val="22"/>
                <w:szCs w:val="22"/>
              </w:rPr>
            </w:pPr>
          </w:p>
        </w:tc>
        <w:tc>
          <w:tcPr>
            <w:tcW w:w="2340" w:type="dxa"/>
          </w:tcPr>
          <w:p w14:paraId="0323C7B5" w14:textId="77777777" w:rsidR="00E67186" w:rsidRPr="00C70F81" w:rsidRDefault="009714FE" w:rsidP="00D54398">
            <w:pPr>
              <w:rPr>
                <w:sz w:val="22"/>
                <w:szCs w:val="22"/>
              </w:rPr>
            </w:pPr>
            <w:r w:rsidRPr="00C70F81">
              <w:rPr>
                <w:sz w:val="22"/>
                <w:szCs w:val="22"/>
              </w:rPr>
              <w:t xml:space="preserve">              /</w:t>
            </w:r>
          </w:p>
        </w:tc>
      </w:tr>
      <w:tr w:rsidR="00F80BD0" w:rsidRPr="00C70F81" w14:paraId="5063BC9C" w14:textId="77777777" w:rsidTr="00C65E87">
        <w:tc>
          <w:tcPr>
            <w:tcW w:w="828" w:type="dxa"/>
            <w:tcBorders>
              <w:top w:val="nil"/>
              <w:left w:val="nil"/>
              <w:bottom w:val="nil"/>
              <w:right w:val="nil"/>
            </w:tcBorders>
          </w:tcPr>
          <w:p w14:paraId="3B4C15D5" w14:textId="77777777" w:rsidR="00F80BD0" w:rsidRPr="00621C9A" w:rsidRDefault="00F80BD0" w:rsidP="00D54398">
            <w:pPr>
              <w:rPr>
                <w:sz w:val="22"/>
                <w:szCs w:val="22"/>
              </w:rPr>
            </w:pPr>
          </w:p>
        </w:tc>
        <w:tc>
          <w:tcPr>
            <w:tcW w:w="6030" w:type="dxa"/>
            <w:gridSpan w:val="2"/>
            <w:tcBorders>
              <w:left w:val="nil"/>
              <w:bottom w:val="nil"/>
              <w:right w:val="nil"/>
            </w:tcBorders>
          </w:tcPr>
          <w:p w14:paraId="70EE6CE2" w14:textId="77777777" w:rsidR="00F80BD0" w:rsidRPr="00621C9A" w:rsidRDefault="00F80BD0" w:rsidP="00D54398">
            <w:pPr>
              <w:rPr>
                <w:sz w:val="22"/>
                <w:szCs w:val="22"/>
              </w:rPr>
            </w:pPr>
          </w:p>
        </w:tc>
        <w:tc>
          <w:tcPr>
            <w:tcW w:w="1170" w:type="dxa"/>
            <w:tcBorders>
              <w:left w:val="nil"/>
              <w:bottom w:val="nil"/>
              <w:right w:val="nil"/>
            </w:tcBorders>
          </w:tcPr>
          <w:p w14:paraId="05D41882" w14:textId="77777777" w:rsidR="00F80BD0" w:rsidRPr="00C70F81" w:rsidRDefault="00F80BD0" w:rsidP="00D54398">
            <w:pPr>
              <w:rPr>
                <w:sz w:val="22"/>
                <w:szCs w:val="22"/>
              </w:rPr>
            </w:pPr>
          </w:p>
        </w:tc>
        <w:tc>
          <w:tcPr>
            <w:tcW w:w="2340" w:type="dxa"/>
            <w:tcBorders>
              <w:left w:val="nil"/>
              <w:bottom w:val="nil"/>
              <w:right w:val="nil"/>
            </w:tcBorders>
          </w:tcPr>
          <w:p w14:paraId="34BCF730" w14:textId="77777777" w:rsidR="00F80BD0" w:rsidRPr="00C70F81" w:rsidRDefault="00F80BD0" w:rsidP="00D54398">
            <w:pPr>
              <w:rPr>
                <w:sz w:val="22"/>
                <w:szCs w:val="22"/>
              </w:rPr>
            </w:pPr>
          </w:p>
        </w:tc>
      </w:tr>
      <w:tr w:rsidR="00F80BD0" w:rsidRPr="00C70F81" w14:paraId="23E33910" w14:textId="77777777" w:rsidTr="00C65E87">
        <w:tc>
          <w:tcPr>
            <w:tcW w:w="6858" w:type="dxa"/>
            <w:gridSpan w:val="3"/>
            <w:tcBorders>
              <w:top w:val="nil"/>
              <w:left w:val="nil"/>
              <w:bottom w:val="nil"/>
              <w:right w:val="nil"/>
            </w:tcBorders>
          </w:tcPr>
          <w:p w14:paraId="1D479426" w14:textId="77777777" w:rsidR="00F80BD0" w:rsidRPr="00621C9A" w:rsidRDefault="00F80BD0" w:rsidP="00D54398">
            <w:pPr>
              <w:rPr>
                <w:b/>
                <w:sz w:val="22"/>
                <w:szCs w:val="22"/>
              </w:rPr>
            </w:pPr>
            <w:r w:rsidRPr="00621C9A">
              <w:rPr>
                <w:b/>
                <w:sz w:val="22"/>
                <w:szCs w:val="22"/>
              </w:rPr>
              <w:t>III.  Quarterly Note and Bond Issuance Estimates</w:t>
            </w:r>
          </w:p>
        </w:tc>
        <w:tc>
          <w:tcPr>
            <w:tcW w:w="1170" w:type="dxa"/>
            <w:tcBorders>
              <w:top w:val="nil"/>
              <w:left w:val="nil"/>
              <w:right w:val="nil"/>
            </w:tcBorders>
          </w:tcPr>
          <w:p w14:paraId="5E0B49B9" w14:textId="77777777" w:rsidR="00F80BD0" w:rsidRPr="00C70F81" w:rsidRDefault="00F80BD0" w:rsidP="00D54398">
            <w:pPr>
              <w:rPr>
                <w:b/>
                <w:sz w:val="22"/>
                <w:szCs w:val="22"/>
              </w:rPr>
            </w:pPr>
          </w:p>
        </w:tc>
        <w:tc>
          <w:tcPr>
            <w:tcW w:w="2340" w:type="dxa"/>
            <w:tcBorders>
              <w:top w:val="nil"/>
              <w:left w:val="nil"/>
              <w:right w:val="nil"/>
            </w:tcBorders>
          </w:tcPr>
          <w:p w14:paraId="721828D4" w14:textId="77777777" w:rsidR="00F80BD0" w:rsidRPr="00C70F81" w:rsidRDefault="00F80BD0" w:rsidP="00D54398">
            <w:pPr>
              <w:rPr>
                <w:b/>
                <w:sz w:val="22"/>
                <w:szCs w:val="22"/>
              </w:rPr>
            </w:pPr>
          </w:p>
        </w:tc>
      </w:tr>
      <w:tr w:rsidR="00A25A13" w:rsidRPr="00C70F81" w14:paraId="315CF2C1" w14:textId="77777777" w:rsidTr="00C65E87">
        <w:tc>
          <w:tcPr>
            <w:tcW w:w="828" w:type="dxa"/>
            <w:tcBorders>
              <w:top w:val="nil"/>
              <w:left w:val="nil"/>
              <w:bottom w:val="nil"/>
            </w:tcBorders>
          </w:tcPr>
          <w:p w14:paraId="5F10F1F4" w14:textId="77777777" w:rsidR="00A25A13" w:rsidRPr="00621C9A" w:rsidRDefault="00A25A13" w:rsidP="00D54398">
            <w:pPr>
              <w:rPr>
                <w:sz w:val="22"/>
                <w:szCs w:val="22"/>
              </w:rPr>
            </w:pPr>
          </w:p>
        </w:tc>
        <w:tc>
          <w:tcPr>
            <w:tcW w:w="6030" w:type="dxa"/>
            <w:gridSpan w:val="2"/>
          </w:tcPr>
          <w:p w14:paraId="281F00FF" w14:textId="05A54AF2" w:rsidR="00A25A13" w:rsidRPr="000A3E95" w:rsidRDefault="000A3E95" w:rsidP="00BD5D23">
            <w:pPr>
              <w:rPr>
                <w:sz w:val="22"/>
                <w:szCs w:val="22"/>
                <w:highlight w:val="yellow"/>
              </w:rPr>
            </w:pPr>
            <w:r w:rsidRPr="000A3E95">
              <w:rPr>
                <w:sz w:val="22"/>
                <w:szCs w:val="22"/>
                <w:highlight w:val="yellow"/>
              </w:rPr>
              <w:t>[list next quarter note, bond, and TIPS auctions, with reopens]</w:t>
            </w:r>
          </w:p>
        </w:tc>
        <w:tc>
          <w:tcPr>
            <w:tcW w:w="1170" w:type="dxa"/>
          </w:tcPr>
          <w:p w14:paraId="48760AEE" w14:textId="77777777" w:rsidR="00A25A13" w:rsidRPr="00C70F81" w:rsidRDefault="00A25A13" w:rsidP="00D54398">
            <w:pPr>
              <w:rPr>
                <w:sz w:val="22"/>
                <w:szCs w:val="22"/>
              </w:rPr>
            </w:pPr>
            <w:r w:rsidRPr="00C70F81">
              <w:rPr>
                <w:sz w:val="22"/>
                <w:szCs w:val="22"/>
              </w:rPr>
              <w:t xml:space="preserve">       /    / </w:t>
            </w:r>
          </w:p>
        </w:tc>
        <w:tc>
          <w:tcPr>
            <w:tcW w:w="2340" w:type="dxa"/>
          </w:tcPr>
          <w:p w14:paraId="738E338F" w14:textId="77777777" w:rsidR="00A25A13" w:rsidRPr="00C70F81" w:rsidRDefault="00A25A13" w:rsidP="00D54398">
            <w:pPr>
              <w:rPr>
                <w:sz w:val="22"/>
                <w:szCs w:val="22"/>
              </w:rPr>
            </w:pPr>
            <w:r w:rsidRPr="00C70F81">
              <w:rPr>
                <w:sz w:val="22"/>
                <w:szCs w:val="22"/>
              </w:rPr>
              <w:t xml:space="preserve">    /     /    -     /     /</w:t>
            </w:r>
          </w:p>
        </w:tc>
      </w:tr>
      <w:tr w:rsidR="00A25A13" w:rsidRPr="00C70F81" w14:paraId="55CE0879" w14:textId="77777777" w:rsidTr="00C65E87">
        <w:tc>
          <w:tcPr>
            <w:tcW w:w="828" w:type="dxa"/>
            <w:tcBorders>
              <w:top w:val="nil"/>
              <w:left w:val="nil"/>
              <w:bottom w:val="nil"/>
            </w:tcBorders>
          </w:tcPr>
          <w:p w14:paraId="55D9AF0D" w14:textId="77777777" w:rsidR="00A25A13" w:rsidRPr="00621C9A" w:rsidRDefault="00A25A13" w:rsidP="00D54398">
            <w:pPr>
              <w:rPr>
                <w:sz w:val="22"/>
                <w:szCs w:val="22"/>
              </w:rPr>
            </w:pPr>
          </w:p>
        </w:tc>
        <w:tc>
          <w:tcPr>
            <w:tcW w:w="6030" w:type="dxa"/>
            <w:gridSpan w:val="2"/>
          </w:tcPr>
          <w:p w14:paraId="1B1D76DE" w14:textId="75165E5C" w:rsidR="00A25A13" w:rsidRPr="000A3E95" w:rsidRDefault="000A3E95" w:rsidP="000A3E95">
            <w:pPr>
              <w:rPr>
                <w:sz w:val="22"/>
                <w:szCs w:val="22"/>
                <w:highlight w:val="yellow"/>
              </w:rPr>
            </w:pPr>
            <w:r w:rsidRPr="000A3E95">
              <w:rPr>
                <w:sz w:val="22"/>
                <w:szCs w:val="22"/>
                <w:highlight w:val="yellow"/>
              </w:rPr>
              <w:t xml:space="preserve">[e.g. </w:t>
            </w:r>
            <w:r w:rsidR="00A25A13" w:rsidRPr="000A3E95">
              <w:rPr>
                <w:sz w:val="22"/>
                <w:szCs w:val="22"/>
                <w:highlight w:val="yellow"/>
              </w:rPr>
              <w:t>10-year note (</w:t>
            </w:r>
            <w:r w:rsidRPr="000A3E95">
              <w:rPr>
                <w:sz w:val="22"/>
                <w:szCs w:val="22"/>
                <w:highlight w:val="yellow"/>
              </w:rPr>
              <w:t>MMM</w:t>
            </w:r>
            <w:r w:rsidR="00A25A13" w:rsidRPr="000A3E95">
              <w:rPr>
                <w:sz w:val="22"/>
                <w:szCs w:val="22"/>
                <w:highlight w:val="yellow"/>
              </w:rPr>
              <w:t>)</w:t>
            </w:r>
            <w:r w:rsidRPr="000A3E95">
              <w:rPr>
                <w:sz w:val="22"/>
                <w:szCs w:val="22"/>
                <w:highlight w:val="yellow"/>
              </w:rPr>
              <w:t>]</w:t>
            </w:r>
          </w:p>
        </w:tc>
        <w:tc>
          <w:tcPr>
            <w:tcW w:w="1170" w:type="dxa"/>
          </w:tcPr>
          <w:p w14:paraId="5465E0C3" w14:textId="77777777" w:rsidR="00A25A13" w:rsidRPr="00C70F81" w:rsidRDefault="00A25A13" w:rsidP="00D54398">
            <w:pPr>
              <w:rPr>
                <w:sz w:val="22"/>
                <w:szCs w:val="22"/>
              </w:rPr>
            </w:pPr>
          </w:p>
        </w:tc>
        <w:tc>
          <w:tcPr>
            <w:tcW w:w="2340" w:type="dxa"/>
          </w:tcPr>
          <w:p w14:paraId="636C88EE" w14:textId="77777777" w:rsidR="00A25A13" w:rsidRPr="00C70F81" w:rsidRDefault="00A25A13" w:rsidP="00D54398">
            <w:pPr>
              <w:rPr>
                <w:sz w:val="22"/>
                <w:szCs w:val="22"/>
              </w:rPr>
            </w:pPr>
            <w:r w:rsidRPr="00C70F81">
              <w:rPr>
                <w:sz w:val="22"/>
                <w:szCs w:val="22"/>
              </w:rPr>
              <w:t xml:space="preserve">              /</w:t>
            </w:r>
          </w:p>
        </w:tc>
      </w:tr>
      <w:tr w:rsidR="00A25A13" w:rsidRPr="00C70F81" w14:paraId="0610A01E" w14:textId="77777777" w:rsidTr="00C65E87">
        <w:tc>
          <w:tcPr>
            <w:tcW w:w="828" w:type="dxa"/>
            <w:tcBorders>
              <w:top w:val="nil"/>
              <w:left w:val="nil"/>
              <w:bottom w:val="nil"/>
            </w:tcBorders>
          </w:tcPr>
          <w:p w14:paraId="5C27E704" w14:textId="77777777" w:rsidR="00A25A13" w:rsidRPr="00621C9A" w:rsidRDefault="00A25A13" w:rsidP="00D54398">
            <w:pPr>
              <w:rPr>
                <w:sz w:val="22"/>
                <w:szCs w:val="22"/>
              </w:rPr>
            </w:pPr>
          </w:p>
        </w:tc>
        <w:tc>
          <w:tcPr>
            <w:tcW w:w="6030" w:type="dxa"/>
            <w:gridSpan w:val="2"/>
          </w:tcPr>
          <w:p w14:paraId="01D67539" w14:textId="05E7BED3" w:rsidR="00A25A13" w:rsidRPr="000A3E95" w:rsidRDefault="000A3E95" w:rsidP="000A3E95">
            <w:pPr>
              <w:rPr>
                <w:sz w:val="22"/>
                <w:szCs w:val="22"/>
                <w:highlight w:val="yellow"/>
              </w:rPr>
            </w:pPr>
            <w:r w:rsidRPr="000A3E95">
              <w:rPr>
                <w:sz w:val="22"/>
                <w:szCs w:val="22"/>
                <w:highlight w:val="yellow"/>
              </w:rPr>
              <w:t xml:space="preserve">[e.g. </w:t>
            </w:r>
            <w:r w:rsidR="00A25A13" w:rsidRPr="000A3E95">
              <w:rPr>
                <w:sz w:val="22"/>
                <w:szCs w:val="22"/>
                <w:highlight w:val="yellow"/>
              </w:rPr>
              <w:t>10-year note reopening (</w:t>
            </w:r>
            <w:r w:rsidRPr="000A3E95">
              <w:rPr>
                <w:sz w:val="22"/>
                <w:szCs w:val="22"/>
                <w:highlight w:val="yellow"/>
              </w:rPr>
              <w:t>MMM</w:t>
            </w:r>
            <w:r w:rsidR="00A25A13" w:rsidRPr="000A3E95">
              <w:rPr>
                <w:sz w:val="22"/>
                <w:szCs w:val="22"/>
                <w:highlight w:val="yellow"/>
              </w:rPr>
              <w:t>)</w:t>
            </w:r>
            <w:r w:rsidRPr="000A3E95">
              <w:rPr>
                <w:sz w:val="22"/>
                <w:szCs w:val="22"/>
                <w:highlight w:val="yellow"/>
              </w:rPr>
              <w:t>]</w:t>
            </w:r>
          </w:p>
        </w:tc>
        <w:tc>
          <w:tcPr>
            <w:tcW w:w="1170" w:type="dxa"/>
          </w:tcPr>
          <w:p w14:paraId="1B5BCD59" w14:textId="77777777" w:rsidR="00A25A13" w:rsidRPr="00C70F81" w:rsidRDefault="00A25A13" w:rsidP="00D54398">
            <w:pPr>
              <w:rPr>
                <w:sz w:val="22"/>
                <w:szCs w:val="22"/>
              </w:rPr>
            </w:pPr>
            <w:r w:rsidRPr="00C70F81">
              <w:rPr>
                <w:sz w:val="22"/>
                <w:szCs w:val="22"/>
              </w:rPr>
              <w:t xml:space="preserve">      </w:t>
            </w:r>
            <w:r>
              <w:rPr>
                <w:sz w:val="22"/>
                <w:szCs w:val="22"/>
              </w:rPr>
              <w:t xml:space="preserve">  </w:t>
            </w:r>
            <w:r w:rsidRPr="00C70F81">
              <w:rPr>
                <w:sz w:val="22"/>
                <w:szCs w:val="22"/>
              </w:rPr>
              <w:t xml:space="preserve"> /   </w:t>
            </w:r>
          </w:p>
        </w:tc>
        <w:tc>
          <w:tcPr>
            <w:tcW w:w="2340" w:type="dxa"/>
          </w:tcPr>
          <w:p w14:paraId="2BE1874F" w14:textId="77777777" w:rsidR="00A25A13" w:rsidRPr="00C70F81" w:rsidRDefault="00A25A13" w:rsidP="00D54398">
            <w:pPr>
              <w:rPr>
                <w:sz w:val="22"/>
                <w:szCs w:val="22"/>
              </w:rPr>
            </w:pPr>
            <w:r w:rsidRPr="00C70F81">
              <w:rPr>
                <w:sz w:val="22"/>
                <w:szCs w:val="22"/>
              </w:rPr>
              <w:t xml:space="preserve">          /    -     /</w:t>
            </w:r>
          </w:p>
        </w:tc>
      </w:tr>
      <w:tr w:rsidR="00A25A13" w:rsidRPr="00C70F81" w14:paraId="442B4401" w14:textId="77777777" w:rsidTr="00C65E87">
        <w:tc>
          <w:tcPr>
            <w:tcW w:w="828" w:type="dxa"/>
            <w:tcBorders>
              <w:top w:val="nil"/>
              <w:left w:val="nil"/>
              <w:bottom w:val="nil"/>
            </w:tcBorders>
          </w:tcPr>
          <w:p w14:paraId="46DB5E23" w14:textId="77777777" w:rsidR="00A25A13" w:rsidRPr="00621C9A" w:rsidRDefault="00A25A13" w:rsidP="00D54398">
            <w:pPr>
              <w:rPr>
                <w:sz w:val="22"/>
                <w:szCs w:val="22"/>
              </w:rPr>
            </w:pPr>
          </w:p>
        </w:tc>
        <w:tc>
          <w:tcPr>
            <w:tcW w:w="6030" w:type="dxa"/>
            <w:gridSpan w:val="2"/>
          </w:tcPr>
          <w:p w14:paraId="68B74A3E" w14:textId="2CB6434B" w:rsidR="00A25A13" w:rsidRPr="000A3E95" w:rsidRDefault="000A3E95" w:rsidP="00BD5D23">
            <w:pPr>
              <w:rPr>
                <w:sz w:val="22"/>
                <w:szCs w:val="22"/>
                <w:highlight w:val="yellow"/>
              </w:rPr>
            </w:pPr>
            <w:r w:rsidRPr="000A3E95">
              <w:rPr>
                <w:sz w:val="22"/>
                <w:szCs w:val="22"/>
                <w:highlight w:val="yellow"/>
              </w:rPr>
              <w:t>[…]</w:t>
            </w:r>
          </w:p>
        </w:tc>
        <w:tc>
          <w:tcPr>
            <w:tcW w:w="1170" w:type="dxa"/>
          </w:tcPr>
          <w:p w14:paraId="5AA80B15" w14:textId="77777777" w:rsidR="00A25A13" w:rsidRPr="00C70F81" w:rsidRDefault="00A25A13" w:rsidP="00D54398">
            <w:pPr>
              <w:rPr>
                <w:sz w:val="22"/>
                <w:szCs w:val="22"/>
              </w:rPr>
            </w:pPr>
          </w:p>
        </w:tc>
        <w:tc>
          <w:tcPr>
            <w:tcW w:w="2340" w:type="dxa"/>
          </w:tcPr>
          <w:p w14:paraId="7BBE074E" w14:textId="26905A14" w:rsidR="00A25A13" w:rsidRPr="00C70F81" w:rsidRDefault="00A25A13" w:rsidP="00D54398">
            <w:pPr>
              <w:rPr>
                <w:sz w:val="22"/>
                <w:szCs w:val="22"/>
              </w:rPr>
            </w:pPr>
          </w:p>
        </w:tc>
      </w:tr>
      <w:tr w:rsidR="00A25A13" w:rsidRPr="00C70F81" w14:paraId="300AF431" w14:textId="77777777" w:rsidTr="00C65E87">
        <w:tc>
          <w:tcPr>
            <w:tcW w:w="828" w:type="dxa"/>
            <w:tcBorders>
              <w:top w:val="nil"/>
              <w:left w:val="nil"/>
              <w:bottom w:val="nil"/>
            </w:tcBorders>
          </w:tcPr>
          <w:p w14:paraId="4ADCC031" w14:textId="77777777" w:rsidR="00A25A13" w:rsidRPr="00621C9A" w:rsidRDefault="00A25A13" w:rsidP="00D54398">
            <w:pPr>
              <w:rPr>
                <w:sz w:val="22"/>
                <w:szCs w:val="22"/>
              </w:rPr>
            </w:pPr>
          </w:p>
        </w:tc>
        <w:tc>
          <w:tcPr>
            <w:tcW w:w="6030" w:type="dxa"/>
            <w:gridSpan w:val="2"/>
          </w:tcPr>
          <w:p w14:paraId="11C5EBE0" w14:textId="6740694A" w:rsidR="00A25A13" w:rsidRPr="000A3E95" w:rsidRDefault="000A3E95" w:rsidP="00BD5D23">
            <w:pPr>
              <w:rPr>
                <w:sz w:val="22"/>
                <w:szCs w:val="22"/>
                <w:highlight w:val="yellow"/>
              </w:rPr>
            </w:pPr>
            <w:r w:rsidRPr="000A3E95">
              <w:rPr>
                <w:sz w:val="22"/>
                <w:szCs w:val="22"/>
                <w:highlight w:val="yellow"/>
              </w:rPr>
              <w:t>[…]</w:t>
            </w:r>
          </w:p>
        </w:tc>
        <w:tc>
          <w:tcPr>
            <w:tcW w:w="1170" w:type="dxa"/>
          </w:tcPr>
          <w:p w14:paraId="70F69C35" w14:textId="60CBE184" w:rsidR="00A25A13" w:rsidRPr="00C70F81" w:rsidRDefault="00A25A13" w:rsidP="00D54398">
            <w:pPr>
              <w:rPr>
                <w:sz w:val="22"/>
                <w:szCs w:val="22"/>
              </w:rPr>
            </w:pPr>
          </w:p>
        </w:tc>
        <w:tc>
          <w:tcPr>
            <w:tcW w:w="2340" w:type="dxa"/>
          </w:tcPr>
          <w:p w14:paraId="3FD3810F" w14:textId="46FFDCF1" w:rsidR="00A25A13" w:rsidRPr="00C70F81" w:rsidRDefault="00A25A13" w:rsidP="00D54398">
            <w:pPr>
              <w:rPr>
                <w:sz w:val="22"/>
                <w:szCs w:val="22"/>
              </w:rPr>
            </w:pPr>
          </w:p>
        </w:tc>
      </w:tr>
      <w:tr w:rsidR="00A25A13" w:rsidRPr="00C70F81" w14:paraId="297CFE35" w14:textId="77777777" w:rsidTr="00C65E87">
        <w:tc>
          <w:tcPr>
            <w:tcW w:w="828" w:type="dxa"/>
            <w:tcBorders>
              <w:top w:val="nil"/>
              <w:left w:val="nil"/>
              <w:bottom w:val="nil"/>
            </w:tcBorders>
          </w:tcPr>
          <w:p w14:paraId="2F46CA2D" w14:textId="77777777" w:rsidR="00A25A13" w:rsidRPr="00621C9A" w:rsidRDefault="00A25A13" w:rsidP="00D54398">
            <w:pPr>
              <w:rPr>
                <w:sz w:val="22"/>
                <w:szCs w:val="22"/>
              </w:rPr>
            </w:pPr>
          </w:p>
        </w:tc>
        <w:tc>
          <w:tcPr>
            <w:tcW w:w="6030" w:type="dxa"/>
            <w:gridSpan w:val="2"/>
          </w:tcPr>
          <w:p w14:paraId="49C6FA09" w14:textId="2D141BF1" w:rsidR="00A25A13" w:rsidRPr="000A3E95" w:rsidRDefault="000A3E95" w:rsidP="00BD5D23">
            <w:pPr>
              <w:rPr>
                <w:sz w:val="22"/>
                <w:szCs w:val="22"/>
                <w:highlight w:val="yellow"/>
              </w:rPr>
            </w:pPr>
            <w:r w:rsidRPr="000A3E95">
              <w:rPr>
                <w:sz w:val="22"/>
                <w:szCs w:val="22"/>
                <w:highlight w:val="yellow"/>
              </w:rPr>
              <w:t>[…]</w:t>
            </w:r>
          </w:p>
        </w:tc>
        <w:tc>
          <w:tcPr>
            <w:tcW w:w="1170" w:type="dxa"/>
          </w:tcPr>
          <w:p w14:paraId="7173155E" w14:textId="4CC6F77C" w:rsidR="00A25A13" w:rsidRPr="00C70F81" w:rsidRDefault="00A25A13" w:rsidP="00D54398">
            <w:pPr>
              <w:rPr>
                <w:sz w:val="22"/>
                <w:szCs w:val="22"/>
              </w:rPr>
            </w:pPr>
          </w:p>
        </w:tc>
        <w:tc>
          <w:tcPr>
            <w:tcW w:w="2340" w:type="dxa"/>
          </w:tcPr>
          <w:p w14:paraId="670798C7" w14:textId="33869320" w:rsidR="00A25A13" w:rsidRPr="00C70F81" w:rsidRDefault="00A25A13" w:rsidP="00D54398">
            <w:pPr>
              <w:rPr>
                <w:sz w:val="22"/>
                <w:szCs w:val="22"/>
              </w:rPr>
            </w:pPr>
          </w:p>
        </w:tc>
      </w:tr>
      <w:tr w:rsidR="00D57436" w:rsidRPr="00C70F81" w14:paraId="6F511140" w14:textId="77777777" w:rsidTr="00C65E87">
        <w:tc>
          <w:tcPr>
            <w:tcW w:w="6858" w:type="dxa"/>
            <w:gridSpan w:val="3"/>
            <w:tcBorders>
              <w:top w:val="nil"/>
              <w:left w:val="nil"/>
              <w:bottom w:val="nil"/>
              <w:right w:val="nil"/>
            </w:tcBorders>
          </w:tcPr>
          <w:p w14:paraId="3225341A" w14:textId="77777777" w:rsidR="00D57436" w:rsidRPr="00621C9A" w:rsidRDefault="00D57436" w:rsidP="00D54398">
            <w:pPr>
              <w:rPr>
                <w:b/>
                <w:sz w:val="22"/>
                <w:szCs w:val="22"/>
              </w:rPr>
            </w:pPr>
          </w:p>
        </w:tc>
        <w:tc>
          <w:tcPr>
            <w:tcW w:w="1170" w:type="dxa"/>
            <w:tcBorders>
              <w:top w:val="single" w:sz="4" w:space="0" w:color="auto"/>
              <w:left w:val="nil"/>
              <w:bottom w:val="nil"/>
              <w:right w:val="nil"/>
            </w:tcBorders>
            <w:shd w:val="clear" w:color="auto" w:fill="auto"/>
          </w:tcPr>
          <w:p w14:paraId="584CA12F" w14:textId="77777777" w:rsidR="00D57436" w:rsidRPr="00C70F81" w:rsidRDefault="00D57436" w:rsidP="00D54398">
            <w:pPr>
              <w:rPr>
                <w:sz w:val="22"/>
                <w:szCs w:val="22"/>
              </w:rPr>
            </w:pPr>
          </w:p>
        </w:tc>
        <w:tc>
          <w:tcPr>
            <w:tcW w:w="2340" w:type="dxa"/>
            <w:tcBorders>
              <w:top w:val="single" w:sz="4" w:space="0" w:color="auto"/>
              <w:left w:val="nil"/>
              <w:bottom w:val="nil"/>
              <w:right w:val="nil"/>
            </w:tcBorders>
          </w:tcPr>
          <w:p w14:paraId="0ED07CD1" w14:textId="77777777" w:rsidR="00D57436" w:rsidRPr="00C70F81" w:rsidRDefault="00D57436" w:rsidP="00D54398">
            <w:pPr>
              <w:rPr>
                <w:sz w:val="22"/>
                <w:szCs w:val="22"/>
              </w:rPr>
            </w:pPr>
          </w:p>
        </w:tc>
      </w:tr>
      <w:tr w:rsidR="00D57436" w:rsidRPr="00C70F81" w14:paraId="1AA2460D" w14:textId="77777777" w:rsidTr="00C65E87">
        <w:tc>
          <w:tcPr>
            <w:tcW w:w="6858" w:type="dxa"/>
            <w:gridSpan w:val="3"/>
            <w:tcBorders>
              <w:top w:val="nil"/>
              <w:left w:val="nil"/>
              <w:bottom w:val="nil"/>
              <w:right w:val="nil"/>
            </w:tcBorders>
          </w:tcPr>
          <w:p w14:paraId="140FAE5A" w14:textId="77777777" w:rsidR="00D57436" w:rsidRPr="00621C9A" w:rsidRDefault="00D57436" w:rsidP="00D54398">
            <w:pPr>
              <w:rPr>
                <w:sz w:val="22"/>
                <w:szCs w:val="22"/>
              </w:rPr>
            </w:pPr>
            <w:r w:rsidRPr="00621C9A">
              <w:rPr>
                <w:b/>
                <w:sz w:val="22"/>
                <w:szCs w:val="22"/>
              </w:rPr>
              <w:t>IV.  Bill Issuance Estimates</w:t>
            </w:r>
          </w:p>
        </w:tc>
        <w:tc>
          <w:tcPr>
            <w:tcW w:w="1170" w:type="dxa"/>
            <w:tcBorders>
              <w:top w:val="nil"/>
              <w:left w:val="nil"/>
              <w:bottom w:val="single" w:sz="4" w:space="0" w:color="auto"/>
              <w:right w:val="nil"/>
            </w:tcBorders>
            <w:shd w:val="clear" w:color="auto" w:fill="auto"/>
          </w:tcPr>
          <w:p w14:paraId="38A06DF7" w14:textId="77777777" w:rsidR="00D57436" w:rsidRPr="00C70F81" w:rsidRDefault="00D57436" w:rsidP="00D54398">
            <w:pPr>
              <w:rPr>
                <w:sz w:val="22"/>
                <w:szCs w:val="22"/>
              </w:rPr>
            </w:pPr>
          </w:p>
        </w:tc>
        <w:tc>
          <w:tcPr>
            <w:tcW w:w="2340" w:type="dxa"/>
            <w:tcBorders>
              <w:top w:val="nil"/>
              <w:left w:val="nil"/>
              <w:bottom w:val="single" w:sz="4" w:space="0" w:color="auto"/>
              <w:right w:val="nil"/>
            </w:tcBorders>
          </w:tcPr>
          <w:p w14:paraId="7DA76A34" w14:textId="77777777" w:rsidR="00D57436" w:rsidRPr="00C70F81" w:rsidRDefault="00D57436" w:rsidP="00D54398">
            <w:pPr>
              <w:rPr>
                <w:sz w:val="22"/>
                <w:szCs w:val="22"/>
              </w:rPr>
            </w:pPr>
          </w:p>
        </w:tc>
      </w:tr>
      <w:tr w:rsidR="00D57436" w:rsidRPr="00C70F81" w14:paraId="259F3A64" w14:textId="77777777" w:rsidTr="00C65E87">
        <w:tc>
          <w:tcPr>
            <w:tcW w:w="828" w:type="dxa"/>
            <w:tcBorders>
              <w:top w:val="nil"/>
              <w:left w:val="nil"/>
              <w:bottom w:val="nil"/>
            </w:tcBorders>
          </w:tcPr>
          <w:p w14:paraId="5E662F9F" w14:textId="77777777" w:rsidR="00D57436" w:rsidRPr="00621C9A" w:rsidRDefault="00D57436" w:rsidP="00D54398">
            <w:pPr>
              <w:rPr>
                <w:sz w:val="22"/>
                <w:szCs w:val="22"/>
              </w:rPr>
            </w:pPr>
          </w:p>
        </w:tc>
        <w:tc>
          <w:tcPr>
            <w:tcW w:w="6030" w:type="dxa"/>
            <w:gridSpan w:val="2"/>
          </w:tcPr>
          <w:p w14:paraId="113DCADE" w14:textId="4CD4CA9A" w:rsidR="00D57436" w:rsidRPr="00621C9A" w:rsidRDefault="00EE3F44" w:rsidP="008C64C6">
            <w:pPr>
              <w:rPr>
                <w:sz w:val="22"/>
                <w:szCs w:val="22"/>
              </w:rPr>
            </w:pPr>
            <w:r>
              <w:rPr>
                <w:sz w:val="22"/>
                <w:szCs w:val="22"/>
              </w:rPr>
              <w:t xml:space="preserve">52-week bill size </w:t>
            </w:r>
            <w:r w:rsidR="008C64C6" w:rsidRPr="008C64C6">
              <w:rPr>
                <w:sz w:val="22"/>
                <w:szCs w:val="22"/>
                <w:highlight w:val="yellow"/>
              </w:rPr>
              <w:t>[upcoming months]</w:t>
            </w:r>
          </w:p>
        </w:tc>
        <w:tc>
          <w:tcPr>
            <w:tcW w:w="1170" w:type="dxa"/>
            <w:tcBorders>
              <w:top w:val="single" w:sz="4" w:space="0" w:color="auto"/>
              <w:right w:val="single" w:sz="4" w:space="0" w:color="auto"/>
            </w:tcBorders>
          </w:tcPr>
          <w:p w14:paraId="0A9C73E7" w14:textId="77777777" w:rsidR="00D57436" w:rsidRPr="00C70F81" w:rsidRDefault="00D57436" w:rsidP="00D54398">
            <w:pPr>
              <w:rPr>
                <w:sz w:val="22"/>
                <w:szCs w:val="22"/>
              </w:rPr>
            </w:pPr>
            <w:r w:rsidRPr="00C70F81">
              <w:rPr>
                <w:sz w:val="22"/>
                <w:szCs w:val="22"/>
              </w:rPr>
              <w:t xml:space="preserve">      /     </w:t>
            </w:r>
            <w:r w:rsidR="00177F0D">
              <w:rPr>
                <w:sz w:val="22"/>
                <w:szCs w:val="22"/>
              </w:rPr>
              <w:t xml:space="preserve"> /</w:t>
            </w:r>
            <w:r w:rsidRPr="00C70F81">
              <w:rPr>
                <w:sz w:val="22"/>
                <w:szCs w:val="22"/>
              </w:rPr>
              <w:t xml:space="preserve"> </w:t>
            </w:r>
          </w:p>
        </w:tc>
        <w:tc>
          <w:tcPr>
            <w:tcW w:w="2340" w:type="dxa"/>
            <w:tcBorders>
              <w:top w:val="single" w:sz="4" w:space="0" w:color="auto"/>
              <w:left w:val="single" w:sz="4" w:space="0" w:color="auto"/>
            </w:tcBorders>
          </w:tcPr>
          <w:p w14:paraId="2F1722CF" w14:textId="77777777" w:rsidR="00D57436" w:rsidRPr="00C70F81" w:rsidRDefault="00D57436" w:rsidP="00D54398">
            <w:pPr>
              <w:rPr>
                <w:sz w:val="22"/>
                <w:szCs w:val="22"/>
              </w:rPr>
            </w:pPr>
            <w:r w:rsidRPr="00C70F81">
              <w:rPr>
                <w:sz w:val="22"/>
                <w:szCs w:val="22"/>
              </w:rPr>
              <w:t xml:space="preserve">    /     /        -     /   /      </w:t>
            </w:r>
          </w:p>
        </w:tc>
      </w:tr>
      <w:tr w:rsidR="00D57436" w:rsidRPr="00C70F81" w14:paraId="05A98F53" w14:textId="77777777" w:rsidTr="00C65E87">
        <w:tc>
          <w:tcPr>
            <w:tcW w:w="828" w:type="dxa"/>
            <w:tcBorders>
              <w:top w:val="nil"/>
              <w:left w:val="nil"/>
              <w:bottom w:val="nil"/>
            </w:tcBorders>
          </w:tcPr>
          <w:p w14:paraId="688FC3FA" w14:textId="77777777" w:rsidR="00D57436" w:rsidRPr="00621C9A" w:rsidRDefault="00D57436" w:rsidP="00D54398">
            <w:pPr>
              <w:rPr>
                <w:sz w:val="22"/>
                <w:szCs w:val="22"/>
              </w:rPr>
            </w:pPr>
          </w:p>
        </w:tc>
        <w:tc>
          <w:tcPr>
            <w:tcW w:w="6030" w:type="dxa"/>
            <w:gridSpan w:val="2"/>
          </w:tcPr>
          <w:p w14:paraId="6E5E29C1" w14:textId="3FC895A1" w:rsidR="00D57436" w:rsidRPr="00621C9A" w:rsidRDefault="00D57436" w:rsidP="008C64C6">
            <w:pPr>
              <w:rPr>
                <w:sz w:val="22"/>
                <w:szCs w:val="22"/>
              </w:rPr>
            </w:pPr>
            <w:r w:rsidRPr="00621C9A">
              <w:rPr>
                <w:sz w:val="22"/>
                <w:szCs w:val="22"/>
              </w:rPr>
              <w:t xml:space="preserve">Total change in bills outstanding </w:t>
            </w:r>
            <w:r w:rsidR="00385CE1" w:rsidRPr="00621C9A">
              <w:rPr>
                <w:sz w:val="22"/>
                <w:szCs w:val="22"/>
              </w:rPr>
              <w:t xml:space="preserve"> </w:t>
            </w:r>
            <w:r w:rsidR="008C64C6" w:rsidRPr="008C64C6">
              <w:rPr>
                <w:sz w:val="22"/>
                <w:szCs w:val="22"/>
                <w:highlight w:val="yellow"/>
              </w:rPr>
              <w:t>[upcoming quarter]</w:t>
            </w:r>
            <w:r w:rsidRPr="00621C9A">
              <w:rPr>
                <w:sz w:val="22"/>
                <w:szCs w:val="22"/>
              </w:rPr>
              <w:t xml:space="preserve"> </w:t>
            </w:r>
          </w:p>
        </w:tc>
        <w:tc>
          <w:tcPr>
            <w:tcW w:w="1170" w:type="dxa"/>
          </w:tcPr>
          <w:p w14:paraId="2D74CC72" w14:textId="77777777" w:rsidR="00D57436" w:rsidRPr="00C70F81" w:rsidRDefault="00D57436" w:rsidP="00D54398">
            <w:pPr>
              <w:rPr>
                <w:sz w:val="22"/>
                <w:szCs w:val="22"/>
              </w:rPr>
            </w:pPr>
          </w:p>
        </w:tc>
        <w:tc>
          <w:tcPr>
            <w:tcW w:w="2340" w:type="dxa"/>
          </w:tcPr>
          <w:p w14:paraId="74D40AA7" w14:textId="77777777" w:rsidR="00D57436" w:rsidRPr="00C70F81" w:rsidRDefault="00D57436" w:rsidP="00D54398">
            <w:pPr>
              <w:rPr>
                <w:sz w:val="22"/>
                <w:szCs w:val="22"/>
              </w:rPr>
            </w:pPr>
            <w:r w:rsidRPr="00C70F81">
              <w:rPr>
                <w:sz w:val="22"/>
                <w:szCs w:val="22"/>
              </w:rPr>
              <w:t xml:space="preserve">              /</w:t>
            </w:r>
          </w:p>
        </w:tc>
      </w:tr>
      <w:tr w:rsidR="00D57436" w:rsidRPr="00C70F81" w14:paraId="37107EF8" w14:textId="77777777" w:rsidTr="00C65E87">
        <w:tc>
          <w:tcPr>
            <w:tcW w:w="828" w:type="dxa"/>
            <w:tcBorders>
              <w:top w:val="nil"/>
              <w:left w:val="nil"/>
              <w:bottom w:val="nil"/>
            </w:tcBorders>
          </w:tcPr>
          <w:p w14:paraId="54EC10EF" w14:textId="77777777" w:rsidR="00D57436" w:rsidRPr="00621C9A" w:rsidRDefault="00D57436" w:rsidP="00D54398">
            <w:pPr>
              <w:rPr>
                <w:sz w:val="22"/>
                <w:szCs w:val="22"/>
              </w:rPr>
            </w:pPr>
          </w:p>
        </w:tc>
        <w:tc>
          <w:tcPr>
            <w:tcW w:w="6030" w:type="dxa"/>
            <w:gridSpan w:val="2"/>
          </w:tcPr>
          <w:p w14:paraId="7F5279FC" w14:textId="6A532D16" w:rsidR="00D57436" w:rsidRPr="00621C9A" w:rsidRDefault="00D57436" w:rsidP="008C64C6">
            <w:pPr>
              <w:rPr>
                <w:sz w:val="22"/>
                <w:szCs w:val="22"/>
              </w:rPr>
            </w:pPr>
            <w:r w:rsidRPr="00621C9A">
              <w:rPr>
                <w:sz w:val="22"/>
                <w:szCs w:val="22"/>
              </w:rPr>
              <w:t xml:space="preserve">Total change in bills outstanding  FY </w:t>
            </w:r>
            <w:r w:rsidR="008C64C6" w:rsidRPr="008C64C6">
              <w:rPr>
                <w:sz w:val="22"/>
                <w:szCs w:val="22"/>
                <w:highlight w:val="yellow"/>
              </w:rPr>
              <w:t>YY [current]</w:t>
            </w:r>
          </w:p>
        </w:tc>
        <w:tc>
          <w:tcPr>
            <w:tcW w:w="1170" w:type="dxa"/>
          </w:tcPr>
          <w:p w14:paraId="1A1EBE99" w14:textId="77777777" w:rsidR="00D57436" w:rsidRPr="00C70F81" w:rsidRDefault="00D57436" w:rsidP="00D54398">
            <w:pPr>
              <w:rPr>
                <w:sz w:val="22"/>
                <w:szCs w:val="22"/>
              </w:rPr>
            </w:pPr>
            <w:r w:rsidRPr="00C70F81">
              <w:rPr>
                <w:sz w:val="22"/>
                <w:szCs w:val="22"/>
              </w:rPr>
              <w:t xml:space="preserve">        </w:t>
            </w:r>
          </w:p>
        </w:tc>
        <w:tc>
          <w:tcPr>
            <w:tcW w:w="2340" w:type="dxa"/>
          </w:tcPr>
          <w:p w14:paraId="2882A569" w14:textId="77777777" w:rsidR="00D57436" w:rsidRPr="00C70F81" w:rsidRDefault="00D57436" w:rsidP="00D54398">
            <w:pPr>
              <w:rPr>
                <w:sz w:val="22"/>
                <w:szCs w:val="22"/>
              </w:rPr>
            </w:pPr>
            <w:r w:rsidRPr="00C70F81">
              <w:rPr>
                <w:sz w:val="22"/>
                <w:szCs w:val="22"/>
              </w:rPr>
              <w:t xml:space="preserve">              /</w:t>
            </w:r>
          </w:p>
        </w:tc>
      </w:tr>
      <w:tr w:rsidR="00D57436" w:rsidRPr="00C70F81" w14:paraId="7367E1F2" w14:textId="77777777" w:rsidTr="00C65E87">
        <w:trPr>
          <w:trHeight w:val="70"/>
        </w:trPr>
        <w:tc>
          <w:tcPr>
            <w:tcW w:w="828" w:type="dxa"/>
            <w:tcBorders>
              <w:top w:val="nil"/>
              <w:left w:val="nil"/>
              <w:bottom w:val="nil"/>
            </w:tcBorders>
          </w:tcPr>
          <w:p w14:paraId="0EE3B10F" w14:textId="77777777" w:rsidR="00D57436" w:rsidRPr="00621C9A" w:rsidRDefault="00D57436" w:rsidP="00D54398">
            <w:pPr>
              <w:rPr>
                <w:sz w:val="22"/>
                <w:szCs w:val="22"/>
              </w:rPr>
            </w:pPr>
          </w:p>
        </w:tc>
        <w:tc>
          <w:tcPr>
            <w:tcW w:w="6030" w:type="dxa"/>
            <w:gridSpan w:val="2"/>
          </w:tcPr>
          <w:p w14:paraId="500C526E" w14:textId="52A4AEDB" w:rsidR="00D57436" w:rsidRPr="00621C9A" w:rsidRDefault="00D57436" w:rsidP="008C64C6">
            <w:pPr>
              <w:rPr>
                <w:sz w:val="22"/>
                <w:szCs w:val="22"/>
              </w:rPr>
            </w:pPr>
            <w:r w:rsidRPr="00621C9A">
              <w:rPr>
                <w:sz w:val="22"/>
                <w:szCs w:val="22"/>
              </w:rPr>
              <w:t xml:space="preserve">CMB issuance </w:t>
            </w:r>
            <w:r w:rsidR="00385CE1" w:rsidRPr="00621C9A">
              <w:rPr>
                <w:sz w:val="22"/>
                <w:szCs w:val="22"/>
              </w:rPr>
              <w:t xml:space="preserve"> </w:t>
            </w:r>
            <w:r w:rsidR="008C64C6" w:rsidRPr="008C64C6">
              <w:rPr>
                <w:sz w:val="22"/>
                <w:szCs w:val="22"/>
                <w:highlight w:val="yellow"/>
              </w:rPr>
              <w:t>[upcoming quarter]</w:t>
            </w:r>
            <w:r w:rsidRPr="00621C9A">
              <w:rPr>
                <w:sz w:val="22"/>
                <w:szCs w:val="22"/>
              </w:rPr>
              <w:t xml:space="preserve"> (size/date)</w:t>
            </w:r>
          </w:p>
        </w:tc>
        <w:tc>
          <w:tcPr>
            <w:tcW w:w="3510" w:type="dxa"/>
            <w:gridSpan w:val="2"/>
          </w:tcPr>
          <w:p w14:paraId="03C338D4" w14:textId="77777777" w:rsidR="00D57436" w:rsidRPr="00C70F81" w:rsidRDefault="00D57436" w:rsidP="00D54398">
            <w:pPr>
              <w:rPr>
                <w:sz w:val="22"/>
                <w:szCs w:val="22"/>
              </w:rPr>
            </w:pPr>
            <w:r w:rsidRPr="00C70F81">
              <w:rPr>
                <w:sz w:val="22"/>
                <w:szCs w:val="22"/>
              </w:rPr>
              <w:t xml:space="preserve">          /          /          /          /</w:t>
            </w:r>
          </w:p>
        </w:tc>
      </w:tr>
    </w:tbl>
    <w:p w14:paraId="7354054F" w14:textId="77777777" w:rsidR="001719B9" w:rsidRPr="00E76F40" w:rsidRDefault="001719B9" w:rsidP="00E76F40">
      <w:pPr>
        <w:pStyle w:val="ListParagraph"/>
        <w:ind w:left="0" w:right="144"/>
        <w:rPr>
          <w:b/>
          <w:sz w:val="16"/>
          <w:szCs w:val="22"/>
          <w:u w:val="single"/>
        </w:rPr>
      </w:pPr>
    </w:p>
    <w:p w14:paraId="795CA666" w14:textId="77777777" w:rsidR="00BE1F4C" w:rsidRPr="00561910" w:rsidRDefault="006F7049" w:rsidP="002E28CE">
      <w:pPr>
        <w:pStyle w:val="ListParagraph"/>
        <w:ind w:left="0" w:right="144"/>
        <w:rPr>
          <w:b/>
          <w:sz w:val="21"/>
          <w:szCs w:val="21"/>
          <w:u w:val="single"/>
        </w:rPr>
      </w:pPr>
      <w:r w:rsidRPr="00561910">
        <w:rPr>
          <w:b/>
          <w:sz w:val="21"/>
          <w:szCs w:val="21"/>
          <w:u w:val="single"/>
        </w:rPr>
        <w:t>D</w:t>
      </w:r>
      <w:r w:rsidR="008900F5" w:rsidRPr="00561910">
        <w:rPr>
          <w:b/>
          <w:sz w:val="21"/>
          <w:szCs w:val="21"/>
          <w:u w:val="single"/>
        </w:rPr>
        <w:t>iscussion Topics</w:t>
      </w:r>
    </w:p>
    <w:p w14:paraId="72689D40" w14:textId="7C516214" w:rsidR="007E0CC1" w:rsidRPr="00561910" w:rsidRDefault="00230D9D" w:rsidP="007E0CC1">
      <w:pPr>
        <w:numPr>
          <w:ilvl w:val="0"/>
          <w:numId w:val="2"/>
        </w:numPr>
        <w:rPr>
          <w:sz w:val="21"/>
          <w:szCs w:val="21"/>
        </w:rPr>
      </w:pPr>
      <w:r w:rsidRPr="00561910">
        <w:rPr>
          <w:sz w:val="21"/>
          <w:szCs w:val="21"/>
        </w:rPr>
        <w:t>Please discuss your latest economic and fiscal forecasts for FY</w:t>
      </w:r>
      <w:r w:rsidR="000A3E95">
        <w:rPr>
          <w:sz w:val="21"/>
          <w:szCs w:val="21"/>
        </w:rPr>
        <w:t xml:space="preserve"> </w:t>
      </w:r>
      <w:r w:rsidR="000A3E95" w:rsidRPr="000A3E95">
        <w:rPr>
          <w:sz w:val="21"/>
          <w:szCs w:val="21"/>
          <w:highlight w:val="yellow"/>
        </w:rPr>
        <w:t>YYYY [current]</w:t>
      </w:r>
      <w:r w:rsidR="00BE1A78" w:rsidRPr="00561910">
        <w:rPr>
          <w:sz w:val="21"/>
          <w:szCs w:val="21"/>
        </w:rPr>
        <w:t xml:space="preserve"> and FY</w:t>
      </w:r>
      <w:r w:rsidR="000A3E95">
        <w:rPr>
          <w:sz w:val="21"/>
          <w:szCs w:val="21"/>
        </w:rPr>
        <w:t xml:space="preserve"> </w:t>
      </w:r>
      <w:r w:rsidR="000A3E95" w:rsidRPr="000A3E95">
        <w:rPr>
          <w:sz w:val="21"/>
          <w:szCs w:val="21"/>
          <w:highlight w:val="yellow"/>
        </w:rPr>
        <w:t>YYYY [current + 1]</w:t>
      </w:r>
      <w:r w:rsidRPr="00561910">
        <w:rPr>
          <w:sz w:val="21"/>
          <w:szCs w:val="21"/>
        </w:rPr>
        <w:t>.  Do you believe the current financing schedule is well-suited to meet Treasury’s financing needs though the end of FY</w:t>
      </w:r>
      <w:r w:rsidR="000A3E95">
        <w:rPr>
          <w:sz w:val="21"/>
          <w:szCs w:val="21"/>
        </w:rPr>
        <w:t xml:space="preserve"> </w:t>
      </w:r>
      <w:r w:rsidR="000A3E95" w:rsidRPr="000A3E95">
        <w:rPr>
          <w:sz w:val="21"/>
          <w:szCs w:val="21"/>
          <w:highlight w:val="yellow"/>
        </w:rPr>
        <w:t>YYYY [current]</w:t>
      </w:r>
      <w:r w:rsidRPr="00561910">
        <w:rPr>
          <w:sz w:val="21"/>
          <w:szCs w:val="21"/>
        </w:rPr>
        <w:t>? FY</w:t>
      </w:r>
      <w:r w:rsidR="000A3E95">
        <w:rPr>
          <w:sz w:val="21"/>
          <w:szCs w:val="21"/>
        </w:rPr>
        <w:t xml:space="preserve"> </w:t>
      </w:r>
      <w:r w:rsidR="000A3E95" w:rsidRPr="000A3E95">
        <w:rPr>
          <w:sz w:val="21"/>
          <w:szCs w:val="21"/>
          <w:highlight w:val="yellow"/>
        </w:rPr>
        <w:t>YYYY [current + 1]</w:t>
      </w:r>
      <w:r w:rsidRPr="00561910">
        <w:rPr>
          <w:sz w:val="21"/>
          <w:szCs w:val="21"/>
        </w:rPr>
        <w:t xml:space="preserve">? </w:t>
      </w:r>
    </w:p>
    <w:p w14:paraId="32658661" w14:textId="72BB218C" w:rsidR="00BD5D23" w:rsidRPr="000A3E95" w:rsidRDefault="000A3E95" w:rsidP="00BD5D23">
      <w:pPr>
        <w:numPr>
          <w:ilvl w:val="0"/>
          <w:numId w:val="2"/>
        </w:numPr>
        <w:rPr>
          <w:sz w:val="21"/>
          <w:szCs w:val="21"/>
          <w:highlight w:val="yellow"/>
        </w:rPr>
      </w:pPr>
      <w:r w:rsidRPr="000A3E95">
        <w:rPr>
          <w:sz w:val="21"/>
          <w:szCs w:val="21"/>
          <w:highlight w:val="yellow"/>
        </w:rPr>
        <w:t>[Additional question for discussion at dealer meetings.]</w:t>
      </w:r>
    </w:p>
    <w:p w14:paraId="7BE100E4" w14:textId="1002FBF6" w:rsidR="004A08BF" w:rsidRPr="000A3E95" w:rsidRDefault="000A3E95" w:rsidP="00561910">
      <w:pPr>
        <w:numPr>
          <w:ilvl w:val="0"/>
          <w:numId w:val="2"/>
        </w:numPr>
        <w:rPr>
          <w:rFonts w:eastAsiaTheme="minorHAnsi"/>
          <w:highlight w:val="yellow"/>
        </w:rPr>
      </w:pPr>
      <w:r w:rsidRPr="000A3E95">
        <w:rPr>
          <w:sz w:val="21"/>
          <w:szCs w:val="21"/>
          <w:highlight w:val="yellow"/>
        </w:rPr>
        <w:t>[Additional question for discussion at dealer meetings.]</w:t>
      </w:r>
    </w:p>
    <w:p w14:paraId="01EC19E0" w14:textId="77777777" w:rsidR="00AE7A6C" w:rsidRDefault="00AE7A6C" w:rsidP="00E871CB">
      <w:pPr>
        <w:ind w:left="720"/>
        <w:rPr>
          <w:sz w:val="21"/>
          <w:szCs w:val="21"/>
        </w:rPr>
      </w:pPr>
    </w:p>
    <w:p w14:paraId="5D88C8D5" w14:textId="77777777" w:rsidR="000A3E95" w:rsidRDefault="000A3E95" w:rsidP="00E871CB">
      <w:pPr>
        <w:rPr>
          <w:b/>
          <w:sz w:val="21"/>
          <w:szCs w:val="21"/>
          <w:u w:val="single"/>
        </w:rPr>
      </w:pPr>
    </w:p>
    <w:p w14:paraId="59A96158" w14:textId="77777777" w:rsidR="00AE7A6C" w:rsidRPr="00097505" w:rsidRDefault="00097505" w:rsidP="00E871CB">
      <w:pPr>
        <w:rPr>
          <w:b/>
          <w:sz w:val="21"/>
          <w:szCs w:val="21"/>
          <w:u w:val="single"/>
        </w:rPr>
      </w:pPr>
      <w:r w:rsidRPr="00097505">
        <w:rPr>
          <w:b/>
          <w:sz w:val="21"/>
          <w:szCs w:val="21"/>
          <w:u w:val="single"/>
        </w:rPr>
        <w:lastRenderedPageBreak/>
        <w:t>Part</w:t>
      </w:r>
      <w:r w:rsidR="00AE7A6C" w:rsidRPr="00097505">
        <w:rPr>
          <w:b/>
          <w:sz w:val="21"/>
          <w:szCs w:val="21"/>
          <w:u w:val="single"/>
        </w:rPr>
        <w:t xml:space="preserve"> 2</w:t>
      </w:r>
      <w:r>
        <w:rPr>
          <w:b/>
          <w:sz w:val="21"/>
          <w:szCs w:val="21"/>
          <w:u w:val="single"/>
        </w:rPr>
        <w:t>:</w:t>
      </w:r>
    </w:p>
    <w:p w14:paraId="520844F0" w14:textId="77777777" w:rsidR="00AE7A6C" w:rsidRDefault="00AE7A6C" w:rsidP="00E871CB">
      <w:pPr>
        <w:rPr>
          <w:sz w:val="21"/>
          <w:szCs w:val="21"/>
        </w:rPr>
      </w:pPr>
    </w:p>
    <w:p w14:paraId="22497F1C" w14:textId="77777777" w:rsidR="002C40C0" w:rsidRDefault="00EA264C" w:rsidP="00E871CB">
      <w:pPr>
        <w:rPr>
          <w:sz w:val="21"/>
          <w:szCs w:val="21"/>
        </w:rPr>
      </w:pPr>
      <w:r>
        <w:rPr>
          <w:sz w:val="21"/>
          <w:szCs w:val="21"/>
        </w:rPr>
        <w:t>Given your expectations for the borrowing needs over the next three fiscal years (as presented in question 1)</w:t>
      </w:r>
      <w:r w:rsidR="007A3A2B">
        <w:rPr>
          <w:sz w:val="21"/>
          <w:szCs w:val="21"/>
        </w:rPr>
        <w:t>,</w:t>
      </w:r>
      <w:r>
        <w:rPr>
          <w:sz w:val="21"/>
          <w:szCs w:val="21"/>
        </w:rPr>
        <w:t xml:space="preserve"> </w:t>
      </w:r>
      <w:r w:rsidR="00AE7A6C">
        <w:rPr>
          <w:sz w:val="21"/>
          <w:szCs w:val="21"/>
        </w:rPr>
        <w:t xml:space="preserve">Treasury would like your </w:t>
      </w:r>
      <w:r w:rsidR="000767C2">
        <w:rPr>
          <w:sz w:val="21"/>
          <w:szCs w:val="21"/>
        </w:rPr>
        <w:t>expectations for</w:t>
      </w:r>
      <w:r w:rsidR="002C40C0">
        <w:rPr>
          <w:sz w:val="21"/>
          <w:szCs w:val="21"/>
        </w:rPr>
        <w:t>:</w:t>
      </w:r>
    </w:p>
    <w:p w14:paraId="789E196E" w14:textId="225BB4C3" w:rsidR="002C40C0" w:rsidRDefault="00BC2AEE" w:rsidP="002C40C0">
      <w:pPr>
        <w:ind w:left="720"/>
        <w:rPr>
          <w:sz w:val="21"/>
          <w:szCs w:val="21"/>
        </w:rPr>
      </w:pPr>
      <w:r>
        <w:rPr>
          <w:sz w:val="21"/>
          <w:szCs w:val="21"/>
        </w:rPr>
        <w:t>1</w:t>
      </w:r>
      <w:r w:rsidR="007A3A2B">
        <w:rPr>
          <w:sz w:val="21"/>
          <w:szCs w:val="21"/>
        </w:rPr>
        <w:t>.</w:t>
      </w:r>
      <w:r w:rsidR="000927D7">
        <w:rPr>
          <w:sz w:val="21"/>
          <w:szCs w:val="21"/>
        </w:rPr>
        <w:t xml:space="preserve"> A</w:t>
      </w:r>
      <w:r>
        <w:rPr>
          <w:sz w:val="21"/>
          <w:szCs w:val="21"/>
        </w:rPr>
        <w:t>uction</w:t>
      </w:r>
      <w:r w:rsidR="000767C2">
        <w:rPr>
          <w:sz w:val="21"/>
          <w:szCs w:val="21"/>
        </w:rPr>
        <w:t xml:space="preserve"> </w:t>
      </w:r>
      <w:r>
        <w:rPr>
          <w:sz w:val="21"/>
          <w:szCs w:val="21"/>
        </w:rPr>
        <w:t>s</w:t>
      </w:r>
      <w:r w:rsidR="000927D7">
        <w:rPr>
          <w:sz w:val="21"/>
          <w:szCs w:val="21"/>
        </w:rPr>
        <w:t>izes ($bn</w:t>
      </w:r>
      <w:r w:rsidR="000767C2">
        <w:rPr>
          <w:sz w:val="21"/>
          <w:szCs w:val="21"/>
        </w:rPr>
        <w:t>)</w:t>
      </w:r>
      <w:r>
        <w:rPr>
          <w:sz w:val="21"/>
          <w:szCs w:val="21"/>
        </w:rPr>
        <w:t xml:space="preserve"> in all tenors by the end of FY</w:t>
      </w:r>
      <w:r w:rsidR="000A3E95">
        <w:rPr>
          <w:sz w:val="21"/>
          <w:szCs w:val="21"/>
        </w:rPr>
        <w:t xml:space="preserve"> </w:t>
      </w:r>
      <w:r w:rsidR="000A3E95" w:rsidRPr="000A3E95">
        <w:rPr>
          <w:sz w:val="21"/>
          <w:szCs w:val="21"/>
          <w:highlight w:val="yellow"/>
        </w:rPr>
        <w:t>YY [current]</w:t>
      </w:r>
      <w:r w:rsidR="00EA264C">
        <w:rPr>
          <w:sz w:val="21"/>
          <w:szCs w:val="21"/>
        </w:rPr>
        <w:t>, FY</w:t>
      </w:r>
      <w:r w:rsidR="000A3E95">
        <w:rPr>
          <w:sz w:val="21"/>
          <w:szCs w:val="21"/>
        </w:rPr>
        <w:t xml:space="preserve"> </w:t>
      </w:r>
      <w:r w:rsidR="000A3E95" w:rsidRPr="000A3E95">
        <w:rPr>
          <w:sz w:val="21"/>
          <w:szCs w:val="21"/>
          <w:highlight w:val="yellow"/>
        </w:rPr>
        <w:t>YY [current + 1]</w:t>
      </w:r>
      <w:r w:rsidR="000A3E95">
        <w:rPr>
          <w:sz w:val="21"/>
          <w:szCs w:val="21"/>
        </w:rPr>
        <w:t>,</w:t>
      </w:r>
      <w:r w:rsidR="00EA264C">
        <w:rPr>
          <w:sz w:val="21"/>
          <w:szCs w:val="21"/>
        </w:rPr>
        <w:t xml:space="preserve"> and FY</w:t>
      </w:r>
      <w:r w:rsidR="000A3E95">
        <w:rPr>
          <w:sz w:val="21"/>
          <w:szCs w:val="21"/>
        </w:rPr>
        <w:t xml:space="preserve"> </w:t>
      </w:r>
      <w:r w:rsidR="000A3E95" w:rsidRPr="000A3E95">
        <w:rPr>
          <w:sz w:val="21"/>
          <w:szCs w:val="21"/>
          <w:highlight w:val="yellow"/>
        </w:rPr>
        <w:t>YY [current + 2]</w:t>
      </w:r>
      <w:r w:rsidR="00EA264C">
        <w:rPr>
          <w:sz w:val="21"/>
          <w:szCs w:val="21"/>
        </w:rPr>
        <w:t>,</w:t>
      </w:r>
      <w:r w:rsidR="00605132">
        <w:rPr>
          <w:sz w:val="21"/>
          <w:szCs w:val="21"/>
        </w:rPr>
        <w:t xml:space="preserve"> </w:t>
      </w:r>
      <w:r>
        <w:rPr>
          <w:sz w:val="21"/>
          <w:szCs w:val="21"/>
        </w:rPr>
        <w:t xml:space="preserve">and </w:t>
      </w:r>
    </w:p>
    <w:p w14:paraId="64427D01" w14:textId="2EAA094B" w:rsidR="00E871CB" w:rsidRDefault="00BC2AEE" w:rsidP="002C40C0">
      <w:pPr>
        <w:ind w:left="720"/>
        <w:rPr>
          <w:sz w:val="21"/>
          <w:szCs w:val="21"/>
        </w:rPr>
      </w:pPr>
      <w:r>
        <w:rPr>
          <w:sz w:val="21"/>
          <w:szCs w:val="21"/>
        </w:rPr>
        <w:t>2</w:t>
      </w:r>
      <w:r w:rsidR="007A3A2B">
        <w:rPr>
          <w:sz w:val="21"/>
          <w:szCs w:val="21"/>
        </w:rPr>
        <w:t>.</w:t>
      </w:r>
      <w:r>
        <w:rPr>
          <w:sz w:val="21"/>
          <w:szCs w:val="21"/>
        </w:rPr>
        <w:t xml:space="preserve"> </w:t>
      </w:r>
      <w:r w:rsidR="000927D7">
        <w:rPr>
          <w:sz w:val="21"/>
          <w:szCs w:val="21"/>
        </w:rPr>
        <w:t>A</w:t>
      </w:r>
      <w:r w:rsidR="00AE7A6C">
        <w:rPr>
          <w:sz w:val="21"/>
          <w:szCs w:val="21"/>
        </w:rPr>
        <w:t>uction size</w:t>
      </w:r>
      <w:r w:rsidR="000767C2">
        <w:rPr>
          <w:sz w:val="21"/>
          <w:szCs w:val="21"/>
        </w:rPr>
        <w:t xml:space="preserve"> ranges</w:t>
      </w:r>
      <w:r w:rsidR="00AE7A6C">
        <w:rPr>
          <w:sz w:val="21"/>
          <w:szCs w:val="21"/>
        </w:rPr>
        <w:t xml:space="preserve"> </w:t>
      </w:r>
      <w:r w:rsidR="000927D7">
        <w:rPr>
          <w:sz w:val="21"/>
          <w:szCs w:val="21"/>
        </w:rPr>
        <w:t>($bn</w:t>
      </w:r>
      <w:r w:rsidR="00D96EE2">
        <w:rPr>
          <w:sz w:val="21"/>
          <w:szCs w:val="21"/>
        </w:rPr>
        <w:t xml:space="preserve">) </w:t>
      </w:r>
      <w:r w:rsidR="00EA264C">
        <w:rPr>
          <w:sz w:val="21"/>
          <w:szCs w:val="21"/>
        </w:rPr>
        <w:t xml:space="preserve">that would not surprise you </w:t>
      </w:r>
      <w:r w:rsidR="00E871CB">
        <w:rPr>
          <w:sz w:val="21"/>
          <w:szCs w:val="21"/>
        </w:rPr>
        <w:t>across all tenors</w:t>
      </w:r>
      <w:r w:rsidR="00AE7A6C">
        <w:rPr>
          <w:sz w:val="21"/>
          <w:szCs w:val="21"/>
        </w:rPr>
        <w:t xml:space="preserve"> </w:t>
      </w:r>
      <w:r w:rsidR="000927D7">
        <w:rPr>
          <w:sz w:val="21"/>
          <w:szCs w:val="21"/>
        </w:rPr>
        <w:t xml:space="preserve">by the end of </w:t>
      </w:r>
      <w:r w:rsidR="000A3E95" w:rsidRPr="000A3E95">
        <w:rPr>
          <w:sz w:val="21"/>
          <w:szCs w:val="21"/>
          <w:highlight w:val="yellow"/>
        </w:rPr>
        <w:t>[same fiscal years as 1.]</w:t>
      </w:r>
      <w:r w:rsidR="000A3E95">
        <w:rPr>
          <w:sz w:val="21"/>
          <w:szCs w:val="21"/>
        </w:rPr>
        <w:t>.</w:t>
      </w:r>
    </w:p>
    <w:p w14:paraId="65C28CDE" w14:textId="77777777" w:rsidR="00570734" w:rsidRDefault="00570734" w:rsidP="002C40C0">
      <w:pPr>
        <w:ind w:left="720"/>
        <w:rPr>
          <w:sz w:val="21"/>
          <w:szCs w:val="21"/>
        </w:rPr>
      </w:pPr>
    </w:p>
    <w:p w14:paraId="73A30400" w14:textId="6B8995E2" w:rsidR="00570734" w:rsidRDefault="00570734" w:rsidP="00570734">
      <w:pPr>
        <w:rPr>
          <w:sz w:val="21"/>
          <w:szCs w:val="21"/>
        </w:rPr>
      </w:pPr>
      <w:r>
        <w:rPr>
          <w:sz w:val="21"/>
          <w:szCs w:val="21"/>
        </w:rPr>
        <w:t xml:space="preserve">Auction size </w:t>
      </w:r>
      <w:r w:rsidR="00EE44F2">
        <w:rPr>
          <w:sz w:val="21"/>
          <w:szCs w:val="21"/>
        </w:rPr>
        <w:t>e</w:t>
      </w:r>
      <w:r>
        <w:rPr>
          <w:sz w:val="21"/>
          <w:szCs w:val="21"/>
        </w:rPr>
        <w:t>stimates should take into account the amount needed to address SOMA redemptions</w:t>
      </w:r>
      <w:r w:rsidR="000927D7">
        <w:rPr>
          <w:sz w:val="21"/>
          <w:szCs w:val="21"/>
        </w:rPr>
        <w:t xml:space="preserve"> of Treasury securities</w:t>
      </w:r>
      <w:r>
        <w:rPr>
          <w:sz w:val="21"/>
          <w:szCs w:val="21"/>
        </w:rPr>
        <w:t>.</w:t>
      </w:r>
    </w:p>
    <w:p w14:paraId="4FDD6EA8" w14:textId="77777777" w:rsidR="00E871CB" w:rsidRDefault="00E871CB" w:rsidP="00E871CB">
      <w:pPr>
        <w:rPr>
          <w:sz w:val="21"/>
          <w:szCs w:val="21"/>
        </w:rPr>
      </w:pPr>
    </w:p>
    <w:tbl>
      <w:tblPr>
        <w:tblStyle w:val="TableGrid"/>
        <w:tblW w:w="0" w:type="auto"/>
        <w:jc w:val="center"/>
        <w:tblLayout w:type="fixed"/>
        <w:tblLook w:val="04A0" w:firstRow="1" w:lastRow="0" w:firstColumn="1" w:lastColumn="0" w:noHBand="0" w:noVBand="1"/>
      </w:tblPr>
      <w:tblGrid>
        <w:gridCol w:w="1670"/>
        <w:gridCol w:w="1260"/>
        <w:gridCol w:w="1440"/>
        <w:gridCol w:w="1260"/>
        <w:gridCol w:w="1260"/>
        <w:gridCol w:w="1260"/>
        <w:gridCol w:w="1530"/>
      </w:tblGrid>
      <w:tr w:rsidR="004D1285" w14:paraId="01702DCC" w14:textId="77777777" w:rsidTr="004D1285">
        <w:trPr>
          <w:jc w:val="center"/>
        </w:trPr>
        <w:tc>
          <w:tcPr>
            <w:tcW w:w="1670" w:type="dxa"/>
            <w:vAlign w:val="center"/>
          </w:tcPr>
          <w:p w14:paraId="4C3357F7" w14:textId="77777777" w:rsidR="004D1285" w:rsidRDefault="004D1285" w:rsidP="00D96EE2">
            <w:pPr>
              <w:jc w:val="center"/>
              <w:rPr>
                <w:sz w:val="20"/>
                <w:szCs w:val="20"/>
              </w:rPr>
            </w:pPr>
            <w:r w:rsidRPr="00D96EE2">
              <w:rPr>
                <w:sz w:val="20"/>
                <w:szCs w:val="20"/>
              </w:rPr>
              <w:t>Tenor</w:t>
            </w:r>
          </w:p>
          <w:p w14:paraId="7CEB0A34" w14:textId="68C270C6" w:rsidR="000A3E95" w:rsidRPr="00D96EE2" w:rsidRDefault="000A3E95" w:rsidP="00D96EE2">
            <w:pPr>
              <w:jc w:val="center"/>
              <w:rPr>
                <w:sz w:val="20"/>
                <w:szCs w:val="20"/>
              </w:rPr>
            </w:pPr>
            <w:r w:rsidRPr="000A3E95">
              <w:rPr>
                <w:sz w:val="20"/>
                <w:szCs w:val="20"/>
                <w:highlight w:val="yellow"/>
              </w:rPr>
              <w:t>[List current securities]</w:t>
            </w:r>
          </w:p>
        </w:tc>
        <w:tc>
          <w:tcPr>
            <w:tcW w:w="1260" w:type="dxa"/>
            <w:vAlign w:val="center"/>
          </w:tcPr>
          <w:p w14:paraId="072F280D" w14:textId="77777777" w:rsidR="004D1285" w:rsidRPr="00D96EE2" w:rsidRDefault="004D1285" w:rsidP="00D96EE2">
            <w:pPr>
              <w:jc w:val="center"/>
              <w:rPr>
                <w:sz w:val="20"/>
                <w:szCs w:val="20"/>
              </w:rPr>
            </w:pPr>
            <w:r w:rsidRPr="00D96EE2">
              <w:rPr>
                <w:sz w:val="20"/>
                <w:szCs w:val="20"/>
              </w:rPr>
              <w:t>Size Expectation for</w:t>
            </w:r>
          </w:p>
          <w:p w14:paraId="37203970" w14:textId="77777777" w:rsidR="004D1285" w:rsidRDefault="004D1285" w:rsidP="00D96EE2">
            <w:pPr>
              <w:jc w:val="center"/>
              <w:rPr>
                <w:sz w:val="20"/>
                <w:szCs w:val="20"/>
              </w:rPr>
            </w:pPr>
            <w:r w:rsidRPr="00D96EE2">
              <w:rPr>
                <w:sz w:val="20"/>
                <w:szCs w:val="20"/>
              </w:rPr>
              <w:t xml:space="preserve">FY18 </w:t>
            </w:r>
          </w:p>
          <w:p w14:paraId="6A4858CC" w14:textId="77777777" w:rsidR="004D1285" w:rsidRPr="00D96EE2" w:rsidRDefault="004D1285" w:rsidP="007A3A2B">
            <w:pPr>
              <w:jc w:val="center"/>
              <w:rPr>
                <w:sz w:val="20"/>
                <w:szCs w:val="20"/>
              </w:rPr>
            </w:pPr>
            <w:r w:rsidRPr="00D96EE2">
              <w:rPr>
                <w:sz w:val="20"/>
                <w:szCs w:val="20"/>
              </w:rPr>
              <w:t>Year</w:t>
            </w:r>
            <w:r>
              <w:rPr>
                <w:sz w:val="20"/>
                <w:szCs w:val="20"/>
              </w:rPr>
              <w:t>-</w:t>
            </w:r>
            <w:r w:rsidRPr="00D96EE2">
              <w:rPr>
                <w:sz w:val="20"/>
                <w:szCs w:val="20"/>
              </w:rPr>
              <w:t>end</w:t>
            </w:r>
          </w:p>
        </w:tc>
        <w:tc>
          <w:tcPr>
            <w:tcW w:w="1440" w:type="dxa"/>
            <w:vAlign w:val="center"/>
          </w:tcPr>
          <w:p w14:paraId="74838583" w14:textId="77777777" w:rsidR="004D1285" w:rsidRPr="00D96EE2" w:rsidRDefault="004D1285" w:rsidP="00D96EE2">
            <w:pPr>
              <w:jc w:val="center"/>
              <w:rPr>
                <w:sz w:val="20"/>
                <w:szCs w:val="20"/>
              </w:rPr>
            </w:pPr>
            <w:r w:rsidRPr="00D96EE2">
              <w:rPr>
                <w:sz w:val="20"/>
                <w:szCs w:val="20"/>
              </w:rPr>
              <w:t>Range that would not surprise you</w:t>
            </w:r>
            <w:r>
              <w:rPr>
                <w:sz w:val="20"/>
                <w:szCs w:val="20"/>
              </w:rPr>
              <w:t>:</w:t>
            </w:r>
          </w:p>
          <w:p w14:paraId="74A5F902" w14:textId="77777777" w:rsidR="004D1285" w:rsidRPr="00D96EE2" w:rsidRDefault="004D1285" w:rsidP="00D96EE2">
            <w:pPr>
              <w:jc w:val="center"/>
              <w:rPr>
                <w:sz w:val="20"/>
                <w:szCs w:val="20"/>
              </w:rPr>
            </w:pPr>
            <w:r w:rsidRPr="00D96EE2">
              <w:rPr>
                <w:sz w:val="20"/>
                <w:szCs w:val="20"/>
              </w:rPr>
              <w:t>Low/High</w:t>
            </w:r>
          </w:p>
        </w:tc>
        <w:tc>
          <w:tcPr>
            <w:tcW w:w="1260" w:type="dxa"/>
            <w:vAlign w:val="center"/>
          </w:tcPr>
          <w:p w14:paraId="1E4EBCD6" w14:textId="77777777" w:rsidR="004D1285" w:rsidRPr="00D96EE2" w:rsidRDefault="004D1285" w:rsidP="00D96EE2">
            <w:pPr>
              <w:jc w:val="center"/>
              <w:rPr>
                <w:sz w:val="20"/>
                <w:szCs w:val="20"/>
              </w:rPr>
            </w:pPr>
            <w:r w:rsidRPr="00D96EE2">
              <w:rPr>
                <w:sz w:val="20"/>
                <w:szCs w:val="20"/>
              </w:rPr>
              <w:t>Size Expectation for</w:t>
            </w:r>
          </w:p>
          <w:p w14:paraId="4DAF2200" w14:textId="77777777" w:rsidR="004D1285" w:rsidRDefault="004D1285" w:rsidP="00D96EE2">
            <w:pPr>
              <w:jc w:val="center"/>
              <w:rPr>
                <w:sz w:val="20"/>
                <w:szCs w:val="20"/>
              </w:rPr>
            </w:pPr>
            <w:r w:rsidRPr="00D96EE2">
              <w:rPr>
                <w:sz w:val="20"/>
                <w:szCs w:val="20"/>
              </w:rPr>
              <w:t>FY1</w:t>
            </w:r>
            <w:r>
              <w:rPr>
                <w:sz w:val="20"/>
                <w:szCs w:val="20"/>
              </w:rPr>
              <w:t>9</w:t>
            </w:r>
            <w:r w:rsidRPr="00D96EE2">
              <w:rPr>
                <w:sz w:val="20"/>
                <w:szCs w:val="20"/>
              </w:rPr>
              <w:t xml:space="preserve"> </w:t>
            </w:r>
          </w:p>
          <w:p w14:paraId="52B8460C" w14:textId="77777777" w:rsidR="004D1285" w:rsidRPr="00D96EE2" w:rsidRDefault="004D1285" w:rsidP="007A3A2B">
            <w:pPr>
              <w:jc w:val="center"/>
              <w:rPr>
                <w:sz w:val="20"/>
                <w:szCs w:val="20"/>
                <w:highlight w:val="yellow"/>
              </w:rPr>
            </w:pPr>
            <w:r w:rsidRPr="00D96EE2">
              <w:rPr>
                <w:sz w:val="20"/>
                <w:szCs w:val="20"/>
              </w:rPr>
              <w:t>Year</w:t>
            </w:r>
            <w:r>
              <w:rPr>
                <w:sz w:val="20"/>
                <w:szCs w:val="20"/>
              </w:rPr>
              <w:t>-</w:t>
            </w:r>
            <w:r w:rsidRPr="00D96EE2">
              <w:rPr>
                <w:sz w:val="20"/>
                <w:szCs w:val="20"/>
              </w:rPr>
              <w:t>end</w:t>
            </w:r>
          </w:p>
        </w:tc>
        <w:tc>
          <w:tcPr>
            <w:tcW w:w="1260" w:type="dxa"/>
            <w:vAlign w:val="center"/>
          </w:tcPr>
          <w:p w14:paraId="0264115B" w14:textId="77777777" w:rsidR="004D1285" w:rsidRPr="00D96EE2" w:rsidRDefault="004D1285" w:rsidP="00D96EE2">
            <w:pPr>
              <w:jc w:val="center"/>
              <w:rPr>
                <w:sz w:val="20"/>
                <w:szCs w:val="20"/>
              </w:rPr>
            </w:pPr>
            <w:r w:rsidRPr="00D96EE2">
              <w:rPr>
                <w:sz w:val="20"/>
                <w:szCs w:val="20"/>
              </w:rPr>
              <w:t>Range that would not surprise you</w:t>
            </w:r>
            <w:r>
              <w:rPr>
                <w:sz w:val="20"/>
                <w:szCs w:val="20"/>
              </w:rPr>
              <w:t>:</w:t>
            </w:r>
          </w:p>
          <w:p w14:paraId="53FA7F1D" w14:textId="77777777" w:rsidR="004D1285" w:rsidRPr="00605132" w:rsidRDefault="004D1285" w:rsidP="00D96EE2">
            <w:pPr>
              <w:jc w:val="center"/>
              <w:rPr>
                <w:sz w:val="21"/>
                <w:szCs w:val="21"/>
                <w:highlight w:val="yellow"/>
              </w:rPr>
            </w:pPr>
            <w:r w:rsidRPr="00D96EE2">
              <w:rPr>
                <w:sz w:val="20"/>
                <w:szCs w:val="20"/>
              </w:rPr>
              <w:t>Low/High</w:t>
            </w:r>
          </w:p>
        </w:tc>
        <w:tc>
          <w:tcPr>
            <w:tcW w:w="1260" w:type="dxa"/>
            <w:vAlign w:val="center"/>
          </w:tcPr>
          <w:p w14:paraId="4BEB5813" w14:textId="77777777" w:rsidR="004D1285" w:rsidRPr="00D96EE2" w:rsidRDefault="004D1285" w:rsidP="00D96EE2">
            <w:pPr>
              <w:jc w:val="center"/>
              <w:rPr>
                <w:sz w:val="20"/>
                <w:szCs w:val="20"/>
              </w:rPr>
            </w:pPr>
            <w:r w:rsidRPr="00D96EE2">
              <w:rPr>
                <w:sz w:val="20"/>
                <w:szCs w:val="20"/>
              </w:rPr>
              <w:t>Size Expectation for</w:t>
            </w:r>
          </w:p>
          <w:p w14:paraId="1E9EA7E5" w14:textId="77777777" w:rsidR="004D1285" w:rsidRDefault="004D1285" w:rsidP="00D96EE2">
            <w:pPr>
              <w:jc w:val="center"/>
              <w:rPr>
                <w:sz w:val="20"/>
                <w:szCs w:val="20"/>
              </w:rPr>
            </w:pPr>
            <w:r w:rsidRPr="00D96EE2">
              <w:rPr>
                <w:sz w:val="20"/>
                <w:szCs w:val="20"/>
              </w:rPr>
              <w:t>FY</w:t>
            </w:r>
            <w:r>
              <w:rPr>
                <w:sz w:val="20"/>
                <w:szCs w:val="20"/>
              </w:rPr>
              <w:t>20</w:t>
            </w:r>
            <w:r w:rsidRPr="00D96EE2">
              <w:rPr>
                <w:sz w:val="20"/>
                <w:szCs w:val="20"/>
              </w:rPr>
              <w:t xml:space="preserve"> </w:t>
            </w:r>
          </w:p>
          <w:p w14:paraId="479BD19C" w14:textId="77777777" w:rsidR="004D1285" w:rsidRPr="00605132" w:rsidRDefault="004D1285" w:rsidP="007A3A2B">
            <w:pPr>
              <w:jc w:val="center"/>
              <w:rPr>
                <w:sz w:val="21"/>
                <w:szCs w:val="21"/>
                <w:highlight w:val="yellow"/>
              </w:rPr>
            </w:pPr>
            <w:r w:rsidRPr="00D96EE2">
              <w:rPr>
                <w:sz w:val="20"/>
                <w:szCs w:val="20"/>
              </w:rPr>
              <w:t>Year</w:t>
            </w:r>
            <w:r>
              <w:rPr>
                <w:sz w:val="20"/>
                <w:szCs w:val="20"/>
              </w:rPr>
              <w:t>-</w:t>
            </w:r>
            <w:r w:rsidRPr="00D96EE2">
              <w:rPr>
                <w:sz w:val="20"/>
                <w:szCs w:val="20"/>
              </w:rPr>
              <w:t>end</w:t>
            </w:r>
          </w:p>
        </w:tc>
        <w:tc>
          <w:tcPr>
            <w:tcW w:w="1530" w:type="dxa"/>
            <w:vAlign w:val="center"/>
          </w:tcPr>
          <w:p w14:paraId="3FC52A35" w14:textId="77777777" w:rsidR="004D1285" w:rsidRPr="00D96EE2" w:rsidRDefault="004D1285" w:rsidP="00D96EE2">
            <w:pPr>
              <w:jc w:val="center"/>
              <w:rPr>
                <w:sz w:val="20"/>
                <w:szCs w:val="20"/>
              </w:rPr>
            </w:pPr>
            <w:r w:rsidRPr="00D96EE2">
              <w:rPr>
                <w:sz w:val="20"/>
                <w:szCs w:val="20"/>
              </w:rPr>
              <w:t>Range that would not surprise you</w:t>
            </w:r>
            <w:r>
              <w:rPr>
                <w:sz w:val="20"/>
                <w:szCs w:val="20"/>
              </w:rPr>
              <w:t>:</w:t>
            </w:r>
          </w:p>
          <w:p w14:paraId="09F1199C" w14:textId="77777777" w:rsidR="004D1285" w:rsidRDefault="004D1285" w:rsidP="00D96EE2">
            <w:pPr>
              <w:jc w:val="center"/>
              <w:rPr>
                <w:sz w:val="21"/>
                <w:szCs w:val="21"/>
              </w:rPr>
            </w:pPr>
            <w:r w:rsidRPr="00D96EE2">
              <w:rPr>
                <w:sz w:val="20"/>
                <w:szCs w:val="20"/>
              </w:rPr>
              <w:t>Low/High</w:t>
            </w:r>
          </w:p>
        </w:tc>
      </w:tr>
      <w:tr w:rsidR="004D1285" w14:paraId="1F1C739E" w14:textId="77777777" w:rsidTr="004D1285">
        <w:trPr>
          <w:jc w:val="center"/>
        </w:trPr>
        <w:tc>
          <w:tcPr>
            <w:tcW w:w="1670" w:type="dxa"/>
            <w:shd w:val="clear" w:color="auto" w:fill="B8CCE4" w:themeFill="accent1" w:themeFillTint="66"/>
          </w:tcPr>
          <w:p w14:paraId="4799A075" w14:textId="77777777" w:rsidR="004D1285" w:rsidRPr="00D96EE2" w:rsidRDefault="004D1285" w:rsidP="00605132">
            <w:pPr>
              <w:jc w:val="center"/>
              <w:rPr>
                <w:b/>
                <w:sz w:val="18"/>
                <w:szCs w:val="18"/>
              </w:rPr>
            </w:pPr>
            <w:r w:rsidRPr="00D96EE2">
              <w:rPr>
                <w:b/>
                <w:sz w:val="18"/>
                <w:szCs w:val="18"/>
              </w:rPr>
              <w:t>Nominals</w:t>
            </w:r>
          </w:p>
        </w:tc>
        <w:tc>
          <w:tcPr>
            <w:tcW w:w="1260" w:type="dxa"/>
            <w:shd w:val="clear" w:color="auto" w:fill="B8CCE4" w:themeFill="accent1" w:themeFillTint="66"/>
          </w:tcPr>
          <w:p w14:paraId="7C513160" w14:textId="77777777" w:rsidR="004D1285" w:rsidRDefault="004D1285" w:rsidP="00E871CB">
            <w:pPr>
              <w:rPr>
                <w:sz w:val="21"/>
                <w:szCs w:val="21"/>
              </w:rPr>
            </w:pPr>
          </w:p>
        </w:tc>
        <w:tc>
          <w:tcPr>
            <w:tcW w:w="1440" w:type="dxa"/>
            <w:shd w:val="clear" w:color="auto" w:fill="B8CCE4" w:themeFill="accent1" w:themeFillTint="66"/>
          </w:tcPr>
          <w:p w14:paraId="51E025E3" w14:textId="77777777" w:rsidR="004D1285" w:rsidRDefault="004D1285" w:rsidP="00AE7A6C">
            <w:pPr>
              <w:rPr>
                <w:sz w:val="21"/>
                <w:szCs w:val="21"/>
              </w:rPr>
            </w:pPr>
          </w:p>
        </w:tc>
        <w:tc>
          <w:tcPr>
            <w:tcW w:w="1260" w:type="dxa"/>
            <w:shd w:val="clear" w:color="auto" w:fill="B8CCE4" w:themeFill="accent1" w:themeFillTint="66"/>
          </w:tcPr>
          <w:p w14:paraId="1F1A529A" w14:textId="77777777" w:rsidR="004D1285" w:rsidRPr="00605132" w:rsidRDefault="004D1285" w:rsidP="00AE7A6C">
            <w:pPr>
              <w:rPr>
                <w:sz w:val="21"/>
                <w:szCs w:val="21"/>
                <w:highlight w:val="yellow"/>
              </w:rPr>
            </w:pPr>
          </w:p>
        </w:tc>
        <w:tc>
          <w:tcPr>
            <w:tcW w:w="1260" w:type="dxa"/>
            <w:shd w:val="clear" w:color="auto" w:fill="B8CCE4" w:themeFill="accent1" w:themeFillTint="66"/>
          </w:tcPr>
          <w:p w14:paraId="4FDFAF51" w14:textId="77777777" w:rsidR="004D1285" w:rsidRPr="00605132" w:rsidRDefault="004D1285" w:rsidP="00AE7A6C">
            <w:pPr>
              <w:rPr>
                <w:sz w:val="21"/>
                <w:szCs w:val="21"/>
                <w:highlight w:val="yellow"/>
              </w:rPr>
            </w:pPr>
          </w:p>
        </w:tc>
        <w:tc>
          <w:tcPr>
            <w:tcW w:w="1260" w:type="dxa"/>
            <w:shd w:val="clear" w:color="auto" w:fill="B8CCE4" w:themeFill="accent1" w:themeFillTint="66"/>
          </w:tcPr>
          <w:p w14:paraId="53559A4E" w14:textId="77777777" w:rsidR="004D1285" w:rsidRPr="00605132" w:rsidRDefault="004D1285" w:rsidP="00AE7A6C">
            <w:pPr>
              <w:rPr>
                <w:sz w:val="21"/>
                <w:szCs w:val="21"/>
                <w:highlight w:val="yellow"/>
              </w:rPr>
            </w:pPr>
          </w:p>
        </w:tc>
        <w:tc>
          <w:tcPr>
            <w:tcW w:w="1530" w:type="dxa"/>
            <w:shd w:val="clear" w:color="auto" w:fill="B8CCE4" w:themeFill="accent1" w:themeFillTint="66"/>
          </w:tcPr>
          <w:p w14:paraId="160D810C" w14:textId="77777777" w:rsidR="004D1285" w:rsidRPr="00605132" w:rsidRDefault="004D1285" w:rsidP="00AE7A6C">
            <w:pPr>
              <w:rPr>
                <w:sz w:val="21"/>
                <w:szCs w:val="21"/>
                <w:highlight w:val="yellow"/>
              </w:rPr>
            </w:pPr>
          </w:p>
        </w:tc>
      </w:tr>
      <w:tr w:rsidR="004D1285" w14:paraId="0ECB89C5" w14:textId="77777777" w:rsidTr="004D1285">
        <w:trPr>
          <w:jc w:val="center"/>
        </w:trPr>
        <w:tc>
          <w:tcPr>
            <w:tcW w:w="1670" w:type="dxa"/>
          </w:tcPr>
          <w:p w14:paraId="218C281A" w14:textId="77777777" w:rsidR="004D1285" w:rsidRPr="00D96EE2" w:rsidRDefault="004D1285" w:rsidP="00605132">
            <w:pPr>
              <w:jc w:val="center"/>
              <w:rPr>
                <w:sz w:val="18"/>
                <w:szCs w:val="18"/>
              </w:rPr>
            </w:pPr>
            <w:r w:rsidRPr="00D96EE2">
              <w:rPr>
                <w:sz w:val="18"/>
                <w:szCs w:val="18"/>
              </w:rPr>
              <w:t>2-year</w:t>
            </w:r>
          </w:p>
        </w:tc>
        <w:tc>
          <w:tcPr>
            <w:tcW w:w="1260" w:type="dxa"/>
          </w:tcPr>
          <w:p w14:paraId="1143796D" w14:textId="77777777" w:rsidR="004D1285" w:rsidRDefault="004D1285" w:rsidP="00AE7A6C">
            <w:pPr>
              <w:rPr>
                <w:sz w:val="21"/>
                <w:szCs w:val="21"/>
              </w:rPr>
            </w:pPr>
          </w:p>
        </w:tc>
        <w:tc>
          <w:tcPr>
            <w:tcW w:w="1440" w:type="dxa"/>
          </w:tcPr>
          <w:p w14:paraId="6495F395" w14:textId="77777777" w:rsidR="004D1285" w:rsidRDefault="004D1285" w:rsidP="007931D9">
            <w:pPr>
              <w:jc w:val="center"/>
              <w:rPr>
                <w:sz w:val="21"/>
                <w:szCs w:val="21"/>
              </w:rPr>
            </w:pPr>
            <w:r>
              <w:rPr>
                <w:sz w:val="21"/>
                <w:szCs w:val="21"/>
              </w:rPr>
              <w:t>/</w:t>
            </w:r>
          </w:p>
        </w:tc>
        <w:tc>
          <w:tcPr>
            <w:tcW w:w="1260" w:type="dxa"/>
          </w:tcPr>
          <w:p w14:paraId="67AE82AD" w14:textId="77777777" w:rsidR="004D1285" w:rsidRDefault="004D1285" w:rsidP="00AE7A6C">
            <w:pPr>
              <w:rPr>
                <w:sz w:val="21"/>
                <w:szCs w:val="21"/>
              </w:rPr>
            </w:pPr>
          </w:p>
        </w:tc>
        <w:tc>
          <w:tcPr>
            <w:tcW w:w="1260" w:type="dxa"/>
          </w:tcPr>
          <w:p w14:paraId="2CD8281A" w14:textId="77777777" w:rsidR="004D1285" w:rsidRDefault="004D1285" w:rsidP="007931D9">
            <w:pPr>
              <w:jc w:val="center"/>
              <w:rPr>
                <w:sz w:val="21"/>
                <w:szCs w:val="21"/>
              </w:rPr>
            </w:pPr>
            <w:r>
              <w:rPr>
                <w:sz w:val="21"/>
                <w:szCs w:val="21"/>
              </w:rPr>
              <w:t>/</w:t>
            </w:r>
          </w:p>
        </w:tc>
        <w:tc>
          <w:tcPr>
            <w:tcW w:w="1260" w:type="dxa"/>
          </w:tcPr>
          <w:p w14:paraId="7B872D95" w14:textId="77777777" w:rsidR="004D1285" w:rsidRDefault="004D1285" w:rsidP="00AE7A6C">
            <w:pPr>
              <w:rPr>
                <w:sz w:val="21"/>
                <w:szCs w:val="21"/>
              </w:rPr>
            </w:pPr>
          </w:p>
        </w:tc>
        <w:tc>
          <w:tcPr>
            <w:tcW w:w="1530" w:type="dxa"/>
          </w:tcPr>
          <w:p w14:paraId="0BEC998E" w14:textId="77777777" w:rsidR="004D1285" w:rsidRDefault="004D1285" w:rsidP="007931D9">
            <w:pPr>
              <w:jc w:val="center"/>
              <w:rPr>
                <w:sz w:val="21"/>
                <w:szCs w:val="21"/>
              </w:rPr>
            </w:pPr>
            <w:r>
              <w:rPr>
                <w:sz w:val="21"/>
                <w:szCs w:val="21"/>
              </w:rPr>
              <w:t>/</w:t>
            </w:r>
          </w:p>
        </w:tc>
      </w:tr>
      <w:tr w:rsidR="004D1285" w14:paraId="5436B4F5" w14:textId="77777777" w:rsidTr="004D1285">
        <w:trPr>
          <w:jc w:val="center"/>
        </w:trPr>
        <w:tc>
          <w:tcPr>
            <w:tcW w:w="1670" w:type="dxa"/>
          </w:tcPr>
          <w:p w14:paraId="31711259" w14:textId="77777777" w:rsidR="004D1285" w:rsidRPr="00D96EE2" w:rsidRDefault="004D1285" w:rsidP="00605132">
            <w:pPr>
              <w:jc w:val="center"/>
              <w:rPr>
                <w:sz w:val="18"/>
                <w:szCs w:val="18"/>
              </w:rPr>
            </w:pPr>
            <w:r w:rsidRPr="00D96EE2">
              <w:rPr>
                <w:sz w:val="18"/>
                <w:szCs w:val="18"/>
              </w:rPr>
              <w:t>3-year</w:t>
            </w:r>
          </w:p>
        </w:tc>
        <w:tc>
          <w:tcPr>
            <w:tcW w:w="1260" w:type="dxa"/>
          </w:tcPr>
          <w:p w14:paraId="10D93AE2" w14:textId="77777777" w:rsidR="004D1285" w:rsidRDefault="004D1285" w:rsidP="00AE7A6C">
            <w:pPr>
              <w:rPr>
                <w:sz w:val="21"/>
                <w:szCs w:val="21"/>
              </w:rPr>
            </w:pPr>
          </w:p>
        </w:tc>
        <w:tc>
          <w:tcPr>
            <w:tcW w:w="1440" w:type="dxa"/>
          </w:tcPr>
          <w:p w14:paraId="78B4B0C3" w14:textId="77777777" w:rsidR="004D1285" w:rsidRDefault="004D1285" w:rsidP="007931D9">
            <w:pPr>
              <w:jc w:val="center"/>
              <w:rPr>
                <w:sz w:val="21"/>
                <w:szCs w:val="21"/>
              </w:rPr>
            </w:pPr>
            <w:r>
              <w:rPr>
                <w:sz w:val="21"/>
                <w:szCs w:val="21"/>
              </w:rPr>
              <w:t>/</w:t>
            </w:r>
          </w:p>
        </w:tc>
        <w:tc>
          <w:tcPr>
            <w:tcW w:w="1260" w:type="dxa"/>
          </w:tcPr>
          <w:p w14:paraId="46EE1FAD" w14:textId="77777777" w:rsidR="004D1285" w:rsidRDefault="004D1285" w:rsidP="00AE7A6C">
            <w:pPr>
              <w:rPr>
                <w:sz w:val="21"/>
                <w:szCs w:val="21"/>
              </w:rPr>
            </w:pPr>
          </w:p>
        </w:tc>
        <w:tc>
          <w:tcPr>
            <w:tcW w:w="1260" w:type="dxa"/>
          </w:tcPr>
          <w:p w14:paraId="38420CFC" w14:textId="77777777" w:rsidR="004D1285" w:rsidRDefault="004D1285" w:rsidP="007931D9">
            <w:pPr>
              <w:jc w:val="center"/>
              <w:rPr>
                <w:sz w:val="21"/>
                <w:szCs w:val="21"/>
              </w:rPr>
            </w:pPr>
            <w:r>
              <w:rPr>
                <w:sz w:val="21"/>
                <w:szCs w:val="21"/>
              </w:rPr>
              <w:t>/</w:t>
            </w:r>
          </w:p>
        </w:tc>
        <w:tc>
          <w:tcPr>
            <w:tcW w:w="1260" w:type="dxa"/>
          </w:tcPr>
          <w:p w14:paraId="58F8F0EB" w14:textId="77777777" w:rsidR="004D1285" w:rsidRDefault="004D1285" w:rsidP="00AE7A6C">
            <w:pPr>
              <w:rPr>
                <w:sz w:val="21"/>
                <w:szCs w:val="21"/>
              </w:rPr>
            </w:pPr>
          </w:p>
        </w:tc>
        <w:tc>
          <w:tcPr>
            <w:tcW w:w="1530" w:type="dxa"/>
          </w:tcPr>
          <w:p w14:paraId="613F4B40" w14:textId="77777777" w:rsidR="004D1285" w:rsidRDefault="004D1285" w:rsidP="007931D9">
            <w:pPr>
              <w:jc w:val="center"/>
              <w:rPr>
                <w:sz w:val="21"/>
                <w:szCs w:val="21"/>
              </w:rPr>
            </w:pPr>
            <w:r>
              <w:rPr>
                <w:sz w:val="21"/>
                <w:szCs w:val="21"/>
              </w:rPr>
              <w:t>/</w:t>
            </w:r>
          </w:p>
        </w:tc>
      </w:tr>
      <w:tr w:rsidR="004D1285" w14:paraId="216BE2CF" w14:textId="77777777" w:rsidTr="004D1285">
        <w:trPr>
          <w:jc w:val="center"/>
        </w:trPr>
        <w:tc>
          <w:tcPr>
            <w:tcW w:w="1670" w:type="dxa"/>
          </w:tcPr>
          <w:p w14:paraId="51C90B9F" w14:textId="77777777" w:rsidR="004D1285" w:rsidRPr="00D96EE2" w:rsidRDefault="004D1285" w:rsidP="00605132">
            <w:pPr>
              <w:jc w:val="center"/>
              <w:rPr>
                <w:sz w:val="18"/>
                <w:szCs w:val="18"/>
              </w:rPr>
            </w:pPr>
            <w:r w:rsidRPr="00D96EE2">
              <w:rPr>
                <w:sz w:val="18"/>
                <w:szCs w:val="18"/>
              </w:rPr>
              <w:t>5-year</w:t>
            </w:r>
          </w:p>
        </w:tc>
        <w:tc>
          <w:tcPr>
            <w:tcW w:w="1260" w:type="dxa"/>
          </w:tcPr>
          <w:p w14:paraId="4226013B" w14:textId="77777777" w:rsidR="004D1285" w:rsidRDefault="004D1285" w:rsidP="00AE7A6C">
            <w:pPr>
              <w:rPr>
                <w:sz w:val="21"/>
                <w:szCs w:val="21"/>
              </w:rPr>
            </w:pPr>
          </w:p>
        </w:tc>
        <w:tc>
          <w:tcPr>
            <w:tcW w:w="1440" w:type="dxa"/>
          </w:tcPr>
          <w:p w14:paraId="470A0176" w14:textId="77777777" w:rsidR="004D1285" w:rsidRDefault="004D1285" w:rsidP="007931D9">
            <w:pPr>
              <w:jc w:val="center"/>
              <w:rPr>
                <w:sz w:val="21"/>
                <w:szCs w:val="21"/>
              </w:rPr>
            </w:pPr>
            <w:r>
              <w:rPr>
                <w:sz w:val="21"/>
                <w:szCs w:val="21"/>
              </w:rPr>
              <w:t>/</w:t>
            </w:r>
          </w:p>
        </w:tc>
        <w:tc>
          <w:tcPr>
            <w:tcW w:w="1260" w:type="dxa"/>
          </w:tcPr>
          <w:p w14:paraId="65E6DB37" w14:textId="77777777" w:rsidR="004D1285" w:rsidRDefault="004D1285" w:rsidP="00AE7A6C">
            <w:pPr>
              <w:rPr>
                <w:sz w:val="21"/>
                <w:szCs w:val="21"/>
              </w:rPr>
            </w:pPr>
          </w:p>
        </w:tc>
        <w:tc>
          <w:tcPr>
            <w:tcW w:w="1260" w:type="dxa"/>
          </w:tcPr>
          <w:p w14:paraId="6474B488" w14:textId="77777777" w:rsidR="004D1285" w:rsidRDefault="004D1285" w:rsidP="007931D9">
            <w:pPr>
              <w:jc w:val="center"/>
              <w:rPr>
                <w:sz w:val="21"/>
                <w:szCs w:val="21"/>
              </w:rPr>
            </w:pPr>
            <w:r>
              <w:rPr>
                <w:sz w:val="21"/>
                <w:szCs w:val="21"/>
              </w:rPr>
              <w:t>/</w:t>
            </w:r>
          </w:p>
        </w:tc>
        <w:tc>
          <w:tcPr>
            <w:tcW w:w="1260" w:type="dxa"/>
          </w:tcPr>
          <w:p w14:paraId="6C3EA04B" w14:textId="77777777" w:rsidR="004D1285" w:rsidRDefault="004D1285" w:rsidP="00AE7A6C">
            <w:pPr>
              <w:rPr>
                <w:sz w:val="21"/>
                <w:szCs w:val="21"/>
              </w:rPr>
            </w:pPr>
          </w:p>
        </w:tc>
        <w:tc>
          <w:tcPr>
            <w:tcW w:w="1530" w:type="dxa"/>
          </w:tcPr>
          <w:p w14:paraId="399843C0" w14:textId="77777777" w:rsidR="004D1285" w:rsidRDefault="004D1285" w:rsidP="007931D9">
            <w:pPr>
              <w:jc w:val="center"/>
              <w:rPr>
                <w:sz w:val="21"/>
                <w:szCs w:val="21"/>
              </w:rPr>
            </w:pPr>
            <w:r>
              <w:rPr>
                <w:sz w:val="21"/>
                <w:szCs w:val="21"/>
              </w:rPr>
              <w:t>/</w:t>
            </w:r>
          </w:p>
        </w:tc>
      </w:tr>
      <w:tr w:rsidR="004D1285" w14:paraId="485186F9" w14:textId="77777777" w:rsidTr="004D1285">
        <w:trPr>
          <w:jc w:val="center"/>
        </w:trPr>
        <w:tc>
          <w:tcPr>
            <w:tcW w:w="1670" w:type="dxa"/>
          </w:tcPr>
          <w:p w14:paraId="42E8F2AB" w14:textId="77777777" w:rsidR="004D1285" w:rsidRPr="00D96EE2" w:rsidRDefault="004D1285" w:rsidP="00605132">
            <w:pPr>
              <w:jc w:val="center"/>
              <w:rPr>
                <w:sz w:val="18"/>
                <w:szCs w:val="18"/>
              </w:rPr>
            </w:pPr>
            <w:r w:rsidRPr="00D96EE2">
              <w:rPr>
                <w:sz w:val="18"/>
                <w:szCs w:val="18"/>
              </w:rPr>
              <w:t>7-year</w:t>
            </w:r>
          </w:p>
        </w:tc>
        <w:tc>
          <w:tcPr>
            <w:tcW w:w="1260" w:type="dxa"/>
          </w:tcPr>
          <w:p w14:paraId="41B14F05" w14:textId="77777777" w:rsidR="004D1285" w:rsidRDefault="004D1285" w:rsidP="00AE7A6C">
            <w:pPr>
              <w:rPr>
                <w:sz w:val="21"/>
                <w:szCs w:val="21"/>
              </w:rPr>
            </w:pPr>
          </w:p>
        </w:tc>
        <w:tc>
          <w:tcPr>
            <w:tcW w:w="1440" w:type="dxa"/>
          </w:tcPr>
          <w:p w14:paraId="4A31478F" w14:textId="77777777" w:rsidR="004D1285" w:rsidRDefault="004D1285" w:rsidP="007931D9">
            <w:pPr>
              <w:jc w:val="center"/>
              <w:rPr>
                <w:sz w:val="21"/>
                <w:szCs w:val="21"/>
              </w:rPr>
            </w:pPr>
            <w:r>
              <w:rPr>
                <w:sz w:val="21"/>
                <w:szCs w:val="21"/>
              </w:rPr>
              <w:t>/</w:t>
            </w:r>
          </w:p>
        </w:tc>
        <w:tc>
          <w:tcPr>
            <w:tcW w:w="1260" w:type="dxa"/>
          </w:tcPr>
          <w:p w14:paraId="5F93237F" w14:textId="77777777" w:rsidR="004D1285" w:rsidRDefault="004D1285" w:rsidP="00AE7A6C">
            <w:pPr>
              <w:rPr>
                <w:sz w:val="21"/>
                <w:szCs w:val="21"/>
              </w:rPr>
            </w:pPr>
          </w:p>
        </w:tc>
        <w:tc>
          <w:tcPr>
            <w:tcW w:w="1260" w:type="dxa"/>
          </w:tcPr>
          <w:p w14:paraId="2AC5A437" w14:textId="77777777" w:rsidR="004D1285" w:rsidRDefault="004D1285" w:rsidP="007931D9">
            <w:pPr>
              <w:jc w:val="center"/>
              <w:rPr>
                <w:sz w:val="21"/>
                <w:szCs w:val="21"/>
              </w:rPr>
            </w:pPr>
            <w:r>
              <w:rPr>
                <w:sz w:val="21"/>
                <w:szCs w:val="21"/>
              </w:rPr>
              <w:t>/</w:t>
            </w:r>
          </w:p>
        </w:tc>
        <w:tc>
          <w:tcPr>
            <w:tcW w:w="1260" w:type="dxa"/>
          </w:tcPr>
          <w:p w14:paraId="7B39AD17" w14:textId="77777777" w:rsidR="004D1285" w:rsidRDefault="004D1285" w:rsidP="00AE7A6C">
            <w:pPr>
              <w:rPr>
                <w:sz w:val="21"/>
                <w:szCs w:val="21"/>
              </w:rPr>
            </w:pPr>
          </w:p>
        </w:tc>
        <w:tc>
          <w:tcPr>
            <w:tcW w:w="1530" w:type="dxa"/>
          </w:tcPr>
          <w:p w14:paraId="6EB246C3" w14:textId="77777777" w:rsidR="004D1285" w:rsidRDefault="004D1285" w:rsidP="007931D9">
            <w:pPr>
              <w:jc w:val="center"/>
              <w:rPr>
                <w:sz w:val="21"/>
                <w:szCs w:val="21"/>
              </w:rPr>
            </w:pPr>
            <w:r>
              <w:rPr>
                <w:sz w:val="21"/>
                <w:szCs w:val="21"/>
              </w:rPr>
              <w:t>/</w:t>
            </w:r>
          </w:p>
        </w:tc>
      </w:tr>
      <w:tr w:rsidR="004D1285" w14:paraId="7CF0F7AD" w14:textId="77777777" w:rsidTr="004D1285">
        <w:trPr>
          <w:jc w:val="center"/>
        </w:trPr>
        <w:tc>
          <w:tcPr>
            <w:tcW w:w="1670" w:type="dxa"/>
          </w:tcPr>
          <w:p w14:paraId="7AB3DA17" w14:textId="77777777" w:rsidR="004D1285" w:rsidRPr="00D96EE2" w:rsidRDefault="004D1285" w:rsidP="00605132">
            <w:pPr>
              <w:jc w:val="center"/>
              <w:rPr>
                <w:sz w:val="18"/>
                <w:szCs w:val="18"/>
              </w:rPr>
            </w:pPr>
            <w:r w:rsidRPr="00D96EE2">
              <w:rPr>
                <w:sz w:val="18"/>
                <w:szCs w:val="18"/>
              </w:rPr>
              <w:t>10-year (new)</w:t>
            </w:r>
          </w:p>
        </w:tc>
        <w:tc>
          <w:tcPr>
            <w:tcW w:w="1260" w:type="dxa"/>
          </w:tcPr>
          <w:p w14:paraId="27076A13" w14:textId="77777777" w:rsidR="004D1285" w:rsidRDefault="004D1285" w:rsidP="00AE7A6C">
            <w:pPr>
              <w:rPr>
                <w:sz w:val="21"/>
                <w:szCs w:val="21"/>
              </w:rPr>
            </w:pPr>
          </w:p>
        </w:tc>
        <w:tc>
          <w:tcPr>
            <w:tcW w:w="1440" w:type="dxa"/>
          </w:tcPr>
          <w:p w14:paraId="627D19B1" w14:textId="77777777" w:rsidR="004D1285" w:rsidRDefault="004D1285" w:rsidP="007931D9">
            <w:pPr>
              <w:jc w:val="center"/>
              <w:rPr>
                <w:sz w:val="21"/>
                <w:szCs w:val="21"/>
              </w:rPr>
            </w:pPr>
            <w:r>
              <w:rPr>
                <w:sz w:val="21"/>
                <w:szCs w:val="21"/>
              </w:rPr>
              <w:t>/</w:t>
            </w:r>
          </w:p>
        </w:tc>
        <w:tc>
          <w:tcPr>
            <w:tcW w:w="1260" w:type="dxa"/>
          </w:tcPr>
          <w:p w14:paraId="744F7D61" w14:textId="77777777" w:rsidR="004D1285" w:rsidRDefault="004D1285" w:rsidP="00AE7A6C">
            <w:pPr>
              <w:rPr>
                <w:sz w:val="21"/>
                <w:szCs w:val="21"/>
              </w:rPr>
            </w:pPr>
          </w:p>
        </w:tc>
        <w:tc>
          <w:tcPr>
            <w:tcW w:w="1260" w:type="dxa"/>
          </w:tcPr>
          <w:p w14:paraId="2889E987" w14:textId="77777777" w:rsidR="004D1285" w:rsidRDefault="004D1285" w:rsidP="007931D9">
            <w:pPr>
              <w:jc w:val="center"/>
              <w:rPr>
                <w:sz w:val="21"/>
                <w:szCs w:val="21"/>
              </w:rPr>
            </w:pPr>
            <w:r>
              <w:rPr>
                <w:sz w:val="21"/>
                <w:szCs w:val="21"/>
              </w:rPr>
              <w:t>/</w:t>
            </w:r>
          </w:p>
        </w:tc>
        <w:tc>
          <w:tcPr>
            <w:tcW w:w="1260" w:type="dxa"/>
          </w:tcPr>
          <w:p w14:paraId="4DD09A1D" w14:textId="77777777" w:rsidR="004D1285" w:rsidRDefault="004D1285" w:rsidP="00AE7A6C">
            <w:pPr>
              <w:rPr>
                <w:sz w:val="21"/>
                <w:szCs w:val="21"/>
              </w:rPr>
            </w:pPr>
          </w:p>
        </w:tc>
        <w:tc>
          <w:tcPr>
            <w:tcW w:w="1530" w:type="dxa"/>
          </w:tcPr>
          <w:p w14:paraId="56B51B9B" w14:textId="77777777" w:rsidR="004D1285" w:rsidRDefault="004D1285" w:rsidP="007931D9">
            <w:pPr>
              <w:jc w:val="center"/>
              <w:rPr>
                <w:sz w:val="21"/>
                <w:szCs w:val="21"/>
              </w:rPr>
            </w:pPr>
            <w:r>
              <w:rPr>
                <w:sz w:val="21"/>
                <w:szCs w:val="21"/>
              </w:rPr>
              <w:t>/</w:t>
            </w:r>
          </w:p>
        </w:tc>
      </w:tr>
      <w:tr w:rsidR="004D1285" w14:paraId="14813978" w14:textId="77777777" w:rsidTr="004D1285">
        <w:trPr>
          <w:jc w:val="center"/>
        </w:trPr>
        <w:tc>
          <w:tcPr>
            <w:tcW w:w="1670" w:type="dxa"/>
          </w:tcPr>
          <w:p w14:paraId="435A970B" w14:textId="77777777" w:rsidR="004D1285" w:rsidRPr="00D96EE2" w:rsidRDefault="004D1285" w:rsidP="00605132">
            <w:pPr>
              <w:jc w:val="center"/>
              <w:rPr>
                <w:sz w:val="18"/>
                <w:szCs w:val="18"/>
              </w:rPr>
            </w:pPr>
            <w:r w:rsidRPr="00D96EE2">
              <w:rPr>
                <w:sz w:val="18"/>
                <w:szCs w:val="18"/>
              </w:rPr>
              <w:t>10-year  (reop)</w:t>
            </w:r>
          </w:p>
        </w:tc>
        <w:tc>
          <w:tcPr>
            <w:tcW w:w="1260" w:type="dxa"/>
          </w:tcPr>
          <w:p w14:paraId="005732E8" w14:textId="77777777" w:rsidR="004D1285" w:rsidRDefault="004D1285" w:rsidP="00AE7A6C">
            <w:pPr>
              <w:rPr>
                <w:sz w:val="21"/>
                <w:szCs w:val="21"/>
              </w:rPr>
            </w:pPr>
          </w:p>
        </w:tc>
        <w:tc>
          <w:tcPr>
            <w:tcW w:w="1440" w:type="dxa"/>
          </w:tcPr>
          <w:p w14:paraId="2C488DD4" w14:textId="77777777" w:rsidR="004D1285" w:rsidRDefault="004D1285" w:rsidP="007931D9">
            <w:pPr>
              <w:jc w:val="center"/>
              <w:rPr>
                <w:sz w:val="21"/>
                <w:szCs w:val="21"/>
              </w:rPr>
            </w:pPr>
            <w:r>
              <w:rPr>
                <w:sz w:val="21"/>
                <w:szCs w:val="21"/>
              </w:rPr>
              <w:t>/</w:t>
            </w:r>
          </w:p>
        </w:tc>
        <w:tc>
          <w:tcPr>
            <w:tcW w:w="1260" w:type="dxa"/>
          </w:tcPr>
          <w:p w14:paraId="7675C38C" w14:textId="77777777" w:rsidR="004D1285" w:rsidRDefault="004D1285" w:rsidP="00AE7A6C">
            <w:pPr>
              <w:rPr>
                <w:sz w:val="21"/>
                <w:szCs w:val="21"/>
              </w:rPr>
            </w:pPr>
          </w:p>
        </w:tc>
        <w:tc>
          <w:tcPr>
            <w:tcW w:w="1260" w:type="dxa"/>
          </w:tcPr>
          <w:p w14:paraId="1EDBCFAB" w14:textId="77777777" w:rsidR="004D1285" w:rsidRDefault="004D1285" w:rsidP="007931D9">
            <w:pPr>
              <w:jc w:val="center"/>
              <w:rPr>
                <w:sz w:val="21"/>
                <w:szCs w:val="21"/>
              </w:rPr>
            </w:pPr>
            <w:r>
              <w:rPr>
                <w:sz w:val="21"/>
                <w:szCs w:val="21"/>
              </w:rPr>
              <w:t>/</w:t>
            </w:r>
          </w:p>
        </w:tc>
        <w:tc>
          <w:tcPr>
            <w:tcW w:w="1260" w:type="dxa"/>
          </w:tcPr>
          <w:p w14:paraId="71BA85B2" w14:textId="77777777" w:rsidR="004D1285" w:rsidRDefault="004D1285" w:rsidP="00AE7A6C">
            <w:pPr>
              <w:rPr>
                <w:sz w:val="21"/>
                <w:szCs w:val="21"/>
              </w:rPr>
            </w:pPr>
          </w:p>
        </w:tc>
        <w:tc>
          <w:tcPr>
            <w:tcW w:w="1530" w:type="dxa"/>
          </w:tcPr>
          <w:p w14:paraId="1BA7EECF" w14:textId="77777777" w:rsidR="004D1285" w:rsidRDefault="004D1285" w:rsidP="007931D9">
            <w:pPr>
              <w:jc w:val="center"/>
              <w:rPr>
                <w:sz w:val="21"/>
                <w:szCs w:val="21"/>
              </w:rPr>
            </w:pPr>
            <w:r>
              <w:rPr>
                <w:sz w:val="21"/>
                <w:szCs w:val="21"/>
              </w:rPr>
              <w:t>/</w:t>
            </w:r>
          </w:p>
        </w:tc>
      </w:tr>
      <w:tr w:rsidR="004D1285" w14:paraId="1F593BC2" w14:textId="77777777" w:rsidTr="004D1285">
        <w:trPr>
          <w:jc w:val="center"/>
        </w:trPr>
        <w:tc>
          <w:tcPr>
            <w:tcW w:w="1670" w:type="dxa"/>
          </w:tcPr>
          <w:p w14:paraId="3C8661E6" w14:textId="77777777" w:rsidR="004D1285" w:rsidRPr="00D96EE2" w:rsidRDefault="004D1285" w:rsidP="00605132">
            <w:pPr>
              <w:jc w:val="center"/>
              <w:rPr>
                <w:sz w:val="18"/>
                <w:szCs w:val="18"/>
              </w:rPr>
            </w:pPr>
            <w:r w:rsidRPr="00D96EE2">
              <w:rPr>
                <w:sz w:val="18"/>
                <w:szCs w:val="18"/>
              </w:rPr>
              <w:t>30-year (new)</w:t>
            </w:r>
          </w:p>
        </w:tc>
        <w:tc>
          <w:tcPr>
            <w:tcW w:w="1260" w:type="dxa"/>
          </w:tcPr>
          <w:p w14:paraId="18AE6A2E" w14:textId="77777777" w:rsidR="004D1285" w:rsidRDefault="004D1285" w:rsidP="00AE7A6C">
            <w:pPr>
              <w:rPr>
                <w:sz w:val="21"/>
                <w:szCs w:val="21"/>
              </w:rPr>
            </w:pPr>
          </w:p>
        </w:tc>
        <w:tc>
          <w:tcPr>
            <w:tcW w:w="1440" w:type="dxa"/>
          </w:tcPr>
          <w:p w14:paraId="762C2A12" w14:textId="77777777" w:rsidR="004D1285" w:rsidRDefault="004D1285" w:rsidP="007931D9">
            <w:pPr>
              <w:jc w:val="center"/>
              <w:rPr>
                <w:sz w:val="21"/>
                <w:szCs w:val="21"/>
              </w:rPr>
            </w:pPr>
            <w:r>
              <w:rPr>
                <w:sz w:val="21"/>
                <w:szCs w:val="21"/>
              </w:rPr>
              <w:t>/</w:t>
            </w:r>
          </w:p>
        </w:tc>
        <w:tc>
          <w:tcPr>
            <w:tcW w:w="1260" w:type="dxa"/>
          </w:tcPr>
          <w:p w14:paraId="1756D9B2" w14:textId="77777777" w:rsidR="004D1285" w:rsidRDefault="004D1285" w:rsidP="00AE7A6C">
            <w:pPr>
              <w:rPr>
                <w:sz w:val="21"/>
                <w:szCs w:val="21"/>
              </w:rPr>
            </w:pPr>
          </w:p>
        </w:tc>
        <w:tc>
          <w:tcPr>
            <w:tcW w:w="1260" w:type="dxa"/>
          </w:tcPr>
          <w:p w14:paraId="79EA3D87" w14:textId="77777777" w:rsidR="004D1285" w:rsidRDefault="004D1285" w:rsidP="007931D9">
            <w:pPr>
              <w:jc w:val="center"/>
              <w:rPr>
                <w:sz w:val="21"/>
                <w:szCs w:val="21"/>
              </w:rPr>
            </w:pPr>
            <w:r>
              <w:rPr>
                <w:sz w:val="21"/>
                <w:szCs w:val="21"/>
              </w:rPr>
              <w:t>/</w:t>
            </w:r>
          </w:p>
        </w:tc>
        <w:tc>
          <w:tcPr>
            <w:tcW w:w="1260" w:type="dxa"/>
          </w:tcPr>
          <w:p w14:paraId="2A476944" w14:textId="77777777" w:rsidR="004D1285" w:rsidRDefault="004D1285" w:rsidP="00AE7A6C">
            <w:pPr>
              <w:rPr>
                <w:sz w:val="21"/>
                <w:szCs w:val="21"/>
              </w:rPr>
            </w:pPr>
          </w:p>
        </w:tc>
        <w:tc>
          <w:tcPr>
            <w:tcW w:w="1530" w:type="dxa"/>
          </w:tcPr>
          <w:p w14:paraId="109E2E0C" w14:textId="77777777" w:rsidR="004D1285" w:rsidRDefault="004D1285" w:rsidP="007931D9">
            <w:pPr>
              <w:jc w:val="center"/>
              <w:rPr>
                <w:sz w:val="21"/>
                <w:szCs w:val="21"/>
              </w:rPr>
            </w:pPr>
            <w:r>
              <w:rPr>
                <w:sz w:val="21"/>
                <w:szCs w:val="21"/>
              </w:rPr>
              <w:t>/</w:t>
            </w:r>
          </w:p>
        </w:tc>
      </w:tr>
      <w:tr w:rsidR="004D1285" w14:paraId="5C2AC7B9" w14:textId="77777777" w:rsidTr="004D1285">
        <w:trPr>
          <w:jc w:val="center"/>
        </w:trPr>
        <w:tc>
          <w:tcPr>
            <w:tcW w:w="1670" w:type="dxa"/>
          </w:tcPr>
          <w:p w14:paraId="3D563A33" w14:textId="77777777" w:rsidR="004D1285" w:rsidRPr="00D96EE2" w:rsidRDefault="004D1285" w:rsidP="00605132">
            <w:pPr>
              <w:jc w:val="center"/>
              <w:rPr>
                <w:sz w:val="18"/>
                <w:szCs w:val="18"/>
              </w:rPr>
            </w:pPr>
            <w:r w:rsidRPr="00D96EE2">
              <w:rPr>
                <w:sz w:val="18"/>
                <w:szCs w:val="18"/>
              </w:rPr>
              <w:t>30-year (reop)</w:t>
            </w:r>
          </w:p>
        </w:tc>
        <w:tc>
          <w:tcPr>
            <w:tcW w:w="1260" w:type="dxa"/>
          </w:tcPr>
          <w:p w14:paraId="10E938CD" w14:textId="77777777" w:rsidR="004D1285" w:rsidRDefault="004D1285" w:rsidP="00AE7A6C">
            <w:pPr>
              <w:rPr>
                <w:sz w:val="21"/>
                <w:szCs w:val="21"/>
              </w:rPr>
            </w:pPr>
          </w:p>
        </w:tc>
        <w:tc>
          <w:tcPr>
            <w:tcW w:w="1440" w:type="dxa"/>
          </w:tcPr>
          <w:p w14:paraId="5E34D28F" w14:textId="77777777" w:rsidR="004D1285" w:rsidRDefault="004D1285" w:rsidP="007931D9">
            <w:pPr>
              <w:jc w:val="center"/>
              <w:rPr>
                <w:sz w:val="21"/>
                <w:szCs w:val="21"/>
              </w:rPr>
            </w:pPr>
            <w:r>
              <w:rPr>
                <w:sz w:val="21"/>
                <w:szCs w:val="21"/>
              </w:rPr>
              <w:t>/</w:t>
            </w:r>
          </w:p>
        </w:tc>
        <w:tc>
          <w:tcPr>
            <w:tcW w:w="1260" w:type="dxa"/>
          </w:tcPr>
          <w:p w14:paraId="2B7E99BB" w14:textId="77777777" w:rsidR="004D1285" w:rsidRDefault="004D1285" w:rsidP="00AE7A6C">
            <w:pPr>
              <w:rPr>
                <w:sz w:val="21"/>
                <w:szCs w:val="21"/>
              </w:rPr>
            </w:pPr>
          </w:p>
        </w:tc>
        <w:tc>
          <w:tcPr>
            <w:tcW w:w="1260" w:type="dxa"/>
          </w:tcPr>
          <w:p w14:paraId="32DC7659" w14:textId="77777777" w:rsidR="004D1285" w:rsidRDefault="004D1285" w:rsidP="007931D9">
            <w:pPr>
              <w:jc w:val="center"/>
              <w:rPr>
                <w:sz w:val="21"/>
                <w:szCs w:val="21"/>
              </w:rPr>
            </w:pPr>
            <w:r>
              <w:rPr>
                <w:sz w:val="21"/>
                <w:szCs w:val="21"/>
              </w:rPr>
              <w:t>/</w:t>
            </w:r>
          </w:p>
        </w:tc>
        <w:tc>
          <w:tcPr>
            <w:tcW w:w="1260" w:type="dxa"/>
          </w:tcPr>
          <w:p w14:paraId="4EB4FEE3" w14:textId="77777777" w:rsidR="004D1285" w:rsidRDefault="004D1285" w:rsidP="00AE7A6C">
            <w:pPr>
              <w:rPr>
                <w:sz w:val="21"/>
                <w:szCs w:val="21"/>
              </w:rPr>
            </w:pPr>
          </w:p>
        </w:tc>
        <w:tc>
          <w:tcPr>
            <w:tcW w:w="1530" w:type="dxa"/>
          </w:tcPr>
          <w:p w14:paraId="10A31A0B" w14:textId="77777777" w:rsidR="004D1285" w:rsidRDefault="004D1285" w:rsidP="007931D9">
            <w:pPr>
              <w:jc w:val="center"/>
              <w:rPr>
                <w:sz w:val="21"/>
                <w:szCs w:val="21"/>
              </w:rPr>
            </w:pPr>
            <w:r>
              <w:rPr>
                <w:sz w:val="21"/>
                <w:szCs w:val="21"/>
              </w:rPr>
              <w:t>/</w:t>
            </w:r>
          </w:p>
        </w:tc>
      </w:tr>
      <w:tr w:rsidR="004D1285" w14:paraId="129CE3D0" w14:textId="77777777" w:rsidTr="004D1285">
        <w:trPr>
          <w:jc w:val="center"/>
        </w:trPr>
        <w:tc>
          <w:tcPr>
            <w:tcW w:w="1670" w:type="dxa"/>
            <w:shd w:val="clear" w:color="auto" w:fill="B8CCE4" w:themeFill="accent1" w:themeFillTint="66"/>
          </w:tcPr>
          <w:p w14:paraId="703CF918" w14:textId="77777777" w:rsidR="004D1285" w:rsidRPr="00C65E87" w:rsidRDefault="004D1285" w:rsidP="00605132">
            <w:pPr>
              <w:jc w:val="center"/>
              <w:rPr>
                <w:b/>
                <w:sz w:val="18"/>
                <w:szCs w:val="18"/>
              </w:rPr>
            </w:pPr>
            <w:r w:rsidRPr="00C65E87">
              <w:rPr>
                <w:b/>
                <w:sz w:val="18"/>
                <w:szCs w:val="18"/>
              </w:rPr>
              <w:t>TIPS</w:t>
            </w:r>
          </w:p>
        </w:tc>
        <w:tc>
          <w:tcPr>
            <w:tcW w:w="1260" w:type="dxa"/>
            <w:shd w:val="clear" w:color="auto" w:fill="B8CCE4" w:themeFill="accent1" w:themeFillTint="66"/>
          </w:tcPr>
          <w:p w14:paraId="4DCD12E6" w14:textId="77777777" w:rsidR="004D1285" w:rsidRDefault="004D1285" w:rsidP="00AE7A6C">
            <w:pPr>
              <w:rPr>
                <w:sz w:val="21"/>
                <w:szCs w:val="21"/>
              </w:rPr>
            </w:pPr>
          </w:p>
        </w:tc>
        <w:tc>
          <w:tcPr>
            <w:tcW w:w="1440" w:type="dxa"/>
            <w:shd w:val="clear" w:color="auto" w:fill="B8CCE4" w:themeFill="accent1" w:themeFillTint="66"/>
          </w:tcPr>
          <w:p w14:paraId="4F5AEAFA" w14:textId="77777777" w:rsidR="004D1285" w:rsidRDefault="004D1285" w:rsidP="007931D9">
            <w:pPr>
              <w:jc w:val="center"/>
              <w:rPr>
                <w:sz w:val="21"/>
                <w:szCs w:val="21"/>
              </w:rPr>
            </w:pPr>
          </w:p>
        </w:tc>
        <w:tc>
          <w:tcPr>
            <w:tcW w:w="1260" w:type="dxa"/>
            <w:shd w:val="clear" w:color="auto" w:fill="B8CCE4" w:themeFill="accent1" w:themeFillTint="66"/>
          </w:tcPr>
          <w:p w14:paraId="6DF56876" w14:textId="77777777" w:rsidR="004D1285" w:rsidRDefault="004D1285" w:rsidP="00AE7A6C">
            <w:pPr>
              <w:rPr>
                <w:sz w:val="21"/>
                <w:szCs w:val="21"/>
              </w:rPr>
            </w:pPr>
          </w:p>
        </w:tc>
        <w:tc>
          <w:tcPr>
            <w:tcW w:w="1260" w:type="dxa"/>
            <w:shd w:val="clear" w:color="auto" w:fill="B8CCE4" w:themeFill="accent1" w:themeFillTint="66"/>
          </w:tcPr>
          <w:p w14:paraId="7AB5696E" w14:textId="77777777" w:rsidR="004D1285" w:rsidRDefault="004D1285" w:rsidP="007931D9">
            <w:pPr>
              <w:jc w:val="center"/>
              <w:rPr>
                <w:sz w:val="21"/>
                <w:szCs w:val="21"/>
              </w:rPr>
            </w:pPr>
          </w:p>
        </w:tc>
        <w:tc>
          <w:tcPr>
            <w:tcW w:w="1260" w:type="dxa"/>
            <w:shd w:val="clear" w:color="auto" w:fill="B8CCE4" w:themeFill="accent1" w:themeFillTint="66"/>
          </w:tcPr>
          <w:p w14:paraId="1C9A96D3" w14:textId="77777777" w:rsidR="004D1285" w:rsidRDefault="004D1285" w:rsidP="00AE7A6C">
            <w:pPr>
              <w:rPr>
                <w:sz w:val="21"/>
                <w:szCs w:val="21"/>
              </w:rPr>
            </w:pPr>
          </w:p>
        </w:tc>
        <w:tc>
          <w:tcPr>
            <w:tcW w:w="1530" w:type="dxa"/>
            <w:shd w:val="clear" w:color="auto" w:fill="B8CCE4" w:themeFill="accent1" w:themeFillTint="66"/>
          </w:tcPr>
          <w:p w14:paraId="7198EBD9" w14:textId="77777777" w:rsidR="004D1285" w:rsidRDefault="004D1285" w:rsidP="007931D9">
            <w:pPr>
              <w:jc w:val="center"/>
              <w:rPr>
                <w:sz w:val="21"/>
                <w:szCs w:val="21"/>
              </w:rPr>
            </w:pPr>
          </w:p>
        </w:tc>
      </w:tr>
      <w:tr w:rsidR="004D1285" w14:paraId="54AE9FA5" w14:textId="77777777" w:rsidTr="004D1285">
        <w:trPr>
          <w:jc w:val="center"/>
        </w:trPr>
        <w:tc>
          <w:tcPr>
            <w:tcW w:w="1670" w:type="dxa"/>
          </w:tcPr>
          <w:p w14:paraId="27DC5F55" w14:textId="77777777" w:rsidR="004D1285" w:rsidRPr="00D96EE2" w:rsidRDefault="004D1285" w:rsidP="00605132">
            <w:pPr>
              <w:jc w:val="center"/>
              <w:rPr>
                <w:sz w:val="18"/>
                <w:szCs w:val="18"/>
              </w:rPr>
            </w:pPr>
            <w:r w:rsidRPr="00D96EE2">
              <w:rPr>
                <w:sz w:val="18"/>
                <w:szCs w:val="18"/>
              </w:rPr>
              <w:t>5-year TIPS</w:t>
            </w:r>
            <w:r>
              <w:rPr>
                <w:sz w:val="18"/>
                <w:szCs w:val="18"/>
              </w:rPr>
              <w:t xml:space="preserve"> (new)</w:t>
            </w:r>
          </w:p>
        </w:tc>
        <w:tc>
          <w:tcPr>
            <w:tcW w:w="1260" w:type="dxa"/>
          </w:tcPr>
          <w:p w14:paraId="1AEAC72C" w14:textId="77777777" w:rsidR="004D1285" w:rsidRDefault="004D1285" w:rsidP="00AE7A6C">
            <w:pPr>
              <w:rPr>
                <w:sz w:val="21"/>
                <w:szCs w:val="21"/>
              </w:rPr>
            </w:pPr>
          </w:p>
        </w:tc>
        <w:tc>
          <w:tcPr>
            <w:tcW w:w="1440" w:type="dxa"/>
          </w:tcPr>
          <w:p w14:paraId="3BE792F0" w14:textId="77777777" w:rsidR="004D1285" w:rsidRDefault="004D1285" w:rsidP="007931D9">
            <w:pPr>
              <w:jc w:val="center"/>
              <w:rPr>
                <w:sz w:val="21"/>
                <w:szCs w:val="21"/>
              </w:rPr>
            </w:pPr>
            <w:r>
              <w:rPr>
                <w:sz w:val="21"/>
                <w:szCs w:val="21"/>
              </w:rPr>
              <w:t>/</w:t>
            </w:r>
          </w:p>
        </w:tc>
        <w:tc>
          <w:tcPr>
            <w:tcW w:w="1260" w:type="dxa"/>
          </w:tcPr>
          <w:p w14:paraId="3DFCE49E" w14:textId="77777777" w:rsidR="004D1285" w:rsidRDefault="004D1285" w:rsidP="00AE7A6C">
            <w:pPr>
              <w:rPr>
                <w:sz w:val="21"/>
                <w:szCs w:val="21"/>
              </w:rPr>
            </w:pPr>
          </w:p>
        </w:tc>
        <w:tc>
          <w:tcPr>
            <w:tcW w:w="1260" w:type="dxa"/>
          </w:tcPr>
          <w:p w14:paraId="29DB5CAA" w14:textId="77777777" w:rsidR="004D1285" w:rsidRDefault="004D1285" w:rsidP="007931D9">
            <w:pPr>
              <w:jc w:val="center"/>
              <w:rPr>
                <w:sz w:val="21"/>
                <w:szCs w:val="21"/>
              </w:rPr>
            </w:pPr>
            <w:r>
              <w:rPr>
                <w:sz w:val="21"/>
                <w:szCs w:val="21"/>
              </w:rPr>
              <w:t>/</w:t>
            </w:r>
          </w:p>
        </w:tc>
        <w:tc>
          <w:tcPr>
            <w:tcW w:w="1260" w:type="dxa"/>
          </w:tcPr>
          <w:p w14:paraId="5F7EA260" w14:textId="77777777" w:rsidR="004D1285" w:rsidRDefault="004D1285" w:rsidP="00AE7A6C">
            <w:pPr>
              <w:rPr>
                <w:sz w:val="21"/>
                <w:szCs w:val="21"/>
              </w:rPr>
            </w:pPr>
          </w:p>
        </w:tc>
        <w:tc>
          <w:tcPr>
            <w:tcW w:w="1530" w:type="dxa"/>
          </w:tcPr>
          <w:p w14:paraId="182814B2" w14:textId="77777777" w:rsidR="004D1285" w:rsidRDefault="004D1285" w:rsidP="007931D9">
            <w:pPr>
              <w:jc w:val="center"/>
              <w:rPr>
                <w:sz w:val="21"/>
                <w:szCs w:val="21"/>
              </w:rPr>
            </w:pPr>
            <w:r>
              <w:rPr>
                <w:sz w:val="21"/>
                <w:szCs w:val="21"/>
              </w:rPr>
              <w:t>/</w:t>
            </w:r>
          </w:p>
        </w:tc>
      </w:tr>
      <w:tr w:rsidR="004D1285" w14:paraId="04804DF4" w14:textId="77777777" w:rsidTr="004D1285">
        <w:trPr>
          <w:jc w:val="center"/>
        </w:trPr>
        <w:tc>
          <w:tcPr>
            <w:tcW w:w="1670" w:type="dxa"/>
          </w:tcPr>
          <w:p w14:paraId="4A2F5282" w14:textId="77777777" w:rsidR="004D1285" w:rsidRPr="00D96EE2" w:rsidRDefault="004D1285" w:rsidP="00605132">
            <w:pPr>
              <w:jc w:val="center"/>
              <w:rPr>
                <w:sz w:val="18"/>
                <w:szCs w:val="18"/>
              </w:rPr>
            </w:pPr>
            <w:r w:rsidRPr="00D96EE2">
              <w:rPr>
                <w:sz w:val="18"/>
                <w:szCs w:val="18"/>
              </w:rPr>
              <w:t>5-year-TIPS (reop)</w:t>
            </w:r>
          </w:p>
        </w:tc>
        <w:tc>
          <w:tcPr>
            <w:tcW w:w="1260" w:type="dxa"/>
          </w:tcPr>
          <w:p w14:paraId="219BC424" w14:textId="77777777" w:rsidR="004D1285" w:rsidRDefault="004D1285" w:rsidP="00AE7A6C">
            <w:pPr>
              <w:rPr>
                <w:sz w:val="21"/>
                <w:szCs w:val="21"/>
              </w:rPr>
            </w:pPr>
          </w:p>
        </w:tc>
        <w:tc>
          <w:tcPr>
            <w:tcW w:w="1440" w:type="dxa"/>
          </w:tcPr>
          <w:p w14:paraId="6FC051F2" w14:textId="77777777" w:rsidR="004D1285" w:rsidRDefault="004D1285" w:rsidP="007931D9">
            <w:pPr>
              <w:jc w:val="center"/>
              <w:rPr>
                <w:sz w:val="21"/>
                <w:szCs w:val="21"/>
              </w:rPr>
            </w:pPr>
            <w:r>
              <w:rPr>
                <w:sz w:val="21"/>
                <w:szCs w:val="21"/>
              </w:rPr>
              <w:t>/</w:t>
            </w:r>
          </w:p>
        </w:tc>
        <w:tc>
          <w:tcPr>
            <w:tcW w:w="1260" w:type="dxa"/>
          </w:tcPr>
          <w:p w14:paraId="4014ABF2" w14:textId="77777777" w:rsidR="004D1285" w:rsidRDefault="004D1285" w:rsidP="00AE7A6C">
            <w:pPr>
              <w:rPr>
                <w:sz w:val="21"/>
                <w:szCs w:val="21"/>
              </w:rPr>
            </w:pPr>
          </w:p>
        </w:tc>
        <w:tc>
          <w:tcPr>
            <w:tcW w:w="1260" w:type="dxa"/>
          </w:tcPr>
          <w:p w14:paraId="741546A4" w14:textId="77777777" w:rsidR="004D1285" w:rsidRDefault="004D1285" w:rsidP="007931D9">
            <w:pPr>
              <w:jc w:val="center"/>
              <w:rPr>
                <w:sz w:val="21"/>
                <w:szCs w:val="21"/>
              </w:rPr>
            </w:pPr>
            <w:r>
              <w:rPr>
                <w:sz w:val="21"/>
                <w:szCs w:val="21"/>
              </w:rPr>
              <w:t>/</w:t>
            </w:r>
          </w:p>
        </w:tc>
        <w:tc>
          <w:tcPr>
            <w:tcW w:w="1260" w:type="dxa"/>
          </w:tcPr>
          <w:p w14:paraId="6F43F8B6" w14:textId="77777777" w:rsidR="004D1285" w:rsidRDefault="004D1285" w:rsidP="00AE7A6C">
            <w:pPr>
              <w:rPr>
                <w:sz w:val="21"/>
                <w:szCs w:val="21"/>
              </w:rPr>
            </w:pPr>
          </w:p>
        </w:tc>
        <w:tc>
          <w:tcPr>
            <w:tcW w:w="1530" w:type="dxa"/>
          </w:tcPr>
          <w:p w14:paraId="1DA95721" w14:textId="77777777" w:rsidR="004D1285" w:rsidRDefault="004D1285" w:rsidP="007931D9">
            <w:pPr>
              <w:jc w:val="center"/>
              <w:rPr>
                <w:sz w:val="21"/>
                <w:szCs w:val="21"/>
              </w:rPr>
            </w:pPr>
            <w:r>
              <w:rPr>
                <w:sz w:val="21"/>
                <w:szCs w:val="21"/>
              </w:rPr>
              <w:t>/</w:t>
            </w:r>
          </w:p>
        </w:tc>
      </w:tr>
      <w:tr w:rsidR="004D1285" w14:paraId="195E38CB" w14:textId="77777777" w:rsidTr="004D1285">
        <w:trPr>
          <w:jc w:val="center"/>
        </w:trPr>
        <w:tc>
          <w:tcPr>
            <w:tcW w:w="1670" w:type="dxa"/>
          </w:tcPr>
          <w:p w14:paraId="493B4FA0" w14:textId="77777777" w:rsidR="004D1285" w:rsidRPr="00D96EE2" w:rsidRDefault="004D1285" w:rsidP="00605132">
            <w:pPr>
              <w:jc w:val="center"/>
              <w:rPr>
                <w:sz w:val="18"/>
                <w:szCs w:val="18"/>
              </w:rPr>
            </w:pPr>
            <w:r w:rsidRPr="00D96EE2">
              <w:rPr>
                <w:sz w:val="18"/>
                <w:szCs w:val="18"/>
              </w:rPr>
              <w:t>10-year TIPS</w:t>
            </w:r>
            <w:r>
              <w:rPr>
                <w:sz w:val="18"/>
                <w:szCs w:val="18"/>
              </w:rPr>
              <w:t xml:space="preserve"> (new)</w:t>
            </w:r>
          </w:p>
        </w:tc>
        <w:tc>
          <w:tcPr>
            <w:tcW w:w="1260" w:type="dxa"/>
          </w:tcPr>
          <w:p w14:paraId="26C8DA6D" w14:textId="77777777" w:rsidR="004D1285" w:rsidRDefault="004D1285" w:rsidP="00AE7A6C">
            <w:pPr>
              <w:rPr>
                <w:sz w:val="21"/>
                <w:szCs w:val="21"/>
              </w:rPr>
            </w:pPr>
          </w:p>
        </w:tc>
        <w:tc>
          <w:tcPr>
            <w:tcW w:w="1440" w:type="dxa"/>
          </w:tcPr>
          <w:p w14:paraId="02703F46" w14:textId="77777777" w:rsidR="004D1285" w:rsidRDefault="004D1285" w:rsidP="007931D9">
            <w:pPr>
              <w:jc w:val="center"/>
              <w:rPr>
                <w:sz w:val="21"/>
                <w:szCs w:val="21"/>
              </w:rPr>
            </w:pPr>
            <w:r>
              <w:rPr>
                <w:sz w:val="21"/>
                <w:szCs w:val="21"/>
              </w:rPr>
              <w:t>/</w:t>
            </w:r>
          </w:p>
        </w:tc>
        <w:tc>
          <w:tcPr>
            <w:tcW w:w="1260" w:type="dxa"/>
          </w:tcPr>
          <w:p w14:paraId="27381255" w14:textId="77777777" w:rsidR="004D1285" w:rsidRDefault="004D1285" w:rsidP="00AE7A6C">
            <w:pPr>
              <w:rPr>
                <w:sz w:val="21"/>
                <w:szCs w:val="21"/>
              </w:rPr>
            </w:pPr>
          </w:p>
        </w:tc>
        <w:tc>
          <w:tcPr>
            <w:tcW w:w="1260" w:type="dxa"/>
          </w:tcPr>
          <w:p w14:paraId="2D241FAC" w14:textId="77777777" w:rsidR="004D1285" w:rsidRDefault="004D1285" w:rsidP="007931D9">
            <w:pPr>
              <w:jc w:val="center"/>
              <w:rPr>
                <w:sz w:val="21"/>
                <w:szCs w:val="21"/>
              </w:rPr>
            </w:pPr>
            <w:r>
              <w:rPr>
                <w:sz w:val="21"/>
                <w:szCs w:val="21"/>
              </w:rPr>
              <w:t>/</w:t>
            </w:r>
          </w:p>
        </w:tc>
        <w:tc>
          <w:tcPr>
            <w:tcW w:w="1260" w:type="dxa"/>
          </w:tcPr>
          <w:p w14:paraId="5DDFDD54" w14:textId="77777777" w:rsidR="004D1285" w:rsidRDefault="004D1285" w:rsidP="00AE7A6C">
            <w:pPr>
              <w:rPr>
                <w:sz w:val="21"/>
                <w:szCs w:val="21"/>
              </w:rPr>
            </w:pPr>
          </w:p>
        </w:tc>
        <w:tc>
          <w:tcPr>
            <w:tcW w:w="1530" w:type="dxa"/>
          </w:tcPr>
          <w:p w14:paraId="703AC32B" w14:textId="77777777" w:rsidR="004D1285" w:rsidRDefault="004D1285" w:rsidP="007931D9">
            <w:pPr>
              <w:jc w:val="center"/>
              <w:rPr>
                <w:sz w:val="21"/>
                <w:szCs w:val="21"/>
              </w:rPr>
            </w:pPr>
            <w:r>
              <w:rPr>
                <w:sz w:val="21"/>
                <w:szCs w:val="21"/>
              </w:rPr>
              <w:t>/</w:t>
            </w:r>
          </w:p>
        </w:tc>
      </w:tr>
      <w:tr w:rsidR="004D1285" w14:paraId="655623E9" w14:textId="77777777" w:rsidTr="004D1285">
        <w:trPr>
          <w:jc w:val="center"/>
        </w:trPr>
        <w:tc>
          <w:tcPr>
            <w:tcW w:w="1670" w:type="dxa"/>
          </w:tcPr>
          <w:p w14:paraId="4EB57413" w14:textId="77777777" w:rsidR="004D1285" w:rsidRPr="00D96EE2" w:rsidRDefault="004D1285" w:rsidP="00605132">
            <w:pPr>
              <w:jc w:val="center"/>
              <w:rPr>
                <w:sz w:val="18"/>
                <w:szCs w:val="18"/>
              </w:rPr>
            </w:pPr>
            <w:r w:rsidRPr="00D96EE2">
              <w:rPr>
                <w:sz w:val="18"/>
                <w:szCs w:val="18"/>
              </w:rPr>
              <w:t>10-year TIPS (reop)</w:t>
            </w:r>
          </w:p>
        </w:tc>
        <w:tc>
          <w:tcPr>
            <w:tcW w:w="1260" w:type="dxa"/>
          </w:tcPr>
          <w:p w14:paraId="144DDE39" w14:textId="77777777" w:rsidR="004D1285" w:rsidRDefault="004D1285" w:rsidP="00AE7A6C">
            <w:pPr>
              <w:rPr>
                <w:sz w:val="21"/>
                <w:szCs w:val="21"/>
              </w:rPr>
            </w:pPr>
          </w:p>
        </w:tc>
        <w:tc>
          <w:tcPr>
            <w:tcW w:w="1440" w:type="dxa"/>
          </w:tcPr>
          <w:p w14:paraId="0A52EF33" w14:textId="77777777" w:rsidR="004D1285" w:rsidRDefault="004D1285" w:rsidP="007931D9">
            <w:pPr>
              <w:jc w:val="center"/>
              <w:rPr>
                <w:sz w:val="21"/>
                <w:szCs w:val="21"/>
              </w:rPr>
            </w:pPr>
            <w:r>
              <w:rPr>
                <w:sz w:val="21"/>
                <w:szCs w:val="21"/>
              </w:rPr>
              <w:t>/</w:t>
            </w:r>
          </w:p>
        </w:tc>
        <w:tc>
          <w:tcPr>
            <w:tcW w:w="1260" w:type="dxa"/>
          </w:tcPr>
          <w:p w14:paraId="2AAF3DBD" w14:textId="77777777" w:rsidR="004D1285" w:rsidRDefault="004D1285" w:rsidP="00AE7A6C">
            <w:pPr>
              <w:rPr>
                <w:sz w:val="21"/>
                <w:szCs w:val="21"/>
              </w:rPr>
            </w:pPr>
          </w:p>
        </w:tc>
        <w:tc>
          <w:tcPr>
            <w:tcW w:w="1260" w:type="dxa"/>
          </w:tcPr>
          <w:p w14:paraId="1FE036B5" w14:textId="77777777" w:rsidR="004D1285" w:rsidRDefault="004D1285" w:rsidP="007931D9">
            <w:pPr>
              <w:jc w:val="center"/>
              <w:rPr>
                <w:sz w:val="21"/>
                <w:szCs w:val="21"/>
              </w:rPr>
            </w:pPr>
            <w:r>
              <w:rPr>
                <w:sz w:val="21"/>
                <w:szCs w:val="21"/>
              </w:rPr>
              <w:t>/</w:t>
            </w:r>
          </w:p>
        </w:tc>
        <w:tc>
          <w:tcPr>
            <w:tcW w:w="1260" w:type="dxa"/>
          </w:tcPr>
          <w:p w14:paraId="779F7652" w14:textId="77777777" w:rsidR="004D1285" w:rsidRDefault="004D1285" w:rsidP="00AE7A6C">
            <w:pPr>
              <w:rPr>
                <w:sz w:val="21"/>
                <w:szCs w:val="21"/>
              </w:rPr>
            </w:pPr>
          </w:p>
        </w:tc>
        <w:tc>
          <w:tcPr>
            <w:tcW w:w="1530" w:type="dxa"/>
          </w:tcPr>
          <w:p w14:paraId="3B8B2D50" w14:textId="77777777" w:rsidR="004D1285" w:rsidRDefault="004D1285" w:rsidP="007931D9">
            <w:pPr>
              <w:jc w:val="center"/>
              <w:rPr>
                <w:sz w:val="21"/>
                <w:szCs w:val="21"/>
              </w:rPr>
            </w:pPr>
            <w:r>
              <w:rPr>
                <w:sz w:val="21"/>
                <w:szCs w:val="21"/>
              </w:rPr>
              <w:t>/</w:t>
            </w:r>
          </w:p>
        </w:tc>
      </w:tr>
      <w:tr w:rsidR="004D1285" w14:paraId="4C511EB3" w14:textId="77777777" w:rsidTr="004D1285">
        <w:trPr>
          <w:jc w:val="center"/>
        </w:trPr>
        <w:tc>
          <w:tcPr>
            <w:tcW w:w="1670" w:type="dxa"/>
          </w:tcPr>
          <w:p w14:paraId="34AC9748" w14:textId="77777777" w:rsidR="004D1285" w:rsidRPr="00D96EE2" w:rsidRDefault="004D1285" w:rsidP="00605132">
            <w:pPr>
              <w:jc w:val="center"/>
              <w:rPr>
                <w:sz w:val="18"/>
                <w:szCs w:val="18"/>
              </w:rPr>
            </w:pPr>
            <w:r>
              <w:rPr>
                <w:sz w:val="18"/>
                <w:szCs w:val="18"/>
              </w:rPr>
              <w:t>30-year TIPS (new)</w:t>
            </w:r>
          </w:p>
        </w:tc>
        <w:tc>
          <w:tcPr>
            <w:tcW w:w="1260" w:type="dxa"/>
          </w:tcPr>
          <w:p w14:paraId="65FB82AB" w14:textId="77777777" w:rsidR="004D1285" w:rsidRDefault="004D1285" w:rsidP="00AE7A6C">
            <w:pPr>
              <w:rPr>
                <w:sz w:val="21"/>
                <w:szCs w:val="21"/>
              </w:rPr>
            </w:pPr>
          </w:p>
        </w:tc>
        <w:tc>
          <w:tcPr>
            <w:tcW w:w="1440" w:type="dxa"/>
          </w:tcPr>
          <w:p w14:paraId="7CD0C03F" w14:textId="70B6861C" w:rsidR="004D1285" w:rsidRDefault="004D1285" w:rsidP="007931D9">
            <w:pPr>
              <w:jc w:val="center"/>
              <w:rPr>
                <w:sz w:val="21"/>
                <w:szCs w:val="21"/>
              </w:rPr>
            </w:pPr>
            <w:r>
              <w:rPr>
                <w:sz w:val="21"/>
                <w:szCs w:val="21"/>
              </w:rPr>
              <w:t>/</w:t>
            </w:r>
          </w:p>
        </w:tc>
        <w:tc>
          <w:tcPr>
            <w:tcW w:w="1260" w:type="dxa"/>
          </w:tcPr>
          <w:p w14:paraId="6F6C20D4" w14:textId="77777777" w:rsidR="004D1285" w:rsidRDefault="004D1285" w:rsidP="00AE7A6C">
            <w:pPr>
              <w:rPr>
                <w:sz w:val="21"/>
                <w:szCs w:val="21"/>
              </w:rPr>
            </w:pPr>
          </w:p>
        </w:tc>
        <w:tc>
          <w:tcPr>
            <w:tcW w:w="1260" w:type="dxa"/>
          </w:tcPr>
          <w:p w14:paraId="22344D3E" w14:textId="2543C507" w:rsidR="004D1285" w:rsidRDefault="004D1285" w:rsidP="007931D9">
            <w:pPr>
              <w:jc w:val="center"/>
              <w:rPr>
                <w:sz w:val="21"/>
                <w:szCs w:val="21"/>
              </w:rPr>
            </w:pPr>
            <w:r>
              <w:rPr>
                <w:sz w:val="21"/>
                <w:szCs w:val="21"/>
              </w:rPr>
              <w:t>/</w:t>
            </w:r>
          </w:p>
        </w:tc>
        <w:tc>
          <w:tcPr>
            <w:tcW w:w="1260" w:type="dxa"/>
          </w:tcPr>
          <w:p w14:paraId="4B841079" w14:textId="77777777" w:rsidR="004D1285" w:rsidRDefault="004D1285" w:rsidP="00AE7A6C">
            <w:pPr>
              <w:rPr>
                <w:sz w:val="21"/>
                <w:szCs w:val="21"/>
              </w:rPr>
            </w:pPr>
          </w:p>
        </w:tc>
        <w:tc>
          <w:tcPr>
            <w:tcW w:w="1530" w:type="dxa"/>
          </w:tcPr>
          <w:p w14:paraId="2478E0B4" w14:textId="33EA63E7" w:rsidR="004D1285" w:rsidRDefault="004D1285" w:rsidP="007931D9">
            <w:pPr>
              <w:jc w:val="center"/>
              <w:rPr>
                <w:sz w:val="21"/>
                <w:szCs w:val="21"/>
              </w:rPr>
            </w:pPr>
            <w:r>
              <w:rPr>
                <w:sz w:val="21"/>
                <w:szCs w:val="21"/>
              </w:rPr>
              <w:t>/</w:t>
            </w:r>
          </w:p>
        </w:tc>
      </w:tr>
      <w:tr w:rsidR="004D1285" w14:paraId="7800CFFB" w14:textId="77777777" w:rsidTr="004D1285">
        <w:trPr>
          <w:jc w:val="center"/>
        </w:trPr>
        <w:tc>
          <w:tcPr>
            <w:tcW w:w="1670" w:type="dxa"/>
          </w:tcPr>
          <w:p w14:paraId="5F13938A" w14:textId="77777777" w:rsidR="004D1285" w:rsidRPr="00D96EE2" w:rsidRDefault="004D1285" w:rsidP="00605132">
            <w:pPr>
              <w:jc w:val="center"/>
              <w:rPr>
                <w:sz w:val="18"/>
                <w:szCs w:val="18"/>
              </w:rPr>
            </w:pPr>
            <w:r w:rsidRPr="00D96EE2">
              <w:rPr>
                <w:sz w:val="18"/>
                <w:szCs w:val="18"/>
              </w:rPr>
              <w:t>30-year TIPS (reop)</w:t>
            </w:r>
          </w:p>
        </w:tc>
        <w:tc>
          <w:tcPr>
            <w:tcW w:w="1260" w:type="dxa"/>
          </w:tcPr>
          <w:p w14:paraId="39BC7C32" w14:textId="77777777" w:rsidR="004D1285" w:rsidRDefault="004D1285" w:rsidP="00AE7A6C">
            <w:pPr>
              <w:rPr>
                <w:sz w:val="21"/>
                <w:szCs w:val="21"/>
              </w:rPr>
            </w:pPr>
          </w:p>
        </w:tc>
        <w:tc>
          <w:tcPr>
            <w:tcW w:w="1440" w:type="dxa"/>
          </w:tcPr>
          <w:p w14:paraId="0EF55BC4" w14:textId="77777777" w:rsidR="004D1285" w:rsidRDefault="004D1285" w:rsidP="007931D9">
            <w:pPr>
              <w:jc w:val="center"/>
              <w:rPr>
                <w:sz w:val="21"/>
                <w:szCs w:val="21"/>
              </w:rPr>
            </w:pPr>
            <w:r>
              <w:rPr>
                <w:sz w:val="21"/>
                <w:szCs w:val="21"/>
              </w:rPr>
              <w:t>/</w:t>
            </w:r>
          </w:p>
        </w:tc>
        <w:tc>
          <w:tcPr>
            <w:tcW w:w="1260" w:type="dxa"/>
          </w:tcPr>
          <w:p w14:paraId="75CE1A42" w14:textId="77777777" w:rsidR="004D1285" w:rsidRDefault="004D1285" w:rsidP="00AE7A6C">
            <w:pPr>
              <w:rPr>
                <w:sz w:val="21"/>
                <w:szCs w:val="21"/>
              </w:rPr>
            </w:pPr>
          </w:p>
        </w:tc>
        <w:tc>
          <w:tcPr>
            <w:tcW w:w="1260" w:type="dxa"/>
          </w:tcPr>
          <w:p w14:paraId="7ED24EAF" w14:textId="77777777" w:rsidR="004D1285" w:rsidRDefault="004D1285" w:rsidP="007931D9">
            <w:pPr>
              <w:jc w:val="center"/>
              <w:rPr>
                <w:sz w:val="21"/>
                <w:szCs w:val="21"/>
              </w:rPr>
            </w:pPr>
            <w:r>
              <w:rPr>
                <w:sz w:val="21"/>
                <w:szCs w:val="21"/>
              </w:rPr>
              <w:t>/</w:t>
            </w:r>
          </w:p>
        </w:tc>
        <w:tc>
          <w:tcPr>
            <w:tcW w:w="1260" w:type="dxa"/>
          </w:tcPr>
          <w:p w14:paraId="65218163" w14:textId="77777777" w:rsidR="004D1285" w:rsidRDefault="004D1285" w:rsidP="00AE7A6C">
            <w:pPr>
              <w:rPr>
                <w:sz w:val="21"/>
                <w:szCs w:val="21"/>
              </w:rPr>
            </w:pPr>
          </w:p>
        </w:tc>
        <w:tc>
          <w:tcPr>
            <w:tcW w:w="1530" w:type="dxa"/>
          </w:tcPr>
          <w:p w14:paraId="516DAFDF" w14:textId="77777777" w:rsidR="004D1285" w:rsidRDefault="004D1285" w:rsidP="007931D9">
            <w:pPr>
              <w:jc w:val="center"/>
              <w:rPr>
                <w:sz w:val="21"/>
                <w:szCs w:val="21"/>
              </w:rPr>
            </w:pPr>
            <w:r>
              <w:rPr>
                <w:sz w:val="21"/>
                <w:szCs w:val="21"/>
              </w:rPr>
              <w:t>/</w:t>
            </w:r>
          </w:p>
        </w:tc>
      </w:tr>
      <w:tr w:rsidR="004D1285" w14:paraId="0559E34C" w14:textId="77777777" w:rsidTr="004D1285">
        <w:trPr>
          <w:jc w:val="center"/>
        </w:trPr>
        <w:tc>
          <w:tcPr>
            <w:tcW w:w="1670" w:type="dxa"/>
            <w:shd w:val="clear" w:color="auto" w:fill="B8CCE4" w:themeFill="accent1" w:themeFillTint="66"/>
          </w:tcPr>
          <w:p w14:paraId="5237C572" w14:textId="77777777" w:rsidR="004D1285" w:rsidRPr="00D96EE2" w:rsidRDefault="004D1285" w:rsidP="00605132">
            <w:pPr>
              <w:jc w:val="center"/>
              <w:rPr>
                <w:b/>
                <w:sz w:val="18"/>
                <w:szCs w:val="18"/>
              </w:rPr>
            </w:pPr>
            <w:r w:rsidRPr="00D96EE2">
              <w:rPr>
                <w:b/>
                <w:sz w:val="18"/>
                <w:szCs w:val="18"/>
              </w:rPr>
              <w:t>FRNs</w:t>
            </w:r>
          </w:p>
        </w:tc>
        <w:tc>
          <w:tcPr>
            <w:tcW w:w="1260" w:type="dxa"/>
            <w:shd w:val="clear" w:color="auto" w:fill="B8CCE4" w:themeFill="accent1" w:themeFillTint="66"/>
          </w:tcPr>
          <w:p w14:paraId="1D37BD71" w14:textId="77777777" w:rsidR="004D1285" w:rsidRDefault="004D1285" w:rsidP="00AE7A6C">
            <w:pPr>
              <w:rPr>
                <w:sz w:val="21"/>
                <w:szCs w:val="21"/>
              </w:rPr>
            </w:pPr>
          </w:p>
        </w:tc>
        <w:tc>
          <w:tcPr>
            <w:tcW w:w="1440" w:type="dxa"/>
            <w:shd w:val="clear" w:color="auto" w:fill="B8CCE4" w:themeFill="accent1" w:themeFillTint="66"/>
          </w:tcPr>
          <w:p w14:paraId="7E6B51D1" w14:textId="77777777" w:rsidR="004D1285" w:rsidRDefault="004D1285" w:rsidP="007931D9">
            <w:pPr>
              <w:jc w:val="center"/>
              <w:rPr>
                <w:sz w:val="21"/>
                <w:szCs w:val="21"/>
              </w:rPr>
            </w:pPr>
          </w:p>
        </w:tc>
        <w:tc>
          <w:tcPr>
            <w:tcW w:w="1260" w:type="dxa"/>
            <w:shd w:val="clear" w:color="auto" w:fill="B8CCE4" w:themeFill="accent1" w:themeFillTint="66"/>
          </w:tcPr>
          <w:p w14:paraId="762EC0D9" w14:textId="77777777" w:rsidR="004D1285" w:rsidRDefault="004D1285" w:rsidP="00AE7A6C">
            <w:pPr>
              <w:rPr>
                <w:sz w:val="21"/>
                <w:szCs w:val="21"/>
              </w:rPr>
            </w:pPr>
          </w:p>
        </w:tc>
        <w:tc>
          <w:tcPr>
            <w:tcW w:w="1260" w:type="dxa"/>
            <w:shd w:val="clear" w:color="auto" w:fill="B8CCE4" w:themeFill="accent1" w:themeFillTint="66"/>
          </w:tcPr>
          <w:p w14:paraId="7AA943D5" w14:textId="77777777" w:rsidR="004D1285" w:rsidRDefault="004D1285" w:rsidP="007931D9">
            <w:pPr>
              <w:jc w:val="center"/>
              <w:rPr>
                <w:sz w:val="21"/>
                <w:szCs w:val="21"/>
              </w:rPr>
            </w:pPr>
          </w:p>
        </w:tc>
        <w:tc>
          <w:tcPr>
            <w:tcW w:w="1260" w:type="dxa"/>
            <w:shd w:val="clear" w:color="auto" w:fill="B8CCE4" w:themeFill="accent1" w:themeFillTint="66"/>
          </w:tcPr>
          <w:p w14:paraId="4A9C3E16" w14:textId="77777777" w:rsidR="004D1285" w:rsidRDefault="004D1285" w:rsidP="00AE7A6C">
            <w:pPr>
              <w:rPr>
                <w:sz w:val="21"/>
                <w:szCs w:val="21"/>
              </w:rPr>
            </w:pPr>
          </w:p>
        </w:tc>
        <w:tc>
          <w:tcPr>
            <w:tcW w:w="1530" w:type="dxa"/>
            <w:shd w:val="clear" w:color="auto" w:fill="B8CCE4" w:themeFill="accent1" w:themeFillTint="66"/>
          </w:tcPr>
          <w:p w14:paraId="6706A7A2" w14:textId="77777777" w:rsidR="004D1285" w:rsidRDefault="004D1285" w:rsidP="007931D9">
            <w:pPr>
              <w:jc w:val="center"/>
              <w:rPr>
                <w:sz w:val="21"/>
                <w:szCs w:val="21"/>
              </w:rPr>
            </w:pPr>
          </w:p>
        </w:tc>
      </w:tr>
      <w:tr w:rsidR="004D1285" w14:paraId="721DBEC2" w14:textId="77777777" w:rsidTr="004D1285">
        <w:trPr>
          <w:jc w:val="center"/>
        </w:trPr>
        <w:tc>
          <w:tcPr>
            <w:tcW w:w="1670" w:type="dxa"/>
          </w:tcPr>
          <w:p w14:paraId="64718E3C" w14:textId="77777777" w:rsidR="004D1285" w:rsidRPr="00D96EE2" w:rsidRDefault="004D1285" w:rsidP="00605132">
            <w:pPr>
              <w:jc w:val="center"/>
              <w:rPr>
                <w:sz w:val="18"/>
                <w:szCs w:val="18"/>
              </w:rPr>
            </w:pPr>
            <w:r w:rsidRPr="00D96EE2">
              <w:rPr>
                <w:sz w:val="18"/>
                <w:szCs w:val="18"/>
              </w:rPr>
              <w:t>2-year FRN</w:t>
            </w:r>
          </w:p>
        </w:tc>
        <w:tc>
          <w:tcPr>
            <w:tcW w:w="1260" w:type="dxa"/>
          </w:tcPr>
          <w:p w14:paraId="55DA2DED" w14:textId="77777777" w:rsidR="004D1285" w:rsidRDefault="004D1285" w:rsidP="00AE7A6C">
            <w:pPr>
              <w:rPr>
                <w:sz w:val="21"/>
                <w:szCs w:val="21"/>
              </w:rPr>
            </w:pPr>
          </w:p>
        </w:tc>
        <w:tc>
          <w:tcPr>
            <w:tcW w:w="1440" w:type="dxa"/>
          </w:tcPr>
          <w:p w14:paraId="2E20D283" w14:textId="77777777" w:rsidR="004D1285" w:rsidRDefault="004D1285" w:rsidP="007931D9">
            <w:pPr>
              <w:jc w:val="center"/>
              <w:rPr>
                <w:sz w:val="21"/>
                <w:szCs w:val="21"/>
              </w:rPr>
            </w:pPr>
            <w:r>
              <w:rPr>
                <w:sz w:val="21"/>
                <w:szCs w:val="21"/>
              </w:rPr>
              <w:t>/</w:t>
            </w:r>
          </w:p>
        </w:tc>
        <w:tc>
          <w:tcPr>
            <w:tcW w:w="1260" w:type="dxa"/>
          </w:tcPr>
          <w:p w14:paraId="3C38B745" w14:textId="77777777" w:rsidR="004D1285" w:rsidRDefault="004D1285" w:rsidP="00AE7A6C">
            <w:pPr>
              <w:rPr>
                <w:sz w:val="21"/>
                <w:szCs w:val="21"/>
              </w:rPr>
            </w:pPr>
          </w:p>
        </w:tc>
        <w:tc>
          <w:tcPr>
            <w:tcW w:w="1260" w:type="dxa"/>
          </w:tcPr>
          <w:p w14:paraId="66DB9713" w14:textId="77777777" w:rsidR="004D1285" w:rsidRDefault="004D1285" w:rsidP="007931D9">
            <w:pPr>
              <w:jc w:val="center"/>
              <w:rPr>
                <w:sz w:val="21"/>
                <w:szCs w:val="21"/>
              </w:rPr>
            </w:pPr>
            <w:r>
              <w:rPr>
                <w:sz w:val="21"/>
                <w:szCs w:val="21"/>
              </w:rPr>
              <w:t>/</w:t>
            </w:r>
          </w:p>
        </w:tc>
        <w:tc>
          <w:tcPr>
            <w:tcW w:w="1260" w:type="dxa"/>
          </w:tcPr>
          <w:p w14:paraId="113F98E9" w14:textId="77777777" w:rsidR="004D1285" w:rsidRDefault="004D1285" w:rsidP="00AE7A6C">
            <w:pPr>
              <w:rPr>
                <w:sz w:val="21"/>
                <w:szCs w:val="21"/>
              </w:rPr>
            </w:pPr>
          </w:p>
        </w:tc>
        <w:tc>
          <w:tcPr>
            <w:tcW w:w="1530" w:type="dxa"/>
          </w:tcPr>
          <w:p w14:paraId="4FD9D06D" w14:textId="77777777" w:rsidR="004D1285" w:rsidRDefault="004D1285" w:rsidP="007931D9">
            <w:pPr>
              <w:jc w:val="center"/>
              <w:rPr>
                <w:sz w:val="21"/>
                <w:szCs w:val="21"/>
              </w:rPr>
            </w:pPr>
            <w:r>
              <w:rPr>
                <w:sz w:val="21"/>
                <w:szCs w:val="21"/>
              </w:rPr>
              <w:t>/</w:t>
            </w:r>
          </w:p>
        </w:tc>
      </w:tr>
      <w:tr w:rsidR="004D1285" w14:paraId="51898B29" w14:textId="77777777" w:rsidTr="004D1285">
        <w:trPr>
          <w:jc w:val="center"/>
        </w:trPr>
        <w:tc>
          <w:tcPr>
            <w:tcW w:w="1670" w:type="dxa"/>
          </w:tcPr>
          <w:p w14:paraId="7A2C1E85" w14:textId="77777777" w:rsidR="004D1285" w:rsidRPr="00D96EE2" w:rsidRDefault="004D1285" w:rsidP="00605132">
            <w:pPr>
              <w:jc w:val="center"/>
              <w:rPr>
                <w:sz w:val="18"/>
                <w:szCs w:val="18"/>
              </w:rPr>
            </w:pPr>
            <w:r w:rsidRPr="00D96EE2">
              <w:rPr>
                <w:sz w:val="18"/>
                <w:szCs w:val="18"/>
              </w:rPr>
              <w:t>2-year FRN (reop)</w:t>
            </w:r>
          </w:p>
        </w:tc>
        <w:tc>
          <w:tcPr>
            <w:tcW w:w="1260" w:type="dxa"/>
          </w:tcPr>
          <w:p w14:paraId="39F586E9" w14:textId="77777777" w:rsidR="004D1285" w:rsidRDefault="004D1285" w:rsidP="00AE7A6C">
            <w:pPr>
              <w:rPr>
                <w:sz w:val="21"/>
                <w:szCs w:val="21"/>
              </w:rPr>
            </w:pPr>
          </w:p>
        </w:tc>
        <w:tc>
          <w:tcPr>
            <w:tcW w:w="1440" w:type="dxa"/>
          </w:tcPr>
          <w:p w14:paraId="1B456094" w14:textId="77777777" w:rsidR="004D1285" w:rsidRDefault="004D1285" w:rsidP="007931D9">
            <w:pPr>
              <w:jc w:val="center"/>
              <w:rPr>
                <w:sz w:val="21"/>
                <w:szCs w:val="21"/>
              </w:rPr>
            </w:pPr>
            <w:r>
              <w:rPr>
                <w:sz w:val="21"/>
                <w:szCs w:val="21"/>
              </w:rPr>
              <w:t>/</w:t>
            </w:r>
          </w:p>
        </w:tc>
        <w:tc>
          <w:tcPr>
            <w:tcW w:w="1260" w:type="dxa"/>
          </w:tcPr>
          <w:p w14:paraId="4F96CFA1" w14:textId="77777777" w:rsidR="004D1285" w:rsidRDefault="004D1285" w:rsidP="00AE7A6C">
            <w:pPr>
              <w:rPr>
                <w:sz w:val="21"/>
                <w:szCs w:val="21"/>
              </w:rPr>
            </w:pPr>
          </w:p>
        </w:tc>
        <w:tc>
          <w:tcPr>
            <w:tcW w:w="1260" w:type="dxa"/>
          </w:tcPr>
          <w:p w14:paraId="67A8205D" w14:textId="77777777" w:rsidR="004D1285" w:rsidRDefault="004D1285" w:rsidP="007931D9">
            <w:pPr>
              <w:jc w:val="center"/>
              <w:rPr>
                <w:sz w:val="21"/>
                <w:szCs w:val="21"/>
              </w:rPr>
            </w:pPr>
            <w:r>
              <w:rPr>
                <w:sz w:val="21"/>
                <w:szCs w:val="21"/>
              </w:rPr>
              <w:t>/</w:t>
            </w:r>
          </w:p>
        </w:tc>
        <w:tc>
          <w:tcPr>
            <w:tcW w:w="1260" w:type="dxa"/>
          </w:tcPr>
          <w:p w14:paraId="37EE7790" w14:textId="77777777" w:rsidR="004D1285" w:rsidRDefault="004D1285" w:rsidP="00AE7A6C">
            <w:pPr>
              <w:rPr>
                <w:sz w:val="21"/>
                <w:szCs w:val="21"/>
              </w:rPr>
            </w:pPr>
          </w:p>
        </w:tc>
        <w:tc>
          <w:tcPr>
            <w:tcW w:w="1530" w:type="dxa"/>
          </w:tcPr>
          <w:p w14:paraId="526D98BE" w14:textId="77777777" w:rsidR="004D1285" w:rsidRDefault="004D1285" w:rsidP="007931D9">
            <w:pPr>
              <w:jc w:val="center"/>
              <w:rPr>
                <w:sz w:val="21"/>
                <w:szCs w:val="21"/>
              </w:rPr>
            </w:pPr>
            <w:r>
              <w:rPr>
                <w:sz w:val="21"/>
                <w:szCs w:val="21"/>
              </w:rPr>
              <w:t>/</w:t>
            </w:r>
          </w:p>
        </w:tc>
      </w:tr>
      <w:tr w:rsidR="004D1285" w14:paraId="78AEF660" w14:textId="77777777" w:rsidTr="004D1285">
        <w:trPr>
          <w:jc w:val="center"/>
        </w:trPr>
        <w:tc>
          <w:tcPr>
            <w:tcW w:w="1670" w:type="dxa"/>
            <w:shd w:val="clear" w:color="auto" w:fill="B8CCE4" w:themeFill="accent1" w:themeFillTint="66"/>
          </w:tcPr>
          <w:p w14:paraId="24AC9171" w14:textId="77777777" w:rsidR="004D1285" w:rsidRPr="00D96EE2" w:rsidRDefault="004D1285" w:rsidP="00605132">
            <w:pPr>
              <w:jc w:val="center"/>
              <w:rPr>
                <w:b/>
                <w:sz w:val="18"/>
                <w:szCs w:val="18"/>
              </w:rPr>
            </w:pPr>
            <w:r w:rsidRPr="00D96EE2">
              <w:rPr>
                <w:b/>
                <w:sz w:val="18"/>
                <w:szCs w:val="18"/>
              </w:rPr>
              <w:t>Bills</w:t>
            </w:r>
          </w:p>
        </w:tc>
        <w:tc>
          <w:tcPr>
            <w:tcW w:w="1260" w:type="dxa"/>
            <w:shd w:val="clear" w:color="auto" w:fill="B8CCE4" w:themeFill="accent1" w:themeFillTint="66"/>
          </w:tcPr>
          <w:p w14:paraId="3FB1DABA" w14:textId="77777777" w:rsidR="004D1285" w:rsidRDefault="004D1285" w:rsidP="00AE7A6C">
            <w:pPr>
              <w:rPr>
                <w:sz w:val="21"/>
                <w:szCs w:val="21"/>
              </w:rPr>
            </w:pPr>
          </w:p>
        </w:tc>
        <w:tc>
          <w:tcPr>
            <w:tcW w:w="1440" w:type="dxa"/>
            <w:shd w:val="clear" w:color="auto" w:fill="B8CCE4" w:themeFill="accent1" w:themeFillTint="66"/>
          </w:tcPr>
          <w:p w14:paraId="2520F59A" w14:textId="77777777" w:rsidR="004D1285" w:rsidRDefault="004D1285" w:rsidP="007931D9">
            <w:pPr>
              <w:jc w:val="center"/>
              <w:rPr>
                <w:sz w:val="21"/>
                <w:szCs w:val="21"/>
              </w:rPr>
            </w:pPr>
          </w:p>
        </w:tc>
        <w:tc>
          <w:tcPr>
            <w:tcW w:w="1260" w:type="dxa"/>
            <w:shd w:val="clear" w:color="auto" w:fill="B8CCE4" w:themeFill="accent1" w:themeFillTint="66"/>
          </w:tcPr>
          <w:p w14:paraId="7C7ADB3A" w14:textId="77777777" w:rsidR="004D1285" w:rsidRDefault="004D1285" w:rsidP="00AE7A6C">
            <w:pPr>
              <w:rPr>
                <w:sz w:val="21"/>
                <w:szCs w:val="21"/>
              </w:rPr>
            </w:pPr>
          </w:p>
        </w:tc>
        <w:tc>
          <w:tcPr>
            <w:tcW w:w="1260" w:type="dxa"/>
            <w:shd w:val="clear" w:color="auto" w:fill="B8CCE4" w:themeFill="accent1" w:themeFillTint="66"/>
          </w:tcPr>
          <w:p w14:paraId="10392873" w14:textId="77777777" w:rsidR="004D1285" w:rsidRDefault="004D1285" w:rsidP="007931D9">
            <w:pPr>
              <w:jc w:val="center"/>
              <w:rPr>
                <w:sz w:val="21"/>
                <w:szCs w:val="21"/>
              </w:rPr>
            </w:pPr>
          </w:p>
        </w:tc>
        <w:tc>
          <w:tcPr>
            <w:tcW w:w="1260" w:type="dxa"/>
            <w:shd w:val="clear" w:color="auto" w:fill="B8CCE4" w:themeFill="accent1" w:themeFillTint="66"/>
          </w:tcPr>
          <w:p w14:paraId="7BD1784C" w14:textId="77777777" w:rsidR="004D1285" w:rsidRDefault="004D1285" w:rsidP="00AE7A6C">
            <w:pPr>
              <w:rPr>
                <w:sz w:val="21"/>
                <w:szCs w:val="21"/>
              </w:rPr>
            </w:pPr>
          </w:p>
        </w:tc>
        <w:tc>
          <w:tcPr>
            <w:tcW w:w="1530" w:type="dxa"/>
            <w:shd w:val="clear" w:color="auto" w:fill="B8CCE4" w:themeFill="accent1" w:themeFillTint="66"/>
          </w:tcPr>
          <w:p w14:paraId="2E01087A" w14:textId="77777777" w:rsidR="004D1285" w:rsidRDefault="004D1285" w:rsidP="007931D9">
            <w:pPr>
              <w:jc w:val="center"/>
              <w:rPr>
                <w:sz w:val="21"/>
                <w:szCs w:val="21"/>
              </w:rPr>
            </w:pPr>
          </w:p>
        </w:tc>
      </w:tr>
      <w:tr w:rsidR="004D1285" w14:paraId="18112219" w14:textId="77777777" w:rsidTr="004D1285">
        <w:trPr>
          <w:jc w:val="center"/>
        </w:trPr>
        <w:tc>
          <w:tcPr>
            <w:tcW w:w="1670" w:type="dxa"/>
          </w:tcPr>
          <w:p w14:paraId="6B2EBAB5" w14:textId="77777777" w:rsidR="004D1285" w:rsidRPr="00D96EE2" w:rsidRDefault="004D1285" w:rsidP="00605132">
            <w:pPr>
              <w:jc w:val="center"/>
              <w:rPr>
                <w:sz w:val="18"/>
                <w:szCs w:val="18"/>
              </w:rPr>
            </w:pPr>
            <w:r w:rsidRPr="00D96EE2">
              <w:rPr>
                <w:sz w:val="18"/>
                <w:szCs w:val="18"/>
              </w:rPr>
              <w:t>1-mo bill</w:t>
            </w:r>
          </w:p>
        </w:tc>
        <w:tc>
          <w:tcPr>
            <w:tcW w:w="1260" w:type="dxa"/>
          </w:tcPr>
          <w:p w14:paraId="56A680B0" w14:textId="77777777" w:rsidR="004D1285" w:rsidRDefault="004D1285" w:rsidP="00AE7A6C">
            <w:pPr>
              <w:rPr>
                <w:sz w:val="21"/>
                <w:szCs w:val="21"/>
              </w:rPr>
            </w:pPr>
          </w:p>
        </w:tc>
        <w:tc>
          <w:tcPr>
            <w:tcW w:w="1440" w:type="dxa"/>
          </w:tcPr>
          <w:p w14:paraId="4CA3B37B" w14:textId="77777777" w:rsidR="004D1285" w:rsidRDefault="004D1285" w:rsidP="007931D9">
            <w:pPr>
              <w:jc w:val="center"/>
              <w:rPr>
                <w:sz w:val="21"/>
                <w:szCs w:val="21"/>
              </w:rPr>
            </w:pPr>
            <w:r>
              <w:rPr>
                <w:sz w:val="21"/>
                <w:szCs w:val="21"/>
              </w:rPr>
              <w:t>/</w:t>
            </w:r>
          </w:p>
        </w:tc>
        <w:tc>
          <w:tcPr>
            <w:tcW w:w="1260" w:type="dxa"/>
          </w:tcPr>
          <w:p w14:paraId="3F2963D4" w14:textId="77777777" w:rsidR="004D1285" w:rsidRDefault="004D1285" w:rsidP="00AE7A6C">
            <w:pPr>
              <w:rPr>
                <w:sz w:val="21"/>
                <w:szCs w:val="21"/>
              </w:rPr>
            </w:pPr>
          </w:p>
        </w:tc>
        <w:tc>
          <w:tcPr>
            <w:tcW w:w="1260" w:type="dxa"/>
          </w:tcPr>
          <w:p w14:paraId="31E7964E" w14:textId="77777777" w:rsidR="004D1285" w:rsidRDefault="004D1285" w:rsidP="007931D9">
            <w:pPr>
              <w:jc w:val="center"/>
              <w:rPr>
                <w:sz w:val="21"/>
                <w:szCs w:val="21"/>
              </w:rPr>
            </w:pPr>
            <w:r>
              <w:rPr>
                <w:sz w:val="21"/>
                <w:szCs w:val="21"/>
              </w:rPr>
              <w:t>/</w:t>
            </w:r>
          </w:p>
        </w:tc>
        <w:tc>
          <w:tcPr>
            <w:tcW w:w="1260" w:type="dxa"/>
          </w:tcPr>
          <w:p w14:paraId="1C7E0375" w14:textId="77777777" w:rsidR="004D1285" w:rsidRDefault="004D1285" w:rsidP="00AE7A6C">
            <w:pPr>
              <w:rPr>
                <w:sz w:val="21"/>
                <w:szCs w:val="21"/>
              </w:rPr>
            </w:pPr>
          </w:p>
        </w:tc>
        <w:tc>
          <w:tcPr>
            <w:tcW w:w="1530" w:type="dxa"/>
          </w:tcPr>
          <w:p w14:paraId="2957602B" w14:textId="77777777" w:rsidR="004D1285" w:rsidRDefault="004D1285" w:rsidP="007931D9">
            <w:pPr>
              <w:jc w:val="center"/>
              <w:rPr>
                <w:sz w:val="21"/>
                <w:szCs w:val="21"/>
              </w:rPr>
            </w:pPr>
            <w:r>
              <w:rPr>
                <w:sz w:val="21"/>
                <w:szCs w:val="21"/>
              </w:rPr>
              <w:t>/</w:t>
            </w:r>
          </w:p>
        </w:tc>
      </w:tr>
      <w:tr w:rsidR="004D1285" w14:paraId="67D2548C" w14:textId="77777777" w:rsidTr="004D1285">
        <w:trPr>
          <w:jc w:val="center"/>
        </w:trPr>
        <w:tc>
          <w:tcPr>
            <w:tcW w:w="1670" w:type="dxa"/>
          </w:tcPr>
          <w:p w14:paraId="6455CFB4" w14:textId="77777777" w:rsidR="004D1285" w:rsidRPr="00D96EE2" w:rsidRDefault="004D1285" w:rsidP="00605132">
            <w:pPr>
              <w:jc w:val="center"/>
              <w:rPr>
                <w:sz w:val="18"/>
                <w:szCs w:val="18"/>
              </w:rPr>
            </w:pPr>
            <w:r w:rsidRPr="00D96EE2">
              <w:rPr>
                <w:sz w:val="18"/>
                <w:szCs w:val="18"/>
              </w:rPr>
              <w:t>3-mo bill</w:t>
            </w:r>
          </w:p>
        </w:tc>
        <w:tc>
          <w:tcPr>
            <w:tcW w:w="1260" w:type="dxa"/>
          </w:tcPr>
          <w:p w14:paraId="76761B8E" w14:textId="77777777" w:rsidR="004D1285" w:rsidRDefault="004D1285" w:rsidP="00AE7A6C">
            <w:pPr>
              <w:rPr>
                <w:sz w:val="21"/>
                <w:szCs w:val="21"/>
              </w:rPr>
            </w:pPr>
          </w:p>
        </w:tc>
        <w:tc>
          <w:tcPr>
            <w:tcW w:w="1440" w:type="dxa"/>
          </w:tcPr>
          <w:p w14:paraId="2C0C1AE9" w14:textId="77777777" w:rsidR="004D1285" w:rsidRDefault="004D1285" w:rsidP="007931D9">
            <w:pPr>
              <w:jc w:val="center"/>
              <w:rPr>
                <w:sz w:val="21"/>
                <w:szCs w:val="21"/>
              </w:rPr>
            </w:pPr>
            <w:r>
              <w:rPr>
                <w:sz w:val="21"/>
                <w:szCs w:val="21"/>
              </w:rPr>
              <w:t>/</w:t>
            </w:r>
          </w:p>
        </w:tc>
        <w:tc>
          <w:tcPr>
            <w:tcW w:w="1260" w:type="dxa"/>
          </w:tcPr>
          <w:p w14:paraId="67712E17" w14:textId="77777777" w:rsidR="004D1285" w:rsidRDefault="004D1285" w:rsidP="00AE7A6C">
            <w:pPr>
              <w:rPr>
                <w:sz w:val="21"/>
                <w:szCs w:val="21"/>
              </w:rPr>
            </w:pPr>
          </w:p>
        </w:tc>
        <w:tc>
          <w:tcPr>
            <w:tcW w:w="1260" w:type="dxa"/>
          </w:tcPr>
          <w:p w14:paraId="7C021333" w14:textId="77777777" w:rsidR="004D1285" w:rsidRDefault="004D1285" w:rsidP="007931D9">
            <w:pPr>
              <w:jc w:val="center"/>
              <w:rPr>
                <w:sz w:val="21"/>
                <w:szCs w:val="21"/>
              </w:rPr>
            </w:pPr>
            <w:r>
              <w:rPr>
                <w:sz w:val="21"/>
                <w:szCs w:val="21"/>
              </w:rPr>
              <w:t>/</w:t>
            </w:r>
          </w:p>
        </w:tc>
        <w:tc>
          <w:tcPr>
            <w:tcW w:w="1260" w:type="dxa"/>
          </w:tcPr>
          <w:p w14:paraId="76A78C7A" w14:textId="77777777" w:rsidR="004D1285" w:rsidRDefault="004D1285" w:rsidP="00AE7A6C">
            <w:pPr>
              <w:rPr>
                <w:sz w:val="21"/>
                <w:szCs w:val="21"/>
              </w:rPr>
            </w:pPr>
          </w:p>
        </w:tc>
        <w:tc>
          <w:tcPr>
            <w:tcW w:w="1530" w:type="dxa"/>
          </w:tcPr>
          <w:p w14:paraId="14C51564" w14:textId="77777777" w:rsidR="004D1285" w:rsidRDefault="004D1285" w:rsidP="007931D9">
            <w:pPr>
              <w:jc w:val="center"/>
              <w:rPr>
                <w:sz w:val="21"/>
                <w:szCs w:val="21"/>
              </w:rPr>
            </w:pPr>
            <w:r>
              <w:rPr>
                <w:sz w:val="21"/>
                <w:szCs w:val="21"/>
              </w:rPr>
              <w:t>/</w:t>
            </w:r>
          </w:p>
        </w:tc>
      </w:tr>
      <w:tr w:rsidR="004D1285" w14:paraId="42DE8ED8" w14:textId="77777777" w:rsidTr="004D1285">
        <w:trPr>
          <w:jc w:val="center"/>
        </w:trPr>
        <w:tc>
          <w:tcPr>
            <w:tcW w:w="1670" w:type="dxa"/>
          </w:tcPr>
          <w:p w14:paraId="0B027A0C" w14:textId="77777777" w:rsidR="004D1285" w:rsidRPr="00D96EE2" w:rsidRDefault="004D1285" w:rsidP="00605132">
            <w:pPr>
              <w:jc w:val="center"/>
              <w:rPr>
                <w:sz w:val="18"/>
                <w:szCs w:val="18"/>
              </w:rPr>
            </w:pPr>
            <w:r w:rsidRPr="00D96EE2">
              <w:rPr>
                <w:sz w:val="18"/>
                <w:szCs w:val="18"/>
              </w:rPr>
              <w:t>6-mo bill</w:t>
            </w:r>
          </w:p>
        </w:tc>
        <w:tc>
          <w:tcPr>
            <w:tcW w:w="1260" w:type="dxa"/>
          </w:tcPr>
          <w:p w14:paraId="131B69C4" w14:textId="77777777" w:rsidR="004D1285" w:rsidRDefault="004D1285" w:rsidP="00AE7A6C">
            <w:pPr>
              <w:rPr>
                <w:sz w:val="21"/>
                <w:szCs w:val="21"/>
              </w:rPr>
            </w:pPr>
          </w:p>
        </w:tc>
        <w:tc>
          <w:tcPr>
            <w:tcW w:w="1440" w:type="dxa"/>
          </w:tcPr>
          <w:p w14:paraId="1DB5397B" w14:textId="77777777" w:rsidR="004D1285" w:rsidRDefault="004D1285" w:rsidP="007931D9">
            <w:pPr>
              <w:jc w:val="center"/>
              <w:rPr>
                <w:sz w:val="21"/>
                <w:szCs w:val="21"/>
              </w:rPr>
            </w:pPr>
            <w:r>
              <w:rPr>
                <w:sz w:val="21"/>
                <w:szCs w:val="21"/>
              </w:rPr>
              <w:t>/</w:t>
            </w:r>
          </w:p>
        </w:tc>
        <w:tc>
          <w:tcPr>
            <w:tcW w:w="1260" w:type="dxa"/>
          </w:tcPr>
          <w:p w14:paraId="4C6ADCC7" w14:textId="77777777" w:rsidR="004D1285" w:rsidRDefault="004D1285" w:rsidP="00AE7A6C">
            <w:pPr>
              <w:rPr>
                <w:sz w:val="21"/>
                <w:szCs w:val="21"/>
              </w:rPr>
            </w:pPr>
          </w:p>
        </w:tc>
        <w:tc>
          <w:tcPr>
            <w:tcW w:w="1260" w:type="dxa"/>
          </w:tcPr>
          <w:p w14:paraId="3AA4A7DE" w14:textId="77777777" w:rsidR="004D1285" w:rsidRDefault="004D1285" w:rsidP="007931D9">
            <w:pPr>
              <w:jc w:val="center"/>
              <w:rPr>
                <w:sz w:val="21"/>
                <w:szCs w:val="21"/>
              </w:rPr>
            </w:pPr>
            <w:r>
              <w:rPr>
                <w:sz w:val="21"/>
                <w:szCs w:val="21"/>
              </w:rPr>
              <w:t>/</w:t>
            </w:r>
          </w:p>
        </w:tc>
        <w:tc>
          <w:tcPr>
            <w:tcW w:w="1260" w:type="dxa"/>
          </w:tcPr>
          <w:p w14:paraId="59C8C6DD" w14:textId="77777777" w:rsidR="004D1285" w:rsidRDefault="004D1285" w:rsidP="00AE7A6C">
            <w:pPr>
              <w:rPr>
                <w:sz w:val="21"/>
                <w:szCs w:val="21"/>
              </w:rPr>
            </w:pPr>
          </w:p>
        </w:tc>
        <w:tc>
          <w:tcPr>
            <w:tcW w:w="1530" w:type="dxa"/>
          </w:tcPr>
          <w:p w14:paraId="0681F69D" w14:textId="77777777" w:rsidR="004D1285" w:rsidRDefault="004D1285" w:rsidP="007931D9">
            <w:pPr>
              <w:jc w:val="center"/>
              <w:rPr>
                <w:sz w:val="21"/>
                <w:szCs w:val="21"/>
              </w:rPr>
            </w:pPr>
            <w:r>
              <w:rPr>
                <w:sz w:val="21"/>
                <w:szCs w:val="21"/>
              </w:rPr>
              <w:t>/</w:t>
            </w:r>
          </w:p>
        </w:tc>
      </w:tr>
      <w:tr w:rsidR="004D1285" w14:paraId="50E1CE4B" w14:textId="77777777" w:rsidTr="004D1285">
        <w:trPr>
          <w:jc w:val="center"/>
        </w:trPr>
        <w:tc>
          <w:tcPr>
            <w:tcW w:w="1670" w:type="dxa"/>
          </w:tcPr>
          <w:p w14:paraId="6F1ADBF1" w14:textId="77777777" w:rsidR="004D1285" w:rsidRPr="00D96EE2" w:rsidRDefault="004D1285" w:rsidP="00605132">
            <w:pPr>
              <w:jc w:val="center"/>
              <w:rPr>
                <w:sz w:val="18"/>
                <w:szCs w:val="18"/>
              </w:rPr>
            </w:pPr>
            <w:r w:rsidRPr="00D96EE2">
              <w:rPr>
                <w:sz w:val="18"/>
                <w:szCs w:val="18"/>
              </w:rPr>
              <w:t>1-year bill</w:t>
            </w:r>
          </w:p>
        </w:tc>
        <w:tc>
          <w:tcPr>
            <w:tcW w:w="1260" w:type="dxa"/>
          </w:tcPr>
          <w:p w14:paraId="3A312401" w14:textId="77777777" w:rsidR="004D1285" w:rsidRDefault="004D1285" w:rsidP="00AE7A6C">
            <w:pPr>
              <w:rPr>
                <w:sz w:val="21"/>
                <w:szCs w:val="21"/>
              </w:rPr>
            </w:pPr>
          </w:p>
        </w:tc>
        <w:tc>
          <w:tcPr>
            <w:tcW w:w="1440" w:type="dxa"/>
          </w:tcPr>
          <w:p w14:paraId="0A3F0020" w14:textId="77777777" w:rsidR="004D1285" w:rsidRDefault="004D1285" w:rsidP="007931D9">
            <w:pPr>
              <w:jc w:val="center"/>
              <w:rPr>
                <w:sz w:val="21"/>
                <w:szCs w:val="21"/>
              </w:rPr>
            </w:pPr>
            <w:r>
              <w:rPr>
                <w:sz w:val="21"/>
                <w:szCs w:val="21"/>
              </w:rPr>
              <w:t>/</w:t>
            </w:r>
          </w:p>
        </w:tc>
        <w:tc>
          <w:tcPr>
            <w:tcW w:w="1260" w:type="dxa"/>
          </w:tcPr>
          <w:p w14:paraId="2DF48339" w14:textId="77777777" w:rsidR="004D1285" w:rsidRDefault="004D1285" w:rsidP="00AE7A6C">
            <w:pPr>
              <w:rPr>
                <w:sz w:val="21"/>
                <w:szCs w:val="21"/>
              </w:rPr>
            </w:pPr>
          </w:p>
        </w:tc>
        <w:tc>
          <w:tcPr>
            <w:tcW w:w="1260" w:type="dxa"/>
          </w:tcPr>
          <w:p w14:paraId="185AF302" w14:textId="77777777" w:rsidR="004D1285" w:rsidRDefault="004D1285" w:rsidP="007931D9">
            <w:pPr>
              <w:jc w:val="center"/>
              <w:rPr>
                <w:sz w:val="21"/>
                <w:szCs w:val="21"/>
              </w:rPr>
            </w:pPr>
            <w:r>
              <w:rPr>
                <w:sz w:val="21"/>
                <w:szCs w:val="21"/>
              </w:rPr>
              <w:t>/</w:t>
            </w:r>
          </w:p>
        </w:tc>
        <w:tc>
          <w:tcPr>
            <w:tcW w:w="1260" w:type="dxa"/>
          </w:tcPr>
          <w:p w14:paraId="74294A46" w14:textId="77777777" w:rsidR="004D1285" w:rsidRDefault="004D1285" w:rsidP="00AE7A6C">
            <w:pPr>
              <w:rPr>
                <w:sz w:val="21"/>
                <w:szCs w:val="21"/>
              </w:rPr>
            </w:pPr>
          </w:p>
        </w:tc>
        <w:tc>
          <w:tcPr>
            <w:tcW w:w="1530" w:type="dxa"/>
          </w:tcPr>
          <w:p w14:paraId="6F134242" w14:textId="77777777" w:rsidR="004D1285" w:rsidRDefault="004D1285" w:rsidP="007931D9">
            <w:pPr>
              <w:jc w:val="center"/>
              <w:rPr>
                <w:sz w:val="21"/>
                <w:szCs w:val="21"/>
              </w:rPr>
            </w:pPr>
            <w:r>
              <w:rPr>
                <w:sz w:val="21"/>
                <w:szCs w:val="21"/>
              </w:rPr>
              <w:t>/</w:t>
            </w:r>
          </w:p>
        </w:tc>
      </w:tr>
    </w:tbl>
    <w:p w14:paraId="01B3F7E1" w14:textId="77777777" w:rsidR="00AE7A6C" w:rsidRDefault="00E871CB" w:rsidP="00E871CB">
      <w:pPr>
        <w:rPr>
          <w:sz w:val="21"/>
          <w:szCs w:val="21"/>
        </w:rPr>
      </w:pPr>
      <w:r>
        <w:rPr>
          <w:sz w:val="21"/>
          <w:szCs w:val="21"/>
        </w:rPr>
        <w:t xml:space="preserve">  </w:t>
      </w:r>
      <w:r w:rsidR="00AE7A6C">
        <w:rPr>
          <w:sz w:val="21"/>
          <w:szCs w:val="21"/>
        </w:rPr>
        <w:t xml:space="preserve">    </w:t>
      </w:r>
    </w:p>
    <w:p w14:paraId="29D49F2A" w14:textId="77777777" w:rsidR="00241B8F" w:rsidRDefault="00241B8F" w:rsidP="00E871CB">
      <w:pPr>
        <w:rPr>
          <w:sz w:val="21"/>
          <w:szCs w:val="21"/>
        </w:rPr>
      </w:pPr>
    </w:p>
    <w:p w14:paraId="2EFD7281" w14:textId="77777777" w:rsidR="00241B8F" w:rsidRDefault="00241B8F" w:rsidP="00E871CB">
      <w:pPr>
        <w:rPr>
          <w:sz w:val="21"/>
          <w:szCs w:val="21"/>
        </w:rPr>
      </w:pPr>
    </w:p>
    <w:p w14:paraId="77774267" w14:textId="77777777" w:rsidR="00241B8F" w:rsidRDefault="00241B8F" w:rsidP="00E871CB">
      <w:pPr>
        <w:rPr>
          <w:sz w:val="21"/>
          <w:szCs w:val="21"/>
        </w:rPr>
      </w:pPr>
    </w:p>
    <w:p w14:paraId="495A3D8F" w14:textId="77777777" w:rsidR="00241B8F" w:rsidRDefault="00241B8F" w:rsidP="00E871CB">
      <w:pPr>
        <w:rPr>
          <w:sz w:val="21"/>
          <w:szCs w:val="21"/>
        </w:rPr>
      </w:pPr>
    </w:p>
    <w:p w14:paraId="25F863E7" w14:textId="77777777" w:rsidR="00241B8F" w:rsidRDefault="00241B8F" w:rsidP="00E871CB">
      <w:pPr>
        <w:rPr>
          <w:sz w:val="21"/>
          <w:szCs w:val="21"/>
        </w:rPr>
      </w:pPr>
    </w:p>
    <w:p w14:paraId="451D5D4C" w14:textId="77777777" w:rsidR="00241B8F" w:rsidRDefault="00241B8F" w:rsidP="00E871CB">
      <w:pPr>
        <w:rPr>
          <w:sz w:val="21"/>
          <w:szCs w:val="21"/>
        </w:rPr>
      </w:pPr>
    </w:p>
    <w:p w14:paraId="42D41366" w14:textId="77777777" w:rsidR="00A83278" w:rsidRDefault="00A83278" w:rsidP="00E871CB">
      <w:pPr>
        <w:rPr>
          <w:sz w:val="21"/>
          <w:szCs w:val="21"/>
        </w:rPr>
      </w:pPr>
    </w:p>
    <w:p w14:paraId="5CF90326" w14:textId="77777777" w:rsidR="00A83278" w:rsidRDefault="00A83278" w:rsidP="00E871CB">
      <w:pPr>
        <w:rPr>
          <w:sz w:val="21"/>
          <w:szCs w:val="21"/>
        </w:rPr>
      </w:pPr>
    </w:p>
    <w:p w14:paraId="57FAB380" w14:textId="77777777" w:rsidR="00A83278" w:rsidRDefault="00A83278" w:rsidP="00E871CB">
      <w:pPr>
        <w:rPr>
          <w:sz w:val="21"/>
          <w:szCs w:val="21"/>
        </w:rPr>
      </w:pPr>
    </w:p>
    <w:p w14:paraId="47C52884" w14:textId="77777777" w:rsidR="00A83278" w:rsidRDefault="00A83278" w:rsidP="00E871CB">
      <w:pPr>
        <w:rPr>
          <w:sz w:val="21"/>
          <w:szCs w:val="21"/>
        </w:rPr>
      </w:pPr>
    </w:p>
    <w:p w14:paraId="71B022D2" w14:textId="77777777" w:rsidR="00A83278" w:rsidRDefault="00A83278" w:rsidP="00E871CB">
      <w:pPr>
        <w:rPr>
          <w:sz w:val="21"/>
          <w:szCs w:val="21"/>
        </w:rPr>
      </w:pPr>
    </w:p>
    <w:p w14:paraId="0D34CE73" w14:textId="77777777" w:rsidR="00A83278" w:rsidRDefault="00A83278" w:rsidP="00E871CB">
      <w:pPr>
        <w:rPr>
          <w:sz w:val="21"/>
          <w:szCs w:val="21"/>
        </w:rPr>
      </w:pPr>
    </w:p>
    <w:p w14:paraId="3DE0C481" w14:textId="77777777" w:rsidR="00A83278" w:rsidRDefault="00A83278" w:rsidP="00E871CB">
      <w:pPr>
        <w:rPr>
          <w:sz w:val="21"/>
          <w:szCs w:val="21"/>
        </w:rPr>
      </w:pPr>
    </w:p>
    <w:p w14:paraId="72DF6193" w14:textId="77777777" w:rsidR="00A83278" w:rsidRDefault="00A83278" w:rsidP="00E871CB">
      <w:pPr>
        <w:rPr>
          <w:sz w:val="21"/>
          <w:szCs w:val="21"/>
        </w:rPr>
      </w:pPr>
    </w:p>
    <w:p w14:paraId="353B71DD" w14:textId="77777777" w:rsidR="00241B8F" w:rsidRDefault="00241B8F" w:rsidP="00E871CB">
      <w:pPr>
        <w:rPr>
          <w:sz w:val="21"/>
          <w:szCs w:val="21"/>
        </w:rPr>
      </w:pPr>
    </w:p>
    <w:p w14:paraId="448BFC48" w14:textId="77777777" w:rsidR="00241B8F" w:rsidRDefault="00241B8F" w:rsidP="00E871CB">
      <w:pPr>
        <w:rPr>
          <w:sz w:val="21"/>
          <w:szCs w:val="21"/>
        </w:rPr>
      </w:pPr>
    </w:p>
    <w:p w14:paraId="527E2B87" w14:textId="1E266A98" w:rsidR="00241B8F" w:rsidRDefault="00241B8F" w:rsidP="00241B8F">
      <w:pPr>
        <w:rPr>
          <w:rFonts w:eastAsiaTheme="minorHAnsi"/>
        </w:rPr>
      </w:pPr>
      <w:r w:rsidRPr="00241B8F">
        <w:rPr>
          <w:rFonts w:eastAsiaTheme="minorHAnsi"/>
          <w:i/>
          <w:color w:val="FF0000"/>
          <w:sz w:val="20"/>
        </w:rPr>
        <w:t xml:space="preserve">Public reporting burden for this collection of information is estimated to average </w:t>
      </w:r>
      <w:r w:rsidR="000A3E95">
        <w:rPr>
          <w:rFonts w:eastAsiaTheme="minorHAnsi"/>
          <w:i/>
          <w:color w:val="FF0000"/>
          <w:sz w:val="20"/>
        </w:rPr>
        <w:t>2 hours</w:t>
      </w:r>
      <w:r w:rsidRPr="00241B8F">
        <w:rPr>
          <w:rFonts w:eastAsiaTheme="minorHAnsi"/>
          <w:i/>
          <w:color w:val="FF0000"/>
          <w:sz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valid OMB control number. The valid OMB control number for this information is </w:t>
      </w:r>
      <w:r w:rsidRPr="00241B8F">
        <w:rPr>
          <w:rFonts w:eastAsiaTheme="minorHAnsi"/>
          <w:i/>
          <w:color w:val="FF0000"/>
          <w:sz w:val="20"/>
          <w:highlight w:val="yellow"/>
        </w:rPr>
        <w:t>XXX-XXXX</w:t>
      </w:r>
      <w:r w:rsidRPr="00241B8F">
        <w:rPr>
          <w:rFonts w:eastAsiaTheme="minorHAnsi"/>
          <w:i/>
          <w:color w:val="FF0000"/>
          <w:sz w:val="20"/>
        </w:rPr>
        <w:t xml:space="preserve">. Send comments regarding this burden estimate or any other aspect of this collection of information, including suggestions for reducing this burden, to </w:t>
      </w:r>
      <w:r w:rsidR="00A83278">
        <w:rPr>
          <w:rFonts w:eastAsiaTheme="minorHAnsi"/>
          <w:i/>
          <w:color w:val="FF0000"/>
          <w:sz w:val="20"/>
        </w:rPr>
        <w:t xml:space="preserve">the Department of the Treasury (Office of Debt Management, 1500 Pennsylvania Avenue NW, </w:t>
      </w:r>
      <w:r w:rsidR="00A83278" w:rsidRPr="00A83278">
        <w:rPr>
          <w:rFonts w:eastAsiaTheme="minorHAnsi"/>
          <w:i/>
          <w:color w:val="FF0000"/>
          <w:sz w:val="20"/>
        </w:rPr>
        <w:t>Washington, DC 20220</w:t>
      </w:r>
      <w:r w:rsidRPr="00A83278">
        <w:rPr>
          <w:rFonts w:eastAsiaTheme="minorHAnsi"/>
          <w:i/>
          <w:color w:val="FF0000"/>
          <w:sz w:val="20"/>
        </w:rPr>
        <w:t>).</w:t>
      </w:r>
    </w:p>
    <w:p w14:paraId="5CEAD118" w14:textId="550153EC" w:rsidR="00241B8F" w:rsidRPr="00561910" w:rsidRDefault="00241B8F" w:rsidP="00241B8F">
      <w:pPr>
        <w:rPr>
          <w:rFonts w:eastAsiaTheme="minorHAnsi"/>
        </w:rPr>
      </w:pPr>
    </w:p>
    <w:sectPr w:rsidR="00241B8F" w:rsidRPr="00561910" w:rsidSect="00E76F40">
      <w:pgSz w:w="12240" w:h="15840"/>
      <w:pgMar w:top="245" w:right="346" w:bottom="245"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6EE7F" w14:textId="77777777" w:rsidR="00223649" w:rsidRDefault="00223649" w:rsidP="0046332A">
      <w:r>
        <w:separator/>
      </w:r>
    </w:p>
  </w:endnote>
  <w:endnote w:type="continuationSeparator" w:id="0">
    <w:p w14:paraId="5780452D" w14:textId="77777777" w:rsidR="00223649" w:rsidRDefault="00223649" w:rsidP="0046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85517" w14:textId="77777777" w:rsidR="00223649" w:rsidRDefault="00223649" w:rsidP="0046332A">
      <w:r>
        <w:separator/>
      </w:r>
    </w:p>
  </w:footnote>
  <w:footnote w:type="continuationSeparator" w:id="0">
    <w:p w14:paraId="6BA553E2" w14:textId="77777777" w:rsidR="00223649" w:rsidRDefault="00223649" w:rsidP="00463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7C1736"/>
    <w:multiLevelType w:val="hybridMultilevel"/>
    <w:tmpl w:val="5D32AF02"/>
    <w:lvl w:ilvl="0" w:tplc="FEF0F166">
      <w:start w:val="1"/>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35FC7"/>
    <w:multiLevelType w:val="hybridMultilevel"/>
    <w:tmpl w:val="FFBECED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665212B"/>
    <w:multiLevelType w:val="hybridMultilevel"/>
    <w:tmpl w:val="6994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B976B80"/>
    <w:multiLevelType w:val="hybridMultilevel"/>
    <w:tmpl w:val="03BC8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C40791"/>
    <w:multiLevelType w:val="hybridMultilevel"/>
    <w:tmpl w:val="6994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3"/>
  </w:num>
  <w:num w:numId="7">
    <w:abstractNumId w:val="5"/>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56"/>
    <w:rsid w:val="0000054E"/>
    <w:rsid w:val="000007F2"/>
    <w:rsid w:val="00002A17"/>
    <w:rsid w:val="00002ADD"/>
    <w:rsid w:val="0000337C"/>
    <w:rsid w:val="000055BB"/>
    <w:rsid w:val="000067F2"/>
    <w:rsid w:val="00010E85"/>
    <w:rsid w:val="000116B7"/>
    <w:rsid w:val="00014F21"/>
    <w:rsid w:val="000151BD"/>
    <w:rsid w:val="00021F18"/>
    <w:rsid w:val="0002261A"/>
    <w:rsid w:val="000244C9"/>
    <w:rsid w:val="00025E8D"/>
    <w:rsid w:val="0003141D"/>
    <w:rsid w:val="00031DCF"/>
    <w:rsid w:val="000326EB"/>
    <w:rsid w:val="00033652"/>
    <w:rsid w:val="0003391B"/>
    <w:rsid w:val="000357CB"/>
    <w:rsid w:val="00036E17"/>
    <w:rsid w:val="00040C25"/>
    <w:rsid w:val="000415F7"/>
    <w:rsid w:val="000454E8"/>
    <w:rsid w:val="000458A1"/>
    <w:rsid w:val="00053EDF"/>
    <w:rsid w:val="00054035"/>
    <w:rsid w:val="00054D55"/>
    <w:rsid w:val="000569E6"/>
    <w:rsid w:val="00057241"/>
    <w:rsid w:val="00057AD5"/>
    <w:rsid w:val="00061166"/>
    <w:rsid w:val="0006219E"/>
    <w:rsid w:val="00062992"/>
    <w:rsid w:val="00070CD2"/>
    <w:rsid w:val="00075CC9"/>
    <w:rsid w:val="000767C2"/>
    <w:rsid w:val="00083B6F"/>
    <w:rsid w:val="00083F4B"/>
    <w:rsid w:val="0008490B"/>
    <w:rsid w:val="00085FC8"/>
    <w:rsid w:val="00091237"/>
    <w:rsid w:val="000914E5"/>
    <w:rsid w:val="000927D7"/>
    <w:rsid w:val="00095EA5"/>
    <w:rsid w:val="00097505"/>
    <w:rsid w:val="000979B9"/>
    <w:rsid w:val="000A0A2F"/>
    <w:rsid w:val="000A1F0D"/>
    <w:rsid w:val="000A3986"/>
    <w:rsid w:val="000A3E95"/>
    <w:rsid w:val="000A4792"/>
    <w:rsid w:val="000A7440"/>
    <w:rsid w:val="000B07C6"/>
    <w:rsid w:val="000B1C03"/>
    <w:rsid w:val="000B3573"/>
    <w:rsid w:val="000B41E5"/>
    <w:rsid w:val="000B41E9"/>
    <w:rsid w:val="000B421D"/>
    <w:rsid w:val="000B602A"/>
    <w:rsid w:val="000B68A6"/>
    <w:rsid w:val="000C0D07"/>
    <w:rsid w:val="000C409F"/>
    <w:rsid w:val="000C4BD1"/>
    <w:rsid w:val="000C6754"/>
    <w:rsid w:val="000D08D3"/>
    <w:rsid w:val="000D1E9C"/>
    <w:rsid w:val="000D3269"/>
    <w:rsid w:val="000D56AC"/>
    <w:rsid w:val="000D5E34"/>
    <w:rsid w:val="000D6D6D"/>
    <w:rsid w:val="000E2B54"/>
    <w:rsid w:val="000E3167"/>
    <w:rsid w:val="000E4793"/>
    <w:rsid w:val="000E6B53"/>
    <w:rsid w:val="000E6BA4"/>
    <w:rsid w:val="000F00AF"/>
    <w:rsid w:val="000F141F"/>
    <w:rsid w:val="000F1535"/>
    <w:rsid w:val="000F1785"/>
    <w:rsid w:val="000F2575"/>
    <w:rsid w:val="000F41C6"/>
    <w:rsid w:val="000F4408"/>
    <w:rsid w:val="000F5483"/>
    <w:rsid w:val="000F72E6"/>
    <w:rsid w:val="0010526B"/>
    <w:rsid w:val="001052B2"/>
    <w:rsid w:val="0010594B"/>
    <w:rsid w:val="00105D78"/>
    <w:rsid w:val="0010656A"/>
    <w:rsid w:val="00107065"/>
    <w:rsid w:val="001075BC"/>
    <w:rsid w:val="00111904"/>
    <w:rsid w:val="0011281C"/>
    <w:rsid w:val="00120128"/>
    <w:rsid w:val="00120688"/>
    <w:rsid w:val="00122A05"/>
    <w:rsid w:val="00126B70"/>
    <w:rsid w:val="00126DC6"/>
    <w:rsid w:val="00127A83"/>
    <w:rsid w:val="00131C2B"/>
    <w:rsid w:val="00132E0D"/>
    <w:rsid w:val="001340E5"/>
    <w:rsid w:val="00134DDD"/>
    <w:rsid w:val="001363FD"/>
    <w:rsid w:val="00140730"/>
    <w:rsid w:val="00144298"/>
    <w:rsid w:val="0014614B"/>
    <w:rsid w:val="00147EC7"/>
    <w:rsid w:val="00152220"/>
    <w:rsid w:val="00152787"/>
    <w:rsid w:val="00154C05"/>
    <w:rsid w:val="00156F78"/>
    <w:rsid w:val="00157D88"/>
    <w:rsid w:val="00157E5B"/>
    <w:rsid w:val="00161AD7"/>
    <w:rsid w:val="0016311B"/>
    <w:rsid w:val="00165080"/>
    <w:rsid w:val="00170182"/>
    <w:rsid w:val="00171326"/>
    <w:rsid w:val="001719B9"/>
    <w:rsid w:val="00171D07"/>
    <w:rsid w:val="00171F91"/>
    <w:rsid w:val="001738F0"/>
    <w:rsid w:val="00173991"/>
    <w:rsid w:val="00173FE3"/>
    <w:rsid w:val="00174418"/>
    <w:rsid w:val="001757E8"/>
    <w:rsid w:val="00177700"/>
    <w:rsid w:val="00177728"/>
    <w:rsid w:val="00177F0D"/>
    <w:rsid w:val="0018224F"/>
    <w:rsid w:val="00182636"/>
    <w:rsid w:val="00183037"/>
    <w:rsid w:val="00185F44"/>
    <w:rsid w:val="00186AC1"/>
    <w:rsid w:val="0018708B"/>
    <w:rsid w:val="001876FE"/>
    <w:rsid w:val="0019119E"/>
    <w:rsid w:val="00191CEC"/>
    <w:rsid w:val="001945E6"/>
    <w:rsid w:val="001978BC"/>
    <w:rsid w:val="001A04F3"/>
    <w:rsid w:val="001A133D"/>
    <w:rsid w:val="001A4AF6"/>
    <w:rsid w:val="001A6EAC"/>
    <w:rsid w:val="001B0963"/>
    <w:rsid w:val="001B25BD"/>
    <w:rsid w:val="001B4CEC"/>
    <w:rsid w:val="001B7C36"/>
    <w:rsid w:val="001C12AC"/>
    <w:rsid w:val="001C2163"/>
    <w:rsid w:val="001C4CC7"/>
    <w:rsid w:val="001C5540"/>
    <w:rsid w:val="001C5578"/>
    <w:rsid w:val="001C6B4F"/>
    <w:rsid w:val="001C76C0"/>
    <w:rsid w:val="001D21EA"/>
    <w:rsid w:val="001D2A9B"/>
    <w:rsid w:val="001D32F9"/>
    <w:rsid w:val="001D618A"/>
    <w:rsid w:val="001D7C1F"/>
    <w:rsid w:val="001E3DA7"/>
    <w:rsid w:val="001E3EB1"/>
    <w:rsid w:val="001E425B"/>
    <w:rsid w:val="001E52BE"/>
    <w:rsid w:val="001E5A8C"/>
    <w:rsid w:val="001E5B18"/>
    <w:rsid w:val="001F0617"/>
    <w:rsid w:val="001F1440"/>
    <w:rsid w:val="001F276A"/>
    <w:rsid w:val="001F394C"/>
    <w:rsid w:val="001F5046"/>
    <w:rsid w:val="001F5E08"/>
    <w:rsid w:val="001F662F"/>
    <w:rsid w:val="00200CB2"/>
    <w:rsid w:val="002013CB"/>
    <w:rsid w:val="00202BFA"/>
    <w:rsid w:val="002037AB"/>
    <w:rsid w:val="00203A0C"/>
    <w:rsid w:val="00203D44"/>
    <w:rsid w:val="00204820"/>
    <w:rsid w:val="00207129"/>
    <w:rsid w:val="00207840"/>
    <w:rsid w:val="002117FA"/>
    <w:rsid w:val="0021278A"/>
    <w:rsid w:val="00212B8F"/>
    <w:rsid w:val="00213BAB"/>
    <w:rsid w:val="002166BB"/>
    <w:rsid w:val="00222AAB"/>
    <w:rsid w:val="00223649"/>
    <w:rsid w:val="0022527D"/>
    <w:rsid w:val="00230B4F"/>
    <w:rsid w:val="00230D9D"/>
    <w:rsid w:val="00231875"/>
    <w:rsid w:val="0023214B"/>
    <w:rsid w:val="00233219"/>
    <w:rsid w:val="00240174"/>
    <w:rsid w:val="00241B8F"/>
    <w:rsid w:val="00241D23"/>
    <w:rsid w:val="00243307"/>
    <w:rsid w:val="0024344D"/>
    <w:rsid w:val="00244423"/>
    <w:rsid w:val="00244FF3"/>
    <w:rsid w:val="002512B2"/>
    <w:rsid w:val="002549C2"/>
    <w:rsid w:val="00254BBC"/>
    <w:rsid w:val="00256E61"/>
    <w:rsid w:val="002570A1"/>
    <w:rsid w:val="00260159"/>
    <w:rsid w:val="0026273D"/>
    <w:rsid w:val="00264F74"/>
    <w:rsid w:val="002707D0"/>
    <w:rsid w:val="00271521"/>
    <w:rsid w:val="00276CAA"/>
    <w:rsid w:val="002776EB"/>
    <w:rsid w:val="00292909"/>
    <w:rsid w:val="002937AB"/>
    <w:rsid w:val="00294CFC"/>
    <w:rsid w:val="00296433"/>
    <w:rsid w:val="00296D77"/>
    <w:rsid w:val="0029782A"/>
    <w:rsid w:val="002A1B63"/>
    <w:rsid w:val="002A21CE"/>
    <w:rsid w:val="002A388E"/>
    <w:rsid w:val="002A4C18"/>
    <w:rsid w:val="002A67BC"/>
    <w:rsid w:val="002A7623"/>
    <w:rsid w:val="002A7907"/>
    <w:rsid w:val="002A7A04"/>
    <w:rsid w:val="002A7B8D"/>
    <w:rsid w:val="002B071A"/>
    <w:rsid w:val="002B0F86"/>
    <w:rsid w:val="002B15A2"/>
    <w:rsid w:val="002B18BE"/>
    <w:rsid w:val="002B28E0"/>
    <w:rsid w:val="002B4918"/>
    <w:rsid w:val="002C1490"/>
    <w:rsid w:val="002C2A95"/>
    <w:rsid w:val="002C40C0"/>
    <w:rsid w:val="002C41D1"/>
    <w:rsid w:val="002D0EE2"/>
    <w:rsid w:val="002D2706"/>
    <w:rsid w:val="002D3070"/>
    <w:rsid w:val="002D357C"/>
    <w:rsid w:val="002E0BBC"/>
    <w:rsid w:val="002E0F4A"/>
    <w:rsid w:val="002E28CE"/>
    <w:rsid w:val="002E3D43"/>
    <w:rsid w:val="002E54F0"/>
    <w:rsid w:val="002E76F6"/>
    <w:rsid w:val="002F0A7D"/>
    <w:rsid w:val="002F1108"/>
    <w:rsid w:val="002F2CF7"/>
    <w:rsid w:val="002F541B"/>
    <w:rsid w:val="002F6349"/>
    <w:rsid w:val="002F6BCA"/>
    <w:rsid w:val="00302AD6"/>
    <w:rsid w:val="00302B11"/>
    <w:rsid w:val="00305FF8"/>
    <w:rsid w:val="00306B7B"/>
    <w:rsid w:val="00310CF6"/>
    <w:rsid w:val="00311539"/>
    <w:rsid w:val="00313894"/>
    <w:rsid w:val="00313E59"/>
    <w:rsid w:val="00314621"/>
    <w:rsid w:val="00316134"/>
    <w:rsid w:val="003163EC"/>
    <w:rsid w:val="00316A40"/>
    <w:rsid w:val="00316B98"/>
    <w:rsid w:val="00316E47"/>
    <w:rsid w:val="00320094"/>
    <w:rsid w:val="00325C1A"/>
    <w:rsid w:val="00325D89"/>
    <w:rsid w:val="00331F31"/>
    <w:rsid w:val="00333471"/>
    <w:rsid w:val="00334915"/>
    <w:rsid w:val="0034281D"/>
    <w:rsid w:val="00346B9C"/>
    <w:rsid w:val="00347CB1"/>
    <w:rsid w:val="00350369"/>
    <w:rsid w:val="0035045E"/>
    <w:rsid w:val="00350ACD"/>
    <w:rsid w:val="00354082"/>
    <w:rsid w:val="003546CD"/>
    <w:rsid w:val="00355ECC"/>
    <w:rsid w:val="00356044"/>
    <w:rsid w:val="00361B79"/>
    <w:rsid w:val="00361D51"/>
    <w:rsid w:val="00361F30"/>
    <w:rsid w:val="00362D8C"/>
    <w:rsid w:val="003636E8"/>
    <w:rsid w:val="00363F97"/>
    <w:rsid w:val="00364691"/>
    <w:rsid w:val="00364840"/>
    <w:rsid w:val="003664D5"/>
    <w:rsid w:val="00366C6B"/>
    <w:rsid w:val="00370597"/>
    <w:rsid w:val="00371053"/>
    <w:rsid w:val="003732AD"/>
    <w:rsid w:val="003733E6"/>
    <w:rsid w:val="003746F0"/>
    <w:rsid w:val="00377800"/>
    <w:rsid w:val="0038011B"/>
    <w:rsid w:val="00380969"/>
    <w:rsid w:val="003811D8"/>
    <w:rsid w:val="00383E84"/>
    <w:rsid w:val="00385281"/>
    <w:rsid w:val="00385522"/>
    <w:rsid w:val="00385CE1"/>
    <w:rsid w:val="00385EF5"/>
    <w:rsid w:val="0038627D"/>
    <w:rsid w:val="0039024A"/>
    <w:rsid w:val="003902FB"/>
    <w:rsid w:val="003905A6"/>
    <w:rsid w:val="00390CBD"/>
    <w:rsid w:val="00390F17"/>
    <w:rsid w:val="003914C8"/>
    <w:rsid w:val="003946C2"/>
    <w:rsid w:val="003952E1"/>
    <w:rsid w:val="00395FE7"/>
    <w:rsid w:val="003A0717"/>
    <w:rsid w:val="003A0CCA"/>
    <w:rsid w:val="003A2A38"/>
    <w:rsid w:val="003A5189"/>
    <w:rsid w:val="003B088E"/>
    <w:rsid w:val="003B24BC"/>
    <w:rsid w:val="003B4D09"/>
    <w:rsid w:val="003B5297"/>
    <w:rsid w:val="003B5ED8"/>
    <w:rsid w:val="003B745A"/>
    <w:rsid w:val="003C5D90"/>
    <w:rsid w:val="003C7AC5"/>
    <w:rsid w:val="003D2A53"/>
    <w:rsid w:val="003D5844"/>
    <w:rsid w:val="003D586C"/>
    <w:rsid w:val="003E5908"/>
    <w:rsid w:val="003E6F69"/>
    <w:rsid w:val="003E7908"/>
    <w:rsid w:val="003E7A9A"/>
    <w:rsid w:val="003F0489"/>
    <w:rsid w:val="003F0FD4"/>
    <w:rsid w:val="003F2CB8"/>
    <w:rsid w:val="003F3359"/>
    <w:rsid w:val="003F344E"/>
    <w:rsid w:val="003F4847"/>
    <w:rsid w:val="003F75AF"/>
    <w:rsid w:val="003F7ACC"/>
    <w:rsid w:val="00402743"/>
    <w:rsid w:val="0040490D"/>
    <w:rsid w:val="004055CB"/>
    <w:rsid w:val="00406A42"/>
    <w:rsid w:val="00411D9B"/>
    <w:rsid w:val="00412462"/>
    <w:rsid w:val="00412A18"/>
    <w:rsid w:val="00412EF5"/>
    <w:rsid w:val="00413DE4"/>
    <w:rsid w:val="004146A3"/>
    <w:rsid w:val="00415C9F"/>
    <w:rsid w:val="00416073"/>
    <w:rsid w:val="0041640E"/>
    <w:rsid w:val="00416C79"/>
    <w:rsid w:val="00417908"/>
    <w:rsid w:val="00417B31"/>
    <w:rsid w:val="00420FDA"/>
    <w:rsid w:val="004261B3"/>
    <w:rsid w:val="0042673F"/>
    <w:rsid w:val="00427C7B"/>
    <w:rsid w:val="004312C9"/>
    <w:rsid w:val="004339E8"/>
    <w:rsid w:val="0043628B"/>
    <w:rsid w:val="004365A5"/>
    <w:rsid w:val="00440BA4"/>
    <w:rsid w:val="00440BB2"/>
    <w:rsid w:val="004422B4"/>
    <w:rsid w:val="00442D5B"/>
    <w:rsid w:val="00442F94"/>
    <w:rsid w:val="00444D33"/>
    <w:rsid w:val="00446DBA"/>
    <w:rsid w:val="004518C0"/>
    <w:rsid w:val="00452970"/>
    <w:rsid w:val="00453902"/>
    <w:rsid w:val="00454CEC"/>
    <w:rsid w:val="00457DD6"/>
    <w:rsid w:val="00460138"/>
    <w:rsid w:val="004604C6"/>
    <w:rsid w:val="00460ACC"/>
    <w:rsid w:val="0046332A"/>
    <w:rsid w:val="00463887"/>
    <w:rsid w:val="00463F0D"/>
    <w:rsid w:val="00465AED"/>
    <w:rsid w:val="00465F60"/>
    <w:rsid w:val="0046637C"/>
    <w:rsid w:val="0047045B"/>
    <w:rsid w:val="0047049E"/>
    <w:rsid w:val="00472B7C"/>
    <w:rsid w:val="00474090"/>
    <w:rsid w:val="00474928"/>
    <w:rsid w:val="004751C7"/>
    <w:rsid w:val="00475A7E"/>
    <w:rsid w:val="00475FC7"/>
    <w:rsid w:val="00475FF9"/>
    <w:rsid w:val="00477A97"/>
    <w:rsid w:val="004800AC"/>
    <w:rsid w:val="004815DD"/>
    <w:rsid w:val="004832FE"/>
    <w:rsid w:val="00484C8C"/>
    <w:rsid w:val="00485A14"/>
    <w:rsid w:val="0048780E"/>
    <w:rsid w:val="00490CB3"/>
    <w:rsid w:val="004931D5"/>
    <w:rsid w:val="0049329A"/>
    <w:rsid w:val="00494AC3"/>
    <w:rsid w:val="004976AF"/>
    <w:rsid w:val="00497F3C"/>
    <w:rsid w:val="004A08BF"/>
    <w:rsid w:val="004A0ED0"/>
    <w:rsid w:val="004A0FB6"/>
    <w:rsid w:val="004A22A4"/>
    <w:rsid w:val="004A538D"/>
    <w:rsid w:val="004B0338"/>
    <w:rsid w:val="004B27FB"/>
    <w:rsid w:val="004B3818"/>
    <w:rsid w:val="004B5352"/>
    <w:rsid w:val="004B61C7"/>
    <w:rsid w:val="004B69A3"/>
    <w:rsid w:val="004B7F2F"/>
    <w:rsid w:val="004C0DEA"/>
    <w:rsid w:val="004C13FB"/>
    <w:rsid w:val="004C26E5"/>
    <w:rsid w:val="004C3E5B"/>
    <w:rsid w:val="004C4208"/>
    <w:rsid w:val="004C45EA"/>
    <w:rsid w:val="004C7987"/>
    <w:rsid w:val="004D1285"/>
    <w:rsid w:val="004D1892"/>
    <w:rsid w:val="004D4D79"/>
    <w:rsid w:val="004D5CD5"/>
    <w:rsid w:val="004D7318"/>
    <w:rsid w:val="004E3956"/>
    <w:rsid w:val="004E3E08"/>
    <w:rsid w:val="004E6760"/>
    <w:rsid w:val="004E6C23"/>
    <w:rsid w:val="004E78FC"/>
    <w:rsid w:val="004F28CE"/>
    <w:rsid w:val="004F2F16"/>
    <w:rsid w:val="004F2F8F"/>
    <w:rsid w:val="004F361B"/>
    <w:rsid w:val="004F5E8F"/>
    <w:rsid w:val="004F63AA"/>
    <w:rsid w:val="004F6FD4"/>
    <w:rsid w:val="004F793F"/>
    <w:rsid w:val="0050009C"/>
    <w:rsid w:val="00501332"/>
    <w:rsid w:val="005013B7"/>
    <w:rsid w:val="00501D68"/>
    <w:rsid w:val="00502C48"/>
    <w:rsid w:val="00504135"/>
    <w:rsid w:val="00511488"/>
    <w:rsid w:val="0051645A"/>
    <w:rsid w:val="00516667"/>
    <w:rsid w:val="005200FD"/>
    <w:rsid w:val="0052522D"/>
    <w:rsid w:val="00530A5C"/>
    <w:rsid w:val="00531056"/>
    <w:rsid w:val="00531EDE"/>
    <w:rsid w:val="005328C8"/>
    <w:rsid w:val="00533E60"/>
    <w:rsid w:val="00537033"/>
    <w:rsid w:val="005400CD"/>
    <w:rsid w:val="00544068"/>
    <w:rsid w:val="0054786D"/>
    <w:rsid w:val="00555AAF"/>
    <w:rsid w:val="005562BF"/>
    <w:rsid w:val="00557F04"/>
    <w:rsid w:val="00561910"/>
    <w:rsid w:val="00561E1F"/>
    <w:rsid w:val="00563396"/>
    <w:rsid w:val="00563840"/>
    <w:rsid w:val="00563DE0"/>
    <w:rsid w:val="005645CC"/>
    <w:rsid w:val="00567607"/>
    <w:rsid w:val="00570734"/>
    <w:rsid w:val="0057159C"/>
    <w:rsid w:val="00571B27"/>
    <w:rsid w:val="00572DB7"/>
    <w:rsid w:val="005743AD"/>
    <w:rsid w:val="00575122"/>
    <w:rsid w:val="00577AD6"/>
    <w:rsid w:val="00582ADC"/>
    <w:rsid w:val="00585064"/>
    <w:rsid w:val="005867C4"/>
    <w:rsid w:val="00587131"/>
    <w:rsid w:val="005871EC"/>
    <w:rsid w:val="005908D1"/>
    <w:rsid w:val="005910BA"/>
    <w:rsid w:val="00594D71"/>
    <w:rsid w:val="00597A00"/>
    <w:rsid w:val="005A0853"/>
    <w:rsid w:val="005A24C1"/>
    <w:rsid w:val="005A43C3"/>
    <w:rsid w:val="005A5A90"/>
    <w:rsid w:val="005A7F4A"/>
    <w:rsid w:val="005B27EB"/>
    <w:rsid w:val="005B3342"/>
    <w:rsid w:val="005B52F0"/>
    <w:rsid w:val="005B6647"/>
    <w:rsid w:val="005B7945"/>
    <w:rsid w:val="005C3B62"/>
    <w:rsid w:val="005C4B6C"/>
    <w:rsid w:val="005D1DCE"/>
    <w:rsid w:val="005D2DC7"/>
    <w:rsid w:val="005D3D8A"/>
    <w:rsid w:val="005D5329"/>
    <w:rsid w:val="005D65ED"/>
    <w:rsid w:val="005D6A8C"/>
    <w:rsid w:val="005D6B49"/>
    <w:rsid w:val="005E0E6B"/>
    <w:rsid w:val="005E1A52"/>
    <w:rsid w:val="005E52AC"/>
    <w:rsid w:val="005E581B"/>
    <w:rsid w:val="005E6A97"/>
    <w:rsid w:val="005E7489"/>
    <w:rsid w:val="005F022E"/>
    <w:rsid w:val="005F028D"/>
    <w:rsid w:val="005F0432"/>
    <w:rsid w:val="005F0C66"/>
    <w:rsid w:val="005F17F2"/>
    <w:rsid w:val="005F275D"/>
    <w:rsid w:val="005F2CD8"/>
    <w:rsid w:val="005F2F6C"/>
    <w:rsid w:val="005F4576"/>
    <w:rsid w:val="005F52D6"/>
    <w:rsid w:val="005F5871"/>
    <w:rsid w:val="005F6D23"/>
    <w:rsid w:val="005F7F10"/>
    <w:rsid w:val="00602721"/>
    <w:rsid w:val="006036F6"/>
    <w:rsid w:val="00603A0A"/>
    <w:rsid w:val="00603B94"/>
    <w:rsid w:val="00605132"/>
    <w:rsid w:val="00606FD2"/>
    <w:rsid w:val="00613EA4"/>
    <w:rsid w:val="00613F41"/>
    <w:rsid w:val="00616433"/>
    <w:rsid w:val="0061748C"/>
    <w:rsid w:val="00617DBF"/>
    <w:rsid w:val="00620DA0"/>
    <w:rsid w:val="00621C9A"/>
    <w:rsid w:val="006231DC"/>
    <w:rsid w:val="00623DA8"/>
    <w:rsid w:val="0062581C"/>
    <w:rsid w:val="00626A2C"/>
    <w:rsid w:val="00627B35"/>
    <w:rsid w:val="00627ECE"/>
    <w:rsid w:val="0063095D"/>
    <w:rsid w:val="00631FE8"/>
    <w:rsid w:val="0063441A"/>
    <w:rsid w:val="006374BD"/>
    <w:rsid w:val="006376A2"/>
    <w:rsid w:val="00637826"/>
    <w:rsid w:val="0064152F"/>
    <w:rsid w:val="006432E8"/>
    <w:rsid w:val="006443B6"/>
    <w:rsid w:val="00655F8C"/>
    <w:rsid w:val="006571F8"/>
    <w:rsid w:val="00657E78"/>
    <w:rsid w:val="00660963"/>
    <w:rsid w:val="0066141E"/>
    <w:rsid w:val="006649C9"/>
    <w:rsid w:val="00666CDB"/>
    <w:rsid w:val="0066762F"/>
    <w:rsid w:val="0067108B"/>
    <w:rsid w:val="00673499"/>
    <w:rsid w:val="00675CD9"/>
    <w:rsid w:val="006762D6"/>
    <w:rsid w:val="00676C0F"/>
    <w:rsid w:val="00680343"/>
    <w:rsid w:val="006838E0"/>
    <w:rsid w:val="00683D06"/>
    <w:rsid w:val="00684F2A"/>
    <w:rsid w:val="00690AA7"/>
    <w:rsid w:val="00692218"/>
    <w:rsid w:val="00692475"/>
    <w:rsid w:val="00693E59"/>
    <w:rsid w:val="0069427E"/>
    <w:rsid w:val="006A173F"/>
    <w:rsid w:val="006A22BA"/>
    <w:rsid w:val="006B777C"/>
    <w:rsid w:val="006C0609"/>
    <w:rsid w:val="006C486D"/>
    <w:rsid w:val="006D0454"/>
    <w:rsid w:val="006D5940"/>
    <w:rsid w:val="006D688F"/>
    <w:rsid w:val="006E37AC"/>
    <w:rsid w:val="006E3DB1"/>
    <w:rsid w:val="006E6009"/>
    <w:rsid w:val="006E61E5"/>
    <w:rsid w:val="006E669D"/>
    <w:rsid w:val="006E709C"/>
    <w:rsid w:val="006F0B24"/>
    <w:rsid w:val="006F4A0F"/>
    <w:rsid w:val="006F7049"/>
    <w:rsid w:val="006F7AB2"/>
    <w:rsid w:val="00701831"/>
    <w:rsid w:val="00712F92"/>
    <w:rsid w:val="00713C48"/>
    <w:rsid w:val="00714356"/>
    <w:rsid w:val="00715208"/>
    <w:rsid w:val="00716D38"/>
    <w:rsid w:val="0072044C"/>
    <w:rsid w:val="0072211D"/>
    <w:rsid w:val="00723C10"/>
    <w:rsid w:val="007243CF"/>
    <w:rsid w:val="00725683"/>
    <w:rsid w:val="0072656C"/>
    <w:rsid w:val="0073402F"/>
    <w:rsid w:val="00735769"/>
    <w:rsid w:val="00736DF2"/>
    <w:rsid w:val="00736F51"/>
    <w:rsid w:val="00741E6E"/>
    <w:rsid w:val="00741F62"/>
    <w:rsid w:val="007444BB"/>
    <w:rsid w:val="0074493A"/>
    <w:rsid w:val="00744E48"/>
    <w:rsid w:val="0074599B"/>
    <w:rsid w:val="00745A61"/>
    <w:rsid w:val="00751DB9"/>
    <w:rsid w:val="00752C90"/>
    <w:rsid w:val="00755FD2"/>
    <w:rsid w:val="007572C8"/>
    <w:rsid w:val="0076031A"/>
    <w:rsid w:val="007610A6"/>
    <w:rsid w:val="007623B6"/>
    <w:rsid w:val="00764844"/>
    <w:rsid w:val="00765EBD"/>
    <w:rsid w:val="00775091"/>
    <w:rsid w:val="00776801"/>
    <w:rsid w:val="00776D61"/>
    <w:rsid w:val="00776DE1"/>
    <w:rsid w:val="007820B2"/>
    <w:rsid w:val="007829C7"/>
    <w:rsid w:val="00784956"/>
    <w:rsid w:val="00785A5D"/>
    <w:rsid w:val="0079085D"/>
    <w:rsid w:val="00791414"/>
    <w:rsid w:val="007931D9"/>
    <w:rsid w:val="00794C41"/>
    <w:rsid w:val="007959D5"/>
    <w:rsid w:val="00795CE6"/>
    <w:rsid w:val="00796361"/>
    <w:rsid w:val="007A01F7"/>
    <w:rsid w:val="007A1093"/>
    <w:rsid w:val="007A1969"/>
    <w:rsid w:val="007A360D"/>
    <w:rsid w:val="007A3A2B"/>
    <w:rsid w:val="007A446B"/>
    <w:rsid w:val="007A5E67"/>
    <w:rsid w:val="007A748A"/>
    <w:rsid w:val="007B4757"/>
    <w:rsid w:val="007B7431"/>
    <w:rsid w:val="007B7477"/>
    <w:rsid w:val="007C003A"/>
    <w:rsid w:val="007C3027"/>
    <w:rsid w:val="007C390A"/>
    <w:rsid w:val="007C6710"/>
    <w:rsid w:val="007C6E7C"/>
    <w:rsid w:val="007D34A5"/>
    <w:rsid w:val="007D5FC9"/>
    <w:rsid w:val="007D70E1"/>
    <w:rsid w:val="007D76B3"/>
    <w:rsid w:val="007E08BB"/>
    <w:rsid w:val="007E0CC1"/>
    <w:rsid w:val="007E113A"/>
    <w:rsid w:val="007E2F5C"/>
    <w:rsid w:val="007E396C"/>
    <w:rsid w:val="007E47D7"/>
    <w:rsid w:val="007E4AE1"/>
    <w:rsid w:val="007E557A"/>
    <w:rsid w:val="007E5D6F"/>
    <w:rsid w:val="007E64BE"/>
    <w:rsid w:val="007E730F"/>
    <w:rsid w:val="007F0EFD"/>
    <w:rsid w:val="007F1E2E"/>
    <w:rsid w:val="007F3042"/>
    <w:rsid w:val="007F3D8D"/>
    <w:rsid w:val="007F4FB6"/>
    <w:rsid w:val="007F65F8"/>
    <w:rsid w:val="007F7023"/>
    <w:rsid w:val="00801A40"/>
    <w:rsid w:val="00801D07"/>
    <w:rsid w:val="00801D70"/>
    <w:rsid w:val="00803BE1"/>
    <w:rsid w:val="00803DC8"/>
    <w:rsid w:val="008042DB"/>
    <w:rsid w:val="00804CAF"/>
    <w:rsid w:val="0081019A"/>
    <w:rsid w:val="0081106A"/>
    <w:rsid w:val="00812B5E"/>
    <w:rsid w:val="00815BB6"/>
    <w:rsid w:val="00816B86"/>
    <w:rsid w:val="00817B2F"/>
    <w:rsid w:val="008216BA"/>
    <w:rsid w:val="00821919"/>
    <w:rsid w:val="0082533B"/>
    <w:rsid w:val="00830D02"/>
    <w:rsid w:val="00833E8F"/>
    <w:rsid w:val="00834051"/>
    <w:rsid w:val="00834C48"/>
    <w:rsid w:val="00845E80"/>
    <w:rsid w:val="0084677C"/>
    <w:rsid w:val="00847F58"/>
    <w:rsid w:val="00850E6A"/>
    <w:rsid w:val="0085154B"/>
    <w:rsid w:val="00852F13"/>
    <w:rsid w:val="00855DDD"/>
    <w:rsid w:val="00860B8A"/>
    <w:rsid w:val="00862BD4"/>
    <w:rsid w:val="00864481"/>
    <w:rsid w:val="00867700"/>
    <w:rsid w:val="00867806"/>
    <w:rsid w:val="008734AC"/>
    <w:rsid w:val="00874F1A"/>
    <w:rsid w:val="00875AD5"/>
    <w:rsid w:val="00876F2F"/>
    <w:rsid w:val="00880BE3"/>
    <w:rsid w:val="00880C21"/>
    <w:rsid w:val="00882251"/>
    <w:rsid w:val="00884636"/>
    <w:rsid w:val="00884AF4"/>
    <w:rsid w:val="00887404"/>
    <w:rsid w:val="008900F5"/>
    <w:rsid w:val="00893688"/>
    <w:rsid w:val="008939F5"/>
    <w:rsid w:val="008946AB"/>
    <w:rsid w:val="00894789"/>
    <w:rsid w:val="008966A8"/>
    <w:rsid w:val="008A3292"/>
    <w:rsid w:val="008A35BF"/>
    <w:rsid w:val="008A7402"/>
    <w:rsid w:val="008A7498"/>
    <w:rsid w:val="008A77B6"/>
    <w:rsid w:val="008A7EBB"/>
    <w:rsid w:val="008B3C2E"/>
    <w:rsid w:val="008B5534"/>
    <w:rsid w:val="008B6A41"/>
    <w:rsid w:val="008C1A30"/>
    <w:rsid w:val="008C2295"/>
    <w:rsid w:val="008C3A4F"/>
    <w:rsid w:val="008C429E"/>
    <w:rsid w:val="008C64C6"/>
    <w:rsid w:val="008C6606"/>
    <w:rsid w:val="008C6BC7"/>
    <w:rsid w:val="008D04F2"/>
    <w:rsid w:val="008D367C"/>
    <w:rsid w:val="008D3FB8"/>
    <w:rsid w:val="008D49DE"/>
    <w:rsid w:val="008D5633"/>
    <w:rsid w:val="008E161C"/>
    <w:rsid w:val="008E661D"/>
    <w:rsid w:val="008E71FD"/>
    <w:rsid w:val="008F27BA"/>
    <w:rsid w:val="008F2D54"/>
    <w:rsid w:val="008F67E0"/>
    <w:rsid w:val="0090236A"/>
    <w:rsid w:val="0090691F"/>
    <w:rsid w:val="0091266A"/>
    <w:rsid w:val="00912A09"/>
    <w:rsid w:val="00913679"/>
    <w:rsid w:val="009136AA"/>
    <w:rsid w:val="009141E3"/>
    <w:rsid w:val="00927481"/>
    <w:rsid w:val="00927C59"/>
    <w:rsid w:val="00927CBB"/>
    <w:rsid w:val="00930AED"/>
    <w:rsid w:val="0093422F"/>
    <w:rsid w:val="00934554"/>
    <w:rsid w:val="00936849"/>
    <w:rsid w:val="009376B2"/>
    <w:rsid w:val="00941708"/>
    <w:rsid w:val="00944DA5"/>
    <w:rsid w:val="009456FF"/>
    <w:rsid w:val="009502CE"/>
    <w:rsid w:val="0095287E"/>
    <w:rsid w:val="00952D3E"/>
    <w:rsid w:val="0095448F"/>
    <w:rsid w:val="009615DD"/>
    <w:rsid w:val="00961F95"/>
    <w:rsid w:val="00970CB9"/>
    <w:rsid w:val="00970D4F"/>
    <w:rsid w:val="009714FE"/>
    <w:rsid w:val="00972243"/>
    <w:rsid w:val="0097436D"/>
    <w:rsid w:val="00976312"/>
    <w:rsid w:val="00981D72"/>
    <w:rsid w:val="0098343F"/>
    <w:rsid w:val="00984237"/>
    <w:rsid w:val="009861F2"/>
    <w:rsid w:val="009914AE"/>
    <w:rsid w:val="00993E41"/>
    <w:rsid w:val="0099568A"/>
    <w:rsid w:val="00997B26"/>
    <w:rsid w:val="009A2718"/>
    <w:rsid w:val="009A4966"/>
    <w:rsid w:val="009A79CD"/>
    <w:rsid w:val="009A7F11"/>
    <w:rsid w:val="009B03D2"/>
    <w:rsid w:val="009C0989"/>
    <w:rsid w:val="009C24A0"/>
    <w:rsid w:val="009C339F"/>
    <w:rsid w:val="009C59E2"/>
    <w:rsid w:val="009D0960"/>
    <w:rsid w:val="009D0BA2"/>
    <w:rsid w:val="009D25E7"/>
    <w:rsid w:val="009D26D6"/>
    <w:rsid w:val="009D4F4E"/>
    <w:rsid w:val="009D50DD"/>
    <w:rsid w:val="009D59AB"/>
    <w:rsid w:val="009D5BF9"/>
    <w:rsid w:val="009D5F21"/>
    <w:rsid w:val="009D797D"/>
    <w:rsid w:val="009E184A"/>
    <w:rsid w:val="009E1D21"/>
    <w:rsid w:val="009E4D74"/>
    <w:rsid w:val="009E6858"/>
    <w:rsid w:val="009F5C3A"/>
    <w:rsid w:val="00A01C03"/>
    <w:rsid w:val="00A01FA8"/>
    <w:rsid w:val="00A0240B"/>
    <w:rsid w:val="00A027D5"/>
    <w:rsid w:val="00A02B58"/>
    <w:rsid w:val="00A04A63"/>
    <w:rsid w:val="00A053A2"/>
    <w:rsid w:val="00A05BF8"/>
    <w:rsid w:val="00A0626E"/>
    <w:rsid w:val="00A0634A"/>
    <w:rsid w:val="00A078E4"/>
    <w:rsid w:val="00A079E4"/>
    <w:rsid w:val="00A1042C"/>
    <w:rsid w:val="00A1117D"/>
    <w:rsid w:val="00A159F9"/>
    <w:rsid w:val="00A16289"/>
    <w:rsid w:val="00A17217"/>
    <w:rsid w:val="00A21104"/>
    <w:rsid w:val="00A228AC"/>
    <w:rsid w:val="00A23014"/>
    <w:rsid w:val="00A248A2"/>
    <w:rsid w:val="00A254D6"/>
    <w:rsid w:val="00A2574B"/>
    <w:rsid w:val="00A25A13"/>
    <w:rsid w:val="00A268A0"/>
    <w:rsid w:val="00A300FA"/>
    <w:rsid w:val="00A307FF"/>
    <w:rsid w:val="00A3595F"/>
    <w:rsid w:val="00A3613E"/>
    <w:rsid w:val="00A37677"/>
    <w:rsid w:val="00A41532"/>
    <w:rsid w:val="00A438A8"/>
    <w:rsid w:val="00A448F9"/>
    <w:rsid w:val="00A44C86"/>
    <w:rsid w:val="00A45079"/>
    <w:rsid w:val="00A475DF"/>
    <w:rsid w:val="00A506D9"/>
    <w:rsid w:val="00A50B28"/>
    <w:rsid w:val="00A5102B"/>
    <w:rsid w:val="00A5122B"/>
    <w:rsid w:val="00A51888"/>
    <w:rsid w:val="00A54281"/>
    <w:rsid w:val="00A57354"/>
    <w:rsid w:val="00A574D0"/>
    <w:rsid w:val="00A57862"/>
    <w:rsid w:val="00A63EB7"/>
    <w:rsid w:val="00A66065"/>
    <w:rsid w:val="00A66AEB"/>
    <w:rsid w:val="00A66E4F"/>
    <w:rsid w:val="00A70B84"/>
    <w:rsid w:val="00A74BF7"/>
    <w:rsid w:val="00A75AB3"/>
    <w:rsid w:val="00A76983"/>
    <w:rsid w:val="00A80AC8"/>
    <w:rsid w:val="00A81074"/>
    <w:rsid w:val="00A81287"/>
    <w:rsid w:val="00A83278"/>
    <w:rsid w:val="00A83595"/>
    <w:rsid w:val="00A84AD2"/>
    <w:rsid w:val="00A84B05"/>
    <w:rsid w:val="00A85D33"/>
    <w:rsid w:val="00A87612"/>
    <w:rsid w:val="00A9085D"/>
    <w:rsid w:val="00AA02CA"/>
    <w:rsid w:val="00AA066B"/>
    <w:rsid w:val="00AA0A6A"/>
    <w:rsid w:val="00AA2A29"/>
    <w:rsid w:val="00AA3472"/>
    <w:rsid w:val="00AA5685"/>
    <w:rsid w:val="00AA5ADF"/>
    <w:rsid w:val="00AA5C16"/>
    <w:rsid w:val="00AA64A3"/>
    <w:rsid w:val="00AB03DD"/>
    <w:rsid w:val="00AB0439"/>
    <w:rsid w:val="00AB0DA3"/>
    <w:rsid w:val="00AB31D3"/>
    <w:rsid w:val="00AB3B44"/>
    <w:rsid w:val="00AB5735"/>
    <w:rsid w:val="00AC0078"/>
    <w:rsid w:val="00AC04FE"/>
    <w:rsid w:val="00AC1D1A"/>
    <w:rsid w:val="00AC4454"/>
    <w:rsid w:val="00AC6BAF"/>
    <w:rsid w:val="00AC752A"/>
    <w:rsid w:val="00AC7AB1"/>
    <w:rsid w:val="00AD00AB"/>
    <w:rsid w:val="00AD0414"/>
    <w:rsid w:val="00AD2138"/>
    <w:rsid w:val="00AE403D"/>
    <w:rsid w:val="00AE7A6C"/>
    <w:rsid w:val="00AF43E1"/>
    <w:rsid w:val="00AF61BC"/>
    <w:rsid w:val="00AF73A2"/>
    <w:rsid w:val="00AF7925"/>
    <w:rsid w:val="00B013A9"/>
    <w:rsid w:val="00B04AD9"/>
    <w:rsid w:val="00B05313"/>
    <w:rsid w:val="00B06475"/>
    <w:rsid w:val="00B10E6D"/>
    <w:rsid w:val="00B10F7E"/>
    <w:rsid w:val="00B11955"/>
    <w:rsid w:val="00B12BB9"/>
    <w:rsid w:val="00B149D4"/>
    <w:rsid w:val="00B151A6"/>
    <w:rsid w:val="00B1658D"/>
    <w:rsid w:val="00B165F9"/>
    <w:rsid w:val="00B17F1E"/>
    <w:rsid w:val="00B21B82"/>
    <w:rsid w:val="00B31087"/>
    <w:rsid w:val="00B31214"/>
    <w:rsid w:val="00B32E64"/>
    <w:rsid w:val="00B334B5"/>
    <w:rsid w:val="00B35959"/>
    <w:rsid w:val="00B365D5"/>
    <w:rsid w:val="00B36F79"/>
    <w:rsid w:val="00B370B9"/>
    <w:rsid w:val="00B37179"/>
    <w:rsid w:val="00B375F3"/>
    <w:rsid w:val="00B37D5F"/>
    <w:rsid w:val="00B41DE5"/>
    <w:rsid w:val="00B429C4"/>
    <w:rsid w:val="00B4319B"/>
    <w:rsid w:val="00B4455C"/>
    <w:rsid w:val="00B45AAE"/>
    <w:rsid w:val="00B47E83"/>
    <w:rsid w:val="00B51338"/>
    <w:rsid w:val="00B51697"/>
    <w:rsid w:val="00B5241E"/>
    <w:rsid w:val="00B52D16"/>
    <w:rsid w:val="00B531B5"/>
    <w:rsid w:val="00B53635"/>
    <w:rsid w:val="00B53C95"/>
    <w:rsid w:val="00B56B1F"/>
    <w:rsid w:val="00B60852"/>
    <w:rsid w:val="00B61713"/>
    <w:rsid w:val="00B64187"/>
    <w:rsid w:val="00B67489"/>
    <w:rsid w:val="00B67625"/>
    <w:rsid w:val="00B718CD"/>
    <w:rsid w:val="00B71AE8"/>
    <w:rsid w:val="00B7312F"/>
    <w:rsid w:val="00B74A2E"/>
    <w:rsid w:val="00B74E4B"/>
    <w:rsid w:val="00B75283"/>
    <w:rsid w:val="00B761EF"/>
    <w:rsid w:val="00B80470"/>
    <w:rsid w:val="00B8750A"/>
    <w:rsid w:val="00B90BB6"/>
    <w:rsid w:val="00B928AA"/>
    <w:rsid w:val="00B9342E"/>
    <w:rsid w:val="00B957B0"/>
    <w:rsid w:val="00B963A3"/>
    <w:rsid w:val="00B97A71"/>
    <w:rsid w:val="00BA1F26"/>
    <w:rsid w:val="00BA420B"/>
    <w:rsid w:val="00BA557E"/>
    <w:rsid w:val="00BA5C84"/>
    <w:rsid w:val="00BA6D5C"/>
    <w:rsid w:val="00BA77E1"/>
    <w:rsid w:val="00BB0063"/>
    <w:rsid w:val="00BB0244"/>
    <w:rsid w:val="00BB0AC2"/>
    <w:rsid w:val="00BB2C56"/>
    <w:rsid w:val="00BB4E8B"/>
    <w:rsid w:val="00BB6EAF"/>
    <w:rsid w:val="00BB759B"/>
    <w:rsid w:val="00BC04D8"/>
    <w:rsid w:val="00BC26E2"/>
    <w:rsid w:val="00BC2AEE"/>
    <w:rsid w:val="00BC2B71"/>
    <w:rsid w:val="00BC3D93"/>
    <w:rsid w:val="00BC4073"/>
    <w:rsid w:val="00BD0279"/>
    <w:rsid w:val="00BD0B09"/>
    <w:rsid w:val="00BD5D23"/>
    <w:rsid w:val="00BE1A52"/>
    <w:rsid w:val="00BE1A78"/>
    <w:rsid w:val="00BE1F4C"/>
    <w:rsid w:val="00BE2A5F"/>
    <w:rsid w:val="00BE33D5"/>
    <w:rsid w:val="00BE4BAF"/>
    <w:rsid w:val="00BE640F"/>
    <w:rsid w:val="00BF4BC0"/>
    <w:rsid w:val="00BF6D53"/>
    <w:rsid w:val="00C03944"/>
    <w:rsid w:val="00C054C6"/>
    <w:rsid w:val="00C06FA8"/>
    <w:rsid w:val="00C075B7"/>
    <w:rsid w:val="00C075FB"/>
    <w:rsid w:val="00C11FB0"/>
    <w:rsid w:val="00C12A5E"/>
    <w:rsid w:val="00C13AE7"/>
    <w:rsid w:val="00C14022"/>
    <w:rsid w:val="00C15831"/>
    <w:rsid w:val="00C15C53"/>
    <w:rsid w:val="00C1736F"/>
    <w:rsid w:val="00C17455"/>
    <w:rsid w:val="00C21DB3"/>
    <w:rsid w:val="00C234FC"/>
    <w:rsid w:val="00C23520"/>
    <w:rsid w:val="00C2368C"/>
    <w:rsid w:val="00C239F1"/>
    <w:rsid w:val="00C240B3"/>
    <w:rsid w:val="00C2432E"/>
    <w:rsid w:val="00C243ED"/>
    <w:rsid w:val="00C24637"/>
    <w:rsid w:val="00C2530C"/>
    <w:rsid w:val="00C25C8D"/>
    <w:rsid w:val="00C33E35"/>
    <w:rsid w:val="00C3634E"/>
    <w:rsid w:val="00C4084B"/>
    <w:rsid w:val="00C437EB"/>
    <w:rsid w:val="00C43858"/>
    <w:rsid w:val="00C50857"/>
    <w:rsid w:val="00C51019"/>
    <w:rsid w:val="00C510FC"/>
    <w:rsid w:val="00C51A39"/>
    <w:rsid w:val="00C51F14"/>
    <w:rsid w:val="00C52472"/>
    <w:rsid w:val="00C5277B"/>
    <w:rsid w:val="00C549D3"/>
    <w:rsid w:val="00C55295"/>
    <w:rsid w:val="00C56EB6"/>
    <w:rsid w:val="00C62393"/>
    <w:rsid w:val="00C62EFD"/>
    <w:rsid w:val="00C644CD"/>
    <w:rsid w:val="00C659A0"/>
    <w:rsid w:val="00C65AE4"/>
    <w:rsid w:val="00C65C5D"/>
    <w:rsid w:val="00C65E87"/>
    <w:rsid w:val="00C67FE2"/>
    <w:rsid w:val="00C70F81"/>
    <w:rsid w:val="00C716B1"/>
    <w:rsid w:val="00C7408F"/>
    <w:rsid w:val="00C75B60"/>
    <w:rsid w:val="00C75CD9"/>
    <w:rsid w:val="00C76E1F"/>
    <w:rsid w:val="00C80116"/>
    <w:rsid w:val="00C80A5B"/>
    <w:rsid w:val="00C826CC"/>
    <w:rsid w:val="00C86693"/>
    <w:rsid w:val="00C8755D"/>
    <w:rsid w:val="00C923A4"/>
    <w:rsid w:val="00C95ACE"/>
    <w:rsid w:val="00CA03F7"/>
    <w:rsid w:val="00CA1FAE"/>
    <w:rsid w:val="00CA2331"/>
    <w:rsid w:val="00CA44A6"/>
    <w:rsid w:val="00CA495A"/>
    <w:rsid w:val="00CB10E4"/>
    <w:rsid w:val="00CB423A"/>
    <w:rsid w:val="00CB59A0"/>
    <w:rsid w:val="00CB6EB7"/>
    <w:rsid w:val="00CC3128"/>
    <w:rsid w:val="00CC3182"/>
    <w:rsid w:val="00CC4155"/>
    <w:rsid w:val="00CC73D1"/>
    <w:rsid w:val="00CD10CD"/>
    <w:rsid w:val="00CD395E"/>
    <w:rsid w:val="00CD496C"/>
    <w:rsid w:val="00CD5651"/>
    <w:rsid w:val="00CE0742"/>
    <w:rsid w:val="00CE086C"/>
    <w:rsid w:val="00CE11A1"/>
    <w:rsid w:val="00CE3A35"/>
    <w:rsid w:val="00CE5D6E"/>
    <w:rsid w:val="00CF5705"/>
    <w:rsid w:val="00CF5BF7"/>
    <w:rsid w:val="00CF6FF3"/>
    <w:rsid w:val="00CF7983"/>
    <w:rsid w:val="00D0183F"/>
    <w:rsid w:val="00D02531"/>
    <w:rsid w:val="00D03D33"/>
    <w:rsid w:val="00D05569"/>
    <w:rsid w:val="00D10B35"/>
    <w:rsid w:val="00D1227E"/>
    <w:rsid w:val="00D14558"/>
    <w:rsid w:val="00D14CCF"/>
    <w:rsid w:val="00D1592B"/>
    <w:rsid w:val="00D20862"/>
    <w:rsid w:val="00D211BA"/>
    <w:rsid w:val="00D2283E"/>
    <w:rsid w:val="00D26312"/>
    <w:rsid w:val="00D27A2C"/>
    <w:rsid w:val="00D27F5D"/>
    <w:rsid w:val="00D338F7"/>
    <w:rsid w:val="00D36B3C"/>
    <w:rsid w:val="00D36F58"/>
    <w:rsid w:val="00D371CD"/>
    <w:rsid w:val="00D40DB3"/>
    <w:rsid w:val="00D441A2"/>
    <w:rsid w:val="00D45E86"/>
    <w:rsid w:val="00D46873"/>
    <w:rsid w:val="00D473C7"/>
    <w:rsid w:val="00D50A8F"/>
    <w:rsid w:val="00D52B87"/>
    <w:rsid w:val="00D54398"/>
    <w:rsid w:val="00D54FBE"/>
    <w:rsid w:val="00D55AB6"/>
    <w:rsid w:val="00D572A5"/>
    <w:rsid w:val="00D57436"/>
    <w:rsid w:val="00D6015F"/>
    <w:rsid w:val="00D61979"/>
    <w:rsid w:val="00D62D7D"/>
    <w:rsid w:val="00D62F04"/>
    <w:rsid w:val="00D63655"/>
    <w:rsid w:val="00D702BE"/>
    <w:rsid w:val="00D716A0"/>
    <w:rsid w:val="00D717AB"/>
    <w:rsid w:val="00D73289"/>
    <w:rsid w:val="00D73623"/>
    <w:rsid w:val="00D73A6C"/>
    <w:rsid w:val="00D74693"/>
    <w:rsid w:val="00D76FB1"/>
    <w:rsid w:val="00D803DC"/>
    <w:rsid w:val="00D82274"/>
    <w:rsid w:val="00D86F88"/>
    <w:rsid w:val="00D86FD3"/>
    <w:rsid w:val="00D9062F"/>
    <w:rsid w:val="00D91AFB"/>
    <w:rsid w:val="00D92591"/>
    <w:rsid w:val="00D928E8"/>
    <w:rsid w:val="00D92B6D"/>
    <w:rsid w:val="00D93F43"/>
    <w:rsid w:val="00D950F7"/>
    <w:rsid w:val="00D96AD8"/>
    <w:rsid w:val="00D96EE2"/>
    <w:rsid w:val="00DA08E5"/>
    <w:rsid w:val="00DA2532"/>
    <w:rsid w:val="00DA26F2"/>
    <w:rsid w:val="00DA30D7"/>
    <w:rsid w:val="00DA3FE0"/>
    <w:rsid w:val="00DA4176"/>
    <w:rsid w:val="00DA4B08"/>
    <w:rsid w:val="00DA6E4F"/>
    <w:rsid w:val="00DB14F7"/>
    <w:rsid w:val="00DB1C7A"/>
    <w:rsid w:val="00DC07B4"/>
    <w:rsid w:val="00DC1B92"/>
    <w:rsid w:val="00DC47B5"/>
    <w:rsid w:val="00DC4A3C"/>
    <w:rsid w:val="00DC6F70"/>
    <w:rsid w:val="00DC786D"/>
    <w:rsid w:val="00DD1FEC"/>
    <w:rsid w:val="00DD2144"/>
    <w:rsid w:val="00DD7B5C"/>
    <w:rsid w:val="00DE4E30"/>
    <w:rsid w:val="00DE5314"/>
    <w:rsid w:val="00DE5E4D"/>
    <w:rsid w:val="00DE60F1"/>
    <w:rsid w:val="00DF01E6"/>
    <w:rsid w:val="00DF150D"/>
    <w:rsid w:val="00DF7476"/>
    <w:rsid w:val="00E00E22"/>
    <w:rsid w:val="00E020D7"/>
    <w:rsid w:val="00E02173"/>
    <w:rsid w:val="00E03995"/>
    <w:rsid w:val="00E052B2"/>
    <w:rsid w:val="00E0781C"/>
    <w:rsid w:val="00E10909"/>
    <w:rsid w:val="00E15528"/>
    <w:rsid w:val="00E17239"/>
    <w:rsid w:val="00E176CC"/>
    <w:rsid w:val="00E21B25"/>
    <w:rsid w:val="00E229DD"/>
    <w:rsid w:val="00E2469A"/>
    <w:rsid w:val="00E24BE5"/>
    <w:rsid w:val="00E268BE"/>
    <w:rsid w:val="00E30C39"/>
    <w:rsid w:val="00E3348C"/>
    <w:rsid w:val="00E3469D"/>
    <w:rsid w:val="00E34884"/>
    <w:rsid w:val="00E34E24"/>
    <w:rsid w:val="00E372F8"/>
    <w:rsid w:val="00E4036D"/>
    <w:rsid w:val="00E42B76"/>
    <w:rsid w:val="00E43C61"/>
    <w:rsid w:val="00E4526F"/>
    <w:rsid w:val="00E52408"/>
    <w:rsid w:val="00E52AAC"/>
    <w:rsid w:val="00E531CF"/>
    <w:rsid w:val="00E61240"/>
    <w:rsid w:val="00E64A14"/>
    <w:rsid w:val="00E663CF"/>
    <w:rsid w:val="00E67186"/>
    <w:rsid w:val="00E6736F"/>
    <w:rsid w:val="00E675B4"/>
    <w:rsid w:val="00E701B1"/>
    <w:rsid w:val="00E71831"/>
    <w:rsid w:val="00E72446"/>
    <w:rsid w:val="00E75680"/>
    <w:rsid w:val="00E76F40"/>
    <w:rsid w:val="00E77687"/>
    <w:rsid w:val="00E81B4E"/>
    <w:rsid w:val="00E82565"/>
    <w:rsid w:val="00E8451C"/>
    <w:rsid w:val="00E8713D"/>
    <w:rsid w:val="00E871CB"/>
    <w:rsid w:val="00E87782"/>
    <w:rsid w:val="00E87A46"/>
    <w:rsid w:val="00E904DC"/>
    <w:rsid w:val="00E90EAC"/>
    <w:rsid w:val="00E91F83"/>
    <w:rsid w:val="00E92805"/>
    <w:rsid w:val="00E95DB5"/>
    <w:rsid w:val="00E95F7C"/>
    <w:rsid w:val="00E962B1"/>
    <w:rsid w:val="00E9648C"/>
    <w:rsid w:val="00EA0BE3"/>
    <w:rsid w:val="00EA264C"/>
    <w:rsid w:val="00EA4E79"/>
    <w:rsid w:val="00EA6DAE"/>
    <w:rsid w:val="00EB0E03"/>
    <w:rsid w:val="00EB10C6"/>
    <w:rsid w:val="00EB15CB"/>
    <w:rsid w:val="00EC0C3A"/>
    <w:rsid w:val="00EC5334"/>
    <w:rsid w:val="00EC64FC"/>
    <w:rsid w:val="00ED1658"/>
    <w:rsid w:val="00ED312F"/>
    <w:rsid w:val="00ED422B"/>
    <w:rsid w:val="00ED43A9"/>
    <w:rsid w:val="00ED4FB8"/>
    <w:rsid w:val="00ED5C94"/>
    <w:rsid w:val="00EE3F44"/>
    <w:rsid w:val="00EE44F2"/>
    <w:rsid w:val="00EE4A25"/>
    <w:rsid w:val="00EF2190"/>
    <w:rsid w:val="00EF3B7D"/>
    <w:rsid w:val="00EF5C04"/>
    <w:rsid w:val="00EF6711"/>
    <w:rsid w:val="00EF6E56"/>
    <w:rsid w:val="00F01245"/>
    <w:rsid w:val="00F01874"/>
    <w:rsid w:val="00F06244"/>
    <w:rsid w:val="00F06A44"/>
    <w:rsid w:val="00F07C79"/>
    <w:rsid w:val="00F142A8"/>
    <w:rsid w:val="00F14D34"/>
    <w:rsid w:val="00F15297"/>
    <w:rsid w:val="00F2067A"/>
    <w:rsid w:val="00F23D55"/>
    <w:rsid w:val="00F3040C"/>
    <w:rsid w:val="00F311B8"/>
    <w:rsid w:val="00F313CF"/>
    <w:rsid w:val="00F31BD3"/>
    <w:rsid w:val="00F4111E"/>
    <w:rsid w:val="00F41478"/>
    <w:rsid w:val="00F41DBE"/>
    <w:rsid w:val="00F423B7"/>
    <w:rsid w:val="00F4495B"/>
    <w:rsid w:val="00F461A6"/>
    <w:rsid w:val="00F475BF"/>
    <w:rsid w:val="00F476DD"/>
    <w:rsid w:val="00F47BC1"/>
    <w:rsid w:val="00F51CBE"/>
    <w:rsid w:val="00F53EF0"/>
    <w:rsid w:val="00F5434E"/>
    <w:rsid w:val="00F55607"/>
    <w:rsid w:val="00F567A6"/>
    <w:rsid w:val="00F6207A"/>
    <w:rsid w:val="00F65357"/>
    <w:rsid w:val="00F66400"/>
    <w:rsid w:val="00F723BC"/>
    <w:rsid w:val="00F73B93"/>
    <w:rsid w:val="00F76342"/>
    <w:rsid w:val="00F7682C"/>
    <w:rsid w:val="00F80447"/>
    <w:rsid w:val="00F80BD0"/>
    <w:rsid w:val="00F84AE2"/>
    <w:rsid w:val="00F84D56"/>
    <w:rsid w:val="00F90525"/>
    <w:rsid w:val="00F91EDF"/>
    <w:rsid w:val="00F958E2"/>
    <w:rsid w:val="00FA13D2"/>
    <w:rsid w:val="00FA1D74"/>
    <w:rsid w:val="00FA75F7"/>
    <w:rsid w:val="00FA7F4A"/>
    <w:rsid w:val="00FB0A55"/>
    <w:rsid w:val="00FB305A"/>
    <w:rsid w:val="00FB348B"/>
    <w:rsid w:val="00FB3EFC"/>
    <w:rsid w:val="00FB7E43"/>
    <w:rsid w:val="00FC11EA"/>
    <w:rsid w:val="00FC358E"/>
    <w:rsid w:val="00FC649A"/>
    <w:rsid w:val="00FC76EA"/>
    <w:rsid w:val="00FD080F"/>
    <w:rsid w:val="00FD0B9C"/>
    <w:rsid w:val="00FD2946"/>
    <w:rsid w:val="00FD2C72"/>
    <w:rsid w:val="00FD35F8"/>
    <w:rsid w:val="00FD3B8D"/>
    <w:rsid w:val="00FD520C"/>
    <w:rsid w:val="00FD55D3"/>
    <w:rsid w:val="00FE056E"/>
    <w:rsid w:val="00FE197D"/>
    <w:rsid w:val="00FE2B03"/>
    <w:rsid w:val="00FE306F"/>
    <w:rsid w:val="00FE4970"/>
    <w:rsid w:val="00FE61C5"/>
    <w:rsid w:val="00FE7291"/>
    <w:rsid w:val="00FE7E56"/>
    <w:rsid w:val="00FF1C7B"/>
    <w:rsid w:val="00FF2DE0"/>
    <w:rsid w:val="00FF3CAA"/>
    <w:rsid w:val="00FF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1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B03DD"/>
    <w:pPr>
      <w:spacing w:before="100" w:beforeAutospacing="1" w:after="100" w:afterAutospacing="1"/>
    </w:pPr>
    <w:rPr>
      <w:rFonts w:ascii="Arial" w:hAnsi="Arial" w:cs="Arial"/>
    </w:rPr>
  </w:style>
  <w:style w:type="character" w:styleId="Hyperlink">
    <w:name w:val="Hyperlink"/>
    <w:basedOn w:val="DefaultParagraphFont"/>
    <w:rsid w:val="00AB03DD"/>
    <w:rPr>
      <w:color w:val="0000FF"/>
      <w:u w:val="single"/>
    </w:rPr>
  </w:style>
  <w:style w:type="paragraph" w:styleId="BalloonText">
    <w:name w:val="Balloon Text"/>
    <w:basedOn w:val="Normal"/>
    <w:semiHidden/>
    <w:rsid w:val="009861F2"/>
    <w:rPr>
      <w:rFonts w:ascii="Tahoma" w:hAnsi="Tahoma" w:cs="Tahoma"/>
      <w:sz w:val="16"/>
      <w:szCs w:val="16"/>
    </w:rPr>
  </w:style>
  <w:style w:type="character" w:styleId="FollowedHyperlink">
    <w:name w:val="FollowedHyperlink"/>
    <w:basedOn w:val="DefaultParagraphFont"/>
    <w:rsid w:val="00CE0742"/>
    <w:rPr>
      <w:color w:val="800080"/>
      <w:u w:val="single"/>
    </w:rPr>
  </w:style>
  <w:style w:type="character" w:styleId="CommentReference">
    <w:name w:val="annotation reference"/>
    <w:basedOn w:val="DefaultParagraphFont"/>
    <w:semiHidden/>
    <w:rsid w:val="00FC11EA"/>
    <w:rPr>
      <w:sz w:val="16"/>
      <w:szCs w:val="16"/>
    </w:rPr>
  </w:style>
  <w:style w:type="paragraph" w:styleId="CommentText">
    <w:name w:val="annotation text"/>
    <w:basedOn w:val="Normal"/>
    <w:semiHidden/>
    <w:rsid w:val="00FC11EA"/>
    <w:rPr>
      <w:sz w:val="20"/>
      <w:szCs w:val="20"/>
    </w:rPr>
  </w:style>
  <w:style w:type="paragraph" w:styleId="CommentSubject">
    <w:name w:val="annotation subject"/>
    <w:basedOn w:val="CommentText"/>
    <w:next w:val="CommentText"/>
    <w:semiHidden/>
    <w:rsid w:val="00FC11EA"/>
    <w:rPr>
      <w:b/>
      <w:bCs/>
    </w:rPr>
  </w:style>
  <w:style w:type="paragraph" w:styleId="DocumentMap">
    <w:name w:val="Document Map"/>
    <w:basedOn w:val="Normal"/>
    <w:semiHidden/>
    <w:rsid w:val="00105D78"/>
    <w:pPr>
      <w:shd w:val="clear" w:color="auto" w:fill="000080"/>
    </w:pPr>
    <w:rPr>
      <w:rFonts w:ascii="Tahoma" w:hAnsi="Tahoma" w:cs="Tahoma"/>
      <w:sz w:val="20"/>
      <w:szCs w:val="20"/>
    </w:rPr>
  </w:style>
  <w:style w:type="paragraph" w:styleId="ListParagraph">
    <w:name w:val="List Paragraph"/>
    <w:basedOn w:val="Normal"/>
    <w:uiPriority w:val="34"/>
    <w:qFormat/>
    <w:rsid w:val="001E5B18"/>
    <w:pPr>
      <w:ind w:left="720"/>
    </w:pPr>
  </w:style>
  <w:style w:type="paragraph" w:styleId="PlainText">
    <w:name w:val="Plain Text"/>
    <w:basedOn w:val="Normal"/>
    <w:link w:val="PlainTextChar"/>
    <w:uiPriority w:val="99"/>
    <w:unhideWhenUsed/>
    <w:rsid w:val="00511488"/>
    <w:rPr>
      <w:rFonts w:ascii="Consolas" w:eastAsia="Calibri" w:hAnsi="Consolas"/>
      <w:sz w:val="21"/>
      <w:szCs w:val="21"/>
    </w:rPr>
  </w:style>
  <w:style w:type="character" w:customStyle="1" w:styleId="PlainTextChar">
    <w:name w:val="Plain Text Char"/>
    <w:basedOn w:val="DefaultParagraphFont"/>
    <w:link w:val="PlainText"/>
    <w:uiPriority w:val="99"/>
    <w:rsid w:val="00511488"/>
    <w:rPr>
      <w:rFonts w:ascii="Consolas" w:eastAsia="Calibri" w:hAnsi="Consolas" w:cs="Times New Roman"/>
      <w:sz w:val="21"/>
      <w:szCs w:val="21"/>
    </w:rPr>
  </w:style>
  <w:style w:type="paragraph" w:customStyle="1" w:styleId="Level1">
    <w:name w:val="Level 1"/>
    <w:basedOn w:val="Normal"/>
    <w:rsid w:val="001C4CC7"/>
    <w:pPr>
      <w:widowControl w:val="0"/>
      <w:numPr>
        <w:numId w:val="1"/>
      </w:numPr>
      <w:ind w:left="720" w:hanging="720"/>
      <w:outlineLvl w:val="0"/>
    </w:pPr>
    <w:rPr>
      <w:snapToGrid w:val="0"/>
      <w:szCs w:val="20"/>
    </w:rPr>
  </w:style>
  <w:style w:type="paragraph" w:styleId="Header">
    <w:name w:val="header"/>
    <w:basedOn w:val="Normal"/>
    <w:link w:val="HeaderChar"/>
    <w:rsid w:val="0046332A"/>
    <w:pPr>
      <w:tabs>
        <w:tab w:val="center" w:pos="4680"/>
        <w:tab w:val="right" w:pos="9360"/>
      </w:tabs>
    </w:pPr>
  </w:style>
  <w:style w:type="character" w:customStyle="1" w:styleId="HeaderChar">
    <w:name w:val="Header Char"/>
    <w:basedOn w:val="DefaultParagraphFont"/>
    <w:link w:val="Header"/>
    <w:rsid w:val="0046332A"/>
    <w:rPr>
      <w:sz w:val="24"/>
      <w:szCs w:val="24"/>
    </w:rPr>
  </w:style>
  <w:style w:type="paragraph" w:styleId="Footer">
    <w:name w:val="footer"/>
    <w:basedOn w:val="Normal"/>
    <w:link w:val="FooterChar"/>
    <w:rsid w:val="0046332A"/>
    <w:pPr>
      <w:tabs>
        <w:tab w:val="center" w:pos="4680"/>
        <w:tab w:val="right" w:pos="9360"/>
      </w:tabs>
    </w:pPr>
  </w:style>
  <w:style w:type="character" w:customStyle="1" w:styleId="FooterChar">
    <w:name w:val="Footer Char"/>
    <w:basedOn w:val="DefaultParagraphFont"/>
    <w:link w:val="Footer"/>
    <w:rsid w:val="0046332A"/>
    <w:rPr>
      <w:sz w:val="24"/>
      <w:szCs w:val="24"/>
    </w:rPr>
  </w:style>
  <w:style w:type="paragraph" w:styleId="Revision">
    <w:name w:val="Revision"/>
    <w:hidden/>
    <w:uiPriority w:val="99"/>
    <w:semiHidden/>
    <w:rsid w:val="003902FB"/>
    <w:rPr>
      <w:sz w:val="24"/>
      <w:szCs w:val="24"/>
    </w:rPr>
  </w:style>
  <w:style w:type="table" w:styleId="TableGrid">
    <w:name w:val="Table Grid"/>
    <w:basedOn w:val="TableNormal"/>
    <w:uiPriority w:val="59"/>
    <w:rsid w:val="00095EA5"/>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B03DD"/>
    <w:pPr>
      <w:spacing w:before="100" w:beforeAutospacing="1" w:after="100" w:afterAutospacing="1"/>
    </w:pPr>
    <w:rPr>
      <w:rFonts w:ascii="Arial" w:hAnsi="Arial" w:cs="Arial"/>
    </w:rPr>
  </w:style>
  <w:style w:type="character" w:styleId="Hyperlink">
    <w:name w:val="Hyperlink"/>
    <w:basedOn w:val="DefaultParagraphFont"/>
    <w:rsid w:val="00AB03DD"/>
    <w:rPr>
      <w:color w:val="0000FF"/>
      <w:u w:val="single"/>
    </w:rPr>
  </w:style>
  <w:style w:type="paragraph" w:styleId="BalloonText">
    <w:name w:val="Balloon Text"/>
    <w:basedOn w:val="Normal"/>
    <w:semiHidden/>
    <w:rsid w:val="009861F2"/>
    <w:rPr>
      <w:rFonts w:ascii="Tahoma" w:hAnsi="Tahoma" w:cs="Tahoma"/>
      <w:sz w:val="16"/>
      <w:szCs w:val="16"/>
    </w:rPr>
  </w:style>
  <w:style w:type="character" w:styleId="FollowedHyperlink">
    <w:name w:val="FollowedHyperlink"/>
    <w:basedOn w:val="DefaultParagraphFont"/>
    <w:rsid w:val="00CE0742"/>
    <w:rPr>
      <w:color w:val="800080"/>
      <w:u w:val="single"/>
    </w:rPr>
  </w:style>
  <w:style w:type="character" w:styleId="CommentReference">
    <w:name w:val="annotation reference"/>
    <w:basedOn w:val="DefaultParagraphFont"/>
    <w:semiHidden/>
    <w:rsid w:val="00FC11EA"/>
    <w:rPr>
      <w:sz w:val="16"/>
      <w:szCs w:val="16"/>
    </w:rPr>
  </w:style>
  <w:style w:type="paragraph" w:styleId="CommentText">
    <w:name w:val="annotation text"/>
    <w:basedOn w:val="Normal"/>
    <w:semiHidden/>
    <w:rsid w:val="00FC11EA"/>
    <w:rPr>
      <w:sz w:val="20"/>
      <w:szCs w:val="20"/>
    </w:rPr>
  </w:style>
  <w:style w:type="paragraph" w:styleId="CommentSubject">
    <w:name w:val="annotation subject"/>
    <w:basedOn w:val="CommentText"/>
    <w:next w:val="CommentText"/>
    <w:semiHidden/>
    <w:rsid w:val="00FC11EA"/>
    <w:rPr>
      <w:b/>
      <w:bCs/>
    </w:rPr>
  </w:style>
  <w:style w:type="paragraph" w:styleId="DocumentMap">
    <w:name w:val="Document Map"/>
    <w:basedOn w:val="Normal"/>
    <w:semiHidden/>
    <w:rsid w:val="00105D78"/>
    <w:pPr>
      <w:shd w:val="clear" w:color="auto" w:fill="000080"/>
    </w:pPr>
    <w:rPr>
      <w:rFonts w:ascii="Tahoma" w:hAnsi="Tahoma" w:cs="Tahoma"/>
      <w:sz w:val="20"/>
      <w:szCs w:val="20"/>
    </w:rPr>
  </w:style>
  <w:style w:type="paragraph" w:styleId="ListParagraph">
    <w:name w:val="List Paragraph"/>
    <w:basedOn w:val="Normal"/>
    <w:uiPriority w:val="34"/>
    <w:qFormat/>
    <w:rsid w:val="001E5B18"/>
    <w:pPr>
      <w:ind w:left="720"/>
    </w:pPr>
  </w:style>
  <w:style w:type="paragraph" w:styleId="PlainText">
    <w:name w:val="Plain Text"/>
    <w:basedOn w:val="Normal"/>
    <w:link w:val="PlainTextChar"/>
    <w:uiPriority w:val="99"/>
    <w:unhideWhenUsed/>
    <w:rsid w:val="00511488"/>
    <w:rPr>
      <w:rFonts w:ascii="Consolas" w:eastAsia="Calibri" w:hAnsi="Consolas"/>
      <w:sz w:val="21"/>
      <w:szCs w:val="21"/>
    </w:rPr>
  </w:style>
  <w:style w:type="character" w:customStyle="1" w:styleId="PlainTextChar">
    <w:name w:val="Plain Text Char"/>
    <w:basedOn w:val="DefaultParagraphFont"/>
    <w:link w:val="PlainText"/>
    <w:uiPriority w:val="99"/>
    <w:rsid w:val="00511488"/>
    <w:rPr>
      <w:rFonts w:ascii="Consolas" w:eastAsia="Calibri" w:hAnsi="Consolas" w:cs="Times New Roman"/>
      <w:sz w:val="21"/>
      <w:szCs w:val="21"/>
    </w:rPr>
  </w:style>
  <w:style w:type="paragraph" w:customStyle="1" w:styleId="Level1">
    <w:name w:val="Level 1"/>
    <w:basedOn w:val="Normal"/>
    <w:rsid w:val="001C4CC7"/>
    <w:pPr>
      <w:widowControl w:val="0"/>
      <w:numPr>
        <w:numId w:val="1"/>
      </w:numPr>
      <w:ind w:left="720" w:hanging="720"/>
      <w:outlineLvl w:val="0"/>
    </w:pPr>
    <w:rPr>
      <w:snapToGrid w:val="0"/>
      <w:szCs w:val="20"/>
    </w:rPr>
  </w:style>
  <w:style w:type="paragraph" w:styleId="Header">
    <w:name w:val="header"/>
    <w:basedOn w:val="Normal"/>
    <w:link w:val="HeaderChar"/>
    <w:rsid w:val="0046332A"/>
    <w:pPr>
      <w:tabs>
        <w:tab w:val="center" w:pos="4680"/>
        <w:tab w:val="right" w:pos="9360"/>
      </w:tabs>
    </w:pPr>
  </w:style>
  <w:style w:type="character" w:customStyle="1" w:styleId="HeaderChar">
    <w:name w:val="Header Char"/>
    <w:basedOn w:val="DefaultParagraphFont"/>
    <w:link w:val="Header"/>
    <w:rsid w:val="0046332A"/>
    <w:rPr>
      <w:sz w:val="24"/>
      <w:szCs w:val="24"/>
    </w:rPr>
  </w:style>
  <w:style w:type="paragraph" w:styleId="Footer">
    <w:name w:val="footer"/>
    <w:basedOn w:val="Normal"/>
    <w:link w:val="FooterChar"/>
    <w:rsid w:val="0046332A"/>
    <w:pPr>
      <w:tabs>
        <w:tab w:val="center" w:pos="4680"/>
        <w:tab w:val="right" w:pos="9360"/>
      </w:tabs>
    </w:pPr>
  </w:style>
  <w:style w:type="character" w:customStyle="1" w:styleId="FooterChar">
    <w:name w:val="Footer Char"/>
    <w:basedOn w:val="DefaultParagraphFont"/>
    <w:link w:val="Footer"/>
    <w:rsid w:val="0046332A"/>
    <w:rPr>
      <w:sz w:val="24"/>
      <w:szCs w:val="24"/>
    </w:rPr>
  </w:style>
  <w:style w:type="paragraph" w:styleId="Revision">
    <w:name w:val="Revision"/>
    <w:hidden/>
    <w:uiPriority w:val="99"/>
    <w:semiHidden/>
    <w:rsid w:val="003902FB"/>
    <w:rPr>
      <w:sz w:val="24"/>
      <w:szCs w:val="24"/>
    </w:rPr>
  </w:style>
  <w:style w:type="table" w:styleId="TableGrid">
    <w:name w:val="Table Grid"/>
    <w:basedOn w:val="TableNormal"/>
    <w:uiPriority w:val="59"/>
    <w:rsid w:val="00095EA5"/>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976">
      <w:bodyDiv w:val="1"/>
      <w:marLeft w:val="0"/>
      <w:marRight w:val="0"/>
      <w:marTop w:val="0"/>
      <w:marBottom w:val="0"/>
      <w:divBdr>
        <w:top w:val="none" w:sz="0" w:space="0" w:color="auto"/>
        <w:left w:val="none" w:sz="0" w:space="0" w:color="auto"/>
        <w:bottom w:val="none" w:sz="0" w:space="0" w:color="auto"/>
        <w:right w:val="none" w:sz="0" w:space="0" w:color="auto"/>
      </w:divBdr>
    </w:div>
    <w:div w:id="21517616">
      <w:bodyDiv w:val="1"/>
      <w:marLeft w:val="0"/>
      <w:marRight w:val="0"/>
      <w:marTop w:val="0"/>
      <w:marBottom w:val="0"/>
      <w:divBdr>
        <w:top w:val="none" w:sz="0" w:space="0" w:color="auto"/>
        <w:left w:val="none" w:sz="0" w:space="0" w:color="auto"/>
        <w:bottom w:val="none" w:sz="0" w:space="0" w:color="auto"/>
        <w:right w:val="none" w:sz="0" w:space="0" w:color="auto"/>
      </w:divBdr>
      <w:divsChild>
        <w:div w:id="9085544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917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6411">
      <w:bodyDiv w:val="1"/>
      <w:marLeft w:val="0"/>
      <w:marRight w:val="0"/>
      <w:marTop w:val="0"/>
      <w:marBottom w:val="0"/>
      <w:divBdr>
        <w:top w:val="none" w:sz="0" w:space="0" w:color="auto"/>
        <w:left w:val="none" w:sz="0" w:space="0" w:color="auto"/>
        <w:bottom w:val="none" w:sz="0" w:space="0" w:color="auto"/>
        <w:right w:val="none" w:sz="0" w:space="0" w:color="auto"/>
      </w:divBdr>
    </w:div>
    <w:div w:id="44722469">
      <w:bodyDiv w:val="1"/>
      <w:marLeft w:val="0"/>
      <w:marRight w:val="0"/>
      <w:marTop w:val="0"/>
      <w:marBottom w:val="0"/>
      <w:divBdr>
        <w:top w:val="none" w:sz="0" w:space="0" w:color="auto"/>
        <w:left w:val="none" w:sz="0" w:space="0" w:color="auto"/>
        <w:bottom w:val="none" w:sz="0" w:space="0" w:color="auto"/>
        <w:right w:val="none" w:sz="0" w:space="0" w:color="auto"/>
      </w:divBdr>
    </w:div>
    <w:div w:id="54622048">
      <w:bodyDiv w:val="1"/>
      <w:marLeft w:val="0"/>
      <w:marRight w:val="0"/>
      <w:marTop w:val="0"/>
      <w:marBottom w:val="0"/>
      <w:divBdr>
        <w:top w:val="none" w:sz="0" w:space="0" w:color="auto"/>
        <w:left w:val="none" w:sz="0" w:space="0" w:color="auto"/>
        <w:bottom w:val="none" w:sz="0" w:space="0" w:color="auto"/>
        <w:right w:val="none" w:sz="0" w:space="0" w:color="auto"/>
      </w:divBdr>
    </w:div>
    <w:div w:id="57242929">
      <w:bodyDiv w:val="1"/>
      <w:marLeft w:val="0"/>
      <w:marRight w:val="0"/>
      <w:marTop w:val="0"/>
      <w:marBottom w:val="0"/>
      <w:divBdr>
        <w:top w:val="none" w:sz="0" w:space="0" w:color="auto"/>
        <w:left w:val="none" w:sz="0" w:space="0" w:color="auto"/>
        <w:bottom w:val="none" w:sz="0" w:space="0" w:color="auto"/>
        <w:right w:val="none" w:sz="0" w:space="0" w:color="auto"/>
      </w:divBdr>
    </w:div>
    <w:div w:id="74329261">
      <w:bodyDiv w:val="1"/>
      <w:marLeft w:val="0"/>
      <w:marRight w:val="0"/>
      <w:marTop w:val="0"/>
      <w:marBottom w:val="0"/>
      <w:divBdr>
        <w:top w:val="none" w:sz="0" w:space="0" w:color="auto"/>
        <w:left w:val="none" w:sz="0" w:space="0" w:color="auto"/>
        <w:bottom w:val="none" w:sz="0" w:space="0" w:color="auto"/>
        <w:right w:val="none" w:sz="0" w:space="0" w:color="auto"/>
      </w:divBdr>
    </w:div>
    <w:div w:id="144513569">
      <w:bodyDiv w:val="1"/>
      <w:marLeft w:val="0"/>
      <w:marRight w:val="0"/>
      <w:marTop w:val="0"/>
      <w:marBottom w:val="0"/>
      <w:divBdr>
        <w:top w:val="none" w:sz="0" w:space="0" w:color="auto"/>
        <w:left w:val="none" w:sz="0" w:space="0" w:color="auto"/>
        <w:bottom w:val="none" w:sz="0" w:space="0" w:color="auto"/>
        <w:right w:val="none" w:sz="0" w:space="0" w:color="auto"/>
      </w:divBdr>
    </w:div>
    <w:div w:id="176700506">
      <w:bodyDiv w:val="1"/>
      <w:marLeft w:val="0"/>
      <w:marRight w:val="0"/>
      <w:marTop w:val="0"/>
      <w:marBottom w:val="0"/>
      <w:divBdr>
        <w:top w:val="none" w:sz="0" w:space="0" w:color="auto"/>
        <w:left w:val="none" w:sz="0" w:space="0" w:color="auto"/>
        <w:bottom w:val="none" w:sz="0" w:space="0" w:color="auto"/>
        <w:right w:val="none" w:sz="0" w:space="0" w:color="auto"/>
      </w:divBdr>
    </w:div>
    <w:div w:id="222914162">
      <w:bodyDiv w:val="1"/>
      <w:marLeft w:val="0"/>
      <w:marRight w:val="0"/>
      <w:marTop w:val="0"/>
      <w:marBottom w:val="0"/>
      <w:divBdr>
        <w:top w:val="none" w:sz="0" w:space="0" w:color="auto"/>
        <w:left w:val="none" w:sz="0" w:space="0" w:color="auto"/>
        <w:bottom w:val="none" w:sz="0" w:space="0" w:color="auto"/>
        <w:right w:val="none" w:sz="0" w:space="0" w:color="auto"/>
      </w:divBdr>
    </w:div>
    <w:div w:id="291207034">
      <w:bodyDiv w:val="1"/>
      <w:marLeft w:val="0"/>
      <w:marRight w:val="0"/>
      <w:marTop w:val="0"/>
      <w:marBottom w:val="0"/>
      <w:divBdr>
        <w:top w:val="none" w:sz="0" w:space="0" w:color="auto"/>
        <w:left w:val="none" w:sz="0" w:space="0" w:color="auto"/>
        <w:bottom w:val="none" w:sz="0" w:space="0" w:color="auto"/>
        <w:right w:val="none" w:sz="0" w:space="0" w:color="auto"/>
      </w:divBdr>
    </w:div>
    <w:div w:id="390227680">
      <w:bodyDiv w:val="1"/>
      <w:marLeft w:val="0"/>
      <w:marRight w:val="0"/>
      <w:marTop w:val="0"/>
      <w:marBottom w:val="0"/>
      <w:divBdr>
        <w:top w:val="none" w:sz="0" w:space="0" w:color="auto"/>
        <w:left w:val="none" w:sz="0" w:space="0" w:color="auto"/>
        <w:bottom w:val="none" w:sz="0" w:space="0" w:color="auto"/>
        <w:right w:val="none" w:sz="0" w:space="0" w:color="auto"/>
      </w:divBdr>
    </w:div>
    <w:div w:id="444545680">
      <w:bodyDiv w:val="1"/>
      <w:marLeft w:val="0"/>
      <w:marRight w:val="0"/>
      <w:marTop w:val="0"/>
      <w:marBottom w:val="0"/>
      <w:divBdr>
        <w:top w:val="none" w:sz="0" w:space="0" w:color="auto"/>
        <w:left w:val="none" w:sz="0" w:space="0" w:color="auto"/>
        <w:bottom w:val="none" w:sz="0" w:space="0" w:color="auto"/>
        <w:right w:val="none" w:sz="0" w:space="0" w:color="auto"/>
      </w:divBdr>
    </w:div>
    <w:div w:id="480583670">
      <w:bodyDiv w:val="1"/>
      <w:marLeft w:val="0"/>
      <w:marRight w:val="0"/>
      <w:marTop w:val="0"/>
      <w:marBottom w:val="0"/>
      <w:divBdr>
        <w:top w:val="none" w:sz="0" w:space="0" w:color="auto"/>
        <w:left w:val="none" w:sz="0" w:space="0" w:color="auto"/>
        <w:bottom w:val="none" w:sz="0" w:space="0" w:color="auto"/>
        <w:right w:val="none" w:sz="0" w:space="0" w:color="auto"/>
      </w:divBdr>
    </w:div>
    <w:div w:id="556356903">
      <w:bodyDiv w:val="1"/>
      <w:marLeft w:val="0"/>
      <w:marRight w:val="0"/>
      <w:marTop w:val="0"/>
      <w:marBottom w:val="0"/>
      <w:divBdr>
        <w:top w:val="none" w:sz="0" w:space="0" w:color="auto"/>
        <w:left w:val="none" w:sz="0" w:space="0" w:color="auto"/>
        <w:bottom w:val="none" w:sz="0" w:space="0" w:color="auto"/>
        <w:right w:val="none" w:sz="0" w:space="0" w:color="auto"/>
      </w:divBdr>
    </w:div>
    <w:div w:id="700666479">
      <w:bodyDiv w:val="1"/>
      <w:marLeft w:val="0"/>
      <w:marRight w:val="0"/>
      <w:marTop w:val="0"/>
      <w:marBottom w:val="0"/>
      <w:divBdr>
        <w:top w:val="none" w:sz="0" w:space="0" w:color="auto"/>
        <w:left w:val="none" w:sz="0" w:space="0" w:color="auto"/>
        <w:bottom w:val="none" w:sz="0" w:space="0" w:color="auto"/>
        <w:right w:val="none" w:sz="0" w:space="0" w:color="auto"/>
      </w:divBdr>
    </w:div>
    <w:div w:id="749238180">
      <w:bodyDiv w:val="1"/>
      <w:marLeft w:val="0"/>
      <w:marRight w:val="0"/>
      <w:marTop w:val="0"/>
      <w:marBottom w:val="0"/>
      <w:divBdr>
        <w:top w:val="none" w:sz="0" w:space="0" w:color="auto"/>
        <w:left w:val="none" w:sz="0" w:space="0" w:color="auto"/>
        <w:bottom w:val="none" w:sz="0" w:space="0" w:color="auto"/>
        <w:right w:val="none" w:sz="0" w:space="0" w:color="auto"/>
      </w:divBdr>
      <w:divsChild>
        <w:div w:id="145896279">
          <w:marLeft w:val="0"/>
          <w:marRight w:val="0"/>
          <w:marTop w:val="0"/>
          <w:marBottom w:val="0"/>
          <w:divBdr>
            <w:top w:val="none" w:sz="0" w:space="0" w:color="auto"/>
            <w:left w:val="none" w:sz="0" w:space="0" w:color="auto"/>
            <w:bottom w:val="none" w:sz="0" w:space="0" w:color="auto"/>
            <w:right w:val="none" w:sz="0" w:space="0" w:color="auto"/>
          </w:divBdr>
          <w:divsChild>
            <w:div w:id="529028479">
              <w:marLeft w:val="0"/>
              <w:marRight w:val="0"/>
              <w:marTop w:val="0"/>
              <w:marBottom w:val="0"/>
              <w:divBdr>
                <w:top w:val="none" w:sz="0" w:space="0" w:color="auto"/>
                <w:left w:val="none" w:sz="0" w:space="0" w:color="auto"/>
                <w:bottom w:val="none" w:sz="0" w:space="0" w:color="auto"/>
                <w:right w:val="none" w:sz="0" w:space="0" w:color="auto"/>
              </w:divBdr>
              <w:divsChild>
                <w:div w:id="1557089129">
                  <w:marLeft w:val="300"/>
                  <w:marRight w:val="300"/>
                  <w:marTop w:val="0"/>
                  <w:marBottom w:val="0"/>
                  <w:divBdr>
                    <w:top w:val="none" w:sz="0" w:space="0" w:color="auto"/>
                    <w:left w:val="none" w:sz="0" w:space="0" w:color="auto"/>
                    <w:bottom w:val="none" w:sz="0" w:space="0" w:color="auto"/>
                    <w:right w:val="none" w:sz="0" w:space="0" w:color="auto"/>
                  </w:divBdr>
                  <w:divsChild>
                    <w:div w:id="230580650">
                      <w:marLeft w:val="0"/>
                      <w:marRight w:val="0"/>
                      <w:marTop w:val="0"/>
                      <w:marBottom w:val="0"/>
                      <w:divBdr>
                        <w:top w:val="none" w:sz="0" w:space="0" w:color="auto"/>
                        <w:left w:val="none" w:sz="0" w:space="0" w:color="auto"/>
                        <w:bottom w:val="none" w:sz="0" w:space="0" w:color="auto"/>
                        <w:right w:val="none" w:sz="0" w:space="0" w:color="auto"/>
                      </w:divBdr>
                      <w:divsChild>
                        <w:div w:id="1083646582">
                          <w:marLeft w:val="0"/>
                          <w:marRight w:val="0"/>
                          <w:marTop w:val="0"/>
                          <w:marBottom w:val="0"/>
                          <w:divBdr>
                            <w:top w:val="none" w:sz="0" w:space="0" w:color="auto"/>
                            <w:left w:val="none" w:sz="0" w:space="0" w:color="auto"/>
                            <w:bottom w:val="none" w:sz="0" w:space="0" w:color="auto"/>
                            <w:right w:val="none" w:sz="0" w:space="0" w:color="auto"/>
                          </w:divBdr>
                          <w:divsChild>
                            <w:div w:id="795952051">
                              <w:marLeft w:val="0"/>
                              <w:marRight w:val="0"/>
                              <w:marTop w:val="0"/>
                              <w:marBottom w:val="0"/>
                              <w:divBdr>
                                <w:top w:val="none" w:sz="0" w:space="0" w:color="auto"/>
                                <w:left w:val="none" w:sz="0" w:space="0" w:color="auto"/>
                                <w:bottom w:val="none" w:sz="0" w:space="0" w:color="auto"/>
                                <w:right w:val="none" w:sz="0" w:space="0" w:color="auto"/>
                              </w:divBdr>
                              <w:divsChild>
                                <w:div w:id="404962736">
                                  <w:marLeft w:val="0"/>
                                  <w:marRight w:val="0"/>
                                  <w:marTop w:val="0"/>
                                  <w:marBottom w:val="0"/>
                                  <w:divBdr>
                                    <w:top w:val="none" w:sz="0" w:space="0" w:color="auto"/>
                                    <w:left w:val="none" w:sz="0" w:space="0" w:color="auto"/>
                                    <w:bottom w:val="none" w:sz="0" w:space="0" w:color="auto"/>
                                    <w:right w:val="none" w:sz="0" w:space="0" w:color="auto"/>
                                  </w:divBdr>
                                  <w:divsChild>
                                    <w:div w:id="1515606172">
                                      <w:marLeft w:val="0"/>
                                      <w:marRight w:val="0"/>
                                      <w:marTop w:val="0"/>
                                      <w:marBottom w:val="0"/>
                                      <w:divBdr>
                                        <w:top w:val="none" w:sz="0" w:space="0" w:color="auto"/>
                                        <w:left w:val="none" w:sz="0" w:space="0" w:color="auto"/>
                                        <w:bottom w:val="none" w:sz="0" w:space="0" w:color="auto"/>
                                        <w:right w:val="none" w:sz="0" w:space="0" w:color="auto"/>
                                      </w:divBdr>
                                      <w:divsChild>
                                        <w:div w:id="12254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981702">
      <w:bodyDiv w:val="1"/>
      <w:marLeft w:val="0"/>
      <w:marRight w:val="0"/>
      <w:marTop w:val="0"/>
      <w:marBottom w:val="0"/>
      <w:divBdr>
        <w:top w:val="none" w:sz="0" w:space="0" w:color="auto"/>
        <w:left w:val="none" w:sz="0" w:space="0" w:color="auto"/>
        <w:bottom w:val="none" w:sz="0" w:space="0" w:color="auto"/>
        <w:right w:val="none" w:sz="0" w:space="0" w:color="auto"/>
      </w:divBdr>
    </w:div>
    <w:div w:id="948582628">
      <w:bodyDiv w:val="1"/>
      <w:marLeft w:val="0"/>
      <w:marRight w:val="0"/>
      <w:marTop w:val="0"/>
      <w:marBottom w:val="0"/>
      <w:divBdr>
        <w:top w:val="none" w:sz="0" w:space="0" w:color="auto"/>
        <w:left w:val="none" w:sz="0" w:space="0" w:color="auto"/>
        <w:bottom w:val="none" w:sz="0" w:space="0" w:color="auto"/>
        <w:right w:val="none" w:sz="0" w:space="0" w:color="auto"/>
      </w:divBdr>
    </w:div>
    <w:div w:id="1013607009">
      <w:bodyDiv w:val="1"/>
      <w:marLeft w:val="0"/>
      <w:marRight w:val="0"/>
      <w:marTop w:val="0"/>
      <w:marBottom w:val="0"/>
      <w:divBdr>
        <w:top w:val="none" w:sz="0" w:space="0" w:color="auto"/>
        <w:left w:val="none" w:sz="0" w:space="0" w:color="auto"/>
        <w:bottom w:val="none" w:sz="0" w:space="0" w:color="auto"/>
        <w:right w:val="none" w:sz="0" w:space="0" w:color="auto"/>
      </w:divBdr>
    </w:div>
    <w:div w:id="1027369531">
      <w:bodyDiv w:val="1"/>
      <w:marLeft w:val="0"/>
      <w:marRight w:val="0"/>
      <w:marTop w:val="0"/>
      <w:marBottom w:val="0"/>
      <w:divBdr>
        <w:top w:val="none" w:sz="0" w:space="0" w:color="auto"/>
        <w:left w:val="none" w:sz="0" w:space="0" w:color="auto"/>
        <w:bottom w:val="none" w:sz="0" w:space="0" w:color="auto"/>
        <w:right w:val="none" w:sz="0" w:space="0" w:color="auto"/>
      </w:divBdr>
    </w:div>
    <w:div w:id="1043405060">
      <w:bodyDiv w:val="1"/>
      <w:marLeft w:val="0"/>
      <w:marRight w:val="0"/>
      <w:marTop w:val="0"/>
      <w:marBottom w:val="0"/>
      <w:divBdr>
        <w:top w:val="none" w:sz="0" w:space="0" w:color="auto"/>
        <w:left w:val="none" w:sz="0" w:space="0" w:color="auto"/>
        <w:bottom w:val="none" w:sz="0" w:space="0" w:color="auto"/>
        <w:right w:val="none" w:sz="0" w:space="0" w:color="auto"/>
      </w:divBdr>
    </w:div>
    <w:div w:id="1065761201">
      <w:bodyDiv w:val="1"/>
      <w:marLeft w:val="0"/>
      <w:marRight w:val="0"/>
      <w:marTop w:val="0"/>
      <w:marBottom w:val="0"/>
      <w:divBdr>
        <w:top w:val="none" w:sz="0" w:space="0" w:color="auto"/>
        <w:left w:val="none" w:sz="0" w:space="0" w:color="auto"/>
        <w:bottom w:val="none" w:sz="0" w:space="0" w:color="auto"/>
        <w:right w:val="none" w:sz="0" w:space="0" w:color="auto"/>
      </w:divBdr>
    </w:div>
    <w:div w:id="1079137928">
      <w:bodyDiv w:val="1"/>
      <w:marLeft w:val="0"/>
      <w:marRight w:val="0"/>
      <w:marTop w:val="0"/>
      <w:marBottom w:val="0"/>
      <w:divBdr>
        <w:top w:val="none" w:sz="0" w:space="0" w:color="auto"/>
        <w:left w:val="none" w:sz="0" w:space="0" w:color="auto"/>
        <w:bottom w:val="none" w:sz="0" w:space="0" w:color="auto"/>
        <w:right w:val="none" w:sz="0" w:space="0" w:color="auto"/>
      </w:divBdr>
    </w:div>
    <w:div w:id="1089623617">
      <w:bodyDiv w:val="1"/>
      <w:marLeft w:val="0"/>
      <w:marRight w:val="0"/>
      <w:marTop w:val="0"/>
      <w:marBottom w:val="0"/>
      <w:divBdr>
        <w:top w:val="none" w:sz="0" w:space="0" w:color="auto"/>
        <w:left w:val="none" w:sz="0" w:space="0" w:color="auto"/>
        <w:bottom w:val="none" w:sz="0" w:space="0" w:color="auto"/>
        <w:right w:val="none" w:sz="0" w:space="0" w:color="auto"/>
      </w:divBdr>
    </w:div>
    <w:div w:id="1113482582">
      <w:bodyDiv w:val="1"/>
      <w:marLeft w:val="0"/>
      <w:marRight w:val="0"/>
      <w:marTop w:val="0"/>
      <w:marBottom w:val="0"/>
      <w:divBdr>
        <w:top w:val="none" w:sz="0" w:space="0" w:color="auto"/>
        <w:left w:val="none" w:sz="0" w:space="0" w:color="auto"/>
        <w:bottom w:val="none" w:sz="0" w:space="0" w:color="auto"/>
        <w:right w:val="none" w:sz="0" w:space="0" w:color="auto"/>
      </w:divBdr>
    </w:div>
    <w:div w:id="1148060977">
      <w:bodyDiv w:val="1"/>
      <w:marLeft w:val="0"/>
      <w:marRight w:val="0"/>
      <w:marTop w:val="0"/>
      <w:marBottom w:val="0"/>
      <w:divBdr>
        <w:top w:val="none" w:sz="0" w:space="0" w:color="auto"/>
        <w:left w:val="none" w:sz="0" w:space="0" w:color="auto"/>
        <w:bottom w:val="none" w:sz="0" w:space="0" w:color="auto"/>
        <w:right w:val="none" w:sz="0" w:space="0" w:color="auto"/>
      </w:divBdr>
    </w:div>
    <w:div w:id="1167138080">
      <w:bodyDiv w:val="1"/>
      <w:marLeft w:val="0"/>
      <w:marRight w:val="0"/>
      <w:marTop w:val="0"/>
      <w:marBottom w:val="0"/>
      <w:divBdr>
        <w:top w:val="none" w:sz="0" w:space="0" w:color="auto"/>
        <w:left w:val="none" w:sz="0" w:space="0" w:color="auto"/>
        <w:bottom w:val="none" w:sz="0" w:space="0" w:color="auto"/>
        <w:right w:val="none" w:sz="0" w:space="0" w:color="auto"/>
      </w:divBdr>
    </w:div>
    <w:div w:id="1202937121">
      <w:bodyDiv w:val="1"/>
      <w:marLeft w:val="0"/>
      <w:marRight w:val="0"/>
      <w:marTop w:val="0"/>
      <w:marBottom w:val="0"/>
      <w:divBdr>
        <w:top w:val="none" w:sz="0" w:space="0" w:color="auto"/>
        <w:left w:val="none" w:sz="0" w:space="0" w:color="auto"/>
        <w:bottom w:val="none" w:sz="0" w:space="0" w:color="auto"/>
        <w:right w:val="none" w:sz="0" w:space="0" w:color="auto"/>
      </w:divBdr>
    </w:div>
    <w:div w:id="1316765391">
      <w:bodyDiv w:val="1"/>
      <w:marLeft w:val="0"/>
      <w:marRight w:val="0"/>
      <w:marTop w:val="0"/>
      <w:marBottom w:val="0"/>
      <w:divBdr>
        <w:top w:val="none" w:sz="0" w:space="0" w:color="auto"/>
        <w:left w:val="none" w:sz="0" w:space="0" w:color="auto"/>
        <w:bottom w:val="none" w:sz="0" w:space="0" w:color="auto"/>
        <w:right w:val="none" w:sz="0" w:space="0" w:color="auto"/>
      </w:divBdr>
    </w:div>
    <w:div w:id="1337919086">
      <w:bodyDiv w:val="1"/>
      <w:marLeft w:val="0"/>
      <w:marRight w:val="0"/>
      <w:marTop w:val="0"/>
      <w:marBottom w:val="0"/>
      <w:divBdr>
        <w:top w:val="none" w:sz="0" w:space="0" w:color="auto"/>
        <w:left w:val="none" w:sz="0" w:space="0" w:color="auto"/>
        <w:bottom w:val="none" w:sz="0" w:space="0" w:color="auto"/>
        <w:right w:val="none" w:sz="0" w:space="0" w:color="auto"/>
      </w:divBdr>
    </w:div>
    <w:div w:id="1366054756">
      <w:bodyDiv w:val="1"/>
      <w:marLeft w:val="0"/>
      <w:marRight w:val="0"/>
      <w:marTop w:val="0"/>
      <w:marBottom w:val="0"/>
      <w:divBdr>
        <w:top w:val="none" w:sz="0" w:space="0" w:color="auto"/>
        <w:left w:val="none" w:sz="0" w:space="0" w:color="auto"/>
        <w:bottom w:val="none" w:sz="0" w:space="0" w:color="auto"/>
        <w:right w:val="none" w:sz="0" w:space="0" w:color="auto"/>
      </w:divBdr>
    </w:div>
    <w:div w:id="1379937703">
      <w:bodyDiv w:val="1"/>
      <w:marLeft w:val="0"/>
      <w:marRight w:val="0"/>
      <w:marTop w:val="0"/>
      <w:marBottom w:val="0"/>
      <w:divBdr>
        <w:top w:val="none" w:sz="0" w:space="0" w:color="auto"/>
        <w:left w:val="none" w:sz="0" w:space="0" w:color="auto"/>
        <w:bottom w:val="none" w:sz="0" w:space="0" w:color="auto"/>
        <w:right w:val="none" w:sz="0" w:space="0" w:color="auto"/>
      </w:divBdr>
      <w:divsChild>
        <w:div w:id="1489905425">
          <w:marLeft w:val="0"/>
          <w:marRight w:val="0"/>
          <w:marTop w:val="0"/>
          <w:marBottom w:val="0"/>
          <w:divBdr>
            <w:top w:val="none" w:sz="0" w:space="0" w:color="auto"/>
            <w:left w:val="none" w:sz="0" w:space="0" w:color="auto"/>
            <w:bottom w:val="none" w:sz="0" w:space="0" w:color="auto"/>
            <w:right w:val="none" w:sz="0" w:space="0" w:color="auto"/>
          </w:divBdr>
          <w:divsChild>
            <w:div w:id="1141845061">
              <w:marLeft w:val="0"/>
              <w:marRight w:val="0"/>
              <w:marTop w:val="0"/>
              <w:marBottom w:val="0"/>
              <w:divBdr>
                <w:top w:val="none" w:sz="0" w:space="0" w:color="auto"/>
                <w:left w:val="none" w:sz="0" w:space="0" w:color="auto"/>
                <w:bottom w:val="none" w:sz="0" w:space="0" w:color="auto"/>
                <w:right w:val="none" w:sz="0" w:space="0" w:color="auto"/>
              </w:divBdr>
              <w:divsChild>
                <w:div w:id="766732350">
                  <w:marLeft w:val="0"/>
                  <w:marRight w:val="0"/>
                  <w:marTop w:val="0"/>
                  <w:marBottom w:val="0"/>
                  <w:divBdr>
                    <w:top w:val="none" w:sz="0" w:space="0" w:color="auto"/>
                    <w:left w:val="none" w:sz="0" w:space="0" w:color="auto"/>
                    <w:bottom w:val="none" w:sz="0" w:space="0" w:color="auto"/>
                    <w:right w:val="none" w:sz="0" w:space="0" w:color="auto"/>
                  </w:divBdr>
                  <w:divsChild>
                    <w:div w:id="597517927">
                      <w:marLeft w:val="0"/>
                      <w:marRight w:val="0"/>
                      <w:marTop w:val="0"/>
                      <w:marBottom w:val="0"/>
                      <w:divBdr>
                        <w:top w:val="none" w:sz="0" w:space="0" w:color="auto"/>
                        <w:left w:val="none" w:sz="0" w:space="0" w:color="auto"/>
                        <w:bottom w:val="none" w:sz="0" w:space="0" w:color="auto"/>
                        <w:right w:val="none" w:sz="0" w:space="0" w:color="auto"/>
                      </w:divBdr>
                      <w:divsChild>
                        <w:div w:id="16229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370278">
      <w:bodyDiv w:val="1"/>
      <w:marLeft w:val="0"/>
      <w:marRight w:val="0"/>
      <w:marTop w:val="0"/>
      <w:marBottom w:val="0"/>
      <w:divBdr>
        <w:top w:val="none" w:sz="0" w:space="0" w:color="auto"/>
        <w:left w:val="none" w:sz="0" w:space="0" w:color="auto"/>
        <w:bottom w:val="none" w:sz="0" w:space="0" w:color="auto"/>
        <w:right w:val="none" w:sz="0" w:space="0" w:color="auto"/>
      </w:divBdr>
    </w:div>
    <w:div w:id="1482117649">
      <w:bodyDiv w:val="1"/>
      <w:marLeft w:val="0"/>
      <w:marRight w:val="0"/>
      <w:marTop w:val="0"/>
      <w:marBottom w:val="0"/>
      <w:divBdr>
        <w:top w:val="none" w:sz="0" w:space="0" w:color="auto"/>
        <w:left w:val="none" w:sz="0" w:space="0" w:color="auto"/>
        <w:bottom w:val="none" w:sz="0" w:space="0" w:color="auto"/>
        <w:right w:val="none" w:sz="0" w:space="0" w:color="auto"/>
      </w:divBdr>
    </w:div>
    <w:div w:id="1497500429">
      <w:bodyDiv w:val="1"/>
      <w:marLeft w:val="0"/>
      <w:marRight w:val="0"/>
      <w:marTop w:val="0"/>
      <w:marBottom w:val="0"/>
      <w:divBdr>
        <w:top w:val="none" w:sz="0" w:space="0" w:color="auto"/>
        <w:left w:val="none" w:sz="0" w:space="0" w:color="auto"/>
        <w:bottom w:val="none" w:sz="0" w:space="0" w:color="auto"/>
        <w:right w:val="none" w:sz="0" w:space="0" w:color="auto"/>
      </w:divBdr>
    </w:div>
    <w:div w:id="1502693596">
      <w:bodyDiv w:val="1"/>
      <w:marLeft w:val="0"/>
      <w:marRight w:val="0"/>
      <w:marTop w:val="0"/>
      <w:marBottom w:val="0"/>
      <w:divBdr>
        <w:top w:val="none" w:sz="0" w:space="0" w:color="auto"/>
        <w:left w:val="none" w:sz="0" w:space="0" w:color="auto"/>
        <w:bottom w:val="none" w:sz="0" w:space="0" w:color="auto"/>
        <w:right w:val="none" w:sz="0" w:space="0" w:color="auto"/>
      </w:divBdr>
    </w:div>
    <w:div w:id="1552112674">
      <w:bodyDiv w:val="1"/>
      <w:marLeft w:val="0"/>
      <w:marRight w:val="0"/>
      <w:marTop w:val="0"/>
      <w:marBottom w:val="0"/>
      <w:divBdr>
        <w:top w:val="none" w:sz="0" w:space="0" w:color="auto"/>
        <w:left w:val="none" w:sz="0" w:space="0" w:color="auto"/>
        <w:bottom w:val="none" w:sz="0" w:space="0" w:color="auto"/>
        <w:right w:val="none" w:sz="0" w:space="0" w:color="auto"/>
      </w:divBdr>
    </w:div>
    <w:div w:id="1556427925">
      <w:bodyDiv w:val="1"/>
      <w:marLeft w:val="0"/>
      <w:marRight w:val="0"/>
      <w:marTop w:val="0"/>
      <w:marBottom w:val="0"/>
      <w:divBdr>
        <w:top w:val="none" w:sz="0" w:space="0" w:color="auto"/>
        <w:left w:val="none" w:sz="0" w:space="0" w:color="auto"/>
        <w:bottom w:val="none" w:sz="0" w:space="0" w:color="auto"/>
        <w:right w:val="none" w:sz="0" w:space="0" w:color="auto"/>
      </w:divBdr>
    </w:div>
    <w:div w:id="1595476842">
      <w:bodyDiv w:val="1"/>
      <w:marLeft w:val="0"/>
      <w:marRight w:val="0"/>
      <w:marTop w:val="0"/>
      <w:marBottom w:val="0"/>
      <w:divBdr>
        <w:top w:val="none" w:sz="0" w:space="0" w:color="auto"/>
        <w:left w:val="none" w:sz="0" w:space="0" w:color="auto"/>
        <w:bottom w:val="none" w:sz="0" w:space="0" w:color="auto"/>
        <w:right w:val="none" w:sz="0" w:space="0" w:color="auto"/>
      </w:divBdr>
    </w:div>
    <w:div w:id="1609040794">
      <w:bodyDiv w:val="1"/>
      <w:marLeft w:val="0"/>
      <w:marRight w:val="0"/>
      <w:marTop w:val="0"/>
      <w:marBottom w:val="0"/>
      <w:divBdr>
        <w:top w:val="none" w:sz="0" w:space="0" w:color="auto"/>
        <w:left w:val="none" w:sz="0" w:space="0" w:color="auto"/>
        <w:bottom w:val="none" w:sz="0" w:space="0" w:color="auto"/>
        <w:right w:val="none" w:sz="0" w:space="0" w:color="auto"/>
      </w:divBdr>
    </w:div>
    <w:div w:id="1613248893">
      <w:bodyDiv w:val="1"/>
      <w:marLeft w:val="0"/>
      <w:marRight w:val="0"/>
      <w:marTop w:val="0"/>
      <w:marBottom w:val="0"/>
      <w:divBdr>
        <w:top w:val="none" w:sz="0" w:space="0" w:color="auto"/>
        <w:left w:val="none" w:sz="0" w:space="0" w:color="auto"/>
        <w:bottom w:val="none" w:sz="0" w:space="0" w:color="auto"/>
        <w:right w:val="none" w:sz="0" w:space="0" w:color="auto"/>
      </w:divBdr>
    </w:div>
    <w:div w:id="1629429684">
      <w:bodyDiv w:val="1"/>
      <w:marLeft w:val="0"/>
      <w:marRight w:val="0"/>
      <w:marTop w:val="0"/>
      <w:marBottom w:val="0"/>
      <w:divBdr>
        <w:top w:val="none" w:sz="0" w:space="0" w:color="auto"/>
        <w:left w:val="none" w:sz="0" w:space="0" w:color="auto"/>
        <w:bottom w:val="none" w:sz="0" w:space="0" w:color="auto"/>
        <w:right w:val="none" w:sz="0" w:space="0" w:color="auto"/>
      </w:divBdr>
    </w:div>
    <w:div w:id="1642927029">
      <w:bodyDiv w:val="1"/>
      <w:marLeft w:val="0"/>
      <w:marRight w:val="0"/>
      <w:marTop w:val="0"/>
      <w:marBottom w:val="0"/>
      <w:divBdr>
        <w:top w:val="none" w:sz="0" w:space="0" w:color="auto"/>
        <w:left w:val="none" w:sz="0" w:space="0" w:color="auto"/>
        <w:bottom w:val="none" w:sz="0" w:space="0" w:color="auto"/>
        <w:right w:val="none" w:sz="0" w:space="0" w:color="auto"/>
      </w:divBdr>
    </w:div>
    <w:div w:id="1669946789">
      <w:bodyDiv w:val="1"/>
      <w:marLeft w:val="0"/>
      <w:marRight w:val="0"/>
      <w:marTop w:val="0"/>
      <w:marBottom w:val="0"/>
      <w:divBdr>
        <w:top w:val="none" w:sz="0" w:space="0" w:color="auto"/>
        <w:left w:val="none" w:sz="0" w:space="0" w:color="auto"/>
        <w:bottom w:val="none" w:sz="0" w:space="0" w:color="auto"/>
        <w:right w:val="none" w:sz="0" w:space="0" w:color="auto"/>
      </w:divBdr>
    </w:div>
    <w:div w:id="1858158812">
      <w:bodyDiv w:val="1"/>
      <w:marLeft w:val="0"/>
      <w:marRight w:val="0"/>
      <w:marTop w:val="0"/>
      <w:marBottom w:val="0"/>
      <w:divBdr>
        <w:top w:val="none" w:sz="0" w:space="0" w:color="auto"/>
        <w:left w:val="none" w:sz="0" w:space="0" w:color="auto"/>
        <w:bottom w:val="none" w:sz="0" w:space="0" w:color="auto"/>
        <w:right w:val="none" w:sz="0" w:space="0" w:color="auto"/>
      </w:divBdr>
    </w:div>
    <w:div w:id="1860926434">
      <w:bodyDiv w:val="1"/>
      <w:marLeft w:val="0"/>
      <w:marRight w:val="0"/>
      <w:marTop w:val="0"/>
      <w:marBottom w:val="0"/>
      <w:divBdr>
        <w:top w:val="none" w:sz="0" w:space="0" w:color="auto"/>
        <w:left w:val="none" w:sz="0" w:space="0" w:color="auto"/>
        <w:bottom w:val="none" w:sz="0" w:space="0" w:color="auto"/>
        <w:right w:val="none" w:sz="0" w:space="0" w:color="auto"/>
      </w:divBdr>
    </w:div>
    <w:div w:id="1861385359">
      <w:bodyDiv w:val="1"/>
      <w:marLeft w:val="0"/>
      <w:marRight w:val="0"/>
      <w:marTop w:val="0"/>
      <w:marBottom w:val="0"/>
      <w:divBdr>
        <w:top w:val="none" w:sz="0" w:space="0" w:color="auto"/>
        <w:left w:val="none" w:sz="0" w:space="0" w:color="auto"/>
        <w:bottom w:val="none" w:sz="0" w:space="0" w:color="auto"/>
        <w:right w:val="none" w:sz="0" w:space="0" w:color="auto"/>
      </w:divBdr>
    </w:div>
    <w:div w:id="1953512816">
      <w:bodyDiv w:val="1"/>
      <w:marLeft w:val="0"/>
      <w:marRight w:val="0"/>
      <w:marTop w:val="0"/>
      <w:marBottom w:val="0"/>
      <w:divBdr>
        <w:top w:val="none" w:sz="0" w:space="0" w:color="auto"/>
        <w:left w:val="none" w:sz="0" w:space="0" w:color="auto"/>
        <w:bottom w:val="none" w:sz="0" w:space="0" w:color="auto"/>
        <w:right w:val="none" w:sz="0" w:space="0" w:color="auto"/>
      </w:divBdr>
    </w:div>
    <w:div w:id="1982688445">
      <w:bodyDiv w:val="1"/>
      <w:marLeft w:val="0"/>
      <w:marRight w:val="0"/>
      <w:marTop w:val="0"/>
      <w:marBottom w:val="0"/>
      <w:divBdr>
        <w:top w:val="none" w:sz="0" w:space="0" w:color="auto"/>
        <w:left w:val="none" w:sz="0" w:space="0" w:color="auto"/>
        <w:bottom w:val="none" w:sz="0" w:space="0" w:color="auto"/>
        <w:right w:val="none" w:sz="0" w:space="0" w:color="auto"/>
      </w:divBdr>
    </w:div>
    <w:div w:id="1985308228">
      <w:bodyDiv w:val="1"/>
      <w:marLeft w:val="0"/>
      <w:marRight w:val="0"/>
      <w:marTop w:val="0"/>
      <w:marBottom w:val="0"/>
      <w:divBdr>
        <w:top w:val="none" w:sz="0" w:space="0" w:color="auto"/>
        <w:left w:val="none" w:sz="0" w:space="0" w:color="auto"/>
        <w:bottom w:val="none" w:sz="0" w:space="0" w:color="auto"/>
        <w:right w:val="none" w:sz="0" w:space="0" w:color="auto"/>
      </w:divBdr>
    </w:div>
    <w:div w:id="2089688712">
      <w:bodyDiv w:val="1"/>
      <w:marLeft w:val="0"/>
      <w:marRight w:val="0"/>
      <w:marTop w:val="0"/>
      <w:marBottom w:val="0"/>
      <w:divBdr>
        <w:top w:val="none" w:sz="0" w:space="0" w:color="auto"/>
        <w:left w:val="none" w:sz="0" w:space="0" w:color="auto"/>
        <w:bottom w:val="none" w:sz="0" w:space="0" w:color="auto"/>
        <w:right w:val="none" w:sz="0" w:space="0" w:color="auto"/>
      </w:divBdr>
    </w:div>
    <w:div w:id="209211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Y.QTR@ny.frb.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ebt.Management@treasur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5F7EB5C76FEC459FBC014F2E6D78DE" ma:contentTypeVersion="0" ma:contentTypeDescription="Create a new document." ma:contentTypeScope="" ma:versionID="9cd2cbd6aa9aee01ece50154572cc5c5">
  <xsd:schema xmlns:xsd="http://www.w3.org/2001/XMLSchema" xmlns:xs="http://www.w3.org/2001/XMLSchema" xmlns:p="http://schemas.microsoft.com/office/2006/metadata/properties" targetNamespace="http://schemas.microsoft.com/office/2006/metadata/properties" ma:root="true" ma:fieldsID="9872afcff7812dc453ce6a163e5fca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A2D8B-A817-4234-8BD7-E1657053579F}">
  <ds:schemaRefs>
    <ds:schemaRef ds:uri="http://schemas.microsoft.com/sharepoint/v3/contenttype/forms"/>
  </ds:schemaRefs>
</ds:datastoreItem>
</file>

<file path=customXml/itemProps2.xml><?xml version="1.0" encoding="utf-8"?>
<ds:datastoreItem xmlns:ds="http://schemas.openxmlformats.org/officeDocument/2006/customXml" ds:itemID="{947FE114-AF8A-4785-A2C0-AF1C0C0F7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47C6BF-6813-41D3-92C9-53A1F086FCCC}">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B5243745-E13E-41F5-A60A-419CF0C5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Agenda -- February 2005 Refunding</vt:lpstr>
    </vt:vector>
  </TitlesOfParts>
  <Company>U.S. Department of Treasury</Company>
  <LinksUpToDate>false</LinksUpToDate>
  <CharactersWithSpaces>5313</CharactersWithSpaces>
  <SharedDoc>false</SharedDoc>
  <HLinks>
    <vt:vector size="18" baseType="variant">
      <vt:variant>
        <vt:i4>4849771</vt:i4>
      </vt:variant>
      <vt:variant>
        <vt:i4>6</vt:i4>
      </vt:variant>
      <vt:variant>
        <vt:i4>0</vt:i4>
      </vt:variant>
      <vt:variant>
        <vt:i4>5</vt:i4>
      </vt:variant>
      <vt:variant>
        <vt:lpwstr>mailto:kale.smimmo@ny.frb.org</vt:lpwstr>
      </vt:variant>
      <vt:variant>
        <vt:lpwstr/>
      </vt:variant>
      <vt:variant>
        <vt:i4>5570673</vt:i4>
      </vt:variant>
      <vt:variant>
        <vt:i4>3</vt:i4>
      </vt:variant>
      <vt:variant>
        <vt:i4>0</vt:i4>
      </vt:variant>
      <vt:variant>
        <vt:i4>5</vt:i4>
      </vt:variant>
      <vt:variant>
        <vt:lpwstr>mailto:Sean.Savage@ny.frb.org</vt:lpwstr>
      </vt:variant>
      <vt:variant>
        <vt:lpwstr/>
      </vt:variant>
      <vt:variant>
        <vt:i4>7274500</vt:i4>
      </vt:variant>
      <vt:variant>
        <vt:i4>0</vt:i4>
      </vt:variant>
      <vt:variant>
        <vt:i4>0</vt:i4>
      </vt:variant>
      <vt:variant>
        <vt:i4>5</vt:i4>
      </vt:variant>
      <vt:variant>
        <vt:lpwstr>mailto:Debt.Management@treasury.gov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February 2005 Refunding</dc:title>
  <dc:creator>U.S. Department of Treasury</dc:creator>
  <cp:lastModifiedBy>SYSTEM</cp:lastModifiedBy>
  <cp:revision>2</cp:revision>
  <cp:lastPrinted>2018-04-09T14:27:00Z</cp:lastPrinted>
  <dcterms:created xsi:type="dcterms:W3CDTF">2018-12-21T15:49:00Z</dcterms:created>
  <dcterms:modified xsi:type="dcterms:W3CDTF">2018-12-21T15:49:00Z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0x010100655F7EB5C76FEC459FBC014F2E6D78DE</vt:lpwstr>
  </property>
  <property fmtid="{D5CDD505-2E9C-101B-9397-08002B2CF9AE}" pid="4" name="IsMyDocuments">
    <vt:bool>true</vt:bool>
  </property>
</Properties>
</file>