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6C99DD15" w14:textId="77777777">
      <w:pPr>
        <w:pStyle w:val="Title"/>
      </w:pPr>
      <w:r>
        <w:rPr>
          <w:b w:val="0"/>
          <w:sz w:val="28"/>
        </w:rPr>
        <w:tab/>
      </w:r>
      <w:r>
        <w:t>Supporting Statement</w:t>
      </w:r>
    </w:p>
    <w:p w:rsidR="00D169E0" w:rsidRPr="001352EE" w:rsidP="00D169E0" w14:paraId="65C37007" w14:textId="77777777">
      <w:pPr>
        <w:pStyle w:val="Heading1"/>
        <w:rPr>
          <w:color w:val="FF0000"/>
        </w:rPr>
      </w:pPr>
      <w:r>
        <w:rPr>
          <w:color w:val="FF0000"/>
        </w:rPr>
        <w:t>Death Gratuity Information Sheet</w:t>
      </w:r>
    </w:p>
    <w:p w:rsidR="00D169E0" w:rsidP="00D169E0" w14:paraId="15ADB10F"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1651-NEW</w:t>
      </w:r>
    </w:p>
    <w:p w:rsidR="00D169E0" w:rsidP="00D169E0" w14:paraId="436E513C" w14:textId="77777777">
      <w:pPr>
        <w:tabs>
          <w:tab w:val="left" w:pos="3780"/>
          <w:tab w:val="center" w:pos="4824"/>
        </w:tabs>
        <w:rPr>
          <w:rFonts w:ascii="Arial" w:hAnsi="Arial"/>
        </w:rPr>
      </w:pPr>
      <w:r>
        <w:rPr>
          <w:rFonts w:ascii="Arial" w:hAnsi="Arial"/>
        </w:rPr>
        <w:tab/>
      </w:r>
    </w:p>
    <w:p w:rsidR="00D169E0" w:rsidP="00D169E0" w14:paraId="7A2F3AE4" w14:textId="77777777">
      <w:pPr>
        <w:tabs>
          <w:tab w:val="center" w:pos="4824"/>
        </w:tabs>
        <w:jc w:val="both"/>
        <w:rPr>
          <w:rFonts w:ascii="Arial" w:hAnsi="Arial"/>
          <w:b/>
          <w:sz w:val="28"/>
        </w:rPr>
      </w:pPr>
      <w:r>
        <w:rPr>
          <w:rFonts w:ascii="Arial" w:hAnsi="Arial"/>
          <w:b/>
          <w:sz w:val="28"/>
        </w:rPr>
        <w:t>A.      Justification</w:t>
      </w:r>
    </w:p>
    <w:p w:rsidR="00D169E0" w:rsidP="00D169E0" w14:paraId="00F343B4" w14:textId="77777777">
      <w:pPr>
        <w:pStyle w:val="Heading1"/>
        <w:jc w:val="both"/>
      </w:pPr>
    </w:p>
    <w:p w:rsidR="00D169E0" w:rsidRPr="00EC48B1" w:rsidP="00D169E0" w14:paraId="0F790212" w14:textId="77777777">
      <w:pPr>
        <w:numPr>
          <w:ilvl w:val="0"/>
          <w:numId w:val="5"/>
        </w:numPr>
        <w:jc w:val="both"/>
        <w:rPr>
          <w:rFonts w:ascii="Arial" w:hAnsi="Arial" w:cs="Arial"/>
          <w:b/>
          <w:bCs/>
          <w:szCs w:val="24"/>
        </w:rPr>
      </w:pPr>
      <w:r w:rsidRPr="00EC48B1">
        <w:rPr>
          <w:rFonts w:ascii="Arial" w:hAnsi="Arial" w:cs="Arial"/>
          <w:b/>
          <w:bCs/>
          <w:szCs w:val="24"/>
        </w:rPr>
        <w:t xml:space="preserve">Explain the circumstances that make the collection of information necessary.  Identify any legal or administrative requirements that necessitate the </w:t>
      </w:r>
      <w:r w:rsidRPr="00EC48B1">
        <w:rPr>
          <w:rFonts w:ascii="Arial" w:hAnsi="Arial" w:cs="Arial"/>
          <w:b/>
          <w:bCs/>
          <w:szCs w:val="24"/>
        </w:rPr>
        <w:t>collection.  Attach a copy of the appropriate section of each statue and regulation mandating or authorizing the collection of information.</w:t>
      </w:r>
    </w:p>
    <w:p w:rsidR="00D169E0" w:rsidP="00D169E0" w14:paraId="3051306D"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1318A9" w:rsidRPr="001318A9" w:rsidP="001318A9" w14:paraId="0F7500C0" w14:textId="77777777">
      <w:pPr>
        <w:ind w:left="720"/>
        <w:jc w:val="both"/>
        <w:rPr>
          <w:rFonts w:ascii="Arial" w:hAnsi="Arial"/>
          <w:bCs/>
        </w:rPr>
      </w:pPr>
      <w:r w:rsidRPr="001318A9">
        <w:rPr>
          <w:rFonts w:ascii="Arial" w:hAnsi="Arial"/>
          <w:bCs/>
        </w:rPr>
        <w:t xml:space="preserve">When the </w:t>
      </w:r>
      <w:r w:rsidRPr="001318A9">
        <w:rPr>
          <w:rFonts w:ascii="Arial" w:hAnsi="Arial"/>
          <w:bCs/>
          <w:lang w:val="en"/>
        </w:rPr>
        <w:t>U.S. Customs and Border Protection (</w:t>
      </w:r>
      <w:r w:rsidRPr="001318A9">
        <w:rPr>
          <w:rFonts w:ascii="Arial" w:hAnsi="Arial"/>
          <w:bCs/>
        </w:rPr>
        <w:t xml:space="preserve">CBP) Commissioner has made the determination that the death of a CBP employee is to be classified as a line-of-duty death (LODD), a Death Gratuity (DG) may become payable to the personal representative of the deceased. After the LODD determination is made, CBP will send the potential personal representative of the deceased a DG Information Sheet. This information sheet aids the involved CBP offices in establishing who the personal representative of the deceased is, approving DG, and subsequently, getting the payment paid to the correct person after CBP Commissioner approval. </w:t>
      </w:r>
    </w:p>
    <w:p w:rsidR="001318A9" w:rsidRPr="001318A9" w:rsidP="001318A9" w14:paraId="16AA78B4" w14:textId="77777777">
      <w:pPr>
        <w:ind w:left="720"/>
        <w:jc w:val="both"/>
        <w:rPr>
          <w:rFonts w:ascii="Arial" w:hAnsi="Arial"/>
          <w:bCs/>
        </w:rPr>
      </w:pPr>
    </w:p>
    <w:p w:rsidR="001318A9" w:rsidRPr="001318A9" w:rsidP="001318A9" w14:paraId="24E558A6" w14:textId="77777777">
      <w:pPr>
        <w:ind w:left="720"/>
        <w:jc w:val="both"/>
        <w:rPr>
          <w:rFonts w:ascii="Arial" w:hAnsi="Arial"/>
          <w:bCs/>
        </w:rPr>
      </w:pPr>
      <w:r w:rsidRPr="001318A9">
        <w:rPr>
          <w:rFonts w:ascii="Arial" w:hAnsi="Arial"/>
          <w:bCs/>
        </w:rPr>
        <w:t xml:space="preserve">Potential personal representatives are provided by/from the deceased CBP employee, through their executed beneficiary forms. However, if there are no beneficiary forms on file, next of kin will be identified via the emergency contact information listed with the agency for that employee in </w:t>
      </w:r>
      <w:r w:rsidRPr="001318A9">
        <w:rPr>
          <w:rFonts w:ascii="Arial" w:hAnsi="Arial"/>
          <w:bCs/>
        </w:rPr>
        <w:t>WebTele</w:t>
      </w:r>
      <w:r w:rsidRPr="001318A9">
        <w:rPr>
          <w:rFonts w:ascii="Arial" w:hAnsi="Arial"/>
          <w:bCs/>
        </w:rPr>
        <w:t>. Potential personal representatives will be required to provide the following data elements on the DG information sheet:</w:t>
      </w:r>
    </w:p>
    <w:p w:rsidR="001318A9" w:rsidRPr="001318A9" w:rsidP="001318A9" w14:paraId="0D86A82F" w14:textId="77777777">
      <w:pPr>
        <w:numPr>
          <w:ilvl w:val="0"/>
          <w:numId w:val="18"/>
        </w:numPr>
        <w:jc w:val="both"/>
        <w:rPr>
          <w:rFonts w:ascii="Arial" w:hAnsi="Arial"/>
          <w:bCs/>
        </w:rPr>
      </w:pPr>
      <w:r w:rsidRPr="001318A9">
        <w:rPr>
          <w:rFonts w:ascii="Arial" w:hAnsi="Arial"/>
          <w:bCs/>
        </w:rPr>
        <w:t>Name of Deceased CBP Employee</w:t>
      </w:r>
    </w:p>
    <w:p w:rsidR="001318A9" w:rsidRPr="001318A9" w:rsidP="001318A9" w14:paraId="01EEB851" w14:textId="77777777">
      <w:pPr>
        <w:numPr>
          <w:ilvl w:val="0"/>
          <w:numId w:val="18"/>
        </w:numPr>
        <w:jc w:val="both"/>
        <w:rPr>
          <w:rFonts w:ascii="Arial" w:hAnsi="Arial"/>
          <w:bCs/>
        </w:rPr>
      </w:pPr>
      <w:r w:rsidRPr="001318A9">
        <w:rPr>
          <w:rFonts w:ascii="Arial" w:hAnsi="Arial"/>
          <w:bCs/>
        </w:rPr>
        <w:t>Date of Death</w:t>
      </w:r>
    </w:p>
    <w:p w:rsidR="001318A9" w:rsidRPr="001318A9" w:rsidP="001318A9" w14:paraId="3E21B978" w14:textId="77777777">
      <w:pPr>
        <w:numPr>
          <w:ilvl w:val="0"/>
          <w:numId w:val="18"/>
        </w:numPr>
        <w:jc w:val="both"/>
        <w:rPr>
          <w:rFonts w:ascii="Arial" w:hAnsi="Arial"/>
          <w:bCs/>
        </w:rPr>
      </w:pPr>
      <w:r w:rsidRPr="001318A9">
        <w:rPr>
          <w:rFonts w:ascii="Arial" w:hAnsi="Arial"/>
          <w:bCs/>
        </w:rPr>
        <w:t>Location of Death</w:t>
      </w:r>
    </w:p>
    <w:p w:rsidR="001318A9" w:rsidRPr="001318A9" w:rsidP="001318A9" w14:paraId="2ED4F35C" w14:textId="77777777">
      <w:pPr>
        <w:numPr>
          <w:ilvl w:val="0"/>
          <w:numId w:val="18"/>
        </w:numPr>
        <w:jc w:val="both"/>
        <w:rPr>
          <w:rFonts w:ascii="Arial" w:hAnsi="Arial"/>
          <w:bCs/>
        </w:rPr>
      </w:pPr>
      <w:r w:rsidRPr="001318A9">
        <w:rPr>
          <w:rFonts w:ascii="Arial" w:hAnsi="Arial"/>
          <w:bCs/>
        </w:rPr>
        <w:t>Name of Claimant/personal representative</w:t>
      </w:r>
    </w:p>
    <w:p w:rsidR="001318A9" w:rsidRPr="001318A9" w:rsidP="001318A9" w14:paraId="3A88D4D5" w14:textId="77777777">
      <w:pPr>
        <w:numPr>
          <w:ilvl w:val="0"/>
          <w:numId w:val="18"/>
        </w:numPr>
        <w:jc w:val="both"/>
        <w:rPr>
          <w:rFonts w:ascii="Arial" w:hAnsi="Arial"/>
          <w:bCs/>
        </w:rPr>
      </w:pPr>
      <w:r w:rsidRPr="001318A9">
        <w:rPr>
          <w:rFonts w:ascii="Arial" w:hAnsi="Arial"/>
          <w:bCs/>
        </w:rPr>
        <w:t>Address of Claimant/personal representative (for payment)</w:t>
      </w:r>
    </w:p>
    <w:p w:rsidR="001318A9" w:rsidRPr="001318A9" w:rsidP="001318A9" w14:paraId="2E59C300" w14:textId="77777777">
      <w:pPr>
        <w:numPr>
          <w:ilvl w:val="0"/>
          <w:numId w:val="18"/>
        </w:numPr>
        <w:jc w:val="both"/>
        <w:rPr>
          <w:rFonts w:ascii="Arial" w:hAnsi="Arial"/>
          <w:bCs/>
        </w:rPr>
      </w:pPr>
      <w:r w:rsidRPr="001318A9">
        <w:rPr>
          <w:rFonts w:ascii="Arial" w:hAnsi="Arial"/>
          <w:bCs/>
        </w:rPr>
        <w:t>Phone Number and Email Address of Claimant/personal representative</w:t>
      </w:r>
    </w:p>
    <w:p w:rsidR="001318A9" w:rsidRPr="001318A9" w:rsidP="001318A9" w14:paraId="449AA5C0" w14:textId="77777777">
      <w:pPr>
        <w:numPr>
          <w:ilvl w:val="0"/>
          <w:numId w:val="18"/>
        </w:numPr>
        <w:jc w:val="both"/>
        <w:rPr>
          <w:rFonts w:ascii="Arial" w:hAnsi="Arial"/>
          <w:bCs/>
        </w:rPr>
      </w:pPr>
      <w:r w:rsidRPr="001318A9">
        <w:rPr>
          <w:rFonts w:ascii="Arial" w:hAnsi="Arial"/>
          <w:bCs/>
        </w:rPr>
        <w:t>Relationship to Employee (i.e., spouse, child, parent, etc.)</w:t>
      </w:r>
    </w:p>
    <w:p w:rsidR="001318A9" w:rsidRPr="001318A9" w:rsidP="001318A9" w14:paraId="7BD58CEA" w14:textId="77777777">
      <w:pPr>
        <w:numPr>
          <w:ilvl w:val="0"/>
          <w:numId w:val="18"/>
        </w:numPr>
        <w:jc w:val="both"/>
        <w:rPr>
          <w:rFonts w:ascii="Arial" w:hAnsi="Arial"/>
          <w:bCs/>
        </w:rPr>
      </w:pPr>
      <w:r w:rsidRPr="001318A9">
        <w:rPr>
          <w:rFonts w:ascii="Arial" w:hAnsi="Arial"/>
          <w:bCs/>
        </w:rPr>
        <w:t>If spouse, date of marriage</w:t>
      </w:r>
    </w:p>
    <w:p w:rsidR="001318A9" w:rsidRPr="001318A9" w:rsidP="001318A9" w14:paraId="4A8BE8DD" w14:textId="77777777">
      <w:pPr>
        <w:numPr>
          <w:ilvl w:val="0"/>
          <w:numId w:val="18"/>
        </w:numPr>
        <w:jc w:val="both"/>
        <w:rPr>
          <w:rFonts w:ascii="Arial" w:hAnsi="Arial"/>
          <w:bCs/>
        </w:rPr>
      </w:pPr>
      <w:r w:rsidRPr="001318A9">
        <w:rPr>
          <w:rFonts w:ascii="Arial" w:hAnsi="Arial"/>
          <w:bCs/>
        </w:rPr>
        <w:t>If child or parent, date of birth</w:t>
      </w:r>
    </w:p>
    <w:p w:rsidR="001318A9" w:rsidRPr="001318A9" w:rsidP="001318A9" w14:paraId="747149DD" w14:textId="77777777">
      <w:pPr>
        <w:numPr>
          <w:ilvl w:val="0"/>
          <w:numId w:val="18"/>
        </w:numPr>
        <w:jc w:val="both"/>
        <w:rPr>
          <w:rFonts w:ascii="Arial" w:hAnsi="Arial"/>
          <w:bCs/>
        </w:rPr>
      </w:pPr>
      <w:r w:rsidRPr="001318A9">
        <w:rPr>
          <w:rFonts w:ascii="Arial" w:hAnsi="Arial"/>
          <w:bCs/>
        </w:rPr>
        <w:t>First page of will, if applicable</w:t>
      </w:r>
    </w:p>
    <w:p w:rsidR="001318A9" w:rsidRPr="001318A9" w:rsidP="001318A9" w14:paraId="392B8C7C" w14:textId="77777777">
      <w:pPr>
        <w:numPr>
          <w:ilvl w:val="0"/>
          <w:numId w:val="18"/>
        </w:numPr>
        <w:jc w:val="both"/>
        <w:rPr>
          <w:rFonts w:ascii="Arial" w:hAnsi="Arial"/>
          <w:bCs/>
        </w:rPr>
      </w:pPr>
      <w:r w:rsidRPr="001318A9">
        <w:rPr>
          <w:rFonts w:ascii="Arial" w:hAnsi="Arial"/>
          <w:bCs/>
        </w:rPr>
        <w:t>Contact information for Executor of Estate, if applicable</w:t>
      </w:r>
    </w:p>
    <w:p w:rsidR="001318A9" w:rsidRPr="001318A9" w:rsidP="001318A9" w14:paraId="56B94BC9" w14:textId="77777777">
      <w:pPr>
        <w:numPr>
          <w:ilvl w:val="0"/>
          <w:numId w:val="18"/>
        </w:numPr>
        <w:jc w:val="both"/>
        <w:rPr>
          <w:rFonts w:ascii="Arial" w:hAnsi="Arial"/>
          <w:bCs/>
        </w:rPr>
      </w:pPr>
      <w:r w:rsidRPr="001318A9">
        <w:rPr>
          <w:rFonts w:ascii="Arial" w:hAnsi="Arial"/>
          <w:bCs/>
        </w:rPr>
        <w:t>Copy of Marriage Certificate, if applicable</w:t>
      </w:r>
    </w:p>
    <w:p w:rsidR="001318A9" w:rsidRPr="001318A9" w:rsidP="001318A9" w14:paraId="1D9D3696" w14:textId="77777777">
      <w:pPr>
        <w:numPr>
          <w:ilvl w:val="0"/>
          <w:numId w:val="18"/>
        </w:numPr>
        <w:jc w:val="both"/>
        <w:rPr>
          <w:rFonts w:ascii="Arial" w:hAnsi="Arial"/>
          <w:bCs/>
        </w:rPr>
      </w:pPr>
      <w:r w:rsidRPr="001318A9">
        <w:rPr>
          <w:rFonts w:ascii="Arial" w:hAnsi="Arial"/>
          <w:bCs/>
        </w:rPr>
        <w:t>Copy of Letters of Administration, if applicable</w:t>
      </w:r>
    </w:p>
    <w:p w:rsidR="001318A9" w:rsidRPr="001318A9" w:rsidP="001318A9" w14:paraId="3343E6CB" w14:textId="77777777">
      <w:pPr>
        <w:ind w:left="720"/>
        <w:jc w:val="both"/>
        <w:rPr>
          <w:rFonts w:ascii="Arial" w:hAnsi="Arial"/>
          <w:bCs/>
        </w:rPr>
      </w:pPr>
      <w:r w:rsidRPr="001318A9">
        <w:rPr>
          <w:rFonts w:ascii="Arial" w:hAnsi="Arial"/>
          <w:bCs/>
        </w:rPr>
        <w:tab/>
      </w:r>
    </w:p>
    <w:p w:rsidR="001318A9" w:rsidP="001318A9" w14:paraId="6A582480" w14:textId="77777777">
      <w:pPr>
        <w:ind w:left="720"/>
        <w:jc w:val="both"/>
        <w:rPr>
          <w:rFonts w:ascii="Arial" w:hAnsi="Arial"/>
          <w:bCs/>
        </w:rPr>
      </w:pPr>
      <w:r w:rsidRPr="001318A9">
        <w:rPr>
          <w:rFonts w:ascii="Arial" w:hAnsi="Arial"/>
          <w:bCs/>
          <w:lang w:val="en"/>
        </w:rPr>
        <w:t xml:space="preserve">CBP is authorized to collect the information requested on this form pursuant to Public Law 104-208 which allows the agency to pay a DG in some situations of LODD. 110 Stat. 3009-368, Sept. 30, 1996; 5 U.S.C. 8133 note. </w:t>
      </w:r>
      <w:r w:rsidRPr="001318A9">
        <w:rPr>
          <w:rFonts w:ascii="Arial" w:hAnsi="Arial"/>
          <w:bCs/>
          <w:lang w:val="en"/>
        </w:rPr>
        <w:t>In order to</w:t>
      </w:r>
      <w:r w:rsidRPr="001318A9">
        <w:rPr>
          <w:rFonts w:ascii="Arial" w:hAnsi="Arial"/>
          <w:bCs/>
          <w:lang w:val="en"/>
        </w:rPr>
        <w:t xml:space="preserve"> make this payment, CBP must first identify and obtain the information from the personal representative so it can be known where and to whom the payment should be sent. </w:t>
      </w:r>
      <w:r w:rsidRPr="001318A9">
        <w:rPr>
          <w:rFonts w:ascii="Arial" w:hAnsi="Arial"/>
          <w:bCs/>
        </w:rPr>
        <w:t xml:space="preserve">CBP Retirement </w:t>
      </w:r>
      <w:r w:rsidRPr="001318A9">
        <w:rPr>
          <w:rFonts w:ascii="Arial" w:hAnsi="Arial"/>
          <w:bCs/>
        </w:rPr>
        <w:t>and Benefits Advisory Services (RABAS) has the authority designated by the Office of Personnel Management (OPM) to provide retirement, benefits, and survivor counselling and processing. This authority is outlined in detail in the Civil Service Retirement System/Federal Employee Retirement System (CSRS/FERS) Handbook, Federal Employees Group Life Insurance (FEGLI) Handbook, and Federal Employee Health Benefits (FEHB) Handbook.</w:t>
      </w:r>
    </w:p>
    <w:p w:rsidR="00D169E0" w:rsidRPr="00D82D18" w:rsidP="001318A9" w14:paraId="791B7637" w14:textId="179C82F1">
      <w:pPr>
        <w:ind w:left="720"/>
        <w:jc w:val="both"/>
        <w:rPr>
          <w:rFonts w:ascii="Arial" w:hAnsi="Arial" w:cs="Arial"/>
          <w:color w:val="FF0000"/>
          <w:szCs w:val="24"/>
        </w:rPr>
      </w:pPr>
      <w:r w:rsidRPr="00D82D18">
        <w:rPr>
          <w:rFonts w:ascii="Arial" w:hAnsi="Arial" w:cs="Arial"/>
          <w:color w:val="FF0000"/>
          <w:szCs w:val="24"/>
        </w:rPr>
        <w:tab/>
        <w:t xml:space="preserve"> </w:t>
      </w:r>
    </w:p>
    <w:p w:rsidR="00D169E0" w:rsidRPr="003808CE" w:rsidP="00D169E0" w14:paraId="2D931644" w14:textId="77777777">
      <w:pPr>
        <w:tabs>
          <w:tab w:val="left" w:pos="-1440"/>
        </w:tabs>
        <w:ind w:left="720" w:hanging="720"/>
        <w:jc w:val="both"/>
        <w:rPr>
          <w:rFonts w:ascii="Arial" w:hAnsi="Arial" w:cs="Arial"/>
          <w:szCs w:val="24"/>
          <w:highlight w:val="yellow"/>
        </w:rPr>
      </w:pPr>
      <w:r w:rsidRPr="00D169E0">
        <w:rPr>
          <w:rFonts w:ascii="Arial" w:hAnsi="Arial" w:cs="Arial"/>
          <w:b/>
          <w:bCs/>
          <w:szCs w:val="24"/>
        </w:rPr>
        <w:t>2.</w:t>
      </w:r>
      <w:r w:rsidRPr="00D169E0">
        <w:rPr>
          <w:rFonts w:ascii="Arial" w:hAnsi="Arial" w:cs="Arial"/>
          <w:szCs w:val="24"/>
        </w:rPr>
        <w:tab/>
      </w:r>
      <w:r w:rsidRPr="00501C46">
        <w:rPr>
          <w:rFonts w:ascii="Arial" w:hAnsi="Arial" w:cs="Arial"/>
          <w:b/>
          <w:bCs/>
          <w:szCs w:val="24"/>
        </w:rPr>
        <w:t xml:space="preserve">Indicate how, by whom, and for what purpose the information is to be used.  Except for a new collection, indicate the actual use the agency has made of the </w:t>
      </w:r>
      <w:r w:rsidRPr="00501C46">
        <w:rPr>
          <w:rFonts w:ascii="Arial" w:hAnsi="Arial" w:cs="Arial"/>
          <w:b/>
          <w:bCs/>
          <w:szCs w:val="24"/>
        </w:rPr>
        <w:t>information received from the current collection</w:t>
      </w:r>
      <w:r w:rsidRPr="00501C46">
        <w:rPr>
          <w:rFonts w:ascii="Arial" w:hAnsi="Arial" w:cs="Arial"/>
          <w:szCs w:val="24"/>
        </w:rPr>
        <w:t>.</w:t>
      </w:r>
    </w:p>
    <w:p w:rsidR="00D169E0" w:rsidRPr="00C26C68" w:rsidP="00D169E0" w14:paraId="7EC9F2F6" w14:textId="77777777">
      <w:pPr>
        <w:jc w:val="both"/>
        <w:rPr>
          <w:rFonts w:ascii="Arial" w:hAnsi="Arial" w:cs="Arial"/>
          <w:szCs w:val="24"/>
        </w:rPr>
      </w:pPr>
      <w:r w:rsidRPr="00C26C68">
        <w:rPr>
          <w:rFonts w:ascii="Arial" w:hAnsi="Arial" w:cs="Arial"/>
          <w:szCs w:val="24"/>
        </w:rPr>
        <w:tab/>
      </w:r>
    </w:p>
    <w:p w:rsidR="00D169E0" w:rsidRPr="00501C46" w:rsidP="00106C11" w14:paraId="247AB36A" w14:textId="312253A7">
      <w:pPr>
        <w:tabs>
          <w:tab w:val="left" w:pos="-1080"/>
          <w:tab w:val="left" w:pos="-720"/>
          <w:tab w:val="left" w:pos="0"/>
          <w:tab w:val="left" w:pos="720"/>
          <w:tab w:val="left" w:pos="1080"/>
        </w:tabs>
        <w:ind w:left="720" w:hanging="720"/>
        <w:jc w:val="both"/>
        <w:rPr>
          <w:rFonts w:ascii="Arial" w:hAnsi="Arial"/>
        </w:rPr>
      </w:pPr>
      <w:r w:rsidRPr="00C26C68">
        <w:rPr>
          <w:rFonts w:ascii="Arial" w:hAnsi="Arial" w:cs="Arial"/>
          <w:szCs w:val="24"/>
        </w:rPr>
        <w:tab/>
      </w:r>
      <w:r w:rsidRPr="00501C46">
        <w:rPr>
          <w:rFonts w:ascii="Arial" w:hAnsi="Arial"/>
        </w:rPr>
        <w:t>Th</w:t>
      </w:r>
      <w:r w:rsidRPr="00501C46" w:rsidR="00441945">
        <w:rPr>
          <w:rFonts w:ascii="Arial" w:hAnsi="Arial"/>
        </w:rPr>
        <w:t xml:space="preserve">is information is used by CBP to </w:t>
      </w:r>
      <w:r w:rsidRPr="00501C46" w:rsidR="00C26C68">
        <w:rPr>
          <w:rFonts w:ascii="Arial" w:hAnsi="Arial"/>
        </w:rPr>
        <w:t>issue a Death Gratuity Payment. The parties within CBP who are in anyway involved with this process and thus would have visibility on this collected information would be the Office of Human Resources Management</w:t>
      </w:r>
      <w:r w:rsidR="00425C59">
        <w:rPr>
          <w:rFonts w:ascii="Arial" w:hAnsi="Arial"/>
        </w:rPr>
        <w:t xml:space="preserve"> (HRM)</w:t>
      </w:r>
      <w:r w:rsidRPr="00501C46" w:rsidR="00C26C68">
        <w:rPr>
          <w:rFonts w:ascii="Arial" w:hAnsi="Arial"/>
        </w:rPr>
        <w:t>, the Office of the Chief Counsel</w:t>
      </w:r>
      <w:r w:rsidR="00425C59">
        <w:rPr>
          <w:rFonts w:ascii="Arial" w:hAnsi="Arial"/>
        </w:rPr>
        <w:t xml:space="preserve"> (OCC)</w:t>
      </w:r>
      <w:r w:rsidRPr="00501C46" w:rsidR="00C26C68">
        <w:rPr>
          <w:rFonts w:ascii="Arial" w:hAnsi="Arial"/>
        </w:rPr>
        <w:t>, Enterprise Services</w:t>
      </w:r>
      <w:r w:rsidR="00425C59">
        <w:rPr>
          <w:rFonts w:ascii="Arial" w:hAnsi="Arial"/>
        </w:rPr>
        <w:t xml:space="preserve"> (ES)</w:t>
      </w:r>
      <w:r w:rsidRPr="00501C46" w:rsidR="00C26C68">
        <w:rPr>
          <w:rFonts w:ascii="Arial" w:hAnsi="Arial"/>
        </w:rPr>
        <w:t>, and the Office of the Commissioner</w:t>
      </w:r>
      <w:r w:rsidR="00425C59">
        <w:rPr>
          <w:rFonts w:ascii="Arial" w:hAnsi="Arial"/>
        </w:rPr>
        <w:t xml:space="preserve"> (C1)</w:t>
      </w:r>
      <w:r w:rsidRPr="00501C46" w:rsidR="00C26C68">
        <w:rPr>
          <w:rFonts w:ascii="Arial" w:hAnsi="Arial"/>
        </w:rPr>
        <w:t xml:space="preserve">. </w:t>
      </w:r>
      <w:r w:rsidR="00425C59">
        <w:rPr>
          <w:rFonts w:ascii="Arial" w:hAnsi="Arial"/>
        </w:rPr>
        <w:t xml:space="preserve">The information </w:t>
      </w:r>
      <w:r w:rsidRPr="00501C46" w:rsidR="00C26C68">
        <w:rPr>
          <w:rFonts w:ascii="Arial" w:hAnsi="Arial"/>
        </w:rPr>
        <w:t>would be used</w:t>
      </w:r>
      <w:r w:rsidR="00425C59">
        <w:rPr>
          <w:rFonts w:ascii="Arial" w:hAnsi="Arial"/>
        </w:rPr>
        <w:t xml:space="preserve"> as outlined below</w:t>
      </w:r>
      <w:r w:rsidRPr="00501C46" w:rsidR="00C26C68">
        <w:rPr>
          <w:rFonts w:ascii="Arial" w:hAnsi="Arial"/>
        </w:rPr>
        <w:t>:</w:t>
      </w:r>
    </w:p>
    <w:p w:rsidR="00C26C68" w:rsidRPr="00501C46" w:rsidP="00106C11" w14:paraId="1241C0A7" w14:textId="77777777">
      <w:pPr>
        <w:tabs>
          <w:tab w:val="left" w:pos="-1080"/>
          <w:tab w:val="left" w:pos="-720"/>
          <w:tab w:val="left" w:pos="0"/>
          <w:tab w:val="left" w:pos="720"/>
          <w:tab w:val="left" w:pos="1080"/>
        </w:tabs>
        <w:ind w:left="720" w:hanging="720"/>
        <w:jc w:val="both"/>
        <w:rPr>
          <w:rFonts w:ascii="Arial" w:hAnsi="Arial"/>
        </w:rPr>
      </w:pPr>
    </w:p>
    <w:p w:rsidR="00C26C68" w:rsidRPr="00501C46" w:rsidP="00106C11" w14:paraId="7F8883A8" w14:textId="77777777">
      <w:pPr>
        <w:tabs>
          <w:tab w:val="left" w:pos="-1080"/>
          <w:tab w:val="left" w:pos="-720"/>
          <w:tab w:val="left" w:pos="0"/>
          <w:tab w:val="left" w:pos="720"/>
          <w:tab w:val="left" w:pos="1080"/>
        </w:tabs>
        <w:ind w:left="720" w:hanging="720"/>
        <w:jc w:val="both"/>
        <w:rPr>
          <w:rFonts w:ascii="Arial" w:hAnsi="Arial"/>
        </w:rPr>
      </w:pPr>
      <w:r w:rsidRPr="00501C46">
        <w:rPr>
          <w:rFonts w:ascii="Arial" w:hAnsi="Arial"/>
        </w:rPr>
        <w:tab/>
        <w:t>HRM – This will be collected by the Retirement an</w:t>
      </w:r>
      <w:r w:rsidRPr="00501C46">
        <w:rPr>
          <w:rFonts w:ascii="Arial" w:hAnsi="Arial"/>
        </w:rPr>
        <w:t xml:space="preserve">d Benefits Branch to </w:t>
      </w:r>
      <w:r w:rsidRPr="00501C46" w:rsidR="00D24F95">
        <w:rPr>
          <w:rFonts w:ascii="Arial" w:hAnsi="Arial"/>
        </w:rPr>
        <w:t>route in a package through multiple levels of HRM for approval and submission forward for C1 approval</w:t>
      </w:r>
      <w:r w:rsidRPr="00501C46">
        <w:rPr>
          <w:rFonts w:ascii="Arial" w:hAnsi="Arial"/>
        </w:rPr>
        <w:t xml:space="preserve">. </w:t>
      </w:r>
    </w:p>
    <w:p w:rsidR="00C26C68" w:rsidRPr="00501C46" w:rsidP="00106C11" w14:paraId="332FBEB1" w14:textId="77777777">
      <w:pPr>
        <w:tabs>
          <w:tab w:val="left" w:pos="-1080"/>
          <w:tab w:val="left" w:pos="-720"/>
          <w:tab w:val="left" w:pos="0"/>
          <w:tab w:val="left" w:pos="720"/>
          <w:tab w:val="left" w:pos="1080"/>
        </w:tabs>
        <w:ind w:left="720" w:hanging="720"/>
        <w:jc w:val="both"/>
        <w:rPr>
          <w:rFonts w:ascii="Arial" w:hAnsi="Arial"/>
        </w:rPr>
      </w:pPr>
      <w:r w:rsidRPr="00501C46">
        <w:rPr>
          <w:rFonts w:ascii="Arial" w:hAnsi="Arial"/>
        </w:rPr>
        <w:tab/>
        <w:t xml:space="preserve">OCC – </w:t>
      </w:r>
      <w:r w:rsidRPr="00501C46" w:rsidR="00D24F95">
        <w:rPr>
          <w:rFonts w:ascii="Arial" w:hAnsi="Arial"/>
        </w:rPr>
        <w:t xml:space="preserve">Once the package obtains HRM review, OCC provides legal review to ensure legal compliance with the regulations of the Death Gratuity payment. </w:t>
      </w:r>
    </w:p>
    <w:p w:rsidR="00C26C68" w:rsidRPr="00501C46" w:rsidP="00106C11" w14:paraId="49B34D1D" w14:textId="77777777">
      <w:pPr>
        <w:tabs>
          <w:tab w:val="left" w:pos="-1080"/>
          <w:tab w:val="left" w:pos="-720"/>
          <w:tab w:val="left" w:pos="0"/>
          <w:tab w:val="left" w:pos="720"/>
          <w:tab w:val="left" w:pos="1080"/>
        </w:tabs>
        <w:ind w:left="720" w:hanging="720"/>
        <w:jc w:val="both"/>
        <w:rPr>
          <w:rFonts w:ascii="Arial" w:hAnsi="Arial"/>
        </w:rPr>
      </w:pPr>
      <w:r w:rsidRPr="00501C46">
        <w:rPr>
          <w:rFonts w:ascii="Arial" w:hAnsi="Arial"/>
        </w:rPr>
        <w:tab/>
        <w:t xml:space="preserve">ES – </w:t>
      </w:r>
      <w:r w:rsidRPr="00501C46" w:rsidR="00D24F95">
        <w:rPr>
          <w:rFonts w:ascii="Arial" w:hAnsi="Arial"/>
        </w:rPr>
        <w:t xml:space="preserve">Once OCC and HRM review are obtained, the package routes to ES for EAC approval to go forward to C1. </w:t>
      </w:r>
    </w:p>
    <w:p w:rsidR="00C26C68" w:rsidP="00106C11" w14:paraId="7EA22FF1" w14:textId="77777777">
      <w:pPr>
        <w:tabs>
          <w:tab w:val="left" w:pos="-1080"/>
          <w:tab w:val="left" w:pos="-720"/>
          <w:tab w:val="left" w:pos="0"/>
          <w:tab w:val="left" w:pos="720"/>
          <w:tab w:val="left" w:pos="1080"/>
        </w:tabs>
        <w:ind w:left="720" w:hanging="720"/>
        <w:jc w:val="both"/>
        <w:rPr>
          <w:rFonts w:ascii="Arial" w:hAnsi="Arial"/>
        </w:rPr>
      </w:pPr>
      <w:r w:rsidRPr="00501C46">
        <w:rPr>
          <w:rFonts w:ascii="Arial" w:hAnsi="Arial"/>
        </w:rPr>
        <w:tab/>
        <w:t>C1 –</w:t>
      </w:r>
      <w:r w:rsidRPr="00501C46">
        <w:rPr>
          <w:rFonts w:ascii="Arial" w:hAnsi="Arial"/>
        </w:rPr>
        <w:t xml:space="preserve"> </w:t>
      </w:r>
      <w:r w:rsidRPr="00501C46" w:rsidR="00D24F95">
        <w:rPr>
          <w:rFonts w:ascii="Arial" w:hAnsi="Arial"/>
        </w:rPr>
        <w:t>Once all other offices have reviewed, the full package is provided to C1 for final approval of the DG.</w:t>
      </w:r>
    </w:p>
    <w:p w:rsidR="00C26C68" w:rsidRPr="00D169E0" w:rsidP="00106C11" w14:paraId="2F162BA9" w14:textId="77777777">
      <w:pPr>
        <w:tabs>
          <w:tab w:val="left" w:pos="-1080"/>
          <w:tab w:val="left" w:pos="-720"/>
          <w:tab w:val="left" w:pos="0"/>
          <w:tab w:val="left" w:pos="720"/>
          <w:tab w:val="left" w:pos="1080"/>
        </w:tabs>
        <w:ind w:left="720" w:hanging="720"/>
        <w:jc w:val="both"/>
        <w:rPr>
          <w:rFonts w:ascii="Arial" w:hAnsi="Arial" w:cs="Arial"/>
          <w:b/>
          <w:bCs/>
          <w:szCs w:val="24"/>
        </w:rPr>
      </w:pPr>
    </w:p>
    <w:p w:rsidR="00321F85" w:rsidP="00D169E0" w14:paraId="0095B6A9" w14:textId="77777777">
      <w:pPr>
        <w:tabs>
          <w:tab w:val="left" w:pos="-1440"/>
        </w:tabs>
        <w:ind w:left="720" w:hanging="720"/>
        <w:jc w:val="both"/>
        <w:rPr>
          <w:rFonts w:ascii="Arial" w:hAnsi="Arial" w:cs="Arial"/>
          <w:b/>
          <w:bCs/>
          <w:szCs w:val="24"/>
        </w:rPr>
      </w:pPr>
    </w:p>
    <w:p w:rsidR="00D169E0" w:rsidRPr="00501C46" w:rsidP="00D169E0" w14:paraId="0A8D10B8"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501C46">
        <w:rPr>
          <w:rFonts w:ascii="Arial" w:hAnsi="Arial" w:cs="Arial"/>
          <w:b/>
          <w:bCs/>
          <w:szCs w:val="24"/>
        </w:rPr>
        <w:t>Describe whether, and to what extent, the collection of information involves the use of automated, electronic, mechanical, or other technological c</w:t>
      </w:r>
      <w:r w:rsidRPr="00501C46">
        <w:rPr>
          <w:rFonts w:ascii="Arial" w:hAnsi="Arial" w:cs="Arial"/>
          <w:b/>
          <w:bCs/>
          <w:szCs w:val="24"/>
        </w:rPr>
        <w:t>ollection techniques or other forms of information technology, e.g. permitting electronic submission of responses, and the basis for the decision for adopting this means of collection.  Also describe any consideration of using information technology to red</w:t>
      </w:r>
      <w:r w:rsidRPr="00501C46">
        <w:rPr>
          <w:rFonts w:ascii="Arial" w:hAnsi="Arial" w:cs="Arial"/>
          <w:b/>
          <w:bCs/>
          <w:szCs w:val="24"/>
        </w:rPr>
        <w:t>uce burden</w:t>
      </w:r>
      <w:r w:rsidRPr="00501C46">
        <w:rPr>
          <w:rFonts w:ascii="Arial" w:hAnsi="Arial" w:cs="Arial"/>
          <w:szCs w:val="24"/>
        </w:rPr>
        <w:t xml:space="preserve">.  </w:t>
      </w:r>
    </w:p>
    <w:p w:rsidR="00D169E0" w:rsidRPr="00501C46" w:rsidP="00D169E0" w14:paraId="60C71379" w14:textId="77777777">
      <w:pPr>
        <w:jc w:val="both"/>
        <w:rPr>
          <w:rFonts w:ascii="Arial" w:hAnsi="Arial" w:cs="Arial"/>
          <w:szCs w:val="24"/>
        </w:rPr>
      </w:pPr>
      <w:r w:rsidRPr="00501C46">
        <w:rPr>
          <w:rFonts w:ascii="Arial" w:hAnsi="Arial" w:cs="Arial"/>
          <w:szCs w:val="24"/>
        </w:rPr>
        <w:tab/>
      </w:r>
    </w:p>
    <w:p w:rsidR="00AA701F" w:rsidRPr="00AA701F" w:rsidP="00AA701F" w14:paraId="2B70F50C" w14:textId="4619D5D6">
      <w:pPr>
        <w:ind w:left="720"/>
        <w:rPr>
          <w:rFonts w:ascii="Arial" w:hAnsi="Arial"/>
        </w:rPr>
      </w:pPr>
      <w:r w:rsidRPr="00501C46">
        <w:rPr>
          <w:rFonts w:ascii="Arial" w:hAnsi="Arial"/>
        </w:rPr>
        <w:t>The DG info</w:t>
      </w:r>
      <w:r w:rsidR="00501C46">
        <w:rPr>
          <w:rFonts w:ascii="Arial" w:hAnsi="Arial"/>
        </w:rPr>
        <w:t>rmation</w:t>
      </w:r>
      <w:r w:rsidRPr="00501C46">
        <w:rPr>
          <w:rFonts w:ascii="Arial" w:hAnsi="Arial"/>
        </w:rPr>
        <w:t xml:space="preserve"> sheet is emailed as a PDF to the potential personal representative for completion. Once completed, the</w:t>
      </w:r>
      <w:r w:rsidR="00425C59">
        <w:rPr>
          <w:rFonts w:ascii="Arial" w:hAnsi="Arial"/>
        </w:rPr>
        <w:t xml:space="preserve"> potential personal </w:t>
      </w:r>
      <w:r w:rsidR="004D72BA">
        <w:rPr>
          <w:rFonts w:ascii="Arial" w:hAnsi="Arial"/>
        </w:rPr>
        <w:t>representative</w:t>
      </w:r>
      <w:r w:rsidR="00425C59">
        <w:rPr>
          <w:rFonts w:ascii="Arial" w:hAnsi="Arial"/>
        </w:rPr>
        <w:t xml:space="preserve"> can</w:t>
      </w:r>
      <w:r w:rsidRPr="00501C46">
        <w:rPr>
          <w:rFonts w:ascii="Arial" w:hAnsi="Arial"/>
        </w:rPr>
        <w:t xml:space="preserve"> either mail or email the form back to </w:t>
      </w:r>
      <w:r w:rsidRPr="00AA701F">
        <w:rPr>
          <w:rFonts w:ascii="Arial" w:hAnsi="Arial"/>
        </w:rPr>
        <w:t xml:space="preserve">Retirement and Benefits Advisory Services </w:t>
      </w:r>
    </w:p>
    <w:p w:rsidR="00E243BA" w:rsidP="00501C46" w14:paraId="22F9E1C8" w14:textId="48D348A1">
      <w:pPr>
        <w:ind w:left="720"/>
        <w:rPr>
          <w:rFonts w:ascii="Arial" w:hAnsi="Arial" w:cs="Arial"/>
          <w:sz w:val="20"/>
        </w:rPr>
      </w:pPr>
      <w:r>
        <w:rPr>
          <w:rFonts w:ascii="Arial" w:hAnsi="Arial"/>
        </w:rPr>
        <w:t>(</w:t>
      </w:r>
      <w:r w:rsidRPr="00501C46">
        <w:rPr>
          <w:rFonts w:ascii="Arial" w:hAnsi="Arial"/>
        </w:rPr>
        <w:t>RABAS</w:t>
      </w:r>
      <w:r>
        <w:rPr>
          <w:rFonts w:ascii="Arial" w:hAnsi="Arial"/>
        </w:rPr>
        <w:t>)</w:t>
      </w:r>
      <w:r w:rsidRPr="00501C46">
        <w:rPr>
          <w:rFonts w:ascii="Arial" w:hAnsi="Arial"/>
        </w:rPr>
        <w:t>. This email provision and/or return are the only electronic portions of obtaining the data on this form.</w:t>
      </w:r>
      <w:r>
        <w:rPr>
          <w:rFonts w:ascii="Arial" w:hAnsi="Arial"/>
        </w:rPr>
        <w:t xml:space="preserve"> </w:t>
      </w:r>
    </w:p>
    <w:p w:rsidR="00D169E0" w:rsidRPr="00D169E0" w:rsidP="00D169E0" w14:paraId="67576FCC" w14:textId="77777777">
      <w:pPr>
        <w:jc w:val="both"/>
        <w:rPr>
          <w:rFonts w:ascii="Arial" w:hAnsi="Arial" w:cs="Arial"/>
          <w:szCs w:val="24"/>
        </w:rPr>
      </w:pPr>
      <w:r w:rsidRPr="00D169E0">
        <w:rPr>
          <w:rFonts w:ascii="Arial" w:hAnsi="Arial" w:cs="Arial"/>
          <w:szCs w:val="24"/>
        </w:rPr>
        <w:tab/>
        <w:t xml:space="preserve">       </w:t>
      </w:r>
    </w:p>
    <w:p w:rsidR="00D169E0" w:rsidRPr="00D169E0" w:rsidP="00D169E0" w14:paraId="2068E38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72ED02D6" w14:textId="77777777">
      <w:pPr>
        <w:tabs>
          <w:tab w:val="left" w:pos="-1440"/>
        </w:tabs>
        <w:ind w:left="720" w:hanging="720"/>
        <w:jc w:val="both"/>
        <w:rPr>
          <w:rFonts w:ascii="Arial" w:hAnsi="Arial" w:cs="Arial"/>
          <w:szCs w:val="24"/>
        </w:rPr>
      </w:pPr>
    </w:p>
    <w:p w:rsidR="00D169E0" w:rsidP="00D169E0" w14:paraId="0992BB50"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w:t>
      </w:r>
      <w:r w:rsidRPr="00D169E0">
        <w:rPr>
          <w:rFonts w:ascii="Arial" w:hAnsi="Arial" w:cs="Arial"/>
          <w:szCs w:val="24"/>
        </w:rPr>
        <w:t xml:space="preserve"> form.</w:t>
      </w:r>
    </w:p>
    <w:p w:rsidR="00D169E0" w:rsidP="00D169E0" w14:paraId="5D28B15F" w14:textId="77777777">
      <w:pPr>
        <w:ind w:left="720" w:hanging="720"/>
        <w:jc w:val="both"/>
        <w:rPr>
          <w:rFonts w:ascii="Arial" w:hAnsi="Arial" w:cs="Arial"/>
          <w:b/>
          <w:bCs/>
          <w:szCs w:val="24"/>
        </w:rPr>
      </w:pPr>
    </w:p>
    <w:p w:rsidR="00D169E0" w:rsidRPr="00D169E0" w:rsidP="00D169E0" w14:paraId="7D296406"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entities  describe any methods used to minimize burden.  </w:t>
      </w:r>
    </w:p>
    <w:p w:rsidR="00D169E0" w:rsidRPr="00D169E0" w:rsidP="00D169E0" w14:paraId="37EF2434" w14:textId="77777777">
      <w:pPr>
        <w:tabs>
          <w:tab w:val="left" w:pos="-1440"/>
        </w:tabs>
        <w:ind w:left="720" w:hanging="720"/>
        <w:jc w:val="both"/>
        <w:rPr>
          <w:rFonts w:ascii="Arial" w:hAnsi="Arial" w:cs="Arial"/>
          <w:szCs w:val="24"/>
        </w:rPr>
      </w:pPr>
    </w:p>
    <w:p w:rsidR="00825C92" w:rsidP="00D169E0" w14:paraId="6C4CB9A0"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00D169E0" w:rsidRPr="00D169E0" w:rsidP="00825C92" w14:paraId="567A2E0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28459D8A"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Descri</w:t>
      </w:r>
      <w:r w:rsidRPr="00D169E0">
        <w:rPr>
          <w:rFonts w:ascii="Arial" w:hAnsi="Arial" w:cs="Arial"/>
          <w:b/>
          <w:bCs/>
          <w:szCs w:val="24"/>
        </w:rPr>
        <w:t xml:space="preserve">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11B9716E" w14:textId="77777777">
      <w:pPr>
        <w:tabs>
          <w:tab w:val="left" w:pos="-1080"/>
          <w:tab w:val="left" w:pos="-720"/>
          <w:tab w:val="left" w:pos="0"/>
          <w:tab w:val="left" w:pos="1080"/>
        </w:tabs>
        <w:jc w:val="both"/>
        <w:rPr>
          <w:rFonts w:ascii="Arial" w:hAnsi="Arial" w:cs="Arial"/>
          <w:b/>
          <w:bCs/>
          <w:szCs w:val="24"/>
        </w:rPr>
      </w:pPr>
    </w:p>
    <w:p w:rsidR="00E243BA" w:rsidRPr="00501C46" w:rsidP="00767C95" w14:paraId="12414894" w14:textId="77777777">
      <w:pPr>
        <w:tabs>
          <w:tab w:val="left" w:pos="-1080"/>
          <w:tab w:val="left" w:pos="-720"/>
          <w:tab w:val="left" w:pos="0"/>
          <w:tab w:val="left" w:pos="1080"/>
        </w:tabs>
        <w:ind w:left="720"/>
        <w:jc w:val="both"/>
        <w:rPr>
          <w:rFonts w:ascii="Arial" w:hAnsi="Arial"/>
        </w:rPr>
      </w:pPr>
      <w:r w:rsidRPr="00501C46">
        <w:rPr>
          <w:rFonts w:ascii="Arial" w:hAnsi="Arial"/>
        </w:rPr>
        <w:t xml:space="preserve">Failure to collect this information would </w:t>
      </w:r>
      <w:r w:rsidRPr="00501C46" w:rsidR="00B12931">
        <w:rPr>
          <w:rFonts w:ascii="Arial" w:hAnsi="Arial"/>
        </w:rPr>
        <w:t xml:space="preserve">prevent </w:t>
      </w:r>
      <w:r w:rsidRPr="00501C46">
        <w:rPr>
          <w:rFonts w:ascii="Arial" w:hAnsi="Arial"/>
        </w:rPr>
        <w:t xml:space="preserve">CBP from </w:t>
      </w:r>
      <w:r w:rsidRPr="00501C46" w:rsidR="00F26C22">
        <w:rPr>
          <w:rFonts w:ascii="Arial" w:hAnsi="Arial"/>
        </w:rPr>
        <w:t>processing cl</w:t>
      </w:r>
      <w:r w:rsidRPr="00501C46">
        <w:rPr>
          <w:rFonts w:ascii="Arial" w:hAnsi="Arial"/>
        </w:rPr>
        <w:t xml:space="preserve">aims </w:t>
      </w:r>
      <w:r w:rsidRPr="00501C46">
        <w:rPr>
          <w:rFonts w:ascii="Arial" w:hAnsi="Arial"/>
        </w:rPr>
        <w:t xml:space="preserve">death gratuities to the proper personal representatives in cases where that payment is payable. </w:t>
      </w:r>
    </w:p>
    <w:p w:rsidR="00767C95" w:rsidP="00767C95" w14:paraId="64CAB319" w14:textId="77777777">
      <w:pPr>
        <w:tabs>
          <w:tab w:val="left" w:pos="-1440"/>
        </w:tabs>
        <w:ind w:left="720" w:hanging="720"/>
        <w:jc w:val="both"/>
        <w:rPr>
          <w:rFonts w:ascii="Arial" w:hAnsi="Arial" w:cs="Arial"/>
          <w:szCs w:val="24"/>
        </w:rPr>
      </w:pPr>
    </w:p>
    <w:p w:rsidR="00D169E0" w:rsidP="006E1E43" w14:paraId="4F45AAB6"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3EB2DFC9" w14:textId="77777777">
      <w:pPr>
        <w:tabs>
          <w:tab w:val="left" w:pos="-1440"/>
        </w:tabs>
        <w:ind w:left="720" w:hanging="720"/>
        <w:jc w:val="both"/>
        <w:rPr>
          <w:rFonts w:ascii="Arial" w:hAnsi="Arial" w:cs="Arial"/>
          <w:szCs w:val="24"/>
        </w:rPr>
      </w:pPr>
    </w:p>
    <w:p w:rsidR="00D169E0" w:rsidRPr="00AD6108" w:rsidP="00D169E0" w14:paraId="6F3FE96C" w14:textId="77777777">
      <w:pPr>
        <w:tabs>
          <w:tab w:val="left" w:pos="-1440"/>
        </w:tabs>
        <w:ind w:left="720" w:hanging="720"/>
        <w:jc w:val="both"/>
        <w:rPr>
          <w:rFonts w:ascii="Arial" w:hAnsi="Arial" w:cs="Arial"/>
          <w:strike/>
          <w:szCs w:val="24"/>
        </w:rPr>
      </w:pPr>
      <w:r w:rsidRPr="00D169E0">
        <w:rPr>
          <w:rFonts w:ascii="Arial" w:hAnsi="Arial" w:cs="Arial"/>
          <w:szCs w:val="24"/>
        </w:rPr>
        <w:tab/>
      </w:r>
      <w:r w:rsidRPr="00D169E0">
        <w:rPr>
          <w:rFonts w:ascii="Arial" w:hAnsi="Arial" w:cs="Arial"/>
          <w:szCs w:val="24"/>
        </w:rPr>
        <w:t xml:space="preserve">This information is collected in a manner consistent with the guidelines of </w:t>
      </w:r>
      <w:r w:rsidRPr="00FB64F9">
        <w:rPr>
          <w:rFonts w:ascii="Arial" w:hAnsi="Arial" w:cs="Arial"/>
          <w:szCs w:val="24"/>
        </w:rPr>
        <w:t>5 CFR 1320.5(d)(2).</w:t>
      </w:r>
    </w:p>
    <w:p w:rsidR="001010FF" w:rsidP="00767C95" w14:paraId="01EAD869" w14:textId="77777777">
      <w:pPr>
        <w:ind w:left="720" w:hanging="720"/>
        <w:jc w:val="both"/>
        <w:rPr>
          <w:rFonts w:ascii="Arial" w:hAnsi="Arial" w:cs="Arial"/>
          <w:b/>
          <w:bCs/>
          <w:szCs w:val="24"/>
        </w:rPr>
      </w:pPr>
    </w:p>
    <w:p w:rsidR="00D169E0" w:rsidP="00767C95" w14:paraId="297CF782"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If applicable, provide a copy and identify the date and page number of publication   in the Federal Register of the agency's notice, required by 5 CFR 1320.</w:t>
      </w:r>
      <w:r w:rsidRPr="00D169E0">
        <w:rPr>
          <w:rFonts w:ascii="Arial" w:hAnsi="Arial" w:cs="Arial"/>
          <w:b/>
          <w:bCs/>
          <w:szCs w:val="24"/>
        </w:rPr>
        <w:t xml:space="preserve">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xml:space="preserve">. Specifically address </w:t>
      </w:r>
      <w:r w:rsidRPr="00D169E0">
        <w:rPr>
          <w:rFonts w:ascii="Arial" w:hAnsi="Arial" w:cs="Arial"/>
          <w:b/>
          <w:bCs/>
          <w:szCs w:val="24"/>
        </w:rPr>
        <w:t>comments received on cost and hour burden.</w:t>
      </w:r>
    </w:p>
    <w:p w:rsidR="005B7B52" w:rsidP="00767C95" w14:paraId="3A2FF505" w14:textId="77777777">
      <w:pPr>
        <w:ind w:left="720" w:hanging="720"/>
        <w:jc w:val="both"/>
        <w:rPr>
          <w:rFonts w:ascii="Arial" w:hAnsi="Arial" w:cs="Arial"/>
          <w:b/>
          <w:bCs/>
          <w:szCs w:val="24"/>
        </w:rPr>
      </w:pPr>
    </w:p>
    <w:p w:rsidR="005F3F97" w:rsidRPr="00AD237A" w:rsidP="00767C95" w14:paraId="5CD79389" w14:textId="06B36507">
      <w:pPr>
        <w:ind w:left="720" w:hanging="720"/>
        <w:jc w:val="both"/>
        <w:rPr>
          <w:rFonts w:ascii="Arial" w:hAnsi="Arial" w:cs="Arial"/>
          <w:bCs/>
          <w:color w:val="FF0000"/>
          <w:szCs w:val="24"/>
        </w:rPr>
      </w:pPr>
      <w:r>
        <w:rPr>
          <w:rFonts w:ascii="Arial" w:hAnsi="Arial" w:cs="Arial"/>
          <w:b/>
          <w:bCs/>
          <w:szCs w:val="24"/>
        </w:rPr>
        <w:tab/>
      </w:r>
    </w:p>
    <w:p w:rsidR="005B7B52" w:rsidP="005B7B52" w14:paraId="5543DCFD" w14:textId="7C701F23">
      <w:pPr>
        <w:tabs>
          <w:tab w:val="left" w:pos="-1440"/>
        </w:tabs>
        <w:ind w:left="720"/>
        <w:jc w:val="both"/>
        <w:rPr>
          <w:rFonts w:ascii="Arial" w:hAnsi="Arial" w:cs="Arial"/>
          <w:szCs w:val="24"/>
        </w:rPr>
      </w:pPr>
      <w:r w:rsidRPr="00D169E0">
        <w:rPr>
          <w:rFonts w:ascii="Arial" w:hAnsi="Arial" w:cs="Arial"/>
          <w:szCs w:val="24"/>
        </w:rPr>
        <w:t>Public comments were solicited through two Federal Register notices</w:t>
      </w:r>
      <w:r w:rsidR="00BE75D9">
        <w:rPr>
          <w:rFonts w:ascii="Arial" w:hAnsi="Arial" w:cs="Arial"/>
          <w:szCs w:val="24"/>
        </w:rPr>
        <w:t>, a 60-day FRN</w:t>
      </w:r>
      <w:r>
        <w:rPr>
          <w:rFonts w:ascii="Arial" w:hAnsi="Arial" w:cs="Arial"/>
          <w:szCs w:val="24"/>
        </w:rPr>
        <w:t xml:space="preserve"> </w:t>
      </w:r>
      <w:r w:rsidRPr="00D169E0">
        <w:rPr>
          <w:rFonts w:ascii="Arial" w:hAnsi="Arial" w:cs="Arial"/>
          <w:szCs w:val="24"/>
        </w:rPr>
        <w:t xml:space="preserve">published on </w:t>
      </w:r>
      <w:r w:rsidR="00D37928">
        <w:rPr>
          <w:rFonts w:ascii="Arial" w:hAnsi="Arial" w:cs="Arial"/>
          <w:szCs w:val="24"/>
        </w:rPr>
        <w:t>September</w:t>
      </w:r>
      <w:r w:rsidR="00C511E4">
        <w:rPr>
          <w:rFonts w:ascii="Arial" w:hAnsi="Arial" w:cs="Arial"/>
          <w:szCs w:val="24"/>
        </w:rPr>
        <w:t xml:space="preserve"> </w:t>
      </w:r>
      <w:r w:rsidR="00D37928">
        <w:rPr>
          <w:rFonts w:ascii="Arial" w:hAnsi="Arial" w:cs="Arial"/>
          <w:szCs w:val="24"/>
        </w:rPr>
        <w:t>08</w:t>
      </w:r>
      <w:r w:rsidR="00C511E4">
        <w:rPr>
          <w:rFonts w:ascii="Arial" w:hAnsi="Arial" w:cs="Arial"/>
          <w:szCs w:val="24"/>
        </w:rPr>
        <w:t>, 20</w:t>
      </w:r>
      <w:r w:rsidR="00D37928">
        <w:rPr>
          <w:rFonts w:ascii="Arial" w:hAnsi="Arial" w:cs="Arial"/>
          <w:szCs w:val="24"/>
        </w:rPr>
        <w:t>22</w:t>
      </w:r>
      <w:r w:rsidR="00C511E4">
        <w:rPr>
          <w:rFonts w:ascii="Arial" w:hAnsi="Arial" w:cs="Arial"/>
          <w:szCs w:val="24"/>
        </w:rPr>
        <w:t xml:space="preserve"> </w:t>
      </w:r>
      <w:r w:rsidR="00F8207C">
        <w:rPr>
          <w:rFonts w:ascii="Arial" w:hAnsi="Arial" w:cs="Arial"/>
          <w:szCs w:val="24"/>
        </w:rPr>
        <w:t>(87</w:t>
      </w:r>
      <w:r>
        <w:rPr>
          <w:rFonts w:ascii="Arial" w:hAnsi="Arial" w:cs="Arial"/>
          <w:szCs w:val="24"/>
        </w:rPr>
        <w:t xml:space="preserve"> FR </w:t>
      </w:r>
      <w:r w:rsidRPr="00D169E0" w:rsidR="00F8207C">
        <w:rPr>
          <w:rFonts w:ascii="Arial" w:hAnsi="Arial" w:cs="Arial"/>
          <w:szCs w:val="24"/>
        </w:rPr>
        <w:t>55016</w:t>
      </w:r>
      <w:r w:rsidRPr="00D169E0">
        <w:rPr>
          <w:rFonts w:ascii="Arial" w:hAnsi="Arial" w:cs="Arial"/>
          <w:szCs w:val="24"/>
        </w:rPr>
        <w:t xml:space="preserve">) </w:t>
      </w:r>
      <w:r>
        <w:rPr>
          <w:rFonts w:ascii="Arial" w:hAnsi="Arial" w:cs="Arial"/>
          <w:szCs w:val="24"/>
        </w:rPr>
        <w:t xml:space="preserve">on which no comments were received, </w:t>
      </w:r>
      <w:r w:rsidRPr="00B12931">
        <w:rPr>
          <w:rFonts w:ascii="Arial" w:hAnsi="Arial" w:cs="Arial"/>
          <w:szCs w:val="24"/>
        </w:rPr>
        <w:t xml:space="preserve">and </w:t>
      </w:r>
      <w:r w:rsidR="00F8207C">
        <w:rPr>
          <w:rFonts w:ascii="Arial" w:hAnsi="Arial" w:cs="Arial"/>
          <w:szCs w:val="24"/>
        </w:rPr>
        <w:t xml:space="preserve">a 30-day FRN published </w:t>
      </w:r>
      <w:r w:rsidRPr="00B12931">
        <w:rPr>
          <w:rFonts w:ascii="Arial" w:hAnsi="Arial" w:cs="Arial"/>
          <w:szCs w:val="24"/>
        </w:rPr>
        <w:t xml:space="preserve">on </w:t>
      </w:r>
      <w:r w:rsidRPr="001318A9">
        <w:rPr>
          <w:rFonts w:ascii="Arial" w:hAnsi="Arial" w:cs="Arial"/>
          <w:szCs w:val="24"/>
        </w:rPr>
        <w:t xml:space="preserve">April </w:t>
      </w:r>
      <w:r>
        <w:rPr>
          <w:rFonts w:ascii="Arial" w:hAnsi="Arial" w:cs="Arial"/>
          <w:szCs w:val="24"/>
        </w:rPr>
        <w:t xml:space="preserve">27, </w:t>
      </w:r>
      <w:r w:rsidRPr="001318A9" w:rsidR="00C511E4">
        <w:rPr>
          <w:rFonts w:ascii="Arial" w:hAnsi="Arial" w:cs="Arial"/>
          <w:szCs w:val="24"/>
        </w:rPr>
        <w:t>20</w:t>
      </w:r>
      <w:r w:rsidRPr="001318A9" w:rsidR="00D37928">
        <w:rPr>
          <w:rFonts w:ascii="Arial" w:hAnsi="Arial" w:cs="Arial"/>
          <w:szCs w:val="24"/>
        </w:rPr>
        <w:t>23</w:t>
      </w:r>
      <w:r w:rsidRPr="001318A9" w:rsidR="00C511E4">
        <w:rPr>
          <w:rFonts w:ascii="Arial" w:hAnsi="Arial" w:cs="Arial"/>
          <w:szCs w:val="24"/>
        </w:rPr>
        <w:t xml:space="preserve"> </w:t>
      </w:r>
      <w:r w:rsidRPr="001318A9">
        <w:rPr>
          <w:rFonts w:ascii="Arial" w:hAnsi="Arial" w:cs="Arial"/>
          <w:szCs w:val="24"/>
        </w:rPr>
        <w:t>(88</w:t>
      </w:r>
      <w:r>
        <w:rPr>
          <w:rFonts w:ascii="Arial" w:hAnsi="Arial" w:cs="Arial"/>
          <w:szCs w:val="24"/>
        </w:rPr>
        <w:t xml:space="preserve"> FR 25669</w:t>
      </w:r>
      <w:r w:rsidRPr="00B12931">
        <w:rPr>
          <w:rFonts w:ascii="Arial" w:hAnsi="Arial" w:cs="Arial"/>
          <w:szCs w:val="24"/>
        </w:rPr>
        <w:t>)</w:t>
      </w:r>
      <w:r>
        <w:rPr>
          <w:rFonts w:ascii="Arial" w:hAnsi="Arial" w:cs="Arial"/>
          <w:szCs w:val="24"/>
        </w:rPr>
        <w:t xml:space="preserve"> on which no comments have been received</w:t>
      </w:r>
      <w:r w:rsidRPr="00B12931">
        <w:rPr>
          <w:rFonts w:ascii="Arial" w:hAnsi="Arial" w:cs="Arial"/>
          <w:szCs w:val="24"/>
        </w:rPr>
        <w:t>.</w:t>
      </w:r>
      <w:r w:rsidRPr="00D169E0">
        <w:rPr>
          <w:rFonts w:ascii="Arial" w:hAnsi="Arial" w:cs="Arial"/>
          <w:szCs w:val="24"/>
        </w:rPr>
        <w:t xml:space="preserve">   </w:t>
      </w:r>
    </w:p>
    <w:p w:rsidR="00D169E0" w:rsidRPr="00D169E0" w:rsidP="007D5DD8" w14:paraId="2781B72B" w14:textId="77777777">
      <w:pPr>
        <w:jc w:val="both"/>
        <w:rPr>
          <w:rFonts w:ascii="Arial" w:hAnsi="Arial" w:cs="Arial"/>
          <w:b/>
          <w:bCs/>
          <w:szCs w:val="24"/>
        </w:rPr>
      </w:pPr>
    </w:p>
    <w:p w:rsidR="00D169E0" w:rsidRPr="00D169E0" w:rsidP="00D169E0" w14:paraId="365CBD9F"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1EE33DCD" w14:textId="77777777">
      <w:pPr>
        <w:tabs>
          <w:tab w:val="left" w:pos="-1440"/>
        </w:tabs>
        <w:ind w:left="720" w:hanging="720"/>
        <w:jc w:val="both"/>
        <w:rPr>
          <w:rFonts w:ascii="Arial" w:hAnsi="Arial" w:cs="Arial"/>
          <w:szCs w:val="24"/>
        </w:rPr>
      </w:pPr>
    </w:p>
    <w:p w:rsidR="007C088B" w:rsidP="00D169E0" w14:paraId="2EEF52D0" w14:textId="77777777">
      <w:pPr>
        <w:ind w:left="720" w:hanging="720"/>
        <w:jc w:val="both"/>
        <w:rPr>
          <w:rFonts w:ascii="Arial" w:hAnsi="Arial" w:cs="Arial"/>
          <w:szCs w:val="24"/>
        </w:rPr>
      </w:pPr>
      <w:r w:rsidRPr="00501C46">
        <w:rPr>
          <w:rFonts w:ascii="Arial" w:hAnsi="Arial" w:cs="Arial"/>
          <w:szCs w:val="24"/>
        </w:rPr>
        <w:tab/>
        <w:t>There is no offer of a monetary or material value for this information c</w:t>
      </w:r>
      <w:r w:rsidRPr="00501C46">
        <w:rPr>
          <w:rFonts w:ascii="Arial" w:hAnsi="Arial" w:cs="Arial"/>
          <w:szCs w:val="24"/>
        </w:rPr>
        <w:t>ollection.</w:t>
      </w:r>
      <w:r w:rsidR="00501C46">
        <w:rPr>
          <w:rFonts w:ascii="Arial" w:hAnsi="Arial" w:cs="Arial"/>
          <w:szCs w:val="24"/>
        </w:rPr>
        <w:t xml:space="preserve"> However, those submitting this form may receive the Death Gratuity payment, based upon their eligibility and CBP Commissioner approval</w:t>
      </w:r>
    </w:p>
    <w:p w:rsidR="007C088B" w:rsidP="00D169E0" w14:paraId="3694DEC5" w14:textId="77777777">
      <w:pPr>
        <w:ind w:left="720" w:hanging="720"/>
        <w:jc w:val="both"/>
        <w:rPr>
          <w:rFonts w:ascii="Arial" w:hAnsi="Arial" w:cs="Arial"/>
          <w:szCs w:val="24"/>
        </w:rPr>
      </w:pPr>
    </w:p>
    <w:p w:rsidR="00D169E0" w:rsidRPr="00D169E0" w:rsidP="00D169E0" w14:paraId="43E2976A" w14:textId="2E48B6AD">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F4619F">
        <w:rPr>
          <w:rFonts w:ascii="Arial" w:hAnsi="Arial" w:cs="Arial"/>
          <w:b/>
          <w:bCs/>
          <w:szCs w:val="24"/>
        </w:rPr>
        <w:t>Describe any assurance of confidentiality provided to respondents and the basis for the assurance in stat</w:t>
      </w:r>
      <w:r w:rsidRPr="00F4619F">
        <w:rPr>
          <w:rFonts w:ascii="Arial" w:hAnsi="Arial" w:cs="Arial"/>
          <w:b/>
          <w:bCs/>
          <w:szCs w:val="24"/>
        </w:rPr>
        <w:t>ute, regulation, or agency policy.</w:t>
      </w:r>
    </w:p>
    <w:p w:rsidR="00D169E0" w:rsidRPr="00D169E0" w:rsidP="00D169E0" w14:paraId="66D7940C" w14:textId="77777777">
      <w:pPr>
        <w:tabs>
          <w:tab w:val="left" w:pos="-1440"/>
        </w:tabs>
        <w:ind w:left="720" w:hanging="720"/>
        <w:jc w:val="both"/>
        <w:rPr>
          <w:rFonts w:ascii="Arial" w:hAnsi="Arial" w:cs="Arial"/>
          <w:szCs w:val="24"/>
        </w:rPr>
      </w:pPr>
      <w:r w:rsidRPr="00D169E0">
        <w:rPr>
          <w:rFonts w:ascii="Arial" w:hAnsi="Arial" w:cs="Arial"/>
          <w:szCs w:val="24"/>
        </w:rPr>
        <w:tab/>
      </w:r>
    </w:p>
    <w:p w:rsidR="001C55CD" w:rsidP="00516090" w14:paraId="775788B1" w14:textId="77777777">
      <w:pPr>
        <w:ind w:left="720"/>
        <w:jc w:val="both"/>
        <w:rPr>
          <w:rFonts w:ascii="Arial" w:hAnsi="Arial" w:cs="Arial"/>
          <w:bCs/>
          <w:strike/>
          <w:szCs w:val="24"/>
        </w:rPr>
      </w:pPr>
    </w:p>
    <w:p w:rsidR="00F4619F" w:rsidP="003B0ADC" w14:paraId="192274FE" w14:textId="6B89FD53">
      <w:pPr>
        <w:ind w:left="720"/>
        <w:jc w:val="both"/>
        <w:rPr>
          <w:rFonts w:ascii="Arial" w:hAnsi="Arial" w:cs="Arial"/>
          <w:bCs/>
          <w:szCs w:val="24"/>
        </w:rPr>
      </w:pPr>
      <w:r w:rsidRPr="00501C46">
        <w:rPr>
          <w:rFonts w:ascii="Arial" w:hAnsi="Arial" w:cs="Arial"/>
          <w:bCs/>
          <w:szCs w:val="24"/>
        </w:rPr>
        <w:t>A</w:t>
      </w:r>
      <w:r w:rsidR="003B0ADC">
        <w:rPr>
          <w:rFonts w:ascii="Arial" w:hAnsi="Arial" w:cs="Arial"/>
          <w:bCs/>
          <w:szCs w:val="24"/>
        </w:rPr>
        <w:t xml:space="preserve">n </w:t>
      </w:r>
      <w:r w:rsidRPr="00F4619F">
        <w:rPr>
          <w:rFonts w:ascii="Arial" w:hAnsi="Arial" w:cs="Arial"/>
          <w:bCs/>
          <w:szCs w:val="24"/>
        </w:rPr>
        <w:t>Appendix Update</w:t>
      </w:r>
      <w:r>
        <w:rPr>
          <w:rFonts w:ascii="Arial" w:hAnsi="Arial" w:cs="Arial"/>
          <w:bCs/>
          <w:szCs w:val="24"/>
        </w:rPr>
        <w:t>d</w:t>
      </w:r>
      <w:r w:rsidRPr="00501C46">
        <w:rPr>
          <w:rFonts w:ascii="Arial" w:hAnsi="Arial" w:cs="Arial"/>
          <w:bCs/>
          <w:szCs w:val="24"/>
        </w:rPr>
        <w:t xml:space="preserve"> </w:t>
      </w:r>
      <w:r>
        <w:rPr>
          <w:rFonts w:ascii="Arial" w:hAnsi="Arial" w:cs="Arial"/>
          <w:bCs/>
          <w:szCs w:val="24"/>
        </w:rPr>
        <w:t>P</w:t>
      </w:r>
      <w:r w:rsidRPr="00501C46">
        <w:rPr>
          <w:rFonts w:ascii="Arial" w:hAnsi="Arial" w:cs="Arial"/>
          <w:bCs/>
          <w:szCs w:val="24"/>
        </w:rPr>
        <w:t xml:space="preserve">IA for the </w:t>
      </w:r>
      <w:r w:rsidRPr="00F4619F">
        <w:rPr>
          <w:rFonts w:ascii="Arial" w:hAnsi="Arial" w:cs="Arial"/>
          <w:bCs/>
          <w:szCs w:val="24"/>
        </w:rPr>
        <w:t>DHS/ALL/PIA-043 Office of the Chief Human Capital Officer Talent Acquisition</w:t>
      </w:r>
      <w:r w:rsidRPr="00501C46">
        <w:rPr>
          <w:rFonts w:ascii="Arial" w:hAnsi="Arial" w:cs="Arial"/>
          <w:bCs/>
          <w:szCs w:val="24"/>
        </w:rPr>
        <w:t>, and a SORN for</w:t>
      </w:r>
      <w:r w:rsidR="003B0ADC">
        <w:rPr>
          <w:rFonts w:ascii="Arial" w:hAnsi="Arial" w:cs="Arial"/>
          <w:bCs/>
          <w:szCs w:val="24"/>
        </w:rPr>
        <w:t xml:space="preserve"> </w:t>
      </w:r>
      <w:hyperlink r:id="rId9" w:history="1">
        <w:r w:rsidRPr="003B0ADC" w:rsidR="003B0ADC">
          <w:rPr>
            <w:rStyle w:val="Hyperlink"/>
            <w:rFonts w:ascii="Arial" w:hAnsi="Arial" w:cs="Arial"/>
            <w:bCs/>
            <w:szCs w:val="24"/>
          </w:rPr>
          <w:t xml:space="preserve">OPM/GOVT-9 File on Position </w:t>
        </w:r>
        <w:r w:rsidRPr="003B0ADC" w:rsidR="003B0ADC">
          <w:rPr>
            <w:rStyle w:val="Hyperlink"/>
            <w:rFonts w:ascii="Arial" w:hAnsi="Arial" w:cs="Arial"/>
            <w:bCs/>
            <w:szCs w:val="24"/>
          </w:rPr>
          <w:t>Classification Appeals, Job Grading Appeals, Retained Grade or Pay Appeals, Fair Labor Standard Act (FLSA) Claims and Complaints, Federal Civilian Employee Compensation and Leave Claims, and Settlement of Accounts for Deceased Civilian Officers and Employees</w:t>
        </w:r>
      </w:hyperlink>
      <w:r w:rsidRPr="003B0ADC" w:rsidR="003B0ADC">
        <w:rPr>
          <w:rFonts w:ascii="Arial" w:hAnsi="Arial" w:cs="Arial"/>
          <w:bCs/>
          <w:szCs w:val="24"/>
        </w:rPr>
        <w:t>, October 1, 2013, 78 FR 60331, as modified by 80 FR 74815 (November 30, 2015)</w:t>
      </w:r>
      <w:r w:rsidR="003B0ADC">
        <w:rPr>
          <w:rFonts w:ascii="Arial" w:hAnsi="Arial" w:cs="Arial"/>
          <w:bCs/>
          <w:szCs w:val="24"/>
        </w:rPr>
        <w:t xml:space="preserve"> </w:t>
      </w:r>
      <w:r w:rsidRPr="00501C46">
        <w:rPr>
          <w:rFonts w:ascii="Arial" w:hAnsi="Arial" w:cs="Arial"/>
          <w:bCs/>
          <w:szCs w:val="24"/>
        </w:rPr>
        <w:t xml:space="preserve">will be included in this ICR. </w:t>
      </w:r>
      <w:r w:rsidRPr="00501C46">
        <w:rPr>
          <w:rFonts w:ascii="Arial" w:hAnsi="Arial" w:cs="Arial"/>
          <w:bCs/>
          <w:szCs w:val="24"/>
        </w:rPr>
        <w:t xml:space="preserve"> </w:t>
      </w:r>
    </w:p>
    <w:p w:rsidR="00F4619F" w:rsidP="003B0ADC" w14:paraId="763ED71D" w14:textId="77777777">
      <w:pPr>
        <w:ind w:left="720"/>
        <w:jc w:val="both"/>
        <w:rPr>
          <w:rFonts w:ascii="Arial" w:hAnsi="Arial" w:cs="Arial"/>
          <w:bCs/>
          <w:szCs w:val="24"/>
        </w:rPr>
      </w:pPr>
    </w:p>
    <w:p w:rsidR="00D169E0" w:rsidRPr="003B0ADC" w:rsidP="003B0ADC" w14:paraId="1FDDEF7E" w14:textId="2C5C914C">
      <w:pPr>
        <w:ind w:left="720"/>
        <w:jc w:val="both"/>
        <w:rPr>
          <w:rFonts w:ascii="Arial" w:hAnsi="Arial" w:cs="Arial"/>
          <w:bCs/>
          <w:szCs w:val="24"/>
        </w:rPr>
      </w:pPr>
      <w:r w:rsidRPr="00501C46">
        <w:rPr>
          <w:rFonts w:ascii="Arial" w:hAnsi="Arial" w:cs="Arial"/>
          <w:szCs w:val="24"/>
        </w:rPr>
        <w:t xml:space="preserve">There are no assurances of confidentiality provided to the respondents of this information collection </w:t>
      </w:r>
    </w:p>
    <w:p w:rsidR="00D169E0" w:rsidRPr="00D169E0" w:rsidP="00D169E0" w14:paraId="20398912"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D169E0" w14:paraId="5A4C3847"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 xml:space="preserve">Provide additional justification for any questions of a sensitive nature, such as sexual behavior and attitudes, religious beliefs, and </w:t>
      </w:r>
      <w:r w:rsidRPr="00D169E0">
        <w:rPr>
          <w:rFonts w:ascii="Arial" w:hAnsi="Arial" w:cs="Arial"/>
          <w:b/>
          <w:bCs/>
          <w:szCs w:val="24"/>
        </w:rPr>
        <w:t>other matters that are commonly considered private.  This justification should include the reasons why the agency considers the questions necessary, the specific uses to be made of the information, the explanation to be given to persons from whom the infor</w:t>
      </w:r>
      <w:r w:rsidRPr="00D169E0">
        <w:rPr>
          <w:rFonts w:ascii="Arial" w:hAnsi="Arial" w:cs="Arial"/>
          <w:b/>
          <w:bCs/>
          <w:szCs w:val="24"/>
        </w:rPr>
        <w:t>mation is requested, and any steps to be taken to obtain their consent.</w:t>
      </w:r>
    </w:p>
    <w:p w:rsidR="00D169E0" w:rsidRPr="00D169E0" w:rsidP="00D169E0" w14:paraId="3917D33C"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620F7DA9"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D169E0" w:rsidRPr="00D169E0" w:rsidP="00D169E0" w14:paraId="0754A692" w14:textId="77777777">
      <w:pPr>
        <w:tabs>
          <w:tab w:val="left" w:pos="-1440"/>
        </w:tabs>
        <w:ind w:left="720" w:hanging="720"/>
        <w:jc w:val="both"/>
        <w:rPr>
          <w:rFonts w:ascii="Arial" w:hAnsi="Arial" w:cs="Arial"/>
          <w:szCs w:val="24"/>
        </w:rPr>
      </w:pPr>
    </w:p>
    <w:p w:rsidR="00D169E0" w:rsidRPr="00D169E0" w:rsidP="00D169E0" w14:paraId="5586F146"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r>
      <w:r w:rsidRPr="004D72BA">
        <w:rPr>
          <w:rFonts w:ascii="Arial" w:hAnsi="Arial" w:cs="Arial"/>
          <w:b/>
          <w:bCs/>
          <w:szCs w:val="24"/>
        </w:rPr>
        <w:t>Provide estimates of the hour burden of the collection of information.</w:t>
      </w:r>
      <w:r w:rsidRPr="00D169E0">
        <w:rPr>
          <w:rFonts w:ascii="Arial" w:hAnsi="Arial" w:cs="Arial"/>
          <w:szCs w:val="24"/>
        </w:rPr>
        <w:tab/>
      </w:r>
    </w:p>
    <w:p w:rsidR="00D169E0" w:rsidRPr="00D87770" w:rsidP="00D169E0" w14:paraId="34E2FA26" w14:textId="6B5666E3">
      <w:pPr>
        <w:jc w:val="both"/>
        <w:rPr>
          <w:rFonts w:ascii="Arial" w:hAnsi="Arial" w:cs="Arial"/>
          <w:b/>
          <w:color w:val="FF0000"/>
          <w:szCs w:val="24"/>
        </w:rPr>
      </w:pPr>
    </w:p>
    <w:tbl>
      <w:tblPr>
        <w:tblW w:w="102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260"/>
        <w:gridCol w:w="1980"/>
        <w:gridCol w:w="2183"/>
        <w:gridCol w:w="1597"/>
        <w:gridCol w:w="1440"/>
      </w:tblGrid>
      <w:tr w14:paraId="45ECC4F6" w14:textId="77777777" w:rsidTr="007C088B">
        <w:tblPrEx>
          <w:tblW w:w="102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77" w:type="dxa"/>
            <w:shd w:val="clear" w:color="auto" w:fill="auto"/>
          </w:tcPr>
          <w:p w:rsidR="00D169E0" w:rsidRPr="00EE6CA1" w:rsidP="00305B25" w14:paraId="02A356FB" w14:textId="77777777">
            <w:pPr>
              <w:pStyle w:val="Style"/>
              <w:tabs>
                <w:tab w:val="left" w:pos="-1440"/>
              </w:tabs>
              <w:ind w:left="0" w:firstLine="0"/>
              <w:jc w:val="both"/>
              <w:rPr>
                <w:rFonts w:ascii="Arial" w:hAnsi="Arial" w:cs="Arial"/>
                <w:sz w:val="22"/>
                <w:szCs w:val="22"/>
              </w:rPr>
            </w:pPr>
          </w:p>
          <w:p w:rsidR="00D169E0" w:rsidRPr="00B314AF" w:rsidP="00305B25" w14:paraId="4F4C801F"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260" w:type="dxa"/>
            <w:shd w:val="clear" w:color="auto" w:fill="auto"/>
          </w:tcPr>
          <w:p w:rsidR="00D169E0" w:rsidRPr="00B314AF" w:rsidP="00305B25" w14:paraId="44DC1428"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00D169E0" w:rsidRPr="00B314AF" w:rsidP="00305B25" w14:paraId="49FE2CC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w:t>
            </w:r>
            <w:r w:rsidRPr="00B314AF">
              <w:rPr>
                <w:rFonts w:ascii="Arial" w:hAnsi="Arial" w:cs="Arial"/>
                <w:b/>
                <w:sz w:val="22"/>
                <w:szCs w:val="22"/>
              </w:rPr>
              <w:t>F</w:t>
            </w:r>
          </w:p>
          <w:p w:rsidR="00D169E0" w:rsidRPr="00B314AF" w:rsidP="00305B25" w14:paraId="3708BDD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2183" w:type="dxa"/>
            <w:shd w:val="clear" w:color="auto" w:fill="auto"/>
          </w:tcPr>
          <w:p w:rsidR="00EE7085" w:rsidRPr="00B314AF" w:rsidP="00EE7085" w14:paraId="65688C84"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76E39DD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597" w:type="dxa"/>
            <w:shd w:val="clear" w:color="auto" w:fill="auto"/>
          </w:tcPr>
          <w:p w:rsidR="00D169E0" w:rsidRPr="00B314AF" w:rsidP="00305B25" w14:paraId="152BEF12" w14:textId="77777777">
            <w:pPr>
              <w:pStyle w:val="Style"/>
              <w:tabs>
                <w:tab w:val="left" w:pos="-1440"/>
              </w:tabs>
              <w:ind w:left="0" w:firstLine="0"/>
              <w:jc w:val="both"/>
              <w:rPr>
                <w:rFonts w:ascii="Arial" w:hAnsi="Arial" w:cs="Arial"/>
                <w:sz w:val="22"/>
                <w:szCs w:val="22"/>
              </w:rPr>
            </w:pPr>
          </w:p>
          <w:p w:rsidR="00D169E0" w:rsidRPr="00B314AF" w:rsidP="00305B25" w14:paraId="517F399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00D169E0" w:rsidRPr="00B314AF" w:rsidP="00305B25" w14:paraId="18D21F1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440" w:type="dxa"/>
            <w:shd w:val="clear" w:color="auto" w:fill="auto"/>
          </w:tcPr>
          <w:p w:rsidR="00D169E0" w:rsidRPr="00B314AF" w:rsidP="00305B25" w14:paraId="4FFF9424" w14:textId="77777777">
            <w:pPr>
              <w:pStyle w:val="Style"/>
              <w:tabs>
                <w:tab w:val="left" w:pos="-1440"/>
              </w:tabs>
              <w:ind w:left="0" w:firstLine="0"/>
              <w:jc w:val="both"/>
              <w:rPr>
                <w:rFonts w:ascii="Arial" w:hAnsi="Arial" w:cs="Arial"/>
                <w:sz w:val="22"/>
                <w:szCs w:val="22"/>
              </w:rPr>
            </w:pPr>
          </w:p>
          <w:p w:rsidR="00D169E0" w:rsidRPr="00B314AF" w:rsidP="00305B25" w14:paraId="1AE2FA4E"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00D169E0" w:rsidRPr="00B314AF" w:rsidP="00305B25" w14:paraId="10A931EB"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14:paraId="1E09951A" w14:textId="77777777" w:rsidTr="007C088B">
        <w:tblPrEx>
          <w:tblW w:w="10237" w:type="dxa"/>
          <w:tblInd w:w="288" w:type="dxa"/>
          <w:tblLayout w:type="fixed"/>
          <w:tblLook w:val="01E0"/>
        </w:tblPrEx>
        <w:tc>
          <w:tcPr>
            <w:tcW w:w="1777" w:type="dxa"/>
            <w:shd w:val="clear" w:color="auto" w:fill="auto"/>
          </w:tcPr>
          <w:p w:rsidR="00F206BF" w:rsidRPr="00A51D9A" w:rsidP="00305B25" w14:paraId="6CC17438" w14:textId="6E7A2CE3">
            <w:pPr>
              <w:pStyle w:val="Style"/>
              <w:tabs>
                <w:tab w:val="left" w:pos="-1440"/>
              </w:tabs>
              <w:ind w:left="0" w:firstLine="0"/>
              <w:jc w:val="both"/>
              <w:rPr>
                <w:rFonts w:ascii="Arial" w:hAnsi="Arial" w:cs="Arial"/>
                <w:bCs/>
                <w:sz w:val="20"/>
              </w:rPr>
            </w:pPr>
            <w:r w:rsidRPr="00A51D9A">
              <w:rPr>
                <w:rFonts w:ascii="Arial" w:hAnsi="Arial" w:cs="Arial"/>
                <w:bCs/>
                <w:sz w:val="20"/>
              </w:rPr>
              <w:t>Death</w:t>
            </w:r>
            <w:r w:rsidR="004D72BA">
              <w:rPr>
                <w:rFonts w:ascii="Arial" w:hAnsi="Arial" w:cs="Arial"/>
                <w:bCs/>
                <w:sz w:val="20"/>
              </w:rPr>
              <w:t xml:space="preserve"> </w:t>
            </w:r>
            <w:r w:rsidRPr="00A51D9A">
              <w:rPr>
                <w:rFonts w:ascii="Arial" w:hAnsi="Arial" w:cs="Arial"/>
                <w:bCs/>
                <w:sz w:val="20"/>
              </w:rPr>
              <w:t>Gratuity Information Sheet</w:t>
            </w:r>
          </w:p>
        </w:tc>
        <w:tc>
          <w:tcPr>
            <w:tcW w:w="1260" w:type="dxa"/>
            <w:shd w:val="clear" w:color="auto" w:fill="auto"/>
          </w:tcPr>
          <w:p w:rsidR="00A51D9A" w:rsidP="007C088B" w14:paraId="16E337A4" w14:textId="3997E0C0">
            <w:pPr>
              <w:pStyle w:val="Style"/>
              <w:tabs>
                <w:tab w:val="left" w:pos="-1440"/>
              </w:tabs>
              <w:ind w:left="0" w:firstLine="0"/>
              <w:jc w:val="center"/>
              <w:rPr>
                <w:rFonts w:ascii="Arial" w:hAnsi="Arial" w:cs="Arial"/>
                <w:sz w:val="20"/>
              </w:rPr>
            </w:pPr>
            <w:r>
              <w:rPr>
                <w:rFonts w:ascii="Arial" w:hAnsi="Arial" w:cs="Arial"/>
                <w:sz w:val="20"/>
              </w:rPr>
              <w:t>8 hours</w:t>
            </w:r>
          </w:p>
          <w:p w:rsidR="00A51D9A" w:rsidP="00305B25" w14:paraId="1D276E15" w14:textId="77777777">
            <w:pPr>
              <w:pStyle w:val="Style"/>
              <w:tabs>
                <w:tab w:val="left" w:pos="-1440"/>
              </w:tabs>
              <w:ind w:left="0" w:firstLine="0"/>
              <w:jc w:val="both"/>
              <w:rPr>
                <w:rFonts w:ascii="Arial" w:hAnsi="Arial" w:cs="Arial"/>
                <w:sz w:val="20"/>
              </w:rPr>
            </w:pPr>
          </w:p>
          <w:p w:rsidR="00F206BF" w:rsidRPr="00501C46" w:rsidP="00305B25" w14:paraId="549475BD" w14:textId="757C9899">
            <w:pPr>
              <w:pStyle w:val="Style"/>
              <w:tabs>
                <w:tab w:val="left" w:pos="-1440"/>
              </w:tabs>
              <w:ind w:left="0" w:firstLine="0"/>
              <w:jc w:val="both"/>
              <w:rPr>
                <w:rFonts w:ascii="Arial" w:hAnsi="Arial" w:cs="Arial"/>
                <w:sz w:val="20"/>
              </w:rPr>
            </w:pPr>
          </w:p>
        </w:tc>
        <w:tc>
          <w:tcPr>
            <w:tcW w:w="1980" w:type="dxa"/>
            <w:shd w:val="clear" w:color="auto" w:fill="auto"/>
          </w:tcPr>
          <w:p w:rsidR="00A51D9A" w:rsidP="007C088B" w14:paraId="1F52E4A1" w14:textId="726FEBC5">
            <w:pPr>
              <w:pStyle w:val="Style"/>
              <w:tabs>
                <w:tab w:val="left" w:pos="-1440"/>
              </w:tabs>
              <w:ind w:left="0" w:firstLine="0"/>
              <w:jc w:val="center"/>
              <w:rPr>
                <w:rFonts w:ascii="Arial" w:hAnsi="Arial" w:cs="Arial"/>
                <w:sz w:val="20"/>
              </w:rPr>
            </w:pPr>
            <w:r>
              <w:rPr>
                <w:rFonts w:ascii="Arial" w:hAnsi="Arial" w:cs="Arial"/>
                <w:sz w:val="20"/>
              </w:rPr>
              <w:t>33</w:t>
            </w:r>
          </w:p>
          <w:p w:rsidR="00A51D9A" w:rsidP="000A4F4A" w14:paraId="4AB4DF73" w14:textId="77777777">
            <w:pPr>
              <w:pStyle w:val="Style"/>
              <w:tabs>
                <w:tab w:val="left" w:pos="-1440"/>
              </w:tabs>
              <w:ind w:left="0" w:firstLine="0"/>
              <w:jc w:val="both"/>
              <w:rPr>
                <w:rFonts w:ascii="Arial" w:hAnsi="Arial" w:cs="Arial"/>
                <w:sz w:val="20"/>
              </w:rPr>
            </w:pPr>
          </w:p>
          <w:p w:rsidR="00F206BF" w:rsidRPr="00501C46" w:rsidP="000A4F4A" w14:paraId="5E75B4FE" w14:textId="7B05E40D">
            <w:pPr>
              <w:pStyle w:val="Style"/>
              <w:tabs>
                <w:tab w:val="left" w:pos="-1440"/>
              </w:tabs>
              <w:ind w:left="0" w:firstLine="0"/>
              <w:jc w:val="both"/>
              <w:rPr>
                <w:rFonts w:ascii="Arial" w:hAnsi="Arial" w:cs="Arial"/>
                <w:sz w:val="20"/>
              </w:rPr>
            </w:pPr>
          </w:p>
        </w:tc>
        <w:tc>
          <w:tcPr>
            <w:tcW w:w="2183" w:type="dxa"/>
            <w:shd w:val="clear" w:color="auto" w:fill="auto"/>
          </w:tcPr>
          <w:p w:rsidR="00F206BF" w:rsidRPr="00501C46" w:rsidP="007C088B" w14:paraId="64AD4C3D" w14:textId="77777777">
            <w:pPr>
              <w:pStyle w:val="Style"/>
              <w:tabs>
                <w:tab w:val="left" w:pos="-1440"/>
              </w:tabs>
              <w:ind w:left="0" w:firstLine="0"/>
              <w:jc w:val="center"/>
              <w:rPr>
                <w:rFonts w:ascii="Arial" w:hAnsi="Arial" w:cs="Arial"/>
                <w:sz w:val="20"/>
              </w:rPr>
            </w:pPr>
            <w:r w:rsidRPr="00501C46">
              <w:rPr>
                <w:rFonts w:ascii="Arial" w:hAnsi="Arial" w:cs="Arial"/>
                <w:sz w:val="20"/>
              </w:rPr>
              <w:t>1</w:t>
            </w:r>
          </w:p>
        </w:tc>
        <w:tc>
          <w:tcPr>
            <w:tcW w:w="1597" w:type="dxa"/>
            <w:shd w:val="clear" w:color="auto" w:fill="auto"/>
          </w:tcPr>
          <w:p w:rsidR="00A51D9A" w:rsidP="007C088B" w14:paraId="72088525" w14:textId="7E3BC98D">
            <w:pPr>
              <w:pStyle w:val="Style"/>
              <w:tabs>
                <w:tab w:val="left" w:pos="-1440"/>
              </w:tabs>
              <w:ind w:left="0" w:firstLine="0"/>
              <w:jc w:val="center"/>
              <w:rPr>
                <w:rFonts w:ascii="Arial" w:hAnsi="Arial" w:cs="Arial"/>
                <w:sz w:val="20"/>
              </w:rPr>
            </w:pPr>
            <w:r>
              <w:rPr>
                <w:rFonts w:ascii="Arial" w:hAnsi="Arial" w:cs="Arial"/>
                <w:sz w:val="20"/>
              </w:rPr>
              <w:t>33</w:t>
            </w:r>
          </w:p>
          <w:p w:rsidR="00A51D9A" w:rsidP="000A4F4A" w14:paraId="0BCAD3BB" w14:textId="77777777">
            <w:pPr>
              <w:pStyle w:val="Style"/>
              <w:tabs>
                <w:tab w:val="left" w:pos="-1440"/>
              </w:tabs>
              <w:ind w:left="0" w:firstLine="0"/>
              <w:jc w:val="both"/>
              <w:rPr>
                <w:rFonts w:ascii="Arial" w:hAnsi="Arial" w:cs="Arial"/>
                <w:sz w:val="20"/>
              </w:rPr>
            </w:pPr>
          </w:p>
          <w:p w:rsidR="00F206BF" w:rsidRPr="00501C46" w:rsidP="000A4F4A" w14:paraId="6752A370" w14:textId="687C1386">
            <w:pPr>
              <w:pStyle w:val="Style"/>
              <w:tabs>
                <w:tab w:val="left" w:pos="-1440"/>
              </w:tabs>
              <w:ind w:left="0" w:firstLine="0"/>
              <w:jc w:val="both"/>
              <w:rPr>
                <w:rFonts w:ascii="Arial" w:hAnsi="Arial" w:cs="Arial"/>
                <w:sz w:val="20"/>
              </w:rPr>
            </w:pPr>
          </w:p>
        </w:tc>
        <w:tc>
          <w:tcPr>
            <w:tcW w:w="1440" w:type="dxa"/>
            <w:shd w:val="clear" w:color="auto" w:fill="auto"/>
          </w:tcPr>
          <w:p w:rsidR="00F206BF" w:rsidRPr="00501C46" w:rsidP="007C088B" w14:paraId="6854F360" w14:textId="77777777">
            <w:pPr>
              <w:pStyle w:val="Style"/>
              <w:tabs>
                <w:tab w:val="left" w:pos="-1440"/>
              </w:tabs>
              <w:ind w:left="0" w:firstLine="0"/>
              <w:jc w:val="center"/>
              <w:rPr>
                <w:rFonts w:ascii="Arial" w:hAnsi="Arial" w:cs="Arial"/>
                <w:sz w:val="20"/>
              </w:rPr>
            </w:pPr>
            <w:r w:rsidRPr="00501C46">
              <w:rPr>
                <w:rFonts w:ascii="Arial" w:hAnsi="Arial" w:cs="Arial"/>
                <w:sz w:val="20"/>
              </w:rPr>
              <w:t>15 minutes</w:t>
            </w:r>
          </w:p>
        </w:tc>
      </w:tr>
    </w:tbl>
    <w:p w:rsidR="003B745B" w:rsidRPr="003B745B" w:rsidP="003B745B" w14:paraId="70A9B725" w14:textId="77777777">
      <w:pPr>
        <w:tabs>
          <w:tab w:val="left" w:pos="-1440"/>
        </w:tabs>
        <w:ind w:left="720" w:hanging="720"/>
        <w:jc w:val="both"/>
        <w:rPr>
          <w:rFonts w:ascii="Arial" w:hAnsi="Arial" w:cs="Arial"/>
          <w:b/>
          <w:color w:val="FF0000"/>
          <w:szCs w:val="24"/>
        </w:rPr>
      </w:pPr>
    </w:p>
    <w:p w:rsidR="00D82D18" w:rsidRPr="00D169E0" w:rsidP="00D82D18" w14:paraId="39E40931" w14:textId="77777777">
      <w:pPr>
        <w:tabs>
          <w:tab w:val="left" w:pos="-1440"/>
        </w:tabs>
        <w:jc w:val="both"/>
        <w:rPr>
          <w:rFonts w:ascii="Arial" w:hAnsi="Arial" w:cs="Arial"/>
          <w:b/>
          <w:bCs/>
          <w:szCs w:val="24"/>
        </w:rPr>
      </w:pPr>
    </w:p>
    <w:p w:rsidR="00D169E0" w:rsidRPr="00D169E0" w:rsidP="00D169E0" w14:paraId="7C41754A"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D169E0" w:rsidP="00D169E0" w14:paraId="763D8593" w14:textId="77777777">
      <w:pPr>
        <w:tabs>
          <w:tab w:val="left" w:pos="-1440"/>
        </w:tabs>
        <w:ind w:left="720" w:hanging="720"/>
        <w:jc w:val="both"/>
        <w:rPr>
          <w:rFonts w:ascii="Arial" w:hAnsi="Arial" w:cs="Arial"/>
          <w:b/>
          <w:bCs/>
          <w:szCs w:val="24"/>
        </w:rPr>
      </w:pPr>
      <w:r w:rsidRPr="00D169E0">
        <w:rPr>
          <w:rFonts w:ascii="Arial" w:hAnsi="Arial" w:cs="Arial"/>
          <w:b/>
          <w:bCs/>
          <w:szCs w:val="24"/>
        </w:rPr>
        <w:tab/>
      </w:r>
    </w:p>
    <w:p w:rsidR="001E3098" w:rsidRPr="001E3098" w:rsidP="001E3098" w14:paraId="32CA28A1" w14:textId="0CB449F5">
      <w:pPr>
        <w:tabs>
          <w:tab w:val="left" w:pos="-1440"/>
        </w:tabs>
        <w:ind w:left="720"/>
        <w:jc w:val="both"/>
        <w:rPr>
          <w:rFonts w:ascii="Arial" w:hAnsi="Arial"/>
          <w:bCs/>
        </w:rPr>
      </w:pPr>
      <w:r w:rsidRPr="001E3098">
        <w:rPr>
          <w:rFonts w:ascii="Arial" w:hAnsi="Arial"/>
          <w:bCs/>
        </w:rPr>
        <w:t>The estimated cost to the respondents is $</w:t>
      </w:r>
      <w:r w:rsidR="0030135B">
        <w:rPr>
          <w:rFonts w:ascii="Arial" w:hAnsi="Arial"/>
          <w:bCs/>
        </w:rPr>
        <w:t>273</w:t>
      </w:r>
      <w:r w:rsidRPr="001E3098">
        <w:rPr>
          <w:rFonts w:ascii="Arial" w:hAnsi="Arial"/>
          <w:bCs/>
        </w:rPr>
        <w:t xml:space="preserve">.  This is based on the estimated </w:t>
      </w:r>
      <w:r w:rsidRPr="001E3098">
        <w:rPr>
          <w:rFonts w:ascii="Arial" w:hAnsi="Arial"/>
          <w:bCs/>
        </w:rPr>
        <w:t>burden hours (</w:t>
      </w:r>
      <w:r>
        <w:rPr>
          <w:rFonts w:ascii="Arial" w:hAnsi="Arial"/>
          <w:bCs/>
        </w:rPr>
        <w:t>8</w:t>
      </w:r>
      <w:r w:rsidRPr="001E3098">
        <w:rPr>
          <w:rFonts w:ascii="Arial" w:hAnsi="Arial"/>
          <w:bCs/>
        </w:rPr>
        <w:t>) multiplied by the average loaded hourly wage rate for general US population ($34.18).  CBP calculated this loaded wage rate by first multiplying the Bureau of Labor Statistics’ (BLS) 2021 median hourly wage rate for All Occupations ($22.00</w:t>
      </w:r>
      <w:r w:rsidRPr="001E3098">
        <w:rPr>
          <w:rFonts w:ascii="Arial" w:hAnsi="Arial"/>
          <w:bCs/>
        </w:rPr>
        <w:t>), which CBP assumes best represents the wage for general US population, by the ratio of BLS’ average 2021 total compensation to wages and salaries for All Workers (1.4915), the assumed occupational group for brokers, to account for non-salary employee ben</w:t>
      </w:r>
      <w:r w:rsidRPr="001E3098">
        <w:rPr>
          <w:rFonts w:ascii="Arial" w:hAnsi="Arial"/>
          <w:bCs/>
        </w:rPr>
        <w:t>efits.</w:t>
      </w:r>
      <w:r>
        <w:rPr>
          <w:rFonts w:ascii="Arial" w:hAnsi="Arial"/>
          <w:bCs/>
          <w:vertAlign w:val="superscript"/>
        </w:rPr>
        <w:footnoteReference w:id="2"/>
      </w:r>
      <w:r w:rsidRPr="001E3098">
        <w:rPr>
          <w:rFonts w:ascii="Arial" w:hAnsi="Arial"/>
          <w:bCs/>
        </w:rPr>
        <w:t xml:space="preserve">  CBP assumes an annual growth rate of 4.15% based on </w:t>
      </w:r>
      <w:r w:rsidRPr="001E3098">
        <w:rPr>
          <w:rFonts w:ascii="Arial" w:hAnsi="Arial"/>
          <w:bCs/>
        </w:rPr>
        <w:t>the prior year's change in the implicit price deflator, published by the Bureau of Economic Analysis.</w:t>
      </w:r>
    </w:p>
    <w:p w:rsidR="006970DB" w:rsidP="00C002D6" w14:paraId="77B5E1D0" w14:textId="77777777">
      <w:pPr>
        <w:tabs>
          <w:tab w:val="left" w:pos="-1080"/>
          <w:tab w:val="left" w:pos="-720"/>
          <w:tab w:val="left" w:pos="0"/>
          <w:tab w:val="left" w:pos="720"/>
          <w:tab w:val="left" w:pos="1080"/>
        </w:tabs>
        <w:ind w:left="720" w:hanging="720"/>
        <w:jc w:val="both"/>
        <w:rPr>
          <w:rFonts w:ascii="Arial" w:hAnsi="Arial" w:cs="Arial"/>
          <w:b/>
          <w:bCs/>
          <w:szCs w:val="24"/>
        </w:rPr>
      </w:pPr>
    </w:p>
    <w:p w:rsidR="00D169E0" w:rsidRPr="00D169E0" w:rsidP="00C002D6" w14:paraId="17A4F069"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w:t>
      </w:r>
      <w:r w:rsidRPr="00D169E0">
        <w:rPr>
          <w:rFonts w:ascii="Arial" w:hAnsi="Arial" w:cs="Arial"/>
          <w:b/>
          <w:bCs/>
          <w:szCs w:val="24"/>
        </w:rPr>
        <w:t>sulting from the collection of information.</w:t>
      </w:r>
      <w:r w:rsidRPr="00D169E0">
        <w:rPr>
          <w:rFonts w:ascii="Arial" w:hAnsi="Arial" w:cs="Arial"/>
          <w:szCs w:val="24"/>
        </w:rPr>
        <w:tab/>
      </w:r>
    </w:p>
    <w:p w:rsidR="00D169E0" w:rsidRPr="00D169E0" w:rsidP="00D169E0" w14:paraId="2DA7ABC3" w14:textId="77777777">
      <w:pPr>
        <w:tabs>
          <w:tab w:val="left" w:pos="-1440"/>
        </w:tabs>
        <w:ind w:left="720" w:hanging="720"/>
        <w:jc w:val="both"/>
        <w:rPr>
          <w:rFonts w:ascii="Arial" w:hAnsi="Arial" w:cs="Arial"/>
          <w:szCs w:val="24"/>
        </w:rPr>
      </w:pPr>
    </w:p>
    <w:p w:rsidR="00D169E0" w:rsidRPr="00D169E0" w:rsidP="00D169E0" w14:paraId="1475137C" w14:textId="77777777">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this information collection.  </w:t>
      </w:r>
    </w:p>
    <w:p w:rsidR="00D169E0" w:rsidRPr="00D169E0" w:rsidP="00D169E0" w14:paraId="6A794600" w14:textId="77777777">
      <w:pPr>
        <w:ind w:left="660"/>
        <w:jc w:val="both"/>
        <w:rPr>
          <w:rFonts w:ascii="Arial" w:hAnsi="Arial" w:cs="Arial"/>
          <w:szCs w:val="24"/>
        </w:rPr>
      </w:pPr>
      <w:r w:rsidRPr="00D169E0">
        <w:rPr>
          <w:rFonts w:ascii="Arial" w:hAnsi="Arial" w:cs="Arial"/>
          <w:szCs w:val="24"/>
        </w:rPr>
        <w:t xml:space="preserve">    </w:t>
      </w:r>
    </w:p>
    <w:p w:rsidR="00D169E0" w:rsidRPr="00D169E0" w:rsidP="00D169E0" w14:paraId="497F528E"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r>
      <w:r w:rsidRPr="004D72BA">
        <w:rPr>
          <w:rFonts w:ascii="Arial" w:hAnsi="Arial" w:cs="Arial"/>
          <w:b/>
          <w:bCs/>
          <w:szCs w:val="24"/>
        </w:rPr>
        <w:t>Provide estimates of annualized cost to the Federal Government.  Also provide a descr</w:t>
      </w:r>
      <w:r w:rsidRPr="004D72BA">
        <w:rPr>
          <w:rFonts w:ascii="Arial" w:hAnsi="Arial" w:cs="Arial"/>
          <w:b/>
          <w:bCs/>
          <w:szCs w:val="24"/>
        </w:rPr>
        <w:t>iption of the method used to estimate cost, which should include quantification of hours, operational expenses (such as equipment overhead, printing, and support staff), and any other expense that would not have been incurred without this collection of inf</w:t>
      </w:r>
      <w:r w:rsidRPr="004D72BA">
        <w:rPr>
          <w:rFonts w:ascii="Arial" w:hAnsi="Arial" w:cs="Arial"/>
          <w:b/>
          <w:bCs/>
          <w:szCs w:val="24"/>
        </w:rPr>
        <w:t>ormation.</w:t>
      </w:r>
    </w:p>
    <w:p w:rsidR="00D169E0" w:rsidP="00D169E0" w14:paraId="348EE249" w14:textId="77777777">
      <w:pPr>
        <w:tabs>
          <w:tab w:val="left" w:pos="-1080"/>
          <w:tab w:val="left" w:pos="-720"/>
          <w:tab w:val="left" w:pos="0"/>
          <w:tab w:val="left" w:pos="720"/>
          <w:tab w:val="left" w:pos="1080"/>
        </w:tabs>
        <w:ind w:left="720"/>
        <w:jc w:val="both"/>
        <w:rPr>
          <w:rFonts w:ascii="Arial" w:hAnsi="Arial" w:cs="Arial"/>
          <w:szCs w:val="24"/>
        </w:rPr>
      </w:pPr>
    </w:p>
    <w:p w:rsidR="008936A9" w:rsidRPr="008936A9" w:rsidP="008936A9" w14:paraId="44A166C1" w14:textId="04EB5391">
      <w:pPr>
        <w:tabs>
          <w:tab w:val="left" w:pos="-1440"/>
        </w:tabs>
        <w:ind w:left="660"/>
        <w:jc w:val="both"/>
        <w:rPr>
          <w:rFonts w:ascii="Arial" w:hAnsi="Arial" w:cs="Arial"/>
          <w:szCs w:val="24"/>
        </w:rPr>
      </w:pPr>
      <w:r w:rsidRPr="008936A9">
        <w:rPr>
          <w:rFonts w:ascii="Arial" w:hAnsi="Arial" w:cs="Arial"/>
          <w:szCs w:val="24"/>
        </w:rPr>
        <w:t xml:space="preserve">The estimated annual cost to the Federal Government associated with the review of these </w:t>
      </w:r>
      <w:r>
        <w:rPr>
          <w:rFonts w:ascii="Arial" w:hAnsi="Arial" w:cs="Arial"/>
          <w:szCs w:val="24"/>
        </w:rPr>
        <w:t>documents</w:t>
      </w:r>
      <w:r w:rsidRPr="008936A9">
        <w:rPr>
          <w:rFonts w:ascii="Arial" w:hAnsi="Arial" w:cs="Arial"/>
          <w:szCs w:val="24"/>
        </w:rPr>
        <w:t xml:space="preserve"> is $</w:t>
      </w:r>
      <w:r w:rsidR="00BE75D9">
        <w:rPr>
          <w:rFonts w:ascii="Arial" w:hAnsi="Arial" w:cs="Arial"/>
          <w:szCs w:val="24"/>
        </w:rPr>
        <w:t>12,208</w:t>
      </w:r>
      <w:r w:rsidRPr="008936A9">
        <w:rPr>
          <w:rFonts w:ascii="Arial" w:hAnsi="Arial" w:cs="Arial"/>
          <w:szCs w:val="24"/>
        </w:rPr>
        <w:t>. This is based on the number of responses that must be reviewed (</w:t>
      </w:r>
      <w:r>
        <w:rPr>
          <w:rFonts w:ascii="Arial" w:hAnsi="Arial" w:cs="Arial"/>
          <w:szCs w:val="24"/>
        </w:rPr>
        <w:t>33</w:t>
      </w:r>
      <w:r w:rsidRPr="008936A9">
        <w:rPr>
          <w:rFonts w:ascii="Arial" w:hAnsi="Arial" w:cs="Arial"/>
          <w:szCs w:val="24"/>
        </w:rPr>
        <w:t xml:space="preserve">) multiplied by the time burden to review and process each </w:t>
      </w:r>
      <w:r w:rsidRPr="008936A9">
        <w:rPr>
          <w:rFonts w:ascii="Arial" w:hAnsi="Arial" w:cs="Arial"/>
          <w:szCs w:val="24"/>
        </w:rPr>
        <w:t>response (</w:t>
      </w:r>
      <w:r>
        <w:rPr>
          <w:rFonts w:ascii="Arial" w:hAnsi="Arial" w:cs="Arial"/>
          <w:szCs w:val="24"/>
        </w:rPr>
        <w:t>5</w:t>
      </w:r>
      <w:r w:rsidRPr="008936A9">
        <w:rPr>
          <w:rFonts w:ascii="Arial" w:hAnsi="Arial" w:cs="Arial"/>
          <w:szCs w:val="24"/>
        </w:rPr>
        <w:t xml:space="preserve"> hours</w:t>
      </w:r>
      <w:r>
        <w:rPr>
          <w:rFonts w:ascii="Arial" w:hAnsi="Arial" w:cs="Arial"/>
          <w:szCs w:val="24"/>
        </w:rPr>
        <w:t xml:space="preserve"> or 300 minutes</w:t>
      </w:r>
      <w:r w:rsidRPr="008936A9">
        <w:rPr>
          <w:rFonts w:ascii="Arial" w:hAnsi="Arial" w:cs="Arial"/>
          <w:szCs w:val="24"/>
        </w:rPr>
        <w:t xml:space="preserve">) = </w:t>
      </w:r>
      <w:r w:rsidR="00BE75D9">
        <w:rPr>
          <w:rFonts w:ascii="Arial" w:hAnsi="Arial" w:cs="Arial"/>
          <w:szCs w:val="24"/>
        </w:rPr>
        <w:t>165</w:t>
      </w:r>
      <w:r w:rsidRPr="008936A9">
        <w:rPr>
          <w:rFonts w:ascii="Arial" w:hAnsi="Arial" w:cs="Arial"/>
          <w:szCs w:val="24"/>
        </w:rPr>
        <w:t xml:space="preserve"> hours multiplied by the average hourly loaded rate for other CBP employees ($73.99)</w:t>
      </w:r>
      <w:r>
        <w:rPr>
          <w:rFonts w:ascii="Arial" w:hAnsi="Arial" w:cs="Arial"/>
          <w:szCs w:val="24"/>
          <w:vertAlign w:val="superscript"/>
        </w:rPr>
        <w:footnoteReference w:id="3"/>
      </w:r>
      <w:r w:rsidRPr="008936A9">
        <w:rPr>
          <w:rFonts w:ascii="Arial" w:hAnsi="Arial" w:cs="Arial"/>
          <w:szCs w:val="24"/>
        </w:rPr>
        <w:t xml:space="preserve"> = $</w:t>
      </w:r>
      <w:r w:rsidR="00BE75D9">
        <w:rPr>
          <w:rFonts w:ascii="Arial" w:hAnsi="Arial" w:cs="Arial"/>
          <w:szCs w:val="24"/>
        </w:rPr>
        <w:t>12,208</w:t>
      </w:r>
      <w:r w:rsidRPr="008936A9">
        <w:rPr>
          <w:rFonts w:ascii="Arial" w:hAnsi="Arial" w:cs="Arial"/>
          <w:szCs w:val="24"/>
        </w:rPr>
        <w:t>.</w:t>
      </w:r>
    </w:p>
    <w:p w:rsidR="00D169E0" w:rsidRPr="00A51D9A" w:rsidP="00F8207C" w14:paraId="579F67CB" w14:textId="1F4DD7CA">
      <w:pPr>
        <w:tabs>
          <w:tab w:val="left" w:pos="-1440"/>
        </w:tabs>
        <w:ind w:left="660"/>
        <w:jc w:val="both"/>
        <w:rPr>
          <w:rFonts w:ascii="Arial" w:hAnsi="Arial" w:cs="Arial"/>
          <w:szCs w:val="24"/>
        </w:rPr>
      </w:pPr>
    </w:p>
    <w:p w:rsidR="00D169E0" w:rsidRPr="00D169E0" w:rsidP="00D169E0" w14:paraId="195DC3FF" w14:textId="77777777">
      <w:pPr>
        <w:tabs>
          <w:tab w:val="left" w:pos="-1440"/>
        </w:tabs>
        <w:ind w:left="720" w:hanging="720"/>
        <w:jc w:val="both"/>
        <w:rPr>
          <w:rFonts w:ascii="Arial" w:hAnsi="Arial" w:cs="Arial"/>
          <w:szCs w:val="24"/>
        </w:rPr>
      </w:pPr>
    </w:p>
    <w:p w:rsidR="00D169E0" w:rsidRPr="00D169E0" w:rsidP="00D169E0" w14:paraId="3D34BAAB"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14:paraId="2AEA1255" w14:textId="77777777">
      <w:pPr>
        <w:jc w:val="both"/>
        <w:rPr>
          <w:rFonts w:ascii="Arial" w:hAnsi="Arial" w:cs="Arial"/>
          <w:b/>
          <w:bCs/>
          <w:szCs w:val="24"/>
        </w:rPr>
      </w:pPr>
    </w:p>
    <w:p w:rsidR="00D169E0" w:rsidRPr="00F6331E" w:rsidP="00F6331E" w14:paraId="2A57B7BB" w14:textId="0398B1F7">
      <w:pPr>
        <w:jc w:val="both"/>
        <w:rPr>
          <w:rFonts w:ascii="Arial" w:hAnsi="Arial" w:cs="Arial"/>
          <w:szCs w:val="24"/>
        </w:rPr>
      </w:pPr>
      <w:r>
        <w:rPr>
          <w:rFonts w:ascii="Arial" w:hAnsi="Arial" w:cs="Arial"/>
          <w:b/>
          <w:bCs/>
          <w:szCs w:val="24"/>
        </w:rPr>
        <w:tab/>
      </w:r>
      <w:r w:rsidRPr="00F6331E" w:rsidR="00230024">
        <w:rPr>
          <w:rFonts w:ascii="Arial" w:hAnsi="Arial" w:cs="Arial"/>
          <w:szCs w:val="24"/>
        </w:rPr>
        <w:t xml:space="preserve"> </w:t>
      </w:r>
      <w:r w:rsidR="00F6331E">
        <w:rPr>
          <w:rFonts w:ascii="Arial" w:hAnsi="Arial" w:cs="Arial"/>
          <w:szCs w:val="24"/>
        </w:rPr>
        <w:t>This is a new information collection.</w:t>
      </w:r>
    </w:p>
    <w:p w:rsidR="00230024" w:rsidRPr="00D169E0" w:rsidP="00230024" w14:paraId="023048CB" w14:textId="77777777">
      <w:pPr>
        <w:ind w:left="720"/>
        <w:rPr>
          <w:rFonts w:ascii="Arial" w:hAnsi="Arial" w:cs="Arial"/>
          <w:b/>
          <w:bCs/>
          <w:szCs w:val="24"/>
        </w:rPr>
      </w:pPr>
    </w:p>
    <w:p w:rsidR="00D169E0" w:rsidRPr="00D169E0" w:rsidP="00D169E0" w14:paraId="11654EA5"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7686BA93"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D169E0" w:rsidRPr="00D169E0" w:rsidP="00D169E0" w14:paraId="29B097CF"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14:paraId="76BCA428" w14:textId="77777777">
      <w:pPr>
        <w:jc w:val="both"/>
        <w:rPr>
          <w:rFonts w:ascii="Arial" w:hAnsi="Arial" w:cs="Arial"/>
          <w:szCs w:val="24"/>
        </w:rPr>
      </w:pPr>
    </w:p>
    <w:p w:rsidR="00D169E0" w:rsidRPr="00D169E0" w:rsidP="00D169E0" w14:paraId="3DF28911"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1C8138CE" w14:textId="77777777">
      <w:pPr>
        <w:jc w:val="both"/>
        <w:rPr>
          <w:rFonts w:ascii="Arial" w:hAnsi="Arial" w:cs="Arial"/>
          <w:b/>
          <w:bCs/>
          <w:szCs w:val="24"/>
        </w:rPr>
      </w:pPr>
      <w:r w:rsidRPr="00D169E0">
        <w:rPr>
          <w:rFonts w:ascii="Arial" w:hAnsi="Arial" w:cs="Arial"/>
          <w:b/>
          <w:bCs/>
          <w:szCs w:val="24"/>
        </w:rPr>
        <w:tab/>
      </w:r>
    </w:p>
    <w:p w:rsidR="00D169E0" w:rsidRPr="00D169E0" w:rsidP="00D169E0" w14:paraId="246CF255"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00D169E0" w:rsidRPr="00D169E0" w:rsidP="00D169E0" w14:paraId="029962E7"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D169E0" w14:paraId="5173D7FD"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00D169E0" w:rsidRPr="00D169E0" w:rsidP="00D169E0" w14:paraId="6431D4DC"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66BFE57E" w14:textId="77777777">
      <w:pPr>
        <w:ind w:left="720"/>
        <w:jc w:val="both"/>
        <w:rPr>
          <w:rFonts w:ascii="Arial" w:hAnsi="Arial" w:cs="Arial"/>
          <w:szCs w:val="24"/>
        </w:rPr>
      </w:pPr>
      <w:r w:rsidRPr="00D169E0">
        <w:rPr>
          <w:rFonts w:ascii="Arial" w:hAnsi="Arial" w:cs="Arial"/>
          <w:szCs w:val="24"/>
        </w:rPr>
        <w:t>CBP does not request an exception to the ce</w:t>
      </w:r>
      <w:r w:rsidRPr="00D169E0">
        <w:rPr>
          <w:rFonts w:ascii="Arial" w:hAnsi="Arial" w:cs="Arial"/>
          <w:szCs w:val="24"/>
        </w:rPr>
        <w:t>rtification of this information collection.</w:t>
      </w:r>
    </w:p>
    <w:p w:rsidR="00CC1F1B" w:rsidP="00CC1F1B" w14:paraId="6AD4105A"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64843704"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3F3F8B11" w14:textId="77777777">
      <w:pPr>
        <w:jc w:val="both"/>
        <w:rPr>
          <w:rFonts w:ascii="Arial" w:hAnsi="Arial" w:cs="Arial"/>
          <w:szCs w:val="24"/>
        </w:rPr>
      </w:pPr>
    </w:p>
    <w:p w:rsidR="00D169E0" w:rsidRPr="00D169E0" w:rsidP="00D169E0" w14:paraId="03C6D343"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5E3BB1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331485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0BD8E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1A41EA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7760" w14:paraId="7788B5B2" w14:textId="77777777">
      <w:r>
        <w:separator/>
      </w:r>
    </w:p>
  </w:footnote>
  <w:footnote w:type="continuationSeparator" w:id="1">
    <w:p w:rsidR="008D7760" w14:paraId="2C7BCD66" w14:textId="77777777">
      <w:r>
        <w:continuationSeparator/>
      </w:r>
    </w:p>
  </w:footnote>
  <w:footnote w:id="2">
    <w:p w:rsidR="001E3098" w:rsidRPr="005022F8" w:rsidP="001E3098" w14:paraId="10856AA7" w14:textId="77777777">
      <w:pPr>
        <w:pStyle w:val="FootnoteText"/>
        <w:rPr>
          <w:rFonts w:ascii="Times New Roman" w:hAnsi="Times New Roman" w:cs="Times New Roman"/>
        </w:rPr>
      </w:pPr>
      <w:r w:rsidRPr="005022F8">
        <w:rPr>
          <w:rStyle w:val="FootnoteReference"/>
          <w:rFonts w:ascii="Times New Roman" w:hAnsi="Times New Roman" w:cs="Times New Roman"/>
        </w:rPr>
        <w:footnoteRef/>
      </w:r>
      <w:r w:rsidRPr="005022F8">
        <w:rPr>
          <w:rFonts w:ascii="Times New Roman" w:hAnsi="Times New Roman" w:cs="Times New Roman"/>
        </w:rPr>
        <w:t xml:space="preserve"> Source of median wage rate: U.S. Bureau of Labor Statistics.  Occupational Employment Statistics, “May 2021 National Occupational Employment and Wage Estimates United States.”  Updated March 31, 2022.  Available at https://www.bls.gov/oes/current/oes_nat.</w:t>
      </w:r>
      <w:r w:rsidRPr="005022F8">
        <w:rPr>
          <w:rFonts w:ascii="Times New Roman" w:hAnsi="Times New Roman" w:cs="Times New Roman"/>
        </w:rPr>
        <w:t>htm.  Accessed May 25, 2022.  The total compensation to wages and salaries ratio is equal to the calculated average of the 2021 quarterly estimates (shown under Q01, Q02, Q03, Q04) of the total compensation cost per hour worked for All Workers ($47.65) div</w:t>
      </w:r>
      <w:r w:rsidRPr="005022F8">
        <w:rPr>
          <w:rFonts w:ascii="Times New Roman" w:hAnsi="Times New Roman" w:cs="Times New Roman"/>
        </w:rPr>
        <w:t>ided by the calculated average of the 2021 quarterly estimates (shown under Q01, Q02, Q03, Q04) of wages and salaries cost per hour worked for the same occupation category ($31.9486).  Source of total compensation to wages and salaries ratio data: U.S. Bur</w:t>
      </w:r>
      <w:r w:rsidRPr="005022F8">
        <w:rPr>
          <w:rFonts w:ascii="Times New Roman" w:hAnsi="Times New Roman" w:cs="Times New Roman"/>
        </w:rPr>
        <w:t>eau of Labor Statistics.  Employer Costs for Employee Compensation.  “ECEC Civilian Workers - 2004 to Present.”  March 2022.  Available at https://www.bls.gov/web/ecec.supp.toc.htm.  Accessed May 25, 2022.</w:t>
      </w:r>
    </w:p>
  </w:footnote>
  <w:footnote w:id="3">
    <w:p w:rsidR="008936A9" w:rsidRPr="00D41379" w:rsidP="008936A9" w14:paraId="7EEFDF56"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2022 </w:t>
      </w:r>
      <w:r w:rsidRPr="00D41379">
        <w:rPr>
          <w:rFonts w:ascii="Times New Roman" w:hAnsi="Times New Roman" w:cs="Times New Roman"/>
        </w:rPr>
        <w:t>salary and be</w:t>
      </w:r>
      <w:r w:rsidRPr="00D41379">
        <w:rPr>
          <w:rFonts w:ascii="Times New Roman" w:hAnsi="Times New Roman" w:cs="Times New Roman"/>
        </w:rPr>
        <w:t xml:space="preserv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GS-13,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34EF608A"/>
    <w:multiLevelType w:val="hybridMultilevel"/>
    <w:tmpl w:val="38F690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027ACF"/>
    <w:multiLevelType w:val="hybridMultilevel"/>
    <w:tmpl w:val="BAF87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9AE7CA9"/>
    <w:multiLevelType w:val="hybridMultilevel"/>
    <w:tmpl w:val="56B6F8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3">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888569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49098526">
    <w:abstractNumId w:val="12"/>
  </w:num>
  <w:num w:numId="3" w16cid:durableId="483937730">
    <w:abstractNumId w:val="2"/>
  </w:num>
  <w:num w:numId="4" w16cid:durableId="452141541">
    <w:abstractNumId w:val="5"/>
  </w:num>
  <w:num w:numId="5" w16cid:durableId="2045057878">
    <w:abstractNumId w:val="13"/>
  </w:num>
  <w:num w:numId="6" w16cid:durableId="1951426052">
    <w:abstractNumId w:val="1"/>
  </w:num>
  <w:num w:numId="7" w16cid:durableId="694310055">
    <w:abstractNumId w:val="3"/>
  </w:num>
  <w:num w:numId="8" w16cid:durableId="1822623040">
    <w:abstractNumId w:val="10"/>
  </w:num>
  <w:num w:numId="9" w16cid:durableId="1106267474">
    <w:abstractNumId w:val="7"/>
  </w:num>
  <w:num w:numId="10" w16cid:durableId="1852914948">
    <w:abstractNumId w:val="16"/>
  </w:num>
  <w:num w:numId="11" w16cid:durableId="807092518">
    <w:abstractNumId w:val="14"/>
  </w:num>
  <w:num w:numId="12" w16cid:durableId="46684694">
    <w:abstractNumId w:val="9"/>
  </w:num>
  <w:num w:numId="13" w16cid:durableId="44304452">
    <w:abstractNumId w:val="15"/>
  </w:num>
  <w:num w:numId="14" w16cid:durableId="685255285">
    <w:abstractNumId w:val="4"/>
  </w:num>
  <w:num w:numId="15" w16cid:durableId="1486241699">
    <w:abstractNumId w:val="6"/>
  </w:num>
  <w:num w:numId="16" w16cid:durableId="1490320860">
    <w:abstractNumId w:val="8"/>
  </w:num>
  <w:num w:numId="17" w16cid:durableId="1039161679">
    <w:abstractNumId w:val="11"/>
  </w:num>
  <w:num w:numId="18" w16cid:durableId="71836132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21433"/>
    <w:rsid w:val="00023AD2"/>
    <w:rsid w:val="00025D33"/>
    <w:rsid w:val="00026B3F"/>
    <w:rsid w:val="00044418"/>
    <w:rsid w:val="000458FB"/>
    <w:rsid w:val="000531E3"/>
    <w:rsid w:val="00087255"/>
    <w:rsid w:val="000A365A"/>
    <w:rsid w:val="000A4F4A"/>
    <w:rsid w:val="000D6BC3"/>
    <w:rsid w:val="000E3347"/>
    <w:rsid w:val="000E6516"/>
    <w:rsid w:val="001010FF"/>
    <w:rsid w:val="00106C11"/>
    <w:rsid w:val="00120C02"/>
    <w:rsid w:val="00121042"/>
    <w:rsid w:val="00126E18"/>
    <w:rsid w:val="001318A9"/>
    <w:rsid w:val="001352EE"/>
    <w:rsid w:val="00146152"/>
    <w:rsid w:val="0015458B"/>
    <w:rsid w:val="00161769"/>
    <w:rsid w:val="001669BD"/>
    <w:rsid w:val="00180FC3"/>
    <w:rsid w:val="001831BD"/>
    <w:rsid w:val="001A541F"/>
    <w:rsid w:val="001A65FA"/>
    <w:rsid w:val="001C55CD"/>
    <w:rsid w:val="001D112C"/>
    <w:rsid w:val="001E3098"/>
    <w:rsid w:val="001F214B"/>
    <w:rsid w:val="001F7C91"/>
    <w:rsid w:val="00210BB1"/>
    <w:rsid w:val="00216E84"/>
    <w:rsid w:val="00216EF4"/>
    <w:rsid w:val="002230E2"/>
    <w:rsid w:val="00230024"/>
    <w:rsid w:val="002440C4"/>
    <w:rsid w:val="00253347"/>
    <w:rsid w:val="002536D2"/>
    <w:rsid w:val="002601BA"/>
    <w:rsid w:val="00263C8F"/>
    <w:rsid w:val="002937AC"/>
    <w:rsid w:val="002A1ADE"/>
    <w:rsid w:val="002A286C"/>
    <w:rsid w:val="002B13EE"/>
    <w:rsid w:val="002B3E8A"/>
    <w:rsid w:val="002B6553"/>
    <w:rsid w:val="002C493E"/>
    <w:rsid w:val="002C586C"/>
    <w:rsid w:val="0030135B"/>
    <w:rsid w:val="00305B25"/>
    <w:rsid w:val="0031236C"/>
    <w:rsid w:val="00316EB1"/>
    <w:rsid w:val="00321F85"/>
    <w:rsid w:val="003401E8"/>
    <w:rsid w:val="00355047"/>
    <w:rsid w:val="00361762"/>
    <w:rsid w:val="003808CE"/>
    <w:rsid w:val="003B0ADC"/>
    <w:rsid w:val="003B745B"/>
    <w:rsid w:val="003B7F1D"/>
    <w:rsid w:val="003C2801"/>
    <w:rsid w:val="003C29F0"/>
    <w:rsid w:val="003C3840"/>
    <w:rsid w:val="003D0A88"/>
    <w:rsid w:val="003E5443"/>
    <w:rsid w:val="003E7DF5"/>
    <w:rsid w:val="00425C59"/>
    <w:rsid w:val="00441945"/>
    <w:rsid w:val="00450E24"/>
    <w:rsid w:val="00466C91"/>
    <w:rsid w:val="00481454"/>
    <w:rsid w:val="0048524A"/>
    <w:rsid w:val="004A7125"/>
    <w:rsid w:val="004B391B"/>
    <w:rsid w:val="004C1A30"/>
    <w:rsid w:val="004D6DFB"/>
    <w:rsid w:val="004D72BA"/>
    <w:rsid w:val="004F21C3"/>
    <w:rsid w:val="004F337D"/>
    <w:rsid w:val="00501C46"/>
    <w:rsid w:val="005022F8"/>
    <w:rsid w:val="00516090"/>
    <w:rsid w:val="0052208D"/>
    <w:rsid w:val="00526E8B"/>
    <w:rsid w:val="00571F3A"/>
    <w:rsid w:val="0058625C"/>
    <w:rsid w:val="0059479E"/>
    <w:rsid w:val="0059560F"/>
    <w:rsid w:val="005967E4"/>
    <w:rsid w:val="005A241C"/>
    <w:rsid w:val="005B748F"/>
    <w:rsid w:val="005B7B52"/>
    <w:rsid w:val="005C7349"/>
    <w:rsid w:val="005F020F"/>
    <w:rsid w:val="005F17E5"/>
    <w:rsid w:val="005F3F97"/>
    <w:rsid w:val="00612064"/>
    <w:rsid w:val="00627943"/>
    <w:rsid w:val="00631911"/>
    <w:rsid w:val="00655D1B"/>
    <w:rsid w:val="00673C3B"/>
    <w:rsid w:val="00694CD9"/>
    <w:rsid w:val="006970DB"/>
    <w:rsid w:val="006A36D0"/>
    <w:rsid w:val="006D1E16"/>
    <w:rsid w:val="006D57AE"/>
    <w:rsid w:val="006E1E43"/>
    <w:rsid w:val="006E3339"/>
    <w:rsid w:val="006E4A74"/>
    <w:rsid w:val="006F242D"/>
    <w:rsid w:val="007062AC"/>
    <w:rsid w:val="00742C5C"/>
    <w:rsid w:val="00750300"/>
    <w:rsid w:val="007535FC"/>
    <w:rsid w:val="0075502D"/>
    <w:rsid w:val="00767C95"/>
    <w:rsid w:val="007757A5"/>
    <w:rsid w:val="00784869"/>
    <w:rsid w:val="007A0C96"/>
    <w:rsid w:val="007C088B"/>
    <w:rsid w:val="007C3EF0"/>
    <w:rsid w:val="007D5DD8"/>
    <w:rsid w:val="007F10F2"/>
    <w:rsid w:val="00805242"/>
    <w:rsid w:val="00816110"/>
    <w:rsid w:val="008246E4"/>
    <w:rsid w:val="00825C92"/>
    <w:rsid w:val="00832AD0"/>
    <w:rsid w:val="00846B36"/>
    <w:rsid w:val="00854D4F"/>
    <w:rsid w:val="00872918"/>
    <w:rsid w:val="008936A9"/>
    <w:rsid w:val="008976A2"/>
    <w:rsid w:val="008A670D"/>
    <w:rsid w:val="008A7976"/>
    <w:rsid w:val="008B2A60"/>
    <w:rsid w:val="008B34F9"/>
    <w:rsid w:val="008C1BA6"/>
    <w:rsid w:val="008D407B"/>
    <w:rsid w:val="008D7760"/>
    <w:rsid w:val="008F5D38"/>
    <w:rsid w:val="00902ABF"/>
    <w:rsid w:val="0090768D"/>
    <w:rsid w:val="00945CAD"/>
    <w:rsid w:val="00947617"/>
    <w:rsid w:val="00966380"/>
    <w:rsid w:val="0097738A"/>
    <w:rsid w:val="009817AA"/>
    <w:rsid w:val="009C4F17"/>
    <w:rsid w:val="009D2CF3"/>
    <w:rsid w:val="009D3C23"/>
    <w:rsid w:val="009F30BF"/>
    <w:rsid w:val="00A00D39"/>
    <w:rsid w:val="00A36EC3"/>
    <w:rsid w:val="00A51D9A"/>
    <w:rsid w:val="00A66D18"/>
    <w:rsid w:val="00A71546"/>
    <w:rsid w:val="00A7547D"/>
    <w:rsid w:val="00A920B6"/>
    <w:rsid w:val="00A9406A"/>
    <w:rsid w:val="00AA701F"/>
    <w:rsid w:val="00AB3008"/>
    <w:rsid w:val="00AC0C31"/>
    <w:rsid w:val="00AD237A"/>
    <w:rsid w:val="00AD6108"/>
    <w:rsid w:val="00AE221B"/>
    <w:rsid w:val="00AE5077"/>
    <w:rsid w:val="00B04B99"/>
    <w:rsid w:val="00B12931"/>
    <w:rsid w:val="00B15459"/>
    <w:rsid w:val="00B21690"/>
    <w:rsid w:val="00B269D7"/>
    <w:rsid w:val="00B314AF"/>
    <w:rsid w:val="00B46345"/>
    <w:rsid w:val="00BD0B71"/>
    <w:rsid w:val="00BE070F"/>
    <w:rsid w:val="00BE1E43"/>
    <w:rsid w:val="00BE66C0"/>
    <w:rsid w:val="00BE75D9"/>
    <w:rsid w:val="00BF2B7D"/>
    <w:rsid w:val="00BF7FB5"/>
    <w:rsid w:val="00C002D6"/>
    <w:rsid w:val="00C04974"/>
    <w:rsid w:val="00C20E16"/>
    <w:rsid w:val="00C233E7"/>
    <w:rsid w:val="00C26C68"/>
    <w:rsid w:val="00C37221"/>
    <w:rsid w:val="00C511E4"/>
    <w:rsid w:val="00C5164A"/>
    <w:rsid w:val="00C5633E"/>
    <w:rsid w:val="00C65921"/>
    <w:rsid w:val="00C77063"/>
    <w:rsid w:val="00C84790"/>
    <w:rsid w:val="00C86056"/>
    <w:rsid w:val="00CB0B86"/>
    <w:rsid w:val="00CB4FAE"/>
    <w:rsid w:val="00CB754B"/>
    <w:rsid w:val="00CC16E5"/>
    <w:rsid w:val="00CC1F1B"/>
    <w:rsid w:val="00CE09D9"/>
    <w:rsid w:val="00CE34EA"/>
    <w:rsid w:val="00CF6677"/>
    <w:rsid w:val="00D05A5F"/>
    <w:rsid w:val="00D116BD"/>
    <w:rsid w:val="00D169E0"/>
    <w:rsid w:val="00D24F95"/>
    <w:rsid w:val="00D3445A"/>
    <w:rsid w:val="00D37928"/>
    <w:rsid w:val="00D41379"/>
    <w:rsid w:val="00D50CC7"/>
    <w:rsid w:val="00D62AAD"/>
    <w:rsid w:val="00D73A10"/>
    <w:rsid w:val="00D76DAF"/>
    <w:rsid w:val="00D82D18"/>
    <w:rsid w:val="00D87770"/>
    <w:rsid w:val="00D94F95"/>
    <w:rsid w:val="00DA2D97"/>
    <w:rsid w:val="00DA7968"/>
    <w:rsid w:val="00DC4847"/>
    <w:rsid w:val="00DC7A77"/>
    <w:rsid w:val="00DE4B41"/>
    <w:rsid w:val="00DE5D42"/>
    <w:rsid w:val="00E04807"/>
    <w:rsid w:val="00E243BA"/>
    <w:rsid w:val="00E313DA"/>
    <w:rsid w:val="00E53556"/>
    <w:rsid w:val="00EA4CD9"/>
    <w:rsid w:val="00EB2722"/>
    <w:rsid w:val="00EB7829"/>
    <w:rsid w:val="00EC48B1"/>
    <w:rsid w:val="00EC6C9F"/>
    <w:rsid w:val="00EE6CA1"/>
    <w:rsid w:val="00EE7085"/>
    <w:rsid w:val="00EF5ABA"/>
    <w:rsid w:val="00F0595B"/>
    <w:rsid w:val="00F1052C"/>
    <w:rsid w:val="00F171EF"/>
    <w:rsid w:val="00F177C2"/>
    <w:rsid w:val="00F206BF"/>
    <w:rsid w:val="00F26C22"/>
    <w:rsid w:val="00F341FF"/>
    <w:rsid w:val="00F40E46"/>
    <w:rsid w:val="00F4619F"/>
    <w:rsid w:val="00F6331E"/>
    <w:rsid w:val="00F76444"/>
    <w:rsid w:val="00F810AA"/>
    <w:rsid w:val="00F8207C"/>
    <w:rsid w:val="00F86324"/>
    <w:rsid w:val="00F935F4"/>
    <w:rsid w:val="00F95404"/>
    <w:rsid w:val="00FB2706"/>
    <w:rsid w:val="00FB64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C51F00F"/>
  <w15:chartTrackingRefBased/>
  <w15:docId w15:val="{4513FABF-639F-461D-853D-49FA1844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Revision">
    <w:name w:val="Revision"/>
    <w:hidden/>
    <w:uiPriority w:val="99"/>
    <w:semiHidden/>
    <w:rsid w:val="00EC48B1"/>
    <w:rPr>
      <w:snapToGrid w:val="0"/>
      <w:sz w:val="24"/>
    </w:rPr>
  </w:style>
  <w:style w:type="paragraph" w:styleId="FootnoteText">
    <w:name w:val="footnote text"/>
    <w:basedOn w:val="Normal"/>
    <w:link w:val="FootnoteTextChar"/>
    <w:uiPriority w:val="99"/>
    <w:unhideWhenUsed/>
    <w:rsid w:val="00A51D9A"/>
    <w:pPr>
      <w:widowControl/>
    </w:pPr>
    <w:rPr>
      <w:rFonts w:ascii="Calibri" w:eastAsia="Calibri" w:hAnsi="Calibri" w:cs="Calibri"/>
      <w:snapToGrid/>
      <w:sz w:val="20"/>
    </w:rPr>
  </w:style>
  <w:style w:type="character" w:customStyle="1" w:styleId="FootnoteTextChar">
    <w:name w:val="Footnote Text Char"/>
    <w:link w:val="FootnoteText"/>
    <w:uiPriority w:val="99"/>
    <w:rsid w:val="00A51D9A"/>
    <w:rPr>
      <w:rFonts w:ascii="Calibri" w:eastAsia="Calibri" w:hAnsi="Calibri" w:cs="Calibri"/>
    </w:rPr>
  </w:style>
  <w:style w:type="character" w:styleId="UnresolvedMention">
    <w:name w:val="Unresolved Mention"/>
    <w:uiPriority w:val="99"/>
    <w:semiHidden/>
    <w:unhideWhenUsed/>
    <w:rsid w:val="003B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13-10-01/pdf/2013-2383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2" ma:contentTypeDescription="Create a new document." ma:contentTypeScope="" ma:versionID="e0e0b7e03804bc1561e8ba9857b481e2">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f6163a087b88341bcf9a3a202325627e"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B44A0027-7D17-4C80-8693-4A277F212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CC8A9-4E97-4108-8E84-14D4C240699C}">
  <ds:schemaRefs>
    <ds:schemaRef ds:uri="http://schemas.microsoft.com/sharepoint/v3/contenttype/forms"/>
  </ds:schemaRefs>
</ds:datastoreItem>
</file>

<file path=customXml/itemProps3.xml><?xml version="1.0" encoding="utf-8"?>
<ds:datastoreItem xmlns:ds="http://schemas.openxmlformats.org/officeDocument/2006/customXml" ds:itemID="{C29B7A93-C22D-4C20-B784-6A10FBE65092}">
  <ds:schemaRefs>
    <ds:schemaRef ds:uri="http://schemas.openxmlformats.org/officeDocument/2006/bibliography"/>
  </ds:schemaRefs>
</ds:datastoreItem>
</file>

<file path=customXml/itemProps4.xml><?xml version="1.0" encoding="utf-8"?>
<ds:datastoreItem xmlns:ds="http://schemas.openxmlformats.org/officeDocument/2006/customXml" ds:itemID="{927E3B2D-BF02-4D5E-93C3-79E69F780E8F}">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1652</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BBEBTV9</dc:creator>
  <cp:lastModifiedBy>WILLIAMS, SHADE</cp:lastModifiedBy>
  <cp:revision>2</cp:revision>
  <cp:lastPrinted>2010-06-10T14:21:00Z</cp:lastPrinted>
  <dcterms:created xsi:type="dcterms:W3CDTF">2023-04-27T15:17:00Z</dcterms:created>
  <dcterms:modified xsi:type="dcterms:W3CDTF">2023-04-27T15:17:00Z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Order">
    <vt:r8>100</vt:r8>
  </property>
</Properties>
</file>