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7AB3" w:rsidRPr="001D6FBD" w:rsidP="001D6FBD" w14:paraId="1D27DCD0" w14:textId="6ECAC650">
      <w:pPr>
        <w:pStyle w:val="Title"/>
        <w:spacing w:line="276" w:lineRule="auto"/>
        <w:ind w:firstLine="720"/>
        <w:contextualSpacing/>
        <w:jc w:val="right"/>
        <w:rPr>
          <w:sz w:val="28"/>
          <w:szCs w:val="28"/>
        </w:rPr>
      </w:pPr>
      <w:r>
        <w:rPr>
          <w:sz w:val="28"/>
          <w:szCs w:val="28"/>
        </w:rPr>
        <w:t xml:space="preserve">February </w:t>
      </w:r>
      <w:r w:rsidR="00023D53">
        <w:rPr>
          <w:sz w:val="28"/>
          <w:szCs w:val="28"/>
        </w:rPr>
        <w:t>23</w:t>
      </w:r>
      <w:r w:rsidRPr="001D6FBD" w:rsidR="00B021E5">
        <w:rPr>
          <w:sz w:val="28"/>
          <w:szCs w:val="28"/>
        </w:rPr>
        <w:t>, 202</w:t>
      </w:r>
      <w:r w:rsidR="00996343">
        <w:rPr>
          <w:sz w:val="28"/>
          <w:szCs w:val="28"/>
        </w:rPr>
        <w:t>3</w:t>
      </w:r>
    </w:p>
    <w:p w:rsidR="001A69A7" w:rsidRPr="00993950" w14:paraId="1D4EEB43" w14:textId="77777777">
      <w:pPr>
        <w:pStyle w:val="Title"/>
        <w:spacing w:line="276" w:lineRule="auto"/>
        <w:contextualSpacing/>
        <w:rPr>
          <w:sz w:val="28"/>
          <w:szCs w:val="28"/>
        </w:rPr>
      </w:pPr>
    </w:p>
    <w:p w:rsidR="000A6018" w:rsidRPr="00F6029E" w14:paraId="77A418B1" w14:textId="5B77AA3B">
      <w:pPr>
        <w:pStyle w:val="Title"/>
        <w:spacing w:line="276" w:lineRule="auto"/>
        <w:contextualSpacing/>
      </w:pPr>
      <w:r>
        <w:t xml:space="preserve">Supporting Statement for </w:t>
      </w:r>
    </w:p>
    <w:p w:rsidR="00842E74" w:rsidRPr="00F6029E" w14:paraId="6D5436B5" w14:textId="164F2EE4">
      <w:pPr>
        <w:pStyle w:val="Title"/>
        <w:spacing w:line="276" w:lineRule="auto"/>
        <w:contextualSpacing/>
        <w:rPr>
          <w:sz w:val="28"/>
        </w:rPr>
      </w:pPr>
      <w:r w:rsidRPr="00F6029E">
        <w:t>Paperwork Reduction Act Submission</w:t>
      </w:r>
      <w:r w:rsidRPr="00F6029E" w:rsidR="0062473D">
        <w:t>s</w:t>
      </w:r>
    </w:p>
    <w:p w:rsidR="00842E74" w:rsidRPr="00D35173" w14:paraId="52C3BA0F" w14:textId="77777777">
      <w:pPr>
        <w:tabs>
          <w:tab w:val="left" w:pos="-720"/>
        </w:tabs>
        <w:suppressAutoHyphens/>
        <w:spacing w:line="276" w:lineRule="auto"/>
        <w:contextualSpacing/>
        <w:rPr>
          <w:b/>
          <w:sz w:val="28"/>
          <w:szCs w:val="28"/>
        </w:rPr>
      </w:pPr>
    </w:p>
    <w:p w:rsidR="00842E74" w:rsidRPr="0099577F" w14:paraId="39C5B87A" w14:textId="77777777">
      <w:pPr>
        <w:tabs>
          <w:tab w:val="left" w:pos="-720"/>
        </w:tabs>
        <w:suppressAutoHyphens/>
        <w:spacing w:line="276" w:lineRule="auto"/>
        <w:contextualSpacing/>
        <w:rPr>
          <w:b/>
          <w:sz w:val="28"/>
          <w:szCs w:val="28"/>
        </w:rPr>
      </w:pPr>
      <w:r w:rsidRPr="00D35173">
        <w:rPr>
          <w:b/>
          <w:sz w:val="28"/>
          <w:szCs w:val="28"/>
        </w:rPr>
        <w:t>OMB Control Number:  1660-</w:t>
      </w:r>
      <w:r w:rsidRPr="00D35173" w:rsidR="000618A2">
        <w:rPr>
          <w:b/>
          <w:sz w:val="28"/>
          <w:szCs w:val="28"/>
        </w:rPr>
        <w:t>0076</w:t>
      </w:r>
    </w:p>
    <w:p w:rsidR="00842E74" w:rsidRPr="00993950" w14:paraId="7142F0CA" w14:textId="77777777">
      <w:pPr>
        <w:tabs>
          <w:tab w:val="left" w:pos="-720"/>
        </w:tabs>
        <w:suppressAutoHyphens/>
        <w:spacing w:line="276" w:lineRule="auto"/>
        <w:contextualSpacing/>
        <w:rPr>
          <w:b/>
          <w:sz w:val="28"/>
          <w:szCs w:val="28"/>
        </w:rPr>
      </w:pPr>
    </w:p>
    <w:p w:rsidR="00842E74" w:rsidRPr="00993950" w14:paraId="301C78BC" w14:textId="77777777">
      <w:pPr>
        <w:tabs>
          <w:tab w:val="left" w:pos="-720"/>
        </w:tabs>
        <w:suppressAutoHyphens/>
        <w:spacing w:line="276" w:lineRule="auto"/>
        <w:contextualSpacing/>
        <w:rPr>
          <w:b/>
          <w:sz w:val="28"/>
          <w:szCs w:val="28"/>
        </w:rPr>
      </w:pPr>
      <w:r w:rsidRPr="00993950">
        <w:rPr>
          <w:b/>
          <w:sz w:val="28"/>
          <w:szCs w:val="28"/>
        </w:rPr>
        <w:t xml:space="preserve">Title:  </w:t>
      </w:r>
      <w:r w:rsidRPr="00993950" w:rsidR="000618A2">
        <w:rPr>
          <w:b/>
          <w:sz w:val="28"/>
          <w:szCs w:val="28"/>
        </w:rPr>
        <w:t>Hazard Mitigation Grant Program (HMGP) Application and Reporting</w:t>
      </w:r>
    </w:p>
    <w:p w:rsidR="00D35173" w:rsidRPr="0099577F" w14:paraId="0623E0D0" w14:textId="77777777">
      <w:pPr>
        <w:tabs>
          <w:tab w:val="left" w:pos="-720"/>
        </w:tabs>
        <w:suppressAutoHyphens/>
        <w:spacing w:line="276" w:lineRule="auto"/>
        <w:contextualSpacing/>
        <w:rPr>
          <w:b/>
          <w:bCs/>
          <w:sz w:val="28"/>
          <w:szCs w:val="28"/>
        </w:rPr>
      </w:pPr>
    </w:p>
    <w:p w:rsidR="00D35173" w:rsidRPr="00993950" w:rsidP="00D35173" w14:paraId="17B32199" w14:textId="0A2A43FB">
      <w:pPr>
        <w:rPr>
          <w:b/>
          <w:bCs/>
          <w:color w:val="000000" w:themeColor="text1"/>
          <w:sz w:val="28"/>
          <w:szCs w:val="28"/>
        </w:rPr>
      </w:pPr>
      <w:r w:rsidRPr="0099577F">
        <w:rPr>
          <w:b/>
          <w:bCs/>
          <w:sz w:val="28"/>
          <w:szCs w:val="28"/>
        </w:rPr>
        <w:t>Form Number(</w:t>
      </w:r>
      <w:r w:rsidRPr="0099577F">
        <w:rPr>
          <w:b/>
          <w:bCs/>
          <w:color w:val="000000" w:themeColor="text1"/>
          <w:sz w:val="28"/>
          <w:szCs w:val="28"/>
        </w:rPr>
        <w:t xml:space="preserve">s): </w:t>
      </w:r>
    </w:p>
    <w:p w:rsidR="00D35173" w:rsidRPr="00993950" w:rsidP="00993950" w14:paraId="127E9C80" w14:textId="77777777">
      <w:pPr>
        <w:rPr>
          <w:b/>
          <w:bCs/>
          <w:color w:val="000000" w:themeColor="text1"/>
        </w:rPr>
      </w:pPr>
    </w:p>
    <w:p w:rsidR="00D35173" w:rsidRPr="00993950" w:rsidP="00993950" w14:paraId="3AD737E6" w14:textId="39D7658C">
      <w:pPr>
        <w:pStyle w:val="ListParagraph"/>
        <w:numPr>
          <w:ilvl w:val="0"/>
          <w:numId w:val="24"/>
        </w:numPr>
        <w:tabs>
          <w:tab w:val="left" w:pos="-720"/>
        </w:tabs>
        <w:suppressAutoHyphens/>
        <w:spacing w:line="276" w:lineRule="auto"/>
        <w:rPr>
          <w:b/>
          <w:color w:val="000000" w:themeColor="text1"/>
          <w:sz w:val="26"/>
          <w:szCs w:val="26"/>
        </w:rPr>
      </w:pPr>
      <w:r w:rsidRPr="00993950">
        <w:rPr>
          <w:b/>
          <w:color w:val="000000" w:themeColor="text1"/>
          <w:sz w:val="26"/>
          <w:szCs w:val="26"/>
        </w:rPr>
        <w:t>Project Narrative;</w:t>
      </w:r>
    </w:p>
    <w:p w:rsidR="00D35173" w:rsidRPr="00993950" w:rsidP="00993950" w14:paraId="175F81F4" w14:textId="32C5DE03">
      <w:pPr>
        <w:pStyle w:val="ListParagraph"/>
        <w:numPr>
          <w:ilvl w:val="0"/>
          <w:numId w:val="24"/>
        </w:numPr>
        <w:tabs>
          <w:tab w:val="left" w:pos="-720"/>
        </w:tabs>
        <w:suppressAutoHyphens/>
        <w:spacing w:line="276" w:lineRule="auto"/>
        <w:rPr>
          <w:b/>
          <w:color w:val="000000" w:themeColor="text1"/>
          <w:sz w:val="26"/>
          <w:szCs w:val="26"/>
        </w:rPr>
      </w:pPr>
      <w:r w:rsidRPr="00993950">
        <w:rPr>
          <w:b/>
          <w:color w:val="000000" w:themeColor="text1"/>
          <w:sz w:val="26"/>
          <w:szCs w:val="26"/>
        </w:rPr>
        <w:t>Benefit-Cost Determination;</w:t>
      </w:r>
    </w:p>
    <w:p w:rsidR="00D35173" w:rsidRPr="00993950" w:rsidP="00993950" w14:paraId="6BE2E657" w14:textId="7049756C">
      <w:pPr>
        <w:pStyle w:val="ListParagraph"/>
        <w:numPr>
          <w:ilvl w:val="0"/>
          <w:numId w:val="24"/>
        </w:numPr>
        <w:tabs>
          <w:tab w:val="left" w:pos="-720"/>
        </w:tabs>
        <w:suppressAutoHyphens/>
        <w:spacing w:line="276" w:lineRule="auto"/>
        <w:rPr>
          <w:b/>
          <w:color w:val="000000" w:themeColor="text1"/>
          <w:sz w:val="26"/>
          <w:szCs w:val="26"/>
        </w:rPr>
      </w:pPr>
      <w:r w:rsidRPr="00993950">
        <w:rPr>
          <w:b/>
          <w:color w:val="000000" w:themeColor="text1"/>
          <w:sz w:val="26"/>
          <w:szCs w:val="26"/>
        </w:rPr>
        <w:t>Environmental Review; and</w:t>
      </w:r>
    </w:p>
    <w:p w:rsidR="00F15C92" w:rsidRPr="00993950" w:rsidP="00993950" w14:paraId="31905B4C" w14:textId="4D2A9829">
      <w:pPr>
        <w:pStyle w:val="ListParagraph"/>
        <w:numPr>
          <w:ilvl w:val="0"/>
          <w:numId w:val="24"/>
        </w:numPr>
        <w:tabs>
          <w:tab w:val="left" w:pos="-720"/>
        </w:tabs>
        <w:suppressAutoHyphens/>
        <w:spacing w:line="276" w:lineRule="auto"/>
        <w:rPr>
          <w:b/>
          <w:color w:val="000000" w:themeColor="text1"/>
          <w:sz w:val="26"/>
          <w:szCs w:val="26"/>
        </w:rPr>
      </w:pPr>
      <w:r w:rsidRPr="00993950">
        <w:rPr>
          <w:b/>
          <w:color w:val="000000" w:themeColor="text1"/>
          <w:sz w:val="26"/>
          <w:szCs w:val="26"/>
        </w:rPr>
        <w:t xml:space="preserve">FEMA Form </w:t>
      </w:r>
      <w:r w:rsidRPr="00993950" w:rsidR="00885620">
        <w:rPr>
          <w:b/>
          <w:color w:val="000000" w:themeColor="text1"/>
          <w:sz w:val="26"/>
          <w:szCs w:val="26"/>
        </w:rPr>
        <w:t>FF</w:t>
      </w:r>
      <w:r w:rsidRPr="00993950" w:rsidR="00921D83">
        <w:rPr>
          <w:b/>
          <w:color w:val="000000" w:themeColor="text1"/>
          <w:sz w:val="26"/>
          <w:szCs w:val="26"/>
        </w:rPr>
        <w:t>-</w:t>
      </w:r>
      <w:r w:rsidRPr="00993950" w:rsidR="00827541">
        <w:rPr>
          <w:b/>
          <w:color w:val="000000" w:themeColor="text1"/>
          <w:sz w:val="26"/>
          <w:szCs w:val="26"/>
        </w:rPr>
        <w:t>206</w:t>
      </w:r>
      <w:r w:rsidRPr="00993950" w:rsidR="00885620">
        <w:rPr>
          <w:b/>
          <w:color w:val="000000" w:themeColor="text1"/>
          <w:sz w:val="26"/>
          <w:szCs w:val="26"/>
        </w:rPr>
        <w:t>-FY</w:t>
      </w:r>
      <w:r w:rsidRPr="00993950" w:rsidR="00921D83">
        <w:rPr>
          <w:b/>
          <w:color w:val="000000" w:themeColor="text1"/>
          <w:sz w:val="26"/>
          <w:szCs w:val="26"/>
        </w:rPr>
        <w:t>-</w:t>
      </w:r>
      <w:r w:rsidRPr="00993950" w:rsidR="00827541">
        <w:rPr>
          <w:b/>
          <w:color w:val="000000" w:themeColor="text1"/>
          <w:sz w:val="26"/>
          <w:szCs w:val="26"/>
        </w:rPr>
        <w:t>22</w:t>
      </w:r>
      <w:r w:rsidRPr="00993950" w:rsidR="00885620">
        <w:rPr>
          <w:b/>
          <w:color w:val="000000" w:themeColor="text1"/>
          <w:sz w:val="26"/>
          <w:szCs w:val="26"/>
        </w:rPr>
        <w:t>-</w:t>
      </w:r>
      <w:r w:rsidRPr="00993950" w:rsidR="00827541">
        <w:rPr>
          <w:b/>
          <w:color w:val="000000" w:themeColor="text1"/>
          <w:sz w:val="26"/>
          <w:szCs w:val="26"/>
        </w:rPr>
        <w:t xml:space="preserve">154 </w:t>
      </w:r>
      <w:r w:rsidRPr="00993950" w:rsidR="00885620">
        <w:rPr>
          <w:b/>
          <w:color w:val="000000" w:themeColor="text1"/>
          <w:sz w:val="26"/>
          <w:szCs w:val="26"/>
        </w:rPr>
        <w:t>(formerly 009-0-111A), Quarterly Progress Reports</w:t>
      </w:r>
      <w:r w:rsidRPr="00993950" w:rsidR="00D35173">
        <w:rPr>
          <w:b/>
          <w:color w:val="000000" w:themeColor="text1"/>
          <w:sz w:val="26"/>
          <w:szCs w:val="26"/>
        </w:rPr>
        <w:t>.</w:t>
      </w:r>
    </w:p>
    <w:p w:rsidR="00F15C92" w:rsidRPr="00D35173" w14:paraId="69F75DB2" w14:textId="77777777">
      <w:pPr>
        <w:tabs>
          <w:tab w:val="left" w:pos="-720"/>
        </w:tabs>
        <w:suppressAutoHyphens/>
        <w:spacing w:line="276" w:lineRule="auto"/>
        <w:contextualSpacing/>
        <w:rPr>
          <w:b/>
          <w:sz w:val="28"/>
          <w:szCs w:val="28"/>
        </w:rPr>
      </w:pPr>
    </w:p>
    <w:p w:rsidR="00842E74" w:rsidRPr="0099577F" w14:paraId="5F76DCED" w14:textId="77777777">
      <w:pPr>
        <w:pStyle w:val="Heading1"/>
        <w:spacing w:line="276" w:lineRule="auto"/>
        <w:contextualSpacing/>
        <w:rPr>
          <w:szCs w:val="28"/>
        </w:rPr>
      </w:pPr>
      <w:r w:rsidRPr="0099577F">
        <w:rPr>
          <w:szCs w:val="28"/>
        </w:rPr>
        <w:t>General Instructions</w:t>
      </w:r>
    </w:p>
    <w:p w:rsidR="00842E74" w:rsidRPr="00D57EC1" w14:paraId="6E0649EF" w14:textId="77777777">
      <w:pPr>
        <w:tabs>
          <w:tab w:val="left" w:pos="-720"/>
        </w:tabs>
        <w:suppressAutoHyphens/>
        <w:spacing w:line="276" w:lineRule="auto"/>
        <w:contextualSpacing/>
      </w:pPr>
    </w:p>
    <w:p w:rsidR="00842E74" w:rsidRPr="00D57EC1" w14:paraId="024F4DDD" w14:textId="0EB9661F">
      <w:pPr>
        <w:suppressAutoHyphens/>
        <w:spacing w:line="276" w:lineRule="auto"/>
        <w:contextualSpacing/>
      </w:pPr>
      <w:r w:rsidRPr="00D57EC1">
        <w:t>A Supporting Statement, including the text of the notice to the public required by 5 CFR 1320.5(a)(</w:t>
      </w:r>
      <w:r w:rsidRPr="00D57EC1" w:rsidR="4D1682F8">
        <w:t>1</w:t>
      </w:r>
      <w:r w:rsidRPr="00D57EC1">
        <w:t xml:space="preserve">)(iv) and its actual or estimated date of publication in the Federal Register, must accompany each request for approval of a collection of information.  The Supporting Statement must be prepared in the format described </w:t>
      </w:r>
      <w:r w:rsidRPr="00D57EC1" w:rsidR="001B1F81">
        <w:t>below and</w:t>
      </w:r>
      <w:r w:rsidRPr="00D57EC1">
        <w:t xml:space="preserve"> must contain the information specified in Section A below. If an item is not applicable, provide a brief explanation. When Item 17 o</w:t>
      </w:r>
      <w:r w:rsidRPr="00D57EC1" w:rsidR="0046421E">
        <w:t>n</w:t>
      </w:r>
      <w:r w:rsidRPr="00D57EC1">
        <w:t xml:space="preserve"> the OMB Form 83-I is checked “Yes”, Section B of the Supporting Statement must be completed. OMB reserves the right to require the submission of additional information with respect to any request for approval.</w:t>
      </w:r>
    </w:p>
    <w:p w:rsidR="00842E74" w:rsidRPr="00D57EC1" w14:paraId="376ACA76" w14:textId="77777777">
      <w:pPr>
        <w:tabs>
          <w:tab w:val="left" w:pos="-720"/>
        </w:tabs>
        <w:suppressAutoHyphens/>
        <w:spacing w:line="276" w:lineRule="auto"/>
        <w:contextualSpacing/>
      </w:pPr>
    </w:p>
    <w:p w:rsidR="00842E74" w:rsidRPr="00D57EC1" w14:paraId="16E5ED09" w14:textId="77777777">
      <w:pPr>
        <w:pStyle w:val="Heading1"/>
        <w:spacing w:line="276" w:lineRule="auto"/>
        <w:contextualSpacing/>
      </w:pPr>
      <w:r w:rsidRPr="00D57EC1">
        <w:t>Specific Instructions</w:t>
      </w:r>
    </w:p>
    <w:p w:rsidR="00842E74" w:rsidRPr="00D57EC1" w14:paraId="0DC3266C" w14:textId="77777777">
      <w:pPr>
        <w:tabs>
          <w:tab w:val="left" w:pos="-720"/>
        </w:tabs>
        <w:suppressAutoHyphens/>
        <w:spacing w:line="276" w:lineRule="auto"/>
        <w:contextualSpacing/>
      </w:pPr>
    </w:p>
    <w:p w:rsidR="00842E74" w:rsidRPr="00D57EC1" w14:paraId="12A5C0E6" w14:textId="77777777">
      <w:pPr>
        <w:pStyle w:val="Heading1"/>
        <w:spacing w:line="276" w:lineRule="auto"/>
        <w:contextualSpacing/>
        <w:rPr>
          <w:sz w:val="24"/>
        </w:rPr>
      </w:pPr>
      <w:r w:rsidRPr="00D57EC1">
        <w:t>A.  Justification</w:t>
      </w:r>
    </w:p>
    <w:p w:rsidR="00842E74" w:rsidRPr="001D6FBD" w14:paraId="7BE5EBDA" w14:textId="77777777">
      <w:pPr>
        <w:spacing w:line="276" w:lineRule="auto"/>
        <w:contextualSpacing/>
      </w:pPr>
    </w:p>
    <w:p w:rsidR="00842E74" w:rsidRPr="001D6FBD" w14:paraId="3E960228" w14:textId="798F5DF8">
      <w:pPr>
        <w:spacing w:line="276" w:lineRule="auto"/>
        <w:contextualSpacing/>
        <w:rPr>
          <w:b/>
          <w:bCs/>
        </w:rPr>
      </w:pPr>
      <w:r w:rsidRPr="00993950">
        <w:rPr>
          <w:b/>
          <w:bCs/>
        </w:rPr>
        <w:fldChar w:fldCharType="begin"/>
      </w:r>
      <w:r w:rsidRPr="001D6FBD">
        <w:rPr>
          <w:b/>
          <w:bCs/>
        </w:rPr>
        <w:instrText>ADVANCE \R 0.95</w:instrText>
      </w:r>
      <w:r w:rsidRPr="00993950">
        <w:rPr>
          <w:b/>
          <w:bCs/>
        </w:rPr>
        <w:fldChar w:fldCharType="end"/>
      </w:r>
      <w:r w:rsidRPr="001D6FBD">
        <w:rPr>
          <w:b/>
          <w:bCs/>
        </w:rPr>
        <w:t xml:space="preserve">1.  Explain the circumstances that make the collection of information necessary (give details as to why this information is being collected).  Identify any legal or administrative requirements that necessitate the collection.  Attach a copy of the appropriate section of </w:t>
      </w:r>
      <w:r w:rsidRPr="001D6FBD">
        <w:rPr>
          <w:b/>
          <w:bCs/>
        </w:rPr>
        <w:t>each statute and regulation mandating or authorizing the collection of information.  Provide a detailed description of the nature and source of the</w:t>
      </w:r>
      <w:r w:rsidRPr="001D6FBD" w:rsidR="000618A2">
        <w:rPr>
          <w:b/>
          <w:bCs/>
        </w:rPr>
        <w:t xml:space="preserve"> information to be collected.</w:t>
      </w:r>
    </w:p>
    <w:p w:rsidR="00842E74" w:rsidRPr="001D6FBD" w14:paraId="1BDD8B08" w14:textId="77777777">
      <w:pPr>
        <w:spacing w:line="276" w:lineRule="auto"/>
        <w:contextualSpacing/>
        <w:rPr>
          <w:spacing w:val="-3"/>
          <w:u w:val="single"/>
        </w:rPr>
      </w:pPr>
    </w:p>
    <w:p w:rsidR="008A36FA" w:rsidRPr="001D6FBD" w14:paraId="1D2B64DC" w14:textId="59CAE3D0">
      <w:pPr>
        <w:spacing w:line="276" w:lineRule="auto"/>
        <w:contextualSpacing/>
      </w:pPr>
      <w:r w:rsidRPr="001D6FBD">
        <w:t>Section 404 of the Robert T. Stafford Disaster Relief and Emergency Assistance Act</w:t>
      </w:r>
      <w:r w:rsidRPr="001D6FBD" w:rsidR="7F2BE253">
        <w:t xml:space="preserve"> of 1988 (Stafford Act)</w:t>
      </w:r>
      <w:r w:rsidRPr="001D6FBD">
        <w:t xml:space="preserve">, </w:t>
      </w:r>
      <w:r w:rsidRPr="001D6FBD" w:rsidR="000D0237">
        <w:t>(</w:t>
      </w:r>
      <w:r w:rsidRPr="001D6FBD" w:rsidR="36BD97A0">
        <w:t>P</w:t>
      </w:r>
      <w:r w:rsidRPr="001D6FBD" w:rsidR="6FED3B98">
        <w:t>ub</w:t>
      </w:r>
      <w:r w:rsidRPr="001D6FBD" w:rsidR="36BD97A0">
        <w:t>.</w:t>
      </w:r>
      <w:r w:rsidRPr="001D6FBD" w:rsidR="1E89F1A4">
        <w:t xml:space="preserve"> </w:t>
      </w:r>
      <w:r w:rsidRPr="001D6FBD" w:rsidR="460AFD7E">
        <w:t>L</w:t>
      </w:r>
      <w:r w:rsidRPr="001D6FBD" w:rsidR="7C128BC9">
        <w:t>.</w:t>
      </w:r>
      <w:r w:rsidRPr="001D6FBD" w:rsidR="36BD97A0">
        <w:t xml:space="preserve"> 100-707, </w:t>
      </w:r>
      <w:r w:rsidRPr="001D6FBD">
        <w:t xml:space="preserve">42 U.S.C. </w:t>
      </w:r>
      <w:r w:rsidRPr="001D6FBD" w:rsidR="6578BA40">
        <w:t xml:space="preserve">§ </w:t>
      </w:r>
      <w:r w:rsidRPr="001D6FBD">
        <w:t>5170c</w:t>
      </w:r>
      <w:r w:rsidRPr="001D6FBD" w:rsidR="000D0237">
        <w:t>)</w:t>
      </w:r>
      <w:r w:rsidRPr="001D6FBD">
        <w:t>, established the Hazard Mitigation Grant Program</w:t>
      </w:r>
      <w:r w:rsidRPr="001D6FBD" w:rsidR="45B4D1B7">
        <w:t xml:space="preserve"> (HMGP)</w:t>
      </w:r>
      <w:r w:rsidRPr="001D6FBD">
        <w:t xml:space="preserve">.  Grant requirements and grants management procedures of the program are outlined in </w:t>
      </w:r>
      <w:r w:rsidRPr="001D6FBD" w:rsidR="06CC415B">
        <w:t>44 CFR Part 206</w:t>
      </w:r>
      <w:r w:rsidRPr="001D6FBD" w:rsidR="41294B77">
        <w:t xml:space="preserve"> Subpart N</w:t>
      </w:r>
      <w:r w:rsidRPr="001D6FBD" w:rsidR="06CC415B">
        <w:t xml:space="preserve">, and </w:t>
      </w:r>
      <w:r w:rsidRPr="001D6FBD" w:rsidR="6BA4B6E1">
        <w:t>2 CFR Part</w:t>
      </w:r>
      <w:r w:rsidRPr="001D6FBD" w:rsidR="126BB5B6">
        <w:t>s</w:t>
      </w:r>
      <w:r w:rsidRPr="001D6FBD" w:rsidR="6BA4B6E1">
        <w:t xml:space="preserve"> 200</w:t>
      </w:r>
      <w:r w:rsidRPr="001D6FBD" w:rsidR="126BB5B6">
        <w:t xml:space="preserve"> and 3002</w:t>
      </w:r>
      <w:r w:rsidRPr="001D6FBD" w:rsidR="6BA4B6E1">
        <w:t>.</w:t>
      </w:r>
    </w:p>
    <w:p w:rsidR="00DD7AD2" w:rsidRPr="001D6FBD" w14:paraId="617E5656" w14:textId="46C2FA7B">
      <w:pPr>
        <w:spacing w:line="276" w:lineRule="auto"/>
        <w:contextualSpacing/>
      </w:pPr>
    </w:p>
    <w:p w:rsidR="00DD7AD2" w:rsidRPr="001D6FBD" w14:paraId="0183998E" w14:textId="1014E68B">
      <w:pPr>
        <w:spacing w:line="276" w:lineRule="auto"/>
        <w:contextualSpacing/>
      </w:pPr>
      <w:r w:rsidRPr="2883DB15">
        <w:t xml:space="preserve">Section 404 of the Stafford Act authorizes FEMA, following a presidentially declared disaster, to provide financial assistance to state, local, tribal, and territorial (SLTT) governments and certain private nonprofit organizations for post disaster hazard mitigation measures that reduce the risk of, or increase resilience to, future damage, hardship, loss or suffering in any area affected by a major disaster, or any area affected by a fire for which assistance was provided under Section 420 of the Stafford Act.  On March 13, 2020, President Trump declared a nationwide emergency in response to the COVID-19 pandemic pursuant to Sec. 501(b) of the Stafford Act.  The disaster declaration included 59 major disaster declarations that covered 50 states, five territories and four Federally recognized Tribal governments.  On August 5, 2021, President Biden authorized release of $3.46 billion from the Disaster Relief Fund (DRF) pursuant to the Stafford Act for HMGP funding. </w:t>
      </w:r>
      <w:r w:rsidR="00B93B1F">
        <w:rPr>
          <w:bCs/>
        </w:rPr>
        <w:t xml:space="preserve"> </w:t>
      </w:r>
      <w:r w:rsidRPr="001D6FBD">
        <w:t>The Stafford Act authorizes the President to direct Hazard Mitigation Grants to each state, in which a major disaster declaration is issued.</w:t>
      </w:r>
      <w:r>
        <w:rPr>
          <w:vertAlign w:val="superscript"/>
        </w:rPr>
        <w:footnoteReference w:id="3"/>
      </w:r>
      <w:r w:rsidRPr="001D6FBD">
        <w:t xml:space="preserve">  </w:t>
      </w:r>
      <w:r w:rsidRPr="2883DB15">
        <w:t xml:space="preserve">The funding is applicable to the pre-existing fifty-nine COVID-19 major disaster declarations. </w:t>
      </w:r>
      <w:r w:rsidRPr="001D6FBD">
        <w:t xml:space="preserve"> The additional $3.46 billion significantly impacts HMGP information collection requirements for FY 2022. </w:t>
      </w:r>
      <w:r w:rsidRPr="001D6FBD">
        <w:rPr>
          <w:bCs/>
        </w:rPr>
        <w:t xml:space="preserve"> </w:t>
      </w:r>
    </w:p>
    <w:p w:rsidR="008A36FA" w:rsidRPr="001D6FBD" w14:paraId="24C9132E" w14:textId="77777777">
      <w:pPr>
        <w:spacing w:line="276" w:lineRule="auto"/>
        <w:contextualSpacing/>
      </w:pPr>
    </w:p>
    <w:p w:rsidR="007F0A7E" w:rsidRPr="001D6FBD" w14:paraId="50F19B95" w14:textId="154F0B2B">
      <w:pPr>
        <w:spacing w:line="276" w:lineRule="auto"/>
        <w:contextualSpacing/>
        <w:rPr>
          <w:rFonts w:eastAsia="MS Mincho"/>
        </w:rPr>
      </w:pPr>
      <w:r w:rsidRPr="001D6FBD">
        <w:t>Recipient</w:t>
      </w:r>
      <w:r w:rsidRPr="001D6FBD" w:rsidR="100003CC">
        <w:t xml:space="preserve">s </w:t>
      </w:r>
      <w:r w:rsidRPr="001D6FBD" w:rsidR="3F5F1842">
        <w:t xml:space="preserve">(changed from “Grantees” to “Recipients” per 2 CFR </w:t>
      </w:r>
      <w:r w:rsidRPr="001D6FBD" w:rsidR="76F07A8C">
        <w:t xml:space="preserve">Part </w:t>
      </w:r>
      <w:r w:rsidRPr="001D6FBD" w:rsidR="3F5F1842">
        <w:t xml:space="preserve">200) </w:t>
      </w:r>
      <w:r w:rsidRPr="001D6FBD" w:rsidR="100003CC">
        <w:t xml:space="preserve">administer </w:t>
      </w:r>
      <w:r w:rsidRPr="001D6FBD" w:rsidR="77E19199">
        <w:t xml:space="preserve">implementation of </w:t>
      </w:r>
      <w:r w:rsidRPr="001D6FBD" w:rsidR="100003CC">
        <w:t>the</w:t>
      </w:r>
      <w:r w:rsidRPr="001D6FBD" w:rsidR="77E19199">
        <w:t xml:space="preserve"> grant awarded under the </w:t>
      </w:r>
      <w:r w:rsidRPr="001D6FBD" w:rsidR="100003CC">
        <w:t xml:space="preserve">HMGP, which is a post-disaster program that </w:t>
      </w:r>
      <w:r w:rsidRPr="001D6FBD" w:rsidR="100003CC">
        <w:rPr>
          <w:rFonts w:eastAsia="MS Mincho"/>
        </w:rPr>
        <w:t>contributes funds toward the cost of hazard mitigation activities in order to reduce the risk of future damage, hardship, loss or suffering in any area affected by a major disaster.</w:t>
      </w:r>
      <w:r w:rsidRPr="001D6FBD" w:rsidR="3F5F1842">
        <w:rPr>
          <w:rFonts w:eastAsia="MS Mincho"/>
        </w:rPr>
        <w:t xml:space="preserve"> </w:t>
      </w:r>
      <w:r w:rsidRPr="001D6FBD" w:rsidR="2C75995C">
        <w:rPr>
          <w:rFonts w:eastAsia="MS Mincho"/>
        </w:rPr>
        <w:t xml:space="preserve"> </w:t>
      </w:r>
      <w:r w:rsidRPr="001D6FBD" w:rsidR="5A9EF568">
        <w:rPr>
          <w:spacing w:val="-3"/>
        </w:rPr>
        <w:t>Section 102 of t</w:t>
      </w:r>
      <w:r w:rsidRPr="001D6FBD" w:rsidR="629DDCB4">
        <w:rPr>
          <w:spacing w:val="-3"/>
        </w:rPr>
        <w:t>he Stafford Act</w:t>
      </w:r>
      <w:r w:rsidRPr="001D6FBD" w:rsidR="7C7E5DC0">
        <w:rPr>
          <w:bCs/>
          <w:spacing w:val="-3"/>
        </w:rPr>
        <w:t xml:space="preserve">, </w:t>
      </w:r>
      <w:r w:rsidRPr="001D6FBD" w:rsidR="000D0237">
        <w:rPr>
          <w:bCs/>
          <w:spacing w:val="-3"/>
        </w:rPr>
        <w:t>(</w:t>
      </w:r>
      <w:r w:rsidRPr="001D6FBD" w:rsidR="5C75CDE3">
        <w:rPr>
          <w:spacing w:val="-3"/>
        </w:rPr>
        <w:t>42 U</w:t>
      </w:r>
      <w:r w:rsidRPr="001D6FBD" w:rsidR="3BDBD5EF">
        <w:rPr>
          <w:bCs/>
          <w:spacing w:val="-3"/>
        </w:rPr>
        <w:t>.</w:t>
      </w:r>
      <w:r w:rsidRPr="001D6FBD" w:rsidR="5C75CDE3">
        <w:rPr>
          <w:spacing w:val="-3"/>
        </w:rPr>
        <w:t>S</w:t>
      </w:r>
      <w:r w:rsidRPr="001D6FBD" w:rsidR="3BDBD5EF">
        <w:rPr>
          <w:bCs/>
          <w:spacing w:val="-3"/>
        </w:rPr>
        <w:t>.</w:t>
      </w:r>
      <w:r w:rsidRPr="001D6FBD" w:rsidR="5C75CDE3">
        <w:rPr>
          <w:spacing w:val="-3"/>
        </w:rPr>
        <w:t>C</w:t>
      </w:r>
      <w:r w:rsidRPr="001D6FBD" w:rsidR="2C75995C">
        <w:rPr>
          <w:bCs/>
          <w:spacing w:val="-3"/>
        </w:rPr>
        <w:t>.</w:t>
      </w:r>
      <w:r w:rsidRPr="001D6FBD" w:rsidR="5C75CDE3">
        <w:rPr>
          <w:bCs/>
          <w:spacing w:val="-3"/>
        </w:rPr>
        <w:t xml:space="preserve"> </w:t>
      </w:r>
      <w:r w:rsidRPr="001D6FBD" w:rsidR="2C75995C">
        <w:rPr>
          <w:spacing w:val="-3"/>
        </w:rPr>
        <w:t xml:space="preserve">§ </w:t>
      </w:r>
      <w:r w:rsidRPr="001D6FBD" w:rsidR="034A58CE">
        <w:rPr>
          <w:spacing w:val="-3"/>
        </w:rPr>
        <w:t>5122</w:t>
      </w:r>
      <w:r w:rsidRPr="001D6FBD" w:rsidR="683AB3AA">
        <w:rPr>
          <w:spacing w:val="-3"/>
        </w:rPr>
        <w:t>(4)</w:t>
      </w:r>
      <w:r w:rsidRPr="001D6FBD" w:rsidR="000D0237">
        <w:rPr>
          <w:spacing w:val="-3"/>
        </w:rPr>
        <w:t>)</w:t>
      </w:r>
      <w:r w:rsidRPr="001D6FBD" w:rsidR="034A58CE">
        <w:rPr>
          <w:bCs/>
          <w:spacing w:val="-3"/>
        </w:rPr>
        <w:t>,</w:t>
      </w:r>
      <w:r w:rsidRPr="001D6FBD" w:rsidR="629DDCB4">
        <w:rPr>
          <w:spacing w:val="-3"/>
        </w:rPr>
        <w:t xml:space="preserve"> defines a “state” as any state of the United States, the District of Columbia, Puerto Rico, the Virgin Islands, Guam, American Samoa, and the commonwealth of the Northern Mariana Islands.  “Recipient”, as provided in 2 CFR 200, means a non-Federal entity that receives a Federal award directly from a Federal awarding agency to carry out an activity under a Federal program</w:t>
      </w:r>
      <w:r w:rsidRPr="001D6FBD" w:rsidR="100003CC">
        <w:rPr>
          <w:rFonts w:eastAsia="MS Mincho"/>
        </w:rPr>
        <w:t xml:space="preserve">, or an Indian tribal government that chooses to act as a </w:t>
      </w:r>
      <w:r w:rsidRPr="001D6FBD" w:rsidR="79051B29">
        <w:rPr>
          <w:rFonts w:eastAsia="MS Mincho"/>
        </w:rPr>
        <w:t>r</w:t>
      </w:r>
      <w:r w:rsidRPr="001D6FBD" w:rsidR="3F5F1842">
        <w:rPr>
          <w:rFonts w:eastAsia="MS Mincho"/>
        </w:rPr>
        <w:t>ecipient rather than as a subrecipient.</w:t>
      </w:r>
      <w:r w:rsidRPr="001D6FBD" w:rsidR="0967FFAD">
        <w:rPr>
          <w:rFonts w:eastAsia="MS Mincho"/>
        </w:rPr>
        <w:t xml:space="preserve">  “Subrecipient” </w:t>
      </w:r>
      <w:r w:rsidRPr="001D6FBD" w:rsidR="3955CE01">
        <w:rPr>
          <w:rFonts w:eastAsia="MS Mincho"/>
        </w:rPr>
        <w:t>refer</w:t>
      </w:r>
      <w:r w:rsidRPr="001D6FBD" w:rsidR="38AD3E58">
        <w:rPr>
          <w:rFonts w:eastAsia="MS Mincho"/>
        </w:rPr>
        <w:t>s to</w:t>
      </w:r>
      <w:r w:rsidRPr="001D6FBD" w:rsidR="3955CE01">
        <w:rPr>
          <w:rFonts w:eastAsia="MS Mincho"/>
        </w:rPr>
        <w:t xml:space="preserve"> </w:t>
      </w:r>
      <w:r w:rsidRPr="001D6FBD" w:rsidR="0967FFAD">
        <w:rPr>
          <w:rFonts w:eastAsia="MS Mincho"/>
        </w:rPr>
        <w:t xml:space="preserve">a non-Federal entity that receives a subaward from a pass-through entity to carry out part of a Federal program, but does not include an individual that is a beneficiary of such program. </w:t>
      </w:r>
      <w:r w:rsidRPr="001D6FBD" w:rsidR="2C75995C">
        <w:rPr>
          <w:rFonts w:eastAsia="MS Mincho"/>
        </w:rPr>
        <w:t xml:space="preserve"> </w:t>
      </w:r>
      <w:r w:rsidRPr="001D6FBD" w:rsidR="0967FFAD">
        <w:rPr>
          <w:rFonts w:eastAsia="MS Mincho"/>
        </w:rPr>
        <w:t xml:space="preserve">A subrecipient may also be a recipient of other Federal awards directly from a Federal awarding agency. </w:t>
      </w:r>
      <w:r w:rsidRPr="001D6FBD" w:rsidR="2C75995C">
        <w:rPr>
          <w:rFonts w:eastAsia="MS Mincho"/>
        </w:rPr>
        <w:t xml:space="preserve"> </w:t>
      </w:r>
      <w:r w:rsidRPr="001D6FBD" w:rsidR="3F5F1842">
        <w:rPr>
          <w:rFonts w:eastAsia="MS Mincho"/>
        </w:rPr>
        <w:t xml:space="preserve">The term “Indian </w:t>
      </w:r>
      <w:r w:rsidRPr="001D6FBD" w:rsidR="3F5F1842">
        <w:rPr>
          <w:rFonts w:eastAsia="MS Mincho"/>
        </w:rPr>
        <w:t xml:space="preserve">tribal government” is defined in </w:t>
      </w:r>
      <w:r w:rsidRPr="001D6FBD" w:rsidR="5A9EF568">
        <w:rPr>
          <w:rFonts w:eastAsia="MS Mincho"/>
        </w:rPr>
        <w:t xml:space="preserve">Section 102 of </w:t>
      </w:r>
      <w:r w:rsidRPr="001D6FBD" w:rsidR="3F5F1842">
        <w:rPr>
          <w:rFonts w:eastAsia="MS Mincho"/>
        </w:rPr>
        <w:t xml:space="preserve">the Stafford </w:t>
      </w:r>
      <w:r w:rsidRPr="001D6FBD" w:rsidR="00DD7AD2">
        <w:rPr>
          <w:rFonts w:eastAsia="MS Mincho"/>
        </w:rPr>
        <w:t>Act, (</w:t>
      </w:r>
      <w:r w:rsidRPr="001D6FBD" w:rsidR="741D01F2">
        <w:rPr>
          <w:rFonts w:eastAsia="MS Mincho"/>
        </w:rPr>
        <w:t xml:space="preserve">42 U.S.C. </w:t>
      </w:r>
      <w:r w:rsidRPr="001D6FBD" w:rsidR="2C75995C">
        <w:rPr>
          <w:rFonts w:eastAsia="MS Mincho"/>
        </w:rPr>
        <w:t xml:space="preserve">§ </w:t>
      </w:r>
      <w:r w:rsidRPr="001D6FBD" w:rsidR="741D01F2">
        <w:rPr>
          <w:rFonts w:eastAsia="MS Mincho"/>
        </w:rPr>
        <w:t>5122(6)</w:t>
      </w:r>
      <w:r w:rsidRPr="001D6FBD" w:rsidR="000D0237">
        <w:rPr>
          <w:rFonts w:eastAsia="MS Mincho"/>
        </w:rPr>
        <w:t>)</w:t>
      </w:r>
      <w:r w:rsidRPr="001D6FBD" w:rsidR="741D01F2">
        <w:rPr>
          <w:rFonts w:eastAsia="MS Mincho"/>
        </w:rPr>
        <w:t>,</w:t>
      </w:r>
      <w:r w:rsidRPr="001D6FBD" w:rsidR="3F5F1842">
        <w:rPr>
          <w:rFonts w:eastAsia="MS Mincho"/>
        </w:rPr>
        <w:t xml:space="preserve"> as the governing body of any Indian or Alaska Native tribe, band, nation, pueblo, village, or community that the Secretary of the Interior </w:t>
      </w:r>
      <w:r w:rsidRPr="00993950" w:rsidR="3F5F1842">
        <w:rPr>
          <w:rFonts w:eastAsia="MS Mincho"/>
        </w:rPr>
        <w:t xml:space="preserve">acknowledges to exist as an Indian tribe under the </w:t>
      </w:r>
      <w:r w:rsidRPr="001D6FBD" w:rsidR="3F5F1842">
        <w:rPr>
          <w:rFonts w:eastAsia="MS Mincho"/>
        </w:rPr>
        <w:t>Federally Recognized Indian Tribe List Act of 1994.  In addition, the Sandy Recovery Improvement Act of 2013 (P</w:t>
      </w:r>
      <w:r w:rsidRPr="001D6FBD" w:rsidR="2C75995C">
        <w:rPr>
          <w:rFonts w:eastAsia="MS Mincho"/>
        </w:rPr>
        <w:t>ub</w:t>
      </w:r>
      <w:r w:rsidRPr="001D6FBD" w:rsidR="3F5F1842">
        <w:rPr>
          <w:rFonts w:eastAsia="MS Mincho"/>
        </w:rPr>
        <w:t>. L. 113-2</w:t>
      </w:r>
      <w:r w:rsidRPr="001D6FBD" w:rsidR="000D0237">
        <w:rPr>
          <w:rFonts w:eastAsia="MS Mincho"/>
        </w:rPr>
        <w:t>42, U.S.C. § 5170(b)</w:t>
      </w:r>
      <w:r w:rsidRPr="001D6FBD" w:rsidR="3F5F1842">
        <w:rPr>
          <w:rFonts w:eastAsia="MS Mincho"/>
        </w:rPr>
        <w:t xml:space="preserve">) amended the Stafford Act to </w:t>
      </w:r>
      <w:r w:rsidRPr="001D6FBD" w:rsidR="4947E14A">
        <w:rPr>
          <w:rFonts w:eastAsia="MS Mincho"/>
        </w:rPr>
        <w:t>allow</w:t>
      </w:r>
      <w:r w:rsidRPr="001D6FBD" w:rsidR="3F5F1842">
        <w:rPr>
          <w:rFonts w:eastAsia="MS Mincho"/>
        </w:rPr>
        <w:t xml:space="preserve"> </w:t>
      </w:r>
      <w:r w:rsidRPr="001D6FBD" w:rsidR="4947E14A">
        <w:rPr>
          <w:rFonts w:eastAsia="MS Mincho"/>
        </w:rPr>
        <w:t>t</w:t>
      </w:r>
      <w:r w:rsidRPr="001D6FBD" w:rsidR="3F5F1842">
        <w:rPr>
          <w:rFonts w:eastAsia="MS Mincho"/>
        </w:rPr>
        <w:t xml:space="preserve">he Chief Executive of a </w:t>
      </w:r>
      <w:r w:rsidR="00B93B1F">
        <w:rPr>
          <w:rFonts w:eastAsia="MS Mincho"/>
        </w:rPr>
        <w:t>F</w:t>
      </w:r>
      <w:r w:rsidRPr="001D6FBD" w:rsidR="3F5F1842">
        <w:rPr>
          <w:rFonts w:eastAsia="MS Mincho"/>
        </w:rPr>
        <w:t>ederally recognized Indian tribe to make a direct request to the President of the United States for a major disaster or emergency declaratio</w:t>
      </w:r>
      <w:r w:rsidRPr="001D6FBD" w:rsidR="000D0237">
        <w:rPr>
          <w:rFonts w:eastAsia="MS Mincho"/>
        </w:rPr>
        <w:t>n</w:t>
      </w:r>
      <w:bookmarkStart w:id="1" w:name="_Hlk116977694"/>
      <w:r w:rsidRPr="001D6FBD" w:rsidR="2C75995C">
        <w:rPr>
          <w:rFonts w:eastAsia="MS Mincho"/>
        </w:rPr>
        <w:t>.</w:t>
      </w:r>
      <w:bookmarkEnd w:id="1"/>
    </w:p>
    <w:p w:rsidR="00CD5FB4" w:rsidRPr="001D6FBD" w14:paraId="5FEA9518" w14:textId="77777777">
      <w:pPr>
        <w:spacing w:line="276" w:lineRule="auto"/>
        <w:contextualSpacing/>
      </w:pPr>
    </w:p>
    <w:p w:rsidR="00CD5FB4" w:rsidRPr="001D6FBD" w14:paraId="45669E1F" w14:textId="778529C5">
      <w:pPr>
        <w:spacing w:line="276" w:lineRule="auto"/>
        <w:contextualSpacing/>
      </w:pPr>
      <w:r>
        <w:t>The Department of Homeland Security (</w:t>
      </w:r>
      <w:r w:rsidRPr="001D6FBD">
        <w:t>DHS</w:t>
      </w:r>
      <w:r>
        <w:t>)</w:t>
      </w:r>
      <w:r w:rsidRPr="001D6FBD">
        <w:t xml:space="preserve"> adopted in its entirety the Uniform Administrative Requirements, Cost Principles, and Audit Requirements for Federal Awards (2 CFR Part 200) on December 26, 2014, at 2 CFR Part 3002, </w:t>
      </w:r>
      <w:r w:rsidRPr="001D6FBD" w:rsidR="00DD7AD2">
        <w:t>(</w:t>
      </w:r>
      <w:r w:rsidRPr="001D6FBD">
        <w:t>79</w:t>
      </w:r>
      <w:r w:rsidR="00B93B1F">
        <w:t xml:space="preserve"> FR</w:t>
      </w:r>
      <w:r w:rsidRPr="001D6FBD">
        <w:t xml:space="preserve"> 75867</w:t>
      </w:r>
      <w:r w:rsidRPr="001D6FBD" w:rsidR="00DD7AD2">
        <w:t xml:space="preserve">, </w:t>
      </w:r>
      <w:r w:rsidRPr="001D6FBD">
        <w:t>Dec</w:t>
      </w:r>
      <w:r w:rsidR="00B93B1F">
        <w:t>ember</w:t>
      </w:r>
      <w:r w:rsidRPr="001D6FBD">
        <w:t xml:space="preserve"> 19, 2014).  This rule eliminates overlapping and duplicative requirements for stakeholders, including states, territories and Indian tribal governments, by using general terms such as “recipient” </w:t>
      </w:r>
      <w:r w:rsidRPr="001D6FBD" w:rsidR="00223236">
        <w:t xml:space="preserve">and </w:t>
      </w:r>
      <w:r w:rsidRPr="001D6FBD">
        <w:t>“pass-through entity.”</w:t>
      </w:r>
    </w:p>
    <w:p w:rsidR="003A4023" w:rsidRPr="001D6FBD" w14:paraId="0CCCF464" w14:textId="77777777">
      <w:pPr>
        <w:spacing w:line="276" w:lineRule="auto"/>
        <w:contextualSpacing/>
      </w:pPr>
    </w:p>
    <w:p w:rsidR="00515984" w:rsidRPr="001D6FBD" w14:paraId="2DC84DBC" w14:textId="4491A2DD">
      <w:pPr>
        <w:spacing w:line="276" w:lineRule="auto"/>
        <w:contextualSpacing/>
      </w:pPr>
      <w:r w:rsidRPr="001D6FBD">
        <w:t xml:space="preserve">The </w:t>
      </w:r>
      <w:r w:rsidRPr="001D6FBD" w:rsidR="007F0A7E">
        <w:t>HMGP regulation de</w:t>
      </w:r>
      <w:r w:rsidRPr="001D6FBD" w:rsidR="00F459C5">
        <w:t>scribe</w:t>
      </w:r>
      <w:r w:rsidRPr="001D6FBD">
        <w:t>s</w:t>
      </w:r>
      <w:r w:rsidRPr="001D6FBD" w:rsidR="00F459C5">
        <w:t xml:space="preserve"> the application process</w:t>
      </w:r>
      <w:r w:rsidRPr="001D6FBD" w:rsidR="00A940C1">
        <w:t xml:space="preserve"> in 44 CFR 206.436</w:t>
      </w:r>
      <w:r w:rsidRPr="001D6FBD" w:rsidR="00F459C5">
        <w:t>.</w:t>
      </w:r>
      <w:r w:rsidRPr="001D6FBD" w:rsidR="007F0A7E">
        <w:t xml:space="preserve"> </w:t>
      </w:r>
      <w:r w:rsidRPr="001D6FBD" w:rsidR="00A940C1">
        <w:t xml:space="preserve"> </w:t>
      </w:r>
      <w:r w:rsidRPr="001D6FBD">
        <w:t>Informati</w:t>
      </w:r>
      <w:r w:rsidRPr="001D6FBD" w:rsidR="00BE62DF">
        <w:t xml:space="preserve">on collected through the </w:t>
      </w:r>
      <w:r w:rsidRPr="001D6FBD" w:rsidR="007B1A8A">
        <w:t xml:space="preserve">financial award </w:t>
      </w:r>
      <w:r w:rsidRPr="001D6FBD">
        <w:t xml:space="preserve">application is the minimum </w:t>
      </w:r>
      <w:r w:rsidRPr="001D6FBD" w:rsidR="0012795C">
        <w:t xml:space="preserve">information </w:t>
      </w:r>
      <w:r w:rsidRPr="001D6FBD">
        <w:t>necessary</w:t>
      </w:r>
      <w:r w:rsidRPr="001D6FBD" w:rsidR="0012795C">
        <w:t xml:space="preserve"> for </w:t>
      </w:r>
      <w:r w:rsidRPr="001D6FBD" w:rsidR="007B1A8A">
        <w:t xml:space="preserve">the financial award </w:t>
      </w:r>
      <w:r w:rsidRPr="001D6FBD" w:rsidR="003E3B7F">
        <w:t>administration</w:t>
      </w:r>
      <w:r w:rsidRPr="001D6FBD">
        <w:t xml:space="preserve"> under the HMGP</w:t>
      </w:r>
      <w:r w:rsidRPr="001D6FBD" w:rsidR="005F2A52">
        <w:t xml:space="preserve"> and includes the project narrative, analysis of the measure’s cost-effectiveness referred to as the benefit-cost determination, and environmental review used in conjunction with OMB No. 1660-0025</w:t>
      </w:r>
      <w:r w:rsidRPr="001D6FBD" w:rsidR="00BE62DF">
        <w:t>.</w:t>
      </w:r>
    </w:p>
    <w:p w:rsidR="00DD7AD2" w:rsidRPr="001D6FBD" w14:paraId="2221C517" w14:textId="0492BDCE">
      <w:pPr>
        <w:spacing w:line="276" w:lineRule="auto"/>
        <w:contextualSpacing/>
      </w:pPr>
    </w:p>
    <w:p w:rsidR="00DD7AD2" w:rsidRPr="001D6FBD" w14:paraId="7E5FF27E" w14:textId="5B58F31E">
      <w:pPr>
        <w:spacing w:line="276" w:lineRule="auto"/>
        <w:contextualSpacing/>
      </w:pPr>
      <w:r>
        <w:t xml:space="preserve">In accordance with </w:t>
      </w:r>
      <w:r>
        <w:t xml:space="preserve">44 CFR § 206.436(d) </w:t>
      </w:r>
      <w:r w:rsidR="22D50D25">
        <w:t xml:space="preserve">a </w:t>
      </w:r>
      <w:r>
        <w:t xml:space="preserve">State </w:t>
      </w:r>
      <w:r w:rsidR="2EDADB7D">
        <w:t>“</w:t>
      </w:r>
      <w:r>
        <w:t>must submit all local HMGP applications and funding requests for the purpose of identifying new</w:t>
      </w:r>
      <w:r w:rsidR="7BC946A6">
        <w:t xml:space="preserve"> </w:t>
      </w:r>
      <w:r>
        <w:t>projects</w:t>
      </w:r>
      <w:r w:rsidR="7BC946A6">
        <w:t xml:space="preserve"> </w:t>
      </w:r>
      <w:r>
        <w:t>to the</w:t>
      </w:r>
      <w:r w:rsidR="7BC946A6">
        <w:t xml:space="preserve"> </w:t>
      </w:r>
      <w:r>
        <w:t>Regional Administrator</w:t>
      </w:r>
      <w:r w:rsidR="7BC946A6">
        <w:t xml:space="preserve"> </w:t>
      </w:r>
      <w:r>
        <w:t xml:space="preserve">within 12 months of the date of disaster declaration.” </w:t>
      </w:r>
      <w:r w:rsidR="51B59D8B">
        <w:t xml:space="preserve"> </w:t>
      </w:r>
      <w:r>
        <w:t xml:space="preserve">Furthermore, Section 311 of the </w:t>
      </w:r>
      <w:bookmarkStart w:id="2" w:name="_Hlk116982197"/>
      <w:r w:rsidR="1AF48270">
        <w:t>DHS</w:t>
      </w:r>
      <w:r>
        <w:t xml:space="preserve"> Appropriations Act, 2022 </w:t>
      </w:r>
      <w:bookmarkEnd w:id="2"/>
      <w:r>
        <w:t>(Pub. L. 117-103</w:t>
      </w:r>
      <w:r w:rsidR="744E0BA3">
        <w:t>, 136 Stat. 331</w:t>
      </w:r>
      <w:r>
        <w:t xml:space="preserve">) states: “beginning between January 1, 2020, and December 31, 2021, the Federal share of assistance, including direct Federal assistance, provided under such sections shall be not less than 90 percent of the eligible cost of such assistance.”  The legislation applies to all current FY 2022 HMGP local and Tribal sub applicants and significantly alters application and program financial management information collection requirements.  The </w:t>
      </w:r>
      <w:r w:rsidR="526DCD52">
        <w:t>DHS</w:t>
      </w:r>
      <w:r>
        <w:t xml:space="preserve"> Appropriations Act, 2022 does not provide additional funding for HMGP COVID-19 relief beyond the already established $3.46 billion.  </w:t>
      </w:r>
    </w:p>
    <w:p w:rsidR="00185DC8" w:rsidRPr="001D6FBD" w14:paraId="785B01FB" w14:textId="77777777">
      <w:pPr>
        <w:spacing w:line="276" w:lineRule="auto"/>
        <w:contextualSpacing/>
      </w:pPr>
    </w:p>
    <w:p w:rsidR="00185DC8" w:rsidRPr="001D6FBD" w14:paraId="5667EE79" w14:textId="609F3FC6">
      <w:pPr>
        <w:spacing w:line="276" w:lineRule="auto"/>
        <w:contextualSpacing/>
      </w:pPr>
      <w:r w:rsidRPr="001D6FBD">
        <w:t xml:space="preserve">Per </w:t>
      </w:r>
      <w:r w:rsidRPr="001D6FBD" w:rsidR="7F235B7E">
        <w:t>44</w:t>
      </w:r>
      <w:r w:rsidRPr="001D6FBD" w:rsidR="2BF0B232">
        <w:t xml:space="preserve"> CFR</w:t>
      </w:r>
      <w:r w:rsidRPr="001D6FBD" w:rsidR="00FA7771">
        <w:t xml:space="preserve"> §</w:t>
      </w:r>
      <w:r w:rsidRPr="001D6FBD" w:rsidR="2BF0B232">
        <w:t xml:space="preserve"> 206.438(c</w:t>
      </w:r>
      <w:r w:rsidRPr="001D6FBD" w:rsidR="7F235B7E">
        <w:t>)</w:t>
      </w:r>
      <w:r w:rsidRPr="001D6FBD" w:rsidR="003F7BC4">
        <w:t>,</w:t>
      </w:r>
      <w:r w:rsidRPr="001D6FBD" w:rsidR="7F235B7E">
        <w:t xml:space="preserve"> progress reports </w:t>
      </w:r>
      <w:r w:rsidRPr="001D6FBD">
        <w:t xml:space="preserve">must </w:t>
      </w:r>
      <w:r w:rsidRPr="001D6FBD" w:rsidR="7F235B7E">
        <w:t xml:space="preserve">be submitted by the </w:t>
      </w:r>
      <w:r w:rsidRPr="001D6FBD" w:rsidR="2381710B">
        <w:t xml:space="preserve">HMGP </w:t>
      </w:r>
      <w:r w:rsidRPr="001D6FBD" w:rsidR="744056CD">
        <w:t>Recipient</w:t>
      </w:r>
      <w:r w:rsidRPr="001D6FBD" w:rsidR="7F235B7E">
        <w:t xml:space="preserve"> to the Regional Admin</w:t>
      </w:r>
      <w:r w:rsidRPr="001D6FBD" w:rsidR="415F62BF">
        <w:t>istrator on a quarterly basis, certifying how the funds are being used and reporting on the progress of activities funded under the sub</w:t>
      </w:r>
      <w:r w:rsidRPr="001D6FBD" w:rsidR="690DDBB6">
        <w:t>recipie</w:t>
      </w:r>
      <w:r w:rsidRPr="001D6FBD" w:rsidR="3FC298D9">
        <w:t>nt</w:t>
      </w:r>
      <w:r w:rsidRPr="001D6FBD" w:rsidR="415F62BF">
        <w:t xml:space="preserve"> awards made to the </w:t>
      </w:r>
      <w:r w:rsidRPr="001D6FBD" w:rsidR="744056CD">
        <w:t>Recipient</w:t>
      </w:r>
      <w:r w:rsidRPr="001D6FBD" w:rsidR="415F62BF">
        <w:t xml:space="preserve"> by FEMA. </w:t>
      </w:r>
      <w:r w:rsidRPr="001D6FBD" w:rsidR="09DE6F34">
        <w:t xml:space="preserve"> </w:t>
      </w:r>
      <w:r w:rsidRPr="001D6FBD" w:rsidR="7F235B7E">
        <w:t xml:space="preserve">The Regional Administrator and </w:t>
      </w:r>
      <w:r w:rsidRPr="001D6FBD" w:rsidR="744056CD">
        <w:t>Recipient</w:t>
      </w:r>
      <w:r w:rsidRPr="001D6FBD" w:rsidR="7F235B7E">
        <w:t xml:space="preserve"> negotiate the date for submission of the first report. </w:t>
      </w:r>
      <w:r w:rsidRPr="001D6FBD" w:rsidR="09DE6F34">
        <w:t xml:space="preserve"> </w:t>
      </w:r>
      <w:r w:rsidRPr="001D6FBD" w:rsidR="5667EF75">
        <w:t xml:space="preserve">Quarterly progress </w:t>
      </w:r>
      <w:r w:rsidRPr="001D6FBD" w:rsidR="7F235B7E">
        <w:t xml:space="preserve">reports describe the status of those projects on which a final payment of the Federal share has not been made to the </w:t>
      </w:r>
      <w:r w:rsidRPr="001D6FBD" w:rsidR="108A13D4">
        <w:t>r</w:t>
      </w:r>
      <w:r w:rsidRPr="001D6FBD" w:rsidR="744056CD">
        <w:t>ecipient</w:t>
      </w:r>
      <w:r w:rsidRPr="001D6FBD" w:rsidR="7F235B7E">
        <w:t xml:space="preserve">, and outline any problems or circumstances expected to result in noncompliance with the approved </w:t>
      </w:r>
      <w:r w:rsidRPr="001D6FBD" w:rsidR="690DDBB6">
        <w:t xml:space="preserve">award </w:t>
      </w:r>
      <w:r w:rsidRPr="001D6FBD" w:rsidR="7F235B7E">
        <w:t>conditions.</w:t>
      </w:r>
    </w:p>
    <w:p w:rsidR="00AF3BEB" w:rsidRPr="001D6FBD" w14:paraId="1EDB04FA" w14:textId="535ABD3E">
      <w:pPr>
        <w:spacing w:line="276" w:lineRule="auto"/>
        <w:contextualSpacing/>
      </w:pPr>
    </w:p>
    <w:p w:rsidR="00AF3BEB" w:rsidRPr="001D6FBD" w14:paraId="5E8A8F68" w14:textId="468B2D9C">
      <w:pPr>
        <w:spacing w:line="276" w:lineRule="auto"/>
        <w:contextualSpacing/>
      </w:pPr>
      <w:r>
        <w:t>T</w:t>
      </w:r>
      <w:r>
        <w:t xml:space="preserve">he legislative changes </w:t>
      </w:r>
      <w:r w:rsidR="003125A4">
        <w:t xml:space="preserve">are expected to </w:t>
      </w:r>
      <w:r>
        <w:t>increase requests by local sub applicants who have not yet developed FY 2022 project applications</w:t>
      </w:r>
      <w:r w:rsidR="00FA7771">
        <w:t>.  The requests</w:t>
      </w:r>
      <w:r>
        <w:t xml:space="preserve"> </w:t>
      </w:r>
      <w:r w:rsidR="00FA7771">
        <w:t>will likely extend</w:t>
      </w:r>
      <w:r>
        <w:t xml:space="preserve"> the application deadline beyond the standard 12-month </w:t>
      </w:r>
      <w:r w:rsidR="00471533">
        <w:t xml:space="preserve">deadline of </w:t>
      </w:r>
      <w:r>
        <w:t>Aug</w:t>
      </w:r>
      <w:r w:rsidR="00471533">
        <w:t>ust</w:t>
      </w:r>
      <w:r>
        <w:t xml:space="preserve"> 5, 2022.  Application</w:t>
      </w:r>
      <w:r w:rsidR="008A6D9B">
        <w:t xml:space="preserve"> </w:t>
      </w:r>
      <w:r>
        <w:t>Period extension</w:t>
      </w:r>
      <w:r w:rsidR="008A6D9B">
        <w:t xml:space="preserve"> requests</w:t>
      </w:r>
      <w:r w:rsidR="00611689">
        <w:t>, authorized under 44 CFR § 206.436(e),</w:t>
      </w:r>
      <w:r>
        <w:t xml:space="preserve"> </w:t>
      </w:r>
      <w:r w:rsidR="008A6D9B">
        <w:t xml:space="preserve">may </w:t>
      </w:r>
      <w:r>
        <w:t>add additional information collection burden</w:t>
      </w:r>
      <w:r w:rsidR="00611689">
        <w:t>.</w:t>
      </w:r>
      <w:r>
        <w:t xml:space="preserve"> </w:t>
      </w:r>
    </w:p>
    <w:p w:rsidR="00AF3BEB" w:rsidRPr="001D6FBD" w14:paraId="029B2019" w14:textId="142B1BC7">
      <w:pPr>
        <w:spacing w:line="276" w:lineRule="auto"/>
        <w:contextualSpacing/>
        <w:rPr>
          <w:bCs/>
        </w:rPr>
      </w:pPr>
    </w:p>
    <w:p w:rsidR="00AF3BEB" w:rsidRPr="001D6FBD" w:rsidP="574C4A60" w14:paraId="09654F97" w14:textId="64619E86">
      <w:pPr>
        <w:spacing w:line="276" w:lineRule="auto"/>
        <w:contextualSpacing/>
        <w:rPr>
          <w:b/>
          <w:bCs/>
        </w:rPr>
      </w:pPr>
      <w:bookmarkStart w:id="3" w:name="_Hlk108561591"/>
      <w:r>
        <w:t>The Foundations for Evidence-Based Policymaking A</w:t>
      </w:r>
      <w:r w:rsidR="524328B5">
        <w:t>c</w:t>
      </w:r>
      <w:r>
        <w:t xml:space="preserve">t of 2018 (Evidence Act) </w:t>
      </w:r>
      <w:r w:rsidR="00471533">
        <w:t>(</w:t>
      </w:r>
      <w:r>
        <w:t>Pub. L. 115-</w:t>
      </w:r>
      <w:r w:rsidR="00DB1384">
        <w:t xml:space="preserve">435, </w:t>
      </w:r>
      <w:r w:rsidR="29EDADAF">
        <w:t xml:space="preserve">5 </w:t>
      </w:r>
      <w:r w:rsidR="00DB1384">
        <w:t>U.S.C.</w:t>
      </w:r>
      <w:r w:rsidR="00FA7771">
        <w:t xml:space="preserve"> §</w:t>
      </w:r>
      <w:r w:rsidR="29EDADAF">
        <w:t>§ 311-315</w:t>
      </w:r>
      <w:r w:rsidR="00471533">
        <w:t>)</w:t>
      </w:r>
      <w:r>
        <w:t xml:space="preserve"> establishes evaluation using systematic data collection and analysis of programs, policies, and organizations intended to assess their effectiveness and efficiency as an essential program activity.  Hazard Mitigation programs are currently revising information collections to simply data collection, reduce burden, coordinate data collection across programs, develop performance metrics, and meet goals and priorities as stipulated in </w:t>
      </w:r>
      <w:r w:rsidR="227A7868">
        <w:t>t</w:t>
      </w:r>
      <w:r>
        <w:t>he Evidence Act.  Program implementation of the Evidence Act will necessitate changes to information collections</w:t>
      </w:r>
      <w:r w:rsidR="00E95BA1">
        <w:t>.</w:t>
      </w:r>
      <w:r>
        <w:t xml:space="preserve"> </w:t>
      </w:r>
      <w:bookmarkEnd w:id="3"/>
      <w:r w:rsidR="51B59D8B">
        <w:t xml:space="preserve"> </w:t>
      </w:r>
      <w:r>
        <w:t xml:space="preserve">Additionally, </w:t>
      </w:r>
      <w:r w:rsidR="7BC946A6">
        <w:t>t</w:t>
      </w:r>
      <w:r>
        <w:t xml:space="preserve">he Build America, Buy America Act (BABAA) </w:t>
      </w:r>
      <w:r w:rsidR="11F1ABA6">
        <w:t>(</w:t>
      </w:r>
      <w:r>
        <w:t>Pub. L. 117-58</w:t>
      </w:r>
      <w:r w:rsidR="6B215330">
        <w:t>, §§ 70901-70927</w:t>
      </w:r>
      <w:r w:rsidR="77237E1D">
        <w:t>) and</w:t>
      </w:r>
      <w:r>
        <w:t xml:space="preserve"> </w:t>
      </w:r>
      <w:r w:rsidR="6B215330">
        <w:t xml:space="preserve">Executive Order (EO) 14008, </w:t>
      </w:r>
      <w:r w:rsidRPr="1B89AE3C" w:rsidR="6B215330">
        <w:rPr>
          <w:i/>
          <w:iCs/>
        </w:rPr>
        <w:t>Tackling the climate Crisis At Home and Abroad</w:t>
      </w:r>
      <w:r w:rsidR="6B215330">
        <w:t xml:space="preserve">, (86 FR 7619, </w:t>
      </w:r>
      <w:r w:rsidR="7BC946A6">
        <w:t xml:space="preserve">February 1, </w:t>
      </w:r>
      <w:r w:rsidR="6B215330">
        <w:t xml:space="preserve">2021) </w:t>
      </w:r>
      <w:r>
        <w:t>establish</w:t>
      </w:r>
      <w:r w:rsidR="6B215330">
        <w:t xml:space="preserve"> additional information collection</w:t>
      </w:r>
      <w:r>
        <w:t xml:space="preserve"> requirements, goals and priorities.</w:t>
      </w:r>
    </w:p>
    <w:p w:rsidR="00515984" w:rsidRPr="001D6FBD" w14:paraId="6C346E32" w14:textId="77777777">
      <w:pPr>
        <w:spacing w:line="276" w:lineRule="auto"/>
        <w:contextualSpacing/>
      </w:pPr>
    </w:p>
    <w:p w:rsidR="00842E74" w:rsidRPr="001D6FBD" w14:paraId="327476FD" w14:textId="5C5EBE3D">
      <w:pPr>
        <w:spacing w:line="276" w:lineRule="auto"/>
        <w:contextualSpacing/>
        <w:rPr>
          <w:b/>
          <w:bCs/>
          <w:spacing w:val="-3"/>
        </w:rPr>
      </w:pPr>
      <w:r w:rsidRPr="2883DB15">
        <w:rPr>
          <w:b/>
          <w:bCs/>
        </w:rPr>
        <w:fldChar w:fldCharType="begin"/>
      </w:r>
      <w:r w:rsidRPr="2883DB15">
        <w:rPr>
          <w:b/>
          <w:bCs/>
        </w:rPr>
        <w:instrText>ADVANCE \R 0.95</w:instrText>
      </w:r>
      <w:r w:rsidRPr="2883DB15">
        <w:rPr>
          <w:b/>
          <w:bCs/>
        </w:rPr>
        <w:fldChar w:fldCharType="end"/>
      </w:r>
      <w:r w:rsidRPr="2883DB15">
        <w:rPr>
          <w:b/>
          <w:bCs/>
        </w:rPr>
        <w:t xml:space="preserve">2.  Indicate how, by </w:t>
      </w:r>
      <w:r w:rsidRPr="2883DB15" w:rsidR="4E4B20B7">
        <w:rPr>
          <w:b/>
          <w:bCs/>
        </w:rPr>
        <w:t>wh</w:t>
      </w:r>
      <w:r w:rsidRPr="2883DB15">
        <w:rPr>
          <w:b/>
          <w:bCs/>
        </w:rPr>
        <w:t>om, and for what purpose the information is to be used.  Except for a new collection, indicate the actual use the agency has made of the information received from the current collection.  Provide a detailed description of</w:t>
      </w:r>
      <w:r w:rsidRPr="2883DB15" w:rsidR="00D15AF7">
        <w:rPr>
          <w:b/>
          <w:bCs/>
        </w:rPr>
        <w:t xml:space="preserve"> </w:t>
      </w:r>
      <w:r w:rsidRPr="2883DB15">
        <w:rPr>
          <w:b/>
          <w:bCs/>
        </w:rPr>
        <w:t>how the information will be shared, if applicable, and for w</w:t>
      </w:r>
      <w:r w:rsidRPr="2883DB15" w:rsidR="000618A2">
        <w:rPr>
          <w:b/>
          <w:bCs/>
        </w:rPr>
        <w:t>hat program</w:t>
      </w:r>
      <w:r w:rsidRPr="2883DB15" w:rsidR="35185E87">
        <w:rPr>
          <w:b/>
          <w:bCs/>
        </w:rPr>
        <w:t>s</w:t>
      </w:r>
    </w:p>
    <w:p w:rsidR="00842E74" w:rsidRPr="001D6FBD" w14:paraId="3905A772" w14:textId="77777777">
      <w:pPr>
        <w:spacing w:line="276" w:lineRule="auto"/>
        <w:contextualSpacing/>
      </w:pPr>
    </w:p>
    <w:p w:rsidR="00583F48" w:rsidRPr="001D6FBD" w14:paraId="28F58A98" w14:textId="08641CD9">
      <w:pPr>
        <w:spacing w:line="276" w:lineRule="auto"/>
        <w:contextualSpacing/>
      </w:pPr>
      <w:r w:rsidRPr="001D6FBD">
        <w:rPr>
          <w:b/>
        </w:rPr>
        <w:t>Project Narrative</w:t>
      </w:r>
      <w:r w:rsidRPr="001D6FBD" w:rsidR="004F3A41">
        <w:t>:</w:t>
      </w:r>
      <w:r w:rsidRPr="001D6FBD" w:rsidR="008A0A9A">
        <w:t xml:space="preserve"> E</w:t>
      </w:r>
      <w:r w:rsidRPr="001D6FBD" w:rsidR="009F5676">
        <w:t xml:space="preserve">xplains </w:t>
      </w:r>
      <w:r w:rsidRPr="001D6FBD" w:rsidR="00467A01">
        <w:t>the FEMA application and review process to the respondent</w:t>
      </w:r>
      <w:r w:rsidRPr="001D6FBD" w:rsidR="009A26FF">
        <w:t xml:space="preserve"> and provides instruction as to what detail is required</w:t>
      </w:r>
      <w:r w:rsidRPr="001D6FBD" w:rsidR="00467A01">
        <w:t>.</w:t>
      </w:r>
      <w:r w:rsidRPr="001D6FBD" w:rsidR="009A26FF">
        <w:t xml:space="preserve">  The Project Narrative describes the proposed activity for which funding is sought.  FEMA uses this information to certify that the project meets minimal mitigation eligibility criteria.</w:t>
      </w:r>
      <w:r w:rsidRPr="001D6FBD" w:rsidR="00E379FD">
        <w:t xml:space="preserve">  (44 CFR</w:t>
      </w:r>
      <w:r w:rsidRPr="001D6FBD" w:rsidR="00FA7771">
        <w:t xml:space="preserve"> § </w:t>
      </w:r>
      <w:r w:rsidRPr="001D6FBD" w:rsidR="00E379FD">
        <w:t>206.436)</w:t>
      </w:r>
    </w:p>
    <w:p w:rsidR="00EB1F23" w:rsidRPr="001D6FBD" w14:paraId="6ED2BC50" w14:textId="77777777">
      <w:pPr>
        <w:spacing w:line="276" w:lineRule="auto"/>
        <w:contextualSpacing/>
      </w:pPr>
    </w:p>
    <w:p w:rsidR="00583F48" w:rsidRPr="001D6FBD" w14:paraId="258F33C3" w14:textId="5C9EF810">
      <w:pPr>
        <w:spacing w:line="276" w:lineRule="auto"/>
        <w:contextualSpacing/>
      </w:pPr>
      <w:r w:rsidRPr="001D6FBD">
        <w:rPr>
          <w:b/>
        </w:rPr>
        <w:t>Benefit-Cost Determination</w:t>
      </w:r>
      <w:r w:rsidRPr="001D6FBD" w:rsidR="00DB4375">
        <w:t xml:space="preserve">:  </w:t>
      </w:r>
      <w:r w:rsidRPr="001D6FBD" w:rsidR="009A26FF">
        <w:t>This is a requirement to establish that Federal funds</w:t>
      </w:r>
      <w:r w:rsidRPr="001D6FBD" w:rsidR="00EB1F23">
        <w:t xml:space="preserve"> awarded as a grant</w:t>
      </w:r>
      <w:r w:rsidRPr="001D6FBD" w:rsidR="009A26FF">
        <w:t xml:space="preserve"> are applied in a cost-effective manner. </w:t>
      </w:r>
      <w:r w:rsidRPr="001D6FBD" w:rsidR="00A940C1">
        <w:t xml:space="preserve"> </w:t>
      </w:r>
      <w:r w:rsidRPr="001D6FBD" w:rsidR="00DB4375">
        <w:t>This</w:t>
      </w:r>
      <w:r w:rsidRPr="001D6FBD" w:rsidR="002A7CB1">
        <w:t xml:space="preserve"> </w:t>
      </w:r>
      <w:r w:rsidRPr="001D6FBD" w:rsidR="009A26FF">
        <w:t xml:space="preserve">information is </w:t>
      </w:r>
      <w:r w:rsidRPr="001D6FBD" w:rsidR="002A7CB1">
        <w:t xml:space="preserve">used by FEMA to determine </w:t>
      </w:r>
      <w:r w:rsidRPr="001D6FBD" w:rsidR="008032DC">
        <w:t xml:space="preserve">if the </w:t>
      </w:r>
      <w:r w:rsidRPr="001D6FBD" w:rsidR="005F2A52">
        <w:t>benefits of the</w:t>
      </w:r>
      <w:r w:rsidRPr="001D6FBD" w:rsidR="009A26FF">
        <w:t xml:space="preserve"> </w:t>
      </w:r>
      <w:r w:rsidRPr="001D6FBD" w:rsidR="00EB1F23">
        <w:t xml:space="preserve">proposed </w:t>
      </w:r>
      <w:r w:rsidRPr="001D6FBD" w:rsidR="009A26FF">
        <w:t xml:space="preserve">mitigation work </w:t>
      </w:r>
      <w:r w:rsidRPr="001D6FBD" w:rsidR="005F2A52">
        <w:t>exceed the costs of the mitigation activity</w:t>
      </w:r>
      <w:r w:rsidRPr="001D6FBD" w:rsidR="00EB1F23">
        <w:t>.</w:t>
      </w:r>
      <w:r w:rsidRPr="001D6FBD" w:rsidR="00E379FD">
        <w:t xml:space="preserve"> (44 CFR </w:t>
      </w:r>
      <w:r w:rsidRPr="001D6FBD" w:rsidR="00FA7771">
        <w:t xml:space="preserve">§ </w:t>
      </w:r>
      <w:r w:rsidRPr="001D6FBD" w:rsidR="001C45F8">
        <w:t xml:space="preserve">206.434, </w:t>
      </w:r>
      <w:r w:rsidRPr="001D6FBD" w:rsidR="003F7BC4">
        <w:t xml:space="preserve">§ </w:t>
      </w:r>
      <w:r w:rsidRPr="001D6FBD" w:rsidR="00E379FD">
        <w:t>206.436)</w:t>
      </w:r>
    </w:p>
    <w:p w:rsidR="00EB1F23" w:rsidRPr="001D6FBD" w14:paraId="01C18C7F" w14:textId="77777777">
      <w:pPr>
        <w:spacing w:line="276" w:lineRule="auto"/>
        <w:contextualSpacing/>
      </w:pPr>
    </w:p>
    <w:p w:rsidR="0069319B" w:rsidRPr="001D6FBD" w14:paraId="793790A4" w14:textId="03B35F24">
      <w:pPr>
        <w:spacing w:line="276" w:lineRule="auto"/>
        <w:contextualSpacing/>
      </w:pPr>
      <w:r w:rsidRPr="001D6FBD">
        <w:rPr>
          <w:b/>
        </w:rPr>
        <w:t>Envir</w:t>
      </w:r>
      <w:r w:rsidRPr="001D6FBD" w:rsidR="00110B68">
        <w:rPr>
          <w:b/>
        </w:rPr>
        <w:t>o</w:t>
      </w:r>
      <w:r w:rsidRPr="001D6FBD">
        <w:rPr>
          <w:b/>
        </w:rPr>
        <w:t>nmental Review</w:t>
      </w:r>
      <w:r w:rsidRPr="001D6FBD" w:rsidR="008A0A9A">
        <w:t>:  Respondents are responsible for providing most of the necessary information to complete environmental reviews under the N</w:t>
      </w:r>
      <w:r w:rsidRPr="001D6FBD" w:rsidR="005001DC">
        <w:t xml:space="preserve">ational Environmental Policy </w:t>
      </w:r>
      <w:r w:rsidRPr="001D6FBD" w:rsidR="000E5D7B">
        <w:t>Act and</w:t>
      </w:r>
      <w:r w:rsidRPr="001D6FBD" w:rsidR="008A0A9A">
        <w:t xml:space="preserve"> other laws and Executive </w:t>
      </w:r>
      <w:r w:rsidRPr="001D6FBD" w:rsidR="00C9253E">
        <w:t>O</w:t>
      </w:r>
      <w:r w:rsidRPr="001D6FBD" w:rsidR="008A0A9A">
        <w:t xml:space="preserve">rders. </w:t>
      </w:r>
      <w:r w:rsidRPr="001D6FBD" w:rsidR="00A940C1">
        <w:t xml:space="preserve"> </w:t>
      </w:r>
      <w:r w:rsidRPr="001D6FBD" w:rsidR="008032DC">
        <w:t>FEMA works with the respondents to collect environmental information necessary to implement the project</w:t>
      </w:r>
      <w:r w:rsidRPr="001D6FBD" w:rsidR="008A0A9A">
        <w:t>.</w:t>
      </w:r>
      <w:r w:rsidRPr="001D6FBD" w:rsidR="002A7CB1">
        <w:t xml:space="preserve"> </w:t>
      </w:r>
      <w:r w:rsidRPr="001D6FBD" w:rsidR="00E379FD">
        <w:t>(44 CFR</w:t>
      </w:r>
      <w:r w:rsidRPr="001D6FBD" w:rsidR="00FA7771">
        <w:t xml:space="preserve"> § </w:t>
      </w:r>
      <w:r w:rsidRPr="001D6FBD" w:rsidR="00E379FD">
        <w:t>206.436)</w:t>
      </w:r>
    </w:p>
    <w:p w:rsidR="00B1651E" w:rsidRPr="001D6FBD" w14:paraId="63B4DFBC" w14:textId="77777777">
      <w:pPr>
        <w:spacing w:line="276" w:lineRule="auto"/>
        <w:contextualSpacing/>
      </w:pPr>
    </w:p>
    <w:p w:rsidR="003E1F53" w:rsidRPr="001D6FBD" w14:paraId="63FECCB4" w14:textId="7B70BEFC">
      <w:pPr>
        <w:spacing w:line="276" w:lineRule="auto"/>
        <w:contextualSpacing/>
      </w:pPr>
      <w:r w:rsidRPr="00993950">
        <w:rPr>
          <w:b/>
        </w:rPr>
        <w:t xml:space="preserve">FEMA Form FF-206-FY-22-154 (formerly 009-0-111A), </w:t>
      </w:r>
      <w:r w:rsidRPr="001D6FBD" w:rsidR="000F531D">
        <w:rPr>
          <w:b/>
        </w:rPr>
        <w:t>Quarterly Progress Report</w:t>
      </w:r>
      <w:r w:rsidRPr="001D6FBD" w:rsidR="008910A6">
        <w:rPr>
          <w:b/>
        </w:rPr>
        <w:t xml:space="preserve"> (</w:t>
      </w:r>
      <w:r w:rsidRPr="001D6FBD" w:rsidR="00531F23">
        <w:rPr>
          <w:b/>
        </w:rPr>
        <w:t>Q</w:t>
      </w:r>
      <w:r w:rsidRPr="001D6FBD">
        <w:rPr>
          <w:b/>
        </w:rPr>
        <w:t>PR</w:t>
      </w:r>
      <w:r w:rsidRPr="001D6FBD" w:rsidR="008910A6">
        <w:rPr>
          <w:b/>
        </w:rPr>
        <w:t>)</w:t>
      </w:r>
      <w:r w:rsidRPr="001D6FBD" w:rsidR="00890B79">
        <w:t xml:space="preserve">: </w:t>
      </w:r>
      <w:r w:rsidRPr="001D6FBD">
        <w:t xml:space="preserve">describes the status of ongoing projects on which a final payment of the Federal share has not been made to the Recipient.  To be consistent with the requirements outlined in 2 CFR Part 200 and 44 CFR Part 206 (HMGP) and to comply with the Federal reporting regulations the QPR instructs the recipient to input the following data into an accompanying excel spreadsheet with corresponding tabbed columns:  Region, State Code, Disaster Number, Application ID, Project Number, Fiscal Year, Quarter Number, </w:t>
      </w:r>
      <w:r w:rsidRPr="001D6FBD" w:rsidR="001E0E42">
        <w:t>Quarter Project Status,</w:t>
      </w:r>
      <w:r w:rsidRPr="001D6FBD">
        <w:t xml:space="preserve"> Subrecipient Name, Project Title, Approved Period of Performance (POP) Completion Date, POP Time Extension, POP Time Extension Date, Cost Code, Status, Percentage Work Complete, Actual Project Completion Date, Total Properties, Property ID list, Total Recipient Drawdown, Most Recent Drawdown Date, Federal Funds Disbursed</w:t>
      </w:r>
      <w:r w:rsidRPr="001D6FBD" w:rsidR="00151EC8">
        <w:t>/Obligated</w:t>
      </w:r>
      <w:r w:rsidRPr="001D6FBD">
        <w:t>, Subrecipient Expenditures To Date, Date Final Payment Made to Subrecipient, Comments</w:t>
      </w:r>
      <w:r w:rsidRPr="001D6FBD" w:rsidR="00A628EC">
        <w:t>, and If in Closeout, where does it reside?</w:t>
      </w:r>
      <w:r w:rsidR="00611689">
        <w:t>,</w:t>
      </w:r>
      <w:r w:rsidRPr="001D6FBD" w:rsidR="00EE55A4">
        <w:t xml:space="preserve"> Descriptions for each</w:t>
      </w:r>
      <w:r w:rsidRPr="001D6FBD" w:rsidR="000E58D3">
        <w:t xml:space="preserve"> data field are included on a separate tab in the QPR</w:t>
      </w:r>
      <w:r w:rsidRPr="001D6FBD" w:rsidR="0089415E">
        <w:t xml:space="preserve"> excel spreadsheet</w:t>
      </w:r>
      <w:r w:rsidRPr="001D6FBD" w:rsidR="000806B2">
        <w:t xml:space="preserve">. </w:t>
      </w:r>
    </w:p>
    <w:p w:rsidR="003E1F53" w:rsidRPr="001D6FBD" w14:paraId="410000EA" w14:textId="77777777">
      <w:pPr>
        <w:spacing w:line="276" w:lineRule="auto"/>
        <w:contextualSpacing/>
      </w:pPr>
    </w:p>
    <w:p w:rsidR="003E1F53" w:rsidRPr="001D6FBD" w14:paraId="7F20DE3A" w14:textId="53280B03">
      <w:pPr>
        <w:spacing w:line="276" w:lineRule="auto"/>
        <w:contextualSpacing/>
      </w:pPr>
      <w:r>
        <w:t>As directed by OMB</w:t>
      </w:r>
      <w:r w:rsidR="002E1D68">
        <w:t>,</w:t>
      </w:r>
      <w:r>
        <w:t xml:space="preserve"> this updated QPR serves to collect the same project specific information as that approved by OMB in 2013. </w:t>
      </w:r>
      <w:r w:rsidR="09DE6F34">
        <w:t xml:space="preserve"> </w:t>
      </w:r>
      <w:r>
        <w:t xml:space="preserve">The instructions have been enhanced to provide better clarity to Recipients for the purpose of ensuring consistency as outlined in 2 CFR Part 200, and 44 CFR Part 206 (HMGP). </w:t>
      </w:r>
      <w:r w:rsidR="09DE6F34">
        <w:t xml:space="preserve"> </w:t>
      </w:r>
      <w:r>
        <w:t xml:space="preserve">The QPR that was approved in 2013 had fields to collect information using </w:t>
      </w:r>
      <w:r w:rsidR="7273EE6F">
        <w:t>FEMA Form FF-</w:t>
      </w:r>
      <w:r w:rsidR="5030D40A">
        <w:t>206</w:t>
      </w:r>
      <w:r w:rsidR="7273EE6F">
        <w:t>-FY-</w:t>
      </w:r>
      <w:r w:rsidR="5030D40A">
        <w:t>22</w:t>
      </w:r>
      <w:r w:rsidR="7273EE6F">
        <w:t>-</w:t>
      </w:r>
      <w:r w:rsidR="5030D40A">
        <w:t>154</w:t>
      </w:r>
      <w:r w:rsidR="7273EE6F">
        <w:t xml:space="preserve"> (</w:t>
      </w:r>
      <w:r>
        <w:t>former</w:t>
      </w:r>
      <w:r w:rsidR="7273EE6F">
        <w:t>ly</w:t>
      </w:r>
      <w:r>
        <w:t xml:space="preserve"> 009-0-111A</w:t>
      </w:r>
      <w:r w:rsidR="7273EE6F">
        <w:t>)</w:t>
      </w:r>
      <w:r w:rsidR="734C7164">
        <w:t>;</w:t>
      </w:r>
      <w:r>
        <w:t xml:space="preserve"> that information is now collected as part of the QPR process through excel spreadsheet</w:t>
      </w:r>
      <w:r w:rsidR="67212D3E">
        <w:t>s</w:t>
      </w:r>
      <w:r>
        <w:t>.</w:t>
      </w:r>
      <w:r w:rsidR="3E41F452">
        <w:t xml:space="preserve">  The QPR </w:t>
      </w:r>
      <w:r w:rsidR="7636826A">
        <w:t>spreadsheet lists data fields for</w:t>
      </w:r>
      <w:r>
        <w:t xml:space="preserve"> </w:t>
      </w:r>
      <w:r w:rsidR="46238E96">
        <w:t xml:space="preserve">the </w:t>
      </w:r>
      <w:r w:rsidR="7636826A">
        <w:t>t</w:t>
      </w:r>
      <w:r>
        <w:t>otal amount paid by the</w:t>
      </w:r>
      <w:r w:rsidR="00776B9A">
        <w:t xml:space="preserve"> </w:t>
      </w:r>
      <w:r w:rsidR="004E70BD">
        <w:t xml:space="preserve">recipient </w:t>
      </w:r>
      <w:r>
        <w:t xml:space="preserve">for work accomplished in </w:t>
      </w:r>
      <w:r w:rsidR="0075097A">
        <w:t xml:space="preserve">the </w:t>
      </w:r>
      <w:r w:rsidR="597627D6">
        <w:t>performance period</w:t>
      </w:r>
      <w:r>
        <w:t xml:space="preserve">, Federal funds drawn down by </w:t>
      </w:r>
      <w:r w:rsidR="004E70BD">
        <w:t>recipient</w:t>
      </w:r>
      <w:r>
        <w:t xml:space="preserve"> on </w:t>
      </w:r>
      <w:r w:rsidR="00852558">
        <w:t xml:space="preserve">a </w:t>
      </w:r>
      <w:r>
        <w:t xml:space="preserve">per project basis, date of last drawdown of Federal funds, amount disbursed to the subgrantees by the </w:t>
      </w:r>
      <w:r w:rsidR="004E70BD">
        <w:t>recipient</w:t>
      </w:r>
      <w:r>
        <w:t xml:space="preserve">, final payment made if applicable and status as to whether it is ready for closeout, latest approved period of performance and project completion status including any time extensions, whether time extension has been granted, description of status of project with percentage estimate, </w:t>
      </w:r>
      <w:r w:rsidR="00852558">
        <w:t xml:space="preserve">and </w:t>
      </w:r>
      <w:r>
        <w:t>date of project completed if applicable.</w:t>
      </w:r>
      <w:r w:rsidR="2DE0FC11">
        <w:t xml:space="preserve"> </w:t>
      </w:r>
    </w:p>
    <w:p w:rsidR="00B945B4" w:rsidRPr="001D6FBD" w14:paraId="7A3E7D4D" w14:textId="77777777">
      <w:pPr>
        <w:spacing w:line="276" w:lineRule="auto"/>
        <w:contextualSpacing/>
      </w:pPr>
    </w:p>
    <w:p w:rsidR="004274E8" w:rsidRPr="001D6FBD" w14:paraId="7A01158E" w14:textId="77777777">
      <w:pPr>
        <w:spacing w:line="276" w:lineRule="auto"/>
        <w:contextualSpacing/>
        <w:rPr>
          <w:i/>
        </w:rPr>
      </w:pPr>
      <w:r w:rsidRPr="001D6FBD">
        <w:rPr>
          <w:i/>
        </w:rPr>
        <w:t xml:space="preserve">The following Standard Forms are required for this collection.  The forms are approved for use under the OMB Control Number </w:t>
      </w:r>
      <w:r w:rsidRPr="001D6FBD" w:rsidR="00FA7157">
        <w:rPr>
          <w:i/>
        </w:rPr>
        <w:t>identified</w:t>
      </w:r>
      <w:r w:rsidRPr="001D6FBD">
        <w:rPr>
          <w:i/>
        </w:rPr>
        <w:t xml:space="preserve"> for each.</w:t>
      </w:r>
    </w:p>
    <w:p w:rsidR="004274E8" w:rsidRPr="001D6FBD" w14:paraId="16A4CF8A" w14:textId="77777777">
      <w:pPr>
        <w:spacing w:line="276" w:lineRule="auto"/>
        <w:contextualSpacing/>
      </w:pPr>
    </w:p>
    <w:p w:rsidR="004274E8" w:rsidRPr="001D6FBD" w14:paraId="4BBAAAC9" w14:textId="20577A16">
      <w:pPr>
        <w:spacing w:line="276" w:lineRule="auto"/>
        <w:contextualSpacing/>
      </w:pPr>
      <w:r w:rsidRPr="001D6FBD">
        <w:rPr>
          <w:b/>
          <w:bCs/>
        </w:rPr>
        <w:t>SF-424</w:t>
      </w:r>
      <w:r w:rsidRPr="001D6FBD" w:rsidR="00126D25">
        <w:rPr>
          <w:b/>
          <w:bCs/>
        </w:rPr>
        <w:t xml:space="preserve">: </w:t>
      </w:r>
      <w:r w:rsidRPr="001D6FBD" w:rsidR="00A940C1">
        <w:rPr>
          <w:b/>
          <w:bCs/>
        </w:rPr>
        <w:t xml:space="preserve"> </w:t>
      </w:r>
      <w:r w:rsidRPr="001D6FBD">
        <w:rPr>
          <w:b/>
          <w:bCs/>
        </w:rPr>
        <w:t>Application for Federal Assistance</w:t>
      </w:r>
      <w:r w:rsidRPr="001D6FBD">
        <w:t xml:space="preserve"> is a standard form used by applicants as a required face-sheet for pre-applications and applications submitted for Federal assistance.  It is used by Federal agencies to obtain application </w:t>
      </w:r>
      <w:r w:rsidRPr="001D6FBD" w:rsidR="009F3ECD">
        <w:t>certification and</w:t>
      </w:r>
      <w:r w:rsidRPr="001D6FBD">
        <w:t xml:space="preserve"> is approved for use under OMB No. 4040-0004.</w:t>
      </w:r>
    </w:p>
    <w:p w:rsidR="008D6BA8" w:rsidRPr="001D6FBD" w14:paraId="5336D010" w14:textId="77777777">
      <w:pPr>
        <w:spacing w:line="276" w:lineRule="auto"/>
        <w:contextualSpacing/>
      </w:pPr>
    </w:p>
    <w:p w:rsidR="008D6BA8" w:rsidRPr="001D6FBD" w14:paraId="78D8D6FE" w14:textId="56F35B35">
      <w:pPr>
        <w:spacing w:line="276" w:lineRule="auto"/>
        <w:contextualSpacing/>
      </w:pPr>
      <w:r w:rsidRPr="001D6FBD">
        <w:rPr>
          <w:b/>
          <w:bCs/>
        </w:rPr>
        <w:t>SF-424A</w:t>
      </w:r>
      <w:r w:rsidRPr="001D6FBD" w:rsidR="00AA461B">
        <w:rPr>
          <w:b/>
          <w:bCs/>
        </w:rPr>
        <w:t xml:space="preserve">:  </w:t>
      </w:r>
      <w:r w:rsidRPr="001D6FBD">
        <w:rPr>
          <w:b/>
          <w:bCs/>
        </w:rPr>
        <w:t>Budget Information for Non-construction</w:t>
      </w:r>
      <w:r w:rsidRPr="001D6FBD">
        <w:t xml:space="preserve"> </w:t>
      </w:r>
      <w:r w:rsidRPr="001D6FBD">
        <w:rPr>
          <w:b/>
        </w:rPr>
        <w:t>Programs</w:t>
      </w:r>
      <w:r w:rsidRPr="001D6FBD">
        <w:t xml:space="preserve"> is a standard form used by applicants to submit budget data when applying for a grant or cooperative agreement where the major purpose is not construction. </w:t>
      </w:r>
      <w:r w:rsidRPr="001D6FBD" w:rsidR="00A940C1">
        <w:t xml:space="preserve"> </w:t>
      </w:r>
      <w:r w:rsidRPr="001D6FBD">
        <w:t xml:space="preserve">The information can include </w:t>
      </w:r>
      <w:r w:rsidRPr="001D6FBD" w:rsidR="00FA1002">
        <w:t>a</w:t>
      </w:r>
      <w:r w:rsidRPr="001D6FBD" w:rsidR="00CA7C3A">
        <w:t xml:space="preserve"> </w:t>
      </w:r>
      <w:r w:rsidRPr="001D6FBD">
        <w:t xml:space="preserve">budget narrative that is used to </w:t>
      </w:r>
      <w:r w:rsidRPr="001D6FBD">
        <w:t xml:space="preserve">relate items to program activities and to justify and explain budget items. </w:t>
      </w:r>
      <w:r w:rsidRPr="001D6FBD" w:rsidR="00A940C1">
        <w:t xml:space="preserve"> </w:t>
      </w:r>
      <w:r w:rsidRPr="001D6FBD">
        <w:t>It is approved for use under OMB No. 4040-0006.</w:t>
      </w:r>
    </w:p>
    <w:p w:rsidR="008D6BA8" w:rsidRPr="001D6FBD" w14:paraId="31BCBEAB" w14:textId="77777777">
      <w:pPr>
        <w:spacing w:line="276" w:lineRule="auto"/>
        <w:contextualSpacing/>
      </w:pPr>
    </w:p>
    <w:p w:rsidR="008D6BA8" w:rsidRPr="001D6FBD" w14:paraId="30EB6B48" w14:textId="50FEE974">
      <w:pPr>
        <w:pStyle w:val="NoSpacing"/>
        <w:spacing w:line="276" w:lineRule="auto"/>
        <w:contextualSpacing/>
      </w:pPr>
      <w:r w:rsidRPr="001D6FBD">
        <w:rPr>
          <w:b/>
        </w:rPr>
        <w:t>SF-424B</w:t>
      </w:r>
      <w:r w:rsidRPr="001D6FBD" w:rsidR="00A940C1">
        <w:rPr>
          <w:b/>
        </w:rPr>
        <w:t xml:space="preserve">:  </w:t>
      </w:r>
      <w:r w:rsidRPr="001D6FBD">
        <w:rPr>
          <w:b/>
        </w:rPr>
        <w:t xml:space="preserve">Assurances for </w:t>
      </w:r>
      <w:r w:rsidRPr="001D6FBD" w:rsidR="00F22D48">
        <w:rPr>
          <w:b/>
        </w:rPr>
        <w:t>Non-Construction</w:t>
      </w:r>
      <w:r w:rsidRPr="001D6FBD">
        <w:rPr>
          <w:b/>
        </w:rPr>
        <w:t xml:space="preserve"> Programs</w:t>
      </w:r>
      <w:r w:rsidRPr="001D6FBD">
        <w:t xml:space="preserve"> is a standard form used by applicants to certify compliance with important Federal requirements when applying for a grant or cooperative agreement where the major purpose is not construction. </w:t>
      </w:r>
      <w:r w:rsidRPr="001D6FBD" w:rsidR="00A940C1">
        <w:t xml:space="preserve"> </w:t>
      </w:r>
      <w:r w:rsidRPr="001D6FBD">
        <w:t>It is approved for use under OMB No.</w:t>
      </w:r>
      <w:r w:rsidRPr="001D6FBD" w:rsidR="29427A26">
        <w:t xml:space="preserve"> </w:t>
      </w:r>
      <w:r w:rsidRPr="001D6FBD">
        <w:t>4040-0007.</w:t>
      </w:r>
    </w:p>
    <w:p w:rsidR="008D6BA8" w:rsidRPr="001D6FBD" w14:paraId="527F75BB" w14:textId="77777777">
      <w:pPr>
        <w:spacing w:line="276" w:lineRule="auto"/>
        <w:contextualSpacing/>
      </w:pPr>
    </w:p>
    <w:p w:rsidR="008D6BA8" w:rsidRPr="001D6FBD" w14:paraId="7ED47932" w14:textId="5E4EE1E1">
      <w:pPr>
        <w:spacing w:line="276" w:lineRule="auto"/>
        <w:contextualSpacing/>
      </w:pPr>
      <w:r w:rsidRPr="001D6FBD">
        <w:rPr>
          <w:b/>
          <w:bCs/>
        </w:rPr>
        <w:t>SF-424C</w:t>
      </w:r>
      <w:r w:rsidRPr="001D6FBD" w:rsidR="00A940C1">
        <w:rPr>
          <w:b/>
          <w:bCs/>
        </w:rPr>
        <w:t xml:space="preserve">:  </w:t>
      </w:r>
      <w:r w:rsidRPr="001D6FBD">
        <w:rPr>
          <w:b/>
          <w:bCs/>
        </w:rPr>
        <w:t>Budget Information for Construction</w:t>
      </w:r>
      <w:r w:rsidRPr="001D6FBD">
        <w:t xml:space="preserve"> </w:t>
      </w:r>
      <w:r w:rsidRPr="001D6FBD">
        <w:rPr>
          <w:b/>
        </w:rPr>
        <w:t>Programs</w:t>
      </w:r>
      <w:r w:rsidRPr="001D6FBD">
        <w:t xml:space="preserve"> is a standard form used by applicants to submit budget data when applying for a grant or cooperative agreement where the major purpose is construction.  The information can include </w:t>
      </w:r>
      <w:r w:rsidRPr="001D6FBD" w:rsidR="00FA1002">
        <w:t xml:space="preserve">a </w:t>
      </w:r>
      <w:r w:rsidRPr="001D6FBD">
        <w:t>budget narrative that is used to relate items to program activities and to justify and explain budget items.  It is approved for use under OMB No. 4040-0008.</w:t>
      </w:r>
    </w:p>
    <w:p w:rsidR="008D6BA8" w:rsidRPr="001D6FBD" w14:paraId="383A7371" w14:textId="77777777">
      <w:pPr>
        <w:spacing w:line="276" w:lineRule="auto"/>
        <w:contextualSpacing/>
      </w:pPr>
    </w:p>
    <w:p w:rsidR="008D6BA8" w:rsidRPr="001D6FBD" w14:paraId="356B8EB1" w14:textId="133C4D4E">
      <w:pPr>
        <w:spacing w:line="276" w:lineRule="auto"/>
        <w:contextualSpacing/>
      </w:pPr>
      <w:r w:rsidRPr="001D6FBD">
        <w:rPr>
          <w:b/>
        </w:rPr>
        <w:t>SF-424D</w:t>
      </w:r>
      <w:r w:rsidRPr="001D6FBD" w:rsidR="00A940C1">
        <w:rPr>
          <w:b/>
        </w:rPr>
        <w:t xml:space="preserve">:  </w:t>
      </w:r>
      <w:r w:rsidRPr="001D6FBD">
        <w:rPr>
          <w:b/>
        </w:rPr>
        <w:t>Assurances for Construction Programs</w:t>
      </w:r>
      <w:r w:rsidRPr="001D6FBD">
        <w:t xml:space="preserve"> is a standard form used by applicants to certify compliance with important Federal requirements when applying for a grant or cooperative agreement where the major purpose is construction. </w:t>
      </w:r>
      <w:r w:rsidRPr="001D6FBD" w:rsidR="00A940C1">
        <w:t xml:space="preserve"> </w:t>
      </w:r>
      <w:r w:rsidRPr="001D6FBD">
        <w:t>It is approved for use under OMB No. 4040-0009.</w:t>
      </w:r>
    </w:p>
    <w:p w:rsidR="004274E8" w:rsidRPr="001D6FBD" w14:paraId="7A4DF191" w14:textId="77777777">
      <w:pPr>
        <w:spacing w:line="276" w:lineRule="auto"/>
        <w:contextualSpacing/>
      </w:pPr>
    </w:p>
    <w:p w:rsidR="004274E8" w:rsidRPr="001D6FBD" w14:paraId="1B393CA4" w14:textId="0B6E77A4">
      <w:pPr>
        <w:spacing w:line="276" w:lineRule="auto"/>
        <w:contextualSpacing/>
      </w:pPr>
      <w:r w:rsidRPr="001D6FBD">
        <w:rPr>
          <w:b/>
        </w:rPr>
        <w:t>SF-425</w:t>
      </w:r>
      <w:r w:rsidRPr="001D6FBD" w:rsidR="00B05820">
        <w:rPr>
          <w:b/>
        </w:rPr>
        <w:t>/425A</w:t>
      </w:r>
      <w:r w:rsidRPr="001D6FBD" w:rsidR="00A940C1">
        <w:rPr>
          <w:b/>
        </w:rPr>
        <w:t xml:space="preserve">: </w:t>
      </w:r>
      <w:r w:rsidRPr="001D6FBD" w:rsidR="00A940C1">
        <w:t xml:space="preserve"> </w:t>
      </w:r>
      <w:r w:rsidRPr="001D6FBD">
        <w:rPr>
          <w:b/>
        </w:rPr>
        <w:t>Federal Financial Report</w:t>
      </w:r>
      <w:r w:rsidRPr="001D6FBD" w:rsidR="00B05820">
        <w:rPr>
          <w:b/>
        </w:rPr>
        <w:t>/Report Attachment</w:t>
      </w:r>
      <w:r w:rsidRPr="001D6FBD">
        <w:t xml:space="preserve"> </w:t>
      </w:r>
      <w:r w:rsidRPr="001D6FBD" w:rsidR="00A940C1">
        <w:t xml:space="preserve">is used by </w:t>
      </w:r>
      <w:r w:rsidRPr="001D6FBD">
        <w:t>State</w:t>
      </w:r>
      <w:r w:rsidRPr="001D6FBD" w:rsidR="00787464">
        <w:t>, Indian tribal</w:t>
      </w:r>
      <w:r w:rsidRPr="001D6FBD">
        <w:t xml:space="preserve"> and local governments to report the status of financial expenditures for FEMA grants</w:t>
      </w:r>
      <w:r w:rsidRPr="001D6FBD" w:rsidR="00B05820">
        <w:t>; SF-425A is attached when reporting multiple grants.</w:t>
      </w:r>
      <w:r w:rsidRPr="001D6FBD">
        <w:t xml:space="preserve"> </w:t>
      </w:r>
      <w:r w:rsidRPr="001D6FBD" w:rsidR="00601357">
        <w:t xml:space="preserve"> </w:t>
      </w:r>
      <w:r w:rsidRPr="001D6FBD">
        <w:t>It is approved for use under OMB No.</w:t>
      </w:r>
      <w:r w:rsidRPr="001D6FBD" w:rsidR="00B05820">
        <w:t xml:space="preserve"> 4040-0014</w:t>
      </w:r>
      <w:r w:rsidRPr="001D6FBD">
        <w:t>.</w:t>
      </w:r>
    </w:p>
    <w:p w:rsidR="001C1C08" w:rsidRPr="001D6FBD" w14:paraId="7DD827E1" w14:textId="77777777">
      <w:pPr>
        <w:spacing w:line="276" w:lineRule="auto"/>
        <w:contextualSpacing/>
      </w:pPr>
    </w:p>
    <w:p w:rsidR="001C1C08" w:rsidRPr="001D6FBD" w14:paraId="687EEDCE" w14:textId="27F07AF0">
      <w:pPr>
        <w:spacing w:line="276" w:lineRule="auto"/>
        <w:contextualSpacing/>
      </w:pPr>
      <w:r w:rsidRPr="001D6FBD">
        <w:rPr>
          <w:b/>
        </w:rPr>
        <w:t>SF-429</w:t>
      </w:r>
      <w:r w:rsidRPr="001D6FBD" w:rsidR="00601357">
        <w:rPr>
          <w:b/>
        </w:rPr>
        <w:t xml:space="preserve">:  </w:t>
      </w:r>
      <w:r w:rsidRPr="001D6FBD">
        <w:rPr>
          <w:b/>
        </w:rPr>
        <w:t>Real Property Status Report</w:t>
      </w:r>
      <w:r w:rsidRPr="001D6FBD">
        <w:t xml:space="preserve"> is a standard form used by recipients to provide a listing of </w:t>
      </w:r>
      <w:r w:rsidRPr="001D6FBD" w:rsidR="003F3DEE">
        <w:t>any</w:t>
      </w:r>
      <w:r w:rsidRPr="001D6FBD" w:rsidR="00F400A6">
        <w:t xml:space="preserve"> </w:t>
      </w:r>
      <w:r w:rsidRPr="001D6FBD" w:rsidR="003F3DEE">
        <w:t>real property</w:t>
      </w:r>
      <w:r w:rsidRPr="001D6FBD">
        <w:t xml:space="preserve"> </w:t>
      </w:r>
      <w:r w:rsidRPr="001D6FBD" w:rsidR="00B83AFF">
        <w:t>acquired</w:t>
      </w:r>
      <w:r w:rsidRPr="001D6FBD" w:rsidR="003F3DEE">
        <w:t xml:space="preserve"> or improved</w:t>
      </w:r>
      <w:r w:rsidRPr="001D6FBD">
        <w:t xml:space="preserve"> under a grant or cooperative agreement. </w:t>
      </w:r>
      <w:r w:rsidRPr="001D6FBD" w:rsidR="00601357">
        <w:t xml:space="preserve"> </w:t>
      </w:r>
      <w:r w:rsidRPr="001D6FBD">
        <w:t>It is approved for use under OMB No. 4040-0016.</w:t>
      </w:r>
    </w:p>
    <w:p w:rsidR="004274E8" w:rsidRPr="001D6FBD" w14:paraId="6875D678" w14:textId="77777777">
      <w:pPr>
        <w:spacing w:line="276" w:lineRule="auto"/>
        <w:contextualSpacing/>
      </w:pPr>
    </w:p>
    <w:p w:rsidR="004274E8" w:rsidRPr="001D6FBD" w14:paraId="0BB1A33F" w14:textId="4FA9110B">
      <w:pPr>
        <w:spacing w:line="276" w:lineRule="auto"/>
        <w:contextualSpacing/>
      </w:pPr>
      <w:r w:rsidRPr="001D6FBD">
        <w:rPr>
          <w:b/>
        </w:rPr>
        <w:t>SF-LLL</w:t>
      </w:r>
      <w:r w:rsidRPr="001D6FBD" w:rsidR="00601357">
        <w:rPr>
          <w:b/>
        </w:rPr>
        <w:t xml:space="preserve">:  </w:t>
      </w:r>
      <w:r w:rsidRPr="001D6FBD">
        <w:rPr>
          <w:b/>
        </w:rPr>
        <w:t xml:space="preserve">Disclosure of Lobbying Activities </w:t>
      </w:r>
      <w:r w:rsidRPr="001D6FBD">
        <w:t>is a standard form used by applicants as a required agreement to comply with all requirements of the awarding agency.  It is approved for use under OMB No.</w:t>
      </w:r>
      <w:r w:rsidRPr="001D6FBD" w:rsidR="5B097E0F">
        <w:t xml:space="preserve"> </w:t>
      </w:r>
      <w:r w:rsidRPr="001D6FBD" w:rsidR="00B05820">
        <w:t>4040-0013</w:t>
      </w:r>
      <w:r w:rsidRPr="001D6FBD">
        <w:t>.</w:t>
      </w:r>
    </w:p>
    <w:p w:rsidR="00F459C5" w:rsidRPr="001D6FBD" w14:paraId="38D05FB6" w14:textId="77777777">
      <w:pPr>
        <w:spacing w:line="276" w:lineRule="auto"/>
        <w:contextualSpacing/>
      </w:pPr>
    </w:p>
    <w:p w:rsidR="00842E74" w:rsidRPr="001D6FBD" w14:paraId="2CF488F5" w14:textId="77777777">
      <w:pPr>
        <w:spacing w:line="276" w:lineRule="auto"/>
        <w:contextualSpacing/>
        <w:rPr>
          <w:b/>
          <w:bCs/>
        </w:rPr>
      </w:pPr>
      <w:r w:rsidRPr="00993950">
        <w:rPr>
          <w:b/>
          <w:bCs/>
        </w:rPr>
        <w:fldChar w:fldCharType="begin"/>
      </w:r>
      <w:r w:rsidRPr="001D6FBD">
        <w:rPr>
          <w:b/>
          <w:bCs/>
        </w:rPr>
        <w:instrText>ADVANCE \R 0.95</w:instrText>
      </w:r>
      <w:r w:rsidRPr="00993950">
        <w:rPr>
          <w:b/>
          <w:bCs/>
        </w:rPr>
        <w:fldChar w:fldCharType="end"/>
      </w:r>
      <w:r w:rsidRPr="001D6FBD">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Pr="001D6FBD" w:rsidR="00B1651E">
        <w:rPr>
          <w:b/>
          <w:bCs/>
        </w:rPr>
        <w:t>on technology to reduce burden.</w:t>
      </w:r>
    </w:p>
    <w:p w:rsidR="00842E74" w:rsidRPr="001D6FBD" w14:paraId="3C36EF8D" w14:textId="77777777">
      <w:pPr>
        <w:spacing w:line="276" w:lineRule="auto"/>
        <w:contextualSpacing/>
      </w:pPr>
    </w:p>
    <w:p w:rsidR="00DF1D7B" w:rsidRPr="001D6FBD" w14:paraId="17F69F9A" w14:textId="4BB37099">
      <w:pPr>
        <w:spacing w:line="276" w:lineRule="auto"/>
        <w:contextualSpacing/>
      </w:pPr>
      <w:r w:rsidRPr="001D6FBD">
        <w:t xml:space="preserve">The information management and grants processing system that </w:t>
      </w:r>
      <w:r w:rsidRPr="001D6FBD" w:rsidR="365949FE">
        <w:t xml:space="preserve">presently </w:t>
      </w:r>
      <w:r w:rsidRPr="001D6FBD">
        <w:t xml:space="preserve">supports the HMGP lifecycle </w:t>
      </w:r>
      <w:r w:rsidRPr="001D6FBD" w:rsidR="61B35C8D">
        <w:t>process</w:t>
      </w:r>
      <w:r w:rsidRPr="001D6FBD">
        <w:t xml:space="preserve"> is </w:t>
      </w:r>
      <w:r w:rsidRPr="001D6FBD" w:rsidR="1E4AB9EF">
        <w:t xml:space="preserve">the </w:t>
      </w:r>
      <w:bookmarkStart w:id="4" w:name="_Hlk102755589"/>
      <w:r w:rsidRPr="001D6FBD" w:rsidR="1E4AB9EF">
        <w:t xml:space="preserve">National Emergency Management Information System </w:t>
      </w:r>
      <w:r w:rsidRPr="001D6FBD">
        <w:t>(</w:t>
      </w:r>
      <w:r w:rsidRPr="001D6FBD" w:rsidR="1E4AB9EF">
        <w:t>NEMIS)</w:t>
      </w:r>
      <w:bookmarkEnd w:id="4"/>
      <w:r w:rsidRPr="001D6FBD">
        <w:t>.</w:t>
      </w:r>
      <w:r w:rsidRPr="001D6FBD" w:rsidR="365949FE">
        <w:t xml:space="preserve"> </w:t>
      </w:r>
      <w:r w:rsidRPr="001D6FBD" w:rsidR="5C028D76">
        <w:t>Applicants use NEMIS to create the applications and submit them in digital format</w:t>
      </w:r>
      <w:r w:rsidRPr="001D6FBD" w:rsidR="757B5F0E">
        <w:t xml:space="preserve">, or the </w:t>
      </w:r>
      <w:r w:rsidRPr="001D6FBD" w:rsidR="757B5F0E">
        <w:t>information can be e-mailed as attachments to the FEMA regional representative for the particular disaster.</w:t>
      </w:r>
      <w:r w:rsidRPr="001D6FBD" w:rsidR="1FE2EDD1">
        <w:t xml:space="preserve"> </w:t>
      </w:r>
      <w:r w:rsidRPr="001D6FBD" w:rsidR="0742811A">
        <w:t xml:space="preserve"> </w:t>
      </w:r>
      <w:r w:rsidRPr="001D6FBD" w:rsidR="2A4D5600">
        <w:t xml:space="preserve"> </w:t>
      </w:r>
    </w:p>
    <w:p w:rsidR="00AA7C7D" w:rsidRPr="001D6FBD" w14:paraId="2290D82E" w14:textId="5E3E52AD">
      <w:pPr>
        <w:spacing w:line="276" w:lineRule="auto"/>
        <w:contextualSpacing/>
      </w:pPr>
      <w:r w:rsidRPr="001D6FBD">
        <w:t xml:space="preserve">  </w:t>
      </w:r>
    </w:p>
    <w:p w:rsidR="00DF1D7B" w:rsidRPr="001D6FBD" w14:paraId="257FE314" w14:textId="7812C92B">
      <w:pPr>
        <w:spacing w:after="160" w:line="276" w:lineRule="auto"/>
        <w:contextualSpacing/>
      </w:pPr>
      <w:r w:rsidRPr="001D6FBD">
        <w:t xml:space="preserve">FEMA is developing a new system known as FEMA Grants Outcomes (FEMA GO), which will replace NEMIS as the HMGP system of record over the next few years.  It is anticipated that new HMGP grants will be supported in FEMA GO beginning in 2023, and that by 2025 all grants from the NEMIS system will be migrated to FEMA GO. </w:t>
      </w:r>
    </w:p>
    <w:p w:rsidR="00601357" w:rsidRPr="001D6FBD" w14:paraId="372CCFC7" w14:textId="77777777">
      <w:pPr>
        <w:spacing w:line="276" w:lineRule="auto"/>
        <w:contextualSpacing/>
      </w:pPr>
    </w:p>
    <w:p w:rsidR="00AE1697" w:rsidRPr="001D6FBD" w14:paraId="5E0332EA" w14:textId="78357DEC">
      <w:pPr>
        <w:spacing w:line="276" w:lineRule="auto"/>
        <w:contextualSpacing/>
      </w:pPr>
      <w:r w:rsidRPr="001D6FBD">
        <w:t xml:space="preserve">FEMA GO is a single web-based application for grants management within FEMA. When adopted by HMGP, FEMA GO will streamline the grant program across the agency and reduce the burden for grant recipients. </w:t>
      </w:r>
    </w:p>
    <w:p w:rsidR="00AE1697" w:rsidRPr="001D6FBD" w14:paraId="3BC52E2C" w14:textId="77777777">
      <w:pPr>
        <w:spacing w:line="276" w:lineRule="auto"/>
        <w:contextualSpacing/>
      </w:pPr>
    </w:p>
    <w:p w:rsidR="00AE1697" w:rsidRPr="001D6FBD" w14:paraId="16892ECB" w14:textId="77777777">
      <w:pPr>
        <w:spacing w:line="276" w:lineRule="auto"/>
        <w:contextualSpacing/>
      </w:pPr>
      <w:r w:rsidRPr="001D6FBD">
        <w:t xml:space="preserve">FEMA GO reduces the public burden by: </w:t>
      </w:r>
    </w:p>
    <w:p w:rsidR="00AE1697" w:rsidRPr="001D6FBD" w14:paraId="27D4EF4C" w14:textId="2DEED9D8">
      <w:pPr>
        <w:pStyle w:val="ListParagraph"/>
        <w:numPr>
          <w:ilvl w:val="0"/>
          <w:numId w:val="18"/>
        </w:numPr>
        <w:spacing w:line="276" w:lineRule="auto"/>
      </w:pPr>
      <w:r w:rsidRPr="001D6FBD">
        <w:t xml:space="preserve">Allowing information sharing across grant </w:t>
      </w:r>
      <w:r w:rsidRPr="001D6FBD" w:rsidR="0BC5D61D">
        <w:t>programs</w:t>
      </w:r>
      <w:r w:rsidRPr="001D6FBD" w:rsidR="2707E6D7">
        <w:t>;</w:t>
      </w:r>
    </w:p>
    <w:p w:rsidR="00AE1697" w:rsidRPr="001D6FBD" w14:paraId="2EED1060" w14:textId="1B9F8164">
      <w:pPr>
        <w:pStyle w:val="ListParagraph"/>
        <w:numPr>
          <w:ilvl w:val="0"/>
          <w:numId w:val="18"/>
        </w:numPr>
        <w:spacing w:line="276" w:lineRule="auto"/>
      </w:pPr>
      <w:r w:rsidRPr="001D6FBD">
        <w:t>Pre-populating recipient information when appropriate;</w:t>
      </w:r>
    </w:p>
    <w:p w:rsidR="00AE1697" w:rsidRPr="001D6FBD" w14:paraId="5799FD94" w14:textId="42B320BD">
      <w:pPr>
        <w:pStyle w:val="ListParagraph"/>
        <w:numPr>
          <w:ilvl w:val="0"/>
          <w:numId w:val="18"/>
        </w:numPr>
        <w:spacing w:line="276" w:lineRule="auto"/>
      </w:pPr>
      <w:r w:rsidRPr="001D6FBD">
        <w:t>Using conditional logic so users need only to respond to questions relevant to them;</w:t>
      </w:r>
    </w:p>
    <w:p w:rsidR="00AE1697" w:rsidRPr="001D6FBD" w14:paraId="49A1F447" w14:textId="141A6E14">
      <w:pPr>
        <w:pStyle w:val="ListParagraph"/>
        <w:numPr>
          <w:ilvl w:val="0"/>
          <w:numId w:val="18"/>
        </w:numPr>
        <w:spacing w:line="276" w:lineRule="auto"/>
      </w:pPr>
      <w:r w:rsidRPr="001D6FBD">
        <w:t>Utilizing algorithms that do financial calculations automatically; and</w:t>
      </w:r>
    </w:p>
    <w:p w:rsidR="00AE1697" w:rsidRPr="001D6FBD" w14:paraId="652515A4" w14:textId="62CD462E">
      <w:pPr>
        <w:pStyle w:val="ListParagraph"/>
        <w:numPr>
          <w:ilvl w:val="0"/>
          <w:numId w:val="18"/>
        </w:numPr>
        <w:spacing w:line="276" w:lineRule="auto"/>
      </w:pPr>
      <w:r w:rsidRPr="001D6FBD">
        <w:t>Using plain language questions that are easier to understand.</w:t>
      </w:r>
    </w:p>
    <w:p w:rsidR="00FA7771" w:rsidRPr="001D6FBD" w:rsidP="00993950" w14:paraId="780A4B0B" w14:textId="5EE3483F">
      <w:pPr>
        <w:spacing w:line="276" w:lineRule="auto"/>
        <w:contextualSpacing/>
      </w:pPr>
    </w:p>
    <w:p w:rsidR="00FA7771" w:rsidRPr="001D6FBD" w14:paraId="5EAABBD3" w14:textId="23FFB441">
      <w:pPr>
        <w:spacing w:line="276" w:lineRule="auto"/>
        <w:contextualSpacing/>
      </w:pPr>
      <w:r w:rsidRPr="001D6FBD">
        <w:t xml:space="preserve">Usability </w:t>
      </w:r>
      <w:r w:rsidRPr="001D6FBD" w:rsidR="003F7BC4">
        <w:t>t</w:t>
      </w:r>
      <w:r w:rsidRPr="001D6FBD">
        <w:t>esting has been conducted on this collection.  As result, there is no change to this collection at this time.</w:t>
      </w:r>
    </w:p>
    <w:p w:rsidR="00261AD9" w:rsidRPr="001D6FBD" w14:paraId="25EDD39F" w14:textId="5777DCC4">
      <w:pPr>
        <w:spacing w:line="276" w:lineRule="auto"/>
        <w:contextualSpacing/>
      </w:pPr>
    </w:p>
    <w:p w:rsidR="00842E74" w:rsidRPr="001D6FBD" w14:paraId="16B9FEAE" w14:textId="77777777">
      <w:pPr>
        <w:spacing w:line="276" w:lineRule="auto"/>
        <w:contextualSpacing/>
        <w:rPr>
          <w:b/>
          <w:bCs/>
        </w:rPr>
      </w:pPr>
      <w:r w:rsidRPr="00993950">
        <w:fldChar w:fldCharType="begin"/>
      </w:r>
      <w:r w:rsidRPr="001D6FBD">
        <w:instrText>ADVANCE \R 0.95</w:instrText>
      </w:r>
      <w:r w:rsidRPr="00993950">
        <w:fldChar w:fldCharType="end"/>
      </w:r>
      <w:r w:rsidRPr="001D6FBD">
        <w:rPr>
          <w:b/>
          <w:bCs/>
        </w:rPr>
        <w:t>4.  Describe eff</w:t>
      </w:r>
      <w:r w:rsidRPr="001D6FBD" w:rsidR="00B1651E">
        <w:rPr>
          <w:b/>
          <w:bCs/>
        </w:rPr>
        <w:t xml:space="preserve">orts to identify duplication.  </w:t>
      </w:r>
      <w:r w:rsidRPr="001D6FBD">
        <w:rPr>
          <w:b/>
          <w:bCs/>
        </w:rPr>
        <w:t>Show specifically why any similar information already available cannot be used or modified for use for the purpo</w:t>
      </w:r>
      <w:r w:rsidRPr="001D6FBD" w:rsidR="00B1651E">
        <w:rPr>
          <w:b/>
          <w:bCs/>
        </w:rPr>
        <w:t>ses described in Item 2 above.</w:t>
      </w:r>
    </w:p>
    <w:p w:rsidR="00527B05" w:rsidRPr="00993950" w14:paraId="786C0D48" w14:textId="77777777">
      <w:pPr>
        <w:spacing w:line="276" w:lineRule="auto"/>
        <w:contextualSpacing/>
      </w:pPr>
    </w:p>
    <w:p w:rsidR="00162397" w:rsidRPr="00B93B1F" w14:paraId="64468C93" w14:textId="77777777">
      <w:pPr>
        <w:spacing w:line="276" w:lineRule="auto"/>
        <w:contextualSpacing/>
      </w:pPr>
      <w:r w:rsidRPr="00993950">
        <w:fldChar w:fldCharType="begin"/>
      </w:r>
      <w:r w:rsidRPr="00B93B1F">
        <w:instrText>ADVANCE \R 0.95</w:instrText>
      </w:r>
      <w:r w:rsidRPr="00993950">
        <w:fldChar w:fldCharType="end"/>
      </w:r>
      <w:r w:rsidRPr="00B93B1F" w:rsidR="00527B05">
        <w:t>This information is not collected in any form, and therefore is not duplicated elsewhere.</w:t>
      </w:r>
    </w:p>
    <w:p w:rsidR="00527B05" w:rsidRPr="00B93B1F" w14:paraId="018BC257" w14:textId="77777777">
      <w:pPr>
        <w:spacing w:line="276" w:lineRule="auto"/>
        <w:contextualSpacing/>
      </w:pPr>
    </w:p>
    <w:p w:rsidR="00842E74" w:rsidRPr="001D6FBD" w14:paraId="69AB3C66" w14:textId="77777777">
      <w:pPr>
        <w:tabs>
          <w:tab w:val="left" w:pos="360"/>
        </w:tabs>
        <w:spacing w:line="276" w:lineRule="auto"/>
        <w:contextualSpacing/>
        <w:rPr>
          <w:b/>
          <w:bCs/>
        </w:rPr>
      </w:pPr>
      <w:r w:rsidRPr="001D6FBD">
        <w:rPr>
          <w:b/>
          <w:bCs/>
        </w:rPr>
        <w:t>5.  If the collection of information impacts small businesses or other small entities (Item 5 of OMB Form 83-I), describe any methods used to minimize.</w:t>
      </w:r>
    </w:p>
    <w:p w:rsidR="00842E74" w:rsidRPr="001D6FBD" w14:paraId="6939091E" w14:textId="77777777">
      <w:pPr>
        <w:spacing w:line="276" w:lineRule="auto"/>
        <w:contextualSpacing/>
        <w:rPr>
          <w:spacing w:val="-3"/>
        </w:rPr>
      </w:pPr>
    </w:p>
    <w:p w:rsidR="00527B05" w:rsidRPr="001D6FBD" w14:paraId="4C1FB710" w14:textId="77BB360E">
      <w:pPr>
        <w:spacing w:line="276" w:lineRule="auto"/>
        <w:contextualSpacing/>
      </w:pPr>
      <w:r w:rsidRPr="001D6FBD">
        <w:rPr>
          <w:spacing w:val="-3"/>
        </w:rPr>
        <w:t xml:space="preserve">This information does not have an impact on businesses </w:t>
      </w:r>
      <w:r w:rsidR="002A71BA">
        <w:rPr>
          <w:spacing w:val="-3"/>
        </w:rPr>
        <w:t>and homeowners.  Please refer to the following website for further information (</w:t>
      </w:r>
      <w:hyperlink r:id="rId9" w:history="1">
        <w:r w:rsidRPr="000C376C" w:rsidR="002A71BA">
          <w:rPr>
            <w:rStyle w:val="Hyperlink"/>
            <w:spacing w:val="-3"/>
          </w:rPr>
          <w:t>https://www.fema.gov/grants/mitigation/hazard-mitigation</w:t>
        </w:r>
      </w:hyperlink>
      <w:r w:rsidR="002A71BA">
        <w:rPr>
          <w:spacing w:val="-3"/>
        </w:rPr>
        <w:t xml:space="preserve"> - </w:t>
      </w:r>
      <w:r w:rsidRPr="002A71BA" w:rsidR="002A71BA">
        <w:t xml:space="preserve"> </w:t>
      </w:r>
      <w:r w:rsidRPr="002A71BA" w:rsidR="002A71BA">
        <w:rPr>
          <w:spacing w:val="-3"/>
        </w:rPr>
        <w:t>https://www.fema.gov/grants/mitigation/hazard-mitigation</w:t>
      </w:r>
      <w:r w:rsidR="002A71BA">
        <w:rPr>
          <w:spacing w:val="-3"/>
        </w:rPr>
        <w:t xml:space="preserve">). </w:t>
      </w:r>
    </w:p>
    <w:p w:rsidR="00527B05" w:rsidRPr="001D6FBD" w14:paraId="77BEC19E" w14:textId="77777777">
      <w:pPr>
        <w:spacing w:line="276" w:lineRule="auto"/>
        <w:contextualSpacing/>
        <w:rPr>
          <w:spacing w:val="-3"/>
        </w:rPr>
      </w:pPr>
    </w:p>
    <w:p w:rsidR="00842E74" w:rsidRPr="001D6FBD" w14:paraId="6C16BE4F" w14:textId="04F58B6E">
      <w:pPr>
        <w:spacing w:line="276" w:lineRule="auto"/>
        <w:contextualSpacing/>
        <w:rPr>
          <w:b/>
          <w:bCs/>
        </w:rPr>
      </w:pPr>
      <w:r w:rsidRPr="00993950">
        <w:rPr>
          <w:b/>
          <w:bCs/>
        </w:rPr>
        <w:fldChar w:fldCharType="begin"/>
      </w:r>
      <w:r w:rsidRPr="001D6FBD">
        <w:rPr>
          <w:b/>
          <w:bCs/>
        </w:rPr>
        <w:instrText>ADVANCE \R 0.95</w:instrText>
      </w:r>
      <w:r w:rsidRPr="00993950">
        <w:rPr>
          <w:b/>
          <w:bCs/>
        </w:rPr>
        <w:fldChar w:fldCharType="end"/>
      </w:r>
      <w:r w:rsidRPr="001D6FBD">
        <w:rPr>
          <w:b/>
          <w:bCs/>
        </w:rPr>
        <w:t xml:space="preserve">6.  Describe the consequence to Federal/FEMA program or policy activities if the collection of information is not </w:t>
      </w:r>
      <w:r w:rsidRPr="001D6FBD" w:rsidR="001179D8">
        <w:rPr>
          <w:b/>
          <w:bCs/>
        </w:rPr>
        <w:t>conducted or</w:t>
      </w:r>
      <w:r w:rsidRPr="001D6FBD">
        <w:rPr>
          <w:b/>
          <w:bCs/>
        </w:rPr>
        <w:t xml:space="preserve"> is conducted less frequently</w:t>
      </w:r>
      <w:r w:rsidRPr="001D6FBD" w:rsidR="009F46CE">
        <w:rPr>
          <w:b/>
          <w:bCs/>
        </w:rPr>
        <w:t xml:space="preserve"> </w:t>
      </w:r>
      <w:r w:rsidRPr="001D6FBD">
        <w:rPr>
          <w:b/>
          <w:bCs/>
        </w:rPr>
        <w:t xml:space="preserve">as well as any technical or legal obstacles to reducing burden.  </w:t>
      </w:r>
    </w:p>
    <w:p w:rsidR="004B51C5" w:rsidRPr="00993950" w14:paraId="364F619E" w14:textId="1F1F97E4">
      <w:pPr>
        <w:spacing w:line="276" w:lineRule="auto"/>
        <w:contextualSpacing/>
      </w:pPr>
    </w:p>
    <w:p w:rsidR="006E366C" w:rsidRPr="001D6FBD" w14:paraId="0D1A5BAB" w14:textId="4FEEA0E6">
      <w:pPr>
        <w:spacing w:line="276" w:lineRule="auto"/>
        <w:contextualSpacing/>
      </w:pPr>
      <w:r w:rsidRPr="001D6FBD">
        <w:t xml:space="preserve">The Stafford Act established specific eligibility criteria for the use of the HMGP grant </w:t>
      </w:r>
      <w:r w:rsidRPr="001D6FBD" w:rsidR="5FB94545">
        <w:t xml:space="preserve">program </w:t>
      </w:r>
      <w:r w:rsidRPr="001D6FBD">
        <w:t xml:space="preserve">authority. </w:t>
      </w:r>
      <w:r w:rsidRPr="001D6FBD" w:rsidR="0742811A">
        <w:t xml:space="preserve"> </w:t>
      </w:r>
      <w:r w:rsidRPr="001D6FBD" w:rsidR="150A2769">
        <w:t xml:space="preserve">The OMB 1660-0076 collection allows FEMA to </w:t>
      </w:r>
      <w:r w:rsidRPr="001D6FBD">
        <w:t xml:space="preserve">determine eligibility of potential applicants, </w:t>
      </w:r>
      <w:r w:rsidRPr="001D6FBD" w:rsidR="54AD4CBD">
        <w:t xml:space="preserve">proposed </w:t>
      </w:r>
      <w:r w:rsidRPr="001D6FBD">
        <w:t>mitigation activities</w:t>
      </w:r>
      <w:r w:rsidRPr="001D6FBD" w:rsidR="22037A36">
        <w:t>, cost</w:t>
      </w:r>
      <w:r w:rsidRPr="001D6FBD" w:rsidR="5FB94545">
        <w:t xml:space="preserve">-effectiveness of the proposed activity, the effect on the environment, </w:t>
      </w:r>
      <w:r w:rsidRPr="001D6FBD" w:rsidR="735F405B">
        <w:t xml:space="preserve">or </w:t>
      </w:r>
      <w:r w:rsidRPr="001D6FBD" w:rsidR="07A7744F">
        <w:t xml:space="preserve">the </w:t>
      </w:r>
      <w:r w:rsidRPr="001D6FBD" w:rsidR="735F405B">
        <w:t>status of the project</w:t>
      </w:r>
      <w:r w:rsidRPr="001D6FBD" w:rsidR="000F14F1">
        <w:t>.</w:t>
      </w:r>
      <w:r w:rsidRPr="001D6FBD" w:rsidR="525B10F9">
        <w:t xml:space="preserve"> </w:t>
      </w:r>
      <w:r w:rsidRPr="001D6FBD" w:rsidR="0742811A">
        <w:t xml:space="preserve"> </w:t>
      </w:r>
      <w:r w:rsidRPr="001D6FBD" w:rsidR="00B852DD">
        <w:t xml:space="preserve">The OMB 1660-0076 collection allows FEMA to implement </w:t>
      </w:r>
      <w:r w:rsidRPr="001D6FBD" w:rsidR="00A612B0">
        <w:t>HMGP</w:t>
      </w:r>
      <w:r w:rsidRPr="001D6FBD" w:rsidR="00B852DD">
        <w:t xml:space="preserve"> and deliver disaster assistance for mitigation activities to State, Indian tribal and local communities that have been declared under a Presidential Major Disaster Declaration.  </w:t>
      </w:r>
      <w:r w:rsidRPr="001D6FBD" w:rsidR="08F7E600">
        <w:t xml:space="preserve"> </w:t>
      </w:r>
    </w:p>
    <w:p w:rsidR="000F531D" w:rsidRPr="001D6FBD" w14:paraId="473B691E" w14:textId="109F6A34">
      <w:pPr>
        <w:spacing w:line="276" w:lineRule="auto"/>
        <w:contextualSpacing/>
      </w:pPr>
    </w:p>
    <w:p w:rsidR="003F7BC4" w:rsidRPr="00993950" w:rsidP="00993950" w14:paraId="78ECCEAC" w14:textId="23B2F29D">
      <w:pPr>
        <w:pStyle w:val="ListParagraph"/>
        <w:numPr>
          <w:ilvl w:val="0"/>
          <w:numId w:val="23"/>
        </w:numPr>
        <w:spacing w:line="276" w:lineRule="auto"/>
        <w:ind w:left="360"/>
        <w:rPr>
          <w:b/>
          <w:bCs/>
          <w:color w:val="000000" w:themeColor="text1"/>
        </w:rPr>
      </w:pPr>
      <w:r w:rsidRPr="00993950">
        <w:rPr>
          <w:b/>
          <w:bCs/>
          <w:color w:val="000000" w:themeColor="text1"/>
        </w:rPr>
        <w:t>Explain any special circumstances that would cause an information collection to be conducted in a manner (See 5 CFR 1320.5(d)(2)):</w:t>
      </w:r>
    </w:p>
    <w:p w:rsidR="003F7BC4" w:rsidRPr="00993950" w14:paraId="2FC1A468" w14:textId="77777777">
      <w:pPr>
        <w:spacing w:line="276" w:lineRule="auto"/>
        <w:contextualSpacing/>
        <w:rPr>
          <w:color w:val="000000" w:themeColor="text1"/>
        </w:rPr>
      </w:pPr>
    </w:p>
    <w:p w:rsidR="003F7BC4" w:rsidRPr="00993950" w:rsidP="00993950" w14:paraId="32CCF071" w14:textId="77777777">
      <w:pPr>
        <w:pStyle w:val="ListParagraph"/>
        <w:numPr>
          <w:ilvl w:val="1"/>
          <w:numId w:val="23"/>
        </w:numPr>
        <w:spacing w:line="276" w:lineRule="auto"/>
        <w:ind w:left="720"/>
        <w:rPr>
          <w:b/>
          <w:bCs/>
          <w:color w:val="000000" w:themeColor="text1"/>
        </w:rPr>
      </w:pPr>
      <w:r w:rsidRPr="00993950">
        <w:rPr>
          <w:b/>
          <w:bCs/>
          <w:color w:val="000000" w:themeColor="text1"/>
        </w:rPr>
        <w:t>Requiring respondents to report information to the agency more often than quarterly.</w:t>
      </w:r>
    </w:p>
    <w:p w:rsidR="003F7BC4" w:rsidRPr="00993950" w14:paraId="7B30DD8A" w14:textId="77777777">
      <w:pPr>
        <w:spacing w:line="276" w:lineRule="auto"/>
        <w:contextualSpacing/>
        <w:rPr>
          <w:color w:val="000000" w:themeColor="text1"/>
        </w:rPr>
      </w:pPr>
    </w:p>
    <w:p w:rsidR="003F7BC4" w:rsidRPr="00993950" w14:paraId="1CAFE3B5" w14:textId="72F965D3">
      <w:pPr>
        <w:spacing w:line="276" w:lineRule="auto"/>
        <w:contextualSpacing/>
        <w:rPr>
          <w:color w:val="000000" w:themeColor="text1"/>
        </w:rPr>
      </w:pPr>
      <w:r w:rsidRPr="00993950">
        <w:rPr>
          <w:color w:val="000000" w:themeColor="text1"/>
        </w:rPr>
        <w:t>This information collection does not require respondents to report information more than quarterly.</w:t>
      </w:r>
    </w:p>
    <w:p w:rsidR="003F7BC4" w:rsidRPr="00993950" w14:paraId="22BF51E0" w14:textId="77777777">
      <w:pPr>
        <w:spacing w:line="276" w:lineRule="auto"/>
        <w:contextualSpacing/>
        <w:rPr>
          <w:color w:val="000000" w:themeColor="text1"/>
        </w:rPr>
      </w:pPr>
    </w:p>
    <w:p w:rsidR="003F7BC4" w:rsidRPr="00993950" w:rsidP="00993950" w14:paraId="20B4BDEB" w14:textId="77777777">
      <w:pPr>
        <w:pStyle w:val="ListParagraph"/>
        <w:numPr>
          <w:ilvl w:val="1"/>
          <w:numId w:val="23"/>
        </w:numPr>
        <w:spacing w:line="276" w:lineRule="auto"/>
        <w:ind w:left="720"/>
        <w:rPr>
          <w:b/>
          <w:bCs/>
          <w:color w:val="000000" w:themeColor="text1"/>
        </w:rPr>
      </w:pPr>
      <w:r w:rsidRPr="00993950">
        <w:rPr>
          <w:b/>
          <w:bCs/>
          <w:color w:val="000000" w:themeColor="text1"/>
        </w:rPr>
        <w:t>Requiring respondents to prepare a written response to a collection of information in fewer than 30 days after receipt of it.</w:t>
      </w:r>
    </w:p>
    <w:p w:rsidR="003F7BC4" w:rsidRPr="00993950" w14:paraId="50E6950C" w14:textId="77777777">
      <w:pPr>
        <w:spacing w:line="276" w:lineRule="auto"/>
        <w:contextualSpacing/>
        <w:rPr>
          <w:color w:val="000000" w:themeColor="text1"/>
        </w:rPr>
      </w:pPr>
    </w:p>
    <w:p w:rsidR="003F7BC4" w:rsidRPr="00993950" w14:paraId="38F0BB6F" w14:textId="47FBDC9F">
      <w:pPr>
        <w:spacing w:line="276" w:lineRule="auto"/>
        <w:contextualSpacing/>
        <w:rPr>
          <w:color w:val="000000" w:themeColor="text1"/>
        </w:rPr>
      </w:pPr>
      <w:r w:rsidRPr="00993950">
        <w:rPr>
          <w:color w:val="000000" w:themeColor="text1"/>
        </w:rPr>
        <w:t>This information collection does not require respondents to prepare a written response in fewer than 30 days after receipt of it.</w:t>
      </w:r>
    </w:p>
    <w:p w:rsidR="003F7BC4" w:rsidRPr="00993950" w14:paraId="06537582" w14:textId="77777777">
      <w:pPr>
        <w:spacing w:line="276" w:lineRule="auto"/>
        <w:contextualSpacing/>
        <w:rPr>
          <w:color w:val="000000" w:themeColor="text1"/>
        </w:rPr>
      </w:pPr>
    </w:p>
    <w:p w:rsidR="003F7BC4" w:rsidRPr="00993950" w:rsidP="00993950" w14:paraId="4ACFAA15" w14:textId="77777777">
      <w:pPr>
        <w:pStyle w:val="ListParagraph"/>
        <w:numPr>
          <w:ilvl w:val="1"/>
          <w:numId w:val="23"/>
        </w:numPr>
        <w:spacing w:line="276" w:lineRule="auto"/>
        <w:ind w:left="720"/>
        <w:rPr>
          <w:b/>
          <w:bCs/>
          <w:color w:val="000000" w:themeColor="text1"/>
        </w:rPr>
      </w:pPr>
      <w:r w:rsidRPr="00993950">
        <w:rPr>
          <w:b/>
          <w:bCs/>
          <w:color w:val="000000" w:themeColor="text1"/>
        </w:rPr>
        <w:t>Requiring respondents to submit more than an original and two copies of any document.</w:t>
      </w:r>
    </w:p>
    <w:p w:rsidR="003F7BC4" w:rsidRPr="00993950" w14:paraId="1BBCC7C4" w14:textId="77777777">
      <w:pPr>
        <w:spacing w:line="276" w:lineRule="auto"/>
        <w:contextualSpacing/>
        <w:rPr>
          <w:color w:val="000000" w:themeColor="text1"/>
        </w:rPr>
      </w:pPr>
    </w:p>
    <w:p w:rsidR="003F7BC4" w:rsidRPr="00993950" w14:paraId="34485F67" w14:textId="0AD92259">
      <w:pPr>
        <w:spacing w:line="276" w:lineRule="auto"/>
        <w:contextualSpacing/>
        <w:rPr>
          <w:color w:val="000000" w:themeColor="text1"/>
        </w:rPr>
      </w:pPr>
      <w:r w:rsidRPr="00993950">
        <w:rPr>
          <w:color w:val="000000" w:themeColor="text1"/>
        </w:rPr>
        <w:t>This information collection does not require respondents to submit more than an original and two copies of any document.</w:t>
      </w:r>
    </w:p>
    <w:p w:rsidR="003F7BC4" w:rsidRPr="00993950" w14:paraId="5780CAE8" w14:textId="77777777">
      <w:pPr>
        <w:spacing w:line="276" w:lineRule="auto"/>
        <w:contextualSpacing/>
        <w:rPr>
          <w:color w:val="000000" w:themeColor="text1"/>
        </w:rPr>
      </w:pPr>
    </w:p>
    <w:p w:rsidR="003F7BC4" w:rsidRPr="00993950" w:rsidP="00993950" w14:paraId="02F513FB" w14:textId="77777777">
      <w:pPr>
        <w:pStyle w:val="ListParagraph"/>
        <w:numPr>
          <w:ilvl w:val="1"/>
          <w:numId w:val="23"/>
        </w:numPr>
        <w:spacing w:line="276" w:lineRule="auto"/>
        <w:ind w:left="720"/>
        <w:rPr>
          <w:b/>
          <w:bCs/>
          <w:color w:val="000000" w:themeColor="text1"/>
        </w:rPr>
      </w:pPr>
      <w:r w:rsidRPr="00993950">
        <w:rPr>
          <w:b/>
          <w:bCs/>
          <w:color w:val="000000" w:themeColor="text1"/>
        </w:rPr>
        <w:t>Requiring respondents to retain records, other than health, medical, government contract, grant-in-aid, or tax records for more than three years.</w:t>
      </w:r>
    </w:p>
    <w:p w:rsidR="003F7BC4" w:rsidRPr="00993950" w14:paraId="0F0C34AA" w14:textId="77777777">
      <w:pPr>
        <w:spacing w:line="276" w:lineRule="auto"/>
        <w:contextualSpacing/>
        <w:rPr>
          <w:color w:val="000000" w:themeColor="text1"/>
        </w:rPr>
      </w:pPr>
    </w:p>
    <w:p w:rsidR="003F7BC4" w:rsidRPr="00993950" w14:paraId="624D253D" w14:textId="672F53C9">
      <w:pPr>
        <w:spacing w:line="276" w:lineRule="auto"/>
        <w:contextualSpacing/>
        <w:rPr>
          <w:color w:val="000000" w:themeColor="text1"/>
        </w:rPr>
      </w:pPr>
      <w:r w:rsidRPr="00993950">
        <w:rPr>
          <w:color w:val="000000" w:themeColor="text1"/>
        </w:rPr>
        <w:t>This information collection does not require respondents to retain records (other than health, medical, government contract, grant-in-aid, or tax records) for more than three years.</w:t>
      </w:r>
    </w:p>
    <w:p w:rsidR="003F7BC4" w:rsidRPr="00993950" w14:paraId="449A90F1" w14:textId="77777777">
      <w:pPr>
        <w:spacing w:line="276" w:lineRule="auto"/>
        <w:contextualSpacing/>
        <w:rPr>
          <w:color w:val="000000" w:themeColor="text1"/>
        </w:rPr>
      </w:pPr>
    </w:p>
    <w:p w:rsidR="003F7BC4" w:rsidRPr="00993950" w:rsidP="00993950" w14:paraId="78B74A16" w14:textId="77777777">
      <w:pPr>
        <w:pStyle w:val="ListParagraph"/>
        <w:numPr>
          <w:ilvl w:val="1"/>
          <w:numId w:val="23"/>
        </w:numPr>
        <w:spacing w:line="276" w:lineRule="auto"/>
        <w:ind w:left="720"/>
        <w:rPr>
          <w:b/>
          <w:bCs/>
          <w:color w:val="000000" w:themeColor="text1"/>
        </w:rPr>
      </w:pPr>
      <w:r w:rsidRPr="00993950">
        <w:rPr>
          <w:b/>
          <w:bCs/>
          <w:color w:val="000000" w:themeColor="text1"/>
        </w:rPr>
        <w:t>In connection with a statistical survey, that is not designed to produce valid and reliable results that can be generalized to the universe of study.</w:t>
      </w:r>
    </w:p>
    <w:p w:rsidR="003F7BC4" w:rsidRPr="00993950" w14:paraId="2AA21459" w14:textId="77777777">
      <w:pPr>
        <w:spacing w:line="276" w:lineRule="auto"/>
        <w:contextualSpacing/>
        <w:rPr>
          <w:color w:val="000000" w:themeColor="text1"/>
        </w:rPr>
      </w:pPr>
    </w:p>
    <w:p w:rsidR="003F7BC4" w:rsidRPr="00993950" w14:paraId="26F3529B" w14:textId="20378746">
      <w:pPr>
        <w:spacing w:line="276" w:lineRule="auto"/>
        <w:contextualSpacing/>
        <w:rPr>
          <w:color w:val="000000" w:themeColor="text1"/>
        </w:rPr>
      </w:pPr>
      <w:r w:rsidRPr="00993950">
        <w:rPr>
          <w:color w:val="000000" w:themeColor="text1"/>
        </w:rPr>
        <w:t>This information collection does not include a statistical survey</w:t>
      </w:r>
    </w:p>
    <w:p w:rsidR="003F7BC4" w:rsidRPr="00993950" w14:paraId="5FB4C798" w14:textId="77777777">
      <w:pPr>
        <w:spacing w:line="276" w:lineRule="auto"/>
        <w:contextualSpacing/>
        <w:rPr>
          <w:color w:val="000000" w:themeColor="text1"/>
        </w:rPr>
      </w:pPr>
    </w:p>
    <w:p w:rsidR="003F7BC4" w:rsidRPr="00993950" w:rsidP="00993950" w14:paraId="3559F068" w14:textId="77777777">
      <w:pPr>
        <w:pStyle w:val="ListParagraph"/>
        <w:numPr>
          <w:ilvl w:val="1"/>
          <w:numId w:val="23"/>
        </w:numPr>
        <w:spacing w:line="276" w:lineRule="auto"/>
        <w:ind w:left="720"/>
        <w:rPr>
          <w:b/>
          <w:bCs/>
          <w:color w:val="000000" w:themeColor="text1"/>
        </w:rPr>
      </w:pPr>
      <w:r w:rsidRPr="00993950">
        <w:rPr>
          <w:b/>
          <w:bCs/>
          <w:color w:val="000000" w:themeColor="text1"/>
        </w:rPr>
        <w:t>Requiring the use of a statistical data classification that has not been reviewed and approved by OMB.</w:t>
      </w:r>
    </w:p>
    <w:p w:rsidR="003F7BC4" w:rsidRPr="00993950" w14:paraId="5668859E" w14:textId="77777777">
      <w:pPr>
        <w:spacing w:line="276" w:lineRule="auto"/>
        <w:contextualSpacing/>
        <w:rPr>
          <w:color w:val="000000" w:themeColor="text1"/>
        </w:rPr>
      </w:pPr>
    </w:p>
    <w:p w:rsidR="003F7BC4" w:rsidRPr="00993950" w14:paraId="02DAF550" w14:textId="407B7380">
      <w:pPr>
        <w:spacing w:line="276" w:lineRule="auto"/>
        <w:contextualSpacing/>
        <w:rPr>
          <w:color w:val="000000" w:themeColor="text1"/>
        </w:rPr>
      </w:pPr>
      <w:r w:rsidRPr="00993950">
        <w:rPr>
          <w:color w:val="000000" w:themeColor="text1"/>
        </w:rPr>
        <w:t>This information collection does not use a statistical data classification that has not been reviewed and approved by OMB.</w:t>
      </w:r>
    </w:p>
    <w:p w:rsidR="003F7BC4" w:rsidRPr="00993950" w14:paraId="2501BBA8" w14:textId="77777777">
      <w:pPr>
        <w:spacing w:line="276" w:lineRule="auto"/>
        <w:contextualSpacing/>
        <w:rPr>
          <w:color w:val="000000" w:themeColor="text1"/>
        </w:rPr>
      </w:pPr>
    </w:p>
    <w:p w:rsidR="003F7BC4" w:rsidRPr="00993950" w:rsidP="00993950" w14:paraId="4E88DB59" w14:textId="77777777">
      <w:pPr>
        <w:pStyle w:val="ListParagraph"/>
        <w:numPr>
          <w:ilvl w:val="1"/>
          <w:numId w:val="23"/>
        </w:numPr>
        <w:spacing w:line="276" w:lineRule="auto"/>
        <w:ind w:left="720"/>
        <w:rPr>
          <w:b/>
          <w:bCs/>
          <w:color w:val="000000" w:themeColor="text1"/>
        </w:rPr>
      </w:pPr>
      <w:r w:rsidRPr="00993950">
        <w:rPr>
          <w:b/>
          <w:bCs/>
          <w:color w:val="000000" w:themeColor="text1"/>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3F7BC4" w:rsidRPr="00993950" w14:paraId="7353C277" w14:textId="77777777">
      <w:pPr>
        <w:spacing w:line="276" w:lineRule="auto"/>
        <w:contextualSpacing/>
        <w:rPr>
          <w:color w:val="000000" w:themeColor="text1"/>
        </w:rPr>
      </w:pPr>
    </w:p>
    <w:p w:rsidR="003F7BC4" w:rsidRPr="00993950" w14:paraId="6F5846F7" w14:textId="17014B75">
      <w:pPr>
        <w:spacing w:line="276" w:lineRule="auto"/>
        <w:contextualSpacing/>
        <w:rPr>
          <w:color w:val="000000" w:themeColor="text1"/>
        </w:rPr>
      </w:pPr>
      <w:r w:rsidRPr="00993950">
        <w:rPr>
          <w:color w:val="000000" w:themeColor="text1"/>
        </w:rPr>
        <w:t xml:space="preserve">This information collection does not include a pledge of confidentiality that is not supported by established authorities or policies.  </w:t>
      </w:r>
    </w:p>
    <w:p w:rsidR="003F7BC4" w:rsidRPr="00993950" w14:paraId="28A755C3" w14:textId="77777777">
      <w:pPr>
        <w:spacing w:line="276" w:lineRule="auto"/>
        <w:contextualSpacing/>
        <w:rPr>
          <w:color w:val="000000" w:themeColor="text1"/>
        </w:rPr>
      </w:pPr>
    </w:p>
    <w:p w:rsidR="003F7BC4" w:rsidRPr="00993950" w:rsidP="00993950" w14:paraId="3691E033" w14:textId="77777777">
      <w:pPr>
        <w:pStyle w:val="ListParagraph"/>
        <w:numPr>
          <w:ilvl w:val="1"/>
          <w:numId w:val="23"/>
        </w:numPr>
        <w:spacing w:line="276" w:lineRule="auto"/>
        <w:ind w:left="720"/>
        <w:rPr>
          <w:b/>
          <w:bCs/>
          <w:color w:val="000000" w:themeColor="text1"/>
        </w:rPr>
      </w:pPr>
      <w:r w:rsidRPr="00993950">
        <w:rPr>
          <w:b/>
          <w:bCs/>
          <w:color w:val="000000" w:themeColor="text1"/>
        </w:rPr>
        <w:t>Requiring respondents to submit proprietary trade secret, or other confidential information unless the agency can demonstrate that it has instituted procedures to protect the information’s confidentiality to the extent permitted by law.</w:t>
      </w:r>
    </w:p>
    <w:p w:rsidR="003F7BC4" w:rsidRPr="00993950" w14:paraId="1552CD83" w14:textId="77777777">
      <w:pPr>
        <w:spacing w:line="276" w:lineRule="auto"/>
        <w:contextualSpacing/>
        <w:rPr>
          <w:color w:val="000000" w:themeColor="text1"/>
        </w:rPr>
      </w:pPr>
    </w:p>
    <w:p w:rsidR="003F7BC4" w:rsidRPr="00993950" w14:paraId="24A2CAEC" w14:textId="3239779D">
      <w:pPr>
        <w:spacing w:line="276" w:lineRule="auto"/>
        <w:contextualSpacing/>
        <w:rPr>
          <w:color w:val="000000" w:themeColor="text1"/>
        </w:rPr>
      </w:pPr>
      <w:r w:rsidRPr="00993950">
        <w:rPr>
          <w:color w:val="000000" w:themeColor="text1"/>
        </w:rPr>
        <w:t>This information collection does not require respondents to submit trade secrets or other confidential information.</w:t>
      </w:r>
    </w:p>
    <w:p w:rsidR="003F7BC4" w:rsidRPr="00993950" w14:paraId="144F7948" w14:textId="77777777">
      <w:pPr>
        <w:spacing w:line="276" w:lineRule="auto"/>
        <w:contextualSpacing/>
        <w:rPr>
          <w:color w:val="000000" w:themeColor="text1"/>
        </w:rPr>
      </w:pPr>
    </w:p>
    <w:p w:rsidR="00842E74" w:rsidRPr="001D6FBD" w14:paraId="6E4E1CEB" w14:textId="77777777">
      <w:pPr>
        <w:spacing w:line="276" w:lineRule="auto"/>
        <w:contextualSpacing/>
        <w:rPr>
          <w:b/>
          <w:bCs/>
        </w:rPr>
      </w:pPr>
      <w:r w:rsidRPr="00993950">
        <w:rPr>
          <w:b/>
          <w:bCs/>
          <w:color w:val="000000" w:themeColor="text1"/>
        </w:rPr>
        <w:fldChar w:fldCharType="begin"/>
      </w:r>
      <w:r w:rsidRPr="00993950">
        <w:rPr>
          <w:b/>
          <w:bCs/>
          <w:color w:val="000000" w:themeColor="text1"/>
        </w:rPr>
        <w:instrText>ADVANCE \R 0.95</w:instrText>
      </w:r>
      <w:r w:rsidRPr="00993950">
        <w:rPr>
          <w:b/>
          <w:bCs/>
          <w:color w:val="000000" w:themeColor="text1"/>
        </w:rPr>
        <w:fldChar w:fldCharType="end"/>
      </w:r>
      <w:r w:rsidRPr="00993950">
        <w:rPr>
          <w:b/>
          <w:bCs/>
          <w:color w:val="000000" w:themeColor="text1"/>
        </w:rPr>
        <w:t xml:space="preserve">8.  Federal </w:t>
      </w:r>
      <w:r w:rsidRPr="001D6FBD">
        <w:rPr>
          <w:b/>
          <w:bCs/>
        </w:rPr>
        <w:t xml:space="preserve">Register Notice: </w:t>
      </w:r>
    </w:p>
    <w:p w:rsidR="00842E74" w:rsidRPr="001D6FBD" w14:paraId="45B85437" w14:textId="77777777">
      <w:pPr>
        <w:spacing w:line="276" w:lineRule="auto"/>
        <w:contextualSpacing/>
        <w:rPr>
          <w:b/>
          <w:bCs/>
        </w:rPr>
      </w:pPr>
      <w:r w:rsidRPr="00993950">
        <w:rPr>
          <w:b/>
          <w:bCs/>
        </w:rPr>
        <w:fldChar w:fldCharType="begin"/>
      </w:r>
      <w:r w:rsidRPr="001D6FBD">
        <w:rPr>
          <w:b/>
          <w:bCs/>
        </w:rPr>
        <w:instrText>ADVANCE \R 0.95</w:instrText>
      </w:r>
      <w:r w:rsidRPr="00993950">
        <w:rPr>
          <w:b/>
          <w:bCs/>
        </w:rPr>
        <w:fldChar w:fldCharType="end"/>
      </w:r>
    </w:p>
    <w:p w:rsidR="00842E74" w:rsidRPr="001D6FBD" w14:paraId="4B838ABC" w14:textId="77777777">
      <w:pPr>
        <w:spacing w:line="276" w:lineRule="auto"/>
        <w:ind w:firstLine="720"/>
        <w:contextualSpacing/>
      </w:pPr>
      <w:r w:rsidRPr="00993950">
        <w:fldChar w:fldCharType="begin"/>
      </w:r>
      <w:r w:rsidRPr="001D6FBD">
        <w:instrText>ADVANCE \R 0.95</w:instrText>
      </w:r>
      <w:r w:rsidRPr="00993950">
        <w:fldChar w:fldCharType="end"/>
      </w:r>
      <w:r w:rsidRPr="001D6FBD" w:rsidR="00743218">
        <w:rPr>
          <w:b/>
        </w:rPr>
        <w:t>a. Provide</w:t>
      </w:r>
      <w:r w:rsidRPr="001D6FBD">
        <w:rPr>
          <w:b/>
        </w:rPr>
        <w:t xml:space="preserv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F7BC4" w:rsidRPr="001D6FBD" w14:paraId="14DB4351" w14:textId="251D8620">
      <w:pPr>
        <w:spacing w:line="276" w:lineRule="auto"/>
        <w:contextualSpacing/>
        <w:rPr>
          <w:color w:val="000000"/>
        </w:rPr>
      </w:pPr>
      <w:r w:rsidRPr="00993950">
        <w:fldChar w:fldCharType="begin"/>
      </w:r>
      <w:r w:rsidRPr="001D6FBD">
        <w:instrText>ADVANCE \R 0.95</w:instrText>
      </w:r>
      <w:r w:rsidRPr="00993950">
        <w:fldChar w:fldCharType="end"/>
      </w:r>
    </w:p>
    <w:p w:rsidR="003F7BC4" w:rsidRPr="008E7A44" w14:paraId="3AB245E1" w14:textId="788F7DDC">
      <w:pPr>
        <w:spacing w:line="276" w:lineRule="auto"/>
        <w:contextualSpacing/>
        <w:rPr>
          <w:color w:val="000000" w:themeColor="text1"/>
        </w:rPr>
      </w:pPr>
      <w:r w:rsidRPr="008E7A44">
        <w:rPr>
          <w:color w:val="000000" w:themeColor="text1"/>
        </w:rPr>
        <w:t xml:space="preserve">A 60-day Federal Register Notice inviting public comments was published on </w:t>
      </w:r>
      <w:r w:rsidRPr="008E7A44" w:rsidR="00F710B5">
        <w:rPr>
          <w:color w:val="000000" w:themeColor="text1"/>
        </w:rPr>
        <w:t>November 23, 2022, at 87 FR 71659</w:t>
      </w:r>
      <w:r w:rsidRPr="008E7A44">
        <w:rPr>
          <w:color w:val="000000" w:themeColor="text1"/>
        </w:rPr>
        <w:t>.  No comments were received.</w:t>
      </w:r>
    </w:p>
    <w:p w:rsidR="003F7BC4" w:rsidRPr="001D6FBD" w14:paraId="642F9F34" w14:textId="77777777">
      <w:pPr>
        <w:spacing w:line="276" w:lineRule="auto"/>
        <w:contextualSpacing/>
      </w:pPr>
    </w:p>
    <w:p w:rsidR="003F7BC4" w:rsidRPr="001D6FBD" w14:paraId="11FB7F43" w14:textId="7DE4F0F7">
      <w:pPr>
        <w:spacing w:line="276" w:lineRule="auto"/>
        <w:contextualSpacing/>
      </w:pPr>
      <w:r w:rsidRPr="001D6FBD">
        <w:rPr>
          <w:color w:val="000000"/>
        </w:rPr>
        <w:t xml:space="preserve">A 30-day Federal Register Notice inviting public </w:t>
      </w:r>
      <w:r w:rsidRPr="002510EB">
        <w:rPr>
          <w:color w:val="000000" w:themeColor="text1"/>
        </w:rPr>
        <w:t>comments was published o</w:t>
      </w:r>
      <w:r w:rsidRPr="00023D53">
        <w:rPr>
          <w:color w:val="000000" w:themeColor="text1"/>
        </w:rPr>
        <w:t xml:space="preserve">n </w:t>
      </w:r>
      <w:r w:rsidRPr="002510EB" w:rsidR="00023D53">
        <w:rPr>
          <w:color w:val="000000" w:themeColor="text1"/>
        </w:rPr>
        <w:t>February 22, 2023</w:t>
      </w:r>
      <w:r w:rsidR="00023D53">
        <w:rPr>
          <w:color w:val="000000" w:themeColor="text1"/>
        </w:rPr>
        <w:t>,</w:t>
      </w:r>
      <w:r w:rsidRPr="002510EB" w:rsidR="00023D53">
        <w:rPr>
          <w:color w:val="000000" w:themeColor="text1"/>
        </w:rPr>
        <w:t xml:space="preserve"> at 88 FR 10914</w:t>
      </w:r>
      <w:r w:rsidRPr="002510EB">
        <w:rPr>
          <w:color w:val="000000" w:themeColor="text1"/>
        </w:rPr>
        <w:t xml:space="preserve">.  </w:t>
      </w:r>
      <w:r w:rsidRPr="002510EB" w:rsidR="00023D53">
        <w:rPr>
          <w:color w:val="000000" w:themeColor="text1"/>
        </w:rPr>
        <w:t>The public comment period is open until March 24, 2023</w:t>
      </w:r>
      <w:r w:rsidRPr="002510EB">
        <w:rPr>
          <w:color w:val="000000" w:themeColor="text1"/>
        </w:rPr>
        <w:t>.</w:t>
      </w:r>
    </w:p>
    <w:p w:rsidR="003F7BC4" w:rsidRPr="001D6FBD" w14:paraId="784DD9FE" w14:textId="77777777">
      <w:pPr>
        <w:spacing w:line="276" w:lineRule="auto"/>
        <w:contextualSpacing/>
      </w:pPr>
    </w:p>
    <w:p w:rsidR="00842E74" w:rsidRPr="001D6FBD" w:rsidP="00993950" w14:paraId="1A4AD531" w14:textId="58062C1A">
      <w:pPr>
        <w:spacing w:line="276" w:lineRule="auto"/>
        <w:ind w:left="720" w:hanging="360"/>
        <w:contextualSpacing/>
        <w:rPr>
          <w:b/>
        </w:rPr>
      </w:pPr>
      <w:r w:rsidRPr="00993950">
        <w:fldChar w:fldCharType="begin"/>
      </w:r>
      <w:r w:rsidRPr="001D6FBD">
        <w:instrText>ADVANCE \R 0.95</w:instrText>
      </w:r>
      <w:r w:rsidRPr="00993950">
        <w:fldChar w:fldCharType="end"/>
      </w:r>
      <w:r w:rsidRPr="00993950" w:rsidR="00613A2A">
        <w:rPr>
          <w:b/>
          <w:bCs/>
          <w:color w:val="000000" w:themeColor="text1"/>
        </w:rPr>
        <w:t xml:space="preserve">b.  </w:t>
      </w:r>
      <w:r w:rsidRPr="00993950">
        <w:rPr>
          <w:b/>
          <w:bCs/>
          <w:color w:val="000000" w:themeColor="text1"/>
        </w:rPr>
        <w:t>Describe efforts to consult with persons out</w:t>
      </w:r>
      <w:r w:rsidRPr="00993950" w:rsidR="00EB3528">
        <w:rPr>
          <w:b/>
          <w:bCs/>
          <w:color w:val="000000" w:themeColor="text1"/>
        </w:rPr>
        <w:t xml:space="preserve">side the agency to obtain their </w:t>
      </w:r>
      <w:r w:rsidRPr="00993950">
        <w:rPr>
          <w:b/>
          <w:bCs/>
          <w:color w:val="000000" w:themeColor="text1"/>
        </w:rPr>
        <w:t>views on the availability</w:t>
      </w:r>
      <w:r w:rsidRPr="001D6FBD">
        <w:rPr>
          <w:b/>
        </w:rPr>
        <w:t xml:space="preserve"> of data, frequency of collection, the clarity of</w:t>
      </w:r>
      <w:r w:rsidRPr="001D6FBD" w:rsidR="00EB3528">
        <w:rPr>
          <w:b/>
        </w:rPr>
        <w:t xml:space="preserve"> </w:t>
      </w:r>
      <w:r w:rsidRPr="001D6FBD">
        <w:rPr>
          <w:b/>
        </w:rPr>
        <w:t>instructions and recordkeeping, disclosure, or reporting format (if any), and on the data elements to be recorded, disclosed, or reported.</w:t>
      </w:r>
    </w:p>
    <w:p w:rsidR="00DF06BC" w:rsidRPr="001D6FBD" w14:paraId="71B34B39" w14:textId="77777777">
      <w:pPr>
        <w:spacing w:line="276" w:lineRule="auto"/>
        <w:ind w:firstLine="720"/>
        <w:contextualSpacing/>
        <w:rPr>
          <w:b/>
        </w:rPr>
      </w:pPr>
    </w:p>
    <w:p w:rsidR="00DF06BC" w:rsidRPr="001D6FBD" w14:paraId="18D06746" w14:textId="3CEB7AE4">
      <w:pPr>
        <w:spacing w:line="276" w:lineRule="auto"/>
        <w:contextualSpacing/>
      </w:pPr>
      <w:r w:rsidRPr="001D6FBD">
        <w:t>FEMA has received input from</w:t>
      </w:r>
      <w:r w:rsidRPr="001D6FBD" w:rsidR="00DB1384">
        <w:t xml:space="preserve"> state, local, territorial, and tribal (</w:t>
      </w:r>
      <w:r w:rsidRPr="001D6FBD" w:rsidR="00A6568F">
        <w:t>SLTT</w:t>
      </w:r>
      <w:r w:rsidRPr="001D6FBD" w:rsidR="00DB1384">
        <w:t>)</w:t>
      </w:r>
      <w:r w:rsidRPr="001D6FBD">
        <w:t xml:space="preserve"> governments about information collections for the HMGP through meetings with FEMA.  FEMA also has invited various State, Indian tribal and local stakeholders to participate in meetings to discuss program improvements, ways to simplify application requirements to include discussions on data collection and electronic information gathering/processing for FEMA mitigation grant programs. </w:t>
      </w:r>
      <w:r w:rsidRPr="001D6FBD" w:rsidR="55C5C247">
        <w:t xml:space="preserve"> </w:t>
      </w:r>
      <w:r w:rsidRPr="001D6FBD">
        <w:t xml:space="preserve">In addition, FEMA meets with National Emergency Management Agency (NEMA) representatives and the Association of State Flood Plain Managers (ASFPM) at their annual conferences. </w:t>
      </w:r>
      <w:r w:rsidRPr="001D6FBD" w:rsidR="55C5C247">
        <w:t xml:space="preserve"> </w:t>
      </w:r>
      <w:r w:rsidRPr="001D6FBD">
        <w:t xml:space="preserve">Respondents are members of NEMA and ASFPM. </w:t>
      </w:r>
      <w:r w:rsidRPr="001D6FBD" w:rsidR="55C5C247">
        <w:t xml:space="preserve"> </w:t>
      </w:r>
      <w:r w:rsidRPr="001D6FBD">
        <w:t xml:space="preserve">The results of these consultations are clarifications made in the guidance for the HMGP. </w:t>
      </w:r>
      <w:r w:rsidRPr="001D6FBD" w:rsidR="55C5C247">
        <w:t xml:space="preserve"> </w:t>
      </w:r>
      <w:r w:rsidRPr="001D6FBD">
        <w:t xml:space="preserve">This would allow the respondents to better prepare their applications so that FEMA can more efficiently process them.  </w:t>
      </w:r>
    </w:p>
    <w:p w:rsidR="00CE6233" w:rsidRPr="001D6FBD" w14:paraId="189421EF" w14:textId="77777777">
      <w:pPr>
        <w:spacing w:line="276" w:lineRule="auto"/>
        <w:contextualSpacing/>
      </w:pPr>
    </w:p>
    <w:p w:rsidR="00842E74" w:rsidRPr="001D6FBD" w:rsidP="00993950" w14:paraId="05E68A98" w14:textId="760FFA7D">
      <w:pPr>
        <w:spacing w:line="276" w:lineRule="auto"/>
        <w:ind w:left="720" w:hanging="360"/>
        <w:contextualSpacing/>
        <w:rPr>
          <w:b/>
        </w:rPr>
      </w:pPr>
      <w:r w:rsidRPr="001D6FBD">
        <w:rPr>
          <w:b/>
        </w:rPr>
        <w:t>c.</w:t>
      </w:r>
      <w:r w:rsidR="00B93B1F">
        <w:rPr>
          <w:b/>
        </w:rPr>
        <w:tab/>
      </w:r>
      <w:r w:rsidRPr="001D6FBD">
        <w:rPr>
          <w:b/>
        </w:rPr>
        <w:t>Describe</w:t>
      </w:r>
      <w:r w:rsidRPr="001D6FBD">
        <w:rPr>
          <w:b/>
        </w:rPr>
        <w:t xml:space="preserve"> consultations with representatives of those from whom</w:t>
      </w:r>
      <w:r w:rsidRPr="001D6FBD" w:rsidR="00EB3528">
        <w:rPr>
          <w:b/>
        </w:rPr>
        <w:t xml:space="preserve"> </w:t>
      </w:r>
      <w:r w:rsidRPr="001D6FBD">
        <w:rPr>
          <w:b/>
        </w:rPr>
        <w:t>information is to be obtained or t</w:t>
      </w:r>
      <w:r w:rsidRPr="001D6FBD" w:rsidR="00EB3528">
        <w:rPr>
          <w:b/>
        </w:rPr>
        <w:t>hose who must compile records.  C</w:t>
      </w:r>
      <w:r w:rsidRPr="001D6FBD">
        <w:rPr>
          <w:b/>
        </w:rPr>
        <w:t>onsultation should occur at least once every three years, even if the</w:t>
      </w:r>
      <w:r w:rsidRPr="001D6FBD" w:rsidR="00EB3528">
        <w:rPr>
          <w:b/>
        </w:rPr>
        <w:t xml:space="preserve"> </w:t>
      </w:r>
      <w:r w:rsidRPr="001D6FBD">
        <w:rPr>
          <w:b/>
        </w:rPr>
        <w:t>collection of information activities is the same as in prior periods.  There may be circumstances that may preclude consultation in a specific situation. These circumstances should be explained.</w:t>
      </w:r>
    </w:p>
    <w:p w:rsidR="00842E74" w:rsidRPr="001D6FBD" w14:paraId="785FA89B" w14:textId="77777777">
      <w:pPr>
        <w:spacing w:line="276" w:lineRule="auto"/>
        <w:contextualSpacing/>
      </w:pPr>
    </w:p>
    <w:p w:rsidR="008E6210" w:rsidRPr="001D6FBD" w14:paraId="08D435C7" w14:textId="0466CC74">
      <w:pPr>
        <w:spacing w:line="276" w:lineRule="auto"/>
        <w:contextualSpacing/>
      </w:pPr>
      <w:r w:rsidRPr="001D6FBD">
        <w:t xml:space="preserve">FEMA’s regional offices have discussed the HMGP with our State </w:t>
      </w:r>
      <w:r w:rsidRPr="001D6FBD" w:rsidR="00D2017A">
        <w:t xml:space="preserve">and Indian tribal government </w:t>
      </w:r>
      <w:r w:rsidRPr="001D6FBD">
        <w:t xml:space="preserve">counterparts in </w:t>
      </w:r>
      <w:r w:rsidRPr="001D6FBD" w:rsidR="00562C7E">
        <w:t xml:space="preserve">training sessions and </w:t>
      </w:r>
      <w:r w:rsidRPr="001D6FBD">
        <w:t xml:space="preserve">meetings. </w:t>
      </w:r>
      <w:r w:rsidRPr="001D6FBD" w:rsidR="00601357">
        <w:t xml:space="preserve"> </w:t>
      </w:r>
      <w:r w:rsidRPr="001D6FBD">
        <w:t xml:space="preserve">FEMA </w:t>
      </w:r>
      <w:r w:rsidRPr="001D6FBD" w:rsidR="000C025B">
        <w:t>actively solicits national participation of</w:t>
      </w:r>
      <w:r w:rsidRPr="001D6FBD">
        <w:t xml:space="preserve"> State </w:t>
      </w:r>
      <w:r w:rsidRPr="001D6FBD" w:rsidR="000C025B">
        <w:t xml:space="preserve">and Indian tribal </w:t>
      </w:r>
      <w:r w:rsidRPr="001D6FBD">
        <w:t xml:space="preserve">representatives </w:t>
      </w:r>
      <w:r w:rsidRPr="001D6FBD" w:rsidR="000C025B">
        <w:t xml:space="preserve">to share hazard mitigation related information at events that include hazard mitigation assistance workshops and </w:t>
      </w:r>
      <w:r w:rsidRPr="001D6FBD" w:rsidR="003D60BD">
        <w:t>summits and</w:t>
      </w:r>
      <w:r w:rsidRPr="001D6FBD" w:rsidR="000C025B">
        <w:t xml:space="preserve"> has held meetings related to</w:t>
      </w:r>
      <w:r w:rsidRPr="001D6FBD">
        <w:t xml:space="preserve"> data collection and electronic data processing for FEMA mitigation grant programs. </w:t>
      </w:r>
      <w:r w:rsidRPr="001D6FBD" w:rsidR="00601357">
        <w:t xml:space="preserve"> </w:t>
      </w:r>
      <w:r w:rsidRPr="001D6FBD" w:rsidR="00631A9E">
        <w:t xml:space="preserve">FEMA uses the </w:t>
      </w:r>
      <w:r w:rsidRPr="001D6FBD" w:rsidR="004D0C8E">
        <w:t xml:space="preserve">input </w:t>
      </w:r>
      <w:r w:rsidRPr="001D6FBD" w:rsidR="00631A9E">
        <w:t>to review the guidance and make any necessary updates to it so that respondents can better understand the program requirements</w:t>
      </w:r>
      <w:r w:rsidRPr="001D6FBD" w:rsidR="008E0515">
        <w:t xml:space="preserve"> and would be incorporated as indicated in Question 8b above.</w:t>
      </w:r>
    </w:p>
    <w:p w:rsidR="008E6210" w:rsidRPr="001D6FBD" w14:paraId="501FC352" w14:textId="77777777">
      <w:pPr>
        <w:spacing w:line="276" w:lineRule="auto"/>
        <w:ind w:left="720"/>
        <w:contextualSpacing/>
      </w:pPr>
    </w:p>
    <w:p w:rsidR="00842E74" w:rsidRPr="001D6FBD" w14:paraId="6D950B2F" w14:textId="77777777">
      <w:pPr>
        <w:spacing w:line="276" w:lineRule="auto"/>
        <w:contextualSpacing/>
        <w:rPr>
          <w:b/>
          <w:bCs/>
        </w:rPr>
      </w:pPr>
      <w:r w:rsidRPr="00993950">
        <w:rPr>
          <w:b/>
          <w:bCs/>
        </w:rPr>
        <w:fldChar w:fldCharType="begin"/>
      </w:r>
      <w:r w:rsidRPr="001D6FBD">
        <w:rPr>
          <w:b/>
          <w:bCs/>
        </w:rPr>
        <w:instrText>ADVANCE \R 0.95</w:instrText>
      </w:r>
      <w:r w:rsidRPr="00993950">
        <w:rPr>
          <w:b/>
          <w:bCs/>
        </w:rPr>
        <w:fldChar w:fldCharType="end"/>
      </w:r>
      <w:r w:rsidRPr="001D6FBD">
        <w:rPr>
          <w:b/>
          <w:bCs/>
        </w:rPr>
        <w:t xml:space="preserve">9.  Explain any decision to provide any payment or gift to respondents, other than remuneration of contractors or </w:t>
      </w:r>
      <w:r w:rsidRPr="001D6FBD" w:rsidR="00743218">
        <w:rPr>
          <w:b/>
          <w:bCs/>
        </w:rPr>
        <w:t>recipient</w:t>
      </w:r>
      <w:r w:rsidRPr="001D6FBD">
        <w:rPr>
          <w:b/>
          <w:bCs/>
        </w:rPr>
        <w:t>s.</w:t>
      </w:r>
    </w:p>
    <w:p w:rsidR="00842E74" w:rsidRPr="001D6FBD" w14:paraId="09DB0795" w14:textId="77777777">
      <w:pPr>
        <w:spacing w:line="276" w:lineRule="auto"/>
        <w:contextualSpacing/>
      </w:pPr>
    </w:p>
    <w:p w:rsidR="00372ED0" w:rsidRPr="001D6FBD" w14:paraId="32BE9C32" w14:textId="77777777">
      <w:pPr>
        <w:spacing w:line="276" w:lineRule="auto"/>
        <w:contextualSpacing/>
      </w:pPr>
      <w:r w:rsidRPr="001D6FBD">
        <w:t xml:space="preserve">FEMA does not provide payments or gifts to respondents in exchange for a benefit sought.  </w:t>
      </w:r>
    </w:p>
    <w:p w:rsidR="00B7292E" w:rsidRPr="001D6FBD" w14:paraId="557B056D" w14:textId="77777777">
      <w:pPr>
        <w:spacing w:line="276" w:lineRule="auto"/>
        <w:contextualSpacing/>
      </w:pPr>
    </w:p>
    <w:p w:rsidR="00842E74" w:rsidRPr="001D6FBD" w14:paraId="6B8C0993" w14:textId="15ACC092">
      <w:pPr>
        <w:tabs>
          <w:tab w:val="left" w:pos="360"/>
        </w:tabs>
        <w:spacing w:line="276" w:lineRule="auto"/>
        <w:contextualSpacing/>
        <w:rPr>
          <w:b/>
          <w:bCs/>
        </w:rPr>
      </w:pPr>
      <w:r w:rsidRPr="001D6FBD">
        <w:rPr>
          <w:b/>
          <w:bCs/>
        </w:rPr>
        <w:t xml:space="preserve">10.  </w:t>
      </w:r>
      <w:r w:rsidRPr="001D6FBD" w:rsidR="49D7BCA7">
        <w:rPr>
          <w:b/>
          <w:bCs/>
        </w:rPr>
        <w:t>Describe any assurance of confidentiality provided to respondents and the basis for the assurance in statute, regulation, or agency policy.</w:t>
      </w:r>
    </w:p>
    <w:p w:rsidR="00590DBC" w:rsidRPr="001D6FBD" w14:paraId="1F645A36" w14:textId="67E593CB">
      <w:pPr>
        <w:tabs>
          <w:tab w:val="left" w:pos="360"/>
        </w:tabs>
        <w:spacing w:line="276" w:lineRule="auto"/>
        <w:contextualSpacing/>
        <w:rPr>
          <w:b/>
          <w:bCs/>
        </w:rPr>
      </w:pPr>
    </w:p>
    <w:p w:rsidR="008C189B" w:rsidRPr="008E7A44" w14:paraId="4E5BEB60" w14:textId="30D643C9">
      <w:pPr>
        <w:spacing w:line="276" w:lineRule="auto"/>
        <w:contextualSpacing/>
      </w:pPr>
      <w:r w:rsidRPr="001D6FBD">
        <w:t>A Privacy Threshold Analysis (PTA) was</w:t>
      </w:r>
      <w:r w:rsidRPr="001D6FBD" w:rsidR="0C9635AF">
        <w:t xml:space="preserve"> approved for this collection</w:t>
      </w:r>
      <w:r w:rsidRPr="001D6FBD" w:rsidR="00DB1384">
        <w:t xml:space="preserve"> </w:t>
      </w:r>
      <w:r w:rsidRPr="001D6FBD" w:rsidR="00172F74">
        <w:t xml:space="preserve">on </w:t>
      </w:r>
      <w:r w:rsidRPr="001D6FBD" w:rsidR="00DB1384">
        <w:t>Oct 9</w:t>
      </w:r>
      <w:r w:rsidRPr="001D6FBD" w:rsidR="00936292">
        <w:t xml:space="preserve">, </w:t>
      </w:r>
      <w:r w:rsidRPr="001D6FBD" w:rsidR="00DB1384">
        <w:t>2020.</w:t>
      </w:r>
      <w:r w:rsidRPr="001D6FBD" w:rsidR="0C9635AF">
        <w:t xml:space="preserve">  A Privacy Impact Assessment (PIA)</w:t>
      </w:r>
      <w:r w:rsidRPr="001D6FBD" w:rsidR="56EA35D8">
        <w:t xml:space="preserve"> was completed under </w:t>
      </w:r>
      <w:bookmarkStart w:id="5" w:name="_Hlk102757713"/>
      <w:r w:rsidRPr="001D6FBD" w:rsidR="56EA35D8">
        <w:t xml:space="preserve">DHS/FEMA/PIA </w:t>
      </w:r>
      <w:r w:rsidRPr="001D6FBD" w:rsidR="4F81AC75">
        <w:t>–</w:t>
      </w:r>
      <w:r w:rsidRPr="001D6FBD" w:rsidR="56EA35D8">
        <w:t xml:space="preserve"> 025</w:t>
      </w:r>
      <w:bookmarkEnd w:id="5"/>
      <w:r w:rsidRPr="001D6FBD" w:rsidR="4F81AC75">
        <w:t>.  A System of Records Notice (SORN), DHS/FEMA</w:t>
      </w:r>
      <w:r w:rsidRPr="001D6FBD" w:rsidR="16F12EA9">
        <w:t xml:space="preserve"> – 009 was approved and published for this collection on March 24, 2014</w:t>
      </w:r>
      <w:r w:rsidRPr="008E7A44" w:rsidR="16F12EA9">
        <w:t>,</w:t>
      </w:r>
      <w:r w:rsidRPr="008E7A44" w:rsidR="3DB87C76">
        <w:t xml:space="preserve"> 79 FR 16015.</w:t>
      </w:r>
      <w:r w:rsidRPr="008E7A44" w:rsidR="66853BEB">
        <w:t xml:space="preserve"> </w:t>
      </w:r>
      <w:r w:rsidRPr="008E7A44" w:rsidR="002842B8">
        <w:t xml:space="preserve"> </w:t>
      </w:r>
    </w:p>
    <w:p w:rsidR="008A29E4" w:rsidRPr="001D6FBD" w14:paraId="33D91481" w14:textId="77777777">
      <w:pPr>
        <w:spacing w:line="276" w:lineRule="auto"/>
        <w:contextualSpacing/>
      </w:pPr>
    </w:p>
    <w:p w:rsidR="008A29E4" w:rsidRPr="001D6FBD" w14:paraId="5B41AC82" w14:textId="423B463C">
      <w:pPr>
        <w:spacing w:line="276" w:lineRule="auto"/>
        <w:contextualSpacing/>
      </w:pPr>
      <w:r>
        <w:t>There is no assurance of confidentiality in that the government will monitor all actions within the National Emergency Management Information System (NEMIS) or FEMA G</w:t>
      </w:r>
      <w:r w:rsidR="3B965398">
        <w:t>O</w:t>
      </w:r>
      <w:r>
        <w:t xml:space="preserve">.  As stated in the DHS/FEMA/PIA – 025, recipients and sub-recipients applying for the grant on behalf of the individual property owner, whose property will be affected by the grant program, have the option to voluntarily opt in or opt or out of the grant programs.  Participation in the program requires individual property owners to provide information to support eligibility for grant funding.  By providing the information, individuals consent to FEMA’s use of their information for the primary purpose of determining eligibility for grant funding. </w:t>
      </w:r>
      <w:r w:rsidR="00CD711E">
        <w:t xml:space="preserve"> </w:t>
      </w:r>
      <w:r w:rsidR="00A00036">
        <w:t xml:space="preserve">The disclosure of property information to the State is voluntary; however, failure to provide the information requested may delay or prevent you from receiving HMA funds for the </w:t>
      </w:r>
      <w:r w:rsidR="00CD711E">
        <w:t xml:space="preserve">property. </w:t>
      </w:r>
      <w:r>
        <w:t xml:space="preserve">  </w:t>
      </w:r>
    </w:p>
    <w:p w:rsidR="008A29E4" w:rsidRPr="001D6FBD" w14:paraId="40095EE0" w14:textId="77777777">
      <w:pPr>
        <w:spacing w:line="276" w:lineRule="auto"/>
        <w:contextualSpacing/>
      </w:pPr>
    </w:p>
    <w:p w:rsidR="00C957D4" w:rsidRPr="001D6FBD" w14:paraId="378A097A" w14:textId="2D1C710D">
      <w:pPr>
        <w:spacing w:line="276" w:lineRule="auto"/>
        <w:contextualSpacing/>
      </w:pPr>
      <w:r w:rsidRPr="001D6FBD">
        <w:t xml:space="preserve">The HMGP program is scheduled </w:t>
      </w:r>
      <w:r w:rsidRPr="001D6FBD">
        <w:t xml:space="preserve">to </w:t>
      </w:r>
      <w:r w:rsidRPr="001D6FBD">
        <w:t>transition to the FEMA G</w:t>
      </w:r>
      <w:r w:rsidRPr="001D6FBD" w:rsidR="11575032">
        <w:t>O</w:t>
      </w:r>
      <w:r w:rsidRPr="001D6FBD">
        <w:t xml:space="preserve"> electronic system</w:t>
      </w:r>
      <w:r w:rsidRPr="001D6FBD" w:rsidR="0042524C">
        <w:t xml:space="preserve"> in 2023</w:t>
      </w:r>
      <w:r w:rsidRPr="001D6FBD">
        <w:t xml:space="preserve">.  The </w:t>
      </w:r>
      <w:r w:rsidRPr="001D6FBD" w:rsidR="00CD711E">
        <w:t xml:space="preserve">Privacy Act Statement </w:t>
      </w:r>
      <w:r w:rsidRPr="001D6FBD">
        <w:t>that appears in</w:t>
      </w:r>
      <w:r w:rsidRPr="001D6FBD" w:rsidR="00A700BB">
        <w:t xml:space="preserve"> the</w:t>
      </w:r>
      <w:r w:rsidRPr="001D6FBD">
        <w:t xml:space="preserve"> FEMA G</w:t>
      </w:r>
      <w:r w:rsidRPr="001D6FBD" w:rsidR="7FDFA4A0">
        <w:t>O</w:t>
      </w:r>
      <w:r w:rsidRPr="001D6FBD" w:rsidR="00A700BB">
        <w:t xml:space="preserve"> log in page</w:t>
      </w:r>
      <w:r w:rsidRPr="001D6FBD">
        <w:t xml:space="preserve"> states that</w:t>
      </w:r>
      <w:r w:rsidRPr="001D6FBD" w:rsidR="0042524C">
        <w:t xml:space="preserve">: “FEMA is authorized to collect the information requested pursuant to 44 U.S.C. § 3101; Executive Order 9397, as amended by Executive Order 13487; and 44 U.S.C. § 3534.  </w:t>
      </w:r>
      <w:r w:rsidRPr="001D6FBD">
        <w:t xml:space="preserve">This information is collected so that FEMA can process grant awards through the FEMA Grants Outcomes (GO) system. </w:t>
      </w:r>
      <w:r w:rsidRPr="001D6FBD">
        <w:t xml:space="preserve"> </w:t>
      </w:r>
      <w:r w:rsidRPr="001D6FBD" w:rsidR="0042524C">
        <w:t xml:space="preserve">The information on this form may be disclosed as generally permitted under 5 U.S.C. § 552a(b) of the Privacy Act of 1974, as amended. </w:t>
      </w:r>
      <w:r w:rsidR="00B93B1F">
        <w:t xml:space="preserve"> </w:t>
      </w:r>
      <w:r w:rsidRPr="001D6FBD" w:rsidR="0042524C">
        <w:t xml:space="preserve">This includes using this information as necessary and authorized by the routine uses published in DHS/ALL – 004 General Information Technology Access Account Records System of Records </w:t>
      </w:r>
      <w:r w:rsidRPr="001D6FBD" w:rsidR="003F7BC4">
        <w:t>(</w:t>
      </w:r>
      <w:r w:rsidRPr="001D6FBD" w:rsidR="0042524C">
        <w:t xml:space="preserve">77 </w:t>
      </w:r>
      <w:r w:rsidRPr="001D6FBD" w:rsidR="003F7BC4">
        <w:t>FR</w:t>
      </w:r>
      <w:r w:rsidRPr="001D6FBD" w:rsidR="0042524C">
        <w:t xml:space="preserve"> 70792, Nov</w:t>
      </w:r>
      <w:r w:rsidRPr="001D6FBD" w:rsidR="003F7BC4">
        <w:t>ember</w:t>
      </w:r>
      <w:r w:rsidRPr="001D6FBD" w:rsidR="0042524C">
        <w:t xml:space="preserve"> 27, 2012), and upon written request, by agreement, or as required by law. The disclosure of information on this form is voluntary, however failure to provide the information requested could delay or prevent FEMA from granting access to FEMA GO.”</w:t>
      </w:r>
      <w:r>
        <w:rPr>
          <w:vertAlign w:val="superscript"/>
        </w:rPr>
        <w:footnoteReference w:id="4"/>
      </w:r>
    </w:p>
    <w:p w:rsidR="00C957D4" w:rsidRPr="001D6FBD" w14:paraId="43F1FEB3" w14:textId="77777777">
      <w:pPr>
        <w:spacing w:line="276" w:lineRule="auto"/>
        <w:contextualSpacing/>
      </w:pPr>
    </w:p>
    <w:p w:rsidR="00BB592D" w:rsidRPr="001D6FBD" w14:paraId="70D1AAD2" w14:textId="7A12CE50">
      <w:pPr>
        <w:tabs>
          <w:tab w:val="left" w:pos="360"/>
        </w:tabs>
        <w:spacing w:line="276" w:lineRule="auto"/>
        <w:contextualSpacing/>
      </w:pPr>
      <w:r w:rsidRPr="001D6FBD">
        <w:t>FEMA’s Federal Ins</w:t>
      </w:r>
      <w:r w:rsidRPr="001D6FBD" w:rsidR="00A00036">
        <w:t>u</w:t>
      </w:r>
      <w:r w:rsidRPr="001D6FBD">
        <w:t>rance and Mitigation Admin</w:t>
      </w:r>
      <w:r w:rsidRPr="001D6FBD" w:rsidR="109BC9CB">
        <w:t>i</w:t>
      </w:r>
      <w:r w:rsidRPr="001D6FBD">
        <w:t>stration (</w:t>
      </w:r>
      <w:r w:rsidRPr="00993950" w:rsidR="00842E74">
        <w:fldChar w:fldCharType="begin"/>
      </w:r>
      <w:r w:rsidRPr="001D6FBD" w:rsidR="00842E74">
        <w:instrText>ADVANCE \R 0.95</w:instrText>
      </w:r>
      <w:r w:rsidRPr="00993950" w:rsidR="00842E74">
        <w:fldChar w:fldCharType="end"/>
      </w:r>
      <w:r w:rsidRPr="001D6FBD" w:rsidR="000F9203">
        <w:rPr>
          <w:kern w:val="32"/>
        </w:rPr>
        <w:t>FIMA</w:t>
      </w:r>
      <w:r w:rsidRPr="001D6FBD" w:rsidR="6F67C914">
        <w:rPr>
          <w:kern w:val="32"/>
        </w:rPr>
        <w:t>)</w:t>
      </w:r>
      <w:r w:rsidRPr="001D6FBD" w:rsidR="000F9203">
        <w:rPr>
          <w:kern w:val="32"/>
        </w:rPr>
        <w:t xml:space="preserve"> shares information with the FEMA Enterprise Data Warehouse (EDW). </w:t>
      </w:r>
      <w:r w:rsidRPr="001D6FBD" w:rsidR="0742811A">
        <w:rPr>
          <w:iCs/>
          <w:kern w:val="32"/>
        </w:rPr>
        <w:t xml:space="preserve"> </w:t>
      </w:r>
      <w:r w:rsidRPr="001D6FBD" w:rsidR="000F9203">
        <w:rPr>
          <w:kern w:val="32"/>
        </w:rPr>
        <w:t>EDW replicates source system-provided data from other operational FEMA systems and provides a simplified way of producing Agency reports for internal use as well</w:t>
      </w:r>
      <w:r w:rsidRPr="001D6FBD" w:rsidR="1D4ADAB3">
        <w:rPr>
          <w:kern w:val="32"/>
        </w:rPr>
        <w:t xml:space="preserve"> as</w:t>
      </w:r>
      <w:r w:rsidRPr="001D6FBD" w:rsidR="000F9203">
        <w:rPr>
          <w:kern w:val="32"/>
        </w:rPr>
        <w:t xml:space="preserve"> for external stakeholders.  FIMA shares this information with EDW for storage and reporting purposes.  The FEMA EDW is currently covered by the DHS/FEMA/PIA-026 Operational Data Store and Enterprise Data Warehouse PIA.</w:t>
      </w:r>
    </w:p>
    <w:p w:rsidR="00BB592D" w:rsidRPr="001D6FBD" w14:paraId="66447098" w14:textId="77777777">
      <w:pPr>
        <w:tabs>
          <w:tab w:val="left" w:pos="360"/>
        </w:tabs>
        <w:spacing w:line="276" w:lineRule="auto"/>
        <w:contextualSpacing/>
      </w:pPr>
    </w:p>
    <w:p w:rsidR="00842E74" w:rsidRPr="001D6FBD" w14:paraId="30773D06" w14:textId="77777777">
      <w:pPr>
        <w:tabs>
          <w:tab w:val="left" w:pos="360"/>
        </w:tabs>
        <w:spacing w:line="276" w:lineRule="auto"/>
        <w:contextualSpacing/>
        <w:rPr>
          <w:b/>
          <w:bCs/>
        </w:rPr>
      </w:pPr>
      <w:r w:rsidRPr="001D6FBD">
        <w:rPr>
          <w:b/>
          <w:bCs/>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42E74" w:rsidRPr="001D6FBD" w14:paraId="696CE951" w14:textId="77777777">
      <w:pPr>
        <w:spacing w:line="276" w:lineRule="auto"/>
        <w:contextualSpacing/>
      </w:pPr>
    </w:p>
    <w:p w:rsidR="007C5577" w:rsidRPr="001D6FBD" w14:paraId="123FB5F9" w14:textId="77777777">
      <w:pPr>
        <w:spacing w:line="276" w:lineRule="auto"/>
        <w:contextualSpacing/>
      </w:pPr>
      <w:r w:rsidRPr="001D6FBD">
        <w:t>There are no questions of a sensitive nature</w:t>
      </w:r>
      <w:r w:rsidRPr="001D6FBD" w:rsidR="00B7292E">
        <w:t>.</w:t>
      </w:r>
    </w:p>
    <w:p w:rsidR="00842E74" w:rsidRPr="001D6FBD" w14:paraId="3134DA5D" w14:textId="77777777">
      <w:pPr>
        <w:spacing w:line="276" w:lineRule="auto"/>
        <w:contextualSpacing/>
      </w:pPr>
    </w:p>
    <w:p w:rsidR="00842E74" w:rsidRPr="001D6FBD" w14:paraId="53A9F182" w14:textId="0A84F2FC">
      <w:pPr>
        <w:spacing w:line="276" w:lineRule="auto"/>
        <w:contextualSpacing/>
        <w:rPr>
          <w:b/>
          <w:bCs/>
        </w:rPr>
      </w:pPr>
      <w:r w:rsidRPr="00993950">
        <w:rPr>
          <w:b/>
          <w:bCs/>
        </w:rPr>
        <w:fldChar w:fldCharType="begin"/>
      </w:r>
      <w:r w:rsidRPr="001D6FBD">
        <w:rPr>
          <w:b/>
          <w:bCs/>
        </w:rPr>
        <w:instrText>ADVANCE \R 0.95</w:instrText>
      </w:r>
      <w:r w:rsidRPr="00993950">
        <w:rPr>
          <w:b/>
          <w:bCs/>
        </w:rPr>
        <w:fldChar w:fldCharType="end"/>
      </w:r>
      <w:r w:rsidRPr="00993950">
        <w:rPr>
          <w:b/>
          <w:bCs/>
        </w:rPr>
        <w:fldChar w:fldCharType="begin"/>
      </w:r>
      <w:r w:rsidRPr="001D6FBD">
        <w:rPr>
          <w:b/>
          <w:bCs/>
        </w:rPr>
        <w:instrText>ADVANCE \R 0.95</w:instrText>
      </w:r>
      <w:r w:rsidRPr="00993950">
        <w:rPr>
          <w:b/>
          <w:bCs/>
        </w:rPr>
        <w:fldChar w:fldCharType="end"/>
      </w:r>
      <w:r w:rsidRPr="001D6FBD">
        <w:rPr>
          <w:b/>
          <w:bCs/>
        </w:rPr>
        <w:t>12.</w:t>
      </w:r>
      <w:r w:rsidR="00782F83">
        <w:rPr>
          <w:b/>
          <w:bCs/>
        </w:rPr>
        <w:t xml:space="preserve"> </w:t>
      </w:r>
      <w:r w:rsidRPr="001D6FBD">
        <w:rPr>
          <w:b/>
          <w:bCs/>
        </w:rPr>
        <w:t xml:space="preserve"> Provide estimates of the hour burden of the collection of information.  The statement should:</w:t>
      </w:r>
    </w:p>
    <w:p w:rsidR="009F71FA" w:rsidRPr="001D6FBD" w14:paraId="39A2EC42" w14:textId="77777777">
      <w:pPr>
        <w:spacing w:line="276" w:lineRule="auto"/>
        <w:contextualSpacing/>
        <w:rPr>
          <w:b/>
          <w:bCs/>
        </w:rPr>
      </w:pPr>
      <w:r w:rsidRPr="00993950">
        <w:rPr>
          <w:b/>
          <w:bCs/>
        </w:rPr>
        <w:fldChar w:fldCharType="begin"/>
      </w:r>
      <w:r w:rsidRPr="001D6FBD">
        <w:rPr>
          <w:b/>
          <w:bCs/>
        </w:rPr>
        <w:instrText>ADVANCE \R 0.95</w:instrText>
      </w:r>
      <w:r w:rsidRPr="00993950">
        <w:rPr>
          <w:b/>
          <w:bCs/>
        </w:rPr>
        <w:fldChar w:fldCharType="end"/>
      </w:r>
    </w:p>
    <w:p w:rsidR="00C65D1D" w:rsidRPr="001D6FBD" w14:paraId="02105CE0" w14:textId="714102EF">
      <w:pPr>
        <w:pStyle w:val="ListParagraph"/>
        <w:numPr>
          <w:ilvl w:val="0"/>
          <w:numId w:val="22"/>
        </w:numPr>
        <w:spacing w:line="276" w:lineRule="auto"/>
        <w:rPr>
          <w:b/>
          <w:bCs/>
        </w:rPr>
      </w:pPr>
      <w:r w:rsidRPr="00993950">
        <w:rPr>
          <w:b/>
          <w:bCs/>
        </w:rPr>
        <w:fldChar w:fldCharType="begin"/>
      </w:r>
      <w:r w:rsidRPr="001D6FBD">
        <w:rPr>
          <w:b/>
          <w:bCs/>
        </w:rPr>
        <w:instrText>ADVANCE \R 0.95</w:instrText>
      </w:r>
      <w:r w:rsidRPr="00993950">
        <w:rPr>
          <w:b/>
          <w:bCs/>
        </w:rPr>
        <w:fldChar w:fldCharType="end"/>
      </w:r>
      <w:r w:rsidRPr="001D6FBD" w:rsidR="00B808FE">
        <w:rPr>
          <w:b/>
          <w:bCs/>
        </w:rPr>
        <w:t>Indicate</w:t>
      </w:r>
      <w:r w:rsidRPr="001D6FBD">
        <w:rPr>
          <w:b/>
          <w:bCs/>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D6FBD" w:rsidRPr="001D6FBD" w14:paraId="2B0B0B5E" w14:textId="77777777">
      <w:pPr>
        <w:spacing w:line="276" w:lineRule="auto"/>
        <w:contextualSpacing/>
      </w:pPr>
    </w:p>
    <w:p w:rsidR="001D6FBD" w:rsidRPr="001D6FBD" w14:paraId="61BFE2EC" w14:textId="6313AAD2">
      <w:pPr>
        <w:spacing w:line="276" w:lineRule="auto"/>
        <w:contextualSpacing/>
      </w:pPr>
      <w:r>
        <w:t xml:space="preserve">The 59 Respondents affected by this data collection are the annual average number of HMGP Recipients which can be states, territories, and any Indian tribal government choosing to act as a Direct Recipient.  As of January 2022, </w:t>
      </w:r>
      <w:r w:rsidR="6CE925AA">
        <w:t>twenty-two (</w:t>
      </w:r>
      <w:r>
        <w:t>22</w:t>
      </w:r>
      <w:r w:rsidR="04EAAA53">
        <w:t>)</w:t>
      </w:r>
      <w:r>
        <w:t xml:space="preserve"> direct tribal declaration requests had been made since the Stafford Act amendment in 2013.  This is averaged to an estimated two (2) Tribal direct Recipients per year as a result of receiving a direct Federal disaster declaration.  There have been tribal declarations where the state did not receive a Presidential disaster declaration in conjunction with the tribal declaration.  </w:t>
      </w:r>
    </w:p>
    <w:p w:rsidR="001D6FBD" w:rsidRPr="001D6FBD" w14:paraId="19716668" w14:textId="77777777">
      <w:pPr>
        <w:spacing w:line="276" w:lineRule="auto"/>
        <w:contextualSpacing/>
      </w:pPr>
    </w:p>
    <w:p w:rsidR="001D6FBD" w:rsidRPr="001D6FBD" w14:paraId="2E72621F" w14:textId="6415A41B">
      <w:pPr>
        <w:spacing w:line="276" w:lineRule="auto"/>
        <w:contextualSpacing/>
      </w:pPr>
      <w:r>
        <w:t xml:space="preserve">Information pulled from a weekly HMGP report supplied by Data Analytics shows a total of 586 declarations over a 10-year period from FY 2012-2021, including those from Indian tribal governments.  Averaging over those 10 years gives an annual average of 58.6 responses per year.  Rounding up provides us with an annual average of 59 responses per year.     </w:t>
      </w:r>
    </w:p>
    <w:p w:rsidR="001D6FBD" w:rsidRPr="001D6FBD" w14:paraId="752B1DE5" w14:textId="77777777">
      <w:pPr>
        <w:spacing w:line="276" w:lineRule="auto"/>
        <w:contextualSpacing/>
      </w:pPr>
    </w:p>
    <w:p w:rsidR="001D6FBD" w:rsidRPr="001D6FBD" w14:paraId="1226C3D8" w14:textId="77777777">
      <w:pPr>
        <w:spacing w:line="276" w:lineRule="auto"/>
        <w:contextualSpacing/>
      </w:pPr>
      <w:r w:rsidRPr="001D6FBD">
        <w:t xml:space="preserve">The basis of the annualized projection of Number of Responses per Respondent is the actual number of HMGP projects processed for FY 2012 through FY 2021.  The number of responses (projects) per respondent (recipient) correlates with the number of declared disasters impacting the recipients’ jurisdiction.  Since the number of disasters greatly varies by FEMA Region, the number of projects varies widely.  </w:t>
      </w:r>
    </w:p>
    <w:p w:rsidR="001D6FBD" w:rsidRPr="001D6FBD" w:rsidP="00993950" w14:paraId="7433ED70" w14:textId="77777777">
      <w:pPr>
        <w:spacing w:line="276" w:lineRule="auto"/>
        <w:contextualSpacing/>
      </w:pPr>
    </w:p>
    <w:p w:rsidR="001D6FBD" w:rsidRPr="001D6FBD" w14:paraId="0728D5D5" w14:textId="77777777">
      <w:pPr>
        <w:spacing w:line="276" w:lineRule="auto"/>
        <w:contextualSpacing/>
      </w:pPr>
      <w:r w:rsidRPr="001D6FBD">
        <w:t xml:space="preserve">The Electronic Systems used to apply for HMGP grants captures log data which records durations to complete different aspects of the electronic system grant application process such as </w:t>
      </w:r>
      <w:r w:rsidRPr="001D6FBD">
        <w:rPr>
          <w:b/>
          <w:bCs/>
        </w:rPr>
        <w:t xml:space="preserve">Benefit-Cost Information (BCA) </w:t>
      </w:r>
      <w:r w:rsidRPr="001D6FBD">
        <w:t>documentation</w:t>
      </w:r>
      <w:r w:rsidRPr="001D6FBD">
        <w:rPr>
          <w:b/>
          <w:bCs/>
        </w:rPr>
        <w:t xml:space="preserve">, Environmental and Historic Preservation (EHP) </w:t>
      </w:r>
      <w:r w:rsidRPr="001D6FBD">
        <w:t>application questions</w:t>
      </w:r>
      <w:r w:rsidRPr="001D6FBD">
        <w:rPr>
          <w:b/>
          <w:bCs/>
        </w:rPr>
        <w:t>, Project Narrative Subgrant</w:t>
      </w:r>
      <w:r w:rsidRPr="001D6FBD">
        <w:t xml:space="preserve"> applications, and </w:t>
      </w:r>
      <w:r w:rsidRPr="001D6FBD">
        <w:rPr>
          <w:b/>
          <w:bCs/>
        </w:rPr>
        <w:t>Quarterly Progress Reports</w:t>
      </w:r>
      <w:r w:rsidRPr="001D6FBD">
        <w:t xml:space="preserve"> </w:t>
      </w:r>
      <w:r w:rsidRPr="001D6FBD">
        <w:rPr>
          <w:b/>
          <w:bCs/>
        </w:rPr>
        <w:t xml:space="preserve">(QPR). </w:t>
      </w:r>
      <w:r w:rsidRPr="001D6FBD">
        <w:t xml:space="preserve"> The Electronic System duration data has formed the basis of burden hour estimates for OMB 1660- 0076.  HMA has averaged the burden hours on the most recent </w:t>
      </w:r>
      <w:r w:rsidRPr="001D6FBD">
        <w:t>data to determine burden hours for this current submission. The durations recorded in the electronic systems follow usability testing guidelines.</w:t>
      </w:r>
    </w:p>
    <w:p w:rsidR="001D6FBD" w:rsidRPr="001D6FBD" w14:paraId="449FEE79" w14:textId="77777777">
      <w:pPr>
        <w:spacing w:line="276" w:lineRule="auto"/>
        <w:contextualSpacing/>
      </w:pPr>
    </w:p>
    <w:p w:rsidR="001D6FBD" w:rsidRPr="001D6FBD" w:rsidP="00993950" w14:paraId="468C643C" w14:textId="77777777">
      <w:pPr>
        <w:spacing w:line="276" w:lineRule="auto"/>
        <w:contextualSpacing/>
      </w:pPr>
      <w:r w:rsidRPr="001D6FBD">
        <w:t>This is illustrated in the table below.</w:t>
      </w:r>
    </w:p>
    <w:p w:rsidR="001D6FBD" w:rsidRPr="00D57EC1" w:rsidP="001D6FBD" w14:paraId="12EE2831" w14:textId="77777777">
      <w:pPr>
        <w:spacing w:line="276" w:lineRule="auto"/>
        <w:contextualSpacing/>
      </w:pPr>
    </w:p>
    <w:tbl>
      <w:tblPr>
        <w:tblW w:w="65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tblPr>
      <w:tblGrid>
        <w:gridCol w:w="1396"/>
        <w:gridCol w:w="2194"/>
        <w:gridCol w:w="2970"/>
      </w:tblGrid>
      <w:tr w14:paraId="76021FE1" w14:textId="77777777" w:rsidTr="00993950">
        <w:tblPrEx>
          <w:tblW w:w="65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tblPrEx>
        <w:trPr>
          <w:trHeight w:val="360"/>
          <w:jc w:val="center"/>
        </w:trPr>
        <w:tc>
          <w:tcPr>
            <w:tcW w:w="6560" w:type="dxa"/>
            <w:gridSpan w:val="3"/>
            <w:shd w:val="clear" w:color="auto" w:fill="8EAADB" w:themeFill="accent1" w:themeFillTint="99"/>
            <w:noWrap/>
            <w:tcMar>
              <w:top w:w="0" w:type="dxa"/>
              <w:left w:w="108" w:type="dxa"/>
              <w:bottom w:w="0" w:type="dxa"/>
              <w:right w:w="108" w:type="dxa"/>
            </w:tcMar>
            <w:vAlign w:val="bottom"/>
            <w:hideMark/>
          </w:tcPr>
          <w:p w:rsidR="001D6FBD" w:rsidRPr="00D57EC1" w:rsidP="00BE2FD0" w14:paraId="5588A3D6" w14:textId="77777777">
            <w:pPr>
              <w:spacing w:line="276" w:lineRule="auto"/>
              <w:contextualSpacing/>
              <w:jc w:val="center"/>
              <w:rPr>
                <w:b/>
                <w:bCs/>
                <w:sz w:val="20"/>
                <w:szCs w:val="20"/>
              </w:rPr>
            </w:pPr>
            <w:r w:rsidRPr="00D57EC1">
              <w:rPr>
                <w:b/>
                <w:bCs/>
                <w:sz w:val="20"/>
                <w:szCs w:val="20"/>
              </w:rPr>
              <w:t>HMGP Projects Submitted for FY2012 through FY2021</w:t>
            </w:r>
            <w:r>
              <w:rPr>
                <w:rStyle w:val="FootnoteReference"/>
                <w:b/>
                <w:bCs/>
                <w:sz w:val="20"/>
                <w:szCs w:val="20"/>
              </w:rPr>
              <w:footnoteReference w:id="5"/>
            </w:r>
          </w:p>
        </w:tc>
      </w:tr>
      <w:tr w14:paraId="570B07D7" w14:textId="77777777" w:rsidTr="00BE2FD0">
        <w:tblPrEx>
          <w:tblW w:w="6560" w:type="dxa"/>
          <w:jc w:val="center"/>
          <w:tblCellMar>
            <w:left w:w="0" w:type="dxa"/>
            <w:right w:w="0" w:type="dxa"/>
          </w:tblCellMar>
          <w:tblLook w:val="04A0"/>
        </w:tblPrEx>
        <w:trPr>
          <w:trHeight w:val="360"/>
          <w:jc w:val="center"/>
        </w:trPr>
        <w:tc>
          <w:tcPr>
            <w:tcW w:w="1396" w:type="dxa"/>
            <w:shd w:val="clear" w:color="auto" w:fill="8EAADB" w:themeFill="accent1" w:themeFillTint="99"/>
            <w:noWrap/>
            <w:tcMar>
              <w:top w:w="0" w:type="dxa"/>
              <w:left w:w="108" w:type="dxa"/>
              <w:bottom w:w="0" w:type="dxa"/>
              <w:right w:w="108" w:type="dxa"/>
            </w:tcMar>
            <w:vAlign w:val="bottom"/>
            <w:hideMark/>
          </w:tcPr>
          <w:p w:rsidR="001D6FBD" w:rsidRPr="00D57EC1" w:rsidP="00BE2FD0" w14:paraId="4A8E0475" w14:textId="77777777">
            <w:pPr>
              <w:spacing w:line="276" w:lineRule="auto"/>
              <w:contextualSpacing/>
              <w:jc w:val="center"/>
              <w:rPr>
                <w:sz w:val="20"/>
                <w:szCs w:val="20"/>
              </w:rPr>
            </w:pPr>
            <w:r w:rsidRPr="00D57EC1">
              <w:rPr>
                <w:sz w:val="20"/>
                <w:szCs w:val="20"/>
              </w:rPr>
              <w:t>Region</w:t>
            </w:r>
          </w:p>
        </w:tc>
        <w:tc>
          <w:tcPr>
            <w:tcW w:w="2194" w:type="dxa"/>
            <w:shd w:val="clear" w:color="auto" w:fill="8EAADB" w:themeFill="accent1" w:themeFillTint="99"/>
            <w:noWrap/>
            <w:tcMar>
              <w:top w:w="0" w:type="dxa"/>
              <w:left w:w="108" w:type="dxa"/>
              <w:bottom w:w="0" w:type="dxa"/>
              <w:right w:w="108" w:type="dxa"/>
            </w:tcMar>
            <w:vAlign w:val="bottom"/>
            <w:hideMark/>
          </w:tcPr>
          <w:p w:rsidR="001D6FBD" w:rsidRPr="00D57EC1" w:rsidP="00BE2FD0" w14:paraId="454DD0F3" w14:textId="77777777">
            <w:pPr>
              <w:spacing w:line="276" w:lineRule="auto"/>
              <w:contextualSpacing/>
              <w:jc w:val="center"/>
              <w:rPr>
                <w:sz w:val="20"/>
                <w:szCs w:val="20"/>
              </w:rPr>
            </w:pPr>
            <w:r w:rsidRPr="00D57EC1">
              <w:rPr>
                <w:sz w:val="20"/>
                <w:szCs w:val="20"/>
              </w:rPr>
              <w:t>Program Area</w:t>
            </w:r>
          </w:p>
        </w:tc>
        <w:tc>
          <w:tcPr>
            <w:tcW w:w="2970" w:type="dxa"/>
            <w:shd w:val="clear" w:color="auto" w:fill="8EAADB" w:themeFill="accent1" w:themeFillTint="99"/>
            <w:noWrap/>
            <w:tcMar>
              <w:top w:w="0" w:type="dxa"/>
              <w:left w:w="108" w:type="dxa"/>
              <w:bottom w:w="0" w:type="dxa"/>
              <w:right w:w="108" w:type="dxa"/>
            </w:tcMar>
            <w:vAlign w:val="bottom"/>
            <w:hideMark/>
          </w:tcPr>
          <w:p w:rsidR="001D6FBD" w:rsidRPr="00D57EC1" w:rsidP="00BE2FD0" w14:paraId="5555C8F3" w14:textId="77777777">
            <w:pPr>
              <w:spacing w:line="276" w:lineRule="auto"/>
              <w:contextualSpacing/>
              <w:jc w:val="center"/>
              <w:rPr>
                <w:sz w:val="20"/>
                <w:szCs w:val="20"/>
              </w:rPr>
            </w:pPr>
            <w:r w:rsidRPr="00D57EC1">
              <w:rPr>
                <w:sz w:val="20"/>
                <w:szCs w:val="20"/>
              </w:rPr>
              <w:t>Number of Projects</w:t>
            </w:r>
          </w:p>
        </w:tc>
      </w:tr>
      <w:tr w14:paraId="0C766BB9" w14:textId="77777777" w:rsidTr="00BE2FD0">
        <w:tblPrEx>
          <w:tblW w:w="6560" w:type="dxa"/>
          <w:jc w:val="center"/>
          <w:tblCellMar>
            <w:left w:w="0" w:type="dxa"/>
            <w:right w:w="0" w:type="dxa"/>
          </w:tblCellMar>
          <w:tblLook w:val="04A0"/>
        </w:tblPrEx>
        <w:trPr>
          <w:trHeight w:val="360"/>
          <w:jc w:val="center"/>
        </w:trPr>
        <w:tc>
          <w:tcPr>
            <w:tcW w:w="1396" w:type="dxa"/>
            <w:shd w:val="clear" w:color="auto" w:fill="FFFFFF" w:themeFill="background1"/>
            <w:noWrap/>
            <w:tcMar>
              <w:top w:w="0" w:type="dxa"/>
              <w:left w:w="108" w:type="dxa"/>
              <w:bottom w:w="0" w:type="dxa"/>
              <w:right w:w="108" w:type="dxa"/>
            </w:tcMar>
            <w:vAlign w:val="bottom"/>
            <w:hideMark/>
          </w:tcPr>
          <w:p w:rsidR="001D6FBD" w:rsidRPr="00D57EC1" w:rsidP="00BE2FD0" w14:paraId="5D389CB8" w14:textId="77777777">
            <w:pPr>
              <w:spacing w:line="276" w:lineRule="auto"/>
              <w:contextualSpacing/>
              <w:jc w:val="center"/>
              <w:rPr>
                <w:sz w:val="20"/>
                <w:szCs w:val="20"/>
              </w:rPr>
            </w:pPr>
            <w:r w:rsidRPr="00D57EC1">
              <w:rPr>
                <w:sz w:val="20"/>
                <w:szCs w:val="20"/>
              </w:rPr>
              <w:t>1</w:t>
            </w:r>
          </w:p>
        </w:tc>
        <w:tc>
          <w:tcPr>
            <w:tcW w:w="2194" w:type="dxa"/>
            <w:shd w:val="clear" w:color="auto" w:fill="FFFFFF" w:themeFill="background1"/>
            <w:noWrap/>
            <w:tcMar>
              <w:top w:w="0" w:type="dxa"/>
              <w:left w:w="108" w:type="dxa"/>
              <w:bottom w:w="0" w:type="dxa"/>
              <w:right w:w="108" w:type="dxa"/>
            </w:tcMar>
            <w:vAlign w:val="bottom"/>
            <w:hideMark/>
          </w:tcPr>
          <w:p w:rsidR="001D6FBD" w:rsidRPr="00D57EC1" w:rsidP="00BE2FD0" w14:paraId="5FE121F9" w14:textId="77777777">
            <w:pPr>
              <w:spacing w:line="276" w:lineRule="auto"/>
              <w:contextualSpacing/>
              <w:jc w:val="center"/>
              <w:rPr>
                <w:sz w:val="20"/>
                <w:szCs w:val="20"/>
              </w:rPr>
            </w:pPr>
            <w:r w:rsidRPr="00D57EC1">
              <w:rPr>
                <w:sz w:val="20"/>
                <w:szCs w:val="20"/>
              </w:rPr>
              <w:t>HMGP</w:t>
            </w:r>
          </w:p>
        </w:tc>
        <w:tc>
          <w:tcPr>
            <w:tcW w:w="2970" w:type="dxa"/>
            <w:shd w:val="clear" w:color="auto" w:fill="FFFFFF" w:themeFill="background1"/>
            <w:noWrap/>
            <w:tcMar>
              <w:top w:w="0" w:type="dxa"/>
              <w:left w:w="108" w:type="dxa"/>
              <w:bottom w:w="0" w:type="dxa"/>
              <w:right w:w="108" w:type="dxa"/>
            </w:tcMar>
            <w:vAlign w:val="center"/>
            <w:hideMark/>
          </w:tcPr>
          <w:p w:rsidR="001D6FBD" w:rsidRPr="00D57EC1" w:rsidP="00BE2FD0" w14:paraId="5AE13335" w14:textId="77777777">
            <w:pPr>
              <w:spacing w:line="276" w:lineRule="auto"/>
              <w:contextualSpacing/>
              <w:jc w:val="center"/>
              <w:rPr>
                <w:sz w:val="20"/>
                <w:szCs w:val="20"/>
              </w:rPr>
            </w:pPr>
            <w:r w:rsidRPr="00D57EC1">
              <w:rPr>
                <w:sz w:val="20"/>
                <w:szCs w:val="20"/>
              </w:rPr>
              <w:t>413</w:t>
            </w:r>
          </w:p>
        </w:tc>
      </w:tr>
      <w:tr w14:paraId="51D4B47D" w14:textId="77777777" w:rsidTr="00BE2FD0">
        <w:tblPrEx>
          <w:tblW w:w="6560" w:type="dxa"/>
          <w:jc w:val="center"/>
          <w:tblCellMar>
            <w:left w:w="0" w:type="dxa"/>
            <w:right w:w="0" w:type="dxa"/>
          </w:tblCellMar>
          <w:tblLook w:val="04A0"/>
        </w:tblPrEx>
        <w:trPr>
          <w:trHeight w:val="360"/>
          <w:jc w:val="center"/>
        </w:trPr>
        <w:tc>
          <w:tcPr>
            <w:tcW w:w="1396" w:type="dxa"/>
            <w:shd w:val="clear" w:color="auto" w:fill="FFFFFF" w:themeFill="background1"/>
            <w:noWrap/>
            <w:tcMar>
              <w:top w:w="0" w:type="dxa"/>
              <w:left w:w="108" w:type="dxa"/>
              <w:bottom w:w="0" w:type="dxa"/>
              <w:right w:w="108" w:type="dxa"/>
            </w:tcMar>
            <w:vAlign w:val="bottom"/>
            <w:hideMark/>
          </w:tcPr>
          <w:p w:rsidR="001D6FBD" w:rsidRPr="00D57EC1" w:rsidP="00BE2FD0" w14:paraId="360F4829" w14:textId="77777777">
            <w:pPr>
              <w:spacing w:line="276" w:lineRule="auto"/>
              <w:contextualSpacing/>
              <w:jc w:val="center"/>
              <w:rPr>
                <w:sz w:val="20"/>
                <w:szCs w:val="20"/>
              </w:rPr>
            </w:pPr>
            <w:r w:rsidRPr="00D57EC1">
              <w:rPr>
                <w:sz w:val="20"/>
                <w:szCs w:val="20"/>
              </w:rPr>
              <w:t>2</w:t>
            </w:r>
          </w:p>
        </w:tc>
        <w:tc>
          <w:tcPr>
            <w:tcW w:w="2194" w:type="dxa"/>
            <w:shd w:val="clear" w:color="auto" w:fill="FFFFFF" w:themeFill="background1"/>
            <w:noWrap/>
            <w:tcMar>
              <w:top w:w="0" w:type="dxa"/>
              <w:left w:w="108" w:type="dxa"/>
              <w:bottom w:w="0" w:type="dxa"/>
              <w:right w:w="108" w:type="dxa"/>
            </w:tcMar>
            <w:vAlign w:val="bottom"/>
            <w:hideMark/>
          </w:tcPr>
          <w:p w:rsidR="001D6FBD" w:rsidRPr="00D57EC1" w:rsidP="00BE2FD0" w14:paraId="03503054" w14:textId="77777777">
            <w:pPr>
              <w:spacing w:line="276" w:lineRule="auto"/>
              <w:contextualSpacing/>
              <w:jc w:val="center"/>
              <w:rPr>
                <w:sz w:val="20"/>
                <w:szCs w:val="20"/>
              </w:rPr>
            </w:pPr>
            <w:r w:rsidRPr="00D57EC1">
              <w:rPr>
                <w:sz w:val="20"/>
                <w:szCs w:val="20"/>
              </w:rPr>
              <w:t>HMGP</w:t>
            </w:r>
          </w:p>
        </w:tc>
        <w:tc>
          <w:tcPr>
            <w:tcW w:w="2970" w:type="dxa"/>
            <w:shd w:val="clear" w:color="auto" w:fill="FFFFFF" w:themeFill="background1"/>
            <w:noWrap/>
            <w:tcMar>
              <w:top w:w="0" w:type="dxa"/>
              <w:left w:w="108" w:type="dxa"/>
              <w:bottom w:w="0" w:type="dxa"/>
              <w:right w:w="108" w:type="dxa"/>
            </w:tcMar>
            <w:vAlign w:val="center"/>
            <w:hideMark/>
          </w:tcPr>
          <w:p w:rsidR="001D6FBD" w:rsidRPr="00D57EC1" w:rsidP="00BE2FD0" w14:paraId="365ABB6A" w14:textId="77777777">
            <w:pPr>
              <w:spacing w:line="276" w:lineRule="auto"/>
              <w:contextualSpacing/>
              <w:jc w:val="center"/>
              <w:rPr>
                <w:sz w:val="20"/>
                <w:szCs w:val="20"/>
              </w:rPr>
            </w:pPr>
            <w:r w:rsidRPr="00D57EC1">
              <w:rPr>
                <w:sz w:val="20"/>
                <w:szCs w:val="20"/>
              </w:rPr>
              <w:t>1,216</w:t>
            </w:r>
          </w:p>
        </w:tc>
      </w:tr>
      <w:tr w14:paraId="0CAFD2A1" w14:textId="77777777" w:rsidTr="00BE2FD0">
        <w:tblPrEx>
          <w:tblW w:w="6560" w:type="dxa"/>
          <w:jc w:val="center"/>
          <w:tblCellMar>
            <w:left w:w="0" w:type="dxa"/>
            <w:right w:w="0" w:type="dxa"/>
          </w:tblCellMar>
          <w:tblLook w:val="04A0"/>
        </w:tblPrEx>
        <w:trPr>
          <w:trHeight w:val="360"/>
          <w:jc w:val="center"/>
        </w:trPr>
        <w:tc>
          <w:tcPr>
            <w:tcW w:w="1396" w:type="dxa"/>
            <w:shd w:val="clear" w:color="auto" w:fill="FFFFFF" w:themeFill="background1"/>
            <w:noWrap/>
            <w:tcMar>
              <w:top w:w="0" w:type="dxa"/>
              <w:left w:w="108" w:type="dxa"/>
              <w:bottom w:w="0" w:type="dxa"/>
              <w:right w:w="108" w:type="dxa"/>
            </w:tcMar>
            <w:vAlign w:val="bottom"/>
            <w:hideMark/>
          </w:tcPr>
          <w:p w:rsidR="001D6FBD" w:rsidRPr="00D57EC1" w:rsidP="00BE2FD0" w14:paraId="681D0E3A" w14:textId="77777777">
            <w:pPr>
              <w:spacing w:line="276" w:lineRule="auto"/>
              <w:contextualSpacing/>
              <w:jc w:val="center"/>
              <w:rPr>
                <w:sz w:val="20"/>
                <w:szCs w:val="20"/>
              </w:rPr>
            </w:pPr>
            <w:r w:rsidRPr="00D57EC1">
              <w:rPr>
                <w:sz w:val="20"/>
                <w:szCs w:val="20"/>
              </w:rPr>
              <w:t>3</w:t>
            </w:r>
          </w:p>
        </w:tc>
        <w:tc>
          <w:tcPr>
            <w:tcW w:w="2194" w:type="dxa"/>
            <w:shd w:val="clear" w:color="auto" w:fill="FFFFFF" w:themeFill="background1"/>
            <w:noWrap/>
            <w:tcMar>
              <w:top w:w="0" w:type="dxa"/>
              <w:left w:w="108" w:type="dxa"/>
              <w:bottom w:w="0" w:type="dxa"/>
              <w:right w:w="108" w:type="dxa"/>
            </w:tcMar>
            <w:vAlign w:val="bottom"/>
            <w:hideMark/>
          </w:tcPr>
          <w:p w:rsidR="001D6FBD" w:rsidRPr="00D57EC1" w:rsidP="00BE2FD0" w14:paraId="3DB7B9B6" w14:textId="77777777">
            <w:pPr>
              <w:spacing w:line="276" w:lineRule="auto"/>
              <w:contextualSpacing/>
              <w:jc w:val="center"/>
              <w:rPr>
                <w:sz w:val="20"/>
                <w:szCs w:val="20"/>
              </w:rPr>
            </w:pPr>
            <w:r w:rsidRPr="00D57EC1">
              <w:rPr>
                <w:sz w:val="20"/>
                <w:szCs w:val="20"/>
              </w:rPr>
              <w:t>HMGP</w:t>
            </w:r>
          </w:p>
        </w:tc>
        <w:tc>
          <w:tcPr>
            <w:tcW w:w="2970" w:type="dxa"/>
            <w:shd w:val="clear" w:color="auto" w:fill="FFFFFF" w:themeFill="background1"/>
            <w:noWrap/>
            <w:tcMar>
              <w:top w:w="0" w:type="dxa"/>
              <w:left w:w="108" w:type="dxa"/>
              <w:bottom w:w="0" w:type="dxa"/>
              <w:right w:w="108" w:type="dxa"/>
            </w:tcMar>
            <w:vAlign w:val="center"/>
            <w:hideMark/>
          </w:tcPr>
          <w:p w:rsidR="001D6FBD" w:rsidRPr="00D57EC1" w:rsidP="00BE2FD0" w14:paraId="4C5C5182" w14:textId="77777777">
            <w:pPr>
              <w:spacing w:line="276" w:lineRule="auto"/>
              <w:contextualSpacing/>
              <w:jc w:val="center"/>
              <w:rPr>
                <w:sz w:val="20"/>
                <w:szCs w:val="20"/>
              </w:rPr>
            </w:pPr>
            <w:r w:rsidRPr="00D57EC1">
              <w:rPr>
                <w:sz w:val="20"/>
                <w:szCs w:val="20"/>
              </w:rPr>
              <w:t>627</w:t>
            </w:r>
          </w:p>
        </w:tc>
      </w:tr>
      <w:tr w14:paraId="4E608220" w14:textId="77777777" w:rsidTr="00BE2FD0">
        <w:tblPrEx>
          <w:tblW w:w="6560" w:type="dxa"/>
          <w:jc w:val="center"/>
          <w:tblCellMar>
            <w:left w:w="0" w:type="dxa"/>
            <w:right w:w="0" w:type="dxa"/>
          </w:tblCellMar>
          <w:tblLook w:val="04A0"/>
        </w:tblPrEx>
        <w:trPr>
          <w:trHeight w:val="360"/>
          <w:jc w:val="center"/>
        </w:trPr>
        <w:tc>
          <w:tcPr>
            <w:tcW w:w="1396" w:type="dxa"/>
            <w:shd w:val="clear" w:color="auto" w:fill="FFFFFF" w:themeFill="background1"/>
            <w:noWrap/>
            <w:tcMar>
              <w:top w:w="0" w:type="dxa"/>
              <w:left w:w="108" w:type="dxa"/>
              <w:bottom w:w="0" w:type="dxa"/>
              <w:right w:w="108" w:type="dxa"/>
            </w:tcMar>
            <w:vAlign w:val="bottom"/>
            <w:hideMark/>
          </w:tcPr>
          <w:p w:rsidR="001D6FBD" w:rsidRPr="00D57EC1" w:rsidP="00BE2FD0" w14:paraId="50301B44" w14:textId="77777777">
            <w:pPr>
              <w:spacing w:line="276" w:lineRule="auto"/>
              <w:contextualSpacing/>
              <w:jc w:val="center"/>
              <w:rPr>
                <w:sz w:val="20"/>
                <w:szCs w:val="20"/>
              </w:rPr>
            </w:pPr>
            <w:r w:rsidRPr="00D57EC1">
              <w:rPr>
                <w:sz w:val="20"/>
                <w:szCs w:val="20"/>
              </w:rPr>
              <w:t>4</w:t>
            </w:r>
          </w:p>
        </w:tc>
        <w:tc>
          <w:tcPr>
            <w:tcW w:w="2194" w:type="dxa"/>
            <w:shd w:val="clear" w:color="auto" w:fill="FFFFFF" w:themeFill="background1"/>
            <w:noWrap/>
            <w:tcMar>
              <w:top w:w="0" w:type="dxa"/>
              <w:left w:w="108" w:type="dxa"/>
              <w:bottom w:w="0" w:type="dxa"/>
              <w:right w:w="108" w:type="dxa"/>
            </w:tcMar>
            <w:vAlign w:val="bottom"/>
            <w:hideMark/>
          </w:tcPr>
          <w:p w:rsidR="001D6FBD" w:rsidRPr="00D57EC1" w:rsidP="00BE2FD0" w14:paraId="6092E30E" w14:textId="77777777">
            <w:pPr>
              <w:spacing w:line="276" w:lineRule="auto"/>
              <w:contextualSpacing/>
              <w:jc w:val="center"/>
              <w:rPr>
                <w:sz w:val="20"/>
                <w:szCs w:val="20"/>
              </w:rPr>
            </w:pPr>
            <w:r w:rsidRPr="00D57EC1">
              <w:rPr>
                <w:sz w:val="20"/>
                <w:szCs w:val="20"/>
              </w:rPr>
              <w:t>HMGP</w:t>
            </w:r>
          </w:p>
        </w:tc>
        <w:tc>
          <w:tcPr>
            <w:tcW w:w="2970" w:type="dxa"/>
            <w:shd w:val="clear" w:color="auto" w:fill="FFFFFF" w:themeFill="background1"/>
            <w:noWrap/>
            <w:tcMar>
              <w:top w:w="0" w:type="dxa"/>
              <w:left w:w="108" w:type="dxa"/>
              <w:bottom w:w="0" w:type="dxa"/>
              <w:right w:w="108" w:type="dxa"/>
            </w:tcMar>
            <w:vAlign w:val="center"/>
            <w:hideMark/>
          </w:tcPr>
          <w:p w:rsidR="001D6FBD" w:rsidRPr="00D57EC1" w:rsidP="00BE2FD0" w14:paraId="7E1D8ABD" w14:textId="77777777">
            <w:pPr>
              <w:spacing w:line="276" w:lineRule="auto"/>
              <w:contextualSpacing/>
              <w:jc w:val="center"/>
              <w:rPr>
                <w:sz w:val="20"/>
                <w:szCs w:val="20"/>
              </w:rPr>
            </w:pPr>
            <w:r w:rsidRPr="00D57EC1">
              <w:rPr>
                <w:sz w:val="20"/>
                <w:szCs w:val="20"/>
              </w:rPr>
              <w:t>2,887</w:t>
            </w:r>
          </w:p>
        </w:tc>
      </w:tr>
      <w:tr w14:paraId="436D8A70" w14:textId="77777777" w:rsidTr="00BE2FD0">
        <w:tblPrEx>
          <w:tblW w:w="6560" w:type="dxa"/>
          <w:jc w:val="center"/>
          <w:tblCellMar>
            <w:left w:w="0" w:type="dxa"/>
            <w:right w:w="0" w:type="dxa"/>
          </w:tblCellMar>
          <w:tblLook w:val="04A0"/>
        </w:tblPrEx>
        <w:trPr>
          <w:trHeight w:val="360"/>
          <w:jc w:val="center"/>
        </w:trPr>
        <w:tc>
          <w:tcPr>
            <w:tcW w:w="1396" w:type="dxa"/>
            <w:shd w:val="clear" w:color="auto" w:fill="FFFFFF" w:themeFill="background1"/>
            <w:noWrap/>
            <w:tcMar>
              <w:top w:w="0" w:type="dxa"/>
              <w:left w:w="108" w:type="dxa"/>
              <w:bottom w:w="0" w:type="dxa"/>
              <w:right w:w="108" w:type="dxa"/>
            </w:tcMar>
            <w:vAlign w:val="bottom"/>
            <w:hideMark/>
          </w:tcPr>
          <w:p w:rsidR="001D6FBD" w:rsidRPr="00D57EC1" w:rsidP="00BE2FD0" w14:paraId="676CDD10" w14:textId="77777777">
            <w:pPr>
              <w:spacing w:line="276" w:lineRule="auto"/>
              <w:contextualSpacing/>
              <w:jc w:val="center"/>
              <w:rPr>
                <w:sz w:val="20"/>
                <w:szCs w:val="20"/>
              </w:rPr>
            </w:pPr>
            <w:r w:rsidRPr="00D57EC1">
              <w:rPr>
                <w:sz w:val="20"/>
                <w:szCs w:val="20"/>
              </w:rPr>
              <w:t>5</w:t>
            </w:r>
          </w:p>
        </w:tc>
        <w:tc>
          <w:tcPr>
            <w:tcW w:w="2194" w:type="dxa"/>
            <w:shd w:val="clear" w:color="auto" w:fill="FFFFFF" w:themeFill="background1"/>
            <w:noWrap/>
            <w:tcMar>
              <w:top w:w="0" w:type="dxa"/>
              <w:left w:w="108" w:type="dxa"/>
              <w:bottom w:w="0" w:type="dxa"/>
              <w:right w:w="108" w:type="dxa"/>
            </w:tcMar>
            <w:vAlign w:val="bottom"/>
            <w:hideMark/>
          </w:tcPr>
          <w:p w:rsidR="001D6FBD" w:rsidRPr="00D57EC1" w:rsidP="00BE2FD0" w14:paraId="5669AE0A" w14:textId="77777777">
            <w:pPr>
              <w:spacing w:line="276" w:lineRule="auto"/>
              <w:contextualSpacing/>
              <w:jc w:val="center"/>
              <w:rPr>
                <w:sz w:val="20"/>
                <w:szCs w:val="20"/>
              </w:rPr>
            </w:pPr>
            <w:r w:rsidRPr="00D57EC1">
              <w:rPr>
                <w:sz w:val="20"/>
                <w:szCs w:val="20"/>
              </w:rPr>
              <w:t>HMGP</w:t>
            </w:r>
          </w:p>
        </w:tc>
        <w:tc>
          <w:tcPr>
            <w:tcW w:w="2970" w:type="dxa"/>
            <w:shd w:val="clear" w:color="auto" w:fill="FFFFFF" w:themeFill="background1"/>
            <w:noWrap/>
            <w:tcMar>
              <w:top w:w="0" w:type="dxa"/>
              <w:left w:w="108" w:type="dxa"/>
              <w:bottom w:w="0" w:type="dxa"/>
              <w:right w:w="108" w:type="dxa"/>
            </w:tcMar>
            <w:vAlign w:val="center"/>
            <w:hideMark/>
          </w:tcPr>
          <w:p w:rsidR="001D6FBD" w:rsidRPr="00D57EC1" w:rsidP="00BE2FD0" w14:paraId="2F469FCF" w14:textId="77777777">
            <w:pPr>
              <w:spacing w:line="276" w:lineRule="auto"/>
              <w:contextualSpacing/>
              <w:jc w:val="center"/>
              <w:rPr>
                <w:sz w:val="20"/>
                <w:szCs w:val="20"/>
              </w:rPr>
            </w:pPr>
            <w:r w:rsidRPr="00D57EC1">
              <w:rPr>
                <w:sz w:val="20"/>
                <w:szCs w:val="20"/>
              </w:rPr>
              <w:t>528</w:t>
            </w:r>
          </w:p>
        </w:tc>
      </w:tr>
      <w:tr w14:paraId="575E9DA1" w14:textId="77777777" w:rsidTr="00BE2FD0">
        <w:tblPrEx>
          <w:tblW w:w="6560" w:type="dxa"/>
          <w:jc w:val="center"/>
          <w:tblCellMar>
            <w:left w:w="0" w:type="dxa"/>
            <w:right w:w="0" w:type="dxa"/>
          </w:tblCellMar>
          <w:tblLook w:val="04A0"/>
        </w:tblPrEx>
        <w:trPr>
          <w:trHeight w:val="360"/>
          <w:jc w:val="center"/>
        </w:trPr>
        <w:tc>
          <w:tcPr>
            <w:tcW w:w="1396" w:type="dxa"/>
            <w:shd w:val="clear" w:color="auto" w:fill="FFFFFF" w:themeFill="background1"/>
            <w:noWrap/>
            <w:tcMar>
              <w:top w:w="0" w:type="dxa"/>
              <w:left w:w="108" w:type="dxa"/>
              <w:bottom w:w="0" w:type="dxa"/>
              <w:right w:w="108" w:type="dxa"/>
            </w:tcMar>
            <w:vAlign w:val="bottom"/>
            <w:hideMark/>
          </w:tcPr>
          <w:p w:rsidR="001D6FBD" w:rsidRPr="00D57EC1" w:rsidP="00BE2FD0" w14:paraId="5C64B40A" w14:textId="77777777">
            <w:pPr>
              <w:spacing w:line="276" w:lineRule="auto"/>
              <w:contextualSpacing/>
              <w:jc w:val="center"/>
              <w:rPr>
                <w:sz w:val="20"/>
                <w:szCs w:val="20"/>
              </w:rPr>
            </w:pPr>
            <w:r w:rsidRPr="00D57EC1">
              <w:rPr>
                <w:sz w:val="20"/>
                <w:szCs w:val="20"/>
              </w:rPr>
              <w:t>6</w:t>
            </w:r>
          </w:p>
        </w:tc>
        <w:tc>
          <w:tcPr>
            <w:tcW w:w="2194" w:type="dxa"/>
            <w:shd w:val="clear" w:color="auto" w:fill="FFFFFF" w:themeFill="background1"/>
            <w:noWrap/>
            <w:tcMar>
              <w:top w:w="0" w:type="dxa"/>
              <w:left w:w="108" w:type="dxa"/>
              <w:bottom w:w="0" w:type="dxa"/>
              <w:right w:w="108" w:type="dxa"/>
            </w:tcMar>
            <w:vAlign w:val="bottom"/>
            <w:hideMark/>
          </w:tcPr>
          <w:p w:rsidR="001D6FBD" w:rsidRPr="00D57EC1" w:rsidP="00BE2FD0" w14:paraId="1E5BDD2B" w14:textId="77777777">
            <w:pPr>
              <w:spacing w:line="276" w:lineRule="auto"/>
              <w:contextualSpacing/>
              <w:jc w:val="center"/>
              <w:rPr>
                <w:sz w:val="20"/>
                <w:szCs w:val="20"/>
              </w:rPr>
            </w:pPr>
            <w:r w:rsidRPr="00D57EC1">
              <w:rPr>
                <w:sz w:val="20"/>
                <w:szCs w:val="20"/>
              </w:rPr>
              <w:t>HMGP</w:t>
            </w:r>
          </w:p>
        </w:tc>
        <w:tc>
          <w:tcPr>
            <w:tcW w:w="2970" w:type="dxa"/>
            <w:shd w:val="clear" w:color="auto" w:fill="FFFFFF" w:themeFill="background1"/>
            <w:noWrap/>
            <w:tcMar>
              <w:top w:w="0" w:type="dxa"/>
              <w:left w:w="108" w:type="dxa"/>
              <w:bottom w:w="0" w:type="dxa"/>
              <w:right w:w="108" w:type="dxa"/>
            </w:tcMar>
            <w:vAlign w:val="center"/>
            <w:hideMark/>
          </w:tcPr>
          <w:p w:rsidR="001D6FBD" w:rsidRPr="00D57EC1" w:rsidP="00BE2FD0" w14:paraId="454085ED" w14:textId="77777777">
            <w:pPr>
              <w:spacing w:line="276" w:lineRule="auto"/>
              <w:contextualSpacing/>
              <w:jc w:val="center"/>
              <w:rPr>
                <w:sz w:val="20"/>
                <w:szCs w:val="20"/>
              </w:rPr>
            </w:pPr>
            <w:r w:rsidRPr="00D57EC1">
              <w:rPr>
                <w:sz w:val="20"/>
                <w:szCs w:val="20"/>
              </w:rPr>
              <w:t>1,648</w:t>
            </w:r>
          </w:p>
        </w:tc>
      </w:tr>
      <w:tr w14:paraId="67E15A65" w14:textId="77777777" w:rsidTr="00BE2FD0">
        <w:tblPrEx>
          <w:tblW w:w="6560" w:type="dxa"/>
          <w:jc w:val="center"/>
          <w:tblCellMar>
            <w:left w:w="0" w:type="dxa"/>
            <w:right w:w="0" w:type="dxa"/>
          </w:tblCellMar>
          <w:tblLook w:val="04A0"/>
        </w:tblPrEx>
        <w:trPr>
          <w:trHeight w:val="360"/>
          <w:jc w:val="center"/>
        </w:trPr>
        <w:tc>
          <w:tcPr>
            <w:tcW w:w="1396" w:type="dxa"/>
            <w:shd w:val="clear" w:color="auto" w:fill="FFFFFF" w:themeFill="background1"/>
            <w:noWrap/>
            <w:tcMar>
              <w:top w:w="0" w:type="dxa"/>
              <w:left w:w="108" w:type="dxa"/>
              <w:bottom w:w="0" w:type="dxa"/>
              <w:right w:w="108" w:type="dxa"/>
            </w:tcMar>
            <w:vAlign w:val="bottom"/>
            <w:hideMark/>
          </w:tcPr>
          <w:p w:rsidR="001D6FBD" w:rsidRPr="00D57EC1" w:rsidP="00BE2FD0" w14:paraId="63D1FCBB" w14:textId="77777777">
            <w:pPr>
              <w:spacing w:line="276" w:lineRule="auto"/>
              <w:contextualSpacing/>
              <w:jc w:val="center"/>
              <w:rPr>
                <w:sz w:val="20"/>
                <w:szCs w:val="20"/>
              </w:rPr>
            </w:pPr>
            <w:r w:rsidRPr="00D57EC1">
              <w:rPr>
                <w:sz w:val="20"/>
                <w:szCs w:val="20"/>
              </w:rPr>
              <w:t>7</w:t>
            </w:r>
          </w:p>
        </w:tc>
        <w:tc>
          <w:tcPr>
            <w:tcW w:w="2194" w:type="dxa"/>
            <w:shd w:val="clear" w:color="auto" w:fill="FFFFFF" w:themeFill="background1"/>
            <w:noWrap/>
            <w:tcMar>
              <w:top w:w="0" w:type="dxa"/>
              <w:left w:w="108" w:type="dxa"/>
              <w:bottom w:w="0" w:type="dxa"/>
              <w:right w:w="108" w:type="dxa"/>
            </w:tcMar>
            <w:vAlign w:val="bottom"/>
            <w:hideMark/>
          </w:tcPr>
          <w:p w:rsidR="001D6FBD" w:rsidRPr="00D57EC1" w:rsidP="00BE2FD0" w14:paraId="09D98A92" w14:textId="77777777">
            <w:pPr>
              <w:spacing w:line="276" w:lineRule="auto"/>
              <w:contextualSpacing/>
              <w:jc w:val="center"/>
              <w:rPr>
                <w:sz w:val="20"/>
                <w:szCs w:val="20"/>
              </w:rPr>
            </w:pPr>
            <w:r w:rsidRPr="00D57EC1">
              <w:rPr>
                <w:sz w:val="20"/>
                <w:szCs w:val="20"/>
              </w:rPr>
              <w:t>HMGP</w:t>
            </w:r>
          </w:p>
        </w:tc>
        <w:tc>
          <w:tcPr>
            <w:tcW w:w="2970" w:type="dxa"/>
            <w:shd w:val="clear" w:color="auto" w:fill="FFFFFF" w:themeFill="background1"/>
            <w:noWrap/>
            <w:tcMar>
              <w:top w:w="0" w:type="dxa"/>
              <w:left w:w="108" w:type="dxa"/>
              <w:bottom w:w="0" w:type="dxa"/>
              <w:right w:w="108" w:type="dxa"/>
            </w:tcMar>
            <w:vAlign w:val="center"/>
            <w:hideMark/>
          </w:tcPr>
          <w:p w:rsidR="001D6FBD" w:rsidRPr="00D57EC1" w:rsidP="00BE2FD0" w14:paraId="79A5C772" w14:textId="77777777">
            <w:pPr>
              <w:spacing w:line="276" w:lineRule="auto"/>
              <w:contextualSpacing/>
              <w:jc w:val="center"/>
              <w:rPr>
                <w:sz w:val="20"/>
                <w:szCs w:val="20"/>
              </w:rPr>
            </w:pPr>
            <w:r w:rsidRPr="00D57EC1">
              <w:rPr>
                <w:sz w:val="20"/>
                <w:szCs w:val="20"/>
              </w:rPr>
              <w:t>670</w:t>
            </w:r>
          </w:p>
        </w:tc>
      </w:tr>
      <w:tr w14:paraId="29CDEE11" w14:textId="77777777" w:rsidTr="00BE2FD0">
        <w:tblPrEx>
          <w:tblW w:w="6560" w:type="dxa"/>
          <w:jc w:val="center"/>
          <w:tblCellMar>
            <w:left w:w="0" w:type="dxa"/>
            <w:right w:w="0" w:type="dxa"/>
          </w:tblCellMar>
          <w:tblLook w:val="04A0"/>
        </w:tblPrEx>
        <w:trPr>
          <w:trHeight w:val="360"/>
          <w:jc w:val="center"/>
        </w:trPr>
        <w:tc>
          <w:tcPr>
            <w:tcW w:w="1396" w:type="dxa"/>
            <w:shd w:val="clear" w:color="auto" w:fill="FFFFFF" w:themeFill="background1"/>
            <w:noWrap/>
            <w:tcMar>
              <w:top w:w="0" w:type="dxa"/>
              <w:left w:w="108" w:type="dxa"/>
              <w:bottom w:w="0" w:type="dxa"/>
              <w:right w:w="108" w:type="dxa"/>
            </w:tcMar>
            <w:vAlign w:val="bottom"/>
            <w:hideMark/>
          </w:tcPr>
          <w:p w:rsidR="001D6FBD" w:rsidRPr="00D57EC1" w:rsidP="00BE2FD0" w14:paraId="4B55C9CE" w14:textId="77777777">
            <w:pPr>
              <w:spacing w:line="276" w:lineRule="auto"/>
              <w:contextualSpacing/>
              <w:jc w:val="center"/>
              <w:rPr>
                <w:sz w:val="20"/>
                <w:szCs w:val="20"/>
              </w:rPr>
            </w:pPr>
            <w:r w:rsidRPr="00D57EC1">
              <w:rPr>
                <w:sz w:val="20"/>
                <w:szCs w:val="20"/>
              </w:rPr>
              <w:t>8</w:t>
            </w:r>
          </w:p>
        </w:tc>
        <w:tc>
          <w:tcPr>
            <w:tcW w:w="2194" w:type="dxa"/>
            <w:shd w:val="clear" w:color="auto" w:fill="FFFFFF" w:themeFill="background1"/>
            <w:noWrap/>
            <w:tcMar>
              <w:top w:w="0" w:type="dxa"/>
              <w:left w:w="108" w:type="dxa"/>
              <w:bottom w:w="0" w:type="dxa"/>
              <w:right w:w="108" w:type="dxa"/>
            </w:tcMar>
            <w:vAlign w:val="bottom"/>
            <w:hideMark/>
          </w:tcPr>
          <w:p w:rsidR="001D6FBD" w:rsidRPr="00D57EC1" w:rsidP="00BE2FD0" w14:paraId="352BBA01" w14:textId="77777777">
            <w:pPr>
              <w:spacing w:line="276" w:lineRule="auto"/>
              <w:contextualSpacing/>
              <w:jc w:val="center"/>
              <w:rPr>
                <w:sz w:val="20"/>
                <w:szCs w:val="20"/>
              </w:rPr>
            </w:pPr>
            <w:r w:rsidRPr="00D57EC1">
              <w:rPr>
                <w:sz w:val="20"/>
                <w:szCs w:val="20"/>
              </w:rPr>
              <w:t>HMGP</w:t>
            </w:r>
          </w:p>
        </w:tc>
        <w:tc>
          <w:tcPr>
            <w:tcW w:w="2970" w:type="dxa"/>
            <w:shd w:val="clear" w:color="auto" w:fill="FFFFFF" w:themeFill="background1"/>
            <w:noWrap/>
            <w:tcMar>
              <w:top w:w="0" w:type="dxa"/>
              <w:left w:w="108" w:type="dxa"/>
              <w:bottom w:w="0" w:type="dxa"/>
              <w:right w:w="108" w:type="dxa"/>
            </w:tcMar>
            <w:vAlign w:val="center"/>
            <w:hideMark/>
          </w:tcPr>
          <w:p w:rsidR="001D6FBD" w:rsidRPr="00D57EC1" w:rsidP="00BE2FD0" w14:paraId="698B8DDB" w14:textId="77777777">
            <w:pPr>
              <w:spacing w:line="276" w:lineRule="auto"/>
              <w:contextualSpacing/>
              <w:jc w:val="center"/>
              <w:rPr>
                <w:sz w:val="20"/>
                <w:szCs w:val="20"/>
              </w:rPr>
            </w:pPr>
            <w:r w:rsidRPr="00D57EC1">
              <w:rPr>
                <w:sz w:val="20"/>
                <w:szCs w:val="20"/>
              </w:rPr>
              <w:t>705</w:t>
            </w:r>
          </w:p>
        </w:tc>
      </w:tr>
      <w:tr w14:paraId="3F1D5692" w14:textId="77777777" w:rsidTr="00BE2FD0">
        <w:tblPrEx>
          <w:tblW w:w="6560" w:type="dxa"/>
          <w:jc w:val="center"/>
          <w:tblCellMar>
            <w:left w:w="0" w:type="dxa"/>
            <w:right w:w="0" w:type="dxa"/>
          </w:tblCellMar>
          <w:tblLook w:val="04A0"/>
        </w:tblPrEx>
        <w:trPr>
          <w:trHeight w:val="360"/>
          <w:jc w:val="center"/>
        </w:trPr>
        <w:tc>
          <w:tcPr>
            <w:tcW w:w="1396" w:type="dxa"/>
            <w:shd w:val="clear" w:color="auto" w:fill="FFFFFF" w:themeFill="background1"/>
            <w:noWrap/>
            <w:tcMar>
              <w:top w:w="0" w:type="dxa"/>
              <w:left w:w="108" w:type="dxa"/>
              <w:bottom w:w="0" w:type="dxa"/>
              <w:right w:w="108" w:type="dxa"/>
            </w:tcMar>
            <w:vAlign w:val="bottom"/>
            <w:hideMark/>
          </w:tcPr>
          <w:p w:rsidR="001D6FBD" w:rsidRPr="00D57EC1" w:rsidP="00BE2FD0" w14:paraId="5C32BE0B" w14:textId="77777777">
            <w:pPr>
              <w:spacing w:line="276" w:lineRule="auto"/>
              <w:contextualSpacing/>
              <w:jc w:val="center"/>
              <w:rPr>
                <w:sz w:val="20"/>
                <w:szCs w:val="20"/>
              </w:rPr>
            </w:pPr>
            <w:r w:rsidRPr="00D57EC1">
              <w:rPr>
                <w:sz w:val="20"/>
                <w:szCs w:val="20"/>
              </w:rPr>
              <w:t>9</w:t>
            </w:r>
          </w:p>
        </w:tc>
        <w:tc>
          <w:tcPr>
            <w:tcW w:w="2194" w:type="dxa"/>
            <w:shd w:val="clear" w:color="auto" w:fill="FFFFFF" w:themeFill="background1"/>
            <w:noWrap/>
            <w:tcMar>
              <w:top w:w="0" w:type="dxa"/>
              <w:left w:w="108" w:type="dxa"/>
              <w:bottom w:w="0" w:type="dxa"/>
              <w:right w:w="108" w:type="dxa"/>
            </w:tcMar>
            <w:vAlign w:val="bottom"/>
            <w:hideMark/>
          </w:tcPr>
          <w:p w:rsidR="001D6FBD" w:rsidRPr="00D57EC1" w:rsidP="00BE2FD0" w14:paraId="21B18ADC" w14:textId="77777777">
            <w:pPr>
              <w:spacing w:line="276" w:lineRule="auto"/>
              <w:contextualSpacing/>
              <w:jc w:val="center"/>
              <w:rPr>
                <w:sz w:val="20"/>
                <w:szCs w:val="20"/>
              </w:rPr>
            </w:pPr>
            <w:r w:rsidRPr="00D57EC1">
              <w:rPr>
                <w:sz w:val="20"/>
                <w:szCs w:val="20"/>
              </w:rPr>
              <w:t>HMGP</w:t>
            </w:r>
          </w:p>
        </w:tc>
        <w:tc>
          <w:tcPr>
            <w:tcW w:w="2970" w:type="dxa"/>
            <w:shd w:val="clear" w:color="auto" w:fill="FFFFFF" w:themeFill="background1"/>
            <w:noWrap/>
            <w:tcMar>
              <w:top w:w="0" w:type="dxa"/>
              <w:left w:w="108" w:type="dxa"/>
              <w:bottom w:w="0" w:type="dxa"/>
              <w:right w:w="108" w:type="dxa"/>
            </w:tcMar>
            <w:vAlign w:val="center"/>
            <w:hideMark/>
          </w:tcPr>
          <w:p w:rsidR="001D6FBD" w:rsidRPr="00D57EC1" w:rsidP="00BE2FD0" w14:paraId="3328CBC0" w14:textId="77777777">
            <w:pPr>
              <w:spacing w:line="276" w:lineRule="auto"/>
              <w:contextualSpacing/>
              <w:jc w:val="center"/>
              <w:rPr>
                <w:sz w:val="20"/>
                <w:szCs w:val="20"/>
              </w:rPr>
            </w:pPr>
            <w:r w:rsidRPr="00D57EC1">
              <w:rPr>
                <w:sz w:val="20"/>
                <w:szCs w:val="20"/>
              </w:rPr>
              <w:t>1,053</w:t>
            </w:r>
          </w:p>
        </w:tc>
      </w:tr>
      <w:tr w14:paraId="7983447E" w14:textId="77777777" w:rsidTr="00BE2FD0">
        <w:tblPrEx>
          <w:tblW w:w="6560" w:type="dxa"/>
          <w:jc w:val="center"/>
          <w:tblCellMar>
            <w:left w:w="0" w:type="dxa"/>
            <w:right w:w="0" w:type="dxa"/>
          </w:tblCellMar>
          <w:tblLook w:val="04A0"/>
        </w:tblPrEx>
        <w:trPr>
          <w:trHeight w:val="330"/>
          <w:jc w:val="center"/>
        </w:trPr>
        <w:tc>
          <w:tcPr>
            <w:tcW w:w="1396" w:type="dxa"/>
            <w:shd w:val="clear" w:color="auto" w:fill="FFFFFF" w:themeFill="background1"/>
            <w:noWrap/>
            <w:tcMar>
              <w:top w:w="0" w:type="dxa"/>
              <w:left w:w="108" w:type="dxa"/>
              <w:bottom w:w="0" w:type="dxa"/>
              <w:right w:w="108" w:type="dxa"/>
            </w:tcMar>
            <w:vAlign w:val="bottom"/>
            <w:hideMark/>
          </w:tcPr>
          <w:p w:rsidR="001D6FBD" w:rsidRPr="00D57EC1" w:rsidP="00BE2FD0" w14:paraId="638F065D" w14:textId="77777777">
            <w:pPr>
              <w:spacing w:line="276" w:lineRule="auto"/>
              <w:contextualSpacing/>
              <w:jc w:val="center"/>
              <w:rPr>
                <w:sz w:val="20"/>
                <w:szCs w:val="20"/>
              </w:rPr>
            </w:pPr>
            <w:r w:rsidRPr="00D57EC1">
              <w:rPr>
                <w:sz w:val="20"/>
                <w:szCs w:val="20"/>
              </w:rPr>
              <w:t>10</w:t>
            </w:r>
          </w:p>
        </w:tc>
        <w:tc>
          <w:tcPr>
            <w:tcW w:w="2194" w:type="dxa"/>
            <w:shd w:val="clear" w:color="auto" w:fill="FFFFFF" w:themeFill="background1"/>
            <w:noWrap/>
            <w:tcMar>
              <w:top w:w="0" w:type="dxa"/>
              <w:left w:w="108" w:type="dxa"/>
              <w:bottom w:w="0" w:type="dxa"/>
              <w:right w:w="108" w:type="dxa"/>
            </w:tcMar>
            <w:vAlign w:val="bottom"/>
            <w:hideMark/>
          </w:tcPr>
          <w:p w:rsidR="001D6FBD" w:rsidRPr="00D57EC1" w:rsidP="00BE2FD0" w14:paraId="00F40A23" w14:textId="77777777">
            <w:pPr>
              <w:spacing w:line="276" w:lineRule="auto"/>
              <w:contextualSpacing/>
              <w:jc w:val="center"/>
              <w:rPr>
                <w:sz w:val="20"/>
                <w:szCs w:val="20"/>
              </w:rPr>
            </w:pPr>
            <w:r w:rsidRPr="00D57EC1">
              <w:rPr>
                <w:sz w:val="20"/>
                <w:szCs w:val="20"/>
              </w:rPr>
              <w:t>HMGP</w:t>
            </w:r>
          </w:p>
        </w:tc>
        <w:tc>
          <w:tcPr>
            <w:tcW w:w="2970" w:type="dxa"/>
            <w:shd w:val="clear" w:color="auto" w:fill="FFFFFF" w:themeFill="background1"/>
            <w:noWrap/>
            <w:tcMar>
              <w:top w:w="0" w:type="dxa"/>
              <w:left w:w="108" w:type="dxa"/>
              <w:bottom w:w="0" w:type="dxa"/>
              <w:right w:w="108" w:type="dxa"/>
            </w:tcMar>
            <w:vAlign w:val="center"/>
            <w:hideMark/>
          </w:tcPr>
          <w:p w:rsidR="001D6FBD" w:rsidRPr="00D57EC1" w:rsidP="00BE2FD0" w14:paraId="2D3586DB" w14:textId="77777777">
            <w:pPr>
              <w:spacing w:line="276" w:lineRule="auto"/>
              <w:contextualSpacing/>
              <w:jc w:val="center"/>
              <w:rPr>
                <w:sz w:val="20"/>
                <w:szCs w:val="20"/>
              </w:rPr>
            </w:pPr>
            <w:r w:rsidRPr="00D57EC1">
              <w:rPr>
                <w:sz w:val="20"/>
                <w:szCs w:val="20"/>
              </w:rPr>
              <w:t>562</w:t>
            </w:r>
          </w:p>
        </w:tc>
      </w:tr>
      <w:tr w14:paraId="43A952FB" w14:textId="77777777" w:rsidTr="00BE2FD0">
        <w:tblPrEx>
          <w:tblW w:w="6560" w:type="dxa"/>
          <w:jc w:val="center"/>
          <w:tblCellMar>
            <w:left w:w="0" w:type="dxa"/>
            <w:right w:w="0" w:type="dxa"/>
          </w:tblCellMar>
          <w:tblLook w:val="04A0"/>
        </w:tblPrEx>
        <w:trPr>
          <w:trHeight w:val="330"/>
          <w:jc w:val="center"/>
        </w:trPr>
        <w:tc>
          <w:tcPr>
            <w:tcW w:w="1396" w:type="dxa"/>
            <w:shd w:val="clear" w:color="auto" w:fill="FFFFFF" w:themeFill="background1"/>
            <w:noWrap/>
            <w:tcMar>
              <w:top w:w="0" w:type="dxa"/>
              <w:left w:w="108" w:type="dxa"/>
              <w:bottom w:w="0" w:type="dxa"/>
              <w:right w:w="108" w:type="dxa"/>
            </w:tcMar>
            <w:vAlign w:val="bottom"/>
          </w:tcPr>
          <w:p w:rsidR="001D6FBD" w:rsidRPr="00D57EC1" w:rsidP="00BE2FD0" w14:paraId="3BE77F4F" w14:textId="77777777">
            <w:pPr>
              <w:spacing w:line="276" w:lineRule="auto"/>
              <w:contextualSpacing/>
              <w:rPr>
                <w:sz w:val="20"/>
                <w:szCs w:val="20"/>
              </w:rPr>
            </w:pPr>
            <w:r w:rsidRPr="00D57EC1">
              <w:rPr>
                <w:sz w:val="20"/>
                <w:szCs w:val="20"/>
              </w:rPr>
              <w:t>Total</w:t>
            </w:r>
          </w:p>
        </w:tc>
        <w:tc>
          <w:tcPr>
            <w:tcW w:w="2194" w:type="dxa"/>
            <w:shd w:val="clear" w:color="auto" w:fill="000000" w:themeFill="text1"/>
            <w:noWrap/>
            <w:tcMar>
              <w:top w:w="0" w:type="dxa"/>
              <w:left w:w="108" w:type="dxa"/>
              <w:bottom w:w="0" w:type="dxa"/>
              <w:right w:w="108" w:type="dxa"/>
            </w:tcMar>
            <w:vAlign w:val="bottom"/>
          </w:tcPr>
          <w:p w:rsidR="001D6FBD" w:rsidRPr="00D57EC1" w:rsidP="00BE2FD0" w14:paraId="3B0BE0BA" w14:textId="77777777">
            <w:pPr>
              <w:spacing w:line="276" w:lineRule="auto"/>
              <w:contextualSpacing/>
              <w:rPr>
                <w:sz w:val="20"/>
                <w:szCs w:val="20"/>
              </w:rPr>
            </w:pPr>
          </w:p>
        </w:tc>
        <w:tc>
          <w:tcPr>
            <w:tcW w:w="2970" w:type="dxa"/>
            <w:shd w:val="clear" w:color="auto" w:fill="FFFFFF" w:themeFill="background1"/>
            <w:noWrap/>
            <w:tcMar>
              <w:top w:w="0" w:type="dxa"/>
              <w:left w:w="108" w:type="dxa"/>
              <w:bottom w:w="0" w:type="dxa"/>
              <w:right w:w="108" w:type="dxa"/>
            </w:tcMar>
            <w:vAlign w:val="center"/>
          </w:tcPr>
          <w:p w:rsidR="001D6FBD" w:rsidRPr="00D57EC1" w:rsidP="00BE2FD0" w14:paraId="51B9100B" w14:textId="77777777">
            <w:pPr>
              <w:spacing w:line="276" w:lineRule="auto"/>
              <w:contextualSpacing/>
              <w:jc w:val="center"/>
              <w:rPr>
                <w:sz w:val="20"/>
                <w:szCs w:val="20"/>
              </w:rPr>
            </w:pPr>
            <w:r w:rsidRPr="00D57EC1">
              <w:rPr>
                <w:sz w:val="20"/>
                <w:szCs w:val="20"/>
              </w:rPr>
              <w:t>10,</w:t>
            </w:r>
            <w:r>
              <w:rPr>
                <w:sz w:val="20"/>
                <w:szCs w:val="20"/>
              </w:rPr>
              <w:t>309</w:t>
            </w:r>
          </w:p>
        </w:tc>
      </w:tr>
    </w:tbl>
    <w:p w:rsidR="001D6FBD" w:rsidRPr="001D6FBD" w14:paraId="51E150FB" w14:textId="77777777">
      <w:pPr>
        <w:spacing w:line="276" w:lineRule="auto"/>
        <w:contextualSpacing/>
      </w:pPr>
    </w:p>
    <w:p w:rsidR="001D6FBD" w:rsidRPr="001D6FBD" w14:paraId="4BEC994E" w14:textId="77777777">
      <w:pPr>
        <w:spacing w:line="276" w:lineRule="auto"/>
        <w:contextualSpacing/>
      </w:pPr>
      <w:r w:rsidRPr="001D6FBD">
        <w:t xml:space="preserve">With a total of 10,309 projects submitted between FY 2012 and FY 2021, and an estimated 2500 applications in response to the 59 Covid-19 disaster declarations HMGP estimates an annual average of 3540 projects.  Dividing this figure by the annual average number of respondents (59), we can get the annual average number of projects submitted per respondent; an average of 60 responses per respondent.  So, in any given year we can expect any single declaring state, tribe, or territory to submit 17 projects.  Each project requires a </w:t>
      </w:r>
      <w:r w:rsidRPr="001D6FBD">
        <w:rPr>
          <w:b/>
          <w:bCs/>
        </w:rPr>
        <w:t>Project Narrative</w:t>
      </w:r>
      <w:r w:rsidRPr="001D6FBD">
        <w:t xml:space="preserve">, </w:t>
      </w:r>
      <w:r w:rsidRPr="001D6FBD">
        <w:rPr>
          <w:b/>
          <w:bCs/>
        </w:rPr>
        <w:t>Benefit Cost Determination</w:t>
      </w:r>
      <w:r w:rsidRPr="001D6FBD">
        <w:t>,</w:t>
      </w:r>
      <w:r w:rsidRPr="001D6FBD">
        <w:rPr>
          <w:b/>
          <w:bCs/>
        </w:rPr>
        <w:t xml:space="preserve"> </w:t>
      </w:r>
      <w:r w:rsidRPr="001D6FBD">
        <w:t xml:space="preserve">and </w:t>
      </w:r>
      <w:r w:rsidRPr="001D6FBD">
        <w:rPr>
          <w:b/>
          <w:bCs/>
        </w:rPr>
        <w:t>Environmental Review</w:t>
      </w:r>
      <w:r w:rsidRPr="001D6FBD">
        <w:t xml:space="preserve">. </w:t>
      </w:r>
      <w:r w:rsidRPr="001D6FBD">
        <w:rPr>
          <w:b/>
          <w:bCs/>
        </w:rPr>
        <w:t xml:space="preserve">Quarterly Progress Reports </w:t>
      </w:r>
      <w:r w:rsidRPr="001D6FBD">
        <w:t xml:space="preserve">are required to be submitted quarterly by the Recipient covering all projects.  </w:t>
      </w:r>
    </w:p>
    <w:p w:rsidR="001D6FBD" w:rsidRPr="001D6FBD" w14:paraId="01863D86" w14:textId="77777777">
      <w:pPr>
        <w:spacing w:line="276" w:lineRule="auto"/>
        <w:contextualSpacing/>
      </w:pPr>
    </w:p>
    <w:p w:rsidR="001D6FBD" w:rsidRPr="001D6FBD" w14:paraId="15F2EC23" w14:textId="77777777">
      <w:pPr>
        <w:spacing w:line="276" w:lineRule="auto"/>
        <w:contextualSpacing/>
      </w:pPr>
      <w:r w:rsidRPr="001D6FBD">
        <w:t xml:space="preserve">The </w:t>
      </w:r>
      <w:r w:rsidRPr="001D6FBD">
        <w:rPr>
          <w:b/>
          <w:bCs/>
        </w:rPr>
        <w:t>Project Narrative (</w:t>
      </w:r>
      <w:r w:rsidRPr="001D6FBD">
        <w:t>No Form</w:t>
      </w:r>
      <w:r w:rsidRPr="001D6FBD">
        <w:rPr>
          <w:b/>
          <w:bCs/>
        </w:rPr>
        <w:t>)</w:t>
      </w:r>
      <w:r w:rsidRPr="001D6FBD">
        <w:t xml:space="preserve"> is estimated to have 59 respondents times 60 responses per year for 3,540 total responses (59 x 60 = 3,540).  It is estimated that each response will require 12 burden hours to complete, therefore 3,540 responses times 12 hours equals 42,480 total burden hours (3,540 x 12 hours 42,480 hours).   </w:t>
      </w:r>
    </w:p>
    <w:p w:rsidR="001D6FBD" w:rsidRPr="001D6FBD" w14:paraId="2359C5DF" w14:textId="77777777">
      <w:pPr>
        <w:spacing w:line="276" w:lineRule="auto"/>
        <w:contextualSpacing/>
      </w:pPr>
    </w:p>
    <w:p w:rsidR="001D6FBD" w:rsidRPr="001D6FBD" w14:paraId="4608C21B" w14:textId="61D27659">
      <w:pPr>
        <w:spacing w:line="276" w:lineRule="auto"/>
        <w:contextualSpacing/>
      </w:pPr>
      <w:r w:rsidRPr="001D6FBD">
        <w:t xml:space="preserve">The </w:t>
      </w:r>
      <w:r w:rsidRPr="001D6FBD">
        <w:rPr>
          <w:b/>
          <w:bCs/>
        </w:rPr>
        <w:t>Benefit Cost Determination</w:t>
      </w:r>
      <w:r w:rsidRPr="001D6FBD">
        <w:t xml:space="preserve"> (No Form) is estimated to have 59 respondents times 60 responses per year for 3,540 total responses (59 x 60 = 3,540).  It is estimated that each response will require 5 burden hours to complete, therefore 3,540 responses times 5 hours equals 17,700 total burden hours (3,540 x 15 hours = 17,700 hours). </w:t>
      </w:r>
    </w:p>
    <w:p w:rsidR="001D6FBD" w:rsidRPr="001D6FBD" w14:paraId="590B6FF1" w14:textId="77777777">
      <w:pPr>
        <w:spacing w:line="276" w:lineRule="auto"/>
        <w:contextualSpacing/>
      </w:pPr>
      <w:r w:rsidRPr="001D6FBD">
        <w:t xml:space="preserve">  </w:t>
      </w:r>
    </w:p>
    <w:p w:rsidR="001D6FBD" w:rsidRPr="001D6FBD" w14:paraId="26D268E3" w14:textId="0A3301A3">
      <w:pPr>
        <w:spacing w:line="276" w:lineRule="auto"/>
        <w:contextualSpacing/>
      </w:pPr>
      <w:r w:rsidRPr="001D6FBD">
        <w:t xml:space="preserve">The </w:t>
      </w:r>
      <w:r w:rsidRPr="001D6FBD">
        <w:rPr>
          <w:b/>
          <w:bCs/>
        </w:rPr>
        <w:t>Environmental Review (</w:t>
      </w:r>
      <w:r w:rsidRPr="001D6FBD">
        <w:t>No Form</w:t>
      </w:r>
      <w:r w:rsidRPr="001D6FBD">
        <w:rPr>
          <w:b/>
          <w:bCs/>
        </w:rPr>
        <w:t>)</w:t>
      </w:r>
      <w:r w:rsidRPr="001D6FBD">
        <w:t xml:space="preserve"> is estimated to have 59 respondents times 60 responses per year for 3,540 total responses (59 x 60 = 3,540).  It is estimated that each response will require 7.5 burden hours to complete, therefore 3,540 responses times 7.5 hours equals 26,550 total burden hours (3,540 x 7.5 hours = 26,550 hours). </w:t>
      </w:r>
    </w:p>
    <w:p w:rsidR="001D6FBD" w:rsidRPr="001D6FBD" w14:paraId="710E9B5D" w14:textId="77777777">
      <w:pPr>
        <w:spacing w:line="276" w:lineRule="auto"/>
        <w:contextualSpacing/>
        <w:rPr>
          <w:b/>
          <w:bCs/>
        </w:rPr>
      </w:pPr>
    </w:p>
    <w:p w:rsidR="001D6FBD" w:rsidRPr="001D6FBD" w14:paraId="586B22E3" w14:textId="77777777">
      <w:pPr>
        <w:spacing w:line="276" w:lineRule="auto"/>
        <w:contextualSpacing/>
      </w:pPr>
      <w:r w:rsidRPr="001D6FBD">
        <w:rPr>
          <w:b/>
          <w:bCs/>
        </w:rPr>
        <w:t>FEMA Form FF-206-FY-22-154 Quarterly Progress Report (QPR)</w:t>
      </w:r>
      <w:r w:rsidRPr="001D6FBD">
        <w:t xml:space="preserve"> is estimated to have 59 respondents times 4.6 response(s) per year for 271 total annual responses (59 x 4.6 = 271).  It is estimated that each response will require 50 burden hours to complete, therefore 271 responses times 50 hours equals 13,550 total annual burden hours (271 x 50 hours = 13,550 hours).</w:t>
      </w:r>
    </w:p>
    <w:p w:rsidR="001D6FBD" w:rsidRPr="001D6FBD" w14:paraId="21265215" w14:textId="77777777">
      <w:pPr>
        <w:spacing w:line="276" w:lineRule="auto"/>
        <w:contextualSpacing/>
      </w:pPr>
    </w:p>
    <w:p w:rsidR="001D6FBD" w:rsidRPr="001D6FBD" w:rsidP="00993950" w14:paraId="5627AD85" w14:textId="77777777">
      <w:pPr>
        <w:spacing w:line="276" w:lineRule="auto"/>
        <w:contextualSpacing/>
        <w:rPr>
          <w:i/>
          <w:iCs/>
        </w:rPr>
      </w:pPr>
      <w:r w:rsidRPr="001D6FBD">
        <w:t xml:space="preserve">After conducting usability testing there is a 49,147 hour increase in burden on the OMB inventory.  Please, reference the </w:t>
      </w:r>
      <w:r w:rsidRPr="001D6FBD">
        <w:rPr>
          <w:b/>
          <w:bCs/>
        </w:rPr>
        <w:t xml:space="preserve">Itemized Changes in Annual Burden Hours </w:t>
      </w:r>
      <w:r w:rsidRPr="001D6FBD">
        <w:t>listed below.</w:t>
      </w:r>
      <w:r w:rsidRPr="001D6FBD">
        <w:rPr>
          <w:b/>
          <w:bCs/>
        </w:rPr>
        <w:t xml:space="preserve"> </w:t>
      </w:r>
    </w:p>
    <w:p w:rsidR="002000EF" w:rsidRPr="001D6FBD" w14:paraId="423BA170" w14:textId="0E4D27CC">
      <w:pPr>
        <w:spacing w:line="276" w:lineRule="auto"/>
        <w:contextualSpacing/>
      </w:pPr>
    </w:p>
    <w:p w:rsidR="00F6029E" w:rsidRPr="00993950" w:rsidP="00993950" w14:paraId="244B647C" w14:textId="77777777">
      <w:pPr>
        <w:pStyle w:val="ListParagraph"/>
        <w:numPr>
          <w:ilvl w:val="0"/>
          <w:numId w:val="22"/>
        </w:numPr>
        <w:spacing w:line="276" w:lineRule="auto"/>
        <w:rPr>
          <w:b/>
          <w:bCs/>
        </w:rPr>
      </w:pPr>
      <w:r w:rsidRPr="00993950">
        <w:rPr>
          <w:b/>
        </w:rPr>
        <w:t xml:space="preserve">b.  </w:t>
      </w:r>
      <w:r w:rsidRPr="00993950" w:rsidR="00842E74">
        <w:rPr>
          <w:b/>
        </w:rPr>
        <w:fldChar w:fldCharType="begin"/>
      </w:r>
      <w:r w:rsidRPr="00993950" w:rsidR="00842E74">
        <w:rPr>
          <w:b/>
        </w:rPr>
        <w:instrText>ADVANCE \R 0.95</w:instrText>
      </w:r>
      <w:r w:rsidRPr="00993950" w:rsidR="00842E74">
        <w:rPr>
          <w:b/>
        </w:rPr>
        <w:fldChar w:fldCharType="end"/>
      </w:r>
      <w:r w:rsidRPr="00993950" w:rsidR="00842E74">
        <w:rPr>
          <w:b/>
          <w:bCs/>
        </w:rPr>
        <w:t>If this request for approval covers more than one form, provide separate</w:t>
      </w:r>
      <w:r w:rsidRPr="00993950">
        <w:rPr>
          <w:b/>
          <w:bCs/>
        </w:rPr>
        <w:t xml:space="preserve"> </w:t>
      </w:r>
      <w:r w:rsidRPr="00993950" w:rsidR="00842E74">
        <w:rPr>
          <w:b/>
          <w:bCs/>
        </w:rPr>
        <w:t>hour burden estimates for each form and aggregate the hour burdens in Item13 of OMB Form 83-I.</w:t>
      </w:r>
      <w:r w:rsidRPr="00993950" w:rsidR="00D21F1D">
        <w:rPr>
          <w:b/>
          <w:bCs/>
        </w:rPr>
        <w:t xml:space="preserve">  </w:t>
      </w:r>
    </w:p>
    <w:p w:rsidR="00B433AA" w:rsidRPr="001D6FBD" w14:paraId="64BA2BFF" w14:textId="77777777">
      <w:pPr>
        <w:spacing w:line="276" w:lineRule="auto"/>
        <w:contextualSpacing/>
      </w:pPr>
    </w:p>
    <w:p w:rsidR="006D545B" w:rsidRPr="001D6FBD" w14:paraId="3A5FD389" w14:textId="7ECFDB34">
      <w:pPr>
        <w:spacing w:line="276" w:lineRule="auto"/>
        <w:contextualSpacing/>
      </w:pPr>
      <w:r w:rsidRPr="001D6FBD">
        <w:t>The additional forms and the associated burden hours are listed</w:t>
      </w:r>
      <w:r w:rsidRPr="001D6FBD" w:rsidR="00B433AA">
        <w:t xml:space="preserve"> in the tables</w:t>
      </w:r>
      <w:r w:rsidRPr="001D6FBD">
        <w:t xml:space="preserve"> below and in Item 13 of OMB Form 83-I.</w:t>
      </w:r>
    </w:p>
    <w:p w:rsidR="00D21F1D" w:rsidRPr="001D6FBD" w14:paraId="587618B9" w14:textId="77777777">
      <w:pPr>
        <w:spacing w:line="276" w:lineRule="auto"/>
        <w:contextualSpacing/>
      </w:pPr>
    </w:p>
    <w:p w:rsidR="00DB4FD7" w:rsidRPr="00993950" w:rsidP="00993950" w14:paraId="2782776E" w14:textId="09D5C57D">
      <w:pPr>
        <w:pStyle w:val="ListParagraph"/>
        <w:numPr>
          <w:ilvl w:val="0"/>
          <w:numId w:val="22"/>
        </w:numPr>
        <w:spacing w:line="276" w:lineRule="auto"/>
        <w:rPr>
          <w:b/>
          <w:bCs/>
        </w:rPr>
      </w:pPr>
      <w:r w:rsidRPr="00993950">
        <w:rPr>
          <w:b/>
          <w:bCs/>
        </w:rPr>
        <w:t>Provide</w:t>
      </w:r>
      <w:r w:rsidRPr="00993950" w:rsidR="00842E74">
        <w:rPr>
          <w:b/>
          <w:bCs/>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w:t>
      </w:r>
      <w:r w:rsidRPr="00993950" w:rsidR="00D53709">
        <w:rPr>
          <w:b/>
          <w:bCs/>
        </w:rPr>
        <w:t>13</w:t>
      </w:r>
      <w:r w:rsidRPr="00993950" w:rsidR="00842E74">
        <w:rPr>
          <w:b/>
          <w:bCs/>
        </w:rPr>
        <w:t>.</w:t>
      </w:r>
    </w:p>
    <w:p w:rsidR="001D6FBD" w:rsidRPr="001D6FBD" w:rsidP="00993950" w14:paraId="118745E5" w14:textId="4D80805E">
      <w:pPr>
        <w:spacing w:line="276" w:lineRule="auto"/>
        <w:contextualSpacing/>
      </w:pPr>
      <w:r w:rsidRPr="001D6FBD">
        <w:br w:type="page"/>
      </w:r>
    </w:p>
    <w:p w:rsidR="00956E71" w:rsidRPr="00D57EC1" w14:paraId="55C967BF" w14:textId="77777777"/>
    <w:tbl>
      <w:tblPr>
        <w:tblW w:w="9990" w:type="dxa"/>
        <w:jc w:val="center"/>
        <w:tblLayout w:type="fixed"/>
        <w:tblLook w:val="04A0"/>
      </w:tblPr>
      <w:tblGrid>
        <w:gridCol w:w="1260"/>
        <w:gridCol w:w="1440"/>
        <w:gridCol w:w="990"/>
        <w:gridCol w:w="1000"/>
        <w:gridCol w:w="1170"/>
        <w:gridCol w:w="1080"/>
        <w:gridCol w:w="980"/>
        <w:gridCol w:w="810"/>
        <w:gridCol w:w="1260"/>
      </w:tblGrid>
      <w:tr w14:paraId="1EC369E3" w14:textId="77777777" w:rsidTr="00956E71">
        <w:tblPrEx>
          <w:tblW w:w="9990" w:type="dxa"/>
          <w:jc w:val="center"/>
          <w:tblLayout w:type="fixed"/>
          <w:tblLook w:val="04A0"/>
        </w:tblPrEx>
        <w:trPr>
          <w:trHeight w:val="268"/>
          <w:jc w:val="center"/>
        </w:trPr>
        <w:tc>
          <w:tcPr>
            <w:tcW w:w="9990" w:type="dxa"/>
            <w:gridSpan w:val="9"/>
            <w:tcBorders>
              <w:top w:val="single" w:sz="8" w:space="0" w:color="auto"/>
              <w:left w:val="single" w:sz="8" w:space="0" w:color="auto"/>
              <w:bottom w:val="single" w:sz="8" w:space="0" w:color="auto"/>
              <w:right w:val="single" w:sz="8" w:space="0" w:color="000000" w:themeColor="text1"/>
            </w:tcBorders>
            <w:shd w:val="clear" w:color="auto" w:fill="8EAADB" w:themeFill="accent1" w:themeFillTint="99"/>
            <w:vAlign w:val="center"/>
            <w:hideMark/>
          </w:tcPr>
          <w:p w:rsidR="00506215" w:rsidRPr="00D57EC1" w:rsidP="00B902AE" w14:paraId="05155751" w14:textId="77777777">
            <w:pPr>
              <w:spacing w:line="276" w:lineRule="auto"/>
              <w:contextualSpacing/>
              <w:jc w:val="center"/>
              <w:rPr>
                <w:b/>
                <w:bCs/>
                <w:sz w:val="20"/>
                <w:szCs w:val="20"/>
              </w:rPr>
            </w:pPr>
            <w:bookmarkStart w:id="6" w:name="_Hlk94260597"/>
            <w:bookmarkStart w:id="7" w:name="_Hlk96418789"/>
            <w:r w:rsidRPr="00D57EC1">
              <w:rPr>
                <w:b/>
                <w:bCs/>
                <w:sz w:val="20"/>
                <w:szCs w:val="20"/>
              </w:rPr>
              <w:t>Estimated Annualized Burden Hours and Costs</w:t>
            </w:r>
            <w:bookmarkEnd w:id="6"/>
          </w:p>
        </w:tc>
      </w:tr>
      <w:tr w14:paraId="663DEB4B" w14:textId="77777777" w:rsidTr="0060434F">
        <w:tblPrEx>
          <w:tblW w:w="9990" w:type="dxa"/>
          <w:jc w:val="center"/>
          <w:tblLayout w:type="fixed"/>
          <w:tblLook w:val="04A0"/>
        </w:tblPrEx>
        <w:trPr>
          <w:trHeight w:val="1104"/>
          <w:jc w:val="center"/>
        </w:trPr>
        <w:tc>
          <w:tcPr>
            <w:tcW w:w="1260" w:type="dxa"/>
            <w:tcBorders>
              <w:top w:val="nil"/>
              <w:left w:val="single" w:sz="8" w:space="0" w:color="auto"/>
              <w:bottom w:val="single" w:sz="8" w:space="0" w:color="auto"/>
              <w:right w:val="single" w:sz="8" w:space="0" w:color="auto"/>
            </w:tcBorders>
            <w:shd w:val="clear" w:color="auto" w:fill="8EAADB" w:themeFill="accent1" w:themeFillTint="99"/>
            <w:vAlign w:val="center"/>
            <w:hideMark/>
          </w:tcPr>
          <w:p w:rsidR="00506215" w:rsidRPr="00D57EC1" w:rsidP="00B902AE" w14:paraId="49C1EA6D" w14:textId="77777777">
            <w:pPr>
              <w:spacing w:line="276" w:lineRule="auto"/>
              <w:contextualSpacing/>
              <w:jc w:val="center"/>
              <w:rPr>
                <w:bCs/>
                <w:sz w:val="20"/>
                <w:szCs w:val="20"/>
              </w:rPr>
            </w:pPr>
            <w:r w:rsidRPr="00D57EC1">
              <w:rPr>
                <w:bCs/>
                <w:sz w:val="20"/>
                <w:szCs w:val="20"/>
              </w:rPr>
              <w:t>Type of Respondent</w:t>
            </w:r>
          </w:p>
        </w:tc>
        <w:tc>
          <w:tcPr>
            <w:tcW w:w="1440" w:type="dxa"/>
            <w:tcBorders>
              <w:top w:val="nil"/>
              <w:left w:val="nil"/>
              <w:bottom w:val="single" w:sz="8" w:space="0" w:color="auto"/>
              <w:right w:val="single" w:sz="8" w:space="0" w:color="auto"/>
            </w:tcBorders>
            <w:shd w:val="clear" w:color="auto" w:fill="8EAADB" w:themeFill="accent1" w:themeFillTint="99"/>
            <w:vAlign w:val="center"/>
            <w:hideMark/>
          </w:tcPr>
          <w:p w:rsidR="00506215" w:rsidRPr="00D57EC1" w:rsidP="00B902AE" w14:paraId="2F4B43F2" w14:textId="77777777">
            <w:pPr>
              <w:spacing w:line="276" w:lineRule="auto"/>
              <w:contextualSpacing/>
              <w:jc w:val="center"/>
              <w:rPr>
                <w:bCs/>
                <w:sz w:val="20"/>
                <w:szCs w:val="20"/>
              </w:rPr>
            </w:pPr>
            <w:r w:rsidRPr="00D57EC1">
              <w:rPr>
                <w:bCs/>
                <w:sz w:val="20"/>
                <w:szCs w:val="20"/>
              </w:rPr>
              <w:t>Form Name / Form Number</w:t>
            </w:r>
          </w:p>
        </w:tc>
        <w:tc>
          <w:tcPr>
            <w:tcW w:w="990" w:type="dxa"/>
            <w:tcBorders>
              <w:top w:val="nil"/>
              <w:left w:val="nil"/>
              <w:bottom w:val="single" w:sz="8" w:space="0" w:color="auto"/>
              <w:right w:val="single" w:sz="8" w:space="0" w:color="auto"/>
            </w:tcBorders>
            <w:shd w:val="clear" w:color="auto" w:fill="8EAADB" w:themeFill="accent1" w:themeFillTint="99"/>
            <w:vAlign w:val="center"/>
            <w:hideMark/>
          </w:tcPr>
          <w:p w:rsidR="00506215" w:rsidRPr="00D57EC1" w:rsidP="00B902AE" w14:paraId="757A676A" w14:textId="77777777">
            <w:pPr>
              <w:spacing w:line="276" w:lineRule="auto"/>
              <w:contextualSpacing/>
              <w:jc w:val="center"/>
              <w:rPr>
                <w:bCs/>
                <w:sz w:val="20"/>
                <w:szCs w:val="20"/>
              </w:rPr>
            </w:pPr>
            <w:r w:rsidRPr="00D57EC1">
              <w:rPr>
                <w:bCs/>
                <w:sz w:val="20"/>
                <w:szCs w:val="20"/>
              </w:rPr>
              <w:t>No. of Respondents</w:t>
            </w:r>
          </w:p>
        </w:tc>
        <w:tc>
          <w:tcPr>
            <w:tcW w:w="1000" w:type="dxa"/>
            <w:tcBorders>
              <w:top w:val="nil"/>
              <w:left w:val="nil"/>
              <w:bottom w:val="single" w:sz="8" w:space="0" w:color="auto"/>
              <w:right w:val="single" w:sz="8" w:space="0" w:color="auto"/>
            </w:tcBorders>
            <w:shd w:val="clear" w:color="auto" w:fill="8EAADB" w:themeFill="accent1" w:themeFillTint="99"/>
            <w:vAlign w:val="center"/>
            <w:hideMark/>
          </w:tcPr>
          <w:p w:rsidR="00506215" w:rsidRPr="00D57EC1" w:rsidP="00B902AE" w14:paraId="73DE38CD" w14:textId="77777777">
            <w:pPr>
              <w:spacing w:line="276" w:lineRule="auto"/>
              <w:contextualSpacing/>
              <w:jc w:val="center"/>
              <w:rPr>
                <w:bCs/>
                <w:sz w:val="20"/>
                <w:szCs w:val="20"/>
              </w:rPr>
            </w:pPr>
            <w:r w:rsidRPr="00D57EC1">
              <w:rPr>
                <w:bCs/>
                <w:sz w:val="20"/>
                <w:szCs w:val="20"/>
              </w:rPr>
              <w:t>No. of Responses per Respondent</w:t>
            </w:r>
          </w:p>
        </w:tc>
        <w:tc>
          <w:tcPr>
            <w:tcW w:w="1170" w:type="dxa"/>
            <w:tcBorders>
              <w:top w:val="nil"/>
              <w:left w:val="nil"/>
              <w:bottom w:val="single" w:sz="8" w:space="0" w:color="auto"/>
              <w:right w:val="single" w:sz="8" w:space="0" w:color="auto"/>
            </w:tcBorders>
            <w:shd w:val="clear" w:color="auto" w:fill="8EAADB" w:themeFill="accent1" w:themeFillTint="99"/>
            <w:vAlign w:val="center"/>
            <w:hideMark/>
          </w:tcPr>
          <w:p w:rsidR="00506215" w:rsidRPr="00D57EC1" w:rsidP="00B902AE" w14:paraId="2F3614DF" w14:textId="77777777">
            <w:pPr>
              <w:spacing w:line="276" w:lineRule="auto"/>
              <w:contextualSpacing/>
              <w:jc w:val="center"/>
              <w:rPr>
                <w:bCs/>
                <w:sz w:val="20"/>
                <w:szCs w:val="20"/>
              </w:rPr>
            </w:pPr>
            <w:r w:rsidRPr="00D57EC1">
              <w:rPr>
                <w:bCs/>
                <w:sz w:val="20"/>
                <w:szCs w:val="20"/>
              </w:rPr>
              <w:t>Total No. of Responses</w:t>
            </w:r>
          </w:p>
        </w:tc>
        <w:tc>
          <w:tcPr>
            <w:tcW w:w="1080" w:type="dxa"/>
            <w:tcBorders>
              <w:top w:val="nil"/>
              <w:left w:val="nil"/>
              <w:bottom w:val="single" w:sz="8" w:space="0" w:color="auto"/>
              <w:right w:val="single" w:sz="8" w:space="0" w:color="auto"/>
            </w:tcBorders>
            <w:shd w:val="clear" w:color="auto" w:fill="8EAADB" w:themeFill="accent1" w:themeFillTint="99"/>
            <w:vAlign w:val="center"/>
            <w:hideMark/>
          </w:tcPr>
          <w:p w:rsidR="00506215" w:rsidRPr="00D57EC1" w:rsidP="00B902AE" w14:paraId="48CB875A" w14:textId="77777777">
            <w:pPr>
              <w:spacing w:line="276" w:lineRule="auto"/>
              <w:contextualSpacing/>
              <w:jc w:val="center"/>
              <w:rPr>
                <w:bCs/>
                <w:sz w:val="20"/>
                <w:szCs w:val="20"/>
              </w:rPr>
            </w:pPr>
            <w:r w:rsidRPr="00D57EC1">
              <w:rPr>
                <w:bCs/>
                <w:sz w:val="20"/>
                <w:szCs w:val="20"/>
              </w:rPr>
              <w:t>Avg. Burden per Response (in hours)</w:t>
            </w:r>
          </w:p>
        </w:tc>
        <w:tc>
          <w:tcPr>
            <w:tcW w:w="980" w:type="dxa"/>
            <w:tcBorders>
              <w:top w:val="nil"/>
              <w:left w:val="nil"/>
              <w:bottom w:val="single" w:sz="8" w:space="0" w:color="auto"/>
              <w:right w:val="single" w:sz="8" w:space="0" w:color="auto"/>
            </w:tcBorders>
            <w:shd w:val="clear" w:color="auto" w:fill="8EAADB" w:themeFill="accent1" w:themeFillTint="99"/>
            <w:vAlign w:val="center"/>
            <w:hideMark/>
          </w:tcPr>
          <w:p w:rsidR="00506215" w:rsidRPr="00D57EC1" w:rsidP="00B902AE" w14:paraId="43146774" w14:textId="77777777">
            <w:pPr>
              <w:spacing w:line="276" w:lineRule="auto"/>
              <w:contextualSpacing/>
              <w:jc w:val="center"/>
              <w:rPr>
                <w:bCs/>
                <w:sz w:val="20"/>
                <w:szCs w:val="20"/>
              </w:rPr>
            </w:pPr>
            <w:r w:rsidRPr="00D57EC1">
              <w:rPr>
                <w:bCs/>
                <w:sz w:val="20"/>
                <w:szCs w:val="20"/>
              </w:rPr>
              <w:t>Total Annual Burden (in hours)</w:t>
            </w:r>
          </w:p>
        </w:tc>
        <w:tc>
          <w:tcPr>
            <w:tcW w:w="810" w:type="dxa"/>
            <w:tcBorders>
              <w:top w:val="nil"/>
              <w:left w:val="nil"/>
              <w:bottom w:val="single" w:sz="8" w:space="0" w:color="auto"/>
              <w:right w:val="single" w:sz="8" w:space="0" w:color="auto"/>
            </w:tcBorders>
            <w:shd w:val="clear" w:color="auto" w:fill="8EAADB" w:themeFill="accent1" w:themeFillTint="99"/>
            <w:vAlign w:val="center"/>
            <w:hideMark/>
          </w:tcPr>
          <w:p w:rsidR="00506215" w:rsidRPr="00D57EC1" w:rsidP="00B902AE" w14:paraId="00D1AC3B" w14:textId="77777777">
            <w:pPr>
              <w:spacing w:line="276" w:lineRule="auto"/>
              <w:contextualSpacing/>
              <w:jc w:val="center"/>
              <w:rPr>
                <w:bCs/>
                <w:sz w:val="20"/>
                <w:szCs w:val="20"/>
              </w:rPr>
            </w:pPr>
            <w:r w:rsidRPr="00D57EC1">
              <w:rPr>
                <w:bCs/>
                <w:sz w:val="20"/>
                <w:szCs w:val="20"/>
              </w:rPr>
              <w:t>Avg. Hourly Wage Rate</w:t>
            </w:r>
          </w:p>
        </w:tc>
        <w:tc>
          <w:tcPr>
            <w:tcW w:w="1260" w:type="dxa"/>
            <w:tcBorders>
              <w:top w:val="nil"/>
              <w:left w:val="nil"/>
              <w:bottom w:val="single" w:sz="8" w:space="0" w:color="auto"/>
              <w:right w:val="single" w:sz="8" w:space="0" w:color="auto"/>
            </w:tcBorders>
            <w:shd w:val="clear" w:color="auto" w:fill="8EAADB" w:themeFill="accent1" w:themeFillTint="99"/>
            <w:vAlign w:val="center"/>
            <w:hideMark/>
          </w:tcPr>
          <w:p w:rsidR="00506215" w:rsidRPr="00D57EC1" w:rsidP="00B902AE" w14:paraId="06C8F3CE" w14:textId="77777777">
            <w:pPr>
              <w:spacing w:line="276" w:lineRule="auto"/>
              <w:contextualSpacing/>
              <w:jc w:val="center"/>
              <w:rPr>
                <w:bCs/>
                <w:sz w:val="20"/>
                <w:szCs w:val="20"/>
              </w:rPr>
            </w:pPr>
            <w:r w:rsidRPr="00D57EC1">
              <w:rPr>
                <w:bCs/>
                <w:sz w:val="20"/>
                <w:szCs w:val="20"/>
              </w:rPr>
              <w:t>Total Annual Respondent Cost</w:t>
            </w:r>
          </w:p>
        </w:tc>
      </w:tr>
      <w:tr w14:paraId="2D087634" w14:textId="77777777" w:rsidTr="0060434F">
        <w:tblPrEx>
          <w:tblW w:w="9990" w:type="dxa"/>
          <w:jc w:val="center"/>
          <w:tblLayout w:type="fixed"/>
          <w:tblLook w:val="04A0"/>
        </w:tblPrEx>
        <w:trPr>
          <w:trHeight w:val="886"/>
          <w:jc w:val="center"/>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22136C" w:rsidRPr="00D57EC1" w:rsidP="00B902AE" w14:paraId="70789032" w14:textId="77777777">
            <w:pPr>
              <w:spacing w:line="276" w:lineRule="auto"/>
              <w:contextualSpacing/>
              <w:jc w:val="center"/>
              <w:rPr>
                <w:sz w:val="20"/>
                <w:szCs w:val="20"/>
              </w:rPr>
            </w:pPr>
            <w:r w:rsidRPr="00D57EC1">
              <w:rPr>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hideMark/>
          </w:tcPr>
          <w:p w:rsidR="0022136C" w:rsidRPr="00D57EC1" w:rsidP="00B902AE" w14:paraId="5C40BE8E" w14:textId="77777777">
            <w:pPr>
              <w:spacing w:line="276" w:lineRule="auto"/>
              <w:contextualSpacing/>
              <w:jc w:val="center"/>
              <w:rPr>
                <w:sz w:val="20"/>
                <w:szCs w:val="20"/>
              </w:rPr>
            </w:pPr>
            <w:r w:rsidRPr="00D57EC1">
              <w:rPr>
                <w:sz w:val="20"/>
                <w:szCs w:val="20"/>
              </w:rPr>
              <w:t>Project Narrative Section /No Form</w:t>
            </w:r>
          </w:p>
        </w:tc>
        <w:tc>
          <w:tcPr>
            <w:tcW w:w="990" w:type="dxa"/>
            <w:tcBorders>
              <w:top w:val="nil"/>
              <w:left w:val="nil"/>
              <w:bottom w:val="single" w:sz="8" w:space="0" w:color="auto"/>
              <w:right w:val="single" w:sz="8" w:space="0" w:color="auto"/>
            </w:tcBorders>
            <w:shd w:val="clear" w:color="auto" w:fill="auto"/>
            <w:vAlign w:val="center"/>
            <w:hideMark/>
          </w:tcPr>
          <w:p w:rsidR="0022136C" w:rsidRPr="00D57EC1" w:rsidP="00B902AE" w14:paraId="3ADB391C" w14:textId="77777777">
            <w:pPr>
              <w:spacing w:line="276" w:lineRule="auto"/>
              <w:contextualSpacing/>
              <w:jc w:val="center"/>
              <w:rPr>
                <w:sz w:val="20"/>
                <w:szCs w:val="20"/>
              </w:rPr>
            </w:pPr>
            <w:r w:rsidRPr="00D57EC1">
              <w:rPr>
                <w:sz w:val="20"/>
                <w:szCs w:val="20"/>
              </w:rPr>
              <w:t>59</w:t>
            </w:r>
          </w:p>
        </w:tc>
        <w:tc>
          <w:tcPr>
            <w:tcW w:w="1000" w:type="dxa"/>
            <w:tcBorders>
              <w:top w:val="nil"/>
              <w:left w:val="nil"/>
              <w:bottom w:val="single" w:sz="8" w:space="0" w:color="auto"/>
              <w:right w:val="single" w:sz="8" w:space="0" w:color="auto"/>
            </w:tcBorders>
            <w:shd w:val="clear" w:color="auto" w:fill="auto"/>
            <w:vAlign w:val="center"/>
            <w:hideMark/>
          </w:tcPr>
          <w:p w:rsidR="0022136C" w:rsidRPr="00D57EC1" w:rsidP="00B902AE" w14:paraId="072AB3C1" w14:textId="228C173C">
            <w:pPr>
              <w:spacing w:line="276" w:lineRule="auto"/>
              <w:contextualSpacing/>
              <w:jc w:val="center"/>
              <w:rPr>
                <w:sz w:val="20"/>
                <w:szCs w:val="20"/>
              </w:rPr>
            </w:pPr>
            <w:r w:rsidRPr="00D57EC1">
              <w:rPr>
                <w:sz w:val="20"/>
                <w:szCs w:val="20"/>
              </w:rPr>
              <w:t>60</w:t>
            </w:r>
          </w:p>
        </w:tc>
        <w:tc>
          <w:tcPr>
            <w:tcW w:w="1170" w:type="dxa"/>
            <w:tcBorders>
              <w:top w:val="nil"/>
              <w:left w:val="nil"/>
              <w:bottom w:val="single" w:sz="8" w:space="0" w:color="auto"/>
              <w:right w:val="single" w:sz="8" w:space="0" w:color="auto"/>
            </w:tcBorders>
            <w:shd w:val="clear" w:color="auto" w:fill="auto"/>
            <w:vAlign w:val="center"/>
            <w:hideMark/>
          </w:tcPr>
          <w:p w:rsidR="0022136C" w:rsidRPr="00D57EC1" w:rsidP="00B902AE" w14:paraId="0C3E98A8" w14:textId="7CBB073B">
            <w:pPr>
              <w:spacing w:line="276" w:lineRule="auto"/>
              <w:contextualSpacing/>
              <w:jc w:val="center"/>
              <w:rPr>
                <w:sz w:val="20"/>
                <w:szCs w:val="20"/>
              </w:rPr>
            </w:pPr>
            <w:r w:rsidRPr="00D57EC1">
              <w:rPr>
                <w:sz w:val="20"/>
                <w:szCs w:val="20"/>
              </w:rPr>
              <w:t>3</w:t>
            </w:r>
            <w:r w:rsidRPr="00D57EC1" w:rsidR="00A6568F">
              <w:rPr>
                <w:sz w:val="20"/>
                <w:szCs w:val="20"/>
              </w:rPr>
              <w:t>,</w:t>
            </w:r>
            <w:r w:rsidRPr="00D57EC1">
              <w:rPr>
                <w:sz w:val="20"/>
                <w:szCs w:val="20"/>
              </w:rPr>
              <w:t>540</w:t>
            </w:r>
          </w:p>
        </w:tc>
        <w:tc>
          <w:tcPr>
            <w:tcW w:w="1080" w:type="dxa"/>
            <w:tcBorders>
              <w:top w:val="nil"/>
              <w:left w:val="nil"/>
              <w:bottom w:val="single" w:sz="8" w:space="0" w:color="auto"/>
              <w:right w:val="single" w:sz="8" w:space="0" w:color="auto"/>
            </w:tcBorders>
            <w:shd w:val="clear" w:color="auto" w:fill="auto"/>
            <w:vAlign w:val="center"/>
            <w:hideMark/>
          </w:tcPr>
          <w:p w:rsidR="0022136C" w:rsidRPr="00D57EC1" w:rsidP="00B902AE" w14:paraId="58731895" w14:textId="77777777">
            <w:pPr>
              <w:spacing w:line="276" w:lineRule="auto"/>
              <w:contextualSpacing/>
              <w:jc w:val="center"/>
              <w:rPr>
                <w:sz w:val="20"/>
                <w:szCs w:val="20"/>
              </w:rPr>
            </w:pPr>
            <w:r w:rsidRPr="00D57EC1">
              <w:rPr>
                <w:sz w:val="20"/>
                <w:szCs w:val="20"/>
              </w:rPr>
              <w:t>12</w:t>
            </w:r>
          </w:p>
        </w:tc>
        <w:tc>
          <w:tcPr>
            <w:tcW w:w="980" w:type="dxa"/>
            <w:tcBorders>
              <w:top w:val="nil"/>
              <w:left w:val="nil"/>
              <w:bottom w:val="single" w:sz="8" w:space="0" w:color="auto"/>
              <w:right w:val="single" w:sz="8" w:space="0" w:color="auto"/>
            </w:tcBorders>
            <w:shd w:val="clear" w:color="auto" w:fill="auto"/>
            <w:vAlign w:val="center"/>
            <w:hideMark/>
          </w:tcPr>
          <w:p w:rsidR="0022136C" w:rsidRPr="00D57EC1" w:rsidP="00B902AE" w14:paraId="5282E4C5" w14:textId="62BB8E21">
            <w:pPr>
              <w:spacing w:line="276" w:lineRule="auto"/>
              <w:contextualSpacing/>
              <w:jc w:val="center"/>
              <w:rPr>
                <w:sz w:val="20"/>
                <w:szCs w:val="20"/>
              </w:rPr>
            </w:pPr>
            <w:r w:rsidRPr="00D57EC1">
              <w:rPr>
                <w:sz w:val="20"/>
                <w:szCs w:val="20"/>
              </w:rPr>
              <w:t>42,480</w:t>
            </w:r>
          </w:p>
        </w:tc>
        <w:tc>
          <w:tcPr>
            <w:tcW w:w="810" w:type="dxa"/>
            <w:tcBorders>
              <w:top w:val="nil"/>
              <w:left w:val="nil"/>
              <w:bottom w:val="single" w:sz="8" w:space="0" w:color="auto"/>
              <w:right w:val="single" w:sz="8" w:space="0" w:color="auto"/>
            </w:tcBorders>
            <w:shd w:val="clear" w:color="auto" w:fill="auto"/>
            <w:vAlign w:val="center"/>
            <w:hideMark/>
          </w:tcPr>
          <w:p w:rsidR="0022136C" w:rsidRPr="00D57EC1" w:rsidP="00B902AE" w14:paraId="028F2ED7" w14:textId="7D0D2355">
            <w:pPr>
              <w:spacing w:line="276" w:lineRule="auto"/>
              <w:contextualSpacing/>
              <w:jc w:val="center"/>
              <w:rPr>
                <w:sz w:val="20"/>
                <w:szCs w:val="20"/>
              </w:rPr>
            </w:pPr>
            <w:r w:rsidRPr="00D57EC1">
              <w:rPr>
                <w:sz w:val="20"/>
                <w:szCs w:val="20"/>
              </w:rPr>
              <w:t>$6</w:t>
            </w:r>
            <w:r w:rsidRPr="00D57EC1" w:rsidR="003B3658">
              <w:rPr>
                <w:sz w:val="20"/>
                <w:szCs w:val="20"/>
              </w:rPr>
              <w:t>1.24</w:t>
            </w:r>
            <w:r w:rsidRPr="00D57EC1">
              <w:rPr>
                <w:sz w:val="20"/>
                <w:szCs w:val="20"/>
              </w:rPr>
              <w:t xml:space="preserve"> </w:t>
            </w:r>
          </w:p>
        </w:tc>
        <w:tc>
          <w:tcPr>
            <w:tcW w:w="1260" w:type="dxa"/>
            <w:tcBorders>
              <w:top w:val="nil"/>
              <w:left w:val="nil"/>
              <w:bottom w:val="single" w:sz="8" w:space="0" w:color="auto"/>
              <w:right w:val="single" w:sz="8" w:space="0" w:color="auto"/>
            </w:tcBorders>
            <w:shd w:val="clear" w:color="auto" w:fill="auto"/>
            <w:vAlign w:val="center"/>
            <w:hideMark/>
          </w:tcPr>
          <w:p w:rsidR="0022136C" w:rsidRPr="00D57EC1" w:rsidP="00B902AE" w14:paraId="4A049657" w14:textId="09361622">
            <w:pPr>
              <w:spacing w:line="276" w:lineRule="auto"/>
              <w:contextualSpacing/>
              <w:jc w:val="center"/>
              <w:rPr>
                <w:sz w:val="20"/>
                <w:szCs w:val="20"/>
              </w:rPr>
            </w:pPr>
            <w:r w:rsidRPr="00D57EC1">
              <w:rPr>
                <w:sz w:val="20"/>
                <w:szCs w:val="20"/>
              </w:rPr>
              <w:t>$</w:t>
            </w:r>
            <w:r w:rsidRPr="00D57EC1" w:rsidR="00CD1D99">
              <w:rPr>
                <w:sz w:val="20"/>
                <w:szCs w:val="20"/>
              </w:rPr>
              <w:t>2,601,475</w:t>
            </w:r>
            <w:r w:rsidRPr="00D57EC1">
              <w:rPr>
                <w:sz w:val="20"/>
                <w:szCs w:val="20"/>
              </w:rPr>
              <w:t xml:space="preserve"> </w:t>
            </w:r>
          </w:p>
        </w:tc>
      </w:tr>
      <w:tr w14:paraId="1BAC8BDC" w14:textId="77777777" w:rsidTr="0060434F">
        <w:tblPrEx>
          <w:tblW w:w="9990" w:type="dxa"/>
          <w:jc w:val="center"/>
          <w:tblLayout w:type="fixed"/>
          <w:tblLook w:val="04A0"/>
        </w:tblPrEx>
        <w:trPr>
          <w:trHeight w:val="1104"/>
          <w:jc w:val="center"/>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22136C" w:rsidRPr="00D57EC1" w:rsidP="00B902AE" w14:paraId="38AB7744" w14:textId="77777777">
            <w:pPr>
              <w:spacing w:line="276" w:lineRule="auto"/>
              <w:contextualSpacing/>
              <w:jc w:val="center"/>
              <w:rPr>
                <w:sz w:val="20"/>
                <w:szCs w:val="20"/>
              </w:rPr>
            </w:pPr>
            <w:r w:rsidRPr="00D57EC1">
              <w:rPr>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hideMark/>
          </w:tcPr>
          <w:p w:rsidR="0022136C" w:rsidRPr="00D57EC1" w:rsidP="00B902AE" w14:paraId="250B4565" w14:textId="77777777">
            <w:pPr>
              <w:spacing w:line="276" w:lineRule="auto"/>
              <w:contextualSpacing/>
              <w:jc w:val="center"/>
              <w:rPr>
                <w:sz w:val="20"/>
                <w:szCs w:val="20"/>
              </w:rPr>
            </w:pPr>
            <w:r w:rsidRPr="00D57EC1">
              <w:rPr>
                <w:sz w:val="20"/>
                <w:szCs w:val="20"/>
              </w:rPr>
              <w:t>Benefit-Cost Determination/No Form</w:t>
            </w:r>
          </w:p>
        </w:tc>
        <w:tc>
          <w:tcPr>
            <w:tcW w:w="990" w:type="dxa"/>
            <w:tcBorders>
              <w:top w:val="nil"/>
              <w:left w:val="nil"/>
              <w:bottom w:val="single" w:sz="8" w:space="0" w:color="auto"/>
              <w:right w:val="single" w:sz="8" w:space="0" w:color="auto"/>
            </w:tcBorders>
            <w:shd w:val="clear" w:color="auto" w:fill="auto"/>
            <w:vAlign w:val="center"/>
            <w:hideMark/>
          </w:tcPr>
          <w:p w:rsidR="0022136C" w:rsidRPr="00D57EC1" w:rsidP="00B902AE" w14:paraId="3C71F76D" w14:textId="77777777">
            <w:pPr>
              <w:spacing w:line="276" w:lineRule="auto"/>
              <w:contextualSpacing/>
              <w:jc w:val="center"/>
              <w:rPr>
                <w:sz w:val="20"/>
                <w:szCs w:val="20"/>
              </w:rPr>
            </w:pPr>
            <w:r w:rsidRPr="00D57EC1">
              <w:rPr>
                <w:sz w:val="20"/>
                <w:szCs w:val="20"/>
              </w:rPr>
              <w:t>59</w:t>
            </w:r>
          </w:p>
        </w:tc>
        <w:tc>
          <w:tcPr>
            <w:tcW w:w="1000" w:type="dxa"/>
            <w:tcBorders>
              <w:top w:val="nil"/>
              <w:left w:val="nil"/>
              <w:bottom w:val="single" w:sz="8" w:space="0" w:color="auto"/>
              <w:right w:val="single" w:sz="8" w:space="0" w:color="auto"/>
            </w:tcBorders>
            <w:shd w:val="clear" w:color="auto" w:fill="auto"/>
            <w:vAlign w:val="center"/>
            <w:hideMark/>
          </w:tcPr>
          <w:p w:rsidR="0022136C" w:rsidRPr="00D57EC1" w:rsidP="00B902AE" w14:paraId="7B2DF23A" w14:textId="7AFBC448">
            <w:pPr>
              <w:spacing w:line="276" w:lineRule="auto"/>
              <w:contextualSpacing/>
              <w:jc w:val="center"/>
              <w:rPr>
                <w:sz w:val="20"/>
                <w:szCs w:val="20"/>
              </w:rPr>
            </w:pPr>
            <w:r w:rsidRPr="00D57EC1">
              <w:rPr>
                <w:sz w:val="20"/>
                <w:szCs w:val="20"/>
              </w:rPr>
              <w:t>60</w:t>
            </w:r>
          </w:p>
        </w:tc>
        <w:tc>
          <w:tcPr>
            <w:tcW w:w="1170" w:type="dxa"/>
            <w:tcBorders>
              <w:top w:val="nil"/>
              <w:left w:val="nil"/>
              <w:bottom w:val="single" w:sz="8" w:space="0" w:color="auto"/>
              <w:right w:val="single" w:sz="8" w:space="0" w:color="auto"/>
            </w:tcBorders>
            <w:shd w:val="clear" w:color="auto" w:fill="auto"/>
            <w:vAlign w:val="center"/>
            <w:hideMark/>
          </w:tcPr>
          <w:p w:rsidR="0022136C" w:rsidRPr="00D57EC1" w:rsidP="00B902AE" w14:paraId="2CB28EE9" w14:textId="2E11547A">
            <w:pPr>
              <w:spacing w:line="276" w:lineRule="auto"/>
              <w:contextualSpacing/>
              <w:jc w:val="center"/>
              <w:rPr>
                <w:sz w:val="20"/>
                <w:szCs w:val="20"/>
              </w:rPr>
            </w:pPr>
            <w:r w:rsidRPr="00D57EC1">
              <w:rPr>
                <w:sz w:val="20"/>
                <w:szCs w:val="20"/>
              </w:rPr>
              <w:t>3</w:t>
            </w:r>
            <w:r w:rsidRPr="00D57EC1" w:rsidR="00A6568F">
              <w:rPr>
                <w:sz w:val="20"/>
                <w:szCs w:val="20"/>
              </w:rPr>
              <w:t>,</w:t>
            </w:r>
            <w:r w:rsidRPr="00D57EC1">
              <w:rPr>
                <w:sz w:val="20"/>
                <w:szCs w:val="20"/>
              </w:rPr>
              <w:t>540</w:t>
            </w:r>
          </w:p>
        </w:tc>
        <w:tc>
          <w:tcPr>
            <w:tcW w:w="1080" w:type="dxa"/>
            <w:tcBorders>
              <w:top w:val="nil"/>
              <w:left w:val="nil"/>
              <w:bottom w:val="single" w:sz="8" w:space="0" w:color="auto"/>
              <w:right w:val="single" w:sz="8" w:space="0" w:color="auto"/>
            </w:tcBorders>
            <w:shd w:val="clear" w:color="auto" w:fill="auto"/>
            <w:vAlign w:val="center"/>
            <w:hideMark/>
          </w:tcPr>
          <w:p w:rsidR="0022136C" w:rsidRPr="00D57EC1" w:rsidP="00B902AE" w14:paraId="59215397" w14:textId="77777777">
            <w:pPr>
              <w:spacing w:line="276" w:lineRule="auto"/>
              <w:contextualSpacing/>
              <w:jc w:val="center"/>
              <w:rPr>
                <w:sz w:val="20"/>
                <w:szCs w:val="20"/>
              </w:rPr>
            </w:pPr>
            <w:r w:rsidRPr="00D57EC1">
              <w:rPr>
                <w:sz w:val="20"/>
                <w:szCs w:val="20"/>
              </w:rPr>
              <w:t>5</w:t>
            </w:r>
          </w:p>
        </w:tc>
        <w:tc>
          <w:tcPr>
            <w:tcW w:w="980" w:type="dxa"/>
            <w:tcBorders>
              <w:top w:val="nil"/>
              <w:left w:val="nil"/>
              <w:bottom w:val="single" w:sz="8" w:space="0" w:color="auto"/>
              <w:right w:val="single" w:sz="8" w:space="0" w:color="auto"/>
            </w:tcBorders>
            <w:shd w:val="clear" w:color="auto" w:fill="auto"/>
            <w:vAlign w:val="center"/>
            <w:hideMark/>
          </w:tcPr>
          <w:p w:rsidR="0022136C" w:rsidRPr="00D57EC1" w:rsidP="00B902AE" w14:paraId="6E90A49D" w14:textId="2258EC6C">
            <w:pPr>
              <w:spacing w:line="276" w:lineRule="auto"/>
              <w:contextualSpacing/>
              <w:jc w:val="center"/>
              <w:rPr>
                <w:sz w:val="20"/>
                <w:szCs w:val="20"/>
              </w:rPr>
            </w:pPr>
            <w:r w:rsidRPr="00D57EC1">
              <w:rPr>
                <w:sz w:val="20"/>
                <w:szCs w:val="20"/>
              </w:rPr>
              <w:t>17,700</w:t>
            </w:r>
          </w:p>
        </w:tc>
        <w:tc>
          <w:tcPr>
            <w:tcW w:w="810" w:type="dxa"/>
            <w:tcBorders>
              <w:top w:val="nil"/>
              <w:left w:val="nil"/>
              <w:bottom w:val="single" w:sz="8" w:space="0" w:color="auto"/>
              <w:right w:val="single" w:sz="8" w:space="0" w:color="auto"/>
            </w:tcBorders>
            <w:shd w:val="clear" w:color="auto" w:fill="auto"/>
            <w:vAlign w:val="center"/>
            <w:hideMark/>
          </w:tcPr>
          <w:p w:rsidR="0022136C" w:rsidRPr="00D57EC1" w:rsidP="00B902AE" w14:paraId="3E08164B" w14:textId="417A3F96">
            <w:pPr>
              <w:spacing w:line="276" w:lineRule="auto"/>
              <w:contextualSpacing/>
              <w:jc w:val="center"/>
              <w:rPr>
                <w:sz w:val="20"/>
                <w:szCs w:val="20"/>
              </w:rPr>
            </w:pPr>
            <w:r w:rsidRPr="00D57EC1">
              <w:rPr>
                <w:sz w:val="20"/>
                <w:szCs w:val="20"/>
              </w:rPr>
              <w:t>$6</w:t>
            </w:r>
            <w:r w:rsidRPr="00D57EC1" w:rsidR="003B3658">
              <w:rPr>
                <w:sz w:val="20"/>
                <w:szCs w:val="20"/>
              </w:rPr>
              <w:t>1.24</w:t>
            </w:r>
            <w:r w:rsidRPr="00D57EC1">
              <w:rPr>
                <w:sz w:val="20"/>
                <w:szCs w:val="20"/>
              </w:rPr>
              <w:t xml:space="preserve"> </w:t>
            </w:r>
          </w:p>
        </w:tc>
        <w:tc>
          <w:tcPr>
            <w:tcW w:w="1260" w:type="dxa"/>
            <w:tcBorders>
              <w:top w:val="nil"/>
              <w:left w:val="nil"/>
              <w:bottom w:val="single" w:sz="8" w:space="0" w:color="auto"/>
              <w:right w:val="single" w:sz="8" w:space="0" w:color="auto"/>
            </w:tcBorders>
            <w:shd w:val="clear" w:color="auto" w:fill="auto"/>
            <w:vAlign w:val="center"/>
            <w:hideMark/>
          </w:tcPr>
          <w:p w:rsidR="0022136C" w:rsidRPr="00D57EC1" w:rsidP="00B902AE" w14:paraId="574C0D71" w14:textId="35362732">
            <w:pPr>
              <w:spacing w:line="276" w:lineRule="auto"/>
              <w:contextualSpacing/>
              <w:jc w:val="center"/>
              <w:rPr>
                <w:sz w:val="20"/>
                <w:szCs w:val="20"/>
              </w:rPr>
            </w:pPr>
            <w:r w:rsidRPr="00D57EC1">
              <w:rPr>
                <w:sz w:val="20"/>
                <w:szCs w:val="20"/>
              </w:rPr>
              <w:t>$</w:t>
            </w:r>
            <w:r w:rsidRPr="00D57EC1" w:rsidR="00F9310A">
              <w:rPr>
                <w:sz w:val="20"/>
                <w:szCs w:val="20"/>
              </w:rPr>
              <w:t>1,083,948</w:t>
            </w:r>
          </w:p>
        </w:tc>
      </w:tr>
      <w:tr w14:paraId="7555DB92" w14:textId="77777777" w:rsidTr="0060434F">
        <w:tblPrEx>
          <w:tblW w:w="9990" w:type="dxa"/>
          <w:jc w:val="center"/>
          <w:tblLayout w:type="fixed"/>
          <w:tblLook w:val="04A0"/>
        </w:tblPrEx>
        <w:trPr>
          <w:trHeight w:val="886"/>
          <w:jc w:val="center"/>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22136C" w:rsidRPr="00D57EC1" w:rsidP="00B902AE" w14:paraId="457E284D" w14:textId="77777777">
            <w:pPr>
              <w:spacing w:line="276" w:lineRule="auto"/>
              <w:contextualSpacing/>
              <w:jc w:val="center"/>
              <w:rPr>
                <w:sz w:val="20"/>
                <w:szCs w:val="20"/>
              </w:rPr>
            </w:pPr>
            <w:r w:rsidRPr="00D57EC1">
              <w:rPr>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hideMark/>
          </w:tcPr>
          <w:p w:rsidR="0022136C" w:rsidRPr="00D57EC1" w:rsidP="00B902AE" w14:paraId="13DCE05A" w14:textId="77777777">
            <w:pPr>
              <w:spacing w:line="276" w:lineRule="auto"/>
              <w:contextualSpacing/>
              <w:jc w:val="center"/>
              <w:rPr>
                <w:sz w:val="20"/>
                <w:szCs w:val="20"/>
              </w:rPr>
            </w:pPr>
            <w:r w:rsidRPr="00D57EC1">
              <w:rPr>
                <w:sz w:val="20"/>
                <w:szCs w:val="20"/>
              </w:rPr>
              <w:t>Environmental Review/No Form</w:t>
            </w:r>
          </w:p>
        </w:tc>
        <w:tc>
          <w:tcPr>
            <w:tcW w:w="990" w:type="dxa"/>
            <w:tcBorders>
              <w:top w:val="nil"/>
              <w:left w:val="nil"/>
              <w:bottom w:val="single" w:sz="8" w:space="0" w:color="auto"/>
              <w:right w:val="single" w:sz="8" w:space="0" w:color="auto"/>
            </w:tcBorders>
            <w:shd w:val="clear" w:color="auto" w:fill="auto"/>
            <w:vAlign w:val="center"/>
            <w:hideMark/>
          </w:tcPr>
          <w:p w:rsidR="0022136C" w:rsidRPr="00D57EC1" w:rsidP="00B902AE" w14:paraId="1B979006" w14:textId="77777777">
            <w:pPr>
              <w:spacing w:line="276" w:lineRule="auto"/>
              <w:contextualSpacing/>
              <w:jc w:val="center"/>
              <w:rPr>
                <w:sz w:val="20"/>
                <w:szCs w:val="20"/>
              </w:rPr>
            </w:pPr>
            <w:r w:rsidRPr="00D57EC1">
              <w:rPr>
                <w:sz w:val="20"/>
                <w:szCs w:val="20"/>
              </w:rPr>
              <w:t>59</w:t>
            </w:r>
          </w:p>
        </w:tc>
        <w:tc>
          <w:tcPr>
            <w:tcW w:w="1000" w:type="dxa"/>
            <w:tcBorders>
              <w:top w:val="nil"/>
              <w:left w:val="nil"/>
              <w:bottom w:val="single" w:sz="8" w:space="0" w:color="auto"/>
              <w:right w:val="single" w:sz="8" w:space="0" w:color="auto"/>
            </w:tcBorders>
            <w:shd w:val="clear" w:color="auto" w:fill="auto"/>
            <w:vAlign w:val="center"/>
            <w:hideMark/>
          </w:tcPr>
          <w:p w:rsidR="0022136C" w:rsidRPr="00D57EC1" w:rsidP="00B902AE" w14:paraId="207CF9EB" w14:textId="798A7284">
            <w:pPr>
              <w:spacing w:line="276" w:lineRule="auto"/>
              <w:contextualSpacing/>
              <w:jc w:val="center"/>
              <w:rPr>
                <w:sz w:val="20"/>
                <w:szCs w:val="20"/>
              </w:rPr>
            </w:pPr>
            <w:r w:rsidRPr="00D57EC1">
              <w:rPr>
                <w:sz w:val="20"/>
                <w:szCs w:val="20"/>
              </w:rPr>
              <w:t>60</w:t>
            </w:r>
          </w:p>
        </w:tc>
        <w:tc>
          <w:tcPr>
            <w:tcW w:w="1170" w:type="dxa"/>
            <w:tcBorders>
              <w:top w:val="nil"/>
              <w:left w:val="nil"/>
              <w:bottom w:val="single" w:sz="8" w:space="0" w:color="auto"/>
              <w:right w:val="single" w:sz="8" w:space="0" w:color="auto"/>
            </w:tcBorders>
            <w:shd w:val="clear" w:color="auto" w:fill="auto"/>
            <w:vAlign w:val="center"/>
            <w:hideMark/>
          </w:tcPr>
          <w:p w:rsidR="0022136C" w:rsidRPr="00D57EC1" w:rsidP="00B902AE" w14:paraId="758C67A3" w14:textId="69E29CDE">
            <w:pPr>
              <w:spacing w:line="276" w:lineRule="auto"/>
              <w:contextualSpacing/>
              <w:jc w:val="center"/>
              <w:rPr>
                <w:sz w:val="20"/>
                <w:szCs w:val="20"/>
              </w:rPr>
            </w:pPr>
            <w:r w:rsidRPr="00D57EC1">
              <w:rPr>
                <w:sz w:val="20"/>
                <w:szCs w:val="20"/>
              </w:rPr>
              <w:t>3</w:t>
            </w:r>
            <w:r w:rsidRPr="00D57EC1" w:rsidR="00A6568F">
              <w:rPr>
                <w:sz w:val="20"/>
                <w:szCs w:val="20"/>
              </w:rPr>
              <w:t>,</w:t>
            </w:r>
            <w:r w:rsidRPr="00D57EC1">
              <w:rPr>
                <w:sz w:val="20"/>
                <w:szCs w:val="20"/>
              </w:rPr>
              <w:t>540</w:t>
            </w:r>
          </w:p>
        </w:tc>
        <w:tc>
          <w:tcPr>
            <w:tcW w:w="1080" w:type="dxa"/>
            <w:tcBorders>
              <w:top w:val="nil"/>
              <w:left w:val="nil"/>
              <w:bottom w:val="single" w:sz="8" w:space="0" w:color="auto"/>
              <w:right w:val="single" w:sz="8" w:space="0" w:color="auto"/>
            </w:tcBorders>
            <w:shd w:val="clear" w:color="auto" w:fill="auto"/>
            <w:vAlign w:val="center"/>
            <w:hideMark/>
          </w:tcPr>
          <w:p w:rsidR="0022136C" w:rsidRPr="00D57EC1" w:rsidP="00B902AE" w14:paraId="2670CC0E" w14:textId="77777777">
            <w:pPr>
              <w:spacing w:line="276" w:lineRule="auto"/>
              <w:contextualSpacing/>
              <w:jc w:val="center"/>
              <w:rPr>
                <w:sz w:val="20"/>
                <w:szCs w:val="20"/>
              </w:rPr>
            </w:pPr>
            <w:r w:rsidRPr="00D57EC1">
              <w:rPr>
                <w:sz w:val="20"/>
                <w:szCs w:val="20"/>
              </w:rPr>
              <w:t>7.5</w:t>
            </w:r>
          </w:p>
        </w:tc>
        <w:tc>
          <w:tcPr>
            <w:tcW w:w="980" w:type="dxa"/>
            <w:tcBorders>
              <w:top w:val="nil"/>
              <w:left w:val="nil"/>
              <w:bottom w:val="single" w:sz="8" w:space="0" w:color="auto"/>
              <w:right w:val="single" w:sz="8" w:space="0" w:color="auto"/>
            </w:tcBorders>
            <w:shd w:val="clear" w:color="auto" w:fill="auto"/>
            <w:vAlign w:val="center"/>
            <w:hideMark/>
          </w:tcPr>
          <w:p w:rsidR="0022136C" w:rsidRPr="00D57EC1" w:rsidP="00B902AE" w14:paraId="50510808" w14:textId="048925DE">
            <w:pPr>
              <w:spacing w:line="276" w:lineRule="auto"/>
              <w:contextualSpacing/>
              <w:jc w:val="center"/>
              <w:rPr>
                <w:sz w:val="20"/>
                <w:szCs w:val="20"/>
              </w:rPr>
            </w:pPr>
            <w:r w:rsidRPr="00D57EC1">
              <w:rPr>
                <w:sz w:val="20"/>
                <w:szCs w:val="20"/>
              </w:rPr>
              <w:t>26,550</w:t>
            </w:r>
          </w:p>
        </w:tc>
        <w:tc>
          <w:tcPr>
            <w:tcW w:w="810" w:type="dxa"/>
            <w:tcBorders>
              <w:top w:val="nil"/>
              <w:left w:val="nil"/>
              <w:bottom w:val="single" w:sz="8" w:space="0" w:color="auto"/>
              <w:right w:val="single" w:sz="8" w:space="0" w:color="auto"/>
            </w:tcBorders>
            <w:shd w:val="clear" w:color="auto" w:fill="auto"/>
            <w:vAlign w:val="center"/>
            <w:hideMark/>
          </w:tcPr>
          <w:p w:rsidR="0022136C" w:rsidRPr="00D57EC1" w:rsidP="00B902AE" w14:paraId="4FADF7AB" w14:textId="615578FF">
            <w:pPr>
              <w:spacing w:line="276" w:lineRule="auto"/>
              <w:contextualSpacing/>
              <w:jc w:val="center"/>
              <w:rPr>
                <w:sz w:val="20"/>
                <w:szCs w:val="20"/>
              </w:rPr>
            </w:pPr>
            <w:r w:rsidRPr="00D57EC1">
              <w:rPr>
                <w:sz w:val="20"/>
                <w:szCs w:val="20"/>
              </w:rPr>
              <w:t>$6</w:t>
            </w:r>
            <w:r w:rsidRPr="00D57EC1" w:rsidR="003B3658">
              <w:rPr>
                <w:sz w:val="20"/>
                <w:szCs w:val="20"/>
              </w:rPr>
              <w:t>1.24</w:t>
            </w:r>
            <w:r w:rsidRPr="00D57EC1">
              <w:rPr>
                <w:sz w:val="20"/>
                <w:szCs w:val="20"/>
              </w:rPr>
              <w:t xml:space="preserve"> </w:t>
            </w:r>
          </w:p>
        </w:tc>
        <w:tc>
          <w:tcPr>
            <w:tcW w:w="1260" w:type="dxa"/>
            <w:tcBorders>
              <w:top w:val="nil"/>
              <w:left w:val="nil"/>
              <w:bottom w:val="single" w:sz="8" w:space="0" w:color="auto"/>
              <w:right w:val="single" w:sz="8" w:space="0" w:color="auto"/>
            </w:tcBorders>
            <w:shd w:val="clear" w:color="auto" w:fill="auto"/>
            <w:vAlign w:val="center"/>
            <w:hideMark/>
          </w:tcPr>
          <w:p w:rsidR="0022136C" w:rsidRPr="00D57EC1" w:rsidP="00B902AE" w14:paraId="60033003" w14:textId="3812681E">
            <w:pPr>
              <w:spacing w:line="276" w:lineRule="auto"/>
              <w:contextualSpacing/>
              <w:jc w:val="center"/>
              <w:rPr>
                <w:sz w:val="20"/>
                <w:szCs w:val="20"/>
              </w:rPr>
            </w:pPr>
            <w:r w:rsidRPr="00D57EC1">
              <w:rPr>
                <w:sz w:val="20"/>
                <w:szCs w:val="20"/>
              </w:rPr>
              <w:t>$</w:t>
            </w:r>
            <w:r w:rsidRPr="00D57EC1" w:rsidR="00F9310A">
              <w:rPr>
                <w:sz w:val="20"/>
                <w:szCs w:val="20"/>
              </w:rPr>
              <w:t>1,625,922</w:t>
            </w:r>
            <w:r w:rsidRPr="00D57EC1">
              <w:rPr>
                <w:sz w:val="20"/>
                <w:szCs w:val="20"/>
              </w:rPr>
              <w:t xml:space="preserve"> </w:t>
            </w:r>
          </w:p>
        </w:tc>
      </w:tr>
      <w:tr w14:paraId="32E978B0" w14:textId="77777777" w:rsidTr="0060434F">
        <w:tblPrEx>
          <w:tblW w:w="9990" w:type="dxa"/>
          <w:jc w:val="center"/>
          <w:tblLayout w:type="fixed"/>
          <w:tblLook w:val="04A0"/>
        </w:tblPrEx>
        <w:trPr>
          <w:trHeight w:val="886"/>
          <w:jc w:val="center"/>
        </w:trPr>
        <w:tc>
          <w:tcPr>
            <w:tcW w:w="1260" w:type="dxa"/>
            <w:tcBorders>
              <w:top w:val="nil"/>
              <w:left w:val="single" w:sz="8" w:space="0" w:color="auto"/>
              <w:bottom w:val="single" w:sz="8" w:space="0" w:color="auto"/>
              <w:right w:val="single" w:sz="8" w:space="0" w:color="auto"/>
            </w:tcBorders>
            <w:shd w:val="clear" w:color="auto" w:fill="auto"/>
            <w:vAlign w:val="center"/>
          </w:tcPr>
          <w:p w:rsidR="0022136C" w:rsidRPr="00D57EC1" w:rsidP="00B902AE" w14:paraId="79D5733C" w14:textId="77777777">
            <w:pPr>
              <w:spacing w:line="276" w:lineRule="auto"/>
              <w:contextualSpacing/>
              <w:jc w:val="center"/>
              <w:rPr>
                <w:sz w:val="20"/>
                <w:szCs w:val="20"/>
              </w:rPr>
            </w:pPr>
            <w:r w:rsidRPr="00D57EC1">
              <w:rPr>
                <w:sz w:val="20"/>
                <w:szCs w:val="20"/>
              </w:rPr>
              <w:t>State, Local, or Tribal Government</w:t>
            </w:r>
          </w:p>
        </w:tc>
        <w:tc>
          <w:tcPr>
            <w:tcW w:w="1440" w:type="dxa"/>
            <w:tcBorders>
              <w:top w:val="nil"/>
              <w:left w:val="nil"/>
              <w:bottom w:val="single" w:sz="8" w:space="0" w:color="auto"/>
              <w:right w:val="single" w:sz="8" w:space="0" w:color="auto"/>
            </w:tcBorders>
            <w:shd w:val="clear" w:color="auto" w:fill="auto"/>
            <w:vAlign w:val="center"/>
          </w:tcPr>
          <w:p w:rsidR="0022136C" w:rsidRPr="00D57EC1" w:rsidP="00B902AE" w14:paraId="0CB2C71A" w14:textId="399D7A58">
            <w:pPr>
              <w:spacing w:line="276" w:lineRule="auto"/>
              <w:contextualSpacing/>
              <w:jc w:val="center"/>
              <w:rPr>
                <w:sz w:val="20"/>
                <w:szCs w:val="20"/>
              </w:rPr>
            </w:pPr>
            <w:bookmarkStart w:id="8" w:name="_Hlk116988081"/>
            <w:r w:rsidRPr="00D57EC1">
              <w:rPr>
                <w:sz w:val="20"/>
                <w:szCs w:val="20"/>
              </w:rPr>
              <w:t xml:space="preserve">Quarterly </w:t>
            </w:r>
            <w:r w:rsidRPr="00D57EC1" w:rsidR="00651A36">
              <w:rPr>
                <w:sz w:val="20"/>
                <w:szCs w:val="20"/>
              </w:rPr>
              <w:t>Progress Report</w:t>
            </w:r>
            <w:bookmarkEnd w:id="8"/>
            <w:r w:rsidRPr="00D57EC1" w:rsidR="00651A36">
              <w:rPr>
                <w:sz w:val="20"/>
                <w:szCs w:val="20"/>
              </w:rPr>
              <w:br/>
            </w:r>
            <w:bookmarkStart w:id="9" w:name="_Hlk116988062"/>
            <w:r w:rsidRPr="00D57EC1" w:rsidR="00651A36">
              <w:rPr>
                <w:sz w:val="20"/>
                <w:szCs w:val="20"/>
              </w:rPr>
              <w:t>FEMA Form FF-206-FY-22-154</w:t>
            </w:r>
            <w:r w:rsidRPr="00D57EC1" w:rsidR="00651A36">
              <w:rPr>
                <w:sz w:val="20"/>
                <w:szCs w:val="20"/>
              </w:rPr>
              <w:br/>
            </w:r>
            <w:bookmarkEnd w:id="9"/>
            <w:r w:rsidRPr="00D57EC1" w:rsidR="00651A36">
              <w:rPr>
                <w:sz w:val="20"/>
                <w:szCs w:val="20"/>
              </w:rPr>
              <w:t>(formerly 009-0-111A)</w:t>
            </w:r>
          </w:p>
        </w:tc>
        <w:tc>
          <w:tcPr>
            <w:tcW w:w="990" w:type="dxa"/>
            <w:tcBorders>
              <w:top w:val="nil"/>
              <w:left w:val="nil"/>
              <w:bottom w:val="single" w:sz="8" w:space="0" w:color="auto"/>
              <w:right w:val="single" w:sz="8" w:space="0" w:color="auto"/>
            </w:tcBorders>
            <w:shd w:val="clear" w:color="auto" w:fill="auto"/>
            <w:vAlign w:val="center"/>
          </w:tcPr>
          <w:p w:rsidR="0022136C" w:rsidRPr="00D57EC1" w:rsidP="00B902AE" w14:paraId="418CDF20" w14:textId="77777777">
            <w:pPr>
              <w:spacing w:line="276" w:lineRule="auto"/>
              <w:contextualSpacing/>
              <w:jc w:val="center"/>
              <w:rPr>
                <w:sz w:val="20"/>
                <w:szCs w:val="20"/>
              </w:rPr>
            </w:pPr>
            <w:r w:rsidRPr="00D57EC1">
              <w:rPr>
                <w:sz w:val="20"/>
                <w:szCs w:val="20"/>
              </w:rPr>
              <w:t>59</w:t>
            </w:r>
          </w:p>
        </w:tc>
        <w:tc>
          <w:tcPr>
            <w:tcW w:w="1000" w:type="dxa"/>
            <w:tcBorders>
              <w:top w:val="nil"/>
              <w:left w:val="nil"/>
              <w:bottom w:val="single" w:sz="8" w:space="0" w:color="auto"/>
              <w:right w:val="single" w:sz="8" w:space="0" w:color="auto"/>
            </w:tcBorders>
            <w:shd w:val="clear" w:color="auto" w:fill="auto"/>
            <w:vAlign w:val="center"/>
          </w:tcPr>
          <w:p w:rsidR="0022136C" w:rsidRPr="00D57EC1" w:rsidP="00B902AE" w14:paraId="5458AEAF" w14:textId="77777777">
            <w:pPr>
              <w:spacing w:line="276" w:lineRule="auto"/>
              <w:contextualSpacing/>
              <w:jc w:val="center"/>
              <w:rPr>
                <w:sz w:val="20"/>
                <w:szCs w:val="20"/>
              </w:rPr>
            </w:pPr>
            <w:r w:rsidRPr="00D57EC1">
              <w:rPr>
                <w:sz w:val="20"/>
                <w:szCs w:val="20"/>
              </w:rPr>
              <w:t>4.6</w:t>
            </w:r>
          </w:p>
        </w:tc>
        <w:tc>
          <w:tcPr>
            <w:tcW w:w="1170" w:type="dxa"/>
            <w:tcBorders>
              <w:top w:val="nil"/>
              <w:left w:val="nil"/>
              <w:bottom w:val="single" w:sz="8" w:space="0" w:color="auto"/>
              <w:right w:val="single" w:sz="8" w:space="0" w:color="auto"/>
            </w:tcBorders>
            <w:shd w:val="clear" w:color="auto" w:fill="auto"/>
            <w:vAlign w:val="center"/>
          </w:tcPr>
          <w:p w:rsidR="0022136C" w:rsidRPr="00D57EC1" w:rsidP="00B902AE" w14:paraId="6932442B" w14:textId="77777777">
            <w:pPr>
              <w:spacing w:line="276" w:lineRule="auto"/>
              <w:contextualSpacing/>
              <w:jc w:val="center"/>
              <w:rPr>
                <w:sz w:val="20"/>
                <w:szCs w:val="20"/>
              </w:rPr>
            </w:pPr>
            <w:r w:rsidRPr="00D57EC1">
              <w:rPr>
                <w:sz w:val="20"/>
                <w:szCs w:val="20"/>
              </w:rPr>
              <w:t>271</w:t>
            </w:r>
          </w:p>
        </w:tc>
        <w:tc>
          <w:tcPr>
            <w:tcW w:w="1080" w:type="dxa"/>
            <w:tcBorders>
              <w:top w:val="nil"/>
              <w:left w:val="nil"/>
              <w:bottom w:val="single" w:sz="8" w:space="0" w:color="auto"/>
              <w:right w:val="single" w:sz="8" w:space="0" w:color="auto"/>
            </w:tcBorders>
            <w:shd w:val="clear" w:color="auto" w:fill="auto"/>
            <w:vAlign w:val="center"/>
          </w:tcPr>
          <w:p w:rsidR="0022136C" w:rsidRPr="00D57EC1" w:rsidP="00B902AE" w14:paraId="486E023B" w14:textId="77777777">
            <w:pPr>
              <w:spacing w:line="276" w:lineRule="auto"/>
              <w:contextualSpacing/>
              <w:jc w:val="center"/>
              <w:rPr>
                <w:sz w:val="20"/>
                <w:szCs w:val="20"/>
              </w:rPr>
            </w:pPr>
            <w:r w:rsidRPr="00D57EC1">
              <w:rPr>
                <w:sz w:val="20"/>
                <w:szCs w:val="20"/>
              </w:rPr>
              <w:t>50</w:t>
            </w:r>
          </w:p>
        </w:tc>
        <w:tc>
          <w:tcPr>
            <w:tcW w:w="980" w:type="dxa"/>
            <w:tcBorders>
              <w:top w:val="nil"/>
              <w:left w:val="nil"/>
              <w:bottom w:val="single" w:sz="8" w:space="0" w:color="auto"/>
              <w:right w:val="single" w:sz="8" w:space="0" w:color="auto"/>
            </w:tcBorders>
            <w:shd w:val="clear" w:color="auto" w:fill="auto"/>
            <w:vAlign w:val="center"/>
          </w:tcPr>
          <w:p w:rsidR="0022136C" w:rsidRPr="00D57EC1" w:rsidP="00B902AE" w14:paraId="3F587EC1" w14:textId="77777777">
            <w:pPr>
              <w:spacing w:line="276" w:lineRule="auto"/>
              <w:contextualSpacing/>
              <w:jc w:val="center"/>
              <w:rPr>
                <w:sz w:val="20"/>
                <w:szCs w:val="20"/>
              </w:rPr>
            </w:pPr>
            <w:r w:rsidRPr="00D57EC1">
              <w:rPr>
                <w:sz w:val="20"/>
                <w:szCs w:val="20"/>
              </w:rPr>
              <w:t>13,550</w:t>
            </w:r>
          </w:p>
        </w:tc>
        <w:tc>
          <w:tcPr>
            <w:tcW w:w="810" w:type="dxa"/>
            <w:tcBorders>
              <w:top w:val="nil"/>
              <w:left w:val="nil"/>
              <w:bottom w:val="single" w:sz="8" w:space="0" w:color="auto"/>
              <w:right w:val="single" w:sz="8" w:space="0" w:color="auto"/>
            </w:tcBorders>
            <w:shd w:val="clear" w:color="auto" w:fill="auto"/>
            <w:vAlign w:val="center"/>
          </w:tcPr>
          <w:p w:rsidR="0022136C" w:rsidRPr="00D57EC1" w:rsidP="00B902AE" w14:paraId="41038C7A" w14:textId="201DD237">
            <w:pPr>
              <w:spacing w:line="276" w:lineRule="auto"/>
              <w:contextualSpacing/>
              <w:jc w:val="center"/>
              <w:rPr>
                <w:sz w:val="20"/>
                <w:szCs w:val="20"/>
              </w:rPr>
            </w:pPr>
            <w:r w:rsidRPr="00D57EC1">
              <w:rPr>
                <w:sz w:val="20"/>
                <w:szCs w:val="20"/>
              </w:rPr>
              <w:t>$6</w:t>
            </w:r>
            <w:r w:rsidRPr="00D57EC1" w:rsidR="003B3658">
              <w:rPr>
                <w:sz w:val="20"/>
                <w:szCs w:val="20"/>
              </w:rPr>
              <w:t>1.24</w:t>
            </w:r>
            <w:r w:rsidRPr="00D57EC1">
              <w:rPr>
                <w:sz w:val="20"/>
                <w:szCs w:val="20"/>
              </w:rPr>
              <w:t xml:space="preserve"> </w:t>
            </w:r>
          </w:p>
        </w:tc>
        <w:tc>
          <w:tcPr>
            <w:tcW w:w="1260" w:type="dxa"/>
            <w:tcBorders>
              <w:top w:val="nil"/>
              <w:left w:val="nil"/>
              <w:bottom w:val="single" w:sz="8" w:space="0" w:color="auto"/>
              <w:right w:val="single" w:sz="8" w:space="0" w:color="auto"/>
            </w:tcBorders>
            <w:shd w:val="clear" w:color="auto" w:fill="auto"/>
            <w:vAlign w:val="center"/>
          </w:tcPr>
          <w:p w:rsidR="0022136C" w:rsidRPr="00D57EC1" w:rsidP="00B902AE" w14:paraId="40310068" w14:textId="33165D53">
            <w:pPr>
              <w:spacing w:line="276" w:lineRule="auto"/>
              <w:contextualSpacing/>
              <w:jc w:val="center"/>
              <w:rPr>
                <w:sz w:val="20"/>
                <w:szCs w:val="20"/>
              </w:rPr>
            </w:pPr>
            <w:r w:rsidRPr="00D57EC1">
              <w:rPr>
                <w:sz w:val="20"/>
                <w:szCs w:val="20"/>
              </w:rPr>
              <w:t>$8</w:t>
            </w:r>
            <w:r w:rsidRPr="00D57EC1" w:rsidR="009848B2">
              <w:rPr>
                <w:sz w:val="20"/>
                <w:szCs w:val="20"/>
              </w:rPr>
              <w:t>29,802</w:t>
            </w:r>
            <w:r w:rsidRPr="00D57EC1">
              <w:rPr>
                <w:sz w:val="20"/>
                <w:szCs w:val="20"/>
              </w:rPr>
              <w:t xml:space="preserve"> </w:t>
            </w:r>
          </w:p>
        </w:tc>
      </w:tr>
      <w:tr w14:paraId="4A0311DF" w14:textId="77777777" w:rsidTr="0060434F">
        <w:tblPrEx>
          <w:tblW w:w="9990" w:type="dxa"/>
          <w:jc w:val="center"/>
          <w:tblLayout w:type="fixed"/>
          <w:tblLook w:val="04A0"/>
        </w:tblPrEx>
        <w:trPr>
          <w:trHeight w:val="268"/>
          <w:jc w:val="center"/>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22136C" w:rsidRPr="00D57EC1" w:rsidP="00B902AE" w14:paraId="41C7C8C9" w14:textId="77777777">
            <w:pPr>
              <w:spacing w:line="276" w:lineRule="auto"/>
              <w:contextualSpacing/>
              <w:jc w:val="center"/>
              <w:rPr>
                <w:b/>
                <w:bCs/>
                <w:sz w:val="20"/>
                <w:szCs w:val="20"/>
              </w:rPr>
            </w:pPr>
            <w:r w:rsidRPr="00D57EC1">
              <w:rPr>
                <w:b/>
                <w:sz w:val="20"/>
                <w:szCs w:val="20"/>
              </w:rPr>
              <w:t>Total</w:t>
            </w:r>
          </w:p>
        </w:tc>
        <w:tc>
          <w:tcPr>
            <w:tcW w:w="1440" w:type="dxa"/>
            <w:tcBorders>
              <w:top w:val="nil"/>
              <w:left w:val="nil"/>
              <w:bottom w:val="single" w:sz="8" w:space="0" w:color="auto"/>
              <w:right w:val="single" w:sz="8" w:space="0" w:color="auto"/>
            </w:tcBorders>
            <w:shd w:val="clear" w:color="auto" w:fill="000000" w:themeFill="text1"/>
            <w:vAlign w:val="center"/>
            <w:hideMark/>
          </w:tcPr>
          <w:p w:rsidR="0022136C" w:rsidRPr="00D57EC1" w:rsidP="00B902AE" w14:paraId="286EA07C" w14:textId="77777777">
            <w:pPr>
              <w:spacing w:line="276" w:lineRule="auto"/>
              <w:contextualSpacing/>
              <w:jc w:val="center"/>
              <w:rPr>
                <w:sz w:val="20"/>
                <w:szCs w:val="20"/>
              </w:rPr>
            </w:pPr>
            <w:r w:rsidRPr="00D57EC1">
              <w:rPr>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rsidR="0022136C" w:rsidRPr="00D57EC1" w:rsidP="00B902AE" w14:paraId="370F8A3E" w14:textId="77777777">
            <w:pPr>
              <w:spacing w:line="276" w:lineRule="auto"/>
              <w:contextualSpacing/>
              <w:jc w:val="center"/>
              <w:rPr>
                <w:b/>
                <w:bCs/>
                <w:sz w:val="20"/>
                <w:szCs w:val="20"/>
              </w:rPr>
            </w:pPr>
            <w:r w:rsidRPr="00D57EC1">
              <w:rPr>
                <w:b/>
                <w:sz w:val="20"/>
                <w:szCs w:val="20"/>
              </w:rPr>
              <w:t>236</w:t>
            </w:r>
          </w:p>
        </w:tc>
        <w:tc>
          <w:tcPr>
            <w:tcW w:w="1000" w:type="dxa"/>
            <w:tcBorders>
              <w:top w:val="nil"/>
              <w:left w:val="nil"/>
              <w:bottom w:val="single" w:sz="8" w:space="0" w:color="auto"/>
              <w:right w:val="single" w:sz="8" w:space="0" w:color="auto"/>
            </w:tcBorders>
            <w:shd w:val="clear" w:color="auto" w:fill="000000" w:themeFill="text1"/>
            <w:vAlign w:val="center"/>
            <w:hideMark/>
          </w:tcPr>
          <w:p w:rsidR="0022136C" w:rsidRPr="00D57EC1" w:rsidP="00B902AE" w14:paraId="6A373427" w14:textId="77777777">
            <w:pPr>
              <w:spacing w:line="276" w:lineRule="auto"/>
              <w:contextualSpacing/>
              <w:jc w:val="center"/>
              <w:rPr>
                <w:sz w:val="20"/>
                <w:szCs w:val="20"/>
              </w:rPr>
            </w:pPr>
            <w:r w:rsidRPr="00D57EC1">
              <w:rPr>
                <w:sz w:val="20"/>
                <w:szCs w:val="20"/>
              </w:rPr>
              <w:t> </w:t>
            </w:r>
          </w:p>
        </w:tc>
        <w:tc>
          <w:tcPr>
            <w:tcW w:w="1170" w:type="dxa"/>
            <w:tcBorders>
              <w:top w:val="nil"/>
              <w:left w:val="nil"/>
              <w:bottom w:val="single" w:sz="8" w:space="0" w:color="auto"/>
              <w:right w:val="single" w:sz="8" w:space="0" w:color="auto"/>
            </w:tcBorders>
            <w:shd w:val="clear" w:color="auto" w:fill="FFFFFF" w:themeFill="background1"/>
            <w:vAlign w:val="center"/>
            <w:hideMark/>
          </w:tcPr>
          <w:p w:rsidR="0022136C" w:rsidRPr="00D57EC1" w:rsidP="00B902AE" w14:paraId="62D8AEE2" w14:textId="353119EC">
            <w:pPr>
              <w:spacing w:line="276" w:lineRule="auto"/>
              <w:contextualSpacing/>
              <w:jc w:val="center"/>
              <w:rPr>
                <w:b/>
                <w:sz w:val="20"/>
                <w:szCs w:val="20"/>
              </w:rPr>
            </w:pPr>
            <w:r w:rsidRPr="00D57EC1">
              <w:rPr>
                <w:b/>
                <w:sz w:val="20"/>
                <w:szCs w:val="20"/>
              </w:rPr>
              <w:t>10,891</w:t>
            </w:r>
          </w:p>
        </w:tc>
        <w:tc>
          <w:tcPr>
            <w:tcW w:w="1080" w:type="dxa"/>
            <w:tcBorders>
              <w:top w:val="nil"/>
              <w:left w:val="nil"/>
              <w:bottom w:val="single" w:sz="8" w:space="0" w:color="auto"/>
              <w:right w:val="single" w:sz="8" w:space="0" w:color="auto"/>
            </w:tcBorders>
            <w:shd w:val="clear" w:color="auto" w:fill="000000" w:themeFill="text1"/>
            <w:vAlign w:val="center"/>
            <w:hideMark/>
          </w:tcPr>
          <w:p w:rsidR="0022136C" w:rsidRPr="00D57EC1" w:rsidP="00B902AE" w14:paraId="2DB9F177" w14:textId="77777777">
            <w:pPr>
              <w:spacing w:line="276" w:lineRule="auto"/>
              <w:contextualSpacing/>
              <w:jc w:val="center"/>
              <w:rPr>
                <w:sz w:val="20"/>
                <w:szCs w:val="20"/>
              </w:rPr>
            </w:pPr>
            <w:r w:rsidRPr="00D57EC1">
              <w:rPr>
                <w:sz w:val="20"/>
                <w:szCs w:val="20"/>
              </w:rPr>
              <w:t> </w:t>
            </w:r>
          </w:p>
        </w:tc>
        <w:tc>
          <w:tcPr>
            <w:tcW w:w="980" w:type="dxa"/>
            <w:tcBorders>
              <w:top w:val="nil"/>
              <w:left w:val="nil"/>
              <w:bottom w:val="single" w:sz="8" w:space="0" w:color="auto"/>
              <w:right w:val="single" w:sz="8" w:space="0" w:color="auto"/>
            </w:tcBorders>
            <w:shd w:val="clear" w:color="auto" w:fill="auto"/>
            <w:vAlign w:val="center"/>
            <w:hideMark/>
          </w:tcPr>
          <w:p w:rsidR="0022136C" w:rsidRPr="00D57EC1" w:rsidP="00B902AE" w14:paraId="51712225" w14:textId="37BC301A">
            <w:pPr>
              <w:spacing w:line="276" w:lineRule="auto"/>
              <w:contextualSpacing/>
              <w:jc w:val="center"/>
              <w:rPr>
                <w:b/>
                <w:bCs/>
                <w:sz w:val="20"/>
                <w:szCs w:val="20"/>
              </w:rPr>
            </w:pPr>
            <w:r w:rsidRPr="00D57EC1">
              <w:rPr>
                <w:b/>
                <w:sz w:val="20"/>
                <w:szCs w:val="20"/>
              </w:rPr>
              <w:t>100,280</w:t>
            </w:r>
          </w:p>
        </w:tc>
        <w:tc>
          <w:tcPr>
            <w:tcW w:w="810" w:type="dxa"/>
            <w:tcBorders>
              <w:top w:val="nil"/>
              <w:left w:val="nil"/>
              <w:bottom w:val="single" w:sz="8" w:space="0" w:color="auto"/>
              <w:right w:val="single" w:sz="8" w:space="0" w:color="auto"/>
            </w:tcBorders>
            <w:shd w:val="clear" w:color="auto" w:fill="000000" w:themeFill="text1"/>
            <w:vAlign w:val="center"/>
            <w:hideMark/>
          </w:tcPr>
          <w:p w:rsidR="0022136C" w:rsidRPr="00D57EC1" w:rsidP="00B902AE" w14:paraId="7C37BCF4" w14:textId="5265B10A">
            <w:pPr>
              <w:spacing w:line="276" w:lineRule="auto"/>
              <w:contextualSpacing/>
              <w:jc w:val="center"/>
              <w:rPr>
                <w:sz w:val="20"/>
                <w:szCs w:val="20"/>
              </w:rPr>
            </w:pPr>
            <w:r w:rsidRPr="00D57EC1">
              <w:rPr>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22136C" w:rsidRPr="00D57EC1" w:rsidP="00B902AE" w14:paraId="0158E2D7" w14:textId="248F856C">
            <w:pPr>
              <w:spacing w:line="276" w:lineRule="auto"/>
              <w:contextualSpacing/>
              <w:jc w:val="center"/>
              <w:rPr>
                <w:b/>
                <w:bCs/>
                <w:sz w:val="20"/>
                <w:szCs w:val="20"/>
              </w:rPr>
            </w:pPr>
            <w:r w:rsidRPr="00D57EC1">
              <w:rPr>
                <w:b/>
                <w:bCs/>
                <w:sz w:val="20"/>
                <w:szCs w:val="20"/>
              </w:rPr>
              <w:t>$</w:t>
            </w:r>
            <w:r w:rsidRPr="00D57EC1" w:rsidR="00F9310A">
              <w:rPr>
                <w:b/>
                <w:bCs/>
                <w:sz w:val="20"/>
                <w:szCs w:val="20"/>
              </w:rPr>
              <w:t>6,141,147</w:t>
            </w:r>
            <w:r w:rsidRPr="00D57EC1" w:rsidR="00F9310A">
              <w:rPr>
                <w:b/>
                <w:bCs/>
                <w:sz w:val="20"/>
                <w:szCs w:val="20"/>
              </w:rPr>
              <w:t xml:space="preserve"> </w:t>
            </w:r>
          </w:p>
        </w:tc>
      </w:tr>
      <w:bookmarkEnd w:id="7"/>
    </w:tbl>
    <w:p w:rsidR="008D1E38" w:rsidRPr="00D57EC1" w14:paraId="44E53057" w14:textId="77777777">
      <w:pPr>
        <w:spacing w:line="276" w:lineRule="auto"/>
        <w:contextualSpacing/>
        <w:rPr>
          <w:b/>
          <w:bCs/>
        </w:rPr>
      </w:pPr>
    </w:p>
    <w:p w:rsidR="0097357C" w:rsidRPr="00D57EC1" w14:paraId="5BF31211" w14:textId="6FE336F7">
      <w:pPr>
        <w:suppressAutoHyphens/>
        <w:spacing w:line="276" w:lineRule="auto"/>
        <w:contextualSpacing/>
        <w:rPr>
          <w:b/>
          <w:bCs/>
        </w:rPr>
      </w:pPr>
      <w:r w:rsidRPr="00D57EC1">
        <w:rPr>
          <w:b/>
          <w:bCs/>
        </w:rPr>
        <w:t>Instruction for Wage-rate category multiplier:  Take each non-loaded “Avg. Hourly Wage Rate” from the BLS website table and multiply that number by 1.</w:t>
      </w:r>
      <w:r w:rsidRPr="00D57EC1" w:rsidR="09773716">
        <w:rPr>
          <w:b/>
          <w:bCs/>
        </w:rPr>
        <w:t>6</w:t>
      </w:r>
      <w:r w:rsidRPr="00D57EC1" w:rsidR="089414E9">
        <w:rPr>
          <w:b/>
          <w:bCs/>
        </w:rPr>
        <w:t>1</w:t>
      </w:r>
      <w:r w:rsidRPr="00D57EC1">
        <w:rPr>
          <w:b/>
          <w:bCs/>
        </w:rPr>
        <w:t>.</w:t>
      </w:r>
      <w:r>
        <w:rPr>
          <w:rStyle w:val="FootnoteReference"/>
          <w:b/>
          <w:bCs/>
        </w:rPr>
        <w:footnoteReference w:id="6"/>
      </w:r>
      <w:r w:rsidRPr="00D57EC1">
        <w:rPr>
          <w:b/>
          <w:bCs/>
        </w:rPr>
        <w:t xml:space="preserve">  For example, a non-loaded BLS table wage rate of $42.51 would be multiplied by 1.</w:t>
      </w:r>
      <w:r w:rsidRPr="00D57EC1" w:rsidR="3875F75E">
        <w:rPr>
          <w:b/>
          <w:bCs/>
        </w:rPr>
        <w:t>6</w:t>
      </w:r>
      <w:r w:rsidRPr="00D57EC1" w:rsidR="41C37F3F">
        <w:rPr>
          <w:b/>
          <w:bCs/>
        </w:rPr>
        <w:t>1</w:t>
      </w:r>
      <w:r w:rsidRPr="00D57EC1">
        <w:rPr>
          <w:b/>
          <w:bCs/>
        </w:rPr>
        <w:t>, and the entry for the “Avg. Hourly Wage Rate” would be $</w:t>
      </w:r>
      <w:r w:rsidRPr="00D57EC1" w:rsidR="63AA9303">
        <w:rPr>
          <w:b/>
          <w:bCs/>
        </w:rPr>
        <w:t>68.</w:t>
      </w:r>
      <w:r w:rsidRPr="00D57EC1" w:rsidR="7212BDE2">
        <w:rPr>
          <w:b/>
          <w:bCs/>
        </w:rPr>
        <w:t>44</w:t>
      </w:r>
      <w:r w:rsidRPr="00D57EC1">
        <w:rPr>
          <w:b/>
          <w:bCs/>
        </w:rPr>
        <w:t>.</w:t>
      </w:r>
      <w:r w:rsidRPr="00D57EC1" w:rsidR="04A13E6A">
        <w:rPr>
          <w:b/>
          <w:bCs/>
        </w:rPr>
        <w:t xml:space="preserve"> </w:t>
      </w:r>
    </w:p>
    <w:p w:rsidR="00B7292E" w:rsidRPr="00D57EC1" w14:paraId="4C1DA470" w14:textId="18C5C0C5">
      <w:pPr>
        <w:tabs>
          <w:tab w:val="left" w:pos="-720"/>
        </w:tabs>
        <w:suppressAutoHyphens/>
        <w:spacing w:line="276" w:lineRule="auto"/>
        <w:contextualSpacing/>
      </w:pPr>
    </w:p>
    <w:p w:rsidR="00B407CC" w:rsidRPr="00D57EC1" w14:paraId="0DBF1BD5" w14:textId="759C1BA9">
      <w:pPr>
        <w:suppressAutoHyphens/>
        <w:spacing w:line="276" w:lineRule="auto"/>
        <w:contextualSpacing/>
      </w:pPr>
      <w:r w:rsidRPr="00D57EC1">
        <w:t>According to the U.S. Department of Labor, Bureau of Labor Statistics</w:t>
      </w:r>
      <w:r w:rsidRPr="00D57EC1" w:rsidR="126B2ED5">
        <w:t>,</w:t>
      </w:r>
      <w:r w:rsidRPr="00D57EC1">
        <w:t xml:space="preserve"> </w:t>
      </w:r>
      <w:r w:rsidRPr="00D57EC1" w:rsidR="2A59E175">
        <w:t>the May 202</w:t>
      </w:r>
      <w:r w:rsidRPr="00D57EC1" w:rsidR="001E564E">
        <w:t>1</w:t>
      </w:r>
      <w:r w:rsidRPr="00D57EC1" w:rsidR="2A59E175">
        <w:t xml:space="preserve"> Occupational Employment and Wage Estimates </w:t>
      </w:r>
      <w:r w:rsidRPr="00D57EC1">
        <w:t xml:space="preserve">wage rate category for </w:t>
      </w:r>
      <w:r w:rsidRPr="00D57EC1" w:rsidR="211D9A40">
        <w:t xml:space="preserve">Urban and Regional Planners </w:t>
      </w:r>
      <w:r w:rsidRPr="00D57EC1" w:rsidR="31EB1B13">
        <w:t xml:space="preserve">(SOC 19-3051) working for local governments </w:t>
      </w:r>
      <w:r w:rsidRPr="00D57EC1" w:rsidR="0E47A5B3">
        <w:t>is $</w:t>
      </w:r>
      <w:r w:rsidRPr="00D57EC1" w:rsidR="00C529B8">
        <w:t>38.04</w:t>
      </w:r>
      <w:r w:rsidRPr="00D57EC1" w:rsidR="0E47A5B3">
        <w:t>.</w:t>
      </w:r>
      <w:r>
        <w:rPr>
          <w:rStyle w:val="FootnoteReference"/>
        </w:rPr>
        <w:footnoteReference w:id="7"/>
      </w:r>
      <w:r w:rsidRPr="00D57EC1" w:rsidR="7BB40A8D">
        <w:t xml:space="preserve">  Including the wage rate multiplier of 1.6</w:t>
      </w:r>
      <w:r w:rsidRPr="00D57EC1" w:rsidR="3B53D913">
        <w:t>1</w:t>
      </w:r>
      <w:r w:rsidRPr="00D57EC1" w:rsidR="7BB40A8D">
        <w:t>, the fully-loaded wage rate is $</w:t>
      </w:r>
      <w:r w:rsidRPr="00D57EC1" w:rsidR="3699BA28">
        <w:t>6</w:t>
      </w:r>
      <w:r w:rsidRPr="00D57EC1" w:rsidR="00C529B8">
        <w:t>1.24</w:t>
      </w:r>
      <w:r w:rsidRPr="00D57EC1" w:rsidR="659DD533">
        <w:t xml:space="preserve"> </w:t>
      </w:r>
      <w:r w:rsidRPr="00D57EC1" w:rsidR="7BB40A8D">
        <w:t>per hour</w:t>
      </w:r>
      <w:r w:rsidRPr="00D57EC1" w:rsidR="66A5372D">
        <w:t>.</w:t>
      </w:r>
      <w:r w:rsidRPr="00D57EC1" w:rsidR="00A20D94">
        <w:t xml:space="preserve"> </w:t>
      </w:r>
      <w:r w:rsidRPr="00D57EC1" w:rsidR="66A5372D">
        <w:t xml:space="preserve"> </w:t>
      </w:r>
      <w:r w:rsidRPr="00D57EC1" w:rsidR="5540C091">
        <w:t xml:space="preserve">Therefore, the burden hour cost is estimated to be </w:t>
      </w:r>
      <w:r w:rsidRPr="00D57EC1" w:rsidR="522FFD89">
        <w:t>$2,</w:t>
      </w:r>
      <w:r w:rsidRPr="00D57EC1" w:rsidR="00963B8A">
        <w:t>334,</w:t>
      </w:r>
      <w:r w:rsidRPr="00D57EC1" w:rsidR="00E471BD">
        <w:t>7</w:t>
      </w:r>
      <w:r w:rsidRPr="00D57EC1" w:rsidR="00A20D94">
        <w:t>15</w:t>
      </w:r>
      <w:r w:rsidRPr="00D57EC1" w:rsidR="522FFD89">
        <w:t xml:space="preserve"> (</w:t>
      </w:r>
      <w:r w:rsidRPr="00D57EC1" w:rsidR="376DD687">
        <w:t>$</w:t>
      </w:r>
      <w:r w:rsidRPr="00D57EC1" w:rsidR="6714D867">
        <w:t>6</w:t>
      </w:r>
      <w:r w:rsidRPr="00D57EC1" w:rsidR="00C529B8">
        <w:t>1.24</w:t>
      </w:r>
      <w:r w:rsidRPr="00D57EC1" w:rsidR="376DD687">
        <w:t xml:space="preserve"> x 38,124</w:t>
      </w:r>
      <w:r w:rsidRPr="00D57EC1" w:rsidR="763E273F">
        <w:t xml:space="preserve"> + </w:t>
      </w:r>
      <w:r w:rsidRPr="00D57EC1" w:rsidR="7AEEAD49">
        <w:t>$1 due to rounding</w:t>
      </w:r>
      <w:r w:rsidRPr="00D57EC1" w:rsidR="376DD687">
        <w:t>)</w:t>
      </w:r>
      <w:r w:rsidRPr="00D57EC1" w:rsidR="1AA2EE87">
        <w:t>.</w:t>
      </w:r>
    </w:p>
    <w:p w:rsidR="00947BAC" w:rsidRPr="00D57EC1" w14:paraId="762A917C" w14:textId="0C79B55A">
      <w:pPr>
        <w:spacing w:line="276" w:lineRule="auto"/>
        <w:contextualSpacing/>
      </w:pPr>
    </w:p>
    <w:tbl>
      <w:tblPr>
        <w:tblW w:w="102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144"/>
        <w:gridCol w:w="1439"/>
        <w:gridCol w:w="1154"/>
        <w:gridCol w:w="1078"/>
        <w:gridCol w:w="1032"/>
        <w:gridCol w:w="950"/>
        <w:gridCol w:w="1116"/>
        <w:gridCol w:w="816"/>
        <w:gridCol w:w="1521"/>
      </w:tblGrid>
      <w:tr w14:paraId="110DDC26" w14:textId="77777777" w:rsidTr="00956E71">
        <w:tblPrEx>
          <w:tblW w:w="102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Ex>
        <w:trPr>
          <w:trHeight w:val="1062"/>
          <w:jc w:val="center"/>
        </w:trPr>
        <w:tc>
          <w:tcPr>
            <w:tcW w:w="10250" w:type="dxa"/>
            <w:gridSpan w:val="9"/>
            <w:shd w:val="clear" w:color="auto" w:fill="8EAADB" w:themeFill="accent1" w:themeFillTint="99"/>
            <w:vAlign w:val="bottom"/>
          </w:tcPr>
          <w:p w:rsidR="00F6029E" w:rsidRPr="00D57EC1" w:rsidP="00956E71" w14:paraId="3BFA6BFF" w14:textId="283EE6E9">
            <w:pPr>
              <w:tabs>
                <w:tab w:val="left" w:pos="-720"/>
              </w:tabs>
              <w:suppressAutoHyphens/>
              <w:spacing w:line="276" w:lineRule="auto"/>
              <w:contextualSpacing/>
              <w:jc w:val="center"/>
              <w:rPr>
                <w:b/>
                <w:bCs/>
                <w:sz w:val="18"/>
                <w:szCs w:val="18"/>
              </w:rPr>
            </w:pPr>
            <w:r w:rsidRPr="00D57EC1">
              <w:rPr>
                <w:i/>
                <w:sz w:val="18"/>
                <w:szCs w:val="18"/>
              </w:rPr>
              <w:t>The following Standard Forms (SF) are utilized for the FEMA grant programs.  Approval for the collection of this information is provided under a government-wide OMB control number used throughout the Federal government; burden hours specific to these forms are not submitted for approval of this collection:</w:t>
            </w:r>
            <w:r w:rsidRPr="00D57EC1">
              <w:rPr>
                <w:i/>
                <w:sz w:val="18"/>
                <w:szCs w:val="18"/>
              </w:rPr>
              <w:br/>
            </w:r>
            <w:r w:rsidRPr="00D57EC1">
              <w:rPr>
                <w:b/>
                <w:bCs/>
                <w:sz w:val="20"/>
                <w:szCs w:val="20"/>
              </w:rPr>
              <w:t>Estimated Annualized Burden Hours and Costs</w:t>
            </w:r>
          </w:p>
        </w:tc>
      </w:tr>
      <w:tr w14:paraId="0553542E" w14:textId="77777777" w:rsidTr="00956E71">
        <w:tblPrEx>
          <w:tblW w:w="10250" w:type="dxa"/>
          <w:jc w:val="center"/>
          <w:tblLayout w:type="fixed"/>
          <w:tblLook w:val="0000"/>
        </w:tblPrEx>
        <w:trPr>
          <w:trHeight w:val="1242"/>
          <w:jc w:val="center"/>
        </w:trPr>
        <w:tc>
          <w:tcPr>
            <w:tcW w:w="1144" w:type="dxa"/>
            <w:shd w:val="clear" w:color="auto" w:fill="8EAADB" w:themeFill="accent1" w:themeFillTint="99"/>
            <w:vAlign w:val="center"/>
          </w:tcPr>
          <w:p w:rsidR="00E037F0" w:rsidRPr="00D57EC1" w:rsidP="00956E71" w14:paraId="31D1CF1B" w14:textId="7384D4D1">
            <w:pPr>
              <w:spacing w:line="276" w:lineRule="auto"/>
              <w:contextualSpacing/>
              <w:jc w:val="center"/>
              <w:rPr>
                <w:sz w:val="18"/>
                <w:szCs w:val="18"/>
              </w:rPr>
            </w:pPr>
            <w:r w:rsidRPr="00D57EC1">
              <w:rPr>
                <w:sz w:val="18"/>
                <w:szCs w:val="18"/>
              </w:rPr>
              <w:t>Type of Respondent</w:t>
            </w:r>
          </w:p>
        </w:tc>
        <w:tc>
          <w:tcPr>
            <w:tcW w:w="1439" w:type="dxa"/>
            <w:shd w:val="clear" w:color="auto" w:fill="8EAADB" w:themeFill="accent1" w:themeFillTint="99"/>
            <w:vAlign w:val="center"/>
          </w:tcPr>
          <w:p w:rsidR="00E037F0" w:rsidRPr="00D57EC1" w:rsidP="00956E71" w14:paraId="5903059D" w14:textId="77777777">
            <w:pPr>
              <w:spacing w:line="276" w:lineRule="auto"/>
              <w:contextualSpacing/>
              <w:jc w:val="center"/>
              <w:rPr>
                <w:sz w:val="18"/>
                <w:szCs w:val="18"/>
              </w:rPr>
            </w:pPr>
            <w:r w:rsidRPr="00D57EC1">
              <w:rPr>
                <w:sz w:val="18"/>
                <w:szCs w:val="18"/>
              </w:rPr>
              <w:t>Form Name / Form Number</w:t>
            </w:r>
          </w:p>
        </w:tc>
        <w:tc>
          <w:tcPr>
            <w:tcW w:w="1154" w:type="dxa"/>
            <w:shd w:val="clear" w:color="auto" w:fill="8EAADB" w:themeFill="accent1" w:themeFillTint="99"/>
            <w:vAlign w:val="center"/>
          </w:tcPr>
          <w:p w:rsidR="00E037F0" w:rsidRPr="00D57EC1" w:rsidP="00956E71" w14:paraId="63FB4AD3" w14:textId="4AC9EAC7">
            <w:pPr>
              <w:spacing w:line="276" w:lineRule="auto"/>
              <w:contextualSpacing/>
              <w:jc w:val="center"/>
              <w:rPr>
                <w:sz w:val="18"/>
                <w:szCs w:val="18"/>
              </w:rPr>
            </w:pPr>
            <w:r w:rsidRPr="00D57EC1">
              <w:rPr>
                <w:sz w:val="18"/>
                <w:szCs w:val="18"/>
              </w:rPr>
              <w:t>No. of Respondents</w:t>
            </w:r>
          </w:p>
        </w:tc>
        <w:tc>
          <w:tcPr>
            <w:tcW w:w="1078" w:type="dxa"/>
            <w:shd w:val="clear" w:color="auto" w:fill="8EAADB" w:themeFill="accent1" w:themeFillTint="99"/>
            <w:vAlign w:val="center"/>
          </w:tcPr>
          <w:p w:rsidR="00E037F0" w:rsidRPr="00D57EC1" w:rsidP="00956E71" w14:paraId="3A7264FB" w14:textId="3F40B207">
            <w:pPr>
              <w:spacing w:line="276" w:lineRule="auto"/>
              <w:contextualSpacing/>
              <w:jc w:val="center"/>
              <w:rPr>
                <w:sz w:val="18"/>
                <w:szCs w:val="18"/>
              </w:rPr>
            </w:pPr>
            <w:r w:rsidRPr="00D57EC1">
              <w:rPr>
                <w:sz w:val="18"/>
                <w:szCs w:val="18"/>
              </w:rPr>
              <w:t>Responses per Respondent</w:t>
            </w:r>
          </w:p>
        </w:tc>
        <w:tc>
          <w:tcPr>
            <w:tcW w:w="1032" w:type="dxa"/>
            <w:shd w:val="clear" w:color="auto" w:fill="8EAADB" w:themeFill="accent1" w:themeFillTint="99"/>
            <w:vAlign w:val="center"/>
          </w:tcPr>
          <w:p w:rsidR="00E037F0" w:rsidRPr="00D57EC1" w:rsidP="00956E71" w14:paraId="5198D357" w14:textId="6C2E9FF0">
            <w:pPr>
              <w:spacing w:line="276" w:lineRule="auto"/>
              <w:contextualSpacing/>
              <w:jc w:val="center"/>
              <w:rPr>
                <w:sz w:val="18"/>
                <w:szCs w:val="18"/>
              </w:rPr>
            </w:pPr>
            <w:r w:rsidRPr="00D57EC1">
              <w:rPr>
                <w:sz w:val="18"/>
                <w:szCs w:val="18"/>
              </w:rPr>
              <w:t>Total Number of Responses</w:t>
            </w:r>
          </w:p>
        </w:tc>
        <w:tc>
          <w:tcPr>
            <w:tcW w:w="950" w:type="dxa"/>
            <w:shd w:val="clear" w:color="auto" w:fill="8EAADB" w:themeFill="accent1" w:themeFillTint="99"/>
            <w:vAlign w:val="center"/>
          </w:tcPr>
          <w:p w:rsidR="00E037F0" w:rsidRPr="00D57EC1" w:rsidP="00956E71" w14:paraId="6EF0887E" w14:textId="77777777">
            <w:pPr>
              <w:spacing w:line="276" w:lineRule="auto"/>
              <w:contextualSpacing/>
              <w:jc w:val="center"/>
              <w:rPr>
                <w:sz w:val="18"/>
                <w:szCs w:val="18"/>
              </w:rPr>
            </w:pPr>
            <w:r w:rsidRPr="00D57EC1">
              <w:rPr>
                <w:sz w:val="18"/>
                <w:szCs w:val="18"/>
              </w:rPr>
              <w:t>Avg. Burden per Response (in hours)</w:t>
            </w:r>
          </w:p>
        </w:tc>
        <w:tc>
          <w:tcPr>
            <w:tcW w:w="1116" w:type="dxa"/>
            <w:shd w:val="clear" w:color="auto" w:fill="8EAADB" w:themeFill="accent1" w:themeFillTint="99"/>
            <w:vAlign w:val="center"/>
          </w:tcPr>
          <w:p w:rsidR="00E037F0" w:rsidRPr="00D57EC1" w:rsidP="00956E71" w14:paraId="1CB14C73" w14:textId="77777777">
            <w:pPr>
              <w:spacing w:line="276" w:lineRule="auto"/>
              <w:contextualSpacing/>
              <w:jc w:val="center"/>
              <w:rPr>
                <w:sz w:val="18"/>
                <w:szCs w:val="18"/>
              </w:rPr>
            </w:pPr>
            <w:r w:rsidRPr="00D57EC1">
              <w:rPr>
                <w:sz w:val="18"/>
                <w:szCs w:val="18"/>
              </w:rPr>
              <w:t>Total Annual Burden (in hours)</w:t>
            </w:r>
          </w:p>
        </w:tc>
        <w:tc>
          <w:tcPr>
            <w:tcW w:w="816" w:type="dxa"/>
            <w:tcBorders>
              <w:bottom w:val="single" w:sz="4" w:space="0" w:color="auto"/>
            </w:tcBorders>
            <w:shd w:val="clear" w:color="auto" w:fill="8EAADB" w:themeFill="accent1" w:themeFillTint="99"/>
            <w:vAlign w:val="center"/>
          </w:tcPr>
          <w:p w:rsidR="00E037F0" w:rsidRPr="00D57EC1" w:rsidP="00956E71" w14:paraId="58CEA939" w14:textId="77777777">
            <w:pPr>
              <w:spacing w:line="276" w:lineRule="auto"/>
              <w:contextualSpacing/>
              <w:jc w:val="center"/>
              <w:rPr>
                <w:sz w:val="18"/>
                <w:szCs w:val="18"/>
              </w:rPr>
            </w:pPr>
            <w:r w:rsidRPr="00D57EC1">
              <w:rPr>
                <w:sz w:val="18"/>
                <w:szCs w:val="18"/>
              </w:rPr>
              <w:t>Avg. Hourly Wage Rate ($)</w:t>
            </w:r>
          </w:p>
        </w:tc>
        <w:tc>
          <w:tcPr>
            <w:tcW w:w="1521" w:type="dxa"/>
            <w:tcBorders>
              <w:bottom w:val="single" w:sz="4" w:space="0" w:color="auto"/>
            </w:tcBorders>
            <w:shd w:val="clear" w:color="auto" w:fill="8EAADB" w:themeFill="accent1" w:themeFillTint="99"/>
            <w:vAlign w:val="center"/>
          </w:tcPr>
          <w:p w:rsidR="00E037F0" w:rsidRPr="00D57EC1" w:rsidP="00956E71" w14:paraId="0B3EDA8F" w14:textId="77777777">
            <w:pPr>
              <w:spacing w:line="276" w:lineRule="auto"/>
              <w:contextualSpacing/>
              <w:jc w:val="center"/>
              <w:rPr>
                <w:sz w:val="18"/>
                <w:szCs w:val="18"/>
              </w:rPr>
            </w:pPr>
            <w:r w:rsidRPr="00D57EC1">
              <w:rPr>
                <w:sz w:val="18"/>
                <w:szCs w:val="18"/>
              </w:rPr>
              <w:t>Total Annual Respondent Cost ($)</w:t>
            </w:r>
          </w:p>
        </w:tc>
      </w:tr>
      <w:tr w14:paraId="1FBA739B" w14:textId="77777777" w:rsidTr="00956E71">
        <w:tblPrEx>
          <w:tblW w:w="10250" w:type="dxa"/>
          <w:jc w:val="center"/>
          <w:tblLayout w:type="fixed"/>
          <w:tblLook w:val="0000"/>
        </w:tblPrEx>
        <w:trPr>
          <w:trHeight w:hRule="exact" w:val="936"/>
          <w:jc w:val="center"/>
        </w:trPr>
        <w:tc>
          <w:tcPr>
            <w:tcW w:w="1144"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68D10CF9" w14:textId="77777777">
            <w:pPr>
              <w:spacing w:line="276" w:lineRule="auto"/>
              <w:contextualSpacing/>
              <w:jc w:val="center"/>
              <w:rPr>
                <w:sz w:val="18"/>
                <w:szCs w:val="18"/>
              </w:rPr>
            </w:pPr>
            <w:r w:rsidRPr="00D57EC1">
              <w:rPr>
                <w:sz w:val="18"/>
                <w:szCs w:val="18"/>
              </w:rPr>
              <w:t>State, Local or Tribal Government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36EBA95D" w14:textId="1FD3E153">
            <w:pPr>
              <w:spacing w:line="276" w:lineRule="auto"/>
              <w:ind w:right="-288"/>
              <w:contextualSpacing/>
              <w:rPr>
                <w:sz w:val="18"/>
                <w:szCs w:val="18"/>
              </w:rPr>
            </w:pPr>
            <w:r w:rsidRPr="00D57EC1">
              <w:rPr>
                <w:sz w:val="18"/>
                <w:szCs w:val="18"/>
              </w:rPr>
              <w:t xml:space="preserve">Application for Fed Assistance, SF-424 </w:t>
            </w:r>
            <w:r w:rsidRPr="00D57EC1">
              <w:rPr>
                <w:sz w:val="18"/>
                <w:szCs w:val="18"/>
              </w:rPr>
              <w:br/>
              <w:t>(OMB No. 4040-0004)</w:t>
            </w:r>
          </w:p>
        </w:tc>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09CD26C3" w14:textId="77777777">
            <w:pPr>
              <w:spacing w:line="276" w:lineRule="auto"/>
              <w:contextualSpacing/>
              <w:jc w:val="center"/>
              <w:rPr>
                <w:sz w:val="18"/>
                <w:szCs w:val="18"/>
              </w:rPr>
            </w:pPr>
            <w:r w:rsidRPr="00D57EC1">
              <w:rPr>
                <w:sz w:val="18"/>
                <w:szCs w:val="18"/>
              </w:rPr>
              <w:t>59</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1E54AF61" w14:textId="0C2C77E3">
            <w:pPr>
              <w:spacing w:line="276" w:lineRule="auto"/>
              <w:contextualSpacing/>
              <w:jc w:val="center"/>
              <w:rPr>
                <w:sz w:val="18"/>
                <w:szCs w:val="18"/>
              </w:rPr>
            </w:pPr>
            <w:r w:rsidRPr="00D57EC1">
              <w:rPr>
                <w:sz w:val="18"/>
                <w:szCs w:val="18"/>
              </w:rPr>
              <w:t>60</w:t>
            </w:r>
          </w:p>
        </w:tc>
        <w:tc>
          <w:tcPr>
            <w:tcW w:w="1032"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31D8D9FB" w14:textId="35A8D49B">
            <w:pPr>
              <w:spacing w:line="276" w:lineRule="auto"/>
              <w:contextualSpacing/>
              <w:jc w:val="center"/>
              <w:rPr>
                <w:rFonts w:eastAsia="Arial"/>
                <w:sz w:val="18"/>
                <w:szCs w:val="18"/>
              </w:rPr>
            </w:pPr>
            <w:r w:rsidRPr="00D57EC1">
              <w:rPr>
                <w:sz w:val="18"/>
                <w:szCs w:val="18"/>
              </w:rPr>
              <w:t>3</w:t>
            </w:r>
            <w:r w:rsidRPr="00D57EC1" w:rsidR="00A6568F">
              <w:rPr>
                <w:sz w:val="18"/>
                <w:szCs w:val="18"/>
              </w:rPr>
              <w:t>,</w:t>
            </w:r>
            <w:r w:rsidRPr="00D57EC1">
              <w:rPr>
                <w:sz w:val="18"/>
                <w:szCs w:val="18"/>
              </w:rPr>
              <w:t>540</w:t>
            </w:r>
          </w:p>
        </w:tc>
        <w:tc>
          <w:tcPr>
            <w:tcW w:w="950"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672F3F6F" w14:textId="77777777">
            <w:pPr>
              <w:spacing w:line="276" w:lineRule="auto"/>
              <w:contextualSpacing/>
              <w:jc w:val="center"/>
              <w:rPr>
                <w:sz w:val="18"/>
                <w:szCs w:val="18"/>
              </w:rPr>
            </w:pPr>
            <w:r w:rsidRPr="00D57EC1">
              <w:rPr>
                <w:sz w:val="18"/>
                <w:szCs w:val="18"/>
              </w:rPr>
              <w:t>1.1</w:t>
            </w:r>
          </w:p>
        </w:tc>
        <w:tc>
          <w:tcPr>
            <w:tcW w:w="1116" w:type="dxa"/>
            <w:tcBorders>
              <w:top w:val="single" w:sz="8" w:space="0" w:color="auto"/>
              <w:left w:val="single" w:sz="8" w:space="0" w:color="auto"/>
              <w:bottom w:val="single" w:sz="8" w:space="0" w:color="auto"/>
              <w:right w:val="single" w:sz="4" w:space="0" w:color="auto"/>
            </w:tcBorders>
            <w:shd w:val="clear" w:color="auto" w:fill="auto"/>
            <w:vAlign w:val="center"/>
          </w:tcPr>
          <w:p w:rsidR="00C5559C" w:rsidRPr="00D57EC1" w:rsidP="00956E71" w14:paraId="1AA16995" w14:textId="4D04101E">
            <w:pPr>
              <w:spacing w:line="276" w:lineRule="auto"/>
              <w:contextualSpacing/>
              <w:jc w:val="center"/>
              <w:rPr>
                <w:sz w:val="18"/>
                <w:szCs w:val="18"/>
              </w:rPr>
            </w:pPr>
            <w:r w:rsidRPr="00D57EC1">
              <w:rPr>
                <w:sz w:val="18"/>
                <w:szCs w:val="18"/>
              </w:rPr>
              <w:t>3</w:t>
            </w:r>
            <w:r w:rsidRPr="00D57EC1" w:rsidR="00A6568F">
              <w:rPr>
                <w:sz w:val="18"/>
                <w:szCs w:val="18"/>
              </w:rPr>
              <w:t>,</w:t>
            </w:r>
            <w:r w:rsidRPr="00D57EC1">
              <w:rPr>
                <w:sz w:val="18"/>
                <w:szCs w:val="18"/>
              </w:rPr>
              <w:t>894</w:t>
            </w:r>
          </w:p>
        </w:tc>
        <w:tc>
          <w:tcPr>
            <w:tcW w:w="816" w:type="dxa"/>
            <w:tcBorders>
              <w:top w:val="single" w:sz="4" w:space="0" w:color="auto"/>
              <w:left w:val="nil"/>
              <w:bottom w:val="single" w:sz="4" w:space="0" w:color="auto"/>
              <w:right w:val="nil"/>
            </w:tcBorders>
            <w:shd w:val="clear" w:color="auto" w:fill="auto"/>
            <w:vAlign w:val="center"/>
          </w:tcPr>
          <w:p w:rsidR="00C5559C" w:rsidRPr="00D57EC1" w:rsidP="00956E71" w14:paraId="3D5C2DF4" w14:textId="5DD08081">
            <w:pPr>
              <w:spacing w:line="276" w:lineRule="auto"/>
              <w:contextualSpacing/>
              <w:jc w:val="center"/>
              <w:rPr>
                <w:sz w:val="18"/>
                <w:szCs w:val="18"/>
              </w:rPr>
            </w:pPr>
            <w:r w:rsidRPr="00D57EC1">
              <w:rPr>
                <w:sz w:val="18"/>
                <w:szCs w:val="18"/>
              </w:rPr>
              <w:t>$61.24</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C5559C" w:rsidRPr="00D57EC1" w:rsidP="00956E71" w14:paraId="145BC5A8" w14:textId="27AAFC8B">
            <w:pPr>
              <w:spacing w:line="276" w:lineRule="auto"/>
              <w:contextualSpacing/>
              <w:jc w:val="center"/>
              <w:rPr>
                <w:sz w:val="18"/>
                <w:szCs w:val="18"/>
              </w:rPr>
            </w:pPr>
            <w:r w:rsidRPr="00D57EC1">
              <w:rPr>
                <w:sz w:val="18"/>
                <w:szCs w:val="18"/>
              </w:rPr>
              <w:t>$</w:t>
            </w:r>
            <w:r w:rsidRPr="00D57EC1" w:rsidR="000D0C85">
              <w:rPr>
                <w:sz w:val="18"/>
                <w:szCs w:val="18"/>
              </w:rPr>
              <w:t>238,469</w:t>
            </w:r>
          </w:p>
        </w:tc>
      </w:tr>
      <w:tr w14:paraId="76A7FB53" w14:textId="77777777" w:rsidTr="00956E71">
        <w:tblPrEx>
          <w:tblW w:w="10250" w:type="dxa"/>
          <w:jc w:val="center"/>
          <w:tblLayout w:type="fixed"/>
          <w:tblLook w:val="0000"/>
        </w:tblPrEx>
        <w:trPr>
          <w:trHeight w:hRule="exact" w:val="936"/>
          <w:jc w:val="center"/>
        </w:trPr>
        <w:tc>
          <w:tcPr>
            <w:tcW w:w="1144"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4EF1D647" w14:textId="77777777">
            <w:pPr>
              <w:spacing w:line="276" w:lineRule="auto"/>
              <w:contextualSpacing/>
              <w:jc w:val="center"/>
              <w:rPr>
                <w:sz w:val="18"/>
                <w:szCs w:val="18"/>
              </w:rPr>
            </w:pPr>
            <w:r w:rsidRPr="00D57EC1">
              <w:rPr>
                <w:sz w:val="18"/>
                <w:szCs w:val="18"/>
              </w:rPr>
              <w:t>State, Local or Tribal Government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2EB63AE2" w14:textId="78A728FF">
            <w:pPr>
              <w:spacing w:line="276" w:lineRule="auto"/>
              <w:contextualSpacing/>
              <w:rPr>
                <w:sz w:val="18"/>
                <w:szCs w:val="18"/>
              </w:rPr>
            </w:pPr>
            <w:r w:rsidRPr="00D57EC1">
              <w:rPr>
                <w:sz w:val="18"/>
                <w:szCs w:val="18"/>
              </w:rPr>
              <w:t>Budget Info Non-Construction Programs, SF-424A</w:t>
            </w:r>
            <w:r w:rsidRPr="00D57EC1">
              <w:rPr>
                <w:sz w:val="18"/>
                <w:szCs w:val="18"/>
                <w:shd w:val="clear" w:color="auto" w:fill="FFFFFF"/>
              </w:rPr>
              <w:br/>
            </w:r>
            <w:r w:rsidRPr="00D57EC1">
              <w:rPr>
                <w:rStyle w:val="normaltextrun"/>
                <w:sz w:val="18"/>
                <w:szCs w:val="18"/>
                <w:shd w:val="clear" w:color="auto" w:fill="FFFFFF"/>
              </w:rPr>
              <w:t>(OMB No. 4040-0006)</w:t>
            </w:r>
          </w:p>
        </w:tc>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1FFDC8D2" w14:textId="77777777">
            <w:pPr>
              <w:spacing w:line="276" w:lineRule="auto"/>
              <w:contextualSpacing/>
              <w:jc w:val="center"/>
              <w:rPr>
                <w:sz w:val="18"/>
                <w:szCs w:val="18"/>
              </w:rPr>
            </w:pPr>
            <w:r w:rsidRPr="00D57EC1">
              <w:rPr>
                <w:sz w:val="18"/>
                <w:szCs w:val="18"/>
              </w:rPr>
              <w:t>59</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660DD629" w14:textId="65A7286D">
            <w:pPr>
              <w:spacing w:line="276" w:lineRule="auto"/>
              <w:contextualSpacing/>
              <w:jc w:val="center"/>
              <w:rPr>
                <w:sz w:val="18"/>
                <w:szCs w:val="18"/>
              </w:rPr>
            </w:pPr>
            <w:r w:rsidRPr="00D57EC1">
              <w:rPr>
                <w:sz w:val="18"/>
                <w:szCs w:val="18"/>
              </w:rPr>
              <w:t>60</w:t>
            </w:r>
          </w:p>
        </w:tc>
        <w:tc>
          <w:tcPr>
            <w:tcW w:w="1032"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3BDDD3BD" w14:textId="28F0FDA0">
            <w:pPr>
              <w:spacing w:line="276" w:lineRule="auto"/>
              <w:contextualSpacing/>
              <w:jc w:val="center"/>
              <w:rPr>
                <w:rFonts w:eastAsia="Arial"/>
                <w:sz w:val="18"/>
                <w:szCs w:val="18"/>
              </w:rPr>
            </w:pPr>
            <w:r w:rsidRPr="00D57EC1">
              <w:rPr>
                <w:sz w:val="18"/>
                <w:szCs w:val="18"/>
              </w:rPr>
              <w:t>3</w:t>
            </w:r>
            <w:r w:rsidRPr="00D57EC1" w:rsidR="00A6568F">
              <w:rPr>
                <w:sz w:val="18"/>
                <w:szCs w:val="18"/>
              </w:rPr>
              <w:t>,</w:t>
            </w:r>
            <w:r w:rsidRPr="00D57EC1">
              <w:rPr>
                <w:sz w:val="18"/>
                <w:szCs w:val="18"/>
              </w:rPr>
              <w:t>540</w:t>
            </w:r>
          </w:p>
        </w:tc>
        <w:tc>
          <w:tcPr>
            <w:tcW w:w="950"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4810C244" w14:textId="77777777">
            <w:pPr>
              <w:spacing w:line="276" w:lineRule="auto"/>
              <w:contextualSpacing/>
              <w:jc w:val="center"/>
              <w:rPr>
                <w:sz w:val="18"/>
                <w:szCs w:val="18"/>
              </w:rPr>
            </w:pPr>
            <w:r w:rsidRPr="00D57EC1">
              <w:rPr>
                <w:sz w:val="18"/>
                <w:szCs w:val="18"/>
              </w:rPr>
              <w:t>1.8</w:t>
            </w:r>
          </w:p>
        </w:tc>
        <w:tc>
          <w:tcPr>
            <w:tcW w:w="1116" w:type="dxa"/>
            <w:tcBorders>
              <w:top w:val="single" w:sz="8" w:space="0" w:color="auto"/>
              <w:left w:val="single" w:sz="8" w:space="0" w:color="auto"/>
              <w:bottom w:val="single" w:sz="8" w:space="0" w:color="auto"/>
              <w:right w:val="single" w:sz="4" w:space="0" w:color="auto"/>
            </w:tcBorders>
            <w:shd w:val="clear" w:color="auto" w:fill="auto"/>
            <w:vAlign w:val="center"/>
          </w:tcPr>
          <w:p w:rsidR="00C5559C" w:rsidRPr="00D57EC1" w:rsidP="00956E71" w14:paraId="45F984EB" w14:textId="585EEF02">
            <w:pPr>
              <w:spacing w:line="276" w:lineRule="auto"/>
              <w:contextualSpacing/>
              <w:jc w:val="center"/>
              <w:rPr>
                <w:sz w:val="18"/>
                <w:szCs w:val="18"/>
              </w:rPr>
            </w:pPr>
            <w:r w:rsidRPr="00D57EC1">
              <w:rPr>
                <w:sz w:val="18"/>
                <w:szCs w:val="18"/>
              </w:rPr>
              <w:t>6</w:t>
            </w:r>
            <w:r w:rsidRPr="00D57EC1" w:rsidR="00A6568F">
              <w:rPr>
                <w:sz w:val="18"/>
                <w:szCs w:val="18"/>
              </w:rPr>
              <w:t>,</w:t>
            </w:r>
            <w:r w:rsidRPr="00D57EC1">
              <w:rPr>
                <w:sz w:val="18"/>
                <w:szCs w:val="18"/>
              </w:rPr>
              <w:t>372</w:t>
            </w:r>
          </w:p>
        </w:tc>
        <w:tc>
          <w:tcPr>
            <w:tcW w:w="816" w:type="dxa"/>
            <w:tcBorders>
              <w:top w:val="single" w:sz="4" w:space="0" w:color="auto"/>
              <w:left w:val="nil"/>
              <w:bottom w:val="single" w:sz="4" w:space="0" w:color="auto"/>
              <w:right w:val="nil"/>
            </w:tcBorders>
            <w:shd w:val="clear" w:color="auto" w:fill="auto"/>
            <w:vAlign w:val="center"/>
          </w:tcPr>
          <w:p w:rsidR="00C5559C" w:rsidRPr="00D57EC1" w:rsidP="00956E71" w14:paraId="106CF986" w14:textId="54345D50">
            <w:pPr>
              <w:spacing w:line="276" w:lineRule="auto"/>
              <w:contextualSpacing/>
              <w:jc w:val="center"/>
              <w:rPr>
                <w:sz w:val="18"/>
                <w:szCs w:val="18"/>
              </w:rPr>
            </w:pPr>
            <w:r w:rsidRPr="00D57EC1">
              <w:rPr>
                <w:sz w:val="18"/>
                <w:szCs w:val="18"/>
              </w:rPr>
              <w:t>$61.24</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C5559C" w:rsidRPr="00D57EC1" w:rsidP="00956E71" w14:paraId="3FAD4E77" w14:textId="00A7AED3">
            <w:pPr>
              <w:spacing w:line="276" w:lineRule="auto"/>
              <w:contextualSpacing/>
              <w:jc w:val="center"/>
              <w:rPr>
                <w:sz w:val="18"/>
                <w:szCs w:val="18"/>
              </w:rPr>
            </w:pPr>
            <w:r w:rsidRPr="00D57EC1">
              <w:rPr>
                <w:sz w:val="18"/>
                <w:szCs w:val="18"/>
              </w:rPr>
              <w:t>$</w:t>
            </w:r>
            <w:r w:rsidRPr="00D57EC1" w:rsidR="000D0C85">
              <w:rPr>
                <w:sz w:val="18"/>
                <w:szCs w:val="18"/>
              </w:rPr>
              <w:t>390,221</w:t>
            </w:r>
          </w:p>
        </w:tc>
      </w:tr>
      <w:tr w14:paraId="7CFA426B" w14:textId="77777777" w:rsidTr="00956E71">
        <w:tblPrEx>
          <w:tblW w:w="10250" w:type="dxa"/>
          <w:jc w:val="center"/>
          <w:tblLayout w:type="fixed"/>
          <w:tblLook w:val="0000"/>
        </w:tblPrEx>
        <w:trPr>
          <w:trHeight w:hRule="exact" w:val="936"/>
          <w:jc w:val="center"/>
        </w:trPr>
        <w:tc>
          <w:tcPr>
            <w:tcW w:w="1144"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2561A606" w14:textId="77777777">
            <w:pPr>
              <w:spacing w:line="276" w:lineRule="auto"/>
              <w:contextualSpacing/>
              <w:jc w:val="center"/>
              <w:rPr>
                <w:sz w:val="18"/>
                <w:szCs w:val="18"/>
              </w:rPr>
            </w:pPr>
            <w:r w:rsidRPr="00D57EC1">
              <w:rPr>
                <w:sz w:val="18"/>
                <w:szCs w:val="18"/>
              </w:rPr>
              <w:t>State, Local or Tribal Government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2E2B0C39" w14:textId="2E2E2125">
            <w:pPr>
              <w:spacing w:line="276" w:lineRule="auto"/>
              <w:contextualSpacing/>
              <w:rPr>
                <w:sz w:val="18"/>
                <w:szCs w:val="18"/>
              </w:rPr>
            </w:pPr>
            <w:r w:rsidRPr="00D57EC1">
              <w:rPr>
                <w:sz w:val="18"/>
                <w:szCs w:val="18"/>
              </w:rPr>
              <w:t>Assurances for Non-construction Programs, SF-424B</w:t>
            </w:r>
            <w:r w:rsidRPr="00D57EC1">
              <w:rPr>
                <w:sz w:val="18"/>
                <w:szCs w:val="18"/>
                <w:shd w:val="clear" w:color="auto" w:fill="FFFFFF"/>
              </w:rPr>
              <w:t xml:space="preserve"> </w:t>
            </w:r>
            <w:r w:rsidRPr="00D57EC1">
              <w:rPr>
                <w:sz w:val="18"/>
                <w:szCs w:val="18"/>
                <w:shd w:val="clear" w:color="auto" w:fill="FFFFFF"/>
              </w:rPr>
              <w:br/>
            </w:r>
            <w:r w:rsidRPr="00D57EC1">
              <w:rPr>
                <w:rStyle w:val="normaltextrun"/>
                <w:sz w:val="18"/>
                <w:szCs w:val="18"/>
                <w:shd w:val="clear" w:color="auto" w:fill="FFFFFF"/>
              </w:rPr>
              <w:t>(OMB 4040-0007)</w:t>
            </w:r>
          </w:p>
        </w:tc>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4480AA98" w14:textId="77777777">
            <w:pPr>
              <w:spacing w:line="276" w:lineRule="auto"/>
              <w:contextualSpacing/>
              <w:jc w:val="center"/>
              <w:rPr>
                <w:sz w:val="18"/>
                <w:szCs w:val="18"/>
              </w:rPr>
            </w:pPr>
            <w:r w:rsidRPr="00D57EC1">
              <w:rPr>
                <w:sz w:val="18"/>
                <w:szCs w:val="18"/>
              </w:rPr>
              <w:t>59</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171D526D" w14:textId="3BEA77B8">
            <w:pPr>
              <w:spacing w:line="276" w:lineRule="auto"/>
              <w:contextualSpacing/>
              <w:jc w:val="center"/>
              <w:rPr>
                <w:sz w:val="18"/>
                <w:szCs w:val="18"/>
              </w:rPr>
            </w:pPr>
            <w:r w:rsidRPr="00D57EC1">
              <w:rPr>
                <w:sz w:val="18"/>
                <w:szCs w:val="18"/>
              </w:rPr>
              <w:t>60</w:t>
            </w:r>
          </w:p>
        </w:tc>
        <w:tc>
          <w:tcPr>
            <w:tcW w:w="1032"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5AEFE4D5" w14:textId="403EA942">
            <w:pPr>
              <w:spacing w:line="276" w:lineRule="auto"/>
              <w:contextualSpacing/>
              <w:jc w:val="center"/>
              <w:rPr>
                <w:rFonts w:eastAsia="Arial"/>
                <w:sz w:val="18"/>
                <w:szCs w:val="18"/>
              </w:rPr>
            </w:pPr>
            <w:r w:rsidRPr="00D57EC1">
              <w:rPr>
                <w:sz w:val="18"/>
                <w:szCs w:val="18"/>
              </w:rPr>
              <w:t>3</w:t>
            </w:r>
            <w:r w:rsidRPr="00D57EC1" w:rsidR="00A6568F">
              <w:rPr>
                <w:sz w:val="18"/>
                <w:szCs w:val="18"/>
              </w:rPr>
              <w:t>,</w:t>
            </w:r>
            <w:r w:rsidRPr="00D57EC1">
              <w:rPr>
                <w:sz w:val="18"/>
                <w:szCs w:val="18"/>
              </w:rPr>
              <w:t>540</w:t>
            </w:r>
          </w:p>
        </w:tc>
        <w:tc>
          <w:tcPr>
            <w:tcW w:w="950"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402A92ED" w14:textId="77777777">
            <w:pPr>
              <w:spacing w:line="276" w:lineRule="auto"/>
              <w:contextualSpacing/>
              <w:jc w:val="center"/>
              <w:rPr>
                <w:sz w:val="18"/>
                <w:szCs w:val="18"/>
              </w:rPr>
            </w:pPr>
            <w:r w:rsidRPr="00D57EC1">
              <w:rPr>
                <w:sz w:val="18"/>
                <w:szCs w:val="18"/>
              </w:rPr>
              <w:t>0.8</w:t>
            </w:r>
          </w:p>
        </w:tc>
        <w:tc>
          <w:tcPr>
            <w:tcW w:w="1116" w:type="dxa"/>
            <w:tcBorders>
              <w:top w:val="single" w:sz="8" w:space="0" w:color="auto"/>
              <w:left w:val="single" w:sz="8" w:space="0" w:color="auto"/>
              <w:bottom w:val="single" w:sz="8" w:space="0" w:color="auto"/>
              <w:right w:val="single" w:sz="4" w:space="0" w:color="auto"/>
            </w:tcBorders>
            <w:shd w:val="clear" w:color="auto" w:fill="auto"/>
            <w:vAlign w:val="center"/>
          </w:tcPr>
          <w:p w:rsidR="00C5559C" w:rsidRPr="00D57EC1" w:rsidP="00956E71" w14:paraId="3C5355E1" w14:textId="68CB3FE4">
            <w:pPr>
              <w:spacing w:line="276" w:lineRule="auto"/>
              <w:contextualSpacing/>
              <w:jc w:val="center"/>
              <w:rPr>
                <w:sz w:val="18"/>
                <w:szCs w:val="18"/>
              </w:rPr>
            </w:pPr>
            <w:r w:rsidRPr="00D57EC1">
              <w:rPr>
                <w:sz w:val="18"/>
                <w:szCs w:val="18"/>
              </w:rPr>
              <w:t>2</w:t>
            </w:r>
            <w:r w:rsidRPr="00D57EC1" w:rsidR="00A6568F">
              <w:rPr>
                <w:sz w:val="18"/>
                <w:szCs w:val="18"/>
              </w:rPr>
              <w:t>,</w:t>
            </w:r>
            <w:r w:rsidRPr="00D57EC1">
              <w:rPr>
                <w:sz w:val="18"/>
                <w:szCs w:val="18"/>
              </w:rPr>
              <w:t>832</w:t>
            </w:r>
          </w:p>
        </w:tc>
        <w:tc>
          <w:tcPr>
            <w:tcW w:w="816" w:type="dxa"/>
            <w:tcBorders>
              <w:top w:val="single" w:sz="4" w:space="0" w:color="auto"/>
              <w:left w:val="nil"/>
              <w:bottom w:val="single" w:sz="4" w:space="0" w:color="auto"/>
              <w:right w:val="nil"/>
            </w:tcBorders>
            <w:shd w:val="clear" w:color="auto" w:fill="auto"/>
            <w:vAlign w:val="center"/>
          </w:tcPr>
          <w:p w:rsidR="00C5559C" w:rsidRPr="00D57EC1" w:rsidP="00956E71" w14:paraId="64127306" w14:textId="4B045AFF">
            <w:pPr>
              <w:spacing w:line="276" w:lineRule="auto"/>
              <w:contextualSpacing/>
              <w:jc w:val="center"/>
              <w:rPr>
                <w:sz w:val="18"/>
                <w:szCs w:val="18"/>
              </w:rPr>
            </w:pPr>
            <w:r w:rsidRPr="00D57EC1">
              <w:rPr>
                <w:sz w:val="18"/>
                <w:szCs w:val="18"/>
              </w:rPr>
              <w:t>$61.24</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C5559C" w:rsidRPr="00D57EC1" w:rsidP="00956E71" w14:paraId="32D3A8AA" w14:textId="2ABDDC0E">
            <w:pPr>
              <w:spacing w:line="276" w:lineRule="auto"/>
              <w:contextualSpacing/>
              <w:jc w:val="center"/>
              <w:rPr>
                <w:sz w:val="18"/>
                <w:szCs w:val="18"/>
              </w:rPr>
            </w:pPr>
            <w:r w:rsidRPr="00D57EC1">
              <w:rPr>
                <w:sz w:val="18"/>
                <w:szCs w:val="18"/>
              </w:rPr>
              <w:t>$</w:t>
            </w:r>
            <w:r w:rsidRPr="00D57EC1" w:rsidR="000D0C85">
              <w:rPr>
                <w:sz w:val="18"/>
                <w:szCs w:val="18"/>
              </w:rPr>
              <w:t>173,432</w:t>
            </w:r>
          </w:p>
        </w:tc>
      </w:tr>
      <w:tr w14:paraId="4372111F" w14:textId="77777777" w:rsidTr="00956E71">
        <w:tblPrEx>
          <w:tblW w:w="10250" w:type="dxa"/>
          <w:jc w:val="center"/>
          <w:tblLayout w:type="fixed"/>
          <w:tblLook w:val="0000"/>
        </w:tblPrEx>
        <w:trPr>
          <w:trHeight w:hRule="exact" w:val="936"/>
          <w:jc w:val="center"/>
        </w:trPr>
        <w:tc>
          <w:tcPr>
            <w:tcW w:w="1144"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27D2F9B6" w14:textId="77777777">
            <w:pPr>
              <w:spacing w:line="276" w:lineRule="auto"/>
              <w:contextualSpacing/>
              <w:jc w:val="center"/>
              <w:rPr>
                <w:sz w:val="18"/>
                <w:szCs w:val="18"/>
              </w:rPr>
            </w:pPr>
            <w:r w:rsidRPr="00D57EC1">
              <w:rPr>
                <w:sz w:val="18"/>
                <w:szCs w:val="18"/>
              </w:rPr>
              <w:t>State, Local or Tribal Government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63C271E3" w14:textId="12B1AE82">
            <w:pPr>
              <w:spacing w:line="276" w:lineRule="auto"/>
              <w:contextualSpacing/>
              <w:rPr>
                <w:sz w:val="18"/>
                <w:szCs w:val="18"/>
              </w:rPr>
            </w:pPr>
            <w:r w:rsidRPr="00D57EC1">
              <w:rPr>
                <w:sz w:val="18"/>
                <w:szCs w:val="18"/>
              </w:rPr>
              <w:t>Budget Information for Construction Programs, SF-424C</w:t>
            </w:r>
            <w:r w:rsidRPr="00D57EC1">
              <w:rPr>
                <w:sz w:val="18"/>
                <w:szCs w:val="18"/>
                <w:shd w:val="clear" w:color="auto" w:fill="FFFFFF"/>
              </w:rPr>
              <w:br/>
            </w:r>
            <w:r w:rsidRPr="00D57EC1">
              <w:rPr>
                <w:rStyle w:val="normaltextrun"/>
                <w:sz w:val="18"/>
                <w:szCs w:val="18"/>
                <w:shd w:val="clear" w:color="auto" w:fill="FFFFFF"/>
              </w:rPr>
              <w:t>(OMB  4040-0008)</w:t>
            </w:r>
          </w:p>
        </w:tc>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35980934" w14:textId="77777777">
            <w:pPr>
              <w:spacing w:line="276" w:lineRule="auto"/>
              <w:contextualSpacing/>
              <w:jc w:val="center"/>
              <w:rPr>
                <w:sz w:val="18"/>
                <w:szCs w:val="18"/>
              </w:rPr>
            </w:pPr>
            <w:r w:rsidRPr="00D57EC1">
              <w:rPr>
                <w:sz w:val="18"/>
                <w:szCs w:val="18"/>
              </w:rPr>
              <w:t>59</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24A5CD69" w14:textId="50AFC41A">
            <w:pPr>
              <w:spacing w:line="276" w:lineRule="auto"/>
              <w:contextualSpacing/>
              <w:jc w:val="center"/>
              <w:rPr>
                <w:sz w:val="18"/>
                <w:szCs w:val="18"/>
              </w:rPr>
            </w:pPr>
            <w:r w:rsidRPr="00D57EC1">
              <w:rPr>
                <w:sz w:val="18"/>
                <w:szCs w:val="18"/>
              </w:rPr>
              <w:t>60</w:t>
            </w:r>
          </w:p>
        </w:tc>
        <w:tc>
          <w:tcPr>
            <w:tcW w:w="1032"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07C5ED7F" w14:textId="3EF0236A">
            <w:pPr>
              <w:spacing w:line="276" w:lineRule="auto"/>
              <w:contextualSpacing/>
              <w:jc w:val="center"/>
              <w:rPr>
                <w:rFonts w:eastAsia="Arial"/>
                <w:sz w:val="18"/>
                <w:szCs w:val="18"/>
              </w:rPr>
            </w:pPr>
            <w:r w:rsidRPr="00D57EC1">
              <w:rPr>
                <w:sz w:val="18"/>
                <w:szCs w:val="18"/>
              </w:rPr>
              <w:t>3</w:t>
            </w:r>
            <w:r w:rsidRPr="00D57EC1" w:rsidR="00A6568F">
              <w:rPr>
                <w:sz w:val="18"/>
                <w:szCs w:val="18"/>
              </w:rPr>
              <w:t>,</w:t>
            </w:r>
            <w:r w:rsidRPr="00D57EC1">
              <w:rPr>
                <w:sz w:val="18"/>
                <w:szCs w:val="18"/>
              </w:rPr>
              <w:t>540</w:t>
            </w:r>
          </w:p>
        </w:tc>
        <w:tc>
          <w:tcPr>
            <w:tcW w:w="950"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4F34C507" w14:textId="77777777">
            <w:pPr>
              <w:spacing w:line="276" w:lineRule="auto"/>
              <w:contextualSpacing/>
              <w:jc w:val="center"/>
              <w:rPr>
                <w:sz w:val="18"/>
                <w:szCs w:val="18"/>
              </w:rPr>
            </w:pPr>
            <w:r w:rsidRPr="00D57EC1">
              <w:rPr>
                <w:sz w:val="18"/>
                <w:szCs w:val="18"/>
              </w:rPr>
              <w:t>2.0</w:t>
            </w:r>
          </w:p>
        </w:tc>
        <w:tc>
          <w:tcPr>
            <w:tcW w:w="1116" w:type="dxa"/>
            <w:tcBorders>
              <w:top w:val="single" w:sz="8" w:space="0" w:color="auto"/>
              <w:left w:val="single" w:sz="8" w:space="0" w:color="auto"/>
              <w:bottom w:val="single" w:sz="8" w:space="0" w:color="auto"/>
              <w:right w:val="single" w:sz="4" w:space="0" w:color="auto"/>
            </w:tcBorders>
            <w:shd w:val="clear" w:color="auto" w:fill="auto"/>
            <w:vAlign w:val="center"/>
          </w:tcPr>
          <w:p w:rsidR="00C5559C" w:rsidRPr="00D57EC1" w:rsidP="00956E71" w14:paraId="3677779C" w14:textId="44DA7919">
            <w:pPr>
              <w:spacing w:line="276" w:lineRule="auto"/>
              <w:contextualSpacing/>
              <w:jc w:val="center"/>
              <w:rPr>
                <w:rFonts w:eastAsia="Arial"/>
                <w:sz w:val="18"/>
                <w:szCs w:val="18"/>
              </w:rPr>
            </w:pPr>
            <w:r w:rsidRPr="00D57EC1">
              <w:rPr>
                <w:sz w:val="18"/>
                <w:szCs w:val="18"/>
              </w:rPr>
              <w:t>7,080</w:t>
            </w:r>
          </w:p>
        </w:tc>
        <w:tc>
          <w:tcPr>
            <w:tcW w:w="816" w:type="dxa"/>
            <w:tcBorders>
              <w:top w:val="single" w:sz="4" w:space="0" w:color="auto"/>
              <w:left w:val="nil"/>
              <w:bottom w:val="single" w:sz="4" w:space="0" w:color="auto"/>
              <w:right w:val="nil"/>
            </w:tcBorders>
            <w:shd w:val="clear" w:color="auto" w:fill="auto"/>
            <w:vAlign w:val="center"/>
          </w:tcPr>
          <w:p w:rsidR="00C5559C" w:rsidRPr="00D57EC1" w:rsidP="00956E71" w14:paraId="20345BE3" w14:textId="53C055CD">
            <w:pPr>
              <w:spacing w:line="276" w:lineRule="auto"/>
              <w:contextualSpacing/>
              <w:jc w:val="center"/>
              <w:rPr>
                <w:sz w:val="18"/>
                <w:szCs w:val="18"/>
              </w:rPr>
            </w:pPr>
            <w:r w:rsidRPr="00D57EC1">
              <w:rPr>
                <w:sz w:val="18"/>
                <w:szCs w:val="18"/>
              </w:rPr>
              <w:t>$61.24</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C5559C" w:rsidRPr="00D57EC1" w:rsidP="00956E71" w14:paraId="13B5E07F" w14:textId="0C6495A5">
            <w:pPr>
              <w:spacing w:line="276" w:lineRule="auto"/>
              <w:contextualSpacing/>
              <w:jc w:val="center"/>
              <w:rPr>
                <w:sz w:val="18"/>
                <w:szCs w:val="18"/>
              </w:rPr>
            </w:pPr>
            <w:r w:rsidRPr="00D57EC1">
              <w:rPr>
                <w:sz w:val="18"/>
                <w:szCs w:val="18"/>
              </w:rPr>
              <w:t>$</w:t>
            </w:r>
            <w:r w:rsidRPr="00D57EC1" w:rsidR="00682A17">
              <w:rPr>
                <w:sz w:val="18"/>
                <w:szCs w:val="18"/>
              </w:rPr>
              <w:t>433,579</w:t>
            </w:r>
          </w:p>
        </w:tc>
      </w:tr>
      <w:tr w14:paraId="140E86FC" w14:textId="77777777" w:rsidTr="00956E71">
        <w:tblPrEx>
          <w:tblW w:w="10250" w:type="dxa"/>
          <w:jc w:val="center"/>
          <w:tblLayout w:type="fixed"/>
          <w:tblLook w:val="0000"/>
        </w:tblPrEx>
        <w:trPr>
          <w:trHeight w:hRule="exact" w:val="936"/>
          <w:jc w:val="center"/>
        </w:trPr>
        <w:tc>
          <w:tcPr>
            <w:tcW w:w="1144"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0A07B9D1" w14:textId="77777777">
            <w:pPr>
              <w:spacing w:line="276" w:lineRule="auto"/>
              <w:contextualSpacing/>
              <w:jc w:val="center"/>
              <w:rPr>
                <w:sz w:val="18"/>
                <w:szCs w:val="18"/>
              </w:rPr>
            </w:pPr>
            <w:r w:rsidRPr="00D57EC1">
              <w:rPr>
                <w:sz w:val="18"/>
                <w:szCs w:val="18"/>
              </w:rPr>
              <w:t>State, Local or Tribal Government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65703B73" w14:textId="6A9E33CF">
            <w:pPr>
              <w:spacing w:line="276" w:lineRule="auto"/>
              <w:contextualSpacing/>
              <w:rPr>
                <w:sz w:val="18"/>
                <w:szCs w:val="18"/>
              </w:rPr>
            </w:pPr>
            <w:r w:rsidRPr="00D57EC1">
              <w:rPr>
                <w:sz w:val="18"/>
                <w:szCs w:val="18"/>
              </w:rPr>
              <w:t>Assurances for Construction Programs, SF-424D</w:t>
            </w:r>
            <w:r w:rsidRPr="00D57EC1">
              <w:rPr>
                <w:sz w:val="18"/>
                <w:szCs w:val="18"/>
                <w:shd w:val="clear" w:color="auto" w:fill="FFFFFF"/>
              </w:rPr>
              <w:br/>
            </w:r>
            <w:r w:rsidRPr="00D57EC1">
              <w:rPr>
                <w:rStyle w:val="normaltextrun"/>
                <w:sz w:val="18"/>
                <w:szCs w:val="18"/>
                <w:shd w:val="clear" w:color="auto" w:fill="FFFFFF"/>
              </w:rPr>
              <w:t>(OMB  4040-0009)</w:t>
            </w:r>
          </w:p>
        </w:tc>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1DA59148" w14:textId="77777777">
            <w:pPr>
              <w:spacing w:line="276" w:lineRule="auto"/>
              <w:contextualSpacing/>
              <w:jc w:val="center"/>
              <w:rPr>
                <w:sz w:val="18"/>
                <w:szCs w:val="18"/>
              </w:rPr>
            </w:pPr>
            <w:r w:rsidRPr="00D57EC1">
              <w:rPr>
                <w:sz w:val="18"/>
                <w:szCs w:val="18"/>
              </w:rPr>
              <w:t>59</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73C33D36" w14:textId="09CD9218">
            <w:pPr>
              <w:spacing w:line="276" w:lineRule="auto"/>
              <w:contextualSpacing/>
              <w:jc w:val="center"/>
              <w:rPr>
                <w:sz w:val="18"/>
                <w:szCs w:val="18"/>
              </w:rPr>
            </w:pPr>
            <w:r w:rsidRPr="00D57EC1">
              <w:rPr>
                <w:sz w:val="18"/>
                <w:szCs w:val="18"/>
              </w:rPr>
              <w:t>60</w:t>
            </w:r>
          </w:p>
        </w:tc>
        <w:tc>
          <w:tcPr>
            <w:tcW w:w="1032"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24103A74" w14:textId="1D8B7C91">
            <w:pPr>
              <w:spacing w:line="276" w:lineRule="auto"/>
              <w:contextualSpacing/>
              <w:jc w:val="center"/>
              <w:rPr>
                <w:rFonts w:eastAsia="Arial"/>
                <w:sz w:val="18"/>
                <w:szCs w:val="18"/>
              </w:rPr>
            </w:pPr>
            <w:r w:rsidRPr="00D57EC1">
              <w:rPr>
                <w:sz w:val="18"/>
                <w:szCs w:val="18"/>
              </w:rPr>
              <w:t>3</w:t>
            </w:r>
            <w:r w:rsidRPr="00D57EC1" w:rsidR="00A6568F">
              <w:rPr>
                <w:sz w:val="18"/>
                <w:szCs w:val="18"/>
              </w:rPr>
              <w:t>,</w:t>
            </w:r>
            <w:r w:rsidRPr="00D57EC1">
              <w:rPr>
                <w:sz w:val="18"/>
                <w:szCs w:val="18"/>
              </w:rPr>
              <w:t>540</w:t>
            </w:r>
          </w:p>
        </w:tc>
        <w:tc>
          <w:tcPr>
            <w:tcW w:w="950"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1D9F351B" w14:textId="77777777">
            <w:pPr>
              <w:spacing w:line="276" w:lineRule="auto"/>
              <w:contextualSpacing/>
              <w:jc w:val="center"/>
              <w:rPr>
                <w:sz w:val="18"/>
                <w:szCs w:val="18"/>
              </w:rPr>
            </w:pPr>
            <w:r w:rsidRPr="00D57EC1">
              <w:rPr>
                <w:sz w:val="18"/>
                <w:szCs w:val="18"/>
              </w:rPr>
              <w:t>0.5</w:t>
            </w:r>
          </w:p>
        </w:tc>
        <w:tc>
          <w:tcPr>
            <w:tcW w:w="1116" w:type="dxa"/>
            <w:tcBorders>
              <w:top w:val="single" w:sz="8" w:space="0" w:color="auto"/>
              <w:left w:val="single" w:sz="8" w:space="0" w:color="auto"/>
              <w:bottom w:val="single" w:sz="8" w:space="0" w:color="auto"/>
              <w:right w:val="single" w:sz="4" w:space="0" w:color="auto"/>
            </w:tcBorders>
            <w:shd w:val="clear" w:color="auto" w:fill="auto"/>
            <w:vAlign w:val="center"/>
          </w:tcPr>
          <w:p w:rsidR="00C5559C" w:rsidRPr="00D57EC1" w:rsidP="00956E71" w14:paraId="7FC512CA" w14:textId="797DC3BE">
            <w:pPr>
              <w:spacing w:line="276" w:lineRule="auto"/>
              <w:contextualSpacing/>
              <w:jc w:val="center"/>
              <w:rPr>
                <w:sz w:val="18"/>
                <w:szCs w:val="18"/>
              </w:rPr>
            </w:pPr>
            <w:r w:rsidRPr="00D57EC1">
              <w:rPr>
                <w:sz w:val="18"/>
                <w:szCs w:val="18"/>
              </w:rPr>
              <w:t>1</w:t>
            </w:r>
            <w:r w:rsidRPr="00D57EC1" w:rsidR="00A6568F">
              <w:rPr>
                <w:sz w:val="18"/>
                <w:szCs w:val="18"/>
              </w:rPr>
              <w:t>,</w:t>
            </w:r>
            <w:r w:rsidRPr="00D57EC1">
              <w:rPr>
                <w:sz w:val="18"/>
                <w:szCs w:val="18"/>
              </w:rPr>
              <w:t>770</w:t>
            </w:r>
          </w:p>
        </w:tc>
        <w:tc>
          <w:tcPr>
            <w:tcW w:w="816" w:type="dxa"/>
            <w:tcBorders>
              <w:top w:val="single" w:sz="4" w:space="0" w:color="auto"/>
              <w:left w:val="nil"/>
              <w:bottom w:val="single" w:sz="4" w:space="0" w:color="auto"/>
              <w:right w:val="nil"/>
            </w:tcBorders>
            <w:shd w:val="clear" w:color="auto" w:fill="auto"/>
            <w:vAlign w:val="center"/>
          </w:tcPr>
          <w:p w:rsidR="00C5559C" w:rsidRPr="00D57EC1" w:rsidP="00956E71" w14:paraId="466EC23F" w14:textId="2031009C">
            <w:pPr>
              <w:spacing w:line="276" w:lineRule="auto"/>
              <w:contextualSpacing/>
              <w:jc w:val="center"/>
              <w:rPr>
                <w:sz w:val="18"/>
                <w:szCs w:val="18"/>
              </w:rPr>
            </w:pPr>
            <w:r w:rsidRPr="00D57EC1">
              <w:rPr>
                <w:sz w:val="18"/>
                <w:szCs w:val="18"/>
              </w:rPr>
              <w:t>$61.24</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C5559C" w:rsidRPr="00D57EC1" w:rsidP="00956E71" w14:paraId="221ED643" w14:textId="2640F5A1">
            <w:pPr>
              <w:spacing w:line="276" w:lineRule="auto"/>
              <w:contextualSpacing/>
              <w:jc w:val="center"/>
              <w:rPr>
                <w:sz w:val="18"/>
                <w:szCs w:val="18"/>
              </w:rPr>
            </w:pPr>
            <w:r w:rsidRPr="00D57EC1">
              <w:rPr>
                <w:sz w:val="18"/>
                <w:szCs w:val="18"/>
              </w:rPr>
              <w:t>$</w:t>
            </w:r>
            <w:r w:rsidRPr="00D57EC1" w:rsidR="00682A17">
              <w:rPr>
                <w:sz w:val="18"/>
                <w:szCs w:val="18"/>
              </w:rPr>
              <w:t>1,083,948</w:t>
            </w:r>
          </w:p>
        </w:tc>
      </w:tr>
      <w:tr w14:paraId="107754D6" w14:textId="77777777" w:rsidTr="00956E71">
        <w:tblPrEx>
          <w:tblW w:w="10250" w:type="dxa"/>
          <w:jc w:val="center"/>
          <w:tblLayout w:type="fixed"/>
          <w:tblLook w:val="0000"/>
        </w:tblPrEx>
        <w:trPr>
          <w:trHeight w:hRule="exact" w:val="936"/>
          <w:jc w:val="center"/>
        </w:trPr>
        <w:tc>
          <w:tcPr>
            <w:tcW w:w="1144"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0C5D1F55" w14:textId="77777777">
            <w:pPr>
              <w:spacing w:line="276" w:lineRule="auto"/>
              <w:contextualSpacing/>
              <w:jc w:val="center"/>
              <w:rPr>
                <w:sz w:val="18"/>
                <w:szCs w:val="18"/>
              </w:rPr>
            </w:pPr>
            <w:r w:rsidRPr="00D57EC1">
              <w:rPr>
                <w:sz w:val="18"/>
                <w:szCs w:val="18"/>
              </w:rPr>
              <w:t>State, Local or Tribal Government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6B87B2AE" w14:textId="504CA9E0">
            <w:pPr>
              <w:spacing w:line="276" w:lineRule="auto"/>
              <w:contextualSpacing/>
              <w:rPr>
                <w:sz w:val="18"/>
                <w:szCs w:val="18"/>
              </w:rPr>
            </w:pPr>
            <w:r w:rsidRPr="00D57EC1">
              <w:rPr>
                <w:rStyle w:val="normaltextrun"/>
                <w:sz w:val="18"/>
                <w:szCs w:val="18"/>
                <w:shd w:val="clear" w:color="auto" w:fill="FFFFFF"/>
              </w:rPr>
              <w:t>Attachment </w:t>
            </w:r>
            <w:r w:rsidRPr="00D57EC1">
              <w:rPr>
                <w:rStyle w:val="scxw260797117"/>
                <w:sz w:val="18"/>
                <w:szCs w:val="18"/>
                <w:shd w:val="clear" w:color="auto" w:fill="FFFFFF"/>
              </w:rPr>
              <w:t> </w:t>
            </w:r>
            <w:r w:rsidRPr="00D57EC1">
              <w:rPr>
                <w:sz w:val="18"/>
                <w:szCs w:val="18"/>
                <w:shd w:val="clear" w:color="auto" w:fill="FFFFFF"/>
              </w:rPr>
              <w:br/>
            </w:r>
            <w:r w:rsidRPr="00D57EC1">
              <w:rPr>
                <w:rStyle w:val="normaltextrun"/>
                <w:sz w:val="18"/>
                <w:szCs w:val="18"/>
                <w:shd w:val="clear" w:color="auto" w:fill="FFFFFF"/>
              </w:rPr>
              <w:t>SF-425/425A</w:t>
            </w:r>
            <w:r w:rsidRPr="00D57EC1">
              <w:rPr>
                <w:rStyle w:val="normaltextrun"/>
                <w:sz w:val="18"/>
                <w:szCs w:val="18"/>
                <w:shd w:val="clear" w:color="auto" w:fill="FFFFFF"/>
              </w:rPr>
              <w:br/>
              <w:t>(OMB  4040-0014)</w:t>
            </w:r>
          </w:p>
        </w:tc>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4FDE9CE5" w14:textId="77777777">
            <w:pPr>
              <w:spacing w:line="276" w:lineRule="auto"/>
              <w:contextualSpacing/>
              <w:jc w:val="center"/>
              <w:rPr>
                <w:sz w:val="18"/>
                <w:szCs w:val="18"/>
              </w:rPr>
            </w:pPr>
            <w:r w:rsidRPr="00D57EC1">
              <w:rPr>
                <w:sz w:val="18"/>
                <w:szCs w:val="18"/>
              </w:rPr>
              <w:t>59</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2A35D562" w14:textId="251BDA23">
            <w:pPr>
              <w:spacing w:line="276" w:lineRule="auto"/>
              <w:contextualSpacing/>
              <w:jc w:val="center"/>
              <w:rPr>
                <w:sz w:val="18"/>
                <w:szCs w:val="18"/>
              </w:rPr>
            </w:pPr>
            <w:r w:rsidRPr="00D57EC1">
              <w:rPr>
                <w:sz w:val="18"/>
                <w:szCs w:val="18"/>
              </w:rPr>
              <w:t>15</w:t>
            </w:r>
          </w:p>
        </w:tc>
        <w:tc>
          <w:tcPr>
            <w:tcW w:w="1032"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6E47E26C" w14:textId="388C307B">
            <w:pPr>
              <w:spacing w:line="276" w:lineRule="auto"/>
              <w:contextualSpacing/>
              <w:jc w:val="center"/>
              <w:rPr>
                <w:sz w:val="18"/>
                <w:szCs w:val="18"/>
              </w:rPr>
            </w:pPr>
            <w:r w:rsidRPr="00D57EC1">
              <w:rPr>
                <w:sz w:val="18"/>
                <w:szCs w:val="18"/>
              </w:rPr>
              <w:t>885</w:t>
            </w:r>
          </w:p>
        </w:tc>
        <w:tc>
          <w:tcPr>
            <w:tcW w:w="950"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56C6308F" w14:textId="77777777">
            <w:pPr>
              <w:spacing w:line="276" w:lineRule="auto"/>
              <w:contextualSpacing/>
              <w:jc w:val="center"/>
              <w:rPr>
                <w:sz w:val="18"/>
                <w:szCs w:val="18"/>
              </w:rPr>
            </w:pPr>
            <w:r w:rsidRPr="00D57EC1">
              <w:rPr>
                <w:sz w:val="18"/>
                <w:szCs w:val="18"/>
              </w:rPr>
              <w:t>1.5</w:t>
            </w:r>
          </w:p>
        </w:tc>
        <w:tc>
          <w:tcPr>
            <w:tcW w:w="1116" w:type="dxa"/>
            <w:tcBorders>
              <w:top w:val="single" w:sz="8" w:space="0" w:color="auto"/>
              <w:left w:val="single" w:sz="8" w:space="0" w:color="auto"/>
              <w:bottom w:val="single" w:sz="8" w:space="0" w:color="auto"/>
              <w:right w:val="single" w:sz="4" w:space="0" w:color="auto"/>
            </w:tcBorders>
            <w:shd w:val="clear" w:color="auto" w:fill="auto"/>
            <w:vAlign w:val="center"/>
          </w:tcPr>
          <w:p w:rsidR="00C5559C" w:rsidRPr="00D57EC1" w:rsidP="00956E71" w14:paraId="0C41CA60" w14:textId="30098D48">
            <w:pPr>
              <w:spacing w:line="276" w:lineRule="auto"/>
              <w:contextualSpacing/>
              <w:jc w:val="center"/>
              <w:rPr>
                <w:sz w:val="18"/>
                <w:szCs w:val="18"/>
              </w:rPr>
            </w:pPr>
            <w:r w:rsidRPr="00D57EC1">
              <w:rPr>
                <w:sz w:val="18"/>
                <w:szCs w:val="18"/>
              </w:rPr>
              <w:t>1</w:t>
            </w:r>
            <w:r w:rsidRPr="00D57EC1" w:rsidR="00A6568F">
              <w:rPr>
                <w:sz w:val="18"/>
                <w:szCs w:val="18"/>
              </w:rPr>
              <w:t>,</w:t>
            </w:r>
            <w:r w:rsidRPr="00D57EC1">
              <w:rPr>
                <w:sz w:val="18"/>
                <w:szCs w:val="18"/>
              </w:rPr>
              <w:t>328</w:t>
            </w:r>
          </w:p>
        </w:tc>
        <w:tc>
          <w:tcPr>
            <w:tcW w:w="816" w:type="dxa"/>
            <w:tcBorders>
              <w:top w:val="single" w:sz="4" w:space="0" w:color="auto"/>
              <w:left w:val="nil"/>
              <w:bottom w:val="single" w:sz="4" w:space="0" w:color="auto"/>
              <w:right w:val="nil"/>
            </w:tcBorders>
            <w:shd w:val="clear" w:color="auto" w:fill="auto"/>
            <w:vAlign w:val="center"/>
          </w:tcPr>
          <w:p w:rsidR="00C5559C" w:rsidRPr="00D57EC1" w:rsidP="00956E71" w14:paraId="52FD71FB" w14:textId="49B23888">
            <w:pPr>
              <w:spacing w:line="276" w:lineRule="auto"/>
              <w:contextualSpacing/>
              <w:jc w:val="center"/>
              <w:rPr>
                <w:sz w:val="18"/>
                <w:szCs w:val="18"/>
              </w:rPr>
            </w:pPr>
            <w:r w:rsidRPr="00D57EC1">
              <w:rPr>
                <w:sz w:val="18"/>
                <w:szCs w:val="18"/>
              </w:rPr>
              <w:t>$61.24</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C5559C" w:rsidRPr="00D57EC1" w:rsidP="00956E71" w14:paraId="600A915C" w14:textId="4D3FFA6A">
            <w:pPr>
              <w:spacing w:line="276" w:lineRule="auto"/>
              <w:contextualSpacing/>
              <w:jc w:val="center"/>
              <w:rPr>
                <w:sz w:val="18"/>
                <w:szCs w:val="18"/>
              </w:rPr>
            </w:pPr>
            <w:r w:rsidRPr="00D57EC1">
              <w:rPr>
                <w:sz w:val="18"/>
                <w:szCs w:val="18"/>
              </w:rPr>
              <w:t>$</w:t>
            </w:r>
            <w:r w:rsidRPr="00D57EC1" w:rsidR="00682A17">
              <w:rPr>
                <w:sz w:val="18"/>
                <w:szCs w:val="18"/>
              </w:rPr>
              <w:t>81,296</w:t>
            </w:r>
          </w:p>
        </w:tc>
      </w:tr>
      <w:tr w14:paraId="42C704B1" w14:textId="77777777" w:rsidTr="00956E71">
        <w:tblPrEx>
          <w:tblW w:w="10250" w:type="dxa"/>
          <w:jc w:val="center"/>
          <w:tblLayout w:type="fixed"/>
          <w:tblLook w:val="0000"/>
        </w:tblPrEx>
        <w:trPr>
          <w:trHeight w:hRule="exact" w:val="936"/>
          <w:jc w:val="center"/>
        </w:trPr>
        <w:tc>
          <w:tcPr>
            <w:tcW w:w="1144"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4CFE441F" w14:textId="77777777">
            <w:pPr>
              <w:spacing w:line="276" w:lineRule="auto"/>
              <w:contextualSpacing/>
              <w:jc w:val="center"/>
              <w:rPr>
                <w:sz w:val="18"/>
                <w:szCs w:val="18"/>
              </w:rPr>
            </w:pPr>
            <w:r w:rsidRPr="00D57EC1">
              <w:rPr>
                <w:sz w:val="18"/>
                <w:szCs w:val="18"/>
              </w:rPr>
              <w:t>State, Local or Tribal Government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518843CF" w14:textId="19D54AA6">
            <w:pPr>
              <w:spacing w:line="276" w:lineRule="auto"/>
              <w:contextualSpacing/>
              <w:rPr>
                <w:sz w:val="18"/>
                <w:szCs w:val="18"/>
              </w:rPr>
            </w:pPr>
            <w:r w:rsidRPr="00D57EC1">
              <w:rPr>
                <w:sz w:val="18"/>
                <w:szCs w:val="18"/>
              </w:rPr>
              <w:t>Real Property Status Report, SF-429</w:t>
            </w:r>
            <w:r w:rsidRPr="00D57EC1">
              <w:rPr>
                <w:sz w:val="18"/>
                <w:szCs w:val="18"/>
                <w:shd w:val="clear" w:color="auto" w:fill="FFFFFF"/>
              </w:rPr>
              <w:t xml:space="preserve"> </w:t>
            </w:r>
            <w:r w:rsidRPr="00D57EC1">
              <w:rPr>
                <w:sz w:val="18"/>
                <w:szCs w:val="18"/>
                <w:shd w:val="clear" w:color="auto" w:fill="FFFFFF"/>
              </w:rPr>
              <w:br/>
            </w:r>
            <w:r w:rsidRPr="00D57EC1">
              <w:rPr>
                <w:rStyle w:val="normaltextrun"/>
                <w:sz w:val="18"/>
                <w:szCs w:val="18"/>
                <w:shd w:val="clear" w:color="auto" w:fill="FFFFFF"/>
              </w:rPr>
              <w:t>(OMB 4040-0016)</w:t>
            </w:r>
          </w:p>
        </w:tc>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739E4146" w14:textId="77777777">
            <w:pPr>
              <w:spacing w:line="276" w:lineRule="auto"/>
              <w:contextualSpacing/>
              <w:jc w:val="center"/>
              <w:rPr>
                <w:sz w:val="18"/>
                <w:szCs w:val="18"/>
              </w:rPr>
            </w:pPr>
            <w:r w:rsidRPr="00D57EC1">
              <w:rPr>
                <w:sz w:val="18"/>
                <w:szCs w:val="18"/>
              </w:rPr>
              <w:t>59</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193B1BE9" w14:textId="2A7699E3">
            <w:pPr>
              <w:spacing w:line="276" w:lineRule="auto"/>
              <w:contextualSpacing/>
              <w:jc w:val="center"/>
              <w:rPr>
                <w:sz w:val="18"/>
                <w:szCs w:val="18"/>
              </w:rPr>
            </w:pPr>
            <w:r w:rsidRPr="00D57EC1">
              <w:rPr>
                <w:sz w:val="18"/>
                <w:szCs w:val="18"/>
              </w:rPr>
              <w:t>60</w:t>
            </w:r>
          </w:p>
        </w:tc>
        <w:tc>
          <w:tcPr>
            <w:tcW w:w="1032"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0BAA6854" w14:textId="0B367F1A">
            <w:pPr>
              <w:spacing w:line="276" w:lineRule="auto"/>
              <w:contextualSpacing/>
              <w:jc w:val="center"/>
              <w:rPr>
                <w:rFonts w:eastAsia="Arial"/>
                <w:sz w:val="18"/>
                <w:szCs w:val="18"/>
              </w:rPr>
            </w:pPr>
            <w:r w:rsidRPr="00D57EC1">
              <w:rPr>
                <w:sz w:val="18"/>
                <w:szCs w:val="18"/>
              </w:rPr>
              <w:t>3</w:t>
            </w:r>
            <w:r w:rsidRPr="00D57EC1" w:rsidR="00A6568F">
              <w:rPr>
                <w:sz w:val="18"/>
                <w:szCs w:val="18"/>
              </w:rPr>
              <w:t>,</w:t>
            </w:r>
            <w:r w:rsidRPr="00D57EC1">
              <w:rPr>
                <w:sz w:val="18"/>
                <w:szCs w:val="18"/>
              </w:rPr>
              <w:t>540</w:t>
            </w:r>
          </w:p>
        </w:tc>
        <w:tc>
          <w:tcPr>
            <w:tcW w:w="950"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23711836" w14:textId="77777777">
            <w:pPr>
              <w:spacing w:line="276" w:lineRule="auto"/>
              <w:contextualSpacing/>
              <w:jc w:val="center"/>
              <w:rPr>
                <w:sz w:val="18"/>
                <w:szCs w:val="18"/>
              </w:rPr>
            </w:pPr>
            <w:r w:rsidRPr="00D57EC1">
              <w:rPr>
                <w:sz w:val="18"/>
                <w:szCs w:val="18"/>
              </w:rPr>
              <w:t>4.0</w:t>
            </w:r>
          </w:p>
        </w:tc>
        <w:tc>
          <w:tcPr>
            <w:tcW w:w="1116" w:type="dxa"/>
            <w:tcBorders>
              <w:top w:val="single" w:sz="8" w:space="0" w:color="auto"/>
              <w:left w:val="single" w:sz="8" w:space="0" w:color="auto"/>
              <w:bottom w:val="single" w:sz="4" w:space="0" w:color="auto"/>
              <w:right w:val="single" w:sz="4" w:space="0" w:color="auto"/>
            </w:tcBorders>
            <w:shd w:val="clear" w:color="auto" w:fill="auto"/>
            <w:vAlign w:val="center"/>
          </w:tcPr>
          <w:p w:rsidR="00C5559C" w:rsidRPr="00D57EC1" w:rsidP="00956E71" w14:paraId="44BAA436" w14:textId="7BC4B8E9">
            <w:pPr>
              <w:spacing w:line="276" w:lineRule="auto"/>
              <w:contextualSpacing/>
              <w:jc w:val="center"/>
              <w:rPr>
                <w:rFonts w:eastAsia="Arial"/>
                <w:sz w:val="18"/>
                <w:szCs w:val="18"/>
              </w:rPr>
            </w:pPr>
            <w:r w:rsidRPr="00D57EC1">
              <w:rPr>
                <w:sz w:val="18"/>
                <w:szCs w:val="18"/>
              </w:rPr>
              <w:t>14,160</w:t>
            </w:r>
          </w:p>
        </w:tc>
        <w:tc>
          <w:tcPr>
            <w:tcW w:w="816" w:type="dxa"/>
            <w:tcBorders>
              <w:top w:val="single" w:sz="4" w:space="0" w:color="auto"/>
              <w:left w:val="nil"/>
              <w:bottom w:val="single" w:sz="4" w:space="0" w:color="auto"/>
              <w:right w:val="nil"/>
            </w:tcBorders>
            <w:shd w:val="clear" w:color="auto" w:fill="auto"/>
            <w:vAlign w:val="center"/>
          </w:tcPr>
          <w:p w:rsidR="00C5559C" w:rsidRPr="00D57EC1" w:rsidP="00956E71" w14:paraId="473A883A" w14:textId="1D2809F3">
            <w:pPr>
              <w:spacing w:line="276" w:lineRule="auto"/>
              <w:contextualSpacing/>
              <w:jc w:val="center"/>
              <w:rPr>
                <w:sz w:val="18"/>
                <w:szCs w:val="18"/>
              </w:rPr>
            </w:pPr>
            <w:r w:rsidRPr="00D57EC1">
              <w:rPr>
                <w:sz w:val="18"/>
                <w:szCs w:val="18"/>
              </w:rPr>
              <w:t>$61.24</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C5559C" w:rsidRPr="00D57EC1" w:rsidP="00956E71" w14:paraId="2B890664" w14:textId="4AC5E355">
            <w:pPr>
              <w:spacing w:line="276" w:lineRule="auto"/>
              <w:contextualSpacing/>
              <w:jc w:val="center"/>
              <w:rPr>
                <w:sz w:val="18"/>
                <w:szCs w:val="18"/>
              </w:rPr>
            </w:pPr>
            <w:r w:rsidRPr="00D57EC1">
              <w:rPr>
                <w:sz w:val="18"/>
                <w:szCs w:val="18"/>
              </w:rPr>
              <w:t>$</w:t>
            </w:r>
            <w:r w:rsidRPr="00D57EC1" w:rsidR="00682A17">
              <w:rPr>
                <w:sz w:val="18"/>
                <w:szCs w:val="18"/>
              </w:rPr>
              <w:t>867,158</w:t>
            </w:r>
          </w:p>
        </w:tc>
      </w:tr>
      <w:tr w14:paraId="72284083" w14:textId="77777777" w:rsidTr="00956E71">
        <w:tblPrEx>
          <w:tblW w:w="10250" w:type="dxa"/>
          <w:jc w:val="center"/>
          <w:tblLayout w:type="fixed"/>
          <w:tblLook w:val="0000"/>
        </w:tblPrEx>
        <w:trPr>
          <w:trHeight w:hRule="exact" w:val="936"/>
          <w:jc w:val="center"/>
        </w:trPr>
        <w:tc>
          <w:tcPr>
            <w:tcW w:w="1144"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680BD663" w14:textId="77777777">
            <w:pPr>
              <w:spacing w:line="276" w:lineRule="auto"/>
              <w:contextualSpacing/>
              <w:jc w:val="center"/>
              <w:rPr>
                <w:sz w:val="18"/>
                <w:szCs w:val="18"/>
              </w:rPr>
            </w:pPr>
            <w:r w:rsidRPr="00D57EC1">
              <w:rPr>
                <w:sz w:val="18"/>
                <w:szCs w:val="18"/>
              </w:rPr>
              <w:t>State, Local or Tribal Government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292C76DF" w14:textId="7669EA3C">
            <w:pPr>
              <w:spacing w:line="276" w:lineRule="auto"/>
              <w:contextualSpacing/>
              <w:jc w:val="center"/>
              <w:rPr>
                <w:sz w:val="18"/>
                <w:szCs w:val="18"/>
              </w:rPr>
            </w:pPr>
            <w:r w:rsidRPr="00D57EC1">
              <w:rPr>
                <w:rStyle w:val="normaltextrun"/>
                <w:sz w:val="18"/>
                <w:szCs w:val="18"/>
                <w:shd w:val="clear" w:color="auto" w:fill="FFFFFF"/>
              </w:rPr>
              <w:t>Disclosure of Lobbying Activities / SF LLL </w:t>
            </w:r>
            <w:r w:rsidRPr="00D57EC1">
              <w:rPr>
                <w:rStyle w:val="normaltextrun"/>
                <w:sz w:val="18"/>
                <w:szCs w:val="18"/>
                <w:shd w:val="clear" w:color="auto" w:fill="FFFFFF"/>
              </w:rPr>
              <w:br/>
              <w:t>(OMB 4040-0013)</w:t>
            </w:r>
          </w:p>
        </w:tc>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29D919DC" w14:textId="77777777">
            <w:pPr>
              <w:spacing w:line="276" w:lineRule="auto"/>
              <w:contextualSpacing/>
              <w:jc w:val="center"/>
              <w:rPr>
                <w:sz w:val="18"/>
                <w:szCs w:val="18"/>
              </w:rPr>
            </w:pPr>
            <w:r w:rsidRPr="00D57EC1">
              <w:rPr>
                <w:sz w:val="18"/>
                <w:szCs w:val="18"/>
              </w:rPr>
              <w:t>59</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08C1E664" w14:textId="24AF18BC">
            <w:pPr>
              <w:spacing w:line="276" w:lineRule="auto"/>
              <w:contextualSpacing/>
              <w:jc w:val="center"/>
              <w:rPr>
                <w:sz w:val="18"/>
                <w:szCs w:val="18"/>
              </w:rPr>
            </w:pPr>
            <w:r w:rsidRPr="00D57EC1">
              <w:rPr>
                <w:sz w:val="18"/>
                <w:szCs w:val="18"/>
              </w:rPr>
              <w:t>60</w:t>
            </w:r>
          </w:p>
        </w:tc>
        <w:tc>
          <w:tcPr>
            <w:tcW w:w="1032" w:type="dxa"/>
            <w:tcBorders>
              <w:top w:val="single" w:sz="8" w:space="0" w:color="auto"/>
              <w:left w:val="single" w:sz="8" w:space="0" w:color="auto"/>
              <w:bottom w:val="single" w:sz="8" w:space="0" w:color="auto"/>
              <w:right w:val="single" w:sz="8" w:space="0" w:color="auto"/>
            </w:tcBorders>
            <w:shd w:val="clear" w:color="auto" w:fill="auto"/>
            <w:vAlign w:val="center"/>
          </w:tcPr>
          <w:p w:rsidR="00C5559C" w:rsidRPr="00D57EC1" w:rsidP="00956E71" w14:paraId="11B03929" w14:textId="44B6B34E">
            <w:pPr>
              <w:spacing w:line="276" w:lineRule="auto"/>
              <w:contextualSpacing/>
              <w:jc w:val="center"/>
              <w:rPr>
                <w:rFonts w:eastAsia="Arial"/>
                <w:sz w:val="18"/>
                <w:szCs w:val="18"/>
              </w:rPr>
            </w:pPr>
            <w:r w:rsidRPr="00D57EC1">
              <w:rPr>
                <w:sz w:val="18"/>
                <w:szCs w:val="18"/>
              </w:rPr>
              <w:t>3</w:t>
            </w:r>
            <w:r w:rsidRPr="00D57EC1" w:rsidR="00A6568F">
              <w:rPr>
                <w:sz w:val="18"/>
                <w:szCs w:val="18"/>
              </w:rPr>
              <w:t>,</w:t>
            </w:r>
            <w:r w:rsidRPr="00D57EC1">
              <w:rPr>
                <w:sz w:val="18"/>
                <w:szCs w:val="18"/>
              </w:rPr>
              <w:t>540</w:t>
            </w:r>
          </w:p>
        </w:tc>
        <w:tc>
          <w:tcPr>
            <w:tcW w:w="950" w:type="dxa"/>
            <w:tcBorders>
              <w:top w:val="single" w:sz="8" w:space="0" w:color="auto"/>
              <w:left w:val="single" w:sz="8" w:space="0" w:color="auto"/>
              <w:bottom w:val="single" w:sz="8" w:space="0" w:color="auto"/>
              <w:right w:val="single" w:sz="4" w:space="0" w:color="auto"/>
            </w:tcBorders>
            <w:shd w:val="clear" w:color="auto" w:fill="auto"/>
            <w:vAlign w:val="center"/>
          </w:tcPr>
          <w:p w:rsidR="00C5559C" w:rsidRPr="00D57EC1" w:rsidP="00956E71" w14:paraId="308DA187" w14:textId="77777777">
            <w:pPr>
              <w:spacing w:line="276" w:lineRule="auto"/>
              <w:contextualSpacing/>
              <w:jc w:val="center"/>
              <w:rPr>
                <w:sz w:val="18"/>
                <w:szCs w:val="18"/>
              </w:rPr>
            </w:pPr>
            <w:r w:rsidRPr="00D57EC1">
              <w:rPr>
                <w:sz w:val="18"/>
                <w:szCs w:val="18"/>
              </w:rPr>
              <w:t>0.2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C5559C" w:rsidRPr="00D57EC1" w:rsidP="00956E71" w14:paraId="447A8465" w14:textId="071DF846">
            <w:pPr>
              <w:spacing w:line="276" w:lineRule="auto"/>
              <w:contextualSpacing/>
              <w:jc w:val="center"/>
              <w:rPr>
                <w:sz w:val="18"/>
                <w:szCs w:val="18"/>
              </w:rPr>
            </w:pPr>
            <w:r w:rsidRPr="00D57EC1">
              <w:rPr>
                <w:sz w:val="18"/>
                <w:szCs w:val="18"/>
              </w:rPr>
              <w:t>708</w:t>
            </w:r>
          </w:p>
        </w:tc>
        <w:tc>
          <w:tcPr>
            <w:tcW w:w="816" w:type="dxa"/>
            <w:tcBorders>
              <w:top w:val="single" w:sz="4" w:space="0" w:color="auto"/>
              <w:left w:val="nil"/>
              <w:bottom w:val="single" w:sz="4" w:space="0" w:color="auto"/>
              <w:right w:val="nil"/>
            </w:tcBorders>
            <w:shd w:val="clear" w:color="auto" w:fill="auto"/>
            <w:vAlign w:val="center"/>
          </w:tcPr>
          <w:p w:rsidR="00C5559C" w:rsidRPr="00D57EC1" w:rsidP="00956E71" w14:paraId="2B35F40E" w14:textId="722C6338">
            <w:pPr>
              <w:spacing w:line="276" w:lineRule="auto"/>
              <w:contextualSpacing/>
              <w:jc w:val="center"/>
              <w:rPr>
                <w:sz w:val="18"/>
                <w:szCs w:val="18"/>
              </w:rPr>
            </w:pPr>
            <w:r w:rsidRPr="00D57EC1">
              <w:rPr>
                <w:sz w:val="18"/>
                <w:szCs w:val="18"/>
              </w:rPr>
              <w:t>$61.24</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C5559C" w:rsidRPr="00D57EC1" w:rsidP="00956E71" w14:paraId="4FE07D00" w14:textId="23CA4E01">
            <w:pPr>
              <w:spacing w:line="276" w:lineRule="auto"/>
              <w:contextualSpacing/>
              <w:jc w:val="center"/>
              <w:rPr>
                <w:sz w:val="18"/>
                <w:szCs w:val="18"/>
              </w:rPr>
            </w:pPr>
            <w:r w:rsidRPr="00D57EC1">
              <w:rPr>
                <w:sz w:val="18"/>
                <w:szCs w:val="18"/>
              </w:rPr>
              <w:t>$</w:t>
            </w:r>
            <w:r w:rsidRPr="00D57EC1" w:rsidR="00682A17">
              <w:rPr>
                <w:sz w:val="18"/>
                <w:szCs w:val="18"/>
              </w:rPr>
              <w:t>43,35</w:t>
            </w:r>
            <w:r w:rsidRPr="00D57EC1" w:rsidR="00D17674">
              <w:rPr>
                <w:sz w:val="18"/>
                <w:szCs w:val="18"/>
              </w:rPr>
              <w:t>8</w:t>
            </w:r>
          </w:p>
        </w:tc>
      </w:tr>
      <w:tr w14:paraId="2065E8A1" w14:textId="77777777" w:rsidTr="00956E71">
        <w:tblPrEx>
          <w:tblW w:w="10250" w:type="dxa"/>
          <w:jc w:val="center"/>
          <w:tblLayout w:type="fixed"/>
          <w:tblLook w:val="0000"/>
        </w:tblPrEx>
        <w:trPr>
          <w:trHeight w:val="270"/>
          <w:jc w:val="center"/>
        </w:trPr>
        <w:tc>
          <w:tcPr>
            <w:tcW w:w="1144" w:type="dxa"/>
            <w:tcBorders>
              <w:top w:val="single" w:sz="8" w:space="0" w:color="auto"/>
              <w:left w:val="single" w:sz="8" w:space="0" w:color="auto"/>
              <w:bottom w:val="single" w:sz="8" w:space="0" w:color="auto"/>
              <w:right w:val="single" w:sz="8" w:space="0" w:color="auto"/>
            </w:tcBorders>
            <w:shd w:val="clear" w:color="auto" w:fill="auto"/>
            <w:vAlign w:val="center"/>
          </w:tcPr>
          <w:p w:rsidR="0004186D" w:rsidRPr="00D57EC1" w:rsidP="00956E71" w14:paraId="0D3FE7CA" w14:textId="77777777">
            <w:pPr>
              <w:spacing w:line="276" w:lineRule="auto"/>
              <w:contextualSpacing/>
              <w:jc w:val="center"/>
              <w:rPr>
                <w:b/>
                <w:bCs/>
                <w:sz w:val="18"/>
                <w:szCs w:val="18"/>
              </w:rPr>
            </w:pPr>
            <w:r w:rsidRPr="00D57EC1">
              <w:rPr>
                <w:b/>
                <w:bCs/>
                <w:sz w:val="18"/>
                <w:szCs w:val="18"/>
              </w:rPr>
              <w:t>Total</w:t>
            </w:r>
          </w:p>
        </w:tc>
        <w:tc>
          <w:tcPr>
            <w:tcW w:w="1439" w:type="dxa"/>
            <w:tcBorders>
              <w:top w:val="single" w:sz="8" w:space="0" w:color="auto"/>
              <w:left w:val="single" w:sz="8" w:space="0" w:color="auto"/>
              <w:bottom w:val="single" w:sz="8" w:space="0" w:color="auto"/>
              <w:right w:val="single" w:sz="8" w:space="0" w:color="auto"/>
            </w:tcBorders>
            <w:shd w:val="clear" w:color="auto" w:fill="000000" w:themeFill="text1"/>
            <w:vAlign w:val="center"/>
          </w:tcPr>
          <w:p w:rsidR="0004186D" w:rsidRPr="00D57EC1" w:rsidP="00956E71" w14:paraId="67ABF025" w14:textId="77777777">
            <w:pPr>
              <w:spacing w:line="276" w:lineRule="auto"/>
              <w:contextualSpacing/>
              <w:jc w:val="center"/>
              <w:rPr>
                <w:sz w:val="18"/>
                <w:szCs w:val="18"/>
              </w:rPr>
            </w:pPr>
            <w:r w:rsidRPr="00D57EC1">
              <w:rPr>
                <w:sz w:val="18"/>
                <w:szCs w:val="18"/>
              </w:rPr>
              <w:t> </w:t>
            </w:r>
          </w:p>
        </w:tc>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rsidR="0004186D" w:rsidRPr="00D57EC1" w:rsidP="00956E71" w14:paraId="4A28AB62" w14:textId="63137E7C">
            <w:pPr>
              <w:spacing w:line="276" w:lineRule="auto"/>
              <w:contextualSpacing/>
              <w:jc w:val="center"/>
              <w:rPr>
                <w:b/>
                <w:bCs/>
                <w:sz w:val="18"/>
                <w:szCs w:val="18"/>
              </w:rPr>
            </w:pPr>
            <w:r w:rsidRPr="00D57EC1">
              <w:rPr>
                <w:b/>
                <w:bCs/>
                <w:sz w:val="18"/>
                <w:szCs w:val="18"/>
              </w:rPr>
              <w:t>472</w:t>
            </w:r>
          </w:p>
        </w:tc>
        <w:tc>
          <w:tcPr>
            <w:tcW w:w="1078" w:type="dxa"/>
            <w:tcBorders>
              <w:top w:val="single" w:sz="8" w:space="0" w:color="auto"/>
              <w:left w:val="single" w:sz="8" w:space="0" w:color="auto"/>
              <w:bottom w:val="single" w:sz="8" w:space="0" w:color="auto"/>
              <w:right w:val="single" w:sz="8" w:space="0" w:color="auto"/>
            </w:tcBorders>
            <w:shd w:val="clear" w:color="auto" w:fill="000000" w:themeFill="text1"/>
            <w:vAlign w:val="center"/>
          </w:tcPr>
          <w:p w:rsidR="0004186D" w:rsidRPr="00D57EC1" w:rsidP="00956E71" w14:paraId="1543B6AE" w14:textId="77777777">
            <w:pPr>
              <w:spacing w:line="276" w:lineRule="auto"/>
              <w:contextualSpacing/>
              <w:jc w:val="center"/>
              <w:rPr>
                <w:sz w:val="18"/>
                <w:szCs w:val="18"/>
              </w:rPr>
            </w:pPr>
            <w:r w:rsidRPr="00D57EC1">
              <w:rPr>
                <w:sz w:val="18"/>
                <w:szCs w:val="18"/>
              </w:rPr>
              <w:t> </w:t>
            </w:r>
          </w:p>
        </w:tc>
        <w:tc>
          <w:tcPr>
            <w:tcW w:w="1032" w:type="dxa"/>
            <w:tcBorders>
              <w:top w:val="single" w:sz="8" w:space="0" w:color="auto"/>
              <w:left w:val="single" w:sz="8" w:space="0" w:color="auto"/>
              <w:bottom w:val="single" w:sz="8" w:space="0" w:color="auto"/>
              <w:right w:val="single" w:sz="8" w:space="0" w:color="auto"/>
            </w:tcBorders>
            <w:shd w:val="clear" w:color="auto" w:fill="auto"/>
            <w:vAlign w:val="center"/>
          </w:tcPr>
          <w:p w:rsidR="0004186D" w:rsidRPr="00D57EC1" w:rsidP="00956E71" w14:paraId="61C3F026" w14:textId="231F3529">
            <w:pPr>
              <w:spacing w:line="276" w:lineRule="auto"/>
              <w:contextualSpacing/>
              <w:jc w:val="center"/>
              <w:rPr>
                <w:b/>
                <w:bCs/>
                <w:sz w:val="18"/>
                <w:szCs w:val="18"/>
              </w:rPr>
            </w:pPr>
            <w:r w:rsidRPr="00D57EC1">
              <w:rPr>
                <w:b/>
                <w:bCs/>
                <w:sz w:val="18"/>
                <w:szCs w:val="18"/>
              </w:rPr>
              <w:t>26,108</w:t>
            </w:r>
          </w:p>
        </w:tc>
        <w:tc>
          <w:tcPr>
            <w:tcW w:w="950" w:type="dxa"/>
            <w:tcBorders>
              <w:top w:val="single" w:sz="8" w:space="0" w:color="auto"/>
              <w:left w:val="single" w:sz="8" w:space="0" w:color="auto"/>
              <w:bottom w:val="single" w:sz="8" w:space="0" w:color="auto"/>
              <w:right w:val="single" w:sz="8" w:space="0" w:color="auto"/>
            </w:tcBorders>
            <w:shd w:val="clear" w:color="auto" w:fill="000000" w:themeFill="text1"/>
            <w:vAlign w:val="center"/>
          </w:tcPr>
          <w:p w:rsidR="0004186D" w:rsidRPr="00D57EC1" w:rsidP="00956E71" w14:paraId="34E0D1D3" w14:textId="77777777">
            <w:pPr>
              <w:spacing w:line="276" w:lineRule="auto"/>
              <w:contextualSpacing/>
              <w:jc w:val="center"/>
              <w:rPr>
                <w:sz w:val="18"/>
                <w:szCs w:val="18"/>
              </w:rPr>
            </w:pPr>
            <w:r w:rsidRPr="00D57EC1">
              <w:rPr>
                <w:sz w:val="18"/>
                <w:szCs w:val="18"/>
              </w:rPr>
              <w:t> </w:t>
            </w:r>
          </w:p>
        </w:tc>
        <w:tc>
          <w:tcPr>
            <w:tcW w:w="1116" w:type="dxa"/>
            <w:tcBorders>
              <w:top w:val="single" w:sz="4" w:space="0" w:color="auto"/>
              <w:left w:val="single" w:sz="8" w:space="0" w:color="auto"/>
              <w:bottom w:val="single" w:sz="4" w:space="0" w:color="auto"/>
              <w:right w:val="single" w:sz="4" w:space="0" w:color="auto"/>
            </w:tcBorders>
            <w:shd w:val="clear" w:color="auto" w:fill="auto"/>
            <w:vAlign w:val="center"/>
          </w:tcPr>
          <w:p w:rsidR="0004186D" w:rsidRPr="00D57EC1" w:rsidP="00956E71" w14:paraId="2FDE5456" w14:textId="7F473397">
            <w:pPr>
              <w:spacing w:line="276" w:lineRule="auto"/>
              <w:contextualSpacing/>
              <w:jc w:val="center"/>
              <w:rPr>
                <w:b/>
                <w:bCs/>
                <w:sz w:val="18"/>
                <w:szCs w:val="18"/>
              </w:rPr>
            </w:pPr>
            <w:r w:rsidRPr="00D57EC1">
              <w:rPr>
                <w:b/>
                <w:bCs/>
                <w:sz w:val="18"/>
                <w:szCs w:val="18"/>
              </w:rPr>
              <w:t>33,994</w:t>
            </w:r>
          </w:p>
        </w:tc>
        <w:tc>
          <w:tcPr>
            <w:tcW w:w="81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04186D" w:rsidRPr="00D57EC1" w:rsidP="00956E71" w14:paraId="7F56220F" w14:textId="39C496FE">
            <w:pPr>
              <w:spacing w:line="276" w:lineRule="auto"/>
              <w:contextualSpacing/>
              <w:jc w:val="center"/>
              <w:rPr>
                <w:sz w:val="18"/>
                <w:szCs w:val="18"/>
              </w:rPr>
            </w:pP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04186D" w:rsidRPr="00D57EC1" w:rsidP="00956E71" w14:paraId="266589D8" w14:textId="4F886132">
            <w:pPr>
              <w:spacing w:line="276" w:lineRule="auto"/>
              <w:contextualSpacing/>
              <w:jc w:val="center"/>
              <w:rPr>
                <w:b/>
                <w:bCs/>
                <w:sz w:val="18"/>
                <w:szCs w:val="18"/>
              </w:rPr>
            </w:pPr>
            <w:r w:rsidRPr="00D57EC1">
              <w:rPr>
                <w:sz w:val="18"/>
                <w:szCs w:val="18"/>
              </w:rPr>
              <w:t>$</w:t>
            </w:r>
            <w:r w:rsidRPr="00D57EC1" w:rsidR="008655F3">
              <w:rPr>
                <w:sz w:val="18"/>
                <w:szCs w:val="18"/>
              </w:rPr>
              <w:t>3,311,461</w:t>
            </w:r>
          </w:p>
        </w:tc>
      </w:tr>
    </w:tbl>
    <w:p w:rsidR="00321247" w:rsidRPr="00D57EC1" w14:paraId="73F34FD6" w14:textId="2FC179CC">
      <w:pPr>
        <w:spacing w:line="276" w:lineRule="auto"/>
        <w:contextualSpacing/>
        <w:rPr>
          <w:b/>
        </w:rPr>
      </w:pPr>
    </w:p>
    <w:p w:rsidR="00682A17" w:rsidRPr="00D57EC1" w14:paraId="208E5B18" w14:textId="1E81057E">
      <w:pPr>
        <w:spacing w:line="276" w:lineRule="auto"/>
        <w:contextualSpacing/>
        <w:rPr>
          <w:b/>
          <w:bCs/>
        </w:rPr>
      </w:pPr>
      <w:r w:rsidRPr="00D57EC1">
        <w:rPr>
          <w:b/>
        </w:rPr>
        <w:t>13.</w:t>
      </w:r>
      <w:r w:rsidRPr="00D57EC1">
        <w:t xml:space="preserve">  </w:t>
      </w:r>
      <w:r w:rsidRPr="00D57EC1">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  The cost estimates should be split into two components: The cost estimates should be split into two components:</w:t>
      </w:r>
    </w:p>
    <w:p w:rsidR="00682A17" w:rsidP="001D6FBD" w14:paraId="104969A9" w14:textId="6192710F">
      <w:pPr>
        <w:spacing w:line="276" w:lineRule="auto"/>
        <w:contextualSpacing/>
        <w:rPr>
          <w:b/>
          <w:bCs/>
        </w:rPr>
      </w:pPr>
    </w:p>
    <w:bookmarkStart w:id="11" w:name="_MON_1464598729"/>
    <w:bookmarkEnd w:id="11"/>
    <w:p w:rsidR="00B93B1F" w:rsidP="001D6FBD" w14:paraId="4A08484E" w14:textId="7BCD54C7">
      <w:pPr>
        <w:spacing w:line="276" w:lineRule="auto"/>
        <w:contextualSpacing/>
        <w:rPr>
          <w:b/>
          <w:bCs/>
        </w:rPr>
      </w:pPr>
      <w:r>
        <w:rPr>
          <w:color w:val="2B579A"/>
          <w:shd w:val="clear" w:color="auto" w:fill="E6E6E6"/>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75pt;height:188.15pt" o:oleicon="f" o:ole="">
            <v:imagedata r:id="rId10" o:title=""/>
          </v:shape>
          <o:OLEObject Type="Embed" ProgID="Excel.Sheet.12" ShapeID="_x0000_i1025" DrawAspect="Content" ObjectID="_1738670724" r:id="rId11"/>
        </w:object>
      </w:r>
    </w:p>
    <w:p w:rsidR="00B93B1F" w:rsidRPr="00D57EC1" w14:paraId="0E950957" w14:textId="77777777">
      <w:pPr>
        <w:spacing w:line="276" w:lineRule="auto"/>
        <w:contextualSpacing/>
        <w:rPr>
          <w:b/>
          <w:bCs/>
        </w:rPr>
      </w:pPr>
    </w:p>
    <w:p w:rsidR="00682A17" w:rsidRPr="00D57EC1" w14:paraId="6B6725E0" w14:textId="77777777">
      <w:pPr>
        <w:spacing w:line="276" w:lineRule="auto"/>
        <w:contextualSpacing/>
        <w:rPr>
          <w:b/>
          <w:bCs/>
        </w:rPr>
      </w:pPr>
      <w:r w:rsidRPr="00D57EC1">
        <w:rPr>
          <w:b/>
          <w:bCs/>
        </w:rPr>
        <w:tab/>
        <w:t>a. 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682A17" w14:paraId="6F24E607" w14:textId="226114A4">
      <w:pPr>
        <w:spacing w:line="276" w:lineRule="auto"/>
        <w:contextualSpacing/>
        <w:rPr>
          <w:b/>
          <w:bCs/>
        </w:rPr>
      </w:pPr>
    </w:p>
    <w:p w:rsidR="001D6FBD" w:rsidRPr="00D57EC1" w14:paraId="65F40ED1" w14:textId="411FE383">
      <w:pPr>
        <w:spacing w:line="276" w:lineRule="auto"/>
        <w:contextualSpacing/>
      </w:pPr>
      <w:r w:rsidRPr="00D57EC1">
        <w:t xml:space="preserve">There are no </w:t>
      </w:r>
      <w:r>
        <w:t>operation</w:t>
      </w:r>
      <w:r w:rsidRPr="00D57EC1">
        <w:t xml:space="preserve"> or maintenance costs associated with this information collection. </w:t>
      </w:r>
    </w:p>
    <w:p w:rsidR="001D6FBD" w:rsidRPr="00D57EC1" w14:paraId="0161970C" w14:textId="77777777">
      <w:pPr>
        <w:spacing w:line="276" w:lineRule="auto"/>
        <w:contextualSpacing/>
        <w:rPr>
          <w:b/>
          <w:bCs/>
        </w:rPr>
      </w:pPr>
    </w:p>
    <w:p w:rsidR="00682A17" w:rsidRPr="00D57EC1" w14:paraId="75998ADC" w14:textId="77777777">
      <w:pPr>
        <w:spacing w:line="276" w:lineRule="auto"/>
        <w:contextualSpacing/>
        <w:rPr>
          <w:b/>
          <w:bCs/>
        </w:rPr>
      </w:pPr>
      <w:r w:rsidRPr="00D57EC1">
        <w:rPr>
          <w:b/>
          <w:bCs/>
        </w:rPr>
        <w:tab/>
        <w:t xml:space="preserve">b. Capital and Start-up-Cost should include, among other items, preparations for collecting information such as purchasing computers and software, monitoring sampling, drilling and testing equipment, and record storage facilities. </w:t>
      </w:r>
    </w:p>
    <w:p w:rsidR="00682A17" w:rsidRPr="00D57EC1" w14:paraId="1E70FE8E" w14:textId="77777777">
      <w:pPr>
        <w:spacing w:line="276" w:lineRule="auto"/>
        <w:contextualSpacing/>
      </w:pPr>
    </w:p>
    <w:p w:rsidR="00682A17" w:rsidRPr="00D57EC1" w14:paraId="6FE23EF6" w14:textId="76DB5408">
      <w:pPr>
        <w:spacing w:line="276" w:lineRule="auto"/>
        <w:contextualSpacing/>
      </w:pPr>
      <w:r w:rsidRPr="00D57EC1">
        <w:t>There are no capital</w:t>
      </w:r>
      <w:r w:rsidR="001D6FBD">
        <w:t xml:space="preserve"> or</w:t>
      </w:r>
      <w:r w:rsidRPr="00D57EC1">
        <w:t xml:space="preserve"> start-up costs associated with this information collection. </w:t>
      </w:r>
    </w:p>
    <w:p w:rsidR="00682A17" w:rsidRPr="00D57EC1" w14:paraId="5596581B" w14:textId="77777777">
      <w:pPr>
        <w:spacing w:line="276" w:lineRule="auto"/>
        <w:contextualSpacing/>
      </w:pPr>
    </w:p>
    <w:p w:rsidR="00682A17" w:rsidRPr="00D57EC1" w14:paraId="03BEDDA7" w14:textId="77777777">
      <w:pPr>
        <w:spacing w:line="276" w:lineRule="auto"/>
        <w:contextualSpacing/>
        <w:rPr>
          <w:b/>
          <w:bCs/>
        </w:rPr>
      </w:pPr>
      <w:r w:rsidRPr="00D57EC1">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956E71" w:rsidRPr="00D57EC1" w:rsidP="00993950" w14:paraId="4C49FAFA" w14:textId="008FB5AD">
      <w:pPr>
        <w:spacing w:line="276" w:lineRule="auto"/>
        <w:contextualSpacing/>
        <w:rPr>
          <w:b/>
          <w:bCs/>
        </w:rPr>
      </w:pPr>
      <w:r w:rsidRPr="00D57EC1">
        <w:rPr>
          <w:b/>
          <w:bCs/>
        </w:rPr>
        <w:br w:type="page"/>
      </w:r>
    </w:p>
    <w:p w:rsidR="00682A17" w:rsidRPr="00D57EC1" w:rsidP="00682A17" w14:paraId="24396200" w14:textId="77777777">
      <w:pPr>
        <w:rPr>
          <w:b/>
          <w:bCs/>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55"/>
        <w:gridCol w:w="1530"/>
      </w:tblGrid>
      <w:tr w14:paraId="7DE33FD7" w14:textId="77777777" w:rsidTr="00956E71">
        <w:tblPrEx>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jc w:val="center"/>
        </w:trPr>
        <w:tc>
          <w:tcPr>
            <w:tcW w:w="9985" w:type="dxa"/>
            <w:gridSpan w:val="2"/>
            <w:shd w:val="clear" w:color="auto" w:fill="8EAADB" w:themeFill="accent1" w:themeFillTint="99"/>
            <w:noWrap/>
            <w:vAlign w:val="center"/>
          </w:tcPr>
          <w:p w:rsidR="00682A17" w:rsidRPr="00D57EC1" w:rsidP="00BE2FD0" w14:paraId="4D2E2236" w14:textId="77777777">
            <w:pPr>
              <w:spacing w:line="276" w:lineRule="auto"/>
              <w:contextualSpacing/>
              <w:jc w:val="center"/>
              <w:rPr>
                <w:b/>
                <w:bCs/>
                <w:sz w:val="20"/>
                <w:szCs w:val="20"/>
              </w:rPr>
            </w:pPr>
            <w:r w:rsidRPr="00D57EC1">
              <w:rPr>
                <w:b/>
                <w:bCs/>
                <w:sz w:val="20"/>
                <w:szCs w:val="20"/>
              </w:rPr>
              <w:t>Annual Cost to the Federal Government</w:t>
            </w:r>
          </w:p>
        </w:tc>
      </w:tr>
      <w:tr w14:paraId="0CCE6D55" w14:textId="77777777" w:rsidTr="00BE2FD0">
        <w:tblPrEx>
          <w:tblW w:w="9985" w:type="dxa"/>
          <w:jc w:val="center"/>
          <w:tblLook w:val="0000"/>
        </w:tblPrEx>
        <w:trPr>
          <w:trHeight w:val="70"/>
          <w:jc w:val="center"/>
        </w:trPr>
        <w:tc>
          <w:tcPr>
            <w:tcW w:w="8455" w:type="dxa"/>
            <w:shd w:val="clear" w:color="auto" w:fill="8EAADB" w:themeFill="accent1" w:themeFillTint="99"/>
            <w:noWrap/>
            <w:vAlign w:val="center"/>
          </w:tcPr>
          <w:p w:rsidR="00682A17" w:rsidRPr="00993950" w:rsidP="00BE2FD0" w14:paraId="12150D39" w14:textId="77777777">
            <w:pPr>
              <w:spacing w:line="276" w:lineRule="auto"/>
              <w:contextualSpacing/>
              <w:jc w:val="center"/>
              <w:rPr>
                <w:b/>
                <w:bCs/>
                <w:sz w:val="18"/>
                <w:szCs w:val="18"/>
              </w:rPr>
            </w:pPr>
            <w:r w:rsidRPr="00993950">
              <w:rPr>
                <w:b/>
                <w:bCs/>
                <w:sz w:val="18"/>
                <w:szCs w:val="18"/>
              </w:rPr>
              <w:t>Item</w:t>
            </w:r>
          </w:p>
        </w:tc>
        <w:tc>
          <w:tcPr>
            <w:tcW w:w="1530" w:type="dxa"/>
            <w:shd w:val="clear" w:color="auto" w:fill="8EAADB" w:themeFill="accent1" w:themeFillTint="99"/>
            <w:noWrap/>
          </w:tcPr>
          <w:p w:rsidR="00682A17" w:rsidRPr="00993950" w:rsidP="00BE2FD0" w14:paraId="4CA90FC2" w14:textId="77777777">
            <w:pPr>
              <w:spacing w:line="276" w:lineRule="auto"/>
              <w:contextualSpacing/>
              <w:jc w:val="center"/>
              <w:rPr>
                <w:b/>
                <w:bCs/>
                <w:sz w:val="18"/>
                <w:szCs w:val="18"/>
              </w:rPr>
            </w:pPr>
            <w:r w:rsidRPr="00993950">
              <w:rPr>
                <w:b/>
                <w:bCs/>
                <w:sz w:val="18"/>
                <w:szCs w:val="18"/>
              </w:rPr>
              <w:t>Cost ($)</w:t>
            </w:r>
          </w:p>
        </w:tc>
      </w:tr>
      <w:tr w14:paraId="152DF61A" w14:textId="77777777" w:rsidTr="00BE2FD0">
        <w:tblPrEx>
          <w:tblW w:w="9985" w:type="dxa"/>
          <w:jc w:val="center"/>
          <w:tblLook w:val="0000"/>
        </w:tblPrEx>
        <w:trPr>
          <w:trHeight w:val="260"/>
          <w:jc w:val="center"/>
        </w:trPr>
        <w:tc>
          <w:tcPr>
            <w:tcW w:w="8455" w:type="dxa"/>
          </w:tcPr>
          <w:p w:rsidR="00682A17" w:rsidRPr="00993950" w:rsidP="00BE2FD0" w14:paraId="6644FFE9" w14:textId="77777777">
            <w:pPr>
              <w:spacing w:line="276" w:lineRule="auto"/>
              <w:contextualSpacing/>
              <w:rPr>
                <w:sz w:val="18"/>
                <w:szCs w:val="18"/>
              </w:rPr>
            </w:pPr>
            <w:r w:rsidRPr="00993950">
              <w:rPr>
                <w:b/>
                <w:bCs/>
                <w:sz w:val="18"/>
                <w:szCs w:val="18"/>
              </w:rPr>
              <w:t>Contract Costs:</w:t>
            </w:r>
            <w:r w:rsidRPr="00993950">
              <w:rPr>
                <w:sz w:val="18"/>
                <w:szCs w:val="18"/>
              </w:rPr>
              <w:t xml:space="preserve"> [Describe] </w:t>
            </w:r>
          </w:p>
        </w:tc>
        <w:tc>
          <w:tcPr>
            <w:tcW w:w="1530" w:type="dxa"/>
            <w:vAlign w:val="center"/>
          </w:tcPr>
          <w:p w:rsidR="00682A17" w:rsidRPr="00993950" w:rsidP="00BE2FD0" w14:paraId="001A8A08" w14:textId="77777777">
            <w:pPr>
              <w:spacing w:line="276" w:lineRule="auto"/>
              <w:contextualSpacing/>
              <w:jc w:val="right"/>
              <w:rPr>
                <w:sz w:val="18"/>
                <w:szCs w:val="18"/>
              </w:rPr>
            </w:pPr>
            <w:r w:rsidRPr="00993950">
              <w:rPr>
                <w:sz w:val="18"/>
                <w:szCs w:val="18"/>
              </w:rPr>
              <w:t>$0</w:t>
            </w:r>
          </w:p>
        </w:tc>
      </w:tr>
      <w:tr w14:paraId="2EB432C7" w14:textId="77777777" w:rsidTr="00BE2FD0">
        <w:tblPrEx>
          <w:tblW w:w="9985" w:type="dxa"/>
          <w:jc w:val="center"/>
          <w:tblLook w:val="0000"/>
        </w:tblPrEx>
        <w:trPr>
          <w:trHeight w:val="270"/>
          <w:jc w:val="center"/>
        </w:trPr>
        <w:tc>
          <w:tcPr>
            <w:tcW w:w="8455" w:type="dxa"/>
            <w:noWrap/>
          </w:tcPr>
          <w:p w:rsidR="00C47571" w:rsidRPr="00993950" w:rsidP="00C47571" w14:paraId="408FCB86" w14:textId="1D85F73F">
            <w:pPr>
              <w:spacing w:line="276" w:lineRule="auto"/>
              <w:contextualSpacing/>
              <w:rPr>
                <w:sz w:val="18"/>
                <w:szCs w:val="18"/>
              </w:rPr>
            </w:pPr>
            <w:r w:rsidRPr="00993950">
              <w:rPr>
                <w:b/>
                <w:bCs/>
                <w:sz w:val="18"/>
                <w:szCs w:val="18"/>
              </w:rPr>
              <w:t>Staff Salaries:</w:t>
            </w:r>
            <w:r w:rsidRPr="00993950">
              <w:rPr>
                <w:sz w:val="18"/>
                <w:szCs w:val="18"/>
              </w:rPr>
              <w:t xml:space="preserve">  </w:t>
            </w:r>
            <w:r w:rsidRPr="00993950">
              <w:rPr>
                <w:sz w:val="18"/>
                <w:szCs w:val="18"/>
              </w:rPr>
              <w:br/>
              <w:t>One GS 11, Step 5 employee ($4</w:t>
            </w:r>
            <w:r w:rsidR="006328BB">
              <w:rPr>
                <w:sz w:val="18"/>
                <w:szCs w:val="18"/>
              </w:rPr>
              <w:t>2.68</w:t>
            </w:r>
            <w:r w:rsidRPr="00993950">
              <w:rPr>
                <w:sz w:val="18"/>
                <w:szCs w:val="18"/>
              </w:rPr>
              <w:t>/hour x 1.45 multiplier = $</w:t>
            </w:r>
            <w:r w:rsidR="00A33175">
              <w:rPr>
                <w:sz w:val="18"/>
                <w:szCs w:val="18"/>
              </w:rPr>
              <w:t>61.89</w:t>
            </w:r>
            <w:r w:rsidRPr="00993950">
              <w:rPr>
                <w:sz w:val="18"/>
                <w:szCs w:val="18"/>
              </w:rPr>
              <w:t>) reviewing the project narrative for two hours per narrative ($</w:t>
            </w:r>
            <w:r w:rsidR="00A33175">
              <w:rPr>
                <w:sz w:val="18"/>
                <w:szCs w:val="18"/>
              </w:rPr>
              <w:t>61.89</w:t>
            </w:r>
            <w:r w:rsidRPr="00993950">
              <w:rPr>
                <w:sz w:val="18"/>
                <w:szCs w:val="18"/>
              </w:rPr>
              <w:t xml:space="preserve"> x 2 hours = $1</w:t>
            </w:r>
            <w:r w:rsidR="00A33175">
              <w:rPr>
                <w:sz w:val="18"/>
                <w:szCs w:val="18"/>
              </w:rPr>
              <w:t>23.78</w:t>
            </w:r>
            <w:r w:rsidRPr="00993950">
              <w:rPr>
                <w:sz w:val="18"/>
                <w:szCs w:val="18"/>
              </w:rPr>
              <w:t>) for 1,534 total narratives ($1</w:t>
            </w:r>
            <w:r w:rsidR="00174D62">
              <w:rPr>
                <w:sz w:val="18"/>
                <w:szCs w:val="18"/>
              </w:rPr>
              <w:t>23.78</w:t>
            </w:r>
            <w:r w:rsidRPr="00993950">
              <w:rPr>
                <w:sz w:val="18"/>
                <w:szCs w:val="18"/>
              </w:rPr>
              <w:t xml:space="preserve"> x 1,534 = </w:t>
            </w:r>
            <w:r w:rsidRPr="00993950">
              <w:rPr>
                <w:b/>
                <w:bCs/>
                <w:sz w:val="18"/>
                <w:szCs w:val="18"/>
              </w:rPr>
              <w:t>$18</w:t>
            </w:r>
            <w:r w:rsidR="00174D62">
              <w:rPr>
                <w:b/>
                <w:bCs/>
                <w:sz w:val="18"/>
                <w:szCs w:val="18"/>
              </w:rPr>
              <w:t>9,879</w:t>
            </w:r>
            <w:r w:rsidRPr="00993950">
              <w:rPr>
                <w:sz w:val="18"/>
                <w:szCs w:val="18"/>
              </w:rPr>
              <w:t>)</w:t>
            </w:r>
          </w:p>
          <w:p w:rsidR="00C47571" w:rsidRPr="00993950" w:rsidP="00C47571" w14:paraId="677FA8A5" w14:textId="3EB8473B">
            <w:pPr>
              <w:spacing w:line="276" w:lineRule="auto"/>
              <w:contextualSpacing/>
              <w:rPr>
                <w:sz w:val="18"/>
                <w:szCs w:val="18"/>
              </w:rPr>
            </w:pPr>
            <w:r w:rsidRPr="00993950">
              <w:rPr>
                <w:sz w:val="18"/>
                <w:szCs w:val="18"/>
              </w:rPr>
              <w:br/>
              <w:t>One GS 11, Step 5 employee ($4</w:t>
            </w:r>
            <w:r w:rsidR="006328BB">
              <w:rPr>
                <w:sz w:val="18"/>
                <w:szCs w:val="18"/>
              </w:rPr>
              <w:t>2.68</w:t>
            </w:r>
            <w:r w:rsidRPr="00993950">
              <w:rPr>
                <w:sz w:val="18"/>
                <w:szCs w:val="18"/>
              </w:rPr>
              <w:t>/hour x 1.45 multiplier = $</w:t>
            </w:r>
            <w:r w:rsidR="00D65464">
              <w:rPr>
                <w:sz w:val="18"/>
                <w:szCs w:val="18"/>
              </w:rPr>
              <w:t>61.89</w:t>
            </w:r>
            <w:r w:rsidRPr="00993950">
              <w:rPr>
                <w:sz w:val="18"/>
                <w:szCs w:val="18"/>
              </w:rPr>
              <w:t>) reviewing and recalculating the cost-benefit determinations for three hours per determination ($</w:t>
            </w:r>
            <w:r w:rsidR="00176DC1">
              <w:rPr>
                <w:sz w:val="18"/>
                <w:szCs w:val="18"/>
              </w:rPr>
              <w:t>61.89</w:t>
            </w:r>
            <w:r w:rsidRPr="00993950">
              <w:rPr>
                <w:sz w:val="18"/>
                <w:szCs w:val="18"/>
              </w:rPr>
              <w:t xml:space="preserve"> x 3 hours = $1</w:t>
            </w:r>
            <w:r w:rsidR="00176DC1">
              <w:rPr>
                <w:sz w:val="18"/>
                <w:szCs w:val="18"/>
              </w:rPr>
              <w:t>85.67</w:t>
            </w:r>
            <w:r w:rsidRPr="00993950">
              <w:rPr>
                <w:sz w:val="18"/>
                <w:szCs w:val="18"/>
              </w:rPr>
              <w:t>) for 1,534 total determinations ($1</w:t>
            </w:r>
            <w:r w:rsidR="00E66436">
              <w:rPr>
                <w:sz w:val="18"/>
                <w:szCs w:val="18"/>
              </w:rPr>
              <w:t>855.67</w:t>
            </w:r>
            <w:r w:rsidRPr="00993950">
              <w:rPr>
                <w:sz w:val="18"/>
                <w:szCs w:val="18"/>
              </w:rPr>
              <w:t xml:space="preserve"> x 1,534 = </w:t>
            </w:r>
            <w:r w:rsidRPr="00993950">
              <w:rPr>
                <w:b/>
                <w:bCs/>
                <w:sz w:val="18"/>
                <w:szCs w:val="18"/>
              </w:rPr>
              <w:t>$2</w:t>
            </w:r>
            <w:r w:rsidR="00176DC1">
              <w:rPr>
                <w:b/>
                <w:bCs/>
                <w:sz w:val="18"/>
                <w:szCs w:val="18"/>
              </w:rPr>
              <w:t>84,818</w:t>
            </w:r>
            <w:r w:rsidRPr="00993950">
              <w:rPr>
                <w:sz w:val="18"/>
                <w:szCs w:val="18"/>
              </w:rPr>
              <w:t>)</w:t>
            </w:r>
            <w:r w:rsidRPr="00993950">
              <w:rPr>
                <w:sz w:val="18"/>
                <w:szCs w:val="18"/>
              </w:rPr>
              <w:br/>
            </w:r>
          </w:p>
          <w:p w:rsidR="00C47571" w:rsidRPr="00993950" w:rsidP="00C47571" w14:paraId="2775C165" w14:textId="2E98FB9E">
            <w:pPr>
              <w:spacing w:line="276" w:lineRule="auto"/>
              <w:contextualSpacing/>
              <w:rPr>
                <w:sz w:val="18"/>
                <w:szCs w:val="18"/>
              </w:rPr>
            </w:pPr>
            <w:r w:rsidRPr="00993950">
              <w:rPr>
                <w:sz w:val="18"/>
                <w:szCs w:val="18"/>
              </w:rPr>
              <w:t>One GS 12, Step 5 employee ($</w:t>
            </w:r>
            <w:r w:rsidR="006328BB">
              <w:rPr>
                <w:sz w:val="18"/>
                <w:szCs w:val="18"/>
              </w:rPr>
              <w:t>51.15</w:t>
            </w:r>
            <w:r w:rsidRPr="00993950">
              <w:rPr>
                <w:sz w:val="18"/>
                <w:szCs w:val="18"/>
              </w:rPr>
              <w:t>/hour x 1.45 multiplier = $7</w:t>
            </w:r>
            <w:r w:rsidR="00022837">
              <w:rPr>
                <w:sz w:val="18"/>
                <w:szCs w:val="18"/>
              </w:rPr>
              <w:t>4.17</w:t>
            </w:r>
            <w:r w:rsidRPr="00993950">
              <w:rPr>
                <w:sz w:val="18"/>
                <w:szCs w:val="18"/>
              </w:rPr>
              <w:t>) managing an environmental review for 13 hours ($7</w:t>
            </w:r>
            <w:r w:rsidR="001C19A1">
              <w:rPr>
                <w:sz w:val="18"/>
                <w:szCs w:val="18"/>
              </w:rPr>
              <w:t>4.17</w:t>
            </w:r>
            <w:r w:rsidRPr="00993950">
              <w:rPr>
                <w:sz w:val="18"/>
                <w:szCs w:val="18"/>
              </w:rPr>
              <w:t xml:space="preserve"> x 13 = $9</w:t>
            </w:r>
            <w:r w:rsidR="001C19A1">
              <w:rPr>
                <w:sz w:val="18"/>
                <w:szCs w:val="18"/>
              </w:rPr>
              <w:t>64.21</w:t>
            </w:r>
            <w:r w:rsidRPr="00993950">
              <w:rPr>
                <w:sz w:val="18"/>
                <w:szCs w:val="18"/>
              </w:rPr>
              <w:t>) for 1,534 reviews ($9</w:t>
            </w:r>
            <w:r w:rsidR="00111027">
              <w:rPr>
                <w:sz w:val="18"/>
                <w:szCs w:val="18"/>
              </w:rPr>
              <w:t>64.21</w:t>
            </w:r>
            <w:r w:rsidRPr="00993950">
              <w:rPr>
                <w:sz w:val="18"/>
                <w:szCs w:val="18"/>
              </w:rPr>
              <w:t xml:space="preserve"> x 1,534 = </w:t>
            </w:r>
            <w:r w:rsidRPr="00993950">
              <w:rPr>
                <w:b/>
                <w:bCs/>
                <w:sz w:val="18"/>
                <w:szCs w:val="18"/>
              </w:rPr>
              <w:t>$1,4</w:t>
            </w:r>
            <w:r w:rsidR="00111027">
              <w:rPr>
                <w:b/>
                <w:bCs/>
                <w:sz w:val="18"/>
                <w:szCs w:val="18"/>
              </w:rPr>
              <w:t>79,098</w:t>
            </w:r>
            <w:r w:rsidRPr="00993950">
              <w:rPr>
                <w:sz w:val="18"/>
                <w:szCs w:val="18"/>
              </w:rPr>
              <w:t>)</w:t>
            </w:r>
          </w:p>
          <w:p w:rsidR="00C47571" w:rsidRPr="00993950" w:rsidP="00C47571" w14:paraId="6B891867" w14:textId="08478367">
            <w:pPr>
              <w:spacing w:line="276" w:lineRule="auto"/>
              <w:contextualSpacing/>
              <w:rPr>
                <w:sz w:val="18"/>
                <w:szCs w:val="18"/>
              </w:rPr>
            </w:pPr>
            <w:r w:rsidRPr="00993950">
              <w:rPr>
                <w:sz w:val="18"/>
                <w:szCs w:val="18"/>
              </w:rPr>
              <w:br/>
              <w:t>Four GS 11, Step 5 employees ($4</w:t>
            </w:r>
            <w:r w:rsidR="00037972">
              <w:rPr>
                <w:sz w:val="18"/>
                <w:szCs w:val="18"/>
              </w:rPr>
              <w:t>2.68</w:t>
            </w:r>
            <w:r w:rsidRPr="00993950">
              <w:rPr>
                <w:sz w:val="18"/>
                <w:szCs w:val="18"/>
              </w:rPr>
              <w:t>/hour x 1.45 multiplier = $</w:t>
            </w:r>
            <w:r w:rsidR="00D65464">
              <w:rPr>
                <w:sz w:val="18"/>
                <w:szCs w:val="18"/>
              </w:rPr>
              <w:t>61.89</w:t>
            </w:r>
            <w:r w:rsidRPr="00993950">
              <w:rPr>
                <w:sz w:val="18"/>
                <w:szCs w:val="18"/>
              </w:rPr>
              <w:t>) conducting audits for 25 hours ($</w:t>
            </w:r>
            <w:r w:rsidR="006A78E1">
              <w:rPr>
                <w:sz w:val="18"/>
                <w:szCs w:val="18"/>
              </w:rPr>
              <w:t>61.89</w:t>
            </w:r>
            <w:r w:rsidRPr="00993950">
              <w:rPr>
                <w:sz w:val="18"/>
                <w:szCs w:val="18"/>
              </w:rPr>
              <w:t xml:space="preserve"> x 25 = $1,</w:t>
            </w:r>
            <w:r w:rsidR="006A78E1">
              <w:rPr>
                <w:sz w:val="18"/>
                <w:szCs w:val="18"/>
              </w:rPr>
              <w:t>547.25</w:t>
            </w:r>
            <w:r w:rsidRPr="00993950">
              <w:rPr>
                <w:sz w:val="18"/>
                <w:szCs w:val="18"/>
              </w:rPr>
              <w:t>) for 59 audits ($1,</w:t>
            </w:r>
            <w:r w:rsidR="006521B2">
              <w:rPr>
                <w:sz w:val="18"/>
                <w:szCs w:val="18"/>
              </w:rPr>
              <w:t>547.25</w:t>
            </w:r>
            <w:r w:rsidRPr="00993950">
              <w:rPr>
                <w:sz w:val="18"/>
                <w:szCs w:val="18"/>
              </w:rPr>
              <w:t xml:space="preserve"> x 59 = $</w:t>
            </w:r>
            <w:r w:rsidR="006521B2">
              <w:rPr>
                <w:sz w:val="18"/>
                <w:szCs w:val="18"/>
              </w:rPr>
              <w:t>91,287.75</w:t>
            </w:r>
            <w:r w:rsidRPr="00993950">
              <w:rPr>
                <w:sz w:val="18"/>
                <w:szCs w:val="18"/>
              </w:rPr>
              <w:t>) each (4 x $</w:t>
            </w:r>
            <w:r w:rsidR="006521B2">
              <w:rPr>
                <w:sz w:val="18"/>
                <w:szCs w:val="18"/>
              </w:rPr>
              <w:t>91,</w:t>
            </w:r>
            <w:r w:rsidR="004628F1">
              <w:rPr>
                <w:sz w:val="18"/>
                <w:szCs w:val="18"/>
              </w:rPr>
              <w:t>287.25</w:t>
            </w:r>
            <w:r w:rsidRPr="00993950">
              <w:rPr>
                <w:sz w:val="18"/>
                <w:szCs w:val="18"/>
              </w:rPr>
              <w:t xml:space="preserve"> = </w:t>
            </w:r>
            <w:r w:rsidRPr="00993950">
              <w:rPr>
                <w:b/>
                <w:bCs/>
                <w:sz w:val="18"/>
                <w:szCs w:val="18"/>
              </w:rPr>
              <w:t>$3</w:t>
            </w:r>
            <w:r w:rsidR="004628F1">
              <w:rPr>
                <w:b/>
                <w:bCs/>
                <w:sz w:val="18"/>
                <w:szCs w:val="18"/>
              </w:rPr>
              <w:t>65,151</w:t>
            </w:r>
            <w:r w:rsidRPr="00993950">
              <w:rPr>
                <w:sz w:val="18"/>
                <w:szCs w:val="18"/>
              </w:rPr>
              <w:t>)</w:t>
            </w:r>
            <w:r w:rsidRPr="00993950">
              <w:rPr>
                <w:sz w:val="18"/>
                <w:szCs w:val="18"/>
              </w:rPr>
              <w:br/>
            </w:r>
          </w:p>
          <w:p w:rsidR="00C47571" w:rsidRPr="00993950" w:rsidP="00C47571" w14:paraId="1E005FFB" w14:textId="718C939F">
            <w:pPr>
              <w:spacing w:line="276" w:lineRule="auto"/>
              <w:contextualSpacing/>
              <w:rPr>
                <w:sz w:val="18"/>
                <w:szCs w:val="18"/>
              </w:rPr>
            </w:pPr>
            <w:r w:rsidRPr="00993950">
              <w:rPr>
                <w:sz w:val="18"/>
                <w:szCs w:val="18"/>
              </w:rPr>
              <w:t>$18</w:t>
            </w:r>
            <w:r w:rsidR="005D5132">
              <w:rPr>
                <w:sz w:val="18"/>
                <w:szCs w:val="18"/>
              </w:rPr>
              <w:t>9,879</w:t>
            </w:r>
            <w:r w:rsidRPr="00993950">
              <w:rPr>
                <w:sz w:val="18"/>
                <w:szCs w:val="18"/>
              </w:rPr>
              <w:t xml:space="preserve"> + $2</w:t>
            </w:r>
            <w:r w:rsidR="005D5132">
              <w:rPr>
                <w:sz w:val="18"/>
                <w:szCs w:val="18"/>
              </w:rPr>
              <w:t>84,818</w:t>
            </w:r>
            <w:r w:rsidRPr="00993950">
              <w:rPr>
                <w:sz w:val="18"/>
                <w:szCs w:val="18"/>
              </w:rPr>
              <w:t xml:space="preserve"> + $1,4</w:t>
            </w:r>
            <w:r w:rsidR="004628F1">
              <w:rPr>
                <w:sz w:val="18"/>
                <w:szCs w:val="18"/>
              </w:rPr>
              <w:t>79,089</w:t>
            </w:r>
            <w:r w:rsidRPr="00993950">
              <w:rPr>
                <w:sz w:val="18"/>
                <w:szCs w:val="18"/>
              </w:rPr>
              <w:t xml:space="preserve"> + $3</w:t>
            </w:r>
            <w:r w:rsidR="004628F1">
              <w:rPr>
                <w:sz w:val="18"/>
                <w:szCs w:val="18"/>
              </w:rPr>
              <w:t>65,151</w:t>
            </w:r>
            <w:r w:rsidRPr="00993950">
              <w:rPr>
                <w:sz w:val="18"/>
                <w:szCs w:val="18"/>
              </w:rPr>
              <w:t xml:space="preserve"> = </w:t>
            </w:r>
            <w:r w:rsidRPr="00993950">
              <w:rPr>
                <w:b/>
                <w:bCs/>
                <w:sz w:val="18"/>
                <w:szCs w:val="18"/>
              </w:rPr>
              <w:t>$2,</w:t>
            </w:r>
            <w:r w:rsidR="00FC3F31">
              <w:rPr>
                <w:b/>
                <w:bCs/>
                <w:sz w:val="18"/>
                <w:szCs w:val="18"/>
              </w:rPr>
              <w:t>318,946</w:t>
            </w:r>
          </w:p>
        </w:tc>
        <w:tc>
          <w:tcPr>
            <w:tcW w:w="1530" w:type="dxa"/>
            <w:noWrap/>
            <w:vAlign w:val="center"/>
          </w:tcPr>
          <w:p w:rsidR="00C47571" w:rsidRPr="00993950" w:rsidP="00C47571" w14:paraId="0F6EF4DB" w14:textId="390833EC">
            <w:pPr>
              <w:spacing w:line="276" w:lineRule="auto"/>
              <w:contextualSpacing/>
              <w:jc w:val="right"/>
              <w:rPr>
                <w:sz w:val="18"/>
                <w:szCs w:val="18"/>
              </w:rPr>
            </w:pPr>
            <w:r w:rsidRPr="00993950">
              <w:rPr>
                <w:sz w:val="18"/>
                <w:szCs w:val="18"/>
              </w:rPr>
              <w:t>$</w:t>
            </w:r>
            <w:r w:rsidRPr="00993950">
              <w:rPr>
                <w:b/>
                <w:bCs/>
                <w:sz w:val="18"/>
                <w:szCs w:val="18"/>
              </w:rPr>
              <w:t>2,</w:t>
            </w:r>
            <w:r w:rsidR="00F02A3C">
              <w:rPr>
                <w:b/>
                <w:bCs/>
                <w:sz w:val="18"/>
                <w:szCs w:val="18"/>
              </w:rPr>
              <w:t>318,946</w:t>
            </w:r>
          </w:p>
        </w:tc>
      </w:tr>
      <w:tr w14:paraId="6AECCB22" w14:textId="77777777" w:rsidTr="00BE2FD0">
        <w:tblPrEx>
          <w:tblW w:w="9985" w:type="dxa"/>
          <w:jc w:val="center"/>
          <w:tblLook w:val="0000"/>
        </w:tblPrEx>
        <w:trPr>
          <w:trHeight w:val="240"/>
          <w:jc w:val="center"/>
        </w:trPr>
        <w:tc>
          <w:tcPr>
            <w:tcW w:w="8455" w:type="dxa"/>
            <w:noWrap/>
          </w:tcPr>
          <w:p w:rsidR="00C47571" w:rsidRPr="00993950" w:rsidP="00C47571" w14:paraId="520CBF21" w14:textId="77777777">
            <w:pPr>
              <w:spacing w:line="276" w:lineRule="auto"/>
              <w:contextualSpacing/>
              <w:rPr>
                <w:sz w:val="18"/>
                <w:szCs w:val="18"/>
              </w:rPr>
            </w:pPr>
            <w:r w:rsidRPr="00993950">
              <w:rPr>
                <w:b/>
                <w:bCs/>
                <w:sz w:val="18"/>
                <w:szCs w:val="18"/>
              </w:rPr>
              <w:t>Computer Hardware and Software</w:t>
            </w:r>
            <w:r w:rsidRPr="00993950">
              <w:rPr>
                <w:sz w:val="18"/>
                <w:szCs w:val="18"/>
              </w:rPr>
              <w:t xml:space="preserve"> [cost of equipment annual lifecycle]</w:t>
            </w:r>
          </w:p>
        </w:tc>
        <w:tc>
          <w:tcPr>
            <w:tcW w:w="1530" w:type="dxa"/>
            <w:noWrap/>
            <w:vAlign w:val="center"/>
          </w:tcPr>
          <w:p w:rsidR="00C47571" w:rsidRPr="00993950" w:rsidP="00C47571" w14:paraId="4E0D2FBA" w14:textId="77777777">
            <w:pPr>
              <w:spacing w:line="276" w:lineRule="auto"/>
              <w:contextualSpacing/>
              <w:jc w:val="right"/>
              <w:rPr>
                <w:sz w:val="18"/>
                <w:szCs w:val="18"/>
              </w:rPr>
            </w:pPr>
            <w:r w:rsidRPr="00993950">
              <w:rPr>
                <w:sz w:val="18"/>
                <w:szCs w:val="18"/>
              </w:rPr>
              <w:t>$0</w:t>
            </w:r>
          </w:p>
        </w:tc>
      </w:tr>
      <w:tr w14:paraId="1AFBCE14" w14:textId="77777777" w:rsidTr="00BE2FD0">
        <w:tblPrEx>
          <w:tblW w:w="9985" w:type="dxa"/>
          <w:jc w:val="center"/>
          <w:tblLook w:val="0000"/>
        </w:tblPrEx>
        <w:trPr>
          <w:trHeight w:val="255"/>
          <w:jc w:val="center"/>
        </w:trPr>
        <w:tc>
          <w:tcPr>
            <w:tcW w:w="8455" w:type="dxa"/>
            <w:noWrap/>
          </w:tcPr>
          <w:p w:rsidR="00C47571" w:rsidRPr="00993950" w:rsidP="00C47571" w14:paraId="1939CC05" w14:textId="77777777">
            <w:pPr>
              <w:spacing w:line="276" w:lineRule="auto"/>
              <w:contextualSpacing/>
              <w:rPr>
                <w:sz w:val="18"/>
                <w:szCs w:val="18"/>
              </w:rPr>
            </w:pPr>
            <w:r w:rsidRPr="00993950">
              <w:rPr>
                <w:b/>
                <w:bCs/>
                <w:sz w:val="18"/>
                <w:szCs w:val="18"/>
              </w:rPr>
              <w:t>Equipment Maintenance</w:t>
            </w:r>
            <w:r w:rsidRPr="00993950">
              <w:rPr>
                <w:sz w:val="18"/>
                <w:szCs w:val="18"/>
              </w:rPr>
              <w:t xml:space="preserve"> [cost of annual maintenance/service agreements for equipment]</w:t>
            </w:r>
          </w:p>
        </w:tc>
        <w:tc>
          <w:tcPr>
            <w:tcW w:w="1530" w:type="dxa"/>
            <w:noWrap/>
            <w:vAlign w:val="center"/>
          </w:tcPr>
          <w:p w:rsidR="00C47571" w:rsidRPr="00993950" w:rsidP="00C47571" w14:paraId="5954883F" w14:textId="77777777">
            <w:pPr>
              <w:spacing w:line="276" w:lineRule="auto"/>
              <w:contextualSpacing/>
              <w:jc w:val="right"/>
              <w:rPr>
                <w:sz w:val="18"/>
                <w:szCs w:val="18"/>
              </w:rPr>
            </w:pPr>
            <w:r w:rsidRPr="00993950">
              <w:rPr>
                <w:sz w:val="18"/>
                <w:szCs w:val="18"/>
              </w:rPr>
              <w:t>$0</w:t>
            </w:r>
          </w:p>
        </w:tc>
      </w:tr>
      <w:tr w14:paraId="3BD5633E" w14:textId="77777777" w:rsidTr="00BE2FD0">
        <w:tblPrEx>
          <w:tblW w:w="9985" w:type="dxa"/>
          <w:jc w:val="center"/>
          <w:tblLook w:val="0000"/>
        </w:tblPrEx>
        <w:trPr>
          <w:trHeight w:val="255"/>
          <w:jc w:val="center"/>
        </w:trPr>
        <w:tc>
          <w:tcPr>
            <w:tcW w:w="8455" w:type="dxa"/>
            <w:noWrap/>
          </w:tcPr>
          <w:p w:rsidR="00C47571" w:rsidRPr="00993950" w:rsidP="00C47571" w14:paraId="491D8C0A" w14:textId="77777777">
            <w:pPr>
              <w:spacing w:line="276" w:lineRule="auto"/>
              <w:contextualSpacing/>
              <w:rPr>
                <w:b/>
                <w:bCs/>
                <w:sz w:val="18"/>
                <w:szCs w:val="18"/>
              </w:rPr>
            </w:pPr>
            <w:r w:rsidRPr="00993950">
              <w:rPr>
                <w:b/>
                <w:bCs/>
                <w:sz w:val="18"/>
                <w:szCs w:val="18"/>
              </w:rPr>
              <w:t xml:space="preserve">Travel: </w:t>
            </w:r>
          </w:p>
        </w:tc>
        <w:tc>
          <w:tcPr>
            <w:tcW w:w="1530" w:type="dxa"/>
            <w:noWrap/>
            <w:vAlign w:val="center"/>
          </w:tcPr>
          <w:p w:rsidR="00C47571" w:rsidRPr="00993950" w:rsidP="00C47571" w14:paraId="0D922D02" w14:textId="77777777">
            <w:pPr>
              <w:spacing w:line="276" w:lineRule="auto"/>
              <w:contextualSpacing/>
              <w:jc w:val="right"/>
              <w:rPr>
                <w:sz w:val="18"/>
                <w:szCs w:val="18"/>
              </w:rPr>
            </w:pPr>
            <w:r w:rsidRPr="00993950">
              <w:rPr>
                <w:sz w:val="18"/>
                <w:szCs w:val="18"/>
              </w:rPr>
              <w:t>$0</w:t>
            </w:r>
          </w:p>
        </w:tc>
      </w:tr>
      <w:tr w14:paraId="5ED694C9" w14:textId="77777777" w:rsidTr="00BE2FD0">
        <w:tblPrEx>
          <w:tblW w:w="9985" w:type="dxa"/>
          <w:jc w:val="center"/>
          <w:tblLook w:val="0000"/>
        </w:tblPrEx>
        <w:trPr>
          <w:trHeight w:val="255"/>
          <w:jc w:val="center"/>
        </w:trPr>
        <w:tc>
          <w:tcPr>
            <w:tcW w:w="8455" w:type="dxa"/>
            <w:noWrap/>
          </w:tcPr>
          <w:p w:rsidR="00C47571" w:rsidRPr="00993950" w:rsidP="00C47571" w14:paraId="044D203D" w14:textId="77777777">
            <w:pPr>
              <w:spacing w:line="276" w:lineRule="auto"/>
              <w:contextualSpacing/>
              <w:rPr>
                <w:sz w:val="18"/>
                <w:szCs w:val="18"/>
              </w:rPr>
            </w:pPr>
            <w:r w:rsidRPr="00993950">
              <w:rPr>
                <w:b/>
                <w:bCs/>
                <w:sz w:val="18"/>
                <w:szCs w:val="18"/>
              </w:rPr>
              <w:t>Printing:</w:t>
            </w:r>
            <w:r w:rsidRPr="00993950">
              <w:rPr>
                <w:sz w:val="18"/>
                <w:szCs w:val="18"/>
              </w:rPr>
              <w:t xml:space="preserve"> [number of data collection instruments annually]</w:t>
            </w:r>
          </w:p>
        </w:tc>
        <w:tc>
          <w:tcPr>
            <w:tcW w:w="1530" w:type="dxa"/>
            <w:noWrap/>
            <w:vAlign w:val="center"/>
          </w:tcPr>
          <w:p w:rsidR="00C47571" w:rsidRPr="00993950" w:rsidP="00C47571" w14:paraId="1DDA680E" w14:textId="77777777">
            <w:pPr>
              <w:spacing w:line="276" w:lineRule="auto"/>
              <w:contextualSpacing/>
              <w:jc w:val="right"/>
              <w:rPr>
                <w:sz w:val="18"/>
                <w:szCs w:val="18"/>
              </w:rPr>
            </w:pPr>
            <w:r w:rsidRPr="00993950">
              <w:rPr>
                <w:sz w:val="18"/>
                <w:szCs w:val="18"/>
              </w:rPr>
              <w:t>$0</w:t>
            </w:r>
          </w:p>
        </w:tc>
      </w:tr>
      <w:tr w14:paraId="11039306" w14:textId="77777777" w:rsidTr="00BE2FD0">
        <w:tblPrEx>
          <w:tblW w:w="9985" w:type="dxa"/>
          <w:jc w:val="center"/>
          <w:tblLook w:val="0000"/>
        </w:tblPrEx>
        <w:trPr>
          <w:trHeight w:val="255"/>
          <w:jc w:val="center"/>
        </w:trPr>
        <w:tc>
          <w:tcPr>
            <w:tcW w:w="8455" w:type="dxa"/>
            <w:noWrap/>
          </w:tcPr>
          <w:p w:rsidR="00C47571" w:rsidRPr="00993950" w:rsidP="00C47571" w14:paraId="6916C998" w14:textId="77777777">
            <w:pPr>
              <w:spacing w:line="276" w:lineRule="auto"/>
              <w:contextualSpacing/>
              <w:rPr>
                <w:sz w:val="18"/>
                <w:szCs w:val="18"/>
              </w:rPr>
            </w:pPr>
            <w:r w:rsidRPr="00993950">
              <w:rPr>
                <w:b/>
                <w:bCs/>
                <w:sz w:val="18"/>
                <w:szCs w:val="18"/>
              </w:rPr>
              <w:t>Postage:</w:t>
            </w:r>
            <w:r w:rsidRPr="00993950">
              <w:rPr>
                <w:sz w:val="18"/>
                <w:szCs w:val="18"/>
              </w:rPr>
              <w:t xml:space="preserve"> [annual number of data collection instruments x postage]</w:t>
            </w:r>
          </w:p>
        </w:tc>
        <w:tc>
          <w:tcPr>
            <w:tcW w:w="1530" w:type="dxa"/>
            <w:noWrap/>
            <w:vAlign w:val="center"/>
          </w:tcPr>
          <w:p w:rsidR="00C47571" w:rsidRPr="00993950" w:rsidP="00C47571" w14:paraId="2A40BF9C" w14:textId="77777777">
            <w:pPr>
              <w:spacing w:line="276" w:lineRule="auto"/>
              <w:contextualSpacing/>
              <w:jc w:val="right"/>
              <w:rPr>
                <w:sz w:val="18"/>
                <w:szCs w:val="18"/>
              </w:rPr>
            </w:pPr>
            <w:r w:rsidRPr="00993950">
              <w:rPr>
                <w:sz w:val="18"/>
                <w:szCs w:val="18"/>
              </w:rPr>
              <w:t>$0</w:t>
            </w:r>
          </w:p>
        </w:tc>
      </w:tr>
      <w:tr w14:paraId="278ACAC6" w14:textId="77777777" w:rsidTr="00BE2FD0">
        <w:tblPrEx>
          <w:tblW w:w="9985" w:type="dxa"/>
          <w:jc w:val="center"/>
          <w:tblLook w:val="0000"/>
        </w:tblPrEx>
        <w:trPr>
          <w:trHeight w:val="255"/>
          <w:jc w:val="center"/>
        </w:trPr>
        <w:tc>
          <w:tcPr>
            <w:tcW w:w="8455" w:type="dxa"/>
            <w:noWrap/>
          </w:tcPr>
          <w:p w:rsidR="00C47571" w:rsidRPr="00993950" w:rsidP="00C47571" w14:paraId="512C0E5E" w14:textId="77777777">
            <w:pPr>
              <w:spacing w:line="276" w:lineRule="auto"/>
              <w:contextualSpacing/>
              <w:rPr>
                <w:b/>
                <w:bCs/>
                <w:sz w:val="18"/>
                <w:szCs w:val="18"/>
              </w:rPr>
            </w:pPr>
            <w:r w:rsidRPr="00993950">
              <w:rPr>
                <w:b/>
                <w:bCs/>
                <w:sz w:val="18"/>
                <w:szCs w:val="18"/>
              </w:rPr>
              <w:t xml:space="preserve">Other:  </w:t>
            </w:r>
          </w:p>
        </w:tc>
        <w:tc>
          <w:tcPr>
            <w:tcW w:w="1530" w:type="dxa"/>
            <w:noWrap/>
            <w:vAlign w:val="center"/>
          </w:tcPr>
          <w:p w:rsidR="00C47571" w:rsidRPr="00993950" w:rsidP="00C47571" w14:paraId="2230070A" w14:textId="77777777">
            <w:pPr>
              <w:spacing w:line="276" w:lineRule="auto"/>
              <w:contextualSpacing/>
              <w:jc w:val="right"/>
              <w:rPr>
                <w:sz w:val="18"/>
                <w:szCs w:val="18"/>
              </w:rPr>
            </w:pPr>
            <w:r w:rsidRPr="00993950">
              <w:rPr>
                <w:sz w:val="18"/>
                <w:szCs w:val="18"/>
              </w:rPr>
              <w:t>$0</w:t>
            </w:r>
          </w:p>
        </w:tc>
      </w:tr>
      <w:tr w14:paraId="2EDDC46A" w14:textId="77777777" w:rsidTr="00BE2FD0">
        <w:tblPrEx>
          <w:tblW w:w="9985" w:type="dxa"/>
          <w:jc w:val="center"/>
          <w:tblLook w:val="0000"/>
        </w:tblPrEx>
        <w:trPr>
          <w:trHeight w:val="270"/>
          <w:jc w:val="center"/>
        </w:trPr>
        <w:tc>
          <w:tcPr>
            <w:tcW w:w="8455" w:type="dxa"/>
            <w:noWrap/>
          </w:tcPr>
          <w:p w:rsidR="00C47571" w:rsidRPr="00993950" w:rsidP="00C47571" w14:paraId="1291D3FE" w14:textId="77777777">
            <w:pPr>
              <w:spacing w:line="276" w:lineRule="auto"/>
              <w:contextualSpacing/>
              <w:rPr>
                <w:b/>
                <w:bCs/>
                <w:sz w:val="18"/>
                <w:szCs w:val="18"/>
              </w:rPr>
            </w:pPr>
            <w:r w:rsidRPr="00993950">
              <w:rPr>
                <w:b/>
                <w:bCs/>
                <w:sz w:val="18"/>
                <w:szCs w:val="18"/>
              </w:rPr>
              <w:t>Total</w:t>
            </w:r>
          </w:p>
        </w:tc>
        <w:tc>
          <w:tcPr>
            <w:tcW w:w="1530" w:type="dxa"/>
            <w:noWrap/>
            <w:vAlign w:val="center"/>
          </w:tcPr>
          <w:p w:rsidR="00C47571" w:rsidRPr="00993950" w:rsidP="00C47571" w14:paraId="7F7E6460" w14:textId="0ABCB3A3">
            <w:pPr>
              <w:spacing w:line="276" w:lineRule="auto"/>
              <w:contextualSpacing/>
              <w:jc w:val="right"/>
              <w:rPr>
                <w:b/>
                <w:bCs/>
                <w:sz w:val="18"/>
                <w:szCs w:val="18"/>
              </w:rPr>
            </w:pPr>
            <w:r w:rsidRPr="00993950">
              <w:rPr>
                <w:sz w:val="18"/>
                <w:szCs w:val="18"/>
              </w:rPr>
              <w:t>$</w:t>
            </w:r>
            <w:r w:rsidRPr="00993950">
              <w:rPr>
                <w:b/>
                <w:bCs/>
                <w:sz w:val="18"/>
                <w:szCs w:val="18"/>
              </w:rPr>
              <w:t>2,</w:t>
            </w:r>
            <w:r w:rsidR="00F02A3C">
              <w:rPr>
                <w:b/>
                <w:bCs/>
                <w:sz w:val="18"/>
                <w:szCs w:val="18"/>
              </w:rPr>
              <w:t>318,946</w:t>
            </w:r>
          </w:p>
        </w:tc>
      </w:tr>
      <w:tr w14:paraId="03A1E1FD" w14:textId="77777777" w:rsidTr="00BE2FD0">
        <w:tblPrEx>
          <w:tblW w:w="9985" w:type="dxa"/>
          <w:jc w:val="center"/>
          <w:tblLook w:val="0000"/>
        </w:tblPrEx>
        <w:trPr>
          <w:trHeight w:val="270"/>
          <w:jc w:val="center"/>
        </w:trPr>
        <w:tc>
          <w:tcPr>
            <w:tcW w:w="9985" w:type="dxa"/>
            <w:gridSpan w:val="2"/>
            <w:noWrap/>
          </w:tcPr>
          <w:p w:rsidR="00FD5938" w:rsidP="00993950" w14:paraId="63147C31" w14:textId="044431F6">
            <w:pPr>
              <w:spacing w:line="276" w:lineRule="auto"/>
              <w:contextualSpacing/>
              <w:rPr>
                <w:rFonts w:eastAsia="Calibri"/>
                <w:sz w:val="16"/>
                <w:szCs w:val="16"/>
              </w:rPr>
            </w:pPr>
            <w:r w:rsidRPr="00993950">
              <w:rPr>
                <w:rFonts w:eastAsia="Calibri"/>
                <w:sz w:val="16"/>
                <w:szCs w:val="16"/>
              </w:rPr>
              <w:t>* Office of Personnel Management 202</w:t>
            </w:r>
            <w:r>
              <w:rPr>
                <w:rFonts w:eastAsia="Calibri"/>
                <w:sz w:val="16"/>
                <w:szCs w:val="16"/>
              </w:rPr>
              <w:t>3</w:t>
            </w:r>
            <w:r w:rsidRPr="00993950">
              <w:rPr>
                <w:rFonts w:eastAsia="Calibri"/>
                <w:sz w:val="16"/>
                <w:szCs w:val="16"/>
              </w:rPr>
              <w:t xml:space="preserve"> Pay and Leave Tables for the Washington-Baltimore-Arlington, DC-MD-VA-WV-PA locality.  Available online at </w:t>
            </w:r>
            <w:hyperlink r:id="rId12" w:history="1">
              <w:r w:rsidRPr="00ED6458">
                <w:rPr>
                  <w:rStyle w:val="Hyperlink"/>
                  <w:rFonts w:eastAsia="Calibri"/>
                  <w:sz w:val="16"/>
                  <w:szCs w:val="16"/>
                </w:rPr>
                <w:t>https://www.opm.gov/policy-data-oversight/pay-leave/salaries-wages/salary-tables/pdf/2023/DCB_h.pdf</w:t>
              </w:r>
            </w:hyperlink>
          </w:p>
          <w:p w:rsidR="00C47571" w:rsidRPr="00993950" w:rsidP="00993950" w14:paraId="77F0AEE8" w14:textId="713E35D5">
            <w:pPr>
              <w:spacing w:line="276" w:lineRule="auto"/>
              <w:contextualSpacing/>
              <w:rPr>
                <w:rFonts w:eastAsia="Calibri"/>
                <w:sz w:val="16"/>
                <w:szCs w:val="16"/>
              </w:rPr>
            </w:pPr>
            <w:r w:rsidRPr="00993950">
              <w:rPr>
                <w:rStyle w:val="Hyperlink"/>
                <w:color w:val="000000" w:themeColor="text1"/>
                <w:sz w:val="16"/>
                <w:szCs w:val="16"/>
                <w:u w:val="none"/>
              </w:rPr>
              <w:t>.</w:t>
            </w:r>
            <w:r w:rsidRPr="00993950">
              <w:rPr>
                <w:rFonts w:eastAsia="Calibri"/>
                <w:sz w:val="16"/>
                <w:szCs w:val="16"/>
              </w:rPr>
              <w:t xml:space="preserve">  Accessed January </w:t>
            </w:r>
            <w:r w:rsidR="00FD5938">
              <w:rPr>
                <w:rFonts w:eastAsia="Calibri"/>
                <w:sz w:val="16"/>
                <w:szCs w:val="16"/>
              </w:rPr>
              <w:t>31</w:t>
            </w:r>
            <w:r w:rsidRPr="00993950">
              <w:rPr>
                <w:rFonts w:eastAsia="Calibri"/>
                <w:sz w:val="16"/>
                <w:szCs w:val="16"/>
              </w:rPr>
              <w:t>, 202</w:t>
            </w:r>
            <w:r w:rsidR="00FD5938">
              <w:rPr>
                <w:rFonts w:eastAsia="Calibri"/>
                <w:sz w:val="16"/>
                <w:szCs w:val="16"/>
              </w:rPr>
              <w:t>3</w:t>
            </w:r>
          </w:p>
          <w:p w:rsidR="00C47571" w:rsidRPr="00993950" w14:paraId="67730532" w14:textId="77777777">
            <w:pPr>
              <w:spacing w:line="276" w:lineRule="auto"/>
              <w:contextualSpacing/>
              <w:rPr>
                <w:rFonts w:eastAsia="Calibri"/>
                <w:sz w:val="16"/>
                <w:szCs w:val="16"/>
              </w:rPr>
            </w:pPr>
            <w:r w:rsidRPr="00993950">
              <w:rPr>
                <w:rFonts w:eastAsia="Calibri"/>
                <w:sz w:val="16"/>
                <w:szCs w:val="16"/>
              </w:rPr>
              <w:t xml:space="preserve">* Wage rate includes a 1.45 multiplier to reflect the fully-loaded wage rate.  Bureau of Labor Statistics, Employer Costs for Employee Compensation, Table 1.  Available at </w:t>
            </w:r>
            <w:hyperlink r:id="rId13">
              <w:r w:rsidRPr="00993950">
                <w:rPr>
                  <w:rStyle w:val="Hyperlink"/>
                  <w:sz w:val="16"/>
                  <w:szCs w:val="16"/>
                </w:rPr>
                <w:t>https://www.bls.gov/news.release/archives/ecec_12162021.pdf</w:t>
              </w:r>
            </w:hyperlink>
          </w:p>
          <w:p w:rsidR="00C47571" w:rsidRPr="00D57EC1" w14:paraId="065B9CFA" w14:textId="388D7B03">
            <w:pPr>
              <w:spacing w:line="276" w:lineRule="auto"/>
              <w:contextualSpacing/>
              <w:rPr>
                <w:b/>
                <w:bCs/>
                <w:sz w:val="20"/>
                <w:szCs w:val="20"/>
              </w:rPr>
            </w:pPr>
            <w:r w:rsidRPr="00993950">
              <w:rPr>
                <w:rFonts w:eastAsia="Calibri"/>
                <w:sz w:val="16"/>
                <w:szCs w:val="16"/>
              </w:rPr>
              <w:t xml:space="preserve"> Accessed December 17, 2021.  The wage multiplier is calculated by dividing total compensation for all workers of $39.55 by wages and salaries for all workers of $27.35 per hour yielding a benefits multiplier of approximately 1.45.</w:t>
            </w:r>
          </w:p>
        </w:tc>
      </w:tr>
    </w:tbl>
    <w:p w:rsidR="00682A17" w:rsidRPr="00D57EC1" w14:paraId="5F34A4A6" w14:textId="77777777">
      <w:pPr>
        <w:tabs>
          <w:tab w:val="left" w:pos="360"/>
        </w:tabs>
        <w:spacing w:line="276" w:lineRule="auto"/>
        <w:contextualSpacing/>
        <w:rPr>
          <w:b/>
          <w:bCs/>
        </w:rPr>
      </w:pPr>
    </w:p>
    <w:p w:rsidR="007E2347" w:rsidRPr="00D57EC1" w14:paraId="3A740759" w14:textId="1C768D99">
      <w:pPr>
        <w:tabs>
          <w:tab w:val="left" w:pos="360"/>
        </w:tabs>
        <w:spacing w:line="276" w:lineRule="auto"/>
        <w:contextualSpacing/>
        <w:rPr>
          <w:b/>
          <w:bCs/>
        </w:rPr>
      </w:pPr>
      <w:r w:rsidRPr="00D57EC1">
        <w:rPr>
          <w:b/>
          <w:bCs/>
        </w:rPr>
        <w:t xml:space="preserve">15.  </w:t>
      </w:r>
      <w:r w:rsidRPr="00D57EC1" w:rsidR="49901732">
        <w:rPr>
          <w:b/>
          <w:bCs/>
        </w:rPr>
        <w:t xml:space="preserve">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7E2347" w:rsidRPr="001D6FBD" w14:paraId="104AC464" w14:textId="02A1400C">
      <w:pPr>
        <w:pStyle w:val="NormalWeb"/>
        <w:spacing w:line="276" w:lineRule="auto"/>
        <w:contextualSpacing/>
        <w:rPr>
          <w:i/>
          <w:iCs/>
          <w:sz w:val="20"/>
          <w:szCs w:val="20"/>
        </w:rPr>
      </w:pPr>
      <w:r w:rsidRPr="001D6FBD">
        <w:rPr>
          <w:i/>
          <w:iCs/>
          <w:sz w:val="20"/>
          <w:szCs w:val="20"/>
        </w:rPr>
        <w:t xml:space="preserve">A </w:t>
      </w:r>
      <w:r w:rsidRPr="00993950" w:rsidR="001D6FBD">
        <w:rPr>
          <w:b/>
          <w:bCs/>
          <w:i/>
          <w:iCs/>
          <w:sz w:val="20"/>
          <w:szCs w:val="20"/>
        </w:rPr>
        <w:t>“</w:t>
      </w:r>
      <w:r w:rsidRPr="001D6FBD">
        <w:rPr>
          <w:b/>
          <w:bCs/>
          <w:i/>
          <w:iCs/>
          <w:sz w:val="20"/>
          <w:szCs w:val="20"/>
        </w:rPr>
        <w:t>Program increase</w:t>
      </w:r>
      <w:r w:rsidRPr="001D6FBD" w:rsidR="09D6C7F4">
        <w:rPr>
          <w:b/>
          <w:bCs/>
          <w:i/>
          <w:iCs/>
          <w:sz w:val="20"/>
          <w:szCs w:val="20"/>
        </w:rPr>
        <w:t>”</w:t>
      </w:r>
      <w:r w:rsidRPr="001D6FBD">
        <w:rPr>
          <w:i/>
          <w:iCs/>
          <w:sz w:val="20"/>
          <w:szCs w:val="20"/>
        </w:rPr>
        <w:t xml:space="preserve"> is an additional burden resulting from </w:t>
      </w:r>
      <w:r w:rsidRPr="001D6FBD" w:rsidR="2E000716">
        <w:rPr>
          <w:i/>
          <w:iCs/>
          <w:sz w:val="20"/>
          <w:szCs w:val="20"/>
        </w:rPr>
        <w:t xml:space="preserve">a </w:t>
      </w:r>
      <w:r w:rsidRPr="001D6FBD" w:rsidR="001D6FBD">
        <w:rPr>
          <w:i/>
          <w:iCs/>
          <w:sz w:val="20"/>
          <w:szCs w:val="20"/>
        </w:rPr>
        <w:t>F</w:t>
      </w:r>
      <w:r w:rsidRPr="001D6FBD">
        <w:rPr>
          <w:i/>
          <w:iCs/>
          <w:sz w:val="20"/>
          <w:szCs w:val="20"/>
        </w:rPr>
        <w:t xml:space="preserve">ederal </w:t>
      </w:r>
      <w:r w:rsidRPr="001D6FBD" w:rsidR="001D6FBD">
        <w:rPr>
          <w:i/>
          <w:iCs/>
          <w:sz w:val="20"/>
          <w:szCs w:val="20"/>
        </w:rPr>
        <w:t>G</w:t>
      </w:r>
      <w:r w:rsidRPr="001D6FBD">
        <w:rPr>
          <w:i/>
          <w:iCs/>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7E2347" w:rsidRPr="001D6FBD" w14:paraId="1F5CE8C0" w14:textId="33DC4AF2">
      <w:pPr>
        <w:pStyle w:val="NormalWeb"/>
        <w:spacing w:line="276" w:lineRule="auto"/>
        <w:contextualSpacing/>
        <w:rPr>
          <w:i/>
          <w:iCs/>
          <w:sz w:val="20"/>
          <w:szCs w:val="20"/>
        </w:rPr>
      </w:pPr>
      <w:r w:rsidRPr="001D6FBD">
        <w:rPr>
          <w:i/>
          <w:iCs/>
          <w:sz w:val="20"/>
          <w:szCs w:val="20"/>
        </w:rPr>
        <w:t xml:space="preserve">A </w:t>
      </w:r>
      <w:r w:rsidRPr="00993950" w:rsidR="001D6FBD">
        <w:rPr>
          <w:b/>
          <w:bCs/>
          <w:i/>
          <w:iCs/>
          <w:sz w:val="20"/>
          <w:szCs w:val="20"/>
        </w:rPr>
        <w:t>“</w:t>
      </w:r>
      <w:r w:rsidRPr="001D6FBD">
        <w:rPr>
          <w:b/>
          <w:bCs/>
          <w:i/>
          <w:iCs/>
          <w:sz w:val="20"/>
          <w:szCs w:val="20"/>
        </w:rPr>
        <w:t>Program decrease</w:t>
      </w:r>
      <w:r w:rsidRPr="001D6FBD" w:rsidR="744D7F39">
        <w:rPr>
          <w:b/>
          <w:bCs/>
          <w:i/>
          <w:iCs/>
          <w:sz w:val="20"/>
          <w:szCs w:val="20"/>
        </w:rPr>
        <w:t>”</w:t>
      </w:r>
      <w:r w:rsidRPr="001D6FBD">
        <w:rPr>
          <w:b/>
          <w:bCs/>
          <w:i/>
          <w:iCs/>
          <w:sz w:val="20"/>
          <w:szCs w:val="20"/>
        </w:rPr>
        <w:t xml:space="preserve"> </w:t>
      </w:r>
      <w:r w:rsidRPr="001D6FBD">
        <w:rPr>
          <w:i/>
          <w:iCs/>
          <w:sz w:val="20"/>
          <w:szCs w:val="20"/>
        </w:rPr>
        <w:t xml:space="preserve">is a reduction in burden because of: (1) the discontinuation of an information collection; or (2) a change in an existing information collection by a Federal </w:t>
      </w:r>
      <w:r w:rsidR="00782F83">
        <w:rPr>
          <w:i/>
          <w:iCs/>
          <w:sz w:val="20"/>
          <w:szCs w:val="20"/>
        </w:rPr>
        <w:t>A</w:t>
      </w:r>
      <w:r w:rsidRPr="001D6FBD">
        <w:rPr>
          <w:i/>
          <w:iCs/>
          <w:sz w:val="20"/>
          <w:szCs w:val="20"/>
        </w:rPr>
        <w:t xml:space="preserve">gency (e.g., the use of sampling (or smaller samples), a decrease in the amount of information requested (fewer questions), or a decrease in reporting frequency). </w:t>
      </w:r>
    </w:p>
    <w:p w:rsidR="00A5035A" w:rsidRPr="001D6FBD" w14:paraId="4A59DEF9" w14:textId="57249124">
      <w:pPr>
        <w:pStyle w:val="NormalWeb"/>
        <w:spacing w:line="276" w:lineRule="auto"/>
        <w:contextualSpacing/>
        <w:rPr>
          <w:i/>
          <w:iCs/>
          <w:sz w:val="20"/>
          <w:szCs w:val="20"/>
        </w:rPr>
      </w:pPr>
      <w:r w:rsidRPr="00993950">
        <w:rPr>
          <w:i/>
          <w:iCs/>
          <w:sz w:val="20"/>
          <w:szCs w:val="20"/>
        </w:rPr>
        <w:t>An</w:t>
      </w:r>
      <w:r w:rsidRPr="00993950" w:rsidR="49901732">
        <w:rPr>
          <w:i/>
          <w:iCs/>
          <w:sz w:val="20"/>
          <w:szCs w:val="20"/>
        </w:rPr>
        <w:t xml:space="preserve"> </w:t>
      </w:r>
      <w:r w:rsidRPr="001D6FBD">
        <w:rPr>
          <w:b/>
          <w:bCs/>
          <w:i/>
          <w:iCs/>
          <w:sz w:val="20"/>
          <w:szCs w:val="20"/>
        </w:rPr>
        <w:t>“</w:t>
      </w:r>
      <w:r w:rsidRPr="001D6FBD" w:rsidR="49901732">
        <w:rPr>
          <w:b/>
          <w:bCs/>
          <w:i/>
          <w:iCs/>
          <w:sz w:val="20"/>
          <w:szCs w:val="20"/>
        </w:rPr>
        <w:t>Adjustment</w:t>
      </w:r>
      <w:r w:rsidRPr="001D6FBD">
        <w:rPr>
          <w:b/>
          <w:bCs/>
          <w:i/>
          <w:iCs/>
          <w:sz w:val="20"/>
          <w:szCs w:val="20"/>
        </w:rPr>
        <w:t>”</w:t>
      </w:r>
      <w:r w:rsidRPr="001D6FBD" w:rsidR="49901732">
        <w:rPr>
          <w:i/>
          <w:iCs/>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w:t>
      </w:r>
    </w:p>
    <w:p w:rsidR="00BC77A5" w:rsidRPr="00993950" w14:paraId="0A9BFA38" w14:textId="77777777">
      <w:pPr>
        <w:pStyle w:val="NormalWeb"/>
        <w:spacing w:line="276" w:lineRule="auto"/>
        <w:contextualSpacing/>
        <w:rPr>
          <w:i/>
          <w:sz w:val="20"/>
          <w:szCs w:val="20"/>
        </w:rPr>
      </w:pPr>
    </w:p>
    <w:tbl>
      <w:tblPr>
        <w:tblW w:w="9630" w:type="dxa"/>
        <w:jc w:val="center"/>
        <w:tblLayout w:type="fixed"/>
        <w:tblLook w:val="04A0"/>
      </w:tblPr>
      <w:tblGrid>
        <w:gridCol w:w="1793"/>
        <w:gridCol w:w="1440"/>
        <w:gridCol w:w="1335"/>
        <w:gridCol w:w="1215"/>
        <w:gridCol w:w="1545"/>
        <w:gridCol w:w="1215"/>
        <w:gridCol w:w="1087"/>
      </w:tblGrid>
      <w:tr w14:paraId="4DD324D6" w14:textId="77777777" w:rsidTr="00956E71">
        <w:tblPrEx>
          <w:tblW w:w="9630" w:type="dxa"/>
          <w:jc w:val="center"/>
          <w:tblLayout w:type="fixed"/>
          <w:tblLook w:val="04A0"/>
        </w:tblPrEx>
        <w:trPr>
          <w:trHeight w:val="270"/>
          <w:jc w:val="center"/>
        </w:trPr>
        <w:tc>
          <w:tcPr>
            <w:tcW w:w="9630" w:type="dxa"/>
            <w:gridSpan w:val="7"/>
            <w:tcBorders>
              <w:top w:val="single" w:sz="6" w:space="0" w:color="auto"/>
              <w:left w:val="single" w:sz="6" w:space="0" w:color="auto"/>
              <w:bottom w:val="single" w:sz="6" w:space="0" w:color="auto"/>
              <w:right w:val="single" w:sz="6" w:space="0" w:color="000000" w:themeColor="text1"/>
            </w:tcBorders>
            <w:shd w:val="clear" w:color="auto" w:fill="8EAADB" w:themeFill="accent1" w:themeFillTint="99"/>
            <w:vAlign w:val="bottom"/>
          </w:tcPr>
          <w:p w:rsidR="39CD10BF" w:rsidRPr="00D57EC1" w:rsidP="00956E71" w14:paraId="46B0138F" w14:textId="4CF45F0A">
            <w:pPr>
              <w:spacing w:line="276" w:lineRule="auto"/>
              <w:contextualSpacing/>
              <w:jc w:val="center"/>
              <w:rPr>
                <w:sz w:val="20"/>
                <w:szCs w:val="20"/>
              </w:rPr>
            </w:pPr>
            <w:bookmarkStart w:id="12" w:name="_Hlk116989882"/>
            <w:r w:rsidRPr="00D57EC1">
              <w:rPr>
                <w:b/>
                <w:bCs/>
                <w:sz w:val="20"/>
                <w:szCs w:val="20"/>
              </w:rPr>
              <w:t>Itemized Changes in Annual Burden Hours</w:t>
            </w:r>
            <w:bookmarkEnd w:id="12"/>
          </w:p>
        </w:tc>
      </w:tr>
      <w:tr w14:paraId="443BBB92" w14:textId="77777777" w:rsidTr="00956E71">
        <w:tblPrEx>
          <w:tblW w:w="9630" w:type="dxa"/>
          <w:jc w:val="center"/>
          <w:tblLayout w:type="fixed"/>
          <w:tblLook w:val="04A0"/>
        </w:tblPrEx>
        <w:trPr>
          <w:trHeight w:val="1440"/>
          <w:jc w:val="center"/>
        </w:trPr>
        <w:tc>
          <w:tcPr>
            <w:tcW w:w="1793" w:type="dxa"/>
            <w:tcBorders>
              <w:top w:val="single" w:sz="6" w:space="0" w:color="auto"/>
              <w:left w:val="single" w:sz="6" w:space="0" w:color="auto"/>
              <w:bottom w:val="single" w:sz="6" w:space="0" w:color="auto"/>
              <w:right w:val="single" w:sz="6" w:space="0" w:color="000000" w:themeColor="text1"/>
            </w:tcBorders>
            <w:shd w:val="clear" w:color="auto" w:fill="8EAADB" w:themeFill="accent1" w:themeFillTint="99"/>
            <w:vAlign w:val="center"/>
          </w:tcPr>
          <w:p w:rsidR="39CD10BF" w:rsidRPr="00993950" w:rsidP="00956E71" w14:paraId="268CFD88" w14:textId="020C6F74">
            <w:pPr>
              <w:spacing w:line="276" w:lineRule="auto"/>
              <w:contextualSpacing/>
              <w:jc w:val="center"/>
              <w:rPr>
                <w:b/>
                <w:bCs/>
                <w:sz w:val="18"/>
                <w:szCs w:val="18"/>
              </w:rPr>
            </w:pPr>
            <w:r w:rsidRPr="00993950">
              <w:rPr>
                <w:b/>
                <w:bCs/>
                <w:sz w:val="18"/>
                <w:szCs w:val="18"/>
              </w:rPr>
              <w:t>Data collection Activity/Instrument</w:t>
            </w:r>
          </w:p>
        </w:tc>
        <w:tc>
          <w:tcPr>
            <w:tcW w:w="1440" w:type="dxa"/>
            <w:tcBorders>
              <w:top w:val="nil"/>
              <w:left w:val="single" w:sz="6" w:space="0" w:color="auto"/>
              <w:bottom w:val="single" w:sz="6" w:space="0" w:color="auto"/>
              <w:right w:val="single" w:sz="6" w:space="0" w:color="auto"/>
            </w:tcBorders>
            <w:shd w:val="clear" w:color="auto" w:fill="8EAADB" w:themeFill="accent1" w:themeFillTint="99"/>
            <w:vAlign w:val="center"/>
          </w:tcPr>
          <w:p w:rsidR="39CD10BF" w:rsidRPr="00993950" w:rsidP="00956E71" w14:paraId="58945F47" w14:textId="39281CB2">
            <w:pPr>
              <w:spacing w:line="276" w:lineRule="auto"/>
              <w:contextualSpacing/>
              <w:jc w:val="center"/>
              <w:rPr>
                <w:b/>
                <w:bCs/>
                <w:sz w:val="18"/>
                <w:szCs w:val="18"/>
              </w:rPr>
            </w:pPr>
            <w:r w:rsidRPr="00993950">
              <w:rPr>
                <w:b/>
                <w:bCs/>
                <w:sz w:val="18"/>
                <w:szCs w:val="18"/>
              </w:rPr>
              <w:t xml:space="preserve">Program Change (hours currently on OMB Inventory) </w:t>
            </w:r>
          </w:p>
        </w:tc>
        <w:tc>
          <w:tcPr>
            <w:tcW w:w="1335" w:type="dxa"/>
            <w:tcBorders>
              <w:top w:val="nil"/>
              <w:left w:val="single" w:sz="6" w:space="0" w:color="auto"/>
              <w:bottom w:val="single" w:sz="6" w:space="0" w:color="auto"/>
              <w:right w:val="single" w:sz="6" w:space="0" w:color="auto"/>
            </w:tcBorders>
            <w:shd w:val="clear" w:color="auto" w:fill="8EAADB" w:themeFill="accent1" w:themeFillTint="99"/>
            <w:vAlign w:val="center"/>
          </w:tcPr>
          <w:p w:rsidR="39CD10BF" w:rsidRPr="00993950" w:rsidP="00956E71" w14:paraId="2C56042B" w14:textId="3F366CB0">
            <w:pPr>
              <w:spacing w:line="276" w:lineRule="auto"/>
              <w:contextualSpacing/>
              <w:jc w:val="center"/>
              <w:rPr>
                <w:b/>
                <w:bCs/>
                <w:sz w:val="18"/>
                <w:szCs w:val="18"/>
              </w:rPr>
            </w:pPr>
            <w:r w:rsidRPr="00993950">
              <w:rPr>
                <w:b/>
                <w:bCs/>
                <w:sz w:val="18"/>
                <w:szCs w:val="18"/>
              </w:rPr>
              <w:t xml:space="preserve">Program Change (New) </w:t>
            </w:r>
          </w:p>
        </w:tc>
        <w:tc>
          <w:tcPr>
            <w:tcW w:w="1215" w:type="dxa"/>
            <w:tcBorders>
              <w:top w:val="nil"/>
              <w:left w:val="single" w:sz="6" w:space="0" w:color="auto"/>
              <w:bottom w:val="single" w:sz="6" w:space="0" w:color="auto"/>
              <w:right w:val="single" w:sz="6" w:space="0" w:color="auto"/>
            </w:tcBorders>
            <w:shd w:val="clear" w:color="auto" w:fill="8EAADB" w:themeFill="accent1" w:themeFillTint="99"/>
            <w:vAlign w:val="center"/>
          </w:tcPr>
          <w:p w:rsidR="39CD10BF" w:rsidRPr="00993950" w:rsidP="00956E71" w14:paraId="0D215142" w14:textId="0C04AFB4">
            <w:pPr>
              <w:spacing w:line="276" w:lineRule="auto"/>
              <w:contextualSpacing/>
              <w:jc w:val="center"/>
              <w:rPr>
                <w:b/>
                <w:bCs/>
                <w:sz w:val="18"/>
                <w:szCs w:val="18"/>
              </w:rPr>
            </w:pPr>
            <w:r w:rsidRPr="00993950">
              <w:rPr>
                <w:b/>
                <w:bCs/>
                <w:sz w:val="18"/>
                <w:szCs w:val="18"/>
              </w:rPr>
              <w:t>Difference</w:t>
            </w:r>
          </w:p>
        </w:tc>
        <w:tc>
          <w:tcPr>
            <w:tcW w:w="1545" w:type="dxa"/>
            <w:tcBorders>
              <w:top w:val="nil"/>
              <w:left w:val="single" w:sz="6" w:space="0" w:color="auto"/>
              <w:bottom w:val="single" w:sz="6" w:space="0" w:color="auto"/>
              <w:right w:val="single" w:sz="6" w:space="0" w:color="auto"/>
            </w:tcBorders>
            <w:shd w:val="clear" w:color="auto" w:fill="8EAADB" w:themeFill="accent1" w:themeFillTint="99"/>
            <w:vAlign w:val="center"/>
          </w:tcPr>
          <w:p w:rsidR="39CD10BF" w:rsidRPr="00993950" w:rsidP="00956E71" w14:paraId="0CABDBA7" w14:textId="3D1B9AE4">
            <w:pPr>
              <w:spacing w:line="276" w:lineRule="auto"/>
              <w:contextualSpacing/>
              <w:jc w:val="center"/>
              <w:rPr>
                <w:b/>
                <w:bCs/>
                <w:sz w:val="18"/>
                <w:szCs w:val="18"/>
              </w:rPr>
            </w:pPr>
            <w:r w:rsidRPr="00993950">
              <w:rPr>
                <w:b/>
                <w:bCs/>
                <w:sz w:val="18"/>
                <w:szCs w:val="18"/>
              </w:rPr>
              <w:t>Adjustment (hours currently on OMB Inventory)</w:t>
            </w:r>
          </w:p>
        </w:tc>
        <w:tc>
          <w:tcPr>
            <w:tcW w:w="1215" w:type="dxa"/>
            <w:tcBorders>
              <w:top w:val="nil"/>
              <w:left w:val="single" w:sz="6" w:space="0" w:color="auto"/>
              <w:bottom w:val="single" w:sz="6" w:space="0" w:color="auto"/>
              <w:right w:val="single" w:sz="6" w:space="0" w:color="auto"/>
            </w:tcBorders>
            <w:shd w:val="clear" w:color="auto" w:fill="8EAADB" w:themeFill="accent1" w:themeFillTint="99"/>
            <w:vAlign w:val="center"/>
          </w:tcPr>
          <w:p w:rsidR="39CD10BF" w:rsidRPr="00993950" w:rsidP="00956E71" w14:paraId="4509E9D8" w14:textId="57DF3B79">
            <w:pPr>
              <w:spacing w:line="276" w:lineRule="auto"/>
              <w:contextualSpacing/>
              <w:jc w:val="center"/>
              <w:rPr>
                <w:b/>
                <w:bCs/>
                <w:sz w:val="18"/>
                <w:szCs w:val="18"/>
              </w:rPr>
            </w:pPr>
            <w:r w:rsidRPr="00993950">
              <w:rPr>
                <w:b/>
                <w:bCs/>
                <w:sz w:val="18"/>
                <w:szCs w:val="18"/>
              </w:rPr>
              <w:t xml:space="preserve">Adjustment (New) </w:t>
            </w:r>
          </w:p>
        </w:tc>
        <w:tc>
          <w:tcPr>
            <w:tcW w:w="1087" w:type="dxa"/>
            <w:tcBorders>
              <w:top w:val="nil"/>
              <w:left w:val="single" w:sz="6" w:space="0" w:color="auto"/>
              <w:bottom w:val="single" w:sz="6" w:space="0" w:color="auto"/>
              <w:right w:val="single" w:sz="6" w:space="0" w:color="000000" w:themeColor="text1"/>
            </w:tcBorders>
            <w:shd w:val="clear" w:color="auto" w:fill="8EAADB" w:themeFill="accent1" w:themeFillTint="99"/>
            <w:vAlign w:val="center"/>
          </w:tcPr>
          <w:p w:rsidR="39CD10BF" w:rsidRPr="00993950" w:rsidP="00956E71" w14:paraId="259CF1A7" w14:textId="6CE02C79">
            <w:pPr>
              <w:spacing w:line="276" w:lineRule="auto"/>
              <w:contextualSpacing/>
              <w:jc w:val="center"/>
              <w:rPr>
                <w:b/>
                <w:bCs/>
                <w:sz w:val="18"/>
                <w:szCs w:val="18"/>
              </w:rPr>
            </w:pPr>
            <w:r w:rsidRPr="00993950">
              <w:rPr>
                <w:b/>
                <w:bCs/>
                <w:sz w:val="18"/>
                <w:szCs w:val="18"/>
              </w:rPr>
              <w:t>Difference</w:t>
            </w:r>
          </w:p>
        </w:tc>
      </w:tr>
      <w:tr w14:paraId="4579C199" w14:textId="77777777" w:rsidTr="00956E71">
        <w:tblPrEx>
          <w:tblW w:w="9630" w:type="dxa"/>
          <w:jc w:val="center"/>
          <w:tblLayout w:type="fixed"/>
          <w:tblLook w:val="04A0"/>
        </w:tblPrEx>
        <w:trPr>
          <w:trHeight w:val="165"/>
          <w:jc w:val="center"/>
        </w:trPr>
        <w:tc>
          <w:tcPr>
            <w:tcW w:w="1793" w:type="dxa"/>
            <w:tcBorders>
              <w:top w:val="single" w:sz="6" w:space="0" w:color="auto"/>
              <w:left w:val="single" w:sz="6" w:space="0" w:color="auto"/>
              <w:bottom w:val="single" w:sz="6" w:space="0" w:color="auto"/>
              <w:right w:val="single" w:sz="6" w:space="0" w:color="auto"/>
            </w:tcBorders>
            <w:vAlign w:val="bottom"/>
          </w:tcPr>
          <w:p w:rsidR="39CD10BF" w:rsidRPr="00993950" w:rsidP="00956E71" w14:paraId="26B93A11" w14:textId="0E97B2E6">
            <w:pPr>
              <w:spacing w:line="276" w:lineRule="auto"/>
              <w:contextualSpacing/>
              <w:jc w:val="center"/>
              <w:rPr>
                <w:rFonts w:eastAsia="Arial"/>
                <w:sz w:val="18"/>
                <w:szCs w:val="18"/>
              </w:rPr>
            </w:pPr>
            <w:r w:rsidRPr="00993950">
              <w:rPr>
                <w:rFonts w:eastAsia="Arial"/>
                <w:sz w:val="18"/>
                <w:szCs w:val="18"/>
              </w:rPr>
              <w:t> </w:t>
            </w:r>
            <w:r w:rsidRPr="00993950">
              <w:rPr>
                <w:sz w:val="18"/>
                <w:szCs w:val="18"/>
              </w:rPr>
              <w:t>Project Narrative Section /No Form</w:t>
            </w:r>
            <w:r w:rsidRPr="00993950">
              <w:rPr>
                <w:rFonts w:eastAsia="Arial"/>
                <w:sz w:val="18"/>
                <w:szCs w:val="18"/>
              </w:rPr>
              <w:t> </w:t>
            </w:r>
          </w:p>
        </w:tc>
        <w:tc>
          <w:tcPr>
            <w:tcW w:w="1440"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4977BC94" w14:textId="407F1B39">
            <w:pPr>
              <w:spacing w:line="276" w:lineRule="auto"/>
              <w:contextualSpacing/>
              <w:jc w:val="center"/>
              <w:rPr>
                <w:rFonts w:eastAsia="Arial"/>
                <w:sz w:val="18"/>
                <w:szCs w:val="18"/>
              </w:rPr>
            </w:pPr>
            <w:r w:rsidRPr="00993950">
              <w:rPr>
                <w:rFonts w:eastAsia="Arial"/>
                <w:sz w:val="18"/>
                <w:szCs w:val="18"/>
              </w:rPr>
              <w:t>N/A</w:t>
            </w:r>
          </w:p>
        </w:tc>
        <w:tc>
          <w:tcPr>
            <w:tcW w:w="1335"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714775CA" w14:textId="233AA03A">
            <w:pPr>
              <w:spacing w:line="276" w:lineRule="auto"/>
              <w:contextualSpacing/>
              <w:jc w:val="center"/>
              <w:rPr>
                <w:rFonts w:eastAsia="Arial"/>
                <w:sz w:val="18"/>
                <w:szCs w:val="18"/>
              </w:rPr>
            </w:pPr>
            <w:r w:rsidRPr="00993950">
              <w:rPr>
                <w:rFonts w:eastAsia="Arial"/>
                <w:sz w:val="18"/>
                <w:szCs w:val="18"/>
              </w:rPr>
              <w:t>N/A</w:t>
            </w:r>
          </w:p>
        </w:tc>
        <w:tc>
          <w:tcPr>
            <w:tcW w:w="1215"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3C16BB01" w14:textId="482048FE">
            <w:pPr>
              <w:spacing w:line="276" w:lineRule="auto"/>
              <w:contextualSpacing/>
              <w:jc w:val="center"/>
              <w:rPr>
                <w:rFonts w:eastAsia="Arial"/>
                <w:sz w:val="18"/>
                <w:szCs w:val="18"/>
              </w:rPr>
            </w:pPr>
            <w:r w:rsidRPr="00993950">
              <w:rPr>
                <w:rFonts w:eastAsia="Arial"/>
                <w:sz w:val="18"/>
                <w:szCs w:val="18"/>
              </w:rPr>
              <w:t>N/A</w:t>
            </w:r>
          </w:p>
        </w:tc>
        <w:tc>
          <w:tcPr>
            <w:tcW w:w="1545"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68106BFC" w14:textId="7A4D9C77">
            <w:pPr>
              <w:spacing w:line="276" w:lineRule="auto"/>
              <w:contextualSpacing/>
              <w:jc w:val="center"/>
              <w:rPr>
                <w:rFonts w:eastAsia="Arial"/>
                <w:sz w:val="18"/>
                <w:szCs w:val="18"/>
              </w:rPr>
            </w:pPr>
            <w:r w:rsidRPr="00993950">
              <w:rPr>
                <w:rFonts w:eastAsia="Arial"/>
                <w:sz w:val="18"/>
                <w:szCs w:val="18"/>
              </w:rPr>
              <w:t>18,408</w:t>
            </w:r>
          </w:p>
        </w:tc>
        <w:tc>
          <w:tcPr>
            <w:tcW w:w="1215"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56963929" w14:textId="2AACF479">
            <w:pPr>
              <w:spacing w:line="276" w:lineRule="auto"/>
              <w:contextualSpacing/>
              <w:jc w:val="center"/>
              <w:rPr>
                <w:rFonts w:eastAsia="Arial"/>
                <w:sz w:val="18"/>
                <w:szCs w:val="18"/>
              </w:rPr>
            </w:pPr>
            <w:r w:rsidRPr="00993950">
              <w:rPr>
                <w:rFonts w:eastAsia="Arial"/>
                <w:sz w:val="18"/>
                <w:szCs w:val="18"/>
              </w:rPr>
              <w:t>42,480</w:t>
            </w:r>
          </w:p>
        </w:tc>
        <w:tc>
          <w:tcPr>
            <w:tcW w:w="1087"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5DC937B4" w14:textId="482B85B9">
            <w:pPr>
              <w:spacing w:line="276" w:lineRule="auto"/>
              <w:contextualSpacing/>
              <w:jc w:val="center"/>
              <w:rPr>
                <w:rFonts w:eastAsia="Arial"/>
                <w:sz w:val="18"/>
                <w:szCs w:val="18"/>
              </w:rPr>
            </w:pPr>
            <w:r w:rsidRPr="00993950">
              <w:rPr>
                <w:rFonts w:eastAsia="Arial"/>
                <w:sz w:val="18"/>
                <w:szCs w:val="18"/>
              </w:rPr>
              <w:t xml:space="preserve"> </w:t>
            </w:r>
            <w:r w:rsidRPr="00993950" w:rsidR="00457EC3">
              <w:rPr>
                <w:rFonts w:eastAsia="Arial"/>
                <w:sz w:val="18"/>
                <w:szCs w:val="18"/>
              </w:rPr>
              <w:t>24,072</w:t>
            </w:r>
          </w:p>
        </w:tc>
      </w:tr>
      <w:tr w14:paraId="05FC820A" w14:textId="77777777" w:rsidTr="00956E71">
        <w:tblPrEx>
          <w:tblW w:w="9630" w:type="dxa"/>
          <w:jc w:val="center"/>
          <w:tblLayout w:type="fixed"/>
          <w:tblLook w:val="04A0"/>
        </w:tblPrEx>
        <w:trPr>
          <w:trHeight w:val="270"/>
          <w:jc w:val="center"/>
        </w:trPr>
        <w:tc>
          <w:tcPr>
            <w:tcW w:w="1793" w:type="dxa"/>
            <w:tcBorders>
              <w:top w:val="single" w:sz="6" w:space="0" w:color="auto"/>
              <w:left w:val="single" w:sz="6" w:space="0" w:color="auto"/>
              <w:bottom w:val="single" w:sz="6" w:space="0" w:color="auto"/>
              <w:right w:val="single" w:sz="6" w:space="0" w:color="auto"/>
            </w:tcBorders>
            <w:vAlign w:val="bottom"/>
          </w:tcPr>
          <w:p w:rsidR="39CD10BF" w:rsidRPr="00993950" w:rsidP="00956E71" w14:paraId="4C0A0C61" w14:textId="30420F00">
            <w:pPr>
              <w:spacing w:line="276" w:lineRule="auto"/>
              <w:contextualSpacing/>
              <w:jc w:val="center"/>
              <w:rPr>
                <w:sz w:val="18"/>
                <w:szCs w:val="18"/>
              </w:rPr>
            </w:pPr>
            <w:r w:rsidRPr="00993950">
              <w:rPr>
                <w:sz w:val="18"/>
                <w:szCs w:val="18"/>
              </w:rPr>
              <w:t>Benefit-Cost Determination</w:t>
            </w:r>
            <w:r w:rsidRPr="00993950" w:rsidR="009B4275">
              <w:rPr>
                <w:sz w:val="18"/>
                <w:szCs w:val="18"/>
              </w:rPr>
              <w:t xml:space="preserve"> </w:t>
            </w:r>
            <w:r w:rsidRPr="00993950" w:rsidR="00704E87">
              <w:rPr>
                <w:sz w:val="18"/>
                <w:szCs w:val="18"/>
              </w:rPr>
              <w:br/>
            </w:r>
            <w:r w:rsidRPr="00993950">
              <w:rPr>
                <w:sz w:val="18"/>
                <w:szCs w:val="18"/>
              </w:rPr>
              <w:t>/No Form </w:t>
            </w:r>
          </w:p>
        </w:tc>
        <w:tc>
          <w:tcPr>
            <w:tcW w:w="1440"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1EF98149" w14:textId="3E3549C0">
            <w:pPr>
              <w:spacing w:line="276" w:lineRule="auto"/>
              <w:contextualSpacing/>
              <w:jc w:val="center"/>
              <w:rPr>
                <w:rFonts w:eastAsia="Arial"/>
                <w:sz w:val="18"/>
                <w:szCs w:val="18"/>
              </w:rPr>
            </w:pPr>
            <w:r w:rsidRPr="00993950">
              <w:rPr>
                <w:rFonts w:eastAsia="Arial"/>
                <w:sz w:val="18"/>
                <w:szCs w:val="18"/>
              </w:rPr>
              <w:t>N/A</w:t>
            </w:r>
          </w:p>
        </w:tc>
        <w:tc>
          <w:tcPr>
            <w:tcW w:w="1335"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3DF99445" w14:textId="0CB4D36C">
            <w:pPr>
              <w:spacing w:line="276" w:lineRule="auto"/>
              <w:contextualSpacing/>
              <w:jc w:val="center"/>
              <w:rPr>
                <w:rFonts w:eastAsia="Arial"/>
                <w:sz w:val="18"/>
                <w:szCs w:val="18"/>
              </w:rPr>
            </w:pPr>
            <w:r w:rsidRPr="00993950">
              <w:rPr>
                <w:rFonts w:eastAsia="Arial"/>
                <w:sz w:val="18"/>
                <w:szCs w:val="18"/>
              </w:rPr>
              <w:t>N/A</w:t>
            </w:r>
          </w:p>
        </w:tc>
        <w:tc>
          <w:tcPr>
            <w:tcW w:w="1215"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608F8B05" w14:textId="48480B4D">
            <w:pPr>
              <w:spacing w:line="276" w:lineRule="auto"/>
              <w:contextualSpacing/>
              <w:jc w:val="center"/>
              <w:rPr>
                <w:rFonts w:eastAsia="Arial"/>
                <w:sz w:val="18"/>
                <w:szCs w:val="18"/>
              </w:rPr>
            </w:pPr>
            <w:r w:rsidRPr="00993950">
              <w:rPr>
                <w:rFonts w:eastAsia="Arial"/>
                <w:sz w:val="18"/>
                <w:szCs w:val="18"/>
              </w:rPr>
              <w:t>N/A</w:t>
            </w:r>
          </w:p>
        </w:tc>
        <w:tc>
          <w:tcPr>
            <w:tcW w:w="1545"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40161BD3" w14:textId="15189CE9">
            <w:pPr>
              <w:spacing w:line="276" w:lineRule="auto"/>
              <w:contextualSpacing/>
              <w:jc w:val="center"/>
              <w:rPr>
                <w:rFonts w:eastAsia="Arial"/>
                <w:sz w:val="18"/>
                <w:szCs w:val="18"/>
              </w:rPr>
            </w:pPr>
            <w:r w:rsidRPr="00993950">
              <w:rPr>
                <w:rFonts w:eastAsia="Arial"/>
                <w:sz w:val="18"/>
                <w:szCs w:val="18"/>
              </w:rPr>
              <w:t>7,670</w:t>
            </w:r>
          </w:p>
        </w:tc>
        <w:tc>
          <w:tcPr>
            <w:tcW w:w="1215"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4C351151" w14:textId="48B5D3C9">
            <w:pPr>
              <w:spacing w:line="276" w:lineRule="auto"/>
              <w:contextualSpacing/>
              <w:jc w:val="center"/>
              <w:rPr>
                <w:rFonts w:eastAsia="Arial"/>
                <w:sz w:val="18"/>
                <w:szCs w:val="18"/>
              </w:rPr>
            </w:pPr>
            <w:r w:rsidRPr="00993950">
              <w:rPr>
                <w:rFonts w:eastAsia="Arial"/>
                <w:sz w:val="18"/>
                <w:szCs w:val="18"/>
              </w:rPr>
              <w:t>17,700</w:t>
            </w:r>
          </w:p>
        </w:tc>
        <w:tc>
          <w:tcPr>
            <w:tcW w:w="1087"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2C28E1B4" w14:textId="028AAE19">
            <w:pPr>
              <w:spacing w:line="276" w:lineRule="auto"/>
              <w:contextualSpacing/>
              <w:jc w:val="center"/>
              <w:rPr>
                <w:rFonts w:eastAsia="Arial"/>
                <w:sz w:val="18"/>
                <w:szCs w:val="18"/>
              </w:rPr>
            </w:pPr>
            <w:r w:rsidRPr="00993950">
              <w:rPr>
                <w:rFonts w:eastAsia="Arial"/>
                <w:sz w:val="18"/>
                <w:szCs w:val="18"/>
              </w:rPr>
              <w:t>10,030</w:t>
            </w:r>
          </w:p>
        </w:tc>
      </w:tr>
      <w:tr w14:paraId="3E8005FC" w14:textId="77777777" w:rsidTr="00956E71">
        <w:tblPrEx>
          <w:tblW w:w="9630" w:type="dxa"/>
          <w:jc w:val="center"/>
          <w:tblLayout w:type="fixed"/>
          <w:tblLook w:val="04A0"/>
        </w:tblPrEx>
        <w:trPr>
          <w:trHeight w:val="270"/>
          <w:jc w:val="center"/>
        </w:trPr>
        <w:tc>
          <w:tcPr>
            <w:tcW w:w="1793" w:type="dxa"/>
            <w:tcBorders>
              <w:top w:val="single" w:sz="6" w:space="0" w:color="auto"/>
              <w:left w:val="single" w:sz="6" w:space="0" w:color="auto"/>
              <w:bottom w:val="single" w:sz="6" w:space="0" w:color="auto"/>
              <w:right w:val="single" w:sz="6" w:space="0" w:color="auto"/>
            </w:tcBorders>
            <w:vAlign w:val="bottom"/>
          </w:tcPr>
          <w:p w:rsidR="39CD10BF" w:rsidRPr="00993950" w:rsidP="00956E71" w14:paraId="799B1D61" w14:textId="14E93FBF">
            <w:pPr>
              <w:spacing w:line="276" w:lineRule="auto"/>
              <w:contextualSpacing/>
              <w:jc w:val="center"/>
              <w:rPr>
                <w:sz w:val="18"/>
                <w:szCs w:val="18"/>
              </w:rPr>
            </w:pPr>
            <w:r w:rsidRPr="00993950">
              <w:rPr>
                <w:sz w:val="18"/>
                <w:szCs w:val="18"/>
              </w:rPr>
              <w:t> Environmental Review</w:t>
            </w:r>
            <w:r w:rsidRPr="00993950" w:rsidR="009B4275">
              <w:rPr>
                <w:sz w:val="18"/>
                <w:szCs w:val="18"/>
              </w:rPr>
              <w:t xml:space="preserve"> </w:t>
            </w:r>
            <w:r w:rsidRPr="00993950">
              <w:rPr>
                <w:sz w:val="18"/>
                <w:szCs w:val="18"/>
              </w:rPr>
              <w:t>/No Form</w:t>
            </w:r>
          </w:p>
        </w:tc>
        <w:tc>
          <w:tcPr>
            <w:tcW w:w="1440"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6E722A2E" w14:textId="63383A3A">
            <w:pPr>
              <w:spacing w:line="276" w:lineRule="auto"/>
              <w:contextualSpacing/>
              <w:jc w:val="center"/>
              <w:rPr>
                <w:rFonts w:eastAsia="Arial"/>
                <w:sz w:val="18"/>
                <w:szCs w:val="18"/>
              </w:rPr>
            </w:pPr>
            <w:r w:rsidRPr="00993950">
              <w:rPr>
                <w:rFonts w:eastAsia="Arial"/>
                <w:sz w:val="18"/>
                <w:szCs w:val="18"/>
              </w:rPr>
              <w:t>N/A</w:t>
            </w:r>
          </w:p>
        </w:tc>
        <w:tc>
          <w:tcPr>
            <w:tcW w:w="1335"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6E4C7EEA" w14:textId="6CAE5CBF">
            <w:pPr>
              <w:spacing w:line="276" w:lineRule="auto"/>
              <w:contextualSpacing/>
              <w:jc w:val="center"/>
              <w:rPr>
                <w:rFonts w:eastAsia="Arial"/>
                <w:sz w:val="18"/>
                <w:szCs w:val="18"/>
              </w:rPr>
            </w:pPr>
            <w:r w:rsidRPr="00993950">
              <w:rPr>
                <w:rFonts w:eastAsia="Arial"/>
                <w:sz w:val="18"/>
                <w:szCs w:val="18"/>
              </w:rPr>
              <w:t>N/A</w:t>
            </w:r>
          </w:p>
        </w:tc>
        <w:tc>
          <w:tcPr>
            <w:tcW w:w="1215"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587B8768" w14:textId="68B7A9D2">
            <w:pPr>
              <w:spacing w:line="276" w:lineRule="auto"/>
              <w:contextualSpacing/>
              <w:jc w:val="center"/>
              <w:rPr>
                <w:rFonts w:eastAsia="Arial"/>
                <w:sz w:val="18"/>
                <w:szCs w:val="18"/>
              </w:rPr>
            </w:pPr>
            <w:r w:rsidRPr="00993950">
              <w:rPr>
                <w:rFonts w:eastAsia="Arial"/>
                <w:sz w:val="18"/>
                <w:szCs w:val="18"/>
              </w:rPr>
              <w:t>N/A</w:t>
            </w:r>
          </w:p>
        </w:tc>
        <w:tc>
          <w:tcPr>
            <w:tcW w:w="1545"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1DB3B791" w14:textId="47AEBCFD">
            <w:pPr>
              <w:spacing w:line="276" w:lineRule="auto"/>
              <w:contextualSpacing/>
              <w:jc w:val="center"/>
              <w:rPr>
                <w:rFonts w:eastAsia="Arial"/>
                <w:sz w:val="18"/>
                <w:szCs w:val="18"/>
              </w:rPr>
            </w:pPr>
            <w:r w:rsidRPr="00993950">
              <w:rPr>
                <w:rFonts w:eastAsia="Arial"/>
                <w:sz w:val="18"/>
                <w:szCs w:val="18"/>
              </w:rPr>
              <w:t>11,505</w:t>
            </w:r>
          </w:p>
        </w:tc>
        <w:tc>
          <w:tcPr>
            <w:tcW w:w="1215"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6D69181C" w14:textId="1D45B406">
            <w:pPr>
              <w:spacing w:line="276" w:lineRule="auto"/>
              <w:contextualSpacing/>
              <w:jc w:val="center"/>
              <w:rPr>
                <w:rFonts w:eastAsia="Arial"/>
                <w:sz w:val="18"/>
                <w:szCs w:val="18"/>
              </w:rPr>
            </w:pPr>
            <w:r w:rsidRPr="00993950">
              <w:rPr>
                <w:rFonts w:eastAsia="Arial"/>
                <w:sz w:val="18"/>
                <w:szCs w:val="18"/>
              </w:rPr>
              <w:t>26,550</w:t>
            </w:r>
          </w:p>
        </w:tc>
        <w:tc>
          <w:tcPr>
            <w:tcW w:w="1087"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08D5FBBC" w14:textId="161813D7">
            <w:pPr>
              <w:spacing w:line="276" w:lineRule="auto"/>
              <w:contextualSpacing/>
              <w:jc w:val="center"/>
              <w:rPr>
                <w:rFonts w:eastAsia="Arial"/>
                <w:sz w:val="18"/>
                <w:szCs w:val="18"/>
              </w:rPr>
            </w:pPr>
            <w:r w:rsidRPr="00993950">
              <w:rPr>
                <w:rFonts w:eastAsia="Arial"/>
                <w:sz w:val="18"/>
                <w:szCs w:val="18"/>
              </w:rPr>
              <w:t>15,045</w:t>
            </w:r>
          </w:p>
        </w:tc>
      </w:tr>
      <w:tr w14:paraId="1B57D541" w14:textId="77777777" w:rsidTr="00956E71">
        <w:tblPrEx>
          <w:tblW w:w="9630" w:type="dxa"/>
          <w:jc w:val="center"/>
          <w:tblLayout w:type="fixed"/>
          <w:tblLook w:val="04A0"/>
        </w:tblPrEx>
        <w:trPr>
          <w:trHeight w:val="270"/>
          <w:jc w:val="center"/>
        </w:trPr>
        <w:tc>
          <w:tcPr>
            <w:tcW w:w="1793" w:type="dxa"/>
            <w:tcBorders>
              <w:top w:val="single" w:sz="6" w:space="0" w:color="auto"/>
              <w:left w:val="single" w:sz="6" w:space="0" w:color="auto"/>
              <w:bottom w:val="single" w:sz="6" w:space="0" w:color="auto"/>
              <w:right w:val="single" w:sz="6" w:space="0" w:color="auto"/>
            </w:tcBorders>
            <w:vAlign w:val="bottom"/>
          </w:tcPr>
          <w:p w:rsidR="39CD10BF" w:rsidRPr="00993950" w:rsidP="00956E71" w14:paraId="041D8449" w14:textId="292BAC00">
            <w:pPr>
              <w:spacing w:line="276" w:lineRule="auto"/>
              <w:contextualSpacing/>
              <w:jc w:val="center"/>
              <w:rPr>
                <w:sz w:val="18"/>
                <w:szCs w:val="18"/>
              </w:rPr>
            </w:pPr>
            <w:r w:rsidRPr="00993950">
              <w:rPr>
                <w:sz w:val="18"/>
                <w:szCs w:val="18"/>
              </w:rPr>
              <w:t>Quarterly Progress Report</w:t>
            </w:r>
            <w:r w:rsidRPr="00993950" w:rsidR="009B4275">
              <w:rPr>
                <w:sz w:val="18"/>
                <w:szCs w:val="18"/>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3DEE2BE9" w14:textId="26D385EE">
            <w:pPr>
              <w:spacing w:line="276" w:lineRule="auto"/>
              <w:contextualSpacing/>
              <w:jc w:val="center"/>
              <w:rPr>
                <w:rFonts w:eastAsia="Arial"/>
                <w:sz w:val="18"/>
                <w:szCs w:val="18"/>
              </w:rPr>
            </w:pPr>
            <w:r w:rsidRPr="00993950">
              <w:rPr>
                <w:rFonts w:eastAsia="Arial"/>
                <w:sz w:val="18"/>
                <w:szCs w:val="18"/>
              </w:rPr>
              <w:t>N/A</w:t>
            </w:r>
          </w:p>
        </w:tc>
        <w:tc>
          <w:tcPr>
            <w:tcW w:w="1335"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3DD38CB5" w14:textId="55A2E988">
            <w:pPr>
              <w:spacing w:line="276" w:lineRule="auto"/>
              <w:contextualSpacing/>
              <w:jc w:val="center"/>
              <w:rPr>
                <w:rFonts w:eastAsia="Arial"/>
                <w:sz w:val="18"/>
                <w:szCs w:val="18"/>
              </w:rPr>
            </w:pPr>
            <w:r w:rsidRPr="00993950">
              <w:rPr>
                <w:rFonts w:eastAsia="Arial"/>
                <w:sz w:val="18"/>
                <w:szCs w:val="18"/>
              </w:rPr>
              <w:t>N/A</w:t>
            </w:r>
          </w:p>
        </w:tc>
        <w:tc>
          <w:tcPr>
            <w:tcW w:w="1215"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5721938B" w14:textId="6C0DDB15">
            <w:pPr>
              <w:spacing w:line="276" w:lineRule="auto"/>
              <w:contextualSpacing/>
              <w:jc w:val="center"/>
              <w:rPr>
                <w:rFonts w:eastAsia="Arial"/>
                <w:sz w:val="18"/>
                <w:szCs w:val="18"/>
              </w:rPr>
            </w:pPr>
            <w:r w:rsidRPr="00993950">
              <w:rPr>
                <w:rFonts w:eastAsia="Arial"/>
                <w:sz w:val="18"/>
                <w:szCs w:val="18"/>
              </w:rPr>
              <w:t>N/A</w:t>
            </w:r>
          </w:p>
        </w:tc>
        <w:tc>
          <w:tcPr>
            <w:tcW w:w="1545"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72B1A252" w14:textId="46D06D8D">
            <w:pPr>
              <w:spacing w:line="276" w:lineRule="auto"/>
              <w:contextualSpacing/>
              <w:jc w:val="center"/>
              <w:rPr>
                <w:rFonts w:eastAsia="Arial"/>
                <w:sz w:val="18"/>
                <w:szCs w:val="18"/>
              </w:rPr>
            </w:pPr>
            <w:r w:rsidRPr="00993950">
              <w:rPr>
                <w:rFonts w:eastAsia="Arial"/>
                <w:sz w:val="18"/>
                <w:szCs w:val="18"/>
              </w:rPr>
              <w:t>13,550</w:t>
            </w:r>
          </w:p>
        </w:tc>
        <w:tc>
          <w:tcPr>
            <w:tcW w:w="1215"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4E57A2FC" w14:textId="61EB269A">
            <w:pPr>
              <w:spacing w:line="276" w:lineRule="auto"/>
              <w:contextualSpacing/>
              <w:jc w:val="center"/>
              <w:rPr>
                <w:rFonts w:eastAsia="Arial"/>
                <w:sz w:val="18"/>
                <w:szCs w:val="18"/>
              </w:rPr>
            </w:pPr>
            <w:r w:rsidRPr="00993950">
              <w:rPr>
                <w:rFonts w:eastAsia="Arial"/>
                <w:sz w:val="18"/>
                <w:szCs w:val="18"/>
              </w:rPr>
              <w:t xml:space="preserve"> 13,550</w:t>
            </w:r>
          </w:p>
        </w:tc>
        <w:tc>
          <w:tcPr>
            <w:tcW w:w="1087" w:type="dxa"/>
            <w:tcBorders>
              <w:top w:val="single" w:sz="6" w:space="0" w:color="auto"/>
              <w:left w:val="single" w:sz="6" w:space="0" w:color="auto"/>
              <w:bottom w:val="single" w:sz="6" w:space="0" w:color="auto"/>
              <w:right w:val="single" w:sz="6" w:space="0" w:color="auto"/>
            </w:tcBorders>
            <w:vAlign w:val="center"/>
          </w:tcPr>
          <w:p w:rsidR="39CD10BF" w:rsidRPr="00993950" w:rsidP="00956E71" w14:paraId="46DA9F24" w14:textId="346E8A79">
            <w:pPr>
              <w:spacing w:line="276" w:lineRule="auto"/>
              <w:contextualSpacing/>
              <w:jc w:val="center"/>
              <w:rPr>
                <w:rFonts w:eastAsia="Arial"/>
                <w:sz w:val="18"/>
                <w:szCs w:val="18"/>
              </w:rPr>
            </w:pPr>
            <w:r w:rsidRPr="00993950">
              <w:rPr>
                <w:rFonts w:eastAsia="Arial"/>
                <w:sz w:val="18"/>
                <w:szCs w:val="18"/>
              </w:rPr>
              <w:t>0</w:t>
            </w:r>
          </w:p>
        </w:tc>
      </w:tr>
      <w:tr w14:paraId="61DCE588" w14:textId="77777777" w:rsidTr="00956E71">
        <w:tblPrEx>
          <w:tblW w:w="9630" w:type="dxa"/>
          <w:jc w:val="center"/>
          <w:tblLayout w:type="fixed"/>
          <w:tblLook w:val="04A0"/>
        </w:tblPrEx>
        <w:trPr>
          <w:trHeight w:val="270"/>
          <w:jc w:val="center"/>
        </w:trPr>
        <w:tc>
          <w:tcPr>
            <w:tcW w:w="1793" w:type="dxa"/>
            <w:tcBorders>
              <w:top w:val="single" w:sz="6" w:space="0" w:color="auto"/>
              <w:left w:val="single" w:sz="6" w:space="0" w:color="auto"/>
              <w:bottom w:val="single" w:sz="6" w:space="0" w:color="auto"/>
              <w:right w:val="single" w:sz="6" w:space="0" w:color="auto"/>
            </w:tcBorders>
            <w:vAlign w:val="bottom"/>
          </w:tcPr>
          <w:p w:rsidR="39CD10BF" w:rsidRPr="00993950" w:rsidP="00956E71" w14:paraId="327DECB1" w14:textId="331B37E2">
            <w:pPr>
              <w:spacing w:line="276" w:lineRule="auto"/>
              <w:contextualSpacing/>
              <w:jc w:val="center"/>
              <w:rPr>
                <w:b/>
                <w:bCs/>
                <w:sz w:val="18"/>
                <w:szCs w:val="18"/>
              </w:rPr>
            </w:pPr>
            <w:r w:rsidRPr="00993950">
              <w:rPr>
                <w:b/>
                <w:bCs/>
                <w:sz w:val="18"/>
                <w:szCs w:val="18"/>
              </w:rPr>
              <w:t>Total(s)</w:t>
            </w:r>
          </w:p>
        </w:tc>
        <w:tc>
          <w:tcPr>
            <w:tcW w:w="1440" w:type="dxa"/>
            <w:tcBorders>
              <w:top w:val="single" w:sz="6" w:space="0" w:color="auto"/>
              <w:left w:val="single" w:sz="6" w:space="0" w:color="auto"/>
              <w:bottom w:val="single" w:sz="6" w:space="0" w:color="auto"/>
              <w:right w:val="single" w:sz="6" w:space="0" w:color="auto"/>
            </w:tcBorders>
            <w:vAlign w:val="bottom"/>
          </w:tcPr>
          <w:p w:rsidR="39CD10BF" w:rsidRPr="00993950" w:rsidP="00956E71" w14:paraId="7AFFECBD" w14:textId="08FF72FC">
            <w:pPr>
              <w:spacing w:line="276" w:lineRule="auto"/>
              <w:contextualSpacing/>
              <w:jc w:val="center"/>
              <w:rPr>
                <w:rFonts w:eastAsia="Arial"/>
                <w:b/>
                <w:bCs/>
                <w:sz w:val="18"/>
                <w:szCs w:val="18"/>
              </w:rPr>
            </w:pPr>
            <w:r w:rsidRPr="00993950">
              <w:rPr>
                <w:rFonts w:eastAsia="Arial"/>
                <w:b/>
                <w:bCs/>
                <w:sz w:val="18"/>
                <w:szCs w:val="18"/>
              </w:rPr>
              <w:t>N/A</w:t>
            </w:r>
          </w:p>
        </w:tc>
        <w:tc>
          <w:tcPr>
            <w:tcW w:w="1335" w:type="dxa"/>
            <w:tcBorders>
              <w:top w:val="single" w:sz="6" w:space="0" w:color="auto"/>
              <w:left w:val="single" w:sz="6" w:space="0" w:color="auto"/>
              <w:bottom w:val="single" w:sz="6" w:space="0" w:color="auto"/>
              <w:right w:val="single" w:sz="6" w:space="0" w:color="auto"/>
            </w:tcBorders>
            <w:vAlign w:val="bottom"/>
          </w:tcPr>
          <w:p w:rsidR="39CD10BF" w:rsidRPr="00993950" w:rsidP="00956E71" w14:paraId="7BC8508E" w14:textId="0F47A358">
            <w:pPr>
              <w:spacing w:line="276" w:lineRule="auto"/>
              <w:contextualSpacing/>
              <w:jc w:val="center"/>
              <w:rPr>
                <w:rFonts w:eastAsia="Arial"/>
                <w:b/>
                <w:bCs/>
                <w:sz w:val="18"/>
                <w:szCs w:val="18"/>
              </w:rPr>
            </w:pPr>
            <w:r w:rsidRPr="00993950">
              <w:rPr>
                <w:rFonts w:eastAsia="Arial"/>
                <w:b/>
                <w:bCs/>
                <w:sz w:val="18"/>
                <w:szCs w:val="18"/>
              </w:rPr>
              <w:t>N/A</w:t>
            </w:r>
          </w:p>
        </w:tc>
        <w:tc>
          <w:tcPr>
            <w:tcW w:w="1215" w:type="dxa"/>
            <w:tcBorders>
              <w:top w:val="single" w:sz="6" w:space="0" w:color="auto"/>
              <w:left w:val="single" w:sz="6" w:space="0" w:color="auto"/>
              <w:bottom w:val="single" w:sz="6" w:space="0" w:color="auto"/>
              <w:right w:val="single" w:sz="6" w:space="0" w:color="auto"/>
            </w:tcBorders>
            <w:vAlign w:val="bottom"/>
          </w:tcPr>
          <w:p w:rsidR="39CD10BF" w:rsidRPr="00993950" w:rsidP="00956E71" w14:paraId="440DBBC0" w14:textId="202F0A0A">
            <w:pPr>
              <w:spacing w:line="276" w:lineRule="auto"/>
              <w:contextualSpacing/>
              <w:jc w:val="center"/>
              <w:rPr>
                <w:rFonts w:eastAsia="Arial"/>
                <w:b/>
                <w:bCs/>
                <w:sz w:val="18"/>
                <w:szCs w:val="18"/>
              </w:rPr>
            </w:pPr>
            <w:r w:rsidRPr="00993950">
              <w:rPr>
                <w:rFonts w:eastAsia="Arial"/>
                <w:b/>
                <w:bCs/>
                <w:sz w:val="18"/>
                <w:szCs w:val="18"/>
              </w:rPr>
              <w:t>N/A</w:t>
            </w:r>
          </w:p>
        </w:tc>
        <w:tc>
          <w:tcPr>
            <w:tcW w:w="1545" w:type="dxa"/>
            <w:tcBorders>
              <w:top w:val="single" w:sz="6" w:space="0" w:color="auto"/>
              <w:left w:val="single" w:sz="6" w:space="0" w:color="auto"/>
              <w:bottom w:val="single" w:sz="6" w:space="0" w:color="auto"/>
              <w:right w:val="single" w:sz="6" w:space="0" w:color="auto"/>
            </w:tcBorders>
            <w:vAlign w:val="bottom"/>
          </w:tcPr>
          <w:p w:rsidR="39CD10BF" w:rsidRPr="00993950" w:rsidP="00956E71" w14:paraId="1DC67030" w14:textId="2898BB46">
            <w:pPr>
              <w:spacing w:line="276" w:lineRule="auto"/>
              <w:contextualSpacing/>
              <w:jc w:val="center"/>
              <w:rPr>
                <w:rFonts w:eastAsia="Arial"/>
                <w:b/>
                <w:bCs/>
                <w:sz w:val="18"/>
                <w:szCs w:val="18"/>
              </w:rPr>
            </w:pPr>
            <w:r w:rsidRPr="00993950">
              <w:rPr>
                <w:rFonts w:eastAsia="Arial"/>
                <w:b/>
                <w:bCs/>
                <w:sz w:val="18"/>
                <w:szCs w:val="18"/>
              </w:rPr>
              <w:t>51,133</w:t>
            </w:r>
          </w:p>
        </w:tc>
        <w:tc>
          <w:tcPr>
            <w:tcW w:w="1215" w:type="dxa"/>
            <w:tcBorders>
              <w:top w:val="single" w:sz="6" w:space="0" w:color="auto"/>
              <w:left w:val="single" w:sz="6" w:space="0" w:color="auto"/>
              <w:bottom w:val="single" w:sz="6" w:space="0" w:color="auto"/>
              <w:right w:val="single" w:sz="6" w:space="0" w:color="auto"/>
            </w:tcBorders>
            <w:vAlign w:val="bottom"/>
          </w:tcPr>
          <w:p w:rsidR="39CD10BF" w:rsidRPr="00993950" w:rsidP="00956E71" w14:paraId="48743CDD" w14:textId="0B72388C">
            <w:pPr>
              <w:spacing w:line="276" w:lineRule="auto"/>
              <w:contextualSpacing/>
              <w:jc w:val="center"/>
              <w:rPr>
                <w:rFonts w:eastAsia="Arial"/>
                <w:b/>
                <w:bCs/>
                <w:sz w:val="18"/>
                <w:szCs w:val="18"/>
              </w:rPr>
            </w:pPr>
            <w:r w:rsidRPr="00993950">
              <w:rPr>
                <w:rFonts w:eastAsia="Arial"/>
                <w:b/>
                <w:bCs/>
                <w:sz w:val="18"/>
                <w:szCs w:val="18"/>
              </w:rPr>
              <w:t>100,280</w:t>
            </w:r>
          </w:p>
        </w:tc>
        <w:tc>
          <w:tcPr>
            <w:tcW w:w="1087" w:type="dxa"/>
            <w:tcBorders>
              <w:top w:val="single" w:sz="6" w:space="0" w:color="auto"/>
              <w:left w:val="single" w:sz="6" w:space="0" w:color="auto"/>
              <w:bottom w:val="single" w:sz="6" w:space="0" w:color="auto"/>
              <w:right w:val="single" w:sz="6" w:space="0" w:color="auto"/>
            </w:tcBorders>
            <w:vAlign w:val="bottom"/>
          </w:tcPr>
          <w:p w:rsidR="39CD10BF" w:rsidRPr="00993950" w:rsidP="00956E71" w14:paraId="2646B5C6" w14:textId="37EFFD58">
            <w:pPr>
              <w:spacing w:line="276" w:lineRule="auto"/>
              <w:contextualSpacing/>
              <w:jc w:val="center"/>
              <w:rPr>
                <w:rFonts w:eastAsia="Arial"/>
                <w:b/>
                <w:bCs/>
                <w:sz w:val="18"/>
                <w:szCs w:val="18"/>
              </w:rPr>
            </w:pPr>
            <w:r w:rsidRPr="00993950">
              <w:rPr>
                <w:rFonts w:eastAsia="Arial"/>
                <w:b/>
                <w:bCs/>
                <w:sz w:val="18"/>
                <w:szCs w:val="18"/>
              </w:rPr>
              <w:t>49,147</w:t>
            </w:r>
          </w:p>
        </w:tc>
      </w:tr>
    </w:tbl>
    <w:p w:rsidR="00682A17" w:rsidRPr="00D57EC1" w14:paraId="7C8E1703" w14:textId="77777777">
      <w:pPr>
        <w:spacing w:line="276" w:lineRule="auto"/>
        <w:contextualSpacing/>
        <w:rPr>
          <w:b/>
          <w:bCs/>
          <w:i/>
        </w:rPr>
      </w:pPr>
    </w:p>
    <w:p w:rsidR="00457EC3" w:rsidRPr="00D57EC1" w14:paraId="4873605F" w14:textId="1A85623E">
      <w:pPr>
        <w:spacing w:line="276" w:lineRule="auto"/>
        <w:contextualSpacing/>
        <w:rPr>
          <w:bCs/>
        </w:rPr>
      </w:pPr>
      <w:r w:rsidRPr="00D57EC1">
        <w:rPr>
          <w:b/>
          <w:bCs/>
          <w:i/>
        </w:rPr>
        <w:t>Explain:</w:t>
      </w:r>
      <w:r w:rsidRPr="00D57EC1" w:rsidR="003236BA">
        <w:rPr>
          <w:bCs/>
        </w:rPr>
        <w:t xml:space="preserve">  </w:t>
      </w:r>
    </w:p>
    <w:p w:rsidR="00704E87" w:rsidRPr="00D57EC1" w14:paraId="3A3CA045" w14:textId="2358A111">
      <w:pPr>
        <w:spacing w:line="276" w:lineRule="auto"/>
        <w:contextualSpacing/>
        <w:rPr>
          <w:bCs/>
        </w:rPr>
      </w:pPr>
      <w:r w:rsidRPr="00D57EC1">
        <w:rPr>
          <w:bCs/>
        </w:rPr>
        <w:t>On August 5, 2021, President Biden released $3.46 billion to be available for Hazard Mitigation Grant Program (HMGP) funding under the 59 COVID-19 major disaster declarations.</w:t>
      </w:r>
      <w:r w:rsidRPr="00D57EC1">
        <w:t xml:space="preserve"> </w:t>
      </w:r>
      <w:bookmarkStart w:id="13" w:name="_Hlk109133239"/>
      <w:r w:rsidRPr="00D57EC1" w:rsidR="00E04555">
        <w:t>The 59 additional disaster declarations significantly</w:t>
      </w:r>
      <w:r w:rsidRPr="00D57EC1" w:rsidR="00E771C8">
        <w:t xml:space="preserve"> changed burden hours as reflected in the Itemized Changes in Annual Burden Hours table</w:t>
      </w:r>
      <w:r w:rsidRPr="005A3E4E" w:rsidR="00E771C8">
        <w:t xml:space="preserve">. </w:t>
      </w:r>
      <w:r w:rsidRPr="005A3E4E" w:rsidR="00E04555">
        <w:t xml:space="preserve"> </w:t>
      </w:r>
      <w:bookmarkEnd w:id="13"/>
      <w:r w:rsidRPr="005A3E4E">
        <w:rPr>
          <w:bCs/>
        </w:rPr>
        <w:t xml:space="preserve">Furthermore, </w:t>
      </w:r>
      <w:r w:rsidRPr="005A3E4E" w:rsidR="005A3E4E">
        <w:rPr>
          <w:bCs/>
        </w:rPr>
        <w:t xml:space="preserve">Section 311 of the </w:t>
      </w:r>
      <w:r w:rsidRPr="005A3E4E">
        <w:rPr>
          <w:bCs/>
        </w:rPr>
        <w:t>Consolidated Appropriations Act, 2022,</w:t>
      </w:r>
      <w:r w:rsidRPr="005A3E4E" w:rsidR="00E771C8">
        <w:rPr>
          <w:bCs/>
        </w:rPr>
        <w:t xml:space="preserve"> </w:t>
      </w:r>
      <w:r w:rsidRPr="005A3E4E" w:rsidR="005A3E4E">
        <w:rPr>
          <w:bCs/>
        </w:rPr>
        <w:t>adjusted</w:t>
      </w:r>
      <w:r w:rsidRPr="005A3E4E" w:rsidR="00E771C8">
        <w:rPr>
          <w:bCs/>
        </w:rPr>
        <w:t xml:space="preserve"> the federal share of assistance</w:t>
      </w:r>
      <w:r w:rsidRPr="00D57EC1" w:rsidR="00E771C8">
        <w:rPr>
          <w:bCs/>
        </w:rPr>
        <w:t xml:space="preserve"> for HMGP Covid-19 disaster assistance.</w:t>
      </w:r>
      <w:r w:rsidR="005A3E4E">
        <w:rPr>
          <w:bCs/>
        </w:rPr>
        <w:t xml:space="preserve"> </w:t>
      </w:r>
      <w:r w:rsidR="00C826D3">
        <w:rPr>
          <w:bCs/>
        </w:rPr>
        <w:t xml:space="preserve"> </w:t>
      </w:r>
      <w:r w:rsidR="005A3E4E">
        <w:rPr>
          <w:bCs/>
        </w:rPr>
        <w:t>The federal cost share adjustment triggered both an increase in applications and a resubmission of applications after adjusting for differences in federal cost share.</w:t>
      </w:r>
      <w:r w:rsidRPr="00D57EC1">
        <w:rPr>
          <w:bCs/>
        </w:rPr>
        <w:t xml:space="preserve">  The legislation applies to all current FY 2022 HMGP local and Tribal sub applicants and significantly alters application and program financial management information collection requirements. </w:t>
      </w:r>
      <w:r w:rsidRPr="00D57EC1" w:rsidR="00E771C8">
        <w:rPr>
          <w:bCs/>
        </w:rPr>
        <w:t xml:space="preserve"> The numbers reflected in the Annual Burden Hours table reflect these adjustments. </w:t>
      </w:r>
      <w:r w:rsidRPr="00D57EC1">
        <w:rPr>
          <w:bCs/>
        </w:rPr>
        <w:t xml:space="preserve"> </w:t>
      </w:r>
    </w:p>
    <w:p w:rsidR="00E771C8" w:rsidRPr="00D57EC1" w14:paraId="034CFB28" w14:textId="77777777">
      <w:pPr>
        <w:spacing w:line="276" w:lineRule="auto"/>
        <w:contextualSpacing/>
        <w:rPr>
          <w:bCs/>
        </w:rPr>
      </w:pPr>
    </w:p>
    <w:p w:rsidR="00716424" w:rsidRPr="00D57EC1" w14:paraId="616A4C54" w14:textId="07728D34">
      <w:pPr>
        <w:spacing w:line="276" w:lineRule="auto"/>
        <w:contextualSpacing/>
        <w:rPr>
          <w:bCs/>
        </w:rPr>
      </w:pPr>
      <w:r w:rsidRPr="00D57EC1">
        <w:rPr>
          <w:bCs/>
        </w:rPr>
        <w:t>The adjustment</w:t>
      </w:r>
      <w:r w:rsidRPr="00D57EC1" w:rsidR="00E04555">
        <w:rPr>
          <w:bCs/>
        </w:rPr>
        <w:t>s</w:t>
      </w:r>
      <w:r w:rsidRPr="00D57EC1" w:rsidR="00A06115">
        <w:rPr>
          <w:bCs/>
        </w:rPr>
        <w:t xml:space="preserve"> per respondent is factored with </w:t>
      </w:r>
      <w:r w:rsidRPr="00D57EC1" w:rsidR="00D138AD">
        <w:rPr>
          <w:bCs/>
        </w:rPr>
        <w:t xml:space="preserve">the </w:t>
      </w:r>
      <w:r w:rsidRPr="00D57EC1" w:rsidR="0068784F">
        <w:rPr>
          <w:bCs/>
        </w:rPr>
        <w:t xml:space="preserve">annual average of 59 respondents, to calculate the Program Change. </w:t>
      </w:r>
      <w:r w:rsidRPr="00D57EC1" w:rsidR="00704E87">
        <w:rPr>
          <w:bCs/>
        </w:rPr>
        <w:t xml:space="preserve"> </w:t>
      </w:r>
      <w:r w:rsidRPr="00D57EC1" w:rsidR="0068784F">
        <w:rPr>
          <w:bCs/>
        </w:rPr>
        <w:t xml:space="preserve">The resulting annual burden hour </w:t>
      </w:r>
      <w:r w:rsidRPr="00D57EC1" w:rsidR="00E04555">
        <w:rPr>
          <w:bCs/>
        </w:rPr>
        <w:t>increases</w:t>
      </w:r>
      <w:r w:rsidRPr="00D57EC1" w:rsidR="0068784F">
        <w:rPr>
          <w:bCs/>
        </w:rPr>
        <w:t xml:space="preserve"> </w:t>
      </w:r>
      <w:r w:rsidRPr="00D57EC1" w:rsidR="00E04555">
        <w:rPr>
          <w:bCs/>
        </w:rPr>
        <w:t>of</w:t>
      </w:r>
      <w:r w:rsidRPr="00D57EC1" w:rsidR="0068784F">
        <w:rPr>
          <w:bCs/>
        </w:rPr>
        <w:t xml:space="preserve"> </w:t>
      </w:r>
      <w:r w:rsidRPr="00D57EC1" w:rsidR="00E04555">
        <w:rPr>
          <w:bCs/>
        </w:rPr>
        <w:t>24,072 to</w:t>
      </w:r>
      <w:r w:rsidRPr="00D57EC1" w:rsidR="001C685B">
        <w:rPr>
          <w:bCs/>
        </w:rPr>
        <w:t xml:space="preserve"> Project Narrative; </w:t>
      </w:r>
      <w:r w:rsidRPr="00D57EC1" w:rsidR="00E04555">
        <w:rPr>
          <w:bCs/>
        </w:rPr>
        <w:t>10,030</w:t>
      </w:r>
      <w:r w:rsidRPr="00D57EC1" w:rsidR="001C685B">
        <w:rPr>
          <w:bCs/>
        </w:rPr>
        <w:t xml:space="preserve"> </w:t>
      </w:r>
      <w:r w:rsidRPr="00D57EC1" w:rsidR="001377BB">
        <w:rPr>
          <w:bCs/>
        </w:rPr>
        <w:t xml:space="preserve">hours to Benefit-Cost Determination; </w:t>
      </w:r>
      <w:r w:rsidRPr="00D57EC1" w:rsidR="00E04555">
        <w:rPr>
          <w:bCs/>
        </w:rPr>
        <w:t xml:space="preserve">15,045 </w:t>
      </w:r>
      <w:r w:rsidRPr="00D57EC1" w:rsidR="00C32EC5">
        <w:rPr>
          <w:bCs/>
        </w:rPr>
        <w:t>hours to Environmental Review, a</w:t>
      </w:r>
      <w:r w:rsidRPr="00D57EC1" w:rsidR="005161A5">
        <w:rPr>
          <w:bCs/>
        </w:rPr>
        <w:t>nd no change</w:t>
      </w:r>
      <w:r w:rsidRPr="00D57EC1" w:rsidR="00C61559">
        <w:rPr>
          <w:bCs/>
        </w:rPr>
        <w:t xml:space="preserve"> to the Quarterly Progress Repor</w:t>
      </w:r>
      <w:r w:rsidRPr="00D57EC1" w:rsidR="00FF3BCE">
        <w:rPr>
          <w:bCs/>
        </w:rPr>
        <w:t>t combine for a</w:t>
      </w:r>
      <w:r w:rsidRPr="00D57EC1" w:rsidR="00CD36FD">
        <w:rPr>
          <w:bCs/>
        </w:rPr>
        <w:t xml:space="preserve">n </w:t>
      </w:r>
      <w:r w:rsidRPr="00D57EC1" w:rsidR="00CD36FD">
        <w:rPr>
          <w:b/>
        </w:rPr>
        <w:t xml:space="preserve">Adjustment </w:t>
      </w:r>
      <w:r w:rsidRPr="00D57EC1" w:rsidR="00FF3BCE">
        <w:rPr>
          <w:bCs/>
        </w:rPr>
        <w:t xml:space="preserve">of </w:t>
      </w:r>
      <w:r w:rsidRPr="00D57EC1" w:rsidR="00E04555">
        <w:rPr>
          <w:bCs/>
        </w:rPr>
        <w:t>49,147</w:t>
      </w:r>
      <w:r w:rsidRPr="00D57EC1" w:rsidR="009F4EE9">
        <w:rPr>
          <w:bCs/>
        </w:rPr>
        <w:t xml:space="preserve"> annual burden hours. </w:t>
      </w:r>
      <w:r w:rsidRPr="00D57EC1" w:rsidR="00704E87">
        <w:rPr>
          <w:bCs/>
        </w:rPr>
        <w:t xml:space="preserve"> </w:t>
      </w:r>
      <w:r w:rsidRPr="00D57EC1" w:rsidR="00FE4EA6">
        <w:rPr>
          <w:bCs/>
        </w:rPr>
        <w:t xml:space="preserve">The </w:t>
      </w:r>
      <w:r w:rsidRPr="00D57EC1" w:rsidR="00704E87">
        <w:rPr>
          <w:bCs/>
        </w:rPr>
        <w:t>a</w:t>
      </w:r>
      <w:r w:rsidRPr="00D57EC1" w:rsidR="00FE4EA6">
        <w:rPr>
          <w:bCs/>
        </w:rPr>
        <w:t>djustment results from a</w:t>
      </w:r>
      <w:r w:rsidRPr="00D57EC1" w:rsidR="00E04555">
        <w:rPr>
          <w:bCs/>
        </w:rPr>
        <w:t>n increase</w:t>
      </w:r>
      <w:r w:rsidRPr="00D57EC1" w:rsidR="00FE4EA6">
        <w:rPr>
          <w:bCs/>
        </w:rPr>
        <w:t xml:space="preserve"> in the annual average number of </w:t>
      </w:r>
      <w:r w:rsidRPr="00D57EC1" w:rsidR="00742123">
        <w:rPr>
          <w:bCs/>
        </w:rPr>
        <w:t xml:space="preserve">responses. </w:t>
      </w:r>
    </w:p>
    <w:p w:rsidR="00996343" w14:paraId="16B72B36" w14:textId="1A0EFBB1">
      <w:pPr>
        <w:rPr>
          <w:bCs/>
        </w:rPr>
      </w:pPr>
      <w:r>
        <w:rPr>
          <w:bCs/>
        </w:rPr>
        <w:br w:type="page"/>
      </w:r>
    </w:p>
    <w:p w:rsidR="00757112" w:rsidRPr="00D57EC1" w14:paraId="4BDA693A" w14:textId="77777777">
      <w:pPr>
        <w:spacing w:line="276" w:lineRule="auto"/>
        <w:contextualSpacing/>
        <w:rPr>
          <w:bCs/>
        </w:rPr>
      </w:pPr>
    </w:p>
    <w:tbl>
      <w:tblPr>
        <w:tblW w:w="9712" w:type="dxa"/>
        <w:jc w:val="center"/>
        <w:tblLayout w:type="fixed"/>
        <w:tblLook w:val="04A0"/>
      </w:tblPr>
      <w:tblGrid>
        <w:gridCol w:w="1350"/>
        <w:gridCol w:w="1710"/>
        <w:gridCol w:w="1127"/>
        <w:gridCol w:w="1123"/>
        <w:gridCol w:w="1530"/>
        <w:gridCol w:w="1530"/>
        <w:gridCol w:w="1342"/>
      </w:tblGrid>
      <w:tr w14:paraId="429C7624" w14:textId="77777777" w:rsidTr="00956E71">
        <w:tblPrEx>
          <w:tblW w:w="9712" w:type="dxa"/>
          <w:jc w:val="center"/>
          <w:tblLayout w:type="fixed"/>
          <w:tblLook w:val="04A0"/>
        </w:tblPrEx>
        <w:trPr>
          <w:trHeight w:val="315"/>
          <w:jc w:val="center"/>
        </w:trPr>
        <w:tc>
          <w:tcPr>
            <w:tcW w:w="9712" w:type="dxa"/>
            <w:gridSpan w:val="7"/>
            <w:tcBorders>
              <w:top w:val="single" w:sz="6" w:space="0" w:color="auto"/>
              <w:left w:val="single" w:sz="6" w:space="0" w:color="auto"/>
              <w:bottom w:val="single" w:sz="6" w:space="0" w:color="auto"/>
              <w:right w:val="single" w:sz="6" w:space="0" w:color="000000" w:themeColor="text1"/>
            </w:tcBorders>
            <w:shd w:val="clear" w:color="auto" w:fill="8EAADB" w:themeFill="accent1" w:themeFillTint="99"/>
            <w:vAlign w:val="bottom"/>
          </w:tcPr>
          <w:p w:rsidR="402DD9F3" w:rsidRPr="00D57EC1" w:rsidP="00F15C92" w14:paraId="03ED0E75" w14:textId="5BC07353">
            <w:pPr>
              <w:spacing w:line="276" w:lineRule="auto"/>
              <w:contextualSpacing/>
              <w:jc w:val="center"/>
              <w:rPr>
                <w:b/>
                <w:bCs/>
                <w:sz w:val="20"/>
                <w:szCs w:val="20"/>
              </w:rPr>
            </w:pPr>
            <w:r w:rsidRPr="00D57EC1">
              <w:rPr>
                <w:b/>
                <w:bCs/>
                <w:sz w:val="20"/>
                <w:szCs w:val="20"/>
              </w:rPr>
              <w:t>Itemized Changes in Annual Burden Hours</w:t>
            </w:r>
          </w:p>
        </w:tc>
      </w:tr>
      <w:tr w14:paraId="27C0FCE5" w14:textId="77777777" w:rsidTr="1206E54A">
        <w:tblPrEx>
          <w:tblW w:w="9712" w:type="dxa"/>
          <w:jc w:val="center"/>
          <w:tblLayout w:type="fixed"/>
          <w:tblLook w:val="04A0"/>
        </w:tblPrEx>
        <w:trPr>
          <w:trHeight w:val="1497"/>
          <w:jc w:val="center"/>
        </w:trPr>
        <w:tc>
          <w:tcPr>
            <w:tcW w:w="1350" w:type="dxa"/>
            <w:tcBorders>
              <w:top w:val="single" w:sz="6" w:space="0" w:color="auto"/>
              <w:left w:val="single" w:sz="6" w:space="0" w:color="auto"/>
              <w:bottom w:val="single" w:sz="6" w:space="0" w:color="auto"/>
              <w:right w:val="single" w:sz="6" w:space="0" w:color="000000" w:themeColor="text1"/>
            </w:tcBorders>
            <w:shd w:val="clear" w:color="auto" w:fill="8EAADB" w:themeFill="accent1" w:themeFillTint="99"/>
            <w:vAlign w:val="center"/>
          </w:tcPr>
          <w:p w:rsidR="402DD9F3" w:rsidRPr="00993950" w:rsidP="00506215" w14:paraId="0E94676B" w14:textId="662D8290">
            <w:pPr>
              <w:spacing w:line="276" w:lineRule="auto"/>
              <w:contextualSpacing/>
              <w:jc w:val="center"/>
              <w:rPr>
                <w:b/>
                <w:bCs/>
                <w:sz w:val="18"/>
                <w:szCs w:val="18"/>
              </w:rPr>
            </w:pPr>
            <w:r w:rsidRPr="00993950">
              <w:rPr>
                <w:b/>
                <w:bCs/>
                <w:sz w:val="18"/>
                <w:szCs w:val="18"/>
              </w:rPr>
              <w:t>Data collection Activity</w:t>
            </w:r>
            <w:r w:rsidRPr="00993950" w:rsidR="00704E87">
              <w:rPr>
                <w:b/>
                <w:bCs/>
                <w:sz w:val="18"/>
                <w:szCs w:val="18"/>
              </w:rPr>
              <w:t xml:space="preserve"> </w:t>
            </w:r>
            <w:r w:rsidRPr="00993950">
              <w:rPr>
                <w:b/>
                <w:bCs/>
                <w:sz w:val="18"/>
                <w:szCs w:val="18"/>
              </w:rPr>
              <w:t>/Instrument</w:t>
            </w:r>
          </w:p>
        </w:tc>
        <w:tc>
          <w:tcPr>
            <w:tcW w:w="1710" w:type="dxa"/>
            <w:tcBorders>
              <w:top w:val="nil"/>
              <w:left w:val="single" w:sz="6" w:space="0" w:color="auto"/>
              <w:bottom w:val="single" w:sz="6" w:space="0" w:color="auto"/>
              <w:right w:val="single" w:sz="6" w:space="0" w:color="auto"/>
            </w:tcBorders>
            <w:shd w:val="clear" w:color="auto" w:fill="8EAADB" w:themeFill="accent1" w:themeFillTint="99"/>
            <w:vAlign w:val="center"/>
          </w:tcPr>
          <w:p w:rsidR="402DD9F3" w:rsidRPr="00993950" w:rsidP="00506215" w14:paraId="7F041D62" w14:textId="31DD0AE7">
            <w:pPr>
              <w:spacing w:line="276" w:lineRule="auto"/>
              <w:contextualSpacing/>
              <w:jc w:val="center"/>
              <w:rPr>
                <w:b/>
                <w:bCs/>
                <w:sz w:val="18"/>
                <w:szCs w:val="18"/>
              </w:rPr>
            </w:pPr>
            <w:r w:rsidRPr="00993950">
              <w:rPr>
                <w:b/>
                <w:bCs/>
                <w:sz w:val="18"/>
                <w:szCs w:val="18"/>
              </w:rPr>
              <w:t>Program Change (cost currently on OMB Inventory)</w:t>
            </w:r>
          </w:p>
        </w:tc>
        <w:tc>
          <w:tcPr>
            <w:tcW w:w="1127" w:type="dxa"/>
            <w:tcBorders>
              <w:top w:val="nil"/>
              <w:left w:val="single" w:sz="6" w:space="0" w:color="auto"/>
              <w:bottom w:val="single" w:sz="6" w:space="0" w:color="auto"/>
              <w:right w:val="single" w:sz="6" w:space="0" w:color="auto"/>
            </w:tcBorders>
            <w:shd w:val="clear" w:color="auto" w:fill="8EAADB" w:themeFill="accent1" w:themeFillTint="99"/>
            <w:vAlign w:val="center"/>
          </w:tcPr>
          <w:p w:rsidR="402DD9F3" w:rsidRPr="00993950" w:rsidP="00506215" w14:paraId="6C78B354" w14:textId="07F80D2C">
            <w:pPr>
              <w:spacing w:line="276" w:lineRule="auto"/>
              <w:contextualSpacing/>
              <w:jc w:val="center"/>
              <w:rPr>
                <w:b/>
                <w:bCs/>
                <w:sz w:val="18"/>
                <w:szCs w:val="18"/>
              </w:rPr>
            </w:pPr>
            <w:r w:rsidRPr="00993950">
              <w:rPr>
                <w:b/>
                <w:bCs/>
                <w:sz w:val="18"/>
                <w:szCs w:val="18"/>
              </w:rPr>
              <w:t>Program Change (New)</w:t>
            </w:r>
          </w:p>
        </w:tc>
        <w:tc>
          <w:tcPr>
            <w:tcW w:w="1123" w:type="dxa"/>
            <w:tcBorders>
              <w:top w:val="nil"/>
              <w:left w:val="single" w:sz="6" w:space="0" w:color="auto"/>
              <w:bottom w:val="single" w:sz="6" w:space="0" w:color="auto"/>
              <w:right w:val="single" w:sz="6" w:space="0" w:color="auto"/>
            </w:tcBorders>
            <w:shd w:val="clear" w:color="auto" w:fill="8EAADB" w:themeFill="accent1" w:themeFillTint="99"/>
            <w:vAlign w:val="center"/>
          </w:tcPr>
          <w:p w:rsidR="402DD9F3" w:rsidRPr="00993950" w:rsidP="00506215" w14:paraId="736A24DB" w14:textId="5AD3D07B">
            <w:pPr>
              <w:spacing w:line="276" w:lineRule="auto"/>
              <w:contextualSpacing/>
              <w:jc w:val="center"/>
              <w:rPr>
                <w:b/>
                <w:bCs/>
                <w:sz w:val="18"/>
                <w:szCs w:val="18"/>
              </w:rPr>
            </w:pPr>
            <w:r w:rsidRPr="00993950">
              <w:rPr>
                <w:b/>
                <w:bCs/>
                <w:sz w:val="18"/>
                <w:szCs w:val="18"/>
              </w:rPr>
              <w:t>Difference</w:t>
            </w:r>
          </w:p>
        </w:tc>
        <w:tc>
          <w:tcPr>
            <w:tcW w:w="1530" w:type="dxa"/>
            <w:tcBorders>
              <w:top w:val="nil"/>
              <w:left w:val="single" w:sz="6" w:space="0" w:color="auto"/>
              <w:bottom w:val="single" w:sz="6" w:space="0" w:color="auto"/>
              <w:right w:val="single" w:sz="6" w:space="0" w:color="auto"/>
            </w:tcBorders>
            <w:shd w:val="clear" w:color="auto" w:fill="8EAADB" w:themeFill="accent1" w:themeFillTint="99"/>
            <w:vAlign w:val="center"/>
          </w:tcPr>
          <w:p w:rsidR="402DD9F3" w:rsidRPr="00993950" w:rsidP="00506215" w14:paraId="562ED835" w14:textId="12C073B8">
            <w:pPr>
              <w:spacing w:line="276" w:lineRule="auto"/>
              <w:contextualSpacing/>
              <w:jc w:val="center"/>
              <w:rPr>
                <w:b/>
                <w:bCs/>
                <w:sz w:val="18"/>
                <w:szCs w:val="18"/>
              </w:rPr>
            </w:pPr>
            <w:r w:rsidRPr="00993950">
              <w:rPr>
                <w:b/>
                <w:bCs/>
                <w:sz w:val="18"/>
                <w:szCs w:val="18"/>
              </w:rPr>
              <w:t>Adjustment (cost currently on OMB Inventory)</w:t>
            </w:r>
          </w:p>
        </w:tc>
        <w:tc>
          <w:tcPr>
            <w:tcW w:w="1530" w:type="dxa"/>
            <w:tcBorders>
              <w:top w:val="nil"/>
              <w:left w:val="single" w:sz="6" w:space="0" w:color="auto"/>
              <w:bottom w:val="single" w:sz="4" w:space="0" w:color="auto"/>
              <w:right w:val="single" w:sz="6" w:space="0" w:color="auto"/>
            </w:tcBorders>
            <w:shd w:val="clear" w:color="auto" w:fill="8EAADB" w:themeFill="accent1" w:themeFillTint="99"/>
            <w:vAlign w:val="center"/>
          </w:tcPr>
          <w:p w:rsidR="402DD9F3" w:rsidRPr="00993950" w:rsidP="00506215" w14:paraId="190D790F" w14:textId="521E0EE0">
            <w:pPr>
              <w:spacing w:line="276" w:lineRule="auto"/>
              <w:contextualSpacing/>
              <w:jc w:val="center"/>
              <w:rPr>
                <w:b/>
                <w:bCs/>
                <w:sz w:val="18"/>
                <w:szCs w:val="18"/>
              </w:rPr>
            </w:pPr>
            <w:r w:rsidRPr="00993950">
              <w:rPr>
                <w:b/>
                <w:bCs/>
                <w:sz w:val="18"/>
                <w:szCs w:val="18"/>
              </w:rPr>
              <w:t>Adjustment (New)</w:t>
            </w:r>
          </w:p>
        </w:tc>
        <w:tc>
          <w:tcPr>
            <w:tcW w:w="1342" w:type="dxa"/>
            <w:tcBorders>
              <w:top w:val="nil"/>
              <w:left w:val="single" w:sz="6" w:space="0" w:color="auto"/>
              <w:bottom w:val="single" w:sz="4" w:space="0" w:color="auto"/>
              <w:right w:val="single" w:sz="6" w:space="0" w:color="000000" w:themeColor="text1"/>
            </w:tcBorders>
            <w:shd w:val="clear" w:color="auto" w:fill="8EAADB" w:themeFill="accent1" w:themeFillTint="99"/>
            <w:vAlign w:val="center"/>
          </w:tcPr>
          <w:p w:rsidR="402DD9F3" w:rsidRPr="00993950" w:rsidP="00506215" w14:paraId="781EDFC8" w14:textId="3D920E49">
            <w:pPr>
              <w:spacing w:line="276" w:lineRule="auto"/>
              <w:contextualSpacing/>
              <w:jc w:val="center"/>
              <w:rPr>
                <w:b/>
                <w:bCs/>
                <w:sz w:val="18"/>
                <w:szCs w:val="18"/>
              </w:rPr>
            </w:pPr>
            <w:r w:rsidRPr="00993950">
              <w:rPr>
                <w:b/>
                <w:bCs/>
                <w:sz w:val="18"/>
                <w:szCs w:val="18"/>
              </w:rPr>
              <w:t>Difference</w:t>
            </w:r>
          </w:p>
        </w:tc>
      </w:tr>
      <w:tr w14:paraId="1BC44BFD" w14:textId="77777777" w:rsidTr="00776B9A">
        <w:tblPrEx>
          <w:tblW w:w="9712" w:type="dxa"/>
          <w:jc w:val="center"/>
          <w:tblLayout w:type="fixed"/>
          <w:tblLook w:val="04A0"/>
        </w:tblPrEx>
        <w:trPr>
          <w:trHeight w:val="540"/>
          <w:jc w:val="center"/>
        </w:trPr>
        <w:tc>
          <w:tcPr>
            <w:tcW w:w="1350" w:type="dxa"/>
            <w:tcBorders>
              <w:top w:val="single" w:sz="6" w:space="0" w:color="auto"/>
              <w:left w:val="single" w:sz="6" w:space="0" w:color="auto"/>
              <w:bottom w:val="single" w:sz="6" w:space="0" w:color="auto"/>
              <w:right w:val="single" w:sz="6" w:space="0" w:color="auto"/>
            </w:tcBorders>
            <w:vAlign w:val="bottom"/>
          </w:tcPr>
          <w:p w:rsidR="00A10D12" w:rsidRPr="00993950" w:rsidP="00A10D12" w14:paraId="65601F72" w14:textId="6D693910">
            <w:pPr>
              <w:spacing w:line="276" w:lineRule="auto"/>
              <w:contextualSpacing/>
              <w:jc w:val="center"/>
              <w:rPr>
                <w:rFonts w:eastAsia="Arial"/>
                <w:sz w:val="18"/>
                <w:szCs w:val="18"/>
              </w:rPr>
            </w:pPr>
            <w:r w:rsidRPr="00993950">
              <w:rPr>
                <w:sz w:val="18"/>
                <w:szCs w:val="18"/>
              </w:rPr>
              <w:t>Project Narrative Section /No Form</w:t>
            </w:r>
          </w:p>
        </w:tc>
        <w:tc>
          <w:tcPr>
            <w:tcW w:w="1710" w:type="dxa"/>
            <w:tcBorders>
              <w:top w:val="single" w:sz="6" w:space="0" w:color="auto"/>
              <w:left w:val="single" w:sz="6" w:space="0" w:color="auto"/>
              <w:bottom w:val="single" w:sz="6" w:space="0" w:color="auto"/>
              <w:right w:val="single" w:sz="6" w:space="0" w:color="auto"/>
            </w:tcBorders>
            <w:vAlign w:val="center"/>
          </w:tcPr>
          <w:p w:rsidR="00A10D12" w:rsidRPr="00993950" w:rsidP="00A10D12" w14:paraId="60477CE1" w14:textId="10719C99">
            <w:pPr>
              <w:spacing w:line="276" w:lineRule="auto"/>
              <w:contextualSpacing/>
              <w:jc w:val="center"/>
              <w:rPr>
                <w:rFonts w:eastAsia="Arial"/>
                <w:sz w:val="18"/>
                <w:szCs w:val="18"/>
              </w:rPr>
            </w:pPr>
            <w:r w:rsidRPr="00993950">
              <w:rPr>
                <w:rFonts w:eastAsia="Arial"/>
                <w:sz w:val="18"/>
                <w:szCs w:val="18"/>
              </w:rPr>
              <w:t>N/A</w:t>
            </w:r>
          </w:p>
        </w:tc>
        <w:tc>
          <w:tcPr>
            <w:tcW w:w="1127" w:type="dxa"/>
            <w:tcBorders>
              <w:top w:val="single" w:sz="6" w:space="0" w:color="auto"/>
              <w:left w:val="single" w:sz="6" w:space="0" w:color="auto"/>
              <w:bottom w:val="single" w:sz="6" w:space="0" w:color="auto"/>
              <w:right w:val="single" w:sz="6" w:space="0" w:color="auto"/>
            </w:tcBorders>
            <w:vAlign w:val="center"/>
          </w:tcPr>
          <w:p w:rsidR="00A10D12" w:rsidRPr="00993950" w:rsidP="00A10D12" w14:paraId="21EB486D" w14:textId="3DFFDCE0">
            <w:pPr>
              <w:spacing w:line="276" w:lineRule="auto"/>
              <w:contextualSpacing/>
              <w:jc w:val="center"/>
              <w:rPr>
                <w:rFonts w:eastAsia="Arial"/>
                <w:sz w:val="18"/>
                <w:szCs w:val="18"/>
              </w:rPr>
            </w:pPr>
            <w:r w:rsidRPr="00993950">
              <w:rPr>
                <w:rFonts w:eastAsia="Arial"/>
                <w:sz w:val="18"/>
                <w:szCs w:val="18"/>
              </w:rPr>
              <w:t>N/A</w:t>
            </w:r>
          </w:p>
        </w:tc>
        <w:tc>
          <w:tcPr>
            <w:tcW w:w="1123" w:type="dxa"/>
            <w:tcBorders>
              <w:top w:val="single" w:sz="6" w:space="0" w:color="auto"/>
              <w:left w:val="single" w:sz="6" w:space="0" w:color="auto"/>
              <w:bottom w:val="single" w:sz="6" w:space="0" w:color="auto"/>
              <w:right w:val="single" w:sz="6" w:space="0" w:color="auto"/>
            </w:tcBorders>
            <w:vAlign w:val="center"/>
          </w:tcPr>
          <w:p w:rsidR="00A10D12" w:rsidRPr="00993950" w:rsidP="00A10D12" w14:paraId="3FE8D7EA" w14:textId="18CE997B">
            <w:pPr>
              <w:spacing w:line="276" w:lineRule="auto"/>
              <w:contextualSpacing/>
              <w:jc w:val="center"/>
              <w:rPr>
                <w:rFonts w:eastAsia="Arial"/>
                <w:sz w:val="18"/>
                <w:szCs w:val="18"/>
              </w:rPr>
            </w:pPr>
            <w:r w:rsidRPr="00993950">
              <w:rPr>
                <w:rFonts w:eastAsia="Arial"/>
                <w:sz w:val="18"/>
                <w:szCs w:val="18"/>
              </w:rPr>
              <w:t>N/A</w:t>
            </w:r>
          </w:p>
        </w:tc>
        <w:tc>
          <w:tcPr>
            <w:tcW w:w="1530" w:type="dxa"/>
            <w:tcBorders>
              <w:top w:val="single" w:sz="6" w:space="0" w:color="auto"/>
              <w:left w:val="single" w:sz="6" w:space="0" w:color="auto"/>
              <w:bottom w:val="single" w:sz="6" w:space="0" w:color="auto"/>
              <w:right w:val="single" w:sz="4" w:space="0" w:color="auto"/>
            </w:tcBorders>
            <w:vAlign w:val="center"/>
          </w:tcPr>
          <w:p w:rsidR="00A10D12" w:rsidRPr="00993950" w:rsidP="00A10D12" w14:paraId="5D5AD367" w14:textId="516C9E4C">
            <w:pPr>
              <w:spacing w:line="276" w:lineRule="auto"/>
              <w:contextualSpacing/>
              <w:jc w:val="center"/>
              <w:rPr>
                <w:rFonts w:eastAsia="Arial"/>
                <w:sz w:val="18"/>
                <w:szCs w:val="18"/>
              </w:rPr>
            </w:pPr>
            <w:r w:rsidRPr="00993950">
              <w:rPr>
                <w:rFonts w:eastAsia="Arial"/>
                <w:sz w:val="18"/>
                <w:szCs w:val="18"/>
              </w:rPr>
              <w:t>$452,995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A10D12" w:rsidRPr="00993950" w:rsidP="00A10D12" w14:paraId="56E18CF3" w14:textId="509FB5A4">
            <w:pPr>
              <w:jc w:val="center"/>
              <w:rPr>
                <w:rFonts w:eastAsia="Arial"/>
                <w:sz w:val="18"/>
                <w:szCs w:val="18"/>
              </w:rPr>
            </w:pPr>
            <w:r w:rsidRPr="00993950">
              <w:rPr>
                <w:sz w:val="18"/>
                <w:szCs w:val="18"/>
              </w:rPr>
              <w:t>$</w:t>
            </w:r>
            <w:r w:rsidRPr="00993950" w:rsidR="00E04555">
              <w:rPr>
                <w:sz w:val="18"/>
                <w:szCs w:val="18"/>
              </w:rPr>
              <w:t>1,474,169</w:t>
            </w:r>
            <w:r w:rsidRPr="00993950">
              <w:rPr>
                <w:sz w:val="18"/>
                <w:szCs w:val="18"/>
              </w:rPr>
              <w:t xml:space="preserve"> </w:t>
            </w:r>
          </w:p>
        </w:tc>
        <w:tc>
          <w:tcPr>
            <w:tcW w:w="1342" w:type="dxa"/>
            <w:tcBorders>
              <w:top w:val="single" w:sz="4" w:space="0" w:color="auto"/>
              <w:left w:val="nil"/>
              <w:bottom w:val="single" w:sz="4" w:space="0" w:color="auto"/>
              <w:right w:val="single" w:sz="4" w:space="0" w:color="auto"/>
            </w:tcBorders>
            <w:shd w:val="clear" w:color="auto" w:fill="auto"/>
            <w:vAlign w:val="center"/>
          </w:tcPr>
          <w:p w:rsidR="00A10D12" w:rsidRPr="00993950" w:rsidP="00A10D12" w14:paraId="14B53F45" w14:textId="1A0845CC">
            <w:pPr>
              <w:spacing w:line="276" w:lineRule="auto"/>
              <w:contextualSpacing/>
              <w:jc w:val="center"/>
              <w:rPr>
                <w:rFonts w:eastAsia="Arial"/>
                <w:sz w:val="18"/>
                <w:szCs w:val="18"/>
              </w:rPr>
            </w:pPr>
            <w:r w:rsidRPr="00993950">
              <w:rPr>
                <w:sz w:val="18"/>
                <w:szCs w:val="18"/>
              </w:rPr>
              <w:t>$</w:t>
            </w:r>
            <w:r w:rsidRPr="00993950" w:rsidR="00106AB8">
              <w:rPr>
                <w:sz w:val="18"/>
                <w:szCs w:val="18"/>
              </w:rPr>
              <w:t>1,021,174</w:t>
            </w:r>
            <w:r w:rsidRPr="00993950">
              <w:rPr>
                <w:sz w:val="18"/>
                <w:szCs w:val="18"/>
              </w:rPr>
              <w:t xml:space="preserve"> </w:t>
            </w:r>
          </w:p>
        </w:tc>
      </w:tr>
      <w:tr w14:paraId="4D33ADE2" w14:textId="77777777" w:rsidTr="00776B9A">
        <w:tblPrEx>
          <w:tblW w:w="9712" w:type="dxa"/>
          <w:jc w:val="center"/>
          <w:tblLayout w:type="fixed"/>
          <w:tblLook w:val="04A0"/>
        </w:tblPrEx>
        <w:trPr>
          <w:trHeight w:val="540"/>
          <w:jc w:val="center"/>
        </w:trPr>
        <w:tc>
          <w:tcPr>
            <w:tcW w:w="1350" w:type="dxa"/>
            <w:tcBorders>
              <w:top w:val="single" w:sz="6" w:space="0" w:color="auto"/>
              <w:left w:val="single" w:sz="6" w:space="0" w:color="auto"/>
              <w:bottom w:val="single" w:sz="6" w:space="0" w:color="auto"/>
              <w:right w:val="single" w:sz="6" w:space="0" w:color="auto"/>
            </w:tcBorders>
            <w:vAlign w:val="bottom"/>
          </w:tcPr>
          <w:p w:rsidR="00A10D12" w:rsidRPr="00993950" w:rsidP="00A10D12" w14:paraId="6EE0F5F3" w14:textId="5423754E">
            <w:pPr>
              <w:spacing w:line="276" w:lineRule="auto"/>
              <w:contextualSpacing/>
              <w:jc w:val="center"/>
              <w:rPr>
                <w:sz w:val="18"/>
                <w:szCs w:val="18"/>
              </w:rPr>
            </w:pPr>
            <w:r w:rsidRPr="00993950">
              <w:rPr>
                <w:sz w:val="18"/>
                <w:szCs w:val="18"/>
              </w:rPr>
              <w:t>Benefit-Cost Determination /No Form</w:t>
            </w:r>
          </w:p>
        </w:tc>
        <w:tc>
          <w:tcPr>
            <w:tcW w:w="1710" w:type="dxa"/>
            <w:tcBorders>
              <w:top w:val="single" w:sz="6" w:space="0" w:color="auto"/>
              <w:left w:val="single" w:sz="6" w:space="0" w:color="auto"/>
              <w:bottom w:val="single" w:sz="6" w:space="0" w:color="auto"/>
              <w:right w:val="single" w:sz="6" w:space="0" w:color="auto"/>
            </w:tcBorders>
            <w:vAlign w:val="center"/>
          </w:tcPr>
          <w:p w:rsidR="00A10D12" w:rsidRPr="00993950" w:rsidP="00A10D12" w14:paraId="773B0632" w14:textId="7298D48F">
            <w:pPr>
              <w:spacing w:line="276" w:lineRule="auto"/>
              <w:contextualSpacing/>
              <w:jc w:val="center"/>
              <w:rPr>
                <w:rFonts w:eastAsia="Arial"/>
                <w:sz w:val="18"/>
                <w:szCs w:val="18"/>
              </w:rPr>
            </w:pPr>
            <w:r w:rsidRPr="00993950">
              <w:rPr>
                <w:rFonts w:eastAsia="Arial"/>
                <w:sz w:val="18"/>
                <w:szCs w:val="18"/>
              </w:rPr>
              <w:t>N/A</w:t>
            </w:r>
          </w:p>
        </w:tc>
        <w:tc>
          <w:tcPr>
            <w:tcW w:w="1127" w:type="dxa"/>
            <w:tcBorders>
              <w:top w:val="single" w:sz="6" w:space="0" w:color="auto"/>
              <w:left w:val="single" w:sz="6" w:space="0" w:color="auto"/>
              <w:bottom w:val="single" w:sz="6" w:space="0" w:color="auto"/>
              <w:right w:val="single" w:sz="6" w:space="0" w:color="auto"/>
            </w:tcBorders>
            <w:vAlign w:val="center"/>
          </w:tcPr>
          <w:p w:rsidR="00A10D12" w:rsidRPr="00993950" w:rsidP="00A10D12" w14:paraId="58E5AD04" w14:textId="667B30A3">
            <w:pPr>
              <w:spacing w:line="276" w:lineRule="auto"/>
              <w:contextualSpacing/>
              <w:jc w:val="center"/>
              <w:rPr>
                <w:rFonts w:eastAsia="Arial"/>
                <w:sz w:val="18"/>
                <w:szCs w:val="18"/>
              </w:rPr>
            </w:pPr>
            <w:r w:rsidRPr="00993950">
              <w:rPr>
                <w:rFonts w:eastAsia="Arial"/>
                <w:sz w:val="18"/>
                <w:szCs w:val="18"/>
              </w:rPr>
              <w:t>N/A</w:t>
            </w:r>
          </w:p>
        </w:tc>
        <w:tc>
          <w:tcPr>
            <w:tcW w:w="1123" w:type="dxa"/>
            <w:tcBorders>
              <w:top w:val="single" w:sz="6" w:space="0" w:color="auto"/>
              <w:left w:val="single" w:sz="6" w:space="0" w:color="auto"/>
              <w:bottom w:val="single" w:sz="6" w:space="0" w:color="auto"/>
              <w:right w:val="single" w:sz="6" w:space="0" w:color="auto"/>
            </w:tcBorders>
            <w:vAlign w:val="center"/>
          </w:tcPr>
          <w:p w:rsidR="00A10D12" w:rsidRPr="00993950" w:rsidP="00A10D12" w14:paraId="0EC35820" w14:textId="512378BD">
            <w:pPr>
              <w:spacing w:line="276" w:lineRule="auto"/>
              <w:contextualSpacing/>
              <w:jc w:val="center"/>
              <w:rPr>
                <w:rFonts w:eastAsia="Arial"/>
                <w:sz w:val="18"/>
                <w:szCs w:val="18"/>
              </w:rPr>
            </w:pPr>
            <w:r w:rsidRPr="00993950">
              <w:rPr>
                <w:rFonts w:eastAsia="Arial"/>
                <w:sz w:val="18"/>
                <w:szCs w:val="18"/>
              </w:rPr>
              <w:t>N/A</w:t>
            </w:r>
          </w:p>
        </w:tc>
        <w:tc>
          <w:tcPr>
            <w:tcW w:w="1530" w:type="dxa"/>
            <w:tcBorders>
              <w:top w:val="single" w:sz="6" w:space="0" w:color="auto"/>
              <w:left w:val="single" w:sz="6" w:space="0" w:color="auto"/>
              <w:bottom w:val="single" w:sz="6" w:space="0" w:color="auto"/>
              <w:right w:val="single" w:sz="4" w:space="0" w:color="auto"/>
            </w:tcBorders>
            <w:vAlign w:val="center"/>
          </w:tcPr>
          <w:p w:rsidR="00A10D12" w:rsidRPr="00993950" w:rsidP="00A10D12" w14:paraId="0BB8F241" w14:textId="6F5803AE">
            <w:pPr>
              <w:spacing w:line="276" w:lineRule="auto"/>
              <w:contextualSpacing/>
              <w:jc w:val="center"/>
              <w:rPr>
                <w:rFonts w:eastAsia="Arial"/>
                <w:sz w:val="18"/>
                <w:szCs w:val="18"/>
              </w:rPr>
            </w:pPr>
            <w:r w:rsidRPr="00993950">
              <w:rPr>
                <w:rFonts w:eastAsia="Arial"/>
                <w:sz w:val="18"/>
                <w:szCs w:val="18"/>
              </w:rPr>
              <w:t>$188,748</w:t>
            </w:r>
          </w:p>
        </w:tc>
        <w:tc>
          <w:tcPr>
            <w:tcW w:w="1530" w:type="dxa"/>
            <w:tcBorders>
              <w:top w:val="nil"/>
              <w:left w:val="single" w:sz="4" w:space="0" w:color="auto"/>
              <w:bottom w:val="single" w:sz="4" w:space="0" w:color="auto"/>
              <w:right w:val="single" w:sz="4" w:space="0" w:color="auto"/>
            </w:tcBorders>
            <w:shd w:val="clear" w:color="auto" w:fill="auto"/>
            <w:vAlign w:val="center"/>
          </w:tcPr>
          <w:p w:rsidR="00A10D12" w:rsidRPr="00993950" w:rsidP="00A10D12" w14:paraId="7EB6F85D" w14:textId="4A6A6831">
            <w:pPr>
              <w:spacing w:line="276" w:lineRule="auto"/>
              <w:contextualSpacing/>
              <w:jc w:val="center"/>
              <w:rPr>
                <w:rFonts w:eastAsia="Arial"/>
                <w:sz w:val="18"/>
                <w:szCs w:val="18"/>
              </w:rPr>
            </w:pPr>
            <w:r w:rsidRPr="00993950">
              <w:rPr>
                <w:sz w:val="18"/>
                <w:szCs w:val="18"/>
              </w:rPr>
              <w:t>$</w:t>
            </w:r>
            <w:r w:rsidRPr="00993950" w:rsidR="00E04555">
              <w:rPr>
                <w:sz w:val="18"/>
                <w:szCs w:val="18"/>
              </w:rPr>
              <w:t>614,237</w:t>
            </w:r>
            <w:r w:rsidRPr="00993950">
              <w:rPr>
                <w:sz w:val="18"/>
                <w:szCs w:val="18"/>
              </w:rPr>
              <w:t xml:space="preserve"> </w:t>
            </w:r>
          </w:p>
        </w:tc>
        <w:tc>
          <w:tcPr>
            <w:tcW w:w="1342" w:type="dxa"/>
            <w:tcBorders>
              <w:top w:val="nil"/>
              <w:left w:val="nil"/>
              <w:bottom w:val="single" w:sz="4" w:space="0" w:color="auto"/>
              <w:right w:val="single" w:sz="4" w:space="0" w:color="auto"/>
            </w:tcBorders>
            <w:shd w:val="clear" w:color="auto" w:fill="auto"/>
            <w:vAlign w:val="center"/>
          </w:tcPr>
          <w:p w:rsidR="00A10D12" w:rsidRPr="00993950" w:rsidP="00A10D12" w14:paraId="58A00B49" w14:textId="6F2C0BC5">
            <w:pPr>
              <w:spacing w:line="276" w:lineRule="auto"/>
              <w:contextualSpacing/>
              <w:jc w:val="center"/>
              <w:rPr>
                <w:rFonts w:eastAsia="Arial"/>
                <w:sz w:val="18"/>
                <w:szCs w:val="18"/>
              </w:rPr>
            </w:pPr>
            <w:r w:rsidRPr="00993950">
              <w:rPr>
                <w:sz w:val="18"/>
                <w:szCs w:val="18"/>
              </w:rPr>
              <w:t>$</w:t>
            </w:r>
            <w:r w:rsidRPr="00993950" w:rsidR="00106AB8">
              <w:rPr>
                <w:sz w:val="18"/>
                <w:szCs w:val="18"/>
              </w:rPr>
              <w:t>425,489</w:t>
            </w:r>
            <w:r w:rsidRPr="00993950">
              <w:rPr>
                <w:sz w:val="18"/>
                <w:szCs w:val="18"/>
              </w:rPr>
              <w:t xml:space="preserve"> </w:t>
            </w:r>
          </w:p>
        </w:tc>
      </w:tr>
      <w:tr w14:paraId="7F013253" w14:textId="77777777" w:rsidTr="00776B9A">
        <w:tblPrEx>
          <w:tblW w:w="9712" w:type="dxa"/>
          <w:jc w:val="center"/>
          <w:tblLayout w:type="fixed"/>
          <w:tblLook w:val="04A0"/>
        </w:tblPrEx>
        <w:trPr>
          <w:trHeight w:val="540"/>
          <w:jc w:val="center"/>
        </w:trPr>
        <w:tc>
          <w:tcPr>
            <w:tcW w:w="1350" w:type="dxa"/>
            <w:tcBorders>
              <w:top w:val="single" w:sz="6" w:space="0" w:color="auto"/>
              <w:left w:val="single" w:sz="6" w:space="0" w:color="auto"/>
              <w:bottom w:val="single" w:sz="6" w:space="0" w:color="auto"/>
              <w:right w:val="single" w:sz="6" w:space="0" w:color="auto"/>
            </w:tcBorders>
            <w:vAlign w:val="bottom"/>
          </w:tcPr>
          <w:p w:rsidR="00A10D12" w:rsidRPr="00993950" w:rsidP="00A10D12" w14:paraId="4184747C" w14:textId="1E921BF4">
            <w:pPr>
              <w:spacing w:line="276" w:lineRule="auto"/>
              <w:contextualSpacing/>
              <w:jc w:val="center"/>
              <w:rPr>
                <w:sz w:val="18"/>
                <w:szCs w:val="18"/>
              </w:rPr>
            </w:pPr>
            <w:r w:rsidRPr="00993950">
              <w:rPr>
                <w:sz w:val="18"/>
                <w:szCs w:val="18"/>
              </w:rPr>
              <w:t xml:space="preserve">Environmental Review </w:t>
            </w:r>
            <w:r w:rsidRPr="00993950">
              <w:rPr>
                <w:sz w:val="18"/>
                <w:szCs w:val="18"/>
              </w:rPr>
              <w:br/>
              <w:t>/No Form</w:t>
            </w:r>
          </w:p>
        </w:tc>
        <w:tc>
          <w:tcPr>
            <w:tcW w:w="1710" w:type="dxa"/>
            <w:tcBorders>
              <w:top w:val="single" w:sz="6" w:space="0" w:color="auto"/>
              <w:left w:val="single" w:sz="6" w:space="0" w:color="auto"/>
              <w:bottom w:val="single" w:sz="6" w:space="0" w:color="auto"/>
              <w:right w:val="single" w:sz="6" w:space="0" w:color="auto"/>
            </w:tcBorders>
            <w:vAlign w:val="center"/>
          </w:tcPr>
          <w:p w:rsidR="00A10D12" w:rsidRPr="00993950" w:rsidP="00A10D12" w14:paraId="150E3986" w14:textId="4F01A77E">
            <w:pPr>
              <w:spacing w:line="276" w:lineRule="auto"/>
              <w:contextualSpacing/>
              <w:jc w:val="center"/>
              <w:rPr>
                <w:rFonts w:eastAsia="Arial"/>
                <w:sz w:val="18"/>
                <w:szCs w:val="18"/>
              </w:rPr>
            </w:pPr>
            <w:r w:rsidRPr="00993950">
              <w:rPr>
                <w:rFonts w:eastAsia="Arial"/>
                <w:sz w:val="18"/>
                <w:szCs w:val="18"/>
              </w:rPr>
              <w:t>N/A</w:t>
            </w:r>
          </w:p>
        </w:tc>
        <w:tc>
          <w:tcPr>
            <w:tcW w:w="1127" w:type="dxa"/>
            <w:tcBorders>
              <w:top w:val="single" w:sz="6" w:space="0" w:color="auto"/>
              <w:left w:val="single" w:sz="6" w:space="0" w:color="auto"/>
              <w:bottom w:val="single" w:sz="6" w:space="0" w:color="auto"/>
              <w:right w:val="single" w:sz="6" w:space="0" w:color="auto"/>
            </w:tcBorders>
            <w:vAlign w:val="center"/>
          </w:tcPr>
          <w:p w:rsidR="00A10D12" w:rsidRPr="00993950" w:rsidP="00A10D12" w14:paraId="3E5F1B63" w14:textId="153F7CCB">
            <w:pPr>
              <w:spacing w:line="276" w:lineRule="auto"/>
              <w:contextualSpacing/>
              <w:jc w:val="center"/>
              <w:rPr>
                <w:rFonts w:eastAsia="Arial"/>
                <w:sz w:val="18"/>
                <w:szCs w:val="18"/>
              </w:rPr>
            </w:pPr>
            <w:r w:rsidRPr="00993950">
              <w:rPr>
                <w:rFonts w:eastAsia="Arial"/>
                <w:sz w:val="18"/>
                <w:szCs w:val="18"/>
              </w:rPr>
              <w:t>N/A</w:t>
            </w:r>
          </w:p>
        </w:tc>
        <w:tc>
          <w:tcPr>
            <w:tcW w:w="1123" w:type="dxa"/>
            <w:tcBorders>
              <w:top w:val="single" w:sz="6" w:space="0" w:color="auto"/>
              <w:left w:val="single" w:sz="6" w:space="0" w:color="auto"/>
              <w:bottom w:val="single" w:sz="6" w:space="0" w:color="auto"/>
              <w:right w:val="single" w:sz="6" w:space="0" w:color="auto"/>
            </w:tcBorders>
            <w:vAlign w:val="center"/>
          </w:tcPr>
          <w:p w:rsidR="00A10D12" w:rsidRPr="00993950" w:rsidP="00A10D12" w14:paraId="576E5569" w14:textId="7D5726DE">
            <w:pPr>
              <w:spacing w:line="276" w:lineRule="auto"/>
              <w:contextualSpacing/>
              <w:jc w:val="center"/>
              <w:rPr>
                <w:rFonts w:eastAsia="Arial"/>
                <w:sz w:val="18"/>
                <w:szCs w:val="18"/>
              </w:rPr>
            </w:pPr>
            <w:r w:rsidRPr="00993950">
              <w:rPr>
                <w:rFonts w:eastAsia="Arial"/>
                <w:sz w:val="18"/>
                <w:szCs w:val="18"/>
              </w:rPr>
              <w:t>N/A</w:t>
            </w:r>
          </w:p>
        </w:tc>
        <w:tc>
          <w:tcPr>
            <w:tcW w:w="1530" w:type="dxa"/>
            <w:tcBorders>
              <w:top w:val="single" w:sz="6" w:space="0" w:color="auto"/>
              <w:left w:val="single" w:sz="6" w:space="0" w:color="auto"/>
              <w:bottom w:val="single" w:sz="6" w:space="0" w:color="auto"/>
              <w:right w:val="single" w:sz="4" w:space="0" w:color="auto"/>
            </w:tcBorders>
            <w:vAlign w:val="center"/>
          </w:tcPr>
          <w:p w:rsidR="00A10D12" w:rsidRPr="00993950" w:rsidP="00A10D12" w14:paraId="1849B6CE" w14:textId="0D837D78">
            <w:pPr>
              <w:spacing w:line="276" w:lineRule="auto"/>
              <w:contextualSpacing/>
              <w:jc w:val="center"/>
              <w:rPr>
                <w:rFonts w:eastAsia="Arial"/>
                <w:sz w:val="18"/>
                <w:szCs w:val="18"/>
              </w:rPr>
            </w:pPr>
            <w:r w:rsidRPr="00993950">
              <w:rPr>
                <w:rFonts w:eastAsia="Arial"/>
                <w:sz w:val="18"/>
                <w:szCs w:val="18"/>
              </w:rPr>
              <w:t>$283,122</w:t>
            </w:r>
          </w:p>
        </w:tc>
        <w:tc>
          <w:tcPr>
            <w:tcW w:w="1530" w:type="dxa"/>
            <w:tcBorders>
              <w:top w:val="nil"/>
              <w:left w:val="single" w:sz="4" w:space="0" w:color="auto"/>
              <w:bottom w:val="single" w:sz="4" w:space="0" w:color="auto"/>
              <w:right w:val="single" w:sz="4" w:space="0" w:color="auto"/>
            </w:tcBorders>
            <w:shd w:val="clear" w:color="auto" w:fill="auto"/>
            <w:vAlign w:val="center"/>
          </w:tcPr>
          <w:p w:rsidR="00A10D12" w:rsidRPr="00993950" w:rsidP="00A10D12" w14:paraId="10B0B37B" w14:textId="07CC7AF5">
            <w:pPr>
              <w:spacing w:line="276" w:lineRule="auto"/>
              <w:contextualSpacing/>
              <w:jc w:val="center"/>
              <w:rPr>
                <w:rFonts w:eastAsia="Arial"/>
                <w:sz w:val="18"/>
                <w:szCs w:val="18"/>
              </w:rPr>
            </w:pPr>
            <w:r w:rsidRPr="00993950">
              <w:rPr>
                <w:sz w:val="18"/>
                <w:szCs w:val="18"/>
              </w:rPr>
              <w:t>$</w:t>
            </w:r>
            <w:r w:rsidRPr="00993950" w:rsidR="00E04555">
              <w:rPr>
                <w:sz w:val="18"/>
                <w:szCs w:val="18"/>
              </w:rPr>
              <w:t>921,356</w:t>
            </w:r>
            <w:r w:rsidRPr="00993950">
              <w:rPr>
                <w:sz w:val="18"/>
                <w:szCs w:val="18"/>
              </w:rPr>
              <w:t xml:space="preserve"> </w:t>
            </w:r>
          </w:p>
        </w:tc>
        <w:tc>
          <w:tcPr>
            <w:tcW w:w="1342" w:type="dxa"/>
            <w:tcBorders>
              <w:top w:val="nil"/>
              <w:left w:val="nil"/>
              <w:bottom w:val="single" w:sz="4" w:space="0" w:color="auto"/>
              <w:right w:val="single" w:sz="4" w:space="0" w:color="auto"/>
            </w:tcBorders>
            <w:shd w:val="clear" w:color="auto" w:fill="auto"/>
            <w:vAlign w:val="center"/>
          </w:tcPr>
          <w:p w:rsidR="00A10D12" w:rsidRPr="00993950" w:rsidP="00A10D12" w14:paraId="531DF293" w14:textId="4A95BC2E">
            <w:pPr>
              <w:spacing w:line="276" w:lineRule="auto"/>
              <w:contextualSpacing/>
              <w:jc w:val="center"/>
              <w:rPr>
                <w:rFonts w:eastAsia="Arial"/>
                <w:sz w:val="18"/>
                <w:szCs w:val="18"/>
              </w:rPr>
            </w:pPr>
            <w:r w:rsidRPr="00993950">
              <w:rPr>
                <w:sz w:val="18"/>
                <w:szCs w:val="18"/>
              </w:rPr>
              <w:t>$</w:t>
            </w:r>
            <w:r w:rsidRPr="00993950" w:rsidR="00106AB8">
              <w:rPr>
                <w:sz w:val="18"/>
                <w:szCs w:val="18"/>
              </w:rPr>
              <w:t>638,234</w:t>
            </w:r>
            <w:r w:rsidRPr="00993950">
              <w:rPr>
                <w:sz w:val="18"/>
                <w:szCs w:val="18"/>
              </w:rPr>
              <w:t xml:space="preserve"> </w:t>
            </w:r>
          </w:p>
        </w:tc>
      </w:tr>
      <w:tr w14:paraId="41E216E8" w14:textId="77777777" w:rsidTr="00776B9A">
        <w:tblPrEx>
          <w:tblW w:w="9712" w:type="dxa"/>
          <w:jc w:val="center"/>
          <w:tblLayout w:type="fixed"/>
          <w:tblLook w:val="04A0"/>
        </w:tblPrEx>
        <w:trPr>
          <w:trHeight w:val="765"/>
          <w:jc w:val="center"/>
        </w:trPr>
        <w:tc>
          <w:tcPr>
            <w:tcW w:w="1350" w:type="dxa"/>
            <w:tcBorders>
              <w:top w:val="single" w:sz="6" w:space="0" w:color="auto"/>
              <w:left w:val="single" w:sz="6" w:space="0" w:color="auto"/>
              <w:bottom w:val="single" w:sz="6" w:space="0" w:color="auto"/>
              <w:right w:val="single" w:sz="6" w:space="0" w:color="auto"/>
            </w:tcBorders>
            <w:vAlign w:val="bottom"/>
          </w:tcPr>
          <w:p w:rsidR="00A10D12" w:rsidRPr="00993950" w:rsidP="00A10D12" w14:paraId="609F231C" w14:textId="22D204B2">
            <w:pPr>
              <w:spacing w:line="276" w:lineRule="auto"/>
              <w:contextualSpacing/>
              <w:jc w:val="center"/>
              <w:rPr>
                <w:sz w:val="18"/>
                <w:szCs w:val="18"/>
              </w:rPr>
            </w:pPr>
            <w:r w:rsidRPr="00993950">
              <w:rPr>
                <w:sz w:val="18"/>
                <w:szCs w:val="18"/>
              </w:rPr>
              <w:t xml:space="preserve">Quarterly Progress Report </w:t>
            </w:r>
            <w:r w:rsidRPr="00993950">
              <w:rPr>
                <w:sz w:val="18"/>
                <w:szCs w:val="18"/>
              </w:rPr>
              <w:br/>
              <w:t>/No Form</w:t>
            </w:r>
          </w:p>
        </w:tc>
        <w:tc>
          <w:tcPr>
            <w:tcW w:w="1710" w:type="dxa"/>
            <w:tcBorders>
              <w:top w:val="single" w:sz="6" w:space="0" w:color="auto"/>
              <w:left w:val="single" w:sz="6" w:space="0" w:color="auto"/>
              <w:bottom w:val="single" w:sz="6" w:space="0" w:color="auto"/>
              <w:right w:val="single" w:sz="6" w:space="0" w:color="auto"/>
            </w:tcBorders>
            <w:vAlign w:val="center"/>
          </w:tcPr>
          <w:p w:rsidR="00A10D12" w:rsidRPr="00993950" w:rsidP="00A10D12" w14:paraId="54032D53" w14:textId="3FDB7105">
            <w:pPr>
              <w:spacing w:line="276" w:lineRule="auto"/>
              <w:contextualSpacing/>
              <w:jc w:val="center"/>
              <w:rPr>
                <w:rFonts w:eastAsia="Arial"/>
                <w:sz w:val="18"/>
                <w:szCs w:val="18"/>
              </w:rPr>
            </w:pPr>
            <w:r w:rsidRPr="00993950">
              <w:rPr>
                <w:rFonts w:eastAsia="Arial"/>
                <w:sz w:val="18"/>
                <w:szCs w:val="18"/>
              </w:rPr>
              <w:t>N/A</w:t>
            </w:r>
          </w:p>
        </w:tc>
        <w:tc>
          <w:tcPr>
            <w:tcW w:w="1127" w:type="dxa"/>
            <w:tcBorders>
              <w:top w:val="single" w:sz="6" w:space="0" w:color="auto"/>
              <w:left w:val="single" w:sz="6" w:space="0" w:color="auto"/>
              <w:bottom w:val="single" w:sz="6" w:space="0" w:color="auto"/>
              <w:right w:val="single" w:sz="6" w:space="0" w:color="auto"/>
            </w:tcBorders>
            <w:vAlign w:val="center"/>
          </w:tcPr>
          <w:p w:rsidR="00A10D12" w:rsidRPr="00993950" w:rsidP="00A10D12" w14:paraId="25A14189" w14:textId="72249F77">
            <w:pPr>
              <w:spacing w:line="276" w:lineRule="auto"/>
              <w:contextualSpacing/>
              <w:jc w:val="center"/>
              <w:rPr>
                <w:rFonts w:eastAsia="Arial"/>
                <w:sz w:val="18"/>
                <w:szCs w:val="18"/>
              </w:rPr>
            </w:pPr>
            <w:r w:rsidRPr="00993950">
              <w:rPr>
                <w:rFonts w:eastAsia="Arial"/>
                <w:sz w:val="18"/>
                <w:szCs w:val="18"/>
              </w:rPr>
              <w:t>N/A</w:t>
            </w:r>
          </w:p>
        </w:tc>
        <w:tc>
          <w:tcPr>
            <w:tcW w:w="1123" w:type="dxa"/>
            <w:tcBorders>
              <w:top w:val="single" w:sz="6" w:space="0" w:color="auto"/>
              <w:left w:val="single" w:sz="6" w:space="0" w:color="auto"/>
              <w:bottom w:val="single" w:sz="6" w:space="0" w:color="auto"/>
              <w:right w:val="single" w:sz="6" w:space="0" w:color="auto"/>
            </w:tcBorders>
            <w:vAlign w:val="center"/>
          </w:tcPr>
          <w:p w:rsidR="00A10D12" w:rsidRPr="00993950" w:rsidP="00A10D12" w14:paraId="0410FD4D" w14:textId="64117490">
            <w:pPr>
              <w:spacing w:line="276" w:lineRule="auto"/>
              <w:contextualSpacing/>
              <w:jc w:val="center"/>
              <w:rPr>
                <w:rFonts w:eastAsia="Arial"/>
                <w:sz w:val="18"/>
                <w:szCs w:val="18"/>
              </w:rPr>
            </w:pPr>
            <w:r w:rsidRPr="00993950">
              <w:rPr>
                <w:rFonts w:eastAsia="Arial"/>
                <w:sz w:val="18"/>
                <w:szCs w:val="18"/>
              </w:rPr>
              <w:t>N/A</w:t>
            </w:r>
          </w:p>
        </w:tc>
        <w:tc>
          <w:tcPr>
            <w:tcW w:w="1530" w:type="dxa"/>
            <w:tcBorders>
              <w:top w:val="single" w:sz="6" w:space="0" w:color="auto"/>
              <w:left w:val="single" w:sz="6" w:space="0" w:color="auto"/>
              <w:bottom w:val="single" w:sz="6" w:space="0" w:color="auto"/>
              <w:right w:val="single" w:sz="4" w:space="0" w:color="auto"/>
            </w:tcBorders>
            <w:vAlign w:val="center"/>
          </w:tcPr>
          <w:p w:rsidR="00A10D12" w:rsidRPr="00993950" w:rsidP="00A10D12" w14:paraId="7CD73AEC" w14:textId="6D8D3C51">
            <w:pPr>
              <w:spacing w:line="276" w:lineRule="auto"/>
              <w:contextualSpacing/>
              <w:jc w:val="center"/>
              <w:rPr>
                <w:rFonts w:eastAsia="Arial"/>
                <w:sz w:val="18"/>
                <w:szCs w:val="18"/>
              </w:rPr>
            </w:pPr>
            <w:r w:rsidRPr="00993950">
              <w:rPr>
                <w:rFonts w:eastAsia="Arial"/>
                <w:sz w:val="18"/>
                <w:szCs w:val="18"/>
              </w:rPr>
              <w:t>$482,356</w:t>
            </w:r>
          </w:p>
        </w:tc>
        <w:tc>
          <w:tcPr>
            <w:tcW w:w="1530" w:type="dxa"/>
            <w:tcBorders>
              <w:top w:val="nil"/>
              <w:left w:val="single" w:sz="4" w:space="0" w:color="auto"/>
              <w:bottom w:val="single" w:sz="4" w:space="0" w:color="auto"/>
              <w:right w:val="single" w:sz="4" w:space="0" w:color="auto"/>
            </w:tcBorders>
            <w:shd w:val="clear" w:color="auto" w:fill="auto"/>
            <w:vAlign w:val="center"/>
          </w:tcPr>
          <w:p w:rsidR="00A10D12" w:rsidRPr="00993950" w:rsidP="00A10D12" w14:paraId="7EF4F778" w14:textId="0E67470D">
            <w:pPr>
              <w:spacing w:line="276" w:lineRule="auto"/>
              <w:contextualSpacing/>
              <w:jc w:val="center"/>
              <w:rPr>
                <w:rFonts w:eastAsia="Arial"/>
                <w:sz w:val="18"/>
                <w:szCs w:val="18"/>
              </w:rPr>
            </w:pPr>
            <w:r w:rsidRPr="00993950">
              <w:rPr>
                <w:sz w:val="18"/>
                <w:szCs w:val="18"/>
              </w:rPr>
              <w:t xml:space="preserve">$829,802 </w:t>
            </w:r>
          </w:p>
        </w:tc>
        <w:tc>
          <w:tcPr>
            <w:tcW w:w="1342" w:type="dxa"/>
            <w:tcBorders>
              <w:top w:val="nil"/>
              <w:left w:val="nil"/>
              <w:bottom w:val="single" w:sz="4" w:space="0" w:color="auto"/>
              <w:right w:val="single" w:sz="4" w:space="0" w:color="auto"/>
            </w:tcBorders>
            <w:shd w:val="clear" w:color="auto" w:fill="auto"/>
            <w:vAlign w:val="center"/>
          </w:tcPr>
          <w:p w:rsidR="00A10D12" w:rsidRPr="00993950" w:rsidP="00A10D12" w14:paraId="6C11A3E5" w14:textId="2B1D7D90">
            <w:pPr>
              <w:spacing w:line="276" w:lineRule="auto"/>
              <w:contextualSpacing/>
              <w:jc w:val="center"/>
              <w:rPr>
                <w:rFonts w:eastAsia="Arial"/>
                <w:sz w:val="18"/>
                <w:szCs w:val="18"/>
              </w:rPr>
            </w:pPr>
            <w:r w:rsidRPr="00993950">
              <w:rPr>
                <w:sz w:val="18"/>
                <w:szCs w:val="18"/>
              </w:rPr>
              <w:t xml:space="preserve">$347,446 </w:t>
            </w:r>
          </w:p>
        </w:tc>
      </w:tr>
      <w:tr w14:paraId="35270318" w14:textId="77777777" w:rsidTr="00776B9A">
        <w:tblPrEx>
          <w:tblW w:w="9712" w:type="dxa"/>
          <w:jc w:val="center"/>
          <w:tblLayout w:type="fixed"/>
          <w:tblLook w:val="04A0"/>
        </w:tblPrEx>
        <w:trPr>
          <w:trHeight w:val="315"/>
          <w:jc w:val="center"/>
        </w:trPr>
        <w:tc>
          <w:tcPr>
            <w:tcW w:w="1350" w:type="dxa"/>
            <w:tcBorders>
              <w:top w:val="single" w:sz="6" w:space="0" w:color="auto"/>
              <w:left w:val="single" w:sz="6" w:space="0" w:color="auto"/>
              <w:bottom w:val="single" w:sz="6" w:space="0" w:color="auto"/>
              <w:right w:val="single" w:sz="6" w:space="0" w:color="auto"/>
            </w:tcBorders>
            <w:vAlign w:val="bottom"/>
          </w:tcPr>
          <w:p w:rsidR="00A10D12" w:rsidRPr="00993950" w:rsidP="00A10D12" w14:paraId="4898E614" w14:textId="11D00C63">
            <w:pPr>
              <w:spacing w:line="276" w:lineRule="auto"/>
              <w:contextualSpacing/>
              <w:jc w:val="center"/>
              <w:rPr>
                <w:b/>
                <w:bCs/>
                <w:sz w:val="18"/>
                <w:szCs w:val="18"/>
              </w:rPr>
            </w:pPr>
            <w:r w:rsidRPr="00993950">
              <w:rPr>
                <w:b/>
                <w:bCs/>
                <w:sz w:val="18"/>
                <w:szCs w:val="18"/>
              </w:rPr>
              <w:t>Total(s)</w:t>
            </w:r>
          </w:p>
        </w:tc>
        <w:tc>
          <w:tcPr>
            <w:tcW w:w="1710" w:type="dxa"/>
            <w:tcBorders>
              <w:top w:val="single" w:sz="6" w:space="0" w:color="auto"/>
              <w:left w:val="single" w:sz="6" w:space="0" w:color="auto"/>
              <w:bottom w:val="single" w:sz="6" w:space="0" w:color="auto"/>
              <w:right w:val="single" w:sz="6" w:space="0" w:color="auto"/>
            </w:tcBorders>
            <w:vAlign w:val="center"/>
          </w:tcPr>
          <w:p w:rsidR="00A10D12" w:rsidRPr="00993950" w:rsidP="00A10D12" w14:paraId="0D5EDFFA" w14:textId="35743BBC">
            <w:pPr>
              <w:spacing w:line="276" w:lineRule="auto"/>
              <w:contextualSpacing/>
              <w:jc w:val="center"/>
              <w:rPr>
                <w:rFonts w:eastAsia="Arial"/>
                <w:b/>
                <w:bCs/>
                <w:sz w:val="18"/>
                <w:szCs w:val="18"/>
              </w:rPr>
            </w:pPr>
            <w:r w:rsidRPr="00993950">
              <w:rPr>
                <w:rFonts w:eastAsia="Arial"/>
                <w:b/>
                <w:bCs/>
                <w:sz w:val="18"/>
                <w:szCs w:val="18"/>
              </w:rPr>
              <w:t>N/A</w:t>
            </w:r>
          </w:p>
        </w:tc>
        <w:tc>
          <w:tcPr>
            <w:tcW w:w="1127" w:type="dxa"/>
            <w:tcBorders>
              <w:top w:val="single" w:sz="6" w:space="0" w:color="auto"/>
              <w:left w:val="single" w:sz="6" w:space="0" w:color="auto"/>
              <w:bottom w:val="single" w:sz="6" w:space="0" w:color="auto"/>
              <w:right w:val="single" w:sz="6" w:space="0" w:color="auto"/>
            </w:tcBorders>
            <w:vAlign w:val="center"/>
          </w:tcPr>
          <w:p w:rsidR="00A10D12" w:rsidRPr="00993950" w:rsidP="00A10D12" w14:paraId="621B0688" w14:textId="1F3B7283">
            <w:pPr>
              <w:spacing w:line="276" w:lineRule="auto"/>
              <w:contextualSpacing/>
              <w:jc w:val="center"/>
              <w:rPr>
                <w:rFonts w:eastAsia="Arial"/>
                <w:b/>
                <w:bCs/>
                <w:sz w:val="18"/>
                <w:szCs w:val="18"/>
              </w:rPr>
            </w:pPr>
            <w:r w:rsidRPr="00993950">
              <w:rPr>
                <w:rFonts w:eastAsia="Arial"/>
                <w:b/>
                <w:bCs/>
                <w:sz w:val="18"/>
                <w:szCs w:val="18"/>
              </w:rPr>
              <w:t>N/A</w:t>
            </w:r>
          </w:p>
        </w:tc>
        <w:tc>
          <w:tcPr>
            <w:tcW w:w="1123" w:type="dxa"/>
            <w:tcBorders>
              <w:top w:val="single" w:sz="6" w:space="0" w:color="auto"/>
              <w:left w:val="single" w:sz="6" w:space="0" w:color="auto"/>
              <w:bottom w:val="single" w:sz="6" w:space="0" w:color="auto"/>
              <w:right w:val="single" w:sz="6" w:space="0" w:color="auto"/>
            </w:tcBorders>
            <w:vAlign w:val="center"/>
          </w:tcPr>
          <w:p w:rsidR="00A10D12" w:rsidRPr="00993950" w:rsidP="00A10D12" w14:paraId="509C6958" w14:textId="65F32E93">
            <w:pPr>
              <w:spacing w:line="276" w:lineRule="auto"/>
              <w:contextualSpacing/>
              <w:jc w:val="center"/>
              <w:rPr>
                <w:rFonts w:eastAsia="Arial"/>
                <w:b/>
                <w:bCs/>
                <w:sz w:val="18"/>
                <w:szCs w:val="18"/>
              </w:rPr>
            </w:pPr>
            <w:r w:rsidRPr="00993950">
              <w:rPr>
                <w:rFonts w:eastAsia="Arial"/>
                <w:b/>
                <w:bCs/>
                <w:sz w:val="18"/>
                <w:szCs w:val="18"/>
              </w:rPr>
              <w:t>N/A</w:t>
            </w:r>
          </w:p>
        </w:tc>
        <w:tc>
          <w:tcPr>
            <w:tcW w:w="1530" w:type="dxa"/>
            <w:tcBorders>
              <w:top w:val="single" w:sz="6" w:space="0" w:color="auto"/>
              <w:left w:val="single" w:sz="6" w:space="0" w:color="auto"/>
              <w:bottom w:val="single" w:sz="6" w:space="0" w:color="auto"/>
              <w:right w:val="single" w:sz="4" w:space="0" w:color="auto"/>
            </w:tcBorders>
            <w:vAlign w:val="center"/>
          </w:tcPr>
          <w:p w:rsidR="00A10D12" w:rsidRPr="00993950" w:rsidP="00A10D12" w14:paraId="0727F9AC" w14:textId="46A4D77E">
            <w:pPr>
              <w:spacing w:line="276" w:lineRule="auto"/>
              <w:contextualSpacing/>
              <w:jc w:val="center"/>
              <w:rPr>
                <w:rFonts w:eastAsia="Arial"/>
                <w:b/>
                <w:bCs/>
                <w:sz w:val="18"/>
                <w:szCs w:val="18"/>
              </w:rPr>
            </w:pPr>
            <w:r w:rsidRPr="00993950">
              <w:rPr>
                <w:rFonts w:eastAsia="Arial"/>
                <w:b/>
                <w:bCs/>
                <w:sz w:val="18"/>
                <w:szCs w:val="18"/>
              </w:rPr>
              <w:t>$1,407,221</w:t>
            </w:r>
          </w:p>
        </w:tc>
        <w:tc>
          <w:tcPr>
            <w:tcW w:w="1530" w:type="dxa"/>
            <w:tcBorders>
              <w:top w:val="nil"/>
              <w:left w:val="single" w:sz="4" w:space="0" w:color="auto"/>
              <w:bottom w:val="single" w:sz="4" w:space="0" w:color="auto"/>
              <w:right w:val="single" w:sz="4" w:space="0" w:color="auto"/>
            </w:tcBorders>
            <w:shd w:val="clear" w:color="auto" w:fill="auto"/>
            <w:vAlign w:val="center"/>
          </w:tcPr>
          <w:p w:rsidR="00A10D12" w:rsidRPr="00993950" w:rsidP="00A10D12" w14:paraId="7256FD48" w14:textId="6D610CDF">
            <w:pPr>
              <w:spacing w:line="276" w:lineRule="auto"/>
              <w:contextualSpacing/>
              <w:jc w:val="center"/>
              <w:rPr>
                <w:rFonts w:eastAsia="Arial"/>
                <w:b/>
                <w:bCs/>
                <w:sz w:val="18"/>
                <w:szCs w:val="18"/>
              </w:rPr>
            </w:pPr>
            <w:r w:rsidRPr="00993950">
              <w:rPr>
                <w:b/>
                <w:bCs/>
                <w:sz w:val="18"/>
                <w:szCs w:val="18"/>
              </w:rPr>
              <w:t>$</w:t>
            </w:r>
            <w:r w:rsidRPr="00993950" w:rsidR="00106AB8">
              <w:rPr>
                <w:rFonts w:eastAsia="Arial"/>
                <w:b/>
                <w:bCs/>
                <w:sz w:val="18"/>
                <w:szCs w:val="18"/>
              </w:rPr>
              <w:t>3,839,564</w:t>
            </w:r>
            <w:r w:rsidRPr="00993950">
              <w:rPr>
                <w:rFonts w:eastAsia="Arial"/>
                <w:b/>
                <w:bCs/>
                <w:sz w:val="18"/>
                <w:szCs w:val="18"/>
              </w:rPr>
              <w:t xml:space="preserve"> </w:t>
            </w:r>
          </w:p>
        </w:tc>
        <w:tc>
          <w:tcPr>
            <w:tcW w:w="1342" w:type="dxa"/>
            <w:tcBorders>
              <w:top w:val="nil"/>
              <w:left w:val="nil"/>
              <w:bottom w:val="single" w:sz="4" w:space="0" w:color="auto"/>
              <w:right w:val="single" w:sz="4" w:space="0" w:color="auto"/>
            </w:tcBorders>
            <w:shd w:val="clear" w:color="auto" w:fill="auto"/>
            <w:vAlign w:val="center"/>
          </w:tcPr>
          <w:p w:rsidR="00A10D12" w:rsidRPr="00993950" w:rsidP="00A10D12" w14:paraId="5D05984C" w14:textId="3F37B0E3">
            <w:pPr>
              <w:jc w:val="center"/>
              <w:rPr>
                <w:rFonts w:eastAsia="Arial"/>
                <w:b/>
                <w:bCs/>
                <w:sz w:val="18"/>
                <w:szCs w:val="18"/>
              </w:rPr>
            </w:pPr>
            <w:r w:rsidRPr="00993950">
              <w:rPr>
                <w:b/>
                <w:bCs/>
                <w:sz w:val="18"/>
                <w:szCs w:val="18"/>
              </w:rPr>
              <w:t>$1,794,109</w:t>
            </w:r>
          </w:p>
        </w:tc>
      </w:tr>
    </w:tbl>
    <w:p w:rsidR="1206E54A" w:rsidRPr="00D57EC1" w:rsidP="00993950" w14:paraId="43CE20CB" w14:textId="5EAA8D9C">
      <w:pPr>
        <w:spacing w:line="276" w:lineRule="auto"/>
        <w:contextualSpacing/>
      </w:pPr>
    </w:p>
    <w:p w:rsidR="001331D0" w:rsidRPr="00D57EC1" w14:paraId="13F8860C" w14:textId="062DABED">
      <w:pPr>
        <w:spacing w:line="276" w:lineRule="auto"/>
        <w:contextualSpacing/>
      </w:pPr>
      <w:r w:rsidRPr="00D57EC1">
        <w:rPr>
          <w:b/>
          <w:bCs/>
          <w:i/>
          <w:iCs/>
        </w:rPr>
        <w:t>Explain:</w:t>
      </w:r>
      <w:r w:rsidRPr="00D57EC1">
        <w:t xml:space="preserve">  After multiplying hour burdens by the </w:t>
      </w:r>
      <w:r w:rsidRPr="00D57EC1" w:rsidR="5E0EAA40">
        <w:t>fully loaded</w:t>
      </w:r>
      <w:r w:rsidRPr="00D57EC1">
        <w:t xml:space="preserve"> hourly wage rate of $6</w:t>
      </w:r>
      <w:r w:rsidRPr="00D57EC1" w:rsidR="00A10D12">
        <w:t>1.24</w:t>
      </w:r>
      <w:r w:rsidRPr="00D57EC1">
        <w:t xml:space="preserve"> for each of the four program collection instruments, the resulting annual respondent cost for each data collection instrument was then added. </w:t>
      </w:r>
      <w:r w:rsidRPr="00D57EC1" w:rsidR="49DD7393">
        <w:t xml:space="preserve"> </w:t>
      </w:r>
      <w:r w:rsidRPr="00D57EC1">
        <w:t>The total adjustment in annual cost burden is a net total of $</w:t>
      </w:r>
      <w:r w:rsidRPr="00D57EC1" w:rsidR="00106AB8">
        <w:t>1,794,109</w:t>
      </w:r>
      <w:r w:rsidRPr="00D57EC1">
        <w:t xml:space="preserve">. </w:t>
      </w:r>
      <w:r w:rsidRPr="00D57EC1" w:rsidR="00E771C8">
        <w:t xml:space="preserve"> The previously discussed increases in burden hours are also increasing costs. </w:t>
      </w:r>
      <w:r w:rsidRPr="00D57EC1">
        <w:t xml:space="preserve"> </w:t>
      </w:r>
    </w:p>
    <w:p w:rsidR="37F66204" w:rsidRPr="00D57EC1" w14:paraId="0CE25901" w14:textId="12CB5D35">
      <w:pPr>
        <w:spacing w:line="276" w:lineRule="auto"/>
        <w:contextualSpacing/>
      </w:pPr>
    </w:p>
    <w:p w:rsidR="00842E74" w:rsidRPr="00D57EC1" w14:paraId="6A47A587" w14:textId="77777777">
      <w:pPr>
        <w:spacing w:line="276" w:lineRule="auto"/>
        <w:contextualSpacing/>
        <w:rPr>
          <w:b/>
          <w:bCs/>
        </w:rPr>
      </w:pPr>
      <w:r w:rsidRPr="00D57EC1">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42E74" w:rsidRPr="00D57EC1" w14:paraId="59A62D25" w14:textId="77777777">
      <w:pPr>
        <w:spacing w:line="276" w:lineRule="auto"/>
        <w:contextualSpacing/>
      </w:pPr>
      <w:r w:rsidRPr="00D57EC1">
        <w:fldChar w:fldCharType="begin"/>
      </w:r>
      <w:r w:rsidRPr="00D57EC1">
        <w:instrText>ADVANCE \R 0.95</w:instrText>
      </w:r>
      <w:r w:rsidRPr="00D57EC1">
        <w:fldChar w:fldCharType="end"/>
      </w:r>
    </w:p>
    <w:p w:rsidR="00372ED0" w:rsidRPr="00D57EC1" w14:paraId="571EBD01" w14:textId="77777777">
      <w:pPr>
        <w:spacing w:line="276" w:lineRule="auto"/>
        <w:contextualSpacing/>
      </w:pPr>
      <w:r w:rsidRPr="00D57EC1">
        <w:t>This information collection will not be published for statistical purposes.</w:t>
      </w:r>
      <w:r w:rsidRPr="00D57EC1" w:rsidR="00842E74">
        <w:rPr>
          <w:b/>
          <w:bCs/>
        </w:rPr>
        <w:fldChar w:fldCharType="begin"/>
      </w:r>
      <w:r w:rsidRPr="00D57EC1" w:rsidR="00842E74">
        <w:rPr>
          <w:b/>
          <w:bCs/>
        </w:rPr>
        <w:instrText>ADVANCE \R 0.95</w:instrText>
      </w:r>
      <w:r w:rsidRPr="00D57EC1" w:rsidR="00842E74">
        <w:rPr>
          <w:b/>
          <w:bCs/>
        </w:rPr>
        <w:fldChar w:fldCharType="end"/>
      </w:r>
    </w:p>
    <w:p w:rsidR="007663E0" w:rsidRPr="00D57EC1" w14:paraId="5145C407" w14:textId="77777777">
      <w:pPr>
        <w:spacing w:line="276" w:lineRule="auto"/>
        <w:contextualSpacing/>
      </w:pPr>
    </w:p>
    <w:p w:rsidR="00842E74" w:rsidRPr="00D57EC1" w14:paraId="7C7E1343" w14:textId="77777777">
      <w:pPr>
        <w:spacing w:line="276" w:lineRule="auto"/>
        <w:contextualSpacing/>
        <w:rPr>
          <w:b/>
          <w:bCs/>
        </w:rPr>
      </w:pPr>
      <w:r w:rsidRPr="00D57EC1">
        <w:rPr>
          <w:b/>
          <w:bCs/>
        </w:rPr>
        <w:t>17.  If seeking approval to not display the expiration date for OMB approval of the information collection, explain reasons that display would be inappropriate.</w:t>
      </w:r>
    </w:p>
    <w:p w:rsidR="00842E74" w:rsidRPr="00D57EC1" w14:paraId="0BB5DF90" w14:textId="77777777">
      <w:pPr>
        <w:spacing w:line="276" w:lineRule="auto"/>
        <w:contextualSpacing/>
      </w:pPr>
    </w:p>
    <w:p w:rsidR="00842E74" w:rsidRPr="00D57EC1" w14:paraId="5B4E5248" w14:textId="77777777">
      <w:pPr>
        <w:spacing w:line="276" w:lineRule="auto"/>
        <w:contextualSpacing/>
      </w:pPr>
      <w:r w:rsidRPr="00D57EC1">
        <w:t>FEMA will display the expiration date for OMB approval of this information collection.</w:t>
      </w:r>
    </w:p>
    <w:p w:rsidR="00372ED0" w:rsidRPr="00D57EC1" w14:paraId="66B76C1F" w14:textId="77777777">
      <w:pPr>
        <w:spacing w:line="276" w:lineRule="auto"/>
        <w:contextualSpacing/>
      </w:pPr>
      <w:r w:rsidRPr="00D57EC1">
        <w:rPr>
          <w:b/>
          <w:bCs/>
        </w:rPr>
        <w:fldChar w:fldCharType="begin"/>
      </w:r>
      <w:r w:rsidRPr="00D57EC1">
        <w:rPr>
          <w:b/>
          <w:bCs/>
        </w:rPr>
        <w:instrText>ADVANCE \R 0.95</w:instrText>
      </w:r>
      <w:r w:rsidRPr="00D57EC1">
        <w:rPr>
          <w:b/>
          <w:bCs/>
        </w:rPr>
        <w:fldChar w:fldCharType="end"/>
      </w:r>
    </w:p>
    <w:p w:rsidR="00842E74" w:rsidRPr="00D57EC1" w14:paraId="25BBC48B" w14:textId="77777777">
      <w:pPr>
        <w:spacing w:line="276" w:lineRule="auto"/>
        <w:contextualSpacing/>
        <w:rPr>
          <w:b/>
          <w:bCs/>
        </w:rPr>
      </w:pPr>
      <w:r w:rsidRPr="00D57EC1">
        <w:rPr>
          <w:b/>
          <w:bCs/>
        </w:rPr>
        <w:fldChar w:fldCharType="begin"/>
      </w:r>
      <w:r w:rsidRPr="00D57EC1">
        <w:rPr>
          <w:b/>
          <w:bCs/>
        </w:rPr>
        <w:instrText>ADVANCE \R 0.95</w:instrText>
      </w:r>
      <w:r w:rsidRPr="00D57EC1">
        <w:rPr>
          <w:b/>
          <w:bCs/>
        </w:rPr>
        <w:fldChar w:fldCharType="end"/>
      </w:r>
      <w:r w:rsidRPr="00D57EC1">
        <w:rPr>
          <w:b/>
          <w:bCs/>
        </w:rPr>
        <w:t>18.  Explain each exception to the certification statement identified in Item 19 “Certification for Paperwork Reduction Act Submissions,” of OMB Form 83-I.</w:t>
      </w:r>
    </w:p>
    <w:p w:rsidR="007663E0" w:rsidRPr="00D57EC1" w14:paraId="2F6FD5D3" w14:textId="77777777">
      <w:pPr>
        <w:spacing w:line="276" w:lineRule="auto"/>
        <w:contextualSpacing/>
      </w:pPr>
    </w:p>
    <w:p w:rsidR="00842E74" w:rsidRPr="00D57EC1" w14:paraId="706AC482" w14:textId="77777777">
      <w:pPr>
        <w:spacing w:line="276" w:lineRule="auto"/>
        <w:contextualSpacing/>
      </w:pPr>
      <w:r w:rsidRPr="00D57EC1">
        <w:t>FEMA does not request an exception to the certification of this information collection.</w:t>
      </w:r>
      <w:r w:rsidRPr="00D57EC1">
        <w:fldChar w:fldCharType="begin"/>
      </w:r>
      <w:r w:rsidRPr="00D57EC1">
        <w:instrText>ADVANCE \R 0.95</w:instrText>
      </w:r>
      <w:r w:rsidRPr="00D57EC1">
        <w:fldChar w:fldCharType="end"/>
      </w:r>
    </w:p>
    <w:p w:rsidR="00372ED0" w:rsidRPr="00D57EC1" w14:paraId="4B01ACA8" w14:textId="77777777">
      <w:pPr>
        <w:spacing w:line="276" w:lineRule="auto"/>
        <w:contextualSpacing/>
        <w:rPr>
          <w:bCs/>
        </w:rPr>
      </w:pPr>
    </w:p>
    <w:p w:rsidR="00842E74" w:rsidRPr="00D57EC1" w14:paraId="1A498592" w14:textId="77777777">
      <w:pPr>
        <w:tabs>
          <w:tab w:val="left" w:pos="-720"/>
        </w:tabs>
        <w:suppressAutoHyphens/>
        <w:spacing w:line="276" w:lineRule="auto"/>
        <w:contextualSpacing/>
        <w:rPr>
          <w:b/>
        </w:rPr>
      </w:pPr>
      <w:r w:rsidRPr="00D57EC1">
        <w:rPr>
          <w:b/>
        </w:rPr>
        <w:t>B.  Collections of Information Employing Statistical Methods.</w:t>
      </w:r>
    </w:p>
    <w:p w:rsidR="00842E74" w:rsidRPr="00D57EC1" w14:paraId="1195F208" w14:textId="77777777">
      <w:pPr>
        <w:tabs>
          <w:tab w:val="left" w:pos="-720"/>
        </w:tabs>
        <w:suppressAutoHyphens/>
        <w:spacing w:line="276" w:lineRule="auto"/>
        <w:contextualSpacing/>
      </w:pPr>
      <w:r w:rsidRPr="00D57EC1">
        <w:fldChar w:fldCharType="begin"/>
      </w:r>
      <w:r w:rsidRPr="00D57EC1">
        <w:instrText>ADVANCE \R 0.95</w:instrText>
      </w:r>
      <w:r w:rsidRPr="00D57EC1">
        <w:fldChar w:fldCharType="end"/>
      </w:r>
      <w:r w:rsidRPr="00D57EC1">
        <w:fldChar w:fldCharType="begin"/>
      </w:r>
      <w:r w:rsidRPr="00D57EC1">
        <w:instrText>ADVANCE \R 0.95</w:instrText>
      </w:r>
      <w:r w:rsidRPr="00D57EC1">
        <w:fldChar w:fldCharType="end"/>
      </w:r>
    </w:p>
    <w:p w:rsidR="004E488F" w:rsidRPr="00C36607" w14:paraId="4072D507" w14:textId="77777777">
      <w:pPr>
        <w:tabs>
          <w:tab w:val="left" w:pos="-720"/>
        </w:tabs>
        <w:suppressAutoHyphens/>
        <w:spacing w:line="276" w:lineRule="auto"/>
        <w:contextualSpacing/>
      </w:pPr>
      <w:r w:rsidRPr="00D57EC1">
        <w:t>The collection of information for HMGP d</w:t>
      </w:r>
      <w:r w:rsidRPr="00C36607">
        <w:t>oes not employ statistical methods.</w:t>
      </w:r>
    </w:p>
    <w:sectPr w:rsidSect="00F15C92">
      <w:footerReference w:type="even" r:id="rId14"/>
      <w:footerReference w:type="default" r:id="rId15"/>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3084" w14:paraId="5D2E71D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53084" w14:paraId="59D20BF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3084" w:rsidP="00F15C92" w14:paraId="567FA30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7822" w14:paraId="7C64D1ED" w14:textId="77777777">
      <w:r>
        <w:separator/>
      </w:r>
    </w:p>
  </w:footnote>
  <w:footnote w:type="continuationSeparator" w:id="1">
    <w:p w:rsidR="00EE7822" w14:paraId="399CD383" w14:textId="77777777">
      <w:r>
        <w:continuationSeparator/>
      </w:r>
    </w:p>
  </w:footnote>
  <w:footnote w:type="continuationNotice" w:id="2">
    <w:p w:rsidR="00EE7822" w14:paraId="36826540" w14:textId="77777777"/>
  </w:footnote>
  <w:footnote w:id="3">
    <w:p w:rsidR="00DD7AD2" w:rsidRPr="00993950" w:rsidP="00993950" w14:paraId="30A68B44" w14:textId="77777777">
      <w:pPr>
        <w:autoSpaceDE w:val="0"/>
        <w:autoSpaceDN w:val="0"/>
        <w:adjustRightInd w:val="0"/>
        <w:spacing w:line="276" w:lineRule="auto"/>
        <w:contextualSpacing/>
        <w:rPr>
          <w:sz w:val="16"/>
          <w:szCs w:val="16"/>
        </w:rPr>
      </w:pPr>
      <w:bookmarkStart w:id="0" w:name="_Hlk109156886"/>
      <w:r w:rsidRPr="00993950">
        <w:rPr>
          <w:rStyle w:val="FootnoteReference"/>
          <w:sz w:val="16"/>
          <w:szCs w:val="16"/>
        </w:rPr>
        <w:footnoteRef/>
      </w:r>
      <w:r w:rsidRPr="00993950">
        <w:rPr>
          <w:sz w:val="16"/>
          <w:szCs w:val="16"/>
        </w:rPr>
        <w:t xml:space="preserve"> Sec. 404 of the Stafford Act, 42 U.S.C. 5170c. The Hazard Mitigation Grant Program (HMGP), authorized by Section 404 of the Stafford Act (42 U.S.C. 5170c), funds activities that reduce the impacts of future disasters. For more information see CRS Report R40471, </w:t>
      </w:r>
      <w:r w:rsidRPr="00993950">
        <w:rPr>
          <w:i/>
          <w:iCs/>
          <w:sz w:val="16"/>
          <w:szCs w:val="16"/>
        </w:rPr>
        <w:t>FEMA’s Hazard Mitigation Grant Program: Overview and Issues</w:t>
      </w:r>
      <w:r w:rsidRPr="00993950">
        <w:rPr>
          <w:sz w:val="16"/>
          <w:szCs w:val="16"/>
        </w:rPr>
        <w:t xml:space="preserve">, by Natalie Keegan. A second hazard mitigation program, the Pre-Disaster Mitigation (PDM) program, is authorized in Title II of the Stafford Act (42 U.S.C. 5133). For more information see CRS Report RL34537, </w:t>
      </w:r>
      <w:r w:rsidRPr="00993950">
        <w:rPr>
          <w:i/>
          <w:iCs/>
          <w:sz w:val="16"/>
          <w:szCs w:val="16"/>
        </w:rPr>
        <w:t>FEMA’s Pre-Disaster Mitigation Program: Overview and Issues</w:t>
      </w:r>
      <w:r w:rsidRPr="00993950">
        <w:rPr>
          <w:sz w:val="16"/>
          <w:szCs w:val="16"/>
        </w:rPr>
        <w:t>, by Francis X. McCarthy and Natalie Keegan.</w:t>
      </w:r>
    </w:p>
    <w:bookmarkEnd w:id="0"/>
  </w:footnote>
  <w:footnote w:id="4">
    <w:p w:rsidR="0042524C" w14:paraId="1FCB934D" w14:textId="22502818">
      <w:pPr>
        <w:pStyle w:val="FootnoteText"/>
      </w:pPr>
      <w:r>
        <w:rPr>
          <w:rStyle w:val="FootnoteReference"/>
        </w:rPr>
        <w:footnoteRef/>
      </w:r>
      <w:r>
        <w:t xml:space="preserve"> </w:t>
      </w:r>
      <w:hyperlink r:id="rId1" w:history="1">
        <w:r w:rsidRPr="0042524C">
          <w:rPr>
            <w:rStyle w:val="Hyperlink"/>
          </w:rPr>
          <w:t>FEMAGO - Login</w:t>
        </w:r>
      </w:hyperlink>
      <w:r>
        <w:t xml:space="preserve"> </w:t>
      </w:r>
      <w:r w:rsidRPr="0042524C">
        <w:t>https://go.fema.gov/login?redirect=%2F</w:t>
      </w:r>
    </w:p>
  </w:footnote>
  <w:footnote w:id="5">
    <w:p w:rsidR="001D6FBD" w:rsidP="001D6FBD" w14:paraId="7A110F4F" w14:textId="77777777">
      <w:pPr>
        <w:pStyle w:val="FootnoteText"/>
      </w:pPr>
    </w:p>
  </w:footnote>
  <w:footnote w:id="6">
    <w:p w:rsidR="00B06940" w:rsidRPr="00993950" w:rsidP="00993950" w14:paraId="1C58ECCC" w14:textId="0157860E">
      <w:pPr>
        <w:pStyle w:val="FootnoteText"/>
        <w:spacing w:line="276" w:lineRule="auto"/>
        <w:contextualSpacing/>
        <w:rPr>
          <w:sz w:val="16"/>
          <w:szCs w:val="16"/>
        </w:rPr>
      </w:pPr>
      <w:bookmarkStart w:id="10" w:name="_Hlk116650462"/>
      <w:r w:rsidRPr="00993950">
        <w:rPr>
          <w:rStyle w:val="FootnoteReference"/>
          <w:sz w:val="16"/>
          <w:szCs w:val="16"/>
        </w:rPr>
        <w:footnoteRef/>
      </w:r>
      <w:r w:rsidRPr="00993950" w:rsidR="68B8B678">
        <w:rPr>
          <w:sz w:val="16"/>
          <w:szCs w:val="16"/>
        </w:rPr>
        <w:t xml:space="preserve"> State and local government wage multiplier: Bureau of Labor Statistics, Employer Costs for Employee Compensation, Table 1.  </w:t>
      </w:r>
      <w:r w:rsidRPr="00993950" w:rsidR="009E63CC">
        <w:rPr>
          <w:sz w:val="16"/>
          <w:szCs w:val="16"/>
        </w:rPr>
        <w:t xml:space="preserve">Available at </w:t>
      </w:r>
      <w:hyperlink r:id="rId2" w:history="1">
        <w:r w:rsidRPr="00993950" w:rsidR="009E63CC">
          <w:rPr>
            <w:rStyle w:val="Hyperlink"/>
            <w:sz w:val="16"/>
            <w:szCs w:val="16"/>
          </w:rPr>
          <w:t>https://www.bls.gov/news.release/archives/ecec_03182022.pdf</w:t>
        </w:r>
      </w:hyperlink>
      <w:r w:rsidRPr="00993950" w:rsidR="009E63CC">
        <w:rPr>
          <w:sz w:val="16"/>
          <w:szCs w:val="16"/>
        </w:rPr>
        <w:t>.  Accessed March 29, 2022.</w:t>
      </w:r>
      <w:r w:rsidRPr="00993950" w:rsidR="68B8B678">
        <w:rPr>
          <w:sz w:val="16"/>
          <w:szCs w:val="16"/>
        </w:rPr>
        <w:t>. The wage multiplier is calculated by dividing total compensation for State and local government workers of $54.</w:t>
      </w:r>
      <w:r w:rsidRPr="00993950" w:rsidR="00F2249D">
        <w:rPr>
          <w:sz w:val="16"/>
          <w:szCs w:val="16"/>
        </w:rPr>
        <w:t>96</w:t>
      </w:r>
      <w:r w:rsidRPr="00993950" w:rsidR="68B8B678">
        <w:rPr>
          <w:sz w:val="16"/>
          <w:szCs w:val="16"/>
        </w:rPr>
        <w:t xml:space="preserve"> by Wages and salaries for State and local government workers of $3</w:t>
      </w:r>
      <w:r w:rsidRPr="00993950" w:rsidR="00F21E18">
        <w:rPr>
          <w:sz w:val="16"/>
          <w:szCs w:val="16"/>
        </w:rPr>
        <w:t>4.09</w:t>
      </w:r>
      <w:r w:rsidRPr="00993950" w:rsidR="68B8B678">
        <w:rPr>
          <w:sz w:val="16"/>
          <w:szCs w:val="16"/>
        </w:rPr>
        <w:t xml:space="preserve"> per hour yielding a benefits multiplier of approximately 1.61. </w:t>
      </w:r>
    </w:p>
    <w:bookmarkEnd w:id="10"/>
  </w:footnote>
  <w:footnote w:id="7">
    <w:p w:rsidR="00CB45F6" w:rsidRPr="00993950" w:rsidP="00993950" w14:paraId="40E01EBF" w14:textId="48902B0D">
      <w:pPr>
        <w:pStyle w:val="FootnoteText"/>
        <w:spacing w:line="276" w:lineRule="auto"/>
        <w:contextualSpacing/>
        <w:rPr>
          <w:sz w:val="16"/>
          <w:szCs w:val="16"/>
        </w:rPr>
      </w:pPr>
      <w:r w:rsidRPr="00993950">
        <w:rPr>
          <w:rStyle w:val="FootnoteReference"/>
          <w:sz w:val="16"/>
          <w:szCs w:val="16"/>
        </w:rPr>
        <w:footnoteRef/>
      </w:r>
      <w:r w:rsidRPr="00993950" w:rsidR="68B8B678">
        <w:rPr>
          <w:sz w:val="16"/>
          <w:szCs w:val="16"/>
        </w:rPr>
        <w:t xml:space="preserve"> Bureau of Labor Statistics Occupational Employment Wages, May 202</w:t>
      </w:r>
      <w:r w:rsidRPr="00993950" w:rsidR="0011196C">
        <w:rPr>
          <w:sz w:val="16"/>
          <w:szCs w:val="16"/>
        </w:rPr>
        <w:t>1</w:t>
      </w:r>
      <w:r w:rsidRPr="00993950" w:rsidR="68B8B678">
        <w:rPr>
          <w:sz w:val="16"/>
          <w:szCs w:val="16"/>
        </w:rPr>
        <w:t>, Urban and Regional Planners (SOC 19-3051) working for local governments. Hourly mean wage.</w:t>
      </w:r>
      <w:r w:rsidRPr="00993950" w:rsidR="0011196C">
        <w:rPr>
          <w:sz w:val="16"/>
          <w:szCs w:val="16"/>
        </w:rPr>
        <w:t xml:space="preserve">  </w:t>
      </w:r>
      <w:hyperlink r:id="rId3" w:history="1">
        <w:r w:rsidRPr="00993950" w:rsidR="0011196C">
          <w:rPr>
            <w:rStyle w:val="Hyperlink"/>
            <w:sz w:val="16"/>
            <w:szCs w:val="16"/>
          </w:rPr>
          <w:t>https://www.bls.gov/oes/2021/may/oes_nat.htm</w:t>
        </w:r>
      </w:hyperlink>
      <w:r w:rsidRPr="00993950" w:rsidR="68B8B678">
        <w:rPr>
          <w:sz w:val="16"/>
          <w:szCs w:val="16"/>
        </w:rPr>
        <w:t xml:space="preserve"> </w:t>
      </w:r>
    </w:p>
    <w:p w:rsidR="00753084" w:rsidP="00B407CC" w14:paraId="6EF06151" w14:textId="6B6FDBB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2B0901"/>
    <w:multiLevelType w:val="hybridMultilevel"/>
    <w:tmpl w:val="71BEFE18"/>
    <w:lvl w:ilvl="0">
      <w:start w:val="13"/>
      <w:numFmt w:val="decimal"/>
      <w:lvlText w:val="%1."/>
      <w:lvlJc w:val="left"/>
      <w:pPr>
        <w:tabs>
          <w:tab w:val="num" w:pos="720"/>
        </w:tabs>
        <w:ind w:left="720" w:hanging="420"/>
      </w:pPr>
      <w:rPr>
        <w:rFonts w:hint="default"/>
      </w:rPr>
    </w:lvl>
    <w:lvl w:ilvl="1">
      <w:start w:val="1"/>
      <w:numFmt w:val="lowerLetter"/>
      <w:lvlText w:val="%2."/>
      <w:lvlJc w:val="left"/>
      <w:pPr>
        <w:tabs>
          <w:tab w:val="num" w:pos="1380"/>
        </w:tabs>
        <w:ind w:left="1380" w:hanging="360"/>
      </w:pPr>
      <w:rPr>
        <w:rFonts w:hint="default"/>
      </w:r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3">
    <w:nsid w:val="16446172"/>
    <w:multiLevelType w:val="hybridMultilevel"/>
    <w:tmpl w:val="485A3C20"/>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AD50F37"/>
    <w:multiLevelType w:val="hybridMultilevel"/>
    <w:tmpl w:val="21D2E53A"/>
    <w:lvl w:ilvl="0">
      <w:start w:val="7"/>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7A06B1C"/>
    <w:multiLevelType w:val="hybridMultilevel"/>
    <w:tmpl w:val="B5340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F81A8C"/>
    <w:multiLevelType w:val="hybridMultilevel"/>
    <w:tmpl w:val="F5A2C9BE"/>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316D599D"/>
    <w:multiLevelType w:val="hybridMultilevel"/>
    <w:tmpl w:val="719E33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BD6E1E"/>
    <w:multiLevelType w:val="hybridMultilevel"/>
    <w:tmpl w:val="5A5A843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332A1789"/>
    <w:multiLevelType w:val="hybridMultilevel"/>
    <w:tmpl w:val="E6BAFD0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15">
    <w:nsid w:val="564613F3"/>
    <w:multiLevelType w:val="hybridMultilevel"/>
    <w:tmpl w:val="19D8E1F4"/>
    <w:lvl w:ilvl="0">
      <w:start w:val="3"/>
      <w:numFmt w:val="bullet"/>
      <w:lvlText w:val="-"/>
      <w:lvlJc w:val="left"/>
      <w:pPr>
        <w:ind w:left="1440" w:hanging="360"/>
      </w:pPr>
      <w:rPr>
        <w:rFonts w:ascii="Franklin Gothic Book" w:hAnsi="Franklin Gothic Book"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7">
    <w:nsid w:val="6279042F"/>
    <w:multiLevelType w:val="hybridMultilevel"/>
    <w:tmpl w:val="55F89052"/>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62FC1C4D"/>
    <w:multiLevelType w:val="hybridMultilevel"/>
    <w:tmpl w:val="A23ED200"/>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85B423E"/>
    <w:multiLevelType w:val="hybridMultilevel"/>
    <w:tmpl w:val="3DAAEE7A"/>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79B8680C"/>
    <w:multiLevelType w:val="hybridMultilevel"/>
    <w:tmpl w:val="A73047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9C957CC"/>
    <w:multiLevelType w:val="hybridMultilevel"/>
    <w:tmpl w:val="B34C0664"/>
    <w:lvl w:ilvl="0">
      <w:start w:val="6"/>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79EE027D"/>
    <w:multiLevelType w:val="hybridMultilevel"/>
    <w:tmpl w:val="14288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512498253">
    <w:abstractNumId w:val="16"/>
  </w:num>
  <w:num w:numId="2" w16cid:durableId="2099597384">
    <w:abstractNumId w:val="13"/>
  </w:num>
  <w:num w:numId="3" w16cid:durableId="1249582474">
    <w:abstractNumId w:val="7"/>
  </w:num>
  <w:num w:numId="4" w16cid:durableId="101385080">
    <w:abstractNumId w:val="23"/>
  </w:num>
  <w:num w:numId="5" w16cid:durableId="1028678720">
    <w:abstractNumId w:val="5"/>
  </w:num>
  <w:num w:numId="6" w16cid:durableId="168910467">
    <w:abstractNumId w:val="14"/>
  </w:num>
  <w:num w:numId="7" w16cid:durableId="1023745343">
    <w:abstractNumId w:val="9"/>
  </w:num>
  <w:num w:numId="8" w16cid:durableId="2108383388">
    <w:abstractNumId w:val="19"/>
  </w:num>
  <w:num w:numId="9" w16cid:durableId="1014844198">
    <w:abstractNumId w:val="2"/>
  </w:num>
  <w:num w:numId="10" w16cid:durableId="126969718">
    <w:abstractNumId w:val="3"/>
  </w:num>
  <w:num w:numId="11" w16cid:durableId="1057044626">
    <w:abstractNumId w:val="21"/>
  </w:num>
  <w:num w:numId="12" w16cid:durableId="745614932">
    <w:abstractNumId w:val="11"/>
  </w:num>
  <w:num w:numId="13" w16cid:durableId="450247000">
    <w:abstractNumId w:val="17"/>
  </w:num>
  <w:num w:numId="14" w16cid:durableId="1411387783">
    <w:abstractNumId w:val="18"/>
  </w:num>
  <w:num w:numId="15" w16cid:durableId="1886061212">
    <w:abstractNumId w:val="6"/>
  </w:num>
  <w:num w:numId="16" w16cid:durableId="877813969">
    <w:abstractNumId w:val="8"/>
  </w:num>
  <w:num w:numId="17" w16cid:durableId="78794259">
    <w:abstractNumId w:val="15"/>
  </w:num>
  <w:num w:numId="18" w16cid:durableId="111437755">
    <w:abstractNumId w:val="22"/>
  </w:num>
  <w:num w:numId="19" w16cid:durableId="1465463712">
    <w:abstractNumId w:val="1"/>
  </w:num>
  <w:num w:numId="20" w16cid:durableId="374546570">
    <w:abstractNumId w:val="12"/>
  </w:num>
  <w:num w:numId="21" w16cid:durableId="1190216011">
    <w:abstractNumId w:val="0"/>
  </w:num>
  <w:num w:numId="22" w16cid:durableId="1274285174">
    <w:abstractNumId w:val="10"/>
  </w:num>
  <w:num w:numId="23" w16cid:durableId="28455972">
    <w:abstractNumId w:val="4"/>
  </w:num>
  <w:num w:numId="24" w16cid:durableId="15871072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39"/>
    <w:rsid w:val="00001879"/>
    <w:rsid w:val="00001FAC"/>
    <w:rsid w:val="00002B9B"/>
    <w:rsid w:val="0000555E"/>
    <w:rsid w:val="000069D5"/>
    <w:rsid w:val="00006A2E"/>
    <w:rsid w:val="00007F33"/>
    <w:rsid w:val="00012E43"/>
    <w:rsid w:val="000166D8"/>
    <w:rsid w:val="0001689B"/>
    <w:rsid w:val="0001749A"/>
    <w:rsid w:val="00017901"/>
    <w:rsid w:val="00020610"/>
    <w:rsid w:val="000213CB"/>
    <w:rsid w:val="0002199B"/>
    <w:rsid w:val="00022837"/>
    <w:rsid w:val="0002312F"/>
    <w:rsid w:val="000232B6"/>
    <w:rsid w:val="00023D53"/>
    <w:rsid w:val="00023F8C"/>
    <w:rsid w:val="00024EC4"/>
    <w:rsid w:val="00025690"/>
    <w:rsid w:val="00025991"/>
    <w:rsid w:val="00026E28"/>
    <w:rsid w:val="00027FA0"/>
    <w:rsid w:val="00030F7E"/>
    <w:rsid w:val="000311DC"/>
    <w:rsid w:val="000318EC"/>
    <w:rsid w:val="00032534"/>
    <w:rsid w:val="000336E7"/>
    <w:rsid w:val="00034894"/>
    <w:rsid w:val="00034CA4"/>
    <w:rsid w:val="000362D2"/>
    <w:rsid w:val="00036B2C"/>
    <w:rsid w:val="00036C52"/>
    <w:rsid w:val="00037972"/>
    <w:rsid w:val="00037F2F"/>
    <w:rsid w:val="0004053F"/>
    <w:rsid w:val="00041443"/>
    <w:rsid w:val="0004186D"/>
    <w:rsid w:val="000426BA"/>
    <w:rsid w:val="00044522"/>
    <w:rsid w:val="000449D7"/>
    <w:rsid w:val="00045052"/>
    <w:rsid w:val="000464C3"/>
    <w:rsid w:val="0004708A"/>
    <w:rsid w:val="000474DF"/>
    <w:rsid w:val="000528F0"/>
    <w:rsid w:val="00053161"/>
    <w:rsid w:val="00054D41"/>
    <w:rsid w:val="00055C33"/>
    <w:rsid w:val="00055D96"/>
    <w:rsid w:val="00055E6D"/>
    <w:rsid w:val="00055EFD"/>
    <w:rsid w:val="0005770E"/>
    <w:rsid w:val="00061589"/>
    <w:rsid w:val="000618A2"/>
    <w:rsid w:val="000621B7"/>
    <w:rsid w:val="00062DF5"/>
    <w:rsid w:val="00062EAB"/>
    <w:rsid w:val="00064357"/>
    <w:rsid w:val="00064A43"/>
    <w:rsid w:val="00066B32"/>
    <w:rsid w:val="0006758E"/>
    <w:rsid w:val="00067C81"/>
    <w:rsid w:val="00072065"/>
    <w:rsid w:val="000726BB"/>
    <w:rsid w:val="000743DA"/>
    <w:rsid w:val="00076339"/>
    <w:rsid w:val="00077912"/>
    <w:rsid w:val="000806B2"/>
    <w:rsid w:val="00081844"/>
    <w:rsid w:val="00082C6D"/>
    <w:rsid w:val="00083553"/>
    <w:rsid w:val="0008385A"/>
    <w:rsid w:val="00083BA8"/>
    <w:rsid w:val="000858F1"/>
    <w:rsid w:val="00085D7B"/>
    <w:rsid w:val="00092382"/>
    <w:rsid w:val="000926E3"/>
    <w:rsid w:val="00093C91"/>
    <w:rsid w:val="000944F9"/>
    <w:rsid w:val="00095BC8"/>
    <w:rsid w:val="00095BC9"/>
    <w:rsid w:val="00096DD6"/>
    <w:rsid w:val="00096F22"/>
    <w:rsid w:val="00097671"/>
    <w:rsid w:val="00097C35"/>
    <w:rsid w:val="000A0A09"/>
    <w:rsid w:val="000A21FE"/>
    <w:rsid w:val="000A2FF5"/>
    <w:rsid w:val="000A438B"/>
    <w:rsid w:val="000A500A"/>
    <w:rsid w:val="000A6018"/>
    <w:rsid w:val="000A619B"/>
    <w:rsid w:val="000A7135"/>
    <w:rsid w:val="000A7AC0"/>
    <w:rsid w:val="000B0434"/>
    <w:rsid w:val="000B13D0"/>
    <w:rsid w:val="000B3951"/>
    <w:rsid w:val="000B5195"/>
    <w:rsid w:val="000B5814"/>
    <w:rsid w:val="000B6E3A"/>
    <w:rsid w:val="000B73A6"/>
    <w:rsid w:val="000C025B"/>
    <w:rsid w:val="000C094B"/>
    <w:rsid w:val="000C12FA"/>
    <w:rsid w:val="000C1B64"/>
    <w:rsid w:val="000C1F69"/>
    <w:rsid w:val="000C232C"/>
    <w:rsid w:val="000C376C"/>
    <w:rsid w:val="000C4440"/>
    <w:rsid w:val="000C44DB"/>
    <w:rsid w:val="000C4C9C"/>
    <w:rsid w:val="000C508E"/>
    <w:rsid w:val="000C50E0"/>
    <w:rsid w:val="000C7711"/>
    <w:rsid w:val="000D0237"/>
    <w:rsid w:val="000D032D"/>
    <w:rsid w:val="000D0C85"/>
    <w:rsid w:val="000D0CE9"/>
    <w:rsid w:val="000D0D65"/>
    <w:rsid w:val="000D1C72"/>
    <w:rsid w:val="000D1D87"/>
    <w:rsid w:val="000D2115"/>
    <w:rsid w:val="000D3D8A"/>
    <w:rsid w:val="000D4B5B"/>
    <w:rsid w:val="000D53C0"/>
    <w:rsid w:val="000D553E"/>
    <w:rsid w:val="000D58FC"/>
    <w:rsid w:val="000D59D7"/>
    <w:rsid w:val="000E11A3"/>
    <w:rsid w:val="000E1D86"/>
    <w:rsid w:val="000E208F"/>
    <w:rsid w:val="000E4844"/>
    <w:rsid w:val="000E58D3"/>
    <w:rsid w:val="000E5D7B"/>
    <w:rsid w:val="000E5F0E"/>
    <w:rsid w:val="000E6086"/>
    <w:rsid w:val="000F001F"/>
    <w:rsid w:val="000F12A2"/>
    <w:rsid w:val="000F14F1"/>
    <w:rsid w:val="000F395D"/>
    <w:rsid w:val="000F4DDC"/>
    <w:rsid w:val="000F4EA1"/>
    <w:rsid w:val="000F531D"/>
    <w:rsid w:val="000F60D4"/>
    <w:rsid w:val="000F631B"/>
    <w:rsid w:val="000F9203"/>
    <w:rsid w:val="00100E3C"/>
    <w:rsid w:val="00101568"/>
    <w:rsid w:val="00101753"/>
    <w:rsid w:val="00101F32"/>
    <w:rsid w:val="001023AB"/>
    <w:rsid w:val="00104800"/>
    <w:rsid w:val="001055EC"/>
    <w:rsid w:val="00105C4E"/>
    <w:rsid w:val="00106526"/>
    <w:rsid w:val="00106AB8"/>
    <w:rsid w:val="00106F37"/>
    <w:rsid w:val="00110B68"/>
    <w:rsid w:val="00111027"/>
    <w:rsid w:val="0011196C"/>
    <w:rsid w:val="00111A4C"/>
    <w:rsid w:val="001127D4"/>
    <w:rsid w:val="00112D36"/>
    <w:rsid w:val="00113C60"/>
    <w:rsid w:val="001146AC"/>
    <w:rsid w:val="00116A15"/>
    <w:rsid w:val="00116B50"/>
    <w:rsid w:val="001176E7"/>
    <w:rsid w:val="001179D8"/>
    <w:rsid w:val="0012035C"/>
    <w:rsid w:val="00120E9C"/>
    <w:rsid w:val="00121306"/>
    <w:rsid w:val="00122BB6"/>
    <w:rsid w:val="0012397E"/>
    <w:rsid w:val="00124A99"/>
    <w:rsid w:val="00124E7A"/>
    <w:rsid w:val="00126D25"/>
    <w:rsid w:val="00127050"/>
    <w:rsid w:val="0012795C"/>
    <w:rsid w:val="00130220"/>
    <w:rsid w:val="00130E2D"/>
    <w:rsid w:val="00131858"/>
    <w:rsid w:val="001331D0"/>
    <w:rsid w:val="0013335D"/>
    <w:rsid w:val="00134B1F"/>
    <w:rsid w:val="00134B52"/>
    <w:rsid w:val="00135423"/>
    <w:rsid w:val="0013583B"/>
    <w:rsid w:val="00135A81"/>
    <w:rsid w:val="00136C65"/>
    <w:rsid w:val="001377BB"/>
    <w:rsid w:val="00137C18"/>
    <w:rsid w:val="00140983"/>
    <w:rsid w:val="00141199"/>
    <w:rsid w:val="0014175E"/>
    <w:rsid w:val="001425FA"/>
    <w:rsid w:val="0014431B"/>
    <w:rsid w:val="0014445E"/>
    <w:rsid w:val="00150013"/>
    <w:rsid w:val="0015024E"/>
    <w:rsid w:val="0015087F"/>
    <w:rsid w:val="00150E75"/>
    <w:rsid w:val="00151EC8"/>
    <w:rsid w:val="00152605"/>
    <w:rsid w:val="0015263A"/>
    <w:rsid w:val="0015304D"/>
    <w:rsid w:val="001547FD"/>
    <w:rsid w:val="00155266"/>
    <w:rsid w:val="001555A9"/>
    <w:rsid w:val="0015561B"/>
    <w:rsid w:val="0015685E"/>
    <w:rsid w:val="001572C4"/>
    <w:rsid w:val="001575BF"/>
    <w:rsid w:val="00160638"/>
    <w:rsid w:val="00162397"/>
    <w:rsid w:val="0016471E"/>
    <w:rsid w:val="00167A0F"/>
    <w:rsid w:val="00172F74"/>
    <w:rsid w:val="001734BD"/>
    <w:rsid w:val="00174D62"/>
    <w:rsid w:val="001753A2"/>
    <w:rsid w:val="00176843"/>
    <w:rsid w:val="00176DC1"/>
    <w:rsid w:val="00177442"/>
    <w:rsid w:val="00177F2C"/>
    <w:rsid w:val="00182ADA"/>
    <w:rsid w:val="001834B9"/>
    <w:rsid w:val="001836DE"/>
    <w:rsid w:val="00183D39"/>
    <w:rsid w:val="00185DC8"/>
    <w:rsid w:val="00186259"/>
    <w:rsid w:val="0018631D"/>
    <w:rsid w:val="001904C2"/>
    <w:rsid w:val="001906F2"/>
    <w:rsid w:val="001909BC"/>
    <w:rsid w:val="001913F1"/>
    <w:rsid w:val="00191F0A"/>
    <w:rsid w:val="00196A18"/>
    <w:rsid w:val="001A09B4"/>
    <w:rsid w:val="001A16BA"/>
    <w:rsid w:val="001A17DF"/>
    <w:rsid w:val="001A2FD1"/>
    <w:rsid w:val="001A4B8D"/>
    <w:rsid w:val="001A4BF3"/>
    <w:rsid w:val="001A66F7"/>
    <w:rsid w:val="001A69A7"/>
    <w:rsid w:val="001A6AEA"/>
    <w:rsid w:val="001B01E6"/>
    <w:rsid w:val="001B1F81"/>
    <w:rsid w:val="001B29B6"/>
    <w:rsid w:val="001B39F0"/>
    <w:rsid w:val="001B3A1F"/>
    <w:rsid w:val="001B4BF4"/>
    <w:rsid w:val="001B679A"/>
    <w:rsid w:val="001B6BC3"/>
    <w:rsid w:val="001B720D"/>
    <w:rsid w:val="001C0088"/>
    <w:rsid w:val="001C0216"/>
    <w:rsid w:val="001C08FA"/>
    <w:rsid w:val="001C19A1"/>
    <w:rsid w:val="001C1C08"/>
    <w:rsid w:val="001C203A"/>
    <w:rsid w:val="001C4234"/>
    <w:rsid w:val="001C45F8"/>
    <w:rsid w:val="001C58DE"/>
    <w:rsid w:val="001C63F4"/>
    <w:rsid w:val="001C685B"/>
    <w:rsid w:val="001C7008"/>
    <w:rsid w:val="001C7E78"/>
    <w:rsid w:val="001D07EA"/>
    <w:rsid w:val="001D0A56"/>
    <w:rsid w:val="001D0B25"/>
    <w:rsid w:val="001D0C8D"/>
    <w:rsid w:val="001D39F6"/>
    <w:rsid w:val="001D3B38"/>
    <w:rsid w:val="001D4FCF"/>
    <w:rsid w:val="001D53DF"/>
    <w:rsid w:val="001D56BE"/>
    <w:rsid w:val="001D6BD1"/>
    <w:rsid w:val="001D6FBD"/>
    <w:rsid w:val="001D7D7F"/>
    <w:rsid w:val="001E0742"/>
    <w:rsid w:val="001E0E42"/>
    <w:rsid w:val="001E1324"/>
    <w:rsid w:val="001E2259"/>
    <w:rsid w:val="001E432B"/>
    <w:rsid w:val="001E46C5"/>
    <w:rsid w:val="001E5547"/>
    <w:rsid w:val="001E564E"/>
    <w:rsid w:val="001E6DAE"/>
    <w:rsid w:val="001F1612"/>
    <w:rsid w:val="001F30F0"/>
    <w:rsid w:val="001F40DC"/>
    <w:rsid w:val="001F4C7E"/>
    <w:rsid w:val="001F4CEB"/>
    <w:rsid w:val="001F5299"/>
    <w:rsid w:val="001F5F81"/>
    <w:rsid w:val="001F5F96"/>
    <w:rsid w:val="001F6DED"/>
    <w:rsid w:val="001F73E0"/>
    <w:rsid w:val="002000A7"/>
    <w:rsid w:val="002000EF"/>
    <w:rsid w:val="00200C9F"/>
    <w:rsid w:val="00200EEE"/>
    <w:rsid w:val="00201861"/>
    <w:rsid w:val="00203276"/>
    <w:rsid w:val="002047A7"/>
    <w:rsid w:val="002049B8"/>
    <w:rsid w:val="002051BC"/>
    <w:rsid w:val="00205304"/>
    <w:rsid w:val="002109A3"/>
    <w:rsid w:val="00212982"/>
    <w:rsid w:val="00213A90"/>
    <w:rsid w:val="002142F1"/>
    <w:rsid w:val="00214793"/>
    <w:rsid w:val="002147C5"/>
    <w:rsid w:val="00214C29"/>
    <w:rsid w:val="00214C64"/>
    <w:rsid w:val="0021523E"/>
    <w:rsid w:val="00216327"/>
    <w:rsid w:val="0021693E"/>
    <w:rsid w:val="00216A98"/>
    <w:rsid w:val="00217600"/>
    <w:rsid w:val="0022136C"/>
    <w:rsid w:val="002217C0"/>
    <w:rsid w:val="00222740"/>
    <w:rsid w:val="00223236"/>
    <w:rsid w:val="00223F56"/>
    <w:rsid w:val="00224480"/>
    <w:rsid w:val="0022497F"/>
    <w:rsid w:val="00226B7A"/>
    <w:rsid w:val="00230D74"/>
    <w:rsid w:val="0023136A"/>
    <w:rsid w:val="002318B4"/>
    <w:rsid w:val="00231985"/>
    <w:rsid w:val="00233747"/>
    <w:rsid w:val="00235987"/>
    <w:rsid w:val="002410EB"/>
    <w:rsid w:val="002420FF"/>
    <w:rsid w:val="0024216A"/>
    <w:rsid w:val="0024232B"/>
    <w:rsid w:val="00242627"/>
    <w:rsid w:val="00244B23"/>
    <w:rsid w:val="00245C50"/>
    <w:rsid w:val="00246B6B"/>
    <w:rsid w:val="00247155"/>
    <w:rsid w:val="00247B3B"/>
    <w:rsid w:val="002510EB"/>
    <w:rsid w:val="002515AE"/>
    <w:rsid w:val="00252F23"/>
    <w:rsid w:val="00253501"/>
    <w:rsid w:val="00253D82"/>
    <w:rsid w:val="00253DF1"/>
    <w:rsid w:val="0025523D"/>
    <w:rsid w:val="00256429"/>
    <w:rsid w:val="0025664E"/>
    <w:rsid w:val="00256C9A"/>
    <w:rsid w:val="00257915"/>
    <w:rsid w:val="00257EA0"/>
    <w:rsid w:val="00261AD9"/>
    <w:rsid w:val="0026333B"/>
    <w:rsid w:val="002648FF"/>
    <w:rsid w:val="002651B1"/>
    <w:rsid w:val="00265323"/>
    <w:rsid w:val="0026549A"/>
    <w:rsid w:val="0026591D"/>
    <w:rsid w:val="00265CC0"/>
    <w:rsid w:val="00266A30"/>
    <w:rsid w:val="00270BFA"/>
    <w:rsid w:val="00270FB1"/>
    <w:rsid w:val="0027246A"/>
    <w:rsid w:val="00272612"/>
    <w:rsid w:val="00273AF8"/>
    <w:rsid w:val="002742C7"/>
    <w:rsid w:val="002744FB"/>
    <w:rsid w:val="00274F37"/>
    <w:rsid w:val="00274FA9"/>
    <w:rsid w:val="00275019"/>
    <w:rsid w:val="00275775"/>
    <w:rsid w:val="00275D89"/>
    <w:rsid w:val="00276AD2"/>
    <w:rsid w:val="00277EB4"/>
    <w:rsid w:val="002822B7"/>
    <w:rsid w:val="00282EFF"/>
    <w:rsid w:val="002832BC"/>
    <w:rsid w:val="002842B8"/>
    <w:rsid w:val="0028560F"/>
    <w:rsid w:val="00285BF0"/>
    <w:rsid w:val="00286FEA"/>
    <w:rsid w:val="00287715"/>
    <w:rsid w:val="00290170"/>
    <w:rsid w:val="00291666"/>
    <w:rsid w:val="00292B98"/>
    <w:rsid w:val="00292C0C"/>
    <w:rsid w:val="00297704"/>
    <w:rsid w:val="00297D8A"/>
    <w:rsid w:val="00297F33"/>
    <w:rsid w:val="00297F7C"/>
    <w:rsid w:val="002A10C6"/>
    <w:rsid w:val="002A138D"/>
    <w:rsid w:val="002A15E8"/>
    <w:rsid w:val="002A2CF9"/>
    <w:rsid w:val="002A4B46"/>
    <w:rsid w:val="002A4B95"/>
    <w:rsid w:val="002A51A5"/>
    <w:rsid w:val="002A71BA"/>
    <w:rsid w:val="002A7CB1"/>
    <w:rsid w:val="002B06E7"/>
    <w:rsid w:val="002B0AC2"/>
    <w:rsid w:val="002B1970"/>
    <w:rsid w:val="002B1C12"/>
    <w:rsid w:val="002B2F1E"/>
    <w:rsid w:val="002B551B"/>
    <w:rsid w:val="002B6722"/>
    <w:rsid w:val="002B7D3A"/>
    <w:rsid w:val="002C2845"/>
    <w:rsid w:val="002C41CC"/>
    <w:rsid w:val="002C5238"/>
    <w:rsid w:val="002C6844"/>
    <w:rsid w:val="002D07CE"/>
    <w:rsid w:val="002D0C25"/>
    <w:rsid w:val="002D2949"/>
    <w:rsid w:val="002D4011"/>
    <w:rsid w:val="002D6EA5"/>
    <w:rsid w:val="002D734A"/>
    <w:rsid w:val="002E15DD"/>
    <w:rsid w:val="002E1AE7"/>
    <w:rsid w:val="002E1D68"/>
    <w:rsid w:val="002E2644"/>
    <w:rsid w:val="002E50B7"/>
    <w:rsid w:val="002E5249"/>
    <w:rsid w:val="002E5C87"/>
    <w:rsid w:val="002E7322"/>
    <w:rsid w:val="002E7A69"/>
    <w:rsid w:val="002E7AAA"/>
    <w:rsid w:val="002F4A27"/>
    <w:rsid w:val="002F5D32"/>
    <w:rsid w:val="002F652B"/>
    <w:rsid w:val="002F7299"/>
    <w:rsid w:val="003003DD"/>
    <w:rsid w:val="003012B8"/>
    <w:rsid w:val="00301FF6"/>
    <w:rsid w:val="00302798"/>
    <w:rsid w:val="00302BF4"/>
    <w:rsid w:val="00302F89"/>
    <w:rsid w:val="00305E86"/>
    <w:rsid w:val="00306503"/>
    <w:rsid w:val="00306614"/>
    <w:rsid w:val="0030695D"/>
    <w:rsid w:val="0031008D"/>
    <w:rsid w:val="0031036A"/>
    <w:rsid w:val="003106B0"/>
    <w:rsid w:val="00310F38"/>
    <w:rsid w:val="003113B3"/>
    <w:rsid w:val="003122BD"/>
    <w:rsid w:val="003125A4"/>
    <w:rsid w:val="00312F27"/>
    <w:rsid w:val="00314302"/>
    <w:rsid w:val="00314428"/>
    <w:rsid w:val="00316F8F"/>
    <w:rsid w:val="00317360"/>
    <w:rsid w:val="00320905"/>
    <w:rsid w:val="00320E3C"/>
    <w:rsid w:val="00321247"/>
    <w:rsid w:val="00321DF1"/>
    <w:rsid w:val="003236BA"/>
    <w:rsid w:val="003260B4"/>
    <w:rsid w:val="003263F1"/>
    <w:rsid w:val="00326BD8"/>
    <w:rsid w:val="00327888"/>
    <w:rsid w:val="00327936"/>
    <w:rsid w:val="00330FC3"/>
    <w:rsid w:val="003318E0"/>
    <w:rsid w:val="00334770"/>
    <w:rsid w:val="0033721B"/>
    <w:rsid w:val="00340F6A"/>
    <w:rsid w:val="00341024"/>
    <w:rsid w:val="003417A8"/>
    <w:rsid w:val="003434B8"/>
    <w:rsid w:val="00344099"/>
    <w:rsid w:val="003450D3"/>
    <w:rsid w:val="00345580"/>
    <w:rsid w:val="00345CAF"/>
    <w:rsid w:val="00346E10"/>
    <w:rsid w:val="00347B6D"/>
    <w:rsid w:val="0035000C"/>
    <w:rsid w:val="00350497"/>
    <w:rsid w:val="003514F2"/>
    <w:rsid w:val="003548A3"/>
    <w:rsid w:val="00355C5C"/>
    <w:rsid w:val="0035738D"/>
    <w:rsid w:val="00357965"/>
    <w:rsid w:val="00357D4F"/>
    <w:rsid w:val="00360105"/>
    <w:rsid w:val="00360723"/>
    <w:rsid w:val="00360ED5"/>
    <w:rsid w:val="003612FB"/>
    <w:rsid w:val="00361527"/>
    <w:rsid w:val="00364700"/>
    <w:rsid w:val="0036513B"/>
    <w:rsid w:val="00365232"/>
    <w:rsid w:val="00365E44"/>
    <w:rsid w:val="003703D1"/>
    <w:rsid w:val="00372ED0"/>
    <w:rsid w:val="0037405C"/>
    <w:rsid w:val="00374831"/>
    <w:rsid w:val="003748DD"/>
    <w:rsid w:val="00374AAF"/>
    <w:rsid w:val="00374FC6"/>
    <w:rsid w:val="003755E7"/>
    <w:rsid w:val="0037571D"/>
    <w:rsid w:val="00376165"/>
    <w:rsid w:val="00376FA9"/>
    <w:rsid w:val="00377B02"/>
    <w:rsid w:val="003810CF"/>
    <w:rsid w:val="0038139A"/>
    <w:rsid w:val="00382A8A"/>
    <w:rsid w:val="003846FC"/>
    <w:rsid w:val="00384AA1"/>
    <w:rsid w:val="00385254"/>
    <w:rsid w:val="00385D6A"/>
    <w:rsid w:val="00386B88"/>
    <w:rsid w:val="00390A2A"/>
    <w:rsid w:val="00390A9D"/>
    <w:rsid w:val="00390D5D"/>
    <w:rsid w:val="00391063"/>
    <w:rsid w:val="00392332"/>
    <w:rsid w:val="00392A7E"/>
    <w:rsid w:val="003942D7"/>
    <w:rsid w:val="003949A6"/>
    <w:rsid w:val="00396390"/>
    <w:rsid w:val="003963BD"/>
    <w:rsid w:val="003A161C"/>
    <w:rsid w:val="003A4023"/>
    <w:rsid w:val="003A4FBF"/>
    <w:rsid w:val="003A50F7"/>
    <w:rsid w:val="003A54BB"/>
    <w:rsid w:val="003A5612"/>
    <w:rsid w:val="003A5CA3"/>
    <w:rsid w:val="003A7416"/>
    <w:rsid w:val="003A7E23"/>
    <w:rsid w:val="003B1574"/>
    <w:rsid w:val="003B16F7"/>
    <w:rsid w:val="003B23AB"/>
    <w:rsid w:val="003B3658"/>
    <w:rsid w:val="003B3D00"/>
    <w:rsid w:val="003B4BDF"/>
    <w:rsid w:val="003B5290"/>
    <w:rsid w:val="003B52C5"/>
    <w:rsid w:val="003B57CC"/>
    <w:rsid w:val="003B61FC"/>
    <w:rsid w:val="003B62B8"/>
    <w:rsid w:val="003B64DD"/>
    <w:rsid w:val="003B711D"/>
    <w:rsid w:val="003B7BCB"/>
    <w:rsid w:val="003C07CA"/>
    <w:rsid w:val="003C0E13"/>
    <w:rsid w:val="003C0E24"/>
    <w:rsid w:val="003C15B1"/>
    <w:rsid w:val="003C280B"/>
    <w:rsid w:val="003C28C8"/>
    <w:rsid w:val="003C4360"/>
    <w:rsid w:val="003C54FB"/>
    <w:rsid w:val="003C6924"/>
    <w:rsid w:val="003D0793"/>
    <w:rsid w:val="003D1E6F"/>
    <w:rsid w:val="003D32AF"/>
    <w:rsid w:val="003D3684"/>
    <w:rsid w:val="003D3965"/>
    <w:rsid w:val="003D39ED"/>
    <w:rsid w:val="003D3CC9"/>
    <w:rsid w:val="003D3F01"/>
    <w:rsid w:val="003D51C7"/>
    <w:rsid w:val="003D5BA1"/>
    <w:rsid w:val="003D60BD"/>
    <w:rsid w:val="003D6771"/>
    <w:rsid w:val="003D6C57"/>
    <w:rsid w:val="003D774E"/>
    <w:rsid w:val="003E0064"/>
    <w:rsid w:val="003E026A"/>
    <w:rsid w:val="003E0FE7"/>
    <w:rsid w:val="003E1F53"/>
    <w:rsid w:val="003E2104"/>
    <w:rsid w:val="003E210D"/>
    <w:rsid w:val="003E2B4E"/>
    <w:rsid w:val="003E3B7F"/>
    <w:rsid w:val="003E43CB"/>
    <w:rsid w:val="003E482C"/>
    <w:rsid w:val="003E52CB"/>
    <w:rsid w:val="003E55E2"/>
    <w:rsid w:val="003E772C"/>
    <w:rsid w:val="003E7F40"/>
    <w:rsid w:val="003F00AE"/>
    <w:rsid w:val="003F054D"/>
    <w:rsid w:val="003F2013"/>
    <w:rsid w:val="003F3DEE"/>
    <w:rsid w:val="003F492C"/>
    <w:rsid w:val="003F73DC"/>
    <w:rsid w:val="003F7719"/>
    <w:rsid w:val="003F7BC4"/>
    <w:rsid w:val="00400139"/>
    <w:rsid w:val="00401BFE"/>
    <w:rsid w:val="0040205C"/>
    <w:rsid w:val="00402CCA"/>
    <w:rsid w:val="00404FAB"/>
    <w:rsid w:val="0040601B"/>
    <w:rsid w:val="00406D30"/>
    <w:rsid w:val="00407E9B"/>
    <w:rsid w:val="0041151F"/>
    <w:rsid w:val="00412C2C"/>
    <w:rsid w:val="00412E98"/>
    <w:rsid w:val="0041374B"/>
    <w:rsid w:val="00413848"/>
    <w:rsid w:val="00413AD7"/>
    <w:rsid w:val="00414118"/>
    <w:rsid w:val="00415883"/>
    <w:rsid w:val="00417185"/>
    <w:rsid w:val="004171D7"/>
    <w:rsid w:val="00417865"/>
    <w:rsid w:val="00417B1E"/>
    <w:rsid w:val="004203EE"/>
    <w:rsid w:val="00421C99"/>
    <w:rsid w:val="00422C38"/>
    <w:rsid w:val="0042372C"/>
    <w:rsid w:val="004237BA"/>
    <w:rsid w:val="00424F30"/>
    <w:rsid w:val="0042524C"/>
    <w:rsid w:val="004274E8"/>
    <w:rsid w:val="0043040A"/>
    <w:rsid w:val="00430E11"/>
    <w:rsid w:val="00431349"/>
    <w:rsid w:val="00431A94"/>
    <w:rsid w:val="00432A8D"/>
    <w:rsid w:val="004335A9"/>
    <w:rsid w:val="004348BB"/>
    <w:rsid w:val="00435B9B"/>
    <w:rsid w:val="00436981"/>
    <w:rsid w:val="00436AFA"/>
    <w:rsid w:val="004371F3"/>
    <w:rsid w:val="004375E7"/>
    <w:rsid w:val="004402C1"/>
    <w:rsid w:val="004406B5"/>
    <w:rsid w:val="004419FB"/>
    <w:rsid w:val="00441E91"/>
    <w:rsid w:val="00442A13"/>
    <w:rsid w:val="00444386"/>
    <w:rsid w:val="00445C50"/>
    <w:rsid w:val="00446CC6"/>
    <w:rsid w:val="004476F2"/>
    <w:rsid w:val="00447B81"/>
    <w:rsid w:val="00451508"/>
    <w:rsid w:val="0045354F"/>
    <w:rsid w:val="0045445F"/>
    <w:rsid w:val="00455CD9"/>
    <w:rsid w:val="00456974"/>
    <w:rsid w:val="00457A41"/>
    <w:rsid w:val="00457AF2"/>
    <w:rsid w:val="00457EC3"/>
    <w:rsid w:val="0046071D"/>
    <w:rsid w:val="00460CB4"/>
    <w:rsid w:val="004613DD"/>
    <w:rsid w:val="00461E78"/>
    <w:rsid w:val="004628F1"/>
    <w:rsid w:val="0046421E"/>
    <w:rsid w:val="0046431C"/>
    <w:rsid w:val="004645E4"/>
    <w:rsid w:val="004647F8"/>
    <w:rsid w:val="00465326"/>
    <w:rsid w:val="00466AAA"/>
    <w:rsid w:val="00466CD3"/>
    <w:rsid w:val="004672B5"/>
    <w:rsid w:val="004675A7"/>
    <w:rsid w:val="004678D5"/>
    <w:rsid w:val="00467A01"/>
    <w:rsid w:val="00470708"/>
    <w:rsid w:val="00471533"/>
    <w:rsid w:val="00472BBC"/>
    <w:rsid w:val="004777C7"/>
    <w:rsid w:val="00477974"/>
    <w:rsid w:val="00477AE4"/>
    <w:rsid w:val="00477B7D"/>
    <w:rsid w:val="00477F67"/>
    <w:rsid w:val="00477FE0"/>
    <w:rsid w:val="004801AE"/>
    <w:rsid w:val="004809ED"/>
    <w:rsid w:val="00480C8F"/>
    <w:rsid w:val="00482723"/>
    <w:rsid w:val="00487C07"/>
    <w:rsid w:val="00490EE4"/>
    <w:rsid w:val="004915AE"/>
    <w:rsid w:val="00492990"/>
    <w:rsid w:val="00494996"/>
    <w:rsid w:val="00494EEA"/>
    <w:rsid w:val="004978B3"/>
    <w:rsid w:val="004A1CA2"/>
    <w:rsid w:val="004A39DB"/>
    <w:rsid w:val="004A401E"/>
    <w:rsid w:val="004A54BF"/>
    <w:rsid w:val="004A59B0"/>
    <w:rsid w:val="004A7EF6"/>
    <w:rsid w:val="004B0603"/>
    <w:rsid w:val="004B1641"/>
    <w:rsid w:val="004B1BD2"/>
    <w:rsid w:val="004B1EB4"/>
    <w:rsid w:val="004B49AB"/>
    <w:rsid w:val="004B4B4C"/>
    <w:rsid w:val="004B51C5"/>
    <w:rsid w:val="004B58DF"/>
    <w:rsid w:val="004B6CDF"/>
    <w:rsid w:val="004B7C46"/>
    <w:rsid w:val="004B7CE7"/>
    <w:rsid w:val="004C0D81"/>
    <w:rsid w:val="004C3C0A"/>
    <w:rsid w:val="004C3FEE"/>
    <w:rsid w:val="004C45BA"/>
    <w:rsid w:val="004C51F2"/>
    <w:rsid w:val="004C52BA"/>
    <w:rsid w:val="004C78D8"/>
    <w:rsid w:val="004D0C8E"/>
    <w:rsid w:val="004D155E"/>
    <w:rsid w:val="004D17D0"/>
    <w:rsid w:val="004D197F"/>
    <w:rsid w:val="004D2E8B"/>
    <w:rsid w:val="004D3131"/>
    <w:rsid w:val="004D4F23"/>
    <w:rsid w:val="004D4F48"/>
    <w:rsid w:val="004D54C0"/>
    <w:rsid w:val="004D598E"/>
    <w:rsid w:val="004D70A3"/>
    <w:rsid w:val="004D781A"/>
    <w:rsid w:val="004E012E"/>
    <w:rsid w:val="004E1BEE"/>
    <w:rsid w:val="004E3485"/>
    <w:rsid w:val="004E488F"/>
    <w:rsid w:val="004E5690"/>
    <w:rsid w:val="004E5E13"/>
    <w:rsid w:val="004E5E86"/>
    <w:rsid w:val="004E6038"/>
    <w:rsid w:val="004E70BD"/>
    <w:rsid w:val="004F03D8"/>
    <w:rsid w:val="004F11AA"/>
    <w:rsid w:val="004F1331"/>
    <w:rsid w:val="004F285F"/>
    <w:rsid w:val="004F2890"/>
    <w:rsid w:val="004F2E7E"/>
    <w:rsid w:val="004F3A41"/>
    <w:rsid w:val="004F3F55"/>
    <w:rsid w:val="004F5E94"/>
    <w:rsid w:val="004F67E6"/>
    <w:rsid w:val="004F7460"/>
    <w:rsid w:val="004F7ED0"/>
    <w:rsid w:val="005001C5"/>
    <w:rsid w:val="005001DC"/>
    <w:rsid w:val="0050034E"/>
    <w:rsid w:val="005008A2"/>
    <w:rsid w:val="005024AF"/>
    <w:rsid w:val="00503A2A"/>
    <w:rsid w:val="00506215"/>
    <w:rsid w:val="00506CB4"/>
    <w:rsid w:val="0050720A"/>
    <w:rsid w:val="00510A5E"/>
    <w:rsid w:val="00511957"/>
    <w:rsid w:val="00515984"/>
    <w:rsid w:val="005161A5"/>
    <w:rsid w:val="005214B8"/>
    <w:rsid w:val="00522BC9"/>
    <w:rsid w:val="00523EF8"/>
    <w:rsid w:val="00524ED4"/>
    <w:rsid w:val="00525B86"/>
    <w:rsid w:val="00527B05"/>
    <w:rsid w:val="00530ABE"/>
    <w:rsid w:val="0053163C"/>
    <w:rsid w:val="005316C0"/>
    <w:rsid w:val="00531A8E"/>
    <w:rsid w:val="00531B8D"/>
    <w:rsid w:val="00531F23"/>
    <w:rsid w:val="0053342B"/>
    <w:rsid w:val="0053358C"/>
    <w:rsid w:val="00537830"/>
    <w:rsid w:val="00540496"/>
    <w:rsid w:val="00541734"/>
    <w:rsid w:val="0054301B"/>
    <w:rsid w:val="00543490"/>
    <w:rsid w:val="00543965"/>
    <w:rsid w:val="00543F6A"/>
    <w:rsid w:val="005445DC"/>
    <w:rsid w:val="00545F45"/>
    <w:rsid w:val="005476C4"/>
    <w:rsid w:val="005505C7"/>
    <w:rsid w:val="0055180A"/>
    <w:rsid w:val="005524C3"/>
    <w:rsid w:val="005534A0"/>
    <w:rsid w:val="005542DD"/>
    <w:rsid w:val="005545D7"/>
    <w:rsid w:val="00555367"/>
    <w:rsid w:val="00557DB7"/>
    <w:rsid w:val="00557E28"/>
    <w:rsid w:val="005601EF"/>
    <w:rsid w:val="00560A6C"/>
    <w:rsid w:val="00560B91"/>
    <w:rsid w:val="005610CA"/>
    <w:rsid w:val="005613CA"/>
    <w:rsid w:val="00561762"/>
    <w:rsid w:val="00562B08"/>
    <w:rsid w:val="00562C7E"/>
    <w:rsid w:val="00564CDD"/>
    <w:rsid w:val="00565320"/>
    <w:rsid w:val="00565D7F"/>
    <w:rsid w:val="00566AB3"/>
    <w:rsid w:val="00567508"/>
    <w:rsid w:val="005676BD"/>
    <w:rsid w:val="00570769"/>
    <w:rsid w:val="0057110D"/>
    <w:rsid w:val="00571D8E"/>
    <w:rsid w:val="00572973"/>
    <w:rsid w:val="00573196"/>
    <w:rsid w:val="00573A66"/>
    <w:rsid w:val="00573C33"/>
    <w:rsid w:val="0057594B"/>
    <w:rsid w:val="005765B7"/>
    <w:rsid w:val="005777C2"/>
    <w:rsid w:val="00580B61"/>
    <w:rsid w:val="00581BFC"/>
    <w:rsid w:val="00581F61"/>
    <w:rsid w:val="00583F48"/>
    <w:rsid w:val="00584B76"/>
    <w:rsid w:val="00587595"/>
    <w:rsid w:val="00587B70"/>
    <w:rsid w:val="005909FF"/>
    <w:rsid w:val="00590DBC"/>
    <w:rsid w:val="00591564"/>
    <w:rsid w:val="00591ED5"/>
    <w:rsid w:val="005930B0"/>
    <w:rsid w:val="00593B4F"/>
    <w:rsid w:val="0059452A"/>
    <w:rsid w:val="005A12A9"/>
    <w:rsid w:val="005A1671"/>
    <w:rsid w:val="005A3092"/>
    <w:rsid w:val="005A3E4E"/>
    <w:rsid w:val="005A4919"/>
    <w:rsid w:val="005A548C"/>
    <w:rsid w:val="005A6590"/>
    <w:rsid w:val="005A6EE5"/>
    <w:rsid w:val="005A7266"/>
    <w:rsid w:val="005B0B3F"/>
    <w:rsid w:val="005B2044"/>
    <w:rsid w:val="005B238A"/>
    <w:rsid w:val="005B2447"/>
    <w:rsid w:val="005B271B"/>
    <w:rsid w:val="005B29F3"/>
    <w:rsid w:val="005B2D75"/>
    <w:rsid w:val="005B2DFB"/>
    <w:rsid w:val="005B3A74"/>
    <w:rsid w:val="005B4072"/>
    <w:rsid w:val="005B4F0B"/>
    <w:rsid w:val="005B56FB"/>
    <w:rsid w:val="005B6562"/>
    <w:rsid w:val="005B6EE7"/>
    <w:rsid w:val="005C2205"/>
    <w:rsid w:val="005C28F6"/>
    <w:rsid w:val="005C5B37"/>
    <w:rsid w:val="005C7AB3"/>
    <w:rsid w:val="005C7D12"/>
    <w:rsid w:val="005C7F0B"/>
    <w:rsid w:val="005D03C3"/>
    <w:rsid w:val="005D2710"/>
    <w:rsid w:val="005D2DF9"/>
    <w:rsid w:val="005D3373"/>
    <w:rsid w:val="005D3DD3"/>
    <w:rsid w:val="005D45EB"/>
    <w:rsid w:val="005D4B79"/>
    <w:rsid w:val="005D5132"/>
    <w:rsid w:val="005D6B7B"/>
    <w:rsid w:val="005E1D62"/>
    <w:rsid w:val="005E24C0"/>
    <w:rsid w:val="005E2B29"/>
    <w:rsid w:val="005E30AE"/>
    <w:rsid w:val="005E32E2"/>
    <w:rsid w:val="005E41C7"/>
    <w:rsid w:val="005E4B06"/>
    <w:rsid w:val="005E5748"/>
    <w:rsid w:val="005E64A4"/>
    <w:rsid w:val="005E6E0B"/>
    <w:rsid w:val="005E7268"/>
    <w:rsid w:val="005E757A"/>
    <w:rsid w:val="005F0D9E"/>
    <w:rsid w:val="005F2A52"/>
    <w:rsid w:val="005F3151"/>
    <w:rsid w:val="005F79C4"/>
    <w:rsid w:val="00600829"/>
    <w:rsid w:val="00601357"/>
    <w:rsid w:val="00603878"/>
    <w:rsid w:val="0060434F"/>
    <w:rsid w:val="00604E26"/>
    <w:rsid w:val="00604F24"/>
    <w:rsid w:val="00605683"/>
    <w:rsid w:val="00605A7F"/>
    <w:rsid w:val="006077CE"/>
    <w:rsid w:val="00607FB4"/>
    <w:rsid w:val="006103FB"/>
    <w:rsid w:val="0061088D"/>
    <w:rsid w:val="00610A3C"/>
    <w:rsid w:val="006113E8"/>
    <w:rsid w:val="00611689"/>
    <w:rsid w:val="0061197B"/>
    <w:rsid w:val="00613A2A"/>
    <w:rsid w:val="00615872"/>
    <w:rsid w:val="00615CDC"/>
    <w:rsid w:val="00617013"/>
    <w:rsid w:val="00617232"/>
    <w:rsid w:val="00620C90"/>
    <w:rsid w:val="00621129"/>
    <w:rsid w:val="00622067"/>
    <w:rsid w:val="006235F1"/>
    <w:rsid w:val="00623B04"/>
    <w:rsid w:val="0062473D"/>
    <w:rsid w:val="00624DF9"/>
    <w:rsid w:val="00625486"/>
    <w:rsid w:val="006259D4"/>
    <w:rsid w:val="00626555"/>
    <w:rsid w:val="00626B45"/>
    <w:rsid w:val="00626FA0"/>
    <w:rsid w:val="0063090F"/>
    <w:rsid w:val="0063167D"/>
    <w:rsid w:val="00631A9E"/>
    <w:rsid w:val="00632595"/>
    <w:rsid w:val="006328BB"/>
    <w:rsid w:val="0063392A"/>
    <w:rsid w:val="00633E75"/>
    <w:rsid w:val="00635582"/>
    <w:rsid w:val="00636F11"/>
    <w:rsid w:val="006413F4"/>
    <w:rsid w:val="0064170D"/>
    <w:rsid w:val="00642501"/>
    <w:rsid w:val="00642905"/>
    <w:rsid w:val="00644CC1"/>
    <w:rsid w:val="0064536F"/>
    <w:rsid w:val="00645E69"/>
    <w:rsid w:val="006460C9"/>
    <w:rsid w:val="00651A36"/>
    <w:rsid w:val="006521B2"/>
    <w:rsid w:val="006530BA"/>
    <w:rsid w:val="006549E0"/>
    <w:rsid w:val="006555CA"/>
    <w:rsid w:val="00655E05"/>
    <w:rsid w:val="00657FAF"/>
    <w:rsid w:val="0066069A"/>
    <w:rsid w:val="00661B52"/>
    <w:rsid w:val="00662639"/>
    <w:rsid w:val="00662946"/>
    <w:rsid w:val="00662C9E"/>
    <w:rsid w:val="00663A87"/>
    <w:rsid w:val="006640A8"/>
    <w:rsid w:val="00665989"/>
    <w:rsid w:val="00665EC6"/>
    <w:rsid w:val="0067003C"/>
    <w:rsid w:val="006707F5"/>
    <w:rsid w:val="00672776"/>
    <w:rsid w:val="00675479"/>
    <w:rsid w:val="00676AC0"/>
    <w:rsid w:val="00677522"/>
    <w:rsid w:val="00677C0E"/>
    <w:rsid w:val="0068092D"/>
    <w:rsid w:val="00681D7A"/>
    <w:rsid w:val="00681E3F"/>
    <w:rsid w:val="0068273E"/>
    <w:rsid w:val="006828F9"/>
    <w:rsid w:val="00682A17"/>
    <w:rsid w:val="00683047"/>
    <w:rsid w:val="00683A73"/>
    <w:rsid w:val="00683DB7"/>
    <w:rsid w:val="00684F17"/>
    <w:rsid w:val="0068668F"/>
    <w:rsid w:val="0068784F"/>
    <w:rsid w:val="00687E15"/>
    <w:rsid w:val="00687EA5"/>
    <w:rsid w:val="0069319B"/>
    <w:rsid w:val="00693271"/>
    <w:rsid w:val="00696FAB"/>
    <w:rsid w:val="00697557"/>
    <w:rsid w:val="0069761C"/>
    <w:rsid w:val="00697B60"/>
    <w:rsid w:val="006A3280"/>
    <w:rsid w:val="006A4746"/>
    <w:rsid w:val="006A50BE"/>
    <w:rsid w:val="006A5A50"/>
    <w:rsid w:val="006A5F49"/>
    <w:rsid w:val="006A622D"/>
    <w:rsid w:val="006A7051"/>
    <w:rsid w:val="006A71D2"/>
    <w:rsid w:val="006A78E1"/>
    <w:rsid w:val="006A7BBC"/>
    <w:rsid w:val="006B17A7"/>
    <w:rsid w:val="006B2959"/>
    <w:rsid w:val="006B296C"/>
    <w:rsid w:val="006B2A3B"/>
    <w:rsid w:val="006B3D70"/>
    <w:rsid w:val="006B4152"/>
    <w:rsid w:val="006B46C7"/>
    <w:rsid w:val="006B5290"/>
    <w:rsid w:val="006B656D"/>
    <w:rsid w:val="006B6FD2"/>
    <w:rsid w:val="006B7FF6"/>
    <w:rsid w:val="006C115C"/>
    <w:rsid w:val="006C188B"/>
    <w:rsid w:val="006C214D"/>
    <w:rsid w:val="006C283D"/>
    <w:rsid w:val="006C2C45"/>
    <w:rsid w:val="006C3A6D"/>
    <w:rsid w:val="006C3DB8"/>
    <w:rsid w:val="006C629C"/>
    <w:rsid w:val="006C6A3F"/>
    <w:rsid w:val="006C6EFC"/>
    <w:rsid w:val="006C77AE"/>
    <w:rsid w:val="006D224C"/>
    <w:rsid w:val="006D2538"/>
    <w:rsid w:val="006D2692"/>
    <w:rsid w:val="006D3887"/>
    <w:rsid w:val="006D3F10"/>
    <w:rsid w:val="006D427F"/>
    <w:rsid w:val="006D545B"/>
    <w:rsid w:val="006D6EC2"/>
    <w:rsid w:val="006E21C0"/>
    <w:rsid w:val="006E21EA"/>
    <w:rsid w:val="006E2408"/>
    <w:rsid w:val="006E2633"/>
    <w:rsid w:val="006E273D"/>
    <w:rsid w:val="006E2E3B"/>
    <w:rsid w:val="006E366C"/>
    <w:rsid w:val="006E3B73"/>
    <w:rsid w:val="006E6323"/>
    <w:rsid w:val="006E67EE"/>
    <w:rsid w:val="006E7574"/>
    <w:rsid w:val="006F0758"/>
    <w:rsid w:val="006F093C"/>
    <w:rsid w:val="006F2516"/>
    <w:rsid w:val="006F295D"/>
    <w:rsid w:val="006F2EE8"/>
    <w:rsid w:val="006F3053"/>
    <w:rsid w:val="006F33D4"/>
    <w:rsid w:val="006F58F6"/>
    <w:rsid w:val="006F7016"/>
    <w:rsid w:val="00700BBE"/>
    <w:rsid w:val="00700E64"/>
    <w:rsid w:val="007012C6"/>
    <w:rsid w:val="00702AB1"/>
    <w:rsid w:val="00703D1F"/>
    <w:rsid w:val="00704595"/>
    <w:rsid w:val="00704E87"/>
    <w:rsid w:val="007071A5"/>
    <w:rsid w:val="0071053F"/>
    <w:rsid w:val="00710674"/>
    <w:rsid w:val="007107C4"/>
    <w:rsid w:val="0071162C"/>
    <w:rsid w:val="00711C00"/>
    <w:rsid w:val="007135BA"/>
    <w:rsid w:val="007141E4"/>
    <w:rsid w:val="00714E58"/>
    <w:rsid w:val="0071541F"/>
    <w:rsid w:val="00716424"/>
    <w:rsid w:val="00716BB2"/>
    <w:rsid w:val="007230A4"/>
    <w:rsid w:val="007252EC"/>
    <w:rsid w:val="007263B4"/>
    <w:rsid w:val="00726F32"/>
    <w:rsid w:val="00730BF1"/>
    <w:rsid w:val="00731C06"/>
    <w:rsid w:val="00734167"/>
    <w:rsid w:val="00734F3C"/>
    <w:rsid w:val="00735362"/>
    <w:rsid w:val="00735B45"/>
    <w:rsid w:val="00736A7B"/>
    <w:rsid w:val="00737144"/>
    <w:rsid w:val="00737E51"/>
    <w:rsid w:val="00740341"/>
    <w:rsid w:val="007408FB"/>
    <w:rsid w:val="00741395"/>
    <w:rsid w:val="00741505"/>
    <w:rsid w:val="00742123"/>
    <w:rsid w:val="007426C5"/>
    <w:rsid w:val="007427E1"/>
    <w:rsid w:val="00742FFD"/>
    <w:rsid w:val="00743218"/>
    <w:rsid w:val="00744F20"/>
    <w:rsid w:val="00745DBB"/>
    <w:rsid w:val="00746C3B"/>
    <w:rsid w:val="00746E73"/>
    <w:rsid w:val="0075097A"/>
    <w:rsid w:val="00751F45"/>
    <w:rsid w:val="00752705"/>
    <w:rsid w:val="00753084"/>
    <w:rsid w:val="00753149"/>
    <w:rsid w:val="00754FDF"/>
    <w:rsid w:val="0075511C"/>
    <w:rsid w:val="0075675B"/>
    <w:rsid w:val="00757112"/>
    <w:rsid w:val="00757AF5"/>
    <w:rsid w:val="00760628"/>
    <w:rsid w:val="00761367"/>
    <w:rsid w:val="007663E0"/>
    <w:rsid w:val="00767BA7"/>
    <w:rsid w:val="00767DC7"/>
    <w:rsid w:val="00773601"/>
    <w:rsid w:val="007738FA"/>
    <w:rsid w:val="007747C9"/>
    <w:rsid w:val="00774E99"/>
    <w:rsid w:val="007768AF"/>
    <w:rsid w:val="00776AF4"/>
    <w:rsid w:val="00776B9A"/>
    <w:rsid w:val="00780D12"/>
    <w:rsid w:val="00781B59"/>
    <w:rsid w:val="007821CF"/>
    <w:rsid w:val="00782F83"/>
    <w:rsid w:val="007837D8"/>
    <w:rsid w:val="00783A82"/>
    <w:rsid w:val="0078445F"/>
    <w:rsid w:val="0078556F"/>
    <w:rsid w:val="0078585B"/>
    <w:rsid w:val="0078630A"/>
    <w:rsid w:val="00786D4D"/>
    <w:rsid w:val="00787464"/>
    <w:rsid w:val="00787544"/>
    <w:rsid w:val="007914ED"/>
    <w:rsid w:val="007929F9"/>
    <w:rsid w:val="00793058"/>
    <w:rsid w:val="00796178"/>
    <w:rsid w:val="007968BC"/>
    <w:rsid w:val="00797AFF"/>
    <w:rsid w:val="007A022A"/>
    <w:rsid w:val="007A0C4B"/>
    <w:rsid w:val="007A12B1"/>
    <w:rsid w:val="007A36E7"/>
    <w:rsid w:val="007A4AC5"/>
    <w:rsid w:val="007A4E45"/>
    <w:rsid w:val="007A581B"/>
    <w:rsid w:val="007B1A8A"/>
    <w:rsid w:val="007B1C90"/>
    <w:rsid w:val="007B218C"/>
    <w:rsid w:val="007B22C6"/>
    <w:rsid w:val="007B49F0"/>
    <w:rsid w:val="007B66F2"/>
    <w:rsid w:val="007B6A70"/>
    <w:rsid w:val="007B75A9"/>
    <w:rsid w:val="007B77F2"/>
    <w:rsid w:val="007B7C0D"/>
    <w:rsid w:val="007C0A88"/>
    <w:rsid w:val="007C0CF4"/>
    <w:rsid w:val="007C1DC1"/>
    <w:rsid w:val="007C1F15"/>
    <w:rsid w:val="007C1FE9"/>
    <w:rsid w:val="007C3C2A"/>
    <w:rsid w:val="007C550C"/>
    <w:rsid w:val="007C5577"/>
    <w:rsid w:val="007C6967"/>
    <w:rsid w:val="007D0053"/>
    <w:rsid w:val="007D376A"/>
    <w:rsid w:val="007D652C"/>
    <w:rsid w:val="007E0BFD"/>
    <w:rsid w:val="007E2347"/>
    <w:rsid w:val="007E3A33"/>
    <w:rsid w:val="007E60C9"/>
    <w:rsid w:val="007F0A6D"/>
    <w:rsid w:val="007F0A7E"/>
    <w:rsid w:val="007F1BF4"/>
    <w:rsid w:val="007F2804"/>
    <w:rsid w:val="007F45C9"/>
    <w:rsid w:val="007F6D5E"/>
    <w:rsid w:val="008010FB"/>
    <w:rsid w:val="00801C55"/>
    <w:rsid w:val="00802097"/>
    <w:rsid w:val="0080256B"/>
    <w:rsid w:val="00802860"/>
    <w:rsid w:val="008032DC"/>
    <w:rsid w:val="00805186"/>
    <w:rsid w:val="008052E6"/>
    <w:rsid w:val="008059E2"/>
    <w:rsid w:val="00805CC0"/>
    <w:rsid w:val="00805CF8"/>
    <w:rsid w:val="008061B1"/>
    <w:rsid w:val="0081178B"/>
    <w:rsid w:val="00812C14"/>
    <w:rsid w:val="0081320A"/>
    <w:rsid w:val="008133EE"/>
    <w:rsid w:val="00815CE0"/>
    <w:rsid w:val="00815D4B"/>
    <w:rsid w:val="00816310"/>
    <w:rsid w:val="008212F2"/>
    <w:rsid w:val="008225D7"/>
    <w:rsid w:val="00822EB3"/>
    <w:rsid w:val="008232CC"/>
    <w:rsid w:val="00823C28"/>
    <w:rsid w:val="0082626D"/>
    <w:rsid w:val="00826C01"/>
    <w:rsid w:val="00827541"/>
    <w:rsid w:val="00831A32"/>
    <w:rsid w:val="00834116"/>
    <w:rsid w:val="0083446E"/>
    <w:rsid w:val="00836808"/>
    <w:rsid w:val="008377A9"/>
    <w:rsid w:val="0084065D"/>
    <w:rsid w:val="00840E73"/>
    <w:rsid w:val="00840EB0"/>
    <w:rsid w:val="00841500"/>
    <w:rsid w:val="00842909"/>
    <w:rsid w:val="00842BCA"/>
    <w:rsid w:val="00842E74"/>
    <w:rsid w:val="0084430F"/>
    <w:rsid w:val="00850E29"/>
    <w:rsid w:val="00852558"/>
    <w:rsid w:val="008549BD"/>
    <w:rsid w:val="008551C7"/>
    <w:rsid w:val="00855CDF"/>
    <w:rsid w:val="008561AB"/>
    <w:rsid w:val="00856EA3"/>
    <w:rsid w:val="008570E2"/>
    <w:rsid w:val="008573BD"/>
    <w:rsid w:val="00860927"/>
    <w:rsid w:val="00860AC8"/>
    <w:rsid w:val="0086105E"/>
    <w:rsid w:val="0086267E"/>
    <w:rsid w:val="00862C90"/>
    <w:rsid w:val="00862E67"/>
    <w:rsid w:val="008636D6"/>
    <w:rsid w:val="008655F3"/>
    <w:rsid w:val="0086561E"/>
    <w:rsid w:val="0086562C"/>
    <w:rsid w:val="0086579A"/>
    <w:rsid w:val="008657F1"/>
    <w:rsid w:val="00866149"/>
    <w:rsid w:val="00866FB1"/>
    <w:rsid w:val="00870456"/>
    <w:rsid w:val="00870F05"/>
    <w:rsid w:val="00872466"/>
    <w:rsid w:val="00875627"/>
    <w:rsid w:val="00876C6F"/>
    <w:rsid w:val="008779B1"/>
    <w:rsid w:val="008802C7"/>
    <w:rsid w:val="0088053E"/>
    <w:rsid w:val="008810ED"/>
    <w:rsid w:val="00881977"/>
    <w:rsid w:val="00885620"/>
    <w:rsid w:val="00890B79"/>
    <w:rsid w:val="008910A6"/>
    <w:rsid w:val="008910BD"/>
    <w:rsid w:val="00891F3F"/>
    <w:rsid w:val="008926CC"/>
    <w:rsid w:val="00892F2D"/>
    <w:rsid w:val="00893D0E"/>
    <w:rsid w:val="0089415E"/>
    <w:rsid w:val="00894F6B"/>
    <w:rsid w:val="00895C77"/>
    <w:rsid w:val="00895D5E"/>
    <w:rsid w:val="00896F76"/>
    <w:rsid w:val="00897338"/>
    <w:rsid w:val="00897CB0"/>
    <w:rsid w:val="008A0A9A"/>
    <w:rsid w:val="008A12BC"/>
    <w:rsid w:val="008A12BD"/>
    <w:rsid w:val="008A29E4"/>
    <w:rsid w:val="008A2A2C"/>
    <w:rsid w:val="008A36FA"/>
    <w:rsid w:val="008A39BF"/>
    <w:rsid w:val="008A63EE"/>
    <w:rsid w:val="008A6952"/>
    <w:rsid w:val="008A6D9B"/>
    <w:rsid w:val="008A72EC"/>
    <w:rsid w:val="008B02E2"/>
    <w:rsid w:val="008B23B7"/>
    <w:rsid w:val="008B2DFC"/>
    <w:rsid w:val="008B3168"/>
    <w:rsid w:val="008B3346"/>
    <w:rsid w:val="008B340D"/>
    <w:rsid w:val="008C002C"/>
    <w:rsid w:val="008C0195"/>
    <w:rsid w:val="008C0E0A"/>
    <w:rsid w:val="008C0E35"/>
    <w:rsid w:val="008C189B"/>
    <w:rsid w:val="008C2E39"/>
    <w:rsid w:val="008C2EF7"/>
    <w:rsid w:val="008C4A9D"/>
    <w:rsid w:val="008C610C"/>
    <w:rsid w:val="008C6E9D"/>
    <w:rsid w:val="008C717B"/>
    <w:rsid w:val="008C71AF"/>
    <w:rsid w:val="008C7382"/>
    <w:rsid w:val="008D06F5"/>
    <w:rsid w:val="008D08F6"/>
    <w:rsid w:val="008D1E36"/>
    <w:rsid w:val="008D1E38"/>
    <w:rsid w:val="008D2182"/>
    <w:rsid w:val="008D221F"/>
    <w:rsid w:val="008D6BA8"/>
    <w:rsid w:val="008D7334"/>
    <w:rsid w:val="008D7FB4"/>
    <w:rsid w:val="008E0515"/>
    <w:rsid w:val="008E17A0"/>
    <w:rsid w:val="008E2435"/>
    <w:rsid w:val="008E3331"/>
    <w:rsid w:val="008E6210"/>
    <w:rsid w:val="008E6C62"/>
    <w:rsid w:val="008E7A44"/>
    <w:rsid w:val="008F04BA"/>
    <w:rsid w:val="008F11FA"/>
    <w:rsid w:val="008F156E"/>
    <w:rsid w:val="008F1AE1"/>
    <w:rsid w:val="008F5344"/>
    <w:rsid w:val="008F54E9"/>
    <w:rsid w:val="008F5C09"/>
    <w:rsid w:val="008F5F2B"/>
    <w:rsid w:val="008F6065"/>
    <w:rsid w:val="008F6DE0"/>
    <w:rsid w:val="009002BD"/>
    <w:rsid w:val="00900891"/>
    <w:rsid w:val="00900DF7"/>
    <w:rsid w:val="0090478D"/>
    <w:rsid w:val="00904795"/>
    <w:rsid w:val="00905138"/>
    <w:rsid w:val="0090544B"/>
    <w:rsid w:val="00905BA2"/>
    <w:rsid w:val="00906169"/>
    <w:rsid w:val="00906F70"/>
    <w:rsid w:val="009070EA"/>
    <w:rsid w:val="00907F41"/>
    <w:rsid w:val="00911040"/>
    <w:rsid w:val="00911609"/>
    <w:rsid w:val="00912BAC"/>
    <w:rsid w:val="00915564"/>
    <w:rsid w:val="00915C2D"/>
    <w:rsid w:val="009170E5"/>
    <w:rsid w:val="00917274"/>
    <w:rsid w:val="00920A21"/>
    <w:rsid w:val="00921D83"/>
    <w:rsid w:val="00922230"/>
    <w:rsid w:val="00922315"/>
    <w:rsid w:val="00923C47"/>
    <w:rsid w:val="00924705"/>
    <w:rsid w:val="009256EB"/>
    <w:rsid w:val="00925A80"/>
    <w:rsid w:val="00925D3B"/>
    <w:rsid w:val="0093030D"/>
    <w:rsid w:val="00930975"/>
    <w:rsid w:val="00930A96"/>
    <w:rsid w:val="00930CD1"/>
    <w:rsid w:val="00931022"/>
    <w:rsid w:val="00931851"/>
    <w:rsid w:val="0093245F"/>
    <w:rsid w:val="00933786"/>
    <w:rsid w:val="009351F8"/>
    <w:rsid w:val="009359F7"/>
    <w:rsid w:val="00936292"/>
    <w:rsid w:val="00937391"/>
    <w:rsid w:val="009373E1"/>
    <w:rsid w:val="009376C0"/>
    <w:rsid w:val="0094055B"/>
    <w:rsid w:val="00940D64"/>
    <w:rsid w:val="00941095"/>
    <w:rsid w:val="00941F17"/>
    <w:rsid w:val="00942873"/>
    <w:rsid w:val="00946148"/>
    <w:rsid w:val="00947B47"/>
    <w:rsid w:val="00947BAC"/>
    <w:rsid w:val="00951740"/>
    <w:rsid w:val="00951F84"/>
    <w:rsid w:val="0095348B"/>
    <w:rsid w:val="00954B8A"/>
    <w:rsid w:val="00955224"/>
    <w:rsid w:val="00955805"/>
    <w:rsid w:val="00956DCE"/>
    <w:rsid w:val="00956E71"/>
    <w:rsid w:val="00957491"/>
    <w:rsid w:val="00961199"/>
    <w:rsid w:val="00962140"/>
    <w:rsid w:val="009638C5"/>
    <w:rsid w:val="00963B8A"/>
    <w:rsid w:val="009654A9"/>
    <w:rsid w:val="00965C80"/>
    <w:rsid w:val="0096767D"/>
    <w:rsid w:val="00967BA5"/>
    <w:rsid w:val="00971446"/>
    <w:rsid w:val="00971BAE"/>
    <w:rsid w:val="00972436"/>
    <w:rsid w:val="00972D9A"/>
    <w:rsid w:val="0097348F"/>
    <w:rsid w:val="0097357C"/>
    <w:rsid w:val="00973DA2"/>
    <w:rsid w:val="00973F3A"/>
    <w:rsid w:val="00974A30"/>
    <w:rsid w:val="00975222"/>
    <w:rsid w:val="009757BE"/>
    <w:rsid w:val="00975DE3"/>
    <w:rsid w:val="00976CC2"/>
    <w:rsid w:val="0097710F"/>
    <w:rsid w:val="00977302"/>
    <w:rsid w:val="00980914"/>
    <w:rsid w:val="00980C4A"/>
    <w:rsid w:val="00981469"/>
    <w:rsid w:val="0098168A"/>
    <w:rsid w:val="00982E56"/>
    <w:rsid w:val="00983ABD"/>
    <w:rsid w:val="009848B2"/>
    <w:rsid w:val="00985D95"/>
    <w:rsid w:val="00985E07"/>
    <w:rsid w:val="00985F65"/>
    <w:rsid w:val="00986489"/>
    <w:rsid w:val="0098795A"/>
    <w:rsid w:val="00987C2D"/>
    <w:rsid w:val="00990866"/>
    <w:rsid w:val="009913E8"/>
    <w:rsid w:val="00991891"/>
    <w:rsid w:val="00991D26"/>
    <w:rsid w:val="009932B2"/>
    <w:rsid w:val="00993950"/>
    <w:rsid w:val="00994129"/>
    <w:rsid w:val="00995104"/>
    <w:rsid w:val="00995258"/>
    <w:rsid w:val="0099577F"/>
    <w:rsid w:val="00995BF5"/>
    <w:rsid w:val="00996343"/>
    <w:rsid w:val="00997789"/>
    <w:rsid w:val="00997EA6"/>
    <w:rsid w:val="009A0AF2"/>
    <w:rsid w:val="009A2224"/>
    <w:rsid w:val="009A26FF"/>
    <w:rsid w:val="009A329E"/>
    <w:rsid w:val="009A5399"/>
    <w:rsid w:val="009A5BF2"/>
    <w:rsid w:val="009A6338"/>
    <w:rsid w:val="009A7985"/>
    <w:rsid w:val="009B092E"/>
    <w:rsid w:val="009B10A2"/>
    <w:rsid w:val="009B1145"/>
    <w:rsid w:val="009B1E8C"/>
    <w:rsid w:val="009B2DC3"/>
    <w:rsid w:val="009B410C"/>
    <w:rsid w:val="009B4275"/>
    <w:rsid w:val="009B60A9"/>
    <w:rsid w:val="009B7840"/>
    <w:rsid w:val="009C0383"/>
    <w:rsid w:val="009C0ED7"/>
    <w:rsid w:val="009C350B"/>
    <w:rsid w:val="009C478B"/>
    <w:rsid w:val="009C56FD"/>
    <w:rsid w:val="009C5752"/>
    <w:rsid w:val="009C5F43"/>
    <w:rsid w:val="009C6329"/>
    <w:rsid w:val="009C68DC"/>
    <w:rsid w:val="009C78C6"/>
    <w:rsid w:val="009D0422"/>
    <w:rsid w:val="009D0B2D"/>
    <w:rsid w:val="009D3030"/>
    <w:rsid w:val="009D3865"/>
    <w:rsid w:val="009D395F"/>
    <w:rsid w:val="009D3CD4"/>
    <w:rsid w:val="009D3D72"/>
    <w:rsid w:val="009D56A3"/>
    <w:rsid w:val="009D577D"/>
    <w:rsid w:val="009D5A80"/>
    <w:rsid w:val="009D7E9B"/>
    <w:rsid w:val="009E0A46"/>
    <w:rsid w:val="009E0AD5"/>
    <w:rsid w:val="009E1BCA"/>
    <w:rsid w:val="009E2AE8"/>
    <w:rsid w:val="009E48B5"/>
    <w:rsid w:val="009E5397"/>
    <w:rsid w:val="009E63CC"/>
    <w:rsid w:val="009E77E3"/>
    <w:rsid w:val="009F1563"/>
    <w:rsid w:val="009F1B3F"/>
    <w:rsid w:val="009F1D24"/>
    <w:rsid w:val="009F3ECD"/>
    <w:rsid w:val="009F46CE"/>
    <w:rsid w:val="009F4EE9"/>
    <w:rsid w:val="009F5676"/>
    <w:rsid w:val="009F599F"/>
    <w:rsid w:val="009F5DBD"/>
    <w:rsid w:val="009F6CDD"/>
    <w:rsid w:val="009F71FA"/>
    <w:rsid w:val="00A00036"/>
    <w:rsid w:val="00A005C3"/>
    <w:rsid w:val="00A01429"/>
    <w:rsid w:val="00A01872"/>
    <w:rsid w:val="00A02917"/>
    <w:rsid w:val="00A02D8E"/>
    <w:rsid w:val="00A04CD5"/>
    <w:rsid w:val="00A04DC8"/>
    <w:rsid w:val="00A06115"/>
    <w:rsid w:val="00A076D1"/>
    <w:rsid w:val="00A07E1A"/>
    <w:rsid w:val="00A0D455"/>
    <w:rsid w:val="00A10D12"/>
    <w:rsid w:val="00A110E3"/>
    <w:rsid w:val="00A13326"/>
    <w:rsid w:val="00A167DD"/>
    <w:rsid w:val="00A16843"/>
    <w:rsid w:val="00A16EA6"/>
    <w:rsid w:val="00A20D94"/>
    <w:rsid w:val="00A216B0"/>
    <w:rsid w:val="00A232C0"/>
    <w:rsid w:val="00A23DE1"/>
    <w:rsid w:val="00A24357"/>
    <w:rsid w:val="00A25A29"/>
    <w:rsid w:val="00A279C8"/>
    <w:rsid w:val="00A30B1A"/>
    <w:rsid w:val="00A31718"/>
    <w:rsid w:val="00A32188"/>
    <w:rsid w:val="00A32377"/>
    <w:rsid w:val="00A33175"/>
    <w:rsid w:val="00A3342E"/>
    <w:rsid w:val="00A34C54"/>
    <w:rsid w:val="00A35510"/>
    <w:rsid w:val="00A35B26"/>
    <w:rsid w:val="00A36926"/>
    <w:rsid w:val="00A42C2C"/>
    <w:rsid w:val="00A44207"/>
    <w:rsid w:val="00A44CDF"/>
    <w:rsid w:val="00A4587F"/>
    <w:rsid w:val="00A4728F"/>
    <w:rsid w:val="00A47576"/>
    <w:rsid w:val="00A5035A"/>
    <w:rsid w:val="00A51B51"/>
    <w:rsid w:val="00A52B2F"/>
    <w:rsid w:val="00A5405D"/>
    <w:rsid w:val="00A557EA"/>
    <w:rsid w:val="00A5621C"/>
    <w:rsid w:val="00A5632B"/>
    <w:rsid w:val="00A5665F"/>
    <w:rsid w:val="00A60319"/>
    <w:rsid w:val="00A612B0"/>
    <w:rsid w:val="00A61898"/>
    <w:rsid w:val="00A628EC"/>
    <w:rsid w:val="00A64427"/>
    <w:rsid w:val="00A64ACF"/>
    <w:rsid w:val="00A6553D"/>
    <w:rsid w:val="00A6568F"/>
    <w:rsid w:val="00A65867"/>
    <w:rsid w:val="00A66665"/>
    <w:rsid w:val="00A6678C"/>
    <w:rsid w:val="00A700BB"/>
    <w:rsid w:val="00A70F54"/>
    <w:rsid w:val="00A710EA"/>
    <w:rsid w:val="00A7263B"/>
    <w:rsid w:val="00A73030"/>
    <w:rsid w:val="00A7381F"/>
    <w:rsid w:val="00A74646"/>
    <w:rsid w:val="00A7476D"/>
    <w:rsid w:val="00A74BF2"/>
    <w:rsid w:val="00A7532D"/>
    <w:rsid w:val="00A75453"/>
    <w:rsid w:val="00A75740"/>
    <w:rsid w:val="00A81A9F"/>
    <w:rsid w:val="00A82D3E"/>
    <w:rsid w:val="00A83957"/>
    <w:rsid w:val="00A8414D"/>
    <w:rsid w:val="00A84F68"/>
    <w:rsid w:val="00A85527"/>
    <w:rsid w:val="00A87389"/>
    <w:rsid w:val="00A87650"/>
    <w:rsid w:val="00A87762"/>
    <w:rsid w:val="00A87888"/>
    <w:rsid w:val="00A87A92"/>
    <w:rsid w:val="00A90C83"/>
    <w:rsid w:val="00A91119"/>
    <w:rsid w:val="00A9260E"/>
    <w:rsid w:val="00A92D74"/>
    <w:rsid w:val="00A92F4A"/>
    <w:rsid w:val="00A933BB"/>
    <w:rsid w:val="00A940C1"/>
    <w:rsid w:val="00A94771"/>
    <w:rsid w:val="00A95ACA"/>
    <w:rsid w:val="00A969CA"/>
    <w:rsid w:val="00A97FE3"/>
    <w:rsid w:val="00AA0138"/>
    <w:rsid w:val="00AA1EDA"/>
    <w:rsid w:val="00AA24A8"/>
    <w:rsid w:val="00AA3123"/>
    <w:rsid w:val="00AA324C"/>
    <w:rsid w:val="00AA3525"/>
    <w:rsid w:val="00AA35ED"/>
    <w:rsid w:val="00AA3813"/>
    <w:rsid w:val="00AA4512"/>
    <w:rsid w:val="00AA461B"/>
    <w:rsid w:val="00AA4773"/>
    <w:rsid w:val="00AA48A7"/>
    <w:rsid w:val="00AA49A1"/>
    <w:rsid w:val="00AA4C04"/>
    <w:rsid w:val="00AA5E0E"/>
    <w:rsid w:val="00AA6130"/>
    <w:rsid w:val="00AA689E"/>
    <w:rsid w:val="00AA6C02"/>
    <w:rsid w:val="00AA7C7D"/>
    <w:rsid w:val="00AB014F"/>
    <w:rsid w:val="00AB095F"/>
    <w:rsid w:val="00AB0E35"/>
    <w:rsid w:val="00AB1393"/>
    <w:rsid w:val="00AB13AB"/>
    <w:rsid w:val="00AB25B7"/>
    <w:rsid w:val="00AB2676"/>
    <w:rsid w:val="00AB325E"/>
    <w:rsid w:val="00AB37CE"/>
    <w:rsid w:val="00AB3E42"/>
    <w:rsid w:val="00AB4E5E"/>
    <w:rsid w:val="00AC0239"/>
    <w:rsid w:val="00AC0694"/>
    <w:rsid w:val="00AC0D8E"/>
    <w:rsid w:val="00AC10C1"/>
    <w:rsid w:val="00AC1444"/>
    <w:rsid w:val="00AC1768"/>
    <w:rsid w:val="00AC1F60"/>
    <w:rsid w:val="00AC238C"/>
    <w:rsid w:val="00AC252F"/>
    <w:rsid w:val="00AC2A7B"/>
    <w:rsid w:val="00AC3953"/>
    <w:rsid w:val="00AC3AF3"/>
    <w:rsid w:val="00AC3E7B"/>
    <w:rsid w:val="00AC459B"/>
    <w:rsid w:val="00AC5AEB"/>
    <w:rsid w:val="00AC68F9"/>
    <w:rsid w:val="00AC703D"/>
    <w:rsid w:val="00AD0E3D"/>
    <w:rsid w:val="00AD33A2"/>
    <w:rsid w:val="00AD47F7"/>
    <w:rsid w:val="00AD4AF6"/>
    <w:rsid w:val="00AD6136"/>
    <w:rsid w:val="00AD75FE"/>
    <w:rsid w:val="00AD7C2D"/>
    <w:rsid w:val="00AE164A"/>
    <w:rsid w:val="00AE1697"/>
    <w:rsid w:val="00AE1C89"/>
    <w:rsid w:val="00AE302A"/>
    <w:rsid w:val="00AE3058"/>
    <w:rsid w:val="00AE3CC4"/>
    <w:rsid w:val="00AE3E9F"/>
    <w:rsid w:val="00AE3F9D"/>
    <w:rsid w:val="00AE4694"/>
    <w:rsid w:val="00AE4728"/>
    <w:rsid w:val="00AE5909"/>
    <w:rsid w:val="00AE5B5D"/>
    <w:rsid w:val="00AE5B8B"/>
    <w:rsid w:val="00AE7DDC"/>
    <w:rsid w:val="00AE7F9D"/>
    <w:rsid w:val="00AF01AD"/>
    <w:rsid w:val="00AF356E"/>
    <w:rsid w:val="00AF3BEB"/>
    <w:rsid w:val="00AF53D3"/>
    <w:rsid w:val="00AF5FF9"/>
    <w:rsid w:val="00AF636B"/>
    <w:rsid w:val="00AF70A0"/>
    <w:rsid w:val="00B01538"/>
    <w:rsid w:val="00B018A1"/>
    <w:rsid w:val="00B01D78"/>
    <w:rsid w:val="00B02044"/>
    <w:rsid w:val="00B021E5"/>
    <w:rsid w:val="00B0240D"/>
    <w:rsid w:val="00B0521C"/>
    <w:rsid w:val="00B05820"/>
    <w:rsid w:val="00B05EDA"/>
    <w:rsid w:val="00B06940"/>
    <w:rsid w:val="00B06F43"/>
    <w:rsid w:val="00B11050"/>
    <w:rsid w:val="00B11E0E"/>
    <w:rsid w:val="00B12877"/>
    <w:rsid w:val="00B13381"/>
    <w:rsid w:val="00B133DB"/>
    <w:rsid w:val="00B14437"/>
    <w:rsid w:val="00B14649"/>
    <w:rsid w:val="00B14DD7"/>
    <w:rsid w:val="00B16042"/>
    <w:rsid w:val="00B1651E"/>
    <w:rsid w:val="00B16833"/>
    <w:rsid w:val="00B2023C"/>
    <w:rsid w:val="00B20AA3"/>
    <w:rsid w:val="00B21B98"/>
    <w:rsid w:val="00B21EF5"/>
    <w:rsid w:val="00B21F2A"/>
    <w:rsid w:val="00B22042"/>
    <w:rsid w:val="00B230B1"/>
    <w:rsid w:val="00B232EC"/>
    <w:rsid w:val="00B25592"/>
    <w:rsid w:val="00B25A6C"/>
    <w:rsid w:val="00B2730E"/>
    <w:rsid w:val="00B276CD"/>
    <w:rsid w:val="00B27820"/>
    <w:rsid w:val="00B30695"/>
    <w:rsid w:val="00B3202F"/>
    <w:rsid w:val="00B32994"/>
    <w:rsid w:val="00B34A4A"/>
    <w:rsid w:val="00B34D7B"/>
    <w:rsid w:val="00B36DDB"/>
    <w:rsid w:val="00B36DE5"/>
    <w:rsid w:val="00B40652"/>
    <w:rsid w:val="00B407CC"/>
    <w:rsid w:val="00B41D11"/>
    <w:rsid w:val="00B433AA"/>
    <w:rsid w:val="00B43CEB"/>
    <w:rsid w:val="00B453B9"/>
    <w:rsid w:val="00B4562D"/>
    <w:rsid w:val="00B47468"/>
    <w:rsid w:val="00B478BC"/>
    <w:rsid w:val="00B50AF9"/>
    <w:rsid w:val="00B5134F"/>
    <w:rsid w:val="00B517F2"/>
    <w:rsid w:val="00B51D9E"/>
    <w:rsid w:val="00B5276A"/>
    <w:rsid w:val="00B52DE0"/>
    <w:rsid w:val="00B56DE7"/>
    <w:rsid w:val="00B56FC3"/>
    <w:rsid w:val="00B57B8A"/>
    <w:rsid w:val="00B57CB5"/>
    <w:rsid w:val="00B57EA1"/>
    <w:rsid w:val="00B61C0C"/>
    <w:rsid w:val="00B61C20"/>
    <w:rsid w:val="00B62070"/>
    <w:rsid w:val="00B65CB5"/>
    <w:rsid w:val="00B66284"/>
    <w:rsid w:val="00B66C23"/>
    <w:rsid w:val="00B670C1"/>
    <w:rsid w:val="00B678AE"/>
    <w:rsid w:val="00B7012C"/>
    <w:rsid w:val="00B71FD4"/>
    <w:rsid w:val="00B7292E"/>
    <w:rsid w:val="00B72969"/>
    <w:rsid w:val="00B744D4"/>
    <w:rsid w:val="00B75A24"/>
    <w:rsid w:val="00B75B66"/>
    <w:rsid w:val="00B775AC"/>
    <w:rsid w:val="00B77CD7"/>
    <w:rsid w:val="00B77F8B"/>
    <w:rsid w:val="00B808FE"/>
    <w:rsid w:val="00B80E9E"/>
    <w:rsid w:val="00B8231B"/>
    <w:rsid w:val="00B83AFF"/>
    <w:rsid w:val="00B83C11"/>
    <w:rsid w:val="00B84B1F"/>
    <w:rsid w:val="00B852DD"/>
    <w:rsid w:val="00B85962"/>
    <w:rsid w:val="00B86E46"/>
    <w:rsid w:val="00B870AD"/>
    <w:rsid w:val="00B872C5"/>
    <w:rsid w:val="00B87A0E"/>
    <w:rsid w:val="00B902AE"/>
    <w:rsid w:val="00B918A7"/>
    <w:rsid w:val="00B9374E"/>
    <w:rsid w:val="00B93B1F"/>
    <w:rsid w:val="00B93F17"/>
    <w:rsid w:val="00B945B4"/>
    <w:rsid w:val="00B95D2F"/>
    <w:rsid w:val="00B9635F"/>
    <w:rsid w:val="00B97BEA"/>
    <w:rsid w:val="00BA2938"/>
    <w:rsid w:val="00BA32A6"/>
    <w:rsid w:val="00BA43FF"/>
    <w:rsid w:val="00BA4A5D"/>
    <w:rsid w:val="00BA523B"/>
    <w:rsid w:val="00BA5D3E"/>
    <w:rsid w:val="00BA64EB"/>
    <w:rsid w:val="00BA6739"/>
    <w:rsid w:val="00BA6925"/>
    <w:rsid w:val="00BA7C4B"/>
    <w:rsid w:val="00BB1017"/>
    <w:rsid w:val="00BB2317"/>
    <w:rsid w:val="00BB251D"/>
    <w:rsid w:val="00BB592D"/>
    <w:rsid w:val="00BC4665"/>
    <w:rsid w:val="00BC4F73"/>
    <w:rsid w:val="00BC5BF8"/>
    <w:rsid w:val="00BC708F"/>
    <w:rsid w:val="00BC77A5"/>
    <w:rsid w:val="00BD0321"/>
    <w:rsid w:val="00BD1973"/>
    <w:rsid w:val="00BD2219"/>
    <w:rsid w:val="00BD2500"/>
    <w:rsid w:val="00BD471B"/>
    <w:rsid w:val="00BD6115"/>
    <w:rsid w:val="00BD78F0"/>
    <w:rsid w:val="00BE001D"/>
    <w:rsid w:val="00BE0F68"/>
    <w:rsid w:val="00BE1B1D"/>
    <w:rsid w:val="00BE2557"/>
    <w:rsid w:val="00BE285D"/>
    <w:rsid w:val="00BE2FD0"/>
    <w:rsid w:val="00BE59E7"/>
    <w:rsid w:val="00BE62DF"/>
    <w:rsid w:val="00BF1054"/>
    <w:rsid w:val="00BF1930"/>
    <w:rsid w:val="00BF1EC9"/>
    <w:rsid w:val="00BF2062"/>
    <w:rsid w:val="00BF2928"/>
    <w:rsid w:val="00BF46F5"/>
    <w:rsid w:val="00BF4DF2"/>
    <w:rsid w:val="00BF7A47"/>
    <w:rsid w:val="00C00624"/>
    <w:rsid w:val="00C00938"/>
    <w:rsid w:val="00C02269"/>
    <w:rsid w:val="00C02E30"/>
    <w:rsid w:val="00C0319E"/>
    <w:rsid w:val="00C03AD9"/>
    <w:rsid w:val="00C03F3F"/>
    <w:rsid w:val="00C04BBD"/>
    <w:rsid w:val="00C05B45"/>
    <w:rsid w:val="00C05EAD"/>
    <w:rsid w:val="00C07FBD"/>
    <w:rsid w:val="00C10939"/>
    <w:rsid w:val="00C10F9D"/>
    <w:rsid w:val="00C1124C"/>
    <w:rsid w:val="00C12699"/>
    <w:rsid w:val="00C13669"/>
    <w:rsid w:val="00C13C8F"/>
    <w:rsid w:val="00C14319"/>
    <w:rsid w:val="00C145DC"/>
    <w:rsid w:val="00C158F1"/>
    <w:rsid w:val="00C15A81"/>
    <w:rsid w:val="00C15C75"/>
    <w:rsid w:val="00C170EF"/>
    <w:rsid w:val="00C17194"/>
    <w:rsid w:val="00C17931"/>
    <w:rsid w:val="00C20422"/>
    <w:rsid w:val="00C20F60"/>
    <w:rsid w:val="00C214A2"/>
    <w:rsid w:val="00C23E9E"/>
    <w:rsid w:val="00C24905"/>
    <w:rsid w:val="00C251E7"/>
    <w:rsid w:val="00C272CA"/>
    <w:rsid w:val="00C313FA"/>
    <w:rsid w:val="00C32EC5"/>
    <w:rsid w:val="00C3315D"/>
    <w:rsid w:val="00C332CE"/>
    <w:rsid w:val="00C34A07"/>
    <w:rsid w:val="00C35131"/>
    <w:rsid w:val="00C35852"/>
    <w:rsid w:val="00C35AEE"/>
    <w:rsid w:val="00C36607"/>
    <w:rsid w:val="00C36F64"/>
    <w:rsid w:val="00C371AB"/>
    <w:rsid w:val="00C379E4"/>
    <w:rsid w:val="00C416E2"/>
    <w:rsid w:val="00C42B27"/>
    <w:rsid w:val="00C42EB0"/>
    <w:rsid w:val="00C43140"/>
    <w:rsid w:val="00C432F8"/>
    <w:rsid w:val="00C4487B"/>
    <w:rsid w:val="00C44956"/>
    <w:rsid w:val="00C45241"/>
    <w:rsid w:val="00C469AA"/>
    <w:rsid w:val="00C47545"/>
    <w:rsid w:val="00C47571"/>
    <w:rsid w:val="00C501EE"/>
    <w:rsid w:val="00C50529"/>
    <w:rsid w:val="00C529B8"/>
    <w:rsid w:val="00C53E73"/>
    <w:rsid w:val="00C550CF"/>
    <w:rsid w:val="00C5559C"/>
    <w:rsid w:val="00C558D4"/>
    <w:rsid w:val="00C55CBC"/>
    <w:rsid w:val="00C6041B"/>
    <w:rsid w:val="00C60EBC"/>
    <w:rsid w:val="00C61559"/>
    <w:rsid w:val="00C64CD9"/>
    <w:rsid w:val="00C65D1D"/>
    <w:rsid w:val="00C661DE"/>
    <w:rsid w:val="00C66574"/>
    <w:rsid w:val="00C67096"/>
    <w:rsid w:val="00C67345"/>
    <w:rsid w:val="00C67F2B"/>
    <w:rsid w:val="00C712BC"/>
    <w:rsid w:val="00C71B69"/>
    <w:rsid w:val="00C71C24"/>
    <w:rsid w:val="00C73821"/>
    <w:rsid w:val="00C738F8"/>
    <w:rsid w:val="00C73BAE"/>
    <w:rsid w:val="00C75527"/>
    <w:rsid w:val="00C76C62"/>
    <w:rsid w:val="00C82273"/>
    <w:rsid w:val="00C826D3"/>
    <w:rsid w:val="00C83FD0"/>
    <w:rsid w:val="00C8500A"/>
    <w:rsid w:val="00C859B7"/>
    <w:rsid w:val="00C8752D"/>
    <w:rsid w:val="00C913E3"/>
    <w:rsid w:val="00C917C1"/>
    <w:rsid w:val="00C91A24"/>
    <w:rsid w:val="00C91E3F"/>
    <w:rsid w:val="00C9253E"/>
    <w:rsid w:val="00C93271"/>
    <w:rsid w:val="00C93BE1"/>
    <w:rsid w:val="00C94ED1"/>
    <w:rsid w:val="00C957D4"/>
    <w:rsid w:val="00C9642F"/>
    <w:rsid w:val="00C96565"/>
    <w:rsid w:val="00C96C3C"/>
    <w:rsid w:val="00CA0F95"/>
    <w:rsid w:val="00CA14E2"/>
    <w:rsid w:val="00CA3FB6"/>
    <w:rsid w:val="00CA44E8"/>
    <w:rsid w:val="00CA4547"/>
    <w:rsid w:val="00CA4920"/>
    <w:rsid w:val="00CA5BCB"/>
    <w:rsid w:val="00CA6860"/>
    <w:rsid w:val="00CA69A7"/>
    <w:rsid w:val="00CA7A52"/>
    <w:rsid w:val="00CA7C3A"/>
    <w:rsid w:val="00CB00F9"/>
    <w:rsid w:val="00CB06DC"/>
    <w:rsid w:val="00CB07F6"/>
    <w:rsid w:val="00CB081E"/>
    <w:rsid w:val="00CB0E1E"/>
    <w:rsid w:val="00CB41C7"/>
    <w:rsid w:val="00CB45F6"/>
    <w:rsid w:val="00CB52E2"/>
    <w:rsid w:val="00CB56D2"/>
    <w:rsid w:val="00CB5A8C"/>
    <w:rsid w:val="00CB6115"/>
    <w:rsid w:val="00CB6852"/>
    <w:rsid w:val="00CB6C3D"/>
    <w:rsid w:val="00CB6C6D"/>
    <w:rsid w:val="00CB794B"/>
    <w:rsid w:val="00CB7ACA"/>
    <w:rsid w:val="00CC0177"/>
    <w:rsid w:val="00CC027F"/>
    <w:rsid w:val="00CC086C"/>
    <w:rsid w:val="00CC12CD"/>
    <w:rsid w:val="00CC161A"/>
    <w:rsid w:val="00CC1A61"/>
    <w:rsid w:val="00CC1BAA"/>
    <w:rsid w:val="00CC395A"/>
    <w:rsid w:val="00CC51D1"/>
    <w:rsid w:val="00CC5340"/>
    <w:rsid w:val="00CC55DE"/>
    <w:rsid w:val="00CC56D7"/>
    <w:rsid w:val="00CC63BF"/>
    <w:rsid w:val="00CD028F"/>
    <w:rsid w:val="00CD05E1"/>
    <w:rsid w:val="00CD0CD6"/>
    <w:rsid w:val="00CD0D5D"/>
    <w:rsid w:val="00CD16A5"/>
    <w:rsid w:val="00CD1D5D"/>
    <w:rsid w:val="00CD1D99"/>
    <w:rsid w:val="00CD3624"/>
    <w:rsid w:val="00CD36FD"/>
    <w:rsid w:val="00CD3E3E"/>
    <w:rsid w:val="00CD47AE"/>
    <w:rsid w:val="00CD47EB"/>
    <w:rsid w:val="00CD569E"/>
    <w:rsid w:val="00CD58F9"/>
    <w:rsid w:val="00CD5FB4"/>
    <w:rsid w:val="00CD6248"/>
    <w:rsid w:val="00CD6ADF"/>
    <w:rsid w:val="00CD711E"/>
    <w:rsid w:val="00CE0F40"/>
    <w:rsid w:val="00CE21C8"/>
    <w:rsid w:val="00CE2375"/>
    <w:rsid w:val="00CE355D"/>
    <w:rsid w:val="00CE3C2A"/>
    <w:rsid w:val="00CE535E"/>
    <w:rsid w:val="00CE55DA"/>
    <w:rsid w:val="00CE60AD"/>
    <w:rsid w:val="00CE6233"/>
    <w:rsid w:val="00CF179C"/>
    <w:rsid w:val="00CF3112"/>
    <w:rsid w:val="00CF46B9"/>
    <w:rsid w:val="00CF74EB"/>
    <w:rsid w:val="00CF782F"/>
    <w:rsid w:val="00CF7AF3"/>
    <w:rsid w:val="00D00961"/>
    <w:rsid w:val="00D04D90"/>
    <w:rsid w:val="00D06A86"/>
    <w:rsid w:val="00D06FC7"/>
    <w:rsid w:val="00D10123"/>
    <w:rsid w:val="00D11529"/>
    <w:rsid w:val="00D13737"/>
    <w:rsid w:val="00D138AD"/>
    <w:rsid w:val="00D13D01"/>
    <w:rsid w:val="00D13E5A"/>
    <w:rsid w:val="00D13F06"/>
    <w:rsid w:val="00D14078"/>
    <w:rsid w:val="00D14A8F"/>
    <w:rsid w:val="00D150BE"/>
    <w:rsid w:val="00D15AF7"/>
    <w:rsid w:val="00D162AA"/>
    <w:rsid w:val="00D166D7"/>
    <w:rsid w:val="00D17674"/>
    <w:rsid w:val="00D2017A"/>
    <w:rsid w:val="00D21F1D"/>
    <w:rsid w:val="00D232E1"/>
    <w:rsid w:val="00D243EC"/>
    <w:rsid w:val="00D2700C"/>
    <w:rsid w:val="00D27F12"/>
    <w:rsid w:val="00D30027"/>
    <w:rsid w:val="00D300CE"/>
    <w:rsid w:val="00D30444"/>
    <w:rsid w:val="00D30E3D"/>
    <w:rsid w:val="00D3224F"/>
    <w:rsid w:val="00D33A9A"/>
    <w:rsid w:val="00D34F76"/>
    <w:rsid w:val="00D35173"/>
    <w:rsid w:val="00D35BBF"/>
    <w:rsid w:val="00D36CD5"/>
    <w:rsid w:val="00D378C8"/>
    <w:rsid w:val="00D40A14"/>
    <w:rsid w:val="00D41E49"/>
    <w:rsid w:val="00D42A84"/>
    <w:rsid w:val="00D4412B"/>
    <w:rsid w:val="00D44421"/>
    <w:rsid w:val="00D44919"/>
    <w:rsid w:val="00D45CDD"/>
    <w:rsid w:val="00D52226"/>
    <w:rsid w:val="00D52721"/>
    <w:rsid w:val="00D53709"/>
    <w:rsid w:val="00D53DA1"/>
    <w:rsid w:val="00D557CA"/>
    <w:rsid w:val="00D57EC1"/>
    <w:rsid w:val="00D608F1"/>
    <w:rsid w:val="00D60D99"/>
    <w:rsid w:val="00D63666"/>
    <w:rsid w:val="00D637A9"/>
    <w:rsid w:val="00D63C1B"/>
    <w:rsid w:val="00D64BB6"/>
    <w:rsid w:val="00D64D29"/>
    <w:rsid w:val="00D65464"/>
    <w:rsid w:val="00D662B8"/>
    <w:rsid w:val="00D66B49"/>
    <w:rsid w:val="00D66DCD"/>
    <w:rsid w:val="00D677EF"/>
    <w:rsid w:val="00D714B3"/>
    <w:rsid w:val="00D726A4"/>
    <w:rsid w:val="00D736B5"/>
    <w:rsid w:val="00D74FBA"/>
    <w:rsid w:val="00D75985"/>
    <w:rsid w:val="00D75D95"/>
    <w:rsid w:val="00D76792"/>
    <w:rsid w:val="00D8157C"/>
    <w:rsid w:val="00D81715"/>
    <w:rsid w:val="00D81943"/>
    <w:rsid w:val="00D828B2"/>
    <w:rsid w:val="00D8351E"/>
    <w:rsid w:val="00D84346"/>
    <w:rsid w:val="00D84ED8"/>
    <w:rsid w:val="00D84EE2"/>
    <w:rsid w:val="00D8613E"/>
    <w:rsid w:val="00D86293"/>
    <w:rsid w:val="00D8758C"/>
    <w:rsid w:val="00D87B3D"/>
    <w:rsid w:val="00D900E2"/>
    <w:rsid w:val="00D90F98"/>
    <w:rsid w:val="00D92906"/>
    <w:rsid w:val="00D93331"/>
    <w:rsid w:val="00D954F0"/>
    <w:rsid w:val="00D95BD8"/>
    <w:rsid w:val="00D95D27"/>
    <w:rsid w:val="00D977E8"/>
    <w:rsid w:val="00DA0221"/>
    <w:rsid w:val="00DA0642"/>
    <w:rsid w:val="00DA087D"/>
    <w:rsid w:val="00DA120D"/>
    <w:rsid w:val="00DA221E"/>
    <w:rsid w:val="00DA2CEC"/>
    <w:rsid w:val="00DA2DAC"/>
    <w:rsid w:val="00DA7C06"/>
    <w:rsid w:val="00DB0B35"/>
    <w:rsid w:val="00DB0BF6"/>
    <w:rsid w:val="00DB0DA2"/>
    <w:rsid w:val="00DB1384"/>
    <w:rsid w:val="00DB1EC8"/>
    <w:rsid w:val="00DB4375"/>
    <w:rsid w:val="00DB4FD7"/>
    <w:rsid w:val="00DB555F"/>
    <w:rsid w:val="00DB56CA"/>
    <w:rsid w:val="00DB6A5C"/>
    <w:rsid w:val="00DC06AB"/>
    <w:rsid w:val="00DC315C"/>
    <w:rsid w:val="00DC320D"/>
    <w:rsid w:val="00DC491E"/>
    <w:rsid w:val="00DC68C6"/>
    <w:rsid w:val="00DC6A9B"/>
    <w:rsid w:val="00DD0720"/>
    <w:rsid w:val="00DD0B34"/>
    <w:rsid w:val="00DD0BCE"/>
    <w:rsid w:val="00DD0C2F"/>
    <w:rsid w:val="00DD35DB"/>
    <w:rsid w:val="00DD3A95"/>
    <w:rsid w:val="00DD3B22"/>
    <w:rsid w:val="00DD7466"/>
    <w:rsid w:val="00DD76E8"/>
    <w:rsid w:val="00DD7716"/>
    <w:rsid w:val="00DD7AD2"/>
    <w:rsid w:val="00DE01CB"/>
    <w:rsid w:val="00DE0C43"/>
    <w:rsid w:val="00DE16CF"/>
    <w:rsid w:val="00DE3E6F"/>
    <w:rsid w:val="00DE74ED"/>
    <w:rsid w:val="00DF007A"/>
    <w:rsid w:val="00DF05B9"/>
    <w:rsid w:val="00DF06BC"/>
    <w:rsid w:val="00DF1C58"/>
    <w:rsid w:val="00DF1D7B"/>
    <w:rsid w:val="00DF3BB7"/>
    <w:rsid w:val="00DF4693"/>
    <w:rsid w:val="00DF4762"/>
    <w:rsid w:val="00DF5220"/>
    <w:rsid w:val="00DF5715"/>
    <w:rsid w:val="00DF6611"/>
    <w:rsid w:val="00DF75B4"/>
    <w:rsid w:val="00DF771A"/>
    <w:rsid w:val="00DF7A0D"/>
    <w:rsid w:val="00DF7B52"/>
    <w:rsid w:val="00E0046A"/>
    <w:rsid w:val="00E009CB"/>
    <w:rsid w:val="00E0282F"/>
    <w:rsid w:val="00E037F0"/>
    <w:rsid w:val="00E04555"/>
    <w:rsid w:val="00E0584B"/>
    <w:rsid w:val="00E05B3A"/>
    <w:rsid w:val="00E06E29"/>
    <w:rsid w:val="00E07174"/>
    <w:rsid w:val="00E10AD3"/>
    <w:rsid w:val="00E10E17"/>
    <w:rsid w:val="00E13D38"/>
    <w:rsid w:val="00E13F56"/>
    <w:rsid w:val="00E155EF"/>
    <w:rsid w:val="00E16726"/>
    <w:rsid w:val="00E21D06"/>
    <w:rsid w:val="00E21DB4"/>
    <w:rsid w:val="00E23484"/>
    <w:rsid w:val="00E246AB"/>
    <w:rsid w:val="00E26438"/>
    <w:rsid w:val="00E26753"/>
    <w:rsid w:val="00E278BB"/>
    <w:rsid w:val="00E3103D"/>
    <w:rsid w:val="00E31856"/>
    <w:rsid w:val="00E32990"/>
    <w:rsid w:val="00E32A0A"/>
    <w:rsid w:val="00E3348C"/>
    <w:rsid w:val="00E338C1"/>
    <w:rsid w:val="00E34058"/>
    <w:rsid w:val="00E34AD5"/>
    <w:rsid w:val="00E35165"/>
    <w:rsid w:val="00E357A9"/>
    <w:rsid w:val="00E3582F"/>
    <w:rsid w:val="00E35DD3"/>
    <w:rsid w:val="00E379FD"/>
    <w:rsid w:val="00E37EEC"/>
    <w:rsid w:val="00E37FBE"/>
    <w:rsid w:val="00E4113E"/>
    <w:rsid w:val="00E415CE"/>
    <w:rsid w:val="00E4173E"/>
    <w:rsid w:val="00E42BBD"/>
    <w:rsid w:val="00E4328E"/>
    <w:rsid w:val="00E4479E"/>
    <w:rsid w:val="00E45D51"/>
    <w:rsid w:val="00E46245"/>
    <w:rsid w:val="00E467AA"/>
    <w:rsid w:val="00E46A36"/>
    <w:rsid w:val="00E46D04"/>
    <w:rsid w:val="00E471BD"/>
    <w:rsid w:val="00E4736F"/>
    <w:rsid w:val="00E473A3"/>
    <w:rsid w:val="00E51BFC"/>
    <w:rsid w:val="00E52027"/>
    <w:rsid w:val="00E5474C"/>
    <w:rsid w:val="00E549CF"/>
    <w:rsid w:val="00E54DC3"/>
    <w:rsid w:val="00E5641C"/>
    <w:rsid w:val="00E57157"/>
    <w:rsid w:val="00E571DB"/>
    <w:rsid w:val="00E609D0"/>
    <w:rsid w:val="00E60A1C"/>
    <w:rsid w:val="00E6149E"/>
    <w:rsid w:val="00E61879"/>
    <w:rsid w:val="00E61B8A"/>
    <w:rsid w:val="00E63AF0"/>
    <w:rsid w:val="00E6528A"/>
    <w:rsid w:val="00E65F12"/>
    <w:rsid w:val="00E66436"/>
    <w:rsid w:val="00E6757A"/>
    <w:rsid w:val="00E71D17"/>
    <w:rsid w:val="00E7239B"/>
    <w:rsid w:val="00E728BE"/>
    <w:rsid w:val="00E743BB"/>
    <w:rsid w:val="00E745FA"/>
    <w:rsid w:val="00E747CA"/>
    <w:rsid w:val="00E7658D"/>
    <w:rsid w:val="00E76981"/>
    <w:rsid w:val="00E771C8"/>
    <w:rsid w:val="00E77867"/>
    <w:rsid w:val="00E843BD"/>
    <w:rsid w:val="00E84862"/>
    <w:rsid w:val="00E857DE"/>
    <w:rsid w:val="00E85919"/>
    <w:rsid w:val="00E868E0"/>
    <w:rsid w:val="00E90C1C"/>
    <w:rsid w:val="00E921C6"/>
    <w:rsid w:val="00E930B8"/>
    <w:rsid w:val="00E9315B"/>
    <w:rsid w:val="00E93356"/>
    <w:rsid w:val="00E9355D"/>
    <w:rsid w:val="00E95161"/>
    <w:rsid w:val="00E95BA1"/>
    <w:rsid w:val="00E963F8"/>
    <w:rsid w:val="00E972DC"/>
    <w:rsid w:val="00EA0052"/>
    <w:rsid w:val="00EA0134"/>
    <w:rsid w:val="00EA08C6"/>
    <w:rsid w:val="00EA1330"/>
    <w:rsid w:val="00EA15CF"/>
    <w:rsid w:val="00EA1F7F"/>
    <w:rsid w:val="00EA2ECC"/>
    <w:rsid w:val="00EA3024"/>
    <w:rsid w:val="00EA495B"/>
    <w:rsid w:val="00EA4EB6"/>
    <w:rsid w:val="00EA651E"/>
    <w:rsid w:val="00EA6834"/>
    <w:rsid w:val="00EB0E63"/>
    <w:rsid w:val="00EB1DB3"/>
    <w:rsid w:val="00EB1F23"/>
    <w:rsid w:val="00EB3528"/>
    <w:rsid w:val="00EB4E8B"/>
    <w:rsid w:val="00EB53CE"/>
    <w:rsid w:val="00EB752B"/>
    <w:rsid w:val="00EB771E"/>
    <w:rsid w:val="00EC0FED"/>
    <w:rsid w:val="00EC1C87"/>
    <w:rsid w:val="00EC2610"/>
    <w:rsid w:val="00EC3A36"/>
    <w:rsid w:val="00EC48CA"/>
    <w:rsid w:val="00EC4F3C"/>
    <w:rsid w:val="00EC506C"/>
    <w:rsid w:val="00EC5839"/>
    <w:rsid w:val="00EC65B2"/>
    <w:rsid w:val="00EC6EC6"/>
    <w:rsid w:val="00EC757D"/>
    <w:rsid w:val="00EC76AB"/>
    <w:rsid w:val="00EC7E44"/>
    <w:rsid w:val="00ED00E3"/>
    <w:rsid w:val="00ED1846"/>
    <w:rsid w:val="00ED1CD6"/>
    <w:rsid w:val="00ED1E17"/>
    <w:rsid w:val="00ED20F0"/>
    <w:rsid w:val="00ED24C1"/>
    <w:rsid w:val="00ED33CF"/>
    <w:rsid w:val="00ED3445"/>
    <w:rsid w:val="00ED4879"/>
    <w:rsid w:val="00ED4FB5"/>
    <w:rsid w:val="00ED56CF"/>
    <w:rsid w:val="00ED57AB"/>
    <w:rsid w:val="00ED6458"/>
    <w:rsid w:val="00ED6560"/>
    <w:rsid w:val="00ED6F68"/>
    <w:rsid w:val="00EE1303"/>
    <w:rsid w:val="00EE20FC"/>
    <w:rsid w:val="00EE3B49"/>
    <w:rsid w:val="00EE4F8A"/>
    <w:rsid w:val="00EE55A4"/>
    <w:rsid w:val="00EE5D4E"/>
    <w:rsid w:val="00EE6C45"/>
    <w:rsid w:val="00EE7822"/>
    <w:rsid w:val="00EE7C8E"/>
    <w:rsid w:val="00EF0597"/>
    <w:rsid w:val="00EF0A33"/>
    <w:rsid w:val="00EF0CDA"/>
    <w:rsid w:val="00EF31E3"/>
    <w:rsid w:val="00EF4A91"/>
    <w:rsid w:val="00EF5AC5"/>
    <w:rsid w:val="00EF6B25"/>
    <w:rsid w:val="00EF7847"/>
    <w:rsid w:val="00EF7E03"/>
    <w:rsid w:val="00F00191"/>
    <w:rsid w:val="00F0059D"/>
    <w:rsid w:val="00F02A3C"/>
    <w:rsid w:val="00F04FAA"/>
    <w:rsid w:val="00F0681C"/>
    <w:rsid w:val="00F10892"/>
    <w:rsid w:val="00F11A27"/>
    <w:rsid w:val="00F13F9D"/>
    <w:rsid w:val="00F14D99"/>
    <w:rsid w:val="00F15C92"/>
    <w:rsid w:val="00F160D9"/>
    <w:rsid w:val="00F16338"/>
    <w:rsid w:val="00F1724F"/>
    <w:rsid w:val="00F203FE"/>
    <w:rsid w:val="00F21E18"/>
    <w:rsid w:val="00F21ED0"/>
    <w:rsid w:val="00F2249D"/>
    <w:rsid w:val="00F22D48"/>
    <w:rsid w:val="00F23A3E"/>
    <w:rsid w:val="00F24215"/>
    <w:rsid w:val="00F2580D"/>
    <w:rsid w:val="00F25DD6"/>
    <w:rsid w:val="00F29845"/>
    <w:rsid w:val="00F31325"/>
    <w:rsid w:val="00F323A3"/>
    <w:rsid w:val="00F3418E"/>
    <w:rsid w:val="00F360BA"/>
    <w:rsid w:val="00F36486"/>
    <w:rsid w:val="00F376F8"/>
    <w:rsid w:val="00F37A8B"/>
    <w:rsid w:val="00F400A6"/>
    <w:rsid w:val="00F4122E"/>
    <w:rsid w:val="00F41885"/>
    <w:rsid w:val="00F41EA6"/>
    <w:rsid w:val="00F420CD"/>
    <w:rsid w:val="00F43581"/>
    <w:rsid w:val="00F43A04"/>
    <w:rsid w:val="00F4407E"/>
    <w:rsid w:val="00F44586"/>
    <w:rsid w:val="00F45588"/>
    <w:rsid w:val="00F459C5"/>
    <w:rsid w:val="00F5160B"/>
    <w:rsid w:val="00F52AF4"/>
    <w:rsid w:val="00F53C7C"/>
    <w:rsid w:val="00F54E26"/>
    <w:rsid w:val="00F5524A"/>
    <w:rsid w:val="00F55737"/>
    <w:rsid w:val="00F574D7"/>
    <w:rsid w:val="00F6029E"/>
    <w:rsid w:val="00F62B44"/>
    <w:rsid w:val="00F639B9"/>
    <w:rsid w:val="00F639CD"/>
    <w:rsid w:val="00F6686A"/>
    <w:rsid w:val="00F66F12"/>
    <w:rsid w:val="00F67AFF"/>
    <w:rsid w:val="00F67CC6"/>
    <w:rsid w:val="00F67E54"/>
    <w:rsid w:val="00F70E0F"/>
    <w:rsid w:val="00F710B5"/>
    <w:rsid w:val="00F71BB1"/>
    <w:rsid w:val="00F72760"/>
    <w:rsid w:val="00F7300C"/>
    <w:rsid w:val="00F735F4"/>
    <w:rsid w:val="00F74059"/>
    <w:rsid w:val="00F745E6"/>
    <w:rsid w:val="00F750BC"/>
    <w:rsid w:val="00F755F1"/>
    <w:rsid w:val="00F76AC1"/>
    <w:rsid w:val="00F774FC"/>
    <w:rsid w:val="00F80A55"/>
    <w:rsid w:val="00F80C7A"/>
    <w:rsid w:val="00F81200"/>
    <w:rsid w:val="00F81684"/>
    <w:rsid w:val="00F82D72"/>
    <w:rsid w:val="00F848EA"/>
    <w:rsid w:val="00F85082"/>
    <w:rsid w:val="00F86D79"/>
    <w:rsid w:val="00F871F2"/>
    <w:rsid w:val="00F87C3D"/>
    <w:rsid w:val="00F90C57"/>
    <w:rsid w:val="00F9310A"/>
    <w:rsid w:val="00F9347F"/>
    <w:rsid w:val="00FA091B"/>
    <w:rsid w:val="00FA0AA4"/>
    <w:rsid w:val="00FA0D54"/>
    <w:rsid w:val="00FA0FAA"/>
    <w:rsid w:val="00FA1002"/>
    <w:rsid w:val="00FA12E8"/>
    <w:rsid w:val="00FA40FB"/>
    <w:rsid w:val="00FA48DF"/>
    <w:rsid w:val="00FA5178"/>
    <w:rsid w:val="00FA7157"/>
    <w:rsid w:val="00FA7398"/>
    <w:rsid w:val="00FA7771"/>
    <w:rsid w:val="00FB308E"/>
    <w:rsid w:val="00FB48AA"/>
    <w:rsid w:val="00FB564A"/>
    <w:rsid w:val="00FB578F"/>
    <w:rsid w:val="00FB637D"/>
    <w:rsid w:val="00FB70C3"/>
    <w:rsid w:val="00FB7571"/>
    <w:rsid w:val="00FB75DD"/>
    <w:rsid w:val="00FB7BDC"/>
    <w:rsid w:val="00FC1712"/>
    <w:rsid w:val="00FC1818"/>
    <w:rsid w:val="00FC1E6F"/>
    <w:rsid w:val="00FC20E1"/>
    <w:rsid w:val="00FC2ADB"/>
    <w:rsid w:val="00FC32F3"/>
    <w:rsid w:val="00FC3F31"/>
    <w:rsid w:val="00FC56A0"/>
    <w:rsid w:val="00FC6FA1"/>
    <w:rsid w:val="00FD1CD9"/>
    <w:rsid w:val="00FD32F9"/>
    <w:rsid w:val="00FD55A5"/>
    <w:rsid w:val="00FD5938"/>
    <w:rsid w:val="00FE0C58"/>
    <w:rsid w:val="00FE15DD"/>
    <w:rsid w:val="00FE18FA"/>
    <w:rsid w:val="00FE1AB3"/>
    <w:rsid w:val="00FE1BF3"/>
    <w:rsid w:val="00FE40C6"/>
    <w:rsid w:val="00FE4E7B"/>
    <w:rsid w:val="00FE4EA6"/>
    <w:rsid w:val="00FE5475"/>
    <w:rsid w:val="00FE5899"/>
    <w:rsid w:val="00FE6575"/>
    <w:rsid w:val="00FE7881"/>
    <w:rsid w:val="00FF0145"/>
    <w:rsid w:val="00FF06A7"/>
    <w:rsid w:val="00FF079F"/>
    <w:rsid w:val="00FF089A"/>
    <w:rsid w:val="00FF34F9"/>
    <w:rsid w:val="00FF39B7"/>
    <w:rsid w:val="00FF3BCE"/>
    <w:rsid w:val="00FF5167"/>
    <w:rsid w:val="00FF6C24"/>
    <w:rsid w:val="00FF6E22"/>
    <w:rsid w:val="011AF5E2"/>
    <w:rsid w:val="0175DF07"/>
    <w:rsid w:val="0180D867"/>
    <w:rsid w:val="021672E8"/>
    <w:rsid w:val="022C7CC9"/>
    <w:rsid w:val="024C54BD"/>
    <w:rsid w:val="0293E389"/>
    <w:rsid w:val="02BFCB56"/>
    <w:rsid w:val="03146D8F"/>
    <w:rsid w:val="032A0F37"/>
    <w:rsid w:val="034A58CE"/>
    <w:rsid w:val="036C5CD7"/>
    <w:rsid w:val="03847BE8"/>
    <w:rsid w:val="03D048E6"/>
    <w:rsid w:val="03F1F2A8"/>
    <w:rsid w:val="04007B37"/>
    <w:rsid w:val="047FE4B8"/>
    <w:rsid w:val="04A13E6A"/>
    <w:rsid w:val="04BD0D4D"/>
    <w:rsid w:val="04EAAA53"/>
    <w:rsid w:val="05268E73"/>
    <w:rsid w:val="052DAE06"/>
    <w:rsid w:val="0580C750"/>
    <w:rsid w:val="05CFAD67"/>
    <w:rsid w:val="06151C77"/>
    <w:rsid w:val="0617144E"/>
    <w:rsid w:val="069BA16A"/>
    <w:rsid w:val="069CBE36"/>
    <w:rsid w:val="06C5B55C"/>
    <w:rsid w:val="06CC415B"/>
    <w:rsid w:val="06E050DF"/>
    <w:rsid w:val="06E48532"/>
    <w:rsid w:val="0732C820"/>
    <w:rsid w:val="0742811A"/>
    <w:rsid w:val="0752A1FA"/>
    <w:rsid w:val="07A7744F"/>
    <w:rsid w:val="08298772"/>
    <w:rsid w:val="084CB958"/>
    <w:rsid w:val="088050EA"/>
    <w:rsid w:val="089414E9"/>
    <w:rsid w:val="08F7E600"/>
    <w:rsid w:val="0901D4AD"/>
    <w:rsid w:val="0967FFAD"/>
    <w:rsid w:val="09773716"/>
    <w:rsid w:val="09A768A7"/>
    <w:rsid w:val="09C4185D"/>
    <w:rsid w:val="09D6C7F4"/>
    <w:rsid w:val="09DE6F34"/>
    <w:rsid w:val="0A9A3D14"/>
    <w:rsid w:val="0AADED6F"/>
    <w:rsid w:val="0AC78290"/>
    <w:rsid w:val="0AE9EF65"/>
    <w:rsid w:val="0AF3752C"/>
    <w:rsid w:val="0B0C46AE"/>
    <w:rsid w:val="0B317B62"/>
    <w:rsid w:val="0BC5D61D"/>
    <w:rsid w:val="0C90C569"/>
    <w:rsid w:val="0C9635AF"/>
    <w:rsid w:val="0CFB21A7"/>
    <w:rsid w:val="0D6A99A3"/>
    <w:rsid w:val="0D93BAA6"/>
    <w:rsid w:val="0DA90EDF"/>
    <w:rsid w:val="0DBA8520"/>
    <w:rsid w:val="0DD8614A"/>
    <w:rsid w:val="0E435A74"/>
    <w:rsid w:val="0E47A5B3"/>
    <w:rsid w:val="0E734E24"/>
    <w:rsid w:val="0EA224D5"/>
    <w:rsid w:val="0F05B7EE"/>
    <w:rsid w:val="0F3BAF2B"/>
    <w:rsid w:val="0F43D8CB"/>
    <w:rsid w:val="0F57BFAB"/>
    <w:rsid w:val="0F8F5A42"/>
    <w:rsid w:val="0FAB667D"/>
    <w:rsid w:val="0FD1B90E"/>
    <w:rsid w:val="0FD952F3"/>
    <w:rsid w:val="100003CC"/>
    <w:rsid w:val="101A7901"/>
    <w:rsid w:val="106DAA8B"/>
    <w:rsid w:val="108A13D4"/>
    <w:rsid w:val="109B66F8"/>
    <w:rsid w:val="109BC9CB"/>
    <w:rsid w:val="10A53172"/>
    <w:rsid w:val="10A7B41A"/>
    <w:rsid w:val="112FEB9B"/>
    <w:rsid w:val="11575032"/>
    <w:rsid w:val="117BEDD4"/>
    <w:rsid w:val="11A16907"/>
    <w:rsid w:val="11F1ABA6"/>
    <w:rsid w:val="1206E54A"/>
    <w:rsid w:val="122AA500"/>
    <w:rsid w:val="12391D4D"/>
    <w:rsid w:val="124AAA89"/>
    <w:rsid w:val="126B2ED5"/>
    <w:rsid w:val="126BB5B6"/>
    <w:rsid w:val="126EA615"/>
    <w:rsid w:val="12C60BC8"/>
    <w:rsid w:val="1313AA8D"/>
    <w:rsid w:val="13580D74"/>
    <w:rsid w:val="137F886E"/>
    <w:rsid w:val="1388E85D"/>
    <w:rsid w:val="1395C4CA"/>
    <w:rsid w:val="13A7CA29"/>
    <w:rsid w:val="14145B0C"/>
    <w:rsid w:val="1440666E"/>
    <w:rsid w:val="148CC004"/>
    <w:rsid w:val="14933712"/>
    <w:rsid w:val="14BC1BC9"/>
    <w:rsid w:val="14F44E0F"/>
    <w:rsid w:val="150A2769"/>
    <w:rsid w:val="1520E6A7"/>
    <w:rsid w:val="1531D6A4"/>
    <w:rsid w:val="154C30E5"/>
    <w:rsid w:val="1557B270"/>
    <w:rsid w:val="1563AF76"/>
    <w:rsid w:val="15B7849C"/>
    <w:rsid w:val="16F12EA9"/>
    <w:rsid w:val="174DD543"/>
    <w:rsid w:val="17D61F7D"/>
    <w:rsid w:val="18557D48"/>
    <w:rsid w:val="18644297"/>
    <w:rsid w:val="186CDE80"/>
    <w:rsid w:val="1878E7A9"/>
    <w:rsid w:val="18853448"/>
    <w:rsid w:val="189995BA"/>
    <w:rsid w:val="18A92026"/>
    <w:rsid w:val="18FB271C"/>
    <w:rsid w:val="19606B59"/>
    <w:rsid w:val="19743FCA"/>
    <w:rsid w:val="19A211FC"/>
    <w:rsid w:val="19DC2DF9"/>
    <w:rsid w:val="19DE72E0"/>
    <w:rsid w:val="1A6E4D32"/>
    <w:rsid w:val="1A722EEC"/>
    <w:rsid w:val="1A7A2D95"/>
    <w:rsid w:val="1AA2EE87"/>
    <w:rsid w:val="1ADFB857"/>
    <w:rsid w:val="1AF48270"/>
    <w:rsid w:val="1B89AE3C"/>
    <w:rsid w:val="1BDC61D6"/>
    <w:rsid w:val="1C80F8D3"/>
    <w:rsid w:val="1CBE1E03"/>
    <w:rsid w:val="1CDE6939"/>
    <w:rsid w:val="1D2D44F5"/>
    <w:rsid w:val="1D346FC5"/>
    <w:rsid w:val="1D4ADAB3"/>
    <w:rsid w:val="1E016C91"/>
    <w:rsid w:val="1E10BFBD"/>
    <w:rsid w:val="1E278C6B"/>
    <w:rsid w:val="1E2BECEA"/>
    <w:rsid w:val="1E322426"/>
    <w:rsid w:val="1E459001"/>
    <w:rsid w:val="1E4AB9EF"/>
    <w:rsid w:val="1E89F1A4"/>
    <w:rsid w:val="1ED035C4"/>
    <w:rsid w:val="1F10FCAC"/>
    <w:rsid w:val="1F3E7D8C"/>
    <w:rsid w:val="1F7DD54C"/>
    <w:rsid w:val="1F8DF889"/>
    <w:rsid w:val="1FE2EDD1"/>
    <w:rsid w:val="1FF2EF21"/>
    <w:rsid w:val="201B2178"/>
    <w:rsid w:val="2043DCC2"/>
    <w:rsid w:val="205141B9"/>
    <w:rsid w:val="2058A140"/>
    <w:rsid w:val="2117279E"/>
    <w:rsid w:val="211D9A40"/>
    <w:rsid w:val="21679928"/>
    <w:rsid w:val="22037A36"/>
    <w:rsid w:val="224360C5"/>
    <w:rsid w:val="22676630"/>
    <w:rsid w:val="226E9234"/>
    <w:rsid w:val="227A7868"/>
    <w:rsid w:val="22D1BBEC"/>
    <w:rsid w:val="22D50D25"/>
    <w:rsid w:val="22F0FE82"/>
    <w:rsid w:val="23197AA1"/>
    <w:rsid w:val="2336EF59"/>
    <w:rsid w:val="2381710B"/>
    <w:rsid w:val="2394DDB0"/>
    <w:rsid w:val="239C5A31"/>
    <w:rsid w:val="23A1AB7F"/>
    <w:rsid w:val="240A6295"/>
    <w:rsid w:val="247E2EF0"/>
    <w:rsid w:val="24D1769E"/>
    <w:rsid w:val="2501181C"/>
    <w:rsid w:val="25129879"/>
    <w:rsid w:val="255832CA"/>
    <w:rsid w:val="2576367F"/>
    <w:rsid w:val="25792ADC"/>
    <w:rsid w:val="2594F581"/>
    <w:rsid w:val="25B641D5"/>
    <w:rsid w:val="25D713D7"/>
    <w:rsid w:val="265B9CFD"/>
    <w:rsid w:val="26732E5D"/>
    <w:rsid w:val="26B88D59"/>
    <w:rsid w:val="2707E6D7"/>
    <w:rsid w:val="27935871"/>
    <w:rsid w:val="27A990A4"/>
    <w:rsid w:val="27B2C845"/>
    <w:rsid w:val="27C94A2E"/>
    <w:rsid w:val="27D223D1"/>
    <w:rsid w:val="27F51F39"/>
    <w:rsid w:val="27FAE037"/>
    <w:rsid w:val="2883DB15"/>
    <w:rsid w:val="28EFC260"/>
    <w:rsid w:val="294002B4"/>
    <w:rsid w:val="29427A26"/>
    <w:rsid w:val="2943A4AC"/>
    <w:rsid w:val="294E25FC"/>
    <w:rsid w:val="29731544"/>
    <w:rsid w:val="29D4B885"/>
    <w:rsid w:val="29EDADAF"/>
    <w:rsid w:val="29F875C9"/>
    <w:rsid w:val="2A4D5600"/>
    <w:rsid w:val="2A4F20BA"/>
    <w:rsid w:val="2A59E175"/>
    <w:rsid w:val="2A8A4988"/>
    <w:rsid w:val="2AA7A7D6"/>
    <w:rsid w:val="2AAB2667"/>
    <w:rsid w:val="2ACFAEA1"/>
    <w:rsid w:val="2AE157C7"/>
    <w:rsid w:val="2BAE59B6"/>
    <w:rsid w:val="2BB7193C"/>
    <w:rsid w:val="2BBEAF4A"/>
    <w:rsid w:val="2BF0B232"/>
    <w:rsid w:val="2C75995C"/>
    <w:rsid w:val="2CD096D7"/>
    <w:rsid w:val="2CF00032"/>
    <w:rsid w:val="2D796486"/>
    <w:rsid w:val="2D9239C2"/>
    <w:rsid w:val="2DE0FC11"/>
    <w:rsid w:val="2DF9A556"/>
    <w:rsid w:val="2E000716"/>
    <w:rsid w:val="2E4E77A4"/>
    <w:rsid w:val="2EA476AA"/>
    <w:rsid w:val="2EB07311"/>
    <w:rsid w:val="2EDADB7D"/>
    <w:rsid w:val="2EF00548"/>
    <w:rsid w:val="2F038505"/>
    <w:rsid w:val="2F48D085"/>
    <w:rsid w:val="2F76F878"/>
    <w:rsid w:val="2F98604F"/>
    <w:rsid w:val="300C5D73"/>
    <w:rsid w:val="3013D015"/>
    <w:rsid w:val="30178843"/>
    <w:rsid w:val="306F3961"/>
    <w:rsid w:val="3073CF4E"/>
    <w:rsid w:val="30E4FD40"/>
    <w:rsid w:val="314923C6"/>
    <w:rsid w:val="3184E4FD"/>
    <w:rsid w:val="3189A7CF"/>
    <w:rsid w:val="31968905"/>
    <w:rsid w:val="31B27022"/>
    <w:rsid w:val="31B861E2"/>
    <w:rsid w:val="31D48988"/>
    <w:rsid w:val="31D85182"/>
    <w:rsid w:val="31EB1B13"/>
    <w:rsid w:val="31F2F676"/>
    <w:rsid w:val="320452A2"/>
    <w:rsid w:val="329B7E45"/>
    <w:rsid w:val="329FE785"/>
    <w:rsid w:val="32A142CF"/>
    <w:rsid w:val="32B94EFB"/>
    <w:rsid w:val="33594CFC"/>
    <w:rsid w:val="336CC115"/>
    <w:rsid w:val="3390864C"/>
    <w:rsid w:val="33A2432E"/>
    <w:rsid w:val="343222EB"/>
    <w:rsid w:val="347C2B93"/>
    <w:rsid w:val="349BA880"/>
    <w:rsid w:val="34BF58BA"/>
    <w:rsid w:val="34D4F60F"/>
    <w:rsid w:val="34F62B0A"/>
    <w:rsid w:val="35185E87"/>
    <w:rsid w:val="351D9632"/>
    <w:rsid w:val="35214DEA"/>
    <w:rsid w:val="352249D3"/>
    <w:rsid w:val="353CB98A"/>
    <w:rsid w:val="355681B1"/>
    <w:rsid w:val="357C2A63"/>
    <w:rsid w:val="3599D608"/>
    <w:rsid w:val="35FA533B"/>
    <w:rsid w:val="361BAE13"/>
    <w:rsid w:val="365949FE"/>
    <w:rsid w:val="36713AA1"/>
    <w:rsid w:val="3696BCF7"/>
    <w:rsid w:val="3699BA28"/>
    <w:rsid w:val="36B04D10"/>
    <w:rsid w:val="36BD97A0"/>
    <w:rsid w:val="36DE3055"/>
    <w:rsid w:val="37657912"/>
    <w:rsid w:val="376DD687"/>
    <w:rsid w:val="379D6BFB"/>
    <w:rsid w:val="37A86398"/>
    <w:rsid w:val="37CAA3D2"/>
    <w:rsid w:val="37D931B4"/>
    <w:rsid w:val="37F66204"/>
    <w:rsid w:val="3875F75E"/>
    <w:rsid w:val="3884B2BF"/>
    <w:rsid w:val="38AD3E58"/>
    <w:rsid w:val="38AF80D4"/>
    <w:rsid w:val="3955CE01"/>
    <w:rsid w:val="396245FA"/>
    <w:rsid w:val="398340EA"/>
    <w:rsid w:val="399EEBEA"/>
    <w:rsid w:val="39AEBE5E"/>
    <w:rsid w:val="39CD10BF"/>
    <w:rsid w:val="3A143CA9"/>
    <w:rsid w:val="3A952015"/>
    <w:rsid w:val="3AB1F83A"/>
    <w:rsid w:val="3B53D913"/>
    <w:rsid w:val="3B6B8870"/>
    <w:rsid w:val="3B80CC08"/>
    <w:rsid w:val="3B965398"/>
    <w:rsid w:val="3BDBD5EF"/>
    <w:rsid w:val="3C17070C"/>
    <w:rsid w:val="3C1BC12D"/>
    <w:rsid w:val="3C23001C"/>
    <w:rsid w:val="3C7BED22"/>
    <w:rsid w:val="3C8C5CFF"/>
    <w:rsid w:val="3CC9E94A"/>
    <w:rsid w:val="3CDED2E4"/>
    <w:rsid w:val="3D119F43"/>
    <w:rsid w:val="3D3FB6C2"/>
    <w:rsid w:val="3D488B88"/>
    <w:rsid w:val="3D51DBA1"/>
    <w:rsid w:val="3D7FF6E8"/>
    <w:rsid w:val="3DB87C76"/>
    <w:rsid w:val="3E41F452"/>
    <w:rsid w:val="3ECAFC9F"/>
    <w:rsid w:val="3F126250"/>
    <w:rsid w:val="3F50FD6D"/>
    <w:rsid w:val="3F5F1842"/>
    <w:rsid w:val="3F6F9AFE"/>
    <w:rsid w:val="3F8BDC3D"/>
    <w:rsid w:val="3FB9BA26"/>
    <w:rsid w:val="3FBC1C8C"/>
    <w:rsid w:val="3FC298D9"/>
    <w:rsid w:val="4013E4AD"/>
    <w:rsid w:val="402DD9F3"/>
    <w:rsid w:val="4070CFBB"/>
    <w:rsid w:val="4072B185"/>
    <w:rsid w:val="40D36C8B"/>
    <w:rsid w:val="40D9F158"/>
    <w:rsid w:val="41294B77"/>
    <w:rsid w:val="415F62BF"/>
    <w:rsid w:val="4181DE09"/>
    <w:rsid w:val="418FCADA"/>
    <w:rsid w:val="41924EF6"/>
    <w:rsid w:val="41A051E6"/>
    <w:rsid w:val="41C37F3F"/>
    <w:rsid w:val="41C70355"/>
    <w:rsid w:val="41D6670D"/>
    <w:rsid w:val="41FAB9E0"/>
    <w:rsid w:val="4201C014"/>
    <w:rsid w:val="429351E4"/>
    <w:rsid w:val="42B93141"/>
    <w:rsid w:val="42E81444"/>
    <w:rsid w:val="4319B444"/>
    <w:rsid w:val="431B7BBB"/>
    <w:rsid w:val="437AE77E"/>
    <w:rsid w:val="43BAB010"/>
    <w:rsid w:val="440DF3F2"/>
    <w:rsid w:val="4449FB0F"/>
    <w:rsid w:val="44835DDB"/>
    <w:rsid w:val="44F13EBB"/>
    <w:rsid w:val="455E4086"/>
    <w:rsid w:val="456376C4"/>
    <w:rsid w:val="4576DAC5"/>
    <w:rsid w:val="458F7888"/>
    <w:rsid w:val="4597FCEA"/>
    <w:rsid w:val="45B4007D"/>
    <w:rsid w:val="45B4D1B7"/>
    <w:rsid w:val="45E0AC6E"/>
    <w:rsid w:val="45E18824"/>
    <w:rsid w:val="45EC995A"/>
    <w:rsid w:val="460AFD7E"/>
    <w:rsid w:val="46238E96"/>
    <w:rsid w:val="46431489"/>
    <w:rsid w:val="465051FD"/>
    <w:rsid w:val="466CB307"/>
    <w:rsid w:val="467453BD"/>
    <w:rsid w:val="469870E1"/>
    <w:rsid w:val="46A1CDCF"/>
    <w:rsid w:val="46D7DDF6"/>
    <w:rsid w:val="4705D590"/>
    <w:rsid w:val="4709194E"/>
    <w:rsid w:val="4729AFDA"/>
    <w:rsid w:val="477C9165"/>
    <w:rsid w:val="47D2F5FC"/>
    <w:rsid w:val="47D79A13"/>
    <w:rsid w:val="47DF1935"/>
    <w:rsid w:val="481391B4"/>
    <w:rsid w:val="4888555E"/>
    <w:rsid w:val="48A93BDE"/>
    <w:rsid w:val="48DEABB5"/>
    <w:rsid w:val="491EC0DD"/>
    <w:rsid w:val="4947E14A"/>
    <w:rsid w:val="4949771E"/>
    <w:rsid w:val="49901732"/>
    <w:rsid w:val="4997BA62"/>
    <w:rsid w:val="49ADB304"/>
    <w:rsid w:val="49CB1129"/>
    <w:rsid w:val="49D7BCA7"/>
    <w:rsid w:val="49DD7393"/>
    <w:rsid w:val="49ECA368"/>
    <w:rsid w:val="4AB8520D"/>
    <w:rsid w:val="4B168B18"/>
    <w:rsid w:val="4B81A033"/>
    <w:rsid w:val="4BD23A9C"/>
    <w:rsid w:val="4C19C41A"/>
    <w:rsid w:val="4C21930C"/>
    <w:rsid w:val="4C3A58BF"/>
    <w:rsid w:val="4C915A88"/>
    <w:rsid w:val="4C922879"/>
    <w:rsid w:val="4CC91CB6"/>
    <w:rsid w:val="4CCC5A20"/>
    <w:rsid w:val="4D1682F8"/>
    <w:rsid w:val="4D6218B7"/>
    <w:rsid w:val="4D6219B7"/>
    <w:rsid w:val="4D654FF6"/>
    <w:rsid w:val="4DC7C4F0"/>
    <w:rsid w:val="4E0BB86F"/>
    <w:rsid w:val="4E4B20B7"/>
    <w:rsid w:val="4E85466E"/>
    <w:rsid w:val="4EBE6061"/>
    <w:rsid w:val="4EC0148B"/>
    <w:rsid w:val="4EC9C77E"/>
    <w:rsid w:val="4F0FECD7"/>
    <w:rsid w:val="4F722E53"/>
    <w:rsid w:val="4F81AC75"/>
    <w:rsid w:val="4F92C7EF"/>
    <w:rsid w:val="4FE9151F"/>
    <w:rsid w:val="5030D40A"/>
    <w:rsid w:val="5043E314"/>
    <w:rsid w:val="5047A971"/>
    <w:rsid w:val="50909A1C"/>
    <w:rsid w:val="509EF5B6"/>
    <w:rsid w:val="50B6073F"/>
    <w:rsid w:val="50D8A2B0"/>
    <w:rsid w:val="50E11D5E"/>
    <w:rsid w:val="50EEF708"/>
    <w:rsid w:val="5110C6BD"/>
    <w:rsid w:val="51B59D8B"/>
    <w:rsid w:val="51EDBA47"/>
    <w:rsid w:val="51F68CB1"/>
    <w:rsid w:val="5227479D"/>
    <w:rsid w:val="522FFD89"/>
    <w:rsid w:val="524328B5"/>
    <w:rsid w:val="525B10F9"/>
    <w:rsid w:val="526DCD52"/>
    <w:rsid w:val="529D5A43"/>
    <w:rsid w:val="52CC0543"/>
    <w:rsid w:val="53017EC8"/>
    <w:rsid w:val="53022835"/>
    <w:rsid w:val="53410729"/>
    <w:rsid w:val="5343C026"/>
    <w:rsid w:val="53709C5F"/>
    <w:rsid w:val="53BB29C2"/>
    <w:rsid w:val="5446A1CD"/>
    <w:rsid w:val="544D3395"/>
    <w:rsid w:val="5453147B"/>
    <w:rsid w:val="5459C84E"/>
    <w:rsid w:val="54A38E9B"/>
    <w:rsid w:val="54A93E57"/>
    <w:rsid w:val="54AD4CBD"/>
    <w:rsid w:val="54B72010"/>
    <w:rsid w:val="551A2C8F"/>
    <w:rsid w:val="551BAF59"/>
    <w:rsid w:val="55342DAA"/>
    <w:rsid w:val="55399262"/>
    <w:rsid w:val="5540C091"/>
    <w:rsid w:val="5556ADAD"/>
    <w:rsid w:val="5581A409"/>
    <w:rsid w:val="55C5C247"/>
    <w:rsid w:val="565C3DDC"/>
    <w:rsid w:val="5667EF75"/>
    <w:rsid w:val="56979CB0"/>
    <w:rsid w:val="56AA2E5D"/>
    <w:rsid w:val="56D4D963"/>
    <w:rsid w:val="56EA35D8"/>
    <w:rsid w:val="571FBC70"/>
    <w:rsid w:val="574C4A60"/>
    <w:rsid w:val="575AFA9C"/>
    <w:rsid w:val="5779D483"/>
    <w:rsid w:val="57CC4756"/>
    <w:rsid w:val="57DA5BC7"/>
    <w:rsid w:val="57EEBA4A"/>
    <w:rsid w:val="582B1770"/>
    <w:rsid w:val="5855B508"/>
    <w:rsid w:val="58DBCA65"/>
    <w:rsid w:val="58EDECFD"/>
    <w:rsid w:val="597627D6"/>
    <w:rsid w:val="598A6151"/>
    <w:rsid w:val="59900AA5"/>
    <w:rsid w:val="59D385AB"/>
    <w:rsid w:val="5A6B5B38"/>
    <w:rsid w:val="5A9EF568"/>
    <w:rsid w:val="5AC226F0"/>
    <w:rsid w:val="5ACEFBB6"/>
    <w:rsid w:val="5AF18027"/>
    <w:rsid w:val="5B097E0F"/>
    <w:rsid w:val="5B48780B"/>
    <w:rsid w:val="5B64A324"/>
    <w:rsid w:val="5BDC3305"/>
    <w:rsid w:val="5BE68C9D"/>
    <w:rsid w:val="5C028D76"/>
    <w:rsid w:val="5C05CA61"/>
    <w:rsid w:val="5C06EB4F"/>
    <w:rsid w:val="5C75CDE3"/>
    <w:rsid w:val="5CF3448F"/>
    <w:rsid w:val="5CF9D1B2"/>
    <w:rsid w:val="5CFC4584"/>
    <w:rsid w:val="5D2DD984"/>
    <w:rsid w:val="5D4C5C41"/>
    <w:rsid w:val="5D70288D"/>
    <w:rsid w:val="5DEB6FFF"/>
    <w:rsid w:val="5DFC7F0C"/>
    <w:rsid w:val="5DFDF0EB"/>
    <w:rsid w:val="5E0EAA40"/>
    <w:rsid w:val="5E24D207"/>
    <w:rsid w:val="5E3A8A66"/>
    <w:rsid w:val="5E57D194"/>
    <w:rsid w:val="5E7274F3"/>
    <w:rsid w:val="5E7C958B"/>
    <w:rsid w:val="5E94632E"/>
    <w:rsid w:val="5F185A55"/>
    <w:rsid w:val="5F3DF499"/>
    <w:rsid w:val="5F4AB08E"/>
    <w:rsid w:val="5F4D48CB"/>
    <w:rsid w:val="5F725E13"/>
    <w:rsid w:val="5F8FD824"/>
    <w:rsid w:val="5FA35BF5"/>
    <w:rsid w:val="5FA5DE29"/>
    <w:rsid w:val="5FB94545"/>
    <w:rsid w:val="5FC1B020"/>
    <w:rsid w:val="5FEC55A5"/>
    <w:rsid w:val="60064598"/>
    <w:rsid w:val="601C8409"/>
    <w:rsid w:val="602DAC4E"/>
    <w:rsid w:val="6071AD26"/>
    <w:rsid w:val="6084C3E9"/>
    <w:rsid w:val="60CD5D4E"/>
    <w:rsid w:val="614CA34C"/>
    <w:rsid w:val="617078D0"/>
    <w:rsid w:val="61AAA7E8"/>
    <w:rsid w:val="61B14F27"/>
    <w:rsid w:val="61B35C8D"/>
    <w:rsid w:val="61D63EC1"/>
    <w:rsid w:val="629DDCB4"/>
    <w:rsid w:val="633AD2BB"/>
    <w:rsid w:val="63659849"/>
    <w:rsid w:val="6375837E"/>
    <w:rsid w:val="63AA9303"/>
    <w:rsid w:val="63E69F7B"/>
    <w:rsid w:val="640E8D7C"/>
    <w:rsid w:val="64327DAB"/>
    <w:rsid w:val="6435DDE9"/>
    <w:rsid w:val="6482F242"/>
    <w:rsid w:val="64DC6D22"/>
    <w:rsid w:val="64F0E5AF"/>
    <w:rsid w:val="6578BA40"/>
    <w:rsid w:val="657A8FB2"/>
    <w:rsid w:val="6597C38D"/>
    <w:rsid w:val="659DD533"/>
    <w:rsid w:val="65C2EB47"/>
    <w:rsid w:val="660A18A6"/>
    <w:rsid w:val="66853BEB"/>
    <w:rsid w:val="66A5372D"/>
    <w:rsid w:val="66C1D55C"/>
    <w:rsid w:val="66E01DAE"/>
    <w:rsid w:val="6714D867"/>
    <w:rsid w:val="67212D3E"/>
    <w:rsid w:val="6747F840"/>
    <w:rsid w:val="675511B4"/>
    <w:rsid w:val="67756C88"/>
    <w:rsid w:val="6780B021"/>
    <w:rsid w:val="67B1EA5C"/>
    <w:rsid w:val="67BE40B5"/>
    <w:rsid w:val="67F625F0"/>
    <w:rsid w:val="683AB3AA"/>
    <w:rsid w:val="689B90B2"/>
    <w:rsid w:val="68B8B678"/>
    <w:rsid w:val="68C645C3"/>
    <w:rsid w:val="690C0392"/>
    <w:rsid w:val="690DDBB6"/>
    <w:rsid w:val="69336E83"/>
    <w:rsid w:val="69892D8A"/>
    <w:rsid w:val="6A1F342C"/>
    <w:rsid w:val="6A8CDC8E"/>
    <w:rsid w:val="6AD6B077"/>
    <w:rsid w:val="6B0974E3"/>
    <w:rsid w:val="6B18C226"/>
    <w:rsid w:val="6B215330"/>
    <w:rsid w:val="6B583CC7"/>
    <w:rsid w:val="6B816CF1"/>
    <w:rsid w:val="6BA4B6E1"/>
    <w:rsid w:val="6BC2AECD"/>
    <w:rsid w:val="6C03F5C7"/>
    <w:rsid w:val="6C60A2DC"/>
    <w:rsid w:val="6C6B0F45"/>
    <w:rsid w:val="6CDF374D"/>
    <w:rsid w:val="6CE925AA"/>
    <w:rsid w:val="6CF58FC4"/>
    <w:rsid w:val="6D119AEA"/>
    <w:rsid w:val="6D33F565"/>
    <w:rsid w:val="6D862433"/>
    <w:rsid w:val="6D93BBDC"/>
    <w:rsid w:val="6E2B2654"/>
    <w:rsid w:val="6E929C75"/>
    <w:rsid w:val="6EEEA38E"/>
    <w:rsid w:val="6F1E96DE"/>
    <w:rsid w:val="6F4E0E13"/>
    <w:rsid w:val="6F67C914"/>
    <w:rsid w:val="6F7EE397"/>
    <w:rsid w:val="6FA40634"/>
    <w:rsid w:val="6FD06FC5"/>
    <w:rsid w:val="6FE696DD"/>
    <w:rsid w:val="6FED3B98"/>
    <w:rsid w:val="701ACFAF"/>
    <w:rsid w:val="707DA740"/>
    <w:rsid w:val="70BD8242"/>
    <w:rsid w:val="70D0F466"/>
    <w:rsid w:val="70F818B5"/>
    <w:rsid w:val="7104EBB2"/>
    <w:rsid w:val="71626919"/>
    <w:rsid w:val="71802678"/>
    <w:rsid w:val="7212BDE2"/>
    <w:rsid w:val="7273EE6F"/>
    <w:rsid w:val="7286C10B"/>
    <w:rsid w:val="72C73302"/>
    <w:rsid w:val="732DF46A"/>
    <w:rsid w:val="734C7164"/>
    <w:rsid w:val="735F405B"/>
    <w:rsid w:val="735FD853"/>
    <w:rsid w:val="73BA5A72"/>
    <w:rsid w:val="73FC6370"/>
    <w:rsid w:val="7401006E"/>
    <w:rsid w:val="741D01F2"/>
    <w:rsid w:val="744056CD"/>
    <w:rsid w:val="744D7F39"/>
    <w:rsid w:val="744E0BA3"/>
    <w:rsid w:val="747290B2"/>
    <w:rsid w:val="74F7AEC3"/>
    <w:rsid w:val="750C9094"/>
    <w:rsid w:val="75167131"/>
    <w:rsid w:val="755A6BEF"/>
    <w:rsid w:val="75688FAC"/>
    <w:rsid w:val="756B91CC"/>
    <w:rsid w:val="757B5F0E"/>
    <w:rsid w:val="75AD46A0"/>
    <w:rsid w:val="75ADBAB5"/>
    <w:rsid w:val="75C245ED"/>
    <w:rsid w:val="75FC5063"/>
    <w:rsid w:val="7636826A"/>
    <w:rsid w:val="763E273F"/>
    <w:rsid w:val="763F5D54"/>
    <w:rsid w:val="76537757"/>
    <w:rsid w:val="76A1865A"/>
    <w:rsid w:val="76EA9153"/>
    <w:rsid w:val="76F07A8C"/>
    <w:rsid w:val="770633D8"/>
    <w:rsid w:val="772023B0"/>
    <w:rsid w:val="77237E1D"/>
    <w:rsid w:val="7757992F"/>
    <w:rsid w:val="776BD046"/>
    <w:rsid w:val="776E4B33"/>
    <w:rsid w:val="77BC6350"/>
    <w:rsid w:val="77D67B8E"/>
    <w:rsid w:val="77D98356"/>
    <w:rsid w:val="77E19199"/>
    <w:rsid w:val="77E8B275"/>
    <w:rsid w:val="7801ED5C"/>
    <w:rsid w:val="78074105"/>
    <w:rsid w:val="780CBD29"/>
    <w:rsid w:val="786CA95F"/>
    <w:rsid w:val="78F9A085"/>
    <w:rsid w:val="79051B29"/>
    <w:rsid w:val="795BABE8"/>
    <w:rsid w:val="796450A0"/>
    <w:rsid w:val="798EE04B"/>
    <w:rsid w:val="7A00CC7D"/>
    <w:rsid w:val="7A65FA95"/>
    <w:rsid w:val="7AAD232C"/>
    <w:rsid w:val="7AC59CBA"/>
    <w:rsid w:val="7AEEAD49"/>
    <w:rsid w:val="7B17EC5D"/>
    <w:rsid w:val="7B5D901F"/>
    <w:rsid w:val="7B6333D8"/>
    <w:rsid w:val="7B6FBEF7"/>
    <w:rsid w:val="7BB40A8D"/>
    <w:rsid w:val="7BC36505"/>
    <w:rsid w:val="7BC946A6"/>
    <w:rsid w:val="7C128BC9"/>
    <w:rsid w:val="7C159FC1"/>
    <w:rsid w:val="7C7E5DC0"/>
    <w:rsid w:val="7CB3C852"/>
    <w:rsid w:val="7CD5E12E"/>
    <w:rsid w:val="7CE0823F"/>
    <w:rsid w:val="7D747FB0"/>
    <w:rsid w:val="7D7F2A72"/>
    <w:rsid w:val="7D87739E"/>
    <w:rsid w:val="7D89428E"/>
    <w:rsid w:val="7DF491A8"/>
    <w:rsid w:val="7EB3CF53"/>
    <w:rsid w:val="7F235B7E"/>
    <w:rsid w:val="7F2BE253"/>
    <w:rsid w:val="7F400B78"/>
    <w:rsid w:val="7F486D4B"/>
    <w:rsid w:val="7F5BFD7D"/>
    <w:rsid w:val="7F7FA5E4"/>
    <w:rsid w:val="7FDD8F38"/>
    <w:rsid w:val="7FDFA4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C3E5F96"/>
  <w15:chartTrackingRefBased/>
  <w15:docId w15:val="{BB7383D4-D29B-4FC4-973F-7B1B83A2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paragraph" w:styleId="Heading5">
    <w:name w:val="heading 5"/>
    <w:basedOn w:val="Normal"/>
    <w:next w:val="Normal"/>
    <w:qFormat/>
    <w:rsid w:val="00B9374E"/>
    <w:pPr>
      <w:keepNext/>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paragraph" w:styleId="PlainText">
    <w:name w:val="Plain Text"/>
    <w:basedOn w:val="Normal"/>
    <w:rsid w:val="005B2447"/>
    <w:rPr>
      <w:rFonts w:ascii="Courier New" w:hAnsi="Courier New" w:cs="Courier New"/>
      <w:bCs/>
      <w:sz w:val="20"/>
      <w:szCs w:val="20"/>
    </w:rPr>
  </w:style>
  <w:style w:type="paragraph" w:styleId="FootnoteText">
    <w:name w:val="footnote text"/>
    <w:basedOn w:val="Normal"/>
    <w:link w:val="FootnoteTextChar"/>
    <w:uiPriority w:val="99"/>
    <w:rsid w:val="006E6323"/>
    <w:rPr>
      <w:sz w:val="20"/>
      <w:szCs w:val="20"/>
    </w:rPr>
  </w:style>
  <w:style w:type="character" w:styleId="FootnoteReference">
    <w:name w:val="footnote reference"/>
    <w:uiPriority w:val="99"/>
    <w:rsid w:val="006E6323"/>
    <w:rPr>
      <w:vertAlign w:val="superscript"/>
    </w:rPr>
  </w:style>
  <w:style w:type="character" w:customStyle="1" w:styleId="emailstyle17">
    <w:name w:val="emailstyle17"/>
    <w:semiHidden/>
    <w:rsid w:val="00B66C23"/>
    <w:rPr>
      <w:rFonts w:ascii="Arial" w:hAnsi="Arial" w:cs="Arial" w:hint="default"/>
      <w:color w:val="auto"/>
      <w:sz w:val="20"/>
      <w:szCs w:val="20"/>
    </w:rPr>
  </w:style>
  <w:style w:type="character" w:styleId="CommentReference">
    <w:name w:val="annotation reference"/>
    <w:uiPriority w:val="99"/>
    <w:rsid w:val="00A167DD"/>
    <w:rPr>
      <w:sz w:val="16"/>
      <w:szCs w:val="16"/>
    </w:rPr>
  </w:style>
  <w:style w:type="paragraph" w:styleId="CommentText">
    <w:name w:val="annotation text"/>
    <w:basedOn w:val="Normal"/>
    <w:link w:val="CommentTextChar"/>
    <w:rsid w:val="00A167DD"/>
    <w:rPr>
      <w:sz w:val="20"/>
      <w:szCs w:val="20"/>
    </w:rPr>
  </w:style>
  <w:style w:type="paragraph" w:styleId="CommentSubject">
    <w:name w:val="annotation subject"/>
    <w:basedOn w:val="CommentText"/>
    <w:next w:val="CommentText"/>
    <w:semiHidden/>
    <w:rsid w:val="00A167DD"/>
    <w:rPr>
      <w:b/>
      <w:bCs/>
    </w:rPr>
  </w:style>
  <w:style w:type="paragraph" w:customStyle="1" w:styleId="CharCharCharCharCharCharCharCharCharCharCharChar1CharCharChar1Char">
    <w:name w:val="Char Char Char Char Char Char Char Char Char Char Char Char1 Char Char Char1 Char"/>
    <w:basedOn w:val="Normal"/>
    <w:autoRedefine/>
    <w:semiHidden/>
    <w:rsid w:val="00AA7C7D"/>
    <w:pPr>
      <w:widowControl w:val="0"/>
      <w:spacing w:before="80" w:after="80"/>
      <w:ind w:left="4320"/>
      <w:jc w:val="both"/>
    </w:pPr>
    <w:rPr>
      <w:rFonts w:cs="Arial"/>
      <w:bCs/>
    </w:rPr>
  </w:style>
  <w:style w:type="paragraph" w:styleId="NormalWeb">
    <w:name w:val="Normal (Web)"/>
    <w:basedOn w:val="Normal"/>
    <w:rsid w:val="007E2347"/>
    <w:pPr>
      <w:spacing w:before="100" w:beforeAutospacing="1" w:after="100" w:afterAutospacing="1"/>
    </w:pPr>
  </w:style>
  <w:style w:type="character" w:styleId="FollowedHyperlink">
    <w:name w:val="FollowedHyperlink"/>
    <w:rsid w:val="00E06E29"/>
    <w:rPr>
      <w:color w:val="954F72"/>
      <w:u w:val="single"/>
    </w:rPr>
  </w:style>
  <w:style w:type="paragraph" w:styleId="Revision">
    <w:name w:val="Revision"/>
    <w:hidden/>
    <w:uiPriority w:val="99"/>
    <w:semiHidden/>
    <w:rsid w:val="00617013"/>
    <w:rPr>
      <w:sz w:val="24"/>
      <w:szCs w:val="24"/>
    </w:rPr>
  </w:style>
  <w:style w:type="paragraph" w:styleId="NoSpacing">
    <w:name w:val="No Spacing"/>
    <w:uiPriority w:val="1"/>
    <w:qFormat/>
    <w:rsid w:val="008D6BA8"/>
    <w:rPr>
      <w:sz w:val="24"/>
      <w:szCs w:val="24"/>
    </w:rPr>
  </w:style>
  <w:style w:type="paragraph" w:styleId="Header">
    <w:name w:val="header"/>
    <w:basedOn w:val="Normal"/>
    <w:link w:val="HeaderChar"/>
    <w:rsid w:val="00AB014F"/>
    <w:pPr>
      <w:tabs>
        <w:tab w:val="center" w:pos="4680"/>
        <w:tab w:val="right" w:pos="9360"/>
      </w:tabs>
    </w:pPr>
  </w:style>
  <w:style w:type="character" w:customStyle="1" w:styleId="HeaderChar">
    <w:name w:val="Header Char"/>
    <w:link w:val="Header"/>
    <w:rsid w:val="00AB014F"/>
    <w:rPr>
      <w:sz w:val="24"/>
      <w:szCs w:val="24"/>
    </w:rPr>
  </w:style>
  <w:style w:type="character" w:styleId="UnresolvedMention">
    <w:name w:val="Unresolved Mention"/>
    <w:uiPriority w:val="99"/>
    <w:unhideWhenUsed/>
    <w:rsid w:val="007A36E7"/>
    <w:rPr>
      <w:color w:val="605E5C"/>
      <w:shd w:val="clear" w:color="auto" w:fill="E1DFDD"/>
    </w:rPr>
  </w:style>
  <w:style w:type="character" w:customStyle="1" w:styleId="FooterChar">
    <w:name w:val="Footer Char"/>
    <w:link w:val="Footer"/>
    <w:rsid w:val="00731C06"/>
    <w:rPr>
      <w:sz w:val="24"/>
      <w:szCs w:val="24"/>
    </w:rPr>
  </w:style>
  <w:style w:type="character" w:customStyle="1" w:styleId="CommentTextChar">
    <w:name w:val="Comment Text Char"/>
    <w:basedOn w:val="DefaultParagraphFont"/>
    <w:link w:val="CommentText"/>
    <w:rsid w:val="00BB592D"/>
  </w:style>
  <w:style w:type="character" w:customStyle="1" w:styleId="FootnoteTextChar">
    <w:name w:val="Footnote Text Char"/>
    <w:basedOn w:val="DefaultParagraphFont"/>
    <w:link w:val="FootnoteText"/>
    <w:uiPriority w:val="99"/>
    <w:rsid w:val="00B407CC"/>
  </w:style>
  <w:style w:type="paragraph" w:styleId="EndnoteText">
    <w:name w:val="endnote text"/>
    <w:basedOn w:val="Normal"/>
    <w:link w:val="EndnoteTextChar"/>
    <w:rsid w:val="00374FC6"/>
    <w:rPr>
      <w:sz w:val="20"/>
      <w:szCs w:val="20"/>
    </w:rPr>
  </w:style>
  <w:style w:type="character" w:customStyle="1" w:styleId="EndnoteTextChar">
    <w:name w:val="Endnote Text Char"/>
    <w:basedOn w:val="DefaultParagraphFont"/>
    <w:link w:val="EndnoteText"/>
    <w:rsid w:val="00374FC6"/>
  </w:style>
  <w:style w:type="character" w:styleId="EndnoteReference">
    <w:name w:val="endnote reference"/>
    <w:basedOn w:val="DefaultParagraphFont"/>
    <w:rsid w:val="00374FC6"/>
    <w:rPr>
      <w:vertAlign w:val="superscript"/>
    </w:rPr>
  </w:style>
  <w:style w:type="character" w:customStyle="1" w:styleId="normaltextrun">
    <w:name w:val="normaltextrun"/>
    <w:basedOn w:val="DefaultParagraphFont"/>
    <w:rsid w:val="003D3CC9"/>
  </w:style>
  <w:style w:type="character" w:customStyle="1" w:styleId="eop">
    <w:name w:val="eop"/>
    <w:basedOn w:val="DefaultParagraphFont"/>
    <w:rsid w:val="00896F76"/>
  </w:style>
  <w:style w:type="character" w:customStyle="1" w:styleId="scxw260797117">
    <w:name w:val="scxw260797117"/>
    <w:basedOn w:val="DefaultParagraphFont"/>
    <w:rsid w:val="00177442"/>
  </w:style>
  <w:style w:type="paragraph" w:styleId="ListParagraph">
    <w:name w:val="List Paragraph"/>
    <w:basedOn w:val="Normal"/>
    <w:uiPriority w:val="34"/>
    <w:qFormat/>
    <w:rsid w:val="00AE1697"/>
    <w:pPr>
      <w:ind w:left="720"/>
      <w:contextualSpacing/>
    </w:pPr>
  </w:style>
  <w:style w:type="character" w:styleId="Mention">
    <w:name w:val="Mention"/>
    <w:basedOn w:val="DefaultParagraphFont"/>
    <w:uiPriority w:val="99"/>
    <w:unhideWhenUsed/>
    <w:rsid w:val="006549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package" Target="embeddings/ooxmlPackage1.xlsx" /><Relationship Id="rId12" Type="http://schemas.openxmlformats.org/officeDocument/2006/relationships/hyperlink" Target="https://www.opm.gov/policy-data-oversight/pay-leave/salaries-wages/salary-tables/pdf/2023/DCB_h.pdf" TargetMode="External" /><Relationship Id="rId13" Type="http://schemas.openxmlformats.org/officeDocument/2006/relationships/hyperlink" Target="https://www.bls.gov/news.release/archives/ecec_12162021.pdf"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ma.gov/grants/mitigation/hazard-mitigatio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go.fema.gov/login?redirect=%2F" TargetMode="External" /><Relationship Id="rId2" Type="http://schemas.openxmlformats.org/officeDocument/2006/relationships/hyperlink" Target="https://www.bls.gov/news.release/archives/ecec_03182022.pdf" TargetMode="External" /><Relationship Id="rId3" Type="http://schemas.openxmlformats.org/officeDocument/2006/relationships/hyperlink" Target="https://www.bls.gov/oes/2021/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A440B-5E0E-4FB0-96B5-FAB890BEA20C}">
  <ds:schemaRefs>
    <ds:schemaRef ds:uri="http://schemas.microsoft.com/sharepoint/v3/contenttype/forms"/>
  </ds:schemaRefs>
</ds:datastoreItem>
</file>

<file path=customXml/itemProps2.xml><?xml version="1.0" encoding="utf-8"?>
<ds:datastoreItem xmlns:ds="http://schemas.openxmlformats.org/officeDocument/2006/customXml" ds:itemID="{CB14C02C-FDE8-4DCC-9682-FD1655C0D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2EF26-487D-446C-AFA5-48224E7591BD}">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customXml/itemProps4.xml><?xml version="1.0" encoding="utf-8"?>
<ds:datastoreItem xmlns:ds="http://schemas.openxmlformats.org/officeDocument/2006/customXml" ds:itemID="{1DF74B18-02AA-4235-A0B3-26F5163F4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6866</Words>
  <Characters>39674</Characters>
  <Application>Microsoft Office Word</Application>
  <DocSecurity>0</DocSecurity>
  <Lines>330</Lines>
  <Paragraphs>92</Paragraphs>
  <ScaleCrop>false</ScaleCrop>
  <Company>FEMA</Company>
  <LinksUpToDate>false</LinksUpToDate>
  <CharactersWithSpaces>46448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Crosby, Kevin</cp:lastModifiedBy>
  <cp:revision>3</cp:revision>
  <cp:lastPrinted>2018-01-19T23:34:00Z</cp:lastPrinted>
  <dcterms:created xsi:type="dcterms:W3CDTF">2023-02-23T20:19:00Z</dcterms:created>
  <dcterms:modified xsi:type="dcterms:W3CDTF">2023-02-23T20:19:00Z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IconOverlay">
    <vt:lpwstr/>
  </property>
  <property fmtid="{D5CDD505-2E9C-101B-9397-08002B2CF9AE}" pid="4" name="MediaServiceImageTags">
    <vt:lpwstr/>
  </property>
</Properties>
</file>