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9A7" w:rsidRPr="002B66B0" w:rsidP="004958BB" w14:paraId="76719F3F" w14:textId="79C25A88">
      <w:pPr>
        <w:pStyle w:val="Title"/>
        <w:spacing w:line="276" w:lineRule="auto"/>
        <w:ind w:firstLine="720"/>
        <w:contextualSpacing/>
        <w:jc w:val="right"/>
        <w:rPr>
          <w:color w:val="000000" w:themeColor="text1"/>
          <w:sz w:val="28"/>
          <w:szCs w:val="28"/>
        </w:rPr>
      </w:pPr>
      <w:r w:rsidRPr="002B66B0">
        <w:rPr>
          <w:color w:val="000000" w:themeColor="text1"/>
          <w:sz w:val="28"/>
          <w:szCs w:val="28"/>
        </w:rPr>
        <w:t xml:space="preserve">February </w:t>
      </w:r>
      <w:r w:rsidR="00D270EB">
        <w:rPr>
          <w:color w:val="000000" w:themeColor="text1"/>
          <w:sz w:val="28"/>
          <w:szCs w:val="28"/>
        </w:rPr>
        <w:t>23</w:t>
      </w:r>
      <w:r w:rsidRPr="002B66B0" w:rsidR="001866C4">
        <w:rPr>
          <w:color w:val="000000" w:themeColor="text1"/>
          <w:sz w:val="28"/>
          <w:szCs w:val="28"/>
        </w:rPr>
        <w:t xml:space="preserve">, </w:t>
      </w:r>
      <w:r w:rsidRPr="002B66B0" w:rsidR="00E94A13">
        <w:rPr>
          <w:color w:val="000000" w:themeColor="text1"/>
          <w:sz w:val="28"/>
          <w:szCs w:val="28"/>
        </w:rPr>
        <w:t>202</w:t>
      </w:r>
      <w:r w:rsidRPr="002B66B0">
        <w:rPr>
          <w:color w:val="000000" w:themeColor="text1"/>
          <w:sz w:val="28"/>
          <w:szCs w:val="28"/>
        </w:rPr>
        <w:t>3</w:t>
      </w:r>
    </w:p>
    <w:p w:rsidR="001A69A7" w:rsidRPr="00F35F4F" w:rsidP="004958BB" w14:paraId="7FF71B6F" w14:textId="77777777">
      <w:pPr>
        <w:pStyle w:val="Title"/>
        <w:spacing w:line="276" w:lineRule="auto"/>
        <w:contextualSpacing/>
        <w:rPr>
          <w:sz w:val="28"/>
          <w:szCs w:val="28"/>
        </w:rPr>
      </w:pPr>
    </w:p>
    <w:p w:rsidR="000A6018" w:rsidRPr="0032449D" w:rsidP="004958BB" w14:paraId="45E472BA" w14:textId="77777777">
      <w:pPr>
        <w:pStyle w:val="Title"/>
        <w:spacing w:line="276" w:lineRule="auto"/>
        <w:contextualSpacing/>
      </w:pPr>
      <w:r w:rsidRPr="0032449D">
        <w:t xml:space="preserve">Supporting Statement for </w:t>
      </w:r>
    </w:p>
    <w:p w:rsidR="00842E74" w:rsidRPr="00C660D2" w:rsidP="004958BB" w14:paraId="681217B8" w14:textId="4FD461CB">
      <w:pPr>
        <w:pStyle w:val="Title"/>
        <w:spacing w:line="276" w:lineRule="auto"/>
        <w:contextualSpacing/>
        <w:rPr>
          <w:sz w:val="28"/>
        </w:rPr>
      </w:pPr>
      <w:r w:rsidRPr="00C660D2">
        <w:t>Paperwork Reduction Act Submissions</w:t>
      </w:r>
      <w:r w:rsidRPr="00C660D2" w:rsidR="00C92072">
        <w:t xml:space="preserve">  </w:t>
      </w:r>
    </w:p>
    <w:p w:rsidR="00842E74" w:rsidRPr="00011888" w:rsidP="004958BB" w14:paraId="1924D8FE" w14:textId="77777777">
      <w:pPr>
        <w:tabs>
          <w:tab w:val="left" w:pos="-720"/>
        </w:tabs>
        <w:suppressAutoHyphens/>
        <w:spacing w:line="276" w:lineRule="auto"/>
        <w:contextualSpacing/>
        <w:rPr>
          <w:b/>
          <w:sz w:val="28"/>
          <w:szCs w:val="28"/>
        </w:rPr>
      </w:pPr>
    </w:p>
    <w:p w:rsidR="00842E74" w:rsidRPr="009B2BF2" w:rsidP="004958BB" w14:paraId="35A5585F" w14:textId="3D3CC666">
      <w:pPr>
        <w:tabs>
          <w:tab w:val="left" w:pos="-720"/>
        </w:tabs>
        <w:suppressAutoHyphens/>
        <w:spacing w:line="276" w:lineRule="auto"/>
        <w:contextualSpacing/>
        <w:rPr>
          <w:b/>
          <w:sz w:val="28"/>
          <w:szCs w:val="28"/>
        </w:rPr>
      </w:pPr>
      <w:r w:rsidRPr="009B2BF2">
        <w:rPr>
          <w:b/>
          <w:sz w:val="28"/>
          <w:szCs w:val="28"/>
        </w:rPr>
        <w:t>OMB Control Number:</w:t>
      </w:r>
      <w:r w:rsidRPr="009B2BF2">
        <w:rPr>
          <w:b/>
          <w:color w:val="000000"/>
          <w:sz w:val="28"/>
          <w:szCs w:val="28"/>
        </w:rPr>
        <w:t xml:space="preserve">  </w:t>
      </w:r>
      <w:r w:rsidRPr="009B2BF2" w:rsidR="00674665">
        <w:rPr>
          <w:b/>
          <w:color w:val="000000"/>
          <w:sz w:val="28"/>
          <w:szCs w:val="28"/>
        </w:rPr>
        <w:t>1660 - 0006</w:t>
      </w:r>
      <w:r w:rsidRPr="009B2BF2" w:rsidR="00C92072">
        <w:rPr>
          <w:b/>
          <w:color w:val="000000"/>
          <w:sz w:val="28"/>
          <w:szCs w:val="28"/>
        </w:rPr>
        <w:t xml:space="preserve">  </w:t>
      </w:r>
    </w:p>
    <w:p w:rsidR="00842E74" w:rsidRPr="009B2BF2" w:rsidP="004958BB" w14:paraId="233C1505" w14:textId="77777777">
      <w:pPr>
        <w:tabs>
          <w:tab w:val="left" w:pos="-720"/>
        </w:tabs>
        <w:suppressAutoHyphens/>
        <w:spacing w:line="276" w:lineRule="auto"/>
        <w:contextualSpacing/>
        <w:rPr>
          <w:b/>
          <w:sz w:val="28"/>
          <w:szCs w:val="28"/>
        </w:rPr>
      </w:pPr>
    </w:p>
    <w:p w:rsidR="00842E74" w:rsidRPr="009B2BF2" w:rsidP="004958BB" w14:paraId="52FF38DB" w14:textId="4C86C5F2">
      <w:pPr>
        <w:tabs>
          <w:tab w:val="left" w:pos="-720"/>
        </w:tabs>
        <w:suppressAutoHyphens/>
        <w:spacing w:line="276" w:lineRule="auto"/>
        <w:contextualSpacing/>
        <w:rPr>
          <w:b/>
          <w:sz w:val="28"/>
          <w:szCs w:val="28"/>
        </w:rPr>
      </w:pPr>
      <w:r w:rsidRPr="009B2BF2">
        <w:rPr>
          <w:b/>
          <w:sz w:val="28"/>
          <w:szCs w:val="28"/>
        </w:rPr>
        <w:t xml:space="preserve">Title:  </w:t>
      </w:r>
      <w:r w:rsidRPr="009B2BF2" w:rsidR="00674665">
        <w:rPr>
          <w:b/>
          <w:sz w:val="28"/>
          <w:szCs w:val="28"/>
        </w:rPr>
        <w:t>National Flood Insurance Program Policy Forms</w:t>
      </w:r>
      <w:r w:rsidRPr="009B2BF2" w:rsidR="00C92072">
        <w:rPr>
          <w:b/>
          <w:sz w:val="28"/>
          <w:szCs w:val="28"/>
        </w:rPr>
        <w:t xml:space="preserve">  </w:t>
      </w:r>
    </w:p>
    <w:p w:rsidR="00842E74" w:rsidRPr="009B2BF2" w:rsidP="004958BB" w14:paraId="243513CF" w14:textId="77777777">
      <w:pPr>
        <w:tabs>
          <w:tab w:val="left" w:pos="-720"/>
        </w:tabs>
        <w:suppressAutoHyphens/>
        <w:spacing w:line="276" w:lineRule="auto"/>
        <w:contextualSpacing/>
        <w:rPr>
          <w:b/>
          <w:sz w:val="28"/>
          <w:szCs w:val="28"/>
        </w:rPr>
      </w:pPr>
    </w:p>
    <w:p w:rsidR="00E94A13" w:rsidRPr="009B2BF2" w:rsidP="004958BB" w14:paraId="3317624E" w14:textId="77777777">
      <w:pPr>
        <w:tabs>
          <w:tab w:val="left" w:pos="-720"/>
        </w:tabs>
        <w:suppressAutoHyphens/>
        <w:spacing w:line="276" w:lineRule="auto"/>
        <w:contextualSpacing/>
        <w:rPr>
          <w:b/>
          <w:sz w:val="28"/>
          <w:szCs w:val="28"/>
        </w:rPr>
      </w:pPr>
      <w:r w:rsidRPr="009B2BF2">
        <w:rPr>
          <w:b/>
          <w:sz w:val="28"/>
          <w:szCs w:val="28"/>
        </w:rPr>
        <w:t xml:space="preserve">Form Number(s):  </w:t>
      </w:r>
    </w:p>
    <w:p w:rsidR="00E94A13" w:rsidRPr="00F35F4F" w:rsidP="004958BB" w14:paraId="1408C93A" w14:textId="28FE9156">
      <w:pPr>
        <w:pStyle w:val="ListParagraph"/>
        <w:numPr>
          <w:ilvl w:val="0"/>
          <w:numId w:val="15"/>
        </w:numPr>
        <w:tabs>
          <w:tab w:val="left" w:pos="-720"/>
        </w:tabs>
        <w:suppressAutoHyphens/>
        <w:spacing w:line="276" w:lineRule="auto"/>
        <w:rPr>
          <w:b/>
        </w:rPr>
      </w:pPr>
      <w:r w:rsidRPr="00F35F4F">
        <w:rPr>
          <w:b/>
        </w:rPr>
        <w:t xml:space="preserve">FEMA Form </w:t>
      </w:r>
      <w:r w:rsidRPr="00F35F4F" w:rsidR="00AC1648">
        <w:rPr>
          <w:b/>
          <w:bCs/>
        </w:rPr>
        <w:t>FF-206-FY-21-117 (formerly 086-0-1)</w:t>
      </w:r>
      <w:r w:rsidRPr="00F35F4F">
        <w:rPr>
          <w:b/>
        </w:rPr>
        <w:t xml:space="preserve">, </w:t>
      </w:r>
      <w:r w:rsidR="00011888">
        <w:rPr>
          <w:b/>
        </w:rPr>
        <w:t>Flood Insurance Application</w:t>
      </w:r>
    </w:p>
    <w:p w:rsidR="00E94A13" w:rsidRPr="00F35F4F" w:rsidP="004958BB" w14:paraId="4DBF0962" w14:textId="28CFB288">
      <w:pPr>
        <w:pStyle w:val="ListParagraph"/>
        <w:numPr>
          <w:ilvl w:val="0"/>
          <w:numId w:val="15"/>
        </w:numPr>
        <w:tabs>
          <w:tab w:val="left" w:pos="-720"/>
        </w:tabs>
        <w:suppressAutoHyphens/>
        <w:spacing w:line="276" w:lineRule="auto"/>
        <w:rPr>
          <w:b/>
        </w:rPr>
      </w:pPr>
      <w:r w:rsidRPr="00825B6D">
        <w:rPr>
          <w:b/>
        </w:rPr>
        <w:t xml:space="preserve">FEMA Form </w:t>
      </w:r>
      <w:r w:rsidRPr="00F35F4F" w:rsidR="00D15F71">
        <w:rPr>
          <w:b/>
        </w:rPr>
        <w:t>FF-206-FY-21-118 (formerly 086-0-2)</w:t>
      </w:r>
      <w:r w:rsidRPr="00F35F4F" w:rsidR="00674665">
        <w:rPr>
          <w:b/>
        </w:rPr>
        <w:t xml:space="preserve">, </w:t>
      </w:r>
      <w:r w:rsidR="00011888">
        <w:rPr>
          <w:b/>
        </w:rPr>
        <w:t>Flood Insurance Cancellation / Nullification Request Form; and</w:t>
      </w:r>
    </w:p>
    <w:p w:rsidR="00F435D3" w:rsidRPr="00E94A13" w:rsidP="004958BB" w14:paraId="3BF68CCC" w14:textId="262F0569">
      <w:pPr>
        <w:pStyle w:val="ListParagraph"/>
        <w:numPr>
          <w:ilvl w:val="0"/>
          <w:numId w:val="15"/>
        </w:numPr>
        <w:tabs>
          <w:tab w:val="left" w:pos="-720"/>
        </w:tabs>
        <w:suppressAutoHyphens/>
        <w:spacing w:line="276" w:lineRule="auto"/>
      </w:pPr>
      <w:r w:rsidRPr="00825B6D">
        <w:rPr>
          <w:b/>
        </w:rPr>
        <w:t xml:space="preserve">FEMA Form </w:t>
      </w:r>
      <w:r w:rsidRPr="00F35F4F" w:rsidR="00B20CBD">
        <w:rPr>
          <w:b/>
          <w:bCs/>
        </w:rPr>
        <w:t>FF-206-FY-21-119 (formerly 086-0-3</w:t>
      </w:r>
      <w:r w:rsidR="00011888">
        <w:rPr>
          <w:b/>
          <w:bCs/>
        </w:rPr>
        <w:t>),</w:t>
      </w:r>
      <w:r w:rsidR="003A62B3">
        <w:rPr>
          <w:b/>
          <w:bCs/>
        </w:rPr>
        <w:t xml:space="preserve"> Flood </w:t>
      </w:r>
      <w:r w:rsidR="00011888">
        <w:rPr>
          <w:b/>
          <w:bCs/>
        </w:rPr>
        <w:t>Insurance General Change Endorsement</w:t>
      </w:r>
    </w:p>
    <w:p w:rsidR="00842E74" w:rsidRPr="00F35F4F" w:rsidP="004958BB" w14:paraId="444D1C04" w14:textId="77777777">
      <w:pPr>
        <w:tabs>
          <w:tab w:val="left" w:pos="-720"/>
        </w:tabs>
        <w:suppressAutoHyphens/>
        <w:spacing w:line="276" w:lineRule="auto"/>
        <w:contextualSpacing/>
        <w:rPr>
          <w:sz w:val="28"/>
          <w:szCs w:val="28"/>
        </w:rPr>
      </w:pPr>
    </w:p>
    <w:p w:rsidR="00842E74" w:rsidRPr="00011888" w:rsidP="004958BB" w14:paraId="5D3898FF" w14:textId="3D5CD2D7">
      <w:pPr>
        <w:pStyle w:val="Heading1"/>
        <w:spacing w:line="276" w:lineRule="auto"/>
        <w:contextualSpacing/>
        <w:rPr>
          <w:szCs w:val="28"/>
        </w:rPr>
      </w:pPr>
      <w:r w:rsidRPr="00011888">
        <w:rPr>
          <w:szCs w:val="28"/>
        </w:rPr>
        <w:t>General Instructions</w:t>
      </w:r>
      <w:r w:rsidRPr="00011888" w:rsidR="00C92072">
        <w:rPr>
          <w:szCs w:val="28"/>
        </w:rPr>
        <w:t xml:space="preserve">  </w:t>
      </w:r>
    </w:p>
    <w:p w:rsidR="00842E74" w:rsidRPr="00E94A13" w:rsidP="004958BB" w14:paraId="5F525CC8" w14:textId="77777777">
      <w:pPr>
        <w:tabs>
          <w:tab w:val="left" w:pos="-720"/>
        </w:tabs>
        <w:suppressAutoHyphens/>
        <w:spacing w:line="276" w:lineRule="auto"/>
        <w:contextualSpacing/>
      </w:pPr>
    </w:p>
    <w:p w:rsidR="00EB204B" w:rsidRPr="002A6107" w:rsidP="004958BB" w14:paraId="28C0269D" w14:textId="71892A68">
      <w:pPr>
        <w:spacing w:line="276" w:lineRule="auto"/>
        <w:contextualSpacing/>
      </w:pPr>
      <w:r w:rsidRPr="002A6107">
        <w:t>A Supporting Statement, including the text of the notice to the public required by 5 CFR 1320.5(a)(</w:t>
      </w:r>
      <w:r w:rsidR="00E4069C">
        <w:t>1</w:t>
      </w:r>
      <w:r w:rsidRPr="002A6107">
        <w:t>)(iv) and its actual or estimated date of publication in the Federal Register, must accompany ea</w:t>
      </w:r>
      <w:r w:rsidR="00E4069C">
        <w:t>ch</w:t>
      </w:r>
      <w:r w:rsidRPr="002A6107">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Pr="00350CE2" w:rsidP="004958BB" w14:paraId="75BE3EF1" w14:textId="4A4349B2">
      <w:pPr>
        <w:spacing w:line="276" w:lineRule="auto"/>
        <w:contextualSpacing/>
        <w:rPr>
          <w:rFonts w:eastAsiaTheme="minorHAnsi"/>
          <w:szCs w:val="22"/>
        </w:rPr>
      </w:pPr>
      <w:r w:rsidRPr="00350CE2">
        <w:rPr>
          <w:rFonts w:eastAsiaTheme="minorHAnsi"/>
          <w:szCs w:val="22"/>
        </w:rPr>
        <w:t xml:space="preserve">  </w:t>
      </w:r>
    </w:p>
    <w:p w:rsidR="00842E74" w:rsidRPr="00E94A13" w:rsidP="004958BB" w14:paraId="1E819F09" w14:textId="77777777">
      <w:pPr>
        <w:tabs>
          <w:tab w:val="left" w:pos="-720"/>
        </w:tabs>
        <w:suppressAutoHyphens/>
        <w:spacing w:line="276" w:lineRule="auto"/>
        <w:contextualSpacing/>
      </w:pPr>
    </w:p>
    <w:p w:rsidR="00842E74" w:rsidRPr="00011888" w:rsidP="004958BB" w14:paraId="6DBEDCEE" w14:textId="0B3844AA">
      <w:pPr>
        <w:pStyle w:val="Heading1"/>
        <w:spacing w:line="276" w:lineRule="auto"/>
        <w:contextualSpacing/>
        <w:rPr>
          <w:szCs w:val="28"/>
        </w:rPr>
      </w:pPr>
      <w:r w:rsidRPr="00011888">
        <w:rPr>
          <w:szCs w:val="28"/>
        </w:rPr>
        <w:t>Specific Instructions</w:t>
      </w:r>
      <w:r w:rsidRPr="00011888" w:rsidR="00C92072">
        <w:rPr>
          <w:szCs w:val="28"/>
        </w:rPr>
        <w:t xml:space="preserve">  </w:t>
      </w:r>
    </w:p>
    <w:p w:rsidR="00842E74" w:rsidRPr="00F35F4F" w:rsidP="004958BB" w14:paraId="4E2E8D4C" w14:textId="77777777">
      <w:pPr>
        <w:tabs>
          <w:tab w:val="left" w:pos="-720"/>
        </w:tabs>
        <w:suppressAutoHyphens/>
        <w:spacing w:line="276" w:lineRule="auto"/>
        <w:contextualSpacing/>
        <w:rPr>
          <w:sz w:val="28"/>
          <w:szCs w:val="28"/>
        </w:rPr>
      </w:pPr>
    </w:p>
    <w:p w:rsidR="00842E74" w:rsidRPr="00F35F4F" w:rsidP="004958BB" w14:paraId="6AEF79BE" w14:textId="35E1650B">
      <w:pPr>
        <w:pStyle w:val="Heading1"/>
        <w:spacing w:line="276" w:lineRule="auto"/>
        <w:contextualSpacing/>
        <w:rPr>
          <w:szCs w:val="28"/>
        </w:rPr>
      </w:pPr>
      <w:r w:rsidRPr="00011888">
        <w:rPr>
          <w:szCs w:val="28"/>
        </w:rPr>
        <w:t>A.  Justification</w:t>
      </w:r>
      <w:r w:rsidRPr="00011888" w:rsidR="00C92072">
        <w:rPr>
          <w:szCs w:val="28"/>
        </w:rPr>
        <w:t xml:space="preserve">  </w:t>
      </w:r>
    </w:p>
    <w:p w:rsidR="00842E74" w:rsidRPr="00E94A13" w:rsidP="004958BB" w14:paraId="001E65C3" w14:textId="77777777">
      <w:pPr>
        <w:spacing w:line="276" w:lineRule="auto"/>
        <w:contextualSpacing/>
      </w:pPr>
    </w:p>
    <w:p w:rsidR="00232C69" w:rsidRPr="004958BB" w:rsidP="004958BB" w14:paraId="2932A782" w14:textId="77777777">
      <w:pPr>
        <w:numPr>
          <w:ilvl w:val="0"/>
          <w:numId w:val="10"/>
        </w:numPr>
        <w:spacing w:line="276" w:lineRule="auto"/>
        <w:contextualSpacing/>
        <w:rPr>
          <w:b/>
          <w:bCs/>
        </w:rPr>
      </w:pPr>
      <w:r w:rsidRPr="009B2BF2">
        <w:rPr>
          <w:b/>
          <w:bCs/>
        </w:rPr>
        <w:fldChar w:fldCharType="begin"/>
      </w:r>
      <w:r w:rsidRPr="00E94A13">
        <w:rPr>
          <w:b/>
          <w:bCs/>
        </w:rPr>
        <w:instrText>ADVANCE \R 0.95</w:instrText>
      </w:r>
      <w:r w:rsidRPr="009B2BF2">
        <w:rPr>
          <w:b/>
        </w:rPr>
        <w:fldChar w:fldCharType="end"/>
      </w:r>
      <w:r w:rsidRPr="004958BB">
        <w:rPr>
          <w:b/>
          <w:bCs/>
        </w:rPr>
        <w:t>Explain the circumstances that make the collection of information necessary</w:t>
      </w:r>
      <w:r w:rsidRPr="004958BB">
        <w:rPr>
          <w:b/>
          <w:bCs/>
          <w:color w:val="000000"/>
        </w:rPr>
        <w:t>.</w:t>
      </w:r>
      <w:r w:rsidRPr="004958BB">
        <w:rPr>
          <w:b/>
          <w:bCs/>
        </w:rPr>
        <w:t xml:space="preserve"> </w:t>
      </w:r>
    </w:p>
    <w:p w:rsidR="00842E74" w:rsidRPr="004958BB" w:rsidP="004958BB" w14:paraId="1750EC83" w14:textId="6550AF99">
      <w:pPr>
        <w:spacing w:line="276" w:lineRule="auto"/>
        <w:contextualSpacing/>
        <w:rPr>
          <w:b/>
          <w:bCs/>
          <w:color w:val="000000"/>
        </w:rPr>
      </w:pPr>
      <w:r w:rsidRPr="004958BB">
        <w:rPr>
          <w:b/>
          <w:bCs/>
        </w:rPr>
        <w:t>Identify any legal</w:t>
      </w:r>
      <w:r w:rsidRPr="004958BB" w:rsidR="006A4787">
        <w:rPr>
          <w:b/>
          <w:bCs/>
        </w:rPr>
        <w:t xml:space="preserve"> </w:t>
      </w:r>
      <w:r w:rsidRPr="004958BB">
        <w:rPr>
          <w:b/>
          <w:bCs/>
        </w:rPr>
        <w:t xml:space="preserve">or administrative requirements that necessitate the collection.  Attach a copy of the appropriate section of each statute and regulation mandating or authorizing the collection of information.  </w:t>
      </w:r>
      <w:r w:rsidRPr="004958BB">
        <w:rPr>
          <w:b/>
          <w:bCs/>
          <w:color w:val="000000"/>
        </w:rPr>
        <w:t xml:space="preserve">Provide a detailed description of the nature and source of the information to be collected.  </w:t>
      </w:r>
    </w:p>
    <w:p w:rsidR="00674665" w:rsidRPr="004958BB" w:rsidP="004958BB" w14:paraId="168E2DFE" w14:textId="77777777">
      <w:pPr>
        <w:spacing w:line="276" w:lineRule="auto"/>
        <w:contextualSpacing/>
        <w:rPr>
          <w:b/>
          <w:bCs/>
          <w:color w:val="000000"/>
        </w:rPr>
      </w:pPr>
    </w:p>
    <w:p w:rsidR="00DB363E" w:rsidRPr="004958BB" w:rsidP="004958BB" w14:paraId="3351F701" w14:textId="738D9D90">
      <w:pPr>
        <w:tabs>
          <w:tab w:val="left" w:pos="-720"/>
        </w:tabs>
        <w:suppressAutoHyphens/>
        <w:spacing w:line="276" w:lineRule="auto"/>
        <w:contextualSpacing/>
        <w:rPr>
          <w:spacing w:val="-3"/>
        </w:rPr>
      </w:pPr>
      <w:r w:rsidRPr="004958BB">
        <w:rPr>
          <w:spacing w:val="-3"/>
        </w:rPr>
        <w:t xml:space="preserve">Congress created the National Flood Insurance Program (NFIP) through enactment of the National Flood Insurance Act of 1968 (NFIA) (Title XIII of Pub. L. 90-448, 82 Stat. 476), found at 42 U.S.C. 4001 </w:t>
      </w:r>
      <w:r w:rsidRPr="004958BB">
        <w:rPr>
          <w:i/>
          <w:iCs/>
          <w:spacing w:val="-3"/>
        </w:rPr>
        <w:t>et seq.</w:t>
      </w:r>
      <w:r w:rsidRPr="004958BB">
        <w:rPr>
          <w:spacing w:val="-3"/>
        </w:rPr>
        <w:t xml:space="preserve"> </w:t>
      </w:r>
      <w:r w:rsidRPr="004958BB" w:rsidR="00C660D2">
        <w:rPr>
          <w:spacing w:val="-3"/>
        </w:rPr>
        <w:t xml:space="preserve"> </w:t>
      </w:r>
      <w:r w:rsidRPr="004958BB">
        <w:rPr>
          <w:spacing w:val="-3"/>
        </w:rPr>
        <w:t>The NFIP is a Federal program enabling property owners in participating communities to purchase insurance as a protection against flood losses in exchange for State and community floodplain management requirements that reduce the risk of future flood damages.</w:t>
      </w:r>
      <w:r w:rsidRPr="004958BB" w:rsidR="000E714F">
        <w:rPr>
          <w:spacing w:val="-3"/>
        </w:rPr>
        <w:t xml:space="preserve"> </w:t>
      </w:r>
      <w:r w:rsidRPr="004958BB">
        <w:rPr>
          <w:spacing w:val="-3"/>
        </w:rPr>
        <w:t xml:space="preserve"> Communities participate in the NFIP based on an agreement between the community and FEMA. </w:t>
      </w:r>
      <w:r w:rsidRPr="004958BB" w:rsidR="00C660D2">
        <w:rPr>
          <w:spacing w:val="-3"/>
        </w:rPr>
        <w:t xml:space="preserve"> </w:t>
      </w:r>
      <w:r w:rsidRPr="004958BB">
        <w:rPr>
          <w:spacing w:val="-3"/>
        </w:rPr>
        <w:t>If a community adopts and enforces a floodplain management ordinance to reduce future flood risk to new construction in floodplains, FEMA will make flood insurance available within the community as a financial protection against flood losses.</w:t>
      </w:r>
      <w:r w:rsidRPr="004958BB" w:rsidR="000E714F">
        <w:rPr>
          <w:spacing w:val="-3"/>
        </w:rPr>
        <w:t xml:space="preserve"> </w:t>
      </w:r>
      <w:r w:rsidRPr="004958BB">
        <w:rPr>
          <w:spacing w:val="-3"/>
        </w:rPr>
        <w:t xml:space="preserve"> Accordingly, the NFIP is comprised of three key activities: </w:t>
      </w:r>
      <w:r w:rsidRPr="004958BB" w:rsidR="001F4F67">
        <w:rPr>
          <w:spacing w:val="-3"/>
        </w:rPr>
        <w:t>f</w:t>
      </w:r>
      <w:r w:rsidRPr="004958BB">
        <w:rPr>
          <w:spacing w:val="-3"/>
        </w:rPr>
        <w:t>lood insurance, floodplain management, and flood hazard mapping.</w:t>
      </w:r>
    </w:p>
    <w:p w:rsidR="00C25049" w:rsidRPr="004958BB" w:rsidP="004958BB" w14:paraId="20F89D64" w14:textId="77777777">
      <w:pPr>
        <w:tabs>
          <w:tab w:val="left" w:pos="-720"/>
        </w:tabs>
        <w:suppressAutoHyphens/>
        <w:spacing w:line="276" w:lineRule="auto"/>
        <w:contextualSpacing/>
        <w:rPr>
          <w:spacing w:val="-3"/>
        </w:rPr>
      </w:pPr>
    </w:p>
    <w:p w:rsidR="00AC58EA" w:rsidRPr="004958BB" w:rsidP="4FCD19C7" w14:paraId="7A8745B8" w14:textId="38B295DE">
      <w:pPr>
        <w:suppressAutoHyphens/>
        <w:spacing w:line="276" w:lineRule="auto"/>
        <w:contextualSpacing/>
      </w:pPr>
      <w:r w:rsidRPr="004958BB">
        <w:rPr>
          <w:spacing w:val="-3"/>
        </w:rPr>
        <w:t>The NFIA</w:t>
      </w:r>
      <w:r w:rsidRPr="004958BB" w:rsidR="00674665">
        <w:rPr>
          <w:spacing w:val="-3"/>
        </w:rPr>
        <w:t xml:space="preserve"> requires that</w:t>
      </w:r>
      <w:r w:rsidRPr="004958BB" w:rsidR="00C660D2">
        <w:rPr>
          <w:spacing w:val="-3"/>
        </w:rPr>
        <w:t xml:space="preserve"> </w:t>
      </w:r>
      <w:r w:rsidRPr="004958BB" w:rsidR="00674665">
        <w:rPr>
          <w:spacing w:val="-3"/>
        </w:rPr>
        <w:t>FEMA provide flood insurance at full actuarial rates reflecting the complete flood risk to structures built or substantially improved on or after the effective date for the initial Flood Insurance Rate Map (FIRM) for the community, or after December 31, 1974, whichever is later</w:t>
      </w:r>
      <w:r w:rsidRPr="004958BB" w:rsidR="00143275">
        <w:rPr>
          <w:spacing w:val="-3"/>
        </w:rPr>
        <w:t>.  The</w:t>
      </w:r>
      <w:r w:rsidRPr="004958BB" w:rsidR="00EE4E6D">
        <w:rPr>
          <w:spacing w:val="-3"/>
        </w:rPr>
        <w:t>se</w:t>
      </w:r>
      <w:r w:rsidRPr="004958BB" w:rsidR="00143275">
        <w:rPr>
          <w:spacing w:val="-3"/>
        </w:rPr>
        <w:t xml:space="preserve"> NFIA requirements aim to ensure</w:t>
      </w:r>
      <w:r w:rsidRPr="004958BB" w:rsidR="00674665">
        <w:rPr>
          <w:spacing w:val="-3"/>
        </w:rPr>
        <w:t xml:space="preserve"> the risks associated with buildings in flood-prone areas are borne by those located in such areas and not by the taxpayers at large.  These actuarial rates are based on the degree of the flood risk reflected on the FIRM and take into account a number of different factors including flood risk zone, elevation of the lowest floor above or below the Base Flood Elevation (the elevation of the 100-year frequency flood), type of building, number of floors, basements, </w:t>
      </w:r>
      <w:r w:rsidRPr="004958BB" w:rsidR="004D1FEC">
        <w:rPr>
          <w:spacing w:val="-3"/>
        </w:rPr>
        <w:t xml:space="preserve">and </w:t>
      </w:r>
      <w:r w:rsidRPr="004958BB" w:rsidR="00674665">
        <w:rPr>
          <w:spacing w:val="-3"/>
        </w:rPr>
        <w:t>enclosures.</w:t>
      </w:r>
    </w:p>
    <w:p w:rsidR="00AC58EA" w:rsidRPr="004958BB" w:rsidP="004958BB" w14:paraId="09D2E88F" w14:textId="77777777">
      <w:pPr>
        <w:tabs>
          <w:tab w:val="left" w:pos="-720"/>
        </w:tabs>
        <w:suppressAutoHyphens/>
        <w:spacing w:line="276" w:lineRule="auto"/>
        <w:contextualSpacing/>
        <w:rPr>
          <w:spacing w:val="-3"/>
        </w:rPr>
      </w:pPr>
    </w:p>
    <w:p w:rsidR="00674665" w:rsidRPr="004958BB" w:rsidP="004958BB" w14:paraId="678718ED" w14:textId="47DE9314">
      <w:pPr>
        <w:tabs>
          <w:tab w:val="left" w:pos="-720"/>
        </w:tabs>
        <w:suppressAutoHyphens/>
        <w:spacing w:line="276" w:lineRule="auto"/>
        <w:contextualSpacing/>
        <w:rPr>
          <w:spacing w:val="-3"/>
        </w:rPr>
      </w:pPr>
      <w:bookmarkStart w:id="0" w:name="_Hlk31886971"/>
      <w:r w:rsidRPr="004958BB">
        <w:rPr>
          <w:spacing w:val="-3"/>
        </w:rPr>
        <w:t xml:space="preserve">The NFIA also provides for various discounted premium rates.  </w:t>
      </w:r>
      <w:r w:rsidRPr="004958BB" w:rsidR="00E20976">
        <w:rPr>
          <w:spacing w:val="-3"/>
        </w:rPr>
        <w:t>Certain b</w:t>
      </w:r>
      <w:r w:rsidRPr="004958BB" w:rsidR="00C7119F">
        <w:rPr>
          <w:spacing w:val="-3"/>
        </w:rPr>
        <w:t xml:space="preserve">uildings </w:t>
      </w:r>
      <w:r w:rsidRPr="004958BB">
        <w:rPr>
          <w:spacing w:val="-3"/>
        </w:rPr>
        <w:t>built before the effective date of the FIRM for the community, or before December 31, 1974, whichever is later</w:t>
      </w:r>
      <w:r w:rsidRPr="004958BB" w:rsidR="00B80EA1">
        <w:rPr>
          <w:spacing w:val="-3"/>
        </w:rPr>
        <w:t>, are eligible for pre-FIRM discounted premium rates</w:t>
      </w:r>
      <w:r w:rsidRPr="004958BB">
        <w:rPr>
          <w:spacing w:val="-3"/>
        </w:rPr>
        <w:t>.</w:t>
      </w:r>
      <w:r w:rsidRPr="004958BB" w:rsidR="000E714F">
        <w:rPr>
          <w:spacing w:val="-3"/>
        </w:rPr>
        <w:t xml:space="preserve"> </w:t>
      </w:r>
      <w:r w:rsidRPr="004958BB" w:rsidR="00E20976">
        <w:rPr>
          <w:spacing w:val="-3"/>
        </w:rPr>
        <w:t xml:space="preserve"> </w:t>
      </w:r>
      <w:r w:rsidRPr="004958BB" w:rsidR="00E20976">
        <w:rPr>
          <w:i/>
          <w:iCs/>
          <w:spacing w:val="-3"/>
        </w:rPr>
        <w:t>See</w:t>
      </w:r>
      <w:r w:rsidRPr="004958BB" w:rsidR="00E20976">
        <w:rPr>
          <w:spacing w:val="-3"/>
        </w:rPr>
        <w:t xml:space="preserve"> 42 U.S.C. 4014(a)(2).</w:t>
      </w:r>
      <w:r w:rsidRPr="004958BB" w:rsidR="00783D9B">
        <w:rPr>
          <w:spacing w:val="-3"/>
        </w:rPr>
        <w:t xml:space="preserve">  FEMA must phase-out these discounts</w:t>
      </w:r>
      <w:r w:rsidRPr="004958BB" w:rsidR="00330B7A">
        <w:rPr>
          <w:spacing w:val="-3"/>
        </w:rPr>
        <w:t xml:space="preserve"> at various rates</w:t>
      </w:r>
      <w:r w:rsidRPr="004958BB" w:rsidR="00783D9B">
        <w:rPr>
          <w:spacing w:val="-3"/>
        </w:rPr>
        <w:t xml:space="preserve"> </w:t>
      </w:r>
      <w:r w:rsidRPr="004958BB" w:rsidR="00AC348C">
        <w:rPr>
          <w:spacing w:val="-3"/>
        </w:rPr>
        <w:t>based on a building’s occupancy use and loss history.</w:t>
      </w:r>
      <w:r w:rsidRPr="004958BB" w:rsidR="00763BE6">
        <w:rPr>
          <w:spacing w:val="-3"/>
        </w:rPr>
        <w:t xml:space="preserve"> </w:t>
      </w:r>
      <w:r w:rsidRPr="004958BB" w:rsidR="00BE4567">
        <w:rPr>
          <w:spacing w:val="-3"/>
        </w:rPr>
        <w:t xml:space="preserve"> </w:t>
      </w:r>
      <w:r w:rsidRPr="004958BB" w:rsidR="00763BE6">
        <w:rPr>
          <w:i/>
          <w:iCs/>
        </w:rPr>
        <w:t xml:space="preserve">See </w:t>
      </w:r>
      <w:r w:rsidRPr="004958BB" w:rsidR="00763BE6">
        <w:t xml:space="preserve">42 U.S.C. 4014(a)(2)(A)-(E). </w:t>
      </w:r>
      <w:r w:rsidRPr="004958BB">
        <w:rPr>
          <w:spacing w:val="-3"/>
        </w:rPr>
        <w:t xml:space="preserve"> </w:t>
      </w:r>
      <w:r w:rsidRPr="004958BB" w:rsidR="00E20976">
        <w:rPr>
          <w:spacing w:val="-3"/>
        </w:rPr>
        <w:t xml:space="preserve">FEMA must also provide </w:t>
      </w:r>
      <w:r w:rsidRPr="004958BB" w:rsidR="0079167F">
        <w:rPr>
          <w:spacing w:val="-3"/>
        </w:rPr>
        <w:t xml:space="preserve">discounted rates to </w:t>
      </w:r>
      <w:r w:rsidRPr="004958BB" w:rsidR="003A7E67">
        <w:rPr>
          <w:spacing w:val="-3"/>
        </w:rPr>
        <w:t>building</w:t>
      </w:r>
      <w:r w:rsidRPr="004958BB" w:rsidR="0079167F">
        <w:rPr>
          <w:spacing w:val="-3"/>
        </w:rPr>
        <w:t>s</w:t>
      </w:r>
      <w:r w:rsidRPr="004958BB" w:rsidR="003A7E67">
        <w:rPr>
          <w:spacing w:val="-3"/>
        </w:rPr>
        <w:t xml:space="preserve"> newly-mapped into </w:t>
      </w:r>
      <w:r w:rsidRPr="004958BB" w:rsidR="007137C2">
        <w:rPr>
          <w:spacing w:val="-3"/>
        </w:rPr>
        <w:t xml:space="preserve">Special Flood Hazard Areas. </w:t>
      </w:r>
      <w:r w:rsidRPr="004958BB" w:rsidR="00244B84">
        <w:rPr>
          <w:spacing w:val="-3"/>
        </w:rPr>
        <w:t xml:space="preserve"> 42 U.S.C. 4015(i).</w:t>
      </w:r>
    </w:p>
    <w:bookmarkEnd w:id="0"/>
    <w:p w:rsidR="00256561" w:rsidRPr="004958BB" w:rsidP="004958BB" w14:paraId="6E033585" w14:textId="0C291DB0">
      <w:pPr>
        <w:tabs>
          <w:tab w:val="left" w:pos="-720"/>
        </w:tabs>
        <w:suppressAutoHyphens/>
        <w:spacing w:line="276" w:lineRule="auto"/>
        <w:contextualSpacing/>
        <w:rPr>
          <w:spacing w:val="-3"/>
        </w:rPr>
      </w:pPr>
    </w:p>
    <w:p w:rsidR="00256561" w:rsidRPr="004958BB" w:rsidP="004958BB" w14:paraId="2064B1D8" w14:textId="7970870B">
      <w:pPr>
        <w:tabs>
          <w:tab w:val="left" w:pos="-720"/>
        </w:tabs>
        <w:suppressAutoHyphens/>
        <w:spacing w:line="276" w:lineRule="auto"/>
        <w:contextualSpacing/>
        <w:rPr>
          <w:spacing w:val="-3"/>
        </w:rPr>
      </w:pPr>
      <w:r w:rsidRPr="004958BB">
        <w:rPr>
          <w:color w:val="000000"/>
        </w:rPr>
        <w:t>FEMA</w:t>
      </w:r>
      <w:r w:rsidRPr="004958BB" w:rsidR="005861C0">
        <w:rPr>
          <w:color w:val="000000"/>
        </w:rPr>
        <w:t>, through its direct servicing agent, NFIP Direct,</w:t>
      </w:r>
      <w:r w:rsidRPr="004958BB">
        <w:rPr>
          <w:color w:val="000000"/>
        </w:rPr>
        <w:t xml:space="preserve"> uses the collected </w:t>
      </w:r>
      <w:r w:rsidRPr="004958BB" w:rsidR="0045651F">
        <w:rPr>
          <w:color w:val="000000"/>
        </w:rPr>
        <w:t xml:space="preserve">information </w:t>
      </w:r>
      <w:r w:rsidRPr="004958BB" w:rsidR="00EE4E6D">
        <w:rPr>
          <w:color w:val="000000"/>
        </w:rPr>
        <w:t>acquired for the aforementioned actuarial rates</w:t>
      </w:r>
      <w:r w:rsidRPr="004958BB">
        <w:rPr>
          <w:color w:val="000000"/>
        </w:rPr>
        <w:t xml:space="preserve"> to</w:t>
      </w:r>
      <w:r w:rsidRPr="004958BB" w:rsidR="0045651F">
        <w:rPr>
          <w:color w:val="000000"/>
        </w:rPr>
        <w:t xml:space="preserve"> </w:t>
      </w:r>
      <w:r w:rsidRPr="004958BB">
        <w:rPr>
          <w:color w:val="000000"/>
        </w:rPr>
        <w:t>determine</w:t>
      </w:r>
      <w:r w:rsidRPr="004958BB" w:rsidR="0045651F">
        <w:rPr>
          <w:color w:val="000000"/>
        </w:rPr>
        <w:t xml:space="preserve"> both </w:t>
      </w:r>
      <w:r w:rsidRPr="004958BB">
        <w:rPr>
          <w:color w:val="000000"/>
        </w:rPr>
        <w:t>eligibility for an NFIP flood insurance policy</w:t>
      </w:r>
      <w:r w:rsidRPr="004958BB" w:rsidR="0045651F">
        <w:rPr>
          <w:color w:val="000000"/>
        </w:rPr>
        <w:t xml:space="preserve"> and</w:t>
      </w:r>
      <w:r w:rsidRPr="004958BB" w:rsidR="00C660D2">
        <w:rPr>
          <w:color w:val="000000"/>
        </w:rPr>
        <w:t xml:space="preserve"> </w:t>
      </w:r>
      <w:r w:rsidRPr="004958BB">
        <w:rPr>
          <w:color w:val="000000"/>
        </w:rPr>
        <w:t xml:space="preserve">the appropriate flood insurance premium. </w:t>
      </w:r>
      <w:r w:rsidRPr="004958BB" w:rsidR="00C92072">
        <w:rPr>
          <w:color w:val="000000"/>
        </w:rPr>
        <w:t xml:space="preserve"> </w:t>
      </w:r>
      <w:r w:rsidRPr="004958BB">
        <w:rPr>
          <w:color w:val="000000"/>
        </w:rPr>
        <w:t>FEMA enters the information collected in these forms and accompanying supporting documentation into the</w:t>
      </w:r>
      <w:r w:rsidRPr="004958BB" w:rsidR="0024156A">
        <w:rPr>
          <w:color w:val="000000"/>
        </w:rPr>
        <w:t xml:space="preserve"> NFIP Direct System</w:t>
      </w:r>
      <w:r w:rsidRPr="004958BB" w:rsidR="00D626E2">
        <w:rPr>
          <w:color w:val="000000"/>
        </w:rPr>
        <w:t>.</w:t>
      </w:r>
    </w:p>
    <w:p w:rsidR="00AA04AF" w:rsidRPr="004958BB" w:rsidP="004958BB" w14:paraId="132EC71B" w14:textId="04990CD6">
      <w:pPr>
        <w:tabs>
          <w:tab w:val="left" w:pos="-720"/>
        </w:tabs>
        <w:suppressAutoHyphens/>
        <w:spacing w:line="276" w:lineRule="auto"/>
        <w:contextualSpacing/>
        <w:rPr>
          <w:color w:val="000000"/>
          <w:spacing w:val="-3"/>
        </w:rPr>
      </w:pPr>
      <w:bookmarkStart w:id="1" w:name="_Hlk114832107"/>
    </w:p>
    <w:p w:rsidR="007075D7" w:rsidRPr="004958BB" w:rsidP="004958BB" w14:paraId="456D13A0" w14:textId="362CC973">
      <w:pPr>
        <w:tabs>
          <w:tab w:val="left" w:pos="-720"/>
        </w:tabs>
        <w:suppressAutoHyphens/>
        <w:spacing w:line="276" w:lineRule="auto"/>
        <w:contextualSpacing/>
        <w:rPr>
          <w:color w:val="000000"/>
          <w:spacing w:val="-3"/>
        </w:rPr>
      </w:pPr>
      <w:r w:rsidRPr="004958BB">
        <w:rPr>
          <w:color w:val="000000"/>
          <w:spacing w:val="-3"/>
        </w:rPr>
        <w:t>FEMA also proposes</w:t>
      </w:r>
      <w:r w:rsidRPr="004958BB" w:rsidR="00C660D2">
        <w:rPr>
          <w:color w:val="000000"/>
          <w:spacing w:val="-3"/>
        </w:rPr>
        <w:t xml:space="preserve"> </w:t>
      </w:r>
      <w:r w:rsidRPr="004958BB" w:rsidR="00A553FF">
        <w:rPr>
          <w:color w:val="000000"/>
          <w:spacing w:val="-3"/>
        </w:rPr>
        <w:t xml:space="preserve">changes </w:t>
      </w:r>
      <w:r w:rsidRPr="004958BB" w:rsidR="00A52956">
        <w:rPr>
          <w:color w:val="000000"/>
          <w:spacing w:val="-3"/>
        </w:rPr>
        <w:t xml:space="preserve">to this information collection </w:t>
      </w:r>
      <w:r w:rsidRPr="004958BB" w:rsidR="0045651F">
        <w:rPr>
          <w:color w:val="000000"/>
          <w:spacing w:val="-3"/>
        </w:rPr>
        <w:t xml:space="preserve"> </w:t>
      </w:r>
      <w:r w:rsidRPr="004958BB" w:rsidR="00A52956">
        <w:rPr>
          <w:color w:val="000000"/>
          <w:spacing w:val="-3"/>
        </w:rPr>
        <w:t xml:space="preserve">to implement a revised risk rating methodology that will apply to all policies issued or renewed on or after October 1, 2021.  </w:t>
      </w:r>
      <w:r w:rsidRPr="004958BB" w:rsidR="0045324F">
        <w:rPr>
          <w:color w:val="000000"/>
          <w:spacing w:val="-3"/>
        </w:rPr>
        <w:t>This revised methodology will require FEMA to collect</w:t>
      </w:r>
      <w:r w:rsidRPr="004958BB" w:rsidR="000A3C21">
        <w:rPr>
          <w:color w:val="000000"/>
          <w:spacing w:val="-3"/>
        </w:rPr>
        <w:t xml:space="preserve"> new in</w:t>
      </w:r>
      <w:r w:rsidRPr="004958BB" w:rsidR="00B66D2C">
        <w:rPr>
          <w:color w:val="000000"/>
          <w:spacing w:val="-3"/>
        </w:rPr>
        <w:t xml:space="preserve">formation necessary to </w:t>
      </w:r>
      <w:r w:rsidRPr="004958BB" w:rsidR="00B66D2C">
        <w:rPr>
          <w:color w:val="000000"/>
          <w:spacing w:val="-3"/>
        </w:rPr>
        <w:t>sell and service flood insurance policie</w:t>
      </w:r>
      <w:r w:rsidRPr="004958BB" w:rsidR="00525757">
        <w:rPr>
          <w:color w:val="000000"/>
          <w:spacing w:val="-3"/>
        </w:rPr>
        <w:t>s</w:t>
      </w:r>
      <w:r w:rsidRPr="004958BB" w:rsidR="00A30A06">
        <w:rPr>
          <w:color w:val="000000"/>
          <w:spacing w:val="-3"/>
        </w:rPr>
        <w:t xml:space="preserve">.  However, the revised methodology </w:t>
      </w:r>
      <w:r w:rsidRPr="004958BB" w:rsidR="00C70D49">
        <w:rPr>
          <w:color w:val="000000"/>
          <w:spacing w:val="-3"/>
        </w:rPr>
        <w:t>is not expected to</w:t>
      </w:r>
      <w:r w:rsidRPr="004958BB" w:rsidR="00432406">
        <w:rPr>
          <w:color w:val="000000"/>
          <w:spacing w:val="-3"/>
        </w:rPr>
        <w:t xml:space="preserve"> increase</w:t>
      </w:r>
      <w:r w:rsidRPr="004958BB" w:rsidR="00B60D49">
        <w:rPr>
          <w:color w:val="000000"/>
          <w:spacing w:val="-3"/>
        </w:rPr>
        <w:t xml:space="preserve"> the </w:t>
      </w:r>
      <w:r w:rsidRPr="004958BB" w:rsidR="004F3FAB">
        <w:rPr>
          <w:color w:val="000000"/>
          <w:spacing w:val="-3"/>
        </w:rPr>
        <w:t xml:space="preserve">overall </w:t>
      </w:r>
      <w:r w:rsidRPr="004958BB" w:rsidR="00B60D49">
        <w:rPr>
          <w:color w:val="000000"/>
          <w:spacing w:val="-3"/>
        </w:rPr>
        <w:t xml:space="preserve">information collection burden </w:t>
      </w:r>
      <w:r w:rsidRPr="004958BB" w:rsidR="004F3FAB">
        <w:rPr>
          <w:color w:val="000000"/>
          <w:spacing w:val="-3"/>
        </w:rPr>
        <w:t>on the public</w:t>
      </w:r>
      <w:r w:rsidRPr="004958BB" w:rsidR="00AB32E6">
        <w:rPr>
          <w:color w:val="000000"/>
          <w:spacing w:val="-3"/>
        </w:rPr>
        <w:t xml:space="preserve"> </w:t>
      </w:r>
      <w:r w:rsidRPr="004958BB" w:rsidR="00432406">
        <w:rPr>
          <w:color w:val="000000"/>
          <w:spacing w:val="-3"/>
        </w:rPr>
        <w:t>due to the use of</w:t>
      </w:r>
      <w:r w:rsidRPr="004958BB" w:rsidR="006A5476">
        <w:rPr>
          <w:color w:val="000000"/>
          <w:spacing w:val="-3"/>
        </w:rPr>
        <w:t xml:space="preserve"> data from sources other than policyholders</w:t>
      </w:r>
      <w:r w:rsidRPr="004958BB" w:rsidR="005D6347">
        <w:rPr>
          <w:color w:val="000000"/>
          <w:spacing w:val="-3"/>
        </w:rPr>
        <w:t>.</w:t>
      </w:r>
      <w:r w:rsidRPr="004958BB" w:rsidR="008F7C96">
        <w:rPr>
          <w:color w:val="000000"/>
          <w:spacing w:val="-3"/>
        </w:rPr>
        <w:t xml:space="preserve">  </w:t>
      </w:r>
      <w:r w:rsidRPr="004958BB" w:rsidR="00ED7E0D">
        <w:rPr>
          <w:color w:val="000000"/>
          <w:spacing w:val="-3"/>
        </w:rPr>
        <w:t>As a result of this revised methodology, FEMA proposes to</w:t>
      </w:r>
      <w:r w:rsidRPr="004958BB" w:rsidR="00084387">
        <w:rPr>
          <w:color w:val="000000"/>
          <w:spacing w:val="-3"/>
        </w:rPr>
        <w:t xml:space="preserve"> </w:t>
      </w:r>
      <w:r w:rsidRPr="004958BB" w:rsidR="00441922">
        <w:rPr>
          <w:color w:val="000000"/>
          <w:spacing w:val="-3"/>
        </w:rPr>
        <w:t>modify</w:t>
      </w:r>
      <w:r w:rsidRPr="004958BB" w:rsidR="00ED7E0D">
        <w:rPr>
          <w:color w:val="000000"/>
          <w:spacing w:val="-3"/>
        </w:rPr>
        <w:t xml:space="preserve"> </w:t>
      </w:r>
      <w:r w:rsidRPr="004958BB" w:rsidR="00517CE4">
        <w:rPr>
          <w:color w:val="000000"/>
          <w:spacing w:val="-3"/>
        </w:rPr>
        <w:t xml:space="preserve">FEMA Forms </w:t>
      </w:r>
      <w:r w:rsidRPr="004958BB" w:rsidR="00011888">
        <w:t xml:space="preserve">FF-206-FY-21-117 (formerly </w:t>
      </w:r>
      <w:r w:rsidRPr="004958BB" w:rsidR="00517CE4">
        <w:rPr>
          <w:color w:val="000000"/>
          <w:spacing w:val="-3"/>
        </w:rPr>
        <w:t>086-0-1</w:t>
      </w:r>
      <w:r w:rsidRPr="004958BB" w:rsidR="00011888">
        <w:rPr>
          <w:color w:val="000000"/>
          <w:spacing w:val="-3"/>
        </w:rPr>
        <w:t>)</w:t>
      </w:r>
      <w:r w:rsidRPr="004958BB" w:rsidR="00517CE4">
        <w:rPr>
          <w:color w:val="000000"/>
          <w:spacing w:val="-3"/>
        </w:rPr>
        <w:t xml:space="preserve">, </w:t>
      </w:r>
      <w:r w:rsidRPr="004958BB" w:rsidR="00011888">
        <w:t xml:space="preserve">FF-206-FY-21-118 (formerly </w:t>
      </w:r>
      <w:r w:rsidRPr="004958BB" w:rsidR="00517CE4">
        <w:rPr>
          <w:color w:val="000000"/>
          <w:spacing w:val="-3"/>
        </w:rPr>
        <w:t>086-0-2</w:t>
      </w:r>
      <w:r w:rsidRPr="004958BB" w:rsidR="00011888">
        <w:rPr>
          <w:color w:val="000000"/>
          <w:spacing w:val="-3"/>
        </w:rPr>
        <w:t>)</w:t>
      </w:r>
      <w:r w:rsidRPr="004958BB" w:rsidR="00517CE4">
        <w:rPr>
          <w:color w:val="000000"/>
          <w:spacing w:val="-3"/>
        </w:rPr>
        <w:t xml:space="preserve">, </w:t>
      </w:r>
      <w:r w:rsidRPr="004958BB" w:rsidR="003E7E16">
        <w:rPr>
          <w:color w:val="000000"/>
          <w:spacing w:val="-3"/>
        </w:rPr>
        <w:t xml:space="preserve">and </w:t>
      </w:r>
      <w:r w:rsidRPr="004958BB" w:rsidR="00011888">
        <w:t xml:space="preserve">FF-206-FY-21-119 (formerly </w:t>
      </w:r>
      <w:r w:rsidRPr="004958BB" w:rsidR="00517CE4">
        <w:rPr>
          <w:color w:val="000000"/>
          <w:spacing w:val="-3"/>
        </w:rPr>
        <w:t>086-0-3</w:t>
      </w:r>
      <w:r w:rsidRPr="004958BB" w:rsidR="00011888">
        <w:rPr>
          <w:color w:val="000000"/>
          <w:spacing w:val="-3"/>
        </w:rPr>
        <w:t>)</w:t>
      </w:r>
      <w:r w:rsidRPr="004958BB" w:rsidR="008F7C96">
        <w:rPr>
          <w:color w:val="000000"/>
          <w:spacing w:val="-3"/>
        </w:rPr>
        <w:t>.</w:t>
      </w:r>
      <w:r w:rsidRPr="004958BB" w:rsidR="00084387">
        <w:rPr>
          <w:color w:val="000000"/>
          <w:spacing w:val="-3"/>
        </w:rPr>
        <w:t xml:space="preserve"> </w:t>
      </w:r>
    </w:p>
    <w:p w:rsidR="008F7C96" w:rsidRPr="004958BB" w:rsidP="004958BB" w14:paraId="7353F999" w14:textId="779B6960">
      <w:pPr>
        <w:tabs>
          <w:tab w:val="left" w:pos="-720"/>
        </w:tabs>
        <w:suppressAutoHyphens/>
        <w:spacing w:line="276" w:lineRule="auto"/>
        <w:contextualSpacing/>
        <w:rPr>
          <w:color w:val="000000"/>
          <w:spacing w:val="-3"/>
        </w:rPr>
      </w:pPr>
    </w:p>
    <w:p w:rsidR="008F7C96" w:rsidRPr="004958BB" w:rsidP="004958BB" w14:paraId="20267F63" w14:textId="28EE0969">
      <w:pPr>
        <w:tabs>
          <w:tab w:val="left" w:pos="-720"/>
        </w:tabs>
        <w:suppressAutoHyphens/>
        <w:spacing w:line="276" w:lineRule="auto"/>
        <w:contextualSpacing/>
        <w:rPr>
          <w:color w:val="000000"/>
          <w:spacing w:val="-3"/>
        </w:rPr>
      </w:pPr>
      <w:r w:rsidRPr="004958BB">
        <w:rPr>
          <w:color w:val="000000"/>
          <w:spacing w:val="-3"/>
        </w:rPr>
        <w:t xml:space="preserve">During the transition to the revised rating methodology, </w:t>
      </w:r>
      <w:r w:rsidRPr="004958BB" w:rsidR="006F2AE8">
        <w:rPr>
          <w:color w:val="000000"/>
          <w:spacing w:val="-3"/>
        </w:rPr>
        <w:t>FEMA still need</w:t>
      </w:r>
      <w:r w:rsidRPr="004958BB" w:rsidR="009F43E7">
        <w:rPr>
          <w:color w:val="000000"/>
          <w:spacing w:val="-3"/>
        </w:rPr>
        <w:t>ed</w:t>
      </w:r>
      <w:r w:rsidRPr="004958BB" w:rsidR="006F2AE8">
        <w:rPr>
          <w:color w:val="000000"/>
          <w:spacing w:val="-3"/>
        </w:rPr>
        <w:t xml:space="preserve"> to maintain the existing forms in this information </w:t>
      </w:r>
      <w:r w:rsidRPr="004958BB" w:rsidR="00611232">
        <w:rPr>
          <w:color w:val="000000"/>
          <w:spacing w:val="-3"/>
        </w:rPr>
        <w:t>collection</w:t>
      </w:r>
      <w:r w:rsidRPr="004958BB" w:rsidR="00775B03">
        <w:rPr>
          <w:color w:val="000000"/>
          <w:spacing w:val="-3"/>
        </w:rPr>
        <w:t xml:space="preserve">.  </w:t>
      </w:r>
      <w:r w:rsidRPr="004958BB" w:rsidR="00023AF6">
        <w:rPr>
          <w:color w:val="000000"/>
          <w:spacing w:val="-3"/>
        </w:rPr>
        <w:t>As a result, FEMA add</w:t>
      </w:r>
      <w:r w:rsidRPr="004958BB" w:rsidR="00350562">
        <w:rPr>
          <w:color w:val="000000"/>
          <w:spacing w:val="-3"/>
        </w:rPr>
        <w:t>ed</w:t>
      </w:r>
      <w:r w:rsidRPr="004958BB" w:rsidR="00023AF6">
        <w:rPr>
          <w:color w:val="000000"/>
          <w:spacing w:val="-3"/>
        </w:rPr>
        <w:t xml:space="preserve"> FEMA Forms 086-0-1T, 086-0-2T, 086-0-3T, and 086-0-5T to this information collection.</w:t>
      </w:r>
      <w:r w:rsidRPr="004958BB" w:rsidR="002750B6">
        <w:rPr>
          <w:color w:val="000000"/>
          <w:spacing w:val="-3"/>
        </w:rPr>
        <w:t xml:space="preserve">  </w:t>
      </w:r>
      <w:r w:rsidRPr="004958BB" w:rsidR="00350562">
        <w:rPr>
          <w:color w:val="000000"/>
          <w:spacing w:val="-3"/>
        </w:rPr>
        <w:t>Now that the</w:t>
      </w:r>
      <w:r w:rsidRPr="004958BB" w:rsidR="00C92AB5">
        <w:rPr>
          <w:color w:val="000000"/>
          <w:spacing w:val="-3"/>
        </w:rPr>
        <w:t xml:space="preserve"> transition to the revised risk rating methodology</w:t>
      </w:r>
      <w:r w:rsidRPr="004958BB" w:rsidR="001F2224">
        <w:rPr>
          <w:color w:val="000000"/>
          <w:spacing w:val="-3"/>
        </w:rPr>
        <w:t xml:space="preserve"> has been completed effective April 1, 2022</w:t>
      </w:r>
      <w:r w:rsidRPr="004958BB">
        <w:rPr>
          <w:color w:val="000000"/>
          <w:spacing w:val="-3"/>
        </w:rPr>
        <w:t xml:space="preserve">, FEMA </w:t>
      </w:r>
      <w:r w:rsidRPr="004958BB" w:rsidR="001F2224">
        <w:rPr>
          <w:color w:val="000000"/>
          <w:spacing w:val="-3"/>
        </w:rPr>
        <w:t xml:space="preserve">has </w:t>
      </w:r>
      <w:r w:rsidRPr="004958BB">
        <w:rPr>
          <w:color w:val="000000"/>
          <w:spacing w:val="-3"/>
        </w:rPr>
        <w:t>discontinue</w:t>
      </w:r>
      <w:r w:rsidRPr="004958BB" w:rsidR="001F2224">
        <w:rPr>
          <w:color w:val="000000"/>
          <w:spacing w:val="-3"/>
        </w:rPr>
        <w:t>d</w:t>
      </w:r>
      <w:r w:rsidRPr="004958BB">
        <w:rPr>
          <w:color w:val="000000"/>
          <w:spacing w:val="-3"/>
        </w:rPr>
        <w:t xml:space="preserve"> the use of these forms</w:t>
      </w:r>
      <w:r w:rsidRPr="004958BB" w:rsidR="00A966AE">
        <w:rPr>
          <w:color w:val="000000"/>
          <w:spacing w:val="-3"/>
        </w:rPr>
        <w:t xml:space="preserve"> and is removing them from this information collection</w:t>
      </w:r>
      <w:r w:rsidRPr="004958BB">
        <w:rPr>
          <w:color w:val="000000"/>
          <w:spacing w:val="-3"/>
        </w:rPr>
        <w:t>.</w:t>
      </w:r>
      <w:bookmarkEnd w:id="1"/>
    </w:p>
    <w:p w:rsidR="00842E74" w:rsidRPr="004958BB" w:rsidP="004958BB" w14:paraId="4CAF3E87" w14:textId="77777777">
      <w:pPr>
        <w:spacing w:line="276" w:lineRule="auto"/>
        <w:contextualSpacing/>
        <w:rPr>
          <w:spacing w:val="-3"/>
          <w:u w:val="single"/>
        </w:rPr>
      </w:pPr>
    </w:p>
    <w:p w:rsidR="00880C77" w:rsidRPr="004958BB" w:rsidP="004958BB" w14:paraId="79FE8F1D" w14:textId="4EA60B84">
      <w:pPr>
        <w:spacing w:line="276" w:lineRule="auto"/>
        <w:contextualSpacing/>
        <w:rPr>
          <w:b/>
          <w:bCs/>
          <w:color w:val="000000"/>
        </w:rPr>
      </w:pPr>
      <w:r w:rsidRPr="004958BB">
        <w:rPr>
          <w:b/>
          <w:bCs/>
        </w:rPr>
        <w:fldChar w:fldCharType="begin"/>
      </w:r>
      <w:r w:rsidRPr="004958BB">
        <w:rPr>
          <w:b/>
          <w:bCs/>
        </w:rPr>
        <w:instrText>ADVANCE \R 0.95</w:instrText>
      </w:r>
      <w:r w:rsidRPr="004958BB">
        <w:rPr>
          <w:b/>
        </w:rPr>
        <w:fldChar w:fldCharType="end"/>
      </w:r>
      <w:r w:rsidRPr="004958BB">
        <w:rPr>
          <w:b/>
          <w:bCs/>
        </w:rPr>
        <w:t xml:space="preserve">2.  Indicate how, by whom, and for what purpose the information is to be used.  Except for a new collection, indicate the actual use the agency has made of the information received from the current collection. </w:t>
      </w:r>
      <w:r w:rsidRPr="004958BB">
        <w:rPr>
          <w:b/>
          <w:bCs/>
          <w:color w:val="0000FF"/>
        </w:rPr>
        <w:t xml:space="preserve"> </w:t>
      </w:r>
      <w:r w:rsidRPr="004958BB">
        <w:rPr>
          <w:b/>
          <w:bCs/>
          <w:color w:val="000000"/>
        </w:rPr>
        <w:t>Provide a detailed description of: how the information will be shared, if applicable, and for</w:t>
      </w:r>
      <w:r w:rsidRPr="004958BB">
        <w:rPr>
          <w:b/>
          <w:bCs/>
          <w:color w:val="0000FF"/>
        </w:rPr>
        <w:t xml:space="preserve"> </w:t>
      </w:r>
      <w:r w:rsidRPr="004958BB">
        <w:rPr>
          <w:b/>
          <w:bCs/>
          <w:color w:val="000000"/>
        </w:rPr>
        <w:t>what programmatic purpose.</w:t>
      </w:r>
      <w:r w:rsidRPr="004958BB" w:rsidR="00C92072">
        <w:rPr>
          <w:b/>
          <w:bCs/>
          <w:color w:val="000000"/>
        </w:rPr>
        <w:t xml:space="preserve">  </w:t>
      </w:r>
    </w:p>
    <w:p w:rsidR="00842E74" w:rsidRPr="004958BB" w:rsidP="004958BB" w14:paraId="35C55614" w14:textId="67BCF040">
      <w:pPr>
        <w:spacing w:line="276" w:lineRule="auto"/>
        <w:contextualSpacing/>
        <w:rPr>
          <w:b/>
          <w:bCs/>
          <w:color w:val="000000"/>
          <w:spacing w:val="-3"/>
        </w:rPr>
      </w:pPr>
    </w:p>
    <w:p w:rsidR="00674665" w:rsidRPr="004958BB" w:rsidP="004958BB" w14:paraId="6E84118F" w14:textId="65E9FCB1">
      <w:pPr>
        <w:tabs>
          <w:tab w:val="left" w:pos="-720"/>
        </w:tabs>
        <w:suppressAutoHyphens/>
        <w:spacing w:line="276" w:lineRule="auto"/>
        <w:contextualSpacing/>
        <w:rPr>
          <w:spacing w:val="-3"/>
        </w:rPr>
      </w:pPr>
      <w:r w:rsidRPr="004958BB">
        <w:rPr>
          <w:spacing w:val="-3"/>
        </w:rPr>
        <w:t>To</w:t>
      </w:r>
      <w:r w:rsidRPr="004958BB">
        <w:rPr>
          <w:spacing w:val="-3"/>
        </w:rPr>
        <w:t xml:space="preserve"> provide for the continued widespread availability of policies for flood insurance, policies will continue to be marketed through the facilities of licensed insurance agents or brokers in the various States. </w:t>
      </w:r>
      <w:r w:rsidRPr="004958BB" w:rsidR="00C92072">
        <w:rPr>
          <w:spacing w:val="-3"/>
        </w:rPr>
        <w:t xml:space="preserve"> </w:t>
      </w:r>
      <w:r w:rsidRPr="004958BB">
        <w:rPr>
          <w:spacing w:val="-3"/>
        </w:rPr>
        <w:t>Applications from agents or brokers are forwarded to a servicing company designated as</w:t>
      </w:r>
      <w:r w:rsidRPr="004958BB" w:rsidR="00BB132A">
        <w:rPr>
          <w:spacing w:val="-3"/>
        </w:rPr>
        <w:t xml:space="preserve"> a</w:t>
      </w:r>
      <w:r w:rsidRPr="004958BB">
        <w:rPr>
          <w:spacing w:val="-3"/>
        </w:rPr>
        <w:t xml:space="preserve"> fiscal agent by FEMA. </w:t>
      </w:r>
      <w:r w:rsidRPr="004958BB" w:rsidR="00C92072">
        <w:rPr>
          <w:spacing w:val="-3"/>
        </w:rPr>
        <w:t xml:space="preserve"> </w:t>
      </w:r>
      <w:r w:rsidRPr="004958BB">
        <w:rPr>
          <w:spacing w:val="-3"/>
        </w:rPr>
        <w:t xml:space="preserve">Upon receipt and examination of the application and required premium, the servicing company will issue the appropriate Federal flood insurance policy.  </w:t>
      </w:r>
    </w:p>
    <w:p w:rsidR="00674665" w:rsidRPr="004958BB" w:rsidP="004958BB" w14:paraId="5BA2820D" w14:textId="77777777">
      <w:pPr>
        <w:tabs>
          <w:tab w:val="left" w:pos="-720"/>
        </w:tabs>
        <w:suppressAutoHyphens/>
        <w:spacing w:line="276" w:lineRule="auto"/>
        <w:contextualSpacing/>
        <w:rPr>
          <w:spacing w:val="-3"/>
        </w:rPr>
      </w:pPr>
    </w:p>
    <w:p w:rsidR="00674665" w:rsidRPr="004958BB" w:rsidP="004958BB" w14:paraId="0464042B" w14:textId="7DCB960A">
      <w:pPr>
        <w:tabs>
          <w:tab w:val="left" w:pos="-720"/>
        </w:tabs>
        <w:suppressAutoHyphens/>
        <w:spacing w:line="276" w:lineRule="auto"/>
        <w:contextualSpacing/>
        <w:rPr>
          <w:spacing w:val="-3"/>
        </w:rPr>
      </w:pPr>
      <w:r w:rsidRPr="004958BB">
        <w:rPr>
          <w:spacing w:val="-3"/>
        </w:rPr>
        <w:t xml:space="preserve">The following FEMA forms are used to collect the information </w:t>
      </w:r>
      <w:r w:rsidRPr="004958BB" w:rsidR="000E714F">
        <w:rPr>
          <w:spacing w:val="-3"/>
        </w:rPr>
        <w:t xml:space="preserve">necessary </w:t>
      </w:r>
      <w:r w:rsidRPr="004958BB" w:rsidR="0098656F">
        <w:rPr>
          <w:spacing w:val="-3"/>
        </w:rPr>
        <w:t>to issue</w:t>
      </w:r>
      <w:r w:rsidRPr="004958BB" w:rsidR="000E714F">
        <w:rPr>
          <w:spacing w:val="-3"/>
        </w:rPr>
        <w:t xml:space="preserve"> </w:t>
      </w:r>
      <w:r w:rsidRPr="004958BB">
        <w:rPr>
          <w:spacing w:val="-3"/>
        </w:rPr>
        <w:t>NFIP policies and to accommodate the changing insurance needs of policyholders:</w:t>
      </w:r>
      <w:r w:rsidRPr="004958BB" w:rsidR="00C92072">
        <w:rPr>
          <w:spacing w:val="-3"/>
        </w:rPr>
        <w:t xml:space="preserve">  </w:t>
      </w:r>
    </w:p>
    <w:p w:rsidR="00674665" w:rsidRPr="004958BB" w:rsidP="004958BB" w14:paraId="0C009820" w14:textId="04F8B2DB">
      <w:pPr>
        <w:tabs>
          <w:tab w:val="left" w:pos="-720"/>
        </w:tabs>
        <w:suppressAutoHyphens/>
        <w:spacing w:line="276" w:lineRule="auto"/>
        <w:contextualSpacing/>
        <w:rPr>
          <w:spacing w:val="-3"/>
        </w:rPr>
      </w:pPr>
    </w:p>
    <w:p w:rsidR="00674665" w:rsidRPr="004958BB" w:rsidP="004958BB" w14:paraId="0DD8C770" w14:textId="4EEBBEBC">
      <w:pPr>
        <w:tabs>
          <w:tab w:val="left" w:pos="-720"/>
        </w:tabs>
        <w:suppressAutoHyphens/>
        <w:spacing w:line="276" w:lineRule="auto"/>
        <w:contextualSpacing/>
        <w:rPr>
          <w:spacing w:val="-3"/>
        </w:rPr>
      </w:pPr>
      <w:r w:rsidRPr="004958BB">
        <w:rPr>
          <w:b/>
          <w:spacing w:val="-3"/>
        </w:rPr>
        <w:t xml:space="preserve">FEMA Form </w:t>
      </w:r>
      <w:r w:rsidRPr="004958BB" w:rsidR="008012C6">
        <w:rPr>
          <w:b/>
          <w:bCs/>
          <w:spacing w:val="-3"/>
        </w:rPr>
        <w:t>FF-206-FY-21-117 (formerly 086-0-1)</w:t>
      </w:r>
      <w:r w:rsidRPr="004958BB">
        <w:rPr>
          <w:b/>
          <w:spacing w:val="-3"/>
        </w:rPr>
        <w:t>, Flood Insurance Application</w:t>
      </w:r>
      <w:r w:rsidRPr="004958BB">
        <w:rPr>
          <w:spacing w:val="-3"/>
        </w:rPr>
        <w:t xml:space="preserve"> - This form is used to obtain building and/or contents coverage for dwellings and general property.  The form is also used to apply for a Residential Condominium Building Association Policy (RCBAP), which provides flood insurance coverage on a single policy for all residential condo units in a condominium building.</w:t>
      </w:r>
      <w:r w:rsidRPr="004958BB" w:rsidR="00C92072">
        <w:rPr>
          <w:spacing w:val="-3"/>
        </w:rPr>
        <w:t xml:space="preserve">  </w:t>
      </w:r>
    </w:p>
    <w:p w:rsidR="00674665" w:rsidRPr="004958BB" w:rsidP="004958BB" w14:paraId="5067D5EC" w14:textId="77777777">
      <w:pPr>
        <w:pStyle w:val="EndnoteText"/>
        <w:tabs>
          <w:tab w:val="left" w:pos="-720"/>
        </w:tabs>
        <w:suppressAutoHyphens/>
        <w:spacing w:line="276" w:lineRule="auto"/>
        <w:contextualSpacing/>
        <w:rPr>
          <w:rFonts w:ascii="Times New Roman" w:hAnsi="Times New Roman"/>
          <w:spacing w:val="-3"/>
          <w:szCs w:val="24"/>
        </w:rPr>
      </w:pPr>
    </w:p>
    <w:p w:rsidR="009B69A3" w:rsidRPr="004958BB" w:rsidP="002B66B0" w14:paraId="3E404B60" w14:textId="54F1B09D">
      <w:pPr>
        <w:tabs>
          <w:tab w:val="left" w:pos="-720"/>
        </w:tabs>
        <w:suppressAutoHyphens/>
        <w:spacing w:line="276" w:lineRule="auto"/>
        <w:contextualSpacing/>
        <w:rPr>
          <w:color w:val="000000"/>
          <w:spacing w:val="-3"/>
        </w:rPr>
      </w:pPr>
      <w:r w:rsidRPr="004958BB">
        <w:rPr>
          <w:spacing w:val="-3"/>
        </w:rPr>
        <w:t>T</w:t>
      </w:r>
      <w:r w:rsidRPr="004958BB" w:rsidR="00674665">
        <w:rPr>
          <w:spacing w:val="-3"/>
        </w:rPr>
        <w:t xml:space="preserve">he application provides basic information concerning building </w:t>
      </w:r>
      <w:r w:rsidRPr="004958BB">
        <w:rPr>
          <w:spacing w:val="-3"/>
        </w:rPr>
        <w:t xml:space="preserve">and foundation </w:t>
      </w:r>
      <w:r w:rsidRPr="004958BB" w:rsidR="00674665">
        <w:rPr>
          <w:spacing w:val="-3"/>
        </w:rPr>
        <w:t>type</w:t>
      </w:r>
      <w:r w:rsidRPr="004958BB">
        <w:rPr>
          <w:spacing w:val="-3"/>
        </w:rPr>
        <w:t>,</w:t>
      </w:r>
      <w:r w:rsidRPr="004958BB" w:rsidR="00674665">
        <w:rPr>
          <w:spacing w:val="-3"/>
        </w:rPr>
        <w:t xml:space="preserve"> occupancy, </w:t>
      </w:r>
      <w:r w:rsidRPr="004958BB" w:rsidR="003E7E16">
        <w:rPr>
          <w:spacing w:val="-3"/>
        </w:rPr>
        <w:t xml:space="preserve">structural variables, </w:t>
      </w:r>
      <w:r w:rsidRPr="004958BB">
        <w:rPr>
          <w:spacing w:val="-3"/>
        </w:rPr>
        <w:t xml:space="preserve">building replacement cost, </w:t>
      </w:r>
      <w:r w:rsidRPr="004958BB" w:rsidR="00674665">
        <w:rPr>
          <w:spacing w:val="-3"/>
        </w:rPr>
        <w:t xml:space="preserve">date of construction or substantial improvement, amounts of coverage desired, community </w:t>
      </w:r>
      <w:r w:rsidRPr="004958BB">
        <w:rPr>
          <w:spacing w:val="-3"/>
        </w:rPr>
        <w:t>map information</w:t>
      </w:r>
      <w:r w:rsidRPr="004958BB" w:rsidR="00674665">
        <w:rPr>
          <w:spacing w:val="-3"/>
        </w:rPr>
        <w:t xml:space="preserve">, </w:t>
      </w:r>
      <w:r w:rsidRPr="004958BB" w:rsidR="00EF3BD0">
        <w:rPr>
          <w:spacing w:val="-3"/>
        </w:rPr>
        <w:t xml:space="preserve">and other </w:t>
      </w:r>
      <w:r w:rsidRPr="004958BB" w:rsidR="00827B4C">
        <w:rPr>
          <w:spacing w:val="-3"/>
        </w:rPr>
        <w:t>information,</w:t>
      </w:r>
      <w:r w:rsidRPr="004958BB" w:rsidR="00674665">
        <w:rPr>
          <w:spacing w:val="-3"/>
        </w:rPr>
        <w:t xml:space="preserve"> necessary for any NFIP policy to be issued.</w:t>
      </w:r>
      <w:r w:rsidRPr="004958BB" w:rsidR="00F435D3">
        <w:rPr>
          <w:spacing w:val="-3"/>
        </w:rPr>
        <w:t xml:space="preserve"> </w:t>
      </w:r>
      <w:r w:rsidRPr="004958BB" w:rsidR="00C92072">
        <w:rPr>
          <w:spacing w:val="-3"/>
        </w:rPr>
        <w:t xml:space="preserve"> </w:t>
      </w:r>
    </w:p>
    <w:p w:rsidR="005C717E" w:rsidRPr="004958BB" w:rsidP="004958BB" w14:paraId="5A470BBF" w14:textId="77777777">
      <w:pPr>
        <w:pStyle w:val="EndnoteText"/>
        <w:tabs>
          <w:tab w:val="left" w:pos="-720"/>
        </w:tabs>
        <w:suppressAutoHyphens/>
        <w:spacing w:line="276" w:lineRule="auto"/>
        <w:contextualSpacing/>
        <w:rPr>
          <w:rFonts w:ascii="Times New Roman" w:hAnsi="Times New Roman"/>
          <w:spacing w:val="-3"/>
          <w:szCs w:val="24"/>
        </w:rPr>
      </w:pPr>
    </w:p>
    <w:p w:rsidR="003F01F5" w:rsidRPr="004958BB" w:rsidP="004958BB" w14:paraId="7118D3C5" w14:textId="4939BE02">
      <w:pPr>
        <w:tabs>
          <w:tab w:val="left" w:pos="-720"/>
        </w:tabs>
        <w:suppressAutoHyphens/>
        <w:spacing w:line="276" w:lineRule="auto"/>
        <w:contextualSpacing/>
        <w:rPr>
          <w:spacing w:val="-3"/>
        </w:rPr>
      </w:pPr>
      <w:r w:rsidRPr="004958BB">
        <w:rPr>
          <w:b/>
          <w:spacing w:val="-3"/>
        </w:rPr>
        <w:t>FEMA F</w:t>
      </w:r>
      <w:r w:rsidRPr="004958BB" w:rsidR="00F435D3">
        <w:rPr>
          <w:b/>
          <w:spacing w:val="-3"/>
        </w:rPr>
        <w:t>or</w:t>
      </w:r>
      <w:r w:rsidRPr="004958BB">
        <w:rPr>
          <w:b/>
          <w:spacing w:val="-3"/>
        </w:rPr>
        <w:t xml:space="preserve">m </w:t>
      </w:r>
      <w:r w:rsidRPr="004958BB" w:rsidR="00D04A62">
        <w:rPr>
          <w:b/>
          <w:spacing w:val="-3"/>
        </w:rPr>
        <w:t>FF-206-FY-21-118 (formerly 086-0-2)</w:t>
      </w:r>
      <w:r w:rsidRPr="004958BB">
        <w:rPr>
          <w:b/>
          <w:spacing w:val="-3"/>
        </w:rPr>
        <w:t>, Flood Insurance Cancellation/Nullification Request</w:t>
      </w:r>
      <w:r w:rsidRPr="004958BB">
        <w:rPr>
          <w:spacing w:val="-3"/>
        </w:rPr>
        <w:t xml:space="preserve"> </w:t>
      </w:r>
      <w:r w:rsidRPr="004958BB">
        <w:rPr>
          <w:b/>
          <w:spacing w:val="-3"/>
        </w:rPr>
        <w:t xml:space="preserve">Form </w:t>
      </w:r>
      <w:r w:rsidRPr="004958BB">
        <w:rPr>
          <w:spacing w:val="-3"/>
        </w:rPr>
        <w:t xml:space="preserve">- </w:t>
      </w:r>
      <w:r w:rsidRPr="004958BB" w:rsidR="00E058B0">
        <w:rPr>
          <w:bCs/>
          <w:spacing w:val="-3"/>
        </w:rPr>
        <w:t>The policyholder or insurer submits this form to cancel or nullify an existing NFIP policy written under the revised risk rating methodology.</w:t>
      </w:r>
    </w:p>
    <w:p w:rsidR="003F01F5" w:rsidRPr="004958BB" w:rsidP="004958BB" w14:paraId="5526C42E" w14:textId="77777777">
      <w:pPr>
        <w:tabs>
          <w:tab w:val="left" w:pos="-720"/>
        </w:tabs>
        <w:suppressAutoHyphens/>
        <w:spacing w:line="276" w:lineRule="auto"/>
        <w:contextualSpacing/>
        <w:rPr>
          <w:spacing w:val="-3"/>
        </w:rPr>
      </w:pPr>
    </w:p>
    <w:p w:rsidR="00105BBA" w:rsidRPr="004958BB" w:rsidP="004958BB" w14:paraId="2CFF718A" w14:textId="10FEE677">
      <w:pPr>
        <w:tabs>
          <w:tab w:val="left" w:pos="-720"/>
        </w:tabs>
        <w:suppressAutoHyphens/>
        <w:spacing w:line="276" w:lineRule="auto"/>
        <w:contextualSpacing/>
        <w:rPr>
          <w:spacing w:val="-3"/>
        </w:rPr>
      </w:pPr>
      <w:r w:rsidRPr="004958BB">
        <w:rPr>
          <w:b/>
          <w:spacing w:val="-3"/>
        </w:rPr>
        <w:t xml:space="preserve">FEMA Form </w:t>
      </w:r>
      <w:r w:rsidRPr="004958BB" w:rsidR="00E90B08">
        <w:rPr>
          <w:b/>
          <w:spacing w:val="-3"/>
        </w:rPr>
        <w:t>FF-206-FY-21-119 (formerly 086-0-3)</w:t>
      </w:r>
      <w:r w:rsidRPr="004958BB">
        <w:rPr>
          <w:b/>
          <w:spacing w:val="-3"/>
        </w:rPr>
        <w:t>, Flood Insurance General Change Endorsement</w:t>
      </w:r>
      <w:r w:rsidRPr="004958BB">
        <w:rPr>
          <w:spacing w:val="-3"/>
        </w:rPr>
        <w:t xml:space="preserve"> - This form is used to amend existing policy data shown on the policy Declarations Page.  Following receipt and processing of the endorsement form, a Revised Declarations Page showing the requested changes is generated.</w:t>
      </w:r>
    </w:p>
    <w:p w:rsidR="00105BBA" w:rsidRPr="004958BB" w:rsidP="004958BB" w14:paraId="455F9DC2" w14:textId="77777777">
      <w:pPr>
        <w:tabs>
          <w:tab w:val="left" w:pos="-720"/>
        </w:tabs>
        <w:suppressAutoHyphens/>
        <w:spacing w:line="276" w:lineRule="auto"/>
        <w:contextualSpacing/>
        <w:rPr>
          <w:spacing w:val="-3"/>
        </w:rPr>
      </w:pPr>
    </w:p>
    <w:p w:rsidR="00842E74" w:rsidRPr="004958BB" w:rsidP="004958BB" w14:paraId="06D13E34" w14:textId="1A92AB5F">
      <w:p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r w:rsidRPr="004958BB">
        <w:rPr>
          <w:b/>
        </w:rPr>
        <w:fldChar w:fldCharType="begin"/>
      </w:r>
      <w:r w:rsidRPr="004958BB">
        <w:rPr>
          <w:b/>
          <w:bCs/>
        </w:rPr>
        <w:instrText>ADVANCE \R 0.95</w:instrText>
      </w:r>
      <w:r w:rsidRPr="004958BB">
        <w:rPr>
          <w:b/>
        </w:rPr>
        <w:fldChar w:fldCharType="end"/>
      </w:r>
      <w:bookmarkStart w:id="2" w:name="_Hlk18938235"/>
      <w:r w:rsidRPr="004958BB">
        <w:rPr>
          <w:b/>
          <w:bCs/>
        </w:rPr>
        <w:t xml:space="preserve">3.  Describe whether, and to what extent, the collection of information involves the use of automated, electronic, mechanical, or other technological collection techniques or other forms of information technology, e.g., permitting </w:t>
      </w:r>
      <w:r w:rsidRPr="004958BB" w:rsidR="00BF4DF2">
        <w:rPr>
          <w:b/>
          <w:bCs/>
        </w:rPr>
        <w:tab/>
      </w:r>
      <w:r w:rsidRPr="004958BB">
        <w:rPr>
          <w:b/>
          <w:bCs/>
        </w:rPr>
        <w:t>electronic submission of responses, and the basis for the decision for adopting this means of collection.  Also describe any consideration of using</w:t>
      </w:r>
      <w:r w:rsidRPr="004958BB" w:rsidR="006A4787">
        <w:rPr>
          <w:b/>
          <w:bCs/>
        </w:rPr>
        <w:t xml:space="preserve"> </w:t>
      </w:r>
      <w:r w:rsidRPr="004958BB">
        <w:rPr>
          <w:b/>
          <w:bCs/>
        </w:rPr>
        <w:t xml:space="preserve">information technology to reduce burden. </w:t>
      </w:r>
      <w:r w:rsidRPr="004958BB" w:rsidR="00C92072">
        <w:rPr>
          <w:b/>
          <w:bCs/>
        </w:rPr>
        <w:t xml:space="preserve"> </w:t>
      </w:r>
    </w:p>
    <w:p w:rsidR="00674665" w:rsidRPr="004958BB" w:rsidP="004958BB" w14:paraId="244C117B" w14:textId="77777777">
      <w:pPr>
        <w:spacing w:line="276" w:lineRule="auto"/>
        <w:contextualSpacing/>
        <w:rPr>
          <w:b/>
          <w:bCs/>
        </w:rPr>
      </w:pPr>
    </w:p>
    <w:p w:rsidR="00674665" w:rsidRPr="004958BB" w:rsidP="004958BB" w14:paraId="15476531" w14:textId="54063FE6">
      <w:pPr>
        <w:spacing w:line="276" w:lineRule="auto"/>
        <w:contextualSpacing/>
      </w:pPr>
      <w:r w:rsidRPr="004958BB">
        <w:t>Registered insurance agents/agencies can use e</w:t>
      </w:r>
      <w:r w:rsidRPr="004958BB">
        <w:t>lectronic versions of Flood Insurance Policy Forms</w:t>
      </w:r>
      <w:r w:rsidRPr="004958BB" w:rsidR="00F25CC8">
        <w:t xml:space="preserve"> through the NFIP Direct website</w:t>
      </w:r>
      <w:r w:rsidRPr="004958BB">
        <w:t xml:space="preserve"> in lieu of paper forms.  </w:t>
      </w:r>
      <w:r w:rsidRPr="004958BB">
        <w:t>The agent can</w:t>
      </w:r>
      <w:r w:rsidRPr="004958BB">
        <w:t xml:space="preserve"> </w:t>
      </w:r>
      <w:r w:rsidRPr="004958BB" w:rsidR="00C34EE2">
        <w:t>log in</w:t>
      </w:r>
      <w:r w:rsidRPr="004958BB">
        <w:t xml:space="preserve">to the </w:t>
      </w:r>
      <w:r w:rsidRPr="004958BB" w:rsidR="00F650C3">
        <w:t xml:space="preserve">NFIP Direct’s </w:t>
      </w:r>
      <w:r w:rsidRPr="004958BB" w:rsidR="00C34EE2">
        <w:t xml:space="preserve">secure </w:t>
      </w:r>
      <w:r w:rsidRPr="004958BB" w:rsidR="00F650C3">
        <w:t xml:space="preserve">website at </w:t>
      </w:r>
      <w:hyperlink r:id="rId9" w:history="1">
        <w:r w:rsidRPr="004958BB" w:rsidR="006D1E51">
          <w:rPr>
            <w:rStyle w:val="Hyperlink"/>
          </w:rPr>
          <w:t>https://www.nfipdirect.fema.gov/Membership/SignIn/?ReturnUrl=%2f</w:t>
        </w:r>
      </w:hyperlink>
      <w:r w:rsidRPr="004958BB" w:rsidR="006D1E51">
        <w:t xml:space="preserve">.  </w:t>
      </w:r>
      <w:r w:rsidRPr="004958BB" w:rsidR="000D479A">
        <w:t>Agents</w:t>
      </w:r>
      <w:r w:rsidRPr="004958BB">
        <w:t xml:space="preserve"> select the transaction desired and will then be prompted to fill in the information required</w:t>
      </w:r>
      <w:r w:rsidRPr="004958BB" w:rsidR="00F25CC8">
        <w:t>,</w:t>
      </w:r>
      <w:r w:rsidRPr="004958BB">
        <w:t xml:space="preserve"> which is transmitted electronically. </w:t>
      </w:r>
      <w:r w:rsidRPr="004958BB" w:rsidR="00C92072">
        <w:t xml:space="preserve"> </w:t>
      </w:r>
      <w:r w:rsidRPr="004958BB">
        <w:t xml:space="preserve">Necessary supporting documentation may also be submitted along with the form in an electronic format, such as a PDF file. </w:t>
      </w:r>
      <w:r w:rsidRPr="004958BB" w:rsidR="00C92072">
        <w:t xml:space="preserve"> </w:t>
      </w:r>
    </w:p>
    <w:p w:rsidR="00276A95" w:rsidRPr="004958BB" w:rsidP="004958BB" w14:paraId="33D518DB" w14:textId="77777777">
      <w:pPr>
        <w:spacing w:line="276" w:lineRule="auto"/>
        <w:contextualSpacing/>
        <w:rPr>
          <w:highlight w:val="yellow"/>
        </w:rPr>
      </w:pPr>
    </w:p>
    <w:p w:rsidR="00276A95" w:rsidRPr="004958BB" w:rsidP="004958BB" w14:paraId="1127613A" w14:textId="5413C83B">
      <w:pPr>
        <w:spacing w:line="276" w:lineRule="auto"/>
        <w:contextualSpacing/>
      </w:pPr>
      <w:r w:rsidRPr="004958BB">
        <w:t xml:space="preserve">Usability testing has been conducted on this collection.  As a result, a reduction of </w:t>
      </w:r>
      <w:r w:rsidRPr="002B66B0" w:rsidR="00DA6B0F">
        <w:t>10,568</w:t>
      </w:r>
      <w:r w:rsidRPr="004958BB" w:rsidR="005A471B">
        <w:rPr>
          <w:bCs/>
        </w:rPr>
        <w:t xml:space="preserve"> </w:t>
      </w:r>
      <w:r w:rsidRPr="004958BB">
        <w:t>burden hours has been recognized and included as an update to the collection.</w:t>
      </w:r>
    </w:p>
    <w:p w:rsidR="00842E74" w:rsidRPr="004958BB" w:rsidP="004958BB" w14:paraId="6F01C38B" w14:textId="77777777">
      <w:pPr>
        <w:spacing w:line="276" w:lineRule="auto"/>
        <w:contextualSpacing/>
        <w:rPr>
          <w:color w:val="000000"/>
        </w:rPr>
      </w:pPr>
    </w:p>
    <w:bookmarkEnd w:id="2"/>
    <w:p w:rsidR="00842E74" w:rsidRPr="004958BB" w:rsidP="004958BB" w14:paraId="31B794EC" w14:textId="151667A0">
      <w:pPr>
        <w:spacing w:line="276" w:lineRule="auto"/>
        <w:contextualSpacing/>
        <w:rPr>
          <w:b/>
          <w:bCs/>
        </w:rPr>
      </w:pPr>
      <w:r w:rsidRPr="004958BB">
        <w:fldChar w:fldCharType="begin"/>
      </w:r>
      <w:r w:rsidRPr="004958BB">
        <w:instrText>ADVANCE \R 0.95</w:instrText>
      </w:r>
      <w:r w:rsidRPr="004958BB">
        <w:fldChar w:fldCharType="end"/>
      </w:r>
      <w:r w:rsidRPr="004958BB">
        <w:rPr>
          <w:b/>
          <w:bCs/>
        </w:rPr>
        <w:t xml:space="preserve">4.  Describe efforts to identify duplication.  Show specifically why any similar information already available cannot be used or modified for use for the purposes described in Item 2 above.  </w:t>
      </w:r>
    </w:p>
    <w:p w:rsidR="00674665" w:rsidRPr="004958BB" w:rsidP="004958BB" w14:paraId="6AD8EB16" w14:textId="17922365">
      <w:pPr>
        <w:spacing w:line="276" w:lineRule="auto"/>
        <w:contextualSpacing/>
      </w:pPr>
      <w:r w:rsidRPr="004958BB">
        <w:fldChar w:fldCharType="begin"/>
      </w:r>
      <w:r w:rsidRPr="004958BB">
        <w:instrText>ADVANCE \R 0.95</w:instrText>
      </w:r>
      <w:r w:rsidRPr="004958BB">
        <w:fldChar w:fldCharType="end"/>
      </w:r>
    </w:p>
    <w:p w:rsidR="00674665" w:rsidRPr="004958BB" w:rsidP="004958BB" w14:paraId="1EBFA487" w14:textId="6A7575D1">
      <w:pPr>
        <w:pStyle w:val="BodyText"/>
        <w:shd w:val="clear" w:color="auto" w:fill="auto"/>
        <w:spacing w:line="276" w:lineRule="auto"/>
        <w:contextualSpacing/>
        <w:rPr>
          <w:sz w:val="24"/>
        </w:rPr>
      </w:pPr>
      <w:r w:rsidRPr="004958BB">
        <w:rPr>
          <w:sz w:val="24"/>
        </w:rPr>
        <w:t xml:space="preserve">This information is unique </w:t>
      </w:r>
      <w:r w:rsidRPr="004958BB" w:rsidR="00C74191">
        <w:rPr>
          <w:sz w:val="24"/>
        </w:rPr>
        <w:t>to</w:t>
      </w:r>
      <w:r w:rsidRPr="004958BB">
        <w:rPr>
          <w:sz w:val="24"/>
        </w:rPr>
        <w:t xml:space="preserve"> this program and is not collected else</w:t>
      </w:r>
      <w:r w:rsidRPr="004958BB" w:rsidR="00C74191">
        <w:rPr>
          <w:sz w:val="24"/>
        </w:rPr>
        <w:t>where</w:t>
      </w:r>
      <w:r w:rsidRPr="004958BB">
        <w:rPr>
          <w:sz w:val="24"/>
        </w:rPr>
        <w:t>.  There is only one application required per structure to obtain flood insurance.</w:t>
      </w:r>
      <w:r w:rsidRPr="004958BB">
        <w:rPr>
          <w:spacing w:val="-3"/>
          <w:sz w:val="24"/>
        </w:rPr>
        <w:t xml:space="preserve">  </w:t>
      </w:r>
    </w:p>
    <w:p w:rsidR="00842E74" w:rsidRPr="004958BB" w:rsidP="004958BB" w14:paraId="39179A7F" w14:textId="77777777">
      <w:pPr>
        <w:spacing w:line="276" w:lineRule="auto"/>
        <w:contextualSpacing/>
      </w:pPr>
    </w:p>
    <w:p w:rsidR="00842E74" w:rsidRPr="004958BB" w:rsidP="004958BB" w14:paraId="598ED09A" w14:textId="1EADD532">
      <w:pPr>
        <w:tabs>
          <w:tab w:val="left" w:pos="360"/>
        </w:tabs>
        <w:spacing w:line="276" w:lineRule="auto"/>
        <w:contextualSpacing/>
        <w:rPr>
          <w:b/>
          <w:bCs/>
        </w:rPr>
      </w:pPr>
      <w:r w:rsidRPr="004958BB">
        <w:rPr>
          <w:b/>
          <w:bCs/>
        </w:rPr>
        <w:t xml:space="preserve">5.  </w:t>
      </w:r>
      <w:r w:rsidRPr="004958BB" w:rsidR="00BF4DF2">
        <w:rPr>
          <w:b/>
          <w:bCs/>
        </w:rPr>
        <w:tab/>
      </w:r>
      <w:r w:rsidRPr="004958BB">
        <w:rPr>
          <w:b/>
          <w:bCs/>
        </w:rPr>
        <w:t>If the collection of information impacts small businesses or other small entities (Item 5 of OMB Form 83-I), describe any methods used to minimize.</w:t>
      </w:r>
      <w:r w:rsidRPr="004958BB" w:rsidR="00C92072">
        <w:rPr>
          <w:b/>
          <w:bCs/>
        </w:rPr>
        <w:t xml:space="preserve">  </w:t>
      </w:r>
    </w:p>
    <w:p w:rsidR="00674665" w:rsidRPr="004958BB" w:rsidP="004958BB" w14:paraId="56E59550" w14:textId="77777777">
      <w:pPr>
        <w:tabs>
          <w:tab w:val="left" w:pos="360"/>
        </w:tabs>
        <w:spacing w:line="276" w:lineRule="auto"/>
        <w:contextualSpacing/>
        <w:rPr>
          <w:b/>
          <w:bCs/>
        </w:rPr>
      </w:pPr>
    </w:p>
    <w:p w:rsidR="00842E74" w:rsidRPr="004958BB" w:rsidP="004958BB" w14:paraId="409DF115" w14:textId="77777777">
      <w:pPr>
        <w:spacing w:line="276" w:lineRule="auto"/>
        <w:contextualSpacing/>
      </w:pPr>
      <w:r w:rsidRPr="004958BB">
        <w:t xml:space="preserve">This information collection does not have an impact on small businesses or other small entities.  </w:t>
      </w:r>
    </w:p>
    <w:p w:rsidR="00674665" w:rsidRPr="004958BB" w:rsidP="004958BB" w14:paraId="0636965D" w14:textId="77777777">
      <w:pPr>
        <w:spacing w:line="276" w:lineRule="auto"/>
        <w:contextualSpacing/>
        <w:rPr>
          <w:spacing w:val="-3"/>
        </w:rPr>
      </w:pPr>
    </w:p>
    <w:p w:rsidR="00842E74" w:rsidRPr="004958BB" w:rsidP="004958BB" w14:paraId="77331831" w14:textId="77777777">
      <w:p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r w:rsidRPr="004958BB">
        <w:rPr>
          <w:b/>
          <w:bCs/>
        </w:rPr>
        <w:t>6.  Describe the consequence to Federal/FEMA program or policy activities if the collection of information is not conducted, or is conducted less frequently</w:t>
      </w:r>
      <w:r w:rsidRPr="004958BB" w:rsidR="009F46CE">
        <w:rPr>
          <w:b/>
          <w:bCs/>
        </w:rPr>
        <w:t xml:space="preserve"> </w:t>
      </w:r>
      <w:r w:rsidRPr="004958BB">
        <w:rPr>
          <w:b/>
          <w:bCs/>
        </w:rPr>
        <w:t xml:space="preserve">as well as any technical or legal obstacles to reducing burden.  </w:t>
      </w:r>
    </w:p>
    <w:p w:rsidR="00674665" w:rsidRPr="004958BB" w:rsidP="004958BB" w14:paraId="7E3408A8" w14:textId="77777777">
      <w:pPr>
        <w:spacing w:line="276" w:lineRule="auto"/>
        <w:contextualSpacing/>
        <w:rPr>
          <w:spacing w:val="-3"/>
        </w:rPr>
      </w:pPr>
    </w:p>
    <w:p w:rsidR="00674665" w:rsidRPr="004958BB" w:rsidP="004958BB" w14:paraId="2D3D14C9" w14:textId="5C648AFE">
      <w:pPr>
        <w:tabs>
          <w:tab w:val="left" w:pos="-720"/>
        </w:tabs>
        <w:suppressAutoHyphens/>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r w:rsidRPr="004958BB">
        <w:rPr>
          <w:spacing w:val="-3"/>
        </w:rPr>
        <w:t xml:space="preserve">Without this collection, the NFIP could not operate and could not provide necessary flood insurance coverage to property owners in communities participating in the NFIP.  This would result in FEMA’s inability to meet mandates required by law.  </w:t>
      </w:r>
    </w:p>
    <w:p w:rsidR="00842E74" w:rsidRPr="004958BB" w:rsidP="004958BB" w14:paraId="1B533152" w14:textId="77777777">
      <w:pPr>
        <w:spacing w:line="276" w:lineRule="auto"/>
        <w:contextualSpacing/>
        <w:rPr>
          <w:spacing w:val="-3"/>
        </w:rPr>
      </w:pPr>
    </w:p>
    <w:p w:rsidR="00842E74" w:rsidRPr="004958BB" w:rsidP="004958BB" w14:paraId="6197E982" w14:textId="35024F36">
      <w:p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r w:rsidRPr="004958BB">
        <w:rPr>
          <w:b/>
          <w:bCs/>
        </w:rPr>
        <w:t>7.  Explain any special circumstances that would cause an information collection to be conducted in a manner:</w:t>
      </w:r>
      <w:r w:rsidRPr="004958BB" w:rsidR="00C92072">
        <w:rPr>
          <w:b/>
          <w:bCs/>
        </w:rPr>
        <w:t xml:space="preserve">  </w:t>
      </w:r>
    </w:p>
    <w:p w:rsidR="00842E74" w:rsidRPr="004958BB" w:rsidP="004958BB" w14:paraId="1BE60E73" w14:textId="77777777">
      <w:pPr>
        <w:spacing w:line="276" w:lineRule="auto"/>
        <w:contextualSpacing/>
        <w:rPr>
          <w:b/>
          <w:bCs/>
        </w:rPr>
      </w:pPr>
    </w:p>
    <w:p w:rsidR="00232C69" w:rsidRPr="004958BB" w:rsidP="004958BB" w14:paraId="63C50CAB" w14:textId="77777777">
      <w:pPr>
        <w:numPr>
          <w:ilvl w:val="0"/>
          <w:numId w:val="11"/>
        </w:num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r w:rsidRPr="004958BB">
        <w:rPr>
          <w:b/>
          <w:bCs/>
        </w:rPr>
        <w:t>Requiring respondents to report information to the agency more</w:t>
      </w:r>
    </w:p>
    <w:p w:rsidR="00842E74" w:rsidRPr="004958BB" w:rsidP="004958BB" w14:paraId="1983F37C" w14:textId="52FEBE87">
      <w:pPr>
        <w:spacing w:line="276" w:lineRule="auto"/>
        <w:contextualSpacing/>
        <w:rPr>
          <w:b/>
          <w:bCs/>
        </w:rPr>
      </w:pPr>
      <w:r w:rsidRPr="004958BB">
        <w:rPr>
          <w:b/>
          <w:bCs/>
        </w:rPr>
        <w:t>often than quarterly.</w:t>
      </w:r>
      <w:r w:rsidRPr="004958BB" w:rsidR="00C92072">
        <w:rPr>
          <w:b/>
          <w:bCs/>
        </w:rPr>
        <w:t xml:space="preserve">  </w:t>
      </w:r>
    </w:p>
    <w:p w:rsidR="00674665" w:rsidRPr="004958BB" w:rsidP="004958BB" w14:paraId="76209D15" w14:textId="77777777">
      <w:pPr>
        <w:spacing w:line="276" w:lineRule="auto"/>
        <w:contextualSpacing/>
      </w:pPr>
      <w:r w:rsidRPr="004958BB">
        <w:fldChar w:fldCharType="begin"/>
      </w:r>
      <w:r w:rsidRPr="004958BB">
        <w:instrText>ADVANCE \R 0.95</w:instrText>
      </w:r>
      <w:r w:rsidRPr="004958BB">
        <w:fldChar w:fldCharType="end"/>
      </w:r>
    </w:p>
    <w:p w:rsidR="00674665" w:rsidRPr="004958BB" w:rsidP="004958BB" w14:paraId="5C3721F1" w14:textId="5D65C26B">
      <w:pPr>
        <w:spacing w:line="276" w:lineRule="auto"/>
        <w:contextualSpacing/>
        <w:rPr>
          <w:bCs/>
        </w:rPr>
      </w:pPr>
      <w:r w:rsidRPr="004958BB">
        <w:rPr>
          <w:bCs/>
        </w:rPr>
        <w:t>There are no requirements for respondents to report information to the agency more often than quarterly.</w:t>
      </w:r>
      <w:r w:rsidRPr="004958BB" w:rsidR="00C92072">
        <w:rPr>
          <w:bCs/>
        </w:rPr>
        <w:t xml:space="preserve">  </w:t>
      </w:r>
    </w:p>
    <w:p w:rsidR="00674665" w:rsidRPr="004958BB" w:rsidP="004958BB" w14:paraId="4A1E095F" w14:textId="77777777">
      <w:pPr>
        <w:spacing w:line="276" w:lineRule="auto"/>
        <w:contextualSpacing/>
      </w:pPr>
      <w:r w:rsidRPr="004958BB">
        <w:fldChar w:fldCharType="begin"/>
      </w:r>
      <w:r w:rsidRPr="004958BB">
        <w:instrText>ADVANCE \R 0.95</w:instrText>
      </w:r>
      <w:r w:rsidRPr="004958BB">
        <w:fldChar w:fldCharType="end"/>
      </w:r>
    </w:p>
    <w:p w:rsidR="00232C69" w:rsidRPr="004958BB" w:rsidP="004958BB" w14:paraId="7D5A4DC9" w14:textId="77777777">
      <w:pPr>
        <w:spacing w:line="276" w:lineRule="auto"/>
        <w:contextualSpacing/>
        <w:rPr>
          <w:b/>
          <w:bCs/>
        </w:rPr>
      </w:pPr>
      <w:r w:rsidRPr="004958BB">
        <w:fldChar w:fldCharType="begin"/>
      </w:r>
      <w:r w:rsidRPr="004958BB">
        <w:instrText>ADVANCE \R 0.95</w:instrText>
      </w:r>
      <w:r w:rsidRPr="004958BB">
        <w:fldChar w:fldCharType="end"/>
      </w:r>
      <w:r w:rsidRPr="004958BB" w:rsidR="00CD0CD6">
        <w:tab/>
      </w:r>
      <w:r w:rsidRPr="004958BB">
        <w:rPr>
          <w:b/>
          <w:bCs/>
        </w:rPr>
        <w:t>(b) Requiring respondents to prepare a written response to a</w:t>
      </w:r>
    </w:p>
    <w:p w:rsidR="00842E74" w:rsidRPr="004958BB" w:rsidP="004958BB" w14:paraId="0C6714C7" w14:textId="7456C0FF">
      <w:pPr>
        <w:spacing w:line="276" w:lineRule="auto"/>
        <w:contextualSpacing/>
        <w:rPr>
          <w:b/>
          <w:bCs/>
        </w:rPr>
      </w:pPr>
      <w:r w:rsidRPr="004958BB">
        <w:rPr>
          <w:b/>
          <w:bCs/>
        </w:rPr>
        <w:t>col</w:t>
      </w:r>
      <w:r w:rsidRPr="004958BB">
        <w:rPr>
          <w:b/>
          <w:bCs/>
        </w:rPr>
        <w:t>lection of</w:t>
      </w:r>
      <w:r w:rsidRPr="004958BB" w:rsidR="0026549A">
        <w:rPr>
          <w:b/>
          <w:bCs/>
        </w:rPr>
        <w:t xml:space="preserve"> </w:t>
      </w:r>
      <w:r w:rsidRPr="004958BB">
        <w:rPr>
          <w:b/>
          <w:bCs/>
        </w:rPr>
        <w:t>information in fewer than 30 days after receipt of it.</w:t>
      </w:r>
      <w:r w:rsidRPr="004958BB" w:rsidR="00C92072">
        <w:rPr>
          <w:b/>
          <w:bCs/>
        </w:rPr>
        <w:t xml:space="preserve">  </w:t>
      </w:r>
    </w:p>
    <w:p w:rsidR="00674665" w:rsidRPr="004958BB" w:rsidP="004958BB" w14:paraId="6994DA67" w14:textId="77777777">
      <w:pPr>
        <w:spacing w:line="276" w:lineRule="auto"/>
        <w:contextualSpacing/>
      </w:pPr>
      <w:r w:rsidRPr="004958BB">
        <w:fldChar w:fldCharType="begin"/>
      </w:r>
      <w:r w:rsidRPr="004958BB">
        <w:instrText>ADVANCE \R 0.95</w:instrText>
      </w:r>
      <w:r w:rsidRPr="004958BB">
        <w:fldChar w:fldCharType="end"/>
      </w:r>
    </w:p>
    <w:p w:rsidR="00674665" w:rsidRPr="004958BB" w:rsidP="004958BB" w14:paraId="0E8B7F88" w14:textId="5536B89D">
      <w:pPr>
        <w:spacing w:line="276" w:lineRule="auto"/>
        <w:contextualSpacing/>
      </w:pPr>
      <w:r w:rsidRPr="004958BB">
        <w:t>There are no requirements for respondents to prepare a written response to a collection of information in fewer than 30 days after receipt of it.</w:t>
      </w:r>
      <w:r w:rsidRPr="004958BB" w:rsidR="00C92072">
        <w:t xml:space="preserve">  </w:t>
      </w:r>
    </w:p>
    <w:p w:rsidR="005359CD" w:rsidRPr="004958BB" w:rsidP="004958BB" w14:paraId="2F554756" w14:textId="77777777">
      <w:pPr>
        <w:spacing w:line="276" w:lineRule="auto"/>
        <w:contextualSpacing/>
      </w:pPr>
    </w:p>
    <w:p w:rsidR="00232C69" w:rsidRPr="004958BB" w:rsidP="004958BB" w14:paraId="0943A177" w14:textId="77777777">
      <w:pPr>
        <w:numPr>
          <w:ilvl w:val="0"/>
          <w:numId w:val="12"/>
        </w:numPr>
        <w:spacing w:line="276" w:lineRule="auto"/>
        <w:contextualSpacing/>
        <w:rPr>
          <w:b/>
          <w:bCs/>
        </w:rPr>
      </w:pPr>
      <w:r w:rsidRPr="004958BB">
        <w:fldChar w:fldCharType="begin"/>
      </w:r>
      <w:r w:rsidRPr="004958BB">
        <w:instrText>ADVANCE \R 0.95</w:instrText>
      </w:r>
      <w:r w:rsidRPr="004958BB">
        <w:fldChar w:fldCharType="end"/>
      </w:r>
      <w:r w:rsidRPr="004958BB">
        <w:rPr>
          <w:b/>
          <w:bCs/>
        </w:rPr>
        <w:t>Requiring respondents to submit more than an original and two</w:t>
      </w:r>
    </w:p>
    <w:p w:rsidR="00842E74" w:rsidRPr="004958BB" w:rsidP="004958BB" w14:paraId="02960F73" w14:textId="01DC931D">
      <w:pPr>
        <w:spacing w:line="276" w:lineRule="auto"/>
        <w:contextualSpacing/>
        <w:rPr>
          <w:b/>
          <w:bCs/>
        </w:rPr>
      </w:pPr>
      <w:r w:rsidRPr="004958BB">
        <w:rPr>
          <w:b/>
          <w:bCs/>
        </w:rPr>
        <w:t>copies of any document.</w:t>
      </w:r>
      <w:r w:rsidRPr="004958BB" w:rsidR="00C92072">
        <w:rPr>
          <w:b/>
          <w:bCs/>
        </w:rPr>
        <w:t xml:space="preserve">  </w:t>
      </w:r>
    </w:p>
    <w:p w:rsidR="00674665" w:rsidRPr="004958BB" w:rsidP="004958BB" w14:paraId="51DB719D" w14:textId="1835200C">
      <w:p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p>
    <w:p w:rsidR="00674665" w:rsidRPr="004958BB" w:rsidP="004958BB" w14:paraId="6AA26EC6" w14:textId="3C0EB74F">
      <w:pPr>
        <w:spacing w:line="276" w:lineRule="auto"/>
        <w:contextualSpacing/>
        <w:rPr>
          <w:bCs/>
        </w:rPr>
      </w:pPr>
      <w:r w:rsidRPr="004958BB">
        <w:rPr>
          <w:bCs/>
        </w:rPr>
        <w:t>There are no requirements for respondents to submit more than an original and two copies of any documents.</w:t>
      </w:r>
      <w:r w:rsidRPr="004958BB" w:rsidR="00C92072">
        <w:rPr>
          <w:bCs/>
        </w:rPr>
        <w:t xml:space="preserve">  </w:t>
      </w:r>
    </w:p>
    <w:p w:rsidR="00842E74" w:rsidRPr="004958BB" w:rsidP="004958BB" w14:paraId="7480917F" w14:textId="77777777">
      <w:pPr>
        <w:spacing w:line="276" w:lineRule="auto"/>
        <w:contextualSpacing/>
      </w:pPr>
    </w:p>
    <w:p w:rsidR="00232C69" w:rsidRPr="004958BB" w:rsidP="004958BB" w14:paraId="035AA0BD" w14:textId="77777777">
      <w:pPr>
        <w:numPr>
          <w:ilvl w:val="0"/>
          <w:numId w:val="12"/>
        </w:numPr>
        <w:spacing w:line="276" w:lineRule="auto"/>
        <w:contextualSpacing/>
        <w:rPr>
          <w:b/>
          <w:bCs/>
        </w:rPr>
      </w:pPr>
      <w:r w:rsidRPr="004958BB">
        <w:fldChar w:fldCharType="begin"/>
      </w:r>
      <w:r w:rsidRPr="004958BB">
        <w:instrText>ADVANCE \R 0.95</w:instrText>
      </w:r>
      <w:r w:rsidRPr="004958BB">
        <w:fldChar w:fldCharType="end"/>
      </w:r>
      <w:r w:rsidRPr="004958BB">
        <w:rPr>
          <w:b/>
          <w:bCs/>
        </w:rPr>
        <w:t>Requiring respondents to retain records, other than health,</w:t>
      </w:r>
    </w:p>
    <w:p w:rsidR="00842E74" w:rsidRPr="004958BB" w:rsidP="004958BB" w14:paraId="46D51FD8" w14:textId="2977EF1A">
      <w:pPr>
        <w:spacing w:line="276" w:lineRule="auto"/>
        <w:contextualSpacing/>
      </w:pPr>
      <w:r w:rsidRPr="004958BB">
        <w:rPr>
          <w:b/>
          <w:bCs/>
        </w:rPr>
        <w:t>medical, government contract, grant-in-aid, or tax records for more</w:t>
      </w:r>
      <w:r w:rsidRPr="004958BB" w:rsidR="00232C69">
        <w:rPr>
          <w:b/>
          <w:bCs/>
        </w:rPr>
        <w:t xml:space="preserve"> </w:t>
      </w:r>
      <w:r w:rsidRPr="004958BB">
        <w:rPr>
          <w:b/>
          <w:bCs/>
        </w:rPr>
        <w:t>than three years</w:t>
      </w:r>
      <w:r w:rsidRPr="004958BB">
        <w:t>.</w:t>
      </w:r>
      <w:r w:rsidRPr="004958BB" w:rsidR="00C92072">
        <w:t xml:space="preserve">  </w:t>
      </w:r>
    </w:p>
    <w:p w:rsidR="00F25CC8" w:rsidRPr="004958BB" w:rsidP="004958BB" w14:paraId="31E20AC8" w14:textId="77777777">
      <w:pPr>
        <w:spacing w:line="276" w:lineRule="auto"/>
        <w:contextualSpacing/>
      </w:pPr>
    </w:p>
    <w:p w:rsidR="00257E4F" w:rsidRPr="004958BB" w:rsidP="004958BB" w14:paraId="7933693F" w14:textId="5B55BDB0">
      <w:pPr>
        <w:spacing w:line="276" w:lineRule="auto"/>
        <w:contextualSpacing/>
      </w:pPr>
      <w:r w:rsidRPr="004958BB">
        <w:fldChar w:fldCharType="begin"/>
      </w:r>
      <w:r w:rsidRPr="004958BB">
        <w:instrText>ADVANCE \R 0.95</w:instrText>
      </w:r>
      <w:r w:rsidRPr="004958BB">
        <w:fldChar w:fldCharType="end"/>
      </w:r>
      <w:r w:rsidRPr="004958BB">
        <w:fldChar w:fldCharType="begin"/>
      </w:r>
      <w:r w:rsidRPr="004958BB">
        <w:instrText>ADVANCE \R 0.95</w:instrText>
      </w:r>
      <w:r w:rsidRPr="004958BB">
        <w:fldChar w:fldCharType="end"/>
      </w:r>
      <w:r w:rsidRPr="004958BB">
        <w:t xml:space="preserve">There are no requirements </w:t>
      </w:r>
      <w:r w:rsidRPr="004958BB" w:rsidR="00AC4770">
        <w:t xml:space="preserve">for </w:t>
      </w:r>
      <w:r w:rsidRPr="004958BB">
        <w:t>respondents to retain records for more than three years.</w:t>
      </w:r>
      <w:r w:rsidRPr="004958BB" w:rsidR="00C92072">
        <w:t xml:space="preserve">  </w:t>
      </w:r>
    </w:p>
    <w:p w:rsidR="00842E74" w:rsidRPr="004958BB" w:rsidP="004958BB" w14:paraId="4459968A" w14:textId="77777777">
      <w:pPr>
        <w:spacing w:line="276" w:lineRule="auto"/>
        <w:contextualSpacing/>
      </w:pPr>
    </w:p>
    <w:p w:rsidR="00232C69" w:rsidRPr="004958BB" w:rsidP="004958BB" w14:paraId="3BF10154" w14:textId="77777777">
      <w:pPr>
        <w:numPr>
          <w:ilvl w:val="0"/>
          <w:numId w:val="12"/>
        </w:numPr>
        <w:spacing w:line="276" w:lineRule="auto"/>
        <w:contextualSpacing/>
        <w:rPr>
          <w:b/>
          <w:bCs/>
        </w:rPr>
      </w:pPr>
      <w:r w:rsidRPr="004958BB">
        <w:fldChar w:fldCharType="begin"/>
      </w:r>
      <w:r w:rsidRPr="004958BB">
        <w:instrText>ADVANCE \R 0.95</w:instrText>
      </w:r>
      <w:r w:rsidRPr="004958BB">
        <w:fldChar w:fldCharType="end"/>
      </w:r>
      <w:r w:rsidRPr="004958BB">
        <w:rPr>
          <w:b/>
          <w:bCs/>
        </w:rPr>
        <w:t>In connection with a statistical survey, that is not designed to</w:t>
      </w:r>
    </w:p>
    <w:p w:rsidR="00842E74" w:rsidRPr="004958BB" w:rsidP="004958BB" w14:paraId="27CCBB26" w14:textId="5F796D4A">
      <w:pPr>
        <w:spacing w:line="276" w:lineRule="auto"/>
        <w:contextualSpacing/>
      </w:pPr>
      <w:r w:rsidRPr="004958BB">
        <w:rPr>
          <w:b/>
          <w:bCs/>
        </w:rPr>
        <w:t>produce valid and reliable results that can be generalized to the</w:t>
      </w:r>
      <w:r w:rsidRPr="004958BB" w:rsidR="00232C69">
        <w:rPr>
          <w:b/>
          <w:bCs/>
        </w:rPr>
        <w:t xml:space="preserve"> </w:t>
      </w:r>
      <w:r w:rsidRPr="004958BB">
        <w:rPr>
          <w:b/>
          <w:bCs/>
        </w:rPr>
        <w:t>universe of study</w:t>
      </w:r>
      <w:r w:rsidRPr="004958BB">
        <w:t>.</w:t>
      </w:r>
      <w:r w:rsidRPr="004958BB" w:rsidR="00C92072">
        <w:t xml:space="preserve">  </w:t>
      </w:r>
    </w:p>
    <w:p w:rsidR="00257E4F" w:rsidRPr="004958BB" w:rsidP="004958BB" w14:paraId="74346D27" w14:textId="77777777">
      <w:pPr>
        <w:spacing w:line="276" w:lineRule="auto"/>
        <w:contextualSpacing/>
      </w:pPr>
      <w:r w:rsidRPr="004958BB">
        <w:fldChar w:fldCharType="begin"/>
      </w:r>
      <w:r w:rsidRPr="004958BB">
        <w:instrText>ADVANCE \R 0.95</w:instrText>
      </w:r>
      <w:r w:rsidRPr="004958BB">
        <w:fldChar w:fldCharType="end"/>
      </w:r>
    </w:p>
    <w:p w:rsidR="00257E4F" w:rsidRPr="004958BB" w:rsidP="004958BB" w14:paraId="1A4C74E5" w14:textId="7401998F">
      <w:pPr>
        <w:spacing w:line="276" w:lineRule="auto"/>
        <w:contextualSpacing/>
      </w:pPr>
      <w:r w:rsidRPr="004958BB">
        <w:t>There is no statistical survey involved with this collection of information.</w:t>
      </w:r>
      <w:r w:rsidRPr="004958BB" w:rsidR="00C92072">
        <w:t xml:space="preserve">  </w:t>
      </w:r>
    </w:p>
    <w:p w:rsidR="00842E74" w:rsidRPr="004958BB" w:rsidP="004958BB" w14:paraId="022D3542" w14:textId="77777777">
      <w:pPr>
        <w:spacing w:line="276" w:lineRule="auto"/>
        <w:contextualSpacing/>
      </w:pPr>
    </w:p>
    <w:p w:rsidR="00232C69" w:rsidRPr="004958BB" w:rsidP="004958BB" w14:paraId="1B60E412" w14:textId="77777777">
      <w:pPr>
        <w:spacing w:line="276" w:lineRule="auto"/>
        <w:contextualSpacing/>
        <w:rPr>
          <w:b/>
          <w:bCs/>
        </w:rPr>
      </w:pPr>
      <w:r w:rsidRPr="004958BB">
        <w:fldChar w:fldCharType="begin"/>
      </w:r>
      <w:r w:rsidRPr="004958BB">
        <w:instrText>ADVANCE \R 0.95</w:instrText>
      </w:r>
      <w:r w:rsidRPr="004958BB">
        <w:fldChar w:fldCharType="end"/>
      </w:r>
      <w:r w:rsidRPr="004958BB" w:rsidR="00CD0CD6">
        <w:tab/>
      </w:r>
      <w:r w:rsidRPr="004958BB">
        <w:rPr>
          <w:b/>
          <w:bCs/>
        </w:rPr>
        <w:t>(f) Requiring the use of a statistical data classification that has not</w:t>
      </w:r>
      <w:r w:rsidRPr="004958BB">
        <w:rPr>
          <w:b/>
          <w:bCs/>
        </w:rPr>
        <w:t xml:space="preserve"> </w:t>
      </w:r>
    </w:p>
    <w:p w:rsidR="00842E74" w:rsidRPr="004958BB" w:rsidP="004958BB" w14:paraId="6F1A37C4" w14:textId="7C610972">
      <w:pPr>
        <w:spacing w:line="276" w:lineRule="auto"/>
        <w:contextualSpacing/>
        <w:rPr>
          <w:b/>
          <w:bCs/>
        </w:rPr>
      </w:pPr>
      <w:r w:rsidRPr="004958BB">
        <w:rPr>
          <w:b/>
          <w:bCs/>
        </w:rPr>
        <w:t>been reviewed and approved by OMB.</w:t>
      </w:r>
      <w:r w:rsidRPr="004958BB" w:rsidR="00C92072">
        <w:rPr>
          <w:b/>
          <w:bCs/>
        </w:rPr>
        <w:t xml:space="preserve">  </w:t>
      </w:r>
    </w:p>
    <w:p w:rsidR="00257E4F" w:rsidRPr="004958BB" w:rsidP="004958BB" w14:paraId="5BDA5802" w14:textId="77777777">
      <w:pPr>
        <w:spacing w:line="276" w:lineRule="auto"/>
        <w:contextualSpacing/>
      </w:pPr>
    </w:p>
    <w:p w:rsidR="00257E4F" w:rsidRPr="004958BB" w:rsidP="004958BB" w14:paraId="626F1DAA" w14:textId="70865FD0">
      <w:pPr>
        <w:spacing w:line="276" w:lineRule="auto"/>
        <w:contextualSpacing/>
      </w:pPr>
      <w:r w:rsidRPr="004958BB">
        <w:t>There are no requirements to use statistical data classification that has not been reviewed an</w:t>
      </w:r>
      <w:r w:rsidRPr="004958BB" w:rsidR="005537B6">
        <w:t>d</w:t>
      </w:r>
      <w:r w:rsidRPr="004958BB">
        <w:t xml:space="preserve"> approved by OMB.</w:t>
      </w:r>
      <w:r w:rsidRPr="004958BB" w:rsidR="00C92072">
        <w:t xml:space="preserve">  </w:t>
      </w:r>
    </w:p>
    <w:p w:rsidR="00842E74" w:rsidRPr="004958BB" w:rsidP="004958BB" w14:paraId="5BD1F3E6" w14:textId="77777777">
      <w:pPr>
        <w:spacing w:line="276" w:lineRule="auto"/>
        <w:contextualSpacing/>
      </w:pPr>
    </w:p>
    <w:p w:rsidR="00232C69" w:rsidRPr="004958BB" w:rsidP="004958BB" w14:paraId="2086A309" w14:textId="77777777">
      <w:pPr>
        <w:spacing w:line="276" w:lineRule="auto"/>
        <w:contextualSpacing/>
        <w:rPr>
          <w:b/>
          <w:bCs/>
        </w:rPr>
      </w:pPr>
      <w:r w:rsidRPr="004958BB">
        <w:fldChar w:fldCharType="begin"/>
      </w:r>
      <w:r w:rsidRPr="004958BB">
        <w:instrText>ADVANCE \R 0.95</w:instrText>
      </w:r>
      <w:r w:rsidRPr="004958BB">
        <w:fldChar w:fldCharType="end"/>
      </w:r>
      <w:r w:rsidRPr="004958BB" w:rsidR="00CD0CD6">
        <w:tab/>
      </w:r>
      <w:r w:rsidRPr="004958BB">
        <w:rPr>
          <w:b/>
          <w:bCs/>
        </w:rPr>
        <w:t>(g) That includes a pledge of confidentiality that is not supported by</w:t>
      </w:r>
    </w:p>
    <w:p w:rsidR="00842E74" w:rsidRPr="004958BB" w:rsidP="004958BB" w14:paraId="682959FF" w14:textId="75F0D5BF">
      <w:pPr>
        <w:spacing w:line="276" w:lineRule="auto"/>
        <w:contextualSpacing/>
        <w:rPr>
          <w:b/>
          <w:bCs/>
        </w:rPr>
      </w:pPr>
      <w:r w:rsidRPr="004958BB">
        <w:rPr>
          <w:b/>
          <w:bCs/>
        </w:rPr>
        <w:t xml:space="preserve">authority established in statute or regulation, that is not supported by </w:t>
      </w:r>
      <w:r w:rsidRPr="004958BB" w:rsidR="0026549A">
        <w:rPr>
          <w:b/>
          <w:bCs/>
        </w:rPr>
        <w:tab/>
      </w:r>
      <w:r w:rsidRPr="004958BB">
        <w:rPr>
          <w:b/>
          <w:bCs/>
        </w:rPr>
        <w:t>disclosure and data security policies that are consistent with the pledge, or which unnecessarily impedes sharing of data with other agencies for compatible confidential use.</w:t>
      </w:r>
      <w:r w:rsidRPr="004958BB" w:rsidR="00C92072">
        <w:rPr>
          <w:b/>
          <w:bCs/>
        </w:rPr>
        <w:t xml:space="preserve">  </w:t>
      </w:r>
    </w:p>
    <w:p w:rsidR="00257E4F" w:rsidRPr="004958BB" w:rsidP="004958BB" w14:paraId="156E81A7" w14:textId="491B23CE">
      <w:pPr>
        <w:spacing w:line="276" w:lineRule="auto"/>
        <w:contextualSpacing/>
      </w:pPr>
      <w:r w:rsidRPr="004958BB">
        <w:fldChar w:fldCharType="begin"/>
      </w:r>
      <w:r w:rsidRPr="004958BB">
        <w:instrText>ADVANCE \R 0.95</w:instrText>
      </w:r>
      <w:r w:rsidRPr="004958BB">
        <w:fldChar w:fldCharType="end"/>
      </w:r>
    </w:p>
    <w:p w:rsidR="00257E4F" w:rsidRPr="004958BB" w:rsidP="004958BB" w14:paraId="4B709A5E" w14:textId="307B0F83">
      <w:pPr>
        <w:spacing w:line="276" w:lineRule="auto"/>
        <w:contextualSpacing/>
      </w:pPr>
      <w:r w:rsidRPr="004958BB">
        <w:t>There is no pledge of confidentiality that is not supported by authority established in statu</w:t>
      </w:r>
      <w:r w:rsidRPr="004958BB" w:rsidR="00AC4770">
        <w:t>t</w:t>
      </w:r>
      <w:r w:rsidRPr="004958BB">
        <w:t>e or regulation for this information collection.</w:t>
      </w:r>
      <w:r w:rsidRPr="004958BB" w:rsidR="00C92072">
        <w:t xml:space="preserve">  </w:t>
      </w:r>
    </w:p>
    <w:p w:rsidR="00257E4F" w:rsidRPr="004958BB" w:rsidP="004958BB" w14:paraId="39DED28E" w14:textId="77777777">
      <w:pPr>
        <w:spacing w:line="276" w:lineRule="auto"/>
        <w:contextualSpacing/>
      </w:pPr>
    </w:p>
    <w:p w:rsidR="00842E74" w:rsidRPr="004958BB" w:rsidP="004958BB" w14:paraId="34405339" w14:textId="698E5C75">
      <w:pPr>
        <w:spacing w:line="276" w:lineRule="auto"/>
        <w:contextualSpacing/>
        <w:rPr>
          <w:b/>
          <w:bCs/>
        </w:rPr>
      </w:pPr>
      <w:r w:rsidRPr="004958BB">
        <w:fldChar w:fldCharType="begin"/>
      </w:r>
      <w:r w:rsidRPr="004958BB">
        <w:instrText>ADVANCE \R 0.95</w:instrText>
      </w:r>
      <w:r w:rsidRPr="004958BB">
        <w:fldChar w:fldCharType="end"/>
      </w:r>
      <w:r w:rsidRPr="004958BB" w:rsidR="00CD0CD6">
        <w:tab/>
      </w:r>
      <w:r w:rsidRPr="004958BB">
        <w:rPr>
          <w:b/>
          <w:bCs/>
        </w:rPr>
        <w:t>(h) Requiring respondents to submit proprietary trade secret, or other confidential information unless the agency can demonstrate that it has instituted procedures to protect the information’s confidentiality to the extent permitted by law.</w:t>
      </w:r>
      <w:r w:rsidRPr="004958BB" w:rsidR="00C92072">
        <w:rPr>
          <w:b/>
          <w:bCs/>
        </w:rPr>
        <w:t xml:space="preserve">  </w:t>
      </w:r>
    </w:p>
    <w:p w:rsidR="00257E4F" w:rsidRPr="004958BB" w:rsidP="004958BB" w14:paraId="22C5900B" w14:textId="77777777">
      <w:pPr>
        <w:spacing w:line="276" w:lineRule="auto"/>
        <w:contextualSpacing/>
        <w:rPr>
          <w:b/>
          <w:bCs/>
        </w:rPr>
      </w:pPr>
      <w:r w:rsidRPr="004958BB">
        <w:fldChar w:fldCharType="begin"/>
      </w:r>
      <w:r w:rsidRPr="004958BB">
        <w:instrText>ADVANCE \R 0.95</w:instrText>
      </w:r>
      <w:r w:rsidRPr="004958BB">
        <w:fldChar w:fldCharType="end"/>
      </w:r>
    </w:p>
    <w:p w:rsidR="00257E4F" w:rsidRPr="004958BB" w:rsidP="004958BB" w14:paraId="1033C3C6" w14:textId="1B443F63">
      <w:pPr>
        <w:spacing w:line="276" w:lineRule="auto"/>
        <w:contextualSpacing/>
      </w:pPr>
      <w:r w:rsidRPr="004958BB">
        <w:fldChar w:fldCharType="begin"/>
      </w:r>
      <w:r w:rsidRPr="004958BB">
        <w:instrText>ADVANCE \R 0.95</w:instrText>
      </w:r>
      <w:r w:rsidRPr="004958BB">
        <w:fldChar w:fldCharType="end"/>
      </w:r>
      <w:r w:rsidRPr="004958BB">
        <w:t>There are no requirements for respondents to submit proprietary trade secret, or other confidential information for this collection.</w:t>
      </w:r>
      <w:r w:rsidRPr="004958BB" w:rsidR="00C92072">
        <w:t xml:space="preserve">  </w:t>
      </w:r>
    </w:p>
    <w:p w:rsidR="00842E74" w:rsidRPr="004958BB" w:rsidP="004958BB" w14:paraId="2CEA4B3D" w14:textId="77777777">
      <w:pPr>
        <w:spacing w:line="276" w:lineRule="auto"/>
        <w:contextualSpacing/>
      </w:pPr>
    </w:p>
    <w:p w:rsidR="00842E74" w:rsidRPr="004958BB" w:rsidP="004958BB" w14:paraId="33552180" w14:textId="24407668">
      <w:p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r w:rsidRPr="004958BB">
        <w:rPr>
          <w:b/>
          <w:bCs/>
        </w:rPr>
        <w:t xml:space="preserve">8.  Federal Register Notice: </w:t>
      </w:r>
      <w:r w:rsidRPr="004958BB" w:rsidR="00C92072">
        <w:rPr>
          <w:b/>
          <w:bCs/>
        </w:rPr>
        <w:t xml:space="preserve"> </w:t>
      </w:r>
    </w:p>
    <w:p w:rsidR="00842E74" w:rsidRPr="004958BB" w:rsidP="004958BB" w14:paraId="63F30A22" w14:textId="77777777">
      <w:p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p>
    <w:p w:rsidR="00842E74" w:rsidRPr="004958BB" w:rsidP="004958BB" w14:paraId="7DD8A3FF" w14:textId="035AF55D">
      <w:p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r w:rsidRPr="004958BB">
        <w:rPr>
          <w:b/>
          <w:bCs/>
        </w:rPr>
        <w:t xml:space="preserve">            a.   Provide a copy and identify the date and page number of publication in the Federal Register of the agency’s notice soliciting comments on the</w:t>
      </w:r>
      <w:r w:rsidRPr="004958BB" w:rsidR="00920A21">
        <w:rPr>
          <w:b/>
          <w:bCs/>
        </w:rPr>
        <w:tab/>
      </w:r>
      <w:r w:rsidRPr="004958BB">
        <w:rPr>
          <w:b/>
          <w:bCs/>
        </w:rPr>
        <w:t>information collection prior to submission to OMB.  Summarize public</w:t>
      </w:r>
      <w:r w:rsidRPr="004958BB" w:rsidR="00232C69">
        <w:rPr>
          <w:b/>
          <w:bCs/>
        </w:rPr>
        <w:t xml:space="preserve"> </w:t>
      </w:r>
      <w:r w:rsidRPr="004958BB">
        <w:rPr>
          <w:b/>
          <w:bCs/>
        </w:rPr>
        <w:t>comments received in response to that notice and describe actions taken by</w:t>
      </w:r>
      <w:r w:rsidRPr="004958BB" w:rsidR="00232C69">
        <w:rPr>
          <w:b/>
          <w:bCs/>
        </w:rPr>
        <w:t xml:space="preserve"> </w:t>
      </w:r>
      <w:r w:rsidRPr="004958BB">
        <w:rPr>
          <w:b/>
          <w:bCs/>
        </w:rPr>
        <w:t>the agency in response to these comments.  Specifically address comments</w:t>
      </w:r>
      <w:r w:rsidRPr="004958BB" w:rsidR="00232C69">
        <w:rPr>
          <w:b/>
          <w:bCs/>
        </w:rPr>
        <w:t xml:space="preserve"> </w:t>
      </w:r>
      <w:r w:rsidRPr="004958BB">
        <w:rPr>
          <w:b/>
          <w:bCs/>
        </w:rPr>
        <w:t>received on cost and hour burden.</w:t>
      </w:r>
      <w:r w:rsidRPr="004958BB" w:rsidR="00C92072">
        <w:rPr>
          <w:b/>
          <w:bCs/>
        </w:rPr>
        <w:t xml:space="preserve">  </w:t>
      </w:r>
    </w:p>
    <w:p w:rsidR="00E94A13" w:rsidRPr="004958BB" w:rsidP="004958BB" w14:paraId="25ED39AC" w14:textId="77777777">
      <w:pPr>
        <w:spacing w:line="276" w:lineRule="auto"/>
        <w:contextualSpacing/>
        <w:rPr>
          <w:color w:val="000000"/>
        </w:rPr>
      </w:pPr>
      <w:r w:rsidRPr="004958BB">
        <w:fldChar w:fldCharType="begin"/>
      </w:r>
      <w:r w:rsidRPr="004958BB">
        <w:instrText>ADVANCE \R 0.95</w:instrText>
      </w:r>
      <w:r w:rsidRPr="004958BB">
        <w:fldChar w:fldCharType="end"/>
      </w:r>
    </w:p>
    <w:p w:rsidR="00E94A13" w:rsidRPr="002B66B0" w:rsidP="004958BB" w14:paraId="18CA3854" w14:textId="24A9E8B4">
      <w:pPr>
        <w:spacing w:line="276" w:lineRule="auto"/>
        <w:contextualSpacing/>
        <w:rPr>
          <w:color w:val="000000" w:themeColor="text1"/>
        </w:rPr>
      </w:pPr>
      <w:r w:rsidRPr="004958BB">
        <w:rPr>
          <w:color w:val="000000"/>
        </w:rPr>
        <w:t>A 60-</w:t>
      </w:r>
      <w:r w:rsidRPr="002B66B0">
        <w:rPr>
          <w:color w:val="000000" w:themeColor="text1"/>
        </w:rPr>
        <w:t xml:space="preserve">day Federal Register Notice inviting public comments was published on </w:t>
      </w:r>
      <w:r w:rsidRPr="002B66B0" w:rsidR="00DA6B0F">
        <w:rPr>
          <w:color w:val="000000" w:themeColor="text1"/>
        </w:rPr>
        <w:t>December 7, 2022, at 87 FR 75060</w:t>
      </w:r>
      <w:r w:rsidRPr="002B66B0">
        <w:rPr>
          <w:color w:val="000000" w:themeColor="text1"/>
        </w:rPr>
        <w:t xml:space="preserve">.  </w:t>
      </w:r>
      <w:r w:rsidRPr="002B66B0" w:rsidR="00A5213D">
        <w:rPr>
          <w:color w:val="000000" w:themeColor="text1"/>
        </w:rPr>
        <w:t>One complimentary comment was received and FEMA thanks the commentor</w:t>
      </w:r>
      <w:r w:rsidRPr="002B66B0">
        <w:rPr>
          <w:color w:val="000000" w:themeColor="text1"/>
        </w:rPr>
        <w:t>.</w:t>
      </w:r>
    </w:p>
    <w:p w:rsidR="00A5213D" w:rsidRPr="002B66B0" w:rsidP="004958BB" w14:paraId="5A075342" w14:textId="6611E15E">
      <w:pPr>
        <w:spacing w:line="276" w:lineRule="auto"/>
        <w:contextualSpacing/>
        <w:rPr>
          <w:color w:val="000000" w:themeColor="text1"/>
        </w:rPr>
      </w:pPr>
    </w:p>
    <w:p w:rsidR="00A5213D" w:rsidRPr="002B66B0" w:rsidP="004958BB" w14:paraId="2BD9DC5F" w14:textId="265ABF3F">
      <w:pPr>
        <w:spacing w:line="276" w:lineRule="auto"/>
        <w:contextualSpacing/>
        <w:rPr>
          <w:color w:val="000000" w:themeColor="text1"/>
        </w:rPr>
      </w:pPr>
      <w:r w:rsidRPr="002B66B0">
        <w:rPr>
          <w:b/>
          <w:bCs/>
          <w:i/>
          <w:iCs/>
          <w:color w:val="000000" w:themeColor="text1"/>
        </w:rPr>
        <w:t>Comment 1 (FEMA-2022-0049-0002):</w:t>
      </w:r>
      <w:r w:rsidRPr="002B66B0">
        <w:rPr>
          <w:color w:val="000000" w:themeColor="text1"/>
        </w:rPr>
        <w:t xml:space="preserve">  “I congratulate FEMA on its thoughtful transition from these antiquated information collection forms.”</w:t>
      </w:r>
    </w:p>
    <w:p w:rsidR="00A5213D" w:rsidRPr="002B66B0" w:rsidP="004958BB" w14:paraId="5FE7ECC5" w14:textId="77777777">
      <w:pPr>
        <w:spacing w:line="276" w:lineRule="auto"/>
        <w:contextualSpacing/>
        <w:rPr>
          <w:color w:val="000000" w:themeColor="text1"/>
        </w:rPr>
      </w:pPr>
    </w:p>
    <w:p w:rsidR="00A5213D" w:rsidRPr="002B66B0" w:rsidP="004958BB" w14:paraId="5F732D9D" w14:textId="7D4A9C1A">
      <w:pPr>
        <w:spacing w:line="276" w:lineRule="auto"/>
        <w:contextualSpacing/>
        <w:rPr>
          <w:color w:val="000000" w:themeColor="text1"/>
        </w:rPr>
      </w:pPr>
      <w:bookmarkStart w:id="3" w:name="_Hlk126662398"/>
      <w:r w:rsidRPr="002B66B0">
        <w:rPr>
          <w:i/>
          <w:iCs/>
          <w:color w:val="000000" w:themeColor="text1"/>
        </w:rPr>
        <w:t>FEMA Response to Comment 1:</w:t>
      </w:r>
      <w:r w:rsidRPr="002B66B0">
        <w:rPr>
          <w:color w:val="000000" w:themeColor="text1"/>
        </w:rPr>
        <w:t xml:space="preserve">  </w:t>
      </w:r>
      <w:bookmarkStart w:id="4" w:name="_Hlk106113784"/>
      <w:bookmarkEnd w:id="3"/>
      <w:r w:rsidRPr="002B66B0">
        <w:rPr>
          <w:color w:val="000000" w:themeColor="text1"/>
        </w:rPr>
        <w:t>FEMA simply thanks the commenter for their response.</w:t>
      </w:r>
      <w:bookmarkEnd w:id="4"/>
    </w:p>
    <w:p w:rsidR="00E94A13" w:rsidRPr="002B66B0" w:rsidP="004958BB" w14:paraId="20DFB4E0" w14:textId="77777777">
      <w:pPr>
        <w:spacing w:line="276" w:lineRule="auto"/>
        <w:contextualSpacing/>
        <w:rPr>
          <w:color w:val="000000" w:themeColor="text1"/>
        </w:rPr>
      </w:pPr>
    </w:p>
    <w:p w:rsidR="00E94A13" w:rsidRPr="0017248C" w:rsidP="004958BB" w14:paraId="412ABE5B" w14:textId="000ADE6B">
      <w:pPr>
        <w:spacing w:line="276" w:lineRule="auto"/>
        <w:contextualSpacing/>
        <w:rPr>
          <w:color w:val="000000" w:themeColor="text1"/>
        </w:rPr>
      </w:pPr>
      <w:r w:rsidRPr="0017248C">
        <w:rPr>
          <w:color w:val="000000" w:themeColor="text1"/>
        </w:rPr>
        <w:t>A 30-day Federal Register Notice inviting public comments was published o</w:t>
      </w:r>
      <w:r w:rsidRPr="00D270EB">
        <w:rPr>
          <w:color w:val="000000" w:themeColor="text1"/>
        </w:rPr>
        <w:t xml:space="preserve">n </w:t>
      </w:r>
      <w:r w:rsidRPr="0017248C" w:rsidR="00D270EB">
        <w:rPr>
          <w:color w:val="000000" w:themeColor="text1"/>
        </w:rPr>
        <w:t>February 22, 2023, at 88 FR 10918</w:t>
      </w:r>
      <w:r w:rsidRPr="0017248C">
        <w:rPr>
          <w:color w:val="000000" w:themeColor="text1"/>
        </w:rPr>
        <w:t xml:space="preserve">.  </w:t>
      </w:r>
      <w:r w:rsidRPr="0017248C" w:rsidR="00D270EB">
        <w:rPr>
          <w:color w:val="000000" w:themeColor="text1"/>
        </w:rPr>
        <w:t>The public comment period is open until March 24, 2023</w:t>
      </w:r>
      <w:r w:rsidRPr="0017248C">
        <w:rPr>
          <w:color w:val="000000" w:themeColor="text1"/>
        </w:rPr>
        <w:t>.</w:t>
      </w:r>
    </w:p>
    <w:p w:rsidR="00E94A13" w:rsidRPr="004958BB" w:rsidP="004958BB" w14:paraId="1FD57FC1" w14:textId="77777777">
      <w:pPr>
        <w:spacing w:line="276" w:lineRule="auto"/>
        <w:contextualSpacing/>
      </w:pPr>
    </w:p>
    <w:p w:rsidR="00842E74" w:rsidRPr="004958BB" w:rsidP="004958BB" w14:paraId="62244315" w14:textId="74BE3206">
      <w:pPr>
        <w:tabs>
          <w:tab w:val="left" w:pos="360"/>
        </w:tabs>
        <w:spacing w:line="276" w:lineRule="auto"/>
        <w:contextualSpacing/>
        <w:rPr>
          <w:b/>
          <w:bCs/>
        </w:rPr>
      </w:pPr>
      <w:r w:rsidRPr="004958BB">
        <w:fldChar w:fldCharType="begin"/>
      </w:r>
      <w:r w:rsidRPr="004958BB">
        <w:instrText>ADVANCE \R 0.95</w:instrText>
      </w:r>
      <w:r w:rsidRPr="004958BB">
        <w:fldChar w:fldCharType="end"/>
      </w:r>
      <w:r w:rsidRPr="004958BB">
        <w:tab/>
      </w:r>
      <w:r w:rsidRPr="004958BB">
        <w:tab/>
      </w:r>
      <w:bookmarkStart w:id="5" w:name="_Hlk25054996"/>
      <w:bookmarkStart w:id="6" w:name="_Hlk19026224"/>
      <w:r w:rsidRPr="004958BB">
        <w:rPr>
          <w:b/>
          <w:bCs/>
        </w:rPr>
        <w:t xml:space="preserve">b.  Describe efforts to consult with persons outside the agency to obtain their views on the availability of data, frequency of collection, the clarity of </w:t>
      </w:r>
      <w:r w:rsidRPr="004958BB" w:rsidR="00232C69">
        <w:rPr>
          <w:b/>
          <w:bCs/>
        </w:rPr>
        <w:t>ins</w:t>
      </w:r>
      <w:r w:rsidRPr="004958BB">
        <w:rPr>
          <w:b/>
          <w:bCs/>
        </w:rPr>
        <w:t>tructions and recordkeeping, disclosure, or reporting format (if any), and on the data elements to be recorded, disclosed, or reported.</w:t>
      </w:r>
      <w:bookmarkEnd w:id="5"/>
      <w:r w:rsidRPr="004958BB" w:rsidR="00C92072">
        <w:rPr>
          <w:b/>
          <w:bCs/>
        </w:rPr>
        <w:t xml:space="preserve">  </w:t>
      </w:r>
    </w:p>
    <w:bookmarkEnd w:id="6"/>
    <w:p w:rsidR="00F261B3" w:rsidRPr="004958BB" w:rsidP="004958BB" w14:paraId="242E65AE" w14:textId="61D3F2AC">
      <w:pPr>
        <w:spacing w:line="276" w:lineRule="auto"/>
        <w:contextualSpacing/>
      </w:pPr>
    </w:p>
    <w:p w:rsidR="00C74DED" w:rsidRPr="004958BB" w:rsidP="004958BB" w14:paraId="1EBA6686" w14:textId="7B48B5CB">
      <w:pPr>
        <w:spacing w:line="276" w:lineRule="auto"/>
        <w:contextualSpacing/>
      </w:pPr>
      <w:r w:rsidRPr="004958BB">
        <w:t>FEMA</w:t>
      </w:r>
      <w:r w:rsidRPr="004958BB" w:rsidR="001527DE">
        <w:t xml:space="preserve"> routinely invite</w:t>
      </w:r>
      <w:r w:rsidRPr="004958BB">
        <w:t>s</w:t>
      </w:r>
      <w:r w:rsidRPr="004958BB" w:rsidR="001527DE">
        <w:t xml:space="preserve"> </w:t>
      </w:r>
      <w:r w:rsidRPr="004958BB">
        <w:t>stakeholder</w:t>
      </w:r>
      <w:r w:rsidRPr="004958BB" w:rsidR="009A022A">
        <w:t xml:space="preserve"> input</w:t>
      </w:r>
      <w:r w:rsidRPr="004958BB">
        <w:t xml:space="preserve"> </w:t>
      </w:r>
      <w:r w:rsidRPr="004958BB" w:rsidR="001527DE">
        <w:t>on</w:t>
      </w:r>
      <w:r w:rsidRPr="004958BB" w:rsidR="00232DC4">
        <w:t xml:space="preserve"> the policy forms and any other program documentation.  </w:t>
      </w:r>
      <w:r w:rsidRPr="004958BB" w:rsidR="006D1E51">
        <w:t xml:space="preserve">FEMA </w:t>
      </w:r>
      <w:r w:rsidRPr="004958BB" w:rsidR="00232DC4">
        <w:t>maintain</w:t>
      </w:r>
      <w:r w:rsidRPr="004958BB" w:rsidR="006D1E51">
        <w:t>s</w:t>
      </w:r>
      <w:r w:rsidRPr="004958BB" w:rsidR="00232DC4">
        <w:t xml:space="preserve"> an </w:t>
      </w:r>
      <w:r w:rsidRPr="004958BB" w:rsidR="009A022A">
        <w:t>u</w:t>
      </w:r>
      <w:r w:rsidRPr="004958BB" w:rsidR="00232DC4">
        <w:t xml:space="preserve">nderwriting mailbox through the NFIP Direct that our stakeholders can contact to ask questions or provide comments. </w:t>
      </w:r>
      <w:r w:rsidRPr="004958BB" w:rsidR="00C92072">
        <w:t xml:space="preserve"> </w:t>
      </w:r>
    </w:p>
    <w:p w:rsidR="00C74DED" w:rsidRPr="004958BB" w:rsidP="004958BB" w14:paraId="2E9AE871" w14:textId="77777777">
      <w:pPr>
        <w:spacing w:line="276" w:lineRule="auto"/>
        <w:contextualSpacing/>
      </w:pPr>
    </w:p>
    <w:p w:rsidR="00F261B3" w:rsidRPr="004958BB" w:rsidP="004958BB" w14:paraId="22FF9104" w14:textId="1D10D6F5">
      <w:pPr>
        <w:spacing w:line="276" w:lineRule="auto"/>
        <w:contextualSpacing/>
        <w:rPr>
          <w:color w:val="000000"/>
        </w:rPr>
      </w:pPr>
      <w:r>
        <w:t xml:space="preserve">FEMA representatives also meet quarterly with </w:t>
      </w:r>
      <w:r w:rsidRPr="4FCD19C7">
        <w:rPr>
          <w:color w:val="000000" w:themeColor="text1"/>
        </w:rPr>
        <w:t>t</w:t>
      </w:r>
      <w:r w:rsidRPr="4FCD19C7">
        <w:rPr>
          <w:color w:val="000000" w:themeColor="text1"/>
        </w:rPr>
        <w:t>he Flood Insurance Producer National Committee (FIPNC)</w:t>
      </w:r>
      <w:r w:rsidRPr="4FCD19C7" w:rsidR="009A022A">
        <w:rPr>
          <w:color w:val="000000" w:themeColor="text1"/>
        </w:rPr>
        <w:t xml:space="preserve"> and representatives from the Insurance Institute for Business &amp; Home Safety (IBHS) to discuss any aspects of the NFIP that are of concern to them.  The FIPNC </w:t>
      </w:r>
      <w:r w:rsidRPr="4FCD19C7">
        <w:rPr>
          <w:color w:val="000000" w:themeColor="text1"/>
        </w:rPr>
        <w:t>is</w:t>
      </w:r>
      <w:r w:rsidRPr="4FCD19C7" w:rsidR="009A022A">
        <w:rPr>
          <w:color w:val="000000" w:themeColor="text1"/>
        </w:rPr>
        <w:t xml:space="preserve"> comprised</w:t>
      </w:r>
      <w:r w:rsidRPr="4FCD19C7" w:rsidR="00C660D2">
        <w:rPr>
          <w:color w:val="000000" w:themeColor="text1"/>
        </w:rPr>
        <w:t xml:space="preserve"> </w:t>
      </w:r>
      <w:r w:rsidRPr="4FCD19C7">
        <w:rPr>
          <w:color w:val="000000" w:themeColor="text1"/>
        </w:rPr>
        <w:t>of non-government professionals involved with the NFIP</w:t>
      </w:r>
      <w:r w:rsidRPr="4FCD19C7" w:rsidR="009A022A">
        <w:rPr>
          <w:color w:val="000000" w:themeColor="text1"/>
        </w:rPr>
        <w:t xml:space="preserve"> and</w:t>
      </w:r>
      <w:r w:rsidRPr="4FCD19C7">
        <w:rPr>
          <w:color w:val="000000" w:themeColor="text1"/>
        </w:rPr>
        <w:t xml:space="preserve"> </w:t>
      </w:r>
      <w:r w:rsidRPr="4FCD19C7" w:rsidR="009A022A">
        <w:rPr>
          <w:color w:val="000000" w:themeColor="text1"/>
        </w:rPr>
        <w:t>the IBHS is</w:t>
      </w:r>
      <w:r w:rsidRPr="4FCD19C7" w:rsidR="005D498E">
        <w:rPr>
          <w:color w:val="000000" w:themeColor="text1"/>
        </w:rPr>
        <w:t xml:space="preserve"> </w:t>
      </w:r>
      <w:r w:rsidRPr="4FCD19C7" w:rsidR="00C660D2">
        <w:rPr>
          <w:color w:val="000000" w:themeColor="text1"/>
        </w:rPr>
        <w:t xml:space="preserve"> </w:t>
      </w:r>
      <w:r w:rsidRPr="4FCD19C7" w:rsidR="005D498E">
        <w:rPr>
          <w:color w:val="000000" w:themeColor="text1"/>
        </w:rPr>
        <w:t>an independent, non</w:t>
      </w:r>
      <w:r w:rsidRPr="4FCD19C7" w:rsidR="00AC4770">
        <w:rPr>
          <w:color w:val="000000" w:themeColor="text1"/>
        </w:rPr>
        <w:t>-</w:t>
      </w:r>
      <w:r w:rsidRPr="4FCD19C7" w:rsidR="005D498E">
        <w:rPr>
          <w:color w:val="000000" w:themeColor="text1"/>
        </w:rPr>
        <w:t>profit, scientific and educational organization wholly supported by the property insurance industry</w:t>
      </w:r>
      <w:r w:rsidRPr="4FCD19C7" w:rsidR="00F87C46">
        <w:rPr>
          <w:color w:val="000000" w:themeColor="text1"/>
        </w:rPr>
        <w:t>.</w:t>
      </w:r>
      <w:r w:rsidRPr="4FCD19C7" w:rsidR="005D498E">
        <w:rPr>
          <w:color w:val="000000" w:themeColor="text1"/>
        </w:rPr>
        <w:t xml:space="preserve"> </w:t>
      </w:r>
      <w:r w:rsidRPr="4FCD19C7">
        <w:rPr>
          <w:color w:val="000000" w:themeColor="text1"/>
        </w:rPr>
        <w:t>This information collection, including the forms used, is open to FIPNC</w:t>
      </w:r>
      <w:r w:rsidRPr="4FCD19C7" w:rsidR="005D498E">
        <w:rPr>
          <w:color w:val="000000" w:themeColor="text1"/>
        </w:rPr>
        <w:t xml:space="preserve"> and IBHS</w:t>
      </w:r>
      <w:r w:rsidRPr="4FCD19C7">
        <w:rPr>
          <w:color w:val="000000" w:themeColor="text1"/>
        </w:rPr>
        <w:t xml:space="preserve"> as a subject of discussion if </w:t>
      </w:r>
      <w:r w:rsidRPr="4FCD19C7" w:rsidR="005D498E">
        <w:rPr>
          <w:color w:val="000000" w:themeColor="text1"/>
        </w:rPr>
        <w:t>they so</w:t>
      </w:r>
      <w:r w:rsidRPr="4FCD19C7">
        <w:rPr>
          <w:color w:val="000000" w:themeColor="text1"/>
        </w:rPr>
        <w:t xml:space="preserve"> choose.  </w:t>
      </w:r>
    </w:p>
    <w:p w:rsidR="005D498E" w:rsidRPr="004958BB" w:rsidP="004958BB" w14:paraId="416B00E6" w14:textId="77777777">
      <w:pPr>
        <w:pStyle w:val="BodyText3"/>
        <w:shd w:val="clear" w:color="auto" w:fill="FFFFFF"/>
        <w:spacing w:line="276" w:lineRule="auto"/>
        <w:contextualSpacing/>
        <w:rPr>
          <w:color w:val="000000"/>
          <w:sz w:val="24"/>
          <w:szCs w:val="24"/>
        </w:rPr>
      </w:pPr>
    </w:p>
    <w:p w:rsidR="00F261B3" w:rsidRPr="004958BB" w:rsidP="004958BB" w14:paraId="410E451B" w14:textId="2FF6FA1F">
      <w:pPr>
        <w:tabs>
          <w:tab w:val="left" w:pos="-720"/>
          <w:tab w:val="left" w:pos="5580"/>
        </w:tabs>
        <w:suppressAutoHyphens/>
        <w:spacing w:line="276" w:lineRule="auto"/>
        <w:contextualSpacing/>
        <w:rPr>
          <w:color w:val="000000"/>
        </w:rPr>
      </w:pPr>
      <w:r w:rsidRPr="004958BB">
        <w:rPr>
          <w:color w:val="000000"/>
        </w:rPr>
        <w:t>In addition, NFIP personnel frequently discuss the NFIP Policy Forms at meetings with other involved users</w:t>
      </w:r>
      <w:r w:rsidRPr="004958BB" w:rsidR="000E107B">
        <w:rPr>
          <w:color w:val="000000"/>
        </w:rPr>
        <w:t>,</w:t>
      </w:r>
      <w:r w:rsidRPr="004958BB">
        <w:rPr>
          <w:color w:val="000000"/>
        </w:rPr>
        <w:t xml:space="preserve"> e.g., insurance agents, insurance company officials, mortgage lenders, surveyors, engineers, and others.  </w:t>
      </w:r>
    </w:p>
    <w:p w:rsidR="00372ED0" w:rsidRPr="004958BB" w:rsidP="004958BB" w14:paraId="00675953" w14:textId="77777777">
      <w:pPr>
        <w:spacing w:line="276" w:lineRule="auto"/>
        <w:contextualSpacing/>
      </w:pPr>
    </w:p>
    <w:p w:rsidR="00842E74" w:rsidRPr="004958BB" w:rsidP="004958BB" w14:paraId="17DA6CA4" w14:textId="359D0971">
      <w:pPr>
        <w:tabs>
          <w:tab w:val="left" w:pos="360"/>
        </w:tabs>
        <w:spacing w:line="276" w:lineRule="auto"/>
        <w:contextualSpacing/>
        <w:rPr>
          <w:b/>
          <w:bCs/>
        </w:rPr>
      </w:pPr>
      <w:r w:rsidRPr="004958BB">
        <w:rPr>
          <w:b/>
          <w:bCs/>
        </w:rPr>
        <w:tab/>
      </w:r>
      <w:r w:rsidRPr="004958BB" w:rsidR="00920A21">
        <w:rPr>
          <w:b/>
          <w:bCs/>
        </w:rPr>
        <w:tab/>
      </w:r>
      <w:bookmarkStart w:id="7" w:name="_Hlk19026249"/>
      <w:r w:rsidRPr="004958BB">
        <w:rPr>
          <w:b/>
          <w:bCs/>
        </w:rPr>
        <w:t>c</w:t>
      </w:r>
      <w:bookmarkStart w:id="8" w:name="_Hlk25055042"/>
      <w:r w:rsidRPr="004958BB">
        <w:rPr>
          <w:b/>
          <w:bCs/>
        </w:rPr>
        <w:t>.  Describe consultations with representatives of those from whom information is to be obtained or those who must compile records.</w:t>
      </w:r>
      <w:r w:rsidRPr="004958BB" w:rsidR="009A022A">
        <w:rPr>
          <w:b/>
          <w:bCs/>
        </w:rPr>
        <w:t xml:space="preserve"> </w:t>
      </w:r>
      <w:r w:rsidRPr="004958BB">
        <w:rPr>
          <w:b/>
          <w:bCs/>
        </w:rPr>
        <w:t xml:space="preserve"> Consultation should occur at least once every three years, even if the collection of information activities is the same as in prior periods.  There may</w:t>
      </w:r>
      <w:r w:rsidRPr="004958BB" w:rsidR="00232C69">
        <w:rPr>
          <w:b/>
          <w:bCs/>
        </w:rPr>
        <w:t xml:space="preserve"> </w:t>
      </w:r>
      <w:r w:rsidRPr="004958BB">
        <w:rPr>
          <w:b/>
          <w:bCs/>
        </w:rPr>
        <w:t xml:space="preserve">be circumstances that may preclude consultation in a specific situation. </w:t>
      </w:r>
      <w:r w:rsidRPr="004958BB" w:rsidR="00C92072">
        <w:rPr>
          <w:b/>
          <w:bCs/>
        </w:rPr>
        <w:t xml:space="preserve"> </w:t>
      </w:r>
      <w:r w:rsidRPr="004958BB">
        <w:rPr>
          <w:b/>
          <w:bCs/>
        </w:rPr>
        <w:t>These circumstances should be explained.</w:t>
      </w:r>
      <w:r w:rsidRPr="004958BB" w:rsidR="00C92072">
        <w:rPr>
          <w:b/>
          <w:bCs/>
        </w:rPr>
        <w:t xml:space="preserve">  </w:t>
      </w:r>
    </w:p>
    <w:bookmarkEnd w:id="7"/>
    <w:bookmarkEnd w:id="8"/>
    <w:p w:rsidR="00C74DED" w:rsidRPr="004958BB" w:rsidP="004958BB" w14:paraId="54FEB29D" w14:textId="77777777">
      <w:pPr>
        <w:spacing w:line="276" w:lineRule="auto"/>
        <w:contextualSpacing/>
      </w:pPr>
    </w:p>
    <w:p w:rsidR="006814B4" w:rsidRPr="004958BB" w:rsidP="004958BB" w14:paraId="6A4FA221" w14:textId="3EE79E1F">
      <w:pPr>
        <w:spacing w:line="276" w:lineRule="auto"/>
        <w:contextualSpacing/>
      </w:pPr>
      <w:bookmarkStart w:id="9" w:name="_Hlk127280480"/>
      <w:r>
        <w:t>FEMA staff meet at least semi-annually with a working group to discuss recommended changes to our guidance documentation, specifically the NFIP Flood Insurance Manual, which includes information for the use of the policy forms.</w:t>
      </w:r>
      <w:r w:rsidR="004A3E53">
        <w:t xml:space="preserve"> </w:t>
      </w:r>
      <w:r w:rsidR="00C92072">
        <w:t xml:space="preserve"> </w:t>
      </w:r>
      <w:r w:rsidR="004A3E53">
        <w:t xml:space="preserve">Input includes suggestions received from the NFIP Direct </w:t>
      </w:r>
      <w:r w:rsidR="0095443B">
        <w:t>(</w:t>
      </w:r>
      <w:r w:rsidR="004A3E53">
        <w:t>which works directly with agents who complete the forms on behalf of policyholders</w:t>
      </w:r>
      <w:r w:rsidR="0095443B">
        <w:t>),</w:t>
      </w:r>
      <w:r w:rsidR="004A3E53">
        <w:t xml:space="preserve"> WYO </w:t>
      </w:r>
      <w:r w:rsidR="0022670D">
        <w:t xml:space="preserve">insurance </w:t>
      </w:r>
      <w:r w:rsidR="00827B4C">
        <w:t>companies,</w:t>
      </w:r>
      <w:r w:rsidR="004A3E53">
        <w:t xml:space="preserve"> </w:t>
      </w:r>
      <w:r w:rsidR="00827B4C">
        <w:t>agents,</w:t>
      </w:r>
      <w:r w:rsidR="004A3E53">
        <w:t xml:space="preserve"> and policyholders. We also conduct monthly calls with our WYO </w:t>
      </w:r>
      <w:r w:rsidR="00B101C9">
        <w:t>ind</w:t>
      </w:r>
      <w:r w:rsidR="0022670D">
        <w:t xml:space="preserve">ustry </w:t>
      </w:r>
      <w:r w:rsidR="004A3E53">
        <w:t>partners that include a question and answer period, during which they can bring up any concerns about the policy forms.</w:t>
      </w:r>
    </w:p>
    <w:bookmarkEnd w:id="9"/>
    <w:p w:rsidR="00842E74" w:rsidRPr="004958BB" w:rsidP="004958BB" w14:paraId="0C0BB75D" w14:textId="6D797029">
      <w:pPr>
        <w:spacing w:line="276" w:lineRule="auto"/>
        <w:contextualSpacing/>
      </w:pPr>
    </w:p>
    <w:p w:rsidR="00842E74" w:rsidRPr="004958BB" w:rsidP="004958BB" w14:paraId="3886296D" w14:textId="55E213CA">
      <w:p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r w:rsidRPr="004958BB">
        <w:rPr>
          <w:b/>
          <w:bCs/>
        </w:rPr>
        <w:t>9.  Explain any decision to provide any payment or gift to respondents, other than remuneration of contractors or grantees.</w:t>
      </w:r>
      <w:r w:rsidRPr="004958BB" w:rsidR="00C92072">
        <w:rPr>
          <w:b/>
          <w:bCs/>
        </w:rPr>
        <w:t xml:space="preserve">  </w:t>
      </w:r>
    </w:p>
    <w:p w:rsidR="00257E4F" w:rsidRPr="004958BB" w:rsidP="004958BB" w14:paraId="0DF00EBF" w14:textId="77777777">
      <w:pPr>
        <w:spacing w:line="276" w:lineRule="auto"/>
        <w:contextualSpacing/>
        <w:rPr>
          <w:b/>
          <w:bCs/>
        </w:rPr>
      </w:pPr>
    </w:p>
    <w:p w:rsidR="00257E4F" w:rsidRPr="004958BB" w:rsidP="004958BB" w14:paraId="4D726830" w14:textId="30562D90">
      <w:pPr>
        <w:spacing w:line="276" w:lineRule="auto"/>
        <w:contextualSpacing/>
      </w:pPr>
      <w:r w:rsidRPr="004958BB">
        <w:t>FEMA does not provide payments or gifts to respondents in exchange for a benefit sought.</w:t>
      </w:r>
      <w:r w:rsidRPr="004958BB" w:rsidR="00C92072">
        <w:t xml:space="preserve">  </w:t>
      </w:r>
    </w:p>
    <w:p w:rsidR="00257E4F" w:rsidRPr="004958BB" w:rsidP="004958BB" w14:paraId="3913D91F" w14:textId="77777777">
      <w:pPr>
        <w:tabs>
          <w:tab w:val="left" w:pos="360"/>
        </w:tabs>
        <w:spacing w:line="276" w:lineRule="auto"/>
        <w:contextualSpacing/>
        <w:rPr>
          <w:b/>
          <w:bCs/>
        </w:rPr>
      </w:pPr>
    </w:p>
    <w:p w:rsidR="009736B8" w:rsidRPr="004958BB" w:rsidP="004958BB" w14:paraId="497D5261" w14:textId="77777777">
      <w:pPr>
        <w:tabs>
          <w:tab w:val="left" w:pos="360"/>
        </w:tabs>
        <w:spacing w:line="276" w:lineRule="auto"/>
        <w:contextualSpacing/>
        <w:rPr>
          <w:b/>
          <w:bCs/>
        </w:rPr>
      </w:pPr>
      <w:r w:rsidRPr="004958BB">
        <w:rPr>
          <w:b/>
          <w:bCs/>
        </w:rPr>
        <w:t xml:space="preserve">10.  </w:t>
      </w:r>
      <w:r w:rsidRPr="004958BB" w:rsidR="00842E74">
        <w:rPr>
          <w:b/>
          <w:bCs/>
        </w:rPr>
        <w:t>Describe any assurance of confidentiality provided to respondents</w:t>
      </w:r>
      <w:r w:rsidRPr="004958BB" w:rsidR="0094233D">
        <w:rPr>
          <w:b/>
          <w:bCs/>
        </w:rPr>
        <w:t xml:space="preserve">. </w:t>
      </w:r>
      <w:r w:rsidRPr="004958BB" w:rsidR="00842E74">
        <w:rPr>
          <w:b/>
          <w:bCs/>
        </w:rPr>
        <w:t xml:space="preserve"> </w:t>
      </w:r>
      <w:r w:rsidRPr="004958BB" w:rsidR="0094233D">
        <w:rPr>
          <w:b/>
          <w:bCs/>
        </w:rPr>
        <w:t xml:space="preserve">Present </w:t>
      </w:r>
      <w:r w:rsidRPr="004958BB" w:rsidR="00842E74">
        <w:rPr>
          <w:b/>
          <w:bCs/>
        </w:rPr>
        <w:t xml:space="preserve">the basis for the assurance in statute, regulation, or agency policy.  </w:t>
      </w:r>
    </w:p>
    <w:p w:rsidR="009736B8" w:rsidRPr="004958BB" w:rsidP="004958BB" w14:paraId="67CE1E17" w14:textId="77777777">
      <w:pPr>
        <w:tabs>
          <w:tab w:val="left" w:pos="360"/>
        </w:tabs>
        <w:spacing w:line="276" w:lineRule="auto"/>
        <w:contextualSpacing/>
        <w:rPr>
          <w:b/>
          <w:bCs/>
        </w:rPr>
      </w:pPr>
    </w:p>
    <w:p w:rsidR="00257E4F" w:rsidRPr="004958BB" w:rsidP="004958BB" w14:paraId="696543CD" w14:textId="030523D1">
      <w:pPr>
        <w:pStyle w:val="BodyText"/>
        <w:shd w:val="clear" w:color="auto" w:fill="FFFFFF"/>
        <w:spacing w:line="276" w:lineRule="auto"/>
        <w:contextualSpacing/>
        <w:rPr>
          <w:sz w:val="24"/>
        </w:rPr>
      </w:pPr>
      <w:bookmarkStart w:id="10" w:name="_Hlk56700874"/>
      <w:r w:rsidRPr="004958BB">
        <w:rPr>
          <w:sz w:val="24"/>
        </w:rPr>
        <w:t xml:space="preserve">FEMA </w:t>
      </w:r>
      <w:r w:rsidRPr="004958BB" w:rsidR="006C1371">
        <w:rPr>
          <w:sz w:val="24"/>
        </w:rPr>
        <w:t xml:space="preserve">limits the </w:t>
      </w:r>
      <w:r w:rsidRPr="004958BB">
        <w:rPr>
          <w:sz w:val="24"/>
        </w:rPr>
        <w:t>disclos</w:t>
      </w:r>
      <w:r w:rsidRPr="004958BB" w:rsidR="006C1371">
        <w:rPr>
          <w:sz w:val="24"/>
        </w:rPr>
        <w:t>ure of</w:t>
      </w:r>
      <w:r w:rsidRPr="004958BB">
        <w:rPr>
          <w:sz w:val="24"/>
        </w:rPr>
        <w:t xml:space="preserve"> the information collected to the servicing office acting as the government’s fiscal agent, to routine users, to the insured’s agent of record, and </w:t>
      </w:r>
      <w:r w:rsidRPr="004958BB" w:rsidR="006C1371">
        <w:rPr>
          <w:sz w:val="24"/>
        </w:rPr>
        <w:t xml:space="preserve">the </w:t>
      </w:r>
      <w:r w:rsidRPr="004958BB">
        <w:rPr>
          <w:sz w:val="24"/>
        </w:rPr>
        <w:t>mortgagee listed on the flood insurance policy.</w:t>
      </w:r>
      <w:r w:rsidRPr="004958BB" w:rsidR="006D1E51">
        <w:rPr>
          <w:sz w:val="24"/>
        </w:rPr>
        <w:t xml:space="preserve">  </w:t>
      </w:r>
      <w:r w:rsidRPr="004958BB">
        <w:rPr>
          <w:sz w:val="24"/>
        </w:rPr>
        <w:t>The NFIP</w:t>
      </w:r>
      <w:r w:rsidRPr="004958BB" w:rsidR="00272868">
        <w:rPr>
          <w:sz w:val="24"/>
        </w:rPr>
        <w:t xml:space="preserve"> Direct</w:t>
      </w:r>
      <w:r w:rsidRPr="004958BB">
        <w:rPr>
          <w:sz w:val="24"/>
        </w:rPr>
        <w:t xml:space="preserve"> system security plan complies with the Computer Security Act, OMB Circulars A-123, A-127, and A-130.  The NFIP </w:t>
      </w:r>
      <w:r w:rsidRPr="004958BB" w:rsidR="000E107B">
        <w:rPr>
          <w:sz w:val="24"/>
        </w:rPr>
        <w:t xml:space="preserve">Direct </w:t>
      </w:r>
      <w:r w:rsidRPr="004958BB">
        <w:rPr>
          <w:sz w:val="24"/>
        </w:rPr>
        <w:t xml:space="preserve">Servicing Agent computer system has protection and control of the data maintained in the system.  </w:t>
      </w:r>
    </w:p>
    <w:p w:rsidR="00F35F4F" w:rsidRPr="004958BB" w:rsidP="004958BB" w14:paraId="773BA851" w14:textId="1106799F">
      <w:pPr>
        <w:pStyle w:val="BodyText"/>
        <w:shd w:val="clear" w:color="auto" w:fill="FFFFFF"/>
        <w:spacing w:line="276" w:lineRule="auto"/>
        <w:contextualSpacing/>
        <w:rPr>
          <w:sz w:val="24"/>
        </w:rPr>
      </w:pPr>
    </w:p>
    <w:p w:rsidR="00F35F4F" w:rsidRPr="004958BB" w:rsidP="4FCD19C7" w14:paraId="407493EA" w14:textId="42306B0A">
      <w:pPr>
        <w:pStyle w:val="BodyText"/>
        <w:shd w:val="clear" w:color="auto" w:fill="FFFFFF" w:themeFill="background1"/>
        <w:spacing w:line="276" w:lineRule="auto"/>
        <w:contextualSpacing/>
        <w:rPr>
          <w:sz w:val="24"/>
        </w:rPr>
      </w:pPr>
      <w:r w:rsidRPr="4FCD19C7">
        <w:rPr>
          <w:sz w:val="24"/>
        </w:rPr>
        <w:t xml:space="preserve">A Privacy Threshold Analysis was </w:t>
      </w:r>
      <w:r w:rsidR="00220FE7">
        <w:rPr>
          <w:sz w:val="24"/>
        </w:rPr>
        <w:t>approved by the Department of Homeland Security (DHS)</w:t>
      </w:r>
      <w:r w:rsidRPr="4FCD19C7">
        <w:rPr>
          <w:sz w:val="24"/>
        </w:rPr>
        <w:t xml:space="preserve"> on </w:t>
      </w:r>
      <w:r w:rsidR="00220FE7">
        <w:rPr>
          <w:sz w:val="24"/>
        </w:rPr>
        <w:t>February 21</w:t>
      </w:r>
      <w:r w:rsidRPr="4FCD19C7">
        <w:rPr>
          <w:sz w:val="24"/>
        </w:rPr>
        <w:t>, 202</w:t>
      </w:r>
      <w:r w:rsidR="00220FE7">
        <w:rPr>
          <w:sz w:val="24"/>
        </w:rPr>
        <w:t>3</w:t>
      </w:r>
      <w:r w:rsidRPr="4FCD19C7">
        <w:rPr>
          <w:sz w:val="24"/>
        </w:rPr>
        <w:t xml:space="preserve">.  </w:t>
      </w:r>
      <w:r w:rsidR="00220FE7">
        <w:rPr>
          <w:sz w:val="24"/>
        </w:rPr>
        <w:t xml:space="preserve">A Privacy Act Notice was also approved by DHS on February 21, 2023.  </w:t>
      </w:r>
      <w:r w:rsidRPr="4FCD19C7">
        <w:rPr>
          <w:sz w:val="24"/>
        </w:rPr>
        <w:t>A System of Records Notice (SORN), DHS/ FEMA-003 – National Flood Insurance Program Files System of Records Notice 79 Fed. Reg. 28747 (May 19, 2014) has been completed.  The NFIP Direct System is currently covered by DHS/FEMA/PIA-048 National Flood Insurance Program (NFIP) Direct Servicing Agent (NFIP Direct)</w:t>
      </w:r>
      <w:r w:rsidRPr="4FCD19C7" w:rsidR="201AB005">
        <w:rPr>
          <w:sz w:val="24"/>
        </w:rPr>
        <w:t xml:space="preserve"> System</w:t>
      </w:r>
      <w:r w:rsidRPr="4FCD19C7" w:rsidR="4AA65B1E">
        <w:rPr>
          <w:sz w:val="24"/>
        </w:rPr>
        <w:t>, October 31, 2017,</w:t>
      </w:r>
      <w:r w:rsidRPr="4FCD19C7">
        <w:rPr>
          <w:sz w:val="24"/>
        </w:rPr>
        <w:t xml:space="preserve"> and DHS/FEMA/PIA-050 NFIP PIVOT System, </w:t>
      </w:r>
      <w:r w:rsidRPr="4FCD19C7" w:rsidR="2027BF3F">
        <w:rPr>
          <w:sz w:val="24"/>
        </w:rPr>
        <w:t xml:space="preserve">March </w:t>
      </w:r>
      <w:r w:rsidRPr="4FCD19C7" w:rsidR="721F5375">
        <w:rPr>
          <w:sz w:val="24"/>
        </w:rPr>
        <w:t>28</w:t>
      </w:r>
      <w:r w:rsidRPr="4FCD19C7">
        <w:rPr>
          <w:sz w:val="24"/>
        </w:rPr>
        <w:t>, 201</w:t>
      </w:r>
      <w:r w:rsidRPr="4FCD19C7" w:rsidR="55CDF5D4">
        <w:rPr>
          <w:sz w:val="24"/>
        </w:rPr>
        <w:t>8</w:t>
      </w:r>
      <w:r w:rsidRPr="4FCD19C7" w:rsidR="00D77684">
        <w:rPr>
          <w:sz w:val="24"/>
        </w:rPr>
        <w:t>.</w:t>
      </w:r>
    </w:p>
    <w:bookmarkEnd w:id="10"/>
    <w:p w:rsidR="00C313FA" w:rsidRPr="004958BB" w:rsidP="004958BB" w14:paraId="32A1E63A" w14:textId="77777777">
      <w:pPr>
        <w:pStyle w:val="BodyText"/>
        <w:shd w:val="clear" w:color="auto" w:fill="FFFFFF"/>
        <w:spacing w:line="276" w:lineRule="auto"/>
        <w:contextualSpacing/>
        <w:rPr>
          <w:sz w:val="24"/>
        </w:rPr>
      </w:pPr>
      <w:r w:rsidRPr="004958BB">
        <w:rPr>
          <w:sz w:val="24"/>
        </w:rPr>
        <w:fldChar w:fldCharType="begin"/>
      </w:r>
      <w:r w:rsidRPr="004958BB">
        <w:rPr>
          <w:sz w:val="24"/>
        </w:rPr>
        <w:instrText>ADVANCE \R 0.95</w:instrText>
      </w:r>
      <w:r w:rsidRPr="004958BB">
        <w:rPr>
          <w:sz w:val="24"/>
        </w:rPr>
        <w:fldChar w:fldCharType="end"/>
      </w:r>
    </w:p>
    <w:p w:rsidR="00842E74" w:rsidRPr="004958BB" w:rsidP="004958BB" w14:paraId="080A1B50" w14:textId="0B2DF036">
      <w:pPr>
        <w:tabs>
          <w:tab w:val="left" w:pos="360"/>
        </w:tabs>
        <w:spacing w:line="276" w:lineRule="auto"/>
        <w:contextualSpacing/>
        <w:rPr>
          <w:b/>
          <w:bCs/>
        </w:rPr>
      </w:pPr>
      <w:r w:rsidRPr="004958BB">
        <w:rPr>
          <w:b/>
          <w:bCs/>
        </w:rPr>
        <w:t xml:space="preserve">11.  Provide additional justification for any question </w:t>
      </w:r>
      <w:r w:rsidRPr="004958BB" w:rsidR="000E0572">
        <w:rPr>
          <w:b/>
          <w:bCs/>
        </w:rPr>
        <w:t>of</w:t>
      </w:r>
      <w:r w:rsidRPr="004958BB">
        <w:rPr>
          <w:b/>
          <w:bCs/>
        </w:rPr>
        <w:t xml:space="preserve"> </w:t>
      </w:r>
      <w:r w:rsidRPr="004958BB" w:rsidR="000E0572">
        <w:rPr>
          <w:b/>
          <w:bCs/>
        </w:rPr>
        <w:t xml:space="preserve">a </w:t>
      </w:r>
      <w:r w:rsidRPr="004958BB">
        <w:rPr>
          <w:b/>
          <w:bCs/>
        </w:rPr>
        <w:t xml:space="preserve">sensitive </w:t>
      </w:r>
      <w:r w:rsidRPr="004958BB" w:rsidR="000E0572">
        <w:rPr>
          <w:b/>
          <w:bCs/>
        </w:rPr>
        <w:t>nature</w:t>
      </w:r>
      <w:r w:rsidRPr="004958BB">
        <w:rPr>
          <w:b/>
          <w:bCs/>
        </w:rPr>
        <w:t xml:space="preserve"> </w:t>
      </w:r>
      <w:r w:rsidRPr="004958BB" w:rsidR="000E0572">
        <w:rPr>
          <w:b/>
          <w:bCs/>
        </w:rPr>
        <w:t>(</w:t>
      </w:r>
      <w:r w:rsidRPr="004958BB">
        <w:rPr>
          <w:b/>
          <w:bCs/>
        </w:rPr>
        <w:t>such as sexual behavior and attitudes, religious beliefs and other matters that are commonly considered private</w:t>
      </w:r>
      <w:r w:rsidRPr="004958BB" w:rsidR="000E0572">
        <w:rPr>
          <w:b/>
          <w:bCs/>
        </w:rPr>
        <w:t>)</w:t>
      </w:r>
      <w:r w:rsidRPr="004958BB">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4958BB" w:rsidR="00C92072">
        <w:rPr>
          <w:b/>
          <w:bCs/>
        </w:rPr>
        <w:t xml:space="preserve"> </w:t>
      </w:r>
    </w:p>
    <w:p w:rsidR="00257E4F" w:rsidRPr="004958BB" w:rsidP="004958BB" w14:paraId="06C6702F" w14:textId="77777777">
      <w:pPr>
        <w:spacing w:line="276" w:lineRule="auto"/>
        <w:contextualSpacing/>
      </w:pPr>
    </w:p>
    <w:p w:rsidR="00257E4F" w:rsidRPr="004958BB" w:rsidP="004958BB" w14:paraId="05CA5D52" w14:textId="4AA266A3">
      <w:pPr>
        <w:spacing w:line="276" w:lineRule="auto"/>
        <w:contextualSpacing/>
      </w:pPr>
      <w:r w:rsidRPr="004958BB">
        <w:t>There are no</w:t>
      </w:r>
      <w:r w:rsidRPr="004958BB" w:rsidR="004B1FF8">
        <w:t xml:space="preserve"> </w:t>
      </w:r>
      <w:r w:rsidRPr="004958BB">
        <w:t>questions of a sensitive nature requir</w:t>
      </w:r>
      <w:r w:rsidRPr="004958BB" w:rsidR="00462295">
        <w:t>ing</w:t>
      </w:r>
      <w:r w:rsidRPr="004958BB" w:rsidR="00796A4E">
        <w:t xml:space="preserve"> response from</w:t>
      </w:r>
      <w:r w:rsidRPr="004958BB">
        <w:t xml:space="preserve"> respondents.</w:t>
      </w:r>
      <w:r w:rsidRPr="004958BB" w:rsidR="00C92072">
        <w:t xml:space="preserve">  </w:t>
      </w:r>
    </w:p>
    <w:p w:rsidR="00842E74" w:rsidRPr="004958BB" w:rsidP="004958BB" w14:paraId="3F6AC6A4" w14:textId="77777777">
      <w:pPr>
        <w:spacing w:line="276" w:lineRule="auto"/>
        <w:contextualSpacing/>
      </w:pPr>
    </w:p>
    <w:p w:rsidR="00842E74" w:rsidRPr="004958BB" w:rsidP="004958BB" w14:paraId="7E534FBA" w14:textId="1B553058">
      <w:p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r w:rsidRPr="004958BB">
        <w:rPr>
          <w:b/>
        </w:rPr>
        <w:fldChar w:fldCharType="begin"/>
      </w:r>
      <w:r w:rsidRPr="004958BB">
        <w:rPr>
          <w:b/>
          <w:bCs/>
        </w:rPr>
        <w:instrText>ADVANCE \R 0.95</w:instrText>
      </w:r>
      <w:r w:rsidRPr="004958BB">
        <w:rPr>
          <w:b/>
        </w:rPr>
        <w:fldChar w:fldCharType="end"/>
      </w:r>
      <w:r w:rsidRPr="004958BB">
        <w:rPr>
          <w:b/>
          <w:bCs/>
        </w:rPr>
        <w:t xml:space="preserve">12. </w:t>
      </w:r>
      <w:r w:rsidRPr="004958BB" w:rsidR="00763992">
        <w:rPr>
          <w:b/>
          <w:bCs/>
        </w:rPr>
        <w:t xml:space="preserve"> </w:t>
      </w:r>
      <w:r w:rsidRPr="004958BB">
        <w:rPr>
          <w:b/>
          <w:bCs/>
        </w:rPr>
        <w:t>Provide estimates of the hour burden of the collection of information.  The statement should:</w:t>
      </w:r>
      <w:r w:rsidRPr="004958BB" w:rsidR="00C92072">
        <w:rPr>
          <w:b/>
          <w:bCs/>
        </w:rPr>
        <w:t xml:space="preserve">  </w:t>
      </w:r>
    </w:p>
    <w:p w:rsidR="00871F73" w:rsidRPr="004958BB" w:rsidP="004958BB" w14:paraId="2924AAD4" w14:textId="1298E866">
      <w:p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p>
    <w:p w:rsidR="00842E74" w:rsidRPr="004958BB" w:rsidP="004958BB" w14:paraId="28B1CC18" w14:textId="76C63FDB">
      <w:pPr>
        <w:spacing w:line="276" w:lineRule="auto"/>
        <w:contextualSpacing/>
        <w:rPr>
          <w:b/>
          <w:bCs/>
        </w:rPr>
      </w:pPr>
      <w:r w:rsidRPr="004958BB">
        <w:rPr>
          <w:b/>
          <w:bCs/>
        </w:rPr>
        <w:fldChar w:fldCharType="begin"/>
      </w:r>
      <w:r w:rsidRPr="004958BB">
        <w:rPr>
          <w:b/>
          <w:bCs/>
        </w:rPr>
        <w:instrText>ADVANCE \R 0.95</w:instrText>
      </w:r>
      <w:r w:rsidRPr="004958BB">
        <w:rPr>
          <w:b/>
        </w:rPr>
        <w:fldChar w:fldCharType="end"/>
      </w:r>
      <w:r w:rsidRPr="004958BB" w:rsidR="00920A21">
        <w:rPr>
          <w:b/>
          <w:bCs/>
        </w:rPr>
        <w:tab/>
      </w:r>
      <w:r w:rsidRPr="004958BB" w:rsidR="00763992">
        <w:rPr>
          <w:b/>
          <w:bCs/>
        </w:rPr>
        <w:t xml:space="preserve">a.  </w:t>
      </w:r>
      <w:r w:rsidRPr="004958BB">
        <w:rPr>
          <w:b/>
          <w:bCs/>
        </w:rPr>
        <w:t>Indicate the number of respondents, frequency of response, annual hour burden, and an explanation of how the burden was estimated</w:t>
      </w:r>
      <w:r w:rsidRPr="004958BB" w:rsidR="00FD6C8B">
        <w:rPr>
          <w:b/>
          <w:bCs/>
        </w:rPr>
        <w:t xml:space="preserve"> for each collection instrument (separately list each instrument and describe information as requested)</w:t>
      </w:r>
      <w:r w:rsidRPr="004958BB">
        <w:rPr>
          <w:b/>
          <w:bCs/>
        </w:rPr>
        <w:t xml:space="preserve">.  </w:t>
      </w:r>
      <w:r w:rsidRPr="004958BB">
        <w:rPr>
          <w:b/>
          <w:bCs/>
        </w:rPr>
        <w:t>Unless</w:t>
      </w:r>
      <w:r w:rsidRPr="004958BB" w:rsidR="00920A21">
        <w:rPr>
          <w:b/>
          <w:bCs/>
        </w:rPr>
        <w:tab/>
      </w:r>
      <w:r w:rsidRPr="004958BB">
        <w:rPr>
          <w:b/>
          <w:bCs/>
        </w:rPr>
        <w:t>directed to do so, agencies should not conduct special surveys to obtain</w:t>
      </w:r>
      <w:r w:rsidRPr="004958BB" w:rsidR="00232C69">
        <w:rPr>
          <w:b/>
          <w:bCs/>
        </w:rPr>
        <w:t xml:space="preserve"> </w:t>
      </w:r>
      <w:r w:rsidRPr="004958BB">
        <w:rPr>
          <w:b/>
          <w:bCs/>
        </w:rPr>
        <w:t xml:space="preserve">information on which to base hour burden </w:t>
      </w:r>
      <w:r w:rsidRPr="004958BB" w:rsidR="00763992">
        <w:rPr>
          <w:b/>
          <w:bCs/>
        </w:rPr>
        <w:t>estimates.  Consultation with a</w:t>
      </w:r>
      <w:r w:rsidRPr="004958BB" w:rsidR="00FD6C8B">
        <w:rPr>
          <w:b/>
          <w:bCs/>
        </w:rPr>
        <w:t xml:space="preserve"> </w:t>
      </w:r>
      <w:r w:rsidRPr="004958BB">
        <w:rPr>
          <w:b/>
          <w:bCs/>
        </w:rPr>
        <w:t>sample (fewer than 10) of potential respondents is desired.  If the hour</w:t>
      </w:r>
      <w:r w:rsidRPr="004958BB" w:rsidR="00920A21">
        <w:rPr>
          <w:b/>
          <w:bCs/>
        </w:rPr>
        <w:tab/>
      </w:r>
      <w:r w:rsidRPr="004958BB">
        <w:rPr>
          <w:b/>
          <w:bCs/>
        </w:rPr>
        <w:t>burden on respondents is expected to vary widely because of differences in</w:t>
      </w:r>
      <w:r w:rsidRPr="004958BB" w:rsidR="00232C69">
        <w:rPr>
          <w:b/>
          <w:bCs/>
        </w:rPr>
        <w:t xml:space="preserve"> </w:t>
      </w:r>
      <w:r w:rsidRPr="004958BB">
        <w:rPr>
          <w:b/>
          <w:bCs/>
        </w:rPr>
        <w:t>activity, size, or complexity, show the range of estimated hour burden, and explain the reasons for the variance.  Generally, estimates should not include</w:t>
      </w:r>
      <w:r w:rsidRPr="004958BB" w:rsidR="00232C69">
        <w:rPr>
          <w:b/>
          <w:bCs/>
        </w:rPr>
        <w:t xml:space="preserve"> </w:t>
      </w:r>
      <w:r w:rsidRPr="004958BB">
        <w:rPr>
          <w:b/>
          <w:bCs/>
        </w:rPr>
        <w:t>burden hours for customary and usual business practices.</w:t>
      </w:r>
      <w:r w:rsidRPr="004958BB" w:rsidR="00C92072">
        <w:rPr>
          <w:b/>
          <w:bCs/>
        </w:rPr>
        <w:t xml:space="preserve">  </w:t>
      </w:r>
    </w:p>
    <w:p w:rsidR="00257E4F" w:rsidRPr="004958BB" w:rsidP="004958BB" w14:paraId="3DAC0611" w14:textId="5237656F">
      <w:pPr>
        <w:spacing w:line="276" w:lineRule="auto"/>
        <w:contextualSpacing/>
        <w:rPr>
          <w:b/>
          <w:bCs/>
          <w:color w:val="000000" w:themeColor="text1"/>
          <w:highlight w:val="yellow"/>
        </w:rPr>
      </w:pPr>
    </w:p>
    <w:p w:rsidR="005D2716" w:rsidRPr="004958BB" w:rsidP="004958BB" w14:paraId="283AF328" w14:textId="52071A0C">
      <w:pPr>
        <w:spacing w:line="276" w:lineRule="auto"/>
        <w:contextualSpacing/>
        <w:rPr>
          <w:color w:val="000000" w:themeColor="text1"/>
        </w:rPr>
      </w:pPr>
      <w:r w:rsidRPr="004958BB">
        <w:rPr>
          <w:b/>
          <w:bCs/>
          <w:color w:val="000000" w:themeColor="text1"/>
        </w:rPr>
        <w:t>FEMA Form FF-</w:t>
      </w:r>
      <w:r w:rsidRPr="004958BB" w:rsidR="00014678">
        <w:rPr>
          <w:b/>
          <w:bCs/>
          <w:color w:val="000000" w:themeColor="text1"/>
        </w:rPr>
        <w:t>206</w:t>
      </w:r>
      <w:r w:rsidRPr="004958BB">
        <w:rPr>
          <w:b/>
          <w:bCs/>
          <w:color w:val="000000" w:themeColor="text1"/>
        </w:rPr>
        <w:t>-FY-</w:t>
      </w:r>
      <w:r w:rsidRPr="004958BB" w:rsidR="00014678">
        <w:rPr>
          <w:b/>
          <w:bCs/>
          <w:color w:val="000000" w:themeColor="text1"/>
        </w:rPr>
        <w:t>21</w:t>
      </w:r>
      <w:r w:rsidRPr="004958BB">
        <w:rPr>
          <w:b/>
          <w:bCs/>
          <w:color w:val="000000" w:themeColor="text1"/>
        </w:rPr>
        <w:t>-</w:t>
      </w:r>
      <w:r w:rsidRPr="004958BB" w:rsidR="00014678">
        <w:rPr>
          <w:b/>
          <w:bCs/>
          <w:color w:val="000000" w:themeColor="text1"/>
        </w:rPr>
        <w:t>117</w:t>
      </w:r>
      <w:r w:rsidRPr="004958BB">
        <w:rPr>
          <w:b/>
          <w:bCs/>
          <w:color w:val="000000" w:themeColor="text1"/>
        </w:rPr>
        <w:t xml:space="preserve"> (formerly </w:t>
      </w:r>
      <w:r w:rsidRPr="004958BB" w:rsidR="00014678">
        <w:rPr>
          <w:b/>
          <w:bCs/>
          <w:color w:val="000000" w:themeColor="text1"/>
        </w:rPr>
        <w:t>086</w:t>
      </w:r>
      <w:r w:rsidRPr="004958BB">
        <w:rPr>
          <w:b/>
          <w:bCs/>
          <w:color w:val="000000" w:themeColor="text1"/>
        </w:rPr>
        <w:t>-</w:t>
      </w:r>
      <w:r w:rsidRPr="004958BB" w:rsidR="00014678">
        <w:rPr>
          <w:b/>
          <w:bCs/>
          <w:color w:val="000000" w:themeColor="text1"/>
        </w:rPr>
        <w:t>0</w:t>
      </w:r>
      <w:r w:rsidRPr="004958BB">
        <w:rPr>
          <w:b/>
          <w:bCs/>
          <w:color w:val="000000" w:themeColor="text1"/>
        </w:rPr>
        <w:t>-</w:t>
      </w:r>
      <w:r w:rsidRPr="004958BB" w:rsidR="00014678">
        <w:rPr>
          <w:b/>
          <w:bCs/>
          <w:color w:val="000000" w:themeColor="text1"/>
        </w:rPr>
        <w:t>1</w:t>
      </w:r>
      <w:r w:rsidRPr="004958BB">
        <w:rPr>
          <w:b/>
          <w:bCs/>
          <w:color w:val="000000" w:themeColor="text1"/>
        </w:rPr>
        <w:t xml:space="preserve">), </w:t>
      </w:r>
      <w:r w:rsidRPr="004958BB" w:rsidR="00014678">
        <w:rPr>
          <w:b/>
          <w:bCs/>
          <w:color w:val="000000" w:themeColor="text1"/>
        </w:rPr>
        <w:t>Application</w:t>
      </w:r>
      <w:r w:rsidRPr="004958BB">
        <w:rPr>
          <w:b/>
          <w:bCs/>
          <w:color w:val="000000" w:themeColor="text1"/>
        </w:rPr>
        <w:t>:</w:t>
      </w:r>
      <w:r w:rsidRPr="004958BB">
        <w:rPr>
          <w:color w:val="000000" w:themeColor="text1"/>
        </w:rPr>
        <w:t xml:space="preserve"> is estimated to have </w:t>
      </w:r>
      <w:r w:rsidRPr="004958BB" w:rsidR="00014678">
        <w:rPr>
          <w:color w:val="000000" w:themeColor="text1"/>
        </w:rPr>
        <w:t>17,593</w:t>
      </w:r>
      <w:r w:rsidRPr="004958BB">
        <w:rPr>
          <w:color w:val="000000" w:themeColor="text1"/>
        </w:rPr>
        <w:t xml:space="preserve"> </w:t>
      </w:r>
      <w:r w:rsidRPr="004958BB" w:rsidR="00014678">
        <w:rPr>
          <w:color w:val="000000" w:themeColor="text1"/>
        </w:rPr>
        <w:t>property owners (</w:t>
      </w:r>
      <w:r w:rsidRPr="004958BB">
        <w:rPr>
          <w:color w:val="000000" w:themeColor="text1"/>
        </w:rPr>
        <w:t>respondents</w:t>
      </w:r>
      <w:r w:rsidRPr="004958BB" w:rsidR="00014678">
        <w:rPr>
          <w:color w:val="000000" w:themeColor="text1"/>
        </w:rPr>
        <w:t>)</w:t>
      </w:r>
      <w:r w:rsidRPr="004958BB">
        <w:rPr>
          <w:color w:val="000000" w:themeColor="text1"/>
        </w:rPr>
        <w:t xml:space="preserve"> times </w:t>
      </w:r>
      <w:r w:rsidRPr="004958BB" w:rsidR="00014678">
        <w:rPr>
          <w:color w:val="000000" w:themeColor="text1"/>
        </w:rPr>
        <w:t>1</w:t>
      </w:r>
      <w:r w:rsidRPr="004958BB">
        <w:rPr>
          <w:color w:val="000000" w:themeColor="text1"/>
        </w:rPr>
        <w:t xml:space="preserve"> response per year for </w:t>
      </w:r>
      <w:r w:rsidRPr="004958BB" w:rsidR="00014678">
        <w:rPr>
          <w:color w:val="000000" w:themeColor="text1"/>
        </w:rPr>
        <w:t>17,593</w:t>
      </w:r>
      <w:r w:rsidRPr="004958BB">
        <w:rPr>
          <w:color w:val="000000" w:themeColor="text1"/>
        </w:rPr>
        <w:t xml:space="preserve"> total annual responses (</w:t>
      </w:r>
      <w:r w:rsidRPr="004958BB" w:rsidR="00014678">
        <w:rPr>
          <w:color w:val="000000" w:themeColor="text1"/>
        </w:rPr>
        <w:t>17,593</w:t>
      </w:r>
      <w:r w:rsidRPr="004958BB">
        <w:rPr>
          <w:color w:val="000000" w:themeColor="text1"/>
        </w:rPr>
        <w:t xml:space="preserve"> x </w:t>
      </w:r>
      <w:r w:rsidRPr="004958BB" w:rsidR="00014678">
        <w:rPr>
          <w:color w:val="000000" w:themeColor="text1"/>
        </w:rPr>
        <w:t>1</w:t>
      </w:r>
      <w:r w:rsidRPr="004958BB">
        <w:rPr>
          <w:color w:val="000000" w:themeColor="text1"/>
        </w:rPr>
        <w:t xml:space="preserve"> = </w:t>
      </w:r>
      <w:r w:rsidRPr="004958BB" w:rsidR="00014678">
        <w:rPr>
          <w:color w:val="000000" w:themeColor="text1"/>
        </w:rPr>
        <w:t>17,593</w:t>
      </w:r>
      <w:r w:rsidRPr="004958BB">
        <w:rPr>
          <w:color w:val="000000" w:themeColor="text1"/>
        </w:rPr>
        <w:t xml:space="preserve">).  It is estimated that each response will require </w:t>
      </w:r>
      <w:r w:rsidRPr="004958BB" w:rsidR="00B70452">
        <w:rPr>
          <w:color w:val="000000" w:themeColor="text1"/>
        </w:rPr>
        <w:t>0.2167</w:t>
      </w:r>
      <w:r w:rsidRPr="004958BB" w:rsidR="00276A95">
        <w:rPr>
          <w:color w:val="000000" w:themeColor="text1"/>
        </w:rPr>
        <w:t xml:space="preserve"> </w:t>
      </w:r>
      <w:r w:rsidRPr="004958BB">
        <w:rPr>
          <w:color w:val="000000" w:themeColor="text1"/>
        </w:rPr>
        <w:t>burden hours</w:t>
      </w:r>
      <w:r w:rsidRPr="004958BB" w:rsidR="002267CB">
        <w:rPr>
          <w:color w:val="000000" w:themeColor="text1"/>
        </w:rPr>
        <w:t>, or 13 minutes,</w:t>
      </w:r>
      <w:r w:rsidRPr="004958BB">
        <w:rPr>
          <w:color w:val="000000" w:themeColor="text1"/>
        </w:rPr>
        <w:t xml:space="preserve"> to complete, therefore </w:t>
      </w:r>
      <w:r w:rsidRPr="004958BB" w:rsidR="00014678">
        <w:rPr>
          <w:color w:val="000000" w:themeColor="text1"/>
        </w:rPr>
        <w:t>17,593</w:t>
      </w:r>
      <w:r w:rsidRPr="004958BB">
        <w:rPr>
          <w:color w:val="000000" w:themeColor="text1"/>
        </w:rPr>
        <w:t xml:space="preserve"> responses times </w:t>
      </w:r>
      <w:r w:rsidRPr="004958BB" w:rsidR="00B70452">
        <w:rPr>
          <w:color w:val="000000" w:themeColor="text1"/>
        </w:rPr>
        <w:t>0.2167</w:t>
      </w:r>
      <w:r w:rsidRPr="004958BB">
        <w:rPr>
          <w:color w:val="000000" w:themeColor="text1"/>
        </w:rPr>
        <w:t xml:space="preserve"> hours equals </w:t>
      </w:r>
      <w:r w:rsidRPr="004958BB" w:rsidR="00D95678">
        <w:rPr>
          <w:color w:val="000000" w:themeColor="text1"/>
        </w:rPr>
        <w:t>3,812</w:t>
      </w:r>
      <w:r w:rsidRPr="004958BB" w:rsidR="00B354D8">
        <w:rPr>
          <w:color w:val="000000" w:themeColor="text1"/>
        </w:rPr>
        <w:t xml:space="preserve"> </w:t>
      </w:r>
      <w:r w:rsidRPr="004958BB">
        <w:rPr>
          <w:color w:val="000000" w:themeColor="text1"/>
        </w:rPr>
        <w:t>total annual burden hours (</w:t>
      </w:r>
      <w:r w:rsidRPr="004958BB" w:rsidR="00014678">
        <w:rPr>
          <w:color w:val="000000" w:themeColor="text1"/>
        </w:rPr>
        <w:t>17,593</w:t>
      </w:r>
      <w:r w:rsidRPr="004958BB">
        <w:rPr>
          <w:color w:val="000000" w:themeColor="text1"/>
        </w:rPr>
        <w:t xml:space="preserve"> x </w:t>
      </w:r>
      <w:r w:rsidRPr="004958BB" w:rsidR="008F2717">
        <w:rPr>
          <w:color w:val="000000" w:themeColor="text1"/>
        </w:rPr>
        <w:t>0.2167</w:t>
      </w:r>
      <w:r w:rsidRPr="004958BB">
        <w:rPr>
          <w:color w:val="000000" w:themeColor="text1"/>
        </w:rPr>
        <w:t xml:space="preserve">= </w:t>
      </w:r>
      <w:r w:rsidRPr="004958BB" w:rsidR="00D95678">
        <w:rPr>
          <w:color w:val="000000" w:themeColor="text1"/>
        </w:rPr>
        <w:t>3,812</w:t>
      </w:r>
      <w:r w:rsidRPr="004958BB">
        <w:rPr>
          <w:color w:val="000000" w:themeColor="text1"/>
        </w:rPr>
        <w:t>).</w:t>
      </w:r>
    </w:p>
    <w:p w:rsidR="00257E4F" w:rsidRPr="004958BB" w:rsidP="004958BB" w14:paraId="1BBBD7FF" w14:textId="4B3E6F7A">
      <w:pPr>
        <w:spacing w:line="276" w:lineRule="auto"/>
        <w:contextualSpacing/>
        <w:rPr>
          <w:b/>
          <w:bCs/>
          <w:color w:val="000000" w:themeColor="text1"/>
          <w:highlight w:val="yellow"/>
        </w:rPr>
      </w:pPr>
    </w:p>
    <w:p w:rsidR="00CA5186" w:rsidRPr="004958BB" w:rsidP="004958BB" w14:paraId="014D8216" w14:textId="2251D9B3">
      <w:pPr>
        <w:spacing w:line="276" w:lineRule="auto"/>
        <w:contextualSpacing/>
        <w:rPr>
          <w:color w:val="000000" w:themeColor="text1"/>
        </w:rPr>
      </w:pPr>
      <w:r w:rsidRPr="004958BB">
        <w:rPr>
          <w:b/>
          <w:bCs/>
          <w:color w:val="000000" w:themeColor="text1"/>
        </w:rPr>
        <w:t>FEMA Form FF-206-FY-21-118 (formerly 086-0-2), Cancellation:</w:t>
      </w:r>
      <w:r w:rsidRPr="004958BB">
        <w:rPr>
          <w:color w:val="000000" w:themeColor="text1"/>
        </w:rPr>
        <w:t xml:space="preserve"> is estimated to have 30,964 property owners (respondents) times 1 response per year for 30,964 total annual responses (30,964 x 1 = 30,964).  It is estimated that each response will require </w:t>
      </w:r>
      <w:r w:rsidRPr="004958BB" w:rsidR="0036436A">
        <w:rPr>
          <w:color w:val="000000" w:themeColor="text1"/>
        </w:rPr>
        <w:t xml:space="preserve">0.1500 </w:t>
      </w:r>
      <w:r w:rsidRPr="004958BB">
        <w:rPr>
          <w:color w:val="000000" w:themeColor="text1"/>
        </w:rPr>
        <w:t>burden hours</w:t>
      </w:r>
      <w:r w:rsidRPr="004958BB" w:rsidR="006765BE">
        <w:rPr>
          <w:color w:val="000000" w:themeColor="text1"/>
        </w:rPr>
        <w:t>, or 9 minutes,</w:t>
      </w:r>
      <w:r w:rsidRPr="004958BB">
        <w:rPr>
          <w:color w:val="000000" w:themeColor="text1"/>
        </w:rPr>
        <w:t xml:space="preserve"> to complete, therefore 30,964 responses times </w:t>
      </w:r>
      <w:r w:rsidRPr="004958BB" w:rsidR="0036436A">
        <w:rPr>
          <w:color w:val="000000" w:themeColor="text1"/>
        </w:rPr>
        <w:t>0.1500</w:t>
      </w:r>
      <w:r w:rsidRPr="004958BB">
        <w:rPr>
          <w:color w:val="000000" w:themeColor="text1"/>
        </w:rPr>
        <w:t xml:space="preserve"> hours equals </w:t>
      </w:r>
      <w:r w:rsidRPr="004958BB" w:rsidR="003874B7">
        <w:rPr>
          <w:color w:val="000000" w:themeColor="text1"/>
        </w:rPr>
        <w:t>4</w:t>
      </w:r>
      <w:r w:rsidRPr="004958BB" w:rsidR="00C74EBE">
        <w:rPr>
          <w:color w:val="000000" w:themeColor="text1"/>
        </w:rPr>
        <w:t>,</w:t>
      </w:r>
      <w:r w:rsidRPr="004958BB" w:rsidR="003874B7">
        <w:rPr>
          <w:color w:val="000000" w:themeColor="text1"/>
        </w:rPr>
        <w:t>6</w:t>
      </w:r>
      <w:r w:rsidRPr="004958BB" w:rsidR="00744B7B">
        <w:rPr>
          <w:color w:val="000000" w:themeColor="text1"/>
        </w:rPr>
        <w:t>4</w:t>
      </w:r>
      <w:r w:rsidRPr="004958BB" w:rsidR="003874B7">
        <w:rPr>
          <w:color w:val="000000" w:themeColor="text1"/>
        </w:rPr>
        <w:t>5</w:t>
      </w:r>
      <w:r w:rsidRPr="004958BB">
        <w:rPr>
          <w:color w:val="000000" w:themeColor="text1"/>
        </w:rPr>
        <w:t xml:space="preserve"> total annual burden hours (</w:t>
      </w:r>
      <w:r w:rsidRPr="004958BB" w:rsidR="003208AF">
        <w:rPr>
          <w:color w:val="000000" w:themeColor="text1"/>
        </w:rPr>
        <w:t>30</w:t>
      </w:r>
      <w:r w:rsidRPr="004958BB">
        <w:rPr>
          <w:color w:val="000000" w:themeColor="text1"/>
        </w:rPr>
        <w:t>,</w:t>
      </w:r>
      <w:r w:rsidRPr="004958BB" w:rsidR="003208AF">
        <w:rPr>
          <w:color w:val="000000" w:themeColor="text1"/>
        </w:rPr>
        <w:t>964</w:t>
      </w:r>
      <w:r w:rsidRPr="004958BB">
        <w:rPr>
          <w:color w:val="000000" w:themeColor="text1"/>
        </w:rPr>
        <w:t xml:space="preserve"> x </w:t>
      </w:r>
      <w:r w:rsidRPr="004958BB" w:rsidR="0036436A">
        <w:rPr>
          <w:color w:val="000000" w:themeColor="text1"/>
        </w:rPr>
        <w:t xml:space="preserve">0.1500 </w:t>
      </w:r>
      <w:r w:rsidRPr="004958BB">
        <w:rPr>
          <w:color w:val="000000" w:themeColor="text1"/>
        </w:rPr>
        <w:t xml:space="preserve">= </w:t>
      </w:r>
      <w:r w:rsidRPr="004958BB" w:rsidR="00BE3015">
        <w:rPr>
          <w:color w:val="000000" w:themeColor="text1"/>
        </w:rPr>
        <w:t>4</w:t>
      </w:r>
      <w:r w:rsidRPr="004958BB" w:rsidR="00276A95">
        <w:rPr>
          <w:color w:val="000000" w:themeColor="text1"/>
        </w:rPr>
        <w:t>,</w:t>
      </w:r>
      <w:r w:rsidRPr="004958BB" w:rsidR="006207CA">
        <w:rPr>
          <w:color w:val="000000" w:themeColor="text1"/>
        </w:rPr>
        <w:t>645</w:t>
      </w:r>
      <w:r w:rsidRPr="004958BB">
        <w:rPr>
          <w:color w:val="000000" w:themeColor="text1"/>
        </w:rPr>
        <w:t>).</w:t>
      </w:r>
    </w:p>
    <w:p w:rsidR="003208AF" w:rsidRPr="004958BB" w:rsidP="004958BB" w14:paraId="5DE2C49A" w14:textId="77777777">
      <w:pPr>
        <w:spacing w:line="276" w:lineRule="auto"/>
        <w:contextualSpacing/>
        <w:rPr>
          <w:b/>
          <w:bCs/>
          <w:color w:val="000000" w:themeColor="text1"/>
          <w:highlight w:val="yellow"/>
        </w:rPr>
      </w:pPr>
    </w:p>
    <w:p w:rsidR="003208AF" w:rsidRPr="004958BB" w:rsidP="004958BB" w14:paraId="5F9D3AA9" w14:textId="004FA0A1">
      <w:pPr>
        <w:spacing w:line="276" w:lineRule="auto"/>
        <w:contextualSpacing/>
        <w:rPr>
          <w:color w:val="000000" w:themeColor="text1"/>
        </w:rPr>
      </w:pPr>
      <w:r w:rsidRPr="004958BB">
        <w:rPr>
          <w:b/>
          <w:bCs/>
          <w:color w:val="000000" w:themeColor="text1"/>
        </w:rPr>
        <w:t>FEMA Form FF-206-FY-21-119 (formerly 086-0-</w:t>
      </w:r>
      <w:r w:rsidRPr="004958BB" w:rsidR="009B2BF2">
        <w:rPr>
          <w:b/>
          <w:bCs/>
          <w:color w:val="000000" w:themeColor="text1"/>
        </w:rPr>
        <w:t>3</w:t>
      </w:r>
      <w:r w:rsidRPr="004958BB">
        <w:rPr>
          <w:b/>
          <w:bCs/>
          <w:color w:val="000000" w:themeColor="text1"/>
        </w:rPr>
        <w:t>), Endorsement:</w:t>
      </w:r>
      <w:r w:rsidRPr="004958BB">
        <w:rPr>
          <w:color w:val="000000" w:themeColor="text1"/>
        </w:rPr>
        <w:t xml:space="preserve"> is estimated to have </w:t>
      </w:r>
      <w:r w:rsidRPr="004958BB" w:rsidR="009B2BF2">
        <w:rPr>
          <w:color w:val="000000" w:themeColor="text1"/>
        </w:rPr>
        <w:t>323</w:t>
      </w:r>
      <w:r w:rsidRPr="004958BB">
        <w:rPr>
          <w:color w:val="000000" w:themeColor="text1"/>
        </w:rPr>
        <w:t>,</w:t>
      </w:r>
      <w:r w:rsidRPr="004958BB" w:rsidR="009B2BF2">
        <w:rPr>
          <w:color w:val="000000" w:themeColor="text1"/>
        </w:rPr>
        <w:t>865</w:t>
      </w:r>
      <w:r w:rsidRPr="004958BB">
        <w:rPr>
          <w:color w:val="000000" w:themeColor="text1"/>
        </w:rPr>
        <w:t xml:space="preserve"> property owners (respondents) times 1 response per year for </w:t>
      </w:r>
      <w:r w:rsidRPr="004958BB" w:rsidR="009B2BF2">
        <w:rPr>
          <w:color w:val="000000" w:themeColor="text1"/>
        </w:rPr>
        <w:t>323</w:t>
      </w:r>
      <w:r w:rsidRPr="004958BB">
        <w:rPr>
          <w:color w:val="000000" w:themeColor="text1"/>
        </w:rPr>
        <w:t>,</w:t>
      </w:r>
      <w:r w:rsidRPr="004958BB" w:rsidR="009B2BF2">
        <w:rPr>
          <w:color w:val="000000" w:themeColor="text1"/>
        </w:rPr>
        <w:t>865</w:t>
      </w:r>
      <w:r w:rsidRPr="004958BB">
        <w:rPr>
          <w:color w:val="000000" w:themeColor="text1"/>
        </w:rPr>
        <w:t xml:space="preserve"> total annual responses (</w:t>
      </w:r>
      <w:r w:rsidRPr="004958BB" w:rsidR="009B2BF2">
        <w:rPr>
          <w:color w:val="000000" w:themeColor="text1"/>
        </w:rPr>
        <w:t>323</w:t>
      </w:r>
      <w:r w:rsidRPr="004958BB">
        <w:rPr>
          <w:color w:val="000000" w:themeColor="text1"/>
        </w:rPr>
        <w:t>,</w:t>
      </w:r>
      <w:r w:rsidRPr="004958BB" w:rsidR="009B2BF2">
        <w:rPr>
          <w:color w:val="000000" w:themeColor="text1"/>
        </w:rPr>
        <w:t>865</w:t>
      </w:r>
      <w:r w:rsidRPr="004958BB">
        <w:rPr>
          <w:color w:val="000000" w:themeColor="text1"/>
        </w:rPr>
        <w:t xml:space="preserve"> x 1 = </w:t>
      </w:r>
      <w:r w:rsidRPr="004958BB" w:rsidR="009B2BF2">
        <w:rPr>
          <w:color w:val="000000" w:themeColor="text1"/>
        </w:rPr>
        <w:t>323</w:t>
      </w:r>
      <w:r w:rsidRPr="004958BB">
        <w:rPr>
          <w:color w:val="000000" w:themeColor="text1"/>
        </w:rPr>
        <w:t>,</w:t>
      </w:r>
      <w:r w:rsidRPr="004958BB" w:rsidR="009B2BF2">
        <w:rPr>
          <w:color w:val="000000" w:themeColor="text1"/>
        </w:rPr>
        <w:t>865</w:t>
      </w:r>
      <w:r w:rsidRPr="004958BB">
        <w:rPr>
          <w:color w:val="000000" w:themeColor="text1"/>
        </w:rPr>
        <w:t xml:space="preserve">).  It is estimated that each response will require </w:t>
      </w:r>
      <w:r w:rsidRPr="004958BB" w:rsidR="007E6C79">
        <w:rPr>
          <w:color w:val="000000" w:themeColor="text1"/>
        </w:rPr>
        <w:t>0.</w:t>
      </w:r>
      <w:r w:rsidRPr="004958BB" w:rsidR="00B12C3F">
        <w:rPr>
          <w:color w:val="000000" w:themeColor="text1"/>
        </w:rPr>
        <w:t xml:space="preserve">1333 </w:t>
      </w:r>
      <w:r w:rsidRPr="004958BB">
        <w:rPr>
          <w:color w:val="000000" w:themeColor="text1"/>
        </w:rPr>
        <w:t>burden hours</w:t>
      </w:r>
      <w:r w:rsidRPr="004958BB" w:rsidR="00833FA3">
        <w:rPr>
          <w:color w:val="000000" w:themeColor="text1"/>
        </w:rPr>
        <w:t>, or 8 minutes,</w:t>
      </w:r>
      <w:r w:rsidRPr="004958BB">
        <w:rPr>
          <w:color w:val="000000" w:themeColor="text1"/>
        </w:rPr>
        <w:t xml:space="preserve"> to complete, therefore </w:t>
      </w:r>
      <w:r w:rsidRPr="004958BB" w:rsidR="009B2BF2">
        <w:rPr>
          <w:color w:val="000000" w:themeColor="text1"/>
        </w:rPr>
        <w:t>323</w:t>
      </w:r>
      <w:r w:rsidRPr="004958BB">
        <w:rPr>
          <w:color w:val="000000" w:themeColor="text1"/>
        </w:rPr>
        <w:t>,</w:t>
      </w:r>
      <w:r w:rsidRPr="004958BB" w:rsidR="009B2BF2">
        <w:rPr>
          <w:color w:val="000000" w:themeColor="text1"/>
        </w:rPr>
        <w:t>865</w:t>
      </w:r>
      <w:r w:rsidRPr="004958BB">
        <w:rPr>
          <w:color w:val="000000" w:themeColor="text1"/>
        </w:rPr>
        <w:t xml:space="preserve"> responses times </w:t>
      </w:r>
      <w:r w:rsidRPr="004958BB" w:rsidR="007E6C79">
        <w:rPr>
          <w:color w:val="000000" w:themeColor="text1"/>
        </w:rPr>
        <w:t>0.</w:t>
      </w:r>
      <w:r w:rsidRPr="004958BB" w:rsidR="00731801">
        <w:rPr>
          <w:color w:val="000000" w:themeColor="text1"/>
        </w:rPr>
        <w:t xml:space="preserve">1333 </w:t>
      </w:r>
      <w:r w:rsidRPr="004958BB">
        <w:rPr>
          <w:color w:val="000000" w:themeColor="text1"/>
        </w:rPr>
        <w:t xml:space="preserve">hours equals </w:t>
      </w:r>
      <w:r w:rsidRPr="004958BB" w:rsidR="00731801">
        <w:rPr>
          <w:color w:val="000000" w:themeColor="text1"/>
        </w:rPr>
        <w:t>43,171</w:t>
      </w:r>
      <w:r w:rsidRPr="004958BB" w:rsidR="00DE1BDE">
        <w:rPr>
          <w:color w:val="000000" w:themeColor="text1"/>
        </w:rPr>
        <w:t xml:space="preserve"> </w:t>
      </w:r>
      <w:r w:rsidRPr="004958BB">
        <w:rPr>
          <w:color w:val="000000" w:themeColor="text1"/>
        </w:rPr>
        <w:t>total annual burden hours (3</w:t>
      </w:r>
      <w:r w:rsidRPr="004958BB" w:rsidR="009B2BF2">
        <w:rPr>
          <w:color w:val="000000" w:themeColor="text1"/>
        </w:rPr>
        <w:t>23</w:t>
      </w:r>
      <w:r w:rsidRPr="004958BB">
        <w:rPr>
          <w:color w:val="000000" w:themeColor="text1"/>
        </w:rPr>
        <w:t>,</w:t>
      </w:r>
      <w:r w:rsidRPr="004958BB" w:rsidR="009B2BF2">
        <w:rPr>
          <w:color w:val="000000" w:themeColor="text1"/>
        </w:rPr>
        <w:t>865</w:t>
      </w:r>
      <w:r w:rsidRPr="004958BB">
        <w:rPr>
          <w:color w:val="000000" w:themeColor="text1"/>
        </w:rPr>
        <w:t xml:space="preserve"> x </w:t>
      </w:r>
      <w:r w:rsidRPr="004958BB" w:rsidR="007E6C79">
        <w:rPr>
          <w:color w:val="000000" w:themeColor="text1"/>
        </w:rPr>
        <w:t>0.</w:t>
      </w:r>
      <w:r w:rsidRPr="004958BB" w:rsidR="00833FA3">
        <w:rPr>
          <w:color w:val="000000" w:themeColor="text1"/>
        </w:rPr>
        <w:t xml:space="preserve">1333 </w:t>
      </w:r>
      <w:r w:rsidRPr="004958BB">
        <w:rPr>
          <w:color w:val="000000" w:themeColor="text1"/>
        </w:rPr>
        <w:t xml:space="preserve">= </w:t>
      </w:r>
      <w:r w:rsidRPr="004958BB" w:rsidR="00731801">
        <w:rPr>
          <w:color w:val="000000" w:themeColor="text1"/>
        </w:rPr>
        <w:t>43,171</w:t>
      </w:r>
      <w:r w:rsidRPr="004958BB">
        <w:rPr>
          <w:color w:val="000000" w:themeColor="text1"/>
        </w:rPr>
        <w:t>).</w:t>
      </w:r>
    </w:p>
    <w:p w:rsidR="00DA6B0F" w:rsidRPr="004958BB" w:rsidP="004958BB" w14:paraId="5A526285" w14:textId="77777777">
      <w:pPr>
        <w:spacing w:line="276" w:lineRule="auto"/>
        <w:contextualSpacing/>
        <w:rPr>
          <w:color w:val="000000" w:themeColor="text1"/>
        </w:rPr>
      </w:pPr>
    </w:p>
    <w:p w:rsidR="00A1501B" w:rsidRPr="004958BB" w:rsidP="004958BB" w14:paraId="158BF5B9" w14:textId="175C5890">
      <w:pPr>
        <w:spacing w:line="276" w:lineRule="auto"/>
        <w:contextualSpacing/>
      </w:pPr>
      <w:r w:rsidRPr="004958BB">
        <w:rPr>
          <w:color w:val="000000" w:themeColor="text1"/>
        </w:rPr>
        <w:t xml:space="preserve">Usability </w:t>
      </w:r>
      <w:r w:rsidRPr="004958BB" w:rsidR="00276A95">
        <w:rPr>
          <w:color w:val="000000" w:themeColor="text1"/>
        </w:rPr>
        <w:t>t</w:t>
      </w:r>
      <w:r w:rsidRPr="004958BB">
        <w:rPr>
          <w:color w:val="000000" w:themeColor="text1"/>
        </w:rPr>
        <w:t>esting has been conducted on this collection.</w:t>
      </w:r>
      <w:r w:rsidRPr="004958BB" w:rsidR="00276A95">
        <w:rPr>
          <w:color w:val="000000" w:themeColor="text1"/>
        </w:rPr>
        <w:t xml:space="preserve"> </w:t>
      </w:r>
      <w:r w:rsidRPr="004958BB">
        <w:rPr>
          <w:color w:val="000000" w:themeColor="text1"/>
        </w:rPr>
        <w:t xml:space="preserve"> As a result, a reduction of </w:t>
      </w:r>
      <w:r w:rsidRPr="002B66B0" w:rsidR="00DA6B0F">
        <w:rPr>
          <w:color w:val="000000" w:themeColor="text1"/>
        </w:rPr>
        <w:t>10,568</w:t>
      </w:r>
      <w:r w:rsidRPr="004958BB" w:rsidR="005A471B">
        <w:rPr>
          <w:bCs/>
        </w:rPr>
        <w:t xml:space="preserve"> </w:t>
      </w:r>
      <w:r w:rsidRPr="004958BB" w:rsidR="00276A95">
        <w:t xml:space="preserve">burden </w:t>
      </w:r>
      <w:r w:rsidRPr="004958BB">
        <w:t>hours has been recognized and included as an update to the collection.</w:t>
      </w:r>
    </w:p>
    <w:p w:rsidR="00CE5A7D" w:rsidRPr="004958BB" w:rsidP="004958BB" w14:paraId="55951A08" w14:textId="77777777">
      <w:pPr>
        <w:spacing w:line="276" w:lineRule="auto"/>
        <w:contextualSpacing/>
        <w:rPr>
          <w:bCs/>
        </w:rPr>
      </w:pPr>
      <w:bookmarkStart w:id="11" w:name="_Hlk19029695"/>
    </w:p>
    <w:bookmarkEnd w:id="11"/>
    <w:p w:rsidR="00842E74" w:rsidRPr="004958BB" w:rsidP="004958BB" w14:paraId="541492D3" w14:textId="4675438E">
      <w:pPr>
        <w:spacing w:line="276" w:lineRule="auto"/>
        <w:contextualSpacing/>
        <w:rPr>
          <w:b/>
          <w:bCs/>
        </w:rPr>
      </w:pPr>
      <w:r w:rsidRPr="004958BB">
        <w:fldChar w:fldCharType="begin"/>
      </w:r>
      <w:r w:rsidRPr="004958BB">
        <w:instrText>ADVANCE \R 0.95</w:instrText>
      </w:r>
      <w:r w:rsidRPr="004958BB">
        <w:fldChar w:fldCharType="end"/>
      </w:r>
      <w:r w:rsidRPr="004958BB">
        <w:tab/>
      </w:r>
      <w:r w:rsidRPr="004958BB">
        <w:rPr>
          <w:b/>
          <w:bCs/>
        </w:rPr>
        <w:t>b.  If this request for approval covers more than one form, provide separate hour burden estimates for each form and aggregate the hour burdens in Item 13 of OMB Form 83-I.</w:t>
      </w:r>
      <w:r w:rsidRPr="004958BB" w:rsidR="00C92072">
        <w:rPr>
          <w:b/>
          <w:bCs/>
        </w:rPr>
        <w:t xml:space="preserve">  </w:t>
      </w:r>
    </w:p>
    <w:p w:rsidR="00842E74" w:rsidRPr="004958BB" w:rsidP="004958BB" w14:paraId="34519466" w14:textId="5412D8BA">
      <w:pPr>
        <w:spacing w:line="276" w:lineRule="auto"/>
        <w:contextualSpacing/>
      </w:pPr>
    </w:p>
    <w:p w:rsidR="00276A95" w:rsidRPr="004958BB" w:rsidP="004958BB" w14:paraId="72113800" w14:textId="4CD3B310">
      <w:pPr>
        <w:spacing w:line="276" w:lineRule="auto"/>
        <w:contextualSpacing/>
      </w:pPr>
      <w:r w:rsidRPr="004958BB">
        <w:t>Please see our response to 12a above and 12c below.</w:t>
      </w:r>
    </w:p>
    <w:p w:rsidR="00276A95" w:rsidRPr="004958BB" w:rsidP="004958BB" w14:paraId="695A43D7" w14:textId="77777777">
      <w:pPr>
        <w:spacing w:line="276" w:lineRule="auto"/>
        <w:contextualSpacing/>
      </w:pPr>
    </w:p>
    <w:p w:rsidR="00883BF5" w:rsidRPr="004958BB" w:rsidP="004958BB" w14:paraId="38B6EE8A" w14:textId="61420B50">
      <w:pPr>
        <w:spacing w:line="276" w:lineRule="auto"/>
        <w:contextualSpacing/>
        <w:rPr>
          <w:b/>
          <w:bCs/>
        </w:rPr>
      </w:pPr>
      <w:r w:rsidRPr="004958BB">
        <w:rPr>
          <w:b/>
          <w:bCs/>
        </w:rPr>
        <w:tab/>
        <w:t xml:space="preserve">c. </w:t>
      </w:r>
      <w:r w:rsidRPr="004958BB" w:rsidR="006A4787">
        <w:rPr>
          <w:b/>
          <w:bCs/>
        </w:rPr>
        <w:t xml:space="preserve"> </w:t>
      </w:r>
      <w:r w:rsidRPr="004958BB">
        <w:rPr>
          <w:b/>
          <w:bCs/>
        </w:rPr>
        <w:t xml:space="preserve">Provide </w:t>
      </w:r>
      <w:r w:rsidRPr="004958BB" w:rsidR="00763992">
        <w:rPr>
          <w:b/>
          <w:bCs/>
        </w:rPr>
        <w:t xml:space="preserve">an </w:t>
      </w:r>
      <w:r w:rsidRPr="004958BB">
        <w:rPr>
          <w:b/>
          <w:bCs/>
        </w:rPr>
        <w:t>estimate of annualized cost to respondents for the hour burdens for collections of information, identifying and using appropriate</w:t>
      </w:r>
      <w:r w:rsidRPr="004958BB" w:rsidR="00232C69">
        <w:rPr>
          <w:b/>
          <w:bCs/>
        </w:rPr>
        <w:t xml:space="preserve"> </w:t>
      </w:r>
      <w:r w:rsidRPr="004958BB">
        <w:rPr>
          <w:b/>
          <w:bCs/>
        </w:rPr>
        <w:t>wage rate</w:t>
      </w:r>
      <w:r w:rsidRPr="004958BB" w:rsidR="00763992">
        <w:rPr>
          <w:b/>
          <w:bCs/>
        </w:rPr>
        <w:t xml:space="preserve"> </w:t>
      </w:r>
      <w:r w:rsidRPr="004958BB">
        <w:rPr>
          <w:b/>
          <w:bCs/>
        </w:rPr>
        <w:t>categories.</w:t>
      </w:r>
      <w:r w:rsidRPr="004958BB" w:rsidR="009B69D3">
        <w:rPr>
          <w:b/>
          <w:bCs/>
        </w:rPr>
        <w:t xml:space="preserve">  NOTE: The wage-rate category for each respondent must be multiplied by 1.4</w:t>
      </w:r>
      <w:r w:rsidRPr="004958BB" w:rsidR="005E4790">
        <w:rPr>
          <w:b/>
          <w:bCs/>
        </w:rPr>
        <w:t>5</w:t>
      </w:r>
      <w:r w:rsidRPr="004958BB" w:rsidR="009B69D3">
        <w:rPr>
          <w:b/>
          <w:bCs/>
        </w:rPr>
        <w:t xml:space="preserve"> and this total should be entered in the cell for “Avg. Hourly Wage Rate”.</w:t>
      </w:r>
      <w:r w:rsidRPr="004958BB">
        <w:rPr>
          <w:b/>
          <w:bCs/>
        </w:rPr>
        <w:t xml:space="preserve">  The cost </w:t>
      </w:r>
      <w:r w:rsidRPr="004958BB" w:rsidR="006C04FF">
        <w:rPr>
          <w:b/>
          <w:bCs/>
        </w:rPr>
        <w:t xml:space="preserve">to the respondents </w:t>
      </w:r>
      <w:r w:rsidRPr="004958BB">
        <w:rPr>
          <w:b/>
          <w:bCs/>
        </w:rPr>
        <w:t>of contracting out or</w:t>
      </w:r>
      <w:r w:rsidRPr="004958BB" w:rsidR="00232C69">
        <w:rPr>
          <w:b/>
          <w:bCs/>
        </w:rPr>
        <w:t xml:space="preserve"> </w:t>
      </w:r>
      <w:r w:rsidRPr="004958BB">
        <w:rPr>
          <w:b/>
          <w:bCs/>
        </w:rPr>
        <w:t xml:space="preserve">paying outside parties for </w:t>
      </w:r>
      <w:r w:rsidRPr="004958BB">
        <w:rPr>
          <w:b/>
          <w:bCs/>
        </w:rPr>
        <w:t>information collection activities should not be</w:t>
      </w:r>
      <w:r w:rsidRPr="004958BB" w:rsidR="00232C69">
        <w:rPr>
          <w:b/>
          <w:bCs/>
        </w:rPr>
        <w:t xml:space="preserve"> </w:t>
      </w:r>
      <w:r w:rsidRPr="004958BB">
        <w:rPr>
          <w:b/>
          <w:bCs/>
        </w:rPr>
        <w:t>included here.  Instead this cost should be included in Item 1</w:t>
      </w:r>
      <w:r w:rsidRPr="004958BB" w:rsidR="006540F6">
        <w:rPr>
          <w:b/>
          <w:bCs/>
        </w:rPr>
        <w:t>3</w:t>
      </w:r>
      <w:r w:rsidRPr="004958BB">
        <w:rPr>
          <w:b/>
          <w:bCs/>
        </w:rPr>
        <w:t>.</w:t>
      </w:r>
      <w:r w:rsidRPr="004958BB" w:rsidR="00C92072">
        <w:rPr>
          <w:b/>
          <w:bCs/>
        </w:rPr>
        <w:t xml:space="preserve">  </w:t>
      </w:r>
    </w:p>
    <w:p w:rsidR="009B69D3" w:rsidRPr="00E94A13" w:rsidP="00A732FB" w14:paraId="1283BC19" w14:textId="77777777">
      <w:pPr>
        <w:spacing w:line="276" w:lineRule="auto"/>
        <w:contextualSpacing/>
      </w:pPr>
    </w:p>
    <w:tbl>
      <w:tblPr>
        <w:tblStyle w:val="TableGrid"/>
        <w:tblW w:w="9817" w:type="dxa"/>
        <w:tblInd w:w="-455" w:type="dxa"/>
        <w:tblLook w:val="04A0"/>
      </w:tblPr>
      <w:tblGrid>
        <w:gridCol w:w="1234"/>
        <w:gridCol w:w="1176"/>
        <w:gridCol w:w="1267"/>
        <w:gridCol w:w="1188"/>
        <w:gridCol w:w="1081"/>
        <w:gridCol w:w="1001"/>
        <w:gridCol w:w="865"/>
        <w:gridCol w:w="817"/>
        <w:gridCol w:w="1188"/>
      </w:tblGrid>
      <w:tr w14:paraId="702E9FD2" w14:textId="77777777" w:rsidTr="007E77DD">
        <w:tblPrEx>
          <w:tblW w:w="9817" w:type="dxa"/>
          <w:tblInd w:w="-455" w:type="dxa"/>
          <w:tblLook w:val="04A0"/>
        </w:tblPrEx>
        <w:tc>
          <w:tcPr>
            <w:tcW w:w="9817" w:type="dxa"/>
            <w:gridSpan w:val="9"/>
            <w:shd w:val="clear" w:color="auto" w:fill="9CC2E5" w:themeFill="accent1" w:themeFillTint="99"/>
          </w:tcPr>
          <w:p w:rsidR="007E77DD" w:rsidRPr="00C54100" w:rsidP="00D42174" w14:paraId="0B9BB9AC" w14:textId="77777777">
            <w:pPr>
              <w:jc w:val="center"/>
              <w:rPr>
                <w:rFonts w:eastAsia="Calibri"/>
                <w:b/>
                <w:sz w:val="20"/>
                <w:szCs w:val="20"/>
              </w:rPr>
            </w:pPr>
            <w:r w:rsidRPr="00C54100">
              <w:rPr>
                <w:rFonts w:eastAsia="Calibri"/>
                <w:b/>
                <w:sz w:val="20"/>
                <w:szCs w:val="20"/>
              </w:rPr>
              <w:t>Estimated Annualized Burden Hours and Costs</w:t>
            </w:r>
          </w:p>
        </w:tc>
      </w:tr>
      <w:tr w14:paraId="7D68547E" w14:textId="77777777" w:rsidTr="007E77DD">
        <w:tblPrEx>
          <w:tblW w:w="9817" w:type="dxa"/>
          <w:tblInd w:w="-455" w:type="dxa"/>
          <w:tblLook w:val="04A0"/>
        </w:tblPrEx>
        <w:tc>
          <w:tcPr>
            <w:tcW w:w="1234" w:type="dxa"/>
            <w:shd w:val="clear" w:color="auto" w:fill="9CC2E5" w:themeFill="accent1" w:themeFillTint="99"/>
          </w:tcPr>
          <w:p w:rsidR="00291DA6" w:rsidRPr="005E2BB2" w:rsidP="00D42174" w14:paraId="47B63F2A" w14:textId="77777777">
            <w:pPr>
              <w:rPr>
                <w:rFonts w:eastAsia="Calibri"/>
                <w:sz w:val="20"/>
                <w:szCs w:val="20"/>
              </w:rPr>
            </w:pPr>
            <w:r w:rsidRPr="005E2BB2">
              <w:rPr>
                <w:sz w:val="20"/>
                <w:szCs w:val="20"/>
              </w:rPr>
              <w:t>Type of Respondent</w:t>
            </w:r>
          </w:p>
        </w:tc>
        <w:tc>
          <w:tcPr>
            <w:tcW w:w="1176" w:type="dxa"/>
            <w:shd w:val="clear" w:color="auto" w:fill="9CC2E5" w:themeFill="accent1" w:themeFillTint="99"/>
          </w:tcPr>
          <w:p w:rsidR="00291DA6" w:rsidRPr="005E2BB2" w:rsidP="00D42174" w14:paraId="35A1FC1C" w14:textId="77777777">
            <w:pPr>
              <w:rPr>
                <w:rFonts w:eastAsia="Calibri"/>
                <w:sz w:val="20"/>
                <w:szCs w:val="20"/>
              </w:rPr>
            </w:pPr>
            <w:r w:rsidRPr="005E2BB2">
              <w:rPr>
                <w:rFonts w:eastAsia="Calibri"/>
                <w:sz w:val="20"/>
                <w:szCs w:val="20"/>
              </w:rPr>
              <w:t>Form Name / Form No.</w:t>
            </w:r>
          </w:p>
        </w:tc>
        <w:tc>
          <w:tcPr>
            <w:tcW w:w="1267" w:type="dxa"/>
            <w:shd w:val="clear" w:color="auto" w:fill="9CC2E5" w:themeFill="accent1" w:themeFillTint="99"/>
          </w:tcPr>
          <w:p w:rsidR="00291DA6" w:rsidRPr="005E2BB2" w:rsidP="00D42174" w14:paraId="22518D73" w14:textId="77777777">
            <w:pPr>
              <w:rPr>
                <w:rFonts w:eastAsia="Calibri"/>
                <w:sz w:val="20"/>
                <w:szCs w:val="20"/>
              </w:rPr>
            </w:pPr>
            <w:r w:rsidRPr="005E2BB2">
              <w:rPr>
                <w:rFonts w:eastAsia="Calibri"/>
                <w:sz w:val="20"/>
                <w:szCs w:val="20"/>
              </w:rPr>
              <w:t>No. of Respondents</w:t>
            </w:r>
          </w:p>
        </w:tc>
        <w:tc>
          <w:tcPr>
            <w:tcW w:w="1188" w:type="dxa"/>
            <w:shd w:val="clear" w:color="auto" w:fill="9CC2E5" w:themeFill="accent1" w:themeFillTint="99"/>
          </w:tcPr>
          <w:p w:rsidR="00291DA6" w:rsidRPr="005E2BB2" w:rsidP="00D42174" w14:paraId="2DAC2F00" w14:textId="77777777">
            <w:pPr>
              <w:rPr>
                <w:rFonts w:eastAsia="Calibri"/>
                <w:sz w:val="20"/>
                <w:szCs w:val="20"/>
              </w:rPr>
            </w:pPr>
            <w:r w:rsidRPr="005E2BB2">
              <w:rPr>
                <w:rFonts w:eastAsia="Calibri"/>
                <w:sz w:val="20"/>
                <w:szCs w:val="20"/>
              </w:rPr>
              <w:t>No. of Responses per Respondent</w:t>
            </w:r>
          </w:p>
        </w:tc>
        <w:tc>
          <w:tcPr>
            <w:tcW w:w="1081" w:type="dxa"/>
            <w:shd w:val="clear" w:color="auto" w:fill="9CC2E5" w:themeFill="accent1" w:themeFillTint="99"/>
          </w:tcPr>
          <w:p w:rsidR="00291DA6" w:rsidRPr="005E2BB2" w:rsidP="00D42174" w14:paraId="4193CBA5" w14:textId="77777777">
            <w:pPr>
              <w:rPr>
                <w:rFonts w:eastAsia="Calibri"/>
                <w:sz w:val="20"/>
                <w:szCs w:val="20"/>
              </w:rPr>
            </w:pPr>
            <w:r w:rsidRPr="005E2BB2">
              <w:rPr>
                <w:rFonts w:eastAsia="Calibri"/>
                <w:sz w:val="20"/>
                <w:szCs w:val="20"/>
              </w:rPr>
              <w:t>Total No. of Responses</w:t>
            </w:r>
          </w:p>
        </w:tc>
        <w:tc>
          <w:tcPr>
            <w:tcW w:w="1001" w:type="dxa"/>
            <w:shd w:val="clear" w:color="auto" w:fill="9CC2E5" w:themeFill="accent1" w:themeFillTint="99"/>
          </w:tcPr>
          <w:p w:rsidR="00291DA6" w:rsidRPr="005E2BB2" w:rsidP="00D42174" w14:paraId="5DF85F11" w14:textId="77777777">
            <w:pPr>
              <w:rPr>
                <w:rFonts w:eastAsia="Calibri"/>
                <w:sz w:val="20"/>
                <w:szCs w:val="20"/>
              </w:rPr>
            </w:pPr>
            <w:r w:rsidRPr="005E2BB2">
              <w:rPr>
                <w:rFonts w:eastAsia="Calibri"/>
                <w:sz w:val="20"/>
                <w:szCs w:val="20"/>
              </w:rPr>
              <w:t>Avg. Burden per Response (in hours)</w:t>
            </w:r>
          </w:p>
        </w:tc>
        <w:tc>
          <w:tcPr>
            <w:tcW w:w="865" w:type="dxa"/>
            <w:shd w:val="clear" w:color="auto" w:fill="9CC2E5" w:themeFill="accent1" w:themeFillTint="99"/>
          </w:tcPr>
          <w:p w:rsidR="00291DA6" w:rsidRPr="005E2BB2" w:rsidP="00D42174" w14:paraId="1C63FF1F" w14:textId="77777777">
            <w:pPr>
              <w:rPr>
                <w:rFonts w:eastAsia="Calibri"/>
                <w:sz w:val="20"/>
                <w:szCs w:val="20"/>
              </w:rPr>
            </w:pPr>
            <w:r w:rsidRPr="005E2BB2">
              <w:rPr>
                <w:rFonts w:eastAsia="Calibri"/>
                <w:sz w:val="20"/>
                <w:szCs w:val="20"/>
              </w:rPr>
              <w:t>Total Annual Burden (in hours)</w:t>
            </w:r>
          </w:p>
        </w:tc>
        <w:tc>
          <w:tcPr>
            <w:tcW w:w="817" w:type="dxa"/>
            <w:shd w:val="clear" w:color="auto" w:fill="9CC2E5" w:themeFill="accent1" w:themeFillTint="99"/>
          </w:tcPr>
          <w:p w:rsidR="00291DA6" w:rsidRPr="005E2BB2" w:rsidP="00D42174" w14:paraId="433F09F9" w14:textId="77777777">
            <w:pPr>
              <w:rPr>
                <w:rFonts w:eastAsia="Calibri"/>
                <w:sz w:val="20"/>
                <w:szCs w:val="20"/>
              </w:rPr>
            </w:pPr>
            <w:r w:rsidRPr="005E2BB2">
              <w:rPr>
                <w:rFonts w:eastAsia="Calibri"/>
                <w:sz w:val="20"/>
                <w:szCs w:val="20"/>
              </w:rPr>
              <w:t>Avg. Hourly Wage Rate</w:t>
            </w:r>
          </w:p>
        </w:tc>
        <w:tc>
          <w:tcPr>
            <w:tcW w:w="1188" w:type="dxa"/>
            <w:shd w:val="clear" w:color="auto" w:fill="9CC2E5" w:themeFill="accent1" w:themeFillTint="99"/>
          </w:tcPr>
          <w:p w:rsidR="00291DA6" w:rsidRPr="005E2BB2" w:rsidP="00D42174" w14:paraId="646E7AC2" w14:textId="77777777">
            <w:pPr>
              <w:rPr>
                <w:rFonts w:eastAsia="Calibri"/>
                <w:sz w:val="20"/>
                <w:szCs w:val="20"/>
              </w:rPr>
            </w:pPr>
            <w:r w:rsidRPr="005E2BB2">
              <w:rPr>
                <w:rFonts w:eastAsia="Calibri"/>
                <w:sz w:val="20"/>
                <w:szCs w:val="20"/>
              </w:rPr>
              <w:t>Total Annual Respondent Cost</w:t>
            </w:r>
          </w:p>
        </w:tc>
      </w:tr>
      <w:tr w14:paraId="2ABC7279" w14:textId="77777777" w:rsidTr="007E77DD">
        <w:tblPrEx>
          <w:tblW w:w="9817" w:type="dxa"/>
          <w:tblInd w:w="-455" w:type="dxa"/>
          <w:tblLook w:val="04A0"/>
        </w:tblPrEx>
        <w:tc>
          <w:tcPr>
            <w:tcW w:w="1234" w:type="dxa"/>
            <w:vAlign w:val="center"/>
          </w:tcPr>
          <w:p w:rsidR="00A61792" w:rsidRPr="00283C13" w:rsidP="00A61792" w14:paraId="267E54D2" w14:textId="535BD2AA">
            <w:r w:rsidRPr="00011888">
              <w:rPr>
                <w:color w:val="000000"/>
                <w:sz w:val="18"/>
                <w:szCs w:val="18"/>
              </w:rPr>
              <w:t>Individual, business, non-profit, State, local, or Tribal Government</w:t>
            </w:r>
          </w:p>
        </w:tc>
        <w:tc>
          <w:tcPr>
            <w:tcW w:w="1176" w:type="dxa"/>
          </w:tcPr>
          <w:p w:rsidR="00A61792" w:rsidRPr="00283C13" w:rsidP="00A61792" w14:paraId="5788B742" w14:textId="13BA65CD">
            <w:pPr>
              <w:rPr>
                <w:rFonts w:eastAsia="Calibri"/>
              </w:rPr>
            </w:pPr>
            <w:r w:rsidRPr="00F35F4F">
              <w:rPr>
                <w:color w:val="000000"/>
                <w:sz w:val="18"/>
                <w:szCs w:val="18"/>
              </w:rPr>
              <w:t xml:space="preserve">Flood Insurance Application/ FEMA Form </w:t>
            </w:r>
            <w:r w:rsidRPr="00F35F4F">
              <w:rPr>
                <w:bCs/>
                <w:color w:val="000000"/>
                <w:sz w:val="18"/>
                <w:szCs w:val="18"/>
              </w:rPr>
              <w:t>FF-206-FY-21-117 (formerly 086-0-1)</w:t>
            </w:r>
          </w:p>
        </w:tc>
        <w:tc>
          <w:tcPr>
            <w:tcW w:w="1267" w:type="dxa"/>
            <w:vAlign w:val="center"/>
          </w:tcPr>
          <w:p w:rsidR="00A61792" w:rsidRPr="00283C13" w:rsidP="00A61792" w14:paraId="32EB36F2" w14:textId="6075CB70">
            <w:pPr>
              <w:jc w:val="center"/>
              <w:rPr>
                <w:rFonts w:eastAsia="Calibri"/>
              </w:rPr>
            </w:pPr>
            <w:r w:rsidRPr="00F35F4F">
              <w:rPr>
                <w:sz w:val="18"/>
                <w:szCs w:val="18"/>
              </w:rPr>
              <w:t xml:space="preserve">17,593 </w:t>
            </w:r>
          </w:p>
        </w:tc>
        <w:tc>
          <w:tcPr>
            <w:tcW w:w="1188" w:type="dxa"/>
            <w:vAlign w:val="center"/>
          </w:tcPr>
          <w:p w:rsidR="00A61792" w:rsidRPr="00283C13" w:rsidP="00A61792" w14:paraId="04A79ED6" w14:textId="086B0EBF">
            <w:pPr>
              <w:jc w:val="center"/>
              <w:rPr>
                <w:rFonts w:eastAsia="Calibri"/>
              </w:rPr>
            </w:pPr>
            <w:r w:rsidRPr="00F35F4F">
              <w:rPr>
                <w:sz w:val="18"/>
                <w:szCs w:val="18"/>
              </w:rPr>
              <w:t>1</w:t>
            </w:r>
          </w:p>
        </w:tc>
        <w:tc>
          <w:tcPr>
            <w:tcW w:w="1081" w:type="dxa"/>
            <w:vAlign w:val="center"/>
          </w:tcPr>
          <w:p w:rsidR="00A61792" w:rsidRPr="00283C13" w:rsidP="00A61792" w14:paraId="2D851EB5" w14:textId="32C677B3">
            <w:pPr>
              <w:jc w:val="center"/>
              <w:rPr>
                <w:rFonts w:eastAsia="Calibri"/>
              </w:rPr>
            </w:pPr>
            <w:r w:rsidRPr="00F35F4F">
              <w:rPr>
                <w:sz w:val="18"/>
                <w:szCs w:val="18"/>
              </w:rPr>
              <w:t xml:space="preserve"> 17,593 </w:t>
            </w:r>
          </w:p>
        </w:tc>
        <w:tc>
          <w:tcPr>
            <w:tcW w:w="1001" w:type="dxa"/>
            <w:vAlign w:val="center"/>
          </w:tcPr>
          <w:p w:rsidR="00A61792" w:rsidRPr="00283C13" w:rsidP="00A61792" w14:paraId="66F7CA9C" w14:textId="6A2D84DD">
            <w:pPr>
              <w:jc w:val="center"/>
              <w:rPr>
                <w:rFonts w:eastAsia="Calibri"/>
              </w:rPr>
            </w:pPr>
            <w:r w:rsidRPr="0072693D">
              <w:rPr>
                <w:bCs/>
                <w:sz w:val="18"/>
                <w:szCs w:val="18"/>
              </w:rPr>
              <w:t>0.2167</w:t>
            </w:r>
          </w:p>
        </w:tc>
        <w:tc>
          <w:tcPr>
            <w:tcW w:w="865" w:type="dxa"/>
            <w:vAlign w:val="center"/>
          </w:tcPr>
          <w:p w:rsidR="00A61792" w:rsidRPr="00283C13" w:rsidP="00A61792" w14:paraId="4B24C01A" w14:textId="42B6726C">
            <w:pPr>
              <w:jc w:val="center"/>
              <w:rPr>
                <w:rFonts w:eastAsia="Calibri"/>
              </w:rPr>
            </w:pPr>
            <w:r w:rsidRPr="00F35F4F">
              <w:rPr>
                <w:sz w:val="18"/>
                <w:szCs w:val="18"/>
              </w:rPr>
              <w:t xml:space="preserve"> </w:t>
            </w:r>
            <w:r w:rsidRPr="00FD0C34">
              <w:rPr>
                <w:bCs/>
                <w:sz w:val="18"/>
                <w:szCs w:val="18"/>
              </w:rPr>
              <w:t>3,812</w:t>
            </w:r>
          </w:p>
        </w:tc>
        <w:tc>
          <w:tcPr>
            <w:tcW w:w="817" w:type="dxa"/>
            <w:vAlign w:val="center"/>
          </w:tcPr>
          <w:p w:rsidR="00A61792" w:rsidRPr="00283C13" w:rsidP="00A61792" w14:paraId="5BEA81D5" w14:textId="64DCF743">
            <w:pPr>
              <w:jc w:val="center"/>
              <w:rPr>
                <w:rFonts w:eastAsia="Calibri"/>
              </w:rPr>
            </w:pPr>
            <w:r w:rsidRPr="00F35F4F">
              <w:rPr>
                <w:sz w:val="18"/>
                <w:szCs w:val="18"/>
              </w:rPr>
              <w:t>$40.61</w:t>
            </w:r>
          </w:p>
        </w:tc>
        <w:tc>
          <w:tcPr>
            <w:tcW w:w="1188" w:type="dxa"/>
            <w:vAlign w:val="center"/>
          </w:tcPr>
          <w:p w:rsidR="00A61792" w:rsidRPr="00283C13" w:rsidP="00A61792" w14:paraId="4E83A0CB" w14:textId="793749CA">
            <w:pPr>
              <w:jc w:val="right"/>
              <w:rPr>
                <w:rFonts w:eastAsia="Calibri"/>
              </w:rPr>
            </w:pPr>
            <w:r w:rsidRPr="00F35F4F">
              <w:rPr>
                <w:sz w:val="18"/>
                <w:szCs w:val="18"/>
              </w:rPr>
              <w:t>$</w:t>
            </w:r>
            <w:r>
              <w:rPr>
                <w:sz w:val="18"/>
                <w:szCs w:val="18"/>
              </w:rPr>
              <w:t>154,805</w:t>
            </w:r>
          </w:p>
        </w:tc>
      </w:tr>
      <w:tr w14:paraId="19E6246B" w14:textId="77777777" w:rsidTr="007E77DD">
        <w:tblPrEx>
          <w:tblW w:w="9817" w:type="dxa"/>
          <w:tblInd w:w="-455" w:type="dxa"/>
          <w:tblLook w:val="04A0"/>
        </w:tblPrEx>
        <w:tc>
          <w:tcPr>
            <w:tcW w:w="1234" w:type="dxa"/>
            <w:vAlign w:val="center"/>
          </w:tcPr>
          <w:p w:rsidR="00A61792" w:rsidRPr="00283C13" w:rsidP="00A61792" w14:paraId="1A8066EC" w14:textId="5916B5C1">
            <w:r w:rsidRPr="00011888">
              <w:rPr>
                <w:color w:val="000000"/>
                <w:sz w:val="18"/>
                <w:szCs w:val="18"/>
              </w:rPr>
              <w:t>Individual, business, non-profit, State, local, or Tribal Government</w:t>
            </w:r>
          </w:p>
        </w:tc>
        <w:tc>
          <w:tcPr>
            <w:tcW w:w="1176" w:type="dxa"/>
          </w:tcPr>
          <w:p w:rsidR="00A61792" w:rsidRPr="00283C13" w:rsidP="00A61792" w14:paraId="4AF932D7" w14:textId="6FC03CE9">
            <w:pPr>
              <w:rPr>
                <w:rFonts w:eastAsia="Calibri"/>
              </w:rPr>
            </w:pPr>
            <w:r w:rsidRPr="00F35F4F">
              <w:rPr>
                <w:color w:val="000000"/>
                <w:sz w:val="18"/>
                <w:szCs w:val="18"/>
              </w:rPr>
              <w:t>Flood Insurance Cancellation/ Nullification Request Form / FEMA Form FF-206-FY-21-118 (formerly 086-0-2)</w:t>
            </w:r>
          </w:p>
        </w:tc>
        <w:tc>
          <w:tcPr>
            <w:tcW w:w="1267" w:type="dxa"/>
            <w:vAlign w:val="center"/>
          </w:tcPr>
          <w:p w:rsidR="00A61792" w:rsidRPr="00283C13" w:rsidP="00A61792" w14:paraId="55204A68" w14:textId="05D47CDC">
            <w:pPr>
              <w:jc w:val="center"/>
              <w:rPr>
                <w:rFonts w:eastAsia="Calibri"/>
              </w:rPr>
            </w:pPr>
            <w:r w:rsidRPr="00F35F4F">
              <w:rPr>
                <w:sz w:val="18"/>
                <w:szCs w:val="18"/>
              </w:rPr>
              <w:t>30,964</w:t>
            </w:r>
          </w:p>
        </w:tc>
        <w:tc>
          <w:tcPr>
            <w:tcW w:w="1188" w:type="dxa"/>
            <w:vAlign w:val="center"/>
          </w:tcPr>
          <w:p w:rsidR="00A61792" w:rsidRPr="00283C13" w:rsidP="00A61792" w14:paraId="52D34BA0" w14:textId="39B8B2C1">
            <w:pPr>
              <w:jc w:val="center"/>
              <w:rPr>
                <w:rFonts w:eastAsia="Calibri"/>
              </w:rPr>
            </w:pPr>
            <w:r w:rsidRPr="00F35F4F">
              <w:rPr>
                <w:sz w:val="18"/>
                <w:szCs w:val="18"/>
              </w:rPr>
              <w:t>1</w:t>
            </w:r>
          </w:p>
        </w:tc>
        <w:tc>
          <w:tcPr>
            <w:tcW w:w="1081" w:type="dxa"/>
            <w:vAlign w:val="center"/>
          </w:tcPr>
          <w:p w:rsidR="00A61792" w:rsidRPr="00283C13" w:rsidP="00A61792" w14:paraId="0F091CC8" w14:textId="2543B542">
            <w:pPr>
              <w:jc w:val="center"/>
              <w:rPr>
                <w:rFonts w:eastAsia="Calibri"/>
              </w:rPr>
            </w:pPr>
            <w:r w:rsidRPr="00F35F4F">
              <w:rPr>
                <w:sz w:val="18"/>
                <w:szCs w:val="18"/>
              </w:rPr>
              <w:t xml:space="preserve"> 30,964 </w:t>
            </w:r>
          </w:p>
        </w:tc>
        <w:tc>
          <w:tcPr>
            <w:tcW w:w="1001" w:type="dxa"/>
            <w:vAlign w:val="center"/>
          </w:tcPr>
          <w:p w:rsidR="00A61792" w:rsidRPr="00283C13" w:rsidP="00A61792" w14:paraId="6BA1EE75" w14:textId="19898928">
            <w:pPr>
              <w:jc w:val="center"/>
              <w:rPr>
                <w:rFonts w:eastAsia="Calibri"/>
              </w:rPr>
            </w:pPr>
            <w:r w:rsidRPr="009B1376">
              <w:rPr>
                <w:bCs/>
                <w:sz w:val="18"/>
                <w:szCs w:val="18"/>
              </w:rPr>
              <w:t>0.1500</w:t>
            </w:r>
          </w:p>
        </w:tc>
        <w:tc>
          <w:tcPr>
            <w:tcW w:w="865" w:type="dxa"/>
            <w:vAlign w:val="center"/>
          </w:tcPr>
          <w:p w:rsidR="00A61792" w:rsidRPr="00283C13" w:rsidP="00A61792" w14:paraId="3E45FB7C" w14:textId="068A8C36">
            <w:pPr>
              <w:jc w:val="center"/>
              <w:rPr>
                <w:rFonts w:eastAsia="Calibri"/>
              </w:rPr>
            </w:pPr>
            <w:r w:rsidRPr="00D80F41">
              <w:rPr>
                <w:bCs/>
                <w:sz w:val="18"/>
                <w:szCs w:val="18"/>
              </w:rPr>
              <w:t>4,645</w:t>
            </w:r>
          </w:p>
        </w:tc>
        <w:tc>
          <w:tcPr>
            <w:tcW w:w="817" w:type="dxa"/>
            <w:vAlign w:val="center"/>
          </w:tcPr>
          <w:p w:rsidR="00A61792" w:rsidRPr="00283C13" w:rsidP="00A61792" w14:paraId="1DCD9CFD" w14:textId="68121352">
            <w:pPr>
              <w:jc w:val="center"/>
              <w:rPr>
                <w:rFonts w:eastAsia="Calibri"/>
              </w:rPr>
            </w:pPr>
            <w:r w:rsidRPr="00F35F4F">
              <w:rPr>
                <w:sz w:val="18"/>
                <w:szCs w:val="18"/>
              </w:rPr>
              <w:t>$40.61</w:t>
            </w:r>
          </w:p>
        </w:tc>
        <w:tc>
          <w:tcPr>
            <w:tcW w:w="1188" w:type="dxa"/>
            <w:vAlign w:val="center"/>
          </w:tcPr>
          <w:p w:rsidR="00A61792" w:rsidRPr="00283C13" w:rsidP="00A61792" w14:paraId="740C60B0" w14:textId="6B3D4250">
            <w:pPr>
              <w:jc w:val="right"/>
              <w:rPr>
                <w:rFonts w:eastAsia="Calibri"/>
              </w:rPr>
            </w:pPr>
            <w:r w:rsidRPr="00F35F4F">
              <w:rPr>
                <w:sz w:val="18"/>
                <w:szCs w:val="18"/>
              </w:rPr>
              <w:t>$</w:t>
            </w:r>
            <w:r>
              <w:rPr>
                <w:sz w:val="18"/>
                <w:szCs w:val="18"/>
              </w:rPr>
              <w:t>188,633</w:t>
            </w:r>
          </w:p>
        </w:tc>
      </w:tr>
      <w:tr w14:paraId="68C7739E" w14:textId="77777777" w:rsidTr="007E77DD">
        <w:tblPrEx>
          <w:tblW w:w="9817" w:type="dxa"/>
          <w:tblInd w:w="-455" w:type="dxa"/>
          <w:tblLook w:val="04A0"/>
        </w:tblPrEx>
        <w:tc>
          <w:tcPr>
            <w:tcW w:w="1234" w:type="dxa"/>
            <w:vAlign w:val="center"/>
          </w:tcPr>
          <w:p w:rsidR="00A61792" w:rsidRPr="00283C13" w:rsidP="00A61792" w14:paraId="2D0FE6AD" w14:textId="2825D733">
            <w:r w:rsidRPr="00011888">
              <w:rPr>
                <w:color w:val="000000"/>
                <w:sz w:val="18"/>
                <w:szCs w:val="18"/>
              </w:rPr>
              <w:t>Individual, business, non-profit, State, local, or Tribal Government</w:t>
            </w:r>
          </w:p>
        </w:tc>
        <w:tc>
          <w:tcPr>
            <w:tcW w:w="1176" w:type="dxa"/>
          </w:tcPr>
          <w:p w:rsidR="00A61792" w:rsidRPr="00283C13" w:rsidP="00A61792" w14:paraId="56115177" w14:textId="5536BBEE">
            <w:pPr>
              <w:rPr>
                <w:rFonts w:eastAsia="Calibri"/>
              </w:rPr>
            </w:pPr>
            <w:r w:rsidRPr="00F35F4F">
              <w:rPr>
                <w:color w:val="000000"/>
                <w:sz w:val="18"/>
                <w:szCs w:val="18"/>
              </w:rPr>
              <w:t>Flood Insurance General Change Endorsement / FEMA Form FF-206-FY-21-119 (formerly 086-0-3)</w:t>
            </w:r>
          </w:p>
        </w:tc>
        <w:tc>
          <w:tcPr>
            <w:tcW w:w="1267" w:type="dxa"/>
            <w:vAlign w:val="center"/>
          </w:tcPr>
          <w:p w:rsidR="00A61792" w:rsidRPr="00283C13" w:rsidP="00A61792" w14:paraId="716F1B2B" w14:textId="4CBE513F">
            <w:pPr>
              <w:jc w:val="center"/>
            </w:pPr>
            <w:r w:rsidRPr="00F35F4F">
              <w:rPr>
                <w:sz w:val="18"/>
                <w:szCs w:val="18"/>
              </w:rPr>
              <w:t>323,</w:t>
            </w:r>
            <w:r w:rsidRPr="002B66B0" w:rsidR="00DA6B0F">
              <w:rPr>
                <w:sz w:val="18"/>
                <w:szCs w:val="18"/>
              </w:rPr>
              <w:t>8</w:t>
            </w:r>
            <w:r w:rsidRPr="00F35F4F" w:rsidR="00DA6B0F">
              <w:rPr>
                <w:sz w:val="18"/>
                <w:szCs w:val="18"/>
              </w:rPr>
              <w:t>65</w:t>
            </w:r>
          </w:p>
        </w:tc>
        <w:tc>
          <w:tcPr>
            <w:tcW w:w="1188" w:type="dxa"/>
            <w:vAlign w:val="center"/>
          </w:tcPr>
          <w:p w:rsidR="00A61792" w:rsidRPr="00283C13" w:rsidP="00A61792" w14:paraId="4E7231C3" w14:textId="18786EB0">
            <w:pPr>
              <w:jc w:val="center"/>
            </w:pPr>
            <w:r w:rsidRPr="00F35F4F">
              <w:rPr>
                <w:sz w:val="18"/>
                <w:szCs w:val="18"/>
              </w:rPr>
              <w:t>1</w:t>
            </w:r>
          </w:p>
        </w:tc>
        <w:tc>
          <w:tcPr>
            <w:tcW w:w="1081" w:type="dxa"/>
            <w:vAlign w:val="center"/>
          </w:tcPr>
          <w:p w:rsidR="00A61792" w:rsidRPr="00283C13" w:rsidP="00A61792" w14:paraId="0DEBEA79" w14:textId="3C3FBBEC">
            <w:pPr>
              <w:jc w:val="center"/>
            </w:pPr>
            <w:r w:rsidRPr="00F35F4F">
              <w:rPr>
                <w:sz w:val="18"/>
                <w:szCs w:val="18"/>
              </w:rPr>
              <w:t xml:space="preserve"> 323,</w:t>
            </w:r>
            <w:r w:rsidRPr="002B66B0" w:rsidR="00DA6B0F">
              <w:rPr>
                <w:sz w:val="18"/>
                <w:szCs w:val="18"/>
              </w:rPr>
              <w:t>8</w:t>
            </w:r>
            <w:r w:rsidRPr="00F35F4F" w:rsidR="00DA6B0F">
              <w:rPr>
                <w:sz w:val="18"/>
                <w:szCs w:val="18"/>
              </w:rPr>
              <w:t xml:space="preserve">65 </w:t>
            </w:r>
          </w:p>
        </w:tc>
        <w:tc>
          <w:tcPr>
            <w:tcW w:w="1001" w:type="dxa"/>
            <w:vAlign w:val="center"/>
          </w:tcPr>
          <w:p w:rsidR="00A61792" w:rsidRPr="00283C13" w:rsidP="00A61792" w14:paraId="2E8ED543" w14:textId="644E3FA6">
            <w:pPr>
              <w:jc w:val="center"/>
            </w:pPr>
            <w:r w:rsidRPr="0005618F">
              <w:rPr>
                <w:bCs/>
                <w:sz w:val="18"/>
                <w:szCs w:val="18"/>
              </w:rPr>
              <w:t>0.1</w:t>
            </w:r>
            <w:r>
              <w:rPr>
                <w:bCs/>
                <w:sz w:val="18"/>
                <w:szCs w:val="18"/>
              </w:rPr>
              <w:t>333</w:t>
            </w:r>
          </w:p>
        </w:tc>
        <w:tc>
          <w:tcPr>
            <w:tcW w:w="865" w:type="dxa"/>
            <w:vAlign w:val="center"/>
          </w:tcPr>
          <w:p w:rsidR="00A61792" w:rsidRPr="00283C13" w:rsidP="00A61792" w14:paraId="389832BF" w14:textId="18F37F01">
            <w:pPr>
              <w:jc w:val="center"/>
            </w:pPr>
            <w:r>
              <w:rPr>
                <w:bCs/>
                <w:sz w:val="18"/>
                <w:szCs w:val="18"/>
              </w:rPr>
              <w:t>43,171</w:t>
            </w:r>
          </w:p>
        </w:tc>
        <w:tc>
          <w:tcPr>
            <w:tcW w:w="817" w:type="dxa"/>
            <w:vAlign w:val="center"/>
          </w:tcPr>
          <w:p w:rsidR="00A61792" w:rsidRPr="00FC3DD8" w:rsidP="00A61792" w14:paraId="41DFA732" w14:textId="2BF56D33">
            <w:pPr>
              <w:jc w:val="center"/>
              <w:rPr>
                <w:sz w:val="18"/>
                <w:szCs w:val="18"/>
              </w:rPr>
            </w:pPr>
            <w:r w:rsidRPr="00FC3DD8">
              <w:rPr>
                <w:sz w:val="18"/>
                <w:szCs w:val="18"/>
              </w:rPr>
              <w:t>$40.61</w:t>
            </w:r>
          </w:p>
        </w:tc>
        <w:tc>
          <w:tcPr>
            <w:tcW w:w="1188" w:type="dxa"/>
            <w:vAlign w:val="center"/>
          </w:tcPr>
          <w:p w:rsidR="00A61792" w:rsidRPr="00FC3DD8" w:rsidP="00A61792" w14:paraId="3C1E12E3" w14:textId="4671E0E7">
            <w:pPr>
              <w:jc w:val="right"/>
              <w:rPr>
                <w:sz w:val="18"/>
                <w:szCs w:val="18"/>
              </w:rPr>
            </w:pPr>
            <w:r w:rsidRPr="00E77C65">
              <w:rPr>
                <w:sz w:val="18"/>
                <w:szCs w:val="18"/>
              </w:rPr>
              <w:t>$1,753,174</w:t>
            </w:r>
          </w:p>
        </w:tc>
      </w:tr>
      <w:tr w14:paraId="6E089CC1" w14:textId="77777777" w:rsidTr="007E77DD">
        <w:tblPrEx>
          <w:tblW w:w="9817" w:type="dxa"/>
          <w:tblInd w:w="-455" w:type="dxa"/>
          <w:tblLook w:val="04A0"/>
        </w:tblPrEx>
        <w:tc>
          <w:tcPr>
            <w:tcW w:w="1234" w:type="dxa"/>
          </w:tcPr>
          <w:p w:rsidR="00A61792" w:rsidRPr="00283C13" w:rsidP="00A61792" w14:paraId="46AB567B" w14:textId="45EEFC43">
            <w:pPr>
              <w:rPr>
                <w:rFonts w:eastAsia="Calibri"/>
                <w:b/>
                <w:bCs/>
                <w:color w:val="000000" w:themeColor="text1"/>
              </w:rPr>
            </w:pPr>
            <w:r w:rsidRPr="00011888">
              <w:rPr>
                <w:rFonts w:eastAsia="Calibri"/>
                <w:b/>
                <w:sz w:val="18"/>
                <w:szCs w:val="18"/>
              </w:rPr>
              <w:t>Total</w:t>
            </w:r>
          </w:p>
        </w:tc>
        <w:tc>
          <w:tcPr>
            <w:tcW w:w="1176" w:type="dxa"/>
            <w:shd w:val="clear" w:color="auto" w:fill="000000"/>
          </w:tcPr>
          <w:p w:rsidR="00A61792" w:rsidRPr="00283C13" w:rsidP="00A61792" w14:paraId="36217D9B" w14:textId="77777777">
            <w:pPr>
              <w:rPr>
                <w:rFonts w:eastAsia="Calibri"/>
                <w:b/>
                <w:bCs/>
                <w:color w:val="000000" w:themeColor="text1"/>
              </w:rPr>
            </w:pPr>
          </w:p>
        </w:tc>
        <w:tc>
          <w:tcPr>
            <w:tcW w:w="1267" w:type="dxa"/>
            <w:vAlign w:val="center"/>
          </w:tcPr>
          <w:p w:rsidR="00A61792" w:rsidRPr="00283C13" w:rsidP="00A61792" w14:paraId="3DDC83BE" w14:textId="741924FF">
            <w:pPr>
              <w:jc w:val="right"/>
              <w:rPr>
                <w:rFonts w:eastAsia="Calibri"/>
              </w:rPr>
            </w:pPr>
            <w:r w:rsidRPr="00F35F4F">
              <w:rPr>
                <w:b/>
                <w:sz w:val="18"/>
                <w:szCs w:val="18"/>
              </w:rPr>
              <w:t>372,</w:t>
            </w:r>
            <w:r w:rsidRPr="002B66B0" w:rsidR="00DA6B0F">
              <w:rPr>
                <w:b/>
                <w:sz w:val="18"/>
                <w:szCs w:val="18"/>
              </w:rPr>
              <w:t>4</w:t>
            </w:r>
            <w:r w:rsidRPr="00F35F4F" w:rsidR="00DA6B0F">
              <w:rPr>
                <w:b/>
                <w:sz w:val="18"/>
                <w:szCs w:val="18"/>
              </w:rPr>
              <w:t>22</w:t>
            </w:r>
          </w:p>
        </w:tc>
        <w:tc>
          <w:tcPr>
            <w:tcW w:w="1188" w:type="dxa"/>
            <w:shd w:val="clear" w:color="auto" w:fill="000000"/>
            <w:vAlign w:val="center"/>
          </w:tcPr>
          <w:p w:rsidR="00A61792" w:rsidRPr="0009021F" w:rsidP="00A61792" w14:paraId="4FB6E118" w14:textId="77777777">
            <w:pPr>
              <w:jc w:val="right"/>
              <w:rPr>
                <w:rFonts w:eastAsia="Calibri"/>
                <w:b/>
                <w:bCs/>
              </w:rPr>
            </w:pPr>
          </w:p>
        </w:tc>
        <w:tc>
          <w:tcPr>
            <w:tcW w:w="1081" w:type="dxa"/>
            <w:vAlign w:val="center"/>
          </w:tcPr>
          <w:p w:rsidR="00A61792" w:rsidRPr="0009021F" w:rsidP="00A61792" w14:paraId="35E64417" w14:textId="29F4ADAA">
            <w:pPr>
              <w:jc w:val="center"/>
              <w:rPr>
                <w:rFonts w:eastAsia="Calibri"/>
                <w:b/>
                <w:bCs/>
              </w:rPr>
            </w:pPr>
            <w:r w:rsidRPr="00E444B9">
              <w:rPr>
                <w:b/>
                <w:sz w:val="18"/>
                <w:szCs w:val="18"/>
              </w:rPr>
              <w:t>372,</w:t>
            </w:r>
            <w:r w:rsidRPr="002B66B0" w:rsidR="00DA6B0F">
              <w:rPr>
                <w:b/>
                <w:sz w:val="18"/>
                <w:szCs w:val="18"/>
              </w:rPr>
              <w:t>4</w:t>
            </w:r>
            <w:r w:rsidRPr="00E444B9" w:rsidR="00DA6B0F">
              <w:rPr>
                <w:b/>
                <w:sz w:val="18"/>
                <w:szCs w:val="18"/>
              </w:rPr>
              <w:t>22</w:t>
            </w:r>
            <w:r w:rsidRPr="0009021F" w:rsidR="00DA6B0F">
              <w:rPr>
                <w:b/>
                <w:bCs/>
                <w:sz w:val="18"/>
                <w:szCs w:val="18"/>
              </w:rPr>
              <w:t xml:space="preserve"> </w:t>
            </w:r>
          </w:p>
        </w:tc>
        <w:tc>
          <w:tcPr>
            <w:tcW w:w="1001" w:type="dxa"/>
            <w:shd w:val="clear" w:color="auto" w:fill="000000"/>
            <w:vAlign w:val="center"/>
          </w:tcPr>
          <w:p w:rsidR="00A61792" w:rsidRPr="0009021F" w:rsidP="00A61792" w14:paraId="5DCEEF2F" w14:textId="77777777">
            <w:pPr>
              <w:jc w:val="center"/>
              <w:rPr>
                <w:rFonts w:eastAsia="Calibri"/>
                <w:b/>
                <w:bCs/>
              </w:rPr>
            </w:pPr>
          </w:p>
        </w:tc>
        <w:tc>
          <w:tcPr>
            <w:tcW w:w="865" w:type="dxa"/>
            <w:vAlign w:val="center"/>
          </w:tcPr>
          <w:p w:rsidR="00A61792" w:rsidRPr="0009021F" w:rsidP="00A61792" w14:paraId="66BACD31" w14:textId="4B04D1A0">
            <w:pPr>
              <w:jc w:val="center"/>
              <w:rPr>
                <w:rFonts w:eastAsia="Calibri"/>
                <w:b/>
                <w:bCs/>
                <w:sz w:val="18"/>
                <w:szCs w:val="18"/>
              </w:rPr>
            </w:pPr>
            <w:r w:rsidRPr="0009021F">
              <w:rPr>
                <w:rFonts w:eastAsia="Calibri"/>
                <w:b/>
                <w:bCs/>
                <w:sz w:val="18"/>
                <w:szCs w:val="18"/>
              </w:rPr>
              <w:t>51,628</w:t>
            </w:r>
          </w:p>
        </w:tc>
        <w:tc>
          <w:tcPr>
            <w:tcW w:w="817" w:type="dxa"/>
            <w:shd w:val="clear" w:color="auto" w:fill="000000"/>
            <w:vAlign w:val="center"/>
          </w:tcPr>
          <w:p w:rsidR="00A61792" w:rsidRPr="0009021F" w:rsidP="00A61792" w14:paraId="275EB8F4" w14:textId="77777777">
            <w:pPr>
              <w:jc w:val="right"/>
              <w:rPr>
                <w:rFonts w:eastAsia="Calibri"/>
                <w:b/>
                <w:bCs/>
                <w:sz w:val="18"/>
                <w:szCs w:val="18"/>
              </w:rPr>
            </w:pPr>
          </w:p>
        </w:tc>
        <w:tc>
          <w:tcPr>
            <w:tcW w:w="1188" w:type="dxa"/>
            <w:vAlign w:val="center"/>
          </w:tcPr>
          <w:p w:rsidR="00A61792" w:rsidRPr="0009021F" w:rsidP="00A61792" w14:paraId="77EA2E8C" w14:textId="69BC9C80">
            <w:pPr>
              <w:jc w:val="right"/>
              <w:rPr>
                <w:rFonts w:eastAsia="Calibri"/>
                <w:b/>
                <w:bCs/>
                <w:sz w:val="18"/>
                <w:szCs w:val="18"/>
              </w:rPr>
            </w:pPr>
            <w:r w:rsidRPr="0009021F">
              <w:rPr>
                <w:rFonts w:eastAsia="Calibri"/>
                <w:b/>
                <w:bCs/>
                <w:sz w:val="18"/>
                <w:szCs w:val="18"/>
              </w:rPr>
              <w:t>$2,096,612</w:t>
            </w:r>
          </w:p>
        </w:tc>
      </w:tr>
    </w:tbl>
    <w:p w:rsidR="00291DA6" w:rsidP="00F35F4F" w14:paraId="67C6573D" w14:textId="77777777">
      <w:pPr>
        <w:tabs>
          <w:tab w:val="left" w:pos="-720"/>
        </w:tabs>
        <w:suppressAutoHyphens/>
        <w:spacing w:line="276" w:lineRule="auto"/>
        <w:contextualSpacing/>
        <w:rPr>
          <w:b/>
        </w:rPr>
      </w:pPr>
    </w:p>
    <w:p w:rsidR="002A6EEE" w:rsidRPr="00E94A13" w:rsidP="00F35F4F" w14:paraId="6768B271" w14:textId="7BCE022E">
      <w:pPr>
        <w:tabs>
          <w:tab w:val="left" w:pos="-720"/>
        </w:tabs>
        <w:suppressAutoHyphens/>
        <w:spacing w:line="276" w:lineRule="auto"/>
        <w:contextualSpacing/>
        <w:rPr>
          <w:b/>
        </w:rPr>
      </w:pPr>
      <w:r w:rsidRPr="00E94A13">
        <w:rPr>
          <w:b/>
        </w:rPr>
        <w:t>Instruction for Wage-rate category multiplier:  Take each non-loaded “Avg. Hourly Wage Rate” from the BLS website table and multiply that number by 1.4</w:t>
      </w:r>
      <w:r w:rsidRPr="00E94A13" w:rsidR="005E4790">
        <w:rPr>
          <w:b/>
        </w:rPr>
        <w:t>5</w:t>
      </w:r>
      <w:r w:rsidRPr="00E94A13">
        <w:rPr>
          <w:b/>
        </w:rPr>
        <w:t>.</w:t>
      </w:r>
      <w:r>
        <w:rPr>
          <w:rStyle w:val="FootnoteReference"/>
          <w:b/>
        </w:rPr>
        <w:footnoteReference w:id="3"/>
      </w:r>
      <w:r w:rsidRPr="00E94A13">
        <w:rPr>
          <w:b/>
        </w:rPr>
        <w:t xml:space="preserve">  For example, a non-loaded BLS table wage rate of $42.51 would be multiplied by 1.4</w:t>
      </w:r>
      <w:r w:rsidRPr="00E94A13" w:rsidR="005E4790">
        <w:rPr>
          <w:b/>
        </w:rPr>
        <w:t>5</w:t>
      </w:r>
      <w:r w:rsidRPr="00E94A13">
        <w:rPr>
          <w:b/>
        </w:rPr>
        <w:t>, and the entry for the “Avg. Hourly Wage Rate” would be $6</w:t>
      </w:r>
      <w:r w:rsidRPr="00E94A13" w:rsidR="005E4790">
        <w:rPr>
          <w:b/>
        </w:rPr>
        <w:t>1.64</w:t>
      </w:r>
      <w:r w:rsidRPr="00E94A13">
        <w:rPr>
          <w:b/>
        </w:rPr>
        <w:t>.</w:t>
      </w:r>
    </w:p>
    <w:p w:rsidR="00E67703" w:rsidRPr="00E94A13" w:rsidP="00F35F4F" w14:paraId="27C0E24F" w14:textId="77777777">
      <w:pPr>
        <w:tabs>
          <w:tab w:val="left" w:pos="-720"/>
        </w:tabs>
        <w:suppressAutoHyphens/>
        <w:spacing w:line="276" w:lineRule="auto"/>
        <w:contextualSpacing/>
      </w:pPr>
    </w:p>
    <w:p w:rsidR="00EB737E" w:rsidP="00F35F4F" w14:paraId="6B673BD7" w14:textId="6A6EF7DC">
      <w:pPr>
        <w:tabs>
          <w:tab w:val="left" w:pos="-720"/>
        </w:tabs>
        <w:suppressAutoHyphens/>
        <w:spacing w:line="276" w:lineRule="auto"/>
        <w:contextualSpacing/>
      </w:pPr>
      <w:r w:rsidRPr="00E94A13">
        <w:t>According to the U.S. Department of Labor, Bureau of Labor Statistics</w:t>
      </w:r>
      <w:r>
        <w:rPr>
          <w:rStyle w:val="FootnoteReference"/>
        </w:rPr>
        <w:footnoteReference w:id="4"/>
      </w:r>
      <w:r w:rsidRPr="00E94A13">
        <w:t xml:space="preserve">, the May </w:t>
      </w:r>
      <w:r w:rsidRPr="00E94A13" w:rsidR="0026409C">
        <w:t>2021</w:t>
      </w:r>
      <w:r w:rsidRPr="00E94A13">
        <w:t xml:space="preserve"> Occupational Employment and Wage Estimates wage rate for All occupations (SOC 00-0000) is</w:t>
      </w:r>
      <w:r w:rsidRPr="00E94A13" w:rsidR="00ED04B6">
        <w:t xml:space="preserve"> </w:t>
      </w:r>
      <w:r w:rsidRPr="00E94A13" w:rsidR="00E027A0">
        <w:t>$28.01</w:t>
      </w:r>
      <w:r w:rsidRPr="00E94A13">
        <w:t>.  Including the wage rate multiplier of 1.4</w:t>
      </w:r>
      <w:r w:rsidRPr="00E94A13" w:rsidR="0026409C">
        <w:t>5</w:t>
      </w:r>
      <w:r w:rsidRPr="00E94A13">
        <w:t>, the fully-loaded wage rate is $</w:t>
      </w:r>
      <w:r w:rsidRPr="00E94A13" w:rsidR="00557D81">
        <w:t>40.61</w:t>
      </w:r>
      <w:r w:rsidRPr="00E94A13" w:rsidR="00551F7C">
        <w:t xml:space="preserve"> </w:t>
      </w:r>
      <w:r w:rsidRPr="00E94A13">
        <w:t>per hour.  Therefore, the estimated annual burden hour cost is estimated to be $</w:t>
      </w:r>
      <w:r w:rsidRPr="00E94A13" w:rsidR="00D02EA1">
        <w:t>2,</w:t>
      </w:r>
      <w:r w:rsidR="001E6DCE">
        <w:t>096,61</w:t>
      </w:r>
      <w:r w:rsidR="0003225F">
        <w:t>2</w:t>
      </w:r>
      <w:r w:rsidRPr="00E94A13">
        <w:t xml:space="preserve"> </w:t>
      </w:r>
      <w:r w:rsidR="00CB1B25">
        <w:t>(</w:t>
      </w:r>
      <w:r w:rsidRPr="00E94A13">
        <w:t>($</w:t>
      </w:r>
      <w:r w:rsidRPr="00E94A13" w:rsidR="00557D81">
        <w:t xml:space="preserve">40.61 x </w:t>
      </w:r>
      <w:r w:rsidR="001E6DCE">
        <w:t>51,628</w:t>
      </w:r>
      <w:r w:rsidRPr="00E94A13" w:rsidR="002A4DB5">
        <w:t xml:space="preserve"> hours</w:t>
      </w:r>
      <w:r w:rsidRPr="00E94A13">
        <w:t>)</w:t>
      </w:r>
      <w:r w:rsidR="00FC3DD8">
        <w:t xml:space="preserve"> </w:t>
      </w:r>
      <w:r w:rsidR="00A82470">
        <w:t>-</w:t>
      </w:r>
      <w:r w:rsidR="00FC3DD8">
        <w:t xml:space="preserve"> 1 due to rounding</w:t>
      </w:r>
      <w:r w:rsidRPr="00E94A13">
        <w:t>).</w:t>
      </w:r>
      <w:r w:rsidRPr="00E94A13" w:rsidR="00C92072">
        <w:t xml:space="preserve">  </w:t>
      </w:r>
    </w:p>
    <w:p w:rsidR="00294225" w:rsidRPr="00CE1641" w:rsidP="00F35F4F" w14:paraId="19291FF1" w14:textId="6D728F25">
      <w:pPr>
        <w:tabs>
          <w:tab w:val="left" w:pos="-720"/>
        </w:tabs>
        <w:suppressAutoHyphens/>
        <w:spacing w:line="276" w:lineRule="auto"/>
        <w:contextualSpacing/>
        <w:rPr>
          <w:strike/>
        </w:rPr>
      </w:pPr>
      <w:r w:rsidRPr="007E77DD">
        <w:t xml:space="preserve">After conducting </w:t>
      </w:r>
      <w:r w:rsidRPr="007E77DD" w:rsidR="005A420E">
        <w:t>U</w:t>
      </w:r>
      <w:r w:rsidRPr="007E77DD">
        <w:t xml:space="preserve">sability </w:t>
      </w:r>
      <w:r w:rsidRPr="007E77DD" w:rsidR="005A420E">
        <w:t>T</w:t>
      </w:r>
      <w:r w:rsidRPr="007E77DD">
        <w:t xml:space="preserve">esting there is a </w:t>
      </w:r>
      <w:r w:rsidRPr="007E77DD" w:rsidR="00EE500B">
        <w:t>7,030</w:t>
      </w:r>
      <w:r w:rsidRPr="007E77DD" w:rsidR="00B16BA1">
        <w:t>-</w:t>
      </w:r>
      <w:r w:rsidRPr="007E77DD" w:rsidR="005A420E">
        <w:t xml:space="preserve">hour </w:t>
      </w:r>
      <w:r w:rsidRPr="007E77DD">
        <w:t>reduction in burden on the OMB inventory.</w:t>
      </w:r>
      <w:r w:rsidRPr="007E77DD" w:rsidR="00DD0B1F">
        <w:t xml:space="preserve"> </w:t>
      </w:r>
      <w:r w:rsidR="004762BB">
        <w:t xml:space="preserve"> </w:t>
      </w:r>
      <w:r w:rsidRPr="007E77DD" w:rsidR="00DD0B1F">
        <w:t xml:space="preserve">Combined with a reduction in burden of </w:t>
      </w:r>
      <w:r w:rsidRPr="007E77DD" w:rsidR="004B0BDD">
        <w:t xml:space="preserve">6,210 hours with removal of </w:t>
      </w:r>
      <w:r w:rsidRPr="007E77DD" w:rsidR="00F10493">
        <w:t>temporary FEMA Form 086-0-5T (Preferred Risk Policy Application)</w:t>
      </w:r>
      <w:r w:rsidRPr="007E77DD" w:rsidR="00E23FE3">
        <w:t>, which is no longer used and is not being replaced</w:t>
      </w:r>
      <w:r w:rsidRPr="007E77DD" w:rsidR="00443768">
        <w:t>, this results in a total burden reduction of 13,</w:t>
      </w:r>
      <w:r w:rsidRPr="007E77DD" w:rsidR="00B16BA1">
        <w:t>240 hours</w:t>
      </w:r>
      <w:r w:rsidRPr="00CE1641" w:rsidR="00B16BA1">
        <w:rPr>
          <w:bCs/>
          <w:strike/>
        </w:rPr>
        <w:t>.</w:t>
      </w:r>
    </w:p>
    <w:p w:rsidR="00EE7BF2" w:rsidRPr="00F35F4F" w:rsidP="00F35F4F" w14:paraId="20848B95" w14:textId="77777777">
      <w:pPr>
        <w:tabs>
          <w:tab w:val="left" w:pos="-720"/>
        </w:tabs>
        <w:suppressAutoHyphens/>
        <w:spacing w:line="276" w:lineRule="auto"/>
        <w:contextualSpacing/>
      </w:pPr>
    </w:p>
    <w:p w:rsidR="00842E74" w14:paraId="726FA37C" w14:textId="0872E0C0">
      <w:pPr>
        <w:spacing w:line="276" w:lineRule="auto"/>
        <w:contextualSpacing/>
        <w:rPr>
          <w:b/>
          <w:bCs/>
        </w:rPr>
      </w:pPr>
      <w:r w:rsidRPr="009B2BF2">
        <w:fldChar w:fldCharType="begin"/>
      </w:r>
      <w:r w:rsidRPr="00E94A13">
        <w:instrText>ADVANCE \R 0.95</w:instrText>
      </w:r>
      <w:r w:rsidRPr="009B2BF2">
        <w:fldChar w:fldCharType="end"/>
      </w:r>
      <w:r w:rsidRPr="00E94A13">
        <w:rPr>
          <w:b/>
        </w:rPr>
        <w:t>13.</w:t>
      </w:r>
      <w:r w:rsidRPr="00E94A13">
        <w:t xml:space="preserve">  </w:t>
      </w:r>
      <w:r w:rsidRPr="00E94A13">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Pr="00E94A13" w:rsidR="00E202DC">
        <w:rPr>
          <w:b/>
          <w:bCs/>
        </w:rPr>
        <w:t>(</w:t>
      </w:r>
      <w:r w:rsidRPr="00E94A13">
        <w:rPr>
          <w:b/>
          <w:bCs/>
        </w:rPr>
        <w:t>Do not include the cost of any hour burden shown in Items 12 and 14.</w:t>
      </w:r>
      <w:r w:rsidRPr="00E94A13" w:rsidR="00E202DC">
        <w:rPr>
          <w:b/>
          <w:bCs/>
        </w:rPr>
        <w:t>)</w:t>
      </w:r>
      <w:r w:rsidRPr="00E94A13" w:rsidR="00C92072">
        <w:rPr>
          <w:b/>
          <w:bCs/>
        </w:rPr>
        <w:t xml:space="preserve">  </w:t>
      </w:r>
    </w:p>
    <w:p w:rsidR="000B77EB" w:rsidP="000B77EB" w14:paraId="513B2260" w14:textId="77777777"/>
    <w:tbl>
      <w:tblPr>
        <w:tblStyle w:val="TableGrid1"/>
        <w:tblW w:w="0" w:type="auto"/>
        <w:tblLook w:val="04A0"/>
      </w:tblPr>
      <w:tblGrid>
        <w:gridCol w:w="1837"/>
        <w:gridCol w:w="1617"/>
        <w:gridCol w:w="1971"/>
        <w:gridCol w:w="1617"/>
        <w:gridCol w:w="1588"/>
      </w:tblGrid>
      <w:tr w14:paraId="503CD0F5" w14:textId="77777777" w:rsidTr="007E77DD">
        <w:tblPrEx>
          <w:tblW w:w="0" w:type="auto"/>
          <w:tblLook w:val="04A0"/>
        </w:tblPrEx>
        <w:tc>
          <w:tcPr>
            <w:tcW w:w="9350" w:type="dxa"/>
            <w:gridSpan w:val="5"/>
            <w:shd w:val="clear" w:color="auto" w:fill="9CC2E5" w:themeFill="accent1" w:themeFillTint="99"/>
          </w:tcPr>
          <w:p w:rsidR="000B77EB" w:rsidRPr="008D1279" w:rsidP="00D42174" w14:paraId="64A2AFBD" w14:textId="77777777">
            <w:pPr>
              <w:keepNext/>
              <w:jc w:val="center"/>
              <w:rPr>
                <w:rFonts w:ascii="Times New Roman" w:eastAsia="Calibri" w:hAnsi="Times New Roman" w:cs="Times New Roman"/>
                <w:b/>
                <w:sz w:val="20"/>
                <w:szCs w:val="20"/>
              </w:rPr>
            </w:pPr>
            <w:bookmarkStart w:id="12" w:name="_Hlk30754312"/>
            <w:r w:rsidRPr="008D1279">
              <w:rPr>
                <w:rFonts w:ascii="Times New Roman" w:eastAsia="Calibri" w:hAnsi="Times New Roman" w:cs="Times New Roman"/>
                <w:b/>
                <w:sz w:val="20"/>
                <w:szCs w:val="20"/>
              </w:rPr>
              <w:t>Annual Cost Burden to Respondents or Recordkeepers</w:t>
            </w:r>
          </w:p>
        </w:tc>
      </w:tr>
      <w:tr w14:paraId="4F0309A0" w14:textId="77777777" w:rsidTr="00D42174">
        <w:tblPrEx>
          <w:tblW w:w="0" w:type="auto"/>
          <w:tblLook w:val="04A0"/>
        </w:tblPrEx>
        <w:tc>
          <w:tcPr>
            <w:tcW w:w="1870" w:type="dxa"/>
            <w:shd w:val="clear" w:color="auto" w:fill="9CC2E5" w:themeFill="accent1" w:themeFillTint="99"/>
            <w:vAlign w:val="center"/>
          </w:tcPr>
          <w:p w:rsidR="000B77EB" w:rsidRPr="008D1279" w:rsidP="00D42174" w14:paraId="4829250A"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Data Collection Activity/Instrument</w:t>
            </w:r>
          </w:p>
        </w:tc>
        <w:tc>
          <w:tcPr>
            <w:tcW w:w="1870" w:type="dxa"/>
            <w:shd w:val="clear" w:color="auto" w:fill="9CC2E5" w:themeFill="accent1" w:themeFillTint="99"/>
            <w:vAlign w:val="center"/>
          </w:tcPr>
          <w:p w:rsidR="000B77EB" w:rsidRPr="008D1279" w:rsidP="00D42174" w14:paraId="6D7EC8E5" w14:textId="77777777">
            <w:pPr>
              <w:keepNext/>
              <w:rPr>
                <w:rFonts w:ascii="Times New Roman" w:eastAsia="Calibri" w:hAnsi="Times New Roman" w:cs="Times New Roman"/>
                <w:sz w:val="20"/>
                <w:szCs w:val="20"/>
              </w:rPr>
            </w:pPr>
            <w:r w:rsidRPr="2DE15F52">
              <w:rPr>
                <w:rFonts w:ascii="Times New Roman" w:eastAsia="Calibri" w:hAnsi="Times New Roman" w:cs="Times New Roman"/>
                <w:sz w:val="20"/>
                <w:szCs w:val="20"/>
              </w:rPr>
              <w:t>*Annual Capital Start-Up Cost (investments in overhead, equipment, and other one-time expenditures)</w:t>
            </w:r>
          </w:p>
        </w:tc>
        <w:tc>
          <w:tcPr>
            <w:tcW w:w="1870" w:type="dxa"/>
            <w:shd w:val="clear" w:color="auto" w:fill="9CC2E5" w:themeFill="accent1" w:themeFillTint="99"/>
            <w:vAlign w:val="center"/>
          </w:tcPr>
          <w:p w:rsidR="000B77EB" w:rsidRPr="008D1279" w:rsidP="00D42174" w14:paraId="33EDF859"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Operations and Maintenance Costs (such as recordkeeping, technical/professional services, etc.)</w:t>
            </w:r>
          </w:p>
        </w:tc>
        <w:tc>
          <w:tcPr>
            <w:tcW w:w="1870" w:type="dxa"/>
            <w:shd w:val="clear" w:color="auto" w:fill="9CC2E5" w:themeFill="accent1" w:themeFillTint="99"/>
            <w:vAlign w:val="center"/>
          </w:tcPr>
          <w:p w:rsidR="000B77EB" w:rsidRPr="008D1279" w:rsidP="00D42174" w14:paraId="4B5D2B40"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Non-Labor Cost (expenditures on training, travel, and other resources)</w:t>
            </w:r>
          </w:p>
        </w:tc>
        <w:tc>
          <w:tcPr>
            <w:tcW w:w="1870" w:type="dxa"/>
            <w:shd w:val="clear" w:color="auto" w:fill="9CC2E5" w:themeFill="accent1" w:themeFillTint="99"/>
            <w:vAlign w:val="center"/>
          </w:tcPr>
          <w:p w:rsidR="000B77EB" w:rsidRPr="008D1279" w:rsidP="00D42174" w14:paraId="50510393"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Total Annual Cost to Respondents</w:t>
            </w:r>
          </w:p>
        </w:tc>
      </w:tr>
      <w:tr w14:paraId="37D3CA23" w14:textId="77777777" w:rsidTr="00D42174">
        <w:tblPrEx>
          <w:tblW w:w="0" w:type="auto"/>
          <w:tblLook w:val="04A0"/>
        </w:tblPrEx>
        <w:tc>
          <w:tcPr>
            <w:tcW w:w="1870" w:type="dxa"/>
          </w:tcPr>
          <w:p w:rsidR="000B77EB" w:rsidRPr="008D1279" w:rsidP="00D42174" w14:paraId="42951631"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[Form Name/#]</w:t>
            </w:r>
          </w:p>
        </w:tc>
        <w:tc>
          <w:tcPr>
            <w:tcW w:w="1870" w:type="dxa"/>
            <w:vAlign w:val="center"/>
          </w:tcPr>
          <w:p w:rsidR="000B77EB" w:rsidRPr="008D1279" w:rsidP="00D42174" w14:paraId="6C81322F" w14:textId="77777777">
            <w:pPr>
              <w:keepNext/>
              <w:jc w:val="right"/>
              <w:rPr>
                <w:rFonts w:ascii="Times New Roman" w:eastAsia="Calibri" w:hAnsi="Times New Roman" w:cs="Times New Roman"/>
                <w:sz w:val="20"/>
                <w:szCs w:val="20"/>
              </w:rPr>
            </w:pPr>
          </w:p>
        </w:tc>
        <w:tc>
          <w:tcPr>
            <w:tcW w:w="1870" w:type="dxa"/>
            <w:vAlign w:val="center"/>
          </w:tcPr>
          <w:p w:rsidR="000B77EB" w:rsidRPr="008D1279" w:rsidP="00D42174" w14:paraId="336F33DB" w14:textId="77777777">
            <w:pPr>
              <w:keepNext/>
              <w:jc w:val="right"/>
              <w:rPr>
                <w:rFonts w:ascii="Times New Roman" w:eastAsia="Calibri" w:hAnsi="Times New Roman" w:cs="Times New Roman"/>
                <w:sz w:val="20"/>
                <w:szCs w:val="20"/>
              </w:rPr>
            </w:pPr>
          </w:p>
        </w:tc>
        <w:tc>
          <w:tcPr>
            <w:tcW w:w="1870" w:type="dxa"/>
            <w:vAlign w:val="center"/>
          </w:tcPr>
          <w:p w:rsidR="000B77EB" w:rsidRPr="008D1279" w:rsidP="00D42174" w14:paraId="4C2518EC" w14:textId="77777777">
            <w:pPr>
              <w:keepNext/>
              <w:jc w:val="right"/>
              <w:rPr>
                <w:rFonts w:ascii="Times New Roman" w:eastAsia="Calibri" w:hAnsi="Times New Roman" w:cs="Times New Roman"/>
                <w:sz w:val="20"/>
                <w:szCs w:val="20"/>
              </w:rPr>
            </w:pPr>
          </w:p>
        </w:tc>
        <w:tc>
          <w:tcPr>
            <w:tcW w:w="1870" w:type="dxa"/>
            <w:vAlign w:val="center"/>
          </w:tcPr>
          <w:p w:rsidR="000B77EB" w:rsidRPr="008D1279" w:rsidP="00D42174" w14:paraId="4639F0B3" w14:textId="77777777">
            <w:pPr>
              <w:keepNext/>
              <w:jc w:val="right"/>
              <w:rPr>
                <w:rFonts w:ascii="Times New Roman" w:eastAsia="Calibri" w:hAnsi="Times New Roman" w:cs="Times New Roman"/>
                <w:sz w:val="20"/>
                <w:szCs w:val="20"/>
              </w:rPr>
            </w:pPr>
          </w:p>
        </w:tc>
      </w:tr>
      <w:tr w14:paraId="380A5350" w14:textId="77777777" w:rsidTr="00D42174">
        <w:tblPrEx>
          <w:tblW w:w="0" w:type="auto"/>
          <w:tblLook w:val="04A0"/>
        </w:tblPrEx>
        <w:tc>
          <w:tcPr>
            <w:tcW w:w="1870" w:type="dxa"/>
          </w:tcPr>
          <w:p w:rsidR="000B77EB" w:rsidRPr="008D1279" w:rsidP="00D42174" w14:paraId="52FE62A7" w14:textId="77777777">
            <w:pPr>
              <w:keepNext/>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870" w:type="dxa"/>
            <w:vAlign w:val="center"/>
          </w:tcPr>
          <w:p w:rsidR="000B77EB" w:rsidRPr="008D1279" w:rsidP="00D42174" w14:paraId="041B7484"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0B77EB" w:rsidRPr="008D1279" w:rsidP="00D42174" w14:paraId="2C51A93F"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0B77EB" w:rsidRPr="008D1279" w:rsidP="00D42174" w14:paraId="53D69FB1"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0B77EB" w:rsidRPr="008D1279" w:rsidP="00D42174" w14:paraId="6BB91FEA"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bookmarkEnd w:id="12"/>
    </w:tbl>
    <w:p w:rsidR="00A27817" w:rsidRPr="00E94A13" w:rsidP="00F35F4F" w14:paraId="3A24D927" w14:textId="77777777">
      <w:pPr>
        <w:spacing w:line="276" w:lineRule="auto"/>
        <w:contextualSpacing/>
        <w:rPr>
          <w:b/>
          <w:bCs/>
        </w:rPr>
      </w:pPr>
    </w:p>
    <w:p w:rsidR="00A27817" w:rsidRPr="005359CD" w:rsidP="00A27817" w14:paraId="6BB05187" w14:textId="77777777">
      <w:pPr>
        <w:spacing w:line="276" w:lineRule="auto"/>
        <w:contextualSpacing/>
        <w:rPr>
          <w:bCs/>
        </w:rPr>
      </w:pPr>
      <w:r w:rsidRPr="005359CD">
        <w:t xml:space="preserve">There is no cost to respondents to submit any of the FEMA Forms currently under this information collection.  </w:t>
      </w:r>
      <w:r w:rsidRPr="005359CD">
        <w:rPr>
          <w:bCs/>
        </w:rPr>
        <w:t xml:space="preserve">The only cost is the amount of the insurance premium received by the NFIP Direct Servicing Agent; it is not a cost to the respondents due to the data collection activity.  </w:t>
      </w:r>
    </w:p>
    <w:p w:rsidR="00361118" w:rsidRPr="005359CD" w:rsidP="00F35F4F" w14:paraId="3FDFB9F8" w14:textId="77777777">
      <w:pPr>
        <w:spacing w:line="276" w:lineRule="auto"/>
        <w:contextualSpacing/>
        <w:rPr>
          <w:b/>
          <w:bCs/>
        </w:rPr>
      </w:pPr>
    </w:p>
    <w:p w:rsidR="009D59D6" w:rsidRPr="005359CD" w14:paraId="3EFD1DAC" w14:textId="2CF0C053">
      <w:pPr>
        <w:spacing w:line="276" w:lineRule="auto"/>
        <w:contextualSpacing/>
        <w:rPr>
          <w:b/>
          <w:bCs/>
        </w:rPr>
      </w:pPr>
      <w:r w:rsidRPr="005359CD">
        <w:rPr>
          <w:b/>
          <w:bCs/>
        </w:rPr>
        <w:t>The cost estimates should be split into two components:</w:t>
      </w:r>
      <w:r w:rsidRPr="005359CD" w:rsidR="00C92072">
        <w:rPr>
          <w:b/>
          <w:bCs/>
        </w:rPr>
        <w:t xml:space="preserve">  </w:t>
      </w:r>
    </w:p>
    <w:p w:rsidR="005359CD" w:rsidRPr="005359CD" w14:paraId="6429DCD2" w14:textId="72095F75">
      <w:pPr>
        <w:spacing w:line="276" w:lineRule="auto"/>
        <w:contextualSpacing/>
        <w:rPr>
          <w:b/>
          <w:bCs/>
        </w:rPr>
      </w:pPr>
    </w:p>
    <w:p w:rsidR="00DD0BCE" w:rsidRPr="00E94A13" w:rsidP="00F35F4F" w14:paraId="0F683145" w14:textId="406DC078">
      <w:pPr>
        <w:spacing w:line="276" w:lineRule="auto"/>
        <w:contextualSpacing/>
        <w:rPr>
          <w:b/>
          <w:bCs/>
        </w:rPr>
      </w:pPr>
      <w:r w:rsidRPr="00E94A13">
        <w:rPr>
          <w:b/>
          <w:bCs/>
        </w:rPr>
        <w:tab/>
        <w:t xml:space="preserve">a.  </w:t>
      </w:r>
      <w:r w:rsidRPr="00E94A13" w:rsidR="00842E74">
        <w:rPr>
          <w:b/>
          <w:bCs/>
        </w:rPr>
        <w:t>Operation and Maintenance and purchase of services component.  These estimates should take into account cost</w:t>
      </w:r>
      <w:r w:rsidRPr="00E94A13" w:rsidR="006C1371">
        <w:rPr>
          <w:b/>
          <w:bCs/>
        </w:rPr>
        <w:t>s</w:t>
      </w:r>
      <w:r w:rsidRPr="00E94A13" w:rsidR="00842E74">
        <w:rPr>
          <w:b/>
          <w:bCs/>
        </w:rPr>
        <w:t xml:space="preserve">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r w:rsidRPr="00E94A13" w:rsidR="00C92072">
        <w:rPr>
          <w:b/>
          <w:bCs/>
        </w:rPr>
        <w:t xml:space="preserve">  </w:t>
      </w:r>
    </w:p>
    <w:p w:rsidR="00DD0BCE" w:rsidP="00E94A13" w14:paraId="2B36D91E" w14:textId="581C0338">
      <w:pPr>
        <w:spacing w:line="276" w:lineRule="auto"/>
        <w:contextualSpacing/>
      </w:pPr>
    </w:p>
    <w:p w:rsidR="005359CD" w:rsidP="00E94A13" w14:paraId="1212128F" w14:textId="441012E8">
      <w:pPr>
        <w:spacing w:line="276" w:lineRule="auto"/>
        <w:contextualSpacing/>
      </w:pPr>
      <w:r>
        <w:t>There are no operation or maintenance costs associated with this collection.</w:t>
      </w:r>
    </w:p>
    <w:p w:rsidR="005359CD" w:rsidRPr="00F35F4F" w:rsidP="00F35F4F" w14:paraId="7F10ED2D" w14:textId="77777777">
      <w:pPr>
        <w:spacing w:line="276" w:lineRule="auto"/>
        <w:contextualSpacing/>
      </w:pPr>
    </w:p>
    <w:p w:rsidR="00842E74" w:rsidRPr="00E94A13" w:rsidP="00F35F4F" w14:paraId="72341E73" w14:textId="5A8B2FF9">
      <w:pPr>
        <w:spacing w:line="276" w:lineRule="auto"/>
        <w:contextualSpacing/>
        <w:rPr>
          <w:b/>
          <w:bCs/>
        </w:rPr>
      </w:pPr>
      <w:r w:rsidRPr="00E94A13">
        <w:rPr>
          <w:b/>
          <w:bCs/>
        </w:rPr>
        <w:tab/>
        <w:t xml:space="preserve">b.  </w:t>
      </w:r>
      <w:r w:rsidRPr="00E94A13">
        <w:rPr>
          <w:b/>
          <w:bCs/>
        </w:rPr>
        <w:t xml:space="preserve">Capital and Start-up-Cost should include, among other items, preparations for collecting information such as purchasing computers and software, monitoring sampling, drilling and testing equipment, and record storage facilities.  </w:t>
      </w:r>
    </w:p>
    <w:p w:rsidR="00441922" w:rsidRPr="00E94A13" w:rsidP="00F35F4F" w14:paraId="398F0594" w14:textId="31CD832C">
      <w:pPr>
        <w:spacing w:line="276" w:lineRule="auto"/>
        <w:contextualSpacing/>
      </w:pPr>
    </w:p>
    <w:p w:rsidR="00441922" w:rsidRPr="00E94A13" w:rsidP="00F35F4F" w14:paraId="342E0407" w14:textId="5AA19EC1">
      <w:pPr>
        <w:spacing w:line="276" w:lineRule="auto"/>
        <w:contextualSpacing/>
      </w:pPr>
      <w:r>
        <w:t>There are no capital or start-up costs associated with this collection.</w:t>
      </w:r>
    </w:p>
    <w:p w:rsidR="00600089" w:rsidRPr="00E94A13" w:rsidP="00F35F4F" w14:paraId="77CC3DFB" w14:textId="77777777">
      <w:pPr>
        <w:spacing w:line="276" w:lineRule="auto"/>
        <w:contextualSpacing/>
      </w:pPr>
    </w:p>
    <w:p w:rsidR="00842E74" w:rsidP="00F35F4F" w14:paraId="516E352C" w14:textId="5FB347DB">
      <w:pPr>
        <w:spacing w:line="276" w:lineRule="auto"/>
        <w:contextualSpacing/>
        <w:rPr>
          <w:b/>
          <w:bCs/>
        </w:rPr>
      </w:pPr>
      <w:bookmarkStart w:id="13" w:name="_Hlk11658003"/>
      <w:r w:rsidRPr="00E94A13">
        <w:rPr>
          <w:b/>
          <w:bCs/>
        </w:rPr>
        <w:t xml:space="preserve">14. Provide estimates of annualized cost to the </w:t>
      </w:r>
      <w:r w:rsidR="00276A95">
        <w:rPr>
          <w:b/>
          <w:bCs/>
        </w:rPr>
        <w:t>F</w:t>
      </w:r>
      <w:r w:rsidRPr="00E94A13">
        <w:rPr>
          <w:b/>
          <w:bCs/>
        </w:rPr>
        <w:t xml:space="preserve">ederal </w:t>
      </w:r>
      <w:r w:rsidR="00276A95">
        <w:rPr>
          <w:b/>
          <w:bCs/>
        </w:rPr>
        <w:t>G</w:t>
      </w:r>
      <w:r w:rsidRPr="00E94A13">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Pr="00E94A13" w:rsidR="00B7513C">
        <w:rPr>
          <w:b/>
          <w:bCs/>
        </w:rPr>
        <w:t xml:space="preserve">  </w:t>
      </w:r>
    </w:p>
    <w:p w:rsidR="007E77DD" w:rsidRPr="007E77DD" w:rsidP="00F35F4F" w14:paraId="7BD87485" w14:textId="77777777">
      <w:pPr>
        <w:spacing w:line="276" w:lineRule="auto"/>
        <w:contextualSpacing/>
      </w:pPr>
    </w:p>
    <w:tbl>
      <w:tblPr>
        <w:tblStyle w:val="TableGrid2"/>
        <w:tblW w:w="0" w:type="auto"/>
        <w:tblLook w:val="04A0"/>
      </w:tblPr>
      <w:tblGrid>
        <w:gridCol w:w="6745"/>
        <w:gridCol w:w="1885"/>
      </w:tblGrid>
      <w:tr w14:paraId="767ECFA5" w14:textId="77777777" w:rsidTr="007E77DD">
        <w:tblPrEx>
          <w:tblW w:w="0" w:type="auto"/>
          <w:tblLook w:val="04A0"/>
        </w:tblPrEx>
        <w:tc>
          <w:tcPr>
            <w:tcW w:w="9350" w:type="dxa"/>
            <w:gridSpan w:val="2"/>
            <w:shd w:val="clear" w:color="auto" w:fill="9CC2E5" w:themeFill="accent1" w:themeFillTint="99"/>
          </w:tcPr>
          <w:p w:rsidR="007A3D67" w:rsidRPr="008D1279" w:rsidP="00D42174" w14:paraId="6BAA11EE"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to the Federal Government</w:t>
            </w:r>
          </w:p>
        </w:tc>
      </w:tr>
      <w:tr w14:paraId="175F9C2C" w14:textId="77777777" w:rsidTr="007E77DD">
        <w:tblPrEx>
          <w:tblW w:w="0" w:type="auto"/>
          <w:tblLook w:val="04A0"/>
        </w:tblPrEx>
        <w:tc>
          <w:tcPr>
            <w:tcW w:w="7375" w:type="dxa"/>
            <w:shd w:val="clear" w:color="auto" w:fill="9CC2E5" w:themeFill="accent1" w:themeFillTint="99"/>
          </w:tcPr>
          <w:p w:rsidR="007A3D67" w:rsidRPr="008D1279" w:rsidP="00D42174" w14:paraId="79F0D444"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Item</w:t>
            </w:r>
          </w:p>
        </w:tc>
        <w:tc>
          <w:tcPr>
            <w:tcW w:w="1975" w:type="dxa"/>
            <w:shd w:val="clear" w:color="auto" w:fill="9CC2E5" w:themeFill="accent1" w:themeFillTint="99"/>
          </w:tcPr>
          <w:p w:rsidR="007A3D67" w:rsidRPr="008D1279" w:rsidP="00D42174" w14:paraId="270C2120" w14:textId="77777777">
            <w:pPr>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Cost ($)</w:t>
            </w:r>
          </w:p>
        </w:tc>
      </w:tr>
      <w:tr w14:paraId="012E88E5" w14:textId="77777777" w:rsidTr="00D42174">
        <w:tblPrEx>
          <w:tblW w:w="0" w:type="auto"/>
          <w:tblLook w:val="04A0"/>
        </w:tblPrEx>
        <w:tc>
          <w:tcPr>
            <w:tcW w:w="7375" w:type="dxa"/>
          </w:tcPr>
          <w:p w:rsidR="00377703" w:rsidP="00D42174" w14:paraId="762A8D5F"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Contract Costs</w:t>
            </w:r>
            <w:r>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p>
          <w:p w:rsidR="007A3D67" w:rsidRPr="008D1279" w:rsidP="00D42174" w14:paraId="355F27DB" w14:textId="3EFFCB64">
            <w:pPr>
              <w:rPr>
                <w:rFonts w:ascii="Times New Roman" w:eastAsia="Calibri" w:hAnsi="Times New Roman" w:cs="Times New Roman"/>
                <w:sz w:val="20"/>
                <w:szCs w:val="20"/>
              </w:rPr>
            </w:pPr>
            <w:r w:rsidRPr="00377703">
              <w:rPr>
                <w:rFonts w:ascii="Times New Roman" w:eastAsia="Calibri" w:hAnsi="Times New Roman" w:cs="Times New Roman"/>
                <w:sz w:val="20"/>
                <w:szCs w:val="20"/>
              </w:rPr>
              <w:t>expenses directly supporting the processing of the forms, including underwriting, customer service, and data entry</w:t>
            </w:r>
          </w:p>
        </w:tc>
        <w:tc>
          <w:tcPr>
            <w:tcW w:w="1975" w:type="dxa"/>
            <w:vAlign w:val="center"/>
          </w:tcPr>
          <w:p w:rsidR="007A3D67" w:rsidRPr="008D1279" w:rsidP="00D42174" w14:paraId="1E88CD09" w14:textId="46EC0F0D">
            <w:pPr>
              <w:jc w:val="right"/>
              <w:rPr>
                <w:rFonts w:ascii="Times New Roman" w:eastAsia="Calibri" w:hAnsi="Times New Roman" w:cs="Times New Roman"/>
                <w:sz w:val="20"/>
                <w:szCs w:val="20"/>
              </w:rPr>
            </w:pPr>
            <w:r w:rsidRPr="00377703">
              <w:rPr>
                <w:rFonts w:ascii="Times New Roman" w:eastAsia="Calibri" w:hAnsi="Times New Roman" w:cs="Times New Roman"/>
                <w:sz w:val="20"/>
                <w:szCs w:val="20"/>
              </w:rPr>
              <w:t>$9,340,000</w:t>
            </w:r>
          </w:p>
        </w:tc>
      </w:tr>
      <w:tr w14:paraId="2BE121F4" w14:textId="77777777" w:rsidTr="00D42174">
        <w:tblPrEx>
          <w:tblW w:w="0" w:type="auto"/>
          <w:tblLook w:val="04A0"/>
        </w:tblPrEx>
        <w:tc>
          <w:tcPr>
            <w:tcW w:w="7375" w:type="dxa"/>
          </w:tcPr>
          <w:p w:rsidR="007A3D67" w:rsidP="00D42174" w14:paraId="71467CA0" w14:textId="77777777">
            <w:pPr>
              <w:rPr>
                <w:rFonts w:ascii="Times New Roman" w:eastAsia="Calibri" w:hAnsi="Times New Roman" w:cs="Times New Roman"/>
                <w:sz w:val="20"/>
                <w:szCs w:val="20"/>
              </w:rPr>
            </w:pPr>
            <w:r w:rsidRPr="00BE3831">
              <w:rPr>
                <w:rFonts w:ascii="Times New Roman" w:eastAsia="Calibri" w:hAnsi="Times New Roman" w:cs="Times New Roman"/>
                <w:sz w:val="20"/>
                <w:szCs w:val="20"/>
              </w:rPr>
              <w:t>Staff Salaries</w:t>
            </w:r>
            <w:r>
              <w:rPr>
                <w:rFonts w:ascii="Times New Roman" w:eastAsia="Calibri" w:hAnsi="Times New Roman" w:cs="Times New Roman"/>
                <w:sz w:val="20"/>
                <w:szCs w:val="20"/>
              </w:rPr>
              <w:t xml:space="preserve">: </w:t>
            </w:r>
          </w:p>
          <w:p w:rsidR="007A3D67" w:rsidRPr="008D1279" w:rsidP="00D42174" w14:paraId="6F854475" w14:textId="7EB44F2C">
            <w:pPr>
              <w:rPr>
                <w:rFonts w:ascii="Times New Roman" w:eastAsia="Calibri" w:hAnsi="Times New Roman" w:cs="Times New Roman"/>
                <w:sz w:val="20"/>
                <w:szCs w:val="20"/>
              </w:rPr>
            </w:pPr>
            <w:r w:rsidRPr="00377703">
              <w:rPr>
                <w:rFonts w:ascii="Times New Roman" w:eastAsia="Calibri" w:hAnsi="Times New Roman" w:cs="Times New Roman"/>
                <w:sz w:val="20"/>
                <w:szCs w:val="20"/>
              </w:rPr>
              <w:t>2 GS-12 Step 5; 2 GS-13 Step 5; 1 GS-14 step 5 employees spending approximately 1.9% of time annually analyzing NFIP forms to determine if any changes are needed and responding to program changes and program experiences ((2 x $10</w:t>
            </w:r>
            <w:r w:rsidR="00D31D7E">
              <w:rPr>
                <w:rFonts w:ascii="Times New Roman" w:eastAsia="Calibri" w:hAnsi="Times New Roman" w:cs="Times New Roman"/>
                <w:sz w:val="20"/>
                <w:szCs w:val="20"/>
              </w:rPr>
              <w:t>6,759</w:t>
            </w:r>
            <w:r w:rsidR="00CA22C0">
              <w:rPr>
                <w:rFonts w:ascii="Times New Roman" w:eastAsia="Calibri" w:hAnsi="Times New Roman" w:cs="Times New Roman"/>
                <w:sz w:val="20"/>
                <w:szCs w:val="20"/>
              </w:rPr>
              <w:t xml:space="preserve"> x 1.45</w:t>
            </w:r>
            <w:r w:rsidRPr="00377703">
              <w:rPr>
                <w:rFonts w:ascii="Times New Roman" w:eastAsia="Calibri" w:hAnsi="Times New Roman" w:cs="Times New Roman"/>
                <w:sz w:val="20"/>
                <w:szCs w:val="20"/>
              </w:rPr>
              <w:t>) + (2 x $12</w:t>
            </w:r>
            <w:r w:rsidR="00F12A51">
              <w:rPr>
                <w:rFonts w:ascii="Times New Roman" w:eastAsia="Calibri" w:hAnsi="Times New Roman" w:cs="Times New Roman"/>
                <w:sz w:val="20"/>
                <w:szCs w:val="20"/>
              </w:rPr>
              <w:t>6,949</w:t>
            </w:r>
            <w:r w:rsidR="00CA22C0">
              <w:rPr>
                <w:rFonts w:ascii="Times New Roman" w:eastAsia="Calibri" w:hAnsi="Times New Roman" w:cs="Times New Roman"/>
                <w:sz w:val="20"/>
                <w:szCs w:val="20"/>
              </w:rPr>
              <w:t xml:space="preserve"> x 1.45</w:t>
            </w:r>
            <w:r w:rsidRPr="00377703">
              <w:rPr>
                <w:rFonts w:ascii="Times New Roman" w:eastAsia="Calibri" w:hAnsi="Times New Roman" w:cs="Times New Roman"/>
                <w:sz w:val="20"/>
                <w:szCs w:val="20"/>
              </w:rPr>
              <w:t xml:space="preserve">) </w:t>
            </w:r>
            <w:r w:rsidR="0052526F">
              <w:rPr>
                <w:rFonts w:ascii="Times New Roman" w:eastAsia="Calibri" w:hAnsi="Times New Roman" w:cs="Times New Roman"/>
                <w:sz w:val="20"/>
                <w:szCs w:val="20"/>
              </w:rPr>
              <w:t>+ (</w:t>
            </w:r>
            <w:r w:rsidR="00306641">
              <w:rPr>
                <w:rFonts w:ascii="Times New Roman" w:eastAsia="Calibri" w:hAnsi="Times New Roman" w:cs="Times New Roman"/>
                <w:sz w:val="20"/>
                <w:szCs w:val="20"/>
              </w:rPr>
              <w:t>1 x $1</w:t>
            </w:r>
            <w:r w:rsidR="00F12A51">
              <w:rPr>
                <w:rFonts w:ascii="Times New Roman" w:eastAsia="Calibri" w:hAnsi="Times New Roman" w:cs="Times New Roman"/>
                <w:sz w:val="20"/>
                <w:szCs w:val="20"/>
              </w:rPr>
              <w:t>50,016</w:t>
            </w:r>
            <w:r w:rsidR="00306641">
              <w:rPr>
                <w:rFonts w:ascii="Times New Roman" w:eastAsia="Calibri" w:hAnsi="Times New Roman" w:cs="Times New Roman"/>
                <w:sz w:val="20"/>
                <w:szCs w:val="20"/>
              </w:rPr>
              <w:t xml:space="preserve"> x 1.45)</w:t>
            </w:r>
            <w:r w:rsidR="00C131EE">
              <w:rPr>
                <w:rFonts w:ascii="Times New Roman" w:eastAsia="Calibri" w:hAnsi="Times New Roman" w:cs="Times New Roman"/>
                <w:sz w:val="20"/>
                <w:szCs w:val="20"/>
              </w:rPr>
              <w:t>)</w:t>
            </w:r>
            <w:r w:rsidR="00306641">
              <w:rPr>
                <w:rFonts w:ascii="Times New Roman" w:eastAsia="Calibri" w:hAnsi="Times New Roman" w:cs="Times New Roman"/>
                <w:sz w:val="20"/>
                <w:szCs w:val="20"/>
              </w:rPr>
              <w:t xml:space="preserve"> </w:t>
            </w:r>
            <w:r w:rsidRPr="00377703">
              <w:rPr>
                <w:rFonts w:ascii="Times New Roman" w:eastAsia="Calibri" w:hAnsi="Times New Roman" w:cs="Times New Roman"/>
                <w:sz w:val="20"/>
                <w:szCs w:val="20"/>
              </w:rPr>
              <w:t>x 0.019) = $</w:t>
            </w:r>
            <w:r w:rsidR="00DE16A8">
              <w:rPr>
                <w:rFonts w:ascii="Times New Roman" w:eastAsia="Calibri" w:hAnsi="Times New Roman" w:cs="Times New Roman"/>
                <w:sz w:val="20"/>
                <w:szCs w:val="20"/>
              </w:rPr>
              <w:t>1</w:t>
            </w:r>
            <w:r w:rsidR="00380944">
              <w:rPr>
                <w:rFonts w:ascii="Times New Roman" w:eastAsia="Calibri" w:hAnsi="Times New Roman" w:cs="Times New Roman"/>
                <w:sz w:val="20"/>
                <w:szCs w:val="20"/>
              </w:rPr>
              <w:t>7,010</w:t>
            </w:r>
          </w:p>
        </w:tc>
        <w:tc>
          <w:tcPr>
            <w:tcW w:w="1975" w:type="dxa"/>
            <w:vAlign w:val="center"/>
          </w:tcPr>
          <w:p w:rsidR="007A3D67" w:rsidRPr="008D1279" w:rsidP="00D42174" w14:paraId="66A03A15" w14:textId="664E3814">
            <w:pPr>
              <w:jc w:val="right"/>
              <w:rPr>
                <w:rFonts w:ascii="Times New Roman" w:eastAsia="Calibri" w:hAnsi="Times New Roman" w:cs="Times New Roman"/>
                <w:sz w:val="20"/>
                <w:szCs w:val="20"/>
              </w:rPr>
            </w:pPr>
            <w:r w:rsidRPr="00377703">
              <w:rPr>
                <w:rFonts w:ascii="Times New Roman" w:eastAsia="Calibri" w:hAnsi="Times New Roman" w:cs="Times New Roman"/>
                <w:sz w:val="20"/>
                <w:szCs w:val="20"/>
              </w:rPr>
              <w:t>$</w:t>
            </w:r>
            <w:r w:rsidR="00DC0C22">
              <w:rPr>
                <w:rFonts w:ascii="Times New Roman" w:eastAsia="Calibri" w:hAnsi="Times New Roman" w:cs="Times New Roman"/>
                <w:sz w:val="20"/>
                <w:szCs w:val="20"/>
              </w:rPr>
              <w:t>1</w:t>
            </w:r>
            <w:r w:rsidR="00380944">
              <w:rPr>
                <w:rFonts w:ascii="Times New Roman" w:eastAsia="Calibri" w:hAnsi="Times New Roman" w:cs="Times New Roman"/>
                <w:sz w:val="20"/>
                <w:szCs w:val="20"/>
              </w:rPr>
              <w:t>7,010</w:t>
            </w:r>
          </w:p>
        </w:tc>
      </w:tr>
      <w:tr w14:paraId="62B53FA0" w14:textId="77777777" w:rsidTr="00D42174">
        <w:tblPrEx>
          <w:tblW w:w="0" w:type="auto"/>
          <w:tblLook w:val="04A0"/>
        </w:tblPrEx>
        <w:tc>
          <w:tcPr>
            <w:tcW w:w="7375" w:type="dxa"/>
          </w:tcPr>
          <w:p w:rsidR="00377703" w:rsidP="00D42174" w14:paraId="55C6999C" w14:textId="597E71BE">
            <w:pPr>
              <w:rPr>
                <w:rFonts w:ascii="Times New Roman" w:eastAsia="Calibri" w:hAnsi="Times New Roman" w:cs="Times New Roman"/>
                <w:sz w:val="20"/>
                <w:szCs w:val="20"/>
              </w:rPr>
            </w:pPr>
            <w:r w:rsidRPr="008D1279">
              <w:rPr>
                <w:rFonts w:ascii="Times New Roman" w:eastAsia="Calibri" w:hAnsi="Times New Roman" w:cs="Times New Roman"/>
                <w:sz w:val="20"/>
                <w:szCs w:val="20"/>
              </w:rPr>
              <w:t>Facilities</w:t>
            </w:r>
            <w:r>
              <w:rPr>
                <w:rFonts w:ascii="Times New Roman" w:eastAsia="Calibri" w:hAnsi="Times New Roman" w:cs="Times New Roman"/>
                <w:sz w:val="20"/>
                <w:szCs w:val="20"/>
              </w:rPr>
              <w:t>:</w:t>
            </w:r>
            <w:r w:rsidRPr="008D1279">
              <w:rPr>
                <w:rFonts w:ascii="Times New Roman" w:eastAsia="Calibri" w:hAnsi="Times New Roman" w:cs="Times New Roman"/>
                <w:sz w:val="20"/>
                <w:szCs w:val="20"/>
              </w:rPr>
              <w:t xml:space="preserve"> </w:t>
            </w:r>
          </w:p>
          <w:p w:rsidR="007A3D67" w:rsidRPr="008D1279" w:rsidP="00D42174" w14:paraId="76E05DD0" w14:textId="644F6AF1">
            <w:pPr>
              <w:rPr>
                <w:rFonts w:ascii="Times New Roman" w:eastAsia="Calibri" w:hAnsi="Times New Roman" w:cs="Times New Roman"/>
                <w:sz w:val="20"/>
                <w:szCs w:val="20"/>
              </w:rPr>
            </w:pPr>
            <w:r w:rsidRPr="00377703">
              <w:rPr>
                <w:rFonts w:ascii="Times New Roman" w:eastAsia="Calibri" w:hAnsi="Times New Roman" w:cs="Times New Roman"/>
                <w:sz w:val="20"/>
                <w:szCs w:val="20"/>
              </w:rPr>
              <w:t>storage cost for forms</w:t>
            </w:r>
          </w:p>
        </w:tc>
        <w:tc>
          <w:tcPr>
            <w:tcW w:w="1975" w:type="dxa"/>
            <w:vAlign w:val="center"/>
          </w:tcPr>
          <w:p w:rsidR="007A3D67" w:rsidRPr="008D1279" w:rsidP="00D42174" w14:paraId="187BDC0B" w14:textId="4D46D99B">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w:t>
            </w:r>
            <w:r w:rsidR="00377703">
              <w:rPr>
                <w:rFonts w:ascii="Times New Roman" w:eastAsia="Calibri" w:hAnsi="Times New Roman" w:cs="Times New Roman"/>
                <w:sz w:val="20"/>
                <w:szCs w:val="20"/>
              </w:rPr>
              <w:t>70</w:t>
            </w:r>
            <w:r w:rsidRPr="008D1279">
              <w:rPr>
                <w:rFonts w:ascii="Times New Roman" w:eastAsia="Calibri" w:hAnsi="Times New Roman" w:cs="Times New Roman"/>
                <w:sz w:val="20"/>
                <w:szCs w:val="20"/>
              </w:rPr>
              <w:t>0</w:t>
            </w:r>
          </w:p>
        </w:tc>
      </w:tr>
      <w:tr w14:paraId="4F78AF26" w14:textId="77777777" w:rsidTr="00D42174">
        <w:tblPrEx>
          <w:tblW w:w="0" w:type="auto"/>
          <w:tblLook w:val="04A0"/>
        </w:tblPrEx>
        <w:tc>
          <w:tcPr>
            <w:tcW w:w="7375" w:type="dxa"/>
          </w:tcPr>
          <w:p w:rsidR="007A3D67" w:rsidRPr="008D1279" w:rsidP="00D42174" w14:paraId="5E56CEB7" w14:textId="0901E819">
            <w:pPr>
              <w:rPr>
                <w:rFonts w:ascii="Times New Roman" w:eastAsia="Calibri" w:hAnsi="Times New Roman" w:cs="Times New Roman"/>
                <w:sz w:val="20"/>
                <w:szCs w:val="20"/>
              </w:rPr>
            </w:pPr>
            <w:r w:rsidRPr="008D1279">
              <w:rPr>
                <w:rFonts w:ascii="Times New Roman" w:eastAsia="Calibri" w:hAnsi="Times New Roman" w:cs="Times New Roman"/>
                <w:sz w:val="20"/>
                <w:szCs w:val="20"/>
              </w:rPr>
              <w:t xml:space="preserve">Computer Hardware and Software </w:t>
            </w:r>
          </w:p>
        </w:tc>
        <w:tc>
          <w:tcPr>
            <w:tcW w:w="1975" w:type="dxa"/>
            <w:vAlign w:val="center"/>
          </w:tcPr>
          <w:p w:rsidR="007A3D67" w:rsidRPr="008D1279" w:rsidP="00D42174" w14:paraId="43452A68"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r w14:paraId="1B839504" w14:textId="77777777" w:rsidTr="00D42174">
        <w:tblPrEx>
          <w:tblW w:w="0" w:type="auto"/>
          <w:tblLook w:val="04A0"/>
        </w:tblPrEx>
        <w:tc>
          <w:tcPr>
            <w:tcW w:w="7375" w:type="dxa"/>
          </w:tcPr>
          <w:p w:rsidR="007A3D67" w:rsidRPr="008D1279" w:rsidP="00D42174" w14:paraId="63E416B3" w14:textId="2931B936">
            <w:pPr>
              <w:rPr>
                <w:rFonts w:ascii="Times New Roman" w:eastAsia="Calibri" w:hAnsi="Times New Roman" w:cs="Times New Roman"/>
                <w:sz w:val="20"/>
                <w:szCs w:val="20"/>
              </w:rPr>
            </w:pPr>
            <w:r w:rsidRPr="008D1279">
              <w:rPr>
                <w:rFonts w:ascii="Times New Roman" w:eastAsia="Calibri" w:hAnsi="Times New Roman" w:cs="Times New Roman"/>
                <w:sz w:val="20"/>
                <w:szCs w:val="20"/>
              </w:rPr>
              <w:t xml:space="preserve">Equipment Maintenance </w:t>
            </w:r>
          </w:p>
        </w:tc>
        <w:tc>
          <w:tcPr>
            <w:tcW w:w="1975" w:type="dxa"/>
            <w:vAlign w:val="center"/>
          </w:tcPr>
          <w:p w:rsidR="007A3D67" w:rsidRPr="008D1279" w:rsidP="00D42174" w14:paraId="4047BF52"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r w14:paraId="1CDBCBAE" w14:textId="77777777" w:rsidTr="00D42174">
        <w:tblPrEx>
          <w:tblW w:w="0" w:type="auto"/>
          <w:tblLook w:val="04A0"/>
        </w:tblPrEx>
        <w:tc>
          <w:tcPr>
            <w:tcW w:w="7375" w:type="dxa"/>
          </w:tcPr>
          <w:p w:rsidR="007A3D67" w:rsidRPr="008D1279" w:rsidP="00D42174" w14:paraId="21F88755"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Travel</w:t>
            </w:r>
            <w:r>
              <w:rPr>
                <w:rFonts w:ascii="Times New Roman" w:eastAsia="Calibri" w:hAnsi="Times New Roman" w:cs="Times New Roman"/>
                <w:sz w:val="20"/>
                <w:szCs w:val="20"/>
              </w:rPr>
              <w:t xml:space="preserve"> (not to exceed)</w:t>
            </w:r>
          </w:p>
        </w:tc>
        <w:tc>
          <w:tcPr>
            <w:tcW w:w="1975" w:type="dxa"/>
            <w:vAlign w:val="center"/>
          </w:tcPr>
          <w:p w:rsidR="007A3D67" w:rsidRPr="008D1279" w:rsidP="00D42174" w14:paraId="566C894A"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r w14:paraId="46431BA0" w14:textId="77777777" w:rsidTr="00D42174">
        <w:tblPrEx>
          <w:tblW w:w="0" w:type="auto"/>
          <w:tblLook w:val="04A0"/>
        </w:tblPrEx>
        <w:tc>
          <w:tcPr>
            <w:tcW w:w="7375" w:type="dxa"/>
          </w:tcPr>
          <w:p w:rsidR="007A3D67" w:rsidRPr="008D1279" w:rsidP="00D42174" w14:paraId="372185FD" w14:textId="77777777">
            <w:pPr>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975" w:type="dxa"/>
            <w:vAlign w:val="center"/>
          </w:tcPr>
          <w:p w:rsidR="007A3D67" w:rsidRPr="0009021F" w:rsidP="00D42174" w14:paraId="1C1E0218" w14:textId="61CA4316">
            <w:pPr>
              <w:jc w:val="right"/>
              <w:rPr>
                <w:rFonts w:ascii="Times New Roman" w:eastAsia="Calibri" w:hAnsi="Times New Roman" w:cs="Times New Roman"/>
                <w:b/>
                <w:bCs/>
                <w:sz w:val="20"/>
                <w:szCs w:val="20"/>
              </w:rPr>
            </w:pPr>
            <w:r w:rsidRPr="0009021F">
              <w:rPr>
                <w:rFonts w:ascii="Times New Roman" w:eastAsia="Calibri" w:hAnsi="Times New Roman" w:cs="Times New Roman"/>
                <w:b/>
                <w:bCs/>
                <w:sz w:val="20"/>
                <w:szCs w:val="20"/>
              </w:rPr>
              <w:t>$</w:t>
            </w:r>
            <w:r w:rsidRPr="0009021F" w:rsidR="00057E4C">
              <w:rPr>
                <w:rFonts w:ascii="Times New Roman" w:eastAsia="Calibri" w:hAnsi="Times New Roman" w:cs="Times New Roman"/>
                <w:b/>
                <w:bCs/>
                <w:sz w:val="20"/>
                <w:szCs w:val="20"/>
              </w:rPr>
              <w:t>9,</w:t>
            </w:r>
            <w:r w:rsidRPr="0009021F" w:rsidR="009952F1">
              <w:rPr>
                <w:rFonts w:ascii="Times New Roman" w:eastAsia="Calibri" w:hAnsi="Times New Roman" w:cs="Times New Roman"/>
                <w:b/>
                <w:bCs/>
                <w:sz w:val="20"/>
                <w:szCs w:val="20"/>
              </w:rPr>
              <w:t>35</w:t>
            </w:r>
            <w:r w:rsidR="00FD4406">
              <w:rPr>
                <w:rFonts w:ascii="Times New Roman" w:eastAsia="Calibri" w:hAnsi="Times New Roman" w:cs="Times New Roman"/>
                <w:b/>
                <w:bCs/>
                <w:sz w:val="20"/>
                <w:szCs w:val="20"/>
              </w:rPr>
              <w:t>7,010</w:t>
            </w:r>
          </w:p>
        </w:tc>
      </w:tr>
      <w:tr w14:paraId="34CB0492" w14:textId="77777777" w:rsidTr="00D42174">
        <w:tblPrEx>
          <w:tblW w:w="0" w:type="auto"/>
          <w:tblLook w:val="04A0"/>
        </w:tblPrEx>
        <w:tc>
          <w:tcPr>
            <w:tcW w:w="9350" w:type="dxa"/>
            <w:gridSpan w:val="2"/>
          </w:tcPr>
          <w:p w:rsidR="007A3D67" w:rsidP="00D42174" w14:paraId="178798DA" w14:textId="7CD3F88B">
            <w:pPr>
              <w:rPr>
                <w:rFonts w:ascii="Times New Roman" w:eastAsia="Calibri" w:hAnsi="Times New Roman" w:cs="Times New Roman"/>
                <w:sz w:val="20"/>
                <w:szCs w:val="20"/>
              </w:rPr>
            </w:pPr>
            <w:bookmarkStart w:id="14" w:name="OLE_LINK1"/>
            <w:r>
              <w:rPr>
                <w:rFonts w:ascii="Times New Roman" w:eastAsia="Calibri" w:hAnsi="Times New Roman" w:cs="Times New Roman"/>
                <w:sz w:val="20"/>
                <w:szCs w:val="20"/>
                <w:vertAlign w:val="superscript"/>
              </w:rPr>
              <w:t>1</w:t>
            </w:r>
            <w:r w:rsidRPr="008D1279">
              <w:rPr>
                <w:rFonts w:ascii="Times New Roman" w:eastAsia="Calibri" w:hAnsi="Times New Roman" w:cs="Times New Roman"/>
                <w:sz w:val="20"/>
                <w:szCs w:val="20"/>
              </w:rPr>
              <w:t xml:space="preserve"> Office of Personnel Management 20</w:t>
            </w:r>
            <w:r>
              <w:rPr>
                <w:rFonts w:ascii="Times New Roman" w:eastAsia="Calibri" w:hAnsi="Times New Roman" w:cs="Times New Roman"/>
                <w:sz w:val="20"/>
                <w:szCs w:val="20"/>
              </w:rPr>
              <w:t>2</w:t>
            </w:r>
            <w:r w:rsidR="00D21883">
              <w:rPr>
                <w:rFonts w:ascii="Times New Roman" w:eastAsia="Calibri" w:hAnsi="Times New Roman" w:cs="Times New Roman"/>
                <w:sz w:val="20"/>
                <w:szCs w:val="20"/>
              </w:rPr>
              <w:t>3</w:t>
            </w:r>
            <w:r w:rsidRPr="008D1279">
              <w:rPr>
                <w:rFonts w:ascii="Times New Roman" w:eastAsia="Calibri" w:hAnsi="Times New Roman" w:cs="Times New Roman"/>
                <w:sz w:val="20"/>
                <w:szCs w:val="20"/>
              </w:rPr>
              <w:t xml:space="preserve"> Pay and Leave Tables for the Washington-Baltimore-Arlington, DC-MD-VA-WV-PA locality. Available online at</w:t>
            </w:r>
            <w:r w:rsidR="00E048B2">
              <w:rPr>
                <w:rFonts w:ascii="Times New Roman" w:eastAsia="Calibri" w:hAnsi="Times New Roman" w:cs="Times New Roman"/>
                <w:sz w:val="20"/>
                <w:szCs w:val="20"/>
              </w:rPr>
              <w:t xml:space="preserve"> </w:t>
            </w:r>
            <w:hyperlink r:id="rId10" w:history="1">
              <w:r w:rsidRPr="00C227A6" w:rsidR="00E048B2">
                <w:rPr>
                  <w:rStyle w:val="Hyperlink"/>
                  <w:rFonts w:ascii="Times New Roman" w:eastAsia="Calibri" w:hAnsi="Times New Roman" w:cs="Times New Roman"/>
                  <w:sz w:val="18"/>
                  <w:szCs w:val="18"/>
                </w:rPr>
                <w:t>https://www.opm.gov/policy-data-oversight/pay-leave/salaries-wages/salary-tables/pdf/2023/DCB.pdf</w:t>
              </w:r>
            </w:hyperlink>
            <w:r w:rsidRPr="00444A61" w:rsidR="00E048B2">
              <w:rPr>
                <w:rFonts w:ascii="Times New Roman" w:eastAsia="Calibri" w:hAnsi="Times New Roman" w:cs="Times New Roman"/>
                <w:sz w:val="18"/>
                <w:szCs w:val="18"/>
              </w:rPr>
              <w:t xml:space="preserve"> Accessed January </w:t>
            </w:r>
            <w:r w:rsidR="00E048B2">
              <w:rPr>
                <w:rFonts w:ascii="Times New Roman" w:eastAsia="Calibri" w:hAnsi="Times New Roman" w:cs="Times New Roman"/>
                <w:sz w:val="18"/>
                <w:szCs w:val="18"/>
              </w:rPr>
              <w:t>13</w:t>
            </w:r>
            <w:r w:rsidRPr="00444A61" w:rsidR="00E048B2">
              <w:rPr>
                <w:rFonts w:ascii="Times New Roman" w:eastAsia="Calibri" w:hAnsi="Times New Roman" w:cs="Times New Roman"/>
                <w:sz w:val="18"/>
                <w:szCs w:val="18"/>
              </w:rPr>
              <w:t>, 202</w:t>
            </w:r>
            <w:r w:rsidR="00E048B2">
              <w:rPr>
                <w:rFonts w:ascii="Times New Roman" w:eastAsia="Calibri" w:hAnsi="Times New Roman" w:cs="Times New Roman"/>
                <w:sz w:val="18"/>
                <w:szCs w:val="18"/>
              </w:rPr>
              <w:t>3</w:t>
            </w:r>
            <w:r w:rsidRPr="008D1279">
              <w:rPr>
                <w:rFonts w:ascii="Times New Roman" w:eastAsia="Calibri" w:hAnsi="Times New Roman" w:cs="Times New Roman"/>
                <w:sz w:val="20"/>
                <w:szCs w:val="20"/>
              </w:rPr>
              <w:t xml:space="preserve"> </w:t>
            </w:r>
          </w:p>
          <w:p w:rsidR="007A3D67" w:rsidRPr="008D1279" w:rsidP="00D42174" w14:paraId="47FFA0DC" w14:textId="77777777">
            <w:pP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2</w:t>
            </w:r>
            <w:r w:rsidRPr="008D1279">
              <w:rPr>
                <w:rFonts w:ascii="Times New Roman" w:eastAsia="Calibri" w:hAnsi="Times New Roman" w:cs="Times New Roman"/>
                <w:sz w:val="20"/>
                <w:szCs w:val="20"/>
              </w:rPr>
              <w:t xml:space="preserve"> Wage rate includes a 1.4</w:t>
            </w:r>
            <w:r>
              <w:rPr>
                <w:rFonts w:ascii="Times New Roman" w:eastAsia="Calibri" w:hAnsi="Times New Roman" w:cs="Times New Roman"/>
                <w:sz w:val="20"/>
                <w:szCs w:val="20"/>
              </w:rPr>
              <w:t>5</w:t>
            </w:r>
            <w:r w:rsidRPr="008D1279">
              <w:rPr>
                <w:rFonts w:ascii="Times New Roman" w:eastAsia="Calibri" w:hAnsi="Times New Roman" w:cs="Times New Roman"/>
                <w:sz w:val="20"/>
                <w:szCs w:val="20"/>
              </w:rPr>
              <w:t xml:space="preserve"> multiplier to reflect the fully-loaded wage rate.</w:t>
            </w:r>
            <w:bookmarkEnd w:id="14"/>
          </w:p>
        </w:tc>
      </w:tr>
    </w:tbl>
    <w:p w:rsidR="007A3D67" w:rsidRPr="00E94A13" w:rsidP="00F35F4F" w14:paraId="3B4F48D6" w14:textId="77777777">
      <w:pPr>
        <w:spacing w:line="276" w:lineRule="auto"/>
        <w:contextualSpacing/>
        <w:rPr>
          <w:b/>
          <w:bCs/>
        </w:rPr>
      </w:pPr>
    </w:p>
    <w:bookmarkEnd w:id="13"/>
    <w:p w:rsidR="005E21C2" w:rsidRPr="00E52F54" w:rsidP="00F35F4F" w14:paraId="176C82EE" w14:textId="2A9B1859">
      <w:pPr>
        <w:spacing w:line="276" w:lineRule="auto"/>
        <w:contextualSpacing/>
        <w:rPr>
          <w:b/>
        </w:rPr>
      </w:pPr>
      <w:r w:rsidRPr="00C660D2">
        <w:fldChar w:fldCharType="begin"/>
      </w:r>
      <w:r w:rsidRPr="00E52F54">
        <w:instrText>ADVANCE \R 0.95</w:instrText>
      </w:r>
      <w:r w:rsidRPr="00C660D2">
        <w:fldChar w:fldCharType="end"/>
      </w:r>
      <w:r w:rsidRPr="00C660D2" w:rsidR="00677CAD">
        <w:fldChar w:fldCharType="begin"/>
      </w:r>
      <w:r w:rsidRPr="00E52F54" w:rsidR="00677CAD">
        <w:instrText>ADVANCE \R 0.95</w:instrText>
      </w:r>
      <w:r w:rsidRPr="00C660D2" w:rsidR="00677CAD">
        <w:fldChar w:fldCharType="end"/>
      </w:r>
      <w:r w:rsidRPr="00E52F54">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E21C2" w:rsidRPr="00F35F4F" w:rsidP="00F35F4F" w14:paraId="38E791F1" w14:textId="5BB26F60">
      <w:pPr>
        <w:pStyle w:val="NormalWeb"/>
        <w:spacing w:line="276" w:lineRule="auto"/>
        <w:contextualSpacing/>
        <w:rPr>
          <w:i/>
          <w:sz w:val="20"/>
          <w:szCs w:val="20"/>
        </w:rPr>
      </w:pPr>
      <w:r w:rsidRPr="00F35F4F">
        <w:rPr>
          <w:i/>
          <w:sz w:val="20"/>
          <w:szCs w:val="20"/>
        </w:rPr>
        <w:t xml:space="preserve">A </w:t>
      </w:r>
      <w:r w:rsidRPr="00F35F4F" w:rsidR="00C80D88">
        <w:rPr>
          <w:b/>
          <w:bCs/>
          <w:i/>
          <w:sz w:val="20"/>
          <w:szCs w:val="20"/>
        </w:rPr>
        <w:t>“</w:t>
      </w:r>
      <w:r w:rsidRPr="00F35F4F">
        <w:rPr>
          <w:b/>
          <w:bCs/>
          <w:i/>
          <w:sz w:val="20"/>
          <w:szCs w:val="20"/>
        </w:rPr>
        <w:t>Program increase</w:t>
      </w:r>
      <w:r w:rsidRPr="00F35F4F" w:rsidR="00C80D88">
        <w:rPr>
          <w:b/>
          <w:bCs/>
          <w:i/>
          <w:sz w:val="20"/>
          <w:szCs w:val="20"/>
        </w:rPr>
        <w:t>”</w:t>
      </w:r>
      <w:r w:rsidRPr="00F35F4F">
        <w:rPr>
          <w:i/>
          <w:sz w:val="20"/>
          <w:szCs w:val="20"/>
        </w:rPr>
        <w:t xml:space="preserve"> is an additional burden resulting from </w:t>
      </w:r>
      <w:r w:rsidRPr="00F35F4F" w:rsidR="005537B6">
        <w:rPr>
          <w:i/>
          <w:sz w:val="20"/>
          <w:szCs w:val="20"/>
        </w:rPr>
        <w:t>a</w:t>
      </w:r>
      <w:r w:rsidRPr="00F35F4F" w:rsidR="005926EA">
        <w:rPr>
          <w:i/>
          <w:sz w:val="20"/>
          <w:szCs w:val="20"/>
        </w:rPr>
        <w:t xml:space="preserve"> </w:t>
      </w:r>
      <w:r w:rsidR="00E94A13">
        <w:rPr>
          <w:i/>
          <w:sz w:val="20"/>
          <w:szCs w:val="20"/>
        </w:rPr>
        <w:t>F</w:t>
      </w:r>
      <w:r w:rsidRPr="00F35F4F" w:rsidR="005926EA">
        <w:rPr>
          <w:i/>
          <w:sz w:val="20"/>
          <w:szCs w:val="20"/>
        </w:rPr>
        <w:t xml:space="preserve">ederal </w:t>
      </w:r>
      <w:r w:rsidR="00E94A13">
        <w:rPr>
          <w:i/>
          <w:sz w:val="20"/>
          <w:szCs w:val="20"/>
        </w:rPr>
        <w:t>G</w:t>
      </w:r>
      <w:r w:rsidRPr="00F35F4F" w:rsidR="005926EA">
        <w:rPr>
          <w:i/>
          <w:sz w:val="20"/>
          <w:szCs w:val="20"/>
        </w:rPr>
        <w:t>overnment regulatory</w:t>
      </w:r>
      <w:r w:rsidRPr="00F35F4F">
        <w:rPr>
          <w:i/>
          <w:sz w:val="20"/>
          <w:szCs w:val="20"/>
        </w:rPr>
        <w:t xml:space="preserve"> action or directive</w:t>
      </w:r>
      <w:r w:rsidRPr="00F35F4F" w:rsidR="005926EA">
        <w:rPr>
          <w:i/>
          <w:sz w:val="20"/>
          <w:szCs w:val="20"/>
        </w:rPr>
        <w:t>.</w:t>
      </w:r>
      <w:r w:rsidRPr="00F35F4F">
        <w:rPr>
          <w:i/>
          <w:sz w:val="20"/>
          <w:szCs w:val="20"/>
        </w:rPr>
        <w:t xml:space="preserve"> (e.g., an increase in sample size or coverage, amount of information, reporting frequency, or expanded use of an</w:t>
      </w:r>
      <w:r w:rsidRPr="00F35F4F" w:rsidR="00A643EA">
        <w:rPr>
          <w:i/>
          <w:sz w:val="20"/>
          <w:szCs w:val="20"/>
        </w:rPr>
        <w:t xml:space="preserve"> </w:t>
      </w:r>
      <w:r w:rsidRPr="00F35F4F">
        <w:rPr>
          <w:i/>
          <w:sz w:val="20"/>
          <w:szCs w:val="20"/>
        </w:rPr>
        <w:t>existing form). This also includes previously in-use</w:t>
      </w:r>
      <w:r w:rsidRPr="00F35F4F" w:rsidR="00A643EA">
        <w:rPr>
          <w:i/>
          <w:sz w:val="20"/>
          <w:szCs w:val="20"/>
        </w:rPr>
        <w:t xml:space="preserve"> </w:t>
      </w:r>
      <w:r w:rsidRPr="00F35F4F">
        <w:rPr>
          <w:i/>
          <w:sz w:val="20"/>
          <w:szCs w:val="20"/>
        </w:rPr>
        <w:t xml:space="preserve">and unapproved information </w:t>
      </w:r>
      <w:r w:rsidRPr="00F35F4F">
        <w:rPr>
          <w:i/>
          <w:sz w:val="20"/>
          <w:szCs w:val="20"/>
        </w:rPr>
        <w:t>collections discovered during the ICB process, or during the fiscal</w:t>
      </w:r>
      <w:r w:rsidRPr="00F35F4F" w:rsidR="005926EA">
        <w:rPr>
          <w:i/>
          <w:sz w:val="20"/>
          <w:szCs w:val="20"/>
        </w:rPr>
        <w:t xml:space="preserve"> y</w:t>
      </w:r>
      <w:r w:rsidRPr="00F35F4F">
        <w:rPr>
          <w:i/>
          <w:sz w:val="20"/>
          <w:szCs w:val="20"/>
        </w:rPr>
        <w:t xml:space="preserve">ear, which will be in use during the next fiscal year. </w:t>
      </w:r>
      <w:r w:rsidRPr="00F35F4F" w:rsidR="00B7513C">
        <w:rPr>
          <w:i/>
          <w:sz w:val="20"/>
          <w:szCs w:val="20"/>
        </w:rPr>
        <w:t xml:space="preserve"> </w:t>
      </w:r>
    </w:p>
    <w:p w:rsidR="005E21C2" w:rsidRPr="00F35F4F" w:rsidP="00F35F4F" w14:paraId="26D6AE35" w14:textId="758EDCE6">
      <w:pPr>
        <w:pStyle w:val="NormalWeb"/>
        <w:spacing w:line="276" w:lineRule="auto"/>
        <w:contextualSpacing/>
        <w:rPr>
          <w:i/>
          <w:sz w:val="20"/>
          <w:szCs w:val="20"/>
        </w:rPr>
      </w:pPr>
      <w:r w:rsidRPr="00F35F4F">
        <w:rPr>
          <w:i/>
          <w:sz w:val="20"/>
          <w:szCs w:val="20"/>
        </w:rPr>
        <w:t xml:space="preserve">A </w:t>
      </w:r>
      <w:r w:rsidRPr="00F35F4F" w:rsidR="00C80D88">
        <w:rPr>
          <w:b/>
          <w:bCs/>
          <w:i/>
          <w:sz w:val="20"/>
          <w:szCs w:val="20"/>
        </w:rPr>
        <w:t>“</w:t>
      </w:r>
      <w:r w:rsidRPr="00F35F4F">
        <w:rPr>
          <w:b/>
          <w:bCs/>
          <w:i/>
          <w:sz w:val="20"/>
          <w:szCs w:val="20"/>
        </w:rPr>
        <w:t>Program decrease</w:t>
      </w:r>
      <w:r w:rsidRPr="00F35F4F" w:rsidR="00C80D88">
        <w:rPr>
          <w:b/>
          <w:bCs/>
          <w:i/>
          <w:sz w:val="20"/>
          <w:szCs w:val="20"/>
        </w:rPr>
        <w:t>”</w:t>
      </w:r>
      <w:r w:rsidRPr="00F35F4F">
        <w:rPr>
          <w:b/>
          <w:bCs/>
          <w:i/>
          <w:sz w:val="20"/>
          <w:szCs w:val="20"/>
        </w:rPr>
        <w:t xml:space="preserve"> </w:t>
      </w:r>
      <w:r w:rsidRPr="00F35F4F">
        <w:rPr>
          <w:i/>
          <w:sz w:val="20"/>
          <w:szCs w:val="20"/>
        </w:rPr>
        <w:t xml:space="preserve">is a reduction in burden because of: (1) the </w:t>
      </w:r>
      <w:r w:rsidRPr="00F35F4F" w:rsidR="00A643EA">
        <w:rPr>
          <w:i/>
          <w:sz w:val="20"/>
          <w:szCs w:val="20"/>
        </w:rPr>
        <w:t xml:space="preserve">discontinuation of an </w:t>
      </w:r>
      <w:r w:rsidRPr="00F35F4F">
        <w:rPr>
          <w:i/>
          <w:sz w:val="20"/>
          <w:szCs w:val="20"/>
        </w:rPr>
        <w:t>information collection; or (2) a change in an existing</w:t>
      </w:r>
      <w:r w:rsidRPr="00F35F4F" w:rsidR="00A643EA">
        <w:rPr>
          <w:i/>
          <w:sz w:val="20"/>
          <w:szCs w:val="20"/>
        </w:rPr>
        <w:t xml:space="preserve"> </w:t>
      </w:r>
      <w:r w:rsidRPr="00F35F4F">
        <w:rPr>
          <w:i/>
          <w:sz w:val="20"/>
          <w:szCs w:val="20"/>
        </w:rPr>
        <w:t xml:space="preserve">information collection by a Federal </w:t>
      </w:r>
      <w:r w:rsidR="00276A95">
        <w:rPr>
          <w:i/>
          <w:sz w:val="20"/>
          <w:szCs w:val="20"/>
        </w:rPr>
        <w:t>A</w:t>
      </w:r>
      <w:r w:rsidRPr="00F35F4F">
        <w:rPr>
          <w:i/>
          <w:sz w:val="20"/>
          <w:szCs w:val="20"/>
        </w:rPr>
        <w:t>gency</w:t>
      </w:r>
      <w:r w:rsidRPr="00F35F4F" w:rsidR="00A643EA">
        <w:rPr>
          <w:i/>
          <w:sz w:val="20"/>
          <w:szCs w:val="20"/>
        </w:rPr>
        <w:t xml:space="preserve"> </w:t>
      </w:r>
      <w:r w:rsidRPr="00F35F4F">
        <w:rPr>
          <w:i/>
          <w:sz w:val="20"/>
          <w:szCs w:val="20"/>
        </w:rPr>
        <w:t xml:space="preserve">(e.g., the use of sampling (or smaller samples), a decrease in the amount of information requested (fewer questions), or a decrease in reporting frequency). </w:t>
      </w:r>
      <w:r w:rsidRPr="00F35F4F" w:rsidR="00B7513C">
        <w:rPr>
          <w:i/>
          <w:sz w:val="20"/>
          <w:szCs w:val="20"/>
        </w:rPr>
        <w:t xml:space="preserve"> </w:t>
      </w:r>
    </w:p>
    <w:p w:rsidR="00592840" w:rsidP="00E94A13" w14:paraId="14E5F110" w14:textId="70C599ED">
      <w:pPr>
        <w:pStyle w:val="NormalWeb"/>
        <w:spacing w:line="276" w:lineRule="auto"/>
        <w:contextualSpacing/>
        <w:rPr>
          <w:i/>
          <w:sz w:val="20"/>
          <w:szCs w:val="20"/>
        </w:rPr>
      </w:pPr>
      <w:r w:rsidRPr="00CE1641">
        <w:rPr>
          <w:bCs/>
          <w:i/>
          <w:sz w:val="20"/>
          <w:szCs w:val="20"/>
        </w:rPr>
        <w:t>An</w:t>
      </w:r>
      <w:r w:rsidRPr="00CE1641" w:rsidR="005E21C2">
        <w:rPr>
          <w:bCs/>
          <w:i/>
          <w:sz w:val="20"/>
          <w:szCs w:val="20"/>
        </w:rPr>
        <w:t xml:space="preserve"> </w:t>
      </w:r>
      <w:r w:rsidRPr="00F35F4F" w:rsidR="00C80D88">
        <w:rPr>
          <w:b/>
          <w:bCs/>
          <w:i/>
          <w:sz w:val="20"/>
          <w:szCs w:val="20"/>
        </w:rPr>
        <w:t>“</w:t>
      </w:r>
      <w:r w:rsidRPr="00F35F4F" w:rsidR="005E21C2">
        <w:rPr>
          <w:b/>
          <w:bCs/>
          <w:i/>
          <w:sz w:val="20"/>
          <w:szCs w:val="20"/>
        </w:rPr>
        <w:t>Adjustment</w:t>
      </w:r>
      <w:r w:rsidRPr="00F35F4F" w:rsidR="00C80D88">
        <w:rPr>
          <w:b/>
          <w:bCs/>
          <w:i/>
          <w:sz w:val="20"/>
          <w:szCs w:val="20"/>
        </w:rPr>
        <w:t>”</w:t>
      </w:r>
      <w:r w:rsidRPr="00F35F4F" w:rsidR="005E21C2">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r w:rsidRPr="00F35F4F" w:rsidR="00B7513C">
        <w:rPr>
          <w:i/>
          <w:sz w:val="20"/>
          <w:szCs w:val="20"/>
        </w:rPr>
        <w:t xml:space="preserve"> </w:t>
      </w:r>
    </w:p>
    <w:tbl>
      <w:tblPr>
        <w:tblStyle w:val="TableGrid"/>
        <w:tblW w:w="10339" w:type="dxa"/>
        <w:tblInd w:w="-545" w:type="dxa"/>
        <w:tblLook w:val="04A0"/>
      </w:tblPr>
      <w:tblGrid>
        <w:gridCol w:w="1952"/>
        <w:gridCol w:w="1828"/>
        <w:gridCol w:w="1156"/>
        <w:gridCol w:w="1236"/>
        <w:gridCol w:w="1658"/>
        <w:gridCol w:w="1273"/>
        <w:gridCol w:w="1236"/>
      </w:tblGrid>
      <w:tr w14:paraId="3F6CA280" w14:textId="77777777" w:rsidTr="007E77DD">
        <w:tblPrEx>
          <w:tblW w:w="10339" w:type="dxa"/>
          <w:tblInd w:w="-545" w:type="dxa"/>
          <w:tblLook w:val="04A0"/>
        </w:tblPrEx>
        <w:tc>
          <w:tcPr>
            <w:tcW w:w="10339" w:type="dxa"/>
            <w:gridSpan w:val="7"/>
            <w:shd w:val="clear" w:color="auto" w:fill="9CC2E5" w:themeFill="accent1" w:themeFillTint="99"/>
          </w:tcPr>
          <w:p w:rsidR="0096313B" w:rsidRPr="008D1279" w:rsidP="00D42174" w14:paraId="559E92A5" w14:textId="77777777">
            <w:pPr>
              <w:jc w:val="center"/>
              <w:rPr>
                <w:b/>
                <w:sz w:val="20"/>
                <w:szCs w:val="20"/>
              </w:rPr>
            </w:pPr>
            <w:bookmarkStart w:id="15" w:name="_Hlk23326361"/>
            <w:r w:rsidRPr="008D1279">
              <w:rPr>
                <w:b/>
                <w:sz w:val="20"/>
                <w:szCs w:val="20"/>
              </w:rPr>
              <w:t>Itemized Changes in Annual Burden Hours</w:t>
            </w:r>
          </w:p>
        </w:tc>
      </w:tr>
      <w:tr w14:paraId="07DF4C79" w14:textId="77777777" w:rsidTr="00342E9A">
        <w:tblPrEx>
          <w:tblW w:w="10339" w:type="dxa"/>
          <w:tblInd w:w="-545" w:type="dxa"/>
          <w:tblLook w:val="04A0"/>
        </w:tblPrEx>
        <w:tc>
          <w:tcPr>
            <w:tcW w:w="1952" w:type="dxa"/>
            <w:shd w:val="clear" w:color="auto" w:fill="9CC2E5" w:themeFill="accent1" w:themeFillTint="99"/>
          </w:tcPr>
          <w:p w:rsidR="0096313B" w:rsidRPr="008D1279" w:rsidP="00D42174" w14:paraId="45A2EB2E" w14:textId="77777777">
            <w:pPr>
              <w:rPr>
                <w:sz w:val="20"/>
                <w:szCs w:val="20"/>
              </w:rPr>
            </w:pPr>
            <w:r w:rsidRPr="008D1279">
              <w:rPr>
                <w:sz w:val="20"/>
                <w:szCs w:val="20"/>
              </w:rPr>
              <w:t>Data Collection Activity/Instrument</w:t>
            </w:r>
          </w:p>
        </w:tc>
        <w:tc>
          <w:tcPr>
            <w:tcW w:w="1828" w:type="dxa"/>
            <w:shd w:val="clear" w:color="auto" w:fill="9CC2E5" w:themeFill="accent1" w:themeFillTint="99"/>
          </w:tcPr>
          <w:p w:rsidR="0096313B" w:rsidRPr="008D1279" w:rsidP="00D42174" w14:paraId="16252605" w14:textId="77777777">
            <w:pPr>
              <w:rPr>
                <w:sz w:val="20"/>
                <w:szCs w:val="20"/>
              </w:rPr>
            </w:pPr>
            <w:r w:rsidRPr="008D1279">
              <w:rPr>
                <w:sz w:val="20"/>
                <w:szCs w:val="20"/>
              </w:rPr>
              <w:t>Program Change (hours currently on OMB inventory)</w:t>
            </w:r>
          </w:p>
        </w:tc>
        <w:tc>
          <w:tcPr>
            <w:tcW w:w="1156" w:type="dxa"/>
            <w:shd w:val="clear" w:color="auto" w:fill="9CC2E5" w:themeFill="accent1" w:themeFillTint="99"/>
          </w:tcPr>
          <w:p w:rsidR="0096313B" w:rsidRPr="008D1279" w:rsidP="00D42174" w14:paraId="2A304D48" w14:textId="77777777">
            <w:pPr>
              <w:rPr>
                <w:sz w:val="20"/>
                <w:szCs w:val="20"/>
              </w:rPr>
            </w:pPr>
            <w:r w:rsidRPr="008D1279">
              <w:rPr>
                <w:sz w:val="20"/>
                <w:szCs w:val="20"/>
              </w:rPr>
              <w:t>Program Change (new)</w:t>
            </w:r>
          </w:p>
        </w:tc>
        <w:tc>
          <w:tcPr>
            <w:tcW w:w="1236" w:type="dxa"/>
            <w:shd w:val="clear" w:color="auto" w:fill="9CC2E5" w:themeFill="accent1" w:themeFillTint="99"/>
          </w:tcPr>
          <w:p w:rsidR="0096313B" w:rsidRPr="008D1279" w:rsidP="00D42174" w14:paraId="1A11973A" w14:textId="77777777">
            <w:pPr>
              <w:rPr>
                <w:sz w:val="20"/>
                <w:szCs w:val="20"/>
              </w:rPr>
            </w:pPr>
            <w:r w:rsidRPr="008D1279">
              <w:rPr>
                <w:sz w:val="20"/>
                <w:szCs w:val="20"/>
              </w:rPr>
              <w:t>Difference</w:t>
            </w:r>
          </w:p>
        </w:tc>
        <w:tc>
          <w:tcPr>
            <w:tcW w:w="1658" w:type="dxa"/>
            <w:shd w:val="clear" w:color="auto" w:fill="9CC2E5" w:themeFill="accent1" w:themeFillTint="99"/>
          </w:tcPr>
          <w:p w:rsidR="0096313B" w:rsidRPr="008D1279" w:rsidP="00D42174" w14:paraId="2FE35E45" w14:textId="77777777">
            <w:pPr>
              <w:rPr>
                <w:sz w:val="20"/>
                <w:szCs w:val="20"/>
              </w:rPr>
            </w:pPr>
            <w:r w:rsidRPr="008D1279">
              <w:rPr>
                <w:sz w:val="20"/>
                <w:szCs w:val="20"/>
              </w:rPr>
              <w:t>Adjustment (hours currently on OMB inventory)</w:t>
            </w:r>
          </w:p>
        </w:tc>
        <w:tc>
          <w:tcPr>
            <w:tcW w:w="1273" w:type="dxa"/>
            <w:shd w:val="clear" w:color="auto" w:fill="9CC2E5" w:themeFill="accent1" w:themeFillTint="99"/>
          </w:tcPr>
          <w:p w:rsidR="0096313B" w:rsidRPr="008D1279" w:rsidP="00D42174" w14:paraId="40A43A82" w14:textId="77777777">
            <w:pPr>
              <w:rPr>
                <w:sz w:val="20"/>
                <w:szCs w:val="20"/>
              </w:rPr>
            </w:pPr>
            <w:r w:rsidRPr="008D1279">
              <w:rPr>
                <w:sz w:val="20"/>
                <w:szCs w:val="20"/>
              </w:rPr>
              <w:t>Adjustment (new)</w:t>
            </w:r>
          </w:p>
        </w:tc>
        <w:tc>
          <w:tcPr>
            <w:tcW w:w="1236" w:type="dxa"/>
            <w:shd w:val="clear" w:color="auto" w:fill="9CC2E5" w:themeFill="accent1" w:themeFillTint="99"/>
          </w:tcPr>
          <w:p w:rsidR="0096313B" w:rsidRPr="008D1279" w:rsidP="00D42174" w14:paraId="776564F7" w14:textId="77777777">
            <w:pPr>
              <w:rPr>
                <w:sz w:val="20"/>
                <w:szCs w:val="20"/>
              </w:rPr>
            </w:pPr>
            <w:r w:rsidRPr="008D1279">
              <w:rPr>
                <w:sz w:val="20"/>
                <w:szCs w:val="20"/>
              </w:rPr>
              <w:t>Difference</w:t>
            </w:r>
          </w:p>
        </w:tc>
      </w:tr>
      <w:tr w14:paraId="026199F2" w14:textId="77777777" w:rsidTr="00342E9A">
        <w:tblPrEx>
          <w:tblW w:w="10339" w:type="dxa"/>
          <w:tblInd w:w="-545" w:type="dxa"/>
          <w:tblLook w:val="04A0"/>
        </w:tblPrEx>
        <w:trPr>
          <w:trHeight w:val="732"/>
        </w:trPr>
        <w:tc>
          <w:tcPr>
            <w:tcW w:w="1952" w:type="dxa"/>
            <w:hideMark/>
          </w:tcPr>
          <w:p w:rsidR="00342E9A" w14:paraId="746689CD" w14:textId="77777777">
            <w:pPr>
              <w:rPr>
                <w:color w:val="000000"/>
                <w:sz w:val="18"/>
                <w:szCs w:val="18"/>
              </w:rPr>
            </w:pPr>
            <w:bookmarkStart w:id="16" w:name="_Hlk120612024"/>
            <w:r>
              <w:rPr>
                <w:color w:val="000000"/>
                <w:sz w:val="18"/>
                <w:szCs w:val="18"/>
              </w:rPr>
              <w:t xml:space="preserve">Flood Insurance Application / FEMA Form FF-206-FY-21-117 (formerly 086-0-1) </w:t>
            </w:r>
          </w:p>
        </w:tc>
        <w:tc>
          <w:tcPr>
            <w:tcW w:w="1828" w:type="dxa"/>
            <w:hideMark/>
          </w:tcPr>
          <w:p w:rsidR="00342E9A" w14:paraId="1CC17A3B" w14:textId="77777777">
            <w:pPr>
              <w:jc w:val="center"/>
              <w:rPr>
                <w:color w:val="000000"/>
                <w:sz w:val="18"/>
                <w:szCs w:val="18"/>
              </w:rPr>
            </w:pPr>
            <w:r>
              <w:rPr>
                <w:color w:val="000000"/>
                <w:sz w:val="18"/>
                <w:szCs w:val="18"/>
              </w:rPr>
              <w:t> </w:t>
            </w:r>
          </w:p>
        </w:tc>
        <w:tc>
          <w:tcPr>
            <w:tcW w:w="1156" w:type="dxa"/>
            <w:hideMark/>
          </w:tcPr>
          <w:p w:rsidR="00342E9A" w14:paraId="457AED8B" w14:textId="77777777">
            <w:pPr>
              <w:jc w:val="center"/>
              <w:rPr>
                <w:color w:val="000000"/>
                <w:sz w:val="18"/>
                <w:szCs w:val="18"/>
              </w:rPr>
            </w:pPr>
            <w:r>
              <w:rPr>
                <w:color w:val="000000"/>
                <w:sz w:val="18"/>
                <w:szCs w:val="18"/>
              </w:rPr>
              <w:t> </w:t>
            </w:r>
          </w:p>
        </w:tc>
        <w:tc>
          <w:tcPr>
            <w:tcW w:w="1236" w:type="dxa"/>
            <w:hideMark/>
          </w:tcPr>
          <w:p w:rsidR="00342E9A" w14:paraId="17F7CB9C" w14:textId="77777777">
            <w:pPr>
              <w:jc w:val="center"/>
              <w:rPr>
                <w:color w:val="000000"/>
                <w:sz w:val="18"/>
                <w:szCs w:val="18"/>
              </w:rPr>
            </w:pPr>
            <w:r>
              <w:rPr>
                <w:color w:val="000000"/>
                <w:sz w:val="18"/>
                <w:szCs w:val="18"/>
              </w:rPr>
              <w:t> </w:t>
            </w:r>
          </w:p>
        </w:tc>
        <w:tc>
          <w:tcPr>
            <w:tcW w:w="1658" w:type="dxa"/>
            <w:hideMark/>
          </w:tcPr>
          <w:p w:rsidR="00342E9A" w:rsidP="004D6F82" w14:paraId="184AD88C" w14:textId="77777777">
            <w:pPr>
              <w:jc w:val="right"/>
              <w:rPr>
                <w:color w:val="000000"/>
                <w:sz w:val="18"/>
                <w:szCs w:val="18"/>
              </w:rPr>
            </w:pPr>
            <w:r>
              <w:rPr>
                <w:color w:val="000000"/>
                <w:sz w:val="18"/>
                <w:szCs w:val="18"/>
              </w:rPr>
              <w:t>3,519</w:t>
            </w:r>
          </w:p>
        </w:tc>
        <w:tc>
          <w:tcPr>
            <w:tcW w:w="1273" w:type="dxa"/>
            <w:hideMark/>
          </w:tcPr>
          <w:p w:rsidR="00342E9A" w:rsidP="004D6F82" w14:paraId="0A62212B" w14:textId="77777777">
            <w:pPr>
              <w:jc w:val="right"/>
              <w:rPr>
                <w:color w:val="000000"/>
                <w:sz w:val="18"/>
                <w:szCs w:val="18"/>
              </w:rPr>
            </w:pPr>
            <w:r>
              <w:rPr>
                <w:color w:val="000000"/>
                <w:sz w:val="18"/>
                <w:szCs w:val="18"/>
              </w:rPr>
              <w:t>3,812</w:t>
            </w:r>
          </w:p>
        </w:tc>
        <w:tc>
          <w:tcPr>
            <w:tcW w:w="1236" w:type="dxa"/>
            <w:hideMark/>
          </w:tcPr>
          <w:p w:rsidR="00342E9A" w:rsidP="004D6F82" w14:paraId="719F2BD6" w14:textId="77777777">
            <w:pPr>
              <w:jc w:val="right"/>
              <w:rPr>
                <w:color w:val="000000"/>
                <w:sz w:val="18"/>
                <w:szCs w:val="18"/>
              </w:rPr>
            </w:pPr>
            <w:r>
              <w:rPr>
                <w:color w:val="000000"/>
                <w:sz w:val="18"/>
                <w:szCs w:val="18"/>
              </w:rPr>
              <w:t>293</w:t>
            </w:r>
          </w:p>
        </w:tc>
      </w:tr>
      <w:tr w14:paraId="108A27F3" w14:textId="77777777" w:rsidTr="00342E9A">
        <w:tblPrEx>
          <w:tblW w:w="10339" w:type="dxa"/>
          <w:tblInd w:w="-545" w:type="dxa"/>
          <w:tblLook w:val="04A0"/>
        </w:tblPrEx>
        <w:trPr>
          <w:trHeight w:val="972"/>
        </w:trPr>
        <w:tc>
          <w:tcPr>
            <w:tcW w:w="1952" w:type="dxa"/>
            <w:hideMark/>
          </w:tcPr>
          <w:p w:rsidR="00342E9A" w14:paraId="755B8D49" w14:textId="77777777">
            <w:pPr>
              <w:rPr>
                <w:color w:val="000000"/>
                <w:sz w:val="18"/>
                <w:szCs w:val="18"/>
              </w:rPr>
            </w:pPr>
            <w:r>
              <w:rPr>
                <w:color w:val="000000"/>
                <w:sz w:val="18"/>
                <w:szCs w:val="18"/>
              </w:rPr>
              <w:t xml:space="preserve">Flood Insurance Cancellation / Nullification Request Form / FEMA Form FF-206-FY-21-118 (formerly 086-0-2) </w:t>
            </w:r>
          </w:p>
        </w:tc>
        <w:tc>
          <w:tcPr>
            <w:tcW w:w="1828" w:type="dxa"/>
            <w:hideMark/>
          </w:tcPr>
          <w:p w:rsidR="00342E9A" w14:paraId="54482873" w14:textId="77777777">
            <w:pPr>
              <w:jc w:val="center"/>
              <w:rPr>
                <w:color w:val="000000"/>
                <w:sz w:val="18"/>
                <w:szCs w:val="18"/>
              </w:rPr>
            </w:pPr>
            <w:r>
              <w:rPr>
                <w:color w:val="000000"/>
                <w:sz w:val="18"/>
                <w:szCs w:val="18"/>
              </w:rPr>
              <w:t> </w:t>
            </w:r>
          </w:p>
        </w:tc>
        <w:tc>
          <w:tcPr>
            <w:tcW w:w="1156" w:type="dxa"/>
            <w:hideMark/>
          </w:tcPr>
          <w:p w:rsidR="00342E9A" w14:paraId="6F44A927" w14:textId="77777777">
            <w:pPr>
              <w:jc w:val="center"/>
              <w:rPr>
                <w:color w:val="000000"/>
                <w:sz w:val="18"/>
                <w:szCs w:val="18"/>
              </w:rPr>
            </w:pPr>
            <w:r>
              <w:rPr>
                <w:color w:val="000000"/>
                <w:sz w:val="18"/>
                <w:szCs w:val="18"/>
              </w:rPr>
              <w:t> </w:t>
            </w:r>
          </w:p>
        </w:tc>
        <w:tc>
          <w:tcPr>
            <w:tcW w:w="1236" w:type="dxa"/>
            <w:hideMark/>
          </w:tcPr>
          <w:p w:rsidR="00342E9A" w14:paraId="381A3428" w14:textId="77777777">
            <w:pPr>
              <w:jc w:val="center"/>
              <w:rPr>
                <w:color w:val="000000"/>
                <w:sz w:val="18"/>
                <w:szCs w:val="18"/>
              </w:rPr>
            </w:pPr>
            <w:r>
              <w:rPr>
                <w:color w:val="000000"/>
                <w:sz w:val="18"/>
                <w:szCs w:val="18"/>
              </w:rPr>
              <w:t> </w:t>
            </w:r>
          </w:p>
        </w:tc>
        <w:tc>
          <w:tcPr>
            <w:tcW w:w="1658" w:type="dxa"/>
            <w:hideMark/>
          </w:tcPr>
          <w:p w:rsidR="00342E9A" w:rsidP="004D6F82" w14:paraId="604FA717" w14:textId="77777777">
            <w:pPr>
              <w:jc w:val="right"/>
              <w:rPr>
                <w:color w:val="000000"/>
                <w:sz w:val="18"/>
                <w:szCs w:val="18"/>
              </w:rPr>
            </w:pPr>
            <w:r>
              <w:rPr>
                <w:color w:val="000000"/>
                <w:sz w:val="18"/>
                <w:szCs w:val="18"/>
              </w:rPr>
              <w:t>3,871</w:t>
            </w:r>
          </w:p>
        </w:tc>
        <w:tc>
          <w:tcPr>
            <w:tcW w:w="1273" w:type="dxa"/>
            <w:hideMark/>
          </w:tcPr>
          <w:p w:rsidR="00342E9A" w:rsidP="004D6F82" w14:paraId="6AC9FEE9" w14:textId="77777777">
            <w:pPr>
              <w:jc w:val="right"/>
              <w:rPr>
                <w:color w:val="000000"/>
                <w:sz w:val="18"/>
                <w:szCs w:val="18"/>
              </w:rPr>
            </w:pPr>
            <w:r>
              <w:rPr>
                <w:color w:val="000000"/>
                <w:sz w:val="18"/>
                <w:szCs w:val="18"/>
              </w:rPr>
              <w:t>4,645</w:t>
            </w:r>
          </w:p>
        </w:tc>
        <w:tc>
          <w:tcPr>
            <w:tcW w:w="1236" w:type="dxa"/>
            <w:hideMark/>
          </w:tcPr>
          <w:p w:rsidR="00342E9A" w:rsidP="004D6F82" w14:paraId="62451D83" w14:textId="77777777">
            <w:pPr>
              <w:jc w:val="right"/>
              <w:rPr>
                <w:color w:val="000000"/>
                <w:sz w:val="18"/>
                <w:szCs w:val="18"/>
              </w:rPr>
            </w:pPr>
            <w:r>
              <w:rPr>
                <w:color w:val="000000"/>
                <w:sz w:val="18"/>
                <w:szCs w:val="18"/>
              </w:rPr>
              <w:t>774</w:t>
            </w:r>
          </w:p>
        </w:tc>
      </w:tr>
      <w:tr w14:paraId="40D3D9C6" w14:textId="77777777" w:rsidTr="00342E9A">
        <w:tblPrEx>
          <w:tblW w:w="10339" w:type="dxa"/>
          <w:tblInd w:w="-545" w:type="dxa"/>
          <w:tblLook w:val="04A0"/>
        </w:tblPrEx>
        <w:trPr>
          <w:trHeight w:val="972"/>
        </w:trPr>
        <w:tc>
          <w:tcPr>
            <w:tcW w:w="1952" w:type="dxa"/>
            <w:hideMark/>
          </w:tcPr>
          <w:p w:rsidR="00342E9A" w14:paraId="1F2B4456" w14:textId="77777777">
            <w:pPr>
              <w:rPr>
                <w:color w:val="000000"/>
                <w:sz w:val="18"/>
                <w:szCs w:val="18"/>
              </w:rPr>
            </w:pPr>
            <w:r>
              <w:rPr>
                <w:color w:val="000000"/>
                <w:sz w:val="18"/>
                <w:szCs w:val="18"/>
              </w:rPr>
              <w:t>Flood Insurance General Change Endorsement / FEMA Form FF-206-FY-21-119 (formerly 086-0-3)</w:t>
            </w:r>
          </w:p>
        </w:tc>
        <w:tc>
          <w:tcPr>
            <w:tcW w:w="1828" w:type="dxa"/>
            <w:hideMark/>
          </w:tcPr>
          <w:p w:rsidR="00342E9A" w14:paraId="59E94D6A" w14:textId="77777777">
            <w:pPr>
              <w:jc w:val="center"/>
              <w:rPr>
                <w:color w:val="000000"/>
                <w:sz w:val="18"/>
                <w:szCs w:val="18"/>
              </w:rPr>
            </w:pPr>
            <w:r>
              <w:rPr>
                <w:color w:val="000000"/>
                <w:sz w:val="18"/>
                <w:szCs w:val="18"/>
              </w:rPr>
              <w:t> </w:t>
            </w:r>
          </w:p>
        </w:tc>
        <w:tc>
          <w:tcPr>
            <w:tcW w:w="1156" w:type="dxa"/>
            <w:hideMark/>
          </w:tcPr>
          <w:p w:rsidR="00342E9A" w14:paraId="664BC1DC" w14:textId="77777777">
            <w:pPr>
              <w:jc w:val="center"/>
              <w:rPr>
                <w:color w:val="000000"/>
                <w:sz w:val="18"/>
                <w:szCs w:val="18"/>
              </w:rPr>
            </w:pPr>
            <w:r>
              <w:rPr>
                <w:color w:val="000000"/>
                <w:sz w:val="18"/>
                <w:szCs w:val="18"/>
              </w:rPr>
              <w:t> </w:t>
            </w:r>
          </w:p>
        </w:tc>
        <w:tc>
          <w:tcPr>
            <w:tcW w:w="1236" w:type="dxa"/>
            <w:hideMark/>
          </w:tcPr>
          <w:p w:rsidR="00342E9A" w14:paraId="0358F369" w14:textId="77777777">
            <w:pPr>
              <w:jc w:val="center"/>
              <w:rPr>
                <w:color w:val="000000"/>
                <w:sz w:val="18"/>
                <w:szCs w:val="18"/>
              </w:rPr>
            </w:pPr>
            <w:r>
              <w:rPr>
                <w:color w:val="000000"/>
                <w:sz w:val="18"/>
                <w:szCs w:val="18"/>
              </w:rPr>
              <w:t> </w:t>
            </w:r>
          </w:p>
        </w:tc>
        <w:tc>
          <w:tcPr>
            <w:tcW w:w="1658" w:type="dxa"/>
            <w:hideMark/>
          </w:tcPr>
          <w:p w:rsidR="00342E9A" w:rsidP="004D6F82" w14:paraId="067EB87F" w14:textId="77777777">
            <w:pPr>
              <w:jc w:val="right"/>
              <w:rPr>
                <w:color w:val="000000"/>
                <w:sz w:val="18"/>
                <w:szCs w:val="18"/>
              </w:rPr>
            </w:pPr>
            <w:r>
              <w:rPr>
                <w:color w:val="000000"/>
                <w:sz w:val="18"/>
                <w:szCs w:val="18"/>
              </w:rPr>
              <w:t>48,595</w:t>
            </w:r>
          </w:p>
        </w:tc>
        <w:tc>
          <w:tcPr>
            <w:tcW w:w="1273" w:type="dxa"/>
            <w:hideMark/>
          </w:tcPr>
          <w:p w:rsidR="00342E9A" w:rsidP="004D6F82" w14:paraId="4678A033" w14:textId="77777777">
            <w:pPr>
              <w:jc w:val="right"/>
              <w:rPr>
                <w:color w:val="000000"/>
                <w:sz w:val="18"/>
                <w:szCs w:val="18"/>
              </w:rPr>
            </w:pPr>
            <w:r>
              <w:rPr>
                <w:color w:val="000000"/>
                <w:sz w:val="18"/>
                <w:szCs w:val="18"/>
              </w:rPr>
              <w:t>43,171</w:t>
            </w:r>
          </w:p>
        </w:tc>
        <w:tc>
          <w:tcPr>
            <w:tcW w:w="1236" w:type="dxa"/>
            <w:hideMark/>
          </w:tcPr>
          <w:p w:rsidR="00342E9A" w:rsidP="004D6F82" w14:paraId="1CA6A9FC" w14:textId="77777777">
            <w:pPr>
              <w:jc w:val="right"/>
              <w:rPr>
                <w:color w:val="000000"/>
                <w:sz w:val="18"/>
                <w:szCs w:val="18"/>
              </w:rPr>
            </w:pPr>
            <w:r>
              <w:rPr>
                <w:color w:val="000000"/>
                <w:sz w:val="18"/>
                <w:szCs w:val="18"/>
              </w:rPr>
              <w:t>-5,424</w:t>
            </w:r>
          </w:p>
        </w:tc>
      </w:tr>
      <w:tr w14:paraId="5F61F500" w14:textId="77777777" w:rsidTr="00E22143">
        <w:tblPrEx>
          <w:tblW w:w="10339" w:type="dxa"/>
          <w:tblInd w:w="-545" w:type="dxa"/>
          <w:tblLook w:val="04A0"/>
        </w:tblPrEx>
        <w:trPr>
          <w:trHeight w:val="732"/>
        </w:trPr>
        <w:tc>
          <w:tcPr>
            <w:tcW w:w="1952" w:type="dxa"/>
            <w:hideMark/>
          </w:tcPr>
          <w:p w:rsidR="00342E9A" w14:paraId="1A5667BC" w14:textId="77777777">
            <w:pPr>
              <w:rPr>
                <w:color w:val="000000"/>
                <w:sz w:val="18"/>
                <w:szCs w:val="18"/>
              </w:rPr>
            </w:pPr>
            <w:r>
              <w:rPr>
                <w:color w:val="000000"/>
                <w:sz w:val="18"/>
                <w:szCs w:val="18"/>
              </w:rPr>
              <w:t xml:space="preserve">Flood Insurance Preferred Risk Policy Application / FEMA Form 086-0-5T </w:t>
            </w:r>
          </w:p>
        </w:tc>
        <w:tc>
          <w:tcPr>
            <w:tcW w:w="1828" w:type="dxa"/>
            <w:tcBorders>
              <w:bottom w:val="single" w:sz="4" w:space="0" w:color="auto"/>
            </w:tcBorders>
            <w:hideMark/>
          </w:tcPr>
          <w:p w:rsidR="00342E9A" w:rsidP="004D6F82" w14:paraId="7FD652DC" w14:textId="77777777">
            <w:pPr>
              <w:jc w:val="right"/>
              <w:rPr>
                <w:color w:val="000000"/>
                <w:sz w:val="18"/>
                <w:szCs w:val="18"/>
              </w:rPr>
            </w:pPr>
            <w:r>
              <w:rPr>
                <w:color w:val="000000"/>
                <w:sz w:val="18"/>
                <w:szCs w:val="18"/>
              </w:rPr>
              <w:t>6,211</w:t>
            </w:r>
          </w:p>
        </w:tc>
        <w:tc>
          <w:tcPr>
            <w:tcW w:w="1156" w:type="dxa"/>
            <w:tcBorders>
              <w:bottom w:val="single" w:sz="4" w:space="0" w:color="auto"/>
            </w:tcBorders>
            <w:hideMark/>
          </w:tcPr>
          <w:p w:rsidR="00342E9A" w:rsidP="004D6F82" w14:paraId="5C35D1A2" w14:textId="77777777">
            <w:pPr>
              <w:jc w:val="right"/>
              <w:rPr>
                <w:color w:val="000000"/>
                <w:sz w:val="18"/>
                <w:szCs w:val="18"/>
              </w:rPr>
            </w:pPr>
            <w:r>
              <w:rPr>
                <w:color w:val="000000"/>
                <w:sz w:val="18"/>
                <w:szCs w:val="18"/>
              </w:rPr>
              <w:t>0</w:t>
            </w:r>
          </w:p>
        </w:tc>
        <w:tc>
          <w:tcPr>
            <w:tcW w:w="1236" w:type="dxa"/>
            <w:tcBorders>
              <w:bottom w:val="single" w:sz="4" w:space="0" w:color="auto"/>
            </w:tcBorders>
            <w:hideMark/>
          </w:tcPr>
          <w:p w:rsidR="00342E9A" w:rsidP="004D6F82" w14:paraId="17B81CAE" w14:textId="10423A6D">
            <w:pPr>
              <w:jc w:val="right"/>
              <w:rPr>
                <w:color w:val="000000"/>
                <w:sz w:val="18"/>
                <w:szCs w:val="18"/>
              </w:rPr>
            </w:pPr>
            <w:r>
              <w:rPr>
                <w:color w:val="000000"/>
                <w:sz w:val="18"/>
                <w:szCs w:val="18"/>
              </w:rPr>
              <w:t>-6,21</w:t>
            </w:r>
            <w:r w:rsidR="00E22143">
              <w:rPr>
                <w:color w:val="000000"/>
                <w:sz w:val="18"/>
                <w:szCs w:val="18"/>
              </w:rPr>
              <w:t>1</w:t>
            </w:r>
          </w:p>
        </w:tc>
        <w:tc>
          <w:tcPr>
            <w:tcW w:w="1658" w:type="dxa"/>
            <w:tcBorders>
              <w:bottom w:val="single" w:sz="4" w:space="0" w:color="auto"/>
            </w:tcBorders>
            <w:hideMark/>
          </w:tcPr>
          <w:p w:rsidR="00342E9A" w14:paraId="0D30F71C" w14:textId="77777777">
            <w:pPr>
              <w:jc w:val="center"/>
              <w:rPr>
                <w:color w:val="000000"/>
                <w:sz w:val="18"/>
                <w:szCs w:val="18"/>
              </w:rPr>
            </w:pPr>
            <w:r>
              <w:rPr>
                <w:color w:val="000000"/>
                <w:sz w:val="18"/>
                <w:szCs w:val="18"/>
              </w:rPr>
              <w:t> </w:t>
            </w:r>
          </w:p>
        </w:tc>
        <w:tc>
          <w:tcPr>
            <w:tcW w:w="1273" w:type="dxa"/>
            <w:tcBorders>
              <w:bottom w:val="single" w:sz="4" w:space="0" w:color="auto"/>
            </w:tcBorders>
            <w:hideMark/>
          </w:tcPr>
          <w:p w:rsidR="00342E9A" w14:paraId="2A84B3FB" w14:textId="77777777">
            <w:pPr>
              <w:jc w:val="center"/>
              <w:rPr>
                <w:color w:val="000000"/>
                <w:sz w:val="18"/>
                <w:szCs w:val="18"/>
              </w:rPr>
            </w:pPr>
            <w:r>
              <w:rPr>
                <w:color w:val="000000"/>
                <w:sz w:val="18"/>
                <w:szCs w:val="18"/>
              </w:rPr>
              <w:t> </w:t>
            </w:r>
          </w:p>
        </w:tc>
        <w:tc>
          <w:tcPr>
            <w:tcW w:w="1236" w:type="dxa"/>
            <w:tcBorders>
              <w:bottom w:val="single" w:sz="4" w:space="0" w:color="auto"/>
            </w:tcBorders>
            <w:hideMark/>
          </w:tcPr>
          <w:p w:rsidR="00342E9A" w14:paraId="3FF9709C" w14:textId="77777777">
            <w:pPr>
              <w:jc w:val="center"/>
              <w:rPr>
                <w:color w:val="000000"/>
                <w:sz w:val="18"/>
                <w:szCs w:val="18"/>
              </w:rPr>
            </w:pPr>
            <w:r>
              <w:rPr>
                <w:color w:val="000000"/>
                <w:sz w:val="18"/>
                <w:szCs w:val="18"/>
              </w:rPr>
              <w:t> </w:t>
            </w:r>
          </w:p>
        </w:tc>
      </w:tr>
      <w:bookmarkEnd w:id="16"/>
      <w:tr w14:paraId="3D84E6F6" w14:textId="77777777" w:rsidTr="00E22143">
        <w:tblPrEx>
          <w:tblW w:w="10339" w:type="dxa"/>
          <w:tblInd w:w="-545" w:type="dxa"/>
          <w:tblLook w:val="04A0"/>
        </w:tblPrEx>
        <w:tc>
          <w:tcPr>
            <w:tcW w:w="1952" w:type="dxa"/>
            <w:vAlign w:val="center"/>
          </w:tcPr>
          <w:p w:rsidR="00E22143" w:rsidRPr="008D1279" w:rsidP="00E22143" w14:paraId="5643C33B" w14:textId="77777777">
            <w:pPr>
              <w:rPr>
                <w:b/>
                <w:sz w:val="20"/>
                <w:szCs w:val="20"/>
              </w:rPr>
            </w:pPr>
            <w:r w:rsidRPr="008D1279">
              <w:rPr>
                <w:b/>
                <w:sz w:val="20"/>
                <w:szCs w:val="20"/>
              </w:rPr>
              <w:t>Total</w:t>
            </w:r>
          </w:p>
        </w:tc>
        <w:tc>
          <w:tcPr>
            <w:tcW w:w="1828" w:type="dxa"/>
            <w:tcBorders>
              <w:top w:val="single" w:sz="4" w:space="0" w:color="auto"/>
              <w:left w:val="nil"/>
              <w:bottom w:val="single" w:sz="4" w:space="0" w:color="auto"/>
              <w:right w:val="single" w:sz="4" w:space="0" w:color="auto"/>
            </w:tcBorders>
            <w:shd w:val="clear" w:color="auto" w:fill="auto"/>
            <w:vAlign w:val="center"/>
          </w:tcPr>
          <w:p w:rsidR="00E22143" w:rsidRPr="008D1279" w:rsidP="004D6F82" w14:paraId="00A59FE1" w14:textId="5EFB15CE">
            <w:pPr>
              <w:jc w:val="right"/>
              <w:rPr>
                <w:sz w:val="20"/>
                <w:szCs w:val="20"/>
              </w:rPr>
            </w:pPr>
            <w:r>
              <w:rPr>
                <w:b/>
                <w:bCs/>
                <w:color w:val="000000"/>
                <w:sz w:val="18"/>
                <w:szCs w:val="18"/>
              </w:rPr>
              <w:t>6,211</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E22143" w:rsidRPr="008D1279" w:rsidP="0003225F" w14:paraId="6CF32E5D" w14:textId="61805FD1">
            <w:pPr>
              <w:jc w:val="right"/>
              <w:rPr>
                <w:sz w:val="20"/>
                <w:szCs w:val="20"/>
              </w:rPr>
            </w:pPr>
            <w:r>
              <w:rPr>
                <w:b/>
                <w:bCs/>
                <w:color w:val="000000"/>
                <w:sz w:val="18"/>
                <w:szCs w:val="18"/>
              </w:rPr>
              <w:t>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E22143" w:rsidRPr="008D1279" w:rsidP="00696913" w14:paraId="48468565" w14:textId="14E8C8EB">
            <w:pPr>
              <w:jc w:val="right"/>
              <w:rPr>
                <w:sz w:val="20"/>
                <w:szCs w:val="20"/>
              </w:rPr>
            </w:pPr>
            <w:r>
              <w:rPr>
                <w:b/>
                <w:bCs/>
                <w:color w:val="000000"/>
                <w:sz w:val="18"/>
                <w:szCs w:val="18"/>
              </w:rPr>
              <w:t>-6,211</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E22143" w:rsidRPr="008D1279" w:rsidP="00E22143" w14:paraId="54785060" w14:textId="417099BE">
            <w:pPr>
              <w:jc w:val="right"/>
              <w:rPr>
                <w:sz w:val="20"/>
                <w:szCs w:val="20"/>
              </w:rPr>
            </w:pPr>
            <w:r>
              <w:rPr>
                <w:b/>
                <w:bCs/>
                <w:color w:val="000000"/>
                <w:sz w:val="18"/>
                <w:szCs w:val="18"/>
              </w:rPr>
              <w:t>55,985</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E22143" w:rsidRPr="008D1279" w:rsidP="00E22143" w14:paraId="26B0672A" w14:textId="17C6D49C">
            <w:pPr>
              <w:jc w:val="right"/>
              <w:rPr>
                <w:sz w:val="20"/>
                <w:szCs w:val="20"/>
              </w:rPr>
            </w:pPr>
            <w:r>
              <w:rPr>
                <w:b/>
                <w:bCs/>
                <w:color w:val="000000"/>
                <w:sz w:val="18"/>
                <w:szCs w:val="18"/>
              </w:rPr>
              <w:t>51,628</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E22143" w:rsidRPr="008D1279" w:rsidP="00E22143" w14:paraId="58728C80" w14:textId="41D71C32">
            <w:pPr>
              <w:jc w:val="right"/>
              <w:rPr>
                <w:sz w:val="20"/>
                <w:szCs w:val="20"/>
              </w:rPr>
            </w:pPr>
            <w:r>
              <w:rPr>
                <w:b/>
                <w:bCs/>
                <w:color w:val="000000"/>
                <w:sz w:val="18"/>
                <w:szCs w:val="18"/>
              </w:rPr>
              <w:t>-4,357</w:t>
            </w:r>
          </w:p>
        </w:tc>
      </w:tr>
      <w:bookmarkEnd w:id="15"/>
    </w:tbl>
    <w:p w:rsidR="00722300" w:rsidRPr="00E94A13" w:rsidP="00F35F4F" w14:paraId="58F245B9" w14:textId="77777777">
      <w:pPr>
        <w:spacing w:line="276" w:lineRule="auto"/>
        <w:contextualSpacing/>
        <w:rPr>
          <w:b/>
          <w:bCs/>
          <w:i/>
        </w:rPr>
      </w:pPr>
    </w:p>
    <w:p w:rsidR="00F611A9" w:rsidRPr="00E94A13" w:rsidP="00F35F4F" w14:paraId="737EB3F0" w14:textId="13E0B419">
      <w:pPr>
        <w:spacing w:line="276" w:lineRule="auto"/>
        <w:contextualSpacing/>
        <w:rPr>
          <w:bCs/>
        </w:rPr>
      </w:pPr>
      <w:r w:rsidRPr="00E94A13">
        <w:rPr>
          <w:b/>
          <w:bCs/>
          <w:i/>
        </w:rPr>
        <w:t>Explain</w:t>
      </w:r>
      <w:r w:rsidRPr="00E94A13" w:rsidR="0046759A">
        <w:rPr>
          <w:b/>
          <w:bCs/>
          <w:i/>
        </w:rPr>
        <w:t>:</w:t>
      </w:r>
      <w:r w:rsidRPr="00E94A13" w:rsidR="0005464D">
        <w:rPr>
          <w:bCs/>
        </w:rPr>
        <w:t xml:space="preserve">  </w:t>
      </w:r>
      <w:r w:rsidRPr="00E94A13" w:rsidR="00495531">
        <w:rPr>
          <w:bCs/>
        </w:rPr>
        <w:t xml:space="preserve">FEMA Form </w:t>
      </w:r>
      <w:r w:rsidRPr="00E94A13" w:rsidR="009A2011">
        <w:rPr>
          <w:bCs/>
        </w:rPr>
        <w:t>FF-206-FY-21-117 (formerly 086-0-1)</w:t>
      </w:r>
      <w:r w:rsidRPr="00E94A13" w:rsidR="009A2011">
        <w:rPr>
          <w:bCs/>
        </w:rPr>
        <w:t xml:space="preserve"> </w:t>
      </w:r>
      <w:r w:rsidRPr="00E94A13" w:rsidR="00495531">
        <w:rPr>
          <w:bCs/>
        </w:rPr>
        <w:t xml:space="preserve">(Application) – </w:t>
      </w:r>
      <w:r w:rsidR="00066229">
        <w:rPr>
          <w:bCs/>
        </w:rPr>
        <w:t xml:space="preserve">Incorporates </w:t>
      </w:r>
      <w:r w:rsidR="00F80040">
        <w:rPr>
          <w:bCs/>
        </w:rPr>
        <w:t xml:space="preserve">the burden hours formerly associated with </w:t>
      </w:r>
      <w:r w:rsidR="000559BD">
        <w:rPr>
          <w:bCs/>
        </w:rPr>
        <w:t xml:space="preserve">temporary </w:t>
      </w:r>
      <w:r w:rsidR="00F80040">
        <w:rPr>
          <w:bCs/>
        </w:rPr>
        <w:t>FEMA Form 086-0-1/T</w:t>
      </w:r>
      <w:r w:rsidR="00CC7013">
        <w:rPr>
          <w:bCs/>
        </w:rPr>
        <w:t>, which is no longer in use</w:t>
      </w:r>
      <w:r w:rsidR="00DD24C3">
        <w:rPr>
          <w:bCs/>
        </w:rPr>
        <w:t>, but its burden hours remain associated with the current form</w:t>
      </w:r>
      <w:r w:rsidR="00F80040">
        <w:rPr>
          <w:bCs/>
        </w:rPr>
        <w:t>.</w:t>
      </w:r>
      <w:r w:rsidR="0078566D">
        <w:rPr>
          <w:bCs/>
        </w:rPr>
        <w:t xml:space="preserve"> The burden hours increase</w:t>
      </w:r>
      <w:r w:rsidR="006422ED">
        <w:rPr>
          <w:bCs/>
        </w:rPr>
        <w:t>d</w:t>
      </w:r>
      <w:r w:rsidR="0078566D">
        <w:rPr>
          <w:bCs/>
        </w:rPr>
        <w:t xml:space="preserve"> by 293 </w:t>
      </w:r>
      <w:r w:rsidR="00DF1FAD">
        <w:rPr>
          <w:bCs/>
        </w:rPr>
        <w:t>based on the Usability Testing results</w:t>
      </w:r>
      <w:r w:rsidR="00F226C3">
        <w:rPr>
          <w:bCs/>
        </w:rPr>
        <w:t xml:space="preserve"> and correction of errors in the burden estimates</w:t>
      </w:r>
      <w:r w:rsidR="006F06B5">
        <w:rPr>
          <w:bCs/>
        </w:rPr>
        <w:t xml:space="preserve"> (3,812 – 3,519 = 293)</w:t>
      </w:r>
      <w:r w:rsidR="00DF1FAD">
        <w:rPr>
          <w:bCs/>
        </w:rPr>
        <w:t>.</w:t>
      </w:r>
    </w:p>
    <w:p w:rsidR="00495531" w:rsidRPr="00E94A13" w:rsidP="00F35F4F" w14:paraId="79B8BCFD" w14:textId="28DC2421">
      <w:pPr>
        <w:spacing w:line="276" w:lineRule="auto"/>
        <w:contextualSpacing/>
        <w:rPr>
          <w:bCs/>
        </w:rPr>
      </w:pPr>
    </w:p>
    <w:p w:rsidR="00DF1FAD" w:rsidRPr="00DF1FAD" w:rsidP="00DF1FAD" w14:paraId="3E5FBE47" w14:textId="2E69E578">
      <w:pPr>
        <w:spacing w:line="276" w:lineRule="auto"/>
        <w:contextualSpacing/>
        <w:rPr>
          <w:bCs/>
        </w:rPr>
      </w:pPr>
      <w:r w:rsidRPr="00E94A13">
        <w:rPr>
          <w:bCs/>
        </w:rPr>
        <w:t xml:space="preserve">FEMA Form </w:t>
      </w:r>
      <w:r w:rsidRPr="00E94A13" w:rsidR="00A466AD">
        <w:rPr>
          <w:bCs/>
        </w:rPr>
        <w:t>FF-206-FY-21-118 (formerly 086-0-2)</w:t>
      </w:r>
      <w:r w:rsidRPr="00E94A13" w:rsidR="00A466AD">
        <w:rPr>
          <w:bCs/>
        </w:rPr>
        <w:t xml:space="preserve"> </w:t>
      </w:r>
      <w:r w:rsidRPr="00E94A13">
        <w:rPr>
          <w:bCs/>
        </w:rPr>
        <w:t xml:space="preserve">(Cancellation) – </w:t>
      </w:r>
      <w:r w:rsidR="006422ED">
        <w:rPr>
          <w:bCs/>
        </w:rPr>
        <w:t xml:space="preserve">Incorporates </w:t>
      </w:r>
      <w:r w:rsidR="00F80040">
        <w:rPr>
          <w:bCs/>
        </w:rPr>
        <w:t xml:space="preserve">the burden hours formerly associated with </w:t>
      </w:r>
      <w:r w:rsidR="000559BD">
        <w:rPr>
          <w:bCs/>
        </w:rPr>
        <w:t xml:space="preserve">temporary </w:t>
      </w:r>
      <w:r w:rsidR="00F80040">
        <w:rPr>
          <w:bCs/>
        </w:rPr>
        <w:t>FEMA Form 086-0-2/T</w:t>
      </w:r>
      <w:r w:rsidR="00DD24C3">
        <w:rPr>
          <w:bCs/>
        </w:rPr>
        <w:t xml:space="preserve">, </w:t>
      </w:r>
      <w:r w:rsidRPr="00DD24C3" w:rsidR="00DD24C3">
        <w:rPr>
          <w:bCs/>
        </w:rPr>
        <w:t>which is no longer in use, but its burden hours remain associated with the current form</w:t>
      </w:r>
      <w:r w:rsidR="00F80040">
        <w:rPr>
          <w:bCs/>
        </w:rPr>
        <w:t>.</w:t>
      </w:r>
      <w:r w:rsidRPr="00E94A13" w:rsidR="00B7513C">
        <w:rPr>
          <w:bCs/>
        </w:rPr>
        <w:t xml:space="preserve"> </w:t>
      </w:r>
      <w:r w:rsidR="00276A95">
        <w:rPr>
          <w:bCs/>
        </w:rPr>
        <w:t xml:space="preserve"> </w:t>
      </w:r>
      <w:r w:rsidRPr="00DF1FAD">
        <w:rPr>
          <w:bCs/>
        </w:rPr>
        <w:t>The burden hours increase</w:t>
      </w:r>
      <w:r w:rsidR="00FF4D8C">
        <w:rPr>
          <w:bCs/>
        </w:rPr>
        <w:t>d</w:t>
      </w:r>
      <w:r w:rsidRPr="00DF1FAD">
        <w:rPr>
          <w:bCs/>
        </w:rPr>
        <w:t xml:space="preserve"> by </w:t>
      </w:r>
      <w:r>
        <w:rPr>
          <w:bCs/>
        </w:rPr>
        <w:t>774</w:t>
      </w:r>
      <w:r w:rsidRPr="00DF1FAD">
        <w:rPr>
          <w:bCs/>
        </w:rPr>
        <w:t xml:space="preserve"> based on the Usability Testing results</w:t>
      </w:r>
      <w:r w:rsidR="00F226C3">
        <w:rPr>
          <w:bCs/>
        </w:rPr>
        <w:t xml:space="preserve"> and correction of errors in the burden estimates</w:t>
      </w:r>
      <w:r w:rsidR="006F06B5">
        <w:rPr>
          <w:bCs/>
        </w:rPr>
        <w:t xml:space="preserve"> (4,645 – 3,871 = 774)</w:t>
      </w:r>
      <w:r w:rsidRPr="00DF1FAD">
        <w:rPr>
          <w:bCs/>
        </w:rPr>
        <w:t>.</w:t>
      </w:r>
    </w:p>
    <w:p w:rsidR="00495531" w:rsidRPr="00E94A13" w:rsidP="00F35F4F" w14:paraId="4385AF52" w14:textId="77777777">
      <w:pPr>
        <w:spacing w:line="276" w:lineRule="auto"/>
        <w:contextualSpacing/>
        <w:rPr>
          <w:b/>
          <w:bCs/>
          <w:highlight w:val="yellow"/>
        </w:rPr>
      </w:pPr>
    </w:p>
    <w:p w:rsidR="00495531" w:rsidRPr="00E94A13" w:rsidP="00F35F4F" w14:paraId="7AA3B2A7" w14:textId="107076AA">
      <w:pPr>
        <w:spacing w:line="276" w:lineRule="auto"/>
        <w:contextualSpacing/>
        <w:rPr>
          <w:bCs/>
        </w:rPr>
      </w:pPr>
      <w:r w:rsidRPr="00E94A13">
        <w:rPr>
          <w:bCs/>
        </w:rPr>
        <w:t xml:space="preserve">FEMA Form </w:t>
      </w:r>
      <w:r w:rsidRPr="00E94A13" w:rsidR="00146E73">
        <w:rPr>
          <w:bCs/>
        </w:rPr>
        <w:t>FF-206-FY-21-119 (formerly 086-0-3)</w:t>
      </w:r>
      <w:r w:rsidRPr="00E94A13">
        <w:rPr>
          <w:bCs/>
        </w:rPr>
        <w:t xml:space="preserve"> (Endorsement) – </w:t>
      </w:r>
      <w:r w:rsidR="00F80040">
        <w:rPr>
          <w:bCs/>
        </w:rPr>
        <w:t xml:space="preserve">Replaces the burden hours formerly associated with </w:t>
      </w:r>
      <w:r w:rsidR="000559BD">
        <w:rPr>
          <w:bCs/>
        </w:rPr>
        <w:t xml:space="preserve">temporary </w:t>
      </w:r>
      <w:r w:rsidR="00F80040">
        <w:rPr>
          <w:bCs/>
        </w:rPr>
        <w:t>FEMA Form 086-0-3/T</w:t>
      </w:r>
      <w:r w:rsidR="00DD24C3">
        <w:rPr>
          <w:bCs/>
        </w:rPr>
        <w:t xml:space="preserve">, </w:t>
      </w:r>
      <w:r w:rsidRPr="00DD24C3" w:rsidR="00DD24C3">
        <w:rPr>
          <w:bCs/>
        </w:rPr>
        <w:t xml:space="preserve">which is no </w:t>
      </w:r>
      <w:r w:rsidRPr="00DD24C3" w:rsidR="00DD24C3">
        <w:rPr>
          <w:bCs/>
        </w:rPr>
        <w:t>longer in use, but its burden hours remain associated with the current form</w:t>
      </w:r>
      <w:r w:rsidRPr="00E94A13" w:rsidR="00484DCB">
        <w:rPr>
          <w:bCs/>
        </w:rPr>
        <w:t>.</w:t>
      </w:r>
      <w:r w:rsidRPr="00E94A13" w:rsidR="00E317DA">
        <w:rPr>
          <w:bCs/>
        </w:rPr>
        <w:t xml:space="preserve"> </w:t>
      </w:r>
      <w:r w:rsidR="0078566D">
        <w:rPr>
          <w:bCs/>
        </w:rPr>
        <w:t xml:space="preserve">The burden hours decreased </w:t>
      </w:r>
      <w:r w:rsidR="00B10012">
        <w:rPr>
          <w:bCs/>
        </w:rPr>
        <w:t xml:space="preserve">by 8,097 </w:t>
      </w:r>
      <w:r w:rsidR="00DF1FAD">
        <w:rPr>
          <w:bCs/>
        </w:rPr>
        <w:t>b</w:t>
      </w:r>
      <w:r w:rsidR="00111908">
        <w:rPr>
          <w:bCs/>
        </w:rPr>
        <w:t xml:space="preserve">ased on </w:t>
      </w:r>
      <w:r w:rsidR="00337AF9">
        <w:rPr>
          <w:bCs/>
        </w:rPr>
        <w:t xml:space="preserve">a combination of </w:t>
      </w:r>
      <w:r w:rsidR="00111908">
        <w:rPr>
          <w:bCs/>
        </w:rPr>
        <w:t>the Usability Testing results</w:t>
      </w:r>
      <w:r w:rsidR="00F226C3">
        <w:rPr>
          <w:bCs/>
        </w:rPr>
        <w:t xml:space="preserve"> and a correction of errors in the burden estimates</w:t>
      </w:r>
      <w:r w:rsidR="00111908">
        <w:rPr>
          <w:bCs/>
        </w:rPr>
        <w:t xml:space="preserve">; </w:t>
      </w:r>
      <w:r w:rsidR="00DF0345">
        <w:rPr>
          <w:bCs/>
        </w:rPr>
        <w:t xml:space="preserve">also, </w:t>
      </w:r>
      <w:r w:rsidR="0078566D">
        <w:rPr>
          <w:bCs/>
        </w:rPr>
        <w:t xml:space="preserve">a decrease in the amount of information requested </w:t>
      </w:r>
      <w:r w:rsidR="00337AF9">
        <w:rPr>
          <w:bCs/>
        </w:rPr>
        <w:t xml:space="preserve">(eliminating duplicate information) </w:t>
      </w:r>
      <w:r w:rsidR="0078566D">
        <w:rPr>
          <w:bCs/>
        </w:rPr>
        <w:t>result</w:t>
      </w:r>
      <w:r w:rsidR="00111908">
        <w:rPr>
          <w:bCs/>
        </w:rPr>
        <w:t>ed</w:t>
      </w:r>
      <w:r w:rsidR="0078566D">
        <w:rPr>
          <w:bCs/>
        </w:rPr>
        <w:t xml:space="preserve"> in less time to complete</w:t>
      </w:r>
      <w:r w:rsidR="00111908">
        <w:rPr>
          <w:bCs/>
        </w:rPr>
        <w:t xml:space="preserve"> the form</w:t>
      </w:r>
      <w:r w:rsidR="0021124A">
        <w:rPr>
          <w:bCs/>
        </w:rPr>
        <w:t xml:space="preserve"> (</w:t>
      </w:r>
      <w:r w:rsidR="00E22143">
        <w:rPr>
          <w:bCs/>
        </w:rPr>
        <w:t>43,171</w:t>
      </w:r>
      <w:r w:rsidR="0021124A">
        <w:rPr>
          <w:bCs/>
        </w:rPr>
        <w:t xml:space="preserve"> – 48,</w:t>
      </w:r>
      <w:r w:rsidR="00E22143">
        <w:rPr>
          <w:bCs/>
        </w:rPr>
        <w:t xml:space="preserve">595 </w:t>
      </w:r>
      <w:r w:rsidR="0021124A">
        <w:rPr>
          <w:bCs/>
        </w:rPr>
        <w:t>= -</w:t>
      </w:r>
      <w:r w:rsidR="00E22143">
        <w:rPr>
          <w:bCs/>
        </w:rPr>
        <w:t>5,424</w:t>
      </w:r>
      <w:r w:rsidR="0021124A">
        <w:rPr>
          <w:bCs/>
        </w:rPr>
        <w:t>)</w:t>
      </w:r>
      <w:r w:rsidR="0078566D">
        <w:rPr>
          <w:bCs/>
        </w:rPr>
        <w:t>.</w:t>
      </w:r>
    </w:p>
    <w:p w:rsidR="00495531" w:rsidRPr="00E94A13" w:rsidP="00F35F4F" w14:paraId="7509B703" w14:textId="77777777">
      <w:pPr>
        <w:spacing w:line="276" w:lineRule="auto"/>
        <w:contextualSpacing/>
        <w:rPr>
          <w:b/>
          <w:bCs/>
          <w:highlight w:val="yellow"/>
        </w:rPr>
      </w:pPr>
    </w:p>
    <w:p w:rsidR="00495531" w:rsidP="00F35F4F" w14:paraId="6A13E257" w14:textId="7F712409">
      <w:pPr>
        <w:spacing w:line="276" w:lineRule="auto"/>
        <w:contextualSpacing/>
        <w:rPr>
          <w:bCs/>
        </w:rPr>
      </w:pPr>
      <w:r w:rsidRPr="00E94A13">
        <w:rPr>
          <w:bCs/>
        </w:rPr>
        <w:t>FEMA Form 086-0-5</w:t>
      </w:r>
      <w:r w:rsidR="00F10493">
        <w:rPr>
          <w:bCs/>
        </w:rPr>
        <w:t>T</w:t>
      </w:r>
      <w:r w:rsidRPr="00E94A13">
        <w:rPr>
          <w:bCs/>
        </w:rPr>
        <w:t xml:space="preserve"> </w:t>
      </w:r>
      <w:r w:rsidRPr="00E94A13" w:rsidR="00BE4567">
        <w:rPr>
          <w:bCs/>
        </w:rPr>
        <w:t>(</w:t>
      </w:r>
      <w:r w:rsidRPr="00E94A13">
        <w:rPr>
          <w:bCs/>
        </w:rPr>
        <w:t xml:space="preserve">Preferred Risk </w:t>
      </w:r>
      <w:r w:rsidRPr="00E94A13" w:rsidR="005D1654">
        <w:rPr>
          <w:bCs/>
        </w:rPr>
        <w:t xml:space="preserve">Policy </w:t>
      </w:r>
      <w:r w:rsidRPr="00E94A13">
        <w:rPr>
          <w:bCs/>
        </w:rPr>
        <w:t xml:space="preserve">Application) – </w:t>
      </w:r>
      <w:r w:rsidRPr="00E94A13" w:rsidR="005E4790">
        <w:rPr>
          <w:bCs/>
        </w:rPr>
        <w:t xml:space="preserve">This form is </w:t>
      </w:r>
      <w:r w:rsidRPr="00E94A13" w:rsidR="00CF22DB">
        <w:rPr>
          <w:bCs/>
        </w:rPr>
        <w:t xml:space="preserve">no longer </w:t>
      </w:r>
      <w:r w:rsidRPr="00E94A13" w:rsidR="005E4790">
        <w:rPr>
          <w:bCs/>
        </w:rPr>
        <w:t xml:space="preserve">in use </w:t>
      </w:r>
      <w:r w:rsidRPr="00E94A13" w:rsidR="00DF70BE">
        <w:rPr>
          <w:bCs/>
        </w:rPr>
        <w:t xml:space="preserve">because </w:t>
      </w:r>
      <w:r w:rsidRPr="00E94A13" w:rsidR="00E90835">
        <w:rPr>
          <w:bCs/>
        </w:rPr>
        <w:t xml:space="preserve">FEMA no longer offers </w:t>
      </w:r>
      <w:r w:rsidRPr="00E94A13" w:rsidR="001B5113">
        <w:rPr>
          <w:bCs/>
        </w:rPr>
        <w:t>the</w:t>
      </w:r>
      <w:r w:rsidRPr="00E94A13" w:rsidR="00E90835">
        <w:rPr>
          <w:bCs/>
        </w:rPr>
        <w:t xml:space="preserve"> Preferred Risk Policy under the </w:t>
      </w:r>
      <w:r w:rsidRPr="00E94A13" w:rsidR="001B5113">
        <w:rPr>
          <w:bCs/>
        </w:rPr>
        <w:t>NFIP</w:t>
      </w:r>
      <w:r w:rsidRPr="00E94A13" w:rsidR="00966C90">
        <w:rPr>
          <w:bCs/>
        </w:rPr>
        <w:t xml:space="preserve"> </w:t>
      </w:r>
      <w:r w:rsidRPr="00E94A13" w:rsidR="004A1C2A">
        <w:rPr>
          <w:bCs/>
        </w:rPr>
        <w:t xml:space="preserve">Risk Rating 2.0: Equity in Action rating </w:t>
      </w:r>
      <w:r w:rsidRPr="00E94A13" w:rsidR="001B5113">
        <w:rPr>
          <w:bCs/>
        </w:rPr>
        <w:t>methodology</w:t>
      </w:r>
      <w:r w:rsidRPr="00E94A13" w:rsidR="004A1C2A">
        <w:rPr>
          <w:bCs/>
        </w:rPr>
        <w:t>.</w:t>
      </w:r>
      <w:r w:rsidRPr="00E94A13" w:rsidR="00EB4BE0">
        <w:rPr>
          <w:bCs/>
        </w:rPr>
        <w:t xml:space="preserve"> </w:t>
      </w:r>
      <w:r w:rsidRPr="00E94A13" w:rsidR="002E3881">
        <w:rPr>
          <w:bCs/>
        </w:rPr>
        <w:t xml:space="preserve"> I</w:t>
      </w:r>
      <w:r w:rsidRPr="00E94A13" w:rsidR="005E4790">
        <w:rPr>
          <w:bCs/>
        </w:rPr>
        <w:t>ts removal f</w:t>
      </w:r>
      <w:r w:rsidRPr="00E94A13" w:rsidR="004A1C2A">
        <w:rPr>
          <w:bCs/>
        </w:rPr>
        <w:t>ro</w:t>
      </w:r>
      <w:r w:rsidRPr="00E94A13" w:rsidR="005E4790">
        <w:rPr>
          <w:bCs/>
        </w:rPr>
        <w:t>m this collection reduces burden by 6,</w:t>
      </w:r>
      <w:r w:rsidRPr="00E94A13" w:rsidR="00E22143">
        <w:rPr>
          <w:bCs/>
        </w:rPr>
        <w:t>21</w:t>
      </w:r>
      <w:r w:rsidR="00E22143">
        <w:rPr>
          <w:bCs/>
        </w:rPr>
        <w:t>1</w:t>
      </w:r>
      <w:r w:rsidRPr="00E94A13" w:rsidR="00E22143">
        <w:rPr>
          <w:bCs/>
        </w:rPr>
        <w:t xml:space="preserve"> </w:t>
      </w:r>
      <w:r w:rsidRPr="00E94A13" w:rsidR="005E4790">
        <w:rPr>
          <w:bCs/>
        </w:rPr>
        <w:t>hours.</w:t>
      </w:r>
      <w:r w:rsidRPr="00E94A13" w:rsidR="001B1652">
        <w:rPr>
          <w:bCs/>
        </w:rPr>
        <w:t xml:space="preserve"> </w:t>
      </w:r>
      <w:r w:rsidR="00276A95">
        <w:rPr>
          <w:bCs/>
        </w:rPr>
        <w:t xml:space="preserve"> </w:t>
      </w:r>
      <w:r w:rsidRPr="00E94A13" w:rsidR="00724B7B">
        <w:rPr>
          <w:bCs/>
        </w:rPr>
        <w:t xml:space="preserve">The number of submitted forms </w:t>
      </w:r>
      <w:r w:rsidRPr="00E94A13" w:rsidR="00F43399">
        <w:rPr>
          <w:bCs/>
        </w:rPr>
        <w:t>decreased</w:t>
      </w:r>
      <w:r w:rsidRPr="00E94A13" w:rsidR="00724B7B">
        <w:rPr>
          <w:bCs/>
        </w:rPr>
        <w:t xml:space="preserve"> from </w:t>
      </w:r>
      <w:r w:rsidRPr="00E94A13" w:rsidR="005F7925">
        <w:rPr>
          <w:bCs/>
        </w:rPr>
        <w:t>37,259</w:t>
      </w:r>
      <w:r w:rsidRPr="00E94A13" w:rsidR="008D16DF">
        <w:rPr>
          <w:bCs/>
        </w:rPr>
        <w:t xml:space="preserve"> to 0</w:t>
      </w:r>
      <w:r w:rsidRPr="00E94A13" w:rsidR="00724B7B">
        <w:rPr>
          <w:bCs/>
        </w:rPr>
        <w:t xml:space="preserve">. </w:t>
      </w:r>
      <w:r w:rsidRPr="00E94A13" w:rsidR="00B7513C">
        <w:rPr>
          <w:bCs/>
        </w:rPr>
        <w:t xml:space="preserve"> </w:t>
      </w:r>
      <w:r w:rsidRPr="00E94A13" w:rsidR="00A77D5F">
        <w:rPr>
          <w:bCs/>
        </w:rPr>
        <w:t xml:space="preserve">The number of burden hours has </w:t>
      </w:r>
      <w:r w:rsidRPr="00E94A13" w:rsidR="008228F4">
        <w:rPr>
          <w:bCs/>
        </w:rPr>
        <w:t xml:space="preserve">decreased </w:t>
      </w:r>
      <w:r w:rsidRPr="00E94A13" w:rsidR="00A77D5F">
        <w:rPr>
          <w:bCs/>
        </w:rPr>
        <w:t xml:space="preserve">from </w:t>
      </w:r>
      <w:r w:rsidRPr="00E94A13" w:rsidR="005F7925">
        <w:rPr>
          <w:bCs/>
        </w:rPr>
        <w:t>6,</w:t>
      </w:r>
      <w:r w:rsidRPr="00E94A13" w:rsidR="00E22143">
        <w:rPr>
          <w:bCs/>
        </w:rPr>
        <w:t>21</w:t>
      </w:r>
      <w:r w:rsidR="00E22143">
        <w:rPr>
          <w:bCs/>
        </w:rPr>
        <w:t>1</w:t>
      </w:r>
      <w:r w:rsidRPr="00E94A13" w:rsidR="00E22143">
        <w:rPr>
          <w:bCs/>
        </w:rPr>
        <w:t xml:space="preserve"> </w:t>
      </w:r>
      <w:r w:rsidRPr="00E94A13" w:rsidR="001B1652">
        <w:rPr>
          <w:bCs/>
        </w:rPr>
        <w:t>to 0</w:t>
      </w:r>
      <w:r w:rsidRPr="00E94A13" w:rsidR="00A77D5F">
        <w:rPr>
          <w:bCs/>
        </w:rPr>
        <w:t>.</w:t>
      </w:r>
      <w:r w:rsidRPr="00E94A13" w:rsidR="00B7513C">
        <w:rPr>
          <w:bCs/>
        </w:rPr>
        <w:t xml:space="preserve">  </w:t>
      </w:r>
    </w:p>
    <w:p w:rsidR="00276A95" w:rsidP="00F35F4F" w14:paraId="2C011D7D" w14:textId="41D511E3">
      <w:pPr>
        <w:spacing w:line="276" w:lineRule="auto"/>
        <w:contextualSpacing/>
        <w:rPr>
          <w:bCs/>
        </w:rPr>
      </w:pPr>
    </w:p>
    <w:p w:rsidR="00276A95" w:rsidRPr="00A065B5" w:rsidP="00276A95" w14:paraId="6D892164" w14:textId="4B7973C2">
      <w:pPr>
        <w:spacing w:line="276" w:lineRule="auto"/>
        <w:contextualSpacing/>
      </w:pPr>
      <w:r>
        <w:t>In summation</w:t>
      </w:r>
      <w:r w:rsidRPr="00A065B5">
        <w:t xml:space="preserve">, a reduction of </w:t>
      </w:r>
      <w:r w:rsidR="00177980">
        <w:t>10,568</w:t>
      </w:r>
      <w:r w:rsidR="006F06B5">
        <w:t xml:space="preserve"> </w:t>
      </w:r>
      <w:r w:rsidR="00736BC4">
        <w:t>(-6,211 + -4,357)</w:t>
      </w:r>
      <w:r w:rsidR="006F06B5">
        <w:t xml:space="preserve"> </w:t>
      </w:r>
      <w:r w:rsidRPr="00A065B5">
        <w:t>burden hours</w:t>
      </w:r>
      <w:r>
        <w:t xml:space="preserve"> </w:t>
      </w:r>
      <w:r w:rsidRPr="00A065B5">
        <w:t>has been recognized and included as an update to the collection.</w:t>
      </w:r>
    </w:p>
    <w:p w:rsidR="0059560F" w:rsidRPr="00E94A13" w:rsidP="00F35F4F" w14:paraId="0825D9D9" w14:textId="2F2303B8">
      <w:pPr>
        <w:spacing w:line="276" w:lineRule="auto"/>
        <w:contextualSpacing/>
        <w:rPr>
          <w:bCs/>
        </w:rPr>
      </w:pPr>
    </w:p>
    <w:tbl>
      <w:tblPr>
        <w:tblStyle w:val="TableGrid"/>
        <w:tblW w:w="10309" w:type="dxa"/>
        <w:tblInd w:w="-545" w:type="dxa"/>
        <w:tblLook w:val="04A0"/>
      </w:tblPr>
      <w:tblGrid>
        <w:gridCol w:w="1952"/>
        <w:gridCol w:w="1738"/>
        <w:gridCol w:w="1156"/>
        <w:gridCol w:w="1236"/>
        <w:gridCol w:w="1748"/>
        <w:gridCol w:w="1243"/>
        <w:gridCol w:w="1236"/>
      </w:tblGrid>
      <w:tr w14:paraId="31A9D4B8" w14:textId="77777777" w:rsidTr="007E77DD">
        <w:tblPrEx>
          <w:tblW w:w="10309" w:type="dxa"/>
          <w:tblInd w:w="-545" w:type="dxa"/>
          <w:tblLook w:val="04A0"/>
        </w:tblPrEx>
        <w:tc>
          <w:tcPr>
            <w:tcW w:w="10309" w:type="dxa"/>
            <w:gridSpan w:val="7"/>
            <w:shd w:val="clear" w:color="auto" w:fill="9CC2E5" w:themeFill="accent1" w:themeFillTint="99"/>
          </w:tcPr>
          <w:p w:rsidR="00030302" w:rsidRPr="008D1279" w:rsidP="00D42174" w14:paraId="57DC18A2" w14:textId="77777777">
            <w:pPr>
              <w:jc w:val="center"/>
              <w:rPr>
                <w:b/>
                <w:sz w:val="20"/>
                <w:szCs w:val="20"/>
              </w:rPr>
            </w:pPr>
            <w:bookmarkStart w:id="17" w:name="_Hlk51851522"/>
            <w:r w:rsidRPr="008D1279">
              <w:rPr>
                <w:b/>
                <w:sz w:val="20"/>
                <w:szCs w:val="20"/>
              </w:rPr>
              <w:t>Itemized Changes in Annual Cost Burden</w:t>
            </w:r>
          </w:p>
        </w:tc>
      </w:tr>
      <w:tr w14:paraId="31FED075" w14:textId="77777777" w:rsidTr="00D42174">
        <w:tblPrEx>
          <w:tblW w:w="10309" w:type="dxa"/>
          <w:tblInd w:w="-545" w:type="dxa"/>
          <w:tblLook w:val="04A0"/>
        </w:tblPrEx>
        <w:tc>
          <w:tcPr>
            <w:tcW w:w="1952" w:type="dxa"/>
            <w:shd w:val="clear" w:color="auto" w:fill="9CC2E5" w:themeFill="accent1" w:themeFillTint="99"/>
          </w:tcPr>
          <w:p w:rsidR="00030302" w:rsidRPr="008D1279" w:rsidP="00D42174" w14:paraId="5B5276D3" w14:textId="77777777">
            <w:pPr>
              <w:rPr>
                <w:sz w:val="20"/>
                <w:szCs w:val="20"/>
              </w:rPr>
            </w:pPr>
            <w:r w:rsidRPr="008D1279">
              <w:rPr>
                <w:sz w:val="20"/>
                <w:szCs w:val="20"/>
              </w:rPr>
              <w:t>Data Collection Activity/Instrument</w:t>
            </w:r>
          </w:p>
        </w:tc>
        <w:tc>
          <w:tcPr>
            <w:tcW w:w="1738" w:type="dxa"/>
            <w:shd w:val="clear" w:color="auto" w:fill="9CC2E5" w:themeFill="accent1" w:themeFillTint="99"/>
          </w:tcPr>
          <w:p w:rsidR="00030302" w:rsidRPr="008D1279" w:rsidP="00D42174" w14:paraId="05A570A5" w14:textId="77777777">
            <w:pPr>
              <w:rPr>
                <w:sz w:val="20"/>
                <w:szCs w:val="20"/>
              </w:rPr>
            </w:pPr>
            <w:r w:rsidRPr="008D1279">
              <w:rPr>
                <w:sz w:val="20"/>
                <w:szCs w:val="20"/>
              </w:rPr>
              <w:t>Program Change (cost currently on OMB inventory)</w:t>
            </w:r>
          </w:p>
        </w:tc>
        <w:tc>
          <w:tcPr>
            <w:tcW w:w="1156" w:type="dxa"/>
            <w:shd w:val="clear" w:color="auto" w:fill="9CC2E5" w:themeFill="accent1" w:themeFillTint="99"/>
          </w:tcPr>
          <w:p w:rsidR="00030302" w:rsidRPr="008D1279" w:rsidP="00D42174" w14:paraId="36DF2450" w14:textId="77777777">
            <w:pPr>
              <w:rPr>
                <w:sz w:val="20"/>
                <w:szCs w:val="20"/>
              </w:rPr>
            </w:pPr>
            <w:r w:rsidRPr="008D1279">
              <w:rPr>
                <w:sz w:val="20"/>
                <w:szCs w:val="20"/>
              </w:rPr>
              <w:t>Program Change (new)</w:t>
            </w:r>
          </w:p>
        </w:tc>
        <w:tc>
          <w:tcPr>
            <w:tcW w:w="1236" w:type="dxa"/>
            <w:shd w:val="clear" w:color="auto" w:fill="9CC2E5" w:themeFill="accent1" w:themeFillTint="99"/>
          </w:tcPr>
          <w:p w:rsidR="00030302" w:rsidRPr="008D1279" w:rsidP="00D42174" w14:paraId="2980D7A6" w14:textId="77777777">
            <w:pPr>
              <w:rPr>
                <w:sz w:val="20"/>
                <w:szCs w:val="20"/>
              </w:rPr>
            </w:pPr>
            <w:r w:rsidRPr="008D1279">
              <w:rPr>
                <w:sz w:val="20"/>
                <w:szCs w:val="20"/>
              </w:rPr>
              <w:t>Difference</w:t>
            </w:r>
          </w:p>
        </w:tc>
        <w:tc>
          <w:tcPr>
            <w:tcW w:w="1748" w:type="dxa"/>
            <w:shd w:val="clear" w:color="auto" w:fill="9CC2E5" w:themeFill="accent1" w:themeFillTint="99"/>
          </w:tcPr>
          <w:p w:rsidR="00030302" w:rsidRPr="008D1279" w:rsidP="00D42174" w14:paraId="4EDDB2D3" w14:textId="77777777">
            <w:pPr>
              <w:rPr>
                <w:sz w:val="20"/>
                <w:szCs w:val="20"/>
              </w:rPr>
            </w:pPr>
            <w:r w:rsidRPr="008D1279">
              <w:rPr>
                <w:sz w:val="20"/>
                <w:szCs w:val="20"/>
              </w:rPr>
              <w:t>Adjustment (cost currently on OMB inventory)</w:t>
            </w:r>
          </w:p>
        </w:tc>
        <w:tc>
          <w:tcPr>
            <w:tcW w:w="1243" w:type="dxa"/>
            <w:shd w:val="clear" w:color="auto" w:fill="9CC2E5" w:themeFill="accent1" w:themeFillTint="99"/>
          </w:tcPr>
          <w:p w:rsidR="00030302" w:rsidRPr="008D1279" w:rsidP="00D42174" w14:paraId="2A223959" w14:textId="77777777">
            <w:pPr>
              <w:rPr>
                <w:sz w:val="20"/>
                <w:szCs w:val="20"/>
              </w:rPr>
            </w:pPr>
            <w:r w:rsidRPr="008D1279">
              <w:rPr>
                <w:sz w:val="20"/>
                <w:szCs w:val="20"/>
              </w:rPr>
              <w:t>Adjustment (new)</w:t>
            </w:r>
          </w:p>
        </w:tc>
        <w:tc>
          <w:tcPr>
            <w:tcW w:w="1236" w:type="dxa"/>
            <w:shd w:val="clear" w:color="auto" w:fill="9CC2E5" w:themeFill="accent1" w:themeFillTint="99"/>
          </w:tcPr>
          <w:p w:rsidR="00030302" w:rsidRPr="008D1279" w:rsidP="00D42174" w14:paraId="7DFEC5FF" w14:textId="77777777">
            <w:pPr>
              <w:rPr>
                <w:sz w:val="20"/>
                <w:szCs w:val="20"/>
              </w:rPr>
            </w:pPr>
            <w:r w:rsidRPr="008D1279">
              <w:rPr>
                <w:sz w:val="20"/>
                <w:szCs w:val="20"/>
              </w:rPr>
              <w:t>Difference</w:t>
            </w:r>
          </w:p>
        </w:tc>
      </w:tr>
      <w:tr w14:paraId="2C07B239" w14:textId="77777777" w:rsidTr="00D42174">
        <w:tblPrEx>
          <w:tblW w:w="10309" w:type="dxa"/>
          <w:tblInd w:w="-545" w:type="dxa"/>
          <w:tblLook w:val="04A0"/>
        </w:tblPrEx>
        <w:tc>
          <w:tcPr>
            <w:tcW w:w="1952" w:type="dxa"/>
          </w:tcPr>
          <w:p w:rsidR="00177980" w:rsidRPr="008D1279" w:rsidP="00177980" w14:paraId="2FD1E634" w14:textId="601B8764">
            <w:pPr>
              <w:rPr>
                <w:sz w:val="20"/>
                <w:szCs w:val="20"/>
              </w:rPr>
            </w:pPr>
            <w:r>
              <w:rPr>
                <w:color w:val="000000"/>
                <w:sz w:val="18"/>
                <w:szCs w:val="18"/>
              </w:rPr>
              <w:t xml:space="preserve">Flood Insurance Application / FEMA Form FF-206-FY-21-117 (formerly 086-0-1) </w:t>
            </w:r>
          </w:p>
        </w:tc>
        <w:tc>
          <w:tcPr>
            <w:tcW w:w="1738" w:type="dxa"/>
            <w:vAlign w:val="center"/>
          </w:tcPr>
          <w:p w:rsidR="00177980" w:rsidRPr="00B62DFA" w:rsidP="00177980" w14:paraId="22793581" w14:textId="77777777">
            <w:pPr>
              <w:jc w:val="right"/>
              <w:rPr>
                <w:sz w:val="18"/>
                <w:szCs w:val="18"/>
              </w:rPr>
            </w:pPr>
          </w:p>
        </w:tc>
        <w:tc>
          <w:tcPr>
            <w:tcW w:w="1156" w:type="dxa"/>
            <w:vAlign w:val="center"/>
          </w:tcPr>
          <w:p w:rsidR="00177980" w:rsidRPr="00B62DFA" w:rsidP="00177980" w14:paraId="1F065CD3" w14:textId="77777777">
            <w:pPr>
              <w:jc w:val="right"/>
              <w:rPr>
                <w:sz w:val="18"/>
                <w:szCs w:val="18"/>
              </w:rPr>
            </w:pPr>
          </w:p>
        </w:tc>
        <w:tc>
          <w:tcPr>
            <w:tcW w:w="1236" w:type="dxa"/>
            <w:vAlign w:val="center"/>
          </w:tcPr>
          <w:p w:rsidR="00177980" w:rsidRPr="00B62DFA" w:rsidP="00177980" w14:paraId="5223BEA7" w14:textId="77777777">
            <w:pPr>
              <w:jc w:val="right"/>
              <w:rPr>
                <w:sz w:val="18"/>
                <w:szCs w:val="18"/>
              </w:rPr>
            </w:pPr>
          </w:p>
        </w:tc>
        <w:tc>
          <w:tcPr>
            <w:tcW w:w="1748" w:type="dxa"/>
            <w:vAlign w:val="center"/>
          </w:tcPr>
          <w:p w:rsidR="00177980" w:rsidRPr="00B62DFA" w:rsidP="00177980" w14:paraId="4055E8C1" w14:textId="6C0520AE">
            <w:pPr>
              <w:jc w:val="right"/>
              <w:rPr>
                <w:sz w:val="18"/>
                <w:szCs w:val="18"/>
              </w:rPr>
            </w:pPr>
            <w:r w:rsidRPr="00B62DFA">
              <w:rPr>
                <w:sz w:val="18"/>
                <w:szCs w:val="18"/>
              </w:rPr>
              <w:t>$132,138</w:t>
            </w:r>
          </w:p>
        </w:tc>
        <w:tc>
          <w:tcPr>
            <w:tcW w:w="1243" w:type="dxa"/>
            <w:vAlign w:val="center"/>
          </w:tcPr>
          <w:p w:rsidR="00177980" w:rsidRPr="00B62DFA" w:rsidP="00177980" w14:paraId="3ACF1705" w14:textId="3F8E8776">
            <w:pPr>
              <w:jc w:val="right"/>
              <w:rPr>
                <w:sz w:val="18"/>
                <w:szCs w:val="18"/>
              </w:rPr>
            </w:pPr>
            <w:r w:rsidRPr="00B62DFA">
              <w:rPr>
                <w:sz w:val="18"/>
                <w:szCs w:val="18"/>
              </w:rPr>
              <w:t>$154,805</w:t>
            </w:r>
          </w:p>
        </w:tc>
        <w:tc>
          <w:tcPr>
            <w:tcW w:w="1236" w:type="dxa"/>
            <w:vAlign w:val="center"/>
          </w:tcPr>
          <w:p w:rsidR="00177980" w:rsidRPr="00B62DFA" w:rsidP="00177980" w14:paraId="35B2EBAA" w14:textId="7439E573">
            <w:pPr>
              <w:jc w:val="right"/>
              <w:rPr>
                <w:sz w:val="18"/>
                <w:szCs w:val="18"/>
              </w:rPr>
            </w:pPr>
            <w:r w:rsidRPr="00B62DFA">
              <w:rPr>
                <w:sz w:val="18"/>
                <w:szCs w:val="18"/>
              </w:rPr>
              <w:t>$22,667</w:t>
            </w:r>
          </w:p>
        </w:tc>
      </w:tr>
      <w:tr w14:paraId="76FE7386" w14:textId="77777777" w:rsidTr="00D42174">
        <w:tblPrEx>
          <w:tblW w:w="10309" w:type="dxa"/>
          <w:tblInd w:w="-545" w:type="dxa"/>
          <w:tblLook w:val="04A0"/>
        </w:tblPrEx>
        <w:tc>
          <w:tcPr>
            <w:tcW w:w="1952" w:type="dxa"/>
          </w:tcPr>
          <w:p w:rsidR="00177980" w:rsidRPr="008D1279" w:rsidP="00177980" w14:paraId="456629F4" w14:textId="1B25E66A">
            <w:pPr>
              <w:rPr>
                <w:sz w:val="20"/>
                <w:szCs w:val="20"/>
              </w:rPr>
            </w:pPr>
            <w:r>
              <w:rPr>
                <w:color w:val="000000"/>
                <w:sz w:val="18"/>
                <w:szCs w:val="18"/>
              </w:rPr>
              <w:t xml:space="preserve">Flood Insurance Cancellation / Nullification Request Form / FEMA Form FF-206-FY-21-118 (formerly 086-0-2) </w:t>
            </w:r>
          </w:p>
        </w:tc>
        <w:tc>
          <w:tcPr>
            <w:tcW w:w="1738" w:type="dxa"/>
            <w:vAlign w:val="center"/>
          </w:tcPr>
          <w:p w:rsidR="00177980" w:rsidRPr="00B62DFA" w:rsidP="00177980" w14:paraId="7B645F70" w14:textId="77777777">
            <w:pPr>
              <w:jc w:val="right"/>
              <w:rPr>
                <w:sz w:val="18"/>
                <w:szCs w:val="18"/>
              </w:rPr>
            </w:pPr>
          </w:p>
        </w:tc>
        <w:tc>
          <w:tcPr>
            <w:tcW w:w="1156" w:type="dxa"/>
            <w:vAlign w:val="center"/>
          </w:tcPr>
          <w:p w:rsidR="00177980" w:rsidRPr="00B62DFA" w:rsidP="00177980" w14:paraId="54AE37CF" w14:textId="77777777">
            <w:pPr>
              <w:jc w:val="right"/>
              <w:rPr>
                <w:sz w:val="18"/>
                <w:szCs w:val="18"/>
              </w:rPr>
            </w:pPr>
          </w:p>
        </w:tc>
        <w:tc>
          <w:tcPr>
            <w:tcW w:w="1236" w:type="dxa"/>
            <w:vAlign w:val="center"/>
          </w:tcPr>
          <w:p w:rsidR="00177980" w:rsidRPr="00B62DFA" w:rsidP="00177980" w14:paraId="3A9FDE3C" w14:textId="77777777">
            <w:pPr>
              <w:jc w:val="right"/>
              <w:rPr>
                <w:sz w:val="18"/>
                <w:szCs w:val="18"/>
              </w:rPr>
            </w:pPr>
          </w:p>
        </w:tc>
        <w:tc>
          <w:tcPr>
            <w:tcW w:w="1748" w:type="dxa"/>
            <w:vAlign w:val="center"/>
          </w:tcPr>
          <w:p w:rsidR="00177980" w:rsidRPr="00B62DFA" w:rsidP="00177980" w14:paraId="221D7C11" w14:textId="0F2CC920">
            <w:pPr>
              <w:jc w:val="right"/>
              <w:rPr>
                <w:sz w:val="18"/>
                <w:szCs w:val="18"/>
              </w:rPr>
            </w:pPr>
            <w:r w:rsidRPr="00B62DFA">
              <w:rPr>
                <w:sz w:val="18"/>
                <w:szCs w:val="18"/>
              </w:rPr>
              <w:t>$145,356</w:t>
            </w:r>
          </w:p>
        </w:tc>
        <w:tc>
          <w:tcPr>
            <w:tcW w:w="1243" w:type="dxa"/>
            <w:vAlign w:val="center"/>
          </w:tcPr>
          <w:p w:rsidR="00177980" w:rsidRPr="00B62DFA" w:rsidP="00177980" w14:paraId="602D4A9A" w14:textId="5FE80D0C">
            <w:pPr>
              <w:jc w:val="right"/>
              <w:rPr>
                <w:sz w:val="18"/>
                <w:szCs w:val="18"/>
              </w:rPr>
            </w:pPr>
            <w:r w:rsidRPr="00B62DFA">
              <w:rPr>
                <w:sz w:val="18"/>
                <w:szCs w:val="18"/>
              </w:rPr>
              <w:t>$188,633</w:t>
            </w:r>
          </w:p>
        </w:tc>
        <w:tc>
          <w:tcPr>
            <w:tcW w:w="1236" w:type="dxa"/>
            <w:vAlign w:val="center"/>
          </w:tcPr>
          <w:p w:rsidR="00177980" w:rsidRPr="00B62DFA" w:rsidP="00177980" w14:paraId="4493D927" w14:textId="70249739">
            <w:pPr>
              <w:jc w:val="right"/>
              <w:rPr>
                <w:sz w:val="18"/>
                <w:szCs w:val="18"/>
              </w:rPr>
            </w:pPr>
            <w:r w:rsidRPr="00B62DFA">
              <w:rPr>
                <w:sz w:val="18"/>
                <w:szCs w:val="18"/>
              </w:rPr>
              <w:t>$43,277</w:t>
            </w:r>
          </w:p>
        </w:tc>
      </w:tr>
      <w:tr w14:paraId="244042CB" w14:textId="77777777" w:rsidTr="00D42174">
        <w:tblPrEx>
          <w:tblW w:w="10309" w:type="dxa"/>
          <w:tblInd w:w="-545" w:type="dxa"/>
          <w:tblLook w:val="04A0"/>
        </w:tblPrEx>
        <w:tc>
          <w:tcPr>
            <w:tcW w:w="1952" w:type="dxa"/>
          </w:tcPr>
          <w:p w:rsidR="00177980" w:rsidRPr="008D1279" w:rsidP="00177980" w14:paraId="78CB284A" w14:textId="1805373E">
            <w:pPr>
              <w:rPr>
                <w:sz w:val="20"/>
                <w:szCs w:val="20"/>
              </w:rPr>
            </w:pPr>
            <w:r>
              <w:rPr>
                <w:color w:val="000000"/>
                <w:sz w:val="18"/>
                <w:szCs w:val="18"/>
              </w:rPr>
              <w:t>Flood Insurance General Change Endorsement / FEMA Form FF-206-FY-21-119 (formerly 086-0-3)</w:t>
            </w:r>
          </w:p>
        </w:tc>
        <w:tc>
          <w:tcPr>
            <w:tcW w:w="1738" w:type="dxa"/>
            <w:vAlign w:val="center"/>
          </w:tcPr>
          <w:p w:rsidR="00177980" w:rsidRPr="00B62DFA" w:rsidP="00177980" w14:paraId="24D5A4B5" w14:textId="77777777">
            <w:pPr>
              <w:jc w:val="right"/>
              <w:rPr>
                <w:sz w:val="18"/>
                <w:szCs w:val="18"/>
              </w:rPr>
            </w:pPr>
          </w:p>
        </w:tc>
        <w:tc>
          <w:tcPr>
            <w:tcW w:w="1156" w:type="dxa"/>
            <w:vAlign w:val="center"/>
          </w:tcPr>
          <w:p w:rsidR="00177980" w:rsidRPr="00B62DFA" w:rsidP="00177980" w14:paraId="331C771E" w14:textId="77777777">
            <w:pPr>
              <w:jc w:val="right"/>
              <w:rPr>
                <w:sz w:val="18"/>
                <w:szCs w:val="18"/>
              </w:rPr>
            </w:pPr>
          </w:p>
        </w:tc>
        <w:tc>
          <w:tcPr>
            <w:tcW w:w="1236" w:type="dxa"/>
            <w:vAlign w:val="center"/>
          </w:tcPr>
          <w:p w:rsidR="00177980" w:rsidRPr="00B62DFA" w:rsidP="00177980" w14:paraId="661278B0" w14:textId="77777777">
            <w:pPr>
              <w:jc w:val="right"/>
              <w:rPr>
                <w:sz w:val="18"/>
                <w:szCs w:val="18"/>
              </w:rPr>
            </w:pPr>
          </w:p>
        </w:tc>
        <w:tc>
          <w:tcPr>
            <w:tcW w:w="1748" w:type="dxa"/>
            <w:vAlign w:val="center"/>
          </w:tcPr>
          <w:p w:rsidR="00177980" w:rsidRPr="00B62DFA" w:rsidP="00177980" w14:paraId="6DACDA04" w14:textId="04DBEF9D">
            <w:pPr>
              <w:jc w:val="right"/>
              <w:rPr>
                <w:sz w:val="18"/>
                <w:szCs w:val="18"/>
              </w:rPr>
            </w:pPr>
            <w:r w:rsidRPr="00B62DFA">
              <w:rPr>
                <w:sz w:val="18"/>
                <w:szCs w:val="18"/>
              </w:rPr>
              <w:t>$1,824,742</w:t>
            </w:r>
          </w:p>
        </w:tc>
        <w:tc>
          <w:tcPr>
            <w:tcW w:w="1243" w:type="dxa"/>
            <w:vAlign w:val="center"/>
          </w:tcPr>
          <w:p w:rsidR="00177980" w:rsidRPr="00B62DFA" w:rsidP="00177980" w14:paraId="1B34C2BE" w14:textId="11F12FAB">
            <w:pPr>
              <w:jc w:val="right"/>
              <w:rPr>
                <w:sz w:val="18"/>
                <w:szCs w:val="18"/>
              </w:rPr>
            </w:pPr>
            <w:r w:rsidRPr="00B62DFA">
              <w:rPr>
                <w:sz w:val="18"/>
                <w:szCs w:val="18"/>
              </w:rPr>
              <w:t>$1,753,174</w:t>
            </w:r>
          </w:p>
        </w:tc>
        <w:tc>
          <w:tcPr>
            <w:tcW w:w="1236" w:type="dxa"/>
            <w:vAlign w:val="center"/>
          </w:tcPr>
          <w:p w:rsidR="00177980" w:rsidRPr="00B62DFA" w:rsidP="00177980" w14:paraId="521FAD18" w14:textId="44A6ED39">
            <w:pPr>
              <w:jc w:val="right"/>
              <w:rPr>
                <w:sz w:val="18"/>
                <w:szCs w:val="18"/>
              </w:rPr>
            </w:pPr>
            <w:r w:rsidRPr="00B62DFA">
              <w:rPr>
                <w:sz w:val="18"/>
                <w:szCs w:val="18"/>
              </w:rPr>
              <w:t>-$71,568</w:t>
            </w:r>
          </w:p>
        </w:tc>
      </w:tr>
      <w:tr w14:paraId="187A20FC" w14:textId="77777777" w:rsidTr="00D42174">
        <w:tblPrEx>
          <w:tblW w:w="10309" w:type="dxa"/>
          <w:tblInd w:w="-545" w:type="dxa"/>
          <w:tblLook w:val="04A0"/>
        </w:tblPrEx>
        <w:tc>
          <w:tcPr>
            <w:tcW w:w="1952" w:type="dxa"/>
          </w:tcPr>
          <w:p w:rsidR="00177980" w:rsidRPr="008D1279" w:rsidP="00177980" w14:paraId="6D7CEB02" w14:textId="1B250AFC">
            <w:pPr>
              <w:rPr>
                <w:sz w:val="20"/>
                <w:szCs w:val="20"/>
              </w:rPr>
            </w:pPr>
            <w:r>
              <w:rPr>
                <w:color w:val="000000"/>
                <w:sz w:val="18"/>
                <w:szCs w:val="18"/>
              </w:rPr>
              <w:t xml:space="preserve">Flood Insurance Preferred Risk Policy Application / FEMA Form 086-0-5T </w:t>
            </w:r>
          </w:p>
        </w:tc>
        <w:tc>
          <w:tcPr>
            <w:tcW w:w="1738" w:type="dxa"/>
            <w:vAlign w:val="center"/>
          </w:tcPr>
          <w:p w:rsidR="00177980" w:rsidRPr="00B62DFA" w:rsidP="00177980" w14:paraId="6C50ADE0" w14:textId="69ECCCE0">
            <w:pPr>
              <w:jc w:val="right"/>
              <w:rPr>
                <w:sz w:val="18"/>
                <w:szCs w:val="18"/>
              </w:rPr>
            </w:pPr>
            <w:r w:rsidRPr="00B62DFA">
              <w:rPr>
                <w:sz w:val="18"/>
                <w:szCs w:val="18"/>
              </w:rPr>
              <w:t>$2</w:t>
            </w:r>
            <w:r w:rsidRPr="00B62DFA" w:rsidR="003D50D8">
              <w:rPr>
                <w:sz w:val="18"/>
                <w:szCs w:val="18"/>
              </w:rPr>
              <w:t>,</w:t>
            </w:r>
            <w:r w:rsidRPr="00B62DFA">
              <w:rPr>
                <w:sz w:val="18"/>
                <w:szCs w:val="18"/>
              </w:rPr>
              <w:t>233,223</w:t>
            </w:r>
          </w:p>
        </w:tc>
        <w:tc>
          <w:tcPr>
            <w:tcW w:w="1156" w:type="dxa"/>
            <w:vAlign w:val="center"/>
          </w:tcPr>
          <w:p w:rsidR="00177980" w:rsidRPr="00B62DFA" w:rsidP="00177980" w14:paraId="6E2B57D8" w14:textId="1FF7677E">
            <w:pPr>
              <w:jc w:val="right"/>
              <w:rPr>
                <w:sz w:val="18"/>
                <w:szCs w:val="18"/>
              </w:rPr>
            </w:pPr>
            <w:r w:rsidRPr="00B62DFA">
              <w:rPr>
                <w:sz w:val="18"/>
                <w:szCs w:val="18"/>
              </w:rPr>
              <w:t>$0</w:t>
            </w:r>
          </w:p>
        </w:tc>
        <w:tc>
          <w:tcPr>
            <w:tcW w:w="1236" w:type="dxa"/>
            <w:vAlign w:val="center"/>
          </w:tcPr>
          <w:p w:rsidR="00177980" w:rsidRPr="00B62DFA" w:rsidP="00177980" w14:paraId="0FD5E1D9" w14:textId="29C0F110">
            <w:pPr>
              <w:jc w:val="right"/>
              <w:rPr>
                <w:sz w:val="18"/>
                <w:szCs w:val="18"/>
              </w:rPr>
            </w:pPr>
            <w:r w:rsidRPr="00B62DFA">
              <w:rPr>
                <w:sz w:val="18"/>
                <w:szCs w:val="18"/>
              </w:rPr>
              <w:t>-$2</w:t>
            </w:r>
            <w:r w:rsidRPr="00B62DFA" w:rsidR="003D50D8">
              <w:rPr>
                <w:sz w:val="18"/>
                <w:szCs w:val="18"/>
              </w:rPr>
              <w:t>,</w:t>
            </w:r>
            <w:r w:rsidRPr="00B62DFA">
              <w:rPr>
                <w:sz w:val="18"/>
                <w:szCs w:val="18"/>
              </w:rPr>
              <w:t>233,223</w:t>
            </w:r>
          </w:p>
        </w:tc>
        <w:tc>
          <w:tcPr>
            <w:tcW w:w="1748" w:type="dxa"/>
            <w:vAlign w:val="center"/>
          </w:tcPr>
          <w:p w:rsidR="00177980" w:rsidRPr="00B62DFA" w:rsidP="00177980" w14:paraId="1B45F65C" w14:textId="77777777">
            <w:pPr>
              <w:jc w:val="right"/>
              <w:rPr>
                <w:sz w:val="18"/>
                <w:szCs w:val="18"/>
              </w:rPr>
            </w:pPr>
          </w:p>
        </w:tc>
        <w:tc>
          <w:tcPr>
            <w:tcW w:w="1243" w:type="dxa"/>
            <w:vAlign w:val="center"/>
          </w:tcPr>
          <w:p w:rsidR="00177980" w:rsidRPr="00B62DFA" w:rsidP="00177980" w14:paraId="6608E78F" w14:textId="77777777">
            <w:pPr>
              <w:jc w:val="right"/>
              <w:rPr>
                <w:sz w:val="18"/>
                <w:szCs w:val="18"/>
              </w:rPr>
            </w:pPr>
          </w:p>
        </w:tc>
        <w:tc>
          <w:tcPr>
            <w:tcW w:w="1236" w:type="dxa"/>
            <w:vAlign w:val="center"/>
          </w:tcPr>
          <w:p w:rsidR="00177980" w:rsidRPr="00B62DFA" w:rsidP="00177980" w14:paraId="7EA8455E" w14:textId="77777777">
            <w:pPr>
              <w:jc w:val="right"/>
              <w:rPr>
                <w:sz w:val="18"/>
                <w:szCs w:val="18"/>
              </w:rPr>
            </w:pPr>
          </w:p>
        </w:tc>
      </w:tr>
      <w:tr w14:paraId="0D7ECAE7" w14:textId="77777777" w:rsidTr="00D42174">
        <w:tblPrEx>
          <w:tblW w:w="10309" w:type="dxa"/>
          <w:tblInd w:w="-545" w:type="dxa"/>
          <w:tblLook w:val="04A0"/>
        </w:tblPrEx>
        <w:tc>
          <w:tcPr>
            <w:tcW w:w="1952" w:type="dxa"/>
          </w:tcPr>
          <w:p w:rsidR="00177980" w:rsidRPr="008D1279" w:rsidP="00177980" w14:paraId="3F92335C" w14:textId="77777777">
            <w:pPr>
              <w:rPr>
                <w:b/>
                <w:sz w:val="20"/>
                <w:szCs w:val="20"/>
              </w:rPr>
            </w:pPr>
            <w:r w:rsidRPr="008D1279">
              <w:rPr>
                <w:b/>
                <w:sz w:val="20"/>
                <w:szCs w:val="20"/>
              </w:rPr>
              <w:t>Total</w:t>
            </w:r>
          </w:p>
        </w:tc>
        <w:tc>
          <w:tcPr>
            <w:tcW w:w="1738" w:type="dxa"/>
            <w:vAlign w:val="center"/>
          </w:tcPr>
          <w:p w:rsidR="00177980" w:rsidRPr="00B62DFA" w:rsidP="00177980" w14:paraId="66C919ED" w14:textId="0C959853">
            <w:pPr>
              <w:jc w:val="right"/>
              <w:rPr>
                <w:b/>
                <w:bCs/>
                <w:sz w:val="18"/>
                <w:szCs w:val="18"/>
              </w:rPr>
            </w:pPr>
            <w:r w:rsidRPr="00B62DFA">
              <w:rPr>
                <w:b/>
                <w:bCs/>
                <w:sz w:val="18"/>
                <w:szCs w:val="18"/>
              </w:rPr>
              <w:t>-$2,233,223</w:t>
            </w:r>
          </w:p>
        </w:tc>
        <w:tc>
          <w:tcPr>
            <w:tcW w:w="1156" w:type="dxa"/>
            <w:vAlign w:val="center"/>
          </w:tcPr>
          <w:p w:rsidR="00177980" w:rsidRPr="00B62DFA" w:rsidP="00177980" w14:paraId="4BF47A34" w14:textId="77777777">
            <w:pPr>
              <w:jc w:val="right"/>
              <w:rPr>
                <w:b/>
                <w:bCs/>
                <w:sz w:val="18"/>
                <w:szCs w:val="18"/>
              </w:rPr>
            </w:pPr>
            <w:r w:rsidRPr="00B62DFA">
              <w:rPr>
                <w:b/>
                <w:bCs/>
                <w:sz w:val="18"/>
                <w:szCs w:val="18"/>
              </w:rPr>
              <w:t>$0</w:t>
            </w:r>
          </w:p>
        </w:tc>
        <w:tc>
          <w:tcPr>
            <w:tcW w:w="1236" w:type="dxa"/>
            <w:vAlign w:val="center"/>
          </w:tcPr>
          <w:p w:rsidR="00177980" w:rsidRPr="00B62DFA" w:rsidP="00177980" w14:paraId="7D010650" w14:textId="6A8F30DD">
            <w:pPr>
              <w:jc w:val="right"/>
              <w:rPr>
                <w:b/>
                <w:bCs/>
                <w:sz w:val="18"/>
                <w:szCs w:val="18"/>
              </w:rPr>
            </w:pPr>
            <w:r w:rsidRPr="00B62DFA">
              <w:rPr>
                <w:b/>
                <w:bCs/>
                <w:sz w:val="18"/>
                <w:szCs w:val="18"/>
              </w:rPr>
              <w:t>-$2,233,223</w:t>
            </w:r>
          </w:p>
        </w:tc>
        <w:tc>
          <w:tcPr>
            <w:tcW w:w="1748" w:type="dxa"/>
            <w:vAlign w:val="center"/>
          </w:tcPr>
          <w:p w:rsidR="00177980" w:rsidRPr="00B62DFA" w:rsidP="00177980" w14:paraId="2B5C1AB5" w14:textId="010C474C">
            <w:pPr>
              <w:jc w:val="right"/>
              <w:rPr>
                <w:b/>
                <w:bCs/>
                <w:sz w:val="18"/>
                <w:szCs w:val="18"/>
              </w:rPr>
            </w:pPr>
            <w:r w:rsidRPr="00B62DFA">
              <w:rPr>
                <w:b/>
                <w:bCs/>
                <w:sz w:val="18"/>
                <w:szCs w:val="18"/>
              </w:rPr>
              <w:t>$2,102,236</w:t>
            </w:r>
          </w:p>
        </w:tc>
        <w:tc>
          <w:tcPr>
            <w:tcW w:w="1243" w:type="dxa"/>
            <w:vAlign w:val="center"/>
          </w:tcPr>
          <w:p w:rsidR="00177980" w:rsidRPr="00B62DFA" w:rsidP="00177980" w14:paraId="07795E1C" w14:textId="62AAF344">
            <w:pPr>
              <w:jc w:val="right"/>
              <w:rPr>
                <w:b/>
                <w:bCs/>
                <w:sz w:val="18"/>
                <w:szCs w:val="18"/>
              </w:rPr>
            </w:pPr>
            <w:r w:rsidRPr="00B62DFA">
              <w:rPr>
                <w:b/>
                <w:bCs/>
                <w:sz w:val="18"/>
                <w:szCs w:val="18"/>
              </w:rPr>
              <w:t>$2,096,612</w:t>
            </w:r>
          </w:p>
        </w:tc>
        <w:tc>
          <w:tcPr>
            <w:tcW w:w="1236" w:type="dxa"/>
            <w:vAlign w:val="center"/>
          </w:tcPr>
          <w:p w:rsidR="00177980" w:rsidRPr="00B62DFA" w:rsidP="00177980" w14:paraId="561C0F2B" w14:textId="5C424923">
            <w:pPr>
              <w:jc w:val="right"/>
              <w:rPr>
                <w:b/>
                <w:bCs/>
                <w:sz w:val="18"/>
                <w:szCs w:val="18"/>
              </w:rPr>
            </w:pPr>
            <w:r w:rsidRPr="00B62DFA">
              <w:rPr>
                <w:b/>
                <w:bCs/>
                <w:sz w:val="18"/>
                <w:szCs w:val="18"/>
              </w:rPr>
              <w:t>-$5,624</w:t>
            </w:r>
          </w:p>
        </w:tc>
      </w:tr>
      <w:bookmarkEnd w:id="17"/>
    </w:tbl>
    <w:p w:rsidR="00030302" w:rsidP="00F35F4F" w14:paraId="4E240B8E" w14:textId="77777777">
      <w:pPr>
        <w:spacing w:line="276" w:lineRule="auto"/>
        <w:contextualSpacing/>
        <w:rPr>
          <w:b/>
          <w:bCs/>
          <w:i/>
        </w:rPr>
      </w:pPr>
    </w:p>
    <w:p w:rsidR="00BD699D" w:rsidRPr="00E94A13" w:rsidP="00F35F4F" w14:paraId="667F1E77" w14:textId="473CFF26">
      <w:pPr>
        <w:spacing w:line="276" w:lineRule="auto"/>
        <w:contextualSpacing/>
        <w:rPr>
          <w:bCs/>
        </w:rPr>
      </w:pPr>
      <w:r w:rsidRPr="00E94A13">
        <w:rPr>
          <w:b/>
          <w:bCs/>
          <w:i/>
        </w:rPr>
        <w:t>Explain:</w:t>
      </w:r>
      <w:r w:rsidRPr="00E94A13" w:rsidR="00DB084D">
        <w:rPr>
          <w:bCs/>
          <w:i/>
        </w:rPr>
        <w:t xml:space="preserve"> </w:t>
      </w:r>
      <w:r w:rsidRPr="00E94A13" w:rsidR="00B7513C">
        <w:rPr>
          <w:bCs/>
          <w:i/>
        </w:rPr>
        <w:t xml:space="preserve"> </w:t>
      </w:r>
      <w:r w:rsidRPr="00E94A13" w:rsidR="00601277">
        <w:rPr>
          <w:bCs/>
        </w:rPr>
        <w:t>FEMA Form</w:t>
      </w:r>
      <w:r w:rsidRPr="00E94A13" w:rsidR="00F52F20">
        <w:rPr>
          <w:bCs/>
        </w:rPr>
        <w:t xml:space="preserve">s </w:t>
      </w:r>
      <w:r w:rsidRPr="00E94A13" w:rsidR="009A2011">
        <w:rPr>
          <w:bCs/>
        </w:rPr>
        <w:t>FF-206-FY-21-117 (formerly 086-0-1)</w:t>
      </w:r>
      <w:r w:rsidRPr="00E94A13" w:rsidR="00F52F20">
        <w:rPr>
          <w:bCs/>
        </w:rPr>
        <w:t xml:space="preserve"> (</w:t>
      </w:r>
      <w:r w:rsidRPr="00E94A13" w:rsidR="00BB0E2D">
        <w:rPr>
          <w:bCs/>
        </w:rPr>
        <w:t>Application</w:t>
      </w:r>
      <w:r w:rsidRPr="00E94A13" w:rsidR="008C6C50">
        <w:rPr>
          <w:bCs/>
        </w:rPr>
        <w:t>)</w:t>
      </w:r>
      <w:r w:rsidRPr="00E94A13" w:rsidR="00632FB6">
        <w:rPr>
          <w:bCs/>
        </w:rPr>
        <w:t xml:space="preserve"> - </w:t>
      </w:r>
      <w:r w:rsidR="00A27817">
        <w:rPr>
          <w:bCs/>
        </w:rPr>
        <w:t xml:space="preserve">Replaces the burden cost formerly associated with FEMA Form 086-0-1/T.  </w:t>
      </w:r>
      <w:r w:rsidRPr="00E94A13" w:rsidR="00632FB6">
        <w:rPr>
          <w:bCs/>
        </w:rPr>
        <w:t xml:space="preserve">The </w:t>
      </w:r>
      <w:r w:rsidRPr="00E94A13" w:rsidR="007E4B60">
        <w:rPr>
          <w:bCs/>
        </w:rPr>
        <w:t>increase</w:t>
      </w:r>
      <w:r w:rsidRPr="00E94A13" w:rsidR="00632FB6">
        <w:rPr>
          <w:bCs/>
        </w:rPr>
        <w:t xml:space="preserve"> in the annual cost burden</w:t>
      </w:r>
      <w:r w:rsidRPr="00E94A13" w:rsidR="00124977">
        <w:rPr>
          <w:bCs/>
        </w:rPr>
        <w:t xml:space="preserve"> </w:t>
      </w:r>
      <w:r w:rsidRPr="00E94A13" w:rsidR="00632FB6">
        <w:rPr>
          <w:bCs/>
        </w:rPr>
        <w:t xml:space="preserve">is </w:t>
      </w:r>
      <w:r w:rsidRPr="00E94A13" w:rsidR="009A38BD">
        <w:rPr>
          <w:bCs/>
        </w:rPr>
        <w:t xml:space="preserve">due to the </w:t>
      </w:r>
      <w:r w:rsidRPr="00E94A13" w:rsidR="00003F53">
        <w:rPr>
          <w:bCs/>
        </w:rPr>
        <w:t>increase in the wage rate</w:t>
      </w:r>
      <w:r w:rsidRPr="00E94A13" w:rsidR="00632FB6">
        <w:rPr>
          <w:bCs/>
        </w:rPr>
        <w:t xml:space="preserve">.  </w:t>
      </w:r>
      <w:r w:rsidRPr="00E94A13" w:rsidR="0076447E">
        <w:rPr>
          <w:bCs/>
        </w:rPr>
        <w:t xml:space="preserve">The cost burden has </w:t>
      </w:r>
      <w:r w:rsidRPr="00E94A13" w:rsidR="00B223F3">
        <w:rPr>
          <w:bCs/>
        </w:rPr>
        <w:t>increased</w:t>
      </w:r>
      <w:r w:rsidRPr="00E94A13" w:rsidR="0076447E">
        <w:rPr>
          <w:bCs/>
        </w:rPr>
        <w:t xml:space="preserve"> from $132,138</w:t>
      </w:r>
      <w:r w:rsidR="00A27817">
        <w:rPr>
          <w:bCs/>
        </w:rPr>
        <w:t xml:space="preserve"> </w:t>
      </w:r>
      <w:r w:rsidRPr="00E94A13" w:rsidR="0076447E">
        <w:rPr>
          <w:bCs/>
        </w:rPr>
        <w:t>to $</w:t>
      </w:r>
      <w:r w:rsidR="00B62DFA">
        <w:rPr>
          <w:bCs/>
        </w:rPr>
        <w:t>154,805</w:t>
      </w:r>
      <w:r w:rsidRPr="00E94A13" w:rsidR="00603E09">
        <w:rPr>
          <w:bCs/>
        </w:rPr>
        <w:t>.</w:t>
      </w:r>
    </w:p>
    <w:p w:rsidR="00603E09" w:rsidRPr="00E94A13" w:rsidP="00F35F4F" w14:paraId="6AA41109" w14:textId="77777777">
      <w:pPr>
        <w:spacing w:line="276" w:lineRule="auto"/>
        <w:contextualSpacing/>
        <w:rPr>
          <w:bCs/>
        </w:rPr>
      </w:pPr>
    </w:p>
    <w:p w:rsidR="00603E09" w:rsidRPr="00E94A13" w:rsidP="00F35F4F" w14:paraId="70E071C7" w14:textId="6A495A80">
      <w:pPr>
        <w:spacing w:line="276" w:lineRule="auto"/>
        <w:contextualSpacing/>
        <w:rPr>
          <w:bCs/>
        </w:rPr>
      </w:pPr>
      <w:r w:rsidRPr="00E94A13">
        <w:rPr>
          <w:bCs/>
        </w:rPr>
        <w:t>FF-206-FY-21-118 (formerly 086-0-2)</w:t>
      </w:r>
      <w:r w:rsidRPr="00E94A13">
        <w:rPr>
          <w:bCs/>
        </w:rPr>
        <w:t xml:space="preserve"> </w:t>
      </w:r>
      <w:r w:rsidRPr="00E94A13" w:rsidR="00F52F20">
        <w:rPr>
          <w:bCs/>
        </w:rPr>
        <w:t>(Cancellation)</w:t>
      </w:r>
      <w:r w:rsidRPr="00E94A13">
        <w:rPr>
          <w:bCs/>
        </w:rPr>
        <w:t xml:space="preserve"> -</w:t>
      </w:r>
      <w:r w:rsidRPr="00E94A13" w:rsidR="00393520">
        <w:rPr>
          <w:bCs/>
        </w:rPr>
        <w:t xml:space="preserve"> </w:t>
      </w:r>
      <w:r w:rsidR="00A27817">
        <w:rPr>
          <w:bCs/>
        </w:rPr>
        <w:t xml:space="preserve">Replaces the burden cost formerly associated with FEMA Form 086-0-2/T.  </w:t>
      </w:r>
      <w:r w:rsidRPr="00E94A13" w:rsidR="009A38BD">
        <w:rPr>
          <w:bCs/>
        </w:rPr>
        <w:t xml:space="preserve">The increase in the annual cost burden </w:t>
      </w:r>
      <w:r w:rsidRPr="00E94A13" w:rsidR="009A38BD">
        <w:rPr>
          <w:bCs/>
        </w:rPr>
        <w:t>is due to the increase in the wage rate.  The cost burden has increased from $</w:t>
      </w:r>
      <w:r w:rsidRPr="00E94A13" w:rsidR="00D921A8">
        <w:rPr>
          <w:bCs/>
        </w:rPr>
        <w:t>145,356 to $</w:t>
      </w:r>
      <w:r w:rsidR="00B62DFA">
        <w:rPr>
          <w:bCs/>
        </w:rPr>
        <w:t>188,633</w:t>
      </w:r>
      <w:r w:rsidRPr="00E94A13" w:rsidR="009A38BD">
        <w:rPr>
          <w:bCs/>
        </w:rPr>
        <w:t>.</w:t>
      </w:r>
    </w:p>
    <w:p w:rsidR="00603E09" w:rsidRPr="00E94A13" w:rsidP="00F35F4F" w14:paraId="756EF4AD" w14:textId="77777777">
      <w:pPr>
        <w:spacing w:line="276" w:lineRule="auto"/>
        <w:contextualSpacing/>
        <w:rPr>
          <w:bCs/>
        </w:rPr>
      </w:pPr>
    </w:p>
    <w:p w:rsidR="006769C7" w:rsidRPr="00E94A13" w:rsidP="00F35F4F" w14:paraId="35488166" w14:textId="6D120BB2">
      <w:pPr>
        <w:spacing w:line="276" w:lineRule="auto"/>
        <w:contextualSpacing/>
        <w:rPr>
          <w:bCs/>
        </w:rPr>
      </w:pPr>
      <w:r w:rsidRPr="00E94A13">
        <w:rPr>
          <w:bCs/>
        </w:rPr>
        <w:t>FF-206-FY-21-119 (formerly 086-0-3)</w:t>
      </w:r>
      <w:r w:rsidRPr="00E94A13">
        <w:rPr>
          <w:bCs/>
        </w:rPr>
        <w:t xml:space="preserve"> </w:t>
      </w:r>
      <w:r w:rsidRPr="00E94A13" w:rsidR="00601277">
        <w:rPr>
          <w:bCs/>
        </w:rPr>
        <w:t>(Endorsement)</w:t>
      </w:r>
      <w:r w:rsidRPr="00E94A13" w:rsidR="0030204A">
        <w:rPr>
          <w:bCs/>
        </w:rPr>
        <w:t xml:space="preserve"> - </w:t>
      </w:r>
      <w:r w:rsidR="00A27817">
        <w:rPr>
          <w:bCs/>
        </w:rPr>
        <w:t xml:space="preserve">Replaces the burden cost formerly associated with FEMA Form 086-0-3/T.  </w:t>
      </w:r>
      <w:r w:rsidRPr="00E94A13" w:rsidR="009A38BD">
        <w:rPr>
          <w:bCs/>
        </w:rPr>
        <w:t xml:space="preserve">  The cost burden has </w:t>
      </w:r>
      <w:r w:rsidR="00B62DFA">
        <w:rPr>
          <w:bCs/>
        </w:rPr>
        <w:t>decreased</w:t>
      </w:r>
      <w:r w:rsidRPr="00E94A13" w:rsidR="00B62DFA">
        <w:rPr>
          <w:bCs/>
        </w:rPr>
        <w:t xml:space="preserve"> </w:t>
      </w:r>
      <w:r w:rsidRPr="00E94A13" w:rsidR="009A38BD">
        <w:rPr>
          <w:bCs/>
        </w:rPr>
        <w:t>from $</w:t>
      </w:r>
      <w:r w:rsidRPr="00E94A13" w:rsidR="007F7078">
        <w:rPr>
          <w:bCs/>
        </w:rPr>
        <w:t>1,824,742 to</w:t>
      </w:r>
      <w:r w:rsidRPr="00E94A13" w:rsidR="00AB3C78">
        <w:rPr>
          <w:bCs/>
        </w:rPr>
        <w:t xml:space="preserve"> </w:t>
      </w:r>
      <w:r w:rsidRPr="00E94A13" w:rsidR="007F7078">
        <w:rPr>
          <w:bCs/>
        </w:rPr>
        <w:t>$</w:t>
      </w:r>
      <w:r w:rsidR="00B62DFA">
        <w:rPr>
          <w:bCs/>
        </w:rPr>
        <w:t>1,753,174</w:t>
      </w:r>
      <w:r w:rsidRPr="00E94A13" w:rsidR="009A38BD">
        <w:rPr>
          <w:bCs/>
        </w:rPr>
        <w:t>.</w:t>
      </w:r>
    </w:p>
    <w:p w:rsidR="006769C7" w:rsidRPr="00E94A13" w:rsidP="00F35F4F" w14:paraId="3AEBE4E7" w14:textId="77777777">
      <w:pPr>
        <w:spacing w:line="276" w:lineRule="auto"/>
        <w:contextualSpacing/>
        <w:rPr>
          <w:bCs/>
        </w:rPr>
      </w:pPr>
    </w:p>
    <w:p w:rsidR="004E4EC3" w:rsidRPr="00E94A13" w:rsidP="00F35F4F" w14:paraId="5A0C9B62" w14:textId="3B2EA5DA">
      <w:pPr>
        <w:spacing w:line="276" w:lineRule="auto"/>
        <w:contextualSpacing/>
        <w:rPr>
          <w:bCs/>
        </w:rPr>
      </w:pPr>
      <w:r w:rsidRPr="00E94A13">
        <w:rPr>
          <w:bCs/>
        </w:rPr>
        <w:t xml:space="preserve">FEMA Form </w:t>
      </w:r>
      <w:r w:rsidRPr="00E94A13" w:rsidR="00F52F20">
        <w:rPr>
          <w:bCs/>
        </w:rPr>
        <w:t>086-0-5</w:t>
      </w:r>
      <w:r w:rsidR="007D24E9">
        <w:rPr>
          <w:bCs/>
        </w:rPr>
        <w:t>T</w:t>
      </w:r>
      <w:r w:rsidRPr="00E94A13" w:rsidR="00F52F20">
        <w:rPr>
          <w:bCs/>
        </w:rPr>
        <w:t xml:space="preserve"> Preferred Risk Policy and Newly Mapped Application</w:t>
      </w:r>
      <w:r w:rsidRPr="00E94A13" w:rsidR="00601277">
        <w:rPr>
          <w:bCs/>
        </w:rPr>
        <w:t xml:space="preserve"> –</w:t>
      </w:r>
      <w:r w:rsidRPr="00E94A13" w:rsidR="00061A4E">
        <w:rPr>
          <w:bCs/>
        </w:rPr>
        <w:t>The decrease in the annual cost burden is due to</w:t>
      </w:r>
      <w:r w:rsidRPr="00E94A13" w:rsidR="00695E35">
        <w:rPr>
          <w:bCs/>
        </w:rPr>
        <w:t xml:space="preserve"> the removal of this form from the information collection because the Preferred Risk Policy is no longer available </w:t>
      </w:r>
      <w:r w:rsidRPr="00E94A13" w:rsidR="00840346">
        <w:rPr>
          <w:bCs/>
        </w:rPr>
        <w:t xml:space="preserve">and this form is no longer used </w:t>
      </w:r>
      <w:r w:rsidRPr="00E94A13" w:rsidR="00695E35">
        <w:rPr>
          <w:bCs/>
        </w:rPr>
        <w:t xml:space="preserve">under the new rating methodology. </w:t>
      </w:r>
      <w:r w:rsidR="00276A95">
        <w:rPr>
          <w:bCs/>
        </w:rPr>
        <w:t xml:space="preserve"> </w:t>
      </w:r>
      <w:r w:rsidRPr="00E94A13" w:rsidR="00695E35">
        <w:rPr>
          <w:bCs/>
        </w:rPr>
        <w:t>The cost burden has decreased from $2,233,223 to $0.</w:t>
      </w:r>
    </w:p>
    <w:p w:rsidR="004E4EC3" w:rsidP="00F35F4F" w14:paraId="30B1E2EF" w14:textId="7FBF6EF8">
      <w:pPr>
        <w:spacing w:line="276" w:lineRule="auto"/>
        <w:contextualSpacing/>
        <w:rPr>
          <w:bCs/>
        </w:rPr>
      </w:pPr>
    </w:p>
    <w:p w:rsidR="00030914" w:rsidRPr="00A065B5" w:rsidP="00030914" w14:paraId="6ACE2DBD" w14:textId="6CEE5CD2">
      <w:pPr>
        <w:spacing w:line="276" w:lineRule="auto"/>
        <w:contextualSpacing/>
      </w:pPr>
      <w:r>
        <w:t>In summation</w:t>
      </w:r>
      <w:r w:rsidRPr="00A065B5">
        <w:t xml:space="preserve">, a reduction of </w:t>
      </w:r>
      <w:r>
        <w:t>$</w:t>
      </w:r>
      <w:r w:rsidR="007259F8">
        <w:t>2,238,847</w:t>
      </w:r>
      <w:r>
        <w:t xml:space="preserve"> (</w:t>
      </w:r>
      <w:r w:rsidR="00B62DFA">
        <w:t xml:space="preserve">-$2,233,223 + -$5,624) </w:t>
      </w:r>
      <w:r w:rsidRPr="00A065B5">
        <w:t>has been recognized and included as an update to the collection.</w:t>
      </w:r>
    </w:p>
    <w:p w:rsidR="00030914" w:rsidRPr="00E94A13" w:rsidP="00F35F4F" w14:paraId="202FF4C7" w14:textId="77777777">
      <w:pPr>
        <w:spacing w:line="276" w:lineRule="auto"/>
        <w:contextualSpacing/>
        <w:rPr>
          <w:bCs/>
        </w:rPr>
      </w:pPr>
    </w:p>
    <w:p w:rsidR="00842E74" w:rsidRPr="00E94A13" w:rsidP="00F35F4F" w14:paraId="399D9A32" w14:textId="53D5FEBA">
      <w:pPr>
        <w:spacing w:line="276" w:lineRule="auto"/>
        <w:contextualSpacing/>
        <w:rPr>
          <w:b/>
          <w:bCs/>
        </w:rPr>
      </w:pPr>
      <w:r w:rsidRPr="009B2BF2">
        <w:rPr>
          <w:b/>
          <w:bCs/>
        </w:rPr>
        <w:fldChar w:fldCharType="begin"/>
      </w:r>
      <w:r w:rsidRPr="00E94A13">
        <w:rPr>
          <w:b/>
          <w:bCs/>
        </w:rPr>
        <w:instrText>ADVANCE \R 0.95</w:instrText>
      </w:r>
      <w:r w:rsidRPr="009B2BF2">
        <w:rPr>
          <w:b/>
        </w:rPr>
        <w:fldChar w:fldCharType="end"/>
      </w:r>
      <w:r w:rsidRPr="00E94A13">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94A13" w:rsidR="00B7513C">
        <w:rPr>
          <w:b/>
          <w:bCs/>
        </w:rPr>
        <w:t xml:space="preserve">  </w:t>
      </w:r>
    </w:p>
    <w:p w:rsidR="00DB5B61" w:rsidRPr="00E94A13" w:rsidP="00F35F4F" w14:paraId="6E31419C" w14:textId="77777777">
      <w:pPr>
        <w:spacing w:line="276" w:lineRule="auto"/>
        <w:contextualSpacing/>
      </w:pPr>
      <w:r w:rsidRPr="009B2BF2">
        <w:fldChar w:fldCharType="begin"/>
      </w:r>
      <w:r w:rsidRPr="00E94A13">
        <w:instrText>ADVANCE \R 0.95</w:instrText>
      </w:r>
      <w:r w:rsidRPr="009B2BF2">
        <w:fldChar w:fldCharType="end"/>
      </w:r>
    </w:p>
    <w:p w:rsidR="00842E74" w:rsidRPr="00E94A13" w:rsidP="00F35F4F" w14:paraId="72AEE884" w14:textId="3DA7DDD3">
      <w:pPr>
        <w:spacing w:line="276" w:lineRule="auto"/>
        <w:contextualSpacing/>
        <w:rPr>
          <w:color w:val="000000"/>
        </w:rPr>
      </w:pPr>
      <w:r w:rsidRPr="00E94A13">
        <w:rPr>
          <w:color w:val="000000"/>
        </w:rPr>
        <w:t>T</w:t>
      </w:r>
      <w:r w:rsidRPr="00E94A13" w:rsidR="00DB5B61">
        <w:rPr>
          <w:color w:val="000000"/>
        </w:rPr>
        <w:t>here are no outline plans for tabulation and publication of data for this information collection.</w:t>
      </w:r>
      <w:r w:rsidRPr="00E94A13" w:rsidR="00B7513C">
        <w:rPr>
          <w:color w:val="000000"/>
        </w:rPr>
        <w:t xml:space="preserve">  </w:t>
      </w:r>
    </w:p>
    <w:p w:rsidR="00DB5B61" w:rsidRPr="00E94A13" w:rsidP="00F35F4F" w14:paraId="3B1B110E" w14:textId="77777777">
      <w:pPr>
        <w:spacing w:line="276" w:lineRule="auto"/>
        <w:contextualSpacing/>
      </w:pPr>
    </w:p>
    <w:p w:rsidR="00842E74" w:rsidRPr="00E94A13" w:rsidP="00F35F4F" w14:paraId="186A1EBB" w14:textId="1F0E3728">
      <w:pPr>
        <w:spacing w:line="276" w:lineRule="auto"/>
        <w:contextualSpacing/>
        <w:rPr>
          <w:b/>
          <w:bCs/>
        </w:rPr>
      </w:pPr>
      <w:r w:rsidRPr="009B2BF2">
        <w:rPr>
          <w:b/>
          <w:bCs/>
        </w:rPr>
        <w:fldChar w:fldCharType="begin"/>
      </w:r>
      <w:r w:rsidRPr="00E94A13">
        <w:rPr>
          <w:b/>
          <w:bCs/>
        </w:rPr>
        <w:instrText>ADVANCE \R 0.95</w:instrText>
      </w:r>
      <w:r w:rsidRPr="009B2BF2">
        <w:rPr>
          <w:b/>
        </w:rPr>
        <w:fldChar w:fldCharType="end"/>
      </w:r>
      <w:r w:rsidRPr="00E94A13">
        <w:rPr>
          <w:b/>
          <w:bCs/>
        </w:rPr>
        <w:t xml:space="preserve">17.  If seeking approval not </w:t>
      </w:r>
      <w:r w:rsidRPr="00E94A13" w:rsidR="00B956BE">
        <w:rPr>
          <w:b/>
          <w:bCs/>
        </w:rPr>
        <w:t xml:space="preserve">to </w:t>
      </w:r>
      <w:r w:rsidRPr="00E94A13">
        <w:rPr>
          <w:b/>
          <w:bCs/>
        </w:rPr>
        <w:t>display the expiration date for OMB approval of the information collection, explain reasons that display would be inappropriate.</w:t>
      </w:r>
      <w:r w:rsidRPr="00E94A13" w:rsidR="00B7513C">
        <w:rPr>
          <w:b/>
          <w:bCs/>
        </w:rPr>
        <w:t xml:space="preserve">  </w:t>
      </w:r>
    </w:p>
    <w:p w:rsidR="00842E74" w:rsidRPr="00E94A13" w:rsidP="00F35F4F" w14:paraId="3A299AD7" w14:textId="77777777">
      <w:pPr>
        <w:spacing w:line="276" w:lineRule="auto"/>
        <w:contextualSpacing/>
        <w:rPr>
          <w:b/>
          <w:bCs/>
          <w:color w:val="000000"/>
        </w:rPr>
      </w:pPr>
    </w:p>
    <w:p w:rsidR="00842E74" w:rsidRPr="00E94A13" w:rsidP="00F35F4F" w14:paraId="6925F8B4" w14:textId="500C796D">
      <w:pPr>
        <w:spacing w:line="276" w:lineRule="auto"/>
        <w:contextualSpacing/>
        <w:rPr>
          <w:color w:val="000000"/>
        </w:rPr>
      </w:pPr>
      <w:r w:rsidRPr="00E94A13">
        <w:rPr>
          <w:color w:val="000000"/>
        </w:rPr>
        <w:t>This collection does not seek approval to not display the expiration date for OMB approval.</w:t>
      </w:r>
      <w:r w:rsidRPr="00E94A13" w:rsidR="00B7513C">
        <w:rPr>
          <w:color w:val="000000"/>
        </w:rPr>
        <w:t xml:space="preserve">  </w:t>
      </w:r>
    </w:p>
    <w:p w:rsidR="00842E74" w:rsidRPr="00E94A13" w:rsidP="00F35F4F" w14:paraId="70C2FFFB" w14:textId="77777777">
      <w:pPr>
        <w:spacing w:line="276" w:lineRule="auto"/>
        <w:contextualSpacing/>
        <w:rPr>
          <w:b/>
          <w:bCs/>
          <w:color w:val="000000"/>
        </w:rPr>
      </w:pPr>
      <w:r w:rsidRPr="009B2BF2">
        <w:rPr>
          <w:b/>
          <w:bCs/>
          <w:color w:val="000000"/>
        </w:rPr>
        <w:fldChar w:fldCharType="begin"/>
      </w:r>
      <w:r w:rsidRPr="00E94A13">
        <w:rPr>
          <w:b/>
          <w:bCs/>
          <w:color w:val="000000"/>
        </w:rPr>
        <w:instrText>ADVANCE \R 0.95</w:instrText>
      </w:r>
      <w:r w:rsidRPr="009B2BF2">
        <w:rPr>
          <w:b/>
          <w:color w:val="000000"/>
        </w:rPr>
        <w:fldChar w:fldCharType="end"/>
      </w:r>
    </w:p>
    <w:p w:rsidR="00842E74" w:rsidRPr="00E94A13" w:rsidP="00F35F4F" w14:paraId="03E34449" w14:textId="22B72400">
      <w:pPr>
        <w:spacing w:line="276" w:lineRule="auto"/>
        <w:contextualSpacing/>
        <w:rPr>
          <w:b/>
          <w:bCs/>
        </w:rPr>
      </w:pPr>
      <w:r w:rsidRPr="009B2BF2">
        <w:rPr>
          <w:b/>
          <w:bCs/>
        </w:rPr>
        <w:fldChar w:fldCharType="begin"/>
      </w:r>
      <w:r w:rsidRPr="00E94A13">
        <w:rPr>
          <w:b/>
          <w:bCs/>
        </w:rPr>
        <w:instrText>ADVANCE \R 0.95</w:instrText>
      </w:r>
      <w:r w:rsidRPr="009B2BF2">
        <w:rPr>
          <w:b/>
        </w:rPr>
        <w:fldChar w:fldCharType="end"/>
      </w:r>
      <w:r w:rsidRPr="00E94A13">
        <w:rPr>
          <w:b/>
          <w:bCs/>
        </w:rPr>
        <w:t>18.  Explain each exception to the certification statement identified in Item 19 “Certification for Paperwork Reduction Act Submissions,” of OMB Form 83-I.</w:t>
      </w:r>
      <w:r w:rsidRPr="00E94A13" w:rsidR="00B7513C">
        <w:rPr>
          <w:b/>
          <w:bCs/>
        </w:rPr>
        <w:t xml:space="preserve">  </w:t>
      </w:r>
    </w:p>
    <w:p w:rsidR="00842E74" w:rsidRPr="00E94A13" w:rsidP="00F35F4F" w14:paraId="40BF60FD" w14:textId="77777777">
      <w:pPr>
        <w:spacing w:line="276" w:lineRule="auto"/>
        <w:contextualSpacing/>
        <w:rPr>
          <w:b/>
          <w:bCs/>
        </w:rPr>
      </w:pPr>
    </w:p>
    <w:p w:rsidR="006A375E" w:rsidRPr="00E94A13" w:rsidP="00F35F4F" w14:paraId="08F893CB" w14:textId="539A05C7">
      <w:pPr>
        <w:spacing w:line="276" w:lineRule="auto"/>
        <w:contextualSpacing/>
      </w:pPr>
      <w:r w:rsidRPr="009B2BF2">
        <w:rPr>
          <w:color w:val="FF0000"/>
        </w:rPr>
        <w:fldChar w:fldCharType="begin"/>
      </w:r>
      <w:r w:rsidRPr="00E94A13">
        <w:rPr>
          <w:color w:val="FF0000"/>
        </w:rPr>
        <w:instrText>ADVANCE \R 0.95</w:instrText>
      </w:r>
      <w:r w:rsidRPr="009B2BF2">
        <w:rPr>
          <w:color w:val="FF0000"/>
        </w:rPr>
        <w:fldChar w:fldCharType="end"/>
      </w:r>
      <w:r w:rsidRPr="00E94A13">
        <w:rPr>
          <w:color w:val="000000"/>
        </w:rPr>
        <w:t>This collection does not seek exception to “Certification for Paperwork Reduction Act Submissions”.</w:t>
      </w:r>
      <w:r w:rsidRPr="00E94A13">
        <w:t xml:space="preserve">  </w:t>
      </w:r>
      <w:r w:rsidRPr="00011888">
        <w:rPr>
          <w:color w:val="000000"/>
        </w:rPr>
        <w:t>Statistical Survey methodology is not applicable</w:t>
      </w:r>
      <w:r w:rsidRPr="009B2BF2" w:rsidR="00BD2DFF">
        <w:rPr>
          <w:color w:val="000000"/>
        </w:rPr>
        <w:t>.</w:t>
      </w:r>
      <w:r w:rsidRPr="009B2BF2" w:rsidR="00B7513C">
        <w:rPr>
          <w:color w:val="000000"/>
        </w:rPr>
        <w:t xml:space="preserve">  </w:t>
      </w:r>
    </w:p>
    <w:p w:rsidR="00372ED0" w:rsidRPr="00F35F4F" w:rsidP="00F35F4F" w14:paraId="434A89F8" w14:textId="77777777">
      <w:pPr>
        <w:spacing w:line="276" w:lineRule="auto"/>
        <w:contextualSpacing/>
        <w:rPr>
          <w:b/>
        </w:rPr>
      </w:pPr>
    </w:p>
    <w:p w:rsidR="00842E74" w:rsidRPr="00E94A13" w:rsidP="00F35F4F" w14:paraId="1D9BC3EA" w14:textId="3BBECBD3">
      <w:pPr>
        <w:tabs>
          <w:tab w:val="left" w:pos="-720"/>
        </w:tabs>
        <w:suppressAutoHyphens/>
        <w:spacing w:line="276" w:lineRule="auto"/>
        <w:contextualSpacing/>
        <w:rPr>
          <w:b/>
        </w:rPr>
      </w:pPr>
      <w:r w:rsidRPr="00E94A13">
        <w:rPr>
          <w:b/>
        </w:rPr>
        <w:t>B.  Collections of Information Employing Statistical Methods.</w:t>
      </w:r>
      <w:r w:rsidRPr="00E94A13" w:rsidR="00B7513C">
        <w:rPr>
          <w:b/>
        </w:rPr>
        <w:t xml:space="preserve">  </w:t>
      </w:r>
    </w:p>
    <w:p w:rsidR="00842E74" w:rsidRPr="00E94A13" w:rsidP="00F35F4F" w14:paraId="7BB7B328" w14:textId="77777777">
      <w:pPr>
        <w:tabs>
          <w:tab w:val="left" w:pos="-720"/>
        </w:tabs>
        <w:suppressAutoHyphens/>
        <w:spacing w:line="276" w:lineRule="auto"/>
        <w:contextualSpacing/>
        <w:rPr>
          <w:color w:val="000000"/>
        </w:rPr>
      </w:pPr>
      <w:r w:rsidRPr="009B2BF2">
        <w:fldChar w:fldCharType="begin"/>
      </w:r>
      <w:r w:rsidRPr="00E94A13">
        <w:instrText>ADVANCE \R 0.95</w:instrText>
      </w:r>
      <w:r w:rsidRPr="009B2BF2">
        <w:fldChar w:fldCharType="end"/>
      </w:r>
      <w:r w:rsidRPr="009B2BF2">
        <w:fldChar w:fldCharType="begin"/>
      </w:r>
      <w:r w:rsidRPr="00E94A13">
        <w:instrText>ADVANCE \R 0.95</w:instrText>
      </w:r>
      <w:r w:rsidRPr="009B2BF2">
        <w:fldChar w:fldCharType="end"/>
      </w:r>
      <w:r w:rsidRPr="00E94A13">
        <w:rPr>
          <w:color w:val="000000"/>
        </w:rPr>
        <w:tab/>
      </w:r>
    </w:p>
    <w:p w:rsidR="00251C9E" w:rsidRPr="00E94A13" w:rsidP="00F35F4F" w14:paraId="51610CDA" w14:textId="4AEF4F09">
      <w:pPr>
        <w:tabs>
          <w:tab w:val="left" w:pos="-720"/>
        </w:tabs>
        <w:suppressAutoHyphens/>
        <w:spacing w:line="276" w:lineRule="auto"/>
        <w:contextualSpacing/>
        <w:rPr>
          <w:b/>
          <w:color w:val="000000"/>
        </w:rPr>
      </w:pPr>
      <w:r w:rsidRPr="00E94A13">
        <w:rPr>
          <w:b/>
          <w:color w:val="000000"/>
        </w:rPr>
        <w:t>THERE IS NO STATISTICAL METHODOLOGY INVOLVED IN THIS COLLECTION</w:t>
      </w:r>
      <w:r w:rsidRPr="00E94A13" w:rsidR="00BD2DFF">
        <w:rPr>
          <w:b/>
          <w:color w:val="000000"/>
        </w:rPr>
        <w:t>.</w:t>
      </w:r>
      <w:r w:rsidRPr="00E94A13" w:rsidR="00B7513C">
        <w:rPr>
          <w:b/>
          <w:color w:val="000000"/>
        </w:rPr>
        <w:t xml:space="preserve">  </w:t>
      </w:r>
    </w:p>
    <w:p w:rsidR="00251C9E" w:rsidRPr="00E94A13" w:rsidP="00F35F4F" w14:paraId="1336E2D6" w14:textId="77777777">
      <w:pPr>
        <w:pStyle w:val="BodyTextIndent"/>
        <w:shd w:val="clear" w:color="auto" w:fill="auto"/>
        <w:spacing w:line="276" w:lineRule="auto"/>
        <w:ind w:left="0"/>
        <w:contextualSpacing/>
        <w:rPr>
          <w:b/>
          <w:sz w:val="24"/>
          <w:szCs w:val="24"/>
        </w:rPr>
      </w:pPr>
    </w:p>
    <w:sectPr>
      <w:footerReference w:type="even" r:id="rId11"/>
      <w:footerReference w:type="default" r:id="rId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842" w:rsidP="005C41F4" w14:paraId="178B3D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842" w14:paraId="53C81FA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842" w:rsidP="005C41F4" w14:paraId="443F09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A63842" w14:paraId="4150324E"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5C60" w14:paraId="1BDF5DDD" w14:textId="77777777">
      <w:r>
        <w:separator/>
      </w:r>
    </w:p>
  </w:footnote>
  <w:footnote w:type="continuationSeparator" w:id="1">
    <w:p w:rsidR="00315C60" w14:paraId="76C3C6A7" w14:textId="77777777">
      <w:r>
        <w:continuationSeparator/>
      </w:r>
    </w:p>
  </w:footnote>
  <w:footnote w:type="continuationNotice" w:id="2">
    <w:p w:rsidR="00315C60" w14:paraId="1ED28BD4" w14:textId="77777777"/>
  </w:footnote>
  <w:footnote w:id="3">
    <w:p w:rsidR="00E7583B" w:rsidP="00E7583B" w14:paraId="6618A16E" w14:textId="77777777">
      <w:pPr>
        <w:pStyle w:val="FootnoteText"/>
        <w:rPr>
          <w:rFonts w:ascii="Times New Roman" w:hAnsi="Times New Roman" w:cs="Times New Roman"/>
          <w:sz w:val="16"/>
          <w:szCs w:val="16"/>
        </w:rPr>
      </w:pPr>
      <w:r w:rsidRPr="00F35F4F">
        <w:rPr>
          <w:rStyle w:val="FootnoteReference"/>
          <w:rFonts w:ascii="Times New Roman" w:hAnsi="Times New Roman" w:cs="Times New Roman"/>
          <w:sz w:val="16"/>
          <w:szCs w:val="16"/>
        </w:rPr>
        <w:footnoteRef/>
      </w:r>
      <w:r w:rsidRPr="00F35F4F">
        <w:rPr>
          <w:rFonts w:ascii="Times New Roman" w:hAnsi="Times New Roman" w:cs="Times New Roman"/>
          <w:sz w:val="16"/>
          <w:szCs w:val="16"/>
        </w:rPr>
        <w:t xml:space="preserve"> Bureau of Labor Statistics, Employer Costs for Employee Compensation, Table 1.  Available at </w:t>
      </w:r>
      <w:hyperlink r:id="rId1" w:history="1">
        <w:r w:rsidRPr="00F35F4F">
          <w:rPr>
            <w:rStyle w:val="Hyperlink"/>
            <w:rFonts w:ascii="Times New Roman" w:hAnsi="Times New Roman" w:cs="Times New Roman"/>
            <w:sz w:val="16"/>
            <w:szCs w:val="16"/>
          </w:rPr>
          <w:t>https://www.bls.gov/news.release/archives/ecec_03182022.pdf</w:t>
        </w:r>
      </w:hyperlink>
      <w:r w:rsidRPr="00F35F4F">
        <w:rPr>
          <w:rFonts w:ascii="Times New Roman" w:hAnsi="Times New Roman" w:cs="Times New Roman"/>
          <w:sz w:val="16"/>
          <w:szCs w:val="16"/>
        </w:rPr>
        <w:t xml:space="preserve">.  </w:t>
      </w:r>
      <w:r w:rsidRPr="00F35F4F">
        <w:rPr>
          <w:rStyle w:val="normaltextrun"/>
          <w:rFonts w:ascii="Times New Roman" w:eastAsia="Times New Roman" w:hAnsi="Times New Roman" w:cs="Times New Roman"/>
          <w:color w:val="000000"/>
          <w:sz w:val="16"/>
          <w:szCs w:val="16"/>
          <w:shd w:val="clear" w:color="auto" w:fill="FFFFFF"/>
        </w:rPr>
        <w:t>Accessed March 29, 2022</w:t>
      </w:r>
      <w:r w:rsidRPr="00F35F4F">
        <w:rPr>
          <w:rFonts w:ascii="Times New Roman" w:hAnsi="Times New Roman" w:cs="Times New Roman"/>
          <w:sz w:val="16"/>
          <w:szCs w:val="16"/>
        </w:rPr>
        <w:t>.  The wage multiplier is calculated by dividing total compensation for all workers of $40.35 by wages and salaries for all workers of $27.83 per hour yielding a benefits multiplier of approximately 1.45.</w:t>
      </w:r>
    </w:p>
    <w:p w:rsidR="00E7583B" w:rsidRPr="00F35F4F" w:rsidP="00E7583B" w14:paraId="59F5DF50" w14:textId="77777777">
      <w:pPr>
        <w:pStyle w:val="FootnoteText"/>
        <w:rPr>
          <w:rFonts w:ascii="Times New Roman" w:hAnsi="Times New Roman" w:cs="Times New Roman"/>
          <w:sz w:val="16"/>
          <w:szCs w:val="16"/>
        </w:rPr>
      </w:pPr>
    </w:p>
  </w:footnote>
  <w:footnote w:id="4">
    <w:p w:rsidR="005E4790" w:rsidRPr="00F35F4F" w:rsidP="005E4790" w14:paraId="2A4D2675" w14:textId="02C2E666">
      <w:pPr>
        <w:pStyle w:val="FootnoteText"/>
        <w:rPr>
          <w:rFonts w:ascii="Times New Roman" w:hAnsi="Times New Roman" w:cs="Times New Roman"/>
          <w:sz w:val="16"/>
          <w:szCs w:val="16"/>
        </w:rPr>
      </w:pPr>
      <w:r w:rsidRPr="00F35F4F">
        <w:rPr>
          <w:rStyle w:val="FootnoteReference"/>
          <w:rFonts w:ascii="Times New Roman" w:hAnsi="Times New Roman" w:cs="Times New Roman"/>
          <w:sz w:val="16"/>
          <w:szCs w:val="16"/>
        </w:rPr>
        <w:footnoteRef/>
      </w:r>
      <w:r w:rsidRPr="00F35F4F">
        <w:rPr>
          <w:rFonts w:ascii="Times New Roman" w:hAnsi="Times New Roman" w:cs="Times New Roman"/>
          <w:sz w:val="16"/>
          <w:szCs w:val="16"/>
        </w:rPr>
        <w:t xml:space="preserve"> </w:t>
      </w:r>
      <w:r w:rsidRPr="00F35F4F">
        <w:rPr>
          <w:rFonts w:ascii="Times New Roman" w:hAnsi="Times New Roman" w:cs="Times New Roman"/>
          <w:sz w:val="16"/>
          <w:szCs w:val="16"/>
        </w:rPr>
        <w:t xml:space="preserve">Information on the mean wage rate from the U.S. Department of Labor, Bureau of Labor Statistics is available online at: </w:t>
      </w:r>
      <w:hyperlink r:id="rId2" w:history="1">
        <w:r w:rsidRPr="00F35F4F">
          <w:rPr>
            <w:rStyle w:val="Hyperlink"/>
            <w:rFonts w:ascii="Times New Roman" w:hAnsi="Times New Roman" w:cs="Times New Roman"/>
            <w:sz w:val="16"/>
            <w:szCs w:val="16"/>
          </w:rPr>
          <w:t>https://www.bls.gov/oes/2021/may/oes_nat.htm</w:t>
        </w:r>
      </w:hyperlink>
    </w:p>
    <w:p w:rsidR="00BF30B4" w14:paraId="5F059118" w14:textId="1111CEB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34BF5"/>
    <w:multiLevelType w:val="hybridMultilevel"/>
    <w:tmpl w:val="C9C05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2B0901"/>
    <w:multiLevelType w:val="hybridMultilevel"/>
    <w:tmpl w:val="71BEFE18"/>
    <w:lvl w:ilvl="0">
      <w:start w:val="13"/>
      <w:numFmt w:val="decimal"/>
      <w:lvlText w:val="%1."/>
      <w:lvlJc w:val="left"/>
      <w:pPr>
        <w:tabs>
          <w:tab w:val="num" w:pos="720"/>
        </w:tabs>
        <w:ind w:left="720" w:hanging="420"/>
      </w:pPr>
      <w:rPr>
        <w:rFonts w:hint="default"/>
      </w:rPr>
    </w:lvl>
    <w:lvl w:ilvl="1">
      <w:start w:val="1"/>
      <w:numFmt w:val="lowerLetter"/>
      <w:lvlText w:val="%2."/>
      <w:lvlJc w:val="left"/>
      <w:pPr>
        <w:tabs>
          <w:tab w:val="num" w:pos="1380"/>
        </w:tabs>
        <w:ind w:left="1380" w:hanging="360"/>
      </w:pPr>
      <w:rPr>
        <w:rFonts w:hint="default"/>
      </w:r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5FF6E0D"/>
    <w:multiLevelType w:val="hybridMultilevel"/>
    <w:tmpl w:val="B0620D2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AF81A8C"/>
    <w:multiLevelType w:val="hybridMultilevel"/>
    <w:tmpl w:val="F5A2C9B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1">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2">
    <w:nsid w:val="685B423E"/>
    <w:multiLevelType w:val="hybridMultilevel"/>
    <w:tmpl w:val="3DAAEE7A"/>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2BE2654"/>
    <w:multiLevelType w:val="hybridMultilevel"/>
    <w:tmpl w:val="B8E23D0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319114030">
    <w:abstractNumId w:val="11"/>
  </w:num>
  <w:num w:numId="2" w16cid:durableId="1689795820">
    <w:abstractNumId w:val="9"/>
  </w:num>
  <w:num w:numId="3" w16cid:durableId="1830360902">
    <w:abstractNumId w:val="5"/>
  </w:num>
  <w:num w:numId="4" w16cid:durableId="248124707">
    <w:abstractNumId w:val="15"/>
  </w:num>
  <w:num w:numId="5" w16cid:durableId="1062488634">
    <w:abstractNumId w:val="2"/>
  </w:num>
  <w:num w:numId="6" w16cid:durableId="1349984769">
    <w:abstractNumId w:val="10"/>
  </w:num>
  <w:num w:numId="7" w16cid:durableId="378358822">
    <w:abstractNumId w:val="7"/>
  </w:num>
  <w:num w:numId="8" w16cid:durableId="1209024636">
    <w:abstractNumId w:val="12"/>
  </w:num>
  <w:num w:numId="9" w16cid:durableId="2321682">
    <w:abstractNumId w:val="1"/>
  </w:num>
  <w:num w:numId="10" w16cid:durableId="1360358421">
    <w:abstractNumId w:val="14"/>
  </w:num>
  <w:num w:numId="11" w16cid:durableId="2071270031">
    <w:abstractNumId w:val="13"/>
  </w:num>
  <w:num w:numId="12" w16cid:durableId="1208027526">
    <w:abstractNumId w:val="6"/>
  </w:num>
  <w:num w:numId="13" w16cid:durableId="1493983585">
    <w:abstractNumId w:val="3"/>
  </w:num>
  <w:num w:numId="14" w16cid:durableId="1981878926">
    <w:abstractNumId w:val="8"/>
  </w:num>
  <w:num w:numId="15" w16cid:durableId="711464374">
    <w:abstractNumId w:val="4"/>
  </w:num>
  <w:num w:numId="16" w16cid:durableId="1880623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39"/>
    <w:rsid w:val="000008AE"/>
    <w:rsid w:val="00000FD5"/>
    <w:rsid w:val="00003F53"/>
    <w:rsid w:val="00004549"/>
    <w:rsid w:val="00007925"/>
    <w:rsid w:val="00011293"/>
    <w:rsid w:val="0001146C"/>
    <w:rsid w:val="0001174B"/>
    <w:rsid w:val="00011888"/>
    <w:rsid w:val="00012E55"/>
    <w:rsid w:val="00013BB3"/>
    <w:rsid w:val="00014678"/>
    <w:rsid w:val="00015DFF"/>
    <w:rsid w:val="00015E84"/>
    <w:rsid w:val="00017D72"/>
    <w:rsid w:val="00020360"/>
    <w:rsid w:val="00020610"/>
    <w:rsid w:val="0002071B"/>
    <w:rsid w:val="00021F41"/>
    <w:rsid w:val="00023AF6"/>
    <w:rsid w:val="00025F46"/>
    <w:rsid w:val="0002616A"/>
    <w:rsid w:val="00030302"/>
    <w:rsid w:val="00030914"/>
    <w:rsid w:val="00030F34"/>
    <w:rsid w:val="000312C7"/>
    <w:rsid w:val="00031C7B"/>
    <w:rsid w:val="000320D1"/>
    <w:rsid w:val="0003225F"/>
    <w:rsid w:val="0003261A"/>
    <w:rsid w:val="000375D9"/>
    <w:rsid w:val="00037A24"/>
    <w:rsid w:val="00040A45"/>
    <w:rsid w:val="000412C5"/>
    <w:rsid w:val="00044629"/>
    <w:rsid w:val="00047212"/>
    <w:rsid w:val="0005251D"/>
    <w:rsid w:val="0005464D"/>
    <w:rsid w:val="000559BD"/>
    <w:rsid w:val="0005618F"/>
    <w:rsid w:val="00056BA8"/>
    <w:rsid w:val="00056C06"/>
    <w:rsid w:val="00056CAC"/>
    <w:rsid w:val="00057E4C"/>
    <w:rsid w:val="00061951"/>
    <w:rsid w:val="00061A4E"/>
    <w:rsid w:val="0006306F"/>
    <w:rsid w:val="00064EC2"/>
    <w:rsid w:val="00066229"/>
    <w:rsid w:val="0006748E"/>
    <w:rsid w:val="00071283"/>
    <w:rsid w:val="00072213"/>
    <w:rsid w:val="00073D0F"/>
    <w:rsid w:val="00077468"/>
    <w:rsid w:val="00080B53"/>
    <w:rsid w:val="00083DBA"/>
    <w:rsid w:val="00084387"/>
    <w:rsid w:val="0009016B"/>
    <w:rsid w:val="0009021F"/>
    <w:rsid w:val="0009032C"/>
    <w:rsid w:val="0009378D"/>
    <w:rsid w:val="00094BFB"/>
    <w:rsid w:val="00095049"/>
    <w:rsid w:val="000A17F2"/>
    <w:rsid w:val="000A201D"/>
    <w:rsid w:val="000A2FA3"/>
    <w:rsid w:val="000A3C21"/>
    <w:rsid w:val="000A5B6F"/>
    <w:rsid w:val="000A6018"/>
    <w:rsid w:val="000A718C"/>
    <w:rsid w:val="000B06F8"/>
    <w:rsid w:val="000B0C3D"/>
    <w:rsid w:val="000B103F"/>
    <w:rsid w:val="000B2EB7"/>
    <w:rsid w:val="000B3CA4"/>
    <w:rsid w:val="000B77EB"/>
    <w:rsid w:val="000C24BD"/>
    <w:rsid w:val="000C473C"/>
    <w:rsid w:val="000C6EF3"/>
    <w:rsid w:val="000C7896"/>
    <w:rsid w:val="000D3643"/>
    <w:rsid w:val="000D42C7"/>
    <w:rsid w:val="000D479A"/>
    <w:rsid w:val="000D4BA4"/>
    <w:rsid w:val="000D529A"/>
    <w:rsid w:val="000D7A84"/>
    <w:rsid w:val="000E0572"/>
    <w:rsid w:val="000E107B"/>
    <w:rsid w:val="000E26D3"/>
    <w:rsid w:val="000E667F"/>
    <w:rsid w:val="000E714F"/>
    <w:rsid w:val="000F0E33"/>
    <w:rsid w:val="000F1EBE"/>
    <w:rsid w:val="000F4423"/>
    <w:rsid w:val="000F55B2"/>
    <w:rsid w:val="000F6293"/>
    <w:rsid w:val="000F6DEE"/>
    <w:rsid w:val="00101568"/>
    <w:rsid w:val="00101F22"/>
    <w:rsid w:val="00102508"/>
    <w:rsid w:val="00102D90"/>
    <w:rsid w:val="00103274"/>
    <w:rsid w:val="00103F26"/>
    <w:rsid w:val="00105BBA"/>
    <w:rsid w:val="00106F37"/>
    <w:rsid w:val="001073B1"/>
    <w:rsid w:val="00107D78"/>
    <w:rsid w:val="00111908"/>
    <w:rsid w:val="00113C60"/>
    <w:rsid w:val="00114EB7"/>
    <w:rsid w:val="00116BB8"/>
    <w:rsid w:val="0012366D"/>
    <w:rsid w:val="00123BAE"/>
    <w:rsid w:val="00124977"/>
    <w:rsid w:val="001264E9"/>
    <w:rsid w:val="00133C8B"/>
    <w:rsid w:val="0013417A"/>
    <w:rsid w:val="00134D64"/>
    <w:rsid w:val="00136BF5"/>
    <w:rsid w:val="00140903"/>
    <w:rsid w:val="00143275"/>
    <w:rsid w:val="001434F7"/>
    <w:rsid w:val="00144502"/>
    <w:rsid w:val="001445BE"/>
    <w:rsid w:val="00144DF5"/>
    <w:rsid w:val="00146B84"/>
    <w:rsid w:val="00146E73"/>
    <w:rsid w:val="0015054F"/>
    <w:rsid w:val="001505FC"/>
    <w:rsid w:val="00152605"/>
    <w:rsid w:val="001527DE"/>
    <w:rsid w:val="0015590D"/>
    <w:rsid w:val="00155AE9"/>
    <w:rsid w:val="00156293"/>
    <w:rsid w:val="00156752"/>
    <w:rsid w:val="0016035A"/>
    <w:rsid w:val="00161638"/>
    <w:rsid w:val="001626F1"/>
    <w:rsid w:val="00164DB6"/>
    <w:rsid w:val="0016561E"/>
    <w:rsid w:val="0016607C"/>
    <w:rsid w:val="00172476"/>
    <w:rsid w:val="0017248C"/>
    <w:rsid w:val="0017591D"/>
    <w:rsid w:val="001768BA"/>
    <w:rsid w:val="00176C6C"/>
    <w:rsid w:val="00177980"/>
    <w:rsid w:val="00180092"/>
    <w:rsid w:val="00180653"/>
    <w:rsid w:val="0018177D"/>
    <w:rsid w:val="001820ED"/>
    <w:rsid w:val="00183D39"/>
    <w:rsid w:val="00183F37"/>
    <w:rsid w:val="0018513D"/>
    <w:rsid w:val="001866C4"/>
    <w:rsid w:val="00190F6C"/>
    <w:rsid w:val="001910C6"/>
    <w:rsid w:val="00194A19"/>
    <w:rsid w:val="001963E7"/>
    <w:rsid w:val="0019730C"/>
    <w:rsid w:val="001A0E58"/>
    <w:rsid w:val="001A2DBE"/>
    <w:rsid w:val="001A55F0"/>
    <w:rsid w:val="001A69A7"/>
    <w:rsid w:val="001A793A"/>
    <w:rsid w:val="001B1652"/>
    <w:rsid w:val="001B3FB1"/>
    <w:rsid w:val="001B5113"/>
    <w:rsid w:val="001B6713"/>
    <w:rsid w:val="001C0D21"/>
    <w:rsid w:val="001C1D70"/>
    <w:rsid w:val="001C2815"/>
    <w:rsid w:val="001C7D6D"/>
    <w:rsid w:val="001D7855"/>
    <w:rsid w:val="001E2ED2"/>
    <w:rsid w:val="001E3BE2"/>
    <w:rsid w:val="001E3F00"/>
    <w:rsid w:val="001E5DA3"/>
    <w:rsid w:val="001E6DCE"/>
    <w:rsid w:val="001F015E"/>
    <w:rsid w:val="001F2224"/>
    <w:rsid w:val="001F4F67"/>
    <w:rsid w:val="001F58C4"/>
    <w:rsid w:val="00201EB8"/>
    <w:rsid w:val="00203276"/>
    <w:rsid w:val="00203AA5"/>
    <w:rsid w:val="00204416"/>
    <w:rsid w:val="002069D7"/>
    <w:rsid w:val="00207FE2"/>
    <w:rsid w:val="0021124A"/>
    <w:rsid w:val="00212EEE"/>
    <w:rsid w:val="002137DD"/>
    <w:rsid w:val="00214C40"/>
    <w:rsid w:val="00216987"/>
    <w:rsid w:val="00220FE7"/>
    <w:rsid w:val="0022270D"/>
    <w:rsid w:val="00222E7E"/>
    <w:rsid w:val="002236B8"/>
    <w:rsid w:val="0022670D"/>
    <w:rsid w:val="002267CB"/>
    <w:rsid w:val="00227ED9"/>
    <w:rsid w:val="00232C69"/>
    <w:rsid w:val="00232DC4"/>
    <w:rsid w:val="00233D68"/>
    <w:rsid w:val="00234AC6"/>
    <w:rsid w:val="0024117D"/>
    <w:rsid w:val="00241466"/>
    <w:rsid w:val="0024156A"/>
    <w:rsid w:val="00244342"/>
    <w:rsid w:val="00244B84"/>
    <w:rsid w:val="002459E1"/>
    <w:rsid w:val="00245FB5"/>
    <w:rsid w:val="00246200"/>
    <w:rsid w:val="00251BCD"/>
    <w:rsid w:val="00251C9E"/>
    <w:rsid w:val="00253BC5"/>
    <w:rsid w:val="00256561"/>
    <w:rsid w:val="00257E4F"/>
    <w:rsid w:val="00257EA0"/>
    <w:rsid w:val="002627AE"/>
    <w:rsid w:val="002637E5"/>
    <w:rsid w:val="0026409C"/>
    <w:rsid w:val="0026549A"/>
    <w:rsid w:val="00266343"/>
    <w:rsid w:val="00271226"/>
    <w:rsid w:val="00271297"/>
    <w:rsid w:val="00271900"/>
    <w:rsid w:val="00272868"/>
    <w:rsid w:val="002736F5"/>
    <w:rsid w:val="00274499"/>
    <w:rsid w:val="002750B6"/>
    <w:rsid w:val="002765BB"/>
    <w:rsid w:val="0027662B"/>
    <w:rsid w:val="00276A95"/>
    <w:rsid w:val="002774BB"/>
    <w:rsid w:val="0028012C"/>
    <w:rsid w:val="002803AF"/>
    <w:rsid w:val="00280627"/>
    <w:rsid w:val="00281A26"/>
    <w:rsid w:val="002821E6"/>
    <w:rsid w:val="00283C13"/>
    <w:rsid w:val="0028450B"/>
    <w:rsid w:val="00284795"/>
    <w:rsid w:val="00290000"/>
    <w:rsid w:val="00291DA6"/>
    <w:rsid w:val="00292BF6"/>
    <w:rsid w:val="00294225"/>
    <w:rsid w:val="00295D3D"/>
    <w:rsid w:val="00295EC6"/>
    <w:rsid w:val="0029640F"/>
    <w:rsid w:val="00297238"/>
    <w:rsid w:val="002978EF"/>
    <w:rsid w:val="002A33B9"/>
    <w:rsid w:val="002A4B95"/>
    <w:rsid w:val="002A4DB5"/>
    <w:rsid w:val="002A5F0A"/>
    <w:rsid w:val="002A6107"/>
    <w:rsid w:val="002A65D6"/>
    <w:rsid w:val="002A6EEE"/>
    <w:rsid w:val="002A7FA1"/>
    <w:rsid w:val="002B08B5"/>
    <w:rsid w:val="002B186C"/>
    <w:rsid w:val="002B43BA"/>
    <w:rsid w:val="002B5778"/>
    <w:rsid w:val="002B66B0"/>
    <w:rsid w:val="002C0656"/>
    <w:rsid w:val="002C1798"/>
    <w:rsid w:val="002C1D9F"/>
    <w:rsid w:val="002C2083"/>
    <w:rsid w:val="002C2236"/>
    <w:rsid w:val="002C2691"/>
    <w:rsid w:val="002C31A2"/>
    <w:rsid w:val="002C7350"/>
    <w:rsid w:val="002D02B7"/>
    <w:rsid w:val="002D0420"/>
    <w:rsid w:val="002D2C7F"/>
    <w:rsid w:val="002D6E1C"/>
    <w:rsid w:val="002E00A8"/>
    <w:rsid w:val="002E2551"/>
    <w:rsid w:val="002E3881"/>
    <w:rsid w:val="002E4863"/>
    <w:rsid w:val="002E48AC"/>
    <w:rsid w:val="002E5D97"/>
    <w:rsid w:val="002E6F41"/>
    <w:rsid w:val="002F4ED3"/>
    <w:rsid w:val="002F5299"/>
    <w:rsid w:val="00300361"/>
    <w:rsid w:val="003004C6"/>
    <w:rsid w:val="00301173"/>
    <w:rsid w:val="0030204A"/>
    <w:rsid w:val="003030CE"/>
    <w:rsid w:val="0030374B"/>
    <w:rsid w:val="00303E9D"/>
    <w:rsid w:val="00305418"/>
    <w:rsid w:val="00305630"/>
    <w:rsid w:val="00306641"/>
    <w:rsid w:val="003076D8"/>
    <w:rsid w:val="0031123D"/>
    <w:rsid w:val="00314C82"/>
    <w:rsid w:val="00315C60"/>
    <w:rsid w:val="00315C8F"/>
    <w:rsid w:val="00316337"/>
    <w:rsid w:val="0031747C"/>
    <w:rsid w:val="00317B32"/>
    <w:rsid w:val="003208AF"/>
    <w:rsid w:val="0032449D"/>
    <w:rsid w:val="00324CA5"/>
    <w:rsid w:val="00326497"/>
    <w:rsid w:val="00327145"/>
    <w:rsid w:val="00330B7A"/>
    <w:rsid w:val="003353B7"/>
    <w:rsid w:val="00337435"/>
    <w:rsid w:val="00337708"/>
    <w:rsid w:val="00337AF9"/>
    <w:rsid w:val="0034006B"/>
    <w:rsid w:val="003405AC"/>
    <w:rsid w:val="003406AA"/>
    <w:rsid w:val="00340956"/>
    <w:rsid w:val="00341181"/>
    <w:rsid w:val="00342029"/>
    <w:rsid w:val="00342E9A"/>
    <w:rsid w:val="00342FAD"/>
    <w:rsid w:val="003439E1"/>
    <w:rsid w:val="00347D7F"/>
    <w:rsid w:val="00350442"/>
    <w:rsid w:val="00350562"/>
    <w:rsid w:val="00350CE2"/>
    <w:rsid w:val="0035232D"/>
    <w:rsid w:val="003535AF"/>
    <w:rsid w:val="0035505F"/>
    <w:rsid w:val="003563A3"/>
    <w:rsid w:val="0035725C"/>
    <w:rsid w:val="00357FE9"/>
    <w:rsid w:val="00360543"/>
    <w:rsid w:val="00360DB9"/>
    <w:rsid w:val="00361118"/>
    <w:rsid w:val="00361EE7"/>
    <w:rsid w:val="0036412B"/>
    <w:rsid w:val="0036436A"/>
    <w:rsid w:val="003662F6"/>
    <w:rsid w:val="00366B0C"/>
    <w:rsid w:val="00372ED0"/>
    <w:rsid w:val="00373909"/>
    <w:rsid w:val="00377703"/>
    <w:rsid w:val="00380944"/>
    <w:rsid w:val="003827FA"/>
    <w:rsid w:val="003837E6"/>
    <w:rsid w:val="00383FDC"/>
    <w:rsid w:val="003850B4"/>
    <w:rsid w:val="00386F5C"/>
    <w:rsid w:val="003874B7"/>
    <w:rsid w:val="00392278"/>
    <w:rsid w:val="00393520"/>
    <w:rsid w:val="003979A6"/>
    <w:rsid w:val="003A091C"/>
    <w:rsid w:val="003A270D"/>
    <w:rsid w:val="003A62B3"/>
    <w:rsid w:val="003A6739"/>
    <w:rsid w:val="003A7E67"/>
    <w:rsid w:val="003B0EB5"/>
    <w:rsid w:val="003B5660"/>
    <w:rsid w:val="003C0DA0"/>
    <w:rsid w:val="003C132D"/>
    <w:rsid w:val="003C3AED"/>
    <w:rsid w:val="003C6924"/>
    <w:rsid w:val="003C6A0A"/>
    <w:rsid w:val="003C6DAB"/>
    <w:rsid w:val="003D0757"/>
    <w:rsid w:val="003D1417"/>
    <w:rsid w:val="003D1ABC"/>
    <w:rsid w:val="003D2316"/>
    <w:rsid w:val="003D3E8D"/>
    <w:rsid w:val="003D4FEF"/>
    <w:rsid w:val="003D50D8"/>
    <w:rsid w:val="003D5348"/>
    <w:rsid w:val="003D5EF6"/>
    <w:rsid w:val="003D7A87"/>
    <w:rsid w:val="003E6200"/>
    <w:rsid w:val="003E6993"/>
    <w:rsid w:val="003E7E16"/>
    <w:rsid w:val="003E7F40"/>
    <w:rsid w:val="003F01F5"/>
    <w:rsid w:val="003F07CA"/>
    <w:rsid w:val="003F1100"/>
    <w:rsid w:val="003F2697"/>
    <w:rsid w:val="003F6DD8"/>
    <w:rsid w:val="003F7654"/>
    <w:rsid w:val="00400D4A"/>
    <w:rsid w:val="00400DBC"/>
    <w:rsid w:val="004016EB"/>
    <w:rsid w:val="004019BC"/>
    <w:rsid w:val="00402848"/>
    <w:rsid w:val="004035F4"/>
    <w:rsid w:val="00405DA8"/>
    <w:rsid w:val="00406D01"/>
    <w:rsid w:val="004075C0"/>
    <w:rsid w:val="00407F09"/>
    <w:rsid w:val="00411609"/>
    <w:rsid w:val="004129CD"/>
    <w:rsid w:val="00413856"/>
    <w:rsid w:val="00416638"/>
    <w:rsid w:val="004166CE"/>
    <w:rsid w:val="004170AC"/>
    <w:rsid w:val="004174D9"/>
    <w:rsid w:val="00420CCC"/>
    <w:rsid w:val="0042103C"/>
    <w:rsid w:val="00421C5D"/>
    <w:rsid w:val="00423177"/>
    <w:rsid w:val="00425399"/>
    <w:rsid w:val="004265FB"/>
    <w:rsid w:val="00426A7E"/>
    <w:rsid w:val="00432406"/>
    <w:rsid w:val="00436CC3"/>
    <w:rsid w:val="00437076"/>
    <w:rsid w:val="00441922"/>
    <w:rsid w:val="00443768"/>
    <w:rsid w:val="00444566"/>
    <w:rsid w:val="00444A61"/>
    <w:rsid w:val="00446784"/>
    <w:rsid w:val="00447160"/>
    <w:rsid w:val="00450314"/>
    <w:rsid w:val="00451FE0"/>
    <w:rsid w:val="00452A9C"/>
    <w:rsid w:val="0045324F"/>
    <w:rsid w:val="0045651F"/>
    <w:rsid w:val="00456A1D"/>
    <w:rsid w:val="00460F18"/>
    <w:rsid w:val="00462007"/>
    <w:rsid w:val="00462295"/>
    <w:rsid w:val="0046376B"/>
    <w:rsid w:val="0046431C"/>
    <w:rsid w:val="00465E3A"/>
    <w:rsid w:val="00465F49"/>
    <w:rsid w:val="0046655E"/>
    <w:rsid w:val="0046759A"/>
    <w:rsid w:val="00467E40"/>
    <w:rsid w:val="0047092B"/>
    <w:rsid w:val="004747FC"/>
    <w:rsid w:val="00474DC8"/>
    <w:rsid w:val="004754F8"/>
    <w:rsid w:val="004762BB"/>
    <w:rsid w:val="00482C2A"/>
    <w:rsid w:val="004842F4"/>
    <w:rsid w:val="00484DCB"/>
    <w:rsid w:val="0048796A"/>
    <w:rsid w:val="00493840"/>
    <w:rsid w:val="00493A91"/>
    <w:rsid w:val="00493C00"/>
    <w:rsid w:val="00495531"/>
    <w:rsid w:val="004958BB"/>
    <w:rsid w:val="00495A66"/>
    <w:rsid w:val="004A06A8"/>
    <w:rsid w:val="004A1B78"/>
    <w:rsid w:val="004A1C2A"/>
    <w:rsid w:val="004A3517"/>
    <w:rsid w:val="004A3BFC"/>
    <w:rsid w:val="004A3E53"/>
    <w:rsid w:val="004A4C63"/>
    <w:rsid w:val="004A5863"/>
    <w:rsid w:val="004A5F53"/>
    <w:rsid w:val="004A6569"/>
    <w:rsid w:val="004A7D5A"/>
    <w:rsid w:val="004B0BDD"/>
    <w:rsid w:val="004B1FF8"/>
    <w:rsid w:val="004B30E2"/>
    <w:rsid w:val="004B4363"/>
    <w:rsid w:val="004B7001"/>
    <w:rsid w:val="004B79FB"/>
    <w:rsid w:val="004C4948"/>
    <w:rsid w:val="004C7CD9"/>
    <w:rsid w:val="004D07C9"/>
    <w:rsid w:val="004D0F47"/>
    <w:rsid w:val="004D1FEC"/>
    <w:rsid w:val="004D5BA9"/>
    <w:rsid w:val="004D6F82"/>
    <w:rsid w:val="004D7E25"/>
    <w:rsid w:val="004E0585"/>
    <w:rsid w:val="004E1D16"/>
    <w:rsid w:val="004E35D0"/>
    <w:rsid w:val="004E4251"/>
    <w:rsid w:val="004E4EC3"/>
    <w:rsid w:val="004E5213"/>
    <w:rsid w:val="004E6038"/>
    <w:rsid w:val="004E6859"/>
    <w:rsid w:val="004E6947"/>
    <w:rsid w:val="004F19F9"/>
    <w:rsid w:val="004F2D03"/>
    <w:rsid w:val="004F3FAB"/>
    <w:rsid w:val="004F4B6B"/>
    <w:rsid w:val="004F5B36"/>
    <w:rsid w:val="00500225"/>
    <w:rsid w:val="0050225B"/>
    <w:rsid w:val="005025EC"/>
    <w:rsid w:val="005054B2"/>
    <w:rsid w:val="0051032F"/>
    <w:rsid w:val="00510CF2"/>
    <w:rsid w:val="00513A7D"/>
    <w:rsid w:val="00514564"/>
    <w:rsid w:val="0051593B"/>
    <w:rsid w:val="00515F73"/>
    <w:rsid w:val="00517C8C"/>
    <w:rsid w:val="00517CE4"/>
    <w:rsid w:val="00524A1E"/>
    <w:rsid w:val="0052526F"/>
    <w:rsid w:val="00525757"/>
    <w:rsid w:val="0052599D"/>
    <w:rsid w:val="005271D8"/>
    <w:rsid w:val="005273F9"/>
    <w:rsid w:val="00530462"/>
    <w:rsid w:val="0053091A"/>
    <w:rsid w:val="005316FB"/>
    <w:rsid w:val="0053188C"/>
    <w:rsid w:val="00532B2C"/>
    <w:rsid w:val="00533B0B"/>
    <w:rsid w:val="005359CD"/>
    <w:rsid w:val="005379A4"/>
    <w:rsid w:val="00540387"/>
    <w:rsid w:val="005405AB"/>
    <w:rsid w:val="00540A41"/>
    <w:rsid w:val="00541507"/>
    <w:rsid w:val="00542392"/>
    <w:rsid w:val="0054360D"/>
    <w:rsid w:val="00543C79"/>
    <w:rsid w:val="00550ED7"/>
    <w:rsid w:val="00551F7C"/>
    <w:rsid w:val="0055236F"/>
    <w:rsid w:val="00552EAF"/>
    <w:rsid w:val="005537B6"/>
    <w:rsid w:val="00554B79"/>
    <w:rsid w:val="00554C65"/>
    <w:rsid w:val="005573E0"/>
    <w:rsid w:val="00557D81"/>
    <w:rsid w:val="00562772"/>
    <w:rsid w:val="005649E9"/>
    <w:rsid w:val="005712D4"/>
    <w:rsid w:val="00572AC7"/>
    <w:rsid w:val="005734DB"/>
    <w:rsid w:val="005739EC"/>
    <w:rsid w:val="005755AA"/>
    <w:rsid w:val="00576696"/>
    <w:rsid w:val="00580148"/>
    <w:rsid w:val="00581C2A"/>
    <w:rsid w:val="00584B76"/>
    <w:rsid w:val="00585F87"/>
    <w:rsid w:val="00586090"/>
    <w:rsid w:val="005861C0"/>
    <w:rsid w:val="005865A3"/>
    <w:rsid w:val="00586B0A"/>
    <w:rsid w:val="0059001E"/>
    <w:rsid w:val="00592381"/>
    <w:rsid w:val="005926EA"/>
    <w:rsid w:val="00592840"/>
    <w:rsid w:val="0059560F"/>
    <w:rsid w:val="00597B69"/>
    <w:rsid w:val="005A34B2"/>
    <w:rsid w:val="005A3789"/>
    <w:rsid w:val="005A420E"/>
    <w:rsid w:val="005A471B"/>
    <w:rsid w:val="005A7BE7"/>
    <w:rsid w:val="005B471B"/>
    <w:rsid w:val="005B58A2"/>
    <w:rsid w:val="005B7550"/>
    <w:rsid w:val="005C0255"/>
    <w:rsid w:val="005C39F1"/>
    <w:rsid w:val="005C41F4"/>
    <w:rsid w:val="005C6F72"/>
    <w:rsid w:val="005C717E"/>
    <w:rsid w:val="005C7865"/>
    <w:rsid w:val="005C7A2E"/>
    <w:rsid w:val="005D1264"/>
    <w:rsid w:val="005D1654"/>
    <w:rsid w:val="005D2716"/>
    <w:rsid w:val="005D498E"/>
    <w:rsid w:val="005D6347"/>
    <w:rsid w:val="005D7363"/>
    <w:rsid w:val="005D7505"/>
    <w:rsid w:val="005D782E"/>
    <w:rsid w:val="005E1B22"/>
    <w:rsid w:val="005E21C2"/>
    <w:rsid w:val="005E2BB2"/>
    <w:rsid w:val="005E2FA1"/>
    <w:rsid w:val="005E4790"/>
    <w:rsid w:val="005E47E9"/>
    <w:rsid w:val="005E4E2E"/>
    <w:rsid w:val="005E7C03"/>
    <w:rsid w:val="005F0197"/>
    <w:rsid w:val="005F079A"/>
    <w:rsid w:val="005F28E0"/>
    <w:rsid w:val="005F6ACD"/>
    <w:rsid w:val="005F7925"/>
    <w:rsid w:val="005F79C4"/>
    <w:rsid w:val="00600089"/>
    <w:rsid w:val="00601277"/>
    <w:rsid w:val="00603E09"/>
    <w:rsid w:val="006054E0"/>
    <w:rsid w:val="00606CB7"/>
    <w:rsid w:val="006079CA"/>
    <w:rsid w:val="00611232"/>
    <w:rsid w:val="006115CF"/>
    <w:rsid w:val="00612B86"/>
    <w:rsid w:val="006138EA"/>
    <w:rsid w:val="00614660"/>
    <w:rsid w:val="00614FC3"/>
    <w:rsid w:val="006207CA"/>
    <w:rsid w:val="00621EB2"/>
    <w:rsid w:val="00623B04"/>
    <w:rsid w:val="006306D9"/>
    <w:rsid w:val="00632FB6"/>
    <w:rsid w:val="00633DA0"/>
    <w:rsid w:val="00636DC5"/>
    <w:rsid w:val="00640933"/>
    <w:rsid w:val="00641390"/>
    <w:rsid w:val="0064215E"/>
    <w:rsid w:val="006422ED"/>
    <w:rsid w:val="00646D18"/>
    <w:rsid w:val="00647E38"/>
    <w:rsid w:val="006516E9"/>
    <w:rsid w:val="006540F6"/>
    <w:rsid w:val="00654615"/>
    <w:rsid w:val="006564E5"/>
    <w:rsid w:val="00656BB2"/>
    <w:rsid w:val="00657EA9"/>
    <w:rsid w:val="00661114"/>
    <w:rsid w:val="00661B54"/>
    <w:rsid w:val="00663366"/>
    <w:rsid w:val="00664B8E"/>
    <w:rsid w:val="00666FC1"/>
    <w:rsid w:val="00672401"/>
    <w:rsid w:val="00672EA4"/>
    <w:rsid w:val="00673158"/>
    <w:rsid w:val="0067369D"/>
    <w:rsid w:val="00674665"/>
    <w:rsid w:val="00675214"/>
    <w:rsid w:val="006765BE"/>
    <w:rsid w:val="006769C7"/>
    <w:rsid w:val="00677664"/>
    <w:rsid w:val="00677CAD"/>
    <w:rsid w:val="006814B4"/>
    <w:rsid w:val="00681604"/>
    <w:rsid w:val="006836AF"/>
    <w:rsid w:val="00683A47"/>
    <w:rsid w:val="00690A94"/>
    <w:rsid w:val="00694C7D"/>
    <w:rsid w:val="00695E35"/>
    <w:rsid w:val="00695E48"/>
    <w:rsid w:val="00696913"/>
    <w:rsid w:val="006971A9"/>
    <w:rsid w:val="00697456"/>
    <w:rsid w:val="0069746E"/>
    <w:rsid w:val="00697557"/>
    <w:rsid w:val="006A12F8"/>
    <w:rsid w:val="006A2E6B"/>
    <w:rsid w:val="006A3437"/>
    <w:rsid w:val="006A375E"/>
    <w:rsid w:val="006A3DE7"/>
    <w:rsid w:val="006A4787"/>
    <w:rsid w:val="006A5476"/>
    <w:rsid w:val="006A6154"/>
    <w:rsid w:val="006A7A15"/>
    <w:rsid w:val="006B296C"/>
    <w:rsid w:val="006B49E2"/>
    <w:rsid w:val="006B4D05"/>
    <w:rsid w:val="006B7856"/>
    <w:rsid w:val="006B7DE7"/>
    <w:rsid w:val="006C04FF"/>
    <w:rsid w:val="006C0663"/>
    <w:rsid w:val="006C1371"/>
    <w:rsid w:val="006C4B96"/>
    <w:rsid w:val="006C5598"/>
    <w:rsid w:val="006C5E4A"/>
    <w:rsid w:val="006C6989"/>
    <w:rsid w:val="006D1A0B"/>
    <w:rsid w:val="006D1E12"/>
    <w:rsid w:val="006D1E51"/>
    <w:rsid w:val="006D3454"/>
    <w:rsid w:val="006D7290"/>
    <w:rsid w:val="006E24AC"/>
    <w:rsid w:val="006E2B59"/>
    <w:rsid w:val="006E40CB"/>
    <w:rsid w:val="006E4F0E"/>
    <w:rsid w:val="006E5EC7"/>
    <w:rsid w:val="006F06B5"/>
    <w:rsid w:val="006F0DC1"/>
    <w:rsid w:val="006F2AE8"/>
    <w:rsid w:val="006F410C"/>
    <w:rsid w:val="006F49E8"/>
    <w:rsid w:val="006F5792"/>
    <w:rsid w:val="006F7034"/>
    <w:rsid w:val="00702AD1"/>
    <w:rsid w:val="00703100"/>
    <w:rsid w:val="00705EFC"/>
    <w:rsid w:val="007075D7"/>
    <w:rsid w:val="007100B0"/>
    <w:rsid w:val="00712C7D"/>
    <w:rsid w:val="007137C2"/>
    <w:rsid w:val="007148B0"/>
    <w:rsid w:val="00716465"/>
    <w:rsid w:val="00720BB7"/>
    <w:rsid w:val="00721053"/>
    <w:rsid w:val="00722300"/>
    <w:rsid w:val="007224A6"/>
    <w:rsid w:val="007247F9"/>
    <w:rsid w:val="00724AAE"/>
    <w:rsid w:val="00724B7B"/>
    <w:rsid w:val="0072553B"/>
    <w:rsid w:val="007259F8"/>
    <w:rsid w:val="007263B4"/>
    <w:rsid w:val="0072693D"/>
    <w:rsid w:val="00731801"/>
    <w:rsid w:val="00736ADB"/>
    <w:rsid w:val="00736BC4"/>
    <w:rsid w:val="007404A1"/>
    <w:rsid w:val="00740C74"/>
    <w:rsid w:val="00740F51"/>
    <w:rsid w:val="00741735"/>
    <w:rsid w:val="007418BB"/>
    <w:rsid w:val="00741C2D"/>
    <w:rsid w:val="00744B7B"/>
    <w:rsid w:val="007450F6"/>
    <w:rsid w:val="00745162"/>
    <w:rsid w:val="00745393"/>
    <w:rsid w:val="0074643F"/>
    <w:rsid w:val="007501E7"/>
    <w:rsid w:val="00751F45"/>
    <w:rsid w:val="0075630B"/>
    <w:rsid w:val="00756A89"/>
    <w:rsid w:val="00757850"/>
    <w:rsid w:val="00761519"/>
    <w:rsid w:val="00761BFF"/>
    <w:rsid w:val="007628D5"/>
    <w:rsid w:val="00763992"/>
    <w:rsid w:val="00763BE6"/>
    <w:rsid w:val="0076447E"/>
    <w:rsid w:val="00764EF7"/>
    <w:rsid w:val="00766786"/>
    <w:rsid w:val="007672DB"/>
    <w:rsid w:val="00767925"/>
    <w:rsid w:val="00767BE0"/>
    <w:rsid w:val="00771B50"/>
    <w:rsid w:val="00772A0C"/>
    <w:rsid w:val="0077326B"/>
    <w:rsid w:val="007738E8"/>
    <w:rsid w:val="00775B03"/>
    <w:rsid w:val="00776186"/>
    <w:rsid w:val="00776A14"/>
    <w:rsid w:val="00776D19"/>
    <w:rsid w:val="007775DF"/>
    <w:rsid w:val="00777860"/>
    <w:rsid w:val="00777A68"/>
    <w:rsid w:val="00783968"/>
    <w:rsid w:val="00783D9B"/>
    <w:rsid w:val="007850BD"/>
    <w:rsid w:val="00785402"/>
    <w:rsid w:val="0078566D"/>
    <w:rsid w:val="0079167F"/>
    <w:rsid w:val="00792228"/>
    <w:rsid w:val="0079541A"/>
    <w:rsid w:val="007969D1"/>
    <w:rsid w:val="00796A4E"/>
    <w:rsid w:val="007A3D67"/>
    <w:rsid w:val="007A5141"/>
    <w:rsid w:val="007A5A75"/>
    <w:rsid w:val="007B2388"/>
    <w:rsid w:val="007B2767"/>
    <w:rsid w:val="007B43FB"/>
    <w:rsid w:val="007B45D5"/>
    <w:rsid w:val="007B544E"/>
    <w:rsid w:val="007C2C26"/>
    <w:rsid w:val="007C3594"/>
    <w:rsid w:val="007C6124"/>
    <w:rsid w:val="007D17FB"/>
    <w:rsid w:val="007D1E51"/>
    <w:rsid w:val="007D1E94"/>
    <w:rsid w:val="007D22B2"/>
    <w:rsid w:val="007D24E9"/>
    <w:rsid w:val="007D3DF1"/>
    <w:rsid w:val="007E1E11"/>
    <w:rsid w:val="007E2C06"/>
    <w:rsid w:val="007E4B60"/>
    <w:rsid w:val="007E6C79"/>
    <w:rsid w:val="007E77DD"/>
    <w:rsid w:val="007F052E"/>
    <w:rsid w:val="007F5E5B"/>
    <w:rsid w:val="007F6CCA"/>
    <w:rsid w:val="007F7078"/>
    <w:rsid w:val="007F772D"/>
    <w:rsid w:val="008012C6"/>
    <w:rsid w:val="0080230F"/>
    <w:rsid w:val="008032EF"/>
    <w:rsid w:val="008042EE"/>
    <w:rsid w:val="00805896"/>
    <w:rsid w:val="008119FD"/>
    <w:rsid w:val="00811FC4"/>
    <w:rsid w:val="008148C3"/>
    <w:rsid w:val="00815217"/>
    <w:rsid w:val="0081548B"/>
    <w:rsid w:val="00815824"/>
    <w:rsid w:val="00822811"/>
    <w:rsid w:val="008228F4"/>
    <w:rsid w:val="00825B6D"/>
    <w:rsid w:val="00827B4C"/>
    <w:rsid w:val="00832C98"/>
    <w:rsid w:val="00833FA3"/>
    <w:rsid w:val="0083693F"/>
    <w:rsid w:val="00840346"/>
    <w:rsid w:val="00841E66"/>
    <w:rsid w:val="00842E74"/>
    <w:rsid w:val="00843745"/>
    <w:rsid w:val="00846C18"/>
    <w:rsid w:val="00853837"/>
    <w:rsid w:val="00853D17"/>
    <w:rsid w:val="00863178"/>
    <w:rsid w:val="0086398B"/>
    <w:rsid w:val="00870C2D"/>
    <w:rsid w:val="008712CF"/>
    <w:rsid w:val="00871F73"/>
    <w:rsid w:val="00872040"/>
    <w:rsid w:val="00877531"/>
    <w:rsid w:val="00880B0E"/>
    <w:rsid w:val="00880C77"/>
    <w:rsid w:val="008811B5"/>
    <w:rsid w:val="00882FF9"/>
    <w:rsid w:val="00883BF5"/>
    <w:rsid w:val="008840F0"/>
    <w:rsid w:val="00884B8D"/>
    <w:rsid w:val="00887B12"/>
    <w:rsid w:val="00890881"/>
    <w:rsid w:val="008940F8"/>
    <w:rsid w:val="008943AE"/>
    <w:rsid w:val="008A2059"/>
    <w:rsid w:val="008A2A33"/>
    <w:rsid w:val="008A5004"/>
    <w:rsid w:val="008B10FE"/>
    <w:rsid w:val="008B113F"/>
    <w:rsid w:val="008B2D37"/>
    <w:rsid w:val="008B5C90"/>
    <w:rsid w:val="008B7C3D"/>
    <w:rsid w:val="008C1C46"/>
    <w:rsid w:val="008C2D00"/>
    <w:rsid w:val="008C4C2B"/>
    <w:rsid w:val="008C6C50"/>
    <w:rsid w:val="008C6FFF"/>
    <w:rsid w:val="008D08F6"/>
    <w:rsid w:val="008D1279"/>
    <w:rsid w:val="008D16DF"/>
    <w:rsid w:val="008D27C0"/>
    <w:rsid w:val="008D520C"/>
    <w:rsid w:val="008E0B47"/>
    <w:rsid w:val="008E0F44"/>
    <w:rsid w:val="008E23F8"/>
    <w:rsid w:val="008E2933"/>
    <w:rsid w:val="008E714A"/>
    <w:rsid w:val="008E74F6"/>
    <w:rsid w:val="008F122D"/>
    <w:rsid w:val="008F1604"/>
    <w:rsid w:val="008F2717"/>
    <w:rsid w:val="008F5344"/>
    <w:rsid w:val="008F5B5E"/>
    <w:rsid w:val="008F7C96"/>
    <w:rsid w:val="0090080C"/>
    <w:rsid w:val="00900D9B"/>
    <w:rsid w:val="0090128A"/>
    <w:rsid w:val="009037B0"/>
    <w:rsid w:val="0090478D"/>
    <w:rsid w:val="00907891"/>
    <w:rsid w:val="00912AB3"/>
    <w:rsid w:val="009139B5"/>
    <w:rsid w:val="00913E19"/>
    <w:rsid w:val="00914801"/>
    <w:rsid w:val="00915D86"/>
    <w:rsid w:val="00920A21"/>
    <w:rsid w:val="00921362"/>
    <w:rsid w:val="0092228A"/>
    <w:rsid w:val="00925C52"/>
    <w:rsid w:val="009305FF"/>
    <w:rsid w:val="00930CD1"/>
    <w:rsid w:val="00930E40"/>
    <w:rsid w:val="00933ED1"/>
    <w:rsid w:val="00934767"/>
    <w:rsid w:val="0093589A"/>
    <w:rsid w:val="00936956"/>
    <w:rsid w:val="00940EAA"/>
    <w:rsid w:val="00941132"/>
    <w:rsid w:val="0094233D"/>
    <w:rsid w:val="00942777"/>
    <w:rsid w:val="0094767E"/>
    <w:rsid w:val="0095081D"/>
    <w:rsid w:val="009508D0"/>
    <w:rsid w:val="009518E6"/>
    <w:rsid w:val="00952161"/>
    <w:rsid w:val="0095443B"/>
    <w:rsid w:val="009577EB"/>
    <w:rsid w:val="0096313B"/>
    <w:rsid w:val="00964E53"/>
    <w:rsid w:val="00966C90"/>
    <w:rsid w:val="009736B8"/>
    <w:rsid w:val="00973F3A"/>
    <w:rsid w:val="00974EA8"/>
    <w:rsid w:val="009800C4"/>
    <w:rsid w:val="009802A5"/>
    <w:rsid w:val="009806C6"/>
    <w:rsid w:val="009822C0"/>
    <w:rsid w:val="009840E9"/>
    <w:rsid w:val="0098429B"/>
    <w:rsid w:val="0098656F"/>
    <w:rsid w:val="00987FE0"/>
    <w:rsid w:val="00991DDF"/>
    <w:rsid w:val="009925CC"/>
    <w:rsid w:val="009952F1"/>
    <w:rsid w:val="00995349"/>
    <w:rsid w:val="009969A6"/>
    <w:rsid w:val="00996C42"/>
    <w:rsid w:val="009976C9"/>
    <w:rsid w:val="009A022A"/>
    <w:rsid w:val="009A181A"/>
    <w:rsid w:val="009A2011"/>
    <w:rsid w:val="009A38BD"/>
    <w:rsid w:val="009A42A1"/>
    <w:rsid w:val="009A60B7"/>
    <w:rsid w:val="009A77F9"/>
    <w:rsid w:val="009B1376"/>
    <w:rsid w:val="009B26A8"/>
    <w:rsid w:val="009B2B2F"/>
    <w:rsid w:val="009B2BF2"/>
    <w:rsid w:val="009B3DFE"/>
    <w:rsid w:val="009B3E90"/>
    <w:rsid w:val="009B4E88"/>
    <w:rsid w:val="009B52A6"/>
    <w:rsid w:val="009B69A3"/>
    <w:rsid w:val="009B69D3"/>
    <w:rsid w:val="009C1BB5"/>
    <w:rsid w:val="009C285D"/>
    <w:rsid w:val="009C5329"/>
    <w:rsid w:val="009D0B5A"/>
    <w:rsid w:val="009D3030"/>
    <w:rsid w:val="009D38CE"/>
    <w:rsid w:val="009D59D6"/>
    <w:rsid w:val="009D7169"/>
    <w:rsid w:val="009E1EAE"/>
    <w:rsid w:val="009E2171"/>
    <w:rsid w:val="009E26ED"/>
    <w:rsid w:val="009E477C"/>
    <w:rsid w:val="009E59D1"/>
    <w:rsid w:val="009F007C"/>
    <w:rsid w:val="009F0E3D"/>
    <w:rsid w:val="009F37C2"/>
    <w:rsid w:val="009F4223"/>
    <w:rsid w:val="009F43E7"/>
    <w:rsid w:val="009F46CE"/>
    <w:rsid w:val="009F4AE6"/>
    <w:rsid w:val="009F7361"/>
    <w:rsid w:val="009F7B89"/>
    <w:rsid w:val="00A04797"/>
    <w:rsid w:val="00A065B5"/>
    <w:rsid w:val="00A07E6F"/>
    <w:rsid w:val="00A11BC6"/>
    <w:rsid w:val="00A1242A"/>
    <w:rsid w:val="00A12A31"/>
    <w:rsid w:val="00A1501B"/>
    <w:rsid w:val="00A20ADA"/>
    <w:rsid w:val="00A21D22"/>
    <w:rsid w:val="00A225D8"/>
    <w:rsid w:val="00A236D1"/>
    <w:rsid w:val="00A27817"/>
    <w:rsid w:val="00A30A06"/>
    <w:rsid w:val="00A31397"/>
    <w:rsid w:val="00A319AE"/>
    <w:rsid w:val="00A34B1B"/>
    <w:rsid w:val="00A37286"/>
    <w:rsid w:val="00A40261"/>
    <w:rsid w:val="00A41026"/>
    <w:rsid w:val="00A41375"/>
    <w:rsid w:val="00A420B8"/>
    <w:rsid w:val="00A435AF"/>
    <w:rsid w:val="00A45330"/>
    <w:rsid w:val="00A466AD"/>
    <w:rsid w:val="00A46931"/>
    <w:rsid w:val="00A479DC"/>
    <w:rsid w:val="00A5213D"/>
    <w:rsid w:val="00A52956"/>
    <w:rsid w:val="00A5372A"/>
    <w:rsid w:val="00A553FF"/>
    <w:rsid w:val="00A60025"/>
    <w:rsid w:val="00A61792"/>
    <w:rsid w:val="00A63842"/>
    <w:rsid w:val="00A63B38"/>
    <w:rsid w:val="00A643EA"/>
    <w:rsid w:val="00A732FB"/>
    <w:rsid w:val="00A77C91"/>
    <w:rsid w:val="00A77D5F"/>
    <w:rsid w:val="00A80917"/>
    <w:rsid w:val="00A80EEB"/>
    <w:rsid w:val="00A81984"/>
    <w:rsid w:val="00A821CD"/>
    <w:rsid w:val="00A82470"/>
    <w:rsid w:val="00A82DF4"/>
    <w:rsid w:val="00A843C3"/>
    <w:rsid w:val="00A87F12"/>
    <w:rsid w:val="00A91212"/>
    <w:rsid w:val="00A923EB"/>
    <w:rsid w:val="00A951CB"/>
    <w:rsid w:val="00A966AE"/>
    <w:rsid w:val="00AA04AF"/>
    <w:rsid w:val="00AA148D"/>
    <w:rsid w:val="00AA1BC7"/>
    <w:rsid w:val="00AA27C9"/>
    <w:rsid w:val="00AA3F46"/>
    <w:rsid w:val="00AA5603"/>
    <w:rsid w:val="00AA5940"/>
    <w:rsid w:val="00AB00BB"/>
    <w:rsid w:val="00AB104F"/>
    <w:rsid w:val="00AB31D2"/>
    <w:rsid w:val="00AB32E6"/>
    <w:rsid w:val="00AB3C78"/>
    <w:rsid w:val="00AC1648"/>
    <w:rsid w:val="00AC1800"/>
    <w:rsid w:val="00AC1D8E"/>
    <w:rsid w:val="00AC2CC0"/>
    <w:rsid w:val="00AC2F65"/>
    <w:rsid w:val="00AC348C"/>
    <w:rsid w:val="00AC37F6"/>
    <w:rsid w:val="00AC4770"/>
    <w:rsid w:val="00AC58EA"/>
    <w:rsid w:val="00AC640E"/>
    <w:rsid w:val="00AC69DE"/>
    <w:rsid w:val="00AD13AD"/>
    <w:rsid w:val="00AD2C41"/>
    <w:rsid w:val="00AD6B24"/>
    <w:rsid w:val="00AD71DC"/>
    <w:rsid w:val="00AE00E8"/>
    <w:rsid w:val="00AE11B4"/>
    <w:rsid w:val="00AE14A0"/>
    <w:rsid w:val="00AE17C8"/>
    <w:rsid w:val="00AE24E6"/>
    <w:rsid w:val="00AE7AF9"/>
    <w:rsid w:val="00AF0639"/>
    <w:rsid w:val="00AF0C7C"/>
    <w:rsid w:val="00AF1BC7"/>
    <w:rsid w:val="00AF70A0"/>
    <w:rsid w:val="00B00242"/>
    <w:rsid w:val="00B05348"/>
    <w:rsid w:val="00B10012"/>
    <w:rsid w:val="00B101C9"/>
    <w:rsid w:val="00B1151F"/>
    <w:rsid w:val="00B12C2B"/>
    <w:rsid w:val="00B12C3F"/>
    <w:rsid w:val="00B15647"/>
    <w:rsid w:val="00B16BA1"/>
    <w:rsid w:val="00B17E4C"/>
    <w:rsid w:val="00B17EB2"/>
    <w:rsid w:val="00B20CBD"/>
    <w:rsid w:val="00B223F3"/>
    <w:rsid w:val="00B33469"/>
    <w:rsid w:val="00B33565"/>
    <w:rsid w:val="00B34D5E"/>
    <w:rsid w:val="00B354D8"/>
    <w:rsid w:val="00B37E84"/>
    <w:rsid w:val="00B40AA9"/>
    <w:rsid w:val="00B42061"/>
    <w:rsid w:val="00B43E1F"/>
    <w:rsid w:val="00B4593A"/>
    <w:rsid w:val="00B46321"/>
    <w:rsid w:val="00B52660"/>
    <w:rsid w:val="00B530E4"/>
    <w:rsid w:val="00B54BDB"/>
    <w:rsid w:val="00B55A7C"/>
    <w:rsid w:val="00B55F5D"/>
    <w:rsid w:val="00B56058"/>
    <w:rsid w:val="00B6086A"/>
    <w:rsid w:val="00B60D49"/>
    <w:rsid w:val="00B62DFA"/>
    <w:rsid w:val="00B63BD6"/>
    <w:rsid w:val="00B64F46"/>
    <w:rsid w:val="00B65159"/>
    <w:rsid w:val="00B65CB9"/>
    <w:rsid w:val="00B666DB"/>
    <w:rsid w:val="00B66D2C"/>
    <w:rsid w:val="00B70452"/>
    <w:rsid w:val="00B70AC2"/>
    <w:rsid w:val="00B73A6F"/>
    <w:rsid w:val="00B74456"/>
    <w:rsid w:val="00B7492D"/>
    <w:rsid w:val="00B7513C"/>
    <w:rsid w:val="00B75858"/>
    <w:rsid w:val="00B77419"/>
    <w:rsid w:val="00B77E9C"/>
    <w:rsid w:val="00B80EA1"/>
    <w:rsid w:val="00B82FAB"/>
    <w:rsid w:val="00B8536C"/>
    <w:rsid w:val="00B858A6"/>
    <w:rsid w:val="00B870AD"/>
    <w:rsid w:val="00B872F5"/>
    <w:rsid w:val="00B91D12"/>
    <w:rsid w:val="00B91EFB"/>
    <w:rsid w:val="00B92C36"/>
    <w:rsid w:val="00B956BE"/>
    <w:rsid w:val="00B967FC"/>
    <w:rsid w:val="00BA075C"/>
    <w:rsid w:val="00BA1486"/>
    <w:rsid w:val="00BA4DED"/>
    <w:rsid w:val="00BA6016"/>
    <w:rsid w:val="00BB0E2D"/>
    <w:rsid w:val="00BB132A"/>
    <w:rsid w:val="00BB1AAF"/>
    <w:rsid w:val="00BB2CA1"/>
    <w:rsid w:val="00BB4275"/>
    <w:rsid w:val="00BC0FD4"/>
    <w:rsid w:val="00BC17AE"/>
    <w:rsid w:val="00BC555D"/>
    <w:rsid w:val="00BC69B9"/>
    <w:rsid w:val="00BC69DB"/>
    <w:rsid w:val="00BD19BE"/>
    <w:rsid w:val="00BD26D3"/>
    <w:rsid w:val="00BD2DFF"/>
    <w:rsid w:val="00BD699D"/>
    <w:rsid w:val="00BD71D0"/>
    <w:rsid w:val="00BD7D79"/>
    <w:rsid w:val="00BE1160"/>
    <w:rsid w:val="00BE3015"/>
    <w:rsid w:val="00BE30BC"/>
    <w:rsid w:val="00BE3831"/>
    <w:rsid w:val="00BE4567"/>
    <w:rsid w:val="00BF0DA2"/>
    <w:rsid w:val="00BF19EE"/>
    <w:rsid w:val="00BF2BB9"/>
    <w:rsid w:val="00BF30B4"/>
    <w:rsid w:val="00BF3763"/>
    <w:rsid w:val="00BF3AB2"/>
    <w:rsid w:val="00BF3EFF"/>
    <w:rsid w:val="00BF4DA5"/>
    <w:rsid w:val="00BF4DF2"/>
    <w:rsid w:val="00C0089D"/>
    <w:rsid w:val="00C01A86"/>
    <w:rsid w:val="00C06E5D"/>
    <w:rsid w:val="00C074D3"/>
    <w:rsid w:val="00C131EE"/>
    <w:rsid w:val="00C20724"/>
    <w:rsid w:val="00C216BD"/>
    <w:rsid w:val="00C227A6"/>
    <w:rsid w:val="00C25049"/>
    <w:rsid w:val="00C27064"/>
    <w:rsid w:val="00C27C5D"/>
    <w:rsid w:val="00C30466"/>
    <w:rsid w:val="00C3111B"/>
    <w:rsid w:val="00C313FA"/>
    <w:rsid w:val="00C3147A"/>
    <w:rsid w:val="00C320BB"/>
    <w:rsid w:val="00C32E45"/>
    <w:rsid w:val="00C34EE2"/>
    <w:rsid w:val="00C36A3D"/>
    <w:rsid w:val="00C4029B"/>
    <w:rsid w:val="00C4235E"/>
    <w:rsid w:val="00C45D00"/>
    <w:rsid w:val="00C46516"/>
    <w:rsid w:val="00C469AA"/>
    <w:rsid w:val="00C478A1"/>
    <w:rsid w:val="00C5229C"/>
    <w:rsid w:val="00C53BD6"/>
    <w:rsid w:val="00C54100"/>
    <w:rsid w:val="00C5540D"/>
    <w:rsid w:val="00C55470"/>
    <w:rsid w:val="00C57027"/>
    <w:rsid w:val="00C601AB"/>
    <w:rsid w:val="00C6159A"/>
    <w:rsid w:val="00C61A49"/>
    <w:rsid w:val="00C633DB"/>
    <w:rsid w:val="00C65D58"/>
    <w:rsid w:val="00C660D2"/>
    <w:rsid w:val="00C66BF2"/>
    <w:rsid w:val="00C67345"/>
    <w:rsid w:val="00C676D7"/>
    <w:rsid w:val="00C701CE"/>
    <w:rsid w:val="00C70D49"/>
    <w:rsid w:val="00C7119F"/>
    <w:rsid w:val="00C71B3C"/>
    <w:rsid w:val="00C74191"/>
    <w:rsid w:val="00C74DED"/>
    <w:rsid w:val="00C74EBE"/>
    <w:rsid w:val="00C76D21"/>
    <w:rsid w:val="00C77100"/>
    <w:rsid w:val="00C77D01"/>
    <w:rsid w:val="00C77D9E"/>
    <w:rsid w:val="00C80D88"/>
    <w:rsid w:val="00C863B4"/>
    <w:rsid w:val="00C91393"/>
    <w:rsid w:val="00C91813"/>
    <w:rsid w:val="00C91EE9"/>
    <w:rsid w:val="00C92072"/>
    <w:rsid w:val="00C92AB5"/>
    <w:rsid w:val="00C92C38"/>
    <w:rsid w:val="00C94212"/>
    <w:rsid w:val="00C94F01"/>
    <w:rsid w:val="00C95B24"/>
    <w:rsid w:val="00C95DDA"/>
    <w:rsid w:val="00CA22C0"/>
    <w:rsid w:val="00CA2E18"/>
    <w:rsid w:val="00CA47D1"/>
    <w:rsid w:val="00CA5186"/>
    <w:rsid w:val="00CA53AE"/>
    <w:rsid w:val="00CA5BE9"/>
    <w:rsid w:val="00CA5D2B"/>
    <w:rsid w:val="00CB06DC"/>
    <w:rsid w:val="00CB1650"/>
    <w:rsid w:val="00CB1B25"/>
    <w:rsid w:val="00CB229F"/>
    <w:rsid w:val="00CB31AB"/>
    <w:rsid w:val="00CB49A4"/>
    <w:rsid w:val="00CB5DA8"/>
    <w:rsid w:val="00CB6B01"/>
    <w:rsid w:val="00CC15F0"/>
    <w:rsid w:val="00CC1AE5"/>
    <w:rsid w:val="00CC2879"/>
    <w:rsid w:val="00CC2881"/>
    <w:rsid w:val="00CC5ED6"/>
    <w:rsid w:val="00CC7013"/>
    <w:rsid w:val="00CC708E"/>
    <w:rsid w:val="00CC71C5"/>
    <w:rsid w:val="00CC7690"/>
    <w:rsid w:val="00CD0CD6"/>
    <w:rsid w:val="00CD0EBB"/>
    <w:rsid w:val="00CD4962"/>
    <w:rsid w:val="00CD52F4"/>
    <w:rsid w:val="00CD6C17"/>
    <w:rsid w:val="00CE02C2"/>
    <w:rsid w:val="00CE1641"/>
    <w:rsid w:val="00CE430A"/>
    <w:rsid w:val="00CE5A7D"/>
    <w:rsid w:val="00CE73EE"/>
    <w:rsid w:val="00CE7BA5"/>
    <w:rsid w:val="00CF0020"/>
    <w:rsid w:val="00CF22DB"/>
    <w:rsid w:val="00CF3341"/>
    <w:rsid w:val="00CF448E"/>
    <w:rsid w:val="00CF520D"/>
    <w:rsid w:val="00CF5B02"/>
    <w:rsid w:val="00CF640E"/>
    <w:rsid w:val="00CF6512"/>
    <w:rsid w:val="00CF7551"/>
    <w:rsid w:val="00D003AA"/>
    <w:rsid w:val="00D02EA1"/>
    <w:rsid w:val="00D04250"/>
    <w:rsid w:val="00D04A62"/>
    <w:rsid w:val="00D05549"/>
    <w:rsid w:val="00D133AD"/>
    <w:rsid w:val="00D158A9"/>
    <w:rsid w:val="00D15F71"/>
    <w:rsid w:val="00D16FE0"/>
    <w:rsid w:val="00D20941"/>
    <w:rsid w:val="00D21883"/>
    <w:rsid w:val="00D228F7"/>
    <w:rsid w:val="00D22CD6"/>
    <w:rsid w:val="00D24321"/>
    <w:rsid w:val="00D24B48"/>
    <w:rsid w:val="00D25634"/>
    <w:rsid w:val="00D256D7"/>
    <w:rsid w:val="00D270EB"/>
    <w:rsid w:val="00D27A1A"/>
    <w:rsid w:val="00D27A56"/>
    <w:rsid w:val="00D3042E"/>
    <w:rsid w:val="00D30F76"/>
    <w:rsid w:val="00D31D7E"/>
    <w:rsid w:val="00D32853"/>
    <w:rsid w:val="00D36B20"/>
    <w:rsid w:val="00D370CA"/>
    <w:rsid w:val="00D408DE"/>
    <w:rsid w:val="00D42174"/>
    <w:rsid w:val="00D454F4"/>
    <w:rsid w:val="00D46E26"/>
    <w:rsid w:val="00D47214"/>
    <w:rsid w:val="00D55472"/>
    <w:rsid w:val="00D56032"/>
    <w:rsid w:val="00D61F7A"/>
    <w:rsid w:val="00D626E2"/>
    <w:rsid w:val="00D651AF"/>
    <w:rsid w:val="00D66BCF"/>
    <w:rsid w:val="00D67F1D"/>
    <w:rsid w:val="00D706BB"/>
    <w:rsid w:val="00D709BA"/>
    <w:rsid w:val="00D7280B"/>
    <w:rsid w:val="00D74105"/>
    <w:rsid w:val="00D74F3F"/>
    <w:rsid w:val="00D77470"/>
    <w:rsid w:val="00D77684"/>
    <w:rsid w:val="00D80F41"/>
    <w:rsid w:val="00D854DC"/>
    <w:rsid w:val="00D912B4"/>
    <w:rsid w:val="00D921A8"/>
    <w:rsid w:val="00D951D4"/>
    <w:rsid w:val="00D953C0"/>
    <w:rsid w:val="00D95678"/>
    <w:rsid w:val="00D97383"/>
    <w:rsid w:val="00DA0F04"/>
    <w:rsid w:val="00DA1B6C"/>
    <w:rsid w:val="00DA1D77"/>
    <w:rsid w:val="00DA2E6C"/>
    <w:rsid w:val="00DA32B7"/>
    <w:rsid w:val="00DA6B0F"/>
    <w:rsid w:val="00DA72BA"/>
    <w:rsid w:val="00DB084D"/>
    <w:rsid w:val="00DB1474"/>
    <w:rsid w:val="00DB363E"/>
    <w:rsid w:val="00DB3D18"/>
    <w:rsid w:val="00DB54B7"/>
    <w:rsid w:val="00DB54FF"/>
    <w:rsid w:val="00DB5B61"/>
    <w:rsid w:val="00DC0BC3"/>
    <w:rsid w:val="00DC0C22"/>
    <w:rsid w:val="00DC0DE5"/>
    <w:rsid w:val="00DC4376"/>
    <w:rsid w:val="00DC6F89"/>
    <w:rsid w:val="00DD0B1F"/>
    <w:rsid w:val="00DD0BCE"/>
    <w:rsid w:val="00DD2048"/>
    <w:rsid w:val="00DD24C3"/>
    <w:rsid w:val="00DD2FA9"/>
    <w:rsid w:val="00DD372D"/>
    <w:rsid w:val="00DD41B3"/>
    <w:rsid w:val="00DD57BE"/>
    <w:rsid w:val="00DD618D"/>
    <w:rsid w:val="00DE0C43"/>
    <w:rsid w:val="00DE16A8"/>
    <w:rsid w:val="00DE1906"/>
    <w:rsid w:val="00DE1BDE"/>
    <w:rsid w:val="00DE30B6"/>
    <w:rsid w:val="00DF0345"/>
    <w:rsid w:val="00DF1FAD"/>
    <w:rsid w:val="00DF70BE"/>
    <w:rsid w:val="00DF7AD2"/>
    <w:rsid w:val="00E01422"/>
    <w:rsid w:val="00E014CA"/>
    <w:rsid w:val="00E027A0"/>
    <w:rsid w:val="00E02B36"/>
    <w:rsid w:val="00E0310F"/>
    <w:rsid w:val="00E0354C"/>
    <w:rsid w:val="00E048B2"/>
    <w:rsid w:val="00E049D5"/>
    <w:rsid w:val="00E058B0"/>
    <w:rsid w:val="00E10F6F"/>
    <w:rsid w:val="00E13E97"/>
    <w:rsid w:val="00E15267"/>
    <w:rsid w:val="00E16DC0"/>
    <w:rsid w:val="00E17F23"/>
    <w:rsid w:val="00E202DC"/>
    <w:rsid w:val="00E20976"/>
    <w:rsid w:val="00E21F1B"/>
    <w:rsid w:val="00E22143"/>
    <w:rsid w:val="00E23FE3"/>
    <w:rsid w:val="00E272C3"/>
    <w:rsid w:val="00E303DD"/>
    <w:rsid w:val="00E307CF"/>
    <w:rsid w:val="00E30B4B"/>
    <w:rsid w:val="00E30CA2"/>
    <w:rsid w:val="00E317DA"/>
    <w:rsid w:val="00E33447"/>
    <w:rsid w:val="00E34DB8"/>
    <w:rsid w:val="00E35FFB"/>
    <w:rsid w:val="00E37D37"/>
    <w:rsid w:val="00E4069C"/>
    <w:rsid w:val="00E409F2"/>
    <w:rsid w:val="00E4126D"/>
    <w:rsid w:val="00E419FF"/>
    <w:rsid w:val="00E444B9"/>
    <w:rsid w:val="00E45B06"/>
    <w:rsid w:val="00E45EFB"/>
    <w:rsid w:val="00E52F54"/>
    <w:rsid w:val="00E543C9"/>
    <w:rsid w:val="00E5550E"/>
    <w:rsid w:val="00E60069"/>
    <w:rsid w:val="00E61529"/>
    <w:rsid w:val="00E618FD"/>
    <w:rsid w:val="00E61C7D"/>
    <w:rsid w:val="00E66314"/>
    <w:rsid w:val="00E66E69"/>
    <w:rsid w:val="00E66F50"/>
    <w:rsid w:val="00E67703"/>
    <w:rsid w:val="00E70AF8"/>
    <w:rsid w:val="00E7398E"/>
    <w:rsid w:val="00E73CE0"/>
    <w:rsid w:val="00E75150"/>
    <w:rsid w:val="00E753E8"/>
    <w:rsid w:val="00E7583B"/>
    <w:rsid w:val="00E766E9"/>
    <w:rsid w:val="00E77C65"/>
    <w:rsid w:val="00E83AA9"/>
    <w:rsid w:val="00E85166"/>
    <w:rsid w:val="00E863D5"/>
    <w:rsid w:val="00E90835"/>
    <w:rsid w:val="00E90B08"/>
    <w:rsid w:val="00E913E7"/>
    <w:rsid w:val="00E91E35"/>
    <w:rsid w:val="00E937E6"/>
    <w:rsid w:val="00E94A13"/>
    <w:rsid w:val="00E9515D"/>
    <w:rsid w:val="00E97103"/>
    <w:rsid w:val="00E9722E"/>
    <w:rsid w:val="00E977D8"/>
    <w:rsid w:val="00E978AD"/>
    <w:rsid w:val="00E97B9C"/>
    <w:rsid w:val="00EA0F11"/>
    <w:rsid w:val="00EA1A7C"/>
    <w:rsid w:val="00EA2AB2"/>
    <w:rsid w:val="00EA38C4"/>
    <w:rsid w:val="00EA51B8"/>
    <w:rsid w:val="00EA6211"/>
    <w:rsid w:val="00EA6C89"/>
    <w:rsid w:val="00EB204B"/>
    <w:rsid w:val="00EB2A46"/>
    <w:rsid w:val="00EB4BE0"/>
    <w:rsid w:val="00EB5473"/>
    <w:rsid w:val="00EB737E"/>
    <w:rsid w:val="00EC3E91"/>
    <w:rsid w:val="00EC49E1"/>
    <w:rsid w:val="00EC770E"/>
    <w:rsid w:val="00EC7A5E"/>
    <w:rsid w:val="00ED04B6"/>
    <w:rsid w:val="00ED1CEB"/>
    <w:rsid w:val="00ED24C1"/>
    <w:rsid w:val="00ED2B9E"/>
    <w:rsid w:val="00ED436A"/>
    <w:rsid w:val="00ED61B3"/>
    <w:rsid w:val="00ED7E0D"/>
    <w:rsid w:val="00EE46F5"/>
    <w:rsid w:val="00EE4E6D"/>
    <w:rsid w:val="00EE500B"/>
    <w:rsid w:val="00EE6685"/>
    <w:rsid w:val="00EE6C01"/>
    <w:rsid w:val="00EE7786"/>
    <w:rsid w:val="00EE7BF2"/>
    <w:rsid w:val="00EF1ADF"/>
    <w:rsid w:val="00EF3BD0"/>
    <w:rsid w:val="00EF3E98"/>
    <w:rsid w:val="00EF586A"/>
    <w:rsid w:val="00EF74D8"/>
    <w:rsid w:val="00EF77B8"/>
    <w:rsid w:val="00F00A39"/>
    <w:rsid w:val="00F02294"/>
    <w:rsid w:val="00F065A8"/>
    <w:rsid w:val="00F07B91"/>
    <w:rsid w:val="00F103E3"/>
    <w:rsid w:val="00F10493"/>
    <w:rsid w:val="00F12985"/>
    <w:rsid w:val="00F12A51"/>
    <w:rsid w:val="00F16026"/>
    <w:rsid w:val="00F16D02"/>
    <w:rsid w:val="00F20C9B"/>
    <w:rsid w:val="00F226C3"/>
    <w:rsid w:val="00F2413A"/>
    <w:rsid w:val="00F25CC8"/>
    <w:rsid w:val="00F261B3"/>
    <w:rsid w:val="00F266AD"/>
    <w:rsid w:val="00F314C9"/>
    <w:rsid w:val="00F32DA4"/>
    <w:rsid w:val="00F33ACE"/>
    <w:rsid w:val="00F35F4F"/>
    <w:rsid w:val="00F36FDA"/>
    <w:rsid w:val="00F41AD4"/>
    <w:rsid w:val="00F42130"/>
    <w:rsid w:val="00F42D8D"/>
    <w:rsid w:val="00F43399"/>
    <w:rsid w:val="00F435D3"/>
    <w:rsid w:val="00F4448C"/>
    <w:rsid w:val="00F445A3"/>
    <w:rsid w:val="00F4542D"/>
    <w:rsid w:val="00F461C9"/>
    <w:rsid w:val="00F50753"/>
    <w:rsid w:val="00F52D04"/>
    <w:rsid w:val="00F52F20"/>
    <w:rsid w:val="00F540B2"/>
    <w:rsid w:val="00F543E5"/>
    <w:rsid w:val="00F57FE0"/>
    <w:rsid w:val="00F611A9"/>
    <w:rsid w:val="00F61589"/>
    <w:rsid w:val="00F642D5"/>
    <w:rsid w:val="00F650C3"/>
    <w:rsid w:val="00F65730"/>
    <w:rsid w:val="00F6659F"/>
    <w:rsid w:val="00F718A1"/>
    <w:rsid w:val="00F721EF"/>
    <w:rsid w:val="00F74565"/>
    <w:rsid w:val="00F77B28"/>
    <w:rsid w:val="00F80040"/>
    <w:rsid w:val="00F81613"/>
    <w:rsid w:val="00F8503F"/>
    <w:rsid w:val="00F86A25"/>
    <w:rsid w:val="00F87C46"/>
    <w:rsid w:val="00F92018"/>
    <w:rsid w:val="00F926C4"/>
    <w:rsid w:val="00F933C3"/>
    <w:rsid w:val="00F94C18"/>
    <w:rsid w:val="00F97E8C"/>
    <w:rsid w:val="00FA03FC"/>
    <w:rsid w:val="00FA1278"/>
    <w:rsid w:val="00FA2AAA"/>
    <w:rsid w:val="00FA67A5"/>
    <w:rsid w:val="00FA7B4C"/>
    <w:rsid w:val="00FB2514"/>
    <w:rsid w:val="00FB2C24"/>
    <w:rsid w:val="00FB459F"/>
    <w:rsid w:val="00FB657B"/>
    <w:rsid w:val="00FB6B84"/>
    <w:rsid w:val="00FC1E35"/>
    <w:rsid w:val="00FC218A"/>
    <w:rsid w:val="00FC32F3"/>
    <w:rsid w:val="00FC3DD8"/>
    <w:rsid w:val="00FC427A"/>
    <w:rsid w:val="00FC4456"/>
    <w:rsid w:val="00FC619F"/>
    <w:rsid w:val="00FC701B"/>
    <w:rsid w:val="00FC7791"/>
    <w:rsid w:val="00FC7951"/>
    <w:rsid w:val="00FD0C34"/>
    <w:rsid w:val="00FD3544"/>
    <w:rsid w:val="00FD4406"/>
    <w:rsid w:val="00FD480C"/>
    <w:rsid w:val="00FD6C8B"/>
    <w:rsid w:val="00FE1C6F"/>
    <w:rsid w:val="00FE22C4"/>
    <w:rsid w:val="00FE2630"/>
    <w:rsid w:val="00FE4750"/>
    <w:rsid w:val="00FF322E"/>
    <w:rsid w:val="00FF4883"/>
    <w:rsid w:val="00FF4D8C"/>
    <w:rsid w:val="00FF51DD"/>
    <w:rsid w:val="00FF6899"/>
    <w:rsid w:val="00FF7C1D"/>
    <w:rsid w:val="06901BC9"/>
    <w:rsid w:val="0DA1F7BB"/>
    <w:rsid w:val="201AB005"/>
    <w:rsid w:val="2027BF3F"/>
    <w:rsid w:val="20787C14"/>
    <w:rsid w:val="2DE15F52"/>
    <w:rsid w:val="33EB55C8"/>
    <w:rsid w:val="4423CC77"/>
    <w:rsid w:val="4674DAE8"/>
    <w:rsid w:val="46B9619D"/>
    <w:rsid w:val="4AA65B1E"/>
    <w:rsid w:val="4CECF602"/>
    <w:rsid w:val="4FCD19C7"/>
    <w:rsid w:val="54C685F2"/>
    <w:rsid w:val="55CDF5D4"/>
    <w:rsid w:val="7034F9E1"/>
    <w:rsid w:val="721F53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41E611"/>
  <w15:chartTrackingRefBased/>
  <w15:docId w15:val="{0746E7F5-CEB8-46B7-90A5-6900C236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uiPriority w:val="39"/>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EndnoteText">
    <w:name w:val="endnote text"/>
    <w:basedOn w:val="Normal"/>
    <w:link w:val="EndnoteTextChar"/>
    <w:rsid w:val="00674665"/>
    <w:rPr>
      <w:rFonts w:ascii="Courier New" w:hAnsi="Courier New"/>
      <w:szCs w:val="20"/>
    </w:rPr>
  </w:style>
  <w:style w:type="character" w:customStyle="1" w:styleId="EndnoteTextChar">
    <w:name w:val="Endnote Text Char"/>
    <w:link w:val="EndnoteText"/>
    <w:rsid w:val="00674665"/>
    <w:rPr>
      <w:rFonts w:ascii="Courier New" w:hAnsi="Courier New"/>
      <w:sz w:val="24"/>
    </w:rPr>
  </w:style>
  <w:style w:type="character" w:styleId="CommentReference">
    <w:name w:val="annotation reference"/>
    <w:uiPriority w:val="99"/>
    <w:rsid w:val="009C1BB5"/>
    <w:rPr>
      <w:sz w:val="16"/>
      <w:szCs w:val="16"/>
    </w:rPr>
  </w:style>
  <w:style w:type="paragraph" w:styleId="CommentText">
    <w:name w:val="annotation text"/>
    <w:basedOn w:val="Normal"/>
    <w:link w:val="CommentTextChar"/>
    <w:uiPriority w:val="99"/>
    <w:rsid w:val="009C1BB5"/>
    <w:rPr>
      <w:sz w:val="20"/>
      <w:szCs w:val="20"/>
    </w:rPr>
  </w:style>
  <w:style w:type="character" w:customStyle="1" w:styleId="CommentTextChar">
    <w:name w:val="Comment Text Char"/>
    <w:basedOn w:val="DefaultParagraphFont"/>
    <w:link w:val="CommentText"/>
    <w:uiPriority w:val="99"/>
    <w:rsid w:val="009C1BB5"/>
  </w:style>
  <w:style w:type="paragraph" w:styleId="CommentSubject">
    <w:name w:val="annotation subject"/>
    <w:basedOn w:val="CommentText"/>
    <w:next w:val="CommentText"/>
    <w:link w:val="CommentSubjectChar"/>
    <w:rsid w:val="009C1BB5"/>
    <w:rPr>
      <w:b/>
      <w:bCs/>
    </w:rPr>
  </w:style>
  <w:style w:type="character" w:customStyle="1" w:styleId="CommentSubjectChar">
    <w:name w:val="Comment Subject Char"/>
    <w:link w:val="CommentSubject"/>
    <w:rsid w:val="009C1BB5"/>
    <w:rPr>
      <w:b/>
      <w:bCs/>
    </w:rPr>
  </w:style>
  <w:style w:type="paragraph" w:styleId="Revision">
    <w:name w:val="Revision"/>
    <w:hidden/>
    <w:uiPriority w:val="99"/>
    <w:semiHidden/>
    <w:rsid w:val="002C7350"/>
    <w:rPr>
      <w:sz w:val="24"/>
      <w:szCs w:val="24"/>
    </w:rPr>
  </w:style>
  <w:style w:type="paragraph" w:styleId="FootnoteText">
    <w:name w:val="footnote text"/>
    <w:basedOn w:val="Normal"/>
    <w:link w:val="FootnoteTextChar"/>
    <w:uiPriority w:val="99"/>
    <w:unhideWhenUsed/>
    <w:rsid w:val="002A6EE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A6EEE"/>
    <w:rPr>
      <w:rFonts w:asciiTheme="minorHAnsi" w:eastAsiaTheme="minorHAnsi" w:hAnsiTheme="minorHAnsi" w:cstheme="minorBidi"/>
    </w:rPr>
  </w:style>
  <w:style w:type="character" w:styleId="FootnoteReference">
    <w:name w:val="footnote reference"/>
    <w:basedOn w:val="DefaultParagraphFont"/>
    <w:uiPriority w:val="99"/>
    <w:unhideWhenUsed/>
    <w:rsid w:val="002A6EEE"/>
    <w:rPr>
      <w:vertAlign w:val="superscript"/>
    </w:rPr>
  </w:style>
  <w:style w:type="table" w:customStyle="1" w:styleId="TableGrid1">
    <w:name w:val="Table Grid1"/>
    <w:basedOn w:val="TableNormal"/>
    <w:next w:val="TableGrid"/>
    <w:uiPriority w:val="39"/>
    <w:rsid w:val="002A6E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39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1E51"/>
    <w:rPr>
      <w:color w:val="605E5C"/>
      <w:shd w:val="clear" w:color="auto" w:fill="E1DFDD"/>
    </w:rPr>
  </w:style>
  <w:style w:type="paragraph" w:customStyle="1" w:styleId="Default">
    <w:name w:val="Default"/>
    <w:rsid w:val="0032449D"/>
    <w:pPr>
      <w:autoSpaceDE w:val="0"/>
      <w:autoSpaceDN w:val="0"/>
      <w:adjustRightInd w:val="0"/>
    </w:pPr>
    <w:rPr>
      <w:rFonts w:ascii="Cambria" w:hAnsi="Cambria" w:cs="Cambria"/>
      <w:color w:val="000000"/>
      <w:sz w:val="24"/>
      <w:szCs w:val="24"/>
    </w:rPr>
  </w:style>
  <w:style w:type="character" w:customStyle="1" w:styleId="normaltextrun">
    <w:name w:val="normaltextrun"/>
    <w:basedOn w:val="DefaultParagraphFont"/>
    <w:rsid w:val="005E4790"/>
  </w:style>
  <w:style w:type="character" w:styleId="FollowedHyperlink">
    <w:name w:val="FollowedHyperlink"/>
    <w:basedOn w:val="DefaultParagraphFont"/>
    <w:rsid w:val="00EF74D8"/>
    <w:rPr>
      <w:color w:val="954F72" w:themeColor="followedHyperlink"/>
      <w:u w:val="single"/>
    </w:rPr>
  </w:style>
  <w:style w:type="paragraph" w:styleId="ListParagraph">
    <w:name w:val="List Paragraph"/>
    <w:basedOn w:val="Normal"/>
    <w:uiPriority w:val="34"/>
    <w:qFormat/>
    <w:rsid w:val="00E94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3/DCB.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fipdirect.fema.gov/Membership/SignIn/?ReturnUrl=%2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88B39-8AC7-416C-BD46-4EAFB9137856}">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2.xml><?xml version="1.0" encoding="utf-8"?>
<ds:datastoreItem xmlns:ds="http://schemas.openxmlformats.org/officeDocument/2006/customXml" ds:itemID="{3BCAB8D7-14F2-4C02-BB6D-E93CFCD15EFD}">
  <ds:schemaRefs>
    <ds:schemaRef ds:uri="http://schemas.openxmlformats.org/officeDocument/2006/bibliography"/>
  </ds:schemaRefs>
</ds:datastoreItem>
</file>

<file path=customXml/itemProps3.xml><?xml version="1.0" encoding="utf-8"?>
<ds:datastoreItem xmlns:ds="http://schemas.openxmlformats.org/officeDocument/2006/customXml" ds:itemID="{17B94CA2-8C3D-47F6-85AC-7D3D17522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29241-F039-433A-8BBD-885B4FEA3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4886</Words>
  <Characters>29300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Crosby, Kevin</cp:lastModifiedBy>
  <cp:revision>5</cp:revision>
  <cp:lastPrinted>2019-12-02T21:25:00Z</cp:lastPrinted>
  <dcterms:created xsi:type="dcterms:W3CDTF">2023-02-23T19:03:00Z</dcterms:created>
  <dcterms:modified xsi:type="dcterms:W3CDTF">2023-02-23T19:57:00Z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y fmtid="{D5CDD505-2E9C-101B-9397-08002B2CF9AE}" pid="4" name="_NewReviewCycle">
    <vt:lpwstr/>
  </property>
</Properties>
</file>