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7270" w:type="dxa"/>
        <w:tblLook w:val="04A0" w:firstRow="1" w:lastRow="0" w:firstColumn="1" w:lastColumn="0" w:noHBand="0" w:noVBand="1"/>
      </w:tblPr>
      <w:tblGrid>
        <w:gridCol w:w="4523"/>
        <w:gridCol w:w="1090"/>
        <w:gridCol w:w="2194"/>
        <w:gridCol w:w="2041"/>
        <w:gridCol w:w="7422"/>
      </w:tblGrid>
      <w:tr w:rsidRPr="00E15EAE" w:rsidR="00466732" w:rsidTr="00943282" w14:paraId="7284C9FC" w14:textId="77777777">
        <w:tc>
          <w:tcPr>
            <w:tcW w:w="17270" w:type="dxa"/>
            <w:gridSpan w:val="5"/>
            <w:shd w:val="clear" w:color="auto" w:fill="auto"/>
          </w:tcPr>
          <w:p w:rsidRPr="00E15EAE" w:rsidR="00466732" w:rsidP="00943ED3" w:rsidRDefault="00466732" w14:paraId="113D2A19" w14:textId="0C1B8DA2">
            <w:pPr>
              <w:jc w:val="center"/>
              <w:rPr>
                <w:b/>
                <w:bCs/>
                <w:sz w:val="20"/>
                <w:szCs w:val="20"/>
              </w:rPr>
            </w:pPr>
            <w:r w:rsidRPr="00E15EAE">
              <w:rPr>
                <w:b/>
                <w:bCs/>
                <w:sz w:val="20"/>
                <w:szCs w:val="20"/>
              </w:rPr>
              <w:t>HEERF Annual Data Collection 60-day Comment Responses</w:t>
            </w:r>
          </w:p>
        </w:tc>
      </w:tr>
      <w:tr w:rsidRPr="00E15EAE" w:rsidR="00466732" w:rsidTr="001E1237" w14:paraId="38E80111" w14:textId="77777777">
        <w:tc>
          <w:tcPr>
            <w:tcW w:w="4725" w:type="dxa"/>
            <w:shd w:val="clear" w:color="auto" w:fill="auto"/>
          </w:tcPr>
          <w:p w:rsidRPr="00E15EAE" w:rsidR="00466732" w:rsidP="00943ED3" w:rsidRDefault="00466732" w14:paraId="784D17B4" w14:textId="33091C91">
            <w:pPr>
              <w:jc w:val="center"/>
              <w:rPr>
                <w:b/>
                <w:bCs/>
                <w:sz w:val="20"/>
                <w:szCs w:val="20"/>
              </w:rPr>
            </w:pPr>
            <w:r w:rsidRPr="00E15EAE">
              <w:rPr>
                <w:b/>
                <w:bCs/>
                <w:sz w:val="20"/>
                <w:szCs w:val="20"/>
              </w:rPr>
              <w:t>Summarizing Comment</w:t>
            </w:r>
          </w:p>
        </w:tc>
        <w:tc>
          <w:tcPr>
            <w:tcW w:w="1090" w:type="dxa"/>
            <w:shd w:val="clear" w:color="auto" w:fill="auto"/>
          </w:tcPr>
          <w:p w:rsidRPr="00E15EAE" w:rsidR="00466732" w:rsidP="00943ED3" w:rsidRDefault="00466732" w14:paraId="3403733F" w14:textId="751BBCF0">
            <w:pPr>
              <w:jc w:val="center"/>
              <w:rPr>
                <w:b/>
                <w:bCs/>
                <w:sz w:val="20"/>
                <w:szCs w:val="20"/>
              </w:rPr>
            </w:pPr>
            <w:r w:rsidRPr="00E15EAE">
              <w:rPr>
                <w:b/>
                <w:bCs/>
                <w:sz w:val="20"/>
                <w:szCs w:val="20"/>
              </w:rPr>
              <w:t>Applicable questions</w:t>
            </w:r>
          </w:p>
        </w:tc>
        <w:tc>
          <w:tcPr>
            <w:tcW w:w="2280" w:type="dxa"/>
            <w:shd w:val="clear" w:color="auto" w:fill="auto"/>
          </w:tcPr>
          <w:p w:rsidRPr="00E15EAE" w:rsidR="00466732" w:rsidP="00943ED3" w:rsidRDefault="00466732" w14:paraId="4093448F" w14:textId="1C278AC5">
            <w:pPr>
              <w:jc w:val="center"/>
              <w:rPr>
                <w:b/>
                <w:bCs/>
                <w:sz w:val="20"/>
                <w:szCs w:val="20"/>
              </w:rPr>
            </w:pPr>
            <w:r w:rsidRPr="00E15EAE">
              <w:rPr>
                <w:b/>
                <w:bCs/>
                <w:sz w:val="20"/>
                <w:szCs w:val="20"/>
              </w:rPr>
              <w:t>Applicable comments</w:t>
            </w:r>
          </w:p>
        </w:tc>
        <w:tc>
          <w:tcPr>
            <w:tcW w:w="2070" w:type="dxa"/>
            <w:shd w:val="clear" w:color="auto" w:fill="auto"/>
          </w:tcPr>
          <w:p w:rsidR="00952516" w:rsidP="00943ED3" w:rsidRDefault="00952516" w14:paraId="388861ED" w14:textId="0DBDE3DC">
            <w:pPr>
              <w:jc w:val="center"/>
              <w:rPr>
                <w:b/>
                <w:bCs/>
                <w:sz w:val="20"/>
                <w:szCs w:val="20"/>
              </w:rPr>
            </w:pPr>
            <w:r>
              <w:rPr>
                <w:b/>
                <w:bCs/>
                <w:sz w:val="20"/>
                <w:szCs w:val="20"/>
              </w:rPr>
              <w:t>Name/A</w:t>
            </w:r>
            <w:r w:rsidRPr="00916180">
              <w:rPr>
                <w:b/>
                <w:bCs/>
                <w:sz w:val="20"/>
                <w:szCs w:val="20"/>
              </w:rPr>
              <w:t>ff</w:t>
            </w:r>
            <w:r>
              <w:rPr>
                <w:b/>
                <w:bCs/>
                <w:sz w:val="20"/>
                <w:szCs w:val="20"/>
              </w:rPr>
              <w:t>i</w:t>
            </w:r>
            <w:r w:rsidRPr="00916180">
              <w:rPr>
                <w:b/>
                <w:bCs/>
                <w:sz w:val="20"/>
                <w:szCs w:val="20"/>
              </w:rPr>
              <w:t>liation</w:t>
            </w:r>
          </w:p>
        </w:tc>
        <w:tc>
          <w:tcPr>
            <w:tcW w:w="7105" w:type="dxa"/>
          </w:tcPr>
          <w:p w:rsidRPr="00E15EAE" w:rsidR="00466732" w:rsidP="00943ED3" w:rsidRDefault="00466732" w14:paraId="6CB9F8A4" w14:textId="16543BD7">
            <w:pPr>
              <w:jc w:val="center"/>
              <w:rPr>
                <w:b/>
                <w:bCs/>
                <w:sz w:val="20"/>
                <w:szCs w:val="20"/>
              </w:rPr>
            </w:pPr>
            <w:r w:rsidRPr="00E15EAE">
              <w:rPr>
                <w:b/>
                <w:bCs/>
                <w:sz w:val="20"/>
                <w:szCs w:val="20"/>
              </w:rPr>
              <w:t>Response</w:t>
            </w:r>
          </w:p>
        </w:tc>
      </w:tr>
      <w:tr w:rsidRPr="00E15EAE" w:rsidR="000603AC" w:rsidTr="001E1237" w14:paraId="294285AB" w14:textId="77777777">
        <w:tc>
          <w:tcPr>
            <w:tcW w:w="4725" w:type="dxa"/>
          </w:tcPr>
          <w:p w:rsidRPr="00421C90" w:rsidR="000603AC" w:rsidP="00943ED3" w:rsidRDefault="000603AC" w14:paraId="42F33C53" w14:textId="6A058942">
            <w:pPr>
              <w:rPr>
                <w:sz w:val="20"/>
                <w:szCs w:val="20"/>
              </w:rPr>
            </w:pPr>
            <w:r w:rsidRPr="00421C90">
              <w:rPr>
                <w:sz w:val="20"/>
                <w:szCs w:val="20"/>
              </w:rPr>
              <w:t xml:space="preserve">The proposed changes are overly burdensome. Institutions may not have the capacity to report on </w:t>
            </w:r>
            <w:r w:rsidRPr="00421C90" w:rsidR="0036672D">
              <w:rPr>
                <w:sz w:val="20"/>
                <w:szCs w:val="20"/>
              </w:rPr>
              <w:t>all</w:t>
            </w:r>
            <w:r w:rsidRPr="00421C90">
              <w:rPr>
                <w:sz w:val="20"/>
                <w:szCs w:val="20"/>
              </w:rPr>
              <w:t xml:space="preserve"> the items especially in light of other pandemic -related priorities. Particularly problematic data elements include disaggregation by student subgroups, retrospective looking data elements, reporting on students who do not receive HEERF, integration of data from multiple sources, and competing state and federal reporting deadlines. </w:t>
            </w:r>
            <w:r w:rsidRPr="00421C90" w:rsidR="00C64AF8">
              <w:rPr>
                <w:sz w:val="20"/>
                <w:szCs w:val="20"/>
              </w:rPr>
              <w:t xml:space="preserve"> </w:t>
            </w:r>
            <w:r w:rsidRPr="00421C90">
              <w:rPr>
                <w:sz w:val="20"/>
                <w:szCs w:val="20"/>
              </w:rPr>
              <w:t xml:space="preserve">Granular reporting on student subgroups also requires privacy perturbation. </w:t>
            </w:r>
          </w:p>
          <w:p w:rsidRPr="00421C90" w:rsidR="000603AC" w:rsidP="00943ED3" w:rsidRDefault="000603AC" w14:paraId="085E2521" w14:textId="4917B8D4">
            <w:pPr>
              <w:rPr>
                <w:sz w:val="20"/>
                <w:szCs w:val="20"/>
              </w:rPr>
            </w:pPr>
          </w:p>
          <w:p w:rsidRPr="00421C90" w:rsidR="00C64AF8" w:rsidP="0031130F" w:rsidRDefault="00C64AF8" w14:paraId="61EBD582" w14:textId="77777777">
            <w:pPr>
              <w:rPr>
                <w:rFonts w:ascii="Calibri" w:hAnsi="Calibri" w:eastAsia="Calibri" w:cs="Calibri"/>
                <w:sz w:val="20"/>
                <w:szCs w:val="20"/>
              </w:rPr>
            </w:pPr>
            <w:r w:rsidRPr="00421C90">
              <w:rPr>
                <w:rFonts w:ascii="Calibri" w:hAnsi="Calibri" w:eastAsia="Calibri" w:cs="Calibri"/>
                <w:sz w:val="20"/>
                <w:szCs w:val="20"/>
              </w:rPr>
              <w:t>There are other instances where student demographic data does not exist. For instance, institutions indicated that they collect minimal demographic information from certain student populations, such as non-degree students.</w:t>
            </w:r>
          </w:p>
          <w:p w:rsidRPr="00421C90" w:rsidR="00C64AF8" w:rsidRDefault="00C64AF8" w14:paraId="6D5B4826" w14:textId="77777777">
            <w:pPr>
              <w:rPr>
                <w:sz w:val="20"/>
                <w:szCs w:val="20"/>
              </w:rPr>
            </w:pPr>
          </w:p>
          <w:p w:rsidRPr="0031130F" w:rsidR="00C64AF8" w:rsidP="0031130F" w:rsidRDefault="00C64AF8" w14:paraId="3D4E37B5" w14:textId="0FB101FF">
            <w:pPr>
              <w:rPr>
                <w:sz w:val="20"/>
                <w:szCs w:val="20"/>
              </w:rPr>
            </w:pPr>
            <w:r w:rsidRPr="00421C90">
              <w:rPr>
                <w:rFonts w:ascii="Calibri" w:hAnsi="Calibri" w:eastAsia="Calibri" w:cs="Calibri"/>
                <w:sz w:val="20"/>
                <w:szCs w:val="20"/>
              </w:rPr>
              <w:t>ED’s request for significant disaggregation of data far outsteps the bounds of what is</w:t>
            </w:r>
            <w:r w:rsidRPr="00421C90" w:rsidR="004A0A62">
              <w:rPr>
                <w:rFonts w:ascii="Calibri" w:hAnsi="Calibri" w:eastAsia="Calibri" w:cs="Calibri"/>
                <w:sz w:val="20"/>
                <w:szCs w:val="20"/>
              </w:rPr>
              <w:t xml:space="preserve"> </w:t>
            </w:r>
            <w:r w:rsidRPr="00421C90">
              <w:rPr>
                <w:rFonts w:ascii="Calibri" w:hAnsi="Calibri" w:eastAsia="Calibri" w:cs="Calibri"/>
                <w:sz w:val="20"/>
                <w:szCs w:val="20"/>
              </w:rPr>
              <w:t>required to ensure institutional compliance with the law. At minimum, if ED does not entirely remove the disaggregation and comparison questions, it should make responses to those questions optional.</w:t>
            </w:r>
            <w:r w:rsidRPr="0031130F">
              <w:rPr>
                <w:sz w:val="20"/>
                <w:szCs w:val="20"/>
              </w:rPr>
              <w:t xml:space="preserve"> </w:t>
            </w:r>
          </w:p>
          <w:p w:rsidRPr="00421C90" w:rsidR="0036672D" w:rsidP="0031130F" w:rsidRDefault="0036672D" w14:paraId="28B02F5B" w14:textId="77777777">
            <w:pPr>
              <w:rPr>
                <w:sz w:val="20"/>
                <w:szCs w:val="20"/>
              </w:rPr>
            </w:pPr>
          </w:p>
          <w:p w:rsidRPr="00421C90" w:rsidR="00C64AF8" w:rsidRDefault="000603AC" w14:paraId="208B7237" w14:textId="77777777">
            <w:pPr>
              <w:rPr>
                <w:sz w:val="20"/>
                <w:szCs w:val="20"/>
              </w:rPr>
            </w:pPr>
            <w:r w:rsidRPr="00421C90">
              <w:rPr>
                <w:sz w:val="20"/>
                <w:szCs w:val="20"/>
              </w:rPr>
              <w:t>Withdraw this IC and leave the existing IC in place while convening stakeholders with knowledge of institutional operations and usage of HEERF funds to develop a more comprehensive and achievable reporting method that meets our shared goals for understanding how institutional funds were used and how students with the greatest need were aided.</w:t>
            </w:r>
          </w:p>
          <w:p w:rsidRPr="00421C90" w:rsidR="00C64AF8" w:rsidRDefault="00C64AF8" w14:paraId="1BC4AD93" w14:textId="77777777">
            <w:pPr>
              <w:rPr>
                <w:sz w:val="20"/>
                <w:szCs w:val="20"/>
              </w:rPr>
            </w:pPr>
          </w:p>
          <w:p w:rsidRPr="00421C90" w:rsidR="00060419" w:rsidP="0031130F" w:rsidRDefault="00C64AF8" w14:paraId="363BC5FE" w14:textId="7E689E83">
            <w:pPr>
              <w:rPr>
                <w:sz w:val="20"/>
                <w:szCs w:val="20"/>
              </w:rPr>
            </w:pPr>
            <w:r w:rsidRPr="00421C90">
              <w:rPr>
                <w:rFonts w:ascii="Calibri" w:hAnsi="Calibri" w:eastAsia="Calibri" w:cs="Calibri"/>
                <w:sz w:val="20"/>
                <w:szCs w:val="20"/>
              </w:rPr>
              <w:lastRenderedPageBreak/>
              <w:t>Instead of requiring the proposed data disaggregation from all</w:t>
            </w:r>
            <w:r w:rsidRPr="00421C90" w:rsidR="00943ED3">
              <w:rPr>
                <w:rFonts w:ascii="Calibri" w:hAnsi="Calibri" w:eastAsia="Calibri" w:cs="Calibri"/>
                <w:sz w:val="20"/>
                <w:szCs w:val="20"/>
              </w:rPr>
              <w:t xml:space="preserve"> </w:t>
            </w:r>
            <w:r w:rsidRPr="00421C90">
              <w:rPr>
                <w:rFonts w:ascii="Calibri" w:hAnsi="Calibri" w:eastAsia="Calibri" w:cs="Calibri"/>
                <w:sz w:val="20"/>
                <w:szCs w:val="20"/>
              </w:rPr>
              <w:t xml:space="preserve">institutions, we suggest the Department of Education gather this data through a grant-funded partnership with a representative sample of postsecondary institutions. </w:t>
            </w:r>
          </w:p>
          <w:p w:rsidRPr="00421C90" w:rsidR="000603AC" w:rsidRDefault="000603AC" w14:paraId="144B28E2" w14:textId="3763134B">
            <w:pPr>
              <w:rPr>
                <w:sz w:val="20"/>
                <w:szCs w:val="20"/>
              </w:rPr>
            </w:pPr>
          </w:p>
        </w:tc>
        <w:tc>
          <w:tcPr>
            <w:tcW w:w="1090" w:type="dxa"/>
          </w:tcPr>
          <w:p w:rsidRPr="00421C90" w:rsidR="000603AC" w:rsidRDefault="000603AC" w14:paraId="226C292A" w14:textId="77777777">
            <w:pPr>
              <w:rPr>
                <w:sz w:val="20"/>
                <w:szCs w:val="20"/>
              </w:rPr>
            </w:pPr>
          </w:p>
        </w:tc>
        <w:tc>
          <w:tcPr>
            <w:tcW w:w="2280" w:type="dxa"/>
          </w:tcPr>
          <w:p w:rsidRPr="0031130F" w:rsidR="000603AC" w:rsidRDefault="000603AC" w14:paraId="4001E538" w14:textId="77777777">
            <w:pPr>
              <w:rPr>
                <w:sz w:val="20"/>
                <w:szCs w:val="20"/>
              </w:rPr>
            </w:pPr>
            <w:r w:rsidRPr="0031130F">
              <w:rPr>
                <w:sz w:val="20"/>
                <w:szCs w:val="20"/>
              </w:rPr>
              <w:t>ED-2021-SCC-0093-0004</w:t>
            </w:r>
          </w:p>
          <w:p w:rsidRPr="0031130F" w:rsidR="000603AC" w:rsidRDefault="000603AC" w14:paraId="23C36286" w14:textId="77777777">
            <w:pPr>
              <w:rPr>
                <w:sz w:val="20"/>
                <w:szCs w:val="20"/>
              </w:rPr>
            </w:pPr>
            <w:r w:rsidRPr="0031130F">
              <w:rPr>
                <w:sz w:val="20"/>
                <w:szCs w:val="20"/>
              </w:rPr>
              <w:t>ED-2021-SCC-0093-0006</w:t>
            </w:r>
          </w:p>
          <w:p w:rsidRPr="0031130F" w:rsidR="000603AC" w:rsidRDefault="000603AC" w14:paraId="19A7659B" w14:textId="77777777">
            <w:pPr>
              <w:rPr>
                <w:sz w:val="20"/>
                <w:szCs w:val="20"/>
              </w:rPr>
            </w:pPr>
            <w:r w:rsidRPr="0031130F">
              <w:rPr>
                <w:sz w:val="20"/>
                <w:szCs w:val="20"/>
              </w:rPr>
              <w:t>ED-2021-SCC-0093-0008</w:t>
            </w:r>
          </w:p>
          <w:p w:rsidRPr="0031130F" w:rsidR="000603AC" w:rsidRDefault="000603AC" w14:paraId="45F1A441" w14:textId="77777777">
            <w:pPr>
              <w:rPr>
                <w:sz w:val="20"/>
                <w:szCs w:val="20"/>
              </w:rPr>
            </w:pPr>
            <w:r w:rsidRPr="0031130F">
              <w:rPr>
                <w:sz w:val="20"/>
                <w:szCs w:val="20"/>
              </w:rPr>
              <w:t>ED-2021-SCC-0093-0009</w:t>
            </w:r>
          </w:p>
          <w:p w:rsidRPr="0031130F" w:rsidR="000603AC" w:rsidRDefault="000603AC" w14:paraId="62372D40" w14:textId="77777777">
            <w:pPr>
              <w:rPr>
                <w:sz w:val="20"/>
                <w:szCs w:val="20"/>
              </w:rPr>
            </w:pPr>
            <w:r w:rsidRPr="0031130F">
              <w:rPr>
                <w:sz w:val="20"/>
                <w:szCs w:val="20"/>
              </w:rPr>
              <w:t>ED-2021-SCC-0093-0010</w:t>
            </w:r>
          </w:p>
          <w:p w:rsidRPr="0031130F" w:rsidR="000603AC" w:rsidRDefault="000603AC" w14:paraId="79CFCFB5" w14:textId="77777777">
            <w:pPr>
              <w:rPr>
                <w:sz w:val="20"/>
                <w:szCs w:val="20"/>
              </w:rPr>
            </w:pPr>
            <w:r w:rsidRPr="0031130F">
              <w:rPr>
                <w:sz w:val="20"/>
                <w:szCs w:val="20"/>
              </w:rPr>
              <w:t>ED-2021-SCC-0093-0058</w:t>
            </w:r>
          </w:p>
          <w:p w:rsidRPr="0031130F" w:rsidR="000603AC" w:rsidRDefault="000603AC" w14:paraId="34603C54" w14:textId="77777777">
            <w:pPr>
              <w:rPr>
                <w:sz w:val="20"/>
                <w:szCs w:val="20"/>
              </w:rPr>
            </w:pPr>
            <w:r w:rsidRPr="0031130F">
              <w:rPr>
                <w:sz w:val="20"/>
                <w:szCs w:val="20"/>
              </w:rPr>
              <w:t>ED-2021-SCC-0093-0057</w:t>
            </w:r>
          </w:p>
          <w:p w:rsidRPr="0031130F" w:rsidR="000603AC" w:rsidRDefault="000603AC" w14:paraId="6AF739CE" w14:textId="77777777">
            <w:pPr>
              <w:rPr>
                <w:sz w:val="20"/>
                <w:szCs w:val="20"/>
              </w:rPr>
            </w:pPr>
            <w:r w:rsidRPr="0031130F">
              <w:rPr>
                <w:sz w:val="20"/>
                <w:szCs w:val="20"/>
              </w:rPr>
              <w:t>ED-2021-SCC-0093-0017</w:t>
            </w:r>
          </w:p>
          <w:p w:rsidRPr="0031130F" w:rsidR="000603AC" w:rsidRDefault="000603AC" w14:paraId="29718521" w14:textId="77777777">
            <w:pPr>
              <w:rPr>
                <w:sz w:val="20"/>
                <w:szCs w:val="20"/>
              </w:rPr>
            </w:pPr>
            <w:r w:rsidRPr="0031130F">
              <w:rPr>
                <w:sz w:val="20"/>
                <w:szCs w:val="20"/>
              </w:rPr>
              <w:t>ED-2021-SCC-0093-0018</w:t>
            </w:r>
          </w:p>
          <w:p w:rsidRPr="0031130F" w:rsidR="000603AC" w:rsidRDefault="000603AC" w14:paraId="030D0F0B" w14:textId="77777777">
            <w:pPr>
              <w:rPr>
                <w:sz w:val="20"/>
                <w:szCs w:val="20"/>
              </w:rPr>
            </w:pPr>
            <w:r w:rsidRPr="0031130F">
              <w:rPr>
                <w:sz w:val="20"/>
                <w:szCs w:val="20"/>
              </w:rPr>
              <w:t>ED-2021-SCC-0093-0019</w:t>
            </w:r>
          </w:p>
          <w:p w:rsidRPr="0031130F" w:rsidR="000603AC" w:rsidRDefault="000603AC" w14:paraId="2706DA7C" w14:textId="77777777">
            <w:pPr>
              <w:rPr>
                <w:sz w:val="20"/>
                <w:szCs w:val="20"/>
              </w:rPr>
            </w:pPr>
            <w:r w:rsidRPr="0031130F">
              <w:rPr>
                <w:sz w:val="20"/>
                <w:szCs w:val="20"/>
              </w:rPr>
              <w:t>ED-2021-SCC-0093-0056</w:t>
            </w:r>
          </w:p>
          <w:p w:rsidRPr="0031130F" w:rsidR="000603AC" w:rsidRDefault="000603AC" w14:paraId="4CF89772" w14:textId="77777777">
            <w:pPr>
              <w:rPr>
                <w:sz w:val="20"/>
                <w:szCs w:val="20"/>
              </w:rPr>
            </w:pPr>
            <w:r w:rsidRPr="0031130F">
              <w:rPr>
                <w:sz w:val="20"/>
                <w:szCs w:val="20"/>
              </w:rPr>
              <w:t>ED-2021-SCC-0093-0021</w:t>
            </w:r>
          </w:p>
          <w:p w:rsidRPr="0031130F" w:rsidR="000603AC" w:rsidRDefault="000603AC" w14:paraId="77D6DD6F" w14:textId="77777777">
            <w:pPr>
              <w:rPr>
                <w:sz w:val="20"/>
                <w:szCs w:val="20"/>
              </w:rPr>
            </w:pPr>
            <w:r w:rsidRPr="0031130F">
              <w:rPr>
                <w:sz w:val="20"/>
                <w:szCs w:val="20"/>
              </w:rPr>
              <w:t>ED-2021-SCC-0093-0051</w:t>
            </w:r>
          </w:p>
          <w:p w:rsidRPr="0031130F" w:rsidR="000603AC" w:rsidRDefault="000603AC" w14:paraId="08F9D02E" w14:textId="77777777">
            <w:pPr>
              <w:rPr>
                <w:sz w:val="20"/>
                <w:szCs w:val="20"/>
              </w:rPr>
            </w:pPr>
            <w:r w:rsidRPr="0031130F">
              <w:rPr>
                <w:sz w:val="20"/>
                <w:szCs w:val="20"/>
              </w:rPr>
              <w:t>ED-2021-SCC-0093-0055</w:t>
            </w:r>
          </w:p>
          <w:p w:rsidRPr="0031130F" w:rsidR="000603AC" w:rsidRDefault="000603AC" w14:paraId="72B43B11" w14:textId="77777777">
            <w:pPr>
              <w:rPr>
                <w:sz w:val="20"/>
                <w:szCs w:val="20"/>
              </w:rPr>
            </w:pPr>
            <w:r w:rsidRPr="0031130F">
              <w:rPr>
                <w:sz w:val="20"/>
                <w:szCs w:val="20"/>
              </w:rPr>
              <w:t>ED-2021-SCC-0093-0054</w:t>
            </w:r>
          </w:p>
          <w:p w:rsidRPr="0031130F" w:rsidR="000603AC" w:rsidRDefault="000603AC" w14:paraId="074AEA86" w14:textId="77777777">
            <w:pPr>
              <w:rPr>
                <w:sz w:val="20"/>
                <w:szCs w:val="20"/>
              </w:rPr>
            </w:pPr>
            <w:r w:rsidRPr="0031130F">
              <w:rPr>
                <w:sz w:val="20"/>
                <w:szCs w:val="20"/>
              </w:rPr>
              <w:t>ED-2021-SCC-0093-0053</w:t>
            </w:r>
          </w:p>
          <w:p w:rsidRPr="0031130F" w:rsidR="000603AC" w:rsidRDefault="000603AC" w14:paraId="6013C728" w14:textId="77777777">
            <w:pPr>
              <w:rPr>
                <w:sz w:val="20"/>
                <w:szCs w:val="20"/>
              </w:rPr>
            </w:pPr>
            <w:r w:rsidRPr="0031130F">
              <w:rPr>
                <w:sz w:val="20"/>
                <w:szCs w:val="20"/>
              </w:rPr>
              <w:t>ED-2021-SCC-0093-0052</w:t>
            </w:r>
          </w:p>
          <w:p w:rsidRPr="0031130F" w:rsidR="000603AC" w:rsidRDefault="000603AC" w14:paraId="71CC3760" w14:textId="77777777">
            <w:pPr>
              <w:rPr>
                <w:sz w:val="20"/>
                <w:szCs w:val="20"/>
              </w:rPr>
            </w:pPr>
            <w:r w:rsidRPr="0031130F">
              <w:rPr>
                <w:sz w:val="20"/>
                <w:szCs w:val="20"/>
              </w:rPr>
              <w:lastRenderedPageBreak/>
              <w:t>ED-2021-SCC-0093-0050</w:t>
            </w:r>
          </w:p>
          <w:p w:rsidRPr="0031130F" w:rsidR="000603AC" w:rsidRDefault="000603AC" w14:paraId="427542A7" w14:textId="77777777">
            <w:pPr>
              <w:rPr>
                <w:sz w:val="20"/>
                <w:szCs w:val="20"/>
              </w:rPr>
            </w:pPr>
            <w:r w:rsidRPr="0031130F">
              <w:rPr>
                <w:sz w:val="20"/>
                <w:szCs w:val="20"/>
              </w:rPr>
              <w:t>ED-2021-SCC-0093-0049</w:t>
            </w:r>
          </w:p>
          <w:p w:rsidRPr="0031130F" w:rsidR="000603AC" w:rsidRDefault="000603AC" w14:paraId="278AE659" w14:textId="77777777">
            <w:pPr>
              <w:rPr>
                <w:sz w:val="20"/>
                <w:szCs w:val="20"/>
              </w:rPr>
            </w:pPr>
            <w:r w:rsidRPr="0031130F">
              <w:rPr>
                <w:sz w:val="20"/>
                <w:szCs w:val="20"/>
              </w:rPr>
              <w:t>ED-2021-SCC-0093-0048</w:t>
            </w:r>
          </w:p>
          <w:p w:rsidRPr="0031130F" w:rsidR="000603AC" w:rsidRDefault="000603AC" w14:paraId="16B3AA78" w14:textId="77777777">
            <w:pPr>
              <w:rPr>
                <w:sz w:val="20"/>
                <w:szCs w:val="20"/>
              </w:rPr>
            </w:pPr>
            <w:r w:rsidRPr="0031130F">
              <w:rPr>
                <w:sz w:val="20"/>
                <w:szCs w:val="20"/>
              </w:rPr>
              <w:t>ED-2021-SCC-0093-0047</w:t>
            </w:r>
          </w:p>
          <w:p w:rsidRPr="0031130F" w:rsidR="000603AC" w:rsidRDefault="000603AC" w14:paraId="059F71AC" w14:textId="77777777">
            <w:pPr>
              <w:rPr>
                <w:sz w:val="20"/>
                <w:szCs w:val="20"/>
              </w:rPr>
            </w:pPr>
            <w:r w:rsidRPr="0031130F">
              <w:rPr>
                <w:sz w:val="20"/>
                <w:szCs w:val="20"/>
              </w:rPr>
              <w:t>ED-2021-SCC-0093-0044</w:t>
            </w:r>
          </w:p>
          <w:p w:rsidRPr="0031130F" w:rsidR="000603AC" w:rsidRDefault="000603AC" w14:paraId="50D8902D" w14:textId="77777777">
            <w:pPr>
              <w:rPr>
                <w:sz w:val="20"/>
                <w:szCs w:val="20"/>
              </w:rPr>
            </w:pPr>
            <w:r w:rsidRPr="0031130F">
              <w:rPr>
                <w:sz w:val="20"/>
                <w:szCs w:val="20"/>
              </w:rPr>
              <w:t>ED-2021-SCC-0093-0042</w:t>
            </w:r>
          </w:p>
          <w:p w:rsidRPr="0031130F" w:rsidR="000603AC" w:rsidRDefault="000603AC" w14:paraId="1F1FED22" w14:textId="77777777">
            <w:pPr>
              <w:rPr>
                <w:sz w:val="20"/>
                <w:szCs w:val="20"/>
              </w:rPr>
            </w:pPr>
            <w:r w:rsidRPr="0031130F">
              <w:rPr>
                <w:sz w:val="20"/>
                <w:szCs w:val="20"/>
              </w:rPr>
              <w:t>ED-2021-SCC-0093-0041</w:t>
            </w:r>
          </w:p>
          <w:p w:rsidRPr="0031130F" w:rsidR="000603AC" w:rsidRDefault="000603AC" w14:paraId="26D90293" w14:textId="77777777">
            <w:pPr>
              <w:rPr>
                <w:sz w:val="20"/>
                <w:szCs w:val="20"/>
              </w:rPr>
            </w:pPr>
            <w:r w:rsidRPr="0031130F">
              <w:rPr>
                <w:sz w:val="20"/>
                <w:szCs w:val="20"/>
              </w:rPr>
              <w:t>ED-2021-SCC-0093-0039</w:t>
            </w:r>
          </w:p>
          <w:p w:rsidRPr="0031130F" w:rsidR="000603AC" w:rsidRDefault="000603AC" w14:paraId="6E449758" w14:textId="77777777">
            <w:pPr>
              <w:rPr>
                <w:sz w:val="20"/>
                <w:szCs w:val="20"/>
              </w:rPr>
            </w:pPr>
            <w:r w:rsidRPr="0031130F">
              <w:rPr>
                <w:sz w:val="20"/>
                <w:szCs w:val="20"/>
              </w:rPr>
              <w:t>ED-2021-SCC-0093-0038</w:t>
            </w:r>
          </w:p>
          <w:p w:rsidRPr="0031130F" w:rsidR="000603AC" w:rsidRDefault="000603AC" w14:paraId="586EF1EB" w14:textId="77777777">
            <w:pPr>
              <w:rPr>
                <w:sz w:val="20"/>
                <w:szCs w:val="20"/>
              </w:rPr>
            </w:pPr>
            <w:r w:rsidRPr="0031130F">
              <w:rPr>
                <w:sz w:val="20"/>
                <w:szCs w:val="20"/>
              </w:rPr>
              <w:t>ED-2021-SCC-0093-0037</w:t>
            </w:r>
          </w:p>
          <w:p w:rsidRPr="0031130F" w:rsidR="000603AC" w:rsidRDefault="000603AC" w14:paraId="3343B464" w14:textId="77777777">
            <w:pPr>
              <w:rPr>
                <w:sz w:val="20"/>
                <w:szCs w:val="20"/>
              </w:rPr>
            </w:pPr>
            <w:r w:rsidRPr="0031130F">
              <w:rPr>
                <w:sz w:val="20"/>
                <w:szCs w:val="20"/>
              </w:rPr>
              <w:t>ED-2021-SCC-0093-0036</w:t>
            </w:r>
          </w:p>
          <w:p w:rsidRPr="0031130F" w:rsidR="000603AC" w:rsidRDefault="000603AC" w14:paraId="476C2902" w14:textId="77777777">
            <w:pPr>
              <w:rPr>
                <w:sz w:val="20"/>
                <w:szCs w:val="20"/>
              </w:rPr>
            </w:pPr>
            <w:r w:rsidRPr="0031130F">
              <w:rPr>
                <w:sz w:val="20"/>
                <w:szCs w:val="20"/>
              </w:rPr>
              <w:t>ED-2021-SCC-0093-0035</w:t>
            </w:r>
          </w:p>
          <w:p w:rsidRPr="0031130F" w:rsidR="000603AC" w:rsidRDefault="000603AC" w14:paraId="1B6E12E9" w14:textId="77777777">
            <w:pPr>
              <w:rPr>
                <w:sz w:val="20"/>
                <w:szCs w:val="20"/>
              </w:rPr>
            </w:pPr>
            <w:r w:rsidRPr="0031130F">
              <w:rPr>
                <w:sz w:val="20"/>
                <w:szCs w:val="20"/>
              </w:rPr>
              <w:t>ED-2021-SCC-0093-0031</w:t>
            </w:r>
          </w:p>
          <w:p w:rsidRPr="0031130F" w:rsidR="000603AC" w:rsidRDefault="000603AC" w14:paraId="68D83EAC" w14:textId="77777777">
            <w:pPr>
              <w:rPr>
                <w:sz w:val="20"/>
                <w:szCs w:val="20"/>
              </w:rPr>
            </w:pPr>
            <w:r w:rsidRPr="0031130F">
              <w:rPr>
                <w:sz w:val="20"/>
                <w:szCs w:val="20"/>
              </w:rPr>
              <w:t>ED-2021-SCC-0093-0030</w:t>
            </w:r>
          </w:p>
          <w:p w:rsidRPr="0031130F" w:rsidR="000603AC" w:rsidRDefault="000603AC" w14:paraId="4AE93802" w14:textId="77777777">
            <w:pPr>
              <w:rPr>
                <w:sz w:val="20"/>
                <w:szCs w:val="20"/>
              </w:rPr>
            </w:pPr>
            <w:r w:rsidRPr="0031130F">
              <w:rPr>
                <w:sz w:val="20"/>
                <w:szCs w:val="20"/>
              </w:rPr>
              <w:t>ED-2021-SCC-0093-0028</w:t>
            </w:r>
          </w:p>
          <w:p w:rsidRPr="0031130F" w:rsidR="000603AC" w:rsidRDefault="000603AC" w14:paraId="7016714D" w14:textId="77777777">
            <w:pPr>
              <w:rPr>
                <w:sz w:val="20"/>
                <w:szCs w:val="20"/>
              </w:rPr>
            </w:pPr>
            <w:r w:rsidRPr="0031130F">
              <w:rPr>
                <w:sz w:val="20"/>
                <w:szCs w:val="20"/>
              </w:rPr>
              <w:t>ED-2021-SCC-0093-0027</w:t>
            </w:r>
          </w:p>
          <w:p w:rsidRPr="0031130F" w:rsidR="000603AC" w:rsidRDefault="000603AC" w14:paraId="2805893D" w14:textId="77777777">
            <w:pPr>
              <w:rPr>
                <w:sz w:val="20"/>
                <w:szCs w:val="20"/>
              </w:rPr>
            </w:pPr>
            <w:r w:rsidRPr="0031130F">
              <w:rPr>
                <w:sz w:val="20"/>
                <w:szCs w:val="20"/>
              </w:rPr>
              <w:t>ED-2021-SCC-0093-0026</w:t>
            </w:r>
          </w:p>
          <w:p w:rsidRPr="0031130F" w:rsidR="000603AC" w:rsidRDefault="000603AC" w14:paraId="776EC325" w14:textId="77777777">
            <w:pPr>
              <w:rPr>
                <w:sz w:val="20"/>
                <w:szCs w:val="20"/>
              </w:rPr>
            </w:pPr>
            <w:r w:rsidRPr="0031130F">
              <w:rPr>
                <w:sz w:val="20"/>
                <w:szCs w:val="20"/>
              </w:rPr>
              <w:t>ED-2021-SCC-0093-0025</w:t>
            </w:r>
          </w:p>
          <w:p w:rsidRPr="0031130F" w:rsidR="000603AC" w:rsidRDefault="000603AC" w14:paraId="6F416869" w14:textId="77777777">
            <w:pPr>
              <w:rPr>
                <w:sz w:val="20"/>
                <w:szCs w:val="20"/>
              </w:rPr>
            </w:pPr>
            <w:r w:rsidRPr="0031130F">
              <w:rPr>
                <w:sz w:val="20"/>
                <w:szCs w:val="20"/>
              </w:rPr>
              <w:t>ED-2021-SCC-0093-0024</w:t>
            </w:r>
          </w:p>
          <w:p w:rsidRPr="0031130F" w:rsidR="00C64AF8" w:rsidRDefault="000603AC" w14:paraId="18A7950F" w14:textId="77777777">
            <w:pPr>
              <w:rPr>
                <w:sz w:val="20"/>
                <w:szCs w:val="20"/>
              </w:rPr>
            </w:pPr>
            <w:r w:rsidRPr="0031130F">
              <w:rPr>
                <w:sz w:val="20"/>
                <w:szCs w:val="20"/>
              </w:rPr>
              <w:lastRenderedPageBreak/>
              <w:t>ED-2021-SCC-0093-0040</w:t>
            </w:r>
          </w:p>
          <w:p w:rsidRPr="0031130F" w:rsidR="000603AC" w:rsidRDefault="00BA488F" w14:paraId="2A73F98A" w14:textId="7261621B">
            <w:pPr>
              <w:rPr>
                <w:sz w:val="20"/>
                <w:szCs w:val="20"/>
              </w:rPr>
            </w:pPr>
            <w:r w:rsidRPr="0031130F">
              <w:rPr>
                <w:sz w:val="20"/>
                <w:szCs w:val="20"/>
              </w:rPr>
              <w:t>ED-2021-SCC-0093-0005</w:t>
            </w:r>
          </w:p>
        </w:tc>
        <w:tc>
          <w:tcPr>
            <w:tcW w:w="2070" w:type="dxa"/>
          </w:tcPr>
          <w:p w:rsidRPr="0031130F" w:rsidR="00C64AF8" w:rsidRDefault="00CD5513" w14:paraId="7953143A" w14:textId="77777777">
            <w:pPr>
              <w:rPr>
                <w:sz w:val="20"/>
                <w:szCs w:val="20"/>
              </w:rPr>
            </w:pPr>
            <w:r w:rsidRPr="0031130F">
              <w:rPr>
                <w:sz w:val="20"/>
                <w:szCs w:val="20"/>
              </w:rPr>
              <w:lastRenderedPageBreak/>
              <w:t>NASFAA/NACUBO</w:t>
            </w:r>
          </w:p>
          <w:p w:rsidRPr="0031130F" w:rsidR="0049079A" w:rsidRDefault="00930E00" w14:paraId="5CC032D7" w14:textId="77777777">
            <w:pPr>
              <w:rPr>
                <w:sz w:val="20"/>
                <w:szCs w:val="20"/>
              </w:rPr>
            </w:pPr>
            <w:r w:rsidRPr="0031130F">
              <w:rPr>
                <w:sz w:val="20"/>
                <w:szCs w:val="20"/>
              </w:rPr>
              <w:t>Baylor University</w:t>
            </w:r>
          </w:p>
          <w:p w:rsidRPr="0031130F" w:rsidR="00971D2F" w:rsidRDefault="00971D2F" w14:paraId="74B9ED68" w14:textId="77777777">
            <w:pPr>
              <w:rPr>
                <w:sz w:val="20"/>
                <w:szCs w:val="20"/>
              </w:rPr>
            </w:pPr>
            <w:r w:rsidRPr="0031130F">
              <w:rPr>
                <w:sz w:val="20"/>
                <w:szCs w:val="20"/>
              </w:rPr>
              <w:t>University of Washington</w:t>
            </w:r>
          </w:p>
          <w:p w:rsidRPr="0031130F" w:rsidR="001E1237" w:rsidRDefault="00894FF4" w14:paraId="10956738" w14:textId="77777777">
            <w:pPr>
              <w:rPr>
                <w:sz w:val="20"/>
                <w:szCs w:val="20"/>
              </w:rPr>
            </w:pPr>
            <w:r w:rsidRPr="0031130F">
              <w:rPr>
                <w:sz w:val="20"/>
                <w:szCs w:val="20"/>
              </w:rPr>
              <w:t>McClintock &amp; Associates, P.C.</w:t>
            </w:r>
          </w:p>
          <w:p w:rsidRPr="0031130F" w:rsidR="00B50A95" w:rsidRDefault="00B47365" w14:paraId="3B23269B" w14:textId="44D87FF0">
            <w:pPr>
              <w:rPr>
                <w:sz w:val="20"/>
                <w:szCs w:val="20"/>
              </w:rPr>
            </w:pPr>
            <w:r w:rsidRPr="0031130F">
              <w:rPr>
                <w:sz w:val="20"/>
                <w:szCs w:val="20"/>
              </w:rPr>
              <w:t>Calvin University</w:t>
            </w:r>
            <w:r w:rsidRPr="0031130F" w:rsidR="00B50A95">
              <w:rPr>
                <w:sz w:val="20"/>
                <w:szCs w:val="20"/>
              </w:rPr>
              <w:t xml:space="preserve"> Anonymous</w:t>
            </w:r>
          </w:p>
          <w:p w:rsidRPr="0031130F" w:rsidR="00B16762" w:rsidRDefault="00B16762" w14:paraId="40B0E39E" w14:textId="23C21B9B">
            <w:pPr>
              <w:rPr>
                <w:sz w:val="20"/>
                <w:szCs w:val="20"/>
              </w:rPr>
            </w:pPr>
            <w:r w:rsidRPr="0031130F">
              <w:rPr>
                <w:sz w:val="20"/>
                <w:szCs w:val="20"/>
              </w:rPr>
              <w:t>Arizona State University</w:t>
            </w:r>
          </w:p>
          <w:p w:rsidRPr="0031130F" w:rsidR="00B868A3" w:rsidRDefault="00B868A3" w14:paraId="71B005BE" w14:textId="337983F1">
            <w:pPr>
              <w:rPr>
                <w:sz w:val="20"/>
                <w:szCs w:val="20"/>
              </w:rPr>
            </w:pPr>
            <w:r w:rsidRPr="0031130F">
              <w:rPr>
                <w:sz w:val="20"/>
                <w:szCs w:val="20"/>
              </w:rPr>
              <w:t>Jessica Metz</w:t>
            </w:r>
          </w:p>
          <w:p w:rsidRPr="0031130F" w:rsidR="004D7998" w:rsidRDefault="004D7998" w14:paraId="4D25C188" w14:textId="2E54EFF2">
            <w:pPr>
              <w:rPr>
                <w:sz w:val="20"/>
                <w:szCs w:val="20"/>
              </w:rPr>
            </w:pPr>
            <w:r w:rsidRPr="0031130F">
              <w:rPr>
                <w:sz w:val="20"/>
                <w:szCs w:val="20"/>
              </w:rPr>
              <w:t>Kathleen Ulrich</w:t>
            </w:r>
          </w:p>
          <w:p w:rsidRPr="0031130F" w:rsidR="001657B0" w:rsidRDefault="001657B0" w14:paraId="0918CE88" w14:textId="76EB775A">
            <w:pPr>
              <w:rPr>
                <w:rFonts w:cs="Calibri"/>
                <w:sz w:val="20"/>
                <w:szCs w:val="20"/>
                <w:shd w:val="clear" w:color="auto" w:fill="FFFFFF"/>
              </w:rPr>
            </w:pPr>
            <w:r w:rsidRPr="0031130F">
              <w:rPr>
                <w:rFonts w:cs="Calibri"/>
                <w:sz w:val="20"/>
                <w:szCs w:val="20"/>
                <w:shd w:val="clear" w:color="auto" w:fill="FFFFFF"/>
              </w:rPr>
              <w:t>California State University</w:t>
            </w:r>
          </w:p>
          <w:p w:rsidRPr="0031130F" w:rsidR="00D40726" w:rsidRDefault="00D40726" w14:paraId="424EA59E" w14:textId="205505A4">
            <w:pPr>
              <w:rPr>
                <w:rFonts w:cs="Calibri"/>
                <w:sz w:val="20"/>
                <w:szCs w:val="20"/>
                <w:shd w:val="clear" w:color="auto" w:fill="FFFFFF"/>
              </w:rPr>
            </w:pPr>
            <w:r w:rsidRPr="0031130F">
              <w:rPr>
                <w:rFonts w:cs="Calibri"/>
                <w:sz w:val="20"/>
                <w:szCs w:val="20"/>
                <w:shd w:val="clear" w:color="auto" w:fill="FFFFFF"/>
              </w:rPr>
              <w:t xml:space="preserve">San Jacinto Community College </w:t>
            </w:r>
          </w:p>
          <w:p w:rsidRPr="0031130F" w:rsidR="00A45A08" w:rsidRDefault="00A45A08" w14:paraId="6D7D8D80" w14:textId="329CA1E7">
            <w:pPr>
              <w:rPr>
                <w:rFonts w:cs="Calibri"/>
                <w:sz w:val="20"/>
                <w:szCs w:val="20"/>
                <w:shd w:val="clear" w:color="auto" w:fill="FFFFFF"/>
              </w:rPr>
            </w:pPr>
            <w:r w:rsidRPr="0031130F">
              <w:rPr>
                <w:rFonts w:cs="Calibri"/>
                <w:sz w:val="20"/>
                <w:szCs w:val="20"/>
                <w:shd w:val="clear" w:color="auto" w:fill="FFFFFF"/>
              </w:rPr>
              <w:t>University of Massachusetts Lowell</w:t>
            </w:r>
          </w:p>
          <w:p w:rsidRPr="0031130F" w:rsidR="00AA438D" w:rsidRDefault="00AA438D" w14:paraId="3DFBD643" w14:textId="3A0AD367">
            <w:pPr>
              <w:rPr>
                <w:rFonts w:cs="Calibri"/>
                <w:sz w:val="20"/>
                <w:szCs w:val="20"/>
                <w:shd w:val="clear" w:color="auto" w:fill="FFFFFF"/>
              </w:rPr>
            </w:pPr>
            <w:r w:rsidRPr="0031130F">
              <w:rPr>
                <w:rFonts w:cs="Calibri"/>
                <w:sz w:val="20"/>
                <w:szCs w:val="20"/>
                <w:shd w:val="clear" w:color="auto" w:fill="FFFFFF"/>
              </w:rPr>
              <w:t>Council for Christian Colleges &amp; Universities</w:t>
            </w:r>
          </w:p>
          <w:p w:rsidRPr="0031130F" w:rsidR="006B4187" w:rsidRDefault="006B4187" w14:paraId="7442492E" w14:textId="7059CE9A">
            <w:pPr>
              <w:rPr>
                <w:rFonts w:cs="Calibri"/>
                <w:sz w:val="20"/>
                <w:szCs w:val="20"/>
                <w:shd w:val="clear" w:color="auto" w:fill="FFFFFF"/>
              </w:rPr>
            </w:pPr>
            <w:r w:rsidRPr="0031130F">
              <w:rPr>
                <w:rFonts w:cs="Calibri"/>
                <w:sz w:val="20"/>
                <w:szCs w:val="20"/>
                <w:shd w:val="clear" w:color="auto" w:fill="FFFFFF"/>
              </w:rPr>
              <w:t>American Council on Education</w:t>
            </w:r>
          </w:p>
          <w:p w:rsidRPr="0031130F" w:rsidR="00F654BE" w:rsidRDefault="00F654BE" w14:paraId="4057D29F" w14:textId="5113E822">
            <w:pPr>
              <w:rPr>
                <w:rFonts w:cs="Calibri"/>
                <w:sz w:val="20"/>
                <w:szCs w:val="20"/>
                <w:shd w:val="clear" w:color="auto" w:fill="FFFFFF"/>
              </w:rPr>
            </w:pPr>
            <w:r w:rsidRPr="0031130F">
              <w:rPr>
                <w:rFonts w:cs="Calibri"/>
                <w:sz w:val="20"/>
                <w:szCs w:val="20"/>
                <w:shd w:val="clear" w:color="auto" w:fill="FFFFFF"/>
              </w:rPr>
              <w:t>University of Maine System</w:t>
            </w:r>
          </w:p>
          <w:p w:rsidRPr="0031130F" w:rsidR="00A13F46" w:rsidRDefault="00A13F46" w14:paraId="2860DC41" w14:textId="164D2B72">
            <w:pPr>
              <w:rPr>
                <w:rFonts w:cs="Calibri"/>
                <w:sz w:val="20"/>
                <w:szCs w:val="20"/>
                <w:shd w:val="clear" w:color="auto" w:fill="FFFFFF"/>
              </w:rPr>
            </w:pPr>
            <w:r w:rsidRPr="0031130F">
              <w:rPr>
                <w:rFonts w:cs="Calibri"/>
                <w:sz w:val="20"/>
                <w:szCs w:val="20"/>
                <w:shd w:val="clear" w:color="auto" w:fill="FFFFFF"/>
              </w:rPr>
              <w:t xml:space="preserve">University </w:t>
            </w:r>
            <w:r w:rsidRPr="0031130F" w:rsidR="00AE123E">
              <w:rPr>
                <w:rFonts w:cs="Calibri"/>
                <w:sz w:val="20"/>
                <w:szCs w:val="20"/>
                <w:shd w:val="clear" w:color="auto" w:fill="FFFFFF"/>
              </w:rPr>
              <w:t>o</w:t>
            </w:r>
            <w:r w:rsidRPr="0031130F">
              <w:rPr>
                <w:rFonts w:cs="Calibri"/>
                <w:sz w:val="20"/>
                <w:szCs w:val="20"/>
                <w:shd w:val="clear" w:color="auto" w:fill="FFFFFF"/>
              </w:rPr>
              <w:t>f Massachusetts Amherst</w:t>
            </w:r>
          </w:p>
          <w:p w:rsidRPr="0031130F" w:rsidR="008368C3" w:rsidRDefault="008368C3" w14:paraId="0E6134EF" w14:textId="659E6EA8">
            <w:pPr>
              <w:rPr>
                <w:rFonts w:cs="Calibri"/>
                <w:sz w:val="20"/>
                <w:szCs w:val="20"/>
                <w:shd w:val="clear" w:color="auto" w:fill="FFFFFF"/>
              </w:rPr>
            </w:pPr>
            <w:r w:rsidRPr="0031130F">
              <w:rPr>
                <w:rFonts w:cs="Calibri"/>
                <w:sz w:val="20"/>
                <w:szCs w:val="20"/>
                <w:shd w:val="clear" w:color="auto" w:fill="FFFFFF"/>
              </w:rPr>
              <w:t>American Association of Community Colleges</w:t>
            </w:r>
          </w:p>
          <w:p w:rsidRPr="0031130F" w:rsidR="005E2F66" w:rsidRDefault="005E2F66" w14:paraId="0A080411" w14:textId="6EADD039">
            <w:pPr>
              <w:rPr>
                <w:rFonts w:cs="Calibri"/>
                <w:sz w:val="20"/>
                <w:szCs w:val="20"/>
                <w:shd w:val="clear" w:color="auto" w:fill="FFFFFF"/>
              </w:rPr>
            </w:pPr>
            <w:r w:rsidRPr="0031130F">
              <w:rPr>
                <w:rFonts w:cs="Calibri"/>
                <w:sz w:val="20"/>
                <w:szCs w:val="20"/>
                <w:shd w:val="clear" w:color="auto" w:fill="FFFFFF"/>
              </w:rPr>
              <w:t>University of Massachusetts Boston</w:t>
            </w:r>
          </w:p>
          <w:p w:rsidRPr="0031130F" w:rsidR="00522A1B" w:rsidRDefault="00522A1B" w14:paraId="19FB57CB" w14:textId="29B73C6B">
            <w:pPr>
              <w:rPr>
                <w:rFonts w:cs="Calibri"/>
                <w:sz w:val="20"/>
                <w:szCs w:val="20"/>
                <w:shd w:val="clear" w:color="auto" w:fill="FFFFFF"/>
              </w:rPr>
            </w:pPr>
            <w:r w:rsidRPr="0031130F">
              <w:rPr>
                <w:rFonts w:cs="Calibri"/>
                <w:sz w:val="20"/>
                <w:szCs w:val="20"/>
                <w:shd w:val="clear" w:color="auto" w:fill="FFFFFF"/>
              </w:rPr>
              <w:t xml:space="preserve">Illinois College </w:t>
            </w:r>
          </w:p>
          <w:p w:rsidRPr="0031130F" w:rsidR="00522A1B" w:rsidRDefault="003B1CA3" w14:paraId="65402E85" w14:textId="24CD1E80">
            <w:pPr>
              <w:rPr>
                <w:rFonts w:cs="Calibri"/>
                <w:sz w:val="20"/>
                <w:szCs w:val="20"/>
                <w:shd w:val="clear" w:color="auto" w:fill="FFFFFF"/>
              </w:rPr>
            </w:pPr>
            <w:r w:rsidRPr="0031130F">
              <w:rPr>
                <w:rFonts w:cs="Calibri"/>
                <w:sz w:val="20"/>
                <w:szCs w:val="20"/>
                <w:shd w:val="clear" w:color="auto" w:fill="FFFFFF"/>
              </w:rPr>
              <w:lastRenderedPageBreak/>
              <w:t>National Education Association</w:t>
            </w:r>
          </w:p>
          <w:p w:rsidRPr="0031130F" w:rsidR="007C1B6E" w:rsidRDefault="007C1B6E" w14:paraId="6C17CB7F" w14:textId="48F2CE4A">
            <w:pPr>
              <w:rPr>
                <w:rFonts w:cs="Calibri"/>
                <w:sz w:val="20"/>
                <w:szCs w:val="20"/>
                <w:shd w:val="clear" w:color="auto" w:fill="FFFFFF"/>
              </w:rPr>
            </w:pPr>
            <w:r w:rsidRPr="0031130F">
              <w:rPr>
                <w:rFonts w:cs="Calibri"/>
                <w:sz w:val="20"/>
                <w:szCs w:val="20"/>
                <w:shd w:val="clear" w:color="auto" w:fill="FFFFFF"/>
              </w:rPr>
              <w:t>Tim Klocko</w:t>
            </w:r>
          </w:p>
          <w:p w:rsidRPr="0031130F" w:rsidR="00522A1B" w:rsidRDefault="00827307" w14:paraId="0839285E" w14:textId="0A9688ED">
            <w:pPr>
              <w:rPr>
                <w:rFonts w:cs="Calibri"/>
                <w:sz w:val="20"/>
                <w:szCs w:val="20"/>
                <w:shd w:val="clear" w:color="auto" w:fill="FFFFFF"/>
              </w:rPr>
            </w:pPr>
            <w:r w:rsidRPr="0031130F">
              <w:rPr>
                <w:rFonts w:cs="Calibri"/>
                <w:sz w:val="20"/>
                <w:szCs w:val="20"/>
                <w:shd w:val="clear" w:color="auto" w:fill="FFFFFF"/>
              </w:rPr>
              <w:t>Young Harris College</w:t>
            </w:r>
          </w:p>
          <w:p w:rsidRPr="0031130F" w:rsidR="00522A1B" w:rsidRDefault="0085796C" w14:paraId="247B5597" w14:textId="2A0D82AD">
            <w:pPr>
              <w:rPr>
                <w:sz w:val="20"/>
                <w:szCs w:val="20"/>
              </w:rPr>
            </w:pPr>
            <w:r w:rsidRPr="0031130F">
              <w:rPr>
                <w:sz w:val="20"/>
                <w:szCs w:val="20"/>
              </w:rPr>
              <w:t>Lancaster School of Cosmetology</w:t>
            </w:r>
          </w:p>
          <w:p w:rsidRPr="0031130F" w:rsidR="0085796C" w:rsidRDefault="001A2FE1" w14:paraId="635AE21D" w14:textId="41B10924">
            <w:pPr>
              <w:rPr>
                <w:sz w:val="20"/>
                <w:szCs w:val="20"/>
              </w:rPr>
            </w:pPr>
            <w:r w:rsidRPr="0031130F">
              <w:rPr>
                <w:sz w:val="20"/>
                <w:szCs w:val="20"/>
              </w:rPr>
              <w:t>University of South Carolina</w:t>
            </w:r>
          </w:p>
          <w:p w:rsidRPr="0031130F" w:rsidR="001A2FE1" w:rsidRDefault="00AA0D3E" w14:paraId="3FB88EDB" w14:textId="6E018E4E">
            <w:pPr>
              <w:rPr>
                <w:sz w:val="20"/>
                <w:szCs w:val="20"/>
              </w:rPr>
            </w:pPr>
            <w:r w:rsidRPr="0031130F">
              <w:rPr>
                <w:sz w:val="20"/>
                <w:szCs w:val="20"/>
              </w:rPr>
              <w:t>Alex Becker</w:t>
            </w:r>
          </w:p>
          <w:p w:rsidRPr="0031130F" w:rsidR="004D7998" w:rsidRDefault="00DA4FE9" w14:paraId="64624F8D" w14:textId="593AA45A">
            <w:pPr>
              <w:rPr>
                <w:sz w:val="20"/>
                <w:szCs w:val="20"/>
              </w:rPr>
            </w:pPr>
            <w:r w:rsidRPr="0031130F">
              <w:rPr>
                <w:sz w:val="20"/>
                <w:szCs w:val="20"/>
              </w:rPr>
              <w:t>Cornerstone University</w:t>
            </w:r>
          </w:p>
          <w:p w:rsidRPr="0031130F" w:rsidR="00B47365" w:rsidRDefault="00B47365" w14:paraId="2E8D01A1" w14:textId="77777777">
            <w:pPr>
              <w:rPr>
                <w:sz w:val="20"/>
                <w:szCs w:val="20"/>
              </w:rPr>
            </w:pPr>
          </w:p>
          <w:p w:rsidRPr="0031130F" w:rsidR="00CD5513" w:rsidRDefault="00CD5513" w14:paraId="42CAA781" w14:textId="7C359473">
            <w:pPr>
              <w:rPr>
                <w:sz w:val="20"/>
                <w:szCs w:val="20"/>
              </w:rPr>
            </w:pPr>
          </w:p>
        </w:tc>
        <w:tc>
          <w:tcPr>
            <w:tcW w:w="7105" w:type="dxa"/>
          </w:tcPr>
          <w:p w:rsidRPr="00421C90" w:rsidR="000603AC" w:rsidRDefault="00031ADB" w14:paraId="3E38EF56" w14:textId="1930321A">
            <w:pPr>
              <w:rPr>
                <w:sz w:val="20"/>
                <w:szCs w:val="20"/>
              </w:rPr>
            </w:pPr>
            <w:r w:rsidRPr="00421C90">
              <w:rPr>
                <w:sz w:val="20"/>
                <w:szCs w:val="20"/>
              </w:rPr>
              <w:lastRenderedPageBreak/>
              <w:t>C</w:t>
            </w:r>
            <w:r w:rsidRPr="00421C90" w:rsidR="00C64AF8">
              <w:rPr>
                <w:sz w:val="20"/>
                <w:szCs w:val="20"/>
              </w:rPr>
              <w:t xml:space="preserve">hange. </w:t>
            </w:r>
            <w:r w:rsidRPr="00421C90" w:rsidR="008D1FD7">
              <w:rPr>
                <w:sz w:val="20"/>
                <w:szCs w:val="20"/>
              </w:rPr>
              <w:t xml:space="preserve">The Department </w:t>
            </w:r>
            <w:r w:rsidRPr="00421C90" w:rsidR="00E047C4">
              <w:rPr>
                <w:sz w:val="20"/>
                <w:szCs w:val="20"/>
              </w:rPr>
              <w:t>sees</w:t>
            </w:r>
            <w:r w:rsidRPr="00421C90" w:rsidR="004B1E59">
              <w:rPr>
                <w:sz w:val="20"/>
                <w:szCs w:val="20"/>
              </w:rPr>
              <w:t xml:space="preserve"> the additional questions</w:t>
            </w:r>
            <w:r w:rsidRPr="00421C90" w:rsidR="00D90D60">
              <w:rPr>
                <w:sz w:val="20"/>
                <w:szCs w:val="20"/>
              </w:rPr>
              <w:t xml:space="preserve"> related to disaggregation </w:t>
            </w:r>
            <w:r w:rsidRPr="00421C90" w:rsidR="007D64F6">
              <w:rPr>
                <w:sz w:val="20"/>
                <w:szCs w:val="20"/>
              </w:rPr>
              <w:t>as</w:t>
            </w:r>
            <w:r w:rsidRPr="00421C90" w:rsidR="00D90D60">
              <w:rPr>
                <w:sz w:val="20"/>
                <w:szCs w:val="20"/>
              </w:rPr>
              <w:t xml:space="preserve"> important for transparency and accountability</w:t>
            </w:r>
            <w:r w:rsidRPr="00421C90" w:rsidR="00943ED3">
              <w:rPr>
                <w:sz w:val="20"/>
                <w:szCs w:val="20"/>
              </w:rPr>
              <w:t>,</w:t>
            </w:r>
            <w:r w:rsidRPr="00421C90" w:rsidR="00D90D60">
              <w:rPr>
                <w:sz w:val="20"/>
                <w:szCs w:val="20"/>
              </w:rPr>
              <w:t xml:space="preserve"> </w:t>
            </w:r>
            <w:r w:rsidRPr="00421C90" w:rsidR="005371F9">
              <w:rPr>
                <w:sz w:val="20"/>
                <w:szCs w:val="20"/>
              </w:rPr>
              <w:t>particularly as they relate</w:t>
            </w:r>
            <w:r w:rsidRPr="00421C90" w:rsidR="00D90D60">
              <w:rPr>
                <w:sz w:val="20"/>
                <w:szCs w:val="20"/>
              </w:rPr>
              <w:t xml:space="preserve"> to equitable distribution of</w:t>
            </w:r>
            <w:r w:rsidRPr="00421C90" w:rsidR="004A6D6B">
              <w:rPr>
                <w:sz w:val="20"/>
                <w:szCs w:val="20"/>
              </w:rPr>
              <w:t xml:space="preserve"> </w:t>
            </w:r>
            <w:r w:rsidRPr="00421C90" w:rsidR="00FF74FD">
              <w:rPr>
                <w:sz w:val="20"/>
                <w:szCs w:val="20"/>
              </w:rPr>
              <w:t xml:space="preserve">emergency </w:t>
            </w:r>
            <w:r w:rsidRPr="00421C90" w:rsidR="004A6D6B">
              <w:rPr>
                <w:sz w:val="20"/>
                <w:szCs w:val="20"/>
              </w:rPr>
              <w:t>relief funding</w:t>
            </w:r>
            <w:r w:rsidRPr="00421C90" w:rsidR="00C64AF8">
              <w:rPr>
                <w:sz w:val="20"/>
                <w:szCs w:val="20"/>
              </w:rPr>
              <w:t xml:space="preserve"> for each institution. </w:t>
            </w:r>
            <w:r w:rsidRPr="00421C90" w:rsidR="00A86F92">
              <w:rPr>
                <w:sz w:val="20"/>
                <w:szCs w:val="20"/>
              </w:rPr>
              <w:t xml:space="preserve">In addition, </w:t>
            </w:r>
            <w:r w:rsidRPr="00421C90" w:rsidR="00FF74FD">
              <w:rPr>
                <w:sz w:val="20"/>
                <w:szCs w:val="20"/>
              </w:rPr>
              <w:t xml:space="preserve">these data are helpful </w:t>
            </w:r>
            <w:r w:rsidRPr="00421C90" w:rsidR="00491F4F">
              <w:rPr>
                <w:sz w:val="20"/>
                <w:szCs w:val="20"/>
              </w:rPr>
              <w:t>in developing lessons learned for</w:t>
            </w:r>
            <w:r w:rsidRPr="00421C90" w:rsidR="008B6638">
              <w:rPr>
                <w:sz w:val="20"/>
                <w:szCs w:val="20"/>
              </w:rPr>
              <w:t xml:space="preserve"> current and future policies </w:t>
            </w:r>
            <w:r w:rsidRPr="00421C90" w:rsidR="0035140A">
              <w:rPr>
                <w:sz w:val="20"/>
                <w:szCs w:val="20"/>
              </w:rPr>
              <w:t xml:space="preserve">that respond </w:t>
            </w:r>
            <w:r w:rsidRPr="00421C90" w:rsidR="00165BF2">
              <w:rPr>
                <w:sz w:val="20"/>
                <w:szCs w:val="20"/>
              </w:rPr>
              <w:t>to national emergencies</w:t>
            </w:r>
            <w:r w:rsidRPr="00421C90" w:rsidR="007D64F6">
              <w:rPr>
                <w:sz w:val="20"/>
                <w:szCs w:val="20"/>
              </w:rPr>
              <w:t xml:space="preserve">. </w:t>
            </w:r>
            <w:r w:rsidRPr="00421C90" w:rsidR="0099199A">
              <w:rPr>
                <w:sz w:val="20"/>
                <w:szCs w:val="20"/>
              </w:rPr>
              <w:t xml:space="preserve">Note that many institutions can use HEERF for administrative costs such as </w:t>
            </w:r>
            <w:r w:rsidRPr="00421C90" w:rsidR="001D64BD">
              <w:rPr>
                <w:sz w:val="20"/>
                <w:szCs w:val="20"/>
              </w:rPr>
              <w:t xml:space="preserve">annual </w:t>
            </w:r>
            <w:r w:rsidRPr="00421C90" w:rsidR="0099199A">
              <w:rPr>
                <w:sz w:val="20"/>
                <w:szCs w:val="20"/>
              </w:rPr>
              <w:t xml:space="preserve">reporting. </w:t>
            </w:r>
            <w:r w:rsidRPr="00421C90" w:rsidR="00BA0AC9">
              <w:rPr>
                <w:sz w:val="20"/>
                <w:szCs w:val="20"/>
              </w:rPr>
              <w:t xml:space="preserve">To address comments on </w:t>
            </w:r>
            <w:r w:rsidRPr="00421C90" w:rsidR="00637FE1">
              <w:rPr>
                <w:sz w:val="20"/>
                <w:szCs w:val="20"/>
              </w:rPr>
              <w:t>difficulties institutions may have in linking prior data systems to</w:t>
            </w:r>
            <w:r w:rsidRPr="00421C90" w:rsidR="004A0A62">
              <w:rPr>
                <w:sz w:val="20"/>
                <w:szCs w:val="20"/>
              </w:rPr>
              <w:t xml:space="preserve"> address disaggregation</w:t>
            </w:r>
            <w:r w:rsidRPr="00421C90" w:rsidR="00637FE1">
              <w:rPr>
                <w:sz w:val="20"/>
                <w:szCs w:val="20"/>
              </w:rPr>
              <w:t xml:space="preserve">, </w:t>
            </w:r>
            <w:r w:rsidRPr="00421C90" w:rsidR="00967E21">
              <w:rPr>
                <w:sz w:val="20"/>
                <w:szCs w:val="20"/>
              </w:rPr>
              <w:t>the</w:t>
            </w:r>
            <w:r w:rsidRPr="00421C90" w:rsidR="008E486B">
              <w:rPr>
                <w:sz w:val="20"/>
                <w:szCs w:val="20"/>
              </w:rPr>
              <w:t xml:space="preserve"> draft</w:t>
            </w:r>
            <w:r w:rsidRPr="00421C90" w:rsidR="00967E21">
              <w:rPr>
                <w:sz w:val="20"/>
                <w:szCs w:val="20"/>
              </w:rPr>
              <w:t xml:space="preserve"> form</w:t>
            </w:r>
            <w:r w:rsidRPr="00421C90" w:rsidR="00C75EEC">
              <w:rPr>
                <w:sz w:val="20"/>
                <w:szCs w:val="20"/>
              </w:rPr>
              <w:t xml:space="preserve"> now</w:t>
            </w:r>
            <w:r w:rsidRPr="00421C90" w:rsidR="00967E21">
              <w:rPr>
                <w:sz w:val="20"/>
                <w:szCs w:val="20"/>
              </w:rPr>
              <w:t xml:space="preserve"> provide</w:t>
            </w:r>
            <w:r w:rsidRPr="00421C90" w:rsidR="00C75EEC">
              <w:rPr>
                <w:sz w:val="20"/>
                <w:szCs w:val="20"/>
              </w:rPr>
              <w:t>s</w:t>
            </w:r>
            <w:r w:rsidRPr="00421C90" w:rsidR="00967E21">
              <w:rPr>
                <w:sz w:val="20"/>
                <w:szCs w:val="20"/>
              </w:rPr>
              <w:t xml:space="preserve"> </w:t>
            </w:r>
            <w:r w:rsidRPr="00421C90" w:rsidR="00637FE1">
              <w:rPr>
                <w:sz w:val="20"/>
                <w:szCs w:val="20"/>
              </w:rPr>
              <w:t>more time for institutions to</w:t>
            </w:r>
            <w:r w:rsidRPr="00421C90" w:rsidR="004F2AFB">
              <w:rPr>
                <w:sz w:val="20"/>
                <w:szCs w:val="20"/>
              </w:rPr>
              <w:t xml:space="preserve"> answer </w:t>
            </w:r>
            <w:r w:rsidRPr="00421C90" w:rsidR="003B0D36">
              <w:rPr>
                <w:sz w:val="20"/>
                <w:szCs w:val="20"/>
              </w:rPr>
              <w:t>these questions.</w:t>
            </w:r>
            <w:r w:rsidRPr="00421C90" w:rsidR="004F2AFB">
              <w:rPr>
                <w:sz w:val="20"/>
                <w:szCs w:val="20"/>
              </w:rPr>
              <w:t xml:space="preserve"> F</w:t>
            </w:r>
            <w:r w:rsidRPr="00421C90" w:rsidR="00987491">
              <w:rPr>
                <w:sz w:val="20"/>
                <w:szCs w:val="20"/>
              </w:rPr>
              <w:t>or the second annual report</w:t>
            </w:r>
            <w:r w:rsidRPr="00421C90" w:rsidR="00C75EEC">
              <w:rPr>
                <w:sz w:val="20"/>
                <w:szCs w:val="20"/>
              </w:rPr>
              <w:t xml:space="preserve"> </w:t>
            </w:r>
            <w:r w:rsidRPr="00421C90" w:rsidR="003B0D36">
              <w:rPr>
                <w:sz w:val="20"/>
                <w:szCs w:val="20"/>
              </w:rPr>
              <w:t>(</w:t>
            </w:r>
            <w:r w:rsidRPr="00421C90" w:rsidR="00483F02">
              <w:rPr>
                <w:sz w:val="20"/>
                <w:szCs w:val="20"/>
              </w:rPr>
              <w:t>data reported in early 2022</w:t>
            </w:r>
            <w:r w:rsidRPr="00421C90" w:rsidR="00A55606">
              <w:rPr>
                <w:sz w:val="20"/>
                <w:szCs w:val="20"/>
              </w:rPr>
              <w:t xml:space="preserve"> </w:t>
            </w:r>
            <w:r w:rsidRPr="00421C90" w:rsidR="00C75EEC">
              <w:rPr>
                <w:sz w:val="20"/>
                <w:szCs w:val="20"/>
              </w:rPr>
              <w:t>on</w:t>
            </w:r>
            <w:r w:rsidRPr="00421C90" w:rsidR="00A55606">
              <w:rPr>
                <w:sz w:val="20"/>
                <w:szCs w:val="20"/>
              </w:rPr>
              <w:t xml:space="preserve"> 2021</w:t>
            </w:r>
            <w:r w:rsidRPr="00421C90" w:rsidR="008A46C7">
              <w:rPr>
                <w:sz w:val="20"/>
                <w:szCs w:val="20"/>
              </w:rPr>
              <w:t xml:space="preserve"> implementation</w:t>
            </w:r>
            <w:r w:rsidRPr="00421C90" w:rsidR="00483F02">
              <w:rPr>
                <w:sz w:val="20"/>
                <w:szCs w:val="20"/>
              </w:rPr>
              <w:t>)</w:t>
            </w:r>
            <w:r w:rsidRPr="00421C90" w:rsidR="00987491">
              <w:rPr>
                <w:sz w:val="20"/>
                <w:szCs w:val="20"/>
              </w:rPr>
              <w:t xml:space="preserve">, </w:t>
            </w:r>
            <w:r w:rsidRPr="00421C90" w:rsidR="005C59F2">
              <w:rPr>
                <w:sz w:val="20"/>
                <w:szCs w:val="20"/>
              </w:rPr>
              <w:t>most</w:t>
            </w:r>
            <w:r w:rsidRPr="00421C90" w:rsidR="00D23A4D">
              <w:rPr>
                <w:sz w:val="20"/>
                <w:szCs w:val="20"/>
              </w:rPr>
              <w:t xml:space="preserve"> of the newly proposed </w:t>
            </w:r>
            <w:r w:rsidRPr="00421C90" w:rsidR="00F1565D">
              <w:rPr>
                <w:sz w:val="20"/>
                <w:szCs w:val="20"/>
              </w:rPr>
              <w:t>disaggregation</w:t>
            </w:r>
            <w:r w:rsidRPr="00421C90" w:rsidR="008A46C7">
              <w:rPr>
                <w:sz w:val="20"/>
                <w:szCs w:val="20"/>
              </w:rPr>
              <w:t xml:space="preserve"> can be reported</w:t>
            </w:r>
            <w:r w:rsidRPr="00421C90" w:rsidR="00470C03">
              <w:rPr>
                <w:sz w:val="20"/>
                <w:szCs w:val="20"/>
              </w:rPr>
              <w:t xml:space="preserve"> </w:t>
            </w:r>
            <w:r w:rsidRPr="00421C90" w:rsidR="00987491">
              <w:rPr>
                <w:sz w:val="20"/>
                <w:szCs w:val="20"/>
              </w:rPr>
              <w:t>in early 2023 in parallel with the third</w:t>
            </w:r>
            <w:r w:rsidRPr="00421C90" w:rsidR="0031700E">
              <w:rPr>
                <w:sz w:val="20"/>
                <w:szCs w:val="20"/>
              </w:rPr>
              <w:t>-</w:t>
            </w:r>
            <w:r w:rsidRPr="00421C90" w:rsidR="00987491">
              <w:rPr>
                <w:sz w:val="20"/>
                <w:szCs w:val="20"/>
              </w:rPr>
              <w:t>year data collection process</w:t>
            </w:r>
            <w:r w:rsidRPr="00421C90" w:rsidR="00D96474">
              <w:rPr>
                <w:sz w:val="20"/>
                <w:szCs w:val="20"/>
              </w:rPr>
              <w:t xml:space="preserve"> </w:t>
            </w:r>
            <w:r w:rsidRPr="00421C90" w:rsidR="003F15B9">
              <w:rPr>
                <w:sz w:val="20"/>
                <w:szCs w:val="20"/>
              </w:rPr>
              <w:t>(2023 report</w:t>
            </w:r>
            <w:r w:rsidRPr="00421C90" w:rsidR="001A5C0D">
              <w:rPr>
                <w:sz w:val="20"/>
                <w:szCs w:val="20"/>
              </w:rPr>
              <w:t>ed data c</w:t>
            </w:r>
            <w:r w:rsidRPr="00421C90" w:rsidR="003F15B9">
              <w:rPr>
                <w:sz w:val="20"/>
                <w:szCs w:val="20"/>
              </w:rPr>
              <w:t xml:space="preserve">ould include information on both the 2022 </w:t>
            </w:r>
            <w:r w:rsidRPr="00421C90" w:rsidR="001A5C0D">
              <w:rPr>
                <w:sz w:val="20"/>
                <w:szCs w:val="20"/>
              </w:rPr>
              <w:t>implementation and some questions on 2021 implementation</w:t>
            </w:r>
            <w:r w:rsidRPr="00421C90" w:rsidR="00470C03">
              <w:rPr>
                <w:sz w:val="20"/>
                <w:szCs w:val="20"/>
              </w:rPr>
              <w:t>)</w:t>
            </w:r>
            <w:r w:rsidRPr="00421C90" w:rsidR="003F15B9">
              <w:rPr>
                <w:sz w:val="20"/>
                <w:szCs w:val="20"/>
              </w:rPr>
              <w:t xml:space="preserve"> for institutions that need more time</w:t>
            </w:r>
            <w:r w:rsidRPr="00421C90" w:rsidR="00987491">
              <w:rPr>
                <w:sz w:val="20"/>
                <w:szCs w:val="20"/>
              </w:rPr>
              <w:t xml:space="preserve">. </w:t>
            </w:r>
            <w:r w:rsidRPr="00421C90" w:rsidR="00974DFB">
              <w:rPr>
                <w:sz w:val="20"/>
                <w:szCs w:val="20"/>
              </w:rPr>
              <w:t>The draft form now includes</w:t>
            </w:r>
            <w:r w:rsidRPr="00421C90" w:rsidR="00813FA1">
              <w:rPr>
                <w:sz w:val="20"/>
                <w:szCs w:val="20"/>
              </w:rPr>
              <w:t xml:space="preserve"> a subgroup for those who were not categorized by</w:t>
            </w:r>
            <w:r w:rsidRPr="00421C90" w:rsidR="000F691F">
              <w:rPr>
                <w:sz w:val="20"/>
                <w:szCs w:val="20"/>
              </w:rPr>
              <w:t xml:space="preserve"> existing data collection mechanisms.</w:t>
            </w:r>
            <w:r w:rsidRPr="00421C90" w:rsidR="007054F2">
              <w:rPr>
                <w:sz w:val="20"/>
                <w:szCs w:val="20"/>
              </w:rPr>
              <w:t xml:space="preserve"> </w:t>
            </w:r>
          </w:p>
        </w:tc>
      </w:tr>
      <w:tr w:rsidRPr="00E15EAE" w:rsidR="00623B89" w:rsidTr="001E1237" w14:paraId="32562A13" w14:textId="77777777">
        <w:tc>
          <w:tcPr>
            <w:tcW w:w="4725" w:type="dxa"/>
          </w:tcPr>
          <w:p w:rsidRPr="00421C90" w:rsidR="00623B89" w:rsidRDefault="00623B89" w14:paraId="3E12D258" w14:textId="1C1A59FE">
            <w:pPr>
              <w:rPr>
                <w:sz w:val="20"/>
                <w:szCs w:val="20"/>
              </w:rPr>
            </w:pPr>
            <w:r w:rsidRPr="00421C90">
              <w:rPr>
                <w:sz w:val="20"/>
                <w:szCs w:val="20"/>
              </w:rPr>
              <w:lastRenderedPageBreak/>
              <w:t>Lost revenue is not being tracked based on prior guidance provided by the Department. In addition, lost revenue funds may not necessarily be expended in the same reporting period</w:t>
            </w:r>
            <w:r w:rsidRPr="00421C90" w:rsidR="0006494D">
              <w:rPr>
                <w:sz w:val="20"/>
                <w:szCs w:val="20"/>
              </w:rPr>
              <w:t>.</w:t>
            </w:r>
            <w:r w:rsidRPr="00421C90" w:rsidR="00021235">
              <w:rPr>
                <w:sz w:val="20"/>
                <w:szCs w:val="20"/>
              </w:rPr>
              <w:t xml:space="preserve"> Concerning replacing lost revenue, we suggest using the categories outlined in the</w:t>
            </w:r>
            <w:r w:rsidRPr="00421C90" w:rsidR="00943ED3">
              <w:rPr>
                <w:sz w:val="20"/>
                <w:szCs w:val="20"/>
              </w:rPr>
              <w:t xml:space="preserve"> </w:t>
            </w:r>
            <w:r w:rsidRPr="00421C90" w:rsidR="00021235">
              <w:rPr>
                <w:sz w:val="20"/>
                <w:szCs w:val="20"/>
              </w:rPr>
              <w:t xml:space="preserve">Department’s March 19, </w:t>
            </w:r>
            <w:r w:rsidRPr="00421C90" w:rsidR="005A7E36">
              <w:rPr>
                <w:sz w:val="20"/>
                <w:szCs w:val="20"/>
              </w:rPr>
              <w:t>2021,</w:t>
            </w:r>
            <w:r w:rsidRPr="00421C90" w:rsidR="00021235">
              <w:rPr>
                <w:sz w:val="20"/>
                <w:szCs w:val="20"/>
              </w:rPr>
              <w:t xml:space="preserve"> Lost Revenue FAQ.</w:t>
            </w:r>
          </w:p>
        </w:tc>
        <w:tc>
          <w:tcPr>
            <w:tcW w:w="1090" w:type="dxa"/>
          </w:tcPr>
          <w:p w:rsidRPr="00421C90" w:rsidR="00623B89" w:rsidRDefault="00623B89" w14:paraId="731C4F29" w14:textId="5EB34590">
            <w:pPr>
              <w:rPr>
                <w:sz w:val="20"/>
                <w:szCs w:val="20"/>
              </w:rPr>
            </w:pPr>
            <w:r w:rsidRPr="00421C90">
              <w:rPr>
                <w:sz w:val="20"/>
                <w:szCs w:val="20"/>
              </w:rPr>
              <w:t>Q9</w:t>
            </w:r>
          </w:p>
        </w:tc>
        <w:tc>
          <w:tcPr>
            <w:tcW w:w="2280" w:type="dxa"/>
          </w:tcPr>
          <w:p w:rsidRPr="0031130F" w:rsidR="00623B89" w:rsidRDefault="00623B89" w14:paraId="1E808021" w14:textId="77777777">
            <w:pPr>
              <w:rPr>
                <w:sz w:val="20"/>
                <w:szCs w:val="20"/>
              </w:rPr>
            </w:pPr>
            <w:r w:rsidRPr="0031130F">
              <w:rPr>
                <w:sz w:val="20"/>
                <w:szCs w:val="20"/>
              </w:rPr>
              <w:t>ED-2021-SCC-0093-0009</w:t>
            </w:r>
          </w:p>
          <w:p w:rsidRPr="0031130F" w:rsidR="00623B89" w:rsidRDefault="00623B89" w14:paraId="42C02B29" w14:textId="77777777">
            <w:pPr>
              <w:rPr>
                <w:sz w:val="20"/>
                <w:szCs w:val="20"/>
              </w:rPr>
            </w:pPr>
            <w:r w:rsidRPr="0031130F">
              <w:rPr>
                <w:sz w:val="20"/>
                <w:szCs w:val="20"/>
              </w:rPr>
              <w:t>ED-2021-SCC-0093-0013</w:t>
            </w:r>
          </w:p>
          <w:p w:rsidRPr="0031130F" w:rsidR="00623B89" w:rsidRDefault="00623B89" w14:paraId="61448E12" w14:textId="77777777">
            <w:pPr>
              <w:rPr>
                <w:sz w:val="20"/>
                <w:szCs w:val="20"/>
              </w:rPr>
            </w:pPr>
            <w:r w:rsidRPr="0031130F">
              <w:rPr>
                <w:sz w:val="20"/>
                <w:szCs w:val="20"/>
              </w:rPr>
              <w:t>ED-2021-SCC-0093-0057</w:t>
            </w:r>
          </w:p>
          <w:p w:rsidRPr="0031130F" w:rsidR="00623B89" w:rsidRDefault="00623B89" w14:paraId="1E0B4200" w14:textId="77777777">
            <w:pPr>
              <w:rPr>
                <w:sz w:val="20"/>
                <w:szCs w:val="20"/>
              </w:rPr>
            </w:pPr>
            <w:r w:rsidRPr="0031130F">
              <w:rPr>
                <w:sz w:val="20"/>
                <w:szCs w:val="20"/>
              </w:rPr>
              <w:t>ED-2021-SCC-0093-0014</w:t>
            </w:r>
          </w:p>
          <w:p w:rsidRPr="0031130F" w:rsidR="00623B89" w:rsidRDefault="00623B89" w14:paraId="30EFBE56" w14:textId="77777777">
            <w:pPr>
              <w:rPr>
                <w:sz w:val="20"/>
                <w:szCs w:val="20"/>
              </w:rPr>
            </w:pPr>
            <w:r w:rsidRPr="0031130F">
              <w:rPr>
                <w:sz w:val="20"/>
                <w:szCs w:val="20"/>
              </w:rPr>
              <w:t>ED-2021-SCC-0093-0011</w:t>
            </w:r>
          </w:p>
          <w:p w:rsidRPr="0031130F" w:rsidR="00623B89" w:rsidRDefault="00623B89" w14:paraId="7865B5E4" w14:textId="77777777">
            <w:pPr>
              <w:rPr>
                <w:sz w:val="20"/>
                <w:szCs w:val="20"/>
              </w:rPr>
            </w:pPr>
            <w:r w:rsidRPr="0031130F">
              <w:rPr>
                <w:sz w:val="20"/>
                <w:szCs w:val="20"/>
              </w:rPr>
              <w:t>ED-2021-SCC-0093-0015</w:t>
            </w:r>
          </w:p>
          <w:p w:rsidRPr="0031130F" w:rsidR="00623B89" w:rsidRDefault="00623B89" w14:paraId="70FFE50F" w14:textId="77777777">
            <w:pPr>
              <w:rPr>
                <w:sz w:val="20"/>
                <w:szCs w:val="20"/>
              </w:rPr>
            </w:pPr>
            <w:r w:rsidRPr="0031130F">
              <w:rPr>
                <w:sz w:val="20"/>
                <w:szCs w:val="20"/>
              </w:rPr>
              <w:t>ED-2021-SCC-0093-0016</w:t>
            </w:r>
          </w:p>
          <w:p w:rsidRPr="0031130F" w:rsidR="00623B89" w:rsidRDefault="00623B89" w14:paraId="24036CC2" w14:textId="77777777">
            <w:pPr>
              <w:rPr>
                <w:sz w:val="20"/>
                <w:szCs w:val="20"/>
              </w:rPr>
            </w:pPr>
            <w:r w:rsidRPr="0031130F">
              <w:rPr>
                <w:sz w:val="20"/>
                <w:szCs w:val="20"/>
              </w:rPr>
              <w:t>ED-2021-SCC-0093-0017</w:t>
            </w:r>
          </w:p>
          <w:p w:rsidRPr="0031130F" w:rsidR="00623B89" w:rsidRDefault="00623B89" w14:paraId="32700F24" w14:textId="77777777">
            <w:pPr>
              <w:rPr>
                <w:sz w:val="20"/>
                <w:szCs w:val="20"/>
              </w:rPr>
            </w:pPr>
            <w:r w:rsidRPr="0031130F">
              <w:rPr>
                <w:sz w:val="20"/>
                <w:szCs w:val="20"/>
              </w:rPr>
              <w:t>ED-2021-SCC-0093-0018</w:t>
            </w:r>
          </w:p>
          <w:p w:rsidRPr="0031130F" w:rsidR="00623B89" w:rsidRDefault="00623B89" w14:paraId="1001A88E" w14:textId="77777777">
            <w:pPr>
              <w:rPr>
                <w:sz w:val="20"/>
                <w:szCs w:val="20"/>
              </w:rPr>
            </w:pPr>
            <w:r w:rsidRPr="0031130F">
              <w:rPr>
                <w:sz w:val="20"/>
                <w:szCs w:val="20"/>
              </w:rPr>
              <w:t>ED-2021-SCC-0093-0019</w:t>
            </w:r>
          </w:p>
          <w:p w:rsidRPr="0031130F" w:rsidR="00623B89" w:rsidRDefault="00623B89" w14:paraId="2AAC0636" w14:textId="77777777">
            <w:pPr>
              <w:rPr>
                <w:sz w:val="20"/>
                <w:szCs w:val="20"/>
              </w:rPr>
            </w:pPr>
            <w:r w:rsidRPr="0031130F">
              <w:rPr>
                <w:sz w:val="20"/>
                <w:szCs w:val="20"/>
              </w:rPr>
              <w:t>ED-2021-SCC-0093-0056</w:t>
            </w:r>
          </w:p>
          <w:p w:rsidRPr="0031130F" w:rsidR="00623B89" w:rsidRDefault="00623B89" w14:paraId="2477090E" w14:textId="77777777">
            <w:pPr>
              <w:rPr>
                <w:sz w:val="20"/>
                <w:szCs w:val="20"/>
              </w:rPr>
            </w:pPr>
            <w:r w:rsidRPr="0031130F">
              <w:rPr>
                <w:sz w:val="20"/>
                <w:szCs w:val="20"/>
              </w:rPr>
              <w:t>ED-2021-SCC-0093-0020</w:t>
            </w:r>
          </w:p>
          <w:p w:rsidRPr="0031130F" w:rsidR="00623B89" w:rsidRDefault="00623B89" w14:paraId="05A323D9" w14:textId="77777777">
            <w:pPr>
              <w:rPr>
                <w:sz w:val="20"/>
                <w:szCs w:val="20"/>
              </w:rPr>
            </w:pPr>
            <w:r w:rsidRPr="0031130F">
              <w:rPr>
                <w:sz w:val="20"/>
                <w:szCs w:val="20"/>
              </w:rPr>
              <w:t>ED-2021-SCC-0093-0051</w:t>
            </w:r>
          </w:p>
          <w:p w:rsidRPr="0031130F" w:rsidR="00623B89" w:rsidRDefault="00623B89" w14:paraId="5EA2F36D" w14:textId="77777777">
            <w:pPr>
              <w:rPr>
                <w:sz w:val="20"/>
                <w:szCs w:val="20"/>
              </w:rPr>
            </w:pPr>
            <w:r w:rsidRPr="0031130F">
              <w:rPr>
                <w:sz w:val="20"/>
                <w:szCs w:val="20"/>
              </w:rPr>
              <w:t>ED-2021-SCC-0093-0055</w:t>
            </w:r>
          </w:p>
          <w:p w:rsidRPr="0031130F" w:rsidR="00623B89" w:rsidRDefault="00623B89" w14:paraId="2C619442" w14:textId="77777777">
            <w:pPr>
              <w:rPr>
                <w:sz w:val="20"/>
                <w:szCs w:val="20"/>
              </w:rPr>
            </w:pPr>
            <w:r w:rsidRPr="0031130F">
              <w:rPr>
                <w:sz w:val="20"/>
                <w:szCs w:val="20"/>
              </w:rPr>
              <w:t>ED-2021-SCC-0093-0054</w:t>
            </w:r>
          </w:p>
          <w:p w:rsidRPr="0031130F" w:rsidR="00623B89" w:rsidRDefault="00623B89" w14:paraId="368184E3" w14:textId="77777777">
            <w:pPr>
              <w:rPr>
                <w:sz w:val="20"/>
                <w:szCs w:val="20"/>
              </w:rPr>
            </w:pPr>
            <w:r w:rsidRPr="0031130F">
              <w:rPr>
                <w:sz w:val="20"/>
                <w:szCs w:val="20"/>
              </w:rPr>
              <w:t>ED-2021-SCC-0093-0053</w:t>
            </w:r>
          </w:p>
          <w:p w:rsidRPr="0031130F" w:rsidR="00623B89" w:rsidRDefault="00623B89" w14:paraId="21D3DB4C" w14:textId="77777777">
            <w:pPr>
              <w:rPr>
                <w:sz w:val="20"/>
                <w:szCs w:val="20"/>
              </w:rPr>
            </w:pPr>
            <w:r w:rsidRPr="0031130F">
              <w:rPr>
                <w:sz w:val="20"/>
                <w:szCs w:val="20"/>
              </w:rPr>
              <w:t>ED-2021-SCC-0093-0052</w:t>
            </w:r>
          </w:p>
          <w:p w:rsidRPr="0031130F" w:rsidR="00623B89" w:rsidRDefault="00623B89" w14:paraId="5790BC7D" w14:textId="77777777">
            <w:pPr>
              <w:rPr>
                <w:sz w:val="20"/>
                <w:szCs w:val="20"/>
              </w:rPr>
            </w:pPr>
            <w:r w:rsidRPr="0031130F">
              <w:rPr>
                <w:sz w:val="20"/>
                <w:szCs w:val="20"/>
              </w:rPr>
              <w:lastRenderedPageBreak/>
              <w:t>ED-2021-SCC-0093-0050</w:t>
            </w:r>
          </w:p>
          <w:p w:rsidRPr="0031130F" w:rsidR="00623B89" w:rsidRDefault="00623B89" w14:paraId="669BE4FE" w14:textId="77777777">
            <w:pPr>
              <w:rPr>
                <w:sz w:val="20"/>
                <w:szCs w:val="20"/>
              </w:rPr>
            </w:pPr>
            <w:r w:rsidRPr="0031130F">
              <w:rPr>
                <w:sz w:val="20"/>
                <w:szCs w:val="20"/>
              </w:rPr>
              <w:t>ED-2021-SCC-0093-0049</w:t>
            </w:r>
          </w:p>
          <w:p w:rsidRPr="0031130F" w:rsidR="00623B89" w:rsidRDefault="00623B89" w14:paraId="05ACDF76" w14:textId="77777777">
            <w:pPr>
              <w:rPr>
                <w:sz w:val="20"/>
                <w:szCs w:val="20"/>
              </w:rPr>
            </w:pPr>
            <w:r w:rsidRPr="0031130F">
              <w:rPr>
                <w:sz w:val="20"/>
                <w:szCs w:val="20"/>
              </w:rPr>
              <w:t>ED-2021-SCC-0093-0048</w:t>
            </w:r>
          </w:p>
          <w:p w:rsidRPr="0031130F" w:rsidR="00623B89" w:rsidRDefault="00623B89" w14:paraId="540556A8" w14:textId="77777777">
            <w:pPr>
              <w:rPr>
                <w:sz w:val="20"/>
                <w:szCs w:val="20"/>
              </w:rPr>
            </w:pPr>
            <w:r w:rsidRPr="0031130F">
              <w:rPr>
                <w:sz w:val="20"/>
                <w:szCs w:val="20"/>
              </w:rPr>
              <w:t>ED-2021-SCC-0093-0047</w:t>
            </w:r>
          </w:p>
          <w:p w:rsidRPr="0031130F" w:rsidR="00623B89" w:rsidRDefault="00623B89" w14:paraId="6BDA4BFC" w14:textId="77777777">
            <w:pPr>
              <w:rPr>
                <w:sz w:val="20"/>
                <w:szCs w:val="20"/>
              </w:rPr>
            </w:pPr>
            <w:r w:rsidRPr="0031130F">
              <w:rPr>
                <w:sz w:val="20"/>
                <w:szCs w:val="20"/>
              </w:rPr>
              <w:t>ED-2021-SCC-0093-0045</w:t>
            </w:r>
          </w:p>
          <w:p w:rsidRPr="0031130F" w:rsidR="00623B89" w:rsidRDefault="00623B89" w14:paraId="30A20466" w14:textId="77777777">
            <w:pPr>
              <w:rPr>
                <w:sz w:val="20"/>
                <w:szCs w:val="20"/>
              </w:rPr>
            </w:pPr>
            <w:r w:rsidRPr="0031130F">
              <w:rPr>
                <w:sz w:val="20"/>
                <w:szCs w:val="20"/>
              </w:rPr>
              <w:t>ED-2021-SCC-0093-0041</w:t>
            </w:r>
          </w:p>
          <w:p w:rsidRPr="0031130F" w:rsidR="00623B89" w:rsidRDefault="00623B89" w14:paraId="528F8EA7" w14:textId="77777777">
            <w:pPr>
              <w:rPr>
                <w:sz w:val="20"/>
                <w:szCs w:val="20"/>
              </w:rPr>
            </w:pPr>
            <w:r w:rsidRPr="0031130F">
              <w:rPr>
                <w:sz w:val="20"/>
                <w:szCs w:val="20"/>
              </w:rPr>
              <w:t>ED-2021-SCC-0093-0039</w:t>
            </w:r>
          </w:p>
          <w:p w:rsidRPr="0031130F" w:rsidR="00623B89" w:rsidRDefault="00623B89" w14:paraId="68606F16" w14:textId="77777777">
            <w:pPr>
              <w:rPr>
                <w:sz w:val="20"/>
                <w:szCs w:val="20"/>
              </w:rPr>
            </w:pPr>
            <w:r w:rsidRPr="0031130F">
              <w:rPr>
                <w:sz w:val="20"/>
                <w:szCs w:val="20"/>
              </w:rPr>
              <w:t>ED-2021-SCC-0093-0033</w:t>
            </w:r>
          </w:p>
          <w:p w:rsidRPr="0031130F" w:rsidR="00623B89" w:rsidRDefault="00623B89" w14:paraId="569297B3" w14:textId="77777777">
            <w:pPr>
              <w:rPr>
                <w:sz w:val="20"/>
                <w:szCs w:val="20"/>
              </w:rPr>
            </w:pPr>
            <w:r w:rsidRPr="0031130F">
              <w:rPr>
                <w:sz w:val="20"/>
                <w:szCs w:val="20"/>
              </w:rPr>
              <w:t>ED-2021-SCC-0093-0032</w:t>
            </w:r>
          </w:p>
          <w:p w:rsidRPr="0031130F" w:rsidR="00623B89" w:rsidRDefault="00623B89" w14:paraId="50D29FC5" w14:textId="77777777">
            <w:pPr>
              <w:rPr>
                <w:sz w:val="20"/>
                <w:szCs w:val="20"/>
              </w:rPr>
            </w:pPr>
            <w:r w:rsidRPr="0031130F">
              <w:rPr>
                <w:sz w:val="20"/>
                <w:szCs w:val="20"/>
              </w:rPr>
              <w:t>ED-2021-SCC-0093-0030</w:t>
            </w:r>
          </w:p>
          <w:p w:rsidRPr="0031130F" w:rsidR="00623B89" w:rsidRDefault="00623B89" w14:paraId="3B481811" w14:textId="77777777">
            <w:pPr>
              <w:rPr>
                <w:sz w:val="20"/>
                <w:szCs w:val="20"/>
              </w:rPr>
            </w:pPr>
            <w:r w:rsidRPr="0031130F">
              <w:rPr>
                <w:sz w:val="20"/>
                <w:szCs w:val="20"/>
              </w:rPr>
              <w:t>ED-2021-SCC-0093-0022</w:t>
            </w:r>
          </w:p>
          <w:p w:rsidRPr="0031130F" w:rsidR="00623B89" w:rsidRDefault="00623B89" w14:paraId="57D0134D" w14:textId="77777777">
            <w:pPr>
              <w:rPr>
                <w:sz w:val="20"/>
                <w:szCs w:val="20"/>
              </w:rPr>
            </w:pPr>
            <w:r w:rsidRPr="0031130F">
              <w:rPr>
                <w:sz w:val="20"/>
                <w:szCs w:val="20"/>
              </w:rPr>
              <w:t>ED-2021-SCC-0093-0025</w:t>
            </w:r>
          </w:p>
          <w:p w:rsidRPr="0031130F" w:rsidR="00623B89" w:rsidRDefault="00623B89" w14:paraId="2015C5E4" w14:textId="6481439E">
            <w:pPr>
              <w:rPr>
                <w:sz w:val="20"/>
                <w:szCs w:val="20"/>
              </w:rPr>
            </w:pPr>
            <w:r w:rsidRPr="0031130F">
              <w:rPr>
                <w:sz w:val="20"/>
                <w:szCs w:val="20"/>
              </w:rPr>
              <w:t>ED-2021-SCC-0093-0040</w:t>
            </w:r>
          </w:p>
        </w:tc>
        <w:tc>
          <w:tcPr>
            <w:tcW w:w="2070" w:type="dxa"/>
          </w:tcPr>
          <w:p w:rsidRPr="0031130F" w:rsidR="00C64AF8" w:rsidRDefault="00CD5513" w14:paraId="377885BC" w14:textId="77777777">
            <w:pPr>
              <w:rPr>
                <w:sz w:val="20"/>
                <w:szCs w:val="20"/>
              </w:rPr>
            </w:pPr>
            <w:r w:rsidRPr="0031130F">
              <w:rPr>
                <w:sz w:val="20"/>
                <w:szCs w:val="20"/>
              </w:rPr>
              <w:lastRenderedPageBreak/>
              <w:t>NASFAA/NACUBO</w:t>
            </w:r>
          </w:p>
          <w:p w:rsidRPr="0031130F" w:rsidR="00930E00" w:rsidRDefault="00930E00" w14:paraId="33FE24DA" w14:textId="77777777">
            <w:pPr>
              <w:rPr>
                <w:sz w:val="20"/>
                <w:szCs w:val="20"/>
              </w:rPr>
            </w:pPr>
            <w:r w:rsidRPr="0031130F">
              <w:rPr>
                <w:sz w:val="20"/>
                <w:szCs w:val="20"/>
              </w:rPr>
              <w:t>Baylor University</w:t>
            </w:r>
          </w:p>
          <w:p w:rsidRPr="0031130F" w:rsidR="00F56FAC" w:rsidRDefault="00F56FAC" w14:paraId="4EC70534" w14:textId="6B5F7D78">
            <w:pPr>
              <w:rPr>
                <w:sz w:val="20"/>
                <w:szCs w:val="20"/>
              </w:rPr>
            </w:pPr>
            <w:r w:rsidRPr="0031130F">
              <w:rPr>
                <w:sz w:val="20"/>
                <w:szCs w:val="20"/>
              </w:rPr>
              <w:t xml:space="preserve">Arizona State University </w:t>
            </w:r>
          </w:p>
          <w:p w:rsidRPr="0031130F" w:rsidR="00BF1ED1" w:rsidRDefault="00BF1ED1" w14:paraId="13457BC7" w14:textId="77777777">
            <w:pPr>
              <w:rPr>
                <w:sz w:val="20"/>
                <w:szCs w:val="20"/>
              </w:rPr>
            </w:pPr>
            <w:r w:rsidRPr="0031130F">
              <w:rPr>
                <w:sz w:val="20"/>
                <w:szCs w:val="20"/>
              </w:rPr>
              <w:t>Anonymous</w:t>
            </w:r>
          </w:p>
          <w:p w:rsidRPr="0031130F" w:rsidR="000573B1" w:rsidRDefault="000573B1" w14:paraId="26AB8D0B" w14:textId="77777777">
            <w:pPr>
              <w:rPr>
                <w:sz w:val="20"/>
                <w:szCs w:val="20"/>
              </w:rPr>
            </w:pPr>
            <w:r w:rsidRPr="0031130F">
              <w:rPr>
                <w:sz w:val="20"/>
                <w:szCs w:val="20"/>
              </w:rPr>
              <w:t>Peter Goss</w:t>
            </w:r>
          </w:p>
          <w:p w:rsidRPr="0031130F" w:rsidR="00296D85" w:rsidRDefault="00296D85" w14:paraId="37F52C49" w14:textId="77777777">
            <w:pPr>
              <w:rPr>
                <w:rFonts w:cs="Calibri"/>
                <w:sz w:val="20"/>
                <w:szCs w:val="20"/>
                <w:shd w:val="clear" w:color="auto" w:fill="FFFFFF"/>
              </w:rPr>
            </w:pPr>
            <w:r w:rsidRPr="0031130F">
              <w:rPr>
                <w:rFonts w:cs="Calibri"/>
                <w:sz w:val="20"/>
                <w:szCs w:val="20"/>
                <w:shd w:val="clear" w:color="auto" w:fill="FFFFFF"/>
              </w:rPr>
              <w:t>University of Maine System</w:t>
            </w:r>
          </w:p>
          <w:p w:rsidRPr="0031130F" w:rsidR="001657B0" w:rsidRDefault="001657B0" w14:paraId="53B0B9D8" w14:textId="77777777">
            <w:pPr>
              <w:rPr>
                <w:sz w:val="20"/>
                <w:szCs w:val="20"/>
              </w:rPr>
            </w:pPr>
            <w:r w:rsidRPr="0031130F">
              <w:rPr>
                <w:rFonts w:cs="Calibri"/>
                <w:sz w:val="20"/>
                <w:szCs w:val="20"/>
                <w:shd w:val="clear" w:color="auto" w:fill="FFFFFF"/>
              </w:rPr>
              <w:t>California State University</w:t>
            </w:r>
          </w:p>
          <w:p w:rsidRPr="0031130F" w:rsidR="001657B0" w:rsidRDefault="00A45A08" w14:paraId="43436A26" w14:textId="77777777">
            <w:pPr>
              <w:rPr>
                <w:rFonts w:cs="Calibri"/>
                <w:sz w:val="20"/>
                <w:szCs w:val="20"/>
                <w:shd w:val="clear" w:color="auto" w:fill="FFFFFF"/>
              </w:rPr>
            </w:pPr>
            <w:r w:rsidRPr="0031130F">
              <w:rPr>
                <w:rFonts w:cs="Calibri"/>
                <w:sz w:val="20"/>
                <w:szCs w:val="20"/>
                <w:shd w:val="clear" w:color="auto" w:fill="FFFFFF"/>
              </w:rPr>
              <w:t>University of Massachusetts Lowell</w:t>
            </w:r>
          </w:p>
          <w:p w:rsidRPr="0031130F" w:rsidR="006B4187" w:rsidRDefault="006B4187" w14:paraId="15EE6473" w14:textId="4B3E7015">
            <w:pPr>
              <w:rPr>
                <w:rFonts w:cs="Calibri"/>
                <w:sz w:val="20"/>
                <w:szCs w:val="20"/>
                <w:shd w:val="clear" w:color="auto" w:fill="FFFFFF"/>
              </w:rPr>
            </w:pPr>
            <w:r w:rsidRPr="0031130F">
              <w:rPr>
                <w:rFonts w:cs="Calibri"/>
                <w:sz w:val="20"/>
                <w:szCs w:val="20"/>
                <w:shd w:val="clear" w:color="auto" w:fill="FFFFFF"/>
              </w:rPr>
              <w:t>American Council on Education</w:t>
            </w:r>
          </w:p>
          <w:p w:rsidRPr="0031130F" w:rsidR="00A13F46" w:rsidRDefault="00A13F46" w14:paraId="75905F93" w14:textId="4E2EB4DB">
            <w:pPr>
              <w:rPr>
                <w:rFonts w:cs="Calibri"/>
                <w:sz w:val="20"/>
                <w:szCs w:val="20"/>
                <w:shd w:val="clear" w:color="auto" w:fill="FFFFFF"/>
              </w:rPr>
            </w:pPr>
            <w:r w:rsidRPr="0031130F">
              <w:rPr>
                <w:rFonts w:cs="Calibri"/>
                <w:sz w:val="20"/>
                <w:szCs w:val="20"/>
                <w:shd w:val="clear" w:color="auto" w:fill="FFFFFF"/>
              </w:rPr>
              <w:t xml:space="preserve">University </w:t>
            </w:r>
            <w:r w:rsidRPr="0031130F" w:rsidR="00B97B30">
              <w:rPr>
                <w:rFonts w:cs="Calibri"/>
                <w:sz w:val="20"/>
                <w:szCs w:val="20"/>
                <w:shd w:val="clear" w:color="auto" w:fill="FFFFFF"/>
              </w:rPr>
              <w:t>o</w:t>
            </w:r>
            <w:r w:rsidRPr="0031130F">
              <w:rPr>
                <w:rFonts w:cs="Calibri"/>
                <w:sz w:val="20"/>
                <w:szCs w:val="20"/>
                <w:shd w:val="clear" w:color="auto" w:fill="FFFFFF"/>
              </w:rPr>
              <w:t>f Massachusetts Amherst</w:t>
            </w:r>
          </w:p>
          <w:p w:rsidRPr="0031130F" w:rsidR="00505BC2" w:rsidRDefault="00505BC2" w14:paraId="70DD25F3" w14:textId="1F266ECD">
            <w:pPr>
              <w:rPr>
                <w:rFonts w:cs="Calibri"/>
                <w:sz w:val="20"/>
                <w:szCs w:val="20"/>
                <w:shd w:val="clear" w:color="auto" w:fill="FFFFFF"/>
              </w:rPr>
            </w:pPr>
            <w:r w:rsidRPr="0031130F">
              <w:rPr>
                <w:rFonts w:cs="Calibri"/>
                <w:sz w:val="20"/>
                <w:szCs w:val="20"/>
                <w:shd w:val="clear" w:color="auto" w:fill="FFFFFF"/>
              </w:rPr>
              <w:t xml:space="preserve">San Jacinto Community College </w:t>
            </w:r>
          </w:p>
          <w:p w:rsidRPr="0031130F" w:rsidR="005E2F66" w:rsidRDefault="005E2F66" w14:paraId="04FE2765" w14:textId="58EC51E7">
            <w:pPr>
              <w:rPr>
                <w:rFonts w:cs="Calibri"/>
                <w:sz w:val="20"/>
                <w:szCs w:val="20"/>
                <w:shd w:val="clear" w:color="auto" w:fill="FFFFFF"/>
              </w:rPr>
            </w:pPr>
            <w:r w:rsidRPr="0031130F">
              <w:rPr>
                <w:rFonts w:cs="Calibri"/>
                <w:sz w:val="20"/>
                <w:szCs w:val="20"/>
                <w:shd w:val="clear" w:color="auto" w:fill="FFFFFF"/>
              </w:rPr>
              <w:t>American Association of Community Colleges</w:t>
            </w:r>
          </w:p>
          <w:p w:rsidRPr="0031130F" w:rsidR="005E2F66" w:rsidRDefault="005E2F66" w14:paraId="7D0EE7E7" w14:textId="59CA10AC">
            <w:pPr>
              <w:rPr>
                <w:rFonts w:cs="Calibri"/>
                <w:sz w:val="20"/>
                <w:szCs w:val="20"/>
                <w:shd w:val="clear" w:color="auto" w:fill="FFFFFF"/>
              </w:rPr>
            </w:pPr>
            <w:r w:rsidRPr="0031130F">
              <w:rPr>
                <w:rFonts w:cs="Calibri"/>
                <w:sz w:val="20"/>
                <w:szCs w:val="20"/>
                <w:shd w:val="clear" w:color="auto" w:fill="FFFFFF"/>
              </w:rPr>
              <w:t>University of Massachusetts Boston</w:t>
            </w:r>
          </w:p>
          <w:p w:rsidRPr="0031130F" w:rsidR="00505BC2" w:rsidRDefault="00505BC2" w14:paraId="37EE71D3" w14:textId="39A03AD7">
            <w:pPr>
              <w:rPr>
                <w:rFonts w:cs="Calibri"/>
                <w:sz w:val="20"/>
                <w:szCs w:val="20"/>
                <w:shd w:val="clear" w:color="auto" w:fill="FFFFFF"/>
              </w:rPr>
            </w:pPr>
            <w:r w:rsidRPr="0031130F">
              <w:rPr>
                <w:rFonts w:cs="Calibri"/>
                <w:sz w:val="20"/>
                <w:szCs w:val="20"/>
                <w:shd w:val="clear" w:color="auto" w:fill="FFFFFF"/>
              </w:rPr>
              <w:t>Council for Christian Colleges &amp; Universities</w:t>
            </w:r>
          </w:p>
          <w:p w:rsidRPr="0031130F" w:rsidR="00A13F46" w:rsidRDefault="00522A1B" w14:paraId="246DA302" w14:textId="77777777">
            <w:pPr>
              <w:rPr>
                <w:sz w:val="20"/>
                <w:szCs w:val="20"/>
              </w:rPr>
            </w:pPr>
            <w:r w:rsidRPr="0031130F">
              <w:rPr>
                <w:sz w:val="20"/>
                <w:szCs w:val="20"/>
              </w:rPr>
              <w:t xml:space="preserve">Illinois College </w:t>
            </w:r>
          </w:p>
          <w:p w:rsidRPr="0031130F" w:rsidR="00FE07C3" w:rsidRDefault="00FE07C3" w14:paraId="1B7A15C9" w14:textId="77777777">
            <w:pPr>
              <w:rPr>
                <w:rFonts w:cs="Calibri"/>
                <w:sz w:val="20"/>
                <w:szCs w:val="20"/>
                <w:shd w:val="clear" w:color="auto" w:fill="FFFFFF"/>
              </w:rPr>
            </w:pPr>
            <w:r w:rsidRPr="0031130F">
              <w:rPr>
                <w:rFonts w:cs="Calibri"/>
                <w:sz w:val="20"/>
                <w:szCs w:val="20"/>
                <w:shd w:val="clear" w:color="auto" w:fill="FFFFFF"/>
              </w:rPr>
              <w:t>Harper College</w:t>
            </w:r>
          </w:p>
          <w:p w:rsidRPr="0031130F" w:rsidR="00552BF0" w:rsidRDefault="00552BF0" w14:paraId="0C4C6BA6" w14:textId="77777777">
            <w:pPr>
              <w:rPr>
                <w:rFonts w:cs="Calibri"/>
                <w:sz w:val="20"/>
                <w:szCs w:val="20"/>
                <w:shd w:val="clear" w:color="auto" w:fill="FFFFFF"/>
              </w:rPr>
            </w:pPr>
            <w:r w:rsidRPr="0031130F">
              <w:rPr>
                <w:rFonts w:cs="Calibri"/>
                <w:sz w:val="20"/>
                <w:szCs w:val="20"/>
                <w:shd w:val="clear" w:color="auto" w:fill="FFFFFF"/>
              </w:rPr>
              <w:t>Young Harris College</w:t>
            </w:r>
          </w:p>
          <w:p w:rsidRPr="0031130F" w:rsidR="00E76F4D" w:rsidRDefault="00D07455" w14:paraId="4777815F" w14:textId="77777777">
            <w:pPr>
              <w:rPr>
                <w:rFonts w:cs="Calibri"/>
                <w:sz w:val="20"/>
                <w:szCs w:val="20"/>
                <w:shd w:val="clear" w:color="auto" w:fill="FFFFFF"/>
              </w:rPr>
            </w:pPr>
            <w:r w:rsidRPr="0031130F">
              <w:rPr>
                <w:rFonts w:cs="Calibri"/>
                <w:sz w:val="20"/>
                <w:szCs w:val="20"/>
                <w:shd w:val="clear" w:color="auto" w:fill="FFFFFF"/>
              </w:rPr>
              <w:t>Sheri Hardison</w:t>
            </w:r>
          </w:p>
          <w:p w:rsidRPr="0031130F" w:rsidR="00E1341A" w:rsidRDefault="00E1341A" w14:paraId="7BC95B4F" w14:textId="77777777">
            <w:pPr>
              <w:rPr>
                <w:rFonts w:cs="Calibri"/>
                <w:sz w:val="20"/>
                <w:szCs w:val="20"/>
                <w:shd w:val="clear" w:color="auto" w:fill="FFFFFF"/>
              </w:rPr>
            </w:pPr>
            <w:r w:rsidRPr="0031130F">
              <w:rPr>
                <w:rFonts w:cs="Calibri"/>
                <w:sz w:val="20"/>
                <w:szCs w:val="20"/>
                <w:shd w:val="clear" w:color="auto" w:fill="FFFFFF"/>
              </w:rPr>
              <w:t>Dawn Geoppinger</w:t>
            </w:r>
          </w:p>
          <w:p w:rsidRPr="0031130F" w:rsidR="00773F34" w:rsidRDefault="00773F34" w14:paraId="3981AFFA" w14:textId="77777777">
            <w:pPr>
              <w:rPr>
                <w:rFonts w:cs="Calibri"/>
                <w:sz w:val="20"/>
                <w:szCs w:val="20"/>
                <w:shd w:val="clear" w:color="auto" w:fill="FFFFFF"/>
              </w:rPr>
            </w:pPr>
            <w:r w:rsidRPr="0031130F">
              <w:rPr>
                <w:rFonts w:cs="Calibri"/>
                <w:sz w:val="20"/>
                <w:szCs w:val="20"/>
                <w:shd w:val="clear" w:color="auto" w:fill="FFFFFF"/>
              </w:rPr>
              <w:t>Laura Williams</w:t>
            </w:r>
          </w:p>
          <w:p w:rsidRPr="0031130F" w:rsidR="00CD5513" w:rsidRDefault="000C2BB8" w14:paraId="64994C30" w14:textId="3F5CA3E9">
            <w:pPr>
              <w:rPr>
                <w:sz w:val="20"/>
                <w:szCs w:val="20"/>
              </w:rPr>
            </w:pPr>
            <w:r w:rsidRPr="0031130F">
              <w:rPr>
                <w:rFonts w:cs="Calibri"/>
                <w:sz w:val="20"/>
                <w:szCs w:val="20"/>
                <w:shd w:val="clear" w:color="auto" w:fill="FFFFFF"/>
              </w:rPr>
              <w:lastRenderedPageBreak/>
              <w:t>Cornerstone University</w:t>
            </w:r>
          </w:p>
        </w:tc>
        <w:tc>
          <w:tcPr>
            <w:tcW w:w="7105" w:type="dxa"/>
          </w:tcPr>
          <w:p w:rsidRPr="00421C90" w:rsidR="00623B89" w:rsidRDefault="00C64AF8" w14:paraId="7E55882D" w14:textId="39FB17DA">
            <w:pPr>
              <w:rPr>
                <w:sz w:val="20"/>
                <w:szCs w:val="20"/>
              </w:rPr>
            </w:pPr>
            <w:r w:rsidRPr="00421C90">
              <w:rPr>
                <w:sz w:val="20"/>
                <w:szCs w:val="20"/>
              </w:rPr>
              <w:lastRenderedPageBreak/>
              <w:t xml:space="preserve">Change. </w:t>
            </w:r>
            <w:r w:rsidRPr="00421C90" w:rsidR="00D51170">
              <w:rPr>
                <w:sz w:val="20"/>
                <w:szCs w:val="20"/>
              </w:rPr>
              <w:t>In order to maintain a metric for accountability on lost revenue expenditures</w:t>
            </w:r>
            <w:r w:rsidRPr="00421C90" w:rsidR="0006494D">
              <w:rPr>
                <w:sz w:val="20"/>
                <w:szCs w:val="20"/>
              </w:rPr>
              <w:t xml:space="preserve"> and maintain consistency with prior guidance</w:t>
            </w:r>
            <w:r w:rsidRPr="00421C90" w:rsidR="00D51170">
              <w:rPr>
                <w:sz w:val="20"/>
                <w:szCs w:val="20"/>
              </w:rPr>
              <w:t xml:space="preserve">, the </w:t>
            </w:r>
            <w:r w:rsidRPr="00421C90" w:rsidR="00811999">
              <w:rPr>
                <w:sz w:val="20"/>
                <w:szCs w:val="20"/>
              </w:rPr>
              <w:t xml:space="preserve">Department has </w:t>
            </w:r>
            <w:r w:rsidRPr="00421C90" w:rsidR="00D51170">
              <w:rPr>
                <w:sz w:val="20"/>
                <w:szCs w:val="20"/>
              </w:rPr>
              <w:t xml:space="preserve">reframed the question on </w:t>
            </w:r>
            <w:r w:rsidRPr="00421C90" w:rsidR="00A35E32">
              <w:rPr>
                <w:sz w:val="20"/>
                <w:szCs w:val="20"/>
              </w:rPr>
              <w:t>lost revenue to focus on how lost revenue expenditures were derived</w:t>
            </w:r>
            <w:r w:rsidRPr="00421C90" w:rsidR="002F4D9E">
              <w:rPr>
                <w:sz w:val="20"/>
                <w:szCs w:val="20"/>
              </w:rPr>
              <w:t xml:space="preserve"> </w:t>
            </w:r>
            <w:r w:rsidRPr="00421C90" w:rsidR="00116C01">
              <w:rPr>
                <w:sz w:val="20"/>
                <w:szCs w:val="20"/>
              </w:rPr>
              <w:t xml:space="preserve">using categories </w:t>
            </w:r>
            <w:r w:rsidRPr="00421C90" w:rsidR="002F4D9E">
              <w:rPr>
                <w:sz w:val="20"/>
                <w:szCs w:val="20"/>
              </w:rPr>
              <w:t xml:space="preserve">aligned with the </w:t>
            </w:r>
            <w:r w:rsidRPr="00421C90" w:rsidR="009039F7">
              <w:rPr>
                <w:sz w:val="20"/>
                <w:szCs w:val="20"/>
              </w:rPr>
              <w:t>March 19,</w:t>
            </w:r>
            <w:r w:rsidRPr="00421C90" w:rsidR="004B6F04">
              <w:rPr>
                <w:sz w:val="20"/>
                <w:szCs w:val="20"/>
              </w:rPr>
              <w:t xml:space="preserve"> </w:t>
            </w:r>
            <w:r w:rsidRPr="00421C90" w:rsidR="005A7E36">
              <w:rPr>
                <w:sz w:val="20"/>
                <w:szCs w:val="20"/>
              </w:rPr>
              <w:t>2021,</w:t>
            </w:r>
            <w:r w:rsidRPr="00421C90" w:rsidR="009039F7">
              <w:rPr>
                <w:sz w:val="20"/>
                <w:szCs w:val="20"/>
              </w:rPr>
              <w:t xml:space="preserve"> FAQ</w:t>
            </w:r>
            <w:r w:rsidRPr="00421C90" w:rsidR="00A35E32">
              <w:rPr>
                <w:sz w:val="20"/>
                <w:szCs w:val="20"/>
              </w:rPr>
              <w:t>.</w:t>
            </w:r>
          </w:p>
        </w:tc>
      </w:tr>
      <w:tr w:rsidRPr="00E15EAE" w:rsidR="00623B89" w:rsidTr="001E1237" w14:paraId="74B24E91" w14:textId="77777777">
        <w:tc>
          <w:tcPr>
            <w:tcW w:w="4725" w:type="dxa"/>
          </w:tcPr>
          <w:p w:rsidRPr="00421C90" w:rsidR="00623B89" w:rsidRDefault="00623B89" w14:paraId="333581C3" w14:textId="7C4A8F1C">
            <w:pPr>
              <w:rPr>
                <w:sz w:val="20"/>
                <w:szCs w:val="20"/>
              </w:rPr>
            </w:pPr>
            <w:r w:rsidRPr="00421C90">
              <w:rPr>
                <w:sz w:val="20"/>
                <w:szCs w:val="20"/>
              </w:rPr>
              <w:t>The burden estimates are too low.</w:t>
            </w:r>
            <w:r w:rsidRPr="00421C90" w:rsidR="00C64AF8">
              <w:rPr>
                <w:sz w:val="20"/>
                <w:szCs w:val="20"/>
              </w:rPr>
              <w:t xml:space="preserve"> One institution indicated that just to assess feasibility will take several weeks, some institutions indicated the prior year took 40+ hours and that this would require even more.</w:t>
            </w:r>
          </w:p>
        </w:tc>
        <w:tc>
          <w:tcPr>
            <w:tcW w:w="1090" w:type="dxa"/>
          </w:tcPr>
          <w:p w:rsidRPr="00421C90" w:rsidR="00623B89" w:rsidRDefault="00623B89" w14:paraId="1695665B" w14:textId="77777777">
            <w:pPr>
              <w:rPr>
                <w:sz w:val="20"/>
                <w:szCs w:val="20"/>
              </w:rPr>
            </w:pPr>
            <w:r w:rsidRPr="00421C90">
              <w:rPr>
                <w:sz w:val="20"/>
                <w:szCs w:val="20"/>
              </w:rPr>
              <w:t>All</w:t>
            </w:r>
          </w:p>
          <w:p w:rsidRPr="00421C90" w:rsidR="003B2CDB" w:rsidRDefault="003B2CDB" w14:paraId="7E50EA98" w14:textId="77777777">
            <w:pPr>
              <w:rPr>
                <w:sz w:val="20"/>
                <w:szCs w:val="20"/>
              </w:rPr>
            </w:pPr>
          </w:p>
          <w:p w:rsidRPr="00421C90" w:rsidR="003B2CDB" w:rsidRDefault="003B2CDB" w14:paraId="44C81ED0" w14:textId="77777777">
            <w:pPr>
              <w:rPr>
                <w:sz w:val="20"/>
                <w:szCs w:val="20"/>
              </w:rPr>
            </w:pPr>
          </w:p>
          <w:p w:rsidRPr="00421C90" w:rsidR="003B2CDB" w:rsidRDefault="003B2CDB" w14:paraId="22EFD923" w14:textId="77777777">
            <w:pPr>
              <w:rPr>
                <w:sz w:val="20"/>
                <w:szCs w:val="20"/>
              </w:rPr>
            </w:pPr>
          </w:p>
          <w:p w:rsidRPr="00421C90" w:rsidR="003B2CDB" w:rsidRDefault="003B2CDB" w14:paraId="0361B099" w14:textId="77777777">
            <w:pPr>
              <w:rPr>
                <w:sz w:val="20"/>
                <w:szCs w:val="20"/>
              </w:rPr>
            </w:pPr>
          </w:p>
          <w:p w:rsidRPr="00421C90" w:rsidR="003B2CDB" w:rsidRDefault="003B2CDB" w14:paraId="26BFD3CF" w14:textId="2264F8D5">
            <w:pPr>
              <w:rPr>
                <w:sz w:val="20"/>
                <w:szCs w:val="20"/>
              </w:rPr>
            </w:pPr>
          </w:p>
        </w:tc>
        <w:tc>
          <w:tcPr>
            <w:tcW w:w="2280" w:type="dxa"/>
          </w:tcPr>
          <w:p w:rsidRPr="0031130F" w:rsidR="00623B89" w:rsidRDefault="00623B89" w14:paraId="7B988731" w14:textId="77777777">
            <w:pPr>
              <w:rPr>
                <w:sz w:val="20"/>
                <w:szCs w:val="20"/>
              </w:rPr>
            </w:pPr>
            <w:r w:rsidRPr="0031130F">
              <w:rPr>
                <w:sz w:val="20"/>
                <w:szCs w:val="20"/>
              </w:rPr>
              <w:t>ED-2021-SCC-0093-0014</w:t>
            </w:r>
          </w:p>
          <w:p w:rsidRPr="0031130F" w:rsidR="00623B89" w:rsidRDefault="00623B89" w14:paraId="25875A8A" w14:textId="77777777">
            <w:pPr>
              <w:rPr>
                <w:sz w:val="20"/>
                <w:szCs w:val="20"/>
              </w:rPr>
            </w:pPr>
            <w:r w:rsidRPr="0031130F">
              <w:rPr>
                <w:sz w:val="20"/>
                <w:szCs w:val="20"/>
              </w:rPr>
              <w:t>ED-2021-SCC-0093-0019</w:t>
            </w:r>
          </w:p>
          <w:p w:rsidRPr="0031130F" w:rsidR="00623B89" w:rsidRDefault="00623B89" w14:paraId="54A91DCC" w14:textId="77777777">
            <w:pPr>
              <w:rPr>
                <w:sz w:val="20"/>
                <w:szCs w:val="20"/>
              </w:rPr>
            </w:pPr>
            <w:r w:rsidRPr="0031130F">
              <w:rPr>
                <w:sz w:val="20"/>
                <w:szCs w:val="20"/>
              </w:rPr>
              <w:t>ED-2021-SCC-0093-0038</w:t>
            </w:r>
          </w:p>
          <w:p w:rsidRPr="0031130F" w:rsidR="00623B89" w:rsidRDefault="00623B89" w14:paraId="76E907C1" w14:textId="77777777">
            <w:pPr>
              <w:rPr>
                <w:sz w:val="20"/>
                <w:szCs w:val="20"/>
              </w:rPr>
            </w:pPr>
            <w:r w:rsidRPr="0031130F">
              <w:rPr>
                <w:sz w:val="20"/>
                <w:szCs w:val="20"/>
              </w:rPr>
              <w:t>ED-2021-SCC-0093-0032</w:t>
            </w:r>
          </w:p>
          <w:p w:rsidRPr="0031130F" w:rsidR="00623B89" w:rsidRDefault="00623B89" w14:paraId="64DB5F7D" w14:textId="77777777">
            <w:pPr>
              <w:rPr>
                <w:sz w:val="20"/>
                <w:szCs w:val="20"/>
              </w:rPr>
            </w:pPr>
            <w:r w:rsidRPr="0031130F">
              <w:rPr>
                <w:sz w:val="20"/>
                <w:szCs w:val="20"/>
              </w:rPr>
              <w:t>ED-2021-SCC-0093-0030</w:t>
            </w:r>
          </w:p>
          <w:p w:rsidRPr="0031130F" w:rsidR="00623B89" w:rsidRDefault="00623B89" w14:paraId="4EEB194C" w14:textId="77777777">
            <w:pPr>
              <w:rPr>
                <w:sz w:val="20"/>
                <w:szCs w:val="20"/>
              </w:rPr>
            </w:pPr>
            <w:r w:rsidRPr="0031130F">
              <w:rPr>
                <w:sz w:val="20"/>
                <w:szCs w:val="20"/>
              </w:rPr>
              <w:t>ED-2021-SCC-0093-0027</w:t>
            </w:r>
          </w:p>
          <w:p w:rsidRPr="0031130F" w:rsidR="00623B89" w:rsidRDefault="00623B89" w14:paraId="2C365F1D" w14:textId="77777777">
            <w:pPr>
              <w:rPr>
                <w:sz w:val="20"/>
                <w:szCs w:val="20"/>
              </w:rPr>
            </w:pPr>
            <w:r w:rsidRPr="0031130F">
              <w:rPr>
                <w:sz w:val="20"/>
                <w:szCs w:val="20"/>
              </w:rPr>
              <w:lastRenderedPageBreak/>
              <w:t>ED-2021-SCC-0093-0025</w:t>
            </w:r>
          </w:p>
          <w:p w:rsidRPr="0031130F" w:rsidR="00623B89" w:rsidRDefault="00623B89" w14:paraId="3CEBA198" w14:textId="77777777">
            <w:pPr>
              <w:rPr>
                <w:sz w:val="20"/>
                <w:szCs w:val="20"/>
              </w:rPr>
            </w:pPr>
            <w:r w:rsidRPr="0031130F">
              <w:rPr>
                <w:sz w:val="20"/>
                <w:szCs w:val="20"/>
              </w:rPr>
              <w:t>ED-2021-SCC-0093-0022</w:t>
            </w:r>
          </w:p>
          <w:p w:rsidRPr="0031130F" w:rsidR="00623B89" w:rsidRDefault="00623B89" w14:paraId="282D67FE" w14:textId="36A317B1">
            <w:pPr>
              <w:rPr>
                <w:sz w:val="20"/>
                <w:szCs w:val="20"/>
              </w:rPr>
            </w:pPr>
            <w:r w:rsidRPr="0031130F">
              <w:rPr>
                <w:sz w:val="20"/>
                <w:szCs w:val="20"/>
              </w:rPr>
              <w:t>ED-2021-SCC-0093-0040</w:t>
            </w:r>
          </w:p>
        </w:tc>
        <w:tc>
          <w:tcPr>
            <w:tcW w:w="2070" w:type="dxa"/>
          </w:tcPr>
          <w:p w:rsidRPr="0031130F" w:rsidR="00C64AF8" w:rsidRDefault="00CD5513" w14:paraId="1AF7D25D" w14:textId="77777777">
            <w:pPr>
              <w:rPr>
                <w:sz w:val="20"/>
                <w:szCs w:val="20"/>
              </w:rPr>
            </w:pPr>
            <w:r w:rsidRPr="0031130F">
              <w:rPr>
                <w:sz w:val="20"/>
                <w:szCs w:val="20"/>
              </w:rPr>
              <w:lastRenderedPageBreak/>
              <w:t>NASFAA/NACUBO</w:t>
            </w:r>
          </w:p>
          <w:p w:rsidRPr="0031130F" w:rsidR="00971D2F" w:rsidRDefault="00971D2F" w14:paraId="2865A002" w14:textId="77777777">
            <w:pPr>
              <w:rPr>
                <w:sz w:val="20"/>
                <w:szCs w:val="20"/>
              </w:rPr>
            </w:pPr>
            <w:r w:rsidRPr="0031130F">
              <w:rPr>
                <w:sz w:val="20"/>
                <w:szCs w:val="20"/>
              </w:rPr>
              <w:t>University of Washington</w:t>
            </w:r>
          </w:p>
          <w:p w:rsidRPr="0031130F" w:rsidR="006D7262" w:rsidRDefault="006D7262" w14:paraId="539C3D90" w14:textId="77777777">
            <w:pPr>
              <w:rPr>
                <w:sz w:val="20"/>
                <w:szCs w:val="20"/>
              </w:rPr>
            </w:pPr>
            <w:r w:rsidRPr="0031130F">
              <w:rPr>
                <w:sz w:val="20"/>
                <w:szCs w:val="20"/>
              </w:rPr>
              <w:t>Anonymous</w:t>
            </w:r>
          </w:p>
          <w:p w:rsidRPr="0031130F" w:rsidR="000573B1" w:rsidRDefault="000573B1" w14:paraId="44B8D514" w14:textId="77777777">
            <w:pPr>
              <w:rPr>
                <w:sz w:val="20"/>
                <w:szCs w:val="20"/>
              </w:rPr>
            </w:pPr>
            <w:r w:rsidRPr="0031130F">
              <w:rPr>
                <w:sz w:val="20"/>
                <w:szCs w:val="20"/>
              </w:rPr>
              <w:t>Peter Goss</w:t>
            </w:r>
          </w:p>
          <w:p w:rsidRPr="0031130F" w:rsidR="00552BF0" w:rsidRDefault="005A159B" w14:paraId="140F22DC" w14:textId="77777777">
            <w:pPr>
              <w:rPr>
                <w:sz w:val="20"/>
                <w:szCs w:val="20"/>
              </w:rPr>
            </w:pPr>
            <w:r w:rsidRPr="0031130F">
              <w:rPr>
                <w:sz w:val="20"/>
                <w:szCs w:val="20"/>
              </w:rPr>
              <w:t>Council on Governmental Relations – COGR</w:t>
            </w:r>
          </w:p>
          <w:p w:rsidRPr="0031130F" w:rsidR="00CD5513" w:rsidRDefault="00D4475B" w14:paraId="57672568" w14:textId="096D6861">
            <w:pPr>
              <w:rPr>
                <w:sz w:val="20"/>
                <w:szCs w:val="20"/>
              </w:rPr>
            </w:pPr>
            <w:r w:rsidRPr="0031130F">
              <w:rPr>
                <w:sz w:val="20"/>
                <w:szCs w:val="20"/>
              </w:rPr>
              <w:t>Dawn Geoppinger</w:t>
            </w:r>
          </w:p>
        </w:tc>
        <w:tc>
          <w:tcPr>
            <w:tcW w:w="7105" w:type="dxa"/>
          </w:tcPr>
          <w:p w:rsidRPr="00421C90" w:rsidR="00623B89" w:rsidRDefault="00C64AF8" w14:paraId="70FB5329" w14:textId="598E37D8">
            <w:pPr>
              <w:rPr>
                <w:sz w:val="20"/>
                <w:szCs w:val="20"/>
              </w:rPr>
            </w:pPr>
            <w:r w:rsidRPr="00421C90">
              <w:rPr>
                <w:sz w:val="20"/>
                <w:szCs w:val="20"/>
              </w:rPr>
              <w:t xml:space="preserve">Change. </w:t>
            </w:r>
            <w:r w:rsidRPr="00421C90" w:rsidR="00623B89">
              <w:rPr>
                <w:sz w:val="20"/>
                <w:szCs w:val="20"/>
              </w:rPr>
              <w:t xml:space="preserve">Burden estimates have been </w:t>
            </w:r>
            <w:r w:rsidRPr="00421C90" w:rsidR="00A71F87">
              <w:rPr>
                <w:sz w:val="20"/>
                <w:szCs w:val="20"/>
              </w:rPr>
              <w:t>increased</w:t>
            </w:r>
            <w:r w:rsidRPr="00421C90">
              <w:rPr>
                <w:sz w:val="20"/>
                <w:szCs w:val="20"/>
              </w:rPr>
              <w:t>. Th</w:t>
            </w:r>
            <w:r w:rsidRPr="00421C90" w:rsidR="00A71F87">
              <w:rPr>
                <w:sz w:val="20"/>
                <w:szCs w:val="20"/>
              </w:rPr>
              <w:t>e new</w:t>
            </w:r>
            <w:r w:rsidRPr="00421C90" w:rsidR="003D3141">
              <w:rPr>
                <w:sz w:val="20"/>
                <w:szCs w:val="20"/>
              </w:rPr>
              <w:t xml:space="preserve"> estimate is an average across all institutions and across each</w:t>
            </w:r>
            <w:r w:rsidRPr="00421C90" w:rsidR="004E7B4D">
              <w:rPr>
                <w:sz w:val="20"/>
                <w:szCs w:val="20"/>
              </w:rPr>
              <w:t xml:space="preserve"> year of reporting. </w:t>
            </w:r>
          </w:p>
        </w:tc>
      </w:tr>
      <w:tr w:rsidRPr="00E15EAE" w:rsidR="00623B89" w:rsidTr="001E1237" w14:paraId="1852CC35" w14:textId="77777777">
        <w:tc>
          <w:tcPr>
            <w:tcW w:w="4725" w:type="dxa"/>
          </w:tcPr>
          <w:p w:rsidRPr="00421C90" w:rsidR="00623B89" w:rsidRDefault="00623B89" w14:paraId="377DCE08" w14:textId="41F587C2">
            <w:pPr>
              <w:rPr>
                <w:b/>
                <w:bCs/>
                <w:sz w:val="20"/>
                <w:szCs w:val="20"/>
              </w:rPr>
            </w:pPr>
            <w:r w:rsidRPr="00421C90">
              <w:rPr>
                <w:sz w:val="20"/>
                <w:szCs w:val="20"/>
              </w:rPr>
              <w:t>Align measurement date of full-time equivalent (FTE) positions to IPEDS FTE measurement point (November 1) instead of September 30</w:t>
            </w:r>
          </w:p>
        </w:tc>
        <w:tc>
          <w:tcPr>
            <w:tcW w:w="1090" w:type="dxa"/>
          </w:tcPr>
          <w:p w:rsidRPr="00421C90" w:rsidR="00623B89" w:rsidRDefault="00623B89" w14:paraId="6DBAC231" w14:textId="1A1FBB12">
            <w:pPr>
              <w:rPr>
                <w:sz w:val="20"/>
                <w:szCs w:val="20"/>
              </w:rPr>
            </w:pPr>
            <w:r w:rsidRPr="00421C90">
              <w:rPr>
                <w:sz w:val="20"/>
                <w:szCs w:val="20"/>
              </w:rPr>
              <w:t>Q11</w:t>
            </w:r>
          </w:p>
        </w:tc>
        <w:tc>
          <w:tcPr>
            <w:tcW w:w="2280" w:type="dxa"/>
          </w:tcPr>
          <w:p w:rsidRPr="0031130F" w:rsidR="00623B89" w:rsidRDefault="00623B89" w14:paraId="00395F99" w14:textId="77777777">
            <w:pPr>
              <w:rPr>
                <w:sz w:val="20"/>
                <w:szCs w:val="20"/>
              </w:rPr>
            </w:pPr>
            <w:r w:rsidRPr="0031130F">
              <w:rPr>
                <w:sz w:val="20"/>
                <w:szCs w:val="20"/>
              </w:rPr>
              <w:t>ED-2021-SCC-0093-0047</w:t>
            </w:r>
          </w:p>
          <w:p w:rsidRPr="0031130F" w:rsidR="00623B89" w:rsidRDefault="00623B89" w14:paraId="56AABC3B" w14:textId="759080FA">
            <w:pPr>
              <w:rPr>
                <w:sz w:val="20"/>
                <w:szCs w:val="20"/>
              </w:rPr>
            </w:pPr>
            <w:r w:rsidRPr="0031130F">
              <w:rPr>
                <w:sz w:val="20"/>
                <w:szCs w:val="20"/>
              </w:rPr>
              <w:t>ED-2021-SCC-0093-0025</w:t>
            </w:r>
          </w:p>
          <w:p w:rsidRPr="0031130F" w:rsidR="00623B89" w:rsidRDefault="00623B89" w14:paraId="43B0ECC2" w14:textId="4AFE881B">
            <w:pPr>
              <w:rPr>
                <w:sz w:val="20"/>
                <w:szCs w:val="20"/>
              </w:rPr>
            </w:pPr>
          </w:p>
          <w:p w:rsidRPr="0031130F" w:rsidR="00623B89" w:rsidRDefault="00623B89" w14:paraId="7055CF1D" w14:textId="5AE2334F">
            <w:pPr>
              <w:rPr>
                <w:sz w:val="20"/>
                <w:szCs w:val="20"/>
              </w:rPr>
            </w:pPr>
          </w:p>
        </w:tc>
        <w:tc>
          <w:tcPr>
            <w:tcW w:w="2070" w:type="dxa"/>
          </w:tcPr>
          <w:p w:rsidRPr="0031130F" w:rsidR="00522A1B" w:rsidRDefault="00522A1B" w14:paraId="7AD01E00" w14:textId="58C5A9C2">
            <w:pPr>
              <w:rPr>
                <w:rFonts w:cs="Calibri"/>
                <w:sz w:val="20"/>
                <w:szCs w:val="20"/>
                <w:shd w:val="clear" w:color="auto" w:fill="FFFFFF"/>
              </w:rPr>
            </w:pPr>
            <w:r w:rsidRPr="0031130F">
              <w:rPr>
                <w:rFonts w:cs="Calibri"/>
                <w:sz w:val="20"/>
                <w:szCs w:val="20"/>
                <w:shd w:val="clear" w:color="auto" w:fill="FFFFFF"/>
              </w:rPr>
              <w:t>Illinois College</w:t>
            </w:r>
          </w:p>
        </w:tc>
        <w:tc>
          <w:tcPr>
            <w:tcW w:w="7105" w:type="dxa"/>
          </w:tcPr>
          <w:p w:rsidRPr="00421C90" w:rsidR="00623B89" w:rsidRDefault="00C64AF8" w14:paraId="26F76CF2" w14:textId="70CED0F9">
            <w:pPr>
              <w:rPr>
                <w:sz w:val="20"/>
                <w:szCs w:val="20"/>
              </w:rPr>
            </w:pPr>
            <w:r w:rsidRPr="00421C90">
              <w:rPr>
                <w:sz w:val="20"/>
                <w:szCs w:val="20"/>
              </w:rPr>
              <w:t>Change. The draft clarifies the November 1 measurement date.</w:t>
            </w:r>
          </w:p>
        </w:tc>
      </w:tr>
      <w:tr w:rsidRPr="00E15EAE" w:rsidR="00623B89" w:rsidTr="001E1237" w14:paraId="1EF7E620" w14:textId="77777777">
        <w:tc>
          <w:tcPr>
            <w:tcW w:w="4725" w:type="dxa"/>
          </w:tcPr>
          <w:p w:rsidRPr="00421C90" w:rsidR="00623B89" w:rsidRDefault="00623B89" w14:paraId="3B70DB1B" w14:textId="4933C4F0">
            <w:pPr>
              <w:rPr>
                <w:sz w:val="20"/>
                <w:szCs w:val="20"/>
              </w:rPr>
            </w:pPr>
            <w:r w:rsidRPr="00421C90">
              <w:rPr>
                <w:sz w:val="20"/>
                <w:szCs w:val="20"/>
              </w:rPr>
              <w:t>Instead of Likert scale questions about how much HEERF influenced changes to net price, change the response options to a range of increases in net prices (</w:t>
            </w:r>
            <w:r w:rsidRPr="00421C90" w:rsidR="005A7E36">
              <w:rPr>
                <w:sz w:val="20"/>
                <w:szCs w:val="20"/>
              </w:rPr>
              <w:t>e.g.,</w:t>
            </w:r>
            <w:r w:rsidRPr="00421C90">
              <w:rPr>
                <w:sz w:val="20"/>
                <w:szCs w:val="20"/>
              </w:rPr>
              <w:t xml:space="preserve"> “less than 1 percent”, etc.)”</w:t>
            </w:r>
          </w:p>
        </w:tc>
        <w:tc>
          <w:tcPr>
            <w:tcW w:w="1090" w:type="dxa"/>
          </w:tcPr>
          <w:p w:rsidRPr="00421C90" w:rsidR="00623B89" w:rsidRDefault="00623B89" w14:paraId="3C82CBF0" w14:textId="76954259">
            <w:pPr>
              <w:rPr>
                <w:sz w:val="20"/>
                <w:szCs w:val="20"/>
              </w:rPr>
            </w:pPr>
            <w:r w:rsidRPr="00421C90">
              <w:rPr>
                <w:sz w:val="20"/>
                <w:szCs w:val="20"/>
              </w:rPr>
              <w:t>Q4</w:t>
            </w:r>
          </w:p>
        </w:tc>
        <w:tc>
          <w:tcPr>
            <w:tcW w:w="2280" w:type="dxa"/>
          </w:tcPr>
          <w:p w:rsidRPr="0031130F" w:rsidR="00623B89" w:rsidRDefault="00623B89" w14:paraId="73926A14" w14:textId="2E9C5A5F">
            <w:pPr>
              <w:rPr>
                <w:sz w:val="20"/>
                <w:szCs w:val="20"/>
              </w:rPr>
            </w:pPr>
            <w:r w:rsidRPr="0031130F">
              <w:rPr>
                <w:sz w:val="20"/>
                <w:szCs w:val="20"/>
              </w:rPr>
              <w:t>ED-2021-SCC-0093-0040</w:t>
            </w:r>
          </w:p>
        </w:tc>
        <w:tc>
          <w:tcPr>
            <w:tcW w:w="2070" w:type="dxa"/>
          </w:tcPr>
          <w:p w:rsidRPr="0031130F" w:rsidR="00CD5513" w:rsidRDefault="00CD5513" w14:paraId="78C86691" w14:textId="10B0B40A">
            <w:pPr>
              <w:rPr>
                <w:sz w:val="20"/>
                <w:szCs w:val="20"/>
              </w:rPr>
            </w:pPr>
            <w:r w:rsidRPr="0031130F">
              <w:rPr>
                <w:sz w:val="20"/>
                <w:szCs w:val="20"/>
              </w:rPr>
              <w:t>NASFAA/NACUBO</w:t>
            </w:r>
          </w:p>
        </w:tc>
        <w:tc>
          <w:tcPr>
            <w:tcW w:w="7105" w:type="dxa"/>
          </w:tcPr>
          <w:p w:rsidRPr="00421C90" w:rsidR="00623B89" w:rsidRDefault="6D66BD58" w14:paraId="52FC8836" w14:textId="57C66F0F">
            <w:pPr>
              <w:rPr>
                <w:sz w:val="20"/>
                <w:szCs w:val="20"/>
              </w:rPr>
            </w:pPr>
            <w:r w:rsidRPr="00421C90">
              <w:rPr>
                <w:sz w:val="20"/>
                <w:szCs w:val="20"/>
              </w:rPr>
              <w:t xml:space="preserve">No change. The purpose of this question is not to understand </w:t>
            </w:r>
            <w:r w:rsidRPr="00421C90" w:rsidR="00C64C05">
              <w:rPr>
                <w:sz w:val="20"/>
                <w:szCs w:val="20"/>
              </w:rPr>
              <w:t xml:space="preserve">only </w:t>
            </w:r>
            <w:r w:rsidRPr="00421C90">
              <w:rPr>
                <w:sz w:val="20"/>
                <w:szCs w:val="20"/>
              </w:rPr>
              <w:t xml:space="preserve">changes in net price, </w:t>
            </w:r>
            <w:r w:rsidRPr="00421C90" w:rsidR="000E1BD8">
              <w:rPr>
                <w:sz w:val="20"/>
                <w:szCs w:val="20"/>
              </w:rPr>
              <w:t xml:space="preserve">but </w:t>
            </w:r>
            <w:r w:rsidRPr="00421C90">
              <w:rPr>
                <w:sz w:val="20"/>
                <w:szCs w:val="20"/>
              </w:rPr>
              <w:t>rather institutional opinions of whether HEERF was able to keep net prices from substantially changing during the pandemic. Understanding changes in net prices alone do not address this question because, for example, an institution could have no changes in net prices yet indicate that HEER</w:t>
            </w:r>
            <w:r w:rsidRPr="00421C90" w:rsidR="00FF2F24">
              <w:rPr>
                <w:sz w:val="20"/>
                <w:szCs w:val="20"/>
              </w:rPr>
              <w:t>F</w:t>
            </w:r>
            <w:r w:rsidRPr="00421C90">
              <w:rPr>
                <w:sz w:val="20"/>
                <w:szCs w:val="20"/>
              </w:rPr>
              <w:t xml:space="preserve"> was not influential in keeping net prices unchanged.</w:t>
            </w:r>
          </w:p>
        </w:tc>
      </w:tr>
      <w:tr w:rsidRPr="00E15EAE" w:rsidR="00623B89" w:rsidTr="001E1237" w14:paraId="67353F5A" w14:textId="77777777">
        <w:tc>
          <w:tcPr>
            <w:tcW w:w="4725" w:type="dxa"/>
          </w:tcPr>
          <w:p w:rsidRPr="00421C90" w:rsidR="00623B89" w:rsidRDefault="00623B89" w14:paraId="27441F16" w14:textId="5C461F77">
            <w:pPr>
              <w:rPr>
                <w:sz w:val="20"/>
                <w:szCs w:val="20"/>
              </w:rPr>
            </w:pPr>
            <w:r w:rsidRPr="00421C90">
              <w:rPr>
                <w:sz w:val="20"/>
                <w:szCs w:val="20"/>
              </w:rPr>
              <w:t>For institutional spending on Internet services, it’s not possible to allocate portions to students and faculty separately. As an example, extended Wi-Fi could have benefited both groups.</w:t>
            </w:r>
          </w:p>
        </w:tc>
        <w:tc>
          <w:tcPr>
            <w:tcW w:w="1090" w:type="dxa"/>
          </w:tcPr>
          <w:p w:rsidRPr="00421C90" w:rsidR="00623B89" w:rsidRDefault="00623B89" w14:paraId="444BB81A" w14:textId="0A383D8C">
            <w:pPr>
              <w:rPr>
                <w:sz w:val="20"/>
                <w:szCs w:val="20"/>
              </w:rPr>
            </w:pPr>
            <w:r w:rsidRPr="00421C90">
              <w:rPr>
                <w:sz w:val="20"/>
                <w:szCs w:val="20"/>
              </w:rPr>
              <w:t>Q9</w:t>
            </w:r>
          </w:p>
        </w:tc>
        <w:tc>
          <w:tcPr>
            <w:tcW w:w="2280" w:type="dxa"/>
          </w:tcPr>
          <w:p w:rsidRPr="0031130F" w:rsidR="00623B89" w:rsidRDefault="00623B89" w14:paraId="7B695113" w14:textId="06A10DCB">
            <w:pPr>
              <w:rPr>
                <w:sz w:val="20"/>
                <w:szCs w:val="20"/>
              </w:rPr>
            </w:pPr>
            <w:r w:rsidRPr="0031130F">
              <w:rPr>
                <w:sz w:val="20"/>
                <w:szCs w:val="20"/>
              </w:rPr>
              <w:t>ED-2021-SCC-0093-0007</w:t>
            </w:r>
          </w:p>
        </w:tc>
        <w:tc>
          <w:tcPr>
            <w:tcW w:w="2070" w:type="dxa"/>
          </w:tcPr>
          <w:p w:rsidRPr="0031130F" w:rsidR="006F614A" w:rsidRDefault="006F614A" w14:paraId="76351100" w14:textId="6489EB11">
            <w:pPr>
              <w:rPr>
                <w:sz w:val="20"/>
                <w:szCs w:val="20"/>
              </w:rPr>
            </w:pPr>
            <w:r w:rsidRPr="0031130F">
              <w:rPr>
                <w:sz w:val="20"/>
                <w:szCs w:val="20"/>
              </w:rPr>
              <w:t>Rebecca Barber</w:t>
            </w:r>
          </w:p>
        </w:tc>
        <w:tc>
          <w:tcPr>
            <w:tcW w:w="7105" w:type="dxa"/>
          </w:tcPr>
          <w:p w:rsidRPr="00421C90" w:rsidR="00623B89" w:rsidRDefault="00C64AF8" w14:paraId="12584E0D" w14:textId="33E869F1">
            <w:pPr>
              <w:rPr>
                <w:sz w:val="20"/>
                <w:szCs w:val="20"/>
              </w:rPr>
            </w:pPr>
            <w:r w:rsidRPr="00421C90">
              <w:rPr>
                <w:sz w:val="20"/>
                <w:szCs w:val="20"/>
              </w:rPr>
              <w:t>Change. The categories have been recombined.</w:t>
            </w:r>
          </w:p>
        </w:tc>
      </w:tr>
      <w:tr w:rsidRPr="00E15EAE" w:rsidR="00623B89" w:rsidTr="001E1237" w14:paraId="65032FA5" w14:textId="77777777">
        <w:tc>
          <w:tcPr>
            <w:tcW w:w="4725" w:type="dxa"/>
          </w:tcPr>
          <w:p w:rsidRPr="00421C90" w:rsidR="00623B89" w:rsidRDefault="00623B89" w14:paraId="56975007" w14:textId="7F539AE6">
            <w:pPr>
              <w:rPr>
                <w:sz w:val="20"/>
                <w:szCs w:val="20"/>
              </w:rPr>
            </w:pPr>
            <w:r w:rsidRPr="00421C90">
              <w:rPr>
                <w:sz w:val="20"/>
                <w:szCs w:val="20"/>
              </w:rPr>
              <w:t>Request that the Department ask institutions that received HEERF funds the following questions:</w:t>
            </w:r>
          </w:p>
          <w:p w:rsidRPr="00421C90" w:rsidR="00623B89" w:rsidRDefault="00623B89" w14:paraId="05E61003" w14:textId="456A67BC">
            <w:pPr>
              <w:rPr>
                <w:sz w:val="20"/>
                <w:szCs w:val="20"/>
              </w:rPr>
            </w:pPr>
            <w:r w:rsidRPr="00421C90">
              <w:rPr>
                <w:sz w:val="20"/>
                <w:szCs w:val="20"/>
              </w:rPr>
              <w:t>-If the institution received temporary approval from their accreditor to offer distance education programs.</w:t>
            </w:r>
          </w:p>
          <w:p w:rsidRPr="00421C90" w:rsidR="00623B89" w:rsidRDefault="00623B89" w14:paraId="6600F30B" w14:textId="1E1A6CA5">
            <w:pPr>
              <w:rPr>
                <w:sz w:val="20"/>
                <w:szCs w:val="20"/>
              </w:rPr>
            </w:pPr>
            <w:r w:rsidRPr="00421C90">
              <w:rPr>
                <w:sz w:val="20"/>
                <w:szCs w:val="20"/>
              </w:rPr>
              <w:t>-If the institution subsequently received permanent approval from their accreditor to offer distance education programs.</w:t>
            </w:r>
          </w:p>
          <w:p w:rsidRPr="00421C90" w:rsidR="00623B89" w:rsidRDefault="00623B89" w14:paraId="5F321907" w14:textId="76C6A525">
            <w:pPr>
              <w:rPr>
                <w:sz w:val="20"/>
                <w:szCs w:val="20"/>
              </w:rPr>
            </w:pPr>
            <w:r w:rsidRPr="00421C90">
              <w:rPr>
                <w:sz w:val="20"/>
                <w:szCs w:val="20"/>
              </w:rPr>
              <w:t>-The name of the institution's accreditor</w:t>
            </w:r>
          </w:p>
        </w:tc>
        <w:tc>
          <w:tcPr>
            <w:tcW w:w="1090" w:type="dxa"/>
          </w:tcPr>
          <w:p w:rsidRPr="00421C90" w:rsidR="00623B89" w:rsidRDefault="00623B89" w14:paraId="1FF6F996" w14:textId="47A02701">
            <w:pPr>
              <w:rPr>
                <w:sz w:val="20"/>
                <w:szCs w:val="20"/>
              </w:rPr>
            </w:pPr>
            <w:r w:rsidRPr="00421C90">
              <w:rPr>
                <w:sz w:val="20"/>
                <w:szCs w:val="20"/>
              </w:rPr>
              <w:t>N/A</w:t>
            </w:r>
          </w:p>
        </w:tc>
        <w:tc>
          <w:tcPr>
            <w:tcW w:w="2280" w:type="dxa"/>
          </w:tcPr>
          <w:p w:rsidRPr="0031130F" w:rsidR="00623B89" w:rsidRDefault="00623B89" w14:paraId="60D1B360" w14:textId="427BC738">
            <w:pPr>
              <w:rPr>
                <w:sz w:val="20"/>
                <w:szCs w:val="20"/>
              </w:rPr>
            </w:pPr>
            <w:r w:rsidRPr="0031130F">
              <w:rPr>
                <w:sz w:val="20"/>
                <w:szCs w:val="20"/>
              </w:rPr>
              <w:t>ED-2021-SCC-0093-0046</w:t>
            </w:r>
          </w:p>
        </w:tc>
        <w:tc>
          <w:tcPr>
            <w:tcW w:w="2070" w:type="dxa"/>
          </w:tcPr>
          <w:p w:rsidRPr="0031130F" w:rsidR="00943282" w:rsidRDefault="00943282" w14:paraId="11EA5044" w14:textId="52BF09E0">
            <w:pPr>
              <w:rPr>
                <w:sz w:val="20"/>
                <w:szCs w:val="20"/>
              </w:rPr>
            </w:pPr>
            <w:r w:rsidRPr="0031130F">
              <w:rPr>
                <w:sz w:val="20"/>
                <w:szCs w:val="20"/>
              </w:rPr>
              <w:t xml:space="preserve">Amy Laitinen, </w:t>
            </w:r>
            <w:r w:rsidRPr="0031130F" w:rsidR="00A256F4">
              <w:rPr>
                <w:sz w:val="20"/>
                <w:szCs w:val="20"/>
              </w:rPr>
              <w:t>New America</w:t>
            </w:r>
          </w:p>
        </w:tc>
        <w:tc>
          <w:tcPr>
            <w:tcW w:w="7105" w:type="dxa"/>
          </w:tcPr>
          <w:p w:rsidRPr="00421C90" w:rsidR="00623B89" w:rsidRDefault="000F2E03" w14:paraId="67DB5971" w14:textId="73AAC3FA">
            <w:pPr>
              <w:rPr>
                <w:sz w:val="20"/>
                <w:szCs w:val="20"/>
              </w:rPr>
            </w:pPr>
            <w:r w:rsidRPr="00421C90">
              <w:rPr>
                <w:sz w:val="20"/>
                <w:szCs w:val="20"/>
              </w:rPr>
              <w:t>C</w:t>
            </w:r>
            <w:r w:rsidRPr="00421C90" w:rsidR="00C64AF8">
              <w:rPr>
                <w:sz w:val="20"/>
                <w:szCs w:val="20"/>
              </w:rPr>
              <w:t xml:space="preserve">hange. </w:t>
            </w:r>
            <w:r w:rsidRPr="00421C90">
              <w:rPr>
                <w:sz w:val="20"/>
                <w:szCs w:val="20"/>
              </w:rPr>
              <w:t>Question included</w:t>
            </w:r>
            <w:r w:rsidRPr="00421C90" w:rsidR="00C64AF8">
              <w:rPr>
                <w:sz w:val="20"/>
                <w:szCs w:val="20"/>
              </w:rPr>
              <w:t>.</w:t>
            </w:r>
          </w:p>
        </w:tc>
      </w:tr>
      <w:tr w:rsidRPr="00E15EAE" w:rsidR="00623B89" w:rsidTr="001E1237" w14:paraId="56C93455" w14:textId="77777777">
        <w:tc>
          <w:tcPr>
            <w:tcW w:w="4725" w:type="dxa"/>
          </w:tcPr>
          <w:p w:rsidRPr="00421C90" w:rsidR="00623B89" w:rsidRDefault="00623B89" w14:paraId="60B4C02B" w14:textId="4BB9E9C6">
            <w:pPr>
              <w:rPr>
                <w:sz w:val="20"/>
                <w:szCs w:val="20"/>
              </w:rPr>
            </w:pPr>
            <w:r w:rsidRPr="00421C90">
              <w:rPr>
                <w:sz w:val="20"/>
                <w:szCs w:val="20"/>
              </w:rPr>
              <w:t xml:space="preserve">Institutional expenditure category should include funding to cover the cost of vaccine distribution. </w:t>
            </w:r>
          </w:p>
        </w:tc>
        <w:tc>
          <w:tcPr>
            <w:tcW w:w="1090" w:type="dxa"/>
          </w:tcPr>
          <w:p w:rsidRPr="00421C90" w:rsidR="00623B89" w:rsidRDefault="00623B89" w14:paraId="25EA69C3" w14:textId="30DA5584">
            <w:pPr>
              <w:rPr>
                <w:sz w:val="20"/>
                <w:szCs w:val="20"/>
              </w:rPr>
            </w:pPr>
            <w:r w:rsidRPr="00421C90">
              <w:rPr>
                <w:sz w:val="20"/>
                <w:szCs w:val="20"/>
              </w:rPr>
              <w:t>Q9</w:t>
            </w:r>
          </w:p>
        </w:tc>
        <w:tc>
          <w:tcPr>
            <w:tcW w:w="2280" w:type="dxa"/>
          </w:tcPr>
          <w:p w:rsidRPr="0031130F" w:rsidR="00623B89" w:rsidRDefault="00623B89" w14:paraId="113D1714" w14:textId="58A9CAD5">
            <w:pPr>
              <w:rPr>
                <w:sz w:val="20"/>
                <w:szCs w:val="20"/>
              </w:rPr>
            </w:pPr>
            <w:r w:rsidRPr="0031130F">
              <w:rPr>
                <w:sz w:val="20"/>
                <w:szCs w:val="20"/>
              </w:rPr>
              <w:t>ED-2021-SCC-0093-0007</w:t>
            </w:r>
          </w:p>
        </w:tc>
        <w:tc>
          <w:tcPr>
            <w:tcW w:w="2070" w:type="dxa"/>
          </w:tcPr>
          <w:p w:rsidRPr="0031130F" w:rsidR="005E25E2" w:rsidRDefault="005E25E2" w14:paraId="1EB9ECEF" w14:textId="016CAB68">
            <w:pPr>
              <w:rPr>
                <w:sz w:val="20"/>
                <w:szCs w:val="20"/>
              </w:rPr>
            </w:pPr>
            <w:r w:rsidRPr="0031130F">
              <w:rPr>
                <w:sz w:val="20"/>
                <w:szCs w:val="20"/>
              </w:rPr>
              <w:t>Rebecca Barber</w:t>
            </w:r>
          </w:p>
        </w:tc>
        <w:tc>
          <w:tcPr>
            <w:tcW w:w="7105" w:type="dxa"/>
          </w:tcPr>
          <w:p w:rsidRPr="00421C90" w:rsidR="00623B89" w:rsidRDefault="6D66BD58" w14:paraId="6FAB0B7E" w14:textId="25C18AE4">
            <w:pPr>
              <w:rPr>
                <w:sz w:val="20"/>
                <w:szCs w:val="20"/>
              </w:rPr>
            </w:pPr>
            <w:r w:rsidRPr="00421C90">
              <w:rPr>
                <w:sz w:val="20"/>
                <w:szCs w:val="20"/>
              </w:rPr>
              <w:t>No change. It</w:t>
            </w:r>
            <w:r w:rsidRPr="00421C90" w:rsidR="00D252DD">
              <w:rPr>
                <w:sz w:val="20"/>
                <w:szCs w:val="20"/>
              </w:rPr>
              <w:t xml:space="preserve"> i</w:t>
            </w:r>
            <w:r w:rsidRPr="00421C90">
              <w:rPr>
                <w:sz w:val="20"/>
                <w:szCs w:val="20"/>
              </w:rPr>
              <w:t>s not clear that institutions are tracking this separately.</w:t>
            </w:r>
            <w:r w:rsidRPr="00421C90" w:rsidR="00C64AF8">
              <w:rPr>
                <w:sz w:val="20"/>
                <w:szCs w:val="20"/>
              </w:rPr>
              <w:t xml:space="preserve"> However, we will make sure that it</w:t>
            </w:r>
            <w:r w:rsidRPr="00421C90" w:rsidR="0024724A">
              <w:rPr>
                <w:sz w:val="20"/>
                <w:szCs w:val="20"/>
              </w:rPr>
              <w:t xml:space="preserve"> i</w:t>
            </w:r>
            <w:r w:rsidRPr="00421C90" w:rsidR="00C64AF8">
              <w:rPr>
                <w:sz w:val="20"/>
                <w:szCs w:val="20"/>
              </w:rPr>
              <w:t>s clear that funding to cover the cost of vaccine distribution should not go under the campus safety and operations expenditure category.</w:t>
            </w:r>
          </w:p>
        </w:tc>
      </w:tr>
      <w:tr w:rsidRPr="00E15EAE" w:rsidR="00623B89" w:rsidTr="001E1237" w14:paraId="3BA61631" w14:textId="77777777">
        <w:tc>
          <w:tcPr>
            <w:tcW w:w="4725" w:type="dxa"/>
          </w:tcPr>
          <w:p w:rsidRPr="00421C90" w:rsidR="00623B89" w:rsidRDefault="00623B89" w14:paraId="7FE98A39" w14:textId="7C814BCA">
            <w:pPr>
              <w:rPr>
                <w:sz w:val="20"/>
                <w:szCs w:val="20"/>
              </w:rPr>
            </w:pPr>
            <w:r w:rsidRPr="00421C90">
              <w:rPr>
                <w:sz w:val="20"/>
                <w:szCs w:val="20"/>
              </w:rPr>
              <w:t xml:space="preserve">Institutional expenditure category should include indirect cost recovery/F&amp;A charged on the grants. </w:t>
            </w:r>
          </w:p>
        </w:tc>
        <w:tc>
          <w:tcPr>
            <w:tcW w:w="1090" w:type="dxa"/>
          </w:tcPr>
          <w:p w:rsidRPr="00421C90" w:rsidR="00623B89" w:rsidRDefault="00623B89" w14:paraId="5E156049" w14:textId="24B7E774">
            <w:pPr>
              <w:rPr>
                <w:sz w:val="20"/>
                <w:szCs w:val="20"/>
              </w:rPr>
            </w:pPr>
            <w:r w:rsidRPr="00421C90">
              <w:rPr>
                <w:sz w:val="20"/>
                <w:szCs w:val="20"/>
              </w:rPr>
              <w:t>Q9</w:t>
            </w:r>
          </w:p>
        </w:tc>
        <w:tc>
          <w:tcPr>
            <w:tcW w:w="2280" w:type="dxa"/>
          </w:tcPr>
          <w:p w:rsidRPr="0031130F" w:rsidR="00623B89" w:rsidRDefault="00623B89" w14:paraId="3D68BBBF" w14:textId="18B89099">
            <w:pPr>
              <w:rPr>
                <w:sz w:val="20"/>
                <w:szCs w:val="20"/>
              </w:rPr>
            </w:pPr>
            <w:r w:rsidRPr="0031130F">
              <w:rPr>
                <w:sz w:val="20"/>
                <w:szCs w:val="20"/>
              </w:rPr>
              <w:t>ED-2021-SCC-0093-0007</w:t>
            </w:r>
          </w:p>
        </w:tc>
        <w:tc>
          <w:tcPr>
            <w:tcW w:w="2070" w:type="dxa"/>
          </w:tcPr>
          <w:p w:rsidRPr="0031130F" w:rsidR="0018469D" w:rsidRDefault="0018469D" w14:paraId="1933C4C1" w14:textId="31337880">
            <w:pPr>
              <w:rPr>
                <w:sz w:val="20"/>
                <w:szCs w:val="20"/>
              </w:rPr>
            </w:pPr>
            <w:r w:rsidRPr="0031130F">
              <w:rPr>
                <w:sz w:val="20"/>
                <w:szCs w:val="20"/>
              </w:rPr>
              <w:t>Rebecca Barber</w:t>
            </w:r>
          </w:p>
        </w:tc>
        <w:tc>
          <w:tcPr>
            <w:tcW w:w="7105" w:type="dxa"/>
          </w:tcPr>
          <w:p w:rsidRPr="00421C90" w:rsidR="00623B89" w:rsidRDefault="00C64AF8" w14:paraId="75F75EC8" w14:textId="2CA88A61">
            <w:pPr>
              <w:rPr>
                <w:sz w:val="20"/>
                <w:szCs w:val="20"/>
              </w:rPr>
            </w:pPr>
            <w:r w:rsidRPr="00421C90">
              <w:rPr>
                <w:sz w:val="20"/>
                <w:szCs w:val="20"/>
              </w:rPr>
              <w:t xml:space="preserve">Change. Indirect </w:t>
            </w:r>
            <w:r w:rsidRPr="00421C90" w:rsidR="00E57B3B">
              <w:rPr>
                <w:sz w:val="20"/>
                <w:szCs w:val="20"/>
              </w:rPr>
              <w:t xml:space="preserve">and administrative </w:t>
            </w:r>
            <w:r w:rsidRPr="00421C90">
              <w:rPr>
                <w:sz w:val="20"/>
                <w:szCs w:val="20"/>
              </w:rPr>
              <w:t>cost category has been included.</w:t>
            </w:r>
          </w:p>
        </w:tc>
      </w:tr>
      <w:tr w:rsidRPr="00E15EAE" w:rsidR="00623B89" w:rsidTr="001E1237" w14:paraId="79749015" w14:textId="77777777">
        <w:tc>
          <w:tcPr>
            <w:tcW w:w="4725" w:type="dxa"/>
          </w:tcPr>
          <w:p w:rsidRPr="00421C90" w:rsidR="00623B89" w:rsidRDefault="00623B89" w14:paraId="123AE1C9" w14:textId="0CFA25C5">
            <w:pPr>
              <w:rPr>
                <w:sz w:val="20"/>
                <w:szCs w:val="20"/>
              </w:rPr>
            </w:pPr>
            <w:r w:rsidRPr="00421C90">
              <w:rPr>
                <w:sz w:val="20"/>
                <w:szCs w:val="20"/>
              </w:rPr>
              <w:lastRenderedPageBreak/>
              <w:t xml:space="preserve">Institutional expenditures </w:t>
            </w:r>
            <w:r w:rsidRPr="00421C90" w:rsidR="005B4CD4">
              <w:rPr>
                <w:sz w:val="20"/>
                <w:szCs w:val="20"/>
              </w:rPr>
              <w:t>are</w:t>
            </w:r>
            <w:r w:rsidRPr="00421C90">
              <w:rPr>
                <w:sz w:val="20"/>
                <w:szCs w:val="20"/>
              </w:rPr>
              <w:t xml:space="preserve"> overly burdensome and should not be tracked.</w:t>
            </w:r>
          </w:p>
        </w:tc>
        <w:tc>
          <w:tcPr>
            <w:tcW w:w="1090" w:type="dxa"/>
          </w:tcPr>
          <w:p w:rsidRPr="00421C90" w:rsidR="00623B89" w:rsidRDefault="00623B89" w14:paraId="77F4A6CB" w14:textId="084C918F">
            <w:pPr>
              <w:rPr>
                <w:sz w:val="20"/>
                <w:szCs w:val="20"/>
              </w:rPr>
            </w:pPr>
            <w:r w:rsidRPr="00421C90">
              <w:rPr>
                <w:sz w:val="20"/>
                <w:szCs w:val="20"/>
              </w:rPr>
              <w:t>Q9</w:t>
            </w:r>
          </w:p>
        </w:tc>
        <w:tc>
          <w:tcPr>
            <w:tcW w:w="2280" w:type="dxa"/>
          </w:tcPr>
          <w:p w:rsidRPr="0031130F" w:rsidR="00623B89" w:rsidRDefault="00623B89" w14:paraId="7FAFC496" w14:textId="4E190877">
            <w:pPr>
              <w:rPr>
                <w:sz w:val="20"/>
                <w:szCs w:val="20"/>
              </w:rPr>
            </w:pPr>
            <w:r w:rsidRPr="0031130F">
              <w:rPr>
                <w:sz w:val="20"/>
                <w:szCs w:val="20"/>
              </w:rPr>
              <w:t>ED-2021-SCC-0093-0009</w:t>
            </w:r>
          </w:p>
        </w:tc>
        <w:tc>
          <w:tcPr>
            <w:tcW w:w="2070" w:type="dxa"/>
          </w:tcPr>
          <w:p w:rsidRPr="0031130F" w:rsidR="00DA4FE9" w:rsidRDefault="00DA4FE9" w14:paraId="6D3A9DEA" w14:textId="4E36347C">
            <w:pPr>
              <w:rPr>
                <w:sz w:val="20"/>
                <w:szCs w:val="20"/>
              </w:rPr>
            </w:pPr>
            <w:r w:rsidRPr="0031130F">
              <w:rPr>
                <w:sz w:val="20"/>
                <w:szCs w:val="20"/>
              </w:rPr>
              <w:t>Cornerstone University</w:t>
            </w:r>
          </w:p>
        </w:tc>
        <w:tc>
          <w:tcPr>
            <w:tcW w:w="7105" w:type="dxa"/>
          </w:tcPr>
          <w:p w:rsidRPr="00421C90" w:rsidR="00623B89" w:rsidRDefault="00C64AF8" w14:paraId="15159EAA" w14:textId="73F3DB8D">
            <w:pPr>
              <w:rPr>
                <w:sz w:val="20"/>
                <w:szCs w:val="20"/>
              </w:rPr>
            </w:pPr>
            <w:r w:rsidRPr="00421C90">
              <w:rPr>
                <w:sz w:val="20"/>
                <w:szCs w:val="20"/>
              </w:rPr>
              <w:t xml:space="preserve">No change. </w:t>
            </w:r>
            <w:r w:rsidRPr="00421C90" w:rsidR="00623B89">
              <w:rPr>
                <w:sz w:val="20"/>
                <w:szCs w:val="20"/>
              </w:rPr>
              <w:t>Institutional expenditure reporting is needed to address legislative reporting requirements.</w:t>
            </w:r>
          </w:p>
        </w:tc>
      </w:tr>
      <w:tr w:rsidRPr="00E15EAE" w:rsidR="00623B89" w:rsidTr="001E1237" w14:paraId="52AF9255" w14:textId="77777777">
        <w:tc>
          <w:tcPr>
            <w:tcW w:w="4725" w:type="dxa"/>
          </w:tcPr>
          <w:p w:rsidRPr="00421C90" w:rsidR="00623B89" w:rsidRDefault="00623B89" w14:paraId="3C56354C" w14:textId="552C9948">
            <w:pPr>
              <w:rPr>
                <w:sz w:val="20"/>
                <w:szCs w:val="20"/>
              </w:rPr>
            </w:pPr>
            <w:r w:rsidRPr="00421C90">
              <w:rPr>
                <w:sz w:val="20"/>
                <w:szCs w:val="20"/>
              </w:rPr>
              <w:t>It’s not clear how to classify title IV eligible students especially for those students who change statuses throughout the reporting period</w:t>
            </w:r>
          </w:p>
        </w:tc>
        <w:tc>
          <w:tcPr>
            <w:tcW w:w="1090" w:type="dxa"/>
          </w:tcPr>
          <w:p w:rsidRPr="00421C90" w:rsidR="00623B89" w:rsidRDefault="00623B89" w14:paraId="524780D8" w14:textId="71D44949">
            <w:pPr>
              <w:rPr>
                <w:sz w:val="20"/>
                <w:szCs w:val="20"/>
              </w:rPr>
            </w:pPr>
            <w:r w:rsidRPr="00421C90">
              <w:rPr>
                <w:sz w:val="20"/>
                <w:szCs w:val="20"/>
              </w:rPr>
              <w:t>Q8</w:t>
            </w:r>
          </w:p>
        </w:tc>
        <w:tc>
          <w:tcPr>
            <w:tcW w:w="2280" w:type="dxa"/>
          </w:tcPr>
          <w:p w:rsidRPr="0031130F" w:rsidR="00623B89" w:rsidRDefault="00623B89" w14:paraId="1C26CF50" w14:textId="1E31E963">
            <w:pPr>
              <w:rPr>
                <w:sz w:val="20"/>
                <w:szCs w:val="20"/>
              </w:rPr>
            </w:pPr>
            <w:r w:rsidRPr="0031130F">
              <w:rPr>
                <w:sz w:val="20"/>
                <w:szCs w:val="20"/>
              </w:rPr>
              <w:t>ED-2021-SCC-0093-0012</w:t>
            </w:r>
          </w:p>
        </w:tc>
        <w:tc>
          <w:tcPr>
            <w:tcW w:w="2070" w:type="dxa"/>
          </w:tcPr>
          <w:p w:rsidRPr="0031130F" w:rsidR="00EA5D04" w:rsidRDefault="00EA5D04" w14:paraId="6F73B04E" w14:textId="40EA48E6">
            <w:pPr>
              <w:rPr>
                <w:sz w:val="20"/>
                <w:szCs w:val="20"/>
              </w:rPr>
            </w:pPr>
            <w:r w:rsidRPr="0031130F">
              <w:rPr>
                <w:sz w:val="20"/>
                <w:szCs w:val="20"/>
              </w:rPr>
              <w:t>Aims Community College</w:t>
            </w:r>
          </w:p>
        </w:tc>
        <w:tc>
          <w:tcPr>
            <w:tcW w:w="7105" w:type="dxa"/>
          </w:tcPr>
          <w:p w:rsidRPr="00421C90" w:rsidR="00623B89" w:rsidRDefault="00C64AF8" w14:paraId="17EBF8AC" w14:textId="29605398">
            <w:pPr>
              <w:rPr>
                <w:sz w:val="20"/>
                <w:szCs w:val="20"/>
              </w:rPr>
            </w:pPr>
            <w:r w:rsidRPr="00421C90">
              <w:rPr>
                <w:sz w:val="20"/>
                <w:szCs w:val="20"/>
              </w:rPr>
              <w:t xml:space="preserve">Change. </w:t>
            </w:r>
            <w:r w:rsidRPr="00421C90" w:rsidR="00623B89">
              <w:rPr>
                <w:sz w:val="20"/>
                <w:szCs w:val="20"/>
              </w:rPr>
              <w:t>Instructions have been updated to clarify that students should be classified as title IV eligible if they were determined to be title IV eligible at any point during the reporting period.</w:t>
            </w:r>
          </w:p>
        </w:tc>
      </w:tr>
      <w:tr w:rsidRPr="00E15EAE" w:rsidR="00623B89" w:rsidTr="001E1237" w14:paraId="3060243F" w14:textId="77777777">
        <w:tc>
          <w:tcPr>
            <w:tcW w:w="4725" w:type="dxa"/>
          </w:tcPr>
          <w:p w:rsidRPr="00421C90" w:rsidR="00623B89" w:rsidRDefault="00623B89" w14:paraId="19620320" w14:textId="120FAC47">
            <w:pPr>
              <w:rPr>
                <w:sz w:val="20"/>
                <w:szCs w:val="20"/>
              </w:rPr>
            </w:pPr>
            <w:r w:rsidRPr="00421C90">
              <w:rPr>
                <w:sz w:val="20"/>
                <w:szCs w:val="20"/>
              </w:rPr>
              <w:t>There's no information in the document about how to determine age (that is, at what point in time do we capture the student's age</w:t>
            </w:r>
            <w:r w:rsidRPr="00421C90" w:rsidR="00681872">
              <w:rPr>
                <w:sz w:val="20"/>
                <w:szCs w:val="20"/>
              </w:rPr>
              <w:t>)</w:t>
            </w:r>
          </w:p>
        </w:tc>
        <w:tc>
          <w:tcPr>
            <w:tcW w:w="1090" w:type="dxa"/>
          </w:tcPr>
          <w:p w:rsidRPr="00421C90" w:rsidR="00623B89" w:rsidRDefault="00623B89" w14:paraId="601E99D8" w14:textId="0A13E6E7">
            <w:pPr>
              <w:rPr>
                <w:sz w:val="20"/>
                <w:szCs w:val="20"/>
              </w:rPr>
            </w:pPr>
            <w:r w:rsidRPr="00421C90">
              <w:rPr>
                <w:sz w:val="20"/>
                <w:szCs w:val="20"/>
              </w:rPr>
              <w:t>Q8, 10</w:t>
            </w:r>
          </w:p>
        </w:tc>
        <w:tc>
          <w:tcPr>
            <w:tcW w:w="2280" w:type="dxa"/>
          </w:tcPr>
          <w:p w:rsidRPr="0031130F" w:rsidR="00623B89" w:rsidRDefault="00623B89" w14:paraId="45FF9934" w14:textId="4755D81A">
            <w:pPr>
              <w:rPr>
                <w:sz w:val="20"/>
                <w:szCs w:val="20"/>
              </w:rPr>
            </w:pPr>
            <w:r w:rsidRPr="0031130F">
              <w:rPr>
                <w:sz w:val="20"/>
                <w:szCs w:val="20"/>
              </w:rPr>
              <w:t>ED-2021-SCC-0093-0012</w:t>
            </w:r>
          </w:p>
          <w:p w:rsidRPr="0031130F" w:rsidR="00623B89" w:rsidRDefault="00623B89" w14:paraId="1100EEA7" w14:textId="7B15E274">
            <w:pPr>
              <w:rPr>
                <w:sz w:val="20"/>
                <w:szCs w:val="20"/>
              </w:rPr>
            </w:pPr>
            <w:r w:rsidRPr="0031130F">
              <w:rPr>
                <w:sz w:val="20"/>
                <w:szCs w:val="20"/>
              </w:rPr>
              <w:t>ED-2021-SCC-0093-0034</w:t>
            </w:r>
          </w:p>
        </w:tc>
        <w:tc>
          <w:tcPr>
            <w:tcW w:w="2070" w:type="dxa"/>
          </w:tcPr>
          <w:p w:rsidRPr="0031130F" w:rsidR="00C64AF8" w:rsidRDefault="00A377BA" w14:paraId="26907DED" w14:textId="77777777">
            <w:pPr>
              <w:rPr>
                <w:sz w:val="20"/>
                <w:szCs w:val="20"/>
              </w:rPr>
            </w:pPr>
            <w:r w:rsidRPr="0031130F">
              <w:rPr>
                <w:sz w:val="20"/>
                <w:szCs w:val="20"/>
              </w:rPr>
              <w:t>Regents of the University of Minnesota</w:t>
            </w:r>
          </w:p>
          <w:p w:rsidRPr="0031130F" w:rsidR="00A377BA" w:rsidRDefault="00DA55D0" w14:paraId="5DD465DD" w14:textId="0696B07F">
            <w:pPr>
              <w:rPr>
                <w:sz w:val="20"/>
                <w:szCs w:val="20"/>
              </w:rPr>
            </w:pPr>
            <w:r w:rsidRPr="0031130F">
              <w:rPr>
                <w:sz w:val="20"/>
                <w:szCs w:val="20"/>
              </w:rPr>
              <w:t>Aims Community College</w:t>
            </w:r>
          </w:p>
        </w:tc>
        <w:tc>
          <w:tcPr>
            <w:tcW w:w="7105" w:type="dxa"/>
          </w:tcPr>
          <w:p w:rsidRPr="00421C90" w:rsidR="00623B89" w:rsidRDefault="00C64AF8" w14:paraId="6BD047D2" w14:textId="32AB702D">
            <w:pPr>
              <w:rPr>
                <w:sz w:val="20"/>
                <w:szCs w:val="20"/>
              </w:rPr>
            </w:pPr>
            <w:r w:rsidRPr="00421C90">
              <w:rPr>
                <w:sz w:val="20"/>
                <w:szCs w:val="20"/>
              </w:rPr>
              <w:t xml:space="preserve">Change. </w:t>
            </w:r>
            <w:r w:rsidRPr="00421C90" w:rsidR="00623B89">
              <w:rPr>
                <w:sz w:val="20"/>
                <w:szCs w:val="20"/>
              </w:rPr>
              <w:t>The form has been updated to include further guidance on this. Institution</w:t>
            </w:r>
            <w:r w:rsidRPr="00421C90" w:rsidR="00985384">
              <w:rPr>
                <w:sz w:val="20"/>
                <w:szCs w:val="20"/>
              </w:rPr>
              <w:t>s</w:t>
            </w:r>
            <w:r w:rsidRPr="00421C90" w:rsidR="00623B89">
              <w:rPr>
                <w:sz w:val="20"/>
                <w:szCs w:val="20"/>
              </w:rPr>
              <w:t xml:space="preserve"> should follow IPEDS fall enrollment guidelines for when to capture a student’s age. For example, institutions operating on a traditional academic year calendar (semester, trimester, quarter, or 4-1-4) report Fall enrollment as of the institution's official fall reporting date or October 15. Institutions operating on a calendar that differs by program or that enrolls students on a continuous basis (referred to as program reporters) report Fall enrollment as students enrolled any time during the period August 1 and October 31.</w:t>
            </w:r>
          </w:p>
        </w:tc>
      </w:tr>
      <w:tr w:rsidRPr="00E15EAE" w:rsidR="00623B89" w:rsidTr="001E1237" w14:paraId="3D920189" w14:textId="77777777">
        <w:tc>
          <w:tcPr>
            <w:tcW w:w="4725" w:type="dxa"/>
          </w:tcPr>
          <w:p w:rsidRPr="00421C90" w:rsidR="00623B89" w:rsidRDefault="00623B89" w14:paraId="53D2D23C" w14:textId="614D3580">
            <w:pPr>
              <w:rPr>
                <w:sz w:val="20"/>
                <w:szCs w:val="20"/>
              </w:rPr>
            </w:pPr>
            <w:r w:rsidRPr="00421C90">
              <w:rPr>
                <w:sz w:val="20"/>
                <w:szCs w:val="20"/>
              </w:rPr>
              <w:t xml:space="preserve">How should students be classified in the gender category if students choose not to report or choose a non-binary gender identity? One institution commented that there is not an unknown option for gender in IPEDS and recommended that additional categories be added for gender. </w:t>
            </w:r>
          </w:p>
        </w:tc>
        <w:tc>
          <w:tcPr>
            <w:tcW w:w="1090" w:type="dxa"/>
          </w:tcPr>
          <w:p w:rsidRPr="00421C90" w:rsidR="00623B89" w:rsidRDefault="00623B89" w14:paraId="59D83B69" w14:textId="5392FF16">
            <w:pPr>
              <w:rPr>
                <w:sz w:val="20"/>
                <w:szCs w:val="20"/>
              </w:rPr>
            </w:pPr>
            <w:r w:rsidRPr="00421C90">
              <w:rPr>
                <w:sz w:val="20"/>
                <w:szCs w:val="20"/>
              </w:rPr>
              <w:t>Q8, 10</w:t>
            </w:r>
          </w:p>
        </w:tc>
        <w:tc>
          <w:tcPr>
            <w:tcW w:w="2280" w:type="dxa"/>
          </w:tcPr>
          <w:p w:rsidRPr="0031130F" w:rsidR="00623B89" w:rsidRDefault="00623B89" w14:paraId="7A4FA09F" w14:textId="02516E60">
            <w:pPr>
              <w:rPr>
                <w:sz w:val="20"/>
                <w:szCs w:val="20"/>
              </w:rPr>
            </w:pPr>
            <w:r w:rsidRPr="0031130F">
              <w:rPr>
                <w:sz w:val="20"/>
                <w:szCs w:val="20"/>
              </w:rPr>
              <w:t>ED-2021-SCC-0093-0012</w:t>
            </w:r>
          </w:p>
          <w:p w:rsidRPr="0031130F" w:rsidR="00623B89" w:rsidRDefault="00623B89" w14:paraId="576C0F66" w14:textId="1AECDB03">
            <w:pPr>
              <w:rPr>
                <w:sz w:val="20"/>
                <w:szCs w:val="20"/>
              </w:rPr>
            </w:pPr>
            <w:r w:rsidRPr="0031130F">
              <w:rPr>
                <w:sz w:val="20"/>
                <w:szCs w:val="20"/>
              </w:rPr>
              <w:t>ED-2021-SCC-0093-0045</w:t>
            </w:r>
          </w:p>
        </w:tc>
        <w:tc>
          <w:tcPr>
            <w:tcW w:w="2070" w:type="dxa"/>
          </w:tcPr>
          <w:p w:rsidRPr="0031130F" w:rsidR="00C64AF8" w:rsidRDefault="00FE07C3" w14:paraId="617B7792" w14:textId="77777777">
            <w:pPr>
              <w:rPr>
                <w:rFonts w:cs="Calibri"/>
                <w:sz w:val="20"/>
                <w:szCs w:val="20"/>
                <w:shd w:val="clear" w:color="auto" w:fill="FFFFFF"/>
              </w:rPr>
            </w:pPr>
            <w:r w:rsidRPr="0031130F">
              <w:rPr>
                <w:rFonts w:cs="Calibri"/>
                <w:sz w:val="20"/>
                <w:szCs w:val="20"/>
                <w:shd w:val="clear" w:color="auto" w:fill="FFFFFF"/>
              </w:rPr>
              <w:t>Harper College</w:t>
            </w:r>
          </w:p>
          <w:p w:rsidRPr="0031130F" w:rsidR="00FE07C3" w:rsidRDefault="00096A60" w14:paraId="6837C04D" w14:textId="5865E978">
            <w:pPr>
              <w:rPr>
                <w:rFonts w:cs="Calibri"/>
                <w:sz w:val="20"/>
                <w:szCs w:val="20"/>
                <w:shd w:val="clear" w:color="auto" w:fill="FFFFFF"/>
              </w:rPr>
            </w:pPr>
            <w:r w:rsidRPr="0031130F">
              <w:rPr>
                <w:sz w:val="20"/>
                <w:szCs w:val="20"/>
              </w:rPr>
              <w:t>Aims Community College</w:t>
            </w:r>
          </w:p>
        </w:tc>
        <w:tc>
          <w:tcPr>
            <w:tcW w:w="7105" w:type="dxa"/>
          </w:tcPr>
          <w:p w:rsidRPr="00421C90" w:rsidR="00623B89" w:rsidRDefault="00C64AF8" w14:paraId="6797973E" w14:textId="3A113173">
            <w:pPr>
              <w:rPr>
                <w:sz w:val="20"/>
                <w:szCs w:val="20"/>
              </w:rPr>
            </w:pPr>
            <w:r w:rsidRPr="00421C90">
              <w:rPr>
                <w:sz w:val="20"/>
                <w:szCs w:val="20"/>
              </w:rPr>
              <w:t xml:space="preserve">No change. </w:t>
            </w:r>
            <w:r w:rsidRPr="00421C90" w:rsidR="00623B89">
              <w:rPr>
                <w:sz w:val="20"/>
                <w:szCs w:val="20"/>
              </w:rPr>
              <w:t xml:space="preserve">Using consistent IPEDS methodology reduces burden so that institutions </w:t>
            </w:r>
            <w:r w:rsidRPr="00421C90" w:rsidR="00D8168D">
              <w:rPr>
                <w:sz w:val="20"/>
                <w:szCs w:val="20"/>
              </w:rPr>
              <w:t xml:space="preserve">that </w:t>
            </w:r>
            <w:r w:rsidRPr="00421C90" w:rsidR="00623B89">
              <w:rPr>
                <w:sz w:val="20"/>
                <w:szCs w:val="20"/>
              </w:rPr>
              <w:t xml:space="preserve">do not have alternative gender designations will not need to collect information on students using different categories. To the extent that IPEDS does not have non-binary gender categories, institutions should use consistent methodology to however students are categorized in corresponding IPEDS reports. </w:t>
            </w:r>
          </w:p>
        </w:tc>
      </w:tr>
      <w:tr w:rsidRPr="00E15EAE" w:rsidR="00623B89" w:rsidTr="001E1237" w14:paraId="5C9BC5CD" w14:textId="77777777">
        <w:tc>
          <w:tcPr>
            <w:tcW w:w="4725" w:type="dxa"/>
          </w:tcPr>
          <w:p w:rsidRPr="00421C90" w:rsidR="00623B89" w:rsidRDefault="00623B89" w14:paraId="771C06F1" w14:textId="77777777">
            <w:pPr>
              <w:rPr>
                <w:sz w:val="20"/>
                <w:szCs w:val="20"/>
              </w:rPr>
            </w:pPr>
            <w:r w:rsidRPr="00421C90">
              <w:rPr>
                <w:sz w:val="20"/>
                <w:szCs w:val="20"/>
              </w:rPr>
              <w:t>It’s awkward for institutions to report using a calendar year reporting period instead of an award year or academic year.</w:t>
            </w:r>
          </w:p>
          <w:p w:rsidRPr="00421C90" w:rsidR="00623B89" w:rsidRDefault="00623B89" w14:paraId="75A9DDB0" w14:textId="77777777">
            <w:pPr>
              <w:rPr>
                <w:sz w:val="20"/>
                <w:szCs w:val="20"/>
              </w:rPr>
            </w:pPr>
          </w:p>
          <w:p w:rsidRPr="00421C90" w:rsidR="00623B89" w:rsidRDefault="00623B89" w14:paraId="7982E48D" w14:textId="727BDB4C">
            <w:pPr>
              <w:rPr>
                <w:sz w:val="20"/>
                <w:szCs w:val="20"/>
              </w:rPr>
            </w:pPr>
            <w:r w:rsidRPr="00421C90">
              <w:rPr>
                <w:sz w:val="20"/>
                <w:szCs w:val="20"/>
              </w:rPr>
              <w:t>The reporting period for this student data should be reflective of the semesters</w:t>
            </w:r>
            <w:r w:rsidRPr="00421C90" w:rsidR="00DB64A5">
              <w:rPr>
                <w:sz w:val="20"/>
                <w:szCs w:val="20"/>
              </w:rPr>
              <w:t xml:space="preserve"> </w:t>
            </w:r>
            <w:r w:rsidRPr="00421C90">
              <w:rPr>
                <w:sz w:val="20"/>
                <w:szCs w:val="20"/>
              </w:rPr>
              <w:t>that fit into a calendar year (for example; Spring, Summer and Fall semesters) and not by calendar year dates (for example; January 1 – December 31). Further, institutions should be allowed to use</w:t>
            </w:r>
            <w:r w:rsidRPr="00421C90" w:rsidR="00DB64A5">
              <w:rPr>
                <w:sz w:val="20"/>
                <w:szCs w:val="20"/>
              </w:rPr>
              <w:t xml:space="preserve"> </w:t>
            </w:r>
            <w:r w:rsidRPr="00421C90">
              <w:rPr>
                <w:sz w:val="20"/>
                <w:szCs w:val="20"/>
              </w:rPr>
              <w:t>their existing methodology to determine the timing as to when to compile the data in any given</w:t>
            </w:r>
          </w:p>
          <w:p w:rsidRPr="00421C90" w:rsidR="00623B89" w:rsidRDefault="00623B89" w14:paraId="1EE710EE" w14:textId="2D86F3EE">
            <w:pPr>
              <w:rPr>
                <w:sz w:val="20"/>
                <w:szCs w:val="20"/>
              </w:rPr>
            </w:pPr>
            <w:r w:rsidRPr="00421C90">
              <w:rPr>
                <w:sz w:val="20"/>
                <w:szCs w:val="20"/>
              </w:rPr>
              <w:t>semester.</w:t>
            </w:r>
          </w:p>
        </w:tc>
        <w:tc>
          <w:tcPr>
            <w:tcW w:w="1090" w:type="dxa"/>
          </w:tcPr>
          <w:p w:rsidRPr="00421C90" w:rsidR="00623B89" w:rsidRDefault="00623B89" w14:paraId="21814158" w14:textId="6CF77229">
            <w:pPr>
              <w:rPr>
                <w:sz w:val="20"/>
                <w:szCs w:val="20"/>
              </w:rPr>
            </w:pPr>
            <w:r w:rsidRPr="00421C90">
              <w:rPr>
                <w:sz w:val="20"/>
                <w:szCs w:val="20"/>
              </w:rPr>
              <w:t>All</w:t>
            </w:r>
          </w:p>
        </w:tc>
        <w:tc>
          <w:tcPr>
            <w:tcW w:w="2280" w:type="dxa"/>
          </w:tcPr>
          <w:p w:rsidRPr="0031130F" w:rsidR="00623B89" w:rsidRDefault="00623B89" w14:paraId="2CC9F3FB" w14:textId="77777777">
            <w:pPr>
              <w:rPr>
                <w:sz w:val="20"/>
                <w:szCs w:val="20"/>
              </w:rPr>
            </w:pPr>
            <w:r w:rsidRPr="0031130F">
              <w:rPr>
                <w:sz w:val="20"/>
                <w:szCs w:val="20"/>
              </w:rPr>
              <w:t>ED-2021-SCC-0093-0012</w:t>
            </w:r>
          </w:p>
          <w:p w:rsidRPr="0031130F" w:rsidR="00623B89" w:rsidRDefault="00623B89" w14:paraId="16C36322" w14:textId="77777777">
            <w:pPr>
              <w:rPr>
                <w:sz w:val="20"/>
                <w:szCs w:val="20"/>
              </w:rPr>
            </w:pPr>
            <w:r w:rsidRPr="0031130F">
              <w:rPr>
                <w:sz w:val="20"/>
                <w:szCs w:val="20"/>
              </w:rPr>
              <w:t>ED-2021-SCC-0093-0034</w:t>
            </w:r>
          </w:p>
          <w:p w:rsidRPr="0031130F" w:rsidR="00623B89" w:rsidRDefault="00623B89" w14:paraId="0AE3AB32" w14:textId="77777777">
            <w:pPr>
              <w:rPr>
                <w:sz w:val="20"/>
                <w:szCs w:val="20"/>
              </w:rPr>
            </w:pPr>
            <w:r w:rsidRPr="0031130F">
              <w:rPr>
                <w:sz w:val="20"/>
                <w:szCs w:val="20"/>
              </w:rPr>
              <w:t>ED-2021-SCC-0093-0027</w:t>
            </w:r>
          </w:p>
          <w:p w:rsidRPr="0031130F" w:rsidR="00623B89" w:rsidRDefault="00623B89" w14:paraId="76B4A05C" w14:textId="4F446721">
            <w:pPr>
              <w:rPr>
                <w:sz w:val="20"/>
                <w:szCs w:val="20"/>
              </w:rPr>
            </w:pPr>
            <w:r w:rsidRPr="0031130F">
              <w:rPr>
                <w:sz w:val="20"/>
                <w:szCs w:val="20"/>
              </w:rPr>
              <w:t>ED-2021-SCC-0093-0040</w:t>
            </w:r>
          </w:p>
        </w:tc>
        <w:tc>
          <w:tcPr>
            <w:tcW w:w="2070" w:type="dxa"/>
          </w:tcPr>
          <w:p w:rsidRPr="0031130F" w:rsidR="00C64AF8" w:rsidRDefault="00CD5513" w14:paraId="05B57D77" w14:textId="77777777">
            <w:pPr>
              <w:rPr>
                <w:sz w:val="20"/>
                <w:szCs w:val="20"/>
              </w:rPr>
            </w:pPr>
            <w:r w:rsidRPr="0031130F">
              <w:rPr>
                <w:sz w:val="20"/>
                <w:szCs w:val="20"/>
              </w:rPr>
              <w:t>NASFAA/NACUBO</w:t>
            </w:r>
          </w:p>
          <w:p w:rsidRPr="0031130F" w:rsidR="00CD5513" w:rsidRDefault="00096A60" w14:paraId="6261346A" w14:textId="57D74F12">
            <w:pPr>
              <w:rPr>
                <w:sz w:val="20"/>
                <w:szCs w:val="20"/>
              </w:rPr>
            </w:pPr>
            <w:r w:rsidRPr="0031130F">
              <w:rPr>
                <w:sz w:val="20"/>
                <w:szCs w:val="20"/>
              </w:rPr>
              <w:t>Aims Community College</w:t>
            </w:r>
          </w:p>
        </w:tc>
        <w:tc>
          <w:tcPr>
            <w:tcW w:w="7105" w:type="dxa"/>
          </w:tcPr>
          <w:p w:rsidRPr="00421C90" w:rsidR="00623B89" w:rsidRDefault="0068341C" w14:paraId="0A78EFFF" w14:textId="2B908593">
            <w:pPr>
              <w:rPr>
                <w:sz w:val="20"/>
                <w:szCs w:val="20"/>
              </w:rPr>
            </w:pPr>
            <w:r w:rsidRPr="00421C90">
              <w:rPr>
                <w:sz w:val="20"/>
                <w:szCs w:val="20"/>
              </w:rPr>
              <w:t xml:space="preserve">No change. </w:t>
            </w:r>
            <w:r w:rsidRPr="00421C90" w:rsidR="00623B89">
              <w:rPr>
                <w:sz w:val="20"/>
                <w:szCs w:val="20"/>
              </w:rPr>
              <w:t xml:space="preserve">Acknowledged that there are advantages to academic year reporting periods. However, decisions to use a calendar year were </w:t>
            </w:r>
            <w:r w:rsidRPr="00421C90" w:rsidR="00EF7EE7">
              <w:rPr>
                <w:sz w:val="20"/>
                <w:szCs w:val="20"/>
              </w:rPr>
              <w:t xml:space="preserve">based on </w:t>
            </w:r>
            <w:r w:rsidRPr="00421C90" w:rsidR="00A5501B">
              <w:rPr>
                <w:sz w:val="20"/>
                <w:szCs w:val="20"/>
              </w:rPr>
              <w:t xml:space="preserve">historical reasons </w:t>
            </w:r>
            <w:r w:rsidRPr="00421C90" w:rsidR="00623B89">
              <w:rPr>
                <w:sz w:val="20"/>
                <w:szCs w:val="20"/>
              </w:rPr>
              <w:t>(prior to enactment of HEERF II and III) and</w:t>
            </w:r>
            <w:r w:rsidRPr="00421C90" w:rsidR="00A5501B">
              <w:rPr>
                <w:sz w:val="20"/>
                <w:szCs w:val="20"/>
              </w:rPr>
              <w:t xml:space="preserve"> </w:t>
            </w:r>
            <w:r w:rsidRPr="00421C90">
              <w:rPr>
                <w:sz w:val="20"/>
                <w:szCs w:val="20"/>
              </w:rPr>
              <w:t>to</w:t>
            </w:r>
            <w:r w:rsidRPr="00421C90" w:rsidR="00EE79AD">
              <w:rPr>
                <w:sz w:val="20"/>
                <w:szCs w:val="20"/>
              </w:rPr>
              <w:t xml:space="preserve"> maintain consisten</w:t>
            </w:r>
            <w:r w:rsidRPr="00421C90">
              <w:rPr>
                <w:sz w:val="20"/>
                <w:szCs w:val="20"/>
              </w:rPr>
              <w:t>cy and</w:t>
            </w:r>
            <w:r w:rsidRPr="00421C90" w:rsidR="00EE79AD">
              <w:rPr>
                <w:sz w:val="20"/>
                <w:szCs w:val="20"/>
              </w:rPr>
              <w:t xml:space="preserve"> coverage, </w:t>
            </w:r>
            <w:r w:rsidRPr="00421C90" w:rsidR="00623B89">
              <w:rPr>
                <w:sz w:val="20"/>
                <w:szCs w:val="20"/>
              </w:rPr>
              <w:t>the draft data collection process continues to be on a calendar year basis.</w:t>
            </w:r>
          </w:p>
        </w:tc>
      </w:tr>
      <w:tr w:rsidRPr="00E15EAE" w:rsidR="00623B89" w:rsidTr="001E1237" w14:paraId="1CF4DDF3" w14:textId="77777777">
        <w:tc>
          <w:tcPr>
            <w:tcW w:w="4725" w:type="dxa"/>
          </w:tcPr>
          <w:p w:rsidRPr="00421C90" w:rsidR="00623B89" w:rsidRDefault="00623B89" w14:paraId="676F736F" w14:textId="348FC11F">
            <w:pPr>
              <w:rPr>
                <w:sz w:val="20"/>
                <w:szCs w:val="20"/>
              </w:rPr>
            </w:pPr>
            <w:r w:rsidRPr="00421C90">
              <w:rPr>
                <w:sz w:val="20"/>
                <w:szCs w:val="20"/>
              </w:rPr>
              <w:t>Typically, retention/graduation rates are reported based on cohorts of students.</w:t>
            </w:r>
          </w:p>
        </w:tc>
        <w:tc>
          <w:tcPr>
            <w:tcW w:w="1090" w:type="dxa"/>
          </w:tcPr>
          <w:p w:rsidRPr="00421C90" w:rsidR="00623B89" w:rsidRDefault="00623B89" w14:paraId="39AC61A9" w14:textId="0530962C">
            <w:pPr>
              <w:rPr>
                <w:sz w:val="20"/>
                <w:szCs w:val="20"/>
              </w:rPr>
            </w:pPr>
            <w:r w:rsidRPr="00421C90">
              <w:rPr>
                <w:sz w:val="20"/>
                <w:szCs w:val="20"/>
              </w:rPr>
              <w:t>Q10</w:t>
            </w:r>
          </w:p>
        </w:tc>
        <w:tc>
          <w:tcPr>
            <w:tcW w:w="2280" w:type="dxa"/>
          </w:tcPr>
          <w:p w:rsidRPr="0031130F" w:rsidR="00623B89" w:rsidRDefault="00623B89" w14:paraId="252B5F4C" w14:textId="0EE00708">
            <w:pPr>
              <w:rPr>
                <w:sz w:val="20"/>
                <w:szCs w:val="20"/>
              </w:rPr>
            </w:pPr>
            <w:r w:rsidRPr="0031130F">
              <w:rPr>
                <w:sz w:val="20"/>
                <w:szCs w:val="20"/>
              </w:rPr>
              <w:t>ED-2021-SCC-0093-0012</w:t>
            </w:r>
          </w:p>
        </w:tc>
        <w:tc>
          <w:tcPr>
            <w:tcW w:w="2070" w:type="dxa"/>
          </w:tcPr>
          <w:p w:rsidRPr="0031130F" w:rsidR="00DC4F65" w:rsidRDefault="00DC4F65" w14:paraId="03DDAB05" w14:textId="3B9754C8">
            <w:pPr>
              <w:rPr>
                <w:sz w:val="20"/>
                <w:szCs w:val="20"/>
              </w:rPr>
            </w:pPr>
            <w:r w:rsidRPr="0031130F">
              <w:rPr>
                <w:sz w:val="20"/>
                <w:szCs w:val="20"/>
              </w:rPr>
              <w:t>Aims Community College</w:t>
            </w:r>
          </w:p>
        </w:tc>
        <w:tc>
          <w:tcPr>
            <w:tcW w:w="7105" w:type="dxa"/>
          </w:tcPr>
          <w:p w:rsidRPr="00421C90" w:rsidR="00623B89" w:rsidRDefault="00C64AF8" w14:paraId="0BF3A45B" w14:textId="1498E8A0">
            <w:pPr>
              <w:rPr>
                <w:sz w:val="20"/>
                <w:szCs w:val="20"/>
              </w:rPr>
            </w:pPr>
            <w:r w:rsidRPr="00421C90">
              <w:rPr>
                <w:sz w:val="20"/>
                <w:szCs w:val="20"/>
              </w:rPr>
              <w:t xml:space="preserve">No change. </w:t>
            </w:r>
            <w:r w:rsidRPr="00421C90" w:rsidR="00623B89">
              <w:rPr>
                <w:sz w:val="20"/>
                <w:szCs w:val="20"/>
              </w:rPr>
              <w:t>Rather than what</w:t>
            </w:r>
            <w:r w:rsidRPr="00421C90" w:rsidR="00A01A4A">
              <w:rPr>
                <w:sz w:val="20"/>
                <w:szCs w:val="20"/>
              </w:rPr>
              <w:t xml:space="preserve"> i</w:t>
            </w:r>
            <w:r w:rsidRPr="00421C90" w:rsidR="00623B89">
              <w:rPr>
                <w:sz w:val="20"/>
                <w:szCs w:val="20"/>
              </w:rPr>
              <w:t>s captured using a cohort-based model, Q10 looks to capture whether students (regardless of academic level) during the pandemic were able to stay in school or graduate.</w:t>
            </w:r>
          </w:p>
        </w:tc>
      </w:tr>
      <w:tr w:rsidRPr="00E15EAE" w:rsidR="00623B89" w:rsidTr="001E1237" w14:paraId="699E57A9" w14:textId="77777777">
        <w:tc>
          <w:tcPr>
            <w:tcW w:w="4725" w:type="dxa"/>
          </w:tcPr>
          <w:p w:rsidRPr="00421C90" w:rsidR="00623B89" w:rsidRDefault="00623B89" w14:paraId="0E96D83A" w14:textId="1270DC48">
            <w:pPr>
              <w:rPr>
                <w:sz w:val="20"/>
                <w:szCs w:val="20"/>
              </w:rPr>
            </w:pPr>
            <w:r w:rsidRPr="00421C90">
              <w:rPr>
                <w:sz w:val="20"/>
                <w:szCs w:val="20"/>
              </w:rPr>
              <w:t>Question</w:t>
            </w:r>
            <w:r w:rsidRPr="00421C90" w:rsidR="00A47434">
              <w:rPr>
                <w:sz w:val="20"/>
                <w:szCs w:val="20"/>
              </w:rPr>
              <w:t>s</w:t>
            </w:r>
            <w:r w:rsidRPr="00421C90">
              <w:rPr>
                <w:sz w:val="20"/>
                <w:szCs w:val="20"/>
              </w:rPr>
              <w:t xml:space="preserve"> should be more aligned with</w:t>
            </w:r>
            <w:r w:rsidRPr="0031130F">
              <w:rPr>
                <w:sz w:val="20"/>
                <w:szCs w:val="20"/>
              </w:rPr>
              <w:t xml:space="preserve"> </w:t>
            </w:r>
            <w:r w:rsidRPr="00421C90">
              <w:rPr>
                <w:sz w:val="20"/>
                <w:szCs w:val="20"/>
              </w:rPr>
              <w:t>IPEDS</w:t>
            </w:r>
          </w:p>
        </w:tc>
        <w:tc>
          <w:tcPr>
            <w:tcW w:w="1090" w:type="dxa"/>
          </w:tcPr>
          <w:p w:rsidRPr="00421C90" w:rsidR="00623B89" w:rsidRDefault="00623B89" w14:paraId="4BF1CFBC" w14:textId="154419F3">
            <w:pPr>
              <w:rPr>
                <w:sz w:val="20"/>
                <w:szCs w:val="20"/>
              </w:rPr>
            </w:pPr>
            <w:r w:rsidRPr="00421C90">
              <w:rPr>
                <w:sz w:val="20"/>
                <w:szCs w:val="20"/>
              </w:rPr>
              <w:t>All</w:t>
            </w:r>
          </w:p>
        </w:tc>
        <w:tc>
          <w:tcPr>
            <w:tcW w:w="2280" w:type="dxa"/>
          </w:tcPr>
          <w:p w:rsidRPr="0031130F" w:rsidR="00623B89" w:rsidRDefault="00623B89" w14:paraId="16BB2EA6" w14:textId="3633CE1E">
            <w:pPr>
              <w:rPr>
                <w:sz w:val="20"/>
                <w:szCs w:val="20"/>
              </w:rPr>
            </w:pPr>
            <w:bookmarkStart w:name="OLE_LINK2" w:id="0"/>
            <w:r w:rsidRPr="0031130F">
              <w:rPr>
                <w:sz w:val="20"/>
                <w:szCs w:val="20"/>
              </w:rPr>
              <w:t>ED-2021-SCC-0093-0012</w:t>
            </w:r>
            <w:bookmarkEnd w:id="0"/>
          </w:p>
        </w:tc>
        <w:tc>
          <w:tcPr>
            <w:tcW w:w="2070" w:type="dxa"/>
          </w:tcPr>
          <w:p w:rsidRPr="0031130F" w:rsidR="00DC4F65" w:rsidRDefault="00DC4F65" w14:paraId="0BA3B58F" w14:textId="694FBBC4">
            <w:pPr>
              <w:rPr>
                <w:sz w:val="20"/>
                <w:szCs w:val="20"/>
              </w:rPr>
            </w:pPr>
            <w:r w:rsidRPr="0031130F">
              <w:rPr>
                <w:sz w:val="20"/>
                <w:szCs w:val="20"/>
              </w:rPr>
              <w:t>Aims Community College</w:t>
            </w:r>
          </w:p>
        </w:tc>
        <w:tc>
          <w:tcPr>
            <w:tcW w:w="7105" w:type="dxa"/>
          </w:tcPr>
          <w:p w:rsidRPr="00421C90" w:rsidR="00623B89" w:rsidRDefault="00C64AF8" w14:paraId="25F9577F" w14:textId="2AF2CBA9">
            <w:pPr>
              <w:rPr>
                <w:sz w:val="20"/>
                <w:szCs w:val="20"/>
              </w:rPr>
            </w:pPr>
            <w:r w:rsidRPr="00421C90">
              <w:rPr>
                <w:sz w:val="20"/>
                <w:szCs w:val="20"/>
              </w:rPr>
              <w:t xml:space="preserve">Change. </w:t>
            </w:r>
            <w:r w:rsidRPr="00421C90" w:rsidR="00623B89">
              <w:rPr>
                <w:sz w:val="20"/>
                <w:szCs w:val="20"/>
              </w:rPr>
              <w:t>To the extent possible, this form aligns with IPEDS practices such as age and gender categorizations, etc.</w:t>
            </w:r>
            <w:r w:rsidRPr="00421C90">
              <w:rPr>
                <w:sz w:val="20"/>
                <w:szCs w:val="20"/>
              </w:rPr>
              <w:t xml:space="preserve"> </w:t>
            </w:r>
            <w:r w:rsidRPr="00421C90" w:rsidR="00A01A4A">
              <w:rPr>
                <w:sz w:val="20"/>
                <w:szCs w:val="20"/>
              </w:rPr>
              <w:t>F</w:t>
            </w:r>
            <w:r w:rsidRPr="00421C90">
              <w:rPr>
                <w:sz w:val="20"/>
                <w:szCs w:val="20"/>
              </w:rPr>
              <w:t>or example, based on comments the FTE positions question was changed to align with the IPEDS measurement date.</w:t>
            </w:r>
          </w:p>
        </w:tc>
      </w:tr>
      <w:tr w:rsidRPr="00E15EAE" w:rsidR="00623B89" w:rsidTr="001E1237" w14:paraId="4B311CB2" w14:textId="77777777">
        <w:tc>
          <w:tcPr>
            <w:tcW w:w="4725" w:type="dxa"/>
          </w:tcPr>
          <w:p w:rsidRPr="00421C90" w:rsidR="00623B89" w:rsidRDefault="00623B89" w14:paraId="0BB528A2" w14:textId="13DF9B86">
            <w:pPr>
              <w:rPr>
                <w:sz w:val="20"/>
                <w:szCs w:val="20"/>
              </w:rPr>
            </w:pPr>
            <w:r w:rsidRPr="00421C90">
              <w:rPr>
                <w:sz w:val="20"/>
                <w:szCs w:val="20"/>
              </w:rPr>
              <w:lastRenderedPageBreak/>
              <w:t>The utility of the information is less at the Community College (two-year) level, and so we'd respectfully request that Community Colleges be opted out of these new collection activities if implemented.</w:t>
            </w:r>
          </w:p>
        </w:tc>
        <w:tc>
          <w:tcPr>
            <w:tcW w:w="1090" w:type="dxa"/>
          </w:tcPr>
          <w:p w:rsidRPr="00421C90" w:rsidR="00623B89" w:rsidRDefault="00623B89" w14:paraId="3FE47E6E" w14:textId="08F5D875">
            <w:pPr>
              <w:rPr>
                <w:sz w:val="20"/>
                <w:szCs w:val="20"/>
              </w:rPr>
            </w:pPr>
            <w:r w:rsidRPr="00421C90">
              <w:rPr>
                <w:sz w:val="20"/>
                <w:szCs w:val="20"/>
              </w:rPr>
              <w:t>All</w:t>
            </w:r>
          </w:p>
        </w:tc>
        <w:tc>
          <w:tcPr>
            <w:tcW w:w="2280" w:type="dxa"/>
          </w:tcPr>
          <w:p w:rsidRPr="0031130F" w:rsidR="00623B89" w:rsidRDefault="00623B89" w14:paraId="581DE6D4" w14:textId="77777777">
            <w:pPr>
              <w:rPr>
                <w:sz w:val="20"/>
                <w:szCs w:val="20"/>
              </w:rPr>
            </w:pPr>
            <w:r w:rsidRPr="0031130F">
              <w:rPr>
                <w:sz w:val="20"/>
                <w:szCs w:val="20"/>
              </w:rPr>
              <w:t>ED-2021-SCC-0093-0014</w:t>
            </w:r>
          </w:p>
          <w:p w:rsidRPr="0031130F" w:rsidR="00623B89" w:rsidRDefault="00623B89" w14:paraId="3BD328EA" w14:textId="274EE4CC">
            <w:pPr>
              <w:rPr>
                <w:sz w:val="20"/>
                <w:szCs w:val="20"/>
              </w:rPr>
            </w:pPr>
            <w:r w:rsidRPr="0031130F">
              <w:rPr>
                <w:sz w:val="20"/>
                <w:szCs w:val="20"/>
              </w:rPr>
              <w:t xml:space="preserve">ED-2021-SCC-0093-0022 </w:t>
            </w:r>
          </w:p>
        </w:tc>
        <w:tc>
          <w:tcPr>
            <w:tcW w:w="2070" w:type="dxa"/>
          </w:tcPr>
          <w:p w:rsidRPr="0031130F" w:rsidR="00C64AF8" w:rsidRDefault="000573B1" w14:paraId="4202EBCA" w14:textId="77777777">
            <w:pPr>
              <w:rPr>
                <w:sz w:val="20"/>
                <w:szCs w:val="20"/>
              </w:rPr>
            </w:pPr>
            <w:r w:rsidRPr="0031130F">
              <w:rPr>
                <w:sz w:val="20"/>
                <w:szCs w:val="20"/>
              </w:rPr>
              <w:t>Peter Goss</w:t>
            </w:r>
          </w:p>
          <w:p w:rsidRPr="0031130F" w:rsidR="000573B1" w:rsidRDefault="00E1341A" w14:paraId="2CC4F019" w14:textId="2AE6C919">
            <w:pPr>
              <w:rPr>
                <w:sz w:val="20"/>
                <w:szCs w:val="20"/>
              </w:rPr>
            </w:pPr>
            <w:r w:rsidRPr="0031130F">
              <w:rPr>
                <w:sz w:val="20"/>
                <w:szCs w:val="20"/>
              </w:rPr>
              <w:t>Dawn Geoppinger</w:t>
            </w:r>
          </w:p>
        </w:tc>
        <w:tc>
          <w:tcPr>
            <w:tcW w:w="7105" w:type="dxa"/>
          </w:tcPr>
          <w:p w:rsidRPr="00421C90" w:rsidR="00623B89" w:rsidRDefault="00C64AF8" w14:paraId="2ED56284" w14:textId="3F7BEC75">
            <w:pPr>
              <w:rPr>
                <w:sz w:val="20"/>
                <w:szCs w:val="20"/>
              </w:rPr>
            </w:pPr>
            <w:r w:rsidRPr="00421C90">
              <w:rPr>
                <w:sz w:val="20"/>
                <w:szCs w:val="20"/>
              </w:rPr>
              <w:t xml:space="preserve">No change. </w:t>
            </w:r>
            <w:r w:rsidRPr="00421C90" w:rsidR="00623B89">
              <w:rPr>
                <w:sz w:val="20"/>
                <w:szCs w:val="20"/>
              </w:rPr>
              <w:t>HEERF represents a large public investment in stabilizing postsecondary education and understanding how grants were implemented is important across all institutions. The Department disagrees with the notion that community college data is less important, especially since community colleges enroll a relatively large portion of postsecondary students in comparison to other types of institutions.</w:t>
            </w:r>
          </w:p>
        </w:tc>
      </w:tr>
      <w:tr w:rsidRPr="00E15EAE" w:rsidR="00623B89" w:rsidTr="001E1237" w14:paraId="21E38D5F" w14:textId="77777777">
        <w:tc>
          <w:tcPr>
            <w:tcW w:w="4725" w:type="dxa"/>
          </w:tcPr>
          <w:p w:rsidRPr="00421C90" w:rsidR="00623B89" w:rsidRDefault="00623B89" w14:paraId="5150726C" w14:textId="501A08D9">
            <w:pPr>
              <w:rPr>
                <w:sz w:val="20"/>
                <w:szCs w:val="20"/>
              </w:rPr>
            </w:pPr>
            <w:r w:rsidRPr="00421C90">
              <w:rPr>
                <w:sz w:val="20"/>
                <w:szCs w:val="20"/>
              </w:rPr>
              <w:t>ED can minimize collection burden by having a web-based form and more collaboration with institutions.</w:t>
            </w:r>
          </w:p>
        </w:tc>
        <w:tc>
          <w:tcPr>
            <w:tcW w:w="1090" w:type="dxa"/>
          </w:tcPr>
          <w:p w:rsidRPr="00421C90" w:rsidR="00623B89" w:rsidRDefault="00623B89" w14:paraId="164288A8" w14:textId="1B8E87A8">
            <w:pPr>
              <w:rPr>
                <w:sz w:val="20"/>
                <w:szCs w:val="20"/>
              </w:rPr>
            </w:pPr>
            <w:r w:rsidRPr="00421C90">
              <w:rPr>
                <w:sz w:val="20"/>
                <w:szCs w:val="20"/>
              </w:rPr>
              <w:t>All</w:t>
            </w:r>
          </w:p>
        </w:tc>
        <w:tc>
          <w:tcPr>
            <w:tcW w:w="2280" w:type="dxa"/>
          </w:tcPr>
          <w:p w:rsidRPr="0031130F" w:rsidR="00623B89" w:rsidRDefault="00623B89" w14:paraId="11814C55" w14:textId="2C3A1176">
            <w:pPr>
              <w:rPr>
                <w:sz w:val="20"/>
                <w:szCs w:val="20"/>
              </w:rPr>
            </w:pPr>
            <w:r w:rsidRPr="0031130F">
              <w:rPr>
                <w:sz w:val="20"/>
                <w:szCs w:val="20"/>
              </w:rPr>
              <w:t>ED-2021-SCC-0093-0014</w:t>
            </w:r>
          </w:p>
        </w:tc>
        <w:tc>
          <w:tcPr>
            <w:tcW w:w="2070" w:type="dxa"/>
          </w:tcPr>
          <w:p w:rsidRPr="0031130F" w:rsidR="00E1341A" w:rsidRDefault="00E1341A" w14:paraId="281DFFC8" w14:textId="720A7074">
            <w:pPr>
              <w:rPr>
                <w:sz w:val="20"/>
                <w:szCs w:val="20"/>
              </w:rPr>
            </w:pPr>
            <w:r w:rsidRPr="0031130F">
              <w:rPr>
                <w:sz w:val="20"/>
                <w:szCs w:val="20"/>
              </w:rPr>
              <w:t>Dawn Geoppinger</w:t>
            </w:r>
          </w:p>
        </w:tc>
        <w:tc>
          <w:tcPr>
            <w:tcW w:w="7105" w:type="dxa"/>
          </w:tcPr>
          <w:p w:rsidRPr="00421C90" w:rsidR="00623B89" w:rsidRDefault="00C64AF8" w14:paraId="285A0E4E" w14:textId="102B2B15">
            <w:pPr>
              <w:rPr>
                <w:sz w:val="20"/>
                <w:szCs w:val="20"/>
              </w:rPr>
            </w:pPr>
            <w:r w:rsidRPr="00421C90">
              <w:rPr>
                <w:sz w:val="20"/>
                <w:szCs w:val="20"/>
              </w:rPr>
              <w:t xml:space="preserve">No change. </w:t>
            </w:r>
            <w:r w:rsidRPr="00421C90" w:rsidR="00623B89">
              <w:rPr>
                <w:sz w:val="20"/>
                <w:szCs w:val="20"/>
              </w:rPr>
              <w:t xml:space="preserve">The Department will continue using a web-based form to collect HEERF annually reported data and </w:t>
            </w:r>
            <w:r w:rsidRPr="00421C90" w:rsidR="00603E41">
              <w:rPr>
                <w:sz w:val="20"/>
                <w:szCs w:val="20"/>
              </w:rPr>
              <w:t xml:space="preserve">will continue to </w:t>
            </w:r>
            <w:r w:rsidRPr="00421C90" w:rsidR="00623B89">
              <w:rPr>
                <w:sz w:val="20"/>
                <w:szCs w:val="20"/>
              </w:rPr>
              <w:t>provide technical assistance and help desk support.</w:t>
            </w:r>
          </w:p>
        </w:tc>
      </w:tr>
      <w:tr w:rsidRPr="00E15EAE" w:rsidR="00623B89" w:rsidTr="001E1237" w14:paraId="62C0A2C6" w14:textId="77777777">
        <w:tc>
          <w:tcPr>
            <w:tcW w:w="4725" w:type="dxa"/>
          </w:tcPr>
          <w:p w:rsidRPr="00421C90" w:rsidR="00623B89" w:rsidRDefault="00623B89" w14:paraId="69CF32DB" w14:textId="01EECBEE">
            <w:pPr>
              <w:rPr>
                <w:sz w:val="20"/>
                <w:szCs w:val="20"/>
              </w:rPr>
            </w:pPr>
            <w:r w:rsidRPr="00421C90">
              <w:rPr>
                <w:sz w:val="20"/>
                <w:szCs w:val="20"/>
              </w:rPr>
              <w:t>How will the Department process data and makes it available to the public? It’s important to collaborate with IHEs on how it is presented.</w:t>
            </w:r>
          </w:p>
        </w:tc>
        <w:tc>
          <w:tcPr>
            <w:tcW w:w="1090" w:type="dxa"/>
          </w:tcPr>
          <w:p w:rsidRPr="00421C90" w:rsidR="00623B89" w:rsidRDefault="00623B89" w14:paraId="4CDEDFD0" w14:textId="6F495D8D">
            <w:pPr>
              <w:rPr>
                <w:sz w:val="20"/>
                <w:szCs w:val="20"/>
              </w:rPr>
            </w:pPr>
            <w:r w:rsidRPr="00421C90">
              <w:rPr>
                <w:sz w:val="20"/>
                <w:szCs w:val="20"/>
              </w:rPr>
              <w:t>All</w:t>
            </w:r>
          </w:p>
        </w:tc>
        <w:tc>
          <w:tcPr>
            <w:tcW w:w="2280" w:type="dxa"/>
          </w:tcPr>
          <w:p w:rsidRPr="0031130F" w:rsidR="00623B89" w:rsidRDefault="00623B89" w14:paraId="1D3D09C1" w14:textId="1AB23CE3">
            <w:pPr>
              <w:rPr>
                <w:sz w:val="20"/>
                <w:szCs w:val="20"/>
              </w:rPr>
            </w:pPr>
            <w:r w:rsidRPr="0031130F">
              <w:rPr>
                <w:sz w:val="20"/>
                <w:szCs w:val="20"/>
              </w:rPr>
              <w:t>ED-2021-SCC-0093-0019</w:t>
            </w:r>
          </w:p>
        </w:tc>
        <w:tc>
          <w:tcPr>
            <w:tcW w:w="2070" w:type="dxa"/>
          </w:tcPr>
          <w:p w:rsidRPr="0031130F" w:rsidR="00BD6DE6" w:rsidRDefault="00BD6DE6" w14:paraId="3AC6E447" w14:textId="26130A81">
            <w:pPr>
              <w:rPr>
                <w:sz w:val="20"/>
                <w:szCs w:val="20"/>
              </w:rPr>
            </w:pPr>
            <w:r w:rsidRPr="0031130F">
              <w:rPr>
                <w:sz w:val="20"/>
                <w:szCs w:val="20"/>
              </w:rPr>
              <w:t>Council on Governmental Relations - COGR</w:t>
            </w:r>
          </w:p>
        </w:tc>
        <w:tc>
          <w:tcPr>
            <w:tcW w:w="7105" w:type="dxa"/>
          </w:tcPr>
          <w:p w:rsidRPr="00421C90" w:rsidR="00623B89" w:rsidRDefault="00C64AF8" w14:paraId="49ABE6C3" w14:textId="632091A7">
            <w:pPr>
              <w:rPr>
                <w:rStyle w:val="Hyperlink"/>
                <w:sz w:val="20"/>
                <w:szCs w:val="20"/>
              </w:rPr>
            </w:pPr>
            <w:r w:rsidRPr="0031130F">
              <w:rPr>
                <w:sz w:val="20"/>
                <w:szCs w:val="20"/>
              </w:rPr>
              <w:t xml:space="preserve">No change. </w:t>
            </w:r>
            <w:r w:rsidRPr="00421C90" w:rsidR="00623B89">
              <w:rPr>
                <w:sz w:val="20"/>
                <w:szCs w:val="20"/>
              </w:rPr>
              <w:t>The Department plans on continuing to make HEERF</w:t>
            </w:r>
            <w:r w:rsidRPr="00421C90" w:rsidR="00AC10C9">
              <w:rPr>
                <w:sz w:val="20"/>
                <w:szCs w:val="20"/>
              </w:rPr>
              <w:t>-</w:t>
            </w:r>
            <w:r w:rsidRPr="00421C90" w:rsidR="00623B89">
              <w:rPr>
                <w:sz w:val="20"/>
                <w:szCs w:val="20"/>
              </w:rPr>
              <w:t xml:space="preserve">related data available through </w:t>
            </w:r>
            <w:hyperlink r:id="rId9">
              <w:r w:rsidRPr="00421C90" w:rsidR="00623B89">
                <w:rPr>
                  <w:rStyle w:val="Hyperlink"/>
                  <w:sz w:val="20"/>
                  <w:szCs w:val="20"/>
                </w:rPr>
                <w:t>https://covid-relief-data.ed.gov/</w:t>
              </w:r>
            </w:hyperlink>
            <w:r w:rsidRPr="00421C90" w:rsidR="00623B89">
              <w:rPr>
                <w:sz w:val="20"/>
                <w:szCs w:val="20"/>
              </w:rPr>
              <w:t xml:space="preserve"> and will consider ways to improve the presentation of data including ways to collaborate with stakeholders.</w:t>
            </w:r>
          </w:p>
        </w:tc>
      </w:tr>
      <w:tr w:rsidR="00623B89" w:rsidTr="001E1237" w14:paraId="0C5C3BCF" w14:textId="77777777">
        <w:tc>
          <w:tcPr>
            <w:tcW w:w="4725" w:type="dxa"/>
          </w:tcPr>
          <w:p w:rsidRPr="00421C90" w:rsidR="00623B89" w:rsidRDefault="00623B89" w14:paraId="5EF94DE2" w14:textId="77777777">
            <w:pPr>
              <w:rPr>
                <w:sz w:val="20"/>
                <w:szCs w:val="20"/>
              </w:rPr>
            </w:pPr>
            <w:r w:rsidRPr="00421C90">
              <w:rPr>
                <w:sz w:val="20"/>
                <w:szCs w:val="20"/>
              </w:rPr>
              <w:t>With additional burden requirements, it will be important to have the form available well ahead of the reporting deadline and provide detailed instructions.</w:t>
            </w:r>
          </w:p>
          <w:p w:rsidRPr="00421C90" w:rsidR="00623B89" w:rsidRDefault="00623B89" w14:paraId="21D37E7C" w14:textId="1D2DCFF7">
            <w:pPr>
              <w:rPr>
                <w:sz w:val="20"/>
                <w:szCs w:val="20"/>
              </w:rPr>
            </w:pPr>
            <w:r w:rsidRPr="00421C90">
              <w:rPr>
                <w:sz w:val="20"/>
                <w:szCs w:val="20"/>
              </w:rPr>
              <w:t>It will be difficult to report fall semester graduation data in the required timeline.</w:t>
            </w:r>
          </w:p>
        </w:tc>
        <w:tc>
          <w:tcPr>
            <w:tcW w:w="1090" w:type="dxa"/>
          </w:tcPr>
          <w:p w:rsidRPr="00421C90" w:rsidR="00623B89" w:rsidRDefault="00623B89" w14:paraId="320F8DCB" w14:textId="37EE74BA">
            <w:pPr>
              <w:rPr>
                <w:sz w:val="20"/>
                <w:szCs w:val="20"/>
              </w:rPr>
            </w:pPr>
            <w:r w:rsidRPr="00421C90">
              <w:rPr>
                <w:sz w:val="20"/>
                <w:szCs w:val="20"/>
              </w:rPr>
              <w:t>All</w:t>
            </w:r>
          </w:p>
        </w:tc>
        <w:tc>
          <w:tcPr>
            <w:tcW w:w="2280" w:type="dxa"/>
          </w:tcPr>
          <w:p w:rsidRPr="0031130F" w:rsidR="00623B89" w:rsidRDefault="00623B89" w14:paraId="3EA6D31D" w14:textId="5C9AD684">
            <w:pPr>
              <w:rPr>
                <w:sz w:val="20"/>
                <w:szCs w:val="20"/>
              </w:rPr>
            </w:pPr>
            <w:r w:rsidRPr="0031130F">
              <w:rPr>
                <w:sz w:val="20"/>
                <w:szCs w:val="20"/>
              </w:rPr>
              <w:t>ED-2021-SCC-0093-0056</w:t>
            </w:r>
          </w:p>
        </w:tc>
        <w:tc>
          <w:tcPr>
            <w:tcW w:w="2070" w:type="dxa"/>
          </w:tcPr>
          <w:p w:rsidRPr="0031130F" w:rsidR="001552F4" w:rsidRDefault="001552F4" w14:paraId="0B2C1E21" w14:textId="565AD6A4">
            <w:pPr>
              <w:rPr>
                <w:rFonts w:cs="Calibri"/>
                <w:sz w:val="20"/>
                <w:szCs w:val="20"/>
                <w:shd w:val="clear" w:color="auto" w:fill="FFFFFF"/>
              </w:rPr>
            </w:pPr>
            <w:r w:rsidRPr="0031130F">
              <w:rPr>
                <w:rFonts w:cs="Calibri"/>
                <w:sz w:val="20"/>
                <w:szCs w:val="20"/>
                <w:shd w:val="clear" w:color="auto" w:fill="FFFFFF"/>
              </w:rPr>
              <w:t xml:space="preserve">San Jacinto Community College </w:t>
            </w:r>
          </w:p>
        </w:tc>
        <w:tc>
          <w:tcPr>
            <w:tcW w:w="7105" w:type="dxa"/>
          </w:tcPr>
          <w:p w:rsidRPr="00421C90" w:rsidR="00623B89" w:rsidRDefault="005864AC" w14:paraId="04064F1A" w14:textId="12C51F72">
            <w:pPr>
              <w:rPr>
                <w:sz w:val="20"/>
                <w:szCs w:val="20"/>
              </w:rPr>
            </w:pPr>
            <w:r w:rsidRPr="00421C90">
              <w:rPr>
                <w:sz w:val="20"/>
                <w:szCs w:val="20"/>
              </w:rPr>
              <w:t xml:space="preserve">Change. </w:t>
            </w:r>
            <w:r w:rsidRPr="00421C90" w:rsidR="009D61CA">
              <w:rPr>
                <w:sz w:val="20"/>
                <w:szCs w:val="20"/>
              </w:rPr>
              <w:t>In the next data collection process</w:t>
            </w:r>
            <w:r w:rsidRPr="00421C90">
              <w:rPr>
                <w:sz w:val="20"/>
                <w:szCs w:val="20"/>
              </w:rPr>
              <w:t xml:space="preserve"> in 2022</w:t>
            </w:r>
            <w:r w:rsidRPr="00421C90" w:rsidR="009D61CA">
              <w:rPr>
                <w:sz w:val="20"/>
                <w:szCs w:val="20"/>
              </w:rPr>
              <w:t xml:space="preserve">, institutions </w:t>
            </w:r>
            <w:r w:rsidRPr="00421C90" w:rsidR="00586658">
              <w:rPr>
                <w:sz w:val="20"/>
                <w:szCs w:val="20"/>
              </w:rPr>
              <w:t xml:space="preserve">will </w:t>
            </w:r>
            <w:r w:rsidRPr="00421C90" w:rsidR="009D61CA">
              <w:rPr>
                <w:sz w:val="20"/>
                <w:szCs w:val="20"/>
              </w:rPr>
              <w:t xml:space="preserve">have </w:t>
            </w:r>
            <w:r w:rsidRPr="00421C90" w:rsidR="00586658">
              <w:rPr>
                <w:sz w:val="20"/>
                <w:szCs w:val="20"/>
              </w:rPr>
              <w:t>more time</w:t>
            </w:r>
            <w:r w:rsidRPr="00421C90" w:rsidR="00193C41">
              <w:rPr>
                <w:sz w:val="20"/>
                <w:szCs w:val="20"/>
              </w:rPr>
              <w:t>,</w:t>
            </w:r>
            <w:r w:rsidRPr="00421C90" w:rsidR="00586658">
              <w:rPr>
                <w:sz w:val="20"/>
                <w:szCs w:val="20"/>
              </w:rPr>
              <w:t xml:space="preserve"> if needed</w:t>
            </w:r>
            <w:r w:rsidRPr="00421C90" w:rsidR="00193C41">
              <w:rPr>
                <w:sz w:val="20"/>
                <w:szCs w:val="20"/>
              </w:rPr>
              <w:t>,</w:t>
            </w:r>
            <w:r w:rsidRPr="00421C90" w:rsidR="00586658">
              <w:rPr>
                <w:sz w:val="20"/>
                <w:szCs w:val="20"/>
              </w:rPr>
              <w:t xml:space="preserve"> to answer </w:t>
            </w:r>
            <w:r w:rsidRPr="00421C90" w:rsidR="0011062A">
              <w:rPr>
                <w:sz w:val="20"/>
                <w:szCs w:val="20"/>
              </w:rPr>
              <w:t>some of the</w:t>
            </w:r>
            <w:r w:rsidRPr="00421C90" w:rsidR="004734CE">
              <w:rPr>
                <w:sz w:val="20"/>
                <w:szCs w:val="20"/>
              </w:rPr>
              <w:t xml:space="preserve"> more burdensome</w:t>
            </w:r>
            <w:r w:rsidRPr="00421C90" w:rsidR="00586658">
              <w:rPr>
                <w:sz w:val="20"/>
                <w:szCs w:val="20"/>
              </w:rPr>
              <w:t xml:space="preserve"> questions</w:t>
            </w:r>
            <w:r w:rsidRPr="00421C90" w:rsidR="00C64AF8">
              <w:rPr>
                <w:sz w:val="20"/>
                <w:szCs w:val="20"/>
              </w:rPr>
              <w:t>.</w:t>
            </w:r>
          </w:p>
        </w:tc>
      </w:tr>
      <w:tr w:rsidR="00623B89" w:rsidTr="001E1237" w14:paraId="2A42F964" w14:textId="77777777">
        <w:tc>
          <w:tcPr>
            <w:tcW w:w="4725" w:type="dxa"/>
          </w:tcPr>
          <w:p w:rsidRPr="00421C90" w:rsidR="00623B89" w:rsidRDefault="00623B89" w14:paraId="0712F504" w14:textId="7639978D">
            <w:pPr>
              <w:rPr>
                <w:sz w:val="20"/>
                <w:szCs w:val="20"/>
              </w:rPr>
            </w:pPr>
            <w:r w:rsidRPr="00421C90">
              <w:rPr>
                <w:sz w:val="20"/>
                <w:szCs w:val="20"/>
              </w:rPr>
              <w:t>Comparison groups for current reporting period and previous years are not apples-to-apples comparisons.</w:t>
            </w:r>
            <w:r w:rsidRPr="00421C90" w:rsidR="003B4069">
              <w:rPr>
                <w:sz w:val="20"/>
                <w:szCs w:val="20"/>
              </w:rPr>
              <w:t xml:space="preserve"> Additional clarification is needed on whether HEERF students include all those who received Emergency Federal Aid Grants and whether it includes students who received Emergency Federal Aid Grants paid for with institutional and MSI funds as well.</w:t>
            </w:r>
          </w:p>
        </w:tc>
        <w:tc>
          <w:tcPr>
            <w:tcW w:w="1090" w:type="dxa"/>
          </w:tcPr>
          <w:p w:rsidRPr="00421C90" w:rsidR="00623B89" w:rsidRDefault="00623B89" w14:paraId="4E85D056" w14:textId="7049E0D7">
            <w:pPr>
              <w:rPr>
                <w:sz w:val="20"/>
                <w:szCs w:val="20"/>
              </w:rPr>
            </w:pPr>
            <w:r w:rsidRPr="00421C90">
              <w:rPr>
                <w:sz w:val="20"/>
                <w:szCs w:val="20"/>
              </w:rPr>
              <w:t>Q10</w:t>
            </w:r>
          </w:p>
          <w:p w:rsidRPr="00421C90" w:rsidR="00623B89" w:rsidRDefault="00623B89" w14:paraId="0796E7AE" w14:textId="18367CF3">
            <w:pPr>
              <w:rPr>
                <w:sz w:val="20"/>
                <w:szCs w:val="20"/>
              </w:rPr>
            </w:pPr>
          </w:p>
        </w:tc>
        <w:tc>
          <w:tcPr>
            <w:tcW w:w="2280" w:type="dxa"/>
          </w:tcPr>
          <w:p w:rsidRPr="0031130F" w:rsidR="00623B89" w:rsidRDefault="00623B89" w14:paraId="7CD4608F" w14:textId="520092F2">
            <w:pPr>
              <w:rPr>
                <w:sz w:val="20"/>
                <w:szCs w:val="20"/>
              </w:rPr>
            </w:pPr>
            <w:r w:rsidRPr="0031130F">
              <w:rPr>
                <w:sz w:val="20"/>
                <w:szCs w:val="20"/>
              </w:rPr>
              <w:t>ED-2021-SCC-0093-0056</w:t>
            </w:r>
          </w:p>
          <w:p w:rsidRPr="0031130F" w:rsidR="00623B89" w:rsidRDefault="00623B89" w14:paraId="0B00ABD0" w14:textId="33A5ECA2">
            <w:pPr>
              <w:rPr>
                <w:sz w:val="20"/>
                <w:szCs w:val="20"/>
              </w:rPr>
            </w:pPr>
            <w:r w:rsidRPr="0031130F">
              <w:rPr>
                <w:sz w:val="20"/>
                <w:szCs w:val="20"/>
              </w:rPr>
              <w:t>ED-2021-SCC-0093-0054</w:t>
            </w:r>
          </w:p>
          <w:p w:rsidRPr="0031130F" w:rsidR="00623B89" w:rsidRDefault="00623B89" w14:paraId="6029E4FC" w14:textId="2182CE0B">
            <w:pPr>
              <w:rPr>
                <w:rFonts w:ascii="Calibri" w:hAnsi="Calibri" w:eastAsia="Calibri" w:cs="Calibri"/>
                <w:color w:val="000000" w:themeColor="text1"/>
                <w:sz w:val="20"/>
                <w:szCs w:val="20"/>
              </w:rPr>
            </w:pPr>
            <w:r w:rsidRPr="0031130F">
              <w:rPr>
                <w:sz w:val="20"/>
                <w:szCs w:val="20"/>
              </w:rPr>
              <w:t>ED-2021-SCC-0093-0040</w:t>
            </w:r>
          </w:p>
        </w:tc>
        <w:tc>
          <w:tcPr>
            <w:tcW w:w="2070" w:type="dxa"/>
          </w:tcPr>
          <w:p w:rsidRPr="0031130F" w:rsidR="000A4E23" w:rsidRDefault="000A4E23" w14:paraId="19CF4505" w14:textId="3F977F33">
            <w:pPr>
              <w:rPr>
                <w:sz w:val="20"/>
                <w:szCs w:val="20"/>
              </w:rPr>
            </w:pPr>
            <w:r w:rsidRPr="0031130F">
              <w:rPr>
                <w:rFonts w:cs="Calibri"/>
                <w:sz w:val="20"/>
                <w:szCs w:val="20"/>
                <w:shd w:val="clear" w:color="auto" w:fill="FFFFFF"/>
              </w:rPr>
              <w:t>San Jacinto Community College</w:t>
            </w:r>
          </w:p>
          <w:p w:rsidRPr="0031130F" w:rsidR="00296D85" w:rsidRDefault="00296D85" w14:paraId="32004370" w14:textId="77777777">
            <w:pPr>
              <w:rPr>
                <w:rFonts w:cs="Calibri"/>
                <w:sz w:val="20"/>
                <w:szCs w:val="20"/>
                <w:shd w:val="clear" w:color="auto" w:fill="FFFFFF"/>
              </w:rPr>
            </w:pPr>
            <w:r w:rsidRPr="0031130F">
              <w:rPr>
                <w:rFonts w:cs="Calibri"/>
                <w:sz w:val="20"/>
                <w:szCs w:val="20"/>
                <w:shd w:val="clear" w:color="auto" w:fill="FFFFFF"/>
              </w:rPr>
              <w:t>University of Maine System</w:t>
            </w:r>
          </w:p>
          <w:p w:rsidRPr="0031130F" w:rsidR="000A4E23" w:rsidRDefault="000A4E23" w14:paraId="5C2BF16A" w14:textId="4FBF8169">
            <w:pPr>
              <w:rPr>
                <w:rFonts w:cs="Calibri"/>
                <w:sz w:val="20"/>
                <w:szCs w:val="20"/>
                <w:shd w:val="clear" w:color="auto" w:fill="FFFFFF"/>
              </w:rPr>
            </w:pPr>
            <w:r w:rsidRPr="0031130F">
              <w:rPr>
                <w:sz w:val="20"/>
                <w:szCs w:val="20"/>
              </w:rPr>
              <w:t>NASFAA/NACUBO</w:t>
            </w:r>
          </w:p>
        </w:tc>
        <w:tc>
          <w:tcPr>
            <w:tcW w:w="7105" w:type="dxa"/>
          </w:tcPr>
          <w:p w:rsidRPr="00421C90" w:rsidR="00623B89" w:rsidRDefault="00694625" w14:paraId="57CAD3FF" w14:textId="7380A961">
            <w:pPr>
              <w:rPr>
                <w:sz w:val="20"/>
                <w:szCs w:val="20"/>
              </w:rPr>
            </w:pPr>
            <w:r w:rsidRPr="00421C90">
              <w:rPr>
                <w:sz w:val="20"/>
                <w:szCs w:val="20"/>
              </w:rPr>
              <w:t>C</w:t>
            </w:r>
            <w:r w:rsidRPr="00421C90" w:rsidR="00C64AF8">
              <w:rPr>
                <w:sz w:val="20"/>
                <w:szCs w:val="20"/>
              </w:rPr>
              <w:t xml:space="preserve">hange. </w:t>
            </w:r>
            <w:r w:rsidRPr="00421C90" w:rsidR="003B4069">
              <w:rPr>
                <w:sz w:val="20"/>
                <w:szCs w:val="20"/>
              </w:rPr>
              <w:t>The data collection instrument no longer disaggregates by students who received HEERF emergency grant</w:t>
            </w:r>
            <w:r w:rsidRPr="00421C90" w:rsidR="00E11CC2">
              <w:rPr>
                <w:sz w:val="20"/>
                <w:szCs w:val="20"/>
              </w:rPr>
              <w:t>s</w:t>
            </w:r>
            <w:r w:rsidRPr="00421C90" w:rsidR="003B4069">
              <w:rPr>
                <w:sz w:val="20"/>
                <w:szCs w:val="20"/>
              </w:rPr>
              <w:t xml:space="preserve">. </w:t>
            </w:r>
            <w:r w:rsidRPr="00421C90" w:rsidR="002F0F91">
              <w:rPr>
                <w:sz w:val="20"/>
                <w:szCs w:val="20"/>
              </w:rPr>
              <w:t xml:space="preserve">By understanding retention rates of the overall student population, this provides a proxy for </w:t>
            </w:r>
            <w:r w:rsidRPr="00421C90" w:rsidR="00E11CC2">
              <w:rPr>
                <w:sz w:val="20"/>
                <w:szCs w:val="20"/>
              </w:rPr>
              <w:t>how retention rates overall changed during the pandemic.</w:t>
            </w:r>
          </w:p>
        </w:tc>
      </w:tr>
      <w:tr w:rsidR="00623B89" w:rsidTr="001E1237" w14:paraId="79D81613" w14:textId="77777777">
        <w:tc>
          <w:tcPr>
            <w:tcW w:w="4725" w:type="dxa"/>
          </w:tcPr>
          <w:p w:rsidRPr="00421C90" w:rsidR="00623B89" w:rsidRDefault="00623B89" w14:paraId="5D980B2C" w14:textId="2D6E8E02">
            <w:pPr>
              <w:rPr>
                <w:rFonts w:ascii="Calibri" w:hAnsi="Calibri" w:eastAsia="Calibri" w:cs="Calibri"/>
                <w:sz w:val="20"/>
                <w:szCs w:val="20"/>
              </w:rPr>
            </w:pPr>
            <w:r w:rsidRPr="00421C90">
              <w:rPr>
                <w:rFonts w:ascii="Calibri" w:hAnsi="Calibri" w:eastAsia="Calibri" w:cs="Calibri"/>
                <w:sz w:val="20"/>
                <w:szCs w:val="20"/>
              </w:rPr>
              <w:t>Requests for reporting should include an explicit timeframe because student data is fluid. It is important for institutions to have guidelines on the timeframe to which each questions refers.</w:t>
            </w:r>
          </w:p>
        </w:tc>
        <w:tc>
          <w:tcPr>
            <w:tcW w:w="1090" w:type="dxa"/>
          </w:tcPr>
          <w:p w:rsidRPr="00421C90" w:rsidR="00623B89" w:rsidRDefault="00623B89" w14:paraId="2F707FE1" w14:textId="7CF113A6">
            <w:pPr>
              <w:rPr>
                <w:sz w:val="20"/>
                <w:szCs w:val="20"/>
              </w:rPr>
            </w:pPr>
            <w:r w:rsidRPr="00421C90">
              <w:rPr>
                <w:sz w:val="20"/>
                <w:szCs w:val="20"/>
              </w:rPr>
              <w:t xml:space="preserve">All </w:t>
            </w:r>
          </w:p>
        </w:tc>
        <w:tc>
          <w:tcPr>
            <w:tcW w:w="2280" w:type="dxa"/>
          </w:tcPr>
          <w:p w:rsidRPr="0031130F" w:rsidR="00623B89" w:rsidRDefault="00623B89" w14:paraId="08FD8FD3" w14:textId="6B0E8517">
            <w:pPr>
              <w:rPr>
                <w:rFonts w:ascii="Calibri" w:hAnsi="Calibri" w:eastAsia="Calibri" w:cs="Calibri"/>
                <w:sz w:val="20"/>
                <w:szCs w:val="20"/>
              </w:rPr>
            </w:pPr>
            <w:r w:rsidRPr="0031130F">
              <w:rPr>
                <w:rFonts w:ascii="Calibri" w:hAnsi="Calibri" w:eastAsia="Calibri" w:cs="Calibri"/>
                <w:sz w:val="20"/>
                <w:szCs w:val="20"/>
              </w:rPr>
              <w:t>ED-2021-SCC-0093-0052</w:t>
            </w:r>
          </w:p>
          <w:p w:rsidRPr="0031130F" w:rsidR="00623B89" w:rsidRDefault="00623B89" w14:paraId="234C1E6A" w14:textId="70F5A920">
            <w:pPr>
              <w:rPr>
                <w:rFonts w:ascii="Calibri" w:hAnsi="Calibri" w:eastAsia="Calibri" w:cs="Calibri"/>
                <w:sz w:val="20"/>
                <w:szCs w:val="20"/>
              </w:rPr>
            </w:pPr>
            <w:r w:rsidRPr="0031130F">
              <w:rPr>
                <w:rFonts w:ascii="Calibri" w:hAnsi="Calibri" w:eastAsia="Calibri" w:cs="Calibri"/>
                <w:sz w:val="20"/>
                <w:szCs w:val="20"/>
              </w:rPr>
              <w:t>ED-2021-SCC-0093-0050</w:t>
            </w:r>
          </w:p>
          <w:p w:rsidRPr="0031130F" w:rsidR="00623B89" w:rsidRDefault="00623B89" w14:paraId="65C2B927" w14:textId="6723D8AF">
            <w:pPr>
              <w:rPr>
                <w:rFonts w:ascii="Calibri" w:hAnsi="Calibri" w:eastAsia="Calibri" w:cs="Calibri"/>
                <w:sz w:val="20"/>
                <w:szCs w:val="20"/>
              </w:rPr>
            </w:pPr>
            <w:r w:rsidRPr="0031130F">
              <w:rPr>
                <w:rFonts w:ascii="Calibri" w:hAnsi="Calibri" w:eastAsia="Calibri" w:cs="Calibri"/>
                <w:sz w:val="20"/>
                <w:szCs w:val="20"/>
              </w:rPr>
              <w:t>ED-2021-SCC-0093-0048</w:t>
            </w:r>
          </w:p>
        </w:tc>
        <w:tc>
          <w:tcPr>
            <w:tcW w:w="2070" w:type="dxa"/>
          </w:tcPr>
          <w:p w:rsidRPr="0031130F" w:rsidR="00C64AF8" w:rsidRDefault="00A45A08" w14:paraId="6C37B294" w14:textId="77777777">
            <w:pPr>
              <w:rPr>
                <w:rFonts w:cs="Calibri"/>
                <w:sz w:val="20"/>
                <w:szCs w:val="20"/>
                <w:shd w:val="clear" w:color="auto" w:fill="FFFFFF"/>
              </w:rPr>
            </w:pPr>
            <w:r w:rsidRPr="0031130F">
              <w:rPr>
                <w:rFonts w:cs="Calibri"/>
                <w:sz w:val="20"/>
                <w:szCs w:val="20"/>
                <w:shd w:val="clear" w:color="auto" w:fill="FFFFFF"/>
              </w:rPr>
              <w:t>University of Massachusetts Lowell</w:t>
            </w:r>
          </w:p>
          <w:p w:rsidRPr="0031130F" w:rsidR="00A13F46" w:rsidRDefault="00A13F46" w14:paraId="2FCAC084" w14:textId="14EA36CA">
            <w:pPr>
              <w:rPr>
                <w:rFonts w:cs="Calibri"/>
                <w:sz w:val="20"/>
                <w:szCs w:val="20"/>
                <w:shd w:val="clear" w:color="auto" w:fill="FFFFFF"/>
              </w:rPr>
            </w:pPr>
            <w:r w:rsidRPr="0031130F">
              <w:rPr>
                <w:rFonts w:cs="Calibri"/>
                <w:sz w:val="20"/>
                <w:szCs w:val="20"/>
                <w:shd w:val="clear" w:color="auto" w:fill="FFFFFF"/>
              </w:rPr>
              <w:t xml:space="preserve">University </w:t>
            </w:r>
            <w:r w:rsidRPr="0031130F" w:rsidR="003C696C">
              <w:rPr>
                <w:rFonts w:cs="Calibri"/>
                <w:sz w:val="20"/>
                <w:szCs w:val="20"/>
                <w:shd w:val="clear" w:color="auto" w:fill="FFFFFF"/>
              </w:rPr>
              <w:t>o</w:t>
            </w:r>
            <w:r w:rsidRPr="0031130F">
              <w:rPr>
                <w:rFonts w:cs="Calibri"/>
                <w:sz w:val="20"/>
                <w:szCs w:val="20"/>
                <w:shd w:val="clear" w:color="auto" w:fill="FFFFFF"/>
              </w:rPr>
              <w:t>f Massachusetts Amherst</w:t>
            </w:r>
          </w:p>
          <w:p w:rsidRPr="0031130F" w:rsidR="005E2F66" w:rsidRDefault="005E2F66" w14:paraId="1550D447" w14:textId="77777777">
            <w:pPr>
              <w:rPr>
                <w:sz w:val="20"/>
                <w:szCs w:val="20"/>
              </w:rPr>
            </w:pPr>
            <w:r w:rsidRPr="0031130F">
              <w:rPr>
                <w:rFonts w:cs="Calibri"/>
                <w:sz w:val="20"/>
                <w:szCs w:val="20"/>
                <w:shd w:val="clear" w:color="auto" w:fill="FFFFFF"/>
              </w:rPr>
              <w:t>University of Massachusetts Boston</w:t>
            </w:r>
          </w:p>
          <w:p w:rsidRPr="0031130F" w:rsidR="005E2F66" w:rsidRDefault="005E2F66" w14:paraId="1830704C" w14:textId="77777777">
            <w:pPr>
              <w:rPr>
                <w:sz w:val="20"/>
                <w:szCs w:val="20"/>
              </w:rPr>
            </w:pPr>
          </w:p>
          <w:p w:rsidRPr="0031130F" w:rsidR="00A45A08" w:rsidRDefault="00A45A08" w14:paraId="6BB6EDA2" w14:textId="3EAF7566">
            <w:pPr>
              <w:rPr>
                <w:rFonts w:cs="Calibri"/>
                <w:sz w:val="20"/>
                <w:szCs w:val="20"/>
                <w:shd w:val="clear" w:color="auto" w:fill="FFFFFF"/>
              </w:rPr>
            </w:pPr>
          </w:p>
        </w:tc>
        <w:tc>
          <w:tcPr>
            <w:tcW w:w="7105" w:type="dxa"/>
          </w:tcPr>
          <w:p w:rsidRPr="00421C90" w:rsidR="00623B89" w:rsidRDefault="00C64AF8" w14:paraId="194388E3" w14:textId="0B4DDA50">
            <w:pPr>
              <w:rPr>
                <w:sz w:val="20"/>
                <w:szCs w:val="20"/>
              </w:rPr>
            </w:pPr>
            <w:r w:rsidRPr="00421C90">
              <w:rPr>
                <w:sz w:val="20"/>
                <w:szCs w:val="20"/>
              </w:rPr>
              <w:t xml:space="preserve">Change. </w:t>
            </w:r>
            <w:r w:rsidRPr="00421C90" w:rsidR="00C57EE2">
              <w:rPr>
                <w:sz w:val="20"/>
                <w:szCs w:val="20"/>
              </w:rPr>
              <w:t xml:space="preserve">The </w:t>
            </w:r>
            <w:r w:rsidRPr="00421C90" w:rsidR="000C2371">
              <w:rPr>
                <w:sz w:val="20"/>
                <w:szCs w:val="20"/>
              </w:rPr>
              <w:t>D</w:t>
            </w:r>
            <w:r w:rsidRPr="00421C90" w:rsidR="00C57EE2">
              <w:rPr>
                <w:sz w:val="20"/>
                <w:szCs w:val="20"/>
              </w:rPr>
              <w:t>epartment has added details on how</w:t>
            </w:r>
            <w:r w:rsidRPr="00421C90" w:rsidR="00126490">
              <w:rPr>
                <w:sz w:val="20"/>
                <w:szCs w:val="20"/>
              </w:rPr>
              <w:t xml:space="preserve"> to categorize students when student statuses change throughout the reporting period.</w:t>
            </w:r>
            <w:r w:rsidRPr="00421C90" w:rsidR="00E50EE0">
              <w:rPr>
                <w:sz w:val="20"/>
                <w:szCs w:val="20"/>
              </w:rPr>
              <w:t xml:space="preserve"> For example,</w:t>
            </w:r>
            <w:r w:rsidRPr="00421C90" w:rsidR="000C2371">
              <w:rPr>
                <w:sz w:val="20"/>
                <w:szCs w:val="20"/>
              </w:rPr>
              <w:t xml:space="preserve"> students age should be captured during the </w:t>
            </w:r>
            <w:r w:rsidRPr="00421C90" w:rsidR="000B691A">
              <w:rPr>
                <w:sz w:val="20"/>
                <w:szCs w:val="20"/>
              </w:rPr>
              <w:t>IPEDS F</w:t>
            </w:r>
            <w:r w:rsidRPr="00421C90" w:rsidR="000C2371">
              <w:rPr>
                <w:sz w:val="20"/>
                <w:szCs w:val="20"/>
              </w:rPr>
              <w:t>all enrollment</w:t>
            </w:r>
            <w:r w:rsidRPr="00421C90" w:rsidR="000B691A">
              <w:rPr>
                <w:sz w:val="20"/>
                <w:szCs w:val="20"/>
              </w:rPr>
              <w:t xml:space="preserve"> measurement date</w:t>
            </w:r>
            <w:r w:rsidRPr="00421C90" w:rsidR="00C57EE2">
              <w:rPr>
                <w:sz w:val="20"/>
                <w:szCs w:val="20"/>
              </w:rPr>
              <w:t>.</w:t>
            </w:r>
            <w:r w:rsidRPr="00421C90" w:rsidR="000B691A">
              <w:rPr>
                <w:sz w:val="20"/>
                <w:szCs w:val="20"/>
              </w:rPr>
              <w:t xml:space="preserve"> Please also note existing instructions</w:t>
            </w:r>
            <w:r w:rsidRPr="00421C90" w:rsidR="004C6395">
              <w:rPr>
                <w:sz w:val="20"/>
                <w:szCs w:val="20"/>
              </w:rPr>
              <w:t>,</w:t>
            </w:r>
            <w:r w:rsidRPr="00421C90" w:rsidR="00B04D26">
              <w:rPr>
                <w:sz w:val="20"/>
                <w:szCs w:val="20"/>
              </w:rPr>
              <w:t xml:space="preserve"> </w:t>
            </w:r>
            <w:r w:rsidRPr="00421C90" w:rsidR="004C6395">
              <w:rPr>
                <w:sz w:val="20"/>
                <w:szCs w:val="20"/>
              </w:rPr>
              <w:t>f</w:t>
            </w:r>
            <w:r w:rsidRPr="00421C90" w:rsidR="00B04D26">
              <w:rPr>
                <w:sz w:val="20"/>
                <w:szCs w:val="20"/>
              </w:rPr>
              <w:t xml:space="preserve">or example, defining </w:t>
            </w:r>
            <w:r w:rsidRPr="00421C90" w:rsidR="000550C3">
              <w:rPr>
                <w:sz w:val="20"/>
                <w:szCs w:val="20"/>
              </w:rPr>
              <w:t>Pell</w:t>
            </w:r>
            <w:r w:rsidRPr="00421C90" w:rsidR="00B04D26">
              <w:rPr>
                <w:sz w:val="20"/>
                <w:szCs w:val="20"/>
              </w:rPr>
              <w:t xml:space="preserve"> students as those who received a Pell grant at any point in time during the reporting period even if </w:t>
            </w:r>
            <w:r w:rsidRPr="00421C90" w:rsidR="006D0E8F">
              <w:rPr>
                <w:sz w:val="20"/>
                <w:szCs w:val="20"/>
              </w:rPr>
              <w:t>they</w:t>
            </w:r>
            <w:r w:rsidRPr="00421C90" w:rsidR="00B04D26">
              <w:rPr>
                <w:sz w:val="20"/>
                <w:szCs w:val="20"/>
              </w:rPr>
              <w:t xml:space="preserve"> did</w:t>
            </w:r>
            <w:r w:rsidRPr="00421C90" w:rsidR="006D0E8F">
              <w:rPr>
                <w:sz w:val="20"/>
                <w:szCs w:val="20"/>
              </w:rPr>
              <w:t xml:space="preserve"> not</w:t>
            </w:r>
            <w:r w:rsidRPr="00421C90" w:rsidR="00B04D26">
              <w:rPr>
                <w:sz w:val="20"/>
                <w:szCs w:val="20"/>
              </w:rPr>
              <w:t xml:space="preserve"> receive Pell grants for each</w:t>
            </w:r>
            <w:r w:rsidRPr="00421C90" w:rsidR="000550C3">
              <w:rPr>
                <w:sz w:val="20"/>
                <w:szCs w:val="20"/>
              </w:rPr>
              <w:t xml:space="preserve"> and every one of the semester</w:t>
            </w:r>
            <w:r w:rsidRPr="00421C90" w:rsidR="006D0E8F">
              <w:rPr>
                <w:sz w:val="20"/>
                <w:szCs w:val="20"/>
              </w:rPr>
              <w:t>s</w:t>
            </w:r>
            <w:r w:rsidRPr="00421C90" w:rsidR="000550C3">
              <w:rPr>
                <w:sz w:val="20"/>
                <w:szCs w:val="20"/>
              </w:rPr>
              <w:t>/terms they enrolled.</w:t>
            </w:r>
          </w:p>
        </w:tc>
      </w:tr>
      <w:tr w:rsidR="00623B89" w:rsidTr="001E1237" w14:paraId="488D7A64" w14:textId="77777777">
        <w:trPr>
          <w:trHeight w:val="1455"/>
        </w:trPr>
        <w:tc>
          <w:tcPr>
            <w:tcW w:w="4725" w:type="dxa"/>
          </w:tcPr>
          <w:p w:rsidRPr="00421C90" w:rsidR="00623B89" w:rsidRDefault="00623B89" w14:paraId="4FD5571C" w14:textId="248CC267">
            <w:pPr>
              <w:rPr>
                <w:rFonts w:ascii="Calibri" w:hAnsi="Calibri" w:eastAsia="Calibri" w:cs="Calibri"/>
                <w:sz w:val="20"/>
                <w:szCs w:val="20"/>
              </w:rPr>
            </w:pPr>
            <w:r w:rsidRPr="00421C90">
              <w:rPr>
                <w:rFonts w:ascii="Calibri" w:hAnsi="Calibri" w:eastAsia="Calibri" w:cs="Calibri"/>
                <w:sz w:val="20"/>
                <w:szCs w:val="20"/>
              </w:rPr>
              <w:lastRenderedPageBreak/>
              <w:t xml:space="preserve">It would be difficult to determine the number of students who did not complete and are not returning, transferred, or temporarily stopped out, but plan to return. There is no formal withdrawal process at this institution. </w:t>
            </w:r>
          </w:p>
        </w:tc>
        <w:tc>
          <w:tcPr>
            <w:tcW w:w="1090" w:type="dxa"/>
          </w:tcPr>
          <w:p w:rsidRPr="00421C90" w:rsidR="00623B89" w:rsidRDefault="00623B89" w14:paraId="29A2190E" w14:textId="480BA827">
            <w:pPr>
              <w:rPr>
                <w:sz w:val="20"/>
                <w:szCs w:val="20"/>
              </w:rPr>
            </w:pPr>
            <w:r w:rsidRPr="00421C90">
              <w:rPr>
                <w:sz w:val="20"/>
                <w:szCs w:val="20"/>
              </w:rPr>
              <w:t>Q10</w:t>
            </w:r>
          </w:p>
        </w:tc>
        <w:tc>
          <w:tcPr>
            <w:tcW w:w="2280" w:type="dxa"/>
          </w:tcPr>
          <w:p w:rsidRPr="0031130F" w:rsidR="00623B89" w:rsidRDefault="00623B89" w14:paraId="5E95BF06" w14:textId="1AECDB03">
            <w:pPr>
              <w:rPr>
                <w:sz w:val="20"/>
                <w:szCs w:val="20"/>
              </w:rPr>
            </w:pPr>
            <w:r w:rsidRPr="0031130F">
              <w:rPr>
                <w:sz w:val="20"/>
                <w:szCs w:val="20"/>
              </w:rPr>
              <w:t>ED-2021-SCC-0093-0045</w:t>
            </w:r>
          </w:p>
          <w:p w:rsidRPr="0031130F" w:rsidR="00623B89" w:rsidRDefault="00623B89" w14:paraId="41B0CC72" w14:textId="0B4497B0">
            <w:pPr>
              <w:rPr>
                <w:rFonts w:ascii="Calibri" w:hAnsi="Calibri" w:eastAsia="Calibri" w:cs="Calibri"/>
                <w:sz w:val="20"/>
                <w:szCs w:val="20"/>
              </w:rPr>
            </w:pPr>
          </w:p>
        </w:tc>
        <w:tc>
          <w:tcPr>
            <w:tcW w:w="2070" w:type="dxa"/>
          </w:tcPr>
          <w:p w:rsidRPr="0031130F" w:rsidR="00FE07C3" w:rsidRDefault="00FE07C3" w14:paraId="57889FF1" w14:textId="27F7CC14">
            <w:pPr>
              <w:rPr>
                <w:rFonts w:cs="Calibri"/>
                <w:sz w:val="20"/>
                <w:szCs w:val="20"/>
                <w:shd w:val="clear" w:color="auto" w:fill="FFFFFF"/>
              </w:rPr>
            </w:pPr>
            <w:r w:rsidRPr="0031130F">
              <w:rPr>
                <w:rFonts w:cs="Calibri"/>
                <w:sz w:val="20"/>
                <w:szCs w:val="20"/>
                <w:shd w:val="clear" w:color="auto" w:fill="FFFFFF"/>
              </w:rPr>
              <w:t>Harper College</w:t>
            </w:r>
          </w:p>
        </w:tc>
        <w:tc>
          <w:tcPr>
            <w:tcW w:w="7105" w:type="dxa"/>
          </w:tcPr>
          <w:p w:rsidRPr="00421C90" w:rsidR="00623B89" w:rsidRDefault="00C64AF8" w14:paraId="7841964B" w14:textId="2B1ECC19">
            <w:pPr>
              <w:rPr>
                <w:sz w:val="20"/>
                <w:szCs w:val="20"/>
              </w:rPr>
            </w:pPr>
            <w:r w:rsidRPr="00421C90">
              <w:rPr>
                <w:sz w:val="20"/>
                <w:szCs w:val="20"/>
              </w:rPr>
              <w:t xml:space="preserve">No change. </w:t>
            </w:r>
            <w:r w:rsidRPr="00421C90" w:rsidR="00743153">
              <w:rPr>
                <w:sz w:val="20"/>
                <w:szCs w:val="20"/>
              </w:rPr>
              <w:t xml:space="preserve">Question 10 is intended to </w:t>
            </w:r>
            <w:r w:rsidRPr="00421C90" w:rsidR="00821002">
              <w:rPr>
                <w:sz w:val="20"/>
                <w:szCs w:val="20"/>
              </w:rPr>
              <w:t>help assess</w:t>
            </w:r>
            <w:r w:rsidRPr="00421C90" w:rsidR="00743153">
              <w:rPr>
                <w:sz w:val="20"/>
                <w:szCs w:val="20"/>
              </w:rPr>
              <w:t xml:space="preserve"> the combined impact of the pandemic and HEERF grant support. </w:t>
            </w:r>
            <w:r w:rsidRPr="00421C90" w:rsidR="006757DB">
              <w:rPr>
                <w:sz w:val="20"/>
                <w:szCs w:val="20"/>
              </w:rPr>
              <w:t>I</w:t>
            </w:r>
            <w:r w:rsidRPr="00421C90" w:rsidR="002F2071">
              <w:rPr>
                <w:sz w:val="20"/>
                <w:szCs w:val="20"/>
              </w:rPr>
              <w:t xml:space="preserve">nstitutions </w:t>
            </w:r>
            <w:r w:rsidRPr="00421C90" w:rsidR="006757DB">
              <w:rPr>
                <w:sz w:val="20"/>
                <w:szCs w:val="20"/>
              </w:rPr>
              <w:t xml:space="preserve">should </w:t>
            </w:r>
            <w:r w:rsidRPr="00421C90" w:rsidR="002F2071">
              <w:rPr>
                <w:sz w:val="20"/>
                <w:szCs w:val="20"/>
              </w:rPr>
              <w:t xml:space="preserve">use administrative </w:t>
            </w:r>
            <w:r w:rsidRPr="00421C90" w:rsidR="001557C9">
              <w:rPr>
                <w:sz w:val="20"/>
                <w:szCs w:val="20"/>
              </w:rPr>
              <w:t xml:space="preserve">data to </w:t>
            </w:r>
            <w:r w:rsidRPr="00421C90" w:rsidR="00682ED0">
              <w:rPr>
                <w:sz w:val="20"/>
                <w:szCs w:val="20"/>
              </w:rPr>
              <w:t xml:space="preserve">determine and </w:t>
            </w:r>
            <w:r w:rsidRPr="00421C90" w:rsidR="00906D03">
              <w:rPr>
                <w:sz w:val="20"/>
                <w:szCs w:val="20"/>
              </w:rPr>
              <w:t xml:space="preserve">report </w:t>
            </w:r>
            <w:r w:rsidRPr="00421C90" w:rsidR="00682ED0">
              <w:rPr>
                <w:sz w:val="20"/>
                <w:szCs w:val="20"/>
              </w:rPr>
              <w:t xml:space="preserve">the </w:t>
            </w:r>
            <w:r w:rsidRPr="00421C90" w:rsidR="00906D03">
              <w:rPr>
                <w:sz w:val="20"/>
                <w:szCs w:val="20"/>
              </w:rPr>
              <w:t xml:space="preserve">enrollment status of </w:t>
            </w:r>
            <w:r w:rsidRPr="00421C90" w:rsidR="00682ED0">
              <w:rPr>
                <w:sz w:val="20"/>
                <w:szCs w:val="20"/>
              </w:rPr>
              <w:t xml:space="preserve">students who received HEERF grants. </w:t>
            </w:r>
            <w:r w:rsidRPr="00421C90" w:rsidR="00632617">
              <w:rPr>
                <w:sz w:val="20"/>
                <w:szCs w:val="20"/>
              </w:rPr>
              <w:t>If the institution</w:t>
            </w:r>
            <w:r w:rsidRPr="00421C90" w:rsidR="00EE40A8">
              <w:rPr>
                <w:sz w:val="20"/>
                <w:szCs w:val="20"/>
              </w:rPr>
              <w:t xml:space="preserve"> still has difficultly determining the </w:t>
            </w:r>
            <w:r w:rsidRPr="00421C90" w:rsidR="0007470B">
              <w:rPr>
                <w:sz w:val="20"/>
                <w:szCs w:val="20"/>
              </w:rPr>
              <w:t>enrollment status for certain students, the</w:t>
            </w:r>
            <w:r w:rsidRPr="00421C90" w:rsidR="00E12870">
              <w:rPr>
                <w:sz w:val="20"/>
                <w:szCs w:val="20"/>
              </w:rPr>
              <w:t>n</w:t>
            </w:r>
            <w:r w:rsidRPr="00421C90" w:rsidR="0007470B">
              <w:rPr>
                <w:sz w:val="20"/>
                <w:szCs w:val="20"/>
              </w:rPr>
              <w:t xml:space="preserve"> </w:t>
            </w:r>
            <w:r w:rsidRPr="00421C90">
              <w:rPr>
                <w:sz w:val="20"/>
                <w:szCs w:val="20"/>
              </w:rPr>
              <w:t>the institution should</w:t>
            </w:r>
            <w:r w:rsidRPr="00421C90" w:rsidR="003B6198">
              <w:rPr>
                <w:sz w:val="20"/>
                <w:szCs w:val="20"/>
              </w:rPr>
              <w:t xml:space="preserve"> </w:t>
            </w:r>
            <w:r w:rsidRPr="00421C90" w:rsidR="00251333">
              <w:rPr>
                <w:sz w:val="20"/>
                <w:szCs w:val="20"/>
              </w:rPr>
              <w:t xml:space="preserve">employ the same </w:t>
            </w:r>
            <w:r w:rsidRPr="00421C90" w:rsidR="00F522D8">
              <w:rPr>
                <w:sz w:val="20"/>
                <w:szCs w:val="20"/>
              </w:rPr>
              <w:t>enrollment report</w:t>
            </w:r>
            <w:r w:rsidRPr="00421C90" w:rsidR="00251333">
              <w:rPr>
                <w:sz w:val="20"/>
                <w:szCs w:val="20"/>
              </w:rPr>
              <w:t>ing standards established for the Title IV enrollment reporting through</w:t>
            </w:r>
            <w:r w:rsidRPr="00421C90" w:rsidR="00E12870">
              <w:rPr>
                <w:sz w:val="20"/>
                <w:szCs w:val="20"/>
              </w:rPr>
              <w:t xml:space="preserve"> the National Student Loan Data System</w:t>
            </w:r>
            <w:r w:rsidRPr="00421C90" w:rsidR="00992BE4">
              <w:rPr>
                <w:sz w:val="20"/>
                <w:szCs w:val="20"/>
              </w:rPr>
              <w:t xml:space="preserve"> (</w:t>
            </w:r>
            <w:r w:rsidRPr="00421C90">
              <w:rPr>
                <w:sz w:val="20"/>
                <w:szCs w:val="20"/>
              </w:rPr>
              <w:t>NSLDS</w:t>
            </w:r>
            <w:r w:rsidRPr="00421C90" w:rsidR="00992BE4">
              <w:rPr>
                <w:sz w:val="20"/>
                <w:szCs w:val="20"/>
              </w:rPr>
              <w:t>)</w:t>
            </w:r>
            <w:r w:rsidRPr="00421C90" w:rsidR="00E12870">
              <w:rPr>
                <w:sz w:val="20"/>
                <w:szCs w:val="20"/>
              </w:rPr>
              <w:t>.</w:t>
            </w:r>
            <w:r w:rsidRPr="00421C90" w:rsidR="00632617">
              <w:rPr>
                <w:sz w:val="20"/>
                <w:szCs w:val="20"/>
              </w:rPr>
              <w:t xml:space="preserve"> </w:t>
            </w:r>
            <w:r w:rsidRPr="00421C90" w:rsidR="005E35EB">
              <w:rPr>
                <w:sz w:val="20"/>
                <w:szCs w:val="20"/>
              </w:rPr>
              <w:t>For example,</w:t>
            </w:r>
            <w:r w:rsidRPr="00421C90" w:rsidR="00992BE4">
              <w:rPr>
                <w:sz w:val="20"/>
                <w:szCs w:val="20"/>
              </w:rPr>
              <w:t xml:space="preserve"> if the last </w:t>
            </w:r>
            <w:r w:rsidRPr="00421C90" w:rsidR="00876078">
              <w:rPr>
                <w:sz w:val="20"/>
                <w:szCs w:val="20"/>
              </w:rPr>
              <w:t xml:space="preserve">valid </w:t>
            </w:r>
            <w:r w:rsidRPr="00421C90" w:rsidR="00992BE4">
              <w:rPr>
                <w:sz w:val="20"/>
                <w:szCs w:val="20"/>
              </w:rPr>
              <w:t>enrollment status</w:t>
            </w:r>
            <w:r w:rsidRPr="00421C90" w:rsidR="00876078">
              <w:rPr>
                <w:sz w:val="20"/>
                <w:szCs w:val="20"/>
              </w:rPr>
              <w:t xml:space="preserve"> </w:t>
            </w:r>
            <w:r w:rsidRPr="00421C90">
              <w:rPr>
                <w:sz w:val="20"/>
                <w:szCs w:val="20"/>
              </w:rPr>
              <w:t xml:space="preserve">for the student </w:t>
            </w:r>
            <w:r w:rsidRPr="00421C90" w:rsidR="00876078">
              <w:rPr>
                <w:sz w:val="20"/>
                <w:szCs w:val="20"/>
              </w:rPr>
              <w:t xml:space="preserve">in the </w:t>
            </w:r>
            <w:r w:rsidRPr="00421C90">
              <w:rPr>
                <w:sz w:val="20"/>
                <w:szCs w:val="20"/>
              </w:rPr>
              <w:t>reporting</w:t>
            </w:r>
            <w:r w:rsidRPr="00421C90" w:rsidR="00876078">
              <w:rPr>
                <w:sz w:val="20"/>
                <w:szCs w:val="20"/>
              </w:rPr>
              <w:t xml:space="preserve"> period i</w:t>
            </w:r>
            <w:r w:rsidRPr="00421C90" w:rsidR="00992BE4">
              <w:rPr>
                <w:sz w:val="20"/>
                <w:szCs w:val="20"/>
              </w:rPr>
              <w:t xml:space="preserve">s </w:t>
            </w:r>
            <w:r w:rsidRPr="00421C90" w:rsidR="00AC7D85">
              <w:rPr>
                <w:sz w:val="20"/>
                <w:szCs w:val="20"/>
              </w:rPr>
              <w:t xml:space="preserve">recorded as </w:t>
            </w:r>
            <w:r w:rsidRPr="00421C90" w:rsidR="00992BE4">
              <w:rPr>
                <w:sz w:val="20"/>
                <w:szCs w:val="20"/>
              </w:rPr>
              <w:t>a ‘W’</w:t>
            </w:r>
            <w:r w:rsidRPr="00421C90" w:rsidR="00BF3BC9">
              <w:rPr>
                <w:sz w:val="20"/>
                <w:szCs w:val="20"/>
              </w:rPr>
              <w:t xml:space="preserve"> record</w:t>
            </w:r>
            <w:r w:rsidRPr="00421C90" w:rsidR="00AC7D85">
              <w:rPr>
                <w:sz w:val="20"/>
                <w:szCs w:val="20"/>
              </w:rPr>
              <w:t xml:space="preserve"> for withdrawn, a student should be classified as withdrawn.</w:t>
            </w:r>
            <w:r w:rsidRPr="00421C90" w:rsidR="00992BE4">
              <w:rPr>
                <w:sz w:val="20"/>
                <w:szCs w:val="20"/>
              </w:rPr>
              <w:t xml:space="preserve"> </w:t>
            </w:r>
          </w:p>
        </w:tc>
      </w:tr>
      <w:tr w:rsidR="00623B89" w:rsidTr="001E1237" w14:paraId="0C648406" w14:textId="77777777">
        <w:tc>
          <w:tcPr>
            <w:tcW w:w="4725" w:type="dxa"/>
          </w:tcPr>
          <w:p w:rsidRPr="00421C90" w:rsidR="00623B89" w:rsidRDefault="00623B89" w14:paraId="34399A8A" w14:textId="29B5A050">
            <w:pPr>
              <w:rPr>
                <w:rFonts w:ascii="Calibri" w:hAnsi="Calibri" w:eastAsia="Calibri" w:cs="Calibri"/>
                <w:sz w:val="20"/>
                <w:szCs w:val="20"/>
              </w:rPr>
            </w:pPr>
            <w:r w:rsidRPr="00421C90">
              <w:rPr>
                <w:rFonts w:ascii="Calibri" w:hAnsi="Calibri" w:eastAsia="Calibri" w:cs="Calibri"/>
                <w:sz w:val="20"/>
                <w:szCs w:val="20"/>
              </w:rPr>
              <w:t>If Question 10 only requests degree-/certificate-seeking students, then the numbers will be skewed and will not include all students who were eligible and received HEERF funding. Ensure that all enrolled, eligible students are counted, including non-traditional students.</w:t>
            </w:r>
          </w:p>
        </w:tc>
        <w:tc>
          <w:tcPr>
            <w:tcW w:w="1090" w:type="dxa"/>
          </w:tcPr>
          <w:p w:rsidRPr="00421C90" w:rsidR="00623B89" w:rsidRDefault="00623B89" w14:paraId="679D0920" w14:textId="11C7B90D">
            <w:pPr>
              <w:rPr>
                <w:sz w:val="20"/>
                <w:szCs w:val="20"/>
              </w:rPr>
            </w:pPr>
            <w:r w:rsidRPr="00421C90">
              <w:rPr>
                <w:sz w:val="20"/>
                <w:szCs w:val="20"/>
              </w:rPr>
              <w:t>Q10</w:t>
            </w:r>
          </w:p>
        </w:tc>
        <w:tc>
          <w:tcPr>
            <w:tcW w:w="2280" w:type="dxa"/>
          </w:tcPr>
          <w:p w:rsidRPr="0031130F" w:rsidR="00623B89" w:rsidRDefault="00623B89" w14:paraId="40698153" w14:textId="1AECDB03">
            <w:pPr>
              <w:rPr>
                <w:sz w:val="20"/>
                <w:szCs w:val="20"/>
              </w:rPr>
            </w:pPr>
            <w:r w:rsidRPr="0031130F">
              <w:rPr>
                <w:sz w:val="20"/>
                <w:szCs w:val="20"/>
              </w:rPr>
              <w:t>ED-2021-SCC-0093-0045</w:t>
            </w:r>
          </w:p>
          <w:p w:rsidRPr="0031130F" w:rsidR="00623B89" w:rsidRDefault="00623B89" w14:paraId="6C2E6CF2" w14:textId="009C1E49">
            <w:pPr>
              <w:rPr>
                <w:sz w:val="20"/>
                <w:szCs w:val="20"/>
              </w:rPr>
            </w:pPr>
          </w:p>
        </w:tc>
        <w:tc>
          <w:tcPr>
            <w:tcW w:w="2070" w:type="dxa"/>
          </w:tcPr>
          <w:p w:rsidRPr="0031130F" w:rsidR="00FE07C3" w:rsidRDefault="00FE07C3" w14:paraId="0B4F680E" w14:textId="5D83BE23">
            <w:pPr>
              <w:rPr>
                <w:rFonts w:cs="Calibri"/>
                <w:sz w:val="20"/>
                <w:szCs w:val="20"/>
                <w:shd w:val="clear" w:color="auto" w:fill="FFFFFF"/>
              </w:rPr>
            </w:pPr>
            <w:r w:rsidRPr="0031130F">
              <w:rPr>
                <w:rFonts w:cs="Calibri"/>
                <w:sz w:val="20"/>
                <w:szCs w:val="20"/>
                <w:shd w:val="clear" w:color="auto" w:fill="FFFFFF"/>
              </w:rPr>
              <w:t>Harper College</w:t>
            </w:r>
          </w:p>
        </w:tc>
        <w:tc>
          <w:tcPr>
            <w:tcW w:w="7105" w:type="dxa"/>
          </w:tcPr>
          <w:p w:rsidRPr="00421C90" w:rsidR="00623B89" w:rsidRDefault="00C64AF8" w14:paraId="7F86247B" w14:textId="6C3D6B6F">
            <w:pPr>
              <w:rPr>
                <w:sz w:val="20"/>
                <w:szCs w:val="20"/>
              </w:rPr>
            </w:pPr>
            <w:r w:rsidRPr="00421C90">
              <w:rPr>
                <w:sz w:val="20"/>
                <w:szCs w:val="20"/>
              </w:rPr>
              <w:t xml:space="preserve">No change. </w:t>
            </w:r>
            <w:r w:rsidRPr="00421C90" w:rsidR="00623B89">
              <w:rPr>
                <w:sz w:val="20"/>
                <w:szCs w:val="20"/>
              </w:rPr>
              <w:t>The purpose of Question 10 is to understand the retention rate as defined by those who are still enrolled combined with those who graduated. This is only meaningful for degree/certificate seeking students. The intention is not to count students as withdrawn/dropping out if they left the institution without graduating when they never intended to graduate because they were not enrolled in a degree/certificate program.</w:t>
            </w:r>
          </w:p>
        </w:tc>
      </w:tr>
      <w:tr w:rsidR="00623B89" w:rsidTr="001E1237" w14:paraId="0D71ECCD" w14:textId="77777777">
        <w:tc>
          <w:tcPr>
            <w:tcW w:w="4725" w:type="dxa"/>
          </w:tcPr>
          <w:p w:rsidRPr="00421C90" w:rsidR="00623B89" w:rsidRDefault="00623B89" w14:paraId="0CF670BB" w14:textId="1040E070">
            <w:pPr>
              <w:rPr>
                <w:rFonts w:ascii="Calibri" w:hAnsi="Calibri" w:eastAsia="Calibri" w:cs="Calibri"/>
                <w:sz w:val="20"/>
                <w:szCs w:val="20"/>
              </w:rPr>
            </w:pPr>
            <w:r w:rsidRPr="00421C90">
              <w:rPr>
                <w:rFonts w:ascii="Calibri" w:hAnsi="Calibri" w:eastAsia="Calibri" w:cs="Calibri"/>
                <w:sz w:val="20"/>
                <w:szCs w:val="20"/>
              </w:rPr>
              <w:t>Recommendation to simplify HEERF reporting by allowing IHEs to report the use of funds annually.</w:t>
            </w:r>
          </w:p>
        </w:tc>
        <w:tc>
          <w:tcPr>
            <w:tcW w:w="1090" w:type="dxa"/>
          </w:tcPr>
          <w:p w:rsidRPr="00421C90" w:rsidR="00623B89" w:rsidRDefault="00623B89" w14:paraId="483C4AA8" w14:textId="0C108E88">
            <w:pPr>
              <w:rPr>
                <w:sz w:val="20"/>
                <w:szCs w:val="20"/>
              </w:rPr>
            </w:pPr>
            <w:r w:rsidRPr="00421C90">
              <w:rPr>
                <w:sz w:val="20"/>
                <w:szCs w:val="20"/>
              </w:rPr>
              <w:t>All</w:t>
            </w:r>
          </w:p>
        </w:tc>
        <w:tc>
          <w:tcPr>
            <w:tcW w:w="2280" w:type="dxa"/>
          </w:tcPr>
          <w:p w:rsidRPr="0031130F" w:rsidR="00623B89" w:rsidRDefault="00623B89" w14:paraId="66E5E219" w14:textId="5E187245">
            <w:pPr>
              <w:rPr>
                <w:sz w:val="20"/>
                <w:szCs w:val="20"/>
              </w:rPr>
            </w:pPr>
            <w:r w:rsidRPr="0031130F">
              <w:rPr>
                <w:sz w:val="20"/>
                <w:szCs w:val="20"/>
              </w:rPr>
              <w:t>ED-2021-SCC-0093-</w:t>
            </w:r>
            <w:bookmarkStart w:name="OLE_LINK1" w:id="1"/>
            <w:r w:rsidRPr="0031130F">
              <w:rPr>
                <w:sz w:val="20"/>
                <w:szCs w:val="20"/>
              </w:rPr>
              <w:t>0044</w:t>
            </w:r>
            <w:bookmarkEnd w:id="1"/>
          </w:p>
        </w:tc>
        <w:tc>
          <w:tcPr>
            <w:tcW w:w="2070" w:type="dxa"/>
          </w:tcPr>
          <w:p w:rsidRPr="0031130F" w:rsidR="003B1CA3" w:rsidRDefault="003B1CA3" w14:paraId="31419C66" w14:textId="77777777">
            <w:pPr>
              <w:rPr>
                <w:rFonts w:cs="Calibri"/>
                <w:sz w:val="20"/>
                <w:szCs w:val="20"/>
                <w:shd w:val="clear" w:color="auto" w:fill="FFFFFF"/>
              </w:rPr>
            </w:pPr>
            <w:r w:rsidRPr="0031130F">
              <w:rPr>
                <w:rFonts w:cs="Calibri"/>
                <w:sz w:val="20"/>
                <w:szCs w:val="20"/>
                <w:shd w:val="clear" w:color="auto" w:fill="FFFFFF"/>
              </w:rPr>
              <w:t>National Education Association</w:t>
            </w:r>
          </w:p>
          <w:p w:rsidRPr="0031130F" w:rsidR="003B1CA3" w:rsidRDefault="003B1CA3" w14:paraId="2B68B40B" w14:textId="77777777">
            <w:pPr>
              <w:rPr>
                <w:rFonts w:cs="Calibri"/>
                <w:sz w:val="20"/>
                <w:szCs w:val="20"/>
                <w:shd w:val="clear" w:color="auto" w:fill="FFFFFF"/>
              </w:rPr>
            </w:pPr>
          </w:p>
        </w:tc>
        <w:tc>
          <w:tcPr>
            <w:tcW w:w="7105" w:type="dxa"/>
          </w:tcPr>
          <w:p w:rsidRPr="00421C90" w:rsidR="00623B89" w:rsidRDefault="00C64AF8" w14:paraId="63E591B6" w14:textId="4F1D2030">
            <w:pPr>
              <w:rPr>
                <w:sz w:val="20"/>
                <w:szCs w:val="20"/>
              </w:rPr>
            </w:pPr>
            <w:r w:rsidRPr="00421C90">
              <w:rPr>
                <w:sz w:val="20"/>
                <w:szCs w:val="20"/>
              </w:rPr>
              <w:t xml:space="preserve">No change. </w:t>
            </w:r>
            <w:r w:rsidRPr="00421C90" w:rsidR="00623B89">
              <w:rPr>
                <w:sz w:val="20"/>
                <w:szCs w:val="20"/>
              </w:rPr>
              <w:t>The purpose of this Federal Register Notice is to provide feedback on annual reporting. To the extent that this comment is related to quarterly reporting, the Department can consider this comment in that context with legislative requirements.</w:t>
            </w:r>
          </w:p>
        </w:tc>
      </w:tr>
      <w:tr w:rsidR="00623B89" w:rsidTr="001E1237" w14:paraId="159D468F" w14:textId="77777777">
        <w:tc>
          <w:tcPr>
            <w:tcW w:w="4725" w:type="dxa"/>
          </w:tcPr>
          <w:p w:rsidRPr="00421C90" w:rsidR="00623B89" w:rsidP="0031130F" w:rsidRDefault="00623B89" w14:paraId="33E62A79" w14:textId="6F1788FB">
            <w:pPr>
              <w:rPr>
                <w:rFonts w:ascii="Calibri" w:hAnsi="Calibri" w:eastAsia="Calibri" w:cs="Calibri"/>
                <w:sz w:val="20"/>
                <w:szCs w:val="20"/>
              </w:rPr>
            </w:pPr>
            <w:r w:rsidRPr="00421C90">
              <w:rPr>
                <w:rFonts w:ascii="Calibri" w:hAnsi="Calibri" w:eastAsia="Calibri" w:cs="Calibri"/>
                <w:sz w:val="20"/>
                <w:szCs w:val="20"/>
              </w:rPr>
              <w:t>Supports ED’s proposal to include disaggregation of student emergency financial aid disbursements, by students’ race/ethnicity, gender, and age. Because Black, Latinx, Indigenous, and Asian American and Pacific Islander students and students from low-income backgrounds have been disproportionately impacted by the health, economic, and educational upheaval the pandemic has caused, the publication of data on the extent to which institutions are addressing these disparities is necessary to advance racial and socioeconomic equity. Alignment with other federal data collections will likely reduce burden.</w:t>
            </w:r>
          </w:p>
        </w:tc>
        <w:tc>
          <w:tcPr>
            <w:tcW w:w="1090" w:type="dxa"/>
          </w:tcPr>
          <w:p w:rsidRPr="00421C90" w:rsidR="00623B89" w:rsidRDefault="00623B89" w14:paraId="62CDAB2A" w14:textId="511613F1">
            <w:pPr>
              <w:rPr>
                <w:sz w:val="20"/>
                <w:szCs w:val="20"/>
              </w:rPr>
            </w:pPr>
            <w:r w:rsidRPr="00421C90">
              <w:rPr>
                <w:sz w:val="20"/>
                <w:szCs w:val="20"/>
              </w:rPr>
              <w:t>Q8, Q10</w:t>
            </w:r>
          </w:p>
        </w:tc>
        <w:tc>
          <w:tcPr>
            <w:tcW w:w="2280" w:type="dxa"/>
          </w:tcPr>
          <w:p w:rsidRPr="0031130F" w:rsidR="00623B89" w:rsidRDefault="00623B89" w14:paraId="4C34DC30" w14:textId="5FB1F0CC">
            <w:pPr>
              <w:rPr>
                <w:sz w:val="20"/>
                <w:szCs w:val="20"/>
              </w:rPr>
            </w:pPr>
            <w:r w:rsidRPr="0031130F">
              <w:rPr>
                <w:sz w:val="20"/>
                <w:szCs w:val="20"/>
              </w:rPr>
              <w:t>ED-2021-SCC-0093-0043</w:t>
            </w:r>
          </w:p>
        </w:tc>
        <w:tc>
          <w:tcPr>
            <w:tcW w:w="2070" w:type="dxa"/>
          </w:tcPr>
          <w:p w:rsidRPr="0031130F" w:rsidR="00075720" w:rsidRDefault="00075720" w14:paraId="6999E293" w14:textId="539874EE">
            <w:pPr>
              <w:rPr>
                <w:rFonts w:cs="Calibri"/>
                <w:sz w:val="20"/>
                <w:szCs w:val="20"/>
                <w:shd w:val="clear" w:color="auto" w:fill="FFFFFF"/>
              </w:rPr>
            </w:pPr>
            <w:r w:rsidRPr="0031130F">
              <w:rPr>
                <w:rFonts w:cs="Calibri"/>
                <w:sz w:val="20"/>
                <w:szCs w:val="20"/>
                <w:shd w:val="clear" w:color="auto" w:fill="FFFFFF"/>
              </w:rPr>
              <w:t>Institute for Higher Education Policy</w:t>
            </w:r>
          </w:p>
        </w:tc>
        <w:tc>
          <w:tcPr>
            <w:tcW w:w="7105" w:type="dxa"/>
          </w:tcPr>
          <w:p w:rsidRPr="00421C90" w:rsidR="00623B89" w:rsidRDefault="00C64AF8" w14:paraId="5A0139E7" w14:textId="766DB3DB">
            <w:pPr>
              <w:rPr>
                <w:sz w:val="20"/>
                <w:szCs w:val="20"/>
              </w:rPr>
            </w:pPr>
            <w:r w:rsidRPr="00421C90">
              <w:rPr>
                <w:sz w:val="20"/>
                <w:szCs w:val="20"/>
              </w:rPr>
              <w:t xml:space="preserve">No change. </w:t>
            </w:r>
            <w:r w:rsidRPr="00421C90" w:rsidR="00AC185F">
              <w:rPr>
                <w:sz w:val="20"/>
                <w:szCs w:val="20"/>
              </w:rPr>
              <w:t xml:space="preserve">The Department </w:t>
            </w:r>
            <w:r w:rsidRPr="00421C90" w:rsidR="00E403A2">
              <w:rPr>
                <w:sz w:val="20"/>
                <w:szCs w:val="20"/>
              </w:rPr>
              <w:t>appreciates support of its proposal to include disaggregation of student emergency financial aid disbursements, by students’ race/ethnicity, gender, and age.</w:t>
            </w:r>
          </w:p>
        </w:tc>
      </w:tr>
      <w:tr w:rsidR="00623B89" w:rsidTr="001E1237" w14:paraId="67488B32" w14:textId="77777777">
        <w:tc>
          <w:tcPr>
            <w:tcW w:w="4725" w:type="dxa"/>
          </w:tcPr>
          <w:p w:rsidRPr="00421C90" w:rsidR="00623B89" w:rsidP="0031130F" w:rsidRDefault="00623B89" w14:paraId="0CCC4095" w14:textId="5A275596">
            <w:pPr>
              <w:rPr>
                <w:rFonts w:ascii="Calibri" w:hAnsi="Calibri" w:eastAsia="Calibri" w:cs="Calibri"/>
                <w:sz w:val="20"/>
                <w:szCs w:val="20"/>
              </w:rPr>
            </w:pPr>
            <w:r w:rsidRPr="00421C90">
              <w:rPr>
                <w:rFonts w:ascii="Calibri" w:hAnsi="Calibri" w:eastAsia="Calibri" w:cs="Calibri"/>
                <w:sz w:val="20"/>
                <w:szCs w:val="20"/>
              </w:rPr>
              <w:t xml:space="preserve">Supports ED’s proposal to report employment figures for instructional and non-instructional staff. Because these categories serve unique functions for colleges and universities, this more granular information will provide a way to assess how the distribution of staffing has changed in the aftermath of COVID-19. Alignment with IPEDS will likely reduce </w:t>
            </w:r>
            <w:r w:rsidRPr="00421C90">
              <w:rPr>
                <w:rFonts w:ascii="Calibri" w:hAnsi="Calibri" w:eastAsia="Calibri" w:cs="Calibri"/>
                <w:sz w:val="20"/>
                <w:szCs w:val="20"/>
              </w:rPr>
              <w:lastRenderedPageBreak/>
              <w:t xml:space="preserve">burden. </w:t>
            </w:r>
            <w:r w:rsidRPr="0031130F" w:rsidR="00C64AF8">
              <w:rPr>
                <w:rFonts w:ascii="Calibri" w:hAnsi="Calibri" w:eastAsia="Calibri" w:cs="Calibri"/>
                <w:sz w:val="20"/>
                <w:szCs w:val="20"/>
              </w:rPr>
              <w:t>T</w:t>
            </w:r>
            <w:r w:rsidRPr="00421C90" w:rsidR="00C64AF8">
              <w:rPr>
                <w:rFonts w:ascii="Calibri" w:hAnsi="Calibri" w:eastAsia="Calibri" w:cs="Calibri"/>
                <w:sz w:val="20"/>
                <w:szCs w:val="20"/>
              </w:rPr>
              <w:t>his</w:t>
            </w:r>
            <w:r w:rsidRPr="00421C90">
              <w:rPr>
                <w:rFonts w:ascii="Calibri" w:hAnsi="Calibri" w:eastAsia="Calibri" w:cs="Calibri"/>
                <w:sz w:val="20"/>
                <w:szCs w:val="20"/>
              </w:rPr>
              <w:t xml:space="preserve"> information will better enable researchers and policymakers to understand how completion and withdrawal rates shifted for all students through the course of the pandemic, and the extent to which emergency financial aid served to counteract these disruptions in students’ educational trajectories.</w:t>
            </w:r>
          </w:p>
        </w:tc>
        <w:tc>
          <w:tcPr>
            <w:tcW w:w="1090" w:type="dxa"/>
          </w:tcPr>
          <w:p w:rsidRPr="00421C90" w:rsidR="00623B89" w:rsidRDefault="00623B89" w14:paraId="7E449FC1" w14:textId="4FF3A7F1">
            <w:pPr>
              <w:rPr>
                <w:sz w:val="20"/>
                <w:szCs w:val="20"/>
              </w:rPr>
            </w:pPr>
            <w:r w:rsidRPr="00421C90">
              <w:rPr>
                <w:sz w:val="20"/>
                <w:szCs w:val="20"/>
              </w:rPr>
              <w:lastRenderedPageBreak/>
              <w:t>Q11</w:t>
            </w:r>
          </w:p>
        </w:tc>
        <w:tc>
          <w:tcPr>
            <w:tcW w:w="2280" w:type="dxa"/>
          </w:tcPr>
          <w:p w:rsidRPr="0031130F" w:rsidR="00623B89" w:rsidRDefault="00623B89" w14:paraId="37557739" w14:textId="5FB1F0CC">
            <w:pPr>
              <w:rPr>
                <w:sz w:val="20"/>
                <w:szCs w:val="20"/>
              </w:rPr>
            </w:pPr>
            <w:r w:rsidRPr="0031130F">
              <w:rPr>
                <w:sz w:val="20"/>
                <w:szCs w:val="20"/>
              </w:rPr>
              <w:t>ED-2021-SCC-0093-0043</w:t>
            </w:r>
          </w:p>
          <w:p w:rsidRPr="0031130F" w:rsidR="00623B89" w:rsidRDefault="00623B89" w14:paraId="2A7FC150" w14:textId="1A8A6927">
            <w:pPr>
              <w:rPr>
                <w:sz w:val="20"/>
                <w:szCs w:val="20"/>
              </w:rPr>
            </w:pPr>
          </w:p>
        </w:tc>
        <w:tc>
          <w:tcPr>
            <w:tcW w:w="2070" w:type="dxa"/>
          </w:tcPr>
          <w:p w:rsidRPr="0031130F" w:rsidR="00075720" w:rsidRDefault="00075720" w14:paraId="69EB90A4" w14:textId="5571DB5D">
            <w:pPr>
              <w:rPr>
                <w:rFonts w:cs="Calibri"/>
                <w:sz w:val="20"/>
                <w:szCs w:val="20"/>
                <w:shd w:val="clear" w:color="auto" w:fill="FFFFFF"/>
              </w:rPr>
            </w:pPr>
            <w:r w:rsidRPr="0031130F">
              <w:rPr>
                <w:rFonts w:cs="Calibri"/>
                <w:sz w:val="20"/>
                <w:szCs w:val="20"/>
                <w:shd w:val="clear" w:color="auto" w:fill="FFFFFF"/>
              </w:rPr>
              <w:t>Institute for Higher Education Policy</w:t>
            </w:r>
          </w:p>
        </w:tc>
        <w:tc>
          <w:tcPr>
            <w:tcW w:w="7105" w:type="dxa"/>
          </w:tcPr>
          <w:p w:rsidRPr="00421C90" w:rsidR="00623B89" w:rsidRDefault="00C64AF8" w14:paraId="55F3816B" w14:textId="70D9ADC0">
            <w:pPr>
              <w:rPr>
                <w:sz w:val="20"/>
                <w:szCs w:val="20"/>
              </w:rPr>
            </w:pPr>
            <w:r w:rsidRPr="00421C90">
              <w:rPr>
                <w:sz w:val="20"/>
                <w:szCs w:val="20"/>
              </w:rPr>
              <w:t xml:space="preserve">No change. </w:t>
            </w:r>
            <w:r w:rsidRPr="00421C90" w:rsidR="00E403A2">
              <w:rPr>
                <w:sz w:val="20"/>
                <w:szCs w:val="20"/>
              </w:rPr>
              <w:t xml:space="preserve">The Department appreciates support </w:t>
            </w:r>
            <w:r w:rsidRPr="00421C90" w:rsidR="00736841">
              <w:rPr>
                <w:sz w:val="20"/>
                <w:szCs w:val="20"/>
              </w:rPr>
              <w:t xml:space="preserve">of its proposal </w:t>
            </w:r>
            <w:r w:rsidRPr="00421C90" w:rsidR="00E403A2">
              <w:rPr>
                <w:sz w:val="20"/>
                <w:szCs w:val="20"/>
              </w:rPr>
              <w:t>to report employment figures for instructional and non-instructional staff.</w:t>
            </w:r>
          </w:p>
        </w:tc>
      </w:tr>
      <w:tr w:rsidR="00623B89" w:rsidTr="001E1237" w14:paraId="5FD200C6" w14:textId="77777777">
        <w:tc>
          <w:tcPr>
            <w:tcW w:w="4725" w:type="dxa"/>
          </w:tcPr>
          <w:p w:rsidRPr="00421C90" w:rsidR="00623B89" w:rsidP="0031130F" w:rsidRDefault="00623B89" w14:paraId="69C9882B" w14:textId="6524E01D">
            <w:pPr>
              <w:rPr>
                <w:rFonts w:ascii="Calibri" w:hAnsi="Calibri" w:eastAsia="Calibri" w:cs="Calibri"/>
                <w:sz w:val="20"/>
                <w:szCs w:val="20"/>
              </w:rPr>
            </w:pPr>
            <w:r w:rsidRPr="00421C90">
              <w:rPr>
                <w:rFonts w:ascii="Calibri" w:hAnsi="Calibri" w:eastAsia="Calibri" w:cs="Calibri"/>
                <w:sz w:val="20"/>
                <w:szCs w:val="20"/>
              </w:rPr>
              <w:t>Supports Ed’s proposal to use comparison groups to contextualize the completion and withdrawal rates for HEERF recipients. This information will better enable researchers and policymakers to understand how completion and withdrawal rates shifted for all students through the course of the pandemic, and the extent to which emergency financial aid served to counteract these disruptions in students’ educational trajectories.</w:t>
            </w:r>
          </w:p>
        </w:tc>
        <w:tc>
          <w:tcPr>
            <w:tcW w:w="1090" w:type="dxa"/>
          </w:tcPr>
          <w:p w:rsidRPr="00421C90" w:rsidR="00623B89" w:rsidRDefault="00623B89" w14:paraId="13390970" w14:textId="34D6C2FD">
            <w:pPr>
              <w:rPr>
                <w:sz w:val="20"/>
                <w:szCs w:val="20"/>
              </w:rPr>
            </w:pPr>
            <w:r w:rsidRPr="00421C90">
              <w:rPr>
                <w:sz w:val="20"/>
                <w:szCs w:val="20"/>
              </w:rPr>
              <w:t>Q10</w:t>
            </w:r>
          </w:p>
        </w:tc>
        <w:tc>
          <w:tcPr>
            <w:tcW w:w="2280" w:type="dxa"/>
          </w:tcPr>
          <w:p w:rsidRPr="0031130F" w:rsidR="00623B89" w:rsidRDefault="00623B89" w14:paraId="2A874034" w14:textId="5FB1F0CC">
            <w:pPr>
              <w:rPr>
                <w:sz w:val="20"/>
                <w:szCs w:val="20"/>
              </w:rPr>
            </w:pPr>
            <w:r w:rsidRPr="0031130F">
              <w:rPr>
                <w:sz w:val="20"/>
                <w:szCs w:val="20"/>
              </w:rPr>
              <w:t>ED-2021-SCC-0093-0043</w:t>
            </w:r>
          </w:p>
          <w:p w:rsidRPr="0031130F" w:rsidR="00623B89" w:rsidRDefault="00623B89" w14:paraId="3B60517F" w14:textId="1A8A6927">
            <w:pPr>
              <w:rPr>
                <w:sz w:val="20"/>
                <w:szCs w:val="20"/>
              </w:rPr>
            </w:pPr>
          </w:p>
          <w:p w:rsidRPr="0031130F" w:rsidR="00623B89" w:rsidRDefault="00623B89" w14:paraId="19017844" w14:textId="77FA0F18">
            <w:pPr>
              <w:rPr>
                <w:sz w:val="20"/>
                <w:szCs w:val="20"/>
              </w:rPr>
            </w:pPr>
          </w:p>
        </w:tc>
        <w:tc>
          <w:tcPr>
            <w:tcW w:w="2070" w:type="dxa"/>
          </w:tcPr>
          <w:p w:rsidRPr="0031130F" w:rsidR="00075720" w:rsidRDefault="00075720" w14:paraId="2D24906D" w14:textId="0BF97267">
            <w:pPr>
              <w:rPr>
                <w:rFonts w:cs="Calibri"/>
                <w:sz w:val="20"/>
                <w:szCs w:val="20"/>
                <w:shd w:val="clear" w:color="auto" w:fill="FFFFFF"/>
              </w:rPr>
            </w:pPr>
            <w:r w:rsidRPr="0031130F">
              <w:rPr>
                <w:rFonts w:cs="Calibri"/>
                <w:sz w:val="20"/>
                <w:szCs w:val="20"/>
                <w:shd w:val="clear" w:color="auto" w:fill="FFFFFF"/>
              </w:rPr>
              <w:t>Institute for Higher Education Policy</w:t>
            </w:r>
          </w:p>
        </w:tc>
        <w:tc>
          <w:tcPr>
            <w:tcW w:w="7105" w:type="dxa"/>
          </w:tcPr>
          <w:p w:rsidRPr="00421C90" w:rsidR="00623B89" w:rsidRDefault="006874BE" w14:paraId="23B97D26" w14:textId="56A2E048">
            <w:pPr>
              <w:rPr>
                <w:sz w:val="20"/>
                <w:szCs w:val="20"/>
              </w:rPr>
            </w:pPr>
            <w:r w:rsidRPr="00421C90">
              <w:rPr>
                <w:sz w:val="20"/>
                <w:szCs w:val="20"/>
              </w:rPr>
              <w:t xml:space="preserve">Change. </w:t>
            </w:r>
            <w:r w:rsidRPr="00421C90" w:rsidR="00EE56CC">
              <w:rPr>
                <w:sz w:val="20"/>
                <w:szCs w:val="20"/>
              </w:rPr>
              <w:t>While the Department preserved the historical comparisons, t</w:t>
            </w:r>
            <w:r w:rsidRPr="00421C90">
              <w:rPr>
                <w:sz w:val="20"/>
                <w:szCs w:val="20"/>
              </w:rPr>
              <w:t>he data collection instrument no longer disaggregates by students who received HEERF emergency grants. By understanding retention rates of the overall student population, this provides a proxy for how retention rates overall changed during the pandemic</w:t>
            </w:r>
            <w:r w:rsidRPr="00421C90" w:rsidR="00C64AF8">
              <w:rPr>
                <w:sz w:val="20"/>
                <w:szCs w:val="20"/>
              </w:rPr>
              <w:t>.</w:t>
            </w:r>
          </w:p>
        </w:tc>
      </w:tr>
      <w:tr w:rsidR="00623B89" w:rsidTr="001E1237" w14:paraId="5546652D" w14:textId="77777777">
        <w:tc>
          <w:tcPr>
            <w:tcW w:w="4725" w:type="dxa"/>
          </w:tcPr>
          <w:p w:rsidRPr="00421C90" w:rsidR="00623B89" w:rsidP="0031130F" w:rsidRDefault="00623B89" w14:paraId="668680F1" w14:textId="7ED142D7">
            <w:pPr>
              <w:rPr>
                <w:rFonts w:ascii="Calibri" w:hAnsi="Calibri" w:eastAsia="Calibri" w:cs="Calibri"/>
                <w:sz w:val="20"/>
                <w:szCs w:val="20"/>
              </w:rPr>
            </w:pPr>
            <w:r w:rsidRPr="00421C90">
              <w:rPr>
                <w:rFonts w:ascii="Calibri" w:hAnsi="Calibri" w:eastAsia="Calibri" w:cs="Calibri"/>
                <w:sz w:val="20"/>
                <w:szCs w:val="20"/>
              </w:rPr>
              <w:t>ED should publish a user-friendly machine-readable file at the institution level to maximize the value of the data submitted in these reports.</w:t>
            </w:r>
          </w:p>
        </w:tc>
        <w:tc>
          <w:tcPr>
            <w:tcW w:w="1090" w:type="dxa"/>
          </w:tcPr>
          <w:p w:rsidRPr="00421C90" w:rsidR="00623B89" w:rsidRDefault="00623B89" w14:paraId="1627A4E9" w14:textId="3DE3AEEC">
            <w:pPr>
              <w:rPr>
                <w:sz w:val="20"/>
                <w:szCs w:val="20"/>
              </w:rPr>
            </w:pPr>
            <w:r w:rsidRPr="00421C90">
              <w:rPr>
                <w:sz w:val="20"/>
                <w:szCs w:val="20"/>
              </w:rPr>
              <w:t>All</w:t>
            </w:r>
          </w:p>
        </w:tc>
        <w:tc>
          <w:tcPr>
            <w:tcW w:w="2280" w:type="dxa"/>
          </w:tcPr>
          <w:p w:rsidRPr="0031130F" w:rsidR="00623B89" w:rsidRDefault="00623B89" w14:paraId="46B583DE" w14:textId="5FB1F0CC">
            <w:pPr>
              <w:rPr>
                <w:sz w:val="20"/>
                <w:szCs w:val="20"/>
              </w:rPr>
            </w:pPr>
            <w:r w:rsidRPr="0031130F">
              <w:rPr>
                <w:sz w:val="20"/>
                <w:szCs w:val="20"/>
              </w:rPr>
              <w:t>ED-2021-SCC-0093-0043</w:t>
            </w:r>
          </w:p>
          <w:p w:rsidRPr="0031130F" w:rsidR="00623B89" w:rsidRDefault="00623B89" w14:paraId="5D0E5FC8" w14:textId="6E6E1B9B">
            <w:pPr>
              <w:rPr>
                <w:sz w:val="20"/>
                <w:szCs w:val="20"/>
              </w:rPr>
            </w:pPr>
          </w:p>
        </w:tc>
        <w:tc>
          <w:tcPr>
            <w:tcW w:w="2070" w:type="dxa"/>
          </w:tcPr>
          <w:p w:rsidRPr="0031130F" w:rsidR="00075720" w:rsidRDefault="00075720" w14:paraId="7AE1E83B" w14:textId="7BA6974E">
            <w:pPr>
              <w:rPr>
                <w:rFonts w:cs="Calibri"/>
                <w:sz w:val="20"/>
                <w:szCs w:val="20"/>
                <w:shd w:val="clear" w:color="auto" w:fill="FFFFFF"/>
              </w:rPr>
            </w:pPr>
            <w:r w:rsidRPr="0031130F">
              <w:rPr>
                <w:rFonts w:cs="Calibri"/>
                <w:sz w:val="20"/>
                <w:szCs w:val="20"/>
                <w:shd w:val="clear" w:color="auto" w:fill="FFFFFF"/>
              </w:rPr>
              <w:t>Institute for Higher Education Policy</w:t>
            </w:r>
          </w:p>
        </w:tc>
        <w:tc>
          <w:tcPr>
            <w:tcW w:w="7105" w:type="dxa"/>
          </w:tcPr>
          <w:p w:rsidRPr="00421C90" w:rsidR="00BA706E" w:rsidRDefault="00C64AF8" w14:paraId="79AA0AC9" w14:textId="418317DA">
            <w:pPr>
              <w:rPr>
                <w:sz w:val="20"/>
                <w:szCs w:val="20"/>
              </w:rPr>
            </w:pPr>
            <w:r w:rsidRPr="00421C90">
              <w:rPr>
                <w:sz w:val="20"/>
                <w:szCs w:val="20"/>
              </w:rPr>
              <w:t xml:space="preserve">Clarification. </w:t>
            </w:r>
            <w:r w:rsidRPr="00421C90" w:rsidR="445A3A4F">
              <w:rPr>
                <w:sz w:val="20"/>
                <w:szCs w:val="20"/>
              </w:rPr>
              <w:t>The Department</w:t>
            </w:r>
            <w:r w:rsidRPr="00421C90" w:rsidR="5D455312">
              <w:rPr>
                <w:sz w:val="20"/>
                <w:szCs w:val="20"/>
              </w:rPr>
              <w:t xml:space="preserve"> currently publishes </w:t>
            </w:r>
            <w:r w:rsidRPr="00421C90" w:rsidR="7FE0577C">
              <w:rPr>
                <w:sz w:val="20"/>
                <w:szCs w:val="20"/>
              </w:rPr>
              <w:t>a</w:t>
            </w:r>
            <w:r w:rsidRPr="00421C90" w:rsidR="5D455312">
              <w:rPr>
                <w:sz w:val="20"/>
                <w:szCs w:val="20"/>
              </w:rPr>
              <w:t xml:space="preserve"> </w:t>
            </w:r>
            <w:r w:rsidRPr="00421C90" w:rsidR="4DB44149">
              <w:rPr>
                <w:sz w:val="20"/>
                <w:szCs w:val="20"/>
              </w:rPr>
              <w:t>CSV file</w:t>
            </w:r>
            <w:r w:rsidRPr="00421C90" w:rsidR="7937B5A2">
              <w:rPr>
                <w:sz w:val="20"/>
                <w:szCs w:val="20"/>
              </w:rPr>
              <w:t xml:space="preserve"> and data dictionary</w:t>
            </w:r>
            <w:r w:rsidRPr="00421C90" w:rsidR="4DB44149">
              <w:rPr>
                <w:sz w:val="20"/>
                <w:szCs w:val="20"/>
              </w:rPr>
              <w:t xml:space="preserve"> of</w:t>
            </w:r>
            <w:r w:rsidRPr="00421C90" w:rsidR="6B934178">
              <w:rPr>
                <w:sz w:val="20"/>
                <w:szCs w:val="20"/>
              </w:rPr>
              <w:t xml:space="preserve"> the institution</w:t>
            </w:r>
            <w:r w:rsidRPr="00421C90" w:rsidR="445A3A4F">
              <w:rPr>
                <w:sz w:val="20"/>
                <w:szCs w:val="20"/>
              </w:rPr>
              <w:t>al-</w:t>
            </w:r>
            <w:r w:rsidRPr="00421C90" w:rsidR="6B934178">
              <w:rPr>
                <w:sz w:val="20"/>
                <w:szCs w:val="20"/>
              </w:rPr>
              <w:t xml:space="preserve">level of </w:t>
            </w:r>
            <w:r w:rsidRPr="00421C90" w:rsidR="445A3A4F">
              <w:rPr>
                <w:sz w:val="20"/>
                <w:szCs w:val="20"/>
              </w:rPr>
              <w:t xml:space="preserve">HEERF annual </w:t>
            </w:r>
            <w:r w:rsidRPr="00421C90" w:rsidR="6B934178">
              <w:rPr>
                <w:sz w:val="20"/>
                <w:szCs w:val="20"/>
              </w:rPr>
              <w:t>repor</w:t>
            </w:r>
            <w:r w:rsidRPr="00421C90" w:rsidR="445A3A4F">
              <w:rPr>
                <w:sz w:val="20"/>
                <w:szCs w:val="20"/>
              </w:rPr>
              <w:t xml:space="preserve">t </w:t>
            </w:r>
            <w:r w:rsidRPr="00421C90" w:rsidR="6B934178">
              <w:rPr>
                <w:sz w:val="20"/>
                <w:szCs w:val="20"/>
              </w:rPr>
              <w:t xml:space="preserve">data on </w:t>
            </w:r>
            <w:hyperlink r:id="rId10">
              <w:r w:rsidRPr="00421C90" w:rsidR="7FE0577C">
                <w:rPr>
                  <w:rStyle w:val="Hyperlink"/>
                  <w:sz w:val="20"/>
                  <w:szCs w:val="20"/>
                </w:rPr>
                <w:t>https://covid-relief-data.ed.gov/</w:t>
              </w:r>
            </w:hyperlink>
            <w:r w:rsidRPr="00421C90" w:rsidR="445A3A4F">
              <w:rPr>
                <w:sz w:val="20"/>
                <w:szCs w:val="20"/>
              </w:rPr>
              <w:t xml:space="preserve"> under </w:t>
            </w:r>
            <w:r w:rsidRPr="00421C90" w:rsidR="652FEE17">
              <w:rPr>
                <w:sz w:val="20"/>
                <w:szCs w:val="20"/>
              </w:rPr>
              <w:t>‘Program Downloads</w:t>
            </w:r>
            <w:r w:rsidRPr="00421C90" w:rsidR="008C6BA5">
              <w:rPr>
                <w:sz w:val="20"/>
                <w:szCs w:val="20"/>
              </w:rPr>
              <w:t>.</w:t>
            </w:r>
            <w:r w:rsidRPr="00421C90" w:rsidR="652FEE17">
              <w:rPr>
                <w:sz w:val="20"/>
                <w:szCs w:val="20"/>
              </w:rPr>
              <w:t xml:space="preserve">’  The Department plans to continue </w:t>
            </w:r>
            <w:r w:rsidRPr="0031130F">
              <w:rPr>
                <w:sz w:val="20"/>
                <w:szCs w:val="20"/>
              </w:rPr>
              <w:t>to</w:t>
            </w:r>
            <w:r w:rsidRPr="00421C90">
              <w:rPr>
                <w:sz w:val="20"/>
                <w:szCs w:val="20"/>
              </w:rPr>
              <w:t xml:space="preserve"> </w:t>
            </w:r>
            <w:r w:rsidRPr="00421C90" w:rsidR="652FEE17">
              <w:rPr>
                <w:sz w:val="20"/>
                <w:szCs w:val="20"/>
              </w:rPr>
              <w:t xml:space="preserve">publish </w:t>
            </w:r>
            <w:r w:rsidRPr="00421C90" w:rsidR="7937B5A2">
              <w:rPr>
                <w:sz w:val="20"/>
                <w:szCs w:val="20"/>
              </w:rPr>
              <w:t xml:space="preserve">these data </w:t>
            </w:r>
            <w:r w:rsidRPr="00421C90">
              <w:rPr>
                <w:sz w:val="20"/>
                <w:szCs w:val="20"/>
              </w:rPr>
              <w:t xml:space="preserve">and make improvements to the website </w:t>
            </w:r>
            <w:r w:rsidRPr="00421C90" w:rsidR="00483D22">
              <w:rPr>
                <w:sz w:val="20"/>
                <w:szCs w:val="20"/>
              </w:rPr>
              <w:t xml:space="preserve">in </w:t>
            </w:r>
            <w:r w:rsidRPr="00421C90" w:rsidR="7937B5A2">
              <w:rPr>
                <w:sz w:val="20"/>
                <w:szCs w:val="20"/>
              </w:rPr>
              <w:t xml:space="preserve">subsequent years. </w:t>
            </w:r>
          </w:p>
          <w:p w:rsidRPr="00421C90" w:rsidR="00623B89" w:rsidRDefault="00623B89" w14:paraId="3BAE6396" w14:textId="23832834">
            <w:pPr>
              <w:rPr>
                <w:sz w:val="20"/>
                <w:szCs w:val="20"/>
              </w:rPr>
            </w:pPr>
          </w:p>
        </w:tc>
      </w:tr>
      <w:tr w:rsidR="00623B89" w:rsidTr="001E1237" w14:paraId="68117E15" w14:textId="77777777">
        <w:tc>
          <w:tcPr>
            <w:tcW w:w="4725" w:type="dxa"/>
          </w:tcPr>
          <w:p w:rsidRPr="00421C90" w:rsidR="00623B89" w:rsidP="0031130F" w:rsidRDefault="6D66BD58" w14:paraId="517B163D" w14:textId="6CB3A27D">
            <w:pPr>
              <w:rPr>
                <w:rFonts w:ascii="Calibri" w:hAnsi="Calibri" w:eastAsia="Calibri" w:cs="Calibri"/>
                <w:sz w:val="20"/>
                <w:szCs w:val="20"/>
              </w:rPr>
            </w:pPr>
            <w:r w:rsidRPr="00421C90">
              <w:rPr>
                <w:rFonts w:ascii="Calibri" w:hAnsi="Calibri" w:eastAsia="Calibri" w:cs="Calibri"/>
                <w:sz w:val="20"/>
                <w:szCs w:val="20"/>
              </w:rPr>
              <w:t>ED should collect information on whether students were required to submit documentation of their difficulty in meeting expenses, as well as any new academic requirements put in place for emergency fund eligibility.</w:t>
            </w:r>
          </w:p>
        </w:tc>
        <w:tc>
          <w:tcPr>
            <w:tcW w:w="1090" w:type="dxa"/>
          </w:tcPr>
          <w:p w:rsidRPr="00421C90" w:rsidR="00623B89" w:rsidRDefault="00623B89" w14:paraId="674F7201" w14:textId="126F0DE4">
            <w:pPr>
              <w:rPr>
                <w:sz w:val="20"/>
                <w:szCs w:val="20"/>
              </w:rPr>
            </w:pPr>
            <w:r w:rsidRPr="00421C90">
              <w:rPr>
                <w:sz w:val="20"/>
                <w:szCs w:val="20"/>
              </w:rPr>
              <w:t>All</w:t>
            </w:r>
          </w:p>
        </w:tc>
        <w:tc>
          <w:tcPr>
            <w:tcW w:w="2280" w:type="dxa"/>
          </w:tcPr>
          <w:p w:rsidRPr="0031130F" w:rsidR="00623B89" w:rsidRDefault="00623B89" w14:paraId="77952CF9" w14:textId="238CDA79">
            <w:pPr>
              <w:rPr>
                <w:sz w:val="20"/>
                <w:szCs w:val="20"/>
              </w:rPr>
            </w:pPr>
            <w:r w:rsidRPr="0031130F">
              <w:rPr>
                <w:sz w:val="20"/>
                <w:szCs w:val="20"/>
              </w:rPr>
              <w:t>ED-2021-SCC-0093-0043</w:t>
            </w:r>
          </w:p>
        </w:tc>
        <w:tc>
          <w:tcPr>
            <w:tcW w:w="2070" w:type="dxa"/>
          </w:tcPr>
          <w:p w:rsidRPr="0031130F" w:rsidR="00075720" w:rsidRDefault="00075720" w14:paraId="6D4AA3BF" w14:textId="41078CE3">
            <w:pPr>
              <w:rPr>
                <w:rFonts w:cs="Calibri"/>
                <w:sz w:val="20"/>
                <w:szCs w:val="20"/>
                <w:shd w:val="clear" w:color="auto" w:fill="FFFFFF"/>
              </w:rPr>
            </w:pPr>
            <w:r w:rsidRPr="0031130F">
              <w:rPr>
                <w:rFonts w:cs="Calibri"/>
                <w:sz w:val="20"/>
                <w:szCs w:val="20"/>
                <w:shd w:val="clear" w:color="auto" w:fill="FFFFFF"/>
              </w:rPr>
              <w:t>Institute for Higher Education Policy</w:t>
            </w:r>
          </w:p>
        </w:tc>
        <w:tc>
          <w:tcPr>
            <w:tcW w:w="7105" w:type="dxa"/>
          </w:tcPr>
          <w:p w:rsidRPr="00421C90" w:rsidR="00FD6F8E" w:rsidRDefault="00C64AF8" w14:paraId="047E4832" w14:textId="42504DEF">
            <w:pPr>
              <w:rPr>
                <w:sz w:val="20"/>
                <w:szCs w:val="20"/>
              </w:rPr>
            </w:pPr>
            <w:r w:rsidRPr="00421C90">
              <w:rPr>
                <w:sz w:val="20"/>
                <w:szCs w:val="20"/>
              </w:rPr>
              <w:t xml:space="preserve">Change. </w:t>
            </w:r>
            <w:r w:rsidRPr="00421C90" w:rsidR="004A1419">
              <w:rPr>
                <w:sz w:val="20"/>
                <w:szCs w:val="20"/>
              </w:rPr>
              <w:t xml:space="preserve">The draft data collection form </w:t>
            </w:r>
            <w:r w:rsidRPr="00421C90" w:rsidR="00E3640F">
              <w:rPr>
                <w:sz w:val="20"/>
                <w:szCs w:val="20"/>
              </w:rPr>
              <w:t xml:space="preserve">now includes </w:t>
            </w:r>
            <w:r w:rsidRPr="00421C90" w:rsidR="00AF6E87">
              <w:rPr>
                <w:sz w:val="20"/>
                <w:szCs w:val="20"/>
              </w:rPr>
              <w:t>information about</w:t>
            </w:r>
            <w:r w:rsidRPr="00421C90" w:rsidR="00EC36D1">
              <w:rPr>
                <w:sz w:val="20"/>
                <w:szCs w:val="20"/>
              </w:rPr>
              <w:t xml:space="preserve"> required documentation.</w:t>
            </w:r>
            <w:r w:rsidRPr="00421C90">
              <w:rPr>
                <w:sz w:val="20"/>
                <w:szCs w:val="20"/>
              </w:rPr>
              <w:t xml:space="preserve"> No change related to academic requirements to the extent that it is not aligned with prior guidance described here: </w:t>
            </w:r>
            <w:hyperlink w:history="1" r:id="rId11">
              <w:r w:rsidRPr="0031130F" w:rsidR="00031F15">
                <w:rPr>
                  <w:rStyle w:val="Hyperlink"/>
                </w:rPr>
                <w:t>https://www2.ed.gov/about/offices/list/ope/opebriefingheerfarpinstitution.pdf</w:t>
              </w:r>
            </w:hyperlink>
            <w:r w:rsidR="00031F15">
              <w:rPr>
                <w:sz w:val="20"/>
                <w:szCs w:val="20"/>
              </w:rPr>
              <w:t xml:space="preserve">. </w:t>
            </w:r>
          </w:p>
          <w:p w:rsidRPr="00421C90" w:rsidR="00623B89" w:rsidRDefault="00623B89" w14:paraId="00B888E8" w14:textId="04533C38">
            <w:pPr>
              <w:rPr>
                <w:sz w:val="20"/>
                <w:szCs w:val="20"/>
              </w:rPr>
            </w:pPr>
          </w:p>
        </w:tc>
      </w:tr>
      <w:tr w:rsidR="00623B89" w:rsidTr="001E1237" w14:paraId="29DA2741" w14:textId="77777777">
        <w:tc>
          <w:tcPr>
            <w:tcW w:w="4725" w:type="dxa"/>
          </w:tcPr>
          <w:p w:rsidRPr="00421C90" w:rsidR="00623B89" w:rsidP="0031130F" w:rsidRDefault="00623B89" w14:paraId="7B43ABDB" w14:textId="7B1BCF98">
            <w:pPr>
              <w:rPr>
                <w:rFonts w:ascii="Calibri" w:hAnsi="Calibri" w:eastAsia="Calibri" w:cs="Calibri"/>
                <w:sz w:val="20"/>
                <w:szCs w:val="20"/>
              </w:rPr>
            </w:pPr>
            <w:r w:rsidRPr="00421C90">
              <w:rPr>
                <w:rFonts w:ascii="Calibri" w:hAnsi="Calibri" w:eastAsia="Calibri" w:cs="Calibri"/>
                <w:sz w:val="20"/>
                <w:szCs w:val="20"/>
              </w:rPr>
              <w:t>ED should collect information regarding whether institutions communicated with students about how their data would be collected, secured, and shared and for what purpose</w:t>
            </w:r>
          </w:p>
        </w:tc>
        <w:tc>
          <w:tcPr>
            <w:tcW w:w="1090" w:type="dxa"/>
          </w:tcPr>
          <w:p w:rsidRPr="00421C90" w:rsidR="00623B89" w:rsidRDefault="00623B89" w14:paraId="47C2252A" w14:textId="42EA097D">
            <w:pPr>
              <w:rPr>
                <w:sz w:val="20"/>
                <w:szCs w:val="20"/>
              </w:rPr>
            </w:pPr>
            <w:r w:rsidRPr="00421C90">
              <w:rPr>
                <w:sz w:val="20"/>
                <w:szCs w:val="20"/>
              </w:rPr>
              <w:t>All</w:t>
            </w:r>
          </w:p>
        </w:tc>
        <w:tc>
          <w:tcPr>
            <w:tcW w:w="2280" w:type="dxa"/>
          </w:tcPr>
          <w:p w:rsidRPr="0031130F" w:rsidR="00623B89" w:rsidRDefault="00623B89" w14:paraId="71569B50" w14:textId="55CD63DC">
            <w:pPr>
              <w:rPr>
                <w:sz w:val="20"/>
                <w:szCs w:val="20"/>
              </w:rPr>
            </w:pPr>
            <w:r w:rsidRPr="0031130F">
              <w:rPr>
                <w:sz w:val="20"/>
                <w:szCs w:val="20"/>
              </w:rPr>
              <w:t>ED-2021-SCC-0093-0043</w:t>
            </w:r>
          </w:p>
        </w:tc>
        <w:tc>
          <w:tcPr>
            <w:tcW w:w="2070" w:type="dxa"/>
          </w:tcPr>
          <w:p w:rsidRPr="0031130F" w:rsidR="00075720" w:rsidRDefault="00075720" w14:paraId="0700F1CA" w14:textId="59B4BC8D">
            <w:pPr>
              <w:rPr>
                <w:rFonts w:cs="Calibri"/>
                <w:sz w:val="20"/>
                <w:szCs w:val="20"/>
                <w:shd w:val="clear" w:color="auto" w:fill="FFFFFF"/>
              </w:rPr>
            </w:pPr>
            <w:r w:rsidRPr="0031130F">
              <w:rPr>
                <w:rFonts w:cs="Calibri"/>
                <w:sz w:val="20"/>
                <w:szCs w:val="20"/>
                <w:shd w:val="clear" w:color="auto" w:fill="FFFFFF"/>
              </w:rPr>
              <w:t>Institute for Higher Education Policy</w:t>
            </w:r>
          </w:p>
        </w:tc>
        <w:tc>
          <w:tcPr>
            <w:tcW w:w="7105" w:type="dxa"/>
          </w:tcPr>
          <w:p w:rsidRPr="00421C90" w:rsidR="00623B89" w:rsidRDefault="00C64AF8" w14:paraId="71774A62" w14:textId="5D36DD09">
            <w:pPr>
              <w:rPr>
                <w:sz w:val="20"/>
                <w:szCs w:val="20"/>
              </w:rPr>
            </w:pPr>
            <w:r w:rsidRPr="00421C90">
              <w:rPr>
                <w:sz w:val="20"/>
                <w:szCs w:val="20"/>
              </w:rPr>
              <w:t>No change. While the draft data collection form does not include a question on this, the</w:t>
            </w:r>
            <w:r w:rsidRPr="00421C90" w:rsidR="2204E302">
              <w:rPr>
                <w:sz w:val="20"/>
                <w:szCs w:val="20"/>
              </w:rPr>
              <w:t xml:space="preserve"> Department</w:t>
            </w:r>
            <w:r w:rsidRPr="00421C90" w:rsidR="7381F533">
              <w:rPr>
                <w:sz w:val="20"/>
                <w:szCs w:val="20"/>
              </w:rPr>
              <w:t xml:space="preserve"> </w:t>
            </w:r>
            <w:r w:rsidRPr="00421C90">
              <w:rPr>
                <w:sz w:val="20"/>
                <w:szCs w:val="20"/>
              </w:rPr>
              <w:t>can get</w:t>
            </w:r>
            <w:r w:rsidRPr="00421C90" w:rsidR="641A5C35">
              <w:rPr>
                <w:sz w:val="20"/>
                <w:szCs w:val="20"/>
              </w:rPr>
              <w:t xml:space="preserve"> this from</w:t>
            </w:r>
            <w:r w:rsidRPr="00421C90" w:rsidR="69DF46F3">
              <w:rPr>
                <w:sz w:val="20"/>
                <w:szCs w:val="20"/>
              </w:rPr>
              <w:t xml:space="preserve"> individual institutions </w:t>
            </w:r>
            <w:r w:rsidRPr="00421C90">
              <w:rPr>
                <w:sz w:val="20"/>
                <w:szCs w:val="20"/>
              </w:rPr>
              <w:t xml:space="preserve">on an </w:t>
            </w:r>
            <w:r w:rsidRPr="00421C90" w:rsidR="0BB6666E">
              <w:rPr>
                <w:sz w:val="20"/>
                <w:szCs w:val="20"/>
              </w:rPr>
              <w:t xml:space="preserve">as-needed basis </w:t>
            </w:r>
            <w:r w:rsidRPr="00421C90">
              <w:rPr>
                <w:sz w:val="20"/>
                <w:szCs w:val="20"/>
              </w:rPr>
              <w:t>(</w:t>
            </w:r>
            <w:r w:rsidRPr="00421C90" w:rsidR="005B4CD4">
              <w:rPr>
                <w:sz w:val="20"/>
                <w:szCs w:val="20"/>
              </w:rPr>
              <w:t>e.g.,</w:t>
            </w:r>
            <w:r w:rsidRPr="00421C90">
              <w:rPr>
                <w:sz w:val="20"/>
                <w:szCs w:val="20"/>
              </w:rPr>
              <w:t xml:space="preserve"> if there are complaints on use of data) </w:t>
            </w:r>
            <w:r w:rsidRPr="00421C90" w:rsidR="0BB6666E">
              <w:rPr>
                <w:sz w:val="20"/>
                <w:szCs w:val="20"/>
              </w:rPr>
              <w:t>through its monitoring</w:t>
            </w:r>
            <w:r w:rsidRPr="00421C90">
              <w:rPr>
                <w:sz w:val="20"/>
                <w:szCs w:val="20"/>
              </w:rPr>
              <w:t xml:space="preserve"> processes.</w:t>
            </w:r>
          </w:p>
        </w:tc>
      </w:tr>
      <w:tr w:rsidR="00623B89" w:rsidTr="001E1237" w14:paraId="03CFFFE8" w14:textId="77777777">
        <w:tc>
          <w:tcPr>
            <w:tcW w:w="4725" w:type="dxa"/>
          </w:tcPr>
          <w:p w:rsidRPr="00421C90" w:rsidR="00623B89" w:rsidP="0031130F" w:rsidRDefault="00623B89" w14:paraId="2421CC34" w14:textId="77777777">
            <w:pPr>
              <w:rPr>
                <w:rFonts w:ascii="Calibri" w:hAnsi="Calibri" w:eastAsia="Calibri" w:cs="Calibri"/>
                <w:sz w:val="20"/>
                <w:szCs w:val="20"/>
              </w:rPr>
            </w:pPr>
            <w:r w:rsidRPr="00421C90">
              <w:rPr>
                <w:rFonts w:ascii="Calibri" w:hAnsi="Calibri" w:eastAsia="Calibri" w:cs="Calibri"/>
                <w:sz w:val="20"/>
                <w:szCs w:val="20"/>
              </w:rPr>
              <w:t>ED should consider improving the</w:t>
            </w:r>
          </w:p>
          <w:p w:rsidRPr="00421C90" w:rsidR="00623B89" w:rsidP="0031130F" w:rsidRDefault="00623B89" w14:paraId="057C5642" w14:textId="6FF940C6">
            <w:pPr>
              <w:rPr>
                <w:rFonts w:ascii="Calibri" w:hAnsi="Calibri" w:eastAsia="Calibri" w:cs="Calibri"/>
                <w:sz w:val="20"/>
                <w:szCs w:val="20"/>
              </w:rPr>
            </w:pPr>
            <w:r w:rsidRPr="00421C90">
              <w:rPr>
                <w:rFonts w:ascii="Calibri" w:hAnsi="Calibri" w:eastAsia="Calibri" w:cs="Calibri"/>
                <w:sz w:val="20"/>
                <w:szCs w:val="20"/>
              </w:rPr>
              <w:t>system to enable institutions to amend the annual data collection form after the initial filing in a timeframe similar to the FISAP process. This capability would improve the accuracy of the information</w:t>
            </w:r>
          </w:p>
          <w:p w:rsidRPr="00421C90" w:rsidR="00623B89" w:rsidP="0031130F" w:rsidRDefault="00623B89" w14:paraId="5155F517" w14:textId="0E05E69D">
            <w:pPr>
              <w:rPr>
                <w:rFonts w:ascii="Calibri" w:hAnsi="Calibri" w:eastAsia="Calibri" w:cs="Calibri"/>
                <w:sz w:val="20"/>
                <w:szCs w:val="20"/>
              </w:rPr>
            </w:pPr>
            <w:r w:rsidRPr="00421C90">
              <w:rPr>
                <w:rFonts w:ascii="Calibri" w:hAnsi="Calibri" w:eastAsia="Calibri" w:cs="Calibri"/>
                <w:sz w:val="20"/>
                <w:szCs w:val="20"/>
              </w:rPr>
              <w:t>reported</w:t>
            </w:r>
          </w:p>
        </w:tc>
        <w:tc>
          <w:tcPr>
            <w:tcW w:w="1090" w:type="dxa"/>
          </w:tcPr>
          <w:p w:rsidRPr="00421C90" w:rsidR="00623B89" w:rsidRDefault="00623B89" w14:paraId="69A853F0" w14:textId="1D317E69">
            <w:pPr>
              <w:rPr>
                <w:sz w:val="20"/>
                <w:szCs w:val="20"/>
              </w:rPr>
            </w:pPr>
            <w:r w:rsidRPr="00421C90">
              <w:rPr>
                <w:sz w:val="20"/>
                <w:szCs w:val="20"/>
              </w:rPr>
              <w:t>All</w:t>
            </w:r>
          </w:p>
        </w:tc>
        <w:tc>
          <w:tcPr>
            <w:tcW w:w="2280" w:type="dxa"/>
          </w:tcPr>
          <w:p w:rsidRPr="0031130F" w:rsidR="00623B89" w:rsidRDefault="00623B89" w14:paraId="61A2BECA" w14:textId="77777777">
            <w:pPr>
              <w:rPr>
                <w:sz w:val="20"/>
                <w:szCs w:val="20"/>
              </w:rPr>
            </w:pPr>
            <w:r w:rsidRPr="0031130F">
              <w:rPr>
                <w:sz w:val="20"/>
                <w:szCs w:val="20"/>
              </w:rPr>
              <w:t>ED-2021-SCC-0093-0037</w:t>
            </w:r>
          </w:p>
          <w:p w:rsidRPr="0031130F" w:rsidR="00623B89" w:rsidRDefault="00623B89" w14:paraId="79A8FD32" w14:textId="0FA3A16B">
            <w:pPr>
              <w:rPr>
                <w:sz w:val="20"/>
                <w:szCs w:val="20"/>
              </w:rPr>
            </w:pPr>
            <w:r w:rsidRPr="0031130F">
              <w:rPr>
                <w:sz w:val="20"/>
                <w:szCs w:val="20"/>
              </w:rPr>
              <w:t>ED-2021-SCC-0093-0031</w:t>
            </w:r>
          </w:p>
        </w:tc>
        <w:tc>
          <w:tcPr>
            <w:tcW w:w="2070" w:type="dxa"/>
          </w:tcPr>
          <w:p w:rsidRPr="0031130F" w:rsidR="00894FF4" w:rsidRDefault="00894FF4" w14:paraId="5E432CC9" w14:textId="2F4D2624">
            <w:pPr>
              <w:rPr>
                <w:sz w:val="20"/>
                <w:szCs w:val="20"/>
              </w:rPr>
            </w:pPr>
            <w:r w:rsidRPr="0031130F">
              <w:rPr>
                <w:sz w:val="20"/>
                <w:szCs w:val="20"/>
              </w:rPr>
              <w:t>McClintock &amp; Associates, P.C.</w:t>
            </w:r>
          </w:p>
        </w:tc>
        <w:tc>
          <w:tcPr>
            <w:tcW w:w="7105" w:type="dxa"/>
          </w:tcPr>
          <w:p w:rsidRPr="00421C90" w:rsidR="00623B89" w:rsidRDefault="00C64AF8" w14:paraId="63064D4A" w14:textId="1CCA901E">
            <w:pPr>
              <w:rPr>
                <w:sz w:val="20"/>
                <w:szCs w:val="20"/>
              </w:rPr>
            </w:pPr>
            <w:r w:rsidRPr="00421C90">
              <w:rPr>
                <w:sz w:val="20"/>
                <w:szCs w:val="20"/>
              </w:rPr>
              <w:t xml:space="preserve">Clarification. </w:t>
            </w:r>
            <w:r w:rsidRPr="00421C90" w:rsidR="004C5873">
              <w:rPr>
                <w:sz w:val="20"/>
                <w:szCs w:val="20"/>
              </w:rPr>
              <w:t xml:space="preserve">Institutions </w:t>
            </w:r>
            <w:r w:rsidRPr="00421C90">
              <w:rPr>
                <w:sz w:val="20"/>
                <w:szCs w:val="20"/>
              </w:rPr>
              <w:t>will be</w:t>
            </w:r>
            <w:r w:rsidRPr="00421C90" w:rsidR="004D7103">
              <w:rPr>
                <w:sz w:val="20"/>
                <w:szCs w:val="20"/>
              </w:rPr>
              <w:t xml:space="preserve"> given the </w:t>
            </w:r>
            <w:r w:rsidRPr="00421C90" w:rsidR="00E226EA">
              <w:rPr>
                <w:sz w:val="20"/>
                <w:szCs w:val="20"/>
              </w:rPr>
              <w:t>opportunity</w:t>
            </w:r>
            <w:r w:rsidRPr="00421C90" w:rsidR="004C5873">
              <w:rPr>
                <w:sz w:val="20"/>
                <w:szCs w:val="20"/>
              </w:rPr>
              <w:t xml:space="preserve"> </w:t>
            </w:r>
            <w:r w:rsidRPr="00421C90" w:rsidR="004722A4">
              <w:rPr>
                <w:sz w:val="20"/>
                <w:szCs w:val="20"/>
              </w:rPr>
              <w:t xml:space="preserve">to </w:t>
            </w:r>
            <w:r w:rsidRPr="00421C90" w:rsidR="004C5873">
              <w:rPr>
                <w:sz w:val="20"/>
                <w:szCs w:val="20"/>
              </w:rPr>
              <w:t>amend the annual data collection form after the initial filing</w:t>
            </w:r>
            <w:r w:rsidRPr="00421C90" w:rsidR="004722A4">
              <w:rPr>
                <w:sz w:val="20"/>
                <w:szCs w:val="20"/>
              </w:rPr>
              <w:t xml:space="preserve">. </w:t>
            </w:r>
          </w:p>
        </w:tc>
      </w:tr>
      <w:tr w:rsidR="00623B89" w:rsidTr="001E1237" w14:paraId="37080C70" w14:textId="77777777">
        <w:tc>
          <w:tcPr>
            <w:tcW w:w="4725" w:type="dxa"/>
          </w:tcPr>
          <w:p w:rsidRPr="00421C90" w:rsidR="00623B89" w:rsidP="0031130F" w:rsidRDefault="00623B89" w14:paraId="1CEC168C" w14:textId="77777777">
            <w:pPr>
              <w:rPr>
                <w:rFonts w:ascii="Calibri" w:hAnsi="Calibri" w:eastAsia="Calibri" w:cs="Calibri"/>
                <w:sz w:val="20"/>
                <w:szCs w:val="20"/>
              </w:rPr>
            </w:pPr>
            <w:r w:rsidRPr="00421C90">
              <w:rPr>
                <w:rFonts w:ascii="Calibri" w:hAnsi="Calibri" w:eastAsia="Calibri" w:cs="Calibri"/>
                <w:sz w:val="20"/>
                <w:szCs w:val="20"/>
              </w:rPr>
              <w:lastRenderedPageBreak/>
              <w:t>When reporting lost revenue, institutions should use their FASB or GASB</w:t>
            </w:r>
          </w:p>
          <w:p w:rsidRPr="00421C90" w:rsidR="00623B89" w:rsidP="0031130F" w:rsidRDefault="00623B89" w14:paraId="4C36989E" w14:textId="6028AA4E">
            <w:pPr>
              <w:rPr>
                <w:rFonts w:ascii="Calibri" w:hAnsi="Calibri" w:eastAsia="Calibri" w:cs="Calibri"/>
                <w:sz w:val="20"/>
                <w:szCs w:val="20"/>
              </w:rPr>
            </w:pPr>
            <w:r w:rsidRPr="00421C90">
              <w:rPr>
                <w:rFonts w:ascii="Calibri" w:hAnsi="Calibri" w:eastAsia="Calibri" w:cs="Calibri"/>
                <w:sz w:val="20"/>
                <w:szCs w:val="20"/>
              </w:rPr>
              <w:t>defined financial statement reporting line items for revenue in order to allow for a direct tie back to the institutional financial statements</w:t>
            </w:r>
          </w:p>
        </w:tc>
        <w:tc>
          <w:tcPr>
            <w:tcW w:w="1090" w:type="dxa"/>
          </w:tcPr>
          <w:p w:rsidRPr="00421C90" w:rsidR="00623B89" w:rsidRDefault="00623B89" w14:paraId="6589C3E2" w14:textId="60078FA2">
            <w:pPr>
              <w:rPr>
                <w:sz w:val="20"/>
                <w:szCs w:val="20"/>
              </w:rPr>
            </w:pPr>
            <w:r w:rsidRPr="00421C90">
              <w:rPr>
                <w:sz w:val="20"/>
                <w:szCs w:val="20"/>
              </w:rPr>
              <w:t>Q9</w:t>
            </w:r>
          </w:p>
        </w:tc>
        <w:tc>
          <w:tcPr>
            <w:tcW w:w="2280" w:type="dxa"/>
          </w:tcPr>
          <w:p w:rsidRPr="0031130F" w:rsidR="00623B89" w:rsidRDefault="00623B89" w14:paraId="712C90D0" w14:textId="00B37FBE">
            <w:pPr>
              <w:rPr>
                <w:sz w:val="20"/>
                <w:szCs w:val="20"/>
              </w:rPr>
            </w:pPr>
            <w:r w:rsidRPr="0031130F">
              <w:rPr>
                <w:sz w:val="20"/>
                <w:szCs w:val="20"/>
              </w:rPr>
              <w:t>ED-2021-SCC-0093-0034</w:t>
            </w:r>
          </w:p>
        </w:tc>
        <w:tc>
          <w:tcPr>
            <w:tcW w:w="2070" w:type="dxa"/>
          </w:tcPr>
          <w:p w:rsidRPr="0031130F" w:rsidR="00CE5AD4" w:rsidRDefault="00CE5AD4" w14:paraId="63089BD7" w14:textId="3037BC7E">
            <w:pPr>
              <w:rPr>
                <w:sz w:val="20"/>
                <w:szCs w:val="20"/>
              </w:rPr>
            </w:pPr>
            <w:r w:rsidRPr="0031130F">
              <w:rPr>
                <w:sz w:val="20"/>
                <w:szCs w:val="20"/>
              </w:rPr>
              <w:t>Regents of the University of Minnesota</w:t>
            </w:r>
          </w:p>
        </w:tc>
        <w:tc>
          <w:tcPr>
            <w:tcW w:w="7105" w:type="dxa"/>
          </w:tcPr>
          <w:p w:rsidRPr="00421C90" w:rsidR="00623B89" w:rsidRDefault="00C64AF8" w14:paraId="55BC61FD" w14:textId="4E4FB611">
            <w:pPr>
              <w:rPr>
                <w:sz w:val="20"/>
                <w:szCs w:val="20"/>
              </w:rPr>
            </w:pPr>
            <w:r w:rsidRPr="00421C90">
              <w:rPr>
                <w:sz w:val="20"/>
                <w:szCs w:val="20"/>
              </w:rPr>
              <w:t xml:space="preserve">Change. </w:t>
            </w:r>
            <w:r w:rsidRPr="00421C90" w:rsidR="00905FF4">
              <w:rPr>
                <w:sz w:val="20"/>
                <w:szCs w:val="20"/>
              </w:rPr>
              <w:t>The question on lost revenue has been reframed and no longer focuses on expenditures.</w:t>
            </w:r>
          </w:p>
        </w:tc>
      </w:tr>
      <w:tr w:rsidR="00623B89" w:rsidTr="001E1237" w14:paraId="7064EE05" w14:textId="77777777">
        <w:tc>
          <w:tcPr>
            <w:tcW w:w="4725" w:type="dxa"/>
          </w:tcPr>
          <w:p w:rsidRPr="00421C90" w:rsidR="00623B89" w:rsidP="0031130F" w:rsidRDefault="00623B89" w14:paraId="163FAABD" w14:textId="4B37EB9C">
            <w:pPr>
              <w:rPr>
                <w:rFonts w:ascii="Calibri" w:hAnsi="Calibri" w:eastAsia="Calibri" w:cs="Calibri"/>
                <w:sz w:val="20"/>
                <w:szCs w:val="20"/>
              </w:rPr>
            </w:pPr>
            <w:r w:rsidRPr="00421C90">
              <w:rPr>
                <w:rFonts w:ascii="Calibri" w:hAnsi="Calibri" w:eastAsia="Calibri" w:cs="Calibri"/>
                <w:sz w:val="20"/>
                <w:szCs w:val="20"/>
              </w:rPr>
              <w:t>Students did not need to be enrolled to</w:t>
            </w:r>
          </w:p>
          <w:p w:rsidRPr="00421C90" w:rsidR="00623B89" w:rsidP="0031130F" w:rsidRDefault="00623B89" w14:paraId="5331ADB1" w14:textId="425719AF">
            <w:pPr>
              <w:rPr>
                <w:rFonts w:ascii="Calibri" w:hAnsi="Calibri" w:eastAsia="Calibri" w:cs="Calibri"/>
                <w:sz w:val="20"/>
                <w:szCs w:val="20"/>
              </w:rPr>
            </w:pPr>
            <w:r w:rsidRPr="00421C90">
              <w:rPr>
                <w:rFonts w:ascii="Calibri" w:hAnsi="Calibri" w:eastAsia="Calibri" w:cs="Calibri"/>
                <w:sz w:val="20"/>
                <w:szCs w:val="20"/>
              </w:rPr>
              <w:t>receive HEERF grants. This will make data difficult to interpret if ED is attempting to link receipt of HEERF to persistence toward degree because students who withdrew despite receiving HEERF grants and students who were already withdrawn and did not re-enroll after receiving HEERF grants would both have an enrollment status of withdrawn at the end of the reporting period</w:t>
            </w:r>
          </w:p>
        </w:tc>
        <w:tc>
          <w:tcPr>
            <w:tcW w:w="1090" w:type="dxa"/>
          </w:tcPr>
          <w:p w:rsidRPr="00421C90" w:rsidR="00623B89" w:rsidRDefault="00623B89" w14:paraId="33E14C9F" w14:textId="1D20432C">
            <w:pPr>
              <w:rPr>
                <w:sz w:val="20"/>
                <w:szCs w:val="20"/>
              </w:rPr>
            </w:pPr>
            <w:r w:rsidRPr="00421C90">
              <w:rPr>
                <w:sz w:val="20"/>
                <w:szCs w:val="20"/>
              </w:rPr>
              <w:t>Q10</w:t>
            </w:r>
          </w:p>
        </w:tc>
        <w:tc>
          <w:tcPr>
            <w:tcW w:w="2280" w:type="dxa"/>
          </w:tcPr>
          <w:p w:rsidRPr="0031130F" w:rsidR="00623B89" w:rsidRDefault="00623B89" w14:paraId="65454A20" w14:textId="5E5F11E0">
            <w:pPr>
              <w:rPr>
                <w:sz w:val="20"/>
                <w:szCs w:val="20"/>
              </w:rPr>
            </w:pPr>
            <w:r w:rsidRPr="0031130F">
              <w:rPr>
                <w:sz w:val="20"/>
                <w:szCs w:val="20"/>
              </w:rPr>
              <w:t>ED-2021-SCC-0093-0040</w:t>
            </w:r>
          </w:p>
        </w:tc>
        <w:tc>
          <w:tcPr>
            <w:tcW w:w="2070" w:type="dxa"/>
          </w:tcPr>
          <w:p w:rsidRPr="0031130F" w:rsidR="00CD5513" w:rsidRDefault="00CD5513" w14:paraId="05B13975" w14:textId="2EFE4863">
            <w:pPr>
              <w:rPr>
                <w:sz w:val="20"/>
                <w:szCs w:val="20"/>
              </w:rPr>
            </w:pPr>
            <w:r w:rsidRPr="0031130F">
              <w:rPr>
                <w:sz w:val="20"/>
                <w:szCs w:val="20"/>
              </w:rPr>
              <w:t>NASFAA/NACUBO</w:t>
            </w:r>
          </w:p>
        </w:tc>
        <w:tc>
          <w:tcPr>
            <w:tcW w:w="7105" w:type="dxa"/>
          </w:tcPr>
          <w:p w:rsidRPr="00421C90" w:rsidR="00623B89" w:rsidRDefault="00C64AF8" w14:paraId="2E3989B7" w14:textId="04929029">
            <w:pPr>
              <w:rPr>
                <w:sz w:val="20"/>
                <w:szCs w:val="20"/>
              </w:rPr>
            </w:pPr>
            <w:r w:rsidRPr="00421C90">
              <w:rPr>
                <w:sz w:val="20"/>
                <w:szCs w:val="20"/>
              </w:rPr>
              <w:t>No change. The purpose of the question is to shed light on which students were able to stay in school/come back to school or graduate. A student who withdrew (and did not subsequently enroll) prior to receiving a grant should be categorized as withdrawn per the instructions indicating that the student was not able to come back to school despite receiving a grant.</w:t>
            </w:r>
          </w:p>
        </w:tc>
      </w:tr>
      <w:tr w:rsidR="00623B89" w:rsidTr="001E1237" w14:paraId="4D45AA64" w14:textId="77777777">
        <w:tc>
          <w:tcPr>
            <w:tcW w:w="4725" w:type="dxa"/>
          </w:tcPr>
          <w:p w:rsidRPr="00421C90" w:rsidR="00C64AF8" w:rsidP="0031130F" w:rsidRDefault="00C64AF8" w14:paraId="2A5FBC7C" w14:textId="77777777">
            <w:pPr>
              <w:rPr>
                <w:rFonts w:ascii="Calibri" w:hAnsi="Calibri" w:eastAsia="Calibri" w:cs="Calibri"/>
                <w:sz w:val="20"/>
                <w:szCs w:val="20"/>
              </w:rPr>
            </w:pPr>
            <w:r w:rsidRPr="00421C90">
              <w:rPr>
                <w:rFonts w:ascii="Calibri" w:hAnsi="Calibri" w:eastAsia="Calibri" w:cs="Calibri"/>
                <w:sz w:val="20"/>
                <w:szCs w:val="20"/>
              </w:rPr>
              <w:t>Footnotes 10 and 11, while technically correct in explaining the approved uses of funds for HEERF grants authorized under the CARES Act, may confuse institutions because this reporting</w:t>
            </w:r>
            <w:r w:rsidRPr="0031130F">
              <w:rPr>
                <w:sz w:val="20"/>
                <w:szCs w:val="20"/>
              </w:rPr>
              <w:t xml:space="preserve"> </w:t>
            </w:r>
            <w:r w:rsidRPr="00421C90">
              <w:rPr>
                <w:rFonts w:ascii="Calibri" w:hAnsi="Calibri" w:eastAsia="Calibri" w:cs="Calibri"/>
                <w:sz w:val="20"/>
                <w:szCs w:val="20"/>
              </w:rPr>
              <w:t>period includes not only CARES Act HEERF grants, but also HEERF grants authorized under the Coronavirus Response and Relief Supplemental Appropriations Act, 2021 and the American Rescue Plan, which expanded allowable uses of funds for unspent CARES Act funds. We recommend clarifying the footnote to address this fact. Question 9b included footnote indicating that for certain line items, it is expected that related salaries and benefits (such as repurposed or newly COVID-19 associated payroll, and/or newly hired faculty and staff) will be included. This would/could include salaries and benefits in the</w:t>
            </w:r>
          </w:p>
          <w:p w:rsidRPr="00421C90" w:rsidR="00C64AF8" w:rsidP="0031130F" w:rsidRDefault="00C64AF8" w14:paraId="35CEBAD0" w14:textId="77777777">
            <w:pPr>
              <w:rPr>
                <w:rFonts w:ascii="Calibri" w:hAnsi="Calibri" w:eastAsia="Calibri" w:cs="Calibri"/>
                <w:sz w:val="20"/>
                <w:szCs w:val="20"/>
              </w:rPr>
            </w:pPr>
            <w:r w:rsidRPr="00421C90">
              <w:rPr>
                <w:rFonts w:ascii="Calibri" w:hAnsi="Calibri" w:eastAsia="Calibri" w:cs="Calibri"/>
                <w:sz w:val="20"/>
                <w:szCs w:val="20"/>
              </w:rPr>
              <w:t>following areas:</w:t>
            </w:r>
          </w:p>
          <w:p w:rsidRPr="00421C90" w:rsidR="00C64AF8" w:rsidP="0031130F" w:rsidRDefault="00C64AF8" w14:paraId="56E18844" w14:textId="77777777">
            <w:pPr>
              <w:rPr>
                <w:rFonts w:ascii="Calibri" w:hAnsi="Calibri" w:eastAsia="Calibri" w:cs="Calibri"/>
                <w:sz w:val="20"/>
                <w:szCs w:val="20"/>
              </w:rPr>
            </w:pPr>
            <w:r w:rsidRPr="00421C90">
              <w:rPr>
                <w:rFonts w:ascii="Calibri" w:hAnsi="Calibri" w:eastAsia="Calibri" w:cs="Calibri"/>
                <w:sz w:val="20"/>
                <w:szCs w:val="20"/>
              </w:rPr>
              <w:t>o Subsidizing food services</w:t>
            </w:r>
          </w:p>
          <w:p w:rsidRPr="00421C90" w:rsidR="00C64AF8" w:rsidP="0031130F" w:rsidRDefault="00C64AF8" w14:paraId="25357637" w14:textId="77777777">
            <w:pPr>
              <w:rPr>
                <w:rFonts w:ascii="Calibri" w:hAnsi="Calibri" w:eastAsia="Calibri" w:cs="Calibri"/>
                <w:sz w:val="20"/>
                <w:szCs w:val="20"/>
              </w:rPr>
            </w:pPr>
            <w:r w:rsidRPr="00421C90">
              <w:rPr>
                <w:rFonts w:ascii="Calibri" w:hAnsi="Calibri" w:eastAsia="Calibri" w:cs="Calibri"/>
                <w:sz w:val="20"/>
                <w:szCs w:val="20"/>
              </w:rPr>
              <w:t>o Additional class sections</w:t>
            </w:r>
          </w:p>
          <w:p w:rsidRPr="00421C90" w:rsidR="00C64AF8" w:rsidP="0031130F" w:rsidRDefault="00C64AF8" w14:paraId="0F04E9D6" w14:textId="77777777">
            <w:pPr>
              <w:rPr>
                <w:rFonts w:ascii="Calibri" w:hAnsi="Calibri" w:eastAsia="Calibri" w:cs="Calibri"/>
                <w:sz w:val="20"/>
                <w:szCs w:val="20"/>
              </w:rPr>
            </w:pPr>
            <w:r w:rsidRPr="00421C90">
              <w:rPr>
                <w:rFonts w:ascii="Calibri" w:hAnsi="Calibri" w:eastAsia="Calibri" w:cs="Calibri"/>
                <w:sz w:val="20"/>
                <w:szCs w:val="20"/>
              </w:rPr>
              <w:t>o Campus safety and operations</w:t>
            </w:r>
          </w:p>
          <w:p w:rsidRPr="00421C90" w:rsidR="00C64AF8" w:rsidP="0031130F" w:rsidRDefault="00C64AF8" w14:paraId="4A8B5FA7" w14:textId="77777777">
            <w:pPr>
              <w:rPr>
                <w:rFonts w:ascii="Calibri" w:hAnsi="Calibri" w:eastAsia="Calibri" w:cs="Calibri"/>
                <w:sz w:val="20"/>
                <w:szCs w:val="20"/>
              </w:rPr>
            </w:pPr>
            <w:r w:rsidRPr="00421C90">
              <w:rPr>
                <w:rFonts w:ascii="Calibri" w:hAnsi="Calibri" w:eastAsia="Calibri" w:cs="Calibri"/>
                <w:sz w:val="20"/>
                <w:szCs w:val="20"/>
              </w:rPr>
              <w:t>o Training in online instruction</w:t>
            </w:r>
          </w:p>
          <w:p w:rsidRPr="00421C90" w:rsidR="00C64AF8" w:rsidP="0031130F" w:rsidRDefault="00C64AF8" w14:paraId="5FE16A40" w14:textId="77777777">
            <w:pPr>
              <w:rPr>
                <w:rFonts w:ascii="Calibri" w:hAnsi="Calibri" w:eastAsia="Calibri" w:cs="Calibri"/>
                <w:sz w:val="20"/>
                <w:szCs w:val="20"/>
              </w:rPr>
            </w:pPr>
            <w:r w:rsidRPr="00421C90">
              <w:rPr>
                <w:rFonts w:ascii="Calibri" w:hAnsi="Calibri" w:eastAsia="Calibri" w:cs="Calibri"/>
                <w:sz w:val="20"/>
                <w:szCs w:val="20"/>
              </w:rPr>
              <w:t>o Evidence based practices to monitor and suppress coronavirus</w:t>
            </w:r>
          </w:p>
          <w:p w:rsidRPr="00421C90" w:rsidR="00623B89" w:rsidP="0031130F" w:rsidRDefault="00C64AF8" w14:paraId="2175C68F" w14:textId="65B5F842">
            <w:pPr>
              <w:rPr>
                <w:rFonts w:ascii="Calibri" w:hAnsi="Calibri" w:eastAsia="Calibri" w:cs="Calibri"/>
                <w:sz w:val="20"/>
                <w:szCs w:val="20"/>
              </w:rPr>
            </w:pPr>
            <w:r w:rsidRPr="00421C90">
              <w:rPr>
                <w:rFonts w:ascii="Calibri" w:hAnsi="Calibri" w:eastAsia="Calibri" w:cs="Calibri"/>
                <w:sz w:val="20"/>
                <w:szCs w:val="20"/>
              </w:rPr>
              <w:lastRenderedPageBreak/>
              <w:t>o Conducting direct outreach to financial aid applicants</w:t>
            </w:r>
          </w:p>
        </w:tc>
        <w:tc>
          <w:tcPr>
            <w:tcW w:w="1090" w:type="dxa"/>
          </w:tcPr>
          <w:p w:rsidRPr="00421C90" w:rsidR="00623B89" w:rsidRDefault="00C64AF8" w14:paraId="3E4F24B4" w14:textId="5347063F">
            <w:pPr>
              <w:rPr>
                <w:sz w:val="20"/>
                <w:szCs w:val="20"/>
              </w:rPr>
            </w:pPr>
            <w:r w:rsidRPr="00421C90">
              <w:rPr>
                <w:sz w:val="20"/>
                <w:szCs w:val="20"/>
              </w:rPr>
              <w:lastRenderedPageBreak/>
              <w:t>9</w:t>
            </w:r>
          </w:p>
        </w:tc>
        <w:tc>
          <w:tcPr>
            <w:tcW w:w="2280" w:type="dxa"/>
          </w:tcPr>
          <w:p w:rsidRPr="0031130F" w:rsidR="00623B89" w:rsidRDefault="00623B89" w14:paraId="7D3FF58A" w14:textId="139DB582">
            <w:pPr>
              <w:rPr>
                <w:sz w:val="20"/>
                <w:szCs w:val="20"/>
              </w:rPr>
            </w:pPr>
            <w:r w:rsidRPr="0031130F">
              <w:rPr>
                <w:sz w:val="20"/>
                <w:szCs w:val="20"/>
              </w:rPr>
              <w:t>ED-2021-SCC-0093-0040</w:t>
            </w:r>
            <w:r w:rsidRPr="0031130F">
              <w:rPr>
                <w:sz w:val="20"/>
                <w:szCs w:val="20"/>
              </w:rPr>
              <w:tab/>
            </w:r>
          </w:p>
        </w:tc>
        <w:tc>
          <w:tcPr>
            <w:tcW w:w="2070" w:type="dxa"/>
          </w:tcPr>
          <w:p w:rsidRPr="0031130F" w:rsidR="00CD5513" w:rsidRDefault="00CD5513" w14:paraId="17D72D43" w14:textId="0C5B5E52">
            <w:pPr>
              <w:rPr>
                <w:sz w:val="20"/>
                <w:szCs w:val="20"/>
              </w:rPr>
            </w:pPr>
            <w:r w:rsidRPr="0031130F">
              <w:rPr>
                <w:sz w:val="20"/>
                <w:szCs w:val="20"/>
              </w:rPr>
              <w:t>NASFAA/NACUBO</w:t>
            </w:r>
          </w:p>
        </w:tc>
        <w:tc>
          <w:tcPr>
            <w:tcW w:w="7105" w:type="dxa"/>
          </w:tcPr>
          <w:p w:rsidRPr="00421C90" w:rsidR="00623B89" w:rsidRDefault="00C64AF8" w14:paraId="19BB9B68" w14:textId="22078D51">
            <w:pPr>
              <w:rPr>
                <w:sz w:val="20"/>
                <w:szCs w:val="20"/>
              </w:rPr>
            </w:pPr>
            <w:r w:rsidRPr="00421C90">
              <w:rPr>
                <w:sz w:val="20"/>
                <w:szCs w:val="20"/>
              </w:rPr>
              <w:t>Changed. Footnotes have been updated.</w:t>
            </w:r>
          </w:p>
        </w:tc>
      </w:tr>
      <w:tr w:rsidR="00623B89" w:rsidTr="001E1237" w14:paraId="528BBF71" w14:textId="77777777">
        <w:tc>
          <w:tcPr>
            <w:tcW w:w="4725" w:type="dxa"/>
          </w:tcPr>
          <w:p w:rsidRPr="00421C90" w:rsidR="00623B89" w:rsidP="0031130F" w:rsidRDefault="00623B89" w14:paraId="4F74CB2A" w14:textId="69E97230">
            <w:pPr>
              <w:rPr>
                <w:rFonts w:ascii="Calibri" w:hAnsi="Calibri" w:eastAsia="Calibri" w:cs="Calibri"/>
                <w:sz w:val="20"/>
                <w:szCs w:val="20"/>
              </w:rPr>
            </w:pPr>
            <w:r w:rsidRPr="00421C90">
              <w:rPr>
                <w:rFonts w:ascii="Calibri" w:hAnsi="Calibri" w:eastAsia="Calibri" w:cs="Calibri"/>
                <w:sz w:val="20"/>
                <w:szCs w:val="20"/>
              </w:rPr>
              <w:t>Question 9a, institutions are likely not segregating HEERF institutional funds into a</w:t>
            </w:r>
            <w:r w:rsidRPr="00421C90" w:rsidR="00C64AF8">
              <w:rPr>
                <w:rFonts w:ascii="Calibri" w:hAnsi="Calibri" w:eastAsia="Calibri" w:cs="Calibri"/>
                <w:sz w:val="20"/>
                <w:szCs w:val="20"/>
              </w:rPr>
              <w:t xml:space="preserve"> </w:t>
            </w:r>
            <w:r w:rsidRPr="00421C90">
              <w:rPr>
                <w:rFonts w:ascii="Calibri" w:hAnsi="Calibri" w:eastAsia="Calibri" w:cs="Calibri"/>
                <w:sz w:val="20"/>
                <w:szCs w:val="20"/>
              </w:rPr>
              <w:t>separate program or fund for budgeting. Suggest replace with “</w:t>
            </w:r>
            <w:r w:rsidRPr="00421C90">
              <w:rPr>
                <w:i/>
                <w:sz w:val="20"/>
                <w:szCs w:val="20"/>
              </w:rPr>
              <w:t>Has your institution designated HEERF program funds for a specific purpose or budget objective (for example, operation and maintenance of plant, academic programs, residential programs, future institutional aid</w:t>
            </w:r>
            <w:proofErr w:type="gramStart"/>
            <w:r w:rsidRPr="00421C90" w:rsidR="00C64AF8">
              <w:rPr>
                <w:i/>
                <w:iCs/>
                <w:sz w:val="20"/>
                <w:szCs w:val="20"/>
              </w:rPr>
              <w:t>)?...</w:t>
            </w:r>
            <w:proofErr w:type="gramEnd"/>
            <w:r w:rsidRPr="00421C90" w:rsidR="00C64AF8">
              <w:rPr>
                <w:i/>
                <w:iCs/>
                <w:sz w:val="20"/>
                <w:szCs w:val="20"/>
              </w:rPr>
              <w:t>”</w:t>
            </w:r>
            <w:r w:rsidRPr="00421C90" w:rsidR="00C64AF8">
              <w:rPr>
                <w:b/>
                <w:bCs/>
                <w:i/>
                <w:iCs/>
                <w:sz w:val="20"/>
                <w:szCs w:val="20"/>
              </w:rPr>
              <w:t xml:space="preserve"> </w:t>
            </w:r>
          </w:p>
        </w:tc>
        <w:tc>
          <w:tcPr>
            <w:tcW w:w="1090" w:type="dxa"/>
          </w:tcPr>
          <w:p w:rsidRPr="00421C90" w:rsidR="00623B89" w:rsidRDefault="00623B89" w14:paraId="4EA2F88D" w14:textId="76126C2F">
            <w:pPr>
              <w:rPr>
                <w:sz w:val="20"/>
                <w:szCs w:val="20"/>
              </w:rPr>
            </w:pPr>
            <w:r w:rsidRPr="00421C90">
              <w:rPr>
                <w:sz w:val="20"/>
                <w:szCs w:val="20"/>
              </w:rPr>
              <w:t>9a</w:t>
            </w:r>
          </w:p>
        </w:tc>
        <w:tc>
          <w:tcPr>
            <w:tcW w:w="2280" w:type="dxa"/>
          </w:tcPr>
          <w:p w:rsidRPr="0031130F" w:rsidR="00C64AF8" w:rsidRDefault="00623B89" w14:paraId="557D1F9C" w14:textId="77777777">
            <w:pPr>
              <w:rPr>
                <w:sz w:val="20"/>
                <w:szCs w:val="20"/>
              </w:rPr>
            </w:pPr>
            <w:r w:rsidRPr="0031130F">
              <w:rPr>
                <w:sz w:val="20"/>
                <w:szCs w:val="20"/>
              </w:rPr>
              <w:t>ED-2021-SCC-0093-0040</w:t>
            </w:r>
          </w:p>
          <w:p w:rsidRPr="0031130F" w:rsidR="00943D18" w:rsidRDefault="00943D18" w14:paraId="76A16C4C" w14:textId="77777777">
            <w:pPr>
              <w:rPr>
                <w:sz w:val="20"/>
                <w:szCs w:val="20"/>
              </w:rPr>
            </w:pPr>
          </w:p>
          <w:p w:rsidRPr="0031130F" w:rsidR="00943D18" w:rsidRDefault="00943D18" w14:paraId="733A2E16" w14:textId="77777777">
            <w:pPr>
              <w:rPr>
                <w:sz w:val="20"/>
                <w:szCs w:val="20"/>
              </w:rPr>
            </w:pPr>
          </w:p>
          <w:p w:rsidRPr="0031130F" w:rsidR="00943D18" w:rsidRDefault="00943D18" w14:paraId="1B0E5CC7" w14:textId="77777777">
            <w:pPr>
              <w:rPr>
                <w:sz w:val="20"/>
                <w:szCs w:val="20"/>
              </w:rPr>
            </w:pPr>
          </w:p>
          <w:p w:rsidRPr="0031130F" w:rsidR="00943D18" w:rsidRDefault="00943D18" w14:paraId="4658FB0E" w14:textId="77777777">
            <w:pPr>
              <w:rPr>
                <w:sz w:val="20"/>
                <w:szCs w:val="20"/>
              </w:rPr>
            </w:pPr>
          </w:p>
          <w:p w:rsidRPr="0031130F" w:rsidR="00623B89" w:rsidRDefault="00623B89" w14:paraId="5D262172" w14:textId="1109F718">
            <w:pPr>
              <w:jc w:val="center"/>
              <w:rPr>
                <w:sz w:val="20"/>
                <w:szCs w:val="20"/>
              </w:rPr>
            </w:pPr>
          </w:p>
        </w:tc>
        <w:tc>
          <w:tcPr>
            <w:tcW w:w="2070" w:type="dxa"/>
          </w:tcPr>
          <w:p w:rsidRPr="0031130F" w:rsidR="00CD5513" w:rsidRDefault="00CD5513" w14:paraId="01AF3D10" w14:textId="58D010AF">
            <w:pPr>
              <w:rPr>
                <w:sz w:val="20"/>
                <w:szCs w:val="20"/>
              </w:rPr>
            </w:pPr>
            <w:r w:rsidRPr="0031130F">
              <w:rPr>
                <w:sz w:val="20"/>
                <w:szCs w:val="20"/>
              </w:rPr>
              <w:t>NASFAA/NACUBO</w:t>
            </w:r>
          </w:p>
        </w:tc>
        <w:tc>
          <w:tcPr>
            <w:tcW w:w="7105" w:type="dxa"/>
          </w:tcPr>
          <w:p w:rsidRPr="00421C90" w:rsidR="00623B89" w:rsidRDefault="00C64AF8" w14:paraId="1ADE05A8" w14:textId="16C51BAB">
            <w:pPr>
              <w:rPr>
                <w:sz w:val="20"/>
                <w:szCs w:val="20"/>
              </w:rPr>
            </w:pPr>
            <w:r w:rsidRPr="00421C90">
              <w:rPr>
                <w:sz w:val="20"/>
                <w:szCs w:val="20"/>
              </w:rPr>
              <w:t xml:space="preserve">Changed. 9a has been updated to reflect this new language and some of the recommended questions. </w:t>
            </w:r>
          </w:p>
        </w:tc>
      </w:tr>
    </w:tbl>
    <w:p w:rsidR="00466732" w:rsidP="00466732" w:rsidRDefault="00466732" w14:paraId="117CA99B" w14:textId="77777777">
      <w:pPr>
        <w:jc w:val="center"/>
        <w:rPr>
          <w:b/>
          <w:bCs/>
          <w:sz w:val="24"/>
          <w:szCs w:val="24"/>
        </w:rPr>
      </w:pPr>
    </w:p>
    <w:p w:rsidR="00466732" w:rsidRDefault="00466732" w14:paraId="0CE4012D" w14:textId="4D920615"/>
    <w:p w:rsidR="00C83948" w:rsidP="00C83948" w:rsidRDefault="00C83948" w14:paraId="4E75A5D9" w14:textId="77777777"/>
    <w:p w:rsidR="00C83948" w:rsidP="00C83948" w:rsidRDefault="00C83948" w14:paraId="4829BB1F" w14:textId="77777777"/>
    <w:p w:rsidR="00C83948" w:rsidP="00C83948" w:rsidRDefault="00C83948" w14:paraId="0430031B" w14:textId="77777777"/>
    <w:sectPr w:rsidR="00C83948" w:rsidSect="00C64AF8">
      <w:footerReference w:type="default" r:id="rId12"/>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AB6B" w14:textId="77777777" w:rsidR="00897FB4" w:rsidRDefault="00897FB4" w:rsidP="00897FB4">
      <w:pPr>
        <w:spacing w:after="0" w:line="240" w:lineRule="auto"/>
      </w:pPr>
      <w:r>
        <w:separator/>
      </w:r>
    </w:p>
  </w:endnote>
  <w:endnote w:type="continuationSeparator" w:id="0">
    <w:p w14:paraId="2066952A" w14:textId="77777777" w:rsidR="00897FB4" w:rsidRDefault="00897FB4" w:rsidP="0089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696356"/>
      <w:docPartObj>
        <w:docPartGallery w:val="Page Numbers (Bottom of Page)"/>
        <w:docPartUnique/>
      </w:docPartObj>
    </w:sdtPr>
    <w:sdtEndPr>
      <w:rPr>
        <w:noProof/>
      </w:rPr>
    </w:sdtEndPr>
    <w:sdtContent>
      <w:p w14:paraId="7F301925" w14:textId="34EE0C05" w:rsidR="00897FB4" w:rsidRDefault="00897F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6179D" w14:textId="77777777" w:rsidR="00897FB4" w:rsidRDefault="00897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5900" w14:textId="77777777" w:rsidR="00897FB4" w:rsidRDefault="00897FB4" w:rsidP="00897FB4">
      <w:pPr>
        <w:spacing w:after="0" w:line="240" w:lineRule="auto"/>
      </w:pPr>
      <w:r>
        <w:separator/>
      </w:r>
    </w:p>
  </w:footnote>
  <w:footnote w:type="continuationSeparator" w:id="0">
    <w:p w14:paraId="7E5DD9AB" w14:textId="77777777" w:rsidR="00897FB4" w:rsidRDefault="00897FB4" w:rsidP="00897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B9E4961-3A22-4D77-9A30-86C6760C52E4}"/>
    <w:docVar w:name="dgnword-eventsink" w:val="2333238901520"/>
  </w:docVars>
  <w:rsids>
    <w:rsidRoot w:val="00466732"/>
    <w:rsid w:val="00001ED9"/>
    <w:rsid w:val="000046C6"/>
    <w:rsid w:val="00010591"/>
    <w:rsid w:val="00011FAE"/>
    <w:rsid w:val="00014294"/>
    <w:rsid w:val="00014ED5"/>
    <w:rsid w:val="00021235"/>
    <w:rsid w:val="000239B7"/>
    <w:rsid w:val="0002566A"/>
    <w:rsid w:val="00026481"/>
    <w:rsid w:val="00027403"/>
    <w:rsid w:val="00031ADB"/>
    <w:rsid w:val="00031F15"/>
    <w:rsid w:val="00032B77"/>
    <w:rsid w:val="0003453C"/>
    <w:rsid w:val="000349A7"/>
    <w:rsid w:val="0003680D"/>
    <w:rsid w:val="00046DF8"/>
    <w:rsid w:val="00050C6C"/>
    <w:rsid w:val="00051115"/>
    <w:rsid w:val="00054D40"/>
    <w:rsid w:val="000550C3"/>
    <w:rsid w:val="00056B59"/>
    <w:rsid w:val="000573B1"/>
    <w:rsid w:val="000574E1"/>
    <w:rsid w:val="00057AC0"/>
    <w:rsid w:val="000603AC"/>
    <w:rsid w:val="00060419"/>
    <w:rsid w:val="000636ED"/>
    <w:rsid w:val="00063EF6"/>
    <w:rsid w:val="0006443E"/>
    <w:rsid w:val="0006494D"/>
    <w:rsid w:val="000654BC"/>
    <w:rsid w:val="000655CE"/>
    <w:rsid w:val="00073F09"/>
    <w:rsid w:val="0007470B"/>
    <w:rsid w:val="00075720"/>
    <w:rsid w:val="0008067A"/>
    <w:rsid w:val="00084AA5"/>
    <w:rsid w:val="0009226F"/>
    <w:rsid w:val="00093892"/>
    <w:rsid w:val="00093AE0"/>
    <w:rsid w:val="00096A60"/>
    <w:rsid w:val="00096E52"/>
    <w:rsid w:val="000A4E23"/>
    <w:rsid w:val="000A71A3"/>
    <w:rsid w:val="000A7F7C"/>
    <w:rsid w:val="000B06F2"/>
    <w:rsid w:val="000B26B6"/>
    <w:rsid w:val="000B3ACD"/>
    <w:rsid w:val="000B691A"/>
    <w:rsid w:val="000B6BB4"/>
    <w:rsid w:val="000B7529"/>
    <w:rsid w:val="000B7AC0"/>
    <w:rsid w:val="000C2371"/>
    <w:rsid w:val="000C2BB8"/>
    <w:rsid w:val="000C333D"/>
    <w:rsid w:val="000C383A"/>
    <w:rsid w:val="000C401B"/>
    <w:rsid w:val="000C40F6"/>
    <w:rsid w:val="000C45E0"/>
    <w:rsid w:val="000C4DA9"/>
    <w:rsid w:val="000C69ED"/>
    <w:rsid w:val="000D032D"/>
    <w:rsid w:val="000D31C7"/>
    <w:rsid w:val="000D347A"/>
    <w:rsid w:val="000E009F"/>
    <w:rsid w:val="000E1BD8"/>
    <w:rsid w:val="000E37D5"/>
    <w:rsid w:val="000E48F1"/>
    <w:rsid w:val="000E509D"/>
    <w:rsid w:val="000F2B94"/>
    <w:rsid w:val="000F2E03"/>
    <w:rsid w:val="000F691F"/>
    <w:rsid w:val="000F7539"/>
    <w:rsid w:val="00100A46"/>
    <w:rsid w:val="001038FA"/>
    <w:rsid w:val="00106907"/>
    <w:rsid w:val="00106E87"/>
    <w:rsid w:val="0011062A"/>
    <w:rsid w:val="0011083A"/>
    <w:rsid w:val="00115FA2"/>
    <w:rsid w:val="00116C01"/>
    <w:rsid w:val="00122F8E"/>
    <w:rsid w:val="001233AE"/>
    <w:rsid w:val="0012426E"/>
    <w:rsid w:val="00125921"/>
    <w:rsid w:val="00126490"/>
    <w:rsid w:val="00126CD2"/>
    <w:rsid w:val="0013280C"/>
    <w:rsid w:val="00135337"/>
    <w:rsid w:val="00145CEC"/>
    <w:rsid w:val="00146BC5"/>
    <w:rsid w:val="001474B7"/>
    <w:rsid w:val="001507C9"/>
    <w:rsid w:val="001510A6"/>
    <w:rsid w:val="00151F6E"/>
    <w:rsid w:val="001552F4"/>
    <w:rsid w:val="001557C9"/>
    <w:rsid w:val="001575C1"/>
    <w:rsid w:val="00162D09"/>
    <w:rsid w:val="00163389"/>
    <w:rsid w:val="00163785"/>
    <w:rsid w:val="0016386A"/>
    <w:rsid w:val="001641B1"/>
    <w:rsid w:val="00164F52"/>
    <w:rsid w:val="00165384"/>
    <w:rsid w:val="0016555A"/>
    <w:rsid w:val="001657B0"/>
    <w:rsid w:val="00165BF2"/>
    <w:rsid w:val="0017398E"/>
    <w:rsid w:val="001745BF"/>
    <w:rsid w:val="00174CB5"/>
    <w:rsid w:val="00175ACD"/>
    <w:rsid w:val="00180001"/>
    <w:rsid w:val="00180371"/>
    <w:rsid w:val="00180A64"/>
    <w:rsid w:val="001828ED"/>
    <w:rsid w:val="00183292"/>
    <w:rsid w:val="0018469D"/>
    <w:rsid w:val="00192A6F"/>
    <w:rsid w:val="00193142"/>
    <w:rsid w:val="00193C41"/>
    <w:rsid w:val="001975ED"/>
    <w:rsid w:val="001A07E4"/>
    <w:rsid w:val="001A0C58"/>
    <w:rsid w:val="001A2FE1"/>
    <w:rsid w:val="001A5C0D"/>
    <w:rsid w:val="001A5CA7"/>
    <w:rsid w:val="001B093F"/>
    <w:rsid w:val="001C0B60"/>
    <w:rsid w:val="001C1EAF"/>
    <w:rsid w:val="001C6138"/>
    <w:rsid w:val="001D0DEC"/>
    <w:rsid w:val="001D2686"/>
    <w:rsid w:val="001D55B3"/>
    <w:rsid w:val="001D64BD"/>
    <w:rsid w:val="001E1237"/>
    <w:rsid w:val="001E27BB"/>
    <w:rsid w:val="001F40C7"/>
    <w:rsid w:val="001F4F38"/>
    <w:rsid w:val="001F5F7F"/>
    <w:rsid w:val="001F7030"/>
    <w:rsid w:val="001F7254"/>
    <w:rsid w:val="00207979"/>
    <w:rsid w:val="0021127A"/>
    <w:rsid w:val="00212157"/>
    <w:rsid w:val="00213267"/>
    <w:rsid w:val="00215687"/>
    <w:rsid w:val="00217CA7"/>
    <w:rsid w:val="00220764"/>
    <w:rsid w:val="00225AFF"/>
    <w:rsid w:val="0023523E"/>
    <w:rsid w:val="0024180D"/>
    <w:rsid w:val="0024297D"/>
    <w:rsid w:val="00243F07"/>
    <w:rsid w:val="0024724A"/>
    <w:rsid w:val="00251333"/>
    <w:rsid w:val="00256BA8"/>
    <w:rsid w:val="00262157"/>
    <w:rsid w:val="002725BD"/>
    <w:rsid w:val="00272ADC"/>
    <w:rsid w:val="002773C9"/>
    <w:rsid w:val="00280B7A"/>
    <w:rsid w:val="002834DD"/>
    <w:rsid w:val="00283FAE"/>
    <w:rsid w:val="00284283"/>
    <w:rsid w:val="0028543F"/>
    <w:rsid w:val="00286435"/>
    <w:rsid w:val="00291A01"/>
    <w:rsid w:val="00291E33"/>
    <w:rsid w:val="00296D85"/>
    <w:rsid w:val="002A5D60"/>
    <w:rsid w:val="002B1018"/>
    <w:rsid w:val="002B334F"/>
    <w:rsid w:val="002B33B5"/>
    <w:rsid w:val="002B6E68"/>
    <w:rsid w:val="002C2159"/>
    <w:rsid w:val="002C50DC"/>
    <w:rsid w:val="002C72A2"/>
    <w:rsid w:val="002C7AD3"/>
    <w:rsid w:val="002D30F4"/>
    <w:rsid w:val="002D31E2"/>
    <w:rsid w:val="002D42D8"/>
    <w:rsid w:val="002D6F01"/>
    <w:rsid w:val="002E0B82"/>
    <w:rsid w:val="002E4D54"/>
    <w:rsid w:val="002E4E73"/>
    <w:rsid w:val="002E60A7"/>
    <w:rsid w:val="002E6945"/>
    <w:rsid w:val="002E72E3"/>
    <w:rsid w:val="002E7E4F"/>
    <w:rsid w:val="002F09A4"/>
    <w:rsid w:val="002F0F91"/>
    <w:rsid w:val="002F1546"/>
    <w:rsid w:val="002F1D0E"/>
    <w:rsid w:val="002F2071"/>
    <w:rsid w:val="002F3423"/>
    <w:rsid w:val="002F3CB6"/>
    <w:rsid w:val="002F4D9E"/>
    <w:rsid w:val="002F4E33"/>
    <w:rsid w:val="00300085"/>
    <w:rsid w:val="00302774"/>
    <w:rsid w:val="003059F6"/>
    <w:rsid w:val="00307EF4"/>
    <w:rsid w:val="00310446"/>
    <w:rsid w:val="003108C5"/>
    <w:rsid w:val="0031130F"/>
    <w:rsid w:val="0031700E"/>
    <w:rsid w:val="00320FD9"/>
    <w:rsid w:val="00321B7B"/>
    <w:rsid w:val="0032505F"/>
    <w:rsid w:val="00326AB5"/>
    <w:rsid w:val="0033473C"/>
    <w:rsid w:val="003355FF"/>
    <w:rsid w:val="00341A52"/>
    <w:rsid w:val="00345537"/>
    <w:rsid w:val="00347157"/>
    <w:rsid w:val="00347DE9"/>
    <w:rsid w:val="0035140A"/>
    <w:rsid w:val="00352C0B"/>
    <w:rsid w:val="003535F1"/>
    <w:rsid w:val="00355366"/>
    <w:rsid w:val="00356B31"/>
    <w:rsid w:val="0036277A"/>
    <w:rsid w:val="00365A6E"/>
    <w:rsid w:val="0036672D"/>
    <w:rsid w:val="00372FBE"/>
    <w:rsid w:val="00373C63"/>
    <w:rsid w:val="003751CA"/>
    <w:rsid w:val="00381256"/>
    <w:rsid w:val="0039125F"/>
    <w:rsid w:val="003A1EDC"/>
    <w:rsid w:val="003A1F34"/>
    <w:rsid w:val="003A5A59"/>
    <w:rsid w:val="003B0D36"/>
    <w:rsid w:val="003B1CA3"/>
    <w:rsid w:val="003B2CDB"/>
    <w:rsid w:val="003B4069"/>
    <w:rsid w:val="003B407E"/>
    <w:rsid w:val="003B571A"/>
    <w:rsid w:val="003B6198"/>
    <w:rsid w:val="003B65C1"/>
    <w:rsid w:val="003B7DAE"/>
    <w:rsid w:val="003C696C"/>
    <w:rsid w:val="003C751B"/>
    <w:rsid w:val="003D3141"/>
    <w:rsid w:val="003D6B66"/>
    <w:rsid w:val="003E5B6F"/>
    <w:rsid w:val="003E7401"/>
    <w:rsid w:val="003F0CB4"/>
    <w:rsid w:val="003F15B9"/>
    <w:rsid w:val="003F4165"/>
    <w:rsid w:val="003F4CCD"/>
    <w:rsid w:val="003F6573"/>
    <w:rsid w:val="0040027C"/>
    <w:rsid w:val="00400F9D"/>
    <w:rsid w:val="00402EE1"/>
    <w:rsid w:val="00405F86"/>
    <w:rsid w:val="00406965"/>
    <w:rsid w:val="00407FBA"/>
    <w:rsid w:val="00413192"/>
    <w:rsid w:val="0041378A"/>
    <w:rsid w:val="00415BAC"/>
    <w:rsid w:val="00421C90"/>
    <w:rsid w:val="00433A46"/>
    <w:rsid w:val="004350C5"/>
    <w:rsid w:val="00441FBC"/>
    <w:rsid w:val="00444123"/>
    <w:rsid w:val="004447C5"/>
    <w:rsid w:val="00445218"/>
    <w:rsid w:val="00452BF6"/>
    <w:rsid w:val="00454BF2"/>
    <w:rsid w:val="00455FD5"/>
    <w:rsid w:val="004565A4"/>
    <w:rsid w:val="00457788"/>
    <w:rsid w:val="004609EE"/>
    <w:rsid w:val="0046608F"/>
    <w:rsid w:val="00466732"/>
    <w:rsid w:val="00470ACD"/>
    <w:rsid w:val="00470B3A"/>
    <w:rsid w:val="00470C03"/>
    <w:rsid w:val="004722A4"/>
    <w:rsid w:val="00472C3D"/>
    <w:rsid w:val="004734CE"/>
    <w:rsid w:val="00474AC5"/>
    <w:rsid w:val="00476C13"/>
    <w:rsid w:val="00482071"/>
    <w:rsid w:val="00483D22"/>
    <w:rsid w:val="00483F02"/>
    <w:rsid w:val="0049079A"/>
    <w:rsid w:val="00491F4F"/>
    <w:rsid w:val="004929C5"/>
    <w:rsid w:val="00494453"/>
    <w:rsid w:val="004944C5"/>
    <w:rsid w:val="00497E94"/>
    <w:rsid w:val="004A0A62"/>
    <w:rsid w:val="004A1419"/>
    <w:rsid w:val="004A60C3"/>
    <w:rsid w:val="004A6D6B"/>
    <w:rsid w:val="004A737B"/>
    <w:rsid w:val="004A7AA2"/>
    <w:rsid w:val="004B1E59"/>
    <w:rsid w:val="004B1F47"/>
    <w:rsid w:val="004B21C6"/>
    <w:rsid w:val="004B6B8B"/>
    <w:rsid w:val="004B6F04"/>
    <w:rsid w:val="004B7B1C"/>
    <w:rsid w:val="004C2331"/>
    <w:rsid w:val="004C23AE"/>
    <w:rsid w:val="004C2E50"/>
    <w:rsid w:val="004C4863"/>
    <w:rsid w:val="004C50F1"/>
    <w:rsid w:val="004C5873"/>
    <w:rsid w:val="004C6395"/>
    <w:rsid w:val="004C7850"/>
    <w:rsid w:val="004D06E2"/>
    <w:rsid w:val="004D16AB"/>
    <w:rsid w:val="004D4290"/>
    <w:rsid w:val="004D48FD"/>
    <w:rsid w:val="004D5083"/>
    <w:rsid w:val="004D578F"/>
    <w:rsid w:val="004D7103"/>
    <w:rsid w:val="004D7998"/>
    <w:rsid w:val="004E0F74"/>
    <w:rsid w:val="004E1BE9"/>
    <w:rsid w:val="004E6526"/>
    <w:rsid w:val="004E7B4D"/>
    <w:rsid w:val="004F2AFB"/>
    <w:rsid w:val="004F34BF"/>
    <w:rsid w:val="004F4649"/>
    <w:rsid w:val="004F6786"/>
    <w:rsid w:val="005004B2"/>
    <w:rsid w:val="0050405F"/>
    <w:rsid w:val="00505BC2"/>
    <w:rsid w:val="005105B1"/>
    <w:rsid w:val="005164C4"/>
    <w:rsid w:val="005166B3"/>
    <w:rsid w:val="005171B9"/>
    <w:rsid w:val="0052251A"/>
    <w:rsid w:val="00522A00"/>
    <w:rsid w:val="00522A1B"/>
    <w:rsid w:val="005364DA"/>
    <w:rsid w:val="005371F9"/>
    <w:rsid w:val="005455B5"/>
    <w:rsid w:val="00552A21"/>
    <w:rsid w:val="00552BF0"/>
    <w:rsid w:val="0055313C"/>
    <w:rsid w:val="0055449B"/>
    <w:rsid w:val="00557B9C"/>
    <w:rsid w:val="00560228"/>
    <w:rsid w:val="005605B9"/>
    <w:rsid w:val="005628F3"/>
    <w:rsid w:val="00563ED4"/>
    <w:rsid w:val="0056413C"/>
    <w:rsid w:val="005679BD"/>
    <w:rsid w:val="00570FE0"/>
    <w:rsid w:val="00581CA5"/>
    <w:rsid w:val="00581E74"/>
    <w:rsid w:val="005833A0"/>
    <w:rsid w:val="005864AC"/>
    <w:rsid w:val="00586658"/>
    <w:rsid w:val="0059204D"/>
    <w:rsid w:val="00592D82"/>
    <w:rsid w:val="005A159B"/>
    <w:rsid w:val="005A1D70"/>
    <w:rsid w:val="005A45F5"/>
    <w:rsid w:val="005A7E36"/>
    <w:rsid w:val="005B4CD4"/>
    <w:rsid w:val="005B68D8"/>
    <w:rsid w:val="005C08E4"/>
    <w:rsid w:val="005C4911"/>
    <w:rsid w:val="005C59F2"/>
    <w:rsid w:val="005D5292"/>
    <w:rsid w:val="005D53E7"/>
    <w:rsid w:val="005D6FD3"/>
    <w:rsid w:val="005D7869"/>
    <w:rsid w:val="005D7920"/>
    <w:rsid w:val="005E25E2"/>
    <w:rsid w:val="005E2F66"/>
    <w:rsid w:val="005E35EB"/>
    <w:rsid w:val="005E43D8"/>
    <w:rsid w:val="005E7DA9"/>
    <w:rsid w:val="005F11C7"/>
    <w:rsid w:val="005F1912"/>
    <w:rsid w:val="005F1D26"/>
    <w:rsid w:val="005F3905"/>
    <w:rsid w:val="005F46D7"/>
    <w:rsid w:val="005F47E9"/>
    <w:rsid w:val="0060095E"/>
    <w:rsid w:val="00603E41"/>
    <w:rsid w:val="006062AA"/>
    <w:rsid w:val="00606D7B"/>
    <w:rsid w:val="006077BC"/>
    <w:rsid w:val="006203AE"/>
    <w:rsid w:val="0062147C"/>
    <w:rsid w:val="00622440"/>
    <w:rsid w:val="0062327D"/>
    <w:rsid w:val="00623B89"/>
    <w:rsid w:val="00631C6D"/>
    <w:rsid w:val="00632617"/>
    <w:rsid w:val="0063439A"/>
    <w:rsid w:val="006366EA"/>
    <w:rsid w:val="00637FE1"/>
    <w:rsid w:val="00643DB5"/>
    <w:rsid w:val="00646093"/>
    <w:rsid w:val="00646A94"/>
    <w:rsid w:val="006511B9"/>
    <w:rsid w:val="00651A30"/>
    <w:rsid w:val="006561C7"/>
    <w:rsid w:val="00657206"/>
    <w:rsid w:val="00662A1F"/>
    <w:rsid w:val="00666CE7"/>
    <w:rsid w:val="006677A1"/>
    <w:rsid w:val="006757DB"/>
    <w:rsid w:val="006769F3"/>
    <w:rsid w:val="00681872"/>
    <w:rsid w:val="00682ED0"/>
    <w:rsid w:val="0068341C"/>
    <w:rsid w:val="00684119"/>
    <w:rsid w:val="006874BE"/>
    <w:rsid w:val="00690EE5"/>
    <w:rsid w:val="00692196"/>
    <w:rsid w:val="00694625"/>
    <w:rsid w:val="0069557F"/>
    <w:rsid w:val="006A037C"/>
    <w:rsid w:val="006A258E"/>
    <w:rsid w:val="006A2E89"/>
    <w:rsid w:val="006A3A89"/>
    <w:rsid w:val="006A5CA6"/>
    <w:rsid w:val="006B13C9"/>
    <w:rsid w:val="006B3EF8"/>
    <w:rsid w:val="006B4187"/>
    <w:rsid w:val="006C3645"/>
    <w:rsid w:val="006C36B6"/>
    <w:rsid w:val="006C6FFC"/>
    <w:rsid w:val="006C73DE"/>
    <w:rsid w:val="006D0D6B"/>
    <w:rsid w:val="006D0E8F"/>
    <w:rsid w:val="006D19FF"/>
    <w:rsid w:val="006D4320"/>
    <w:rsid w:val="006D55FD"/>
    <w:rsid w:val="006D6014"/>
    <w:rsid w:val="006D6CDC"/>
    <w:rsid w:val="006D7262"/>
    <w:rsid w:val="006E18A3"/>
    <w:rsid w:val="006E49A3"/>
    <w:rsid w:val="006F095A"/>
    <w:rsid w:val="006F2FE9"/>
    <w:rsid w:val="006F3C2F"/>
    <w:rsid w:val="006F5E04"/>
    <w:rsid w:val="006F614A"/>
    <w:rsid w:val="006F6CB9"/>
    <w:rsid w:val="006F771B"/>
    <w:rsid w:val="006F79E6"/>
    <w:rsid w:val="00703DFE"/>
    <w:rsid w:val="007054F2"/>
    <w:rsid w:val="0071052C"/>
    <w:rsid w:val="007146DB"/>
    <w:rsid w:val="00715C68"/>
    <w:rsid w:val="007179D8"/>
    <w:rsid w:val="00717BDB"/>
    <w:rsid w:val="00720672"/>
    <w:rsid w:val="00727887"/>
    <w:rsid w:val="00727F10"/>
    <w:rsid w:val="00732A52"/>
    <w:rsid w:val="007359BA"/>
    <w:rsid w:val="00736841"/>
    <w:rsid w:val="00740E77"/>
    <w:rsid w:val="0074202D"/>
    <w:rsid w:val="00742FE1"/>
    <w:rsid w:val="00743153"/>
    <w:rsid w:val="0074457A"/>
    <w:rsid w:val="00755909"/>
    <w:rsid w:val="00760897"/>
    <w:rsid w:val="007608E9"/>
    <w:rsid w:val="00761504"/>
    <w:rsid w:val="00764E49"/>
    <w:rsid w:val="007728AA"/>
    <w:rsid w:val="0077356C"/>
    <w:rsid w:val="00773AB4"/>
    <w:rsid w:val="00773F34"/>
    <w:rsid w:val="00774B7A"/>
    <w:rsid w:val="00775233"/>
    <w:rsid w:val="007809E6"/>
    <w:rsid w:val="00791A75"/>
    <w:rsid w:val="0079555A"/>
    <w:rsid w:val="007A594B"/>
    <w:rsid w:val="007B4805"/>
    <w:rsid w:val="007B51A5"/>
    <w:rsid w:val="007B5574"/>
    <w:rsid w:val="007B7F8D"/>
    <w:rsid w:val="007C0134"/>
    <w:rsid w:val="007C0CF1"/>
    <w:rsid w:val="007C1B6E"/>
    <w:rsid w:val="007C489A"/>
    <w:rsid w:val="007C4ADF"/>
    <w:rsid w:val="007C4B7E"/>
    <w:rsid w:val="007C7E7E"/>
    <w:rsid w:val="007D0E69"/>
    <w:rsid w:val="007D60B2"/>
    <w:rsid w:val="007D64F6"/>
    <w:rsid w:val="007D7652"/>
    <w:rsid w:val="007E0366"/>
    <w:rsid w:val="007E214C"/>
    <w:rsid w:val="007E5133"/>
    <w:rsid w:val="007F77AD"/>
    <w:rsid w:val="007F7B6C"/>
    <w:rsid w:val="00802584"/>
    <w:rsid w:val="00803B82"/>
    <w:rsid w:val="008100A6"/>
    <w:rsid w:val="00811999"/>
    <w:rsid w:val="00812492"/>
    <w:rsid w:val="00813FA1"/>
    <w:rsid w:val="008175A9"/>
    <w:rsid w:val="008175C1"/>
    <w:rsid w:val="0082060A"/>
    <w:rsid w:val="00821002"/>
    <w:rsid w:val="00821069"/>
    <w:rsid w:val="008219AB"/>
    <w:rsid w:val="00822E74"/>
    <w:rsid w:val="00825D6E"/>
    <w:rsid w:val="008265B0"/>
    <w:rsid w:val="008269FA"/>
    <w:rsid w:val="00827307"/>
    <w:rsid w:val="008314E6"/>
    <w:rsid w:val="008367D5"/>
    <w:rsid w:val="008368C3"/>
    <w:rsid w:val="0084302B"/>
    <w:rsid w:val="008440C0"/>
    <w:rsid w:val="00852D7F"/>
    <w:rsid w:val="008551B1"/>
    <w:rsid w:val="00856409"/>
    <w:rsid w:val="0085796C"/>
    <w:rsid w:val="0086055B"/>
    <w:rsid w:val="00864F7A"/>
    <w:rsid w:val="00866146"/>
    <w:rsid w:val="0087354B"/>
    <w:rsid w:val="008746BF"/>
    <w:rsid w:val="00874A8A"/>
    <w:rsid w:val="00876078"/>
    <w:rsid w:val="00876938"/>
    <w:rsid w:val="008776CD"/>
    <w:rsid w:val="00883393"/>
    <w:rsid w:val="008836B4"/>
    <w:rsid w:val="00883E7A"/>
    <w:rsid w:val="00884699"/>
    <w:rsid w:val="008848EE"/>
    <w:rsid w:val="00886362"/>
    <w:rsid w:val="00892C0E"/>
    <w:rsid w:val="00894244"/>
    <w:rsid w:val="00894FF4"/>
    <w:rsid w:val="0089639E"/>
    <w:rsid w:val="00897FB4"/>
    <w:rsid w:val="008A13FE"/>
    <w:rsid w:val="008A28C0"/>
    <w:rsid w:val="008A46C7"/>
    <w:rsid w:val="008B094E"/>
    <w:rsid w:val="008B0D7E"/>
    <w:rsid w:val="008B6638"/>
    <w:rsid w:val="008C2D71"/>
    <w:rsid w:val="008C6BA5"/>
    <w:rsid w:val="008D0986"/>
    <w:rsid w:val="008D185E"/>
    <w:rsid w:val="008D1FD7"/>
    <w:rsid w:val="008D6F2B"/>
    <w:rsid w:val="008E32B5"/>
    <w:rsid w:val="008E43DC"/>
    <w:rsid w:val="008E486B"/>
    <w:rsid w:val="008E5154"/>
    <w:rsid w:val="008E59AE"/>
    <w:rsid w:val="008F4645"/>
    <w:rsid w:val="008F48A4"/>
    <w:rsid w:val="008F65A0"/>
    <w:rsid w:val="008F6C97"/>
    <w:rsid w:val="009039F7"/>
    <w:rsid w:val="00905FF4"/>
    <w:rsid w:val="00906D03"/>
    <w:rsid w:val="00913B30"/>
    <w:rsid w:val="00916180"/>
    <w:rsid w:val="0091723A"/>
    <w:rsid w:val="00921706"/>
    <w:rsid w:val="00921F72"/>
    <w:rsid w:val="00930E00"/>
    <w:rsid w:val="009316AA"/>
    <w:rsid w:val="0094128A"/>
    <w:rsid w:val="009424F2"/>
    <w:rsid w:val="00943282"/>
    <w:rsid w:val="00943664"/>
    <w:rsid w:val="00943D18"/>
    <w:rsid w:val="00943ED3"/>
    <w:rsid w:val="009448AD"/>
    <w:rsid w:val="00950476"/>
    <w:rsid w:val="00952516"/>
    <w:rsid w:val="00953793"/>
    <w:rsid w:val="0095460C"/>
    <w:rsid w:val="00966002"/>
    <w:rsid w:val="00966F55"/>
    <w:rsid w:val="00967746"/>
    <w:rsid w:val="009678D3"/>
    <w:rsid w:val="00967E21"/>
    <w:rsid w:val="00971D2F"/>
    <w:rsid w:val="00974307"/>
    <w:rsid w:val="00974DFB"/>
    <w:rsid w:val="009758A2"/>
    <w:rsid w:val="00985384"/>
    <w:rsid w:val="009865A9"/>
    <w:rsid w:val="00987491"/>
    <w:rsid w:val="00991483"/>
    <w:rsid w:val="0099199A"/>
    <w:rsid w:val="00992BE4"/>
    <w:rsid w:val="00993187"/>
    <w:rsid w:val="009944F8"/>
    <w:rsid w:val="00996B69"/>
    <w:rsid w:val="009A7998"/>
    <w:rsid w:val="009C0156"/>
    <w:rsid w:val="009C1C57"/>
    <w:rsid w:val="009C20B9"/>
    <w:rsid w:val="009C5087"/>
    <w:rsid w:val="009D2015"/>
    <w:rsid w:val="009D51D1"/>
    <w:rsid w:val="009D61CA"/>
    <w:rsid w:val="009E0C43"/>
    <w:rsid w:val="009E0E60"/>
    <w:rsid w:val="009E31DC"/>
    <w:rsid w:val="009E41E5"/>
    <w:rsid w:val="009E454F"/>
    <w:rsid w:val="009E4BB3"/>
    <w:rsid w:val="009F1422"/>
    <w:rsid w:val="009F2795"/>
    <w:rsid w:val="009F398E"/>
    <w:rsid w:val="00A00DEB"/>
    <w:rsid w:val="00A010B8"/>
    <w:rsid w:val="00A01A4A"/>
    <w:rsid w:val="00A02C9A"/>
    <w:rsid w:val="00A07620"/>
    <w:rsid w:val="00A13F46"/>
    <w:rsid w:val="00A22505"/>
    <w:rsid w:val="00A256F4"/>
    <w:rsid w:val="00A26D73"/>
    <w:rsid w:val="00A26FC5"/>
    <w:rsid w:val="00A320C5"/>
    <w:rsid w:val="00A35E32"/>
    <w:rsid w:val="00A37322"/>
    <w:rsid w:val="00A377BA"/>
    <w:rsid w:val="00A379BD"/>
    <w:rsid w:val="00A4284A"/>
    <w:rsid w:val="00A45032"/>
    <w:rsid w:val="00A45A08"/>
    <w:rsid w:val="00A4616C"/>
    <w:rsid w:val="00A46D50"/>
    <w:rsid w:val="00A47434"/>
    <w:rsid w:val="00A51747"/>
    <w:rsid w:val="00A52D41"/>
    <w:rsid w:val="00A5501B"/>
    <w:rsid w:val="00A55606"/>
    <w:rsid w:val="00A62A35"/>
    <w:rsid w:val="00A6614F"/>
    <w:rsid w:val="00A71F87"/>
    <w:rsid w:val="00A75D7A"/>
    <w:rsid w:val="00A8128A"/>
    <w:rsid w:val="00A813DF"/>
    <w:rsid w:val="00A86F92"/>
    <w:rsid w:val="00A90038"/>
    <w:rsid w:val="00A91B42"/>
    <w:rsid w:val="00AA0D3E"/>
    <w:rsid w:val="00AA438D"/>
    <w:rsid w:val="00AA759A"/>
    <w:rsid w:val="00AB145C"/>
    <w:rsid w:val="00AB22BC"/>
    <w:rsid w:val="00AB668C"/>
    <w:rsid w:val="00AB7299"/>
    <w:rsid w:val="00AC10C9"/>
    <w:rsid w:val="00AC135B"/>
    <w:rsid w:val="00AC185F"/>
    <w:rsid w:val="00AC2AD0"/>
    <w:rsid w:val="00AC39F3"/>
    <w:rsid w:val="00AC59F9"/>
    <w:rsid w:val="00AC5FB9"/>
    <w:rsid w:val="00AC7D85"/>
    <w:rsid w:val="00AC7E81"/>
    <w:rsid w:val="00AD0A98"/>
    <w:rsid w:val="00AD1D70"/>
    <w:rsid w:val="00AD2109"/>
    <w:rsid w:val="00AE0674"/>
    <w:rsid w:val="00AE123E"/>
    <w:rsid w:val="00AE2704"/>
    <w:rsid w:val="00AE37B4"/>
    <w:rsid w:val="00AE6539"/>
    <w:rsid w:val="00AE75B2"/>
    <w:rsid w:val="00AF6E87"/>
    <w:rsid w:val="00B00885"/>
    <w:rsid w:val="00B01161"/>
    <w:rsid w:val="00B04D26"/>
    <w:rsid w:val="00B05AF4"/>
    <w:rsid w:val="00B071A2"/>
    <w:rsid w:val="00B16762"/>
    <w:rsid w:val="00B17B23"/>
    <w:rsid w:val="00B249A6"/>
    <w:rsid w:val="00B250C6"/>
    <w:rsid w:val="00B30E0D"/>
    <w:rsid w:val="00B35444"/>
    <w:rsid w:val="00B47365"/>
    <w:rsid w:val="00B50A95"/>
    <w:rsid w:val="00B50E87"/>
    <w:rsid w:val="00B511E9"/>
    <w:rsid w:val="00B53B73"/>
    <w:rsid w:val="00B54375"/>
    <w:rsid w:val="00B5487F"/>
    <w:rsid w:val="00B55820"/>
    <w:rsid w:val="00B57E4C"/>
    <w:rsid w:val="00B64FE4"/>
    <w:rsid w:val="00B70461"/>
    <w:rsid w:val="00B714D1"/>
    <w:rsid w:val="00B73817"/>
    <w:rsid w:val="00B7577D"/>
    <w:rsid w:val="00B758F3"/>
    <w:rsid w:val="00B76286"/>
    <w:rsid w:val="00B76BB3"/>
    <w:rsid w:val="00B775C9"/>
    <w:rsid w:val="00B868A3"/>
    <w:rsid w:val="00B905B9"/>
    <w:rsid w:val="00B92280"/>
    <w:rsid w:val="00B93FFC"/>
    <w:rsid w:val="00B95AF4"/>
    <w:rsid w:val="00B95F54"/>
    <w:rsid w:val="00B97B30"/>
    <w:rsid w:val="00B97EB6"/>
    <w:rsid w:val="00BA0AC9"/>
    <w:rsid w:val="00BA23D6"/>
    <w:rsid w:val="00BA488F"/>
    <w:rsid w:val="00BA4A06"/>
    <w:rsid w:val="00BA706E"/>
    <w:rsid w:val="00BC4790"/>
    <w:rsid w:val="00BC7D18"/>
    <w:rsid w:val="00BD0414"/>
    <w:rsid w:val="00BD0718"/>
    <w:rsid w:val="00BD2E7F"/>
    <w:rsid w:val="00BD37BD"/>
    <w:rsid w:val="00BD6DE6"/>
    <w:rsid w:val="00BD6F0F"/>
    <w:rsid w:val="00BD773F"/>
    <w:rsid w:val="00BF02B1"/>
    <w:rsid w:val="00BF1ED1"/>
    <w:rsid w:val="00BF3BC9"/>
    <w:rsid w:val="00BF4224"/>
    <w:rsid w:val="00BF4A4C"/>
    <w:rsid w:val="00BF6796"/>
    <w:rsid w:val="00C03A58"/>
    <w:rsid w:val="00C03EFC"/>
    <w:rsid w:val="00C07E17"/>
    <w:rsid w:val="00C26296"/>
    <w:rsid w:val="00C31EF6"/>
    <w:rsid w:val="00C32E08"/>
    <w:rsid w:val="00C338DE"/>
    <w:rsid w:val="00C374D3"/>
    <w:rsid w:val="00C4150F"/>
    <w:rsid w:val="00C43F29"/>
    <w:rsid w:val="00C46B91"/>
    <w:rsid w:val="00C57EE2"/>
    <w:rsid w:val="00C635B3"/>
    <w:rsid w:val="00C64AF8"/>
    <w:rsid w:val="00C64C05"/>
    <w:rsid w:val="00C64F89"/>
    <w:rsid w:val="00C7028B"/>
    <w:rsid w:val="00C73B45"/>
    <w:rsid w:val="00C75EEC"/>
    <w:rsid w:val="00C76AE2"/>
    <w:rsid w:val="00C808B2"/>
    <w:rsid w:val="00C81CD0"/>
    <w:rsid w:val="00C826DB"/>
    <w:rsid w:val="00C83948"/>
    <w:rsid w:val="00C85F93"/>
    <w:rsid w:val="00C86378"/>
    <w:rsid w:val="00C86CD6"/>
    <w:rsid w:val="00C9095E"/>
    <w:rsid w:val="00C90FBE"/>
    <w:rsid w:val="00C9103F"/>
    <w:rsid w:val="00C940B5"/>
    <w:rsid w:val="00C94676"/>
    <w:rsid w:val="00C96D1F"/>
    <w:rsid w:val="00CA00BD"/>
    <w:rsid w:val="00CA0362"/>
    <w:rsid w:val="00CA203A"/>
    <w:rsid w:val="00CA2069"/>
    <w:rsid w:val="00CA3995"/>
    <w:rsid w:val="00CA3CD6"/>
    <w:rsid w:val="00CA67B8"/>
    <w:rsid w:val="00CA75AF"/>
    <w:rsid w:val="00CB67BA"/>
    <w:rsid w:val="00CB7128"/>
    <w:rsid w:val="00CC128B"/>
    <w:rsid w:val="00CC17FC"/>
    <w:rsid w:val="00CC2812"/>
    <w:rsid w:val="00CC32BB"/>
    <w:rsid w:val="00CD0255"/>
    <w:rsid w:val="00CD5513"/>
    <w:rsid w:val="00CD5FC6"/>
    <w:rsid w:val="00CD636C"/>
    <w:rsid w:val="00CE029D"/>
    <w:rsid w:val="00CE32B4"/>
    <w:rsid w:val="00CE5AD4"/>
    <w:rsid w:val="00CE62C0"/>
    <w:rsid w:val="00D020EB"/>
    <w:rsid w:val="00D03849"/>
    <w:rsid w:val="00D05866"/>
    <w:rsid w:val="00D06285"/>
    <w:rsid w:val="00D07455"/>
    <w:rsid w:val="00D11133"/>
    <w:rsid w:val="00D1372D"/>
    <w:rsid w:val="00D166F0"/>
    <w:rsid w:val="00D21C1F"/>
    <w:rsid w:val="00D23A4D"/>
    <w:rsid w:val="00D2504F"/>
    <w:rsid w:val="00D252DD"/>
    <w:rsid w:val="00D27B94"/>
    <w:rsid w:val="00D3464A"/>
    <w:rsid w:val="00D35620"/>
    <w:rsid w:val="00D359AD"/>
    <w:rsid w:val="00D37A36"/>
    <w:rsid w:val="00D403D4"/>
    <w:rsid w:val="00D40726"/>
    <w:rsid w:val="00D4475B"/>
    <w:rsid w:val="00D51170"/>
    <w:rsid w:val="00D5344D"/>
    <w:rsid w:val="00D53D7A"/>
    <w:rsid w:val="00D57137"/>
    <w:rsid w:val="00D57A75"/>
    <w:rsid w:val="00D57C90"/>
    <w:rsid w:val="00D57ECF"/>
    <w:rsid w:val="00D602AC"/>
    <w:rsid w:val="00D61592"/>
    <w:rsid w:val="00D61D9C"/>
    <w:rsid w:val="00D61DE6"/>
    <w:rsid w:val="00D7282A"/>
    <w:rsid w:val="00D732E4"/>
    <w:rsid w:val="00D772A6"/>
    <w:rsid w:val="00D774B8"/>
    <w:rsid w:val="00D77974"/>
    <w:rsid w:val="00D8168D"/>
    <w:rsid w:val="00D855A1"/>
    <w:rsid w:val="00D87634"/>
    <w:rsid w:val="00D90D60"/>
    <w:rsid w:val="00D94330"/>
    <w:rsid w:val="00D94B32"/>
    <w:rsid w:val="00D9503B"/>
    <w:rsid w:val="00D96474"/>
    <w:rsid w:val="00DA256B"/>
    <w:rsid w:val="00DA4379"/>
    <w:rsid w:val="00DA4FE9"/>
    <w:rsid w:val="00DA55D0"/>
    <w:rsid w:val="00DA59E7"/>
    <w:rsid w:val="00DB1619"/>
    <w:rsid w:val="00DB64A5"/>
    <w:rsid w:val="00DB7402"/>
    <w:rsid w:val="00DC1782"/>
    <w:rsid w:val="00DC4F65"/>
    <w:rsid w:val="00DD031C"/>
    <w:rsid w:val="00DD078A"/>
    <w:rsid w:val="00DD637B"/>
    <w:rsid w:val="00DE3584"/>
    <w:rsid w:val="00DE399F"/>
    <w:rsid w:val="00DE432A"/>
    <w:rsid w:val="00DE5727"/>
    <w:rsid w:val="00DF2105"/>
    <w:rsid w:val="00DF3152"/>
    <w:rsid w:val="00DF45A9"/>
    <w:rsid w:val="00E014D1"/>
    <w:rsid w:val="00E01AFC"/>
    <w:rsid w:val="00E047C4"/>
    <w:rsid w:val="00E04F26"/>
    <w:rsid w:val="00E0523B"/>
    <w:rsid w:val="00E11CC2"/>
    <w:rsid w:val="00E12870"/>
    <w:rsid w:val="00E1341A"/>
    <w:rsid w:val="00E14486"/>
    <w:rsid w:val="00E1503C"/>
    <w:rsid w:val="00E15EAE"/>
    <w:rsid w:val="00E16CF7"/>
    <w:rsid w:val="00E213E2"/>
    <w:rsid w:val="00E21655"/>
    <w:rsid w:val="00E226EA"/>
    <w:rsid w:val="00E22E9D"/>
    <w:rsid w:val="00E23CA0"/>
    <w:rsid w:val="00E24A05"/>
    <w:rsid w:val="00E3640F"/>
    <w:rsid w:val="00E364EF"/>
    <w:rsid w:val="00E374C9"/>
    <w:rsid w:val="00E403A2"/>
    <w:rsid w:val="00E42896"/>
    <w:rsid w:val="00E452A7"/>
    <w:rsid w:val="00E50EE0"/>
    <w:rsid w:val="00E52807"/>
    <w:rsid w:val="00E528F0"/>
    <w:rsid w:val="00E57B3B"/>
    <w:rsid w:val="00E60110"/>
    <w:rsid w:val="00E6107A"/>
    <w:rsid w:val="00E720D6"/>
    <w:rsid w:val="00E73651"/>
    <w:rsid w:val="00E75023"/>
    <w:rsid w:val="00E76F4D"/>
    <w:rsid w:val="00E8094E"/>
    <w:rsid w:val="00E84F97"/>
    <w:rsid w:val="00E8567E"/>
    <w:rsid w:val="00E86FC9"/>
    <w:rsid w:val="00E94969"/>
    <w:rsid w:val="00E94E00"/>
    <w:rsid w:val="00E952D3"/>
    <w:rsid w:val="00EA07A3"/>
    <w:rsid w:val="00EA3029"/>
    <w:rsid w:val="00EA5D04"/>
    <w:rsid w:val="00EA62B7"/>
    <w:rsid w:val="00EB0251"/>
    <w:rsid w:val="00EB108A"/>
    <w:rsid w:val="00EB1770"/>
    <w:rsid w:val="00EB229B"/>
    <w:rsid w:val="00EB4C47"/>
    <w:rsid w:val="00EB6F5A"/>
    <w:rsid w:val="00EC1922"/>
    <w:rsid w:val="00EC2DE0"/>
    <w:rsid w:val="00EC36D1"/>
    <w:rsid w:val="00EC51D3"/>
    <w:rsid w:val="00EC79A6"/>
    <w:rsid w:val="00ED403A"/>
    <w:rsid w:val="00ED580B"/>
    <w:rsid w:val="00EE055A"/>
    <w:rsid w:val="00EE1946"/>
    <w:rsid w:val="00EE40A8"/>
    <w:rsid w:val="00EE4992"/>
    <w:rsid w:val="00EE56CC"/>
    <w:rsid w:val="00EE5ED0"/>
    <w:rsid w:val="00EE79AD"/>
    <w:rsid w:val="00EF0E20"/>
    <w:rsid w:val="00EF1B5E"/>
    <w:rsid w:val="00EF7EE7"/>
    <w:rsid w:val="00F00BB3"/>
    <w:rsid w:val="00F07C6E"/>
    <w:rsid w:val="00F1080E"/>
    <w:rsid w:val="00F141BC"/>
    <w:rsid w:val="00F1565D"/>
    <w:rsid w:val="00F17AE8"/>
    <w:rsid w:val="00F21514"/>
    <w:rsid w:val="00F219B4"/>
    <w:rsid w:val="00F26D1E"/>
    <w:rsid w:val="00F27BA4"/>
    <w:rsid w:val="00F27C0E"/>
    <w:rsid w:val="00F30D80"/>
    <w:rsid w:val="00F35BF0"/>
    <w:rsid w:val="00F37585"/>
    <w:rsid w:val="00F46B0B"/>
    <w:rsid w:val="00F511EC"/>
    <w:rsid w:val="00F51BB5"/>
    <w:rsid w:val="00F522D8"/>
    <w:rsid w:val="00F56FAC"/>
    <w:rsid w:val="00F632D5"/>
    <w:rsid w:val="00F64094"/>
    <w:rsid w:val="00F654BE"/>
    <w:rsid w:val="00F70B6D"/>
    <w:rsid w:val="00F71067"/>
    <w:rsid w:val="00F71FE1"/>
    <w:rsid w:val="00F745E0"/>
    <w:rsid w:val="00F8044B"/>
    <w:rsid w:val="00F914BC"/>
    <w:rsid w:val="00F9161C"/>
    <w:rsid w:val="00F91927"/>
    <w:rsid w:val="00F921A4"/>
    <w:rsid w:val="00F925CD"/>
    <w:rsid w:val="00FA1939"/>
    <w:rsid w:val="00FA28CA"/>
    <w:rsid w:val="00FA4570"/>
    <w:rsid w:val="00FA6568"/>
    <w:rsid w:val="00FA74E5"/>
    <w:rsid w:val="00FB5C81"/>
    <w:rsid w:val="00FB5DCB"/>
    <w:rsid w:val="00FC7D36"/>
    <w:rsid w:val="00FC7E0F"/>
    <w:rsid w:val="00FD31E2"/>
    <w:rsid w:val="00FD4AEF"/>
    <w:rsid w:val="00FD6F8E"/>
    <w:rsid w:val="00FE07C3"/>
    <w:rsid w:val="00FE7199"/>
    <w:rsid w:val="00FF045E"/>
    <w:rsid w:val="00FF2F24"/>
    <w:rsid w:val="00FF74FD"/>
    <w:rsid w:val="0119150F"/>
    <w:rsid w:val="01732B3D"/>
    <w:rsid w:val="0179DDE4"/>
    <w:rsid w:val="020B8677"/>
    <w:rsid w:val="02144BC0"/>
    <w:rsid w:val="02D562E0"/>
    <w:rsid w:val="049E0FAB"/>
    <w:rsid w:val="04DF1A90"/>
    <w:rsid w:val="056470B4"/>
    <w:rsid w:val="05CA4905"/>
    <w:rsid w:val="05EF4B5A"/>
    <w:rsid w:val="068AC2CA"/>
    <w:rsid w:val="069F4E45"/>
    <w:rsid w:val="06E034FF"/>
    <w:rsid w:val="07DAD9E9"/>
    <w:rsid w:val="09266037"/>
    <w:rsid w:val="09E46CDD"/>
    <w:rsid w:val="0ACCEC44"/>
    <w:rsid w:val="0AF9B6F5"/>
    <w:rsid w:val="0BB6666E"/>
    <w:rsid w:val="0C259A93"/>
    <w:rsid w:val="0C53B569"/>
    <w:rsid w:val="0EA1FF32"/>
    <w:rsid w:val="0F02DBAA"/>
    <w:rsid w:val="0FD3BED1"/>
    <w:rsid w:val="1050858E"/>
    <w:rsid w:val="11367AC1"/>
    <w:rsid w:val="115DCC93"/>
    <w:rsid w:val="124A5904"/>
    <w:rsid w:val="1291E9D2"/>
    <w:rsid w:val="134AA632"/>
    <w:rsid w:val="13FD8457"/>
    <w:rsid w:val="15607CB5"/>
    <w:rsid w:val="16C5288A"/>
    <w:rsid w:val="18154461"/>
    <w:rsid w:val="18DCF37E"/>
    <w:rsid w:val="1B15F2A2"/>
    <w:rsid w:val="1B4A907C"/>
    <w:rsid w:val="1BF5BCDA"/>
    <w:rsid w:val="1C95E882"/>
    <w:rsid w:val="1CD696F4"/>
    <w:rsid w:val="1D1ACDCF"/>
    <w:rsid w:val="1D8306C0"/>
    <w:rsid w:val="1DA250CD"/>
    <w:rsid w:val="1E066B4C"/>
    <w:rsid w:val="1E77F16A"/>
    <w:rsid w:val="1E8F9BA3"/>
    <w:rsid w:val="1F4F0381"/>
    <w:rsid w:val="1F823D11"/>
    <w:rsid w:val="201000DD"/>
    <w:rsid w:val="21549F3C"/>
    <w:rsid w:val="21D9E190"/>
    <w:rsid w:val="21DD2DFA"/>
    <w:rsid w:val="21E2D9AA"/>
    <w:rsid w:val="21EA76F8"/>
    <w:rsid w:val="2204E302"/>
    <w:rsid w:val="22690466"/>
    <w:rsid w:val="22699057"/>
    <w:rsid w:val="2281F42D"/>
    <w:rsid w:val="22CC5AC5"/>
    <w:rsid w:val="2383C59A"/>
    <w:rsid w:val="2408D611"/>
    <w:rsid w:val="2436CE89"/>
    <w:rsid w:val="24CBF3EB"/>
    <w:rsid w:val="255D9C7E"/>
    <w:rsid w:val="258A672F"/>
    <w:rsid w:val="25E7F1D7"/>
    <w:rsid w:val="26102273"/>
    <w:rsid w:val="26302FBB"/>
    <w:rsid w:val="26F0F769"/>
    <w:rsid w:val="2803D272"/>
    <w:rsid w:val="281F154C"/>
    <w:rsid w:val="282C2C96"/>
    <w:rsid w:val="28B9E13E"/>
    <w:rsid w:val="2961657B"/>
    <w:rsid w:val="29BAE5AD"/>
    <w:rsid w:val="2A96F617"/>
    <w:rsid w:val="2AB06F85"/>
    <w:rsid w:val="2B2CEFF0"/>
    <w:rsid w:val="2B6A3A9F"/>
    <w:rsid w:val="2B7CAED4"/>
    <w:rsid w:val="2C45CDD3"/>
    <w:rsid w:val="2D339185"/>
    <w:rsid w:val="2DE2D0A5"/>
    <w:rsid w:val="2E4BCCFC"/>
    <w:rsid w:val="2F55D697"/>
    <w:rsid w:val="2F6C2685"/>
    <w:rsid w:val="2F77B09A"/>
    <w:rsid w:val="301AC9E6"/>
    <w:rsid w:val="30CAD4F4"/>
    <w:rsid w:val="310A2F2E"/>
    <w:rsid w:val="31967E6D"/>
    <w:rsid w:val="31F12A90"/>
    <w:rsid w:val="336185A7"/>
    <w:rsid w:val="33A47D0D"/>
    <w:rsid w:val="33E59AE0"/>
    <w:rsid w:val="35F4F752"/>
    <w:rsid w:val="36E4221B"/>
    <w:rsid w:val="37B63F13"/>
    <w:rsid w:val="37C42FB1"/>
    <w:rsid w:val="37EC64F7"/>
    <w:rsid w:val="387ABB82"/>
    <w:rsid w:val="39C0C2C8"/>
    <w:rsid w:val="3AAFD952"/>
    <w:rsid w:val="3AB4AF84"/>
    <w:rsid w:val="3AC2C8CC"/>
    <w:rsid w:val="3AEE3F93"/>
    <w:rsid w:val="3BAC5157"/>
    <w:rsid w:val="3BC66A5A"/>
    <w:rsid w:val="3C91D4F6"/>
    <w:rsid w:val="3D902F9F"/>
    <w:rsid w:val="3DF8A1AF"/>
    <w:rsid w:val="3E0897D2"/>
    <w:rsid w:val="3E7C3A7E"/>
    <w:rsid w:val="3E7FFAA0"/>
    <w:rsid w:val="3E81E62E"/>
    <w:rsid w:val="3F47D2E1"/>
    <w:rsid w:val="3F62653E"/>
    <w:rsid w:val="3FCA457D"/>
    <w:rsid w:val="3FE240BD"/>
    <w:rsid w:val="40600E58"/>
    <w:rsid w:val="43917D9B"/>
    <w:rsid w:val="43991C84"/>
    <w:rsid w:val="4436AC01"/>
    <w:rsid w:val="445A3A4F"/>
    <w:rsid w:val="447A0A5A"/>
    <w:rsid w:val="44A55623"/>
    <w:rsid w:val="44B2CA33"/>
    <w:rsid w:val="4511394A"/>
    <w:rsid w:val="451EE727"/>
    <w:rsid w:val="4677A5D0"/>
    <w:rsid w:val="482AD4D8"/>
    <w:rsid w:val="48AFB285"/>
    <w:rsid w:val="48DC7D36"/>
    <w:rsid w:val="49B7679C"/>
    <w:rsid w:val="4AFB4B09"/>
    <w:rsid w:val="4BCA45B9"/>
    <w:rsid w:val="4C57229E"/>
    <w:rsid w:val="4CD521ED"/>
    <w:rsid w:val="4DB44149"/>
    <w:rsid w:val="4E43F1A5"/>
    <w:rsid w:val="4E535C67"/>
    <w:rsid w:val="4E7F05F7"/>
    <w:rsid w:val="4E8CF1C3"/>
    <w:rsid w:val="4E933DEB"/>
    <w:rsid w:val="4EA9638D"/>
    <w:rsid w:val="4F2CF101"/>
    <w:rsid w:val="4F34F627"/>
    <w:rsid w:val="4F9C97CB"/>
    <w:rsid w:val="50663472"/>
    <w:rsid w:val="50CA9E7B"/>
    <w:rsid w:val="51F88073"/>
    <w:rsid w:val="5353B47F"/>
    <w:rsid w:val="53624439"/>
    <w:rsid w:val="5408297B"/>
    <w:rsid w:val="5410BBB0"/>
    <w:rsid w:val="5449A0BA"/>
    <w:rsid w:val="5464BC0F"/>
    <w:rsid w:val="548093C7"/>
    <w:rsid w:val="55F2FE15"/>
    <w:rsid w:val="56AA71EB"/>
    <w:rsid w:val="57162B2B"/>
    <w:rsid w:val="57B0084A"/>
    <w:rsid w:val="58889A15"/>
    <w:rsid w:val="58BB5913"/>
    <w:rsid w:val="58CB3E18"/>
    <w:rsid w:val="5A0F6823"/>
    <w:rsid w:val="5A4069EB"/>
    <w:rsid w:val="5A6A1D1E"/>
    <w:rsid w:val="5B1E1C18"/>
    <w:rsid w:val="5B35B581"/>
    <w:rsid w:val="5B8B2C6E"/>
    <w:rsid w:val="5C2A6CFC"/>
    <w:rsid w:val="5CEAFD2E"/>
    <w:rsid w:val="5D455312"/>
    <w:rsid w:val="5D59BD08"/>
    <w:rsid w:val="5E12F698"/>
    <w:rsid w:val="5E27295B"/>
    <w:rsid w:val="5EB25223"/>
    <w:rsid w:val="5EB9706F"/>
    <w:rsid w:val="5EE63B20"/>
    <w:rsid w:val="5F85CF7F"/>
    <w:rsid w:val="60709936"/>
    <w:rsid w:val="60E5B345"/>
    <w:rsid w:val="60E8ACC2"/>
    <w:rsid w:val="610508F3"/>
    <w:rsid w:val="61132790"/>
    <w:rsid w:val="616CF657"/>
    <w:rsid w:val="6173AEA1"/>
    <w:rsid w:val="620FC77A"/>
    <w:rsid w:val="62623B59"/>
    <w:rsid w:val="633456C4"/>
    <w:rsid w:val="63847509"/>
    <w:rsid w:val="63AE3AD1"/>
    <w:rsid w:val="63E21412"/>
    <w:rsid w:val="63F8A0A3"/>
    <w:rsid w:val="641A5C35"/>
    <w:rsid w:val="6496AFAD"/>
    <w:rsid w:val="652FEE17"/>
    <w:rsid w:val="657401D6"/>
    <w:rsid w:val="65D37617"/>
    <w:rsid w:val="6640677A"/>
    <w:rsid w:val="66B57D80"/>
    <w:rsid w:val="66D6C173"/>
    <w:rsid w:val="673FF244"/>
    <w:rsid w:val="6749D536"/>
    <w:rsid w:val="67BB4914"/>
    <w:rsid w:val="68015057"/>
    <w:rsid w:val="6954AD20"/>
    <w:rsid w:val="69DF46F3"/>
    <w:rsid w:val="6A05C874"/>
    <w:rsid w:val="6B0D67CC"/>
    <w:rsid w:val="6B45864C"/>
    <w:rsid w:val="6B5B4EB5"/>
    <w:rsid w:val="6B934178"/>
    <w:rsid w:val="6C2A41F7"/>
    <w:rsid w:val="6CAB3F48"/>
    <w:rsid w:val="6D1CB0D4"/>
    <w:rsid w:val="6D66BD58"/>
    <w:rsid w:val="6D845316"/>
    <w:rsid w:val="6D881700"/>
    <w:rsid w:val="6DB34448"/>
    <w:rsid w:val="6DC6BF9C"/>
    <w:rsid w:val="6DEB12A9"/>
    <w:rsid w:val="6FF40DB6"/>
    <w:rsid w:val="7189687D"/>
    <w:rsid w:val="71FF90C7"/>
    <w:rsid w:val="720E66AD"/>
    <w:rsid w:val="723230C1"/>
    <w:rsid w:val="7242DD9E"/>
    <w:rsid w:val="7327366B"/>
    <w:rsid w:val="7381F533"/>
    <w:rsid w:val="740ECE0C"/>
    <w:rsid w:val="75082548"/>
    <w:rsid w:val="75978703"/>
    <w:rsid w:val="761BDCA8"/>
    <w:rsid w:val="772A0CB4"/>
    <w:rsid w:val="773AD009"/>
    <w:rsid w:val="787EEB47"/>
    <w:rsid w:val="7937B5A2"/>
    <w:rsid w:val="7952E5F2"/>
    <w:rsid w:val="79BBE249"/>
    <w:rsid w:val="7A2D7D14"/>
    <w:rsid w:val="7A8AD58B"/>
    <w:rsid w:val="7AAAEE40"/>
    <w:rsid w:val="7B540EA8"/>
    <w:rsid w:val="7B5541C8"/>
    <w:rsid w:val="7B95B92D"/>
    <w:rsid w:val="7BFCA3D1"/>
    <w:rsid w:val="7CD207DE"/>
    <w:rsid w:val="7CFAECE9"/>
    <w:rsid w:val="7CFFEA72"/>
    <w:rsid w:val="7D73B1B0"/>
    <w:rsid w:val="7D77F417"/>
    <w:rsid w:val="7E87CB88"/>
    <w:rsid w:val="7F8B35BB"/>
    <w:rsid w:val="7FE0577C"/>
    <w:rsid w:val="7FF9B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79A5"/>
  <w15:chartTrackingRefBased/>
  <w15:docId w15:val="{BD320723-8267-42D3-9FC3-08E7DD0A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5A1"/>
    <w:rPr>
      <w:color w:val="0563C1" w:themeColor="hyperlink"/>
      <w:u w:val="single"/>
    </w:rPr>
  </w:style>
  <w:style w:type="character" w:styleId="UnresolvedMention">
    <w:name w:val="Unresolved Mention"/>
    <w:basedOn w:val="DefaultParagraphFont"/>
    <w:uiPriority w:val="99"/>
    <w:unhideWhenUsed/>
    <w:rsid w:val="00D855A1"/>
    <w:rPr>
      <w:color w:val="605E5C"/>
      <w:shd w:val="clear" w:color="auto" w:fill="E1DFDD"/>
    </w:rPr>
  </w:style>
  <w:style w:type="character" w:styleId="CommentReference">
    <w:name w:val="annotation reference"/>
    <w:basedOn w:val="DefaultParagraphFont"/>
    <w:uiPriority w:val="99"/>
    <w:semiHidden/>
    <w:unhideWhenUsed/>
    <w:rsid w:val="00122F8E"/>
    <w:rPr>
      <w:sz w:val="16"/>
      <w:szCs w:val="16"/>
    </w:rPr>
  </w:style>
  <w:style w:type="paragraph" w:styleId="CommentText">
    <w:name w:val="annotation text"/>
    <w:basedOn w:val="Normal"/>
    <w:link w:val="CommentTextChar"/>
    <w:uiPriority w:val="99"/>
    <w:semiHidden/>
    <w:unhideWhenUsed/>
    <w:rsid w:val="00122F8E"/>
    <w:pPr>
      <w:spacing w:line="240" w:lineRule="auto"/>
    </w:pPr>
    <w:rPr>
      <w:sz w:val="20"/>
      <w:szCs w:val="20"/>
    </w:rPr>
  </w:style>
  <w:style w:type="character" w:customStyle="1" w:styleId="CommentTextChar">
    <w:name w:val="Comment Text Char"/>
    <w:basedOn w:val="DefaultParagraphFont"/>
    <w:link w:val="CommentText"/>
    <w:uiPriority w:val="99"/>
    <w:semiHidden/>
    <w:rsid w:val="00122F8E"/>
    <w:rPr>
      <w:sz w:val="20"/>
      <w:szCs w:val="20"/>
    </w:rPr>
  </w:style>
  <w:style w:type="paragraph" w:styleId="CommentSubject">
    <w:name w:val="annotation subject"/>
    <w:basedOn w:val="CommentText"/>
    <w:next w:val="CommentText"/>
    <w:link w:val="CommentSubjectChar"/>
    <w:uiPriority w:val="99"/>
    <w:semiHidden/>
    <w:unhideWhenUsed/>
    <w:rsid w:val="00122F8E"/>
    <w:rPr>
      <w:b/>
      <w:bCs/>
    </w:rPr>
  </w:style>
  <w:style w:type="character" w:customStyle="1" w:styleId="CommentSubjectChar">
    <w:name w:val="Comment Subject Char"/>
    <w:basedOn w:val="CommentTextChar"/>
    <w:link w:val="CommentSubject"/>
    <w:uiPriority w:val="99"/>
    <w:semiHidden/>
    <w:rsid w:val="00122F8E"/>
    <w:rPr>
      <w:b/>
      <w:bCs/>
      <w:sz w:val="20"/>
      <w:szCs w:val="20"/>
    </w:rPr>
  </w:style>
  <w:style w:type="character" w:styleId="Mention">
    <w:name w:val="Mention"/>
    <w:basedOn w:val="DefaultParagraphFont"/>
    <w:uiPriority w:val="99"/>
    <w:unhideWhenUsed/>
    <w:rsid w:val="00122F8E"/>
    <w:rPr>
      <w:color w:val="2B579A"/>
      <w:shd w:val="clear" w:color="auto" w:fill="E1DFDD"/>
    </w:rPr>
  </w:style>
  <w:style w:type="paragraph" w:styleId="Header">
    <w:name w:val="header"/>
    <w:basedOn w:val="Normal"/>
    <w:link w:val="HeaderChar"/>
    <w:uiPriority w:val="99"/>
    <w:unhideWhenUsed/>
    <w:rsid w:val="00897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B4"/>
  </w:style>
  <w:style w:type="paragraph" w:styleId="Footer">
    <w:name w:val="footer"/>
    <w:basedOn w:val="Normal"/>
    <w:link w:val="FooterChar"/>
    <w:uiPriority w:val="99"/>
    <w:unhideWhenUsed/>
    <w:rsid w:val="00897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ed.gov/about/offices/list/ope/opebriefingheerfarpinstitution.pdf" TargetMode="External"/><Relationship Id="rId5" Type="http://schemas.openxmlformats.org/officeDocument/2006/relationships/settings" Target="settings.xml"/><Relationship Id="rId10" Type="http://schemas.openxmlformats.org/officeDocument/2006/relationships/hyperlink" Target="https://covid-relief-data.ed.gov/" TargetMode="External"/><Relationship Id="rId4" Type="http://schemas.openxmlformats.org/officeDocument/2006/relationships/styles" Target="styles.xml"/><Relationship Id="rId9" Type="http://schemas.openxmlformats.org/officeDocument/2006/relationships/hyperlink" Target="https://covid-relief-data.e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17FD3-F0D1-4549-84AC-97F22A97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453A1-B72D-4EE0-92E9-DF74D9A81635}">
  <ds:schemaRefs>
    <ds:schemaRef ds:uri="http://schemas.microsoft.com/sharepoint/v3/contenttype/forms"/>
  </ds:schemaRefs>
</ds:datastoreItem>
</file>

<file path=customXml/itemProps3.xml><?xml version="1.0" encoding="utf-8"?>
<ds:datastoreItem xmlns:ds="http://schemas.openxmlformats.org/officeDocument/2006/customXml" ds:itemID="{7BF5962A-3604-4FD4-A2F5-6B385729D3FE}">
  <ds:schemaRefs>
    <ds:schemaRef ds:uri="http://schemas.microsoft.com/office/2006/documentManagement/types"/>
    <ds:schemaRef ds:uri="http://purl.org/dc/terms/"/>
    <ds:schemaRef ds:uri="ab9b5319-1185-4140-9a26-9cb9df080838"/>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913fafb8-8ecc-40e4-9d76-36f25eb14c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3907</Words>
  <Characters>22272</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26127</CharactersWithSpaces>
  <SharedDoc>false</SharedDoc>
  <HLinks>
    <vt:vector size="90" baseType="variant">
      <vt:variant>
        <vt:i4>1769539</vt:i4>
      </vt:variant>
      <vt:variant>
        <vt:i4>3</vt:i4>
      </vt:variant>
      <vt:variant>
        <vt:i4>0</vt:i4>
      </vt:variant>
      <vt:variant>
        <vt:i4>5</vt:i4>
      </vt:variant>
      <vt:variant>
        <vt:lpwstr>https://covid-relief-data.ed.gov/</vt:lpwstr>
      </vt:variant>
      <vt:variant>
        <vt:lpwstr/>
      </vt:variant>
      <vt:variant>
        <vt:i4>1769539</vt:i4>
      </vt:variant>
      <vt:variant>
        <vt:i4>0</vt:i4>
      </vt:variant>
      <vt:variant>
        <vt:i4>0</vt:i4>
      </vt:variant>
      <vt:variant>
        <vt:i4>5</vt:i4>
      </vt:variant>
      <vt:variant>
        <vt:lpwstr>https://covid-relief-data.ed.gov/</vt:lpwstr>
      </vt:variant>
      <vt:variant>
        <vt:lpwstr/>
      </vt:variant>
      <vt:variant>
        <vt:i4>5570620</vt:i4>
      </vt:variant>
      <vt:variant>
        <vt:i4>36</vt:i4>
      </vt:variant>
      <vt:variant>
        <vt:i4>0</vt:i4>
      </vt:variant>
      <vt:variant>
        <vt:i4>5</vt:i4>
      </vt:variant>
      <vt:variant>
        <vt:lpwstr>mailto:Beatriz.Ceja@ed.gov</vt:lpwstr>
      </vt:variant>
      <vt:variant>
        <vt:lpwstr/>
      </vt:variant>
      <vt:variant>
        <vt:i4>3473479</vt:i4>
      </vt:variant>
      <vt:variant>
        <vt:i4>33</vt:i4>
      </vt:variant>
      <vt:variant>
        <vt:i4>0</vt:i4>
      </vt:variant>
      <vt:variant>
        <vt:i4>5</vt:i4>
      </vt:variant>
      <vt:variant>
        <vt:lpwstr>mailto:Karen.Epps@ed.gov</vt:lpwstr>
      </vt:variant>
      <vt:variant>
        <vt:lpwstr/>
      </vt:variant>
      <vt:variant>
        <vt:i4>6815771</vt:i4>
      </vt:variant>
      <vt:variant>
        <vt:i4>30</vt:i4>
      </vt:variant>
      <vt:variant>
        <vt:i4>0</vt:i4>
      </vt:variant>
      <vt:variant>
        <vt:i4>5</vt:i4>
      </vt:variant>
      <vt:variant>
        <vt:lpwstr>mailto:Antoinette.Flores@ed.gov</vt:lpwstr>
      </vt:variant>
      <vt:variant>
        <vt:lpwstr/>
      </vt:variant>
      <vt:variant>
        <vt:i4>7208983</vt:i4>
      </vt:variant>
      <vt:variant>
        <vt:i4>27</vt:i4>
      </vt:variant>
      <vt:variant>
        <vt:i4>0</vt:i4>
      </vt:variant>
      <vt:variant>
        <vt:i4>5</vt:i4>
      </vt:variant>
      <vt:variant>
        <vt:lpwstr>mailto:Rich.Williams@ed.gov</vt:lpwstr>
      </vt:variant>
      <vt:variant>
        <vt:lpwstr/>
      </vt:variant>
      <vt:variant>
        <vt:i4>6815771</vt:i4>
      </vt:variant>
      <vt:variant>
        <vt:i4>24</vt:i4>
      </vt:variant>
      <vt:variant>
        <vt:i4>0</vt:i4>
      </vt:variant>
      <vt:variant>
        <vt:i4>5</vt:i4>
      </vt:variant>
      <vt:variant>
        <vt:lpwstr>mailto:Antoinette.Flores@ed.gov</vt:lpwstr>
      </vt:variant>
      <vt:variant>
        <vt:lpwstr/>
      </vt:variant>
      <vt:variant>
        <vt:i4>7208983</vt:i4>
      </vt:variant>
      <vt:variant>
        <vt:i4>21</vt:i4>
      </vt:variant>
      <vt:variant>
        <vt:i4>0</vt:i4>
      </vt:variant>
      <vt:variant>
        <vt:i4>5</vt:i4>
      </vt:variant>
      <vt:variant>
        <vt:lpwstr>mailto:Rich.Williams@ed.gov</vt:lpwstr>
      </vt:variant>
      <vt:variant>
        <vt:lpwstr/>
      </vt:variant>
      <vt:variant>
        <vt:i4>5570620</vt:i4>
      </vt:variant>
      <vt:variant>
        <vt:i4>18</vt:i4>
      </vt:variant>
      <vt:variant>
        <vt:i4>0</vt:i4>
      </vt:variant>
      <vt:variant>
        <vt:i4>5</vt:i4>
      </vt:variant>
      <vt:variant>
        <vt:lpwstr>mailto:Beatriz.Ceja@ed.gov</vt:lpwstr>
      </vt:variant>
      <vt:variant>
        <vt:lpwstr/>
      </vt:variant>
      <vt:variant>
        <vt:i4>3473479</vt:i4>
      </vt:variant>
      <vt:variant>
        <vt:i4>15</vt:i4>
      </vt:variant>
      <vt:variant>
        <vt:i4>0</vt:i4>
      </vt:variant>
      <vt:variant>
        <vt:i4>5</vt:i4>
      </vt:variant>
      <vt:variant>
        <vt:lpwstr>mailto:Karen.Epps@ed.gov</vt:lpwstr>
      </vt:variant>
      <vt:variant>
        <vt:lpwstr/>
      </vt:variant>
      <vt:variant>
        <vt:i4>6815771</vt:i4>
      </vt:variant>
      <vt:variant>
        <vt:i4>12</vt:i4>
      </vt:variant>
      <vt:variant>
        <vt:i4>0</vt:i4>
      </vt:variant>
      <vt:variant>
        <vt:i4>5</vt:i4>
      </vt:variant>
      <vt:variant>
        <vt:lpwstr>mailto:Antoinette.Flores@ed.gov</vt:lpwstr>
      </vt:variant>
      <vt:variant>
        <vt:lpwstr/>
      </vt:variant>
      <vt:variant>
        <vt:i4>7208983</vt:i4>
      </vt:variant>
      <vt:variant>
        <vt:i4>9</vt:i4>
      </vt:variant>
      <vt:variant>
        <vt:i4>0</vt:i4>
      </vt:variant>
      <vt:variant>
        <vt:i4>5</vt:i4>
      </vt:variant>
      <vt:variant>
        <vt:lpwstr>mailto:Rich.Williams@ed.gov</vt:lpwstr>
      </vt:variant>
      <vt:variant>
        <vt:lpwstr/>
      </vt:variant>
      <vt:variant>
        <vt:i4>5505062</vt:i4>
      </vt:variant>
      <vt:variant>
        <vt:i4>6</vt:i4>
      </vt:variant>
      <vt:variant>
        <vt:i4>0</vt:i4>
      </vt:variant>
      <vt:variant>
        <vt:i4>5</vt:i4>
      </vt:variant>
      <vt:variant>
        <vt:lpwstr>mailto:Brian.Fu@ed.gov</vt:lpwstr>
      </vt:variant>
      <vt:variant>
        <vt:lpwstr/>
      </vt:variant>
      <vt:variant>
        <vt:i4>6815771</vt:i4>
      </vt:variant>
      <vt:variant>
        <vt:i4>3</vt:i4>
      </vt:variant>
      <vt:variant>
        <vt:i4>0</vt:i4>
      </vt:variant>
      <vt:variant>
        <vt:i4>5</vt:i4>
      </vt:variant>
      <vt:variant>
        <vt:lpwstr>mailto:Antoinette.Flores@ed.gov</vt:lpwstr>
      </vt:variant>
      <vt:variant>
        <vt:lpwstr/>
      </vt:variant>
      <vt:variant>
        <vt:i4>7208983</vt:i4>
      </vt:variant>
      <vt:variant>
        <vt:i4>0</vt:i4>
      </vt:variant>
      <vt:variant>
        <vt:i4>0</vt:i4>
      </vt:variant>
      <vt:variant>
        <vt:i4>5</vt:i4>
      </vt:variant>
      <vt:variant>
        <vt:lpwstr>mailto:Rich.Williams@ed.gov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Brian</dc:creator>
  <cp:keywords/>
  <dc:description/>
  <cp:lastModifiedBy>Kate Mullan</cp:lastModifiedBy>
  <cp:revision>2</cp:revision>
  <dcterms:created xsi:type="dcterms:W3CDTF">2021-10-01T19:18:00Z</dcterms:created>
  <dcterms:modified xsi:type="dcterms:W3CDTF">2021-10-01T19:18:00Z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