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6B6D" w:rsidRPr="00130DCC" w:rsidP="001D2EC1" w14:paraId="2AAF5762" w14:textId="77777777">
      <w:pPr>
        <w:widowControl/>
        <w:tabs>
          <w:tab w:val="center" w:pos="5040"/>
        </w:tabs>
        <w:jc w:val="center"/>
        <w:rPr>
          <w:b/>
          <w:bCs/>
          <w:sz w:val="26"/>
          <w:szCs w:val="26"/>
        </w:rPr>
      </w:pPr>
      <w:r w:rsidRPr="00130DCC">
        <w:rPr>
          <w:b/>
          <w:bCs/>
          <w:sz w:val="26"/>
          <w:szCs w:val="26"/>
        </w:rPr>
        <w:t>Supporting Statement for</w:t>
      </w:r>
    </w:p>
    <w:p w:rsidR="003E0067" w:rsidP="001D2EC1" w14:paraId="3F189603" w14:textId="089EB21D">
      <w:pPr>
        <w:widowControl/>
        <w:tabs>
          <w:tab w:val="center" w:pos="5040"/>
        </w:tabs>
        <w:jc w:val="center"/>
        <w:rPr>
          <w:b/>
          <w:bCs/>
          <w:sz w:val="26"/>
          <w:szCs w:val="26"/>
        </w:rPr>
      </w:pPr>
      <w:r>
        <w:rPr>
          <w:b/>
          <w:bCs/>
          <w:sz w:val="26"/>
          <w:szCs w:val="26"/>
        </w:rPr>
        <w:t>P</w:t>
      </w:r>
      <w:r w:rsidRPr="009C6E19">
        <w:rPr>
          <w:b/>
          <w:bCs/>
          <w:sz w:val="26"/>
          <w:szCs w:val="26"/>
        </w:rPr>
        <w:t xml:space="preserve">roposed </w:t>
      </w:r>
    </w:p>
    <w:p w:rsidR="009D6B6D" w:rsidP="001D2EC1" w14:paraId="67023B42" w14:textId="2CAE8B09">
      <w:pPr>
        <w:widowControl/>
        <w:tabs>
          <w:tab w:val="center" w:pos="5040"/>
        </w:tabs>
        <w:jc w:val="center"/>
        <w:rPr>
          <w:b/>
          <w:bCs/>
          <w:sz w:val="26"/>
          <w:szCs w:val="26"/>
        </w:rPr>
      </w:pPr>
      <w:r w:rsidRPr="4296BF2D">
        <w:rPr>
          <w:b/>
          <w:bCs/>
          <w:sz w:val="26"/>
          <w:szCs w:val="26"/>
        </w:rPr>
        <w:t>FERC-1002 (Customer Engagement Management Survey)</w:t>
      </w:r>
    </w:p>
    <w:p w:rsidR="003E0067" w:rsidRPr="00F405D1" w:rsidP="001D2EC1" w14:paraId="1C633305" w14:textId="77777777">
      <w:pPr>
        <w:widowControl/>
        <w:tabs>
          <w:tab w:val="center" w:pos="5040"/>
        </w:tabs>
        <w:jc w:val="center"/>
        <w:rPr>
          <w:sz w:val="26"/>
          <w:szCs w:val="26"/>
        </w:rPr>
      </w:pPr>
    </w:p>
    <w:p w:rsidR="009D6B6D" w:rsidRPr="00F405D1" w:rsidP="73D44049" w14:paraId="5BA8532D" w14:textId="1080095E">
      <w:pPr>
        <w:widowControl/>
        <w:tabs>
          <w:tab w:val="center" w:pos="5040"/>
        </w:tabs>
        <w:rPr>
          <w:b/>
          <w:bCs/>
          <w:sz w:val="26"/>
          <w:szCs w:val="26"/>
        </w:rPr>
      </w:pPr>
      <w:r w:rsidRPr="73D44049">
        <w:rPr>
          <w:sz w:val="26"/>
          <w:szCs w:val="26"/>
        </w:rPr>
        <w:t xml:space="preserve">The Federal Energy Regulatory Commission (Commission or FERC) requests that the Office of Management and Budget (OMB) review and approve </w:t>
      </w:r>
      <w:r w:rsidRPr="73D44049" w:rsidR="0057463A">
        <w:rPr>
          <w:sz w:val="26"/>
          <w:szCs w:val="26"/>
        </w:rPr>
        <w:t xml:space="preserve">proposed survey </w:t>
      </w:r>
      <w:r w:rsidRPr="73D44049" w:rsidR="00E643C4">
        <w:rPr>
          <w:sz w:val="26"/>
          <w:szCs w:val="26"/>
        </w:rPr>
        <w:t>FERC-1002 (Customer Engagement Management Survey), for a three-year period</w:t>
      </w:r>
      <w:r w:rsidR="00A717EC">
        <w:rPr>
          <w:sz w:val="26"/>
          <w:szCs w:val="26"/>
        </w:rPr>
        <w:t>.</w:t>
      </w:r>
      <w:r>
        <w:rPr>
          <w:rStyle w:val="FootnoteReference"/>
          <w:sz w:val="26"/>
          <w:szCs w:val="26"/>
          <w:vertAlign w:val="superscript"/>
        </w:rPr>
        <w:footnoteReference w:id="3"/>
      </w:r>
      <w:r w:rsidRPr="73D44049">
        <w:rPr>
          <w:sz w:val="26"/>
          <w:szCs w:val="26"/>
        </w:rPr>
        <w:t xml:space="preserve">  </w:t>
      </w:r>
      <w:r w:rsidRPr="73D44049" w:rsidR="00C50C87">
        <w:rPr>
          <w:sz w:val="26"/>
          <w:szCs w:val="26"/>
        </w:rPr>
        <w:t>FERC-1002 will be included under new OMB Control N</w:t>
      </w:r>
      <w:r w:rsidRPr="73D44049" w:rsidR="00DA33D3">
        <w:rPr>
          <w:sz w:val="26"/>
          <w:szCs w:val="26"/>
        </w:rPr>
        <w:t>umber</w:t>
      </w:r>
      <w:r w:rsidRPr="73D44049" w:rsidR="00E643C4">
        <w:rPr>
          <w:sz w:val="26"/>
          <w:szCs w:val="26"/>
        </w:rPr>
        <w:t xml:space="preserve"> 1902-TBD</w:t>
      </w:r>
      <w:r w:rsidRPr="73D44049" w:rsidR="00DA33D3">
        <w:rPr>
          <w:sz w:val="26"/>
          <w:szCs w:val="26"/>
        </w:rPr>
        <w:t>.</w:t>
      </w:r>
    </w:p>
    <w:p w:rsidR="009D6B6D" w:rsidRPr="00F405D1" w:rsidP="001D2EC1" w14:paraId="638BDD62" w14:textId="77777777">
      <w:pPr>
        <w:widowControl/>
        <w:rPr>
          <w:sz w:val="26"/>
          <w:szCs w:val="26"/>
        </w:rPr>
      </w:pPr>
    </w:p>
    <w:p w:rsidR="009D6B6D" w:rsidRPr="00F405D1" w:rsidP="0070160F" w14:paraId="07B8D1FF" w14:textId="1189D0E2">
      <w:pPr>
        <w:widowControl/>
        <w:ind w:left="720" w:hanging="720"/>
        <w:rPr>
          <w:b/>
          <w:sz w:val="26"/>
          <w:szCs w:val="26"/>
        </w:rPr>
      </w:pPr>
      <w:r w:rsidRPr="4296BF2D">
        <w:rPr>
          <w:b/>
          <w:bCs/>
          <w:sz w:val="26"/>
          <w:szCs w:val="26"/>
        </w:rPr>
        <w:t>1.</w:t>
      </w:r>
      <w:r>
        <w:tab/>
      </w:r>
      <w:r w:rsidRPr="4296BF2D">
        <w:rPr>
          <w:b/>
          <w:bCs/>
          <w:sz w:val="26"/>
          <w:szCs w:val="26"/>
        </w:rPr>
        <w:t>CIRCUMSTANCES THAT MAKE THE COLLECTION OF INFORMATION NECESSARY</w:t>
      </w:r>
    </w:p>
    <w:p w:rsidR="00BA52E6" w:rsidP="00BA52E6" w14:paraId="74AA1B99" w14:textId="77777777">
      <w:pPr>
        <w:widowControl/>
        <w:ind w:left="1440"/>
        <w:rPr>
          <w:bCs/>
          <w:sz w:val="26"/>
          <w:szCs w:val="26"/>
        </w:rPr>
      </w:pPr>
    </w:p>
    <w:p w:rsidR="009D6B6D" w:rsidRPr="00F405D1" w:rsidP="32F4D5DB" w14:paraId="585CCB7F" w14:textId="51A71E3C">
      <w:pPr>
        <w:widowControl/>
        <w:rPr>
          <w:b/>
          <w:bCs/>
          <w:sz w:val="26"/>
          <w:szCs w:val="26"/>
        </w:rPr>
      </w:pPr>
      <w:r w:rsidRPr="4029EF50">
        <w:rPr>
          <w:sz w:val="26"/>
          <w:szCs w:val="26"/>
        </w:rPr>
        <w:t xml:space="preserve">The collection of information is necessary </w:t>
      </w:r>
      <w:r w:rsidRPr="4029EF50" w:rsidR="4BE0583C">
        <w:rPr>
          <w:sz w:val="26"/>
          <w:szCs w:val="26"/>
        </w:rPr>
        <w:t xml:space="preserve">because </w:t>
      </w:r>
      <w:r w:rsidRPr="4029EF50" w:rsidR="17419D38">
        <w:rPr>
          <w:sz w:val="26"/>
          <w:szCs w:val="26"/>
        </w:rPr>
        <w:t xml:space="preserve">the </w:t>
      </w:r>
      <w:r w:rsidRPr="4029EF50" w:rsidR="62035BA8">
        <w:rPr>
          <w:sz w:val="26"/>
          <w:szCs w:val="26"/>
        </w:rPr>
        <w:t>Commission</w:t>
      </w:r>
      <w:r w:rsidRPr="4029EF50" w:rsidR="625F73C2">
        <w:rPr>
          <w:sz w:val="26"/>
          <w:szCs w:val="26"/>
        </w:rPr>
        <w:t>-</w:t>
      </w:r>
      <w:r w:rsidRPr="4029EF50" w:rsidR="62035BA8">
        <w:rPr>
          <w:sz w:val="26"/>
          <w:szCs w:val="26"/>
        </w:rPr>
        <w:t>regulate</w:t>
      </w:r>
      <w:r w:rsidRPr="4029EF50" w:rsidR="62B47F4D">
        <w:rPr>
          <w:sz w:val="26"/>
          <w:szCs w:val="26"/>
        </w:rPr>
        <w:t>d industries</w:t>
      </w:r>
      <w:r w:rsidRPr="4029EF50" w:rsidR="62035BA8">
        <w:rPr>
          <w:sz w:val="26"/>
          <w:szCs w:val="26"/>
        </w:rPr>
        <w:t xml:space="preserve"> are </w:t>
      </w:r>
      <w:r w:rsidRPr="4029EF50" w:rsidR="6E0AC550">
        <w:rPr>
          <w:sz w:val="26"/>
          <w:szCs w:val="26"/>
        </w:rPr>
        <w:t>highly complex and technical</w:t>
      </w:r>
      <w:r w:rsidRPr="4029EF50" w:rsidR="047B0FBA">
        <w:rPr>
          <w:sz w:val="26"/>
          <w:szCs w:val="26"/>
        </w:rPr>
        <w:t>.</w:t>
      </w:r>
      <w:r w:rsidRPr="4029EF50" w:rsidR="5DD34DE4">
        <w:rPr>
          <w:sz w:val="26"/>
          <w:szCs w:val="26"/>
        </w:rPr>
        <w:t xml:space="preserve"> </w:t>
      </w:r>
      <w:r w:rsidRPr="4029EF50" w:rsidR="302B10B5">
        <w:rPr>
          <w:sz w:val="26"/>
          <w:szCs w:val="26"/>
        </w:rPr>
        <w:t xml:space="preserve">Without the collection of information, FERC would </w:t>
      </w:r>
      <w:r w:rsidRPr="4029EF50" w:rsidR="7667112D">
        <w:rPr>
          <w:sz w:val="26"/>
          <w:szCs w:val="26"/>
        </w:rPr>
        <w:t>have difficulty</w:t>
      </w:r>
      <w:r w:rsidRPr="4029EF50" w:rsidR="302B10B5">
        <w:rPr>
          <w:sz w:val="26"/>
          <w:szCs w:val="26"/>
        </w:rPr>
        <w:t xml:space="preserve"> </w:t>
      </w:r>
      <w:r w:rsidRPr="4029EF50" w:rsidR="7CFF788D">
        <w:rPr>
          <w:sz w:val="26"/>
          <w:szCs w:val="26"/>
        </w:rPr>
        <w:t>help</w:t>
      </w:r>
      <w:r w:rsidRPr="4029EF50" w:rsidR="698DEA65">
        <w:rPr>
          <w:sz w:val="26"/>
          <w:szCs w:val="26"/>
        </w:rPr>
        <w:t>ing</w:t>
      </w:r>
      <w:r w:rsidRPr="4029EF50" w:rsidR="302B10B5">
        <w:rPr>
          <w:sz w:val="26"/>
          <w:szCs w:val="26"/>
        </w:rPr>
        <w:t xml:space="preserve"> members of the </w:t>
      </w:r>
      <w:r w:rsidRPr="4029EF50" w:rsidR="00E643C4">
        <w:rPr>
          <w:sz w:val="26"/>
          <w:szCs w:val="26"/>
        </w:rPr>
        <w:t xml:space="preserve">public </w:t>
      </w:r>
      <w:r w:rsidR="00E643C4">
        <w:rPr>
          <w:sz w:val="26"/>
          <w:szCs w:val="26"/>
        </w:rPr>
        <w:t xml:space="preserve">and members of the </w:t>
      </w:r>
      <w:r w:rsidRPr="4029EF50" w:rsidR="52ED9EDD">
        <w:rPr>
          <w:sz w:val="26"/>
          <w:szCs w:val="26"/>
        </w:rPr>
        <w:t xml:space="preserve">regulated community </w:t>
      </w:r>
      <w:r w:rsidRPr="4029EF50" w:rsidR="302B10B5">
        <w:rPr>
          <w:sz w:val="26"/>
          <w:szCs w:val="26"/>
        </w:rPr>
        <w:t xml:space="preserve">who </w:t>
      </w:r>
      <w:r w:rsidRPr="4029EF50" w:rsidR="143C4EBC">
        <w:rPr>
          <w:sz w:val="26"/>
          <w:szCs w:val="26"/>
        </w:rPr>
        <w:t>have questions or concerns regarding</w:t>
      </w:r>
      <w:r w:rsidRPr="4029EF50" w:rsidR="0C5E52F5">
        <w:rPr>
          <w:sz w:val="26"/>
          <w:szCs w:val="26"/>
        </w:rPr>
        <w:t xml:space="preserve"> FERC matter</w:t>
      </w:r>
      <w:r w:rsidRPr="4029EF50" w:rsidR="7CFF788D">
        <w:rPr>
          <w:sz w:val="26"/>
          <w:szCs w:val="26"/>
        </w:rPr>
        <w:t>s</w:t>
      </w:r>
      <w:r w:rsidRPr="4029EF50" w:rsidR="4BE91ABB">
        <w:rPr>
          <w:sz w:val="26"/>
          <w:szCs w:val="26"/>
        </w:rPr>
        <w:t xml:space="preserve">.  In addition, the Commission would </w:t>
      </w:r>
      <w:r w:rsidRPr="4029EF50" w:rsidR="6DB2007A">
        <w:rPr>
          <w:sz w:val="26"/>
          <w:szCs w:val="26"/>
        </w:rPr>
        <w:t>have difficulty</w:t>
      </w:r>
      <w:r w:rsidRPr="4029EF50" w:rsidR="4BE91ABB">
        <w:rPr>
          <w:sz w:val="26"/>
          <w:szCs w:val="26"/>
        </w:rPr>
        <w:t xml:space="preserve"> </w:t>
      </w:r>
      <w:r w:rsidRPr="4029EF50" w:rsidR="1104ADFA">
        <w:rPr>
          <w:sz w:val="26"/>
          <w:szCs w:val="26"/>
        </w:rPr>
        <w:t>inform</w:t>
      </w:r>
      <w:r w:rsidRPr="4029EF50" w:rsidR="401D21D9">
        <w:rPr>
          <w:sz w:val="26"/>
          <w:szCs w:val="26"/>
        </w:rPr>
        <w:t>ing</w:t>
      </w:r>
      <w:r w:rsidRPr="4029EF50" w:rsidR="1104ADFA">
        <w:rPr>
          <w:sz w:val="26"/>
          <w:szCs w:val="26"/>
        </w:rPr>
        <w:t xml:space="preserve"> </w:t>
      </w:r>
      <w:r w:rsidR="00E643C4">
        <w:rPr>
          <w:sz w:val="26"/>
          <w:szCs w:val="26"/>
        </w:rPr>
        <w:t>interested individuals and organizations</w:t>
      </w:r>
      <w:r w:rsidRPr="4029EF50" w:rsidR="00E643C4">
        <w:rPr>
          <w:sz w:val="26"/>
          <w:szCs w:val="26"/>
        </w:rPr>
        <w:t xml:space="preserve"> </w:t>
      </w:r>
      <w:r w:rsidRPr="4029EF50" w:rsidR="0D44358A">
        <w:rPr>
          <w:sz w:val="26"/>
          <w:szCs w:val="26"/>
        </w:rPr>
        <w:t xml:space="preserve">of their ability </w:t>
      </w:r>
      <w:r w:rsidRPr="4029EF50" w:rsidR="53A20071">
        <w:rPr>
          <w:sz w:val="26"/>
          <w:szCs w:val="26"/>
        </w:rPr>
        <w:t xml:space="preserve">to </w:t>
      </w:r>
      <w:r w:rsidRPr="4029EF50" w:rsidR="67A9D715">
        <w:rPr>
          <w:sz w:val="26"/>
          <w:szCs w:val="26"/>
        </w:rPr>
        <w:t xml:space="preserve">participate in FERC proceedings </w:t>
      </w:r>
      <w:r w:rsidRPr="4029EF50" w:rsidR="53A20071">
        <w:rPr>
          <w:sz w:val="26"/>
          <w:szCs w:val="26"/>
        </w:rPr>
        <w:t xml:space="preserve">that </w:t>
      </w:r>
      <w:r w:rsidRPr="4029EF50" w:rsidR="28481BE1">
        <w:rPr>
          <w:sz w:val="26"/>
          <w:szCs w:val="26"/>
        </w:rPr>
        <w:t xml:space="preserve">could </w:t>
      </w:r>
      <w:r w:rsidRPr="4029EF50" w:rsidR="5CC04E04">
        <w:rPr>
          <w:sz w:val="26"/>
          <w:szCs w:val="26"/>
        </w:rPr>
        <w:t>resul</w:t>
      </w:r>
      <w:r w:rsidRPr="4029EF50" w:rsidR="53A20071">
        <w:rPr>
          <w:sz w:val="26"/>
          <w:szCs w:val="26"/>
        </w:rPr>
        <w:t>t</w:t>
      </w:r>
      <w:r w:rsidRPr="4029EF50" w:rsidR="5CC04E04">
        <w:rPr>
          <w:sz w:val="26"/>
          <w:szCs w:val="26"/>
        </w:rPr>
        <w:t xml:space="preserve"> in agency actions </w:t>
      </w:r>
      <w:r w:rsidRPr="4029EF50" w:rsidR="3A4DB467">
        <w:rPr>
          <w:sz w:val="26"/>
          <w:szCs w:val="26"/>
        </w:rPr>
        <w:t xml:space="preserve">that impact their </w:t>
      </w:r>
      <w:r w:rsidR="00E643C4">
        <w:rPr>
          <w:sz w:val="26"/>
          <w:szCs w:val="26"/>
        </w:rPr>
        <w:t xml:space="preserve">communities, </w:t>
      </w:r>
      <w:r w:rsidRPr="4029EF50" w:rsidR="3FD3EE4A">
        <w:rPr>
          <w:sz w:val="26"/>
          <w:szCs w:val="26"/>
        </w:rPr>
        <w:t>business</w:t>
      </w:r>
      <w:r w:rsidR="00E643C4">
        <w:rPr>
          <w:sz w:val="26"/>
          <w:szCs w:val="26"/>
        </w:rPr>
        <w:t xml:space="preserve">es, </w:t>
      </w:r>
      <w:r w:rsidRPr="4029EF50" w:rsidR="22167C7D">
        <w:rPr>
          <w:sz w:val="26"/>
          <w:szCs w:val="26"/>
        </w:rPr>
        <w:t>or property</w:t>
      </w:r>
      <w:r w:rsidRPr="4029EF50" w:rsidR="65F48D5A">
        <w:rPr>
          <w:sz w:val="26"/>
          <w:szCs w:val="26"/>
        </w:rPr>
        <w:t xml:space="preserve">.  </w:t>
      </w:r>
    </w:p>
    <w:p w:rsidR="001F3ADE" w:rsidRPr="00F405D1" w:rsidP="001F3ADE" w14:paraId="7290E8CF" w14:textId="77777777">
      <w:pPr>
        <w:pStyle w:val="FERCparanumber"/>
        <w:numPr>
          <w:ilvl w:val="0"/>
          <w:numId w:val="0"/>
        </w:numPr>
        <w:tabs>
          <w:tab w:val="left" w:pos="720"/>
          <w:tab w:val="left" w:pos="4860"/>
        </w:tabs>
        <w:rPr>
          <w:szCs w:val="26"/>
        </w:rPr>
      </w:pPr>
    </w:p>
    <w:p w:rsidR="009D6B6D" w:rsidRPr="00F405D1" w:rsidP="001D2EC1" w14:paraId="3C404875" w14:textId="77777777">
      <w:pPr>
        <w:pStyle w:val="FERCparanumber"/>
        <w:numPr>
          <w:ilvl w:val="0"/>
          <w:numId w:val="7"/>
        </w:numPr>
        <w:tabs>
          <w:tab w:val="left" w:pos="720"/>
          <w:tab w:val="left" w:pos="4860"/>
        </w:tabs>
        <w:rPr>
          <w:szCs w:val="26"/>
        </w:rPr>
      </w:pPr>
      <w:r w:rsidRPr="00F405D1">
        <w:rPr>
          <w:b/>
          <w:szCs w:val="26"/>
        </w:rPr>
        <w:t>HOW, BY WHOM AND FOR WHAT P</w:t>
      </w:r>
      <w:r w:rsidRPr="00F405D1" w:rsidR="00980E8E">
        <w:rPr>
          <w:b/>
          <w:szCs w:val="26"/>
        </w:rPr>
        <w:t>URPOSE IS THE INFORMATION USED AND THE CONSEQUENCES OF NOT COLLECTING THE INFORMATION</w:t>
      </w:r>
    </w:p>
    <w:p w:rsidR="00CA3989" w:rsidRPr="00A13981" w:rsidP="73D44049" w14:paraId="552B066A" w14:textId="1D40C330">
      <w:pPr>
        <w:tabs>
          <w:tab w:val="left" w:pos="720"/>
          <w:tab w:val="left" w:pos="4860"/>
        </w:tabs>
        <w:rPr>
          <w:b/>
          <w:bCs/>
        </w:rPr>
      </w:pPr>
    </w:p>
    <w:p w:rsidR="00B144C8" w:rsidRPr="00C76A2C" w:rsidP="32F4D5DB" w14:paraId="3BDCE05D" w14:textId="6E345616">
      <w:pPr>
        <w:rPr>
          <w:rFonts w:eastAsiaTheme="minorEastAsia"/>
          <w:b/>
          <w:i/>
          <w:color w:val="000000"/>
          <w:sz w:val="26"/>
          <w:szCs w:val="26"/>
        </w:rPr>
      </w:pPr>
      <w:r w:rsidRPr="00C76A2C">
        <w:rPr>
          <w:rFonts w:eastAsiaTheme="minorEastAsia"/>
          <w:b/>
          <w:i/>
          <w:color w:val="000000" w:themeColor="text1"/>
          <w:sz w:val="26"/>
          <w:szCs w:val="26"/>
        </w:rPr>
        <w:t>Proposed FERC-1002</w:t>
      </w:r>
      <w:r>
        <w:rPr>
          <w:rStyle w:val="FootnoteReference"/>
          <w:rFonts w:eastAsiaTheme="minorEastAsia"/>
          <w:b/>
          <w:i/>
          <w:color w:val="000000" w:themeColor="text1"/>
          <w:sz w:val="26"/>
          <w:szCs w:val="26"/>
          <w:vertAlign w:val="superscript"/>
        </w:rPr>
        <w:footnoteReference w:id="4"/>
      </w:r>
      <w:r w:rsidRPr="00C76A2C">
        <w:rPr>
          <w:rFonts w:eastAsiaTheme="minorEastAsia"/>
          <w:b/>
          <w:i/>
          <w:color w:val="000000" w:themeColor="text1"/>
          <w:sz w:val="26"/>
          <w:szCs w:val="26"/>
          <w:vertAlign w:val="superscript"/>
        </w:rPr>
        <w:t xml:space="preserve"> </w:t>
      </w:r>
    </w:p>
    <w:p w:rsidR="008538D9" w:rsidP="32F4D5DB" w14:paraId="35A441EC" w14:textId="77777777">
      <w:pPr>
        <w:rPr>
          <w:rFonts w:eastAsiaTheme="minorEastAsia"/>
          <w:color w:val="000000" w:themeColor="text1"/>
          <w:sz w:val="26"/>
          <w:szCs w:val="26"/>
        </w:rPr>
      </w:pPr>
    </w:p>
    <w:p w:rsidR="0030646B" w:rsidRPr="00BD645E" w:rsidP="73D44049" w14:paraId="77647F41" w14:textId="79BCFEB3">
      <w:pPr>
        <w:rPr>
          <w:rFonts w:eastAsiaTheme="minorEastAsia"/>
          <w:color w:val="000000" w:themeColor="text1"/>
          <w:sz w:val="26"/>
          <w:szCs w:val="26"/>
        </w:rPr>
      </w:pPr>
      <w:r w:rsidRPr="73D44049">
        <w:rPr>
          <w:rFonts w:eastAsiaTheme="minorEastAsia"/>
          <w:color w:val="000000" w:themeColor="text1"/>
          <w:sz w:val="26"/>
          <w:szCs w:val="26"/>
        </w:rPr>
        <w:t>This survey covers</w:t>
      </w:r>
      <w:r w:rsidRPr="73D44049" w:rsidR="00F91AB2">
        <w:rPr>
          <w:rFonts w:eastAsiaTheme="minorEastAsia"/>
          <w:color w:val="000000" w:themeColor="text1"/>
          <w:sz w:val="26"/>
          <w:szCs w:val="26"/>
        </w:rPr>
        <w:t>: (1)</w:t>
      </w:r>
      <w:r w:rsidRPr="73D44049">
        <w:rPr>
          <w:rFonts w:eastAsiaTheme="minorEastAsia"/>
          <w:color w:val="000000" w:themeColor="text1"/>
          <w:sz w:val="26"/>
          <w:szCs w:val="26"/>
        </w:rPr>
        <w:t xml:space="preserve"> </w:t>
      </w:r>
      <w:r w:rsidRPr="73D44049" w:rsidR="005650B1">
        <w:rPr>
          <w:rFonts w:eastAsiaTheme="minorEastAsia"/>
          <w:color w:val="000000" w:themeColor="text1"/>
          <w:sz w:val="26"/>
          <w:szCs w:val="26"/>
        </w:rPr>
        <w:t xml:space="preserve">the collection of information </w:t>
      </w:r>
      <w:r w:rsidRPr="73D44049" w:rsidR="002A506D">
        <w:rPr>
          <w:rFonts w:eastAsiaTheme="minorEastAsia"/>
          <w:color w:val="000000" w:themeColor="text1"/>
          <w:sz w:val="26"/>
          <w:szCs w:val="26"/>
        </w:rPr>
        <w:t xml:space="preserve">on individual or stakeholder interests </w:t>
      </w:r>
      <w:r w:rsidRPr="73D44049" w:rsidR="00F91AB2">
        <w:rPr>
          <w:rFonts w:eastAsiaTheme="minorEastAsia"/>
          <w:color w:val="000000" w:themeColor="text1"/>
          <w:sz w:val="26"/>
          <w:szCs w:val="26"/>
        </w:rPr>
        <w:t xml:space="preserve">to support </w:t>
      </w:r>
      <w:r w:rsidRPr="73D44049">
        <w:rPr>
          <w:rFonts w:eastAsiaTheme="minorEastAsia"/>
          <w:color w:val="000000" w:themeColor="text1"/>
          <w:sz w:val="26"/>
          <w:szCs w:val="26"/>
        </w:rPr>
        <w:t>outreach via the Office of Public Participation</w:t>
      </w:r>
      <w:r w:rsidRPr="73D44049" w:rsidR="00ED0CF4">
        <w:rPr>
          <w:rFonts w:eastAsiaTheme="minorEastAsia"/>
          <w:color w:val="000000" w:themeColor="text1"/>
          <w:sz w:val="26"/>
          <w:szCs w:val="26"/>
        </w:rPr>
        <w:t xml:space="preserve"> (OPP)</w:t>
      </w:r>
      <w:r w:rsidRPr="73D44049" w:rsidR="00F91AB2">
        <w:rPr>
          <w:rFonts w:eastAsiaTheme="minorEastAsia"/>
          <w:color w:val="000000" w:themeColor="text1"/>
          <w:sz w:val="26"/>
          <w:szCs w:val="26"/>
        </w:rPr>
        <w:t>;</w:t>
      </w:r>
      <w:r w:rsidRPr="73D44049" w:rsidR="004D1994">
        <w:rPr>
          <w:rFonts w:eastAsiaTheme="minorEastAsia"/>
          <w:color w:val="000000" w:themeColor="text1"/>
          <w:sz w:val="26"/>
          <w:szCs w:val="26"/>
        </w:rPr>
        <w:t xml:space="preserve"> and</w:t>
      </w:r>
      <w:r w:rsidRPr="73D44049" w:rsidR="00A67DC8">
        <w:rPr>
          <w:rFonts w:eastAsiaTheme="minorEastAsia"/>
          <w:color w:val="000000" w:themeColor="text1"/>
          <w:sz w:val="26"/>
          <w:szCs w:val="26"/>
        </w:rPr>
        <w:t xml:space="preserve"> </w:t>
      </w:r>
      <w:r w:rsidRPr="73D44049" w:rsidR="00F91AB2">
        <w:rPr>
          <w:rFonts w:eastAsiaTheme="minorEastAsia"/>
          <w:color w:val="000000" w:themeColor="text1"/>
          <w:sz w:val="26"/>
          <w:szCs w:val="26"/>
        </w:rPr>
        <w:t xml:space="preserve">(2) </w:t>
      </w:r>
      <w:r w:rsidRPr="73D44049">
        <w:rPr>
          <w:rFonts w:eastAsiaTheme="minorEastAsia"/>
          <w:color w:val="000000" w:themeColor="text1"/>
          <w:sz w:val="26"/>
          <w:szCs w:val="26"/>
        </w:rPr>
        <w:t xml:space="preserve">the </w:t>
      </w:r>
      <w:r w:rsidRPr="73D44049" w:rsidR="00764515">
        <w:rPr>
          <w:rFonts w:eastAsiaTheme="minorEastAsia"/>
          <w:color w:val="000000" w:themeColor="text1"/>
          <w:sz w:val="26"/>
          <w:szCs w:val="26"/>
        </w:rPr>
        <w:t xml:space="preserve">collection of name and email address </w:t>
      </w:r>
      <w:r w:rsidRPr="73D44049" w:rsidR="002736E8">
        <w:rPr>
          <w:rFonts w:eastAsiaTheme="minorEastAsia"/>
          <w:color w:val="000000" w:themeColor="text1"/>
          <w:sz w:val="26"/>
          <w:szCs w:val="26"/>
        </w:rPr>
        <w:t>fr</w:t>
      </w:r>
      <w:r w:rsidRPr="73D44049" w:rsidR="00466CDB">
        <w:rPr>
          <w:rFonts w:eastAsiaTheme="minorEastAsia"/>
          <w:color w:val="000000" w:themeColor="text1"/>
          <w:sz w:val="26"/>
          <w:szCs w:val="26"/>
        </w:rPr>
        <w:t>om</w:t>
      </w:r>
      <w:r w:rsidRPr="73D44049" w:rsidR="002736E8">
        <w:rPr>
          <w:rFonts w:eastAsiaTheme="minorEastAsia"/>
          <w:color w:val="000000" w:themeColor="text1"/>
          <w:sz w:val="26"/>
          <w:szCs w:val="26"/>
        </w:rPr>
        <w:t xml:space="preserve"> parties wishing to receive the </w:t>
      </w:r>
      <w:r w:rsidRPr="73D44049">
        <w:rPr>
          <w:rFonts w:eastAsiaTheme="minorEastAsia"/>
          <w:color w:val="000000" w:themeColor="text1"/>
          <w:sz w:val="26"/>
          <w:szCs w:val="26"/>
        </w:rPr>
        <w:t>Office of External Affairs’</w:t>
      </w:r>
      <w:r w:rsidRPr="73D44049" w:rsidR="00ED0CF4">
        <w:rPr>
          <w:rFonts w:eastAsiaTheme="minorEastAsia"/>
          <w:color w:val="000000" w:themeColor="text1"/>
          <w:sz w:val="26"/>
          <w:szCs w:val="26"/>
        </w:rPr>
        <w:t xml:space="preserve"> (OEA)</w:t>
      </w:r>
      <w:r w:rsidRPr="73D44049">
        <w:rPr>
          <w:rFonts w:eastAsiaTheme="minorEastAsia"/>
          <w:color w:val="000000" w:themeColor="text1"/>
          <w:sz w:val="26"/>
          <w:szCs w:val="26"/>
        </w:rPr>
        <w:t xml:space="preserve"> “Insight Newsletter</w:t>
      </w:r>
      <w:r w:rsidRPr="73D44049" w:rsidR="004D1994">
        <w:rPr>
          <w:rFonts w:eastAsiaTheme="minorEastAsia"/>
          <w:color w:val="000000" w:themeColor="text1"/>
          <w:sz w:val="26"/>
          <w:szCs w:val="26"/>
        </w:rPr>
        <w:t>.</w:t>
      </w:r>
      <w:r w:rsidRPr="73D44049">
        <w:rPr>
          <w:rFonts w:eastAsiaTheme="minorEastAsia"/>
          <w:color w:val="000000" w:themeColor="text1"/>
          <w:sz w:val="26"/>
          <w:szCs w:val="26"/>
        </w:rPr>
        <w:t xml:space="preserve">” </w:t>
      </w:r>
      <w:r w:rsidRPr="73D44049" w:rsidR="004D1994">
        <w:rPr>
          <w:rFonts w:eastAsiaTheme="minorEastAsia"/>
          <w:color w:val="000000" w:themeColor="text1"/>
          <w:sz w:val="26"/>
          <w:szCs w:val="26"/>
        </w:rPr>
        <w:t>We note that the first notice for proposed FERC-1002 covered some information for the administration of the Commission’s Electric Quarterly Reports which are no longer part of the instant proposed FERC-1002.</w:t>
      </w:r>
      <w:r>
        <w:rPr>
          <w:rStyle w:val="FootnoteReference"/>
          <w:rFonts w:eastAsiaTheme="minorEastAsia"/>
          <w:color w:val="000000" w:themeColor="text1"/>
          <w:sz w:val="26"/>
          <w:szCs w:val="26"/>
          <w:vertAlign w:val="superscript"/>
        </w:rPr>
        <w:footnoteReference w:id="5"/>
      </w:r>
      <w:r w:rsidRPr="73D44049" w:rsidR="004D1994">
        <w:rPr>
          <w:rFonts w:eastAsiaTheme="minorEastAsia"/>
          <w:color w:val="000000" w:themeColor="text1"/>
          <w:sz w:val="26"/>
          <w:szCs w:val="26"/>
        </w:rPr>
        <w:t xml:space="preserve">   </w:t>
      </w:r>
    </w:p>
    <w:p w:rsidR="003030AC" w:rsidRPr="00BD645E" w:rsidP="003030AC" w14:paraId="2C662A25" w14:textId="77777777">
      <w:pPr>
        <w:rPr>
          <w:rFonts w:eastAsiaTheme="minorEastAsia"/>
          <w:color w:val="000000" w:themeColor="text1"/>
          <w:sz w:val="26"/>
          <w:szCs w:val="26"/>
        </w:rPr>
      </w:pPr>
    </w:p>
    <w:p w:rsidR="003030AC" w:rsidP="003030AC" w14:paraId="666B8D5A" w14:textId="043D7C31">
      <w:pPr>
        <w:rPr>
          <w:rFonts w:eastAsiaTheme="minorEastAsia"/>
          <w:color w:val="000000" w:themeColor="text1"/>
          <w:sz w:val="26"/>
          <w:szCs w:val="26"/>
        </w:rPr>
      </w:pPr>
      <w:r w:rsidRPr="00BD645E">
        <w:rPr>
          <w:rFonts w:eastAsiaTheme="minorEastAsia"/>
          <w:color w:val="000000" w:themeColor="text1"/>
          <w:sz w:val="26"/>
          <w:szCs w:val="26"/>
        </w:rPr>
        <w:t xml:space="preserve">This information collection is needed to </w:t>
      </w:r>
      <w:r w:rsidR="002521E6">
        <w:rPr>
          <w:rFonts w:eastAsiaTheme="minorEastAsia"/>
          <w:color w:val="000000" w:themeColor="text1"/>
          <w:sz w:val="26"/>
          <w:szCs w:val="26"/>
        </w:rPr>
        <w:t xml:space="preserve">provide customer service and to </w:t>
      </w:r>
      <w:r w:rsidRPr="00BD645E">
        <w:rPr>
          <w:rFonts w:eastAsiaTheme="minorEastAsia"/>
          <w:color w:val="000000" w:themeColor="text1"/>
          <w:sz w:val="26"/>
          <w:szCs w:val="26"/>
        </w:rPr>
        <w:t xml:space="preserve">conduct customer engagement activities.  Customer </w:t>
      </w:r>
      <w:r w:rsidR="002521E6">
        <w:rPr>
          <w:rFonts w:eastAsiaTheme="minorEastAsia"/>
          <w:color w:val="000000" w:themeColor="text1"/>
          <w:sz w:val="26"/>
          <w:szCs w:val="26"/>
        </w:rPr>
        <w:t>service and customer</w:t>
      </w:r>
      <w:r w:rsidRPr="00BD645E">
        <w:rPr>
          <w:rFonts w:eastAsiaTheme="minorEastAsia"/>
          <w:color w:val="000000" w:themeColor="text1"/>
          <w:sz w:val="26"/>
          <w:szCs w:val="26"/>
        </w:rPr>
        <w:t xml:space="preserve"> engagement is needed to further the Commission’s goal of facilitating the public’s understanding of FERC’s work and encouraging their participation in FERC </w:t>
      </w:r>
      <w:r w:rsidRPr="007B2DF1">
        <w:rPr>
          <w:rFonts w:eastAsiaTheme="minorEastAsia"/>
          <w:color w:val="000000" w:themeColor="text1"/>
          <w:sz w:val="26"/>
          <w:szCs w:val="26"/>
        </w:rPr>
        <w:t xml:space="preserve">matters.  This </w:t>
      </w:r>
      <w:r w:rsidR="00863A77">
        <w:rPr>
          <w:rFonts w:eastAsiaTheme="minorEastAsia"/>
          <w:color w:val="000000" w:themeColor="text1"/>
          <w:sz w:val="26"/>
          <w:szCs w:val="26"/>
        </w:rPr>
        <w:t>information</w:t>
      </w:r>
      <w:r w:rsidRPr="007B2DF1">
        <w:rPr>
          <w:rFonts w:eastAsiaTheme="minorEastAsia"/>
          <w:color w:val="000000" w:themeColor="text1"/>
          <w:sz w:val="26"/>
          <w:szCs w:val="26"/>
        </w:rPr>
        <w:t xml:space="preserve"> will allow FERC to understand which areas of its work are of greater interest to the public and where additional public outreach and educational materials or other resources are needed the most. </w:t>
      </w:r>
    </w:p>
    <w:p w:rsidR="00B76E56" w:rsidP="008538D9" w14:paraId="1EB8D4EC" w14:textId="711601C6">
      <w:pPr>
        <w:rPr>
          <w:rFonts w:eastAsiaTheme="minorEastAsia"/>
          <w:b/>
          <w:color w:val="000000" w:themeColor="text1"/>
          <w:sz w:val="26"/>
          <w:szCs w:val="26"/>
        </w:rPr>
      </w:pPr>
    </w:p>
    <w:p w:rsidR="008538D9" w:rsidRPr="00CF75D5" w:rsidP="008538D9" w14:paraId="57C5B114" w14:textId="596F142F">
      <w:pPr>
        <w:rPr>
          <w:rFonts w:eastAsiaTheme="minorEastAsia"/>
          <w:b/>
          <w:bCs/>
          <w:color w:val="000000" w:themeColor="text1"/>
          <w:sz w:val="26"/>
          <w:szCs w:val="26"/>
        </w:rPr>
      </w:pPr>
      <w:r w:rsidRPr="00CF75D5">
        <w:rPr>
          <w:rFonts w:eastAsiaTheme="minorEastAsia"/>
          <w:b/>
          <w:color w:val="000000" w:themeColor="text1"/>
          <w:sz w:val="26"/>
          <w:szCs w:val="26"/>
        </w:rPr>
        <w:t>Office of Public Participation</w:t>
      </w:r>
      <w:r w:rsidRPr="00CF75D5" w:rsidR="00D92BFF">
        <w:rPr>
          <w:rFonts w:eastAsiaTheme="minorEastAsia"/>
          <w:b/>
          <w:color w:val="000000" w:themeColor="text1"/>
          <w:sz w:val="26"/>
          <w:szCs w:val="26"/>
        </w:rPr>
        <w:t xml:space="preserve"> </w:t>
      </w:r>
    </w:p>
    <w:p w:rsidR="00611CD0" w:rsidP="00611CD0" w14:paraId="04F0ED30" w14:textId="051A13C0">
      <w:pPr>
        <w:rPr>
          <w:rFonts w:eastAsiaTheme="minorEastAsia"/>
          <w:color w:val="000000" w:themeColor="text1"/>
          <w:sz w:val="26"/>
          <w:szCs w:val="26"/>
        </w:rPr>
      </w:pPr>
      <w:r w:rsidRPr="013A3765">
        <w:rPr>
          <w:rFonts w:eastAsiaTheme="minorEastAsia"/>
          <w:color w:val="000000" w:themeColor="text1"/>
          <w:sz w:val="26"/>
          <w:szCs w:val="26"/>
        </w:rPr>
        <w:t>FERC proposes to voluntarily collect information on individual or stakeholder interests to engage with them by providing, to the extent possible, targeted information consistent with their expressed interest</w:t>
      </w:r>
      <w:r w:rsidR="001B4F34">
        <w:rPr>
          <w:rFonts w:eastAsiaTheme="minorEastAsia"/>
          <w:color w:val="000000" w:themeColor="text1"/>
          <w:sz w:val="26"/>
          <w:szCs w:val="26"/>
        </w:rPr>
        <w:t xml:space="preserve">. </w:t>
      </w:r>
      <w:r w:rsidR="00702E79">
        <w:rPr>
          <w:rFonts w:eastAsiaTheme="minorEastAsia"/>
          <w:color w:val="000000" w:themeColor="text1"/>
          <w:sz w:val="26"/>
          <w:szCs w:val="26"/>
        </w:rPr>
        <w:t xml:space="preserve"> </w:t>
      </w:r>
      <w:r w:rsidR="001B4F34">
        <w:rPr>
          <w:rFonts w:eastAsiaTheme="minorEastAsia"/>
          <w:color w:val="000000" w:themeColor="text1"/>
          <w:sz w:val="26"/>
          <w:szCs w:val="26"/>
        </w:rPr>
        <w:t xml:space="preserve">The </w:t>
      </w:r>
      <w:r w:rsidR="002C6FE8">
        <w:rPr>
          <w:rFonts w:eastAsiaTheme="minorEastAsia"/>
          <w:color w:val="000000" w:themeColor="text1"/>
          <w:sz w:val="26"/>
          <w:szCs w:val="26"/>
        </w:rPr>
        <w:t>OPP</w:t>
      </w:r>
      <w:r w:rsidR="003131E6">
        <w:rPr>
          <w:rFonts w:eastAsiaTheme="minorEastAsia"/>
          <w:color w:val="000000" w:themeColor="text1"/>
          <w:sz w:val="26"/>
          <w:szCs w:val="26"/>
        </w:rPr>
        <w:t xml:space="preserve"> focuses its </w:t>
      </w:r>
      <w:r w:rsidR="00FE3988">
        <w:rPr>
          <w:rFonts w:eastAsiaTheme="minorEastAsia"/>
          <w:color w:val="000000" w:themeColor="text1"/>
          <w:sz w:val="26"/>
          <w:szCs w:val="26"/>
        </w:rPr>
        <w:t xml:space="preserve">outreach efforts </w:t>
      </w:r>
      <w:r w:rsidR="003131E6">
        <w:rPr>
          <w:rFonts w:eastAsiaTheme="minorEastAsia"/>
          <w:color w:val="000000" w:themeColor="text1"/>
          <w:sz w:val="26"/>
          <w:szCs w:val="26"/>
        </w:rPr>
        <w:t>on the following types of stakeholders</w:t>
      </w:r>
      <w:r w:rsidR="00124850">
        <w:rPr>
          <w:rFonts w:eastAsiaTheme="minorEastAsia"/>
          <w:color w:val="000000" w:themeColor="text1"/>
          <w:sz w:val="26"/>
          <w:szCs w:val="26"/>
        </w:rPr>
        <w:t>:</w:t>
      </w:r>
      <w:r w:rsidRPr="00FE3988" w:rsidR="00FE3988">
        <w:rPr>
          <w:rFonts w:eastAsiaTheme="minorEastAsia"/>
          <w:color w:val="000000" w:themeColor="text1"/>
          <w:sz w:val="26"/>
          <w:szCs w:val="26"/>
        </w:rPr>
        <w:t xml:space="preserve"> 1) landowners</w:t>
      </w:r>
      <w:r w:rsidR="00124850">
        <w:rPr>
          <w:rFonts w:eastAsiaTheme="minorEastAsia"/>
          <w:color w:val="000000" w:themeColor="text1"/>
          <w:sz w:val="26"/>
          <w:szCs w:val="26"/>
        </w:rPr>
        <w:t>;</w:t>
      </w:r>
      <w:r w:rsidRPr="00FE3988" w:rsidR="00FE3988">
        <w:rPr>
          <w:rFonts w:eastAsiaTheme="minorEastAsia"/>
          <w:color w:val="000000" w:themeColor="text1"/>
          <w:sz w:val="26"/>
          <w:szCs w:val="26"/>
        </w:rPr>
        <w:t xml:space="preserve"> 2) environmental justice communities; 3) </w:t>
      </w:r>
      <w:r w:rsidR="00DE012F">
        <w:rPr>
          <w:rFonts w:eastAsiaTheme="minorEastAsia"/>
          <w:color w:val="000000" w:themeColor="text1"/>
          <w:sz w:val="26"/>
          <w:szCs w:val="26"/>
        </w:rPr>
        <w:t>T</w:t>
      </w:r>
      <w:r w:rsidRPr="00FE3988" w:rsidR="00FE3988">
        <w:rPr>
          <w:rFonts w:eastAsiaTheme="minorEastAsia"/>
          <w:color w:val="000000" w:themeColor="text1"/>
          <w:sz w:val="26"/>
          <w:szCs w:val="26"/>
        </w:rPr>
        <w:t xml:space="preserve">ribal members and indigenous peoples’ organizations; and 4) </w:t>
      </w:r>
      <w:r w:rsidRPr="00CE21A3" w:rsidR="00DB3C40">
        <w:rPr>
          <w:sz w:val="26"/>
          <w:szCs w:val="26"/>
        </w:rPr>
        <w:t>consumer, environmental, and community advocates</w:t>
      </w:r>
      <w:r w:rsidRPr="013A3765">
        <w:rPr>
          <w:rFonts w:eastAsiaTheme="minorEastAsia"/>
          <w:color w:val="000000" w:themeColor="text1"/>
          <w:sz w:val="26"/>
          <w:szCs w:val="26"/>
        </w:rPr>
        <w:t xml:space="preserve">.  </w:t>
      </w:r>
      <w:r w:rsidR="00644523">
        <w:rPr>
          <w:rFonts w:eastAsiaTheme="minorEastAsia"/>
          <w:color w:val="000000" w:themeColor="text1"/>
          <w:sz w:val="26"/>
          <w:szCs w:val="26"/>
        </w:rPr>
        <w:t xml:space="preserve">The </w:t>
      </w:r>
      <w:r w:rsidR="00567F24">
        <w:rPr>
          <w:rFonts w:eastAsiaTheme="minorEastAsia"/>
          <w:color w:val="000000" w:themeColor="text1"/>
          <w:sz w:val="26"/>
          <w:szCs w:val="26"/>
        </w:rPr>
        <w:t>OPP</w:t>
      </w:r>
      <w:r w:rsidR="00644523">
        <w:rPr>
          <w:rFonts w:eastAsiaTheme="minorEastAsia"/>
          <w:color w:val="000000" w:themeColor="text1"/>
          <w:sz w:val="26"/>
          <w:szCs w:val="26"/>
        </w:rPr>
        <w:t xml:space="preserve"> proposes to </w:t>
      </w:r>
      <w:r w:rsidRPr="013A3765">
        <w:rPr>
          <w:rFonts w:eastAsiaTheme="minorEastAsia"/>
          <w:color w:val="000000" w:themeColor="text1"/>
          <w:sz w:val="26"/>
          <w:szCs w:val="26"/>
        </w:rPr>
        <w:t>collect contact name and information about a participant’s areas of interest</w:t>
      </w:r>
      <w:r w:rsidR="00F51C79">
        <w:rPr>
          <w:rFonts w:eastAsiaTheme="minorEastAsia"/>
          <w:color w:val="000000" w:themeColor="text1"/>
          <w:sz w:val="26"/>
          <w:szCs w:val="26"/>
        </w:rPr>
        <w:t xml:space="preserve"> including type of stakeholder</w:t>
      </w:r>
      <w:r w:rsidRPr="013A3765">
        <w:rPr>
          <w:rFonts w:eastAsiaTheme="minorEastAsia"/>
          <w:color w:val="000000" w:themeColor="text1"/>
          <w:sz w:val="26"/>
          <w:szCs w:val="26"/>
        </w:rPr>
        <w:t xml:space="preserve">, and to keep email distribution lists to be used to inform interested individuals of </w:t>
      </w:r>
      <w:r w:rsidR="00E466D9">
        <w:rPr>
          <w:rFonts w:eastAsiaTheme="minorEastAsia"/>
          <w:color w:val="000000" w:themeColor="text1"/>
          <w:sz w:val="26"/>
          <w:szCs w:val="26"/>
        </w:rPr>
        <w:t xml:space="preserve">scoping meetings, </w:t>
      </w:r>
      <w:r w:rsidRPr="013A3765">
        <w:rPr>
          <w:rFonts w:eastAsiaTheme="minorEastAsia"/>
          <w:color w:val="000000" w:themeColor="text1"/>
          <w:sz w:val="26"/>
          <w:szCs w:val="26"/>
        </w:rPr>
        <w:t>technical conferences, workshops</w:t>
      </w:r>
      <w:r w:rsidRPr="00BD645E">
        <w:rPr>
          <w:rFonts w:eastAsiaTheme="minorEastAsia"/>
          <w:color w:val="000000" w:themeColor="text1"/>
          <w:sz w:val="26"/>
          <w:szCs w:val="26"/>
        </w:rPr>
        <w:t xml:space="preserve">, certain proceedings, press releases, or newsletters. </w:t>
      </w:r>
      <w:r>
        <w:rPr>
          <w:rFonts w:eastAsiaTheme="minorEastAsia"/>
          <w:color w:val="000000" w:themeColor="text1"/>
          <w:sz w:val="26"/>
          <w:szCs w:val="26"/>
        </w:rPr>
        <w:t xml:space="preserve"> </w:t>
      </w:r>
      <w:r w:rsidR="00722332">
        <w:rPr>
          <w:rFonts w:eastAsiaTheme="minorEastAsia"/>
          <w:color w:val="000000" w:themeColor="text1"/>
          <w:sz w:val="26"/>
          <w:szCs w:val="26"/>
        </w:rPr>
        <w:t>T</w:t>
      </w:r>
      <w:r w:rsidR="00BF2511">
        <w:rPr>
          <w:rFonts w:eastAsiaTheme="minorEastAsia"/>
          <w:color w:val="000000" w:themeColor="text1"/>
          <w:sz w:val="26"/>
          <w:szCs w:val="26"/>
        </w:rPr>
        <w:t xml:space="preserve">he </w:t>
      </w:r>
      <w:r w:rsidR="00567F24">
        <w:rPr>
          <w:rFonts w:eastAsiaTheme="minorEastAsia"/>
          <w:color w:val="000000" w:themeColor="text1"/>
          <w:sz w:val="26"/>
          <w:szCs w:val="26"/>
        </w:rPr>
        <w:t>OPP</w:t>
      </w:r>
      <w:r w:rsidR="00722332">
        <w:rPr>
          <w:rFonts w:eastAsiaTheme="minorEastAsia"/>
          <w:color w:val="000000" w:themeColor="text1"/>
          <w:sz w:val="26"/>
          <w:szCs w:val="26"/>
        </w:rPr>
        <w:t xml:space="preserve"> anticipates</w:t>
      </w:r>
      <w:r w:rsidR="00BF2511">
        <w:rPr>
          <w:rFonts w:eastAsiaTheme="minorEastAsia"/>
          <w:color w:val="000000" w:themeColor="text1"/>
          <w:sz w:val="26"/>
          <w:szCs w:val="26"/>
        </w:rPr>
        <w:t xml:space="preserve"> o</w:t>
      </w:r>
      <w:r>
        <w:rPr>
          <w:rFonts w:eastAsiaTheme="minorEastAsia"/>
          <w:color w:val="000000" w:themeColor="text1"/>
          <w:sz w:val="26"/>
          <w:szCs w:val="26"/>
        </w:rPr>
        <w:t>ffer</w:t>
      </w:r>
      <w:r w:rsidR="00722332">
        <w:rPr>
          <w:rFonts w:eastAsiaTheme="minorEastAsia"/>
          <w:color w:val="000000" w:themeColor="text1"/>
          <w:sz w:val="26"/>
          <w:szCs w:val="26"/>
        </w:rPr>
        <w:t>ing</w:t>
      </w:r>
      <w:r>
        <w:rPr>
          <w:rFonts w:eastAsiaTheme="minorEastAsia"/>
          <w:color w:val="000000" w:themeColor="text1"/>
          <w:sz w:val="26"/>
          <w:szCs w:val="26"/>
        </w:rPr>
        <w:t xml:space="preserve"> a </w:t>
      </w:r>
      <w:r w:rsidR="00EF2F24">
        <w:rPr>
          <w:rFonts w:eastAsiaTheme="minorEastAsia"/>
          <w:color w:val="000000" w:themeColor="text1"/>
          <w:sz w:val="26"/>
          <w:szCs w:val="26"/>
        </w:rPr>
        <w:t xml:space="preserve">web-based </w:t>
      </w:r>
      <w:r w:rsidR="0002319D">
        <w:rPr>
          <w:rFonts w:eastAsiaTheme="minorEastAsia"/>
          <w:color w:val="000000" w:themeColor="text1"/>
          <w:sz w:val="26"/>
          <w:szCs w:val="26"/>
        </w:rPr>
        <w:t xml:space="preserve">form to collect </w:t>
      </w:r>
      <w:r w:rsidR="00E5018D">
        <w:rPr>
          <w:rFonts w:eastAsiaTheme="minorEastAsia"/>
          <w:color w:val="000000" w:themeColor="text1"/>
          <w:sz w:val="26"/>
          <w:szCs w:val="26"/>
        </w:rPr>
        <w:t xml:space="preserve">such information.  </w:t>
      </w:r>
      <w:r>
        <w:rPr>
          <w:rFonts w:eastAsiaTheme="minorEastAsia"/>
          <w:color w:val="000000" w:themeColor="text1"/>
          <w:sz w:val="26"/>
          <w:szCs w:val="26"/>
        </w:rPr>
        <w:t xml:space="preserve"> </w:t>
      </w:r>
    </w:p>
    <w:p w:rsidR="004D1994" w:rsidP="00611CD0" w14:paraId="5D53367B" w14:textId="55E49841">
      <w:pPr>
        <w:rPr>
          <w:rFonts w:eastAsiaTheme="minorEastAsia"/>
          <w:color w:val="000000" w:themeColor="text1"/>
          <w:sz w:val="26"/>
          <w:szCs w:val="26"/>
        </w:rPr>
      </w:pPr>
    </w:p>
    <w:p w:rsidR="008538D9" w:rsidP="008538D9" w14:paraId="3957AFAD" w14:textId="4EDBA7A8">
      <w:pPr>
        <w:rPr>
          <w:rFonts w:eastAsiaTheme="minorEastAsia"/>
          <w:b/>
          <w:bCs/>
          <w:color w:val="000000" w:themeColor="text1"/>
          <w:sz w:val="26"/>
          <w:szCs w:val="26"/>
        </w:rPr>
      </w:pPr>
      <w:r w:rsidRPr="013A3765">
        <w:rPr>
          <w:rFonts w:eastAsiaTheme="minorEastAsia"/>
          <w:b/>
          <w:bCs/>
          <w:color w:val="000000" w:themeColor="text1"/>
          <w:sz w:val="26"/>
          <w:szCs w:val="26"/>
        </w:rPr>
        <w:t xml:space="preserve">Office of the External Affairs’ Customer Engagement  </w:t>
      </w:r>
    </w:p>
    <w:p w:rsidR="008538D9" w:rsidP="013A3765" w14:paraId="73FB5590" w14:textId="54745A9B">
      <w:pPr>
        <w:rPr>
          <w:rFonts w:eastAsiaTheme="minorEastAsia"/>
          <w:color w:val="000000" w:themeColor="text1"/>
          <w:sz w:val="26"/>
          <w:szCs w:val="26"/>
        </w:rPr>
      </w:pPr>
      <w:r w:rsidRPr="013A3765">
        <w:rPr>
          <w:rFonts w:eastAsiaTheme="minorEastAsia"/>
          <w:color w:val="000000" w:themeColor="text1"/>
          <w:sz w:val="26"/>
          <w:szCs w:val="26"/>
        </w:rPr>
        <w:t xml:space="preserve">This survey covers outreach via </w:t>
      </w:r>
      <w:r w:rsidRPr="4029EF50" w:rsidR="4C935A8F">
        <w:rPr>
          <w:rFonts w:eastAsiaTheme="minorEastAsia"/>
          <w:color w:val="000000" w:themeColor="text1"/>
          <w:sz w:val="26"/>
          <w:szCs w:val="26"/>
        </w:rPr>
        <w:t xml:space="preserve">the </w:t>
      </w:r>
      <w:r w:rsidR="00567F24">
        <w:rPr>
          <w:rFonts w:eastAsiaTheme="minorEastAsia"/>
          <w:color w:val="000000" w:themeColor="text1"/>
          <w:sz w:val="26"/>
          <w:szCs w:val="26"/>
        </w:rPr>
        <w:t>OEA</w:t>
      </w:r>
      <w:r w:rsidR="009158A8">
        <w:rPr>
          <w:rFonts w:eastAsiaTheme="minorEastAsia"/>
          <w:color w:val="000000" w:themeColor="text1"/>
          <w:sz w:val="26"/>
          <w:szCs w:val="26"/>
        </w:rPr>
        <w:t>’</w:t>
      </w:r>
      <w:r w:rsidR="00D92BFF">
        <w:rPr>
          <w:rFonts w:eastAsiaTheme="minorEastAsia"/>
          <w:color w:val="000000" w:themeColor="text1"/>
          <w:sz w:val="26"/>
          <w:szCs w:val="26"/>
        </w:rPr>
        <w:t xml:space="preserve"> </w:t>
      </w:r>
      <w:r w:rsidRPr="013A3765">
        <w:rPr>
          <w:rFonts w:eastAsiaTheme="minorEastAsia"/>
          <w:color w:val="000000" w:themeColor="text1"/>
          <w:sz w:val="26"/>
          <w:szCs w:val="26"/>
        </w:rPr>
        <w:t xml:space="preserve">Insight Newsletter and proposes to voluntarily collect contact name and </w:t>
      </w:r>
      <w:r w:rsidR="000A19C9">
        <w:rPr>
          <w:rFonts w:eastAsiaTheme="minorEastAsia"/>
          <w:color w:val="000000" w:themeColor="text1"/>
          <w:sz w:val="26"/>
          <w:szCs w:val="26"/>
        </w:rPr>
        <w:t>email</w:t>
      </w:r>
      <w:r w:rsidR="005B75BD">
        <w:rPr>
          <w:rFonts w:eastAsiaTheme="minorEastAsia"/>
          <w:color w:val="000000" w:themeColor="text1"/>
          <w:sz w:val="26"/>
          <w:szCs w:val="26"/>
        </w:rPr>
        <w:t xml:space="preserve"> </w:t>
      </w:r>
      <w:r w:rsidRPr="013A3765">
        <w:rPr>
          <w:rFonts w:eastAsiaTheme="minorEastAsia"/>
          <w:color w:val="000000" w:themeColor="text1"/>
          <w:sz w:val="26"/>
          <w:szCs w:val="26"/>
        </w:rPr>
        <w:t>and keep email distribution lists to be used to inform interested individuals of technical conferences, workshops, certain proceedings, press releases, or newsletters.</w:t>
      </w:r>
    </w:p>
    <w:p w:rsidR="004D1994" w:rsidP="013A3765" w14:paraId="044BBFD5" w14:textId="77777777">
      <w:pPr>
        <w:rPr>
          <w:rFonts w:eastAsiaTheme="minorEastAsia"/>
          <w:color w:val="000000" w:themeColor="text1"/>
          <w:sz w:val="26"/>
          <w:szCs w:val="26"/>
        </w:rPr>
      </w:pPr>
    </w:p>
    <w:p w:rsidR="004D1994" w:rsidP="004D1994" w14:paraId="58094337" w14:textId="21800F2C">
      <w:pPr>
        <w:rPr>
          <w:rFonts w:eastAsiaTheme="minorEastAsia"/>
          <w:color w:val="000000" w:themeColor="text1"/>
          <w:sz w:val="26"/>
          <w:szCs w:val="26"/>
        </w:rPr>
      </w:pPr>
      <w:r>
        <w:rPr>
          <w:rFonts w:eastAsiaTheme="minorEastAsia"/>
          <w:color w:val="000000" w:themeColor="text1"/>
          <w:sz w:val="26"/>
          <w:szCs w:val="26"/>
        </w:rPr>
        <w:t xml:space="preserve">In addition, the proposed survey includes questions intended to collect input on educational materials and accessibility needs </w:t>
      </w:r>
      <w:r w:rsidR="00B51869">
        <w:rPr>
          <w:rFonts w:eastAsiaTheme="minorEastAsia"/>
          <w:color w:val="000000" w:themeColor="text1"/>
          <w:sz w:val="26"/>
          <w:szCs w:val="26"/>
        </w:rPr>
        <w:t>to</w:t>
      </w:r>
      <w:r>
        <w:rPr>
          <w:rFonts w:eastAsiaTheme="minorEastAsia"/>
          <w:color w:val="000000" w:themeColor="text1"/>
          <w:sz w:val="26"/>
          <w:szCs w:val="26"/>
        </w:rPr>
        <w:t xml:space="preserve"> </w:t>
      </w:r>
      <w:r w:rsidR="00B51869">
        <w:rPr>
          <w:rFonts w:eastAsiaTheme="minorEastAsia"/>
          <w:color w:val="000000" w:themeColor="text1"/>
          <w:sz w:val="26"/>
          <w:szCs w:val="26"/>
        </w:rPr>
        <w:t xml:space="preserve">improve its customer support and engagement activities.  </w:t>
      </w:r>
    </w:p>
    <w:p w:rsidR="00B144C8" w:rsidRPr="00AD5A7A" w:rsidP="32F4D5DB" w14:paraId="24C9B899" w14:textId="35141574">
      <w:pPr>
        <w:pStyle w:val="FERCparanumber"/>
        <w:numPr>
          <w:ilvl w:val="0"/>
          <w:numId w:val="0"/>
        </w:numPr>
        <w:tabs>
          <w:tab w:val="left" w:pos="720"/>
          <w:tab w:val="left" w:pos="4860"/>
        </w:tabs>
        <w:rPr>
          <w:b/>
          <w:bCs/>
          <w:szCs w:val="26"/>
        </w:rPr>
      </w:pPr>
    </w:p>
    <w:p w:rsidR="009A1333" w:rsidRPr="007B2DF1" w:rsidP="32F4D5DB" w14:paraId="00C08ED3" w14:textId="716A2345">
      <w:pPr>
        <w:pStyle w:val="FERCparanumber"/>
        <w:numPr>
          <w:ilvl w:val="0"/>
          <w:numId w:val="0"/>
        </w:numPr>
        <w:tabs>
          <w:tab w:val="left" w:pos="720"/>
          <w:tab w:val="left" w:pos="4860"/>
        </w:tabs>
        <w:rPr>
          <w:szCs w:val="26"/>
        </w:rPr>
      </w:pPr>
      <w:r w:rsidRPr="007B2DF1">
        <w:rPr>
          <w:b/>
          <w:i/>
          <w:szCs w:val="26"/>
        </w:rPr>
        <w:t>FERC-1002</w:t>
      </w:r>
    </w:p>
    <w:p w:rsidR="002277CA" w:rsidRPr="007B2DF1" w:rsidP="32F4D5DB" w14:paraId="4A348C4F" w14:textId="0FD812D8">
      <w:pPr>
        <w:pStyle w:val="FERCparanumber"/>
        <w:numPr>
          <w:ilvl w:val="0"/>
          <w:numId w:val="0"/>
        </w:numPr>
        <w:tabs>
          <w:tab w:val="left" w:pos="720"/>
          <w:tab w:val="left" w:pos="4860"/>
        </w:tabs>
        <w:rPr>
          <w:szCs w:val="26"/>
        </w:rPr>
      </w:pPr>
      <w:r w:rsidRPr="007B2DF1">
        <w:rPr>
          <w:szCs w:val="26"/>
        </w:rPr>
        <w:t xml:space="preserve">Without this information, the Commission would </w:t>
      </w:r>
      <w:r w:rsidRPr="007B2DF1" w:rsidR="64F304CB">
        <w:rPr>
          <w:szCs w:val="26"/>
        </w:rPr>
        <w:t>have difficulty</w:t>
      </w:r>
      <w:r w:rsidRPr="007B2DF1">
        <w:rPr>
          <w:szCs w:val="26"/>
        </w:rPr>
        <w:t xml:space="preserve"> </w:t>
      </w:r>
      <w:r w:rsidRPr="4029EF50" w:rsidR="7784B2C6">
        <w:rPr>
          <w:szCs w:val="26"/>
        </w:rPr>
        <w:t>prov</w:t>
      </w:r>
      <w:r w:rsidR="00EB670D">
        <w:rPr>
          <w:szCs w:val="26"/>
        </w:rPr>
        <w:t>id</w:t>
      </w:r>
      <w:r w:rsidRPr="4029EF50" w:rsidR="7784B2C6">
        <w:rPr>
          <w:szCs w:val="26"/>
        </w:rPr>
        <w:t xml:space="preserve">ing customer service and </w:t>
      </w:r>
      <w:r w:rsidRPr="007B2DF1">
        <w:rPr>
          <w:szCs w:val="26"/>
        </w:rPr>
        <w:t>respond</w:t>
      </w:r>
      <w:r w:rsidRPr="007B2DF1" w:rsidR="707610E9">
        <w:rPr>
          <w:szCs w:val="26"/>
        </w:rPr>
        <w:t>ing</w:t>
      </w:r>
      <w:r w:rsidRPr="007B2DF1">
        <w:rPr>
          <w:szCs w:val="26"/>
        </w:rPr>
        <w:t xml:space="preserve"> to </w:t>
      </w:r>
      <w:r w:rsidRPr="007B2DF1" w:rsidR="00B06936">
        <w:rPr>
          <w:szCs w:val="26"/>
        </w:rPr>
        <w:t>the public’s information needs</w:t>
      </w:r>
      <w:r w:rsidRPr="4029EF50" w:rsidR="5C4AC0F7">
        <w:rPr>
          <w:szCs w:val="26"/>
        </w:rPr>
        <w:t>.  In addition, without some of this information, the Commission would</w:t>
      </w:r>
      <w:r w:rsidRPr="007B2DF1" w:rsidR="00B06936">
        <w:rPr>
          <w:szCs w:val="26"/>
        </w:rPr>
        <w:t xml:space="preserve"> </w:t>
      </w:r>
      <w:r w:rsidRPr="4029EF50" w:rsidR="27A76979">
        <w:rPr>
          <w:szCs w:val="26"/>
        </w:rPr>
        <w:t xml:space="preserve">have difficulty </w:t>
      </w:r>
      <w:r w:rsidRPr="4029EF50" w:rsidR="21C50537">
        <w:rPr>
          <w:szCs w:val="26"/>
        </w:rPr>
        <w:t xml:space="preserve">including </w:t>
      </w:r>
      <w:r w:rsidRPr="007B2DF1" w:rsidR="00EE4F13">
        <w:rPr>
          <w:szCs w:val="26"/>
        </w:rPr>
        <w:t>representative</w:t>
      </w:r>
      <w:r w:rsidRPr="007B2DF1" w:rsidR="001679EA">
        <w:rPr>
          <w:szCs w:val="26"/>
        </w:rPr>
        <w:t>s f</w:t>
      </w:r>
      <w:r w:rsidRPr="4029EF50" w:rsidR="17B7BF60">
        <w:rPr>
          <w:szCs w:val="26"/>
        </w:rPr>
        <w:t>rom</w:t>
      </w:r>
      <w:r w:rsidRPr="007B2DF1" w:rsidR="001679EA">
        <w:rPr>
          <w:szCs w:val="26"/>
        </w:rPr>
        <w:t xml:space="preserve"> different sectors of society </w:t>
      </w:r>
      <w:r w:rsidRPr="4029EF50" w:rsidR="0F9275F1">
        <w:rPr>
          <w:szCs w:val="26"/>
        </w:rPr>
        <w:t xml:space="preserve">potentially </w:t>
      </w:r>
      <w:r w:rsidRPr="007B2DF1" w:rsidR="004F68E8">
        <w:rPr>
          <w:szCs w:val="26"/>
        </w:rPr>
        <w:t xml:space="preserve">affected by the Commission’s actions </w:t>
      </w:r>
      <w:r w:rsidRPr="007B2DF1" w:rsidR="00F154F1">
        <w:rPr>
          <w:szCs w:val="26"/>
        </w:rPr>
        <w:t>in</w:t>
      </w:r>
      <w:r w:rsidRPr="4029EF50" w:rsidR="39D2C861">
        <w:rPr>
          <w:szCs w:val="26"/>
        </w:rPr>
        <w:t xml:space="preserve"> the</w:t>
      </w:r>
      <w:r w:rsidRPr="007B2DF1" w:rsidR="00F154F1">
        <w:rPr>
          <w:szCs w:val="26"/>
        </w:rPr>
        <w:t xml:space="preserve"> agency</w:t>
      </w:r>
      <w:r w:rsidRPr="4029EF50" w:rsidR="4280CC8B">
        <w:rPr>
          <w:szCs w:val="26"/>
        </w:rPr>
        <w:t>’s</w:t>
      </w:r>
      <w:r w:rsidRPr="007B2DF1" w:rsidR="00F154F1">
        <w:rPr>
          <w:szCs w:val="26"/>
        </w:rPr>
        <w:t xml:space="preserve"> </w:t>
      </w:r>
      <w:r w:rsidRPr="007B2DF1" w:rsidR="00E94031">
        <w:rPr>
          <w:szCs w:val="26"/>
        </w:rPr>
        <w:t>decision-making</w:t>
      </w:r>
      <w:r w:rsidRPr="007B2DF1" w:rsidR="00F154F1">
        <w:rPr>
          <w:szCs w:val="26"/>
        </w:rPr>
        <w:t xml:space="preserve"> </w:t>
      </w:r>
      <w:r w:rsidRPr="4029EF50" w:rsidR="7A9984BC">
        <w:rPr>
          <w:szCs w:val="26"/>
        </w:rPr>
        <w:t>process</w:t>
      </w:r>
      <w:r w:rsidRPr="007B2DF1" w:rsidR="00D91C58">
        <w:rPr>
          <w:szCs w:val="26"/>
        </w:rPr>
        <w:t xml:space="preserve">.  </w:t>
      </w:r>
      <w:r w:rsidRPr="4029EF50" w:rsidR="3EC231D7">
        <w:rPr>
          <w:szCs w:val="26"/>
        </w:rPr>
        <w:t>T</w:t>
      </w:r>
      <w:r w:rsidRPr="007B2DF1" w:rsidR="00D91C58">
        <w:rPr>
          <w:szCs w:val="26"/>
        </w:rPr>
        <w:t xml:space="preserve">his information </w:t>
      </w:r>
      <w:r w:rsidRPr="4029EF50" w:rsidR="202D7D88">
        <w:rPr>
          <w:szCs w:val="26"/>
        </w:rPr>
        <w:t xml:space="preserve">will allow the </w:t>
      </w:r>
      <w:r w:rsidRPr="007B2DF1" w:rsidR="00D91C58">
        <w:rPr>
          <w:szCs w:val="26"/>
        </w:rPr>
        <w:t xml:space="preserve">agency </w:t>
      </w:r>
      <w:r w:rsidRPr="4029EF50" w:rsidR="0683E30A">
        <w:rPr>
          <w:szCs w:val="26"/>
        </w:rPr>
        <w:t xml:space="preserve">to benefit </w:t>
      </w:r>
      <w:r w:rsidRPr="007B2DF1" w:rsidR="00EF5D67">
        <w:rPr>
          <w:szCs w:val="26"/>
        </w:rPr>
        <w:t>from</w:t>
      </w:r>
      <w:r w:rsidRPr="007B2DF1" w:rsidR="00F95594">
        <w:rPr>
          <w:szCs w:val="26"/>
        </w:rPr>
        <w:t xml:space="preserve"> increased access to information and </w:t>
      </w:r>
      <w:r w:rsidRPr="007B2DF1" w:rsidR="00F9261F">
        <w:rPr>
          <w:szCs w:val="26"/>
        </w:rPr>
        <w:t>viewpoints</w:t>
      </w:r>
      <w:r w:rsidRPr="007B2DF1" w:rsidR="00F95594">
        <w:rPr>
          <w:szCs w:val="26"/>
        </w:rPr>
        <w:t xml:space="preserve"> </w:t>
      </w:r>
      <w:r w:rsidRPr="007B2DF1" w:rsidR="00F9261F">
        <w:rPr>
          <w:szCs w:val="26"/>
        </w:rPr>
        <w:t xml:space="preserve">leading to </w:t>
      </w:r>
      <w:r w:rsidRPr="4029EF50" w:rsidR="336F86BE">
        <w:rPr>
          <w:szCs w:val="26"/>
        </w:rPr>
        <w:t>better decision-making.</w:t>
      </w:r>
      <w:r w:rsidRPr="007B2DF1" w:rsidR="00F9261F">
        <w:rPr>
          <w:szCs w:val="26"/>
        </w:rPr>
        <w:t xml:space="preserve"> </w:t>
      </w:r>
      <w:r w:rsidRPr="007B2DF1" w:rsidR="003655B3">
        <w:rPr>
          <w:szCs w:val="26"/>
        </w:rPr>
        <w:t xml:space="preserve"> </w:t>
      </w:r>
      <w:r w:rsidRPr="007B2DF1" w:rsidR="001E0A5C">
        <w:rPr>
          <w:szCs w:val="26"/>
        </w:rPr>
        <w:t xml:space="preserve"> </w:t>
      </w:r>
      <w:r w:rsidRPr="007B2DF1">
        <w:rPr>
          <w:szCs w:val="26"/>
        </w:rPr>
        <w:t xml:space="preserve">  </w:t>
      </w:r>
    </w:p>
    <w:p w:rsidR="00980E8E" w:rsidRPr="00AD5A7A" w:rsidP="32F4D5DB" w14:paraId="7D03B8D9" w14:textId="77777777">
      <w:pPr>
        <w:pStyle w:val="FERCparanumber"/>
        <w:numPr>
          <w:ilvl w:val="0"/>
          <w:numId w:val="0"/>
        </w:numPr>
        <w:tabs>
          <w:tab w:val="left" w:pos="720"/>
          <w:tab w:val="left" w:pos="4860"/>
        </w:tabs>
        <w:rPr>
          <w:szCs w:val="26"/>
        </w:rPr>
      </w:pPr>
    </w:p>
    <w:p w:rsidR="00980E8E" w:rsidRPr="00F405D1" w:rsidP="005240A1" w14:paraId="12D749C8" w14:textId="77777777">
      <w:pPr>
        <w:widowControl/>
        <w:numPr>
          <w:ilvl w:val="0"/>
          <w:numId w:val="7"/>
        </w:numPr>
        <w:rPr>
          <w:sz w:val="26"/>
          <w:szCs w:val="26"/>
        </w:rPr>
      </w:pPr>
      <w:r w:rsidRPr="00F405D1">
        <w:rPr>
          <w:b/>
          <w:sz w:val="26"/>
          <w:szCs w:val="26"/>
        </w:rPr>
        <w:t>DESCRIBE ANY CONSIDERATION OF THE USE OF IMPROVED INFORMATION TECHNOLOGY TO REDUCE BURDEN AND THE TECHNICAL OR LEGAL OBSTACLES TO REDUCING BURDEN</w:t>
      </w:r>
    </w:p>
    <w:p w:rsidR="00980E8E" w:rsidRPr="00F405D1" w:rsidP="00980E8E" w14:paraId="68363553" w14:textId="77777777">
      <w:pPr>
        <w:rPr>
          <w:sz w:val="26"/>
          <w:szCs w:val="26"/>
        </w:rPr>
      </w:pPr>
    </w:p>
    <w:p w:rsidR="004E5A5E" w:rsidP="00CD1A7A" w14:paraId="48107FA4" w14:textId="3FA89478">
      <w:pPr>
        <w:pStyle w:val="FERCparanumber"/>
        <w:numPr>
          <w:ilvl w:val="0"/>
          <w:numId w:val="0"/>
        </w:numPr>
      </w:pPr>
      <w:r>
        <w:t xml:space="preserve">There is an ongoing effort to determine the potential and value of improved information technology to reduce the burden.  </w:t>
      </w:r>
      <w:r w:rsidR="00C32AB2">
        <w:t xml:space="preserve">The public will be able to submit information </w:t>
      </w:r>
      <w:r w:rsidR="00EC275D">
        <w:t>via the agency website, email, phone,</w:t>
      </w:r>
      <w:r w:rsidR="00CB4EA2">
        <w:t xml:space="preserve"> or</w:t>
      </w:r>
      <w:r w:rsidR="002E0380">
        <w:t xml:space="preserve"> </w:t>
      </w:r>
      <w:r w:rsidR="002770E2">
        <w:t>fax</w:t>
      </w:r>
      <w:r w:rsidR="00E36B29">
        <w:t>, as discussed above</w:t>
      </w:r>
      <w:r w:rsidR="00EC275D">
        <w:t xml:space="preserve">.  </w:t>
      </w:r>
      <w:bookmarkStart w:id="0" w:name="_Hlk115171000"/>
      <w:r w:rsidR="00C234EA">
        <w:t xml:space="preserve">FERC </w:t>
      </w:r>
      <w:r w:rsidR="770EB9BE">
        <w:t>provides</w:t>
      </w:r>
      <w:r w:rsidR="00C234EA">
        <w:t xml:space="preserve"> several </w:t>
      </w:r>
      <w:r w:rsidR="009A02F5">
        <w:t xml:space="preserve">possible </w:t>
      </w:r>
      <w:r w:rsidR="007C5162">
        <w:t xml:space="preserve">methods </w:t>
      </w:r>
      <w:r w:rsidR="009A02F5">
        <w:t>of submittal to ease the burden of the filer (respondent).</w:t>
      </w:r>
      <w:bookmarkEnd w:id="0"/>
    </w:p>
    <w:p w:rsidR="004E5A5E" w:rsidP="000F4F33" w14:paraId="3BFD9823" w14:textId="77777777">
      <w:pPr>
        <w:pStyle w:val="ListParagraph"/>
        <w:spacing w:after="0" w:line="240" w:lineRule="auto"/>
        <w:rPr>
          <w:b/>
          <w:szCs w:val="26"/>
        </w:rPr>
      </w:pPr>
    </w:p>
    <w:p w:rsidR="009D6B6D" w:rsidRPr="00F405D1" w:rsidP="005240A1" w14:paraId="0489848B" w14:textId="09882C19">
      <w:pPr>
        <w:pStyle w:val="FERCparanumber"/>
        <w:numPr>
          <w:ilvl w:val="0"/>
          <w:numId w:val="7"/>
        </w:numPr>
        <w:rPr>
          <w:szCs w:val="26"/>
        </w:rPr>
      </w:pPr>
      <w:r w:rsidRPr="00F405D1">
        <w:rPr>
          <w:b/>
          <w:szCs w:val="26"/>
        </w:rPr>
        <w:t>DESCRIBE EFFORTS TO IDENTIFY DUPLICATON AND SHOW SPECIFICALLY WHY ANY SIMILAR INFORMATION ALREADY AVAILABLE CANNOT BE USED OR MODIFIED FOR USE FOR THE PURPOSE(S) DESCRIBED IN INSTRUCTION NO. 2.</w:t>
      </w:r>
    </w:p>
    <w:p w:rsidR="00BD4039" w:rsidRPr="00F405D1" w:rsidP="00BD4039" w14:paraId="2AAE79A7" w14:textId="77777777">
      <w:pPr>
        <w:pStyle w:val="FERCparanumber"/>
        <w:numPr>
          <w:ilvl w:val="0"/>
          <w:numId w:val="0"/>
        </w:numPr>
        <w:rPr>
          <w:b/>
          <w:szCs w:val="26"/>
        </w:rPr>
      </w:pPr>
    </w:p>
    <w:p w:rsidR="004E5A5E" w:rsidRPr="000F4F33" w:rsidP="00CD1A7A" w14:paraId="1508EA10" w14:textId="04E1E7A3">
      <w:pPr>
        <w:pStyle w:val="FERCparanumber"/>
        <w:numPr>
          <w:ilvl w:val="0"/>
          <w:numId w:val="0"/>
        </w:numPr>
      </w:pPr>
      <w:r>
        <w:t xml:space="preserve">The Commission published a </w:t>
      </w:r>
      <w:r w:rsidR="00CD5574">
        <w:t xml:space="preserve">60-day PRA </w:t>
      </w:r>
      <w:r>
        <w:t xml:space="preserve">notice in the Federal Register </w:t>
      </w:r>
      <w:r w:rsidR="00F34879">
        <w:t xml:space="preserve">(87 FR 54998, 9/8/2022) </w:t>
      </w:r>
      <w:r>
        <w:t xml:space="preserve">to </w:t>
      </w:r>
      <w:r w:rsidR="00147DD0">
        <w:t xml:space="preserve">solicit public comment and to </w:t>
      </w:r>
      <w:r>
        <w:t>help identify any duplication of the information</w:t>
      </w:r>
      <w:r w:rsidR="00F34879">
        <w:t xml:space="preserve">.  The </w:t>
      </w:r>
      <w:r w:rsidR="00CB32DF">
        <w:t xml:space="preserve">responses to the </w:t>
      </w:r>
      <w:r w:rsidR="00961D79">
        <w:t xml:space="preserve">proposed </w:t>
      </w:r>
      <w:r w:rsidR="00990E2B">
        <w:t>survey</w:t>
      </w:r>
      <w:r w:rsidR="00961D79">
        <w:t>s</w:t>
      </w:r>
      <w:r w:rsidR="00990E2B">
        <w:t xml:space="preserve"> </w:t>
      </w:r>
      <w:r w:rsidR="3BE8C246">
        <w:t xml:space="preserve">are not duplicative as they </w:t>
      </w:r>
      <w:r w:rsidR="00990E2B">
        <w:t xml:space="preserve">relate to </w:t>
      </w:r>
      <w:r w:rsidR="00613B17">
        <w:t xml:space="preserve">the </w:t>
      </w:r>
      <w:r w:rsidR="00990E2B">
        <w:t xml:space="preserve">specific </w:t>
      </w:r>
      <w:r w:rsidR="00613B17">
        <w:t>needs and situation of each individual respondent</w:t>
      </w:r>
      <w:r w:rsidR="000242CE">
        <w:t xml:space="preserve"> (or filer)</w:t>
      </w:r>
      <w:r w:rsidR="00613B17">
        <w:t>.</w:t>
      </w:r>
      <w:r>
        <w:t xml:space="preserve"> </w:t>
      </w:r>
    </w:p>
    <w:p w:rsidR="004E5A5E" w:rsidP="005B0705" w14:paraId="12082794" w14:textId="77777777">
      <w:pPr>
        <w:pStyle w:val="ListParagraph"/>
        <w:spacing w:after="0" w:line="240" w:lineRule="auto"/>
        <w:rPr>
          <w:b/>
          <w:szCs w:val="26"/>
        </w:rPr>
      </w:pPr>
    </w:p>
    <w:p w:rsidR="009D6B6D" w:rsidP="005240A1" w14:paraId="3F3DF4CC" w14:textId="7AD9EA92">
      <w:pPr>
        <w:pStyle w:val="FERCparanumber"/>
        <w:numPr>
          <w:ilvl w:val="0"/>
          <w:numId w:val="7"/>
        </w:numPr>
        <w:rPr>
          <w:szCs w:val="26"/>
        </w:rPr>
      </w:pPr>
      <w:r w:rsidRPr="00F405D1">
        <w:rPr>
          <w:b/>
          <w:szCs w:val="26"/>
        </w:rPr>
        <w:t>METHODS USED TO MINIMIZE BURDEN IN COLLECTION OF INFORMATION INVOLVING SMALL ENTITIES</w:t>
      </w:r>
      <w:r w:rsidRPr="00F405D1">
        <w:rPr>
          <w:szCs w:val="26"/>
        </w:rPr>
        <w:t xml:space="preserve"> </w:t>
      </w:r>
    </w:p>
    <w:p w:rsidR="004E2D18" w:rsidP="00B1529A" w14:paraId="74E079CF" w14:textId="77777777">
      <w:pPr>
        <w:pStyle w:val="FERCparanumber"/>
        <w:numPr>
          <w:ilvl w:val="0"/>
          <w:numId w:val="0"/>
        </w:numPr>
        <w:ind w:left="720"/>
        <w:rPr>
          <w:szCs w:val="26"/>
        </w:rPr>
      </w:pPr>
    </w:p>
    <w:p w:rsidR="00B1529A" w:rsidRPr="00F405D1" w:rsidP="00CD1A7A" w14:paraId="6C27610B" w14:textId="749E4B93">
      <w:pPr>
        <w:pStyle w:val="FERCparanumber"/>
        <w:numPr>
          <w:ilvl w:val="0"/>
          <w:numId w:val="0"/>
        </w:numPr>
        <w:rPr>
          <w:szCs w:val="26"/>
        </w:rPr>
      </w:pPr>
      <w:r>
        <w:rPr>
          <w:szCs w:val="26"/>
        </w:rPr>
        <w:t xml:space="preserve">FERC provides several options for </w:t>
      </w:r>
      <w:r w:rsidR="00437EF1">
        <w:rPr>
          <w:szCs w:val="26"/>
        </w:rPr>
        <w:t xml:space="preserve">responding to the surveys (on a voluntary basis) </w:t>
      </w:r>
      <w:r w:rsidRPr="00B1529A">
        <w:rPr>
          <w:szCs w:val="26"/>
        </w:rPr>
        <w:t>including email, telephone, fax, and/or webform</w:t>
      </w:r>
      <w:r w:rsidR="00C711E6">
        <w:rPr>
          <w:szCs w:val="26"/>
        </w:rPr>
        <w:t>, as discussed above</w:t>
      </w:r>
      <w:r>
        <w:rPr>
          <w:szCs w:val="26"/>
        </w:rPr>
        <w:t>.</w:t>
      </w:r>
      <w:r w:rsidRPr="00CB4EA2" w:rsidR="00CB4EA2">
        <w:t xml:space="preserve"> </w:t>
      </w:r>
      <w:r w:rsidRPr="00CB4EA2" w:rsidR="00CB4EA2">
        <w:rPr>
          <w:szCs w:val="26"/>
        </w:rPr>
        <w:t>FERC is providing several possible methods of submittal to ease the burden of the filer (respondent).</w:t>
      </w:r>
    </w:p>
    <w:p w:rsidR="006A19F2" w:rsidRPr="00F405D1" w:rsidP="006A19F2" w14:paraId="41E096C6" w14:textId="77777777">
      <w:pPr>
        <w:rPr>
          <w:sz w:val="26"/>
          <w:szCs w:val="26"/>
        </w:rPr>
      </w:pPr>
    </w:p>
    <w:p w:rsidR="009D6B6D" w:rsidRPr="00F405D1" w:rsidP="005240A1" w14:paraId="6005062A" w14:textId="1B8AA302">
      <w:pPr>
        <w:pStyle w:val="FERCparanumber"/>
        <w:numPr>
          <w:ilvl w:val="0"/>
          <w:numId w:val="7"/>
        </w:numPr>
      </w:pPr>
      <w:r w:rsidRPr="4296BF2D">
        <w:rPr>
          <w:b/>
          <w:bCs/>
        </w:rPr>
        <w:t>CONSEQUENCE TO FEDERAL PROGRAM IF COLLECTION WERE CONDUCTED LESS FREQUENTLY</w:t>
      </w:r>
    </w:p>
    <w:p w:rsidR="00BB6095" w:rsidP="00BB6095" w14:paraId="3BCA6A1A" w14:textId="77777777">
      <w:pPr>
        <w:pStyle w:val="FERCparanumber"/>
        <w:numPr>
          <w:ilvl w:val="0"/>
          <w:numId w:val="0"/>
        </w:numPr>
        <w:rPr>
          <w:b/>
          <w:szCs w:val="26"/>
        </w:rPr>
      </w:pPr>
    </w:p>
    <w:p w:rsidR="00697466" w:rsidP="00374CC7" w14:paraId="18D75229" w14:textId="1FD3B02B">
      <w:pPr>
        <w:pStyle w:val="FERCparanumber"/>
        <w:numPr>
          <w:ilvl w:val="0"/>
          <w:numId w:val="0"/>
        </w:numPr>
        <w:tabs>
          <w:tab w:val="left" w:pos="720"/>
          <w:tab w:val="left" w:pos="4860"/>
        </w:tabs>
        <w:rPr>
          <w:szCs w:val="26"/>
        </w:rPr>
      </w:pPr>
      <w:r w:rsidRPr="0033418F">
        <w:rPr>
          <w:szCs w:val="26"/>
        </w:rPr>
        <w:t xml:space="preserve">This information collection </w:t>
      </w:r>
      <w:r w:rsidRPr="0033418F" w:rsidR="00964F77">
        <w:rPr>
          <w:szCs w:val="26"/>
        </w:rPr>
        <w:t xml:space="preserve">may not be collected less frequently because it is </w:t>
      </w:r>
      <w:r w:rsidRPr="00F35DAA" w:rsidR="6605ED1C">
        <w:rPr>
          <w:szCs w:val="26"/>
        </w:rPr>
        <w:t>provided</w:t>
      </w:r>
      <w:r w:rsidRPr="000C047C" w:rsidR="0039186F">
        <w:rPr>
          <w:szCs w:val="26"/>
        </w:rPr>
        <w:t xml:space="preserve"> </w:t>
      </w:r>
      <w:r w:rsidRPr="00385B39" w:rsidR="00BA7E1D">
        <w:rPr>
          <w:szCs w:val="26"/>
        </w:rPr>
        <w:t xml:space="preserve">on a voluntary basis </w:t>
      </w:r>
      <w:r w:rsidRPr="00385B39" w:rsidR="6808591D">
        <w:rPr>
          <w:szCs w:val="26"/>
        </w:rPr>
        <w:t xml:space="preserve">at the time that </w:t>
      </w:r>
      <w:r w:rsidRPr="00385B39" w:rsidR="00F55BF4">
        <w:rPr>
          <w:szCs w:val="26"/>
        </w:rPr>
        <w:t xml:space="preserve">an individual or an organization requires assistance </w:t>
      </w:r>
      <w:r w:rsidRPr="00385B39" w:rsidR="7E38D372">
        <w:rPr>
          <w:szCs w:val="26"/>
        </w:rPr>
        <w:t>regarding</w:t>
      </w:r>
      <w:r w:rsidRPr="00385B39" w:rsidR="00F55BF4">
        <w:rPr>
          <w:szCs w:val="26"/>
        </w:rPr>
        <w:t xml:space="preserve"> FERC matters.</w:t>
      </w:r>
      <w:r w:rsidRPr="00385B39" w:rsidR="00E56C1A">
        <w:rPr>
          <w:szCs w:val="26"/>
        </w:rPr>
        <w:t xml:space="preserve"> If </w:t>
      </w:r>
      <w:r w:rsidRPr="00385B39" w:rsidR="67999073">
        <w:rPr>
          <w:szCs w:val="26"/>
        </w:rPr>
        <w:t>the Commission</w:t>
      </w:r>
      <w:r w:rsidRPr="00385B39" w:rsidR="00E56C1A">
        <w:rPr>
          <w:szCs w:val="26"/>
        </w:rPr>
        <w:t xml:space="preserve"> were </w:t>
      </w:r>
      <w:r w:rsidRPr="00385B39" w:rsidR="00E46E21">
        <w:rPr>
          <w:szCs w:val="26"/>
        </w:rPr>
        <w:t xml:space="preserve">to instead offer to collect information on </w:t>
      </w:r>
      <w:r w:rsidRPr="00385B39" w:rsidR="00237D5D">
        <w:rPr>
          <w:szCs w:val="26"/>
        </w:rPr>
        <w:t xml:space="preserve">a non-continuous </w:t>
      </w:r>
      <w:r w:rsidRPr="00385B39" w:rsidR="007B1099">
        <w:rPr>
          <w:szCs w:val="26"/>
        </w:rPr>
        <w:t>basis,</w:t>
      </w:r>
      <w:r w:rsidRPr="00385B39" w:rsidR="00237D5D">
        <w:rPr>
          <w:szCs w:val="26"/>
        </w:rPr>
        <w:t xml:space="preserve"> then </w:t>
      </w:r>
      <w:r w:rsidRPr="00385B39" w:rsidR="00B576F9">
        <w:rPr>
          <w:szCs w:val="26"/>
        </w:rPr>
        <w:t xml:space="preserve">its provision of “customer” support would be </w:t>
      </w:r>
      <w:r w:rsidRPr="00385B39" w:rsidR="416A81C3">
        <w:rPr>
          <w:szCs w:val="26"/>
        </w:rPr>
        <w:t>of lower value</w:t>
      </w:r>
      <w:r w:rsidRPr="00385B39" w:rsidR="00D77B77">
        <w:rPr>
          <w:szCs w:val="26"/>
        </w:rPr>
        <w:t xml:space="preserve"> because FERC matters are </w:t>
      </w:r>
      <w:r w:rsidRPr="00385B39" w:rsidR="5AE1CD23">
        <w:rPr>
          <w:szCs w:val="26"/>
        </w:rPr>
        <w:t xml:space="preserve">often </w:t>
      </w:r>
      <w:r w:rsidRPr="00385B39" w:rsidR="00D77B77">
        <w:rPr>
          <w:szCs w:val="26"/>
        </w:rPr>
        <w:t>time sensitive</w:t>
      </w:r>
      <w:r w:rsidRPr="00385B39" w:rsidR="0F8D6CCB">
        <w:rPr>
          <w:szCs w:val="26"/>
        </w:rPr>
        <w:t>.</w:t>
      </w:r>
      <w:r w:rsidRPr="00385B39" w:rsidR="00D77B77">
        <w:rPr>
          <w:szCs w:val="26"/>
        </w:rPr>
        <w:t xml:space="preserve"> </w:t>
      </w:r>
    </w:p>
    <w:p w:rsidR="00B831BC" w:rsidRPr="00385B39" w:rsidP="00374CC7" w14:paraId="1CC61AA9" w14:textId="77777777">
      <w:pPr>
        <w:pStyle w:val="FERCparanumber"/>
        <w:numPr>
          <w:ilvl w:val="0"/>
          <w:numId w:val="0"/>
        </w:numPr>
        <w:tabs>
          <w:tab w:val="left" w:pos="720"/>
          <w:tab w:val="left" w:pos="4860"/>
        </w:tabs>
        <w:rPr>
          <w:bCs/>
          <w:szCs w:val="26"/>
        </w:rPr>
      </w:pPr>
    </w:p>
    <w:p w:rsidR="00374CC7" w:rsidRPr="0033418F" w:rsidP="00385B39" w14:paraId="0A626FE2" w14:textId="0E42ED62">
      <w:pPr>
        <w:widowControl/>
        <w:rPr>
          <w:szCs w:val="26"/>
        </w:rPr>
      </w:pPr>
      <w:r w:rsidRPr="00385B39">
        <w:rPr>
          <w:sz w:val="26"/>
          <w:szCs w:val="26"/>
        </w:rPr>
        <w:t xml:space="preserve">A less frequent collection of this </w:t>
      </w:r>
      <w:r w:rsidRPr="00385B39" w:rsidR="204C25DC">
        <w:rPr>
          <w:sz w:val="26"/>
          <w:szCs w:val="26"/>
        </w:rPr>
        <w:t>information</w:t>
      </w:r>
      <w:r w:rsidRPr="00385B39" w:rsidR="64419D33">
        <w:rPr>
          <w:sz w:val="26"/>
          <w:szCs w:val="26"/>
        </w:rPr>
        <w:t xml:space="preserve"> would make it difficult for</w:t>
      </w:r>
      <w:r w:rsidRPr="00385B39" w:rsidR="204C25DC">
        <w:rPr>
          <w:sz w:val="26"/>
          <w:szCs w:val="26"/>
        </w:rPr>
        <w:t xml:space="preserve"> the Commission </w:t>
      </w:r>
      <w:r w:rsidRPr="00385B39" w:rsidR="64419D33">
        <w:rPr>
          <w:sz w:val="26"/>
          <w:szCs w:val="26"/>
        </w:rPr>
        <w:t xml:space="preserve">to </w:t>
      </w:r>
      <w:r w:rsidRPr="00D43B02" w:rsidR="7853E64A">
        <w:rPr>
          <w:sz w:val="26"/>
          <w:szCs w:val="26"/>
        </w:rPr>
        <w:t xml:space="preserve">help members of the regulated community and the public who seek to understand FERC matters; to participate in FERC proceedings that result in agency actions that impact their </w:t>
      </w:r>
      <w:r w:rsidR="00B51869">
        <w:rPr>
          <w:sz w:val="26"/>
          <w:szCs w:val="26"/>
        </w:rPr>
        <w:t xml:space="preserve">communities, </w:t>
      </w:r>
      <w:r w:rsidRPr="00D43B02" w:rsidR="7853E64A">
        <w:rPr>
          <w:sz w:val="26"/>
          <w:szCs w:val="26"/>
        </w:rPr>
        <w:t>business</w:t>
      </w:r>
      <w:r w:rsidR="00B51869">
        <w:rPr>
          <w:sz w:val="26"/>
          <w:szCs w:val="26"/>
        </w:rPr>
        <w:t>es,</w:t>
      </w:r>
      <w:r w:rsidRPr="00D43B02" w:rsidR="22167C7D">
        <w:rPr>
          <w:sz w:val="26"/>
          <w:szCs w:val="26"/>
        </w:rPr>
        <w:t xml:space="preserve"> or property</w:t>
      </w:r>
      <w:r w:rsidR="00B51869">
        <w:rPr>
          <w:sz w:val="26"/>
          <w:szCs w:val="26"/>
        </w:rPr>
        <w:t>.</w:t>
      </w:r>
      <w:r w:rsidRPr="00D43B02" w:rsidR="7853E64A">
        <w:rPr>
          <w:sz w:val="26"/>
          <w:szCs w:val="26"/>
        </w:rPr>
        <w:t xml:space="preserve">  </w:t>
      </w:r>
    </w:p>
    <w:p w:rsidR="00374CC7" w:rsidRPr="00F405D1" w:rsidP="00BB6095" w14:paraId="1F143444" w14:textId="362EF5B5">
      <w:pPr>
        <w:pStyle w:val="FERCparanumber"/>
        <w:numPr>
          <w:ilvl w:val="0"/>
          <w:numId w:val="0"/>
        </w:numPr>
        <w:rPr>
          <w:b/>
          <w:szCs w:val="26"/>
        </w:rPr>
      </w:pPr>
    </w:p>
    <w:p w:rsidR="00BB6095" w:rsidRPr="00F405D1" w:rsidP="005240A1" w14:paraId="302B9157" w14:textId="77777777">
      <w:pPr>
        <w:pStyle w:val="FERCparanumber"/>
        <w:numPr>
          <w:ilvl w:val="0"/>
          <w:numId w:val="7"/>
        </w:numPr>
        <w:rPr>
          <w:szCs w:val="26"/>
        </w:rPr>
      </w:pPr>
      <w:r w:rsidRPr="00F405D1">
        <w:rPr>
          <w:b/>
          <w:szCs w:val="26"/>
        </w:rPr>
        <w:t>EXPLAIN ANY SPECIAL CIRCUMSTANCES RELATING TO THE INFORMATION</w:t>
      </w:r>
    </w:p>
    <w:p w:rsidR="00BB6095" w:rsidRPr="00F405D1" w:rsidP="00BB6095" w14:paraId="12737B65" w14:textId="77777777">
      <w:pPr>
        <w:pStyle w:val="FERCparanumber"/>
        <w:numPr>
          <w:ilvl w:val="0"/>
          <w:numId w:val="0"/>
        </w:numPr>
        <w:rPr>
          <w:b/>
          <w:szCs w:val="26"/>
        </w:rPr>
      </w:pPr>
    </w:p>
    <w:p w:rsidR="00BB6095" w:rsidRPr="00F405D1" w:rsidP="00BB6095" w14:paraId="73517B6C" w14:textId="0F02F650">
      <w:pPr>
        <w:rPr>
          <w:sz w:val="26"/>
          <w:szCs w:val="26"/>
        </w:rPr>
      </w:pPr>
      <w:r w:rsidRPr="00F405D1">
        <w:rPr>
          <w:sz w:val="26"/>
          <w:szCs w:val="26"/>
        </w:rPr>
        <w:t xml:space="preserve">There are no special circumstances related to this information collection. </w:t>
      </w:r>
    </w:p>
    <w:p w:rsidR="00BB6095" w:rsidRPr="00F405D1" w:rsidP="00BB6095" w14:paraId="17F8E51C" w14:textId="77777777">
      <w:pPr>
        <w:pStyle w:val="FERCparanumber"/>
        <w:numPr>
          <w:ilvl w:val="0"/>
          <w:numId w:val="0"/>
        </w:numPr>
        <w:rPr>
          <w:szCs w:val="26"/>
        </w:rPr>
      </w:pPr>
    </w:p>
    <w:p w:rsidR="009D6B6D" w:rsidRPr="00F405D1" w:rsidP="001D2EC1" w14:paraId="427A14D9" w14:textId="77777777">
      <w:pPr>
        <w:pStyle w:val="FERCparanumber"/>
        <w:numPr>
          <w:ilvl w:val="0"/>
          <w:numId w:val="7"/>
        </w:numPr>
        <w:rPr>
          <w:szCs w:val="26"/>
        </w:rPr>
      </w:pPr>
      <w:r w:rsidRPr="00F405D1">
        <w:rPr>
          <w:b/>
          <w:szCs w:val="26"/>
        </w:rPr>
        <w:t>DESCRIBE EFFORTS TO CONSULT OUTSIDE THE AGENCY: SUMMARIZE PUBLIC COMMENTS AND THE AGENCY’S RESPONSE TO THESE COMMENTS</w:t>
      </w:r>
    </w:p>
    <w:p w:rsidR="00BB6095" w:rsidRPr="00F405D1" w:rsidP="00BB6095" w14:paraId="607EB314" w14:textId="77777777">
      <w:pPr>
        <w:pStyle w:val="FERCparanumber"/>
        <w:numPr>
          <w:ilvl w:val="0"/>
          <w:numId w:val="0"/>
        </w:numPr>
        <w:rPr>
          <w:b/>
          <w:szCs w:val="26"/>
        </w:rPr>
      </w:pPr>
    </w:p>
    <w:p w:rsidR="00A01823" w:rsidP="00BB6095" w14:paraId="04E7DE22" w14:textId="3A500AD9">
      <w:pPr>
        <w:rPr>
          <w:sz w:val="26"/>
          <w:szCs w:val="26"/>
        </w:rPr>
      </w:pPr>
      <w:r w:rsidRPr="000F53D5">
        <w:rPr>
          <w:sz w:val="26"/>
          <w:szCs w:val="26"/>
        </w:rPr>
        <w:t>In accordance with OMB requirements, the Commission published a 60-day notice</w:t>
      </w:r>
      <w:r w:rsidR="00317C67">
        <w:rPr>
          <w:sz w:val="26"/>
          <w:szCs w:val="26"/>
        </w:rPr>
        <w:t xml:space="preserve"> </w:t>
      </w:r>
      <w:r w:rsidRPr="000F53D5" w:rsidR="000F53D5">
        <w:rPr>
          <w:sz w:val="26"/>
          <w:szCs w:val="26"/>
        </w:rPr>
        <w:t>(</w:t>
      </w:r>
      <w:r w:rsidR="004F6ED7">
        <w:rPr>
          <w:sz w:val="26"/>
          <w:szCs w:val="26"/>
        </w:rPr>
        <w:t>87 FR 54998, 9/8/2022</w:t>
      </w:r>
      <w:r w:rsidR="00AD525C">
        <w:rPr>
          <w:sz w:val="26"/>
          <w:szCs w:val="26"/>
        </w:rPr>
        <w:t>)</w:t>
      </w:r>
      <w:r w:rsidR="00B427BD">
        <w:rPr>
          <w:sz w:val="26"/>
          <w:szCs w:val="26"/>
        </w:rPr>
        <w:t xml:space="preserve"> requesting public comment</w:t>
      </w:r>
      <w:r w:rsidR="00AD525C">
        <w:rPr>
          <w:sz w:val="26"/>
          <w:szCs w:val="26"/>
        </w:rPr>
        <w:t>.</w:t>
      </w:r>
      <w:r w:rsidR="0008184B">
        <w:rPr>
          <w:sz w:val="26"/>
          <w:szCs w:val="26"/>
        </w:rPr>
        <w:t xml:space="preserve">  The Commission received no comments.</w:t>
      </w:r>
    </w:p>
    <w:p w:rsidR="008B2BB6" w:rsidP="00BB6095" w14:paraId="77DD54F8" w14:textId="77777777">
      <w:pPr>
        <w:rPr>
          <w:sz w:val="26"/>
          <w:szCs w:val="26"/>
        </w:rPr>
      </w:pPr>
    </w:p>
    <w:p w:rsidR="008B2BB6" w:rsidP="00BB6095" w14:paraId="20A95B79" w14:textId="305EA32F">
      <w:pPr>
        <w:rPr>
          <w:sz w:val="26"/>
          <w:szCs w:val="26"/>
        </w:rPr>
      </w:pPr>
      <w:r>
        <w:rPr>
          <w:sz w:val="26"/>
          <w:szCs w:val="26"/>
        </w:rPr>
        <w:t>The Commission also publish</w:t>
      </w:r>
      <w:r w:rsidR="00340D85">
        <w:rPr>
          <w:sz w:val="26"/>
          <w:szCs w:val="26"/>
        </w:rPr>
        <w:t>ed</w:t>
      </w:r>
      <w:r>
        <w:rPr>
          <w:sz w:val="26"/>
          <w:szCs w:val="26"/>
        </w:rPr>
        <w:t xml:space="preserve"> a 30-day notice </w:t>
      </w:r>
      <w:r w:rsidR="00340D85">
        <w:rPr>
          <w:sz w:val="26"/>
          <w:szCs w:val="26"/>
        </w:rPr>
        <w:t xml:space="preserve">(88 FR </w:t>
      </w:r>
      <w:r w:rsidRPr="00340D85" w:rsidR="00340D85">
        <w:rPr>
          <w:sz w:val="26"/>
          <w:szCs w:val="26"/>
        </w:rPr>
        <w:t>33139</w:t>
      </w:r>
      <w:r w:rsidR="00340D85">
        <w:rPr>
          <w:sz w:val="26"/>
          <w:szCs w:val="26"/>
        </w:rPr>
        <w:t xml:space="preserve">, 5/23/2023) </w:t>
      </w:r>
      <w:r>
        <w:rPr>
          <w:sz w:val="26"/>
          <w:szCs w:val="26"/>
        </w:rPr>
        <w:t>in the Federal Register for public comment</w:t>
      </w:r>
      <w:r w:rsidR="00B427BD">
        <w:rPr>
          <w:sz w:val="26"/>
          <w:szCs w:val="26"/>
        </w:rPr>
        <w:t xml:space="preserve"> and will submit the materials to OMB for review</w:t>
      </w:r>
      <w:r>
        <w:rPr>
          <w:sz w:val="26"/>
          <w:szCs w:val="26"/>
        </w:rPr>
        <w:t>.</w:t>
      </w:r>
    </w:p>
    <w:p w:rsidR="00BB6095" w:rsidRPr="00BB6095" w:rsidP="00BB6095" w14:paraId="489CDA9E" w14:textId="0C93A9DD">
      <w:pPr>
        <w:pStyle w:val="FERCparanumber"/>
        <w:numPr>
          <w:ilvl w:val="0"/>
          <w:numId w:val="0"/>
        </w:numPr>
        <w:rPr>
          <w:sz w:val="24"/>
        </w:rPr>
      </w:pPr>
    </w:p>
    <w:p w:rsidR="009D6B6D" w:rsidRPr="00F405D1" w:rsidP="001D2EC1" w14:paraId="447BC11B" w14:textId="77777777">
      <w:pPr>
        <w:pStyle w:val="FERCparanumber"/>
        <w:numPr>
          <w:ilvl w:val="0"/>
          <w:numId w:val="7"/>
        </w:numPr>
        <w:rPr>
          <w:szCs w:val="26"/>
        </w:rPr>
      </w:pPr>
      <w:r w:rsidRPr="00F405D1">
        <w:rPr>
          <w:b/>
          <w:szCs w:val="26"/>
        </w:rPr>
        <w:t>EXPLAIN ANY PAYMENT OR GIFTS TO RESPONDENTS</w:t>
      </w:r>
    </w:p>
    <w:p w:rsidR="00BB6095" w:rsidRPr="00F405D1" w:rsidP="00BB6095" w14:paraId="5AABFD40" w14:textId="77777777">
      <w:pPr>
        <w:pStyle w:val="FERCparanumber"/>
        <w:numPr>
          <w:ilvl w:val="0"/>
          <w:numId w:val="0"/>
        </w:numPr>
        <w:rPr>
          <w:b/>
          <w:szCs w:val="26"/>
        </w:rPr>
      </w:pPr>
    </w:p>
    <w:p w:rsidR="00BB6095" w:rsidRPr="00F405D1" w:rsidP="00BB6095" w14:paraId="131F754B" w14:textId="77777777">
      <w:pPr>
        <w:widowControl/>
        <w:rPr>
          <w:sz w:val="26"/>
          <w:szCs w:val="26"/>
        </w:rPr>
      </w:pPr>
      <w:r w:rsidRPr="00F405D1">
        <w:rPr>
          <w:sz w:val="26"/>
          <w:szCs w:val="26"/>
        </w:rPr>
        <w:t xml:space="preserve">There are no payments or gifts to respondents </w:t>
      </w:r>
      <w:r w:rsidRPr="00F405D1" w:rsidR="00FF6950">
        <w:rPr>
          <w:sz w:val="26"/>
          <w:szCs w:val="26"/>
        </w:rPr>
        <w:t xml:space="preserve">of </w:t>
      </w:r>
      <w:r w:rsidRPr="00F405D1">
        <w:rPr>
          <w:sz w:val="26"/>
          <w:szCs w:val="26"/>
        </w:rPr>
        <w:t>this collection.</w:t>
      </w:r>
    </w:p>
    <w:p w:rsidR="00BB6095" w:rsidRPr="00F405D1" w:rsidP="00BB6095" w14:paraId="06F66A3F" w14:textId="77777777">
      <w:pPr>
        <w:pStyle w:val="FERCparanumber"/>
        <w:numPr>
          <w:ilvl w:val="0"/>
          <w:numId w:val="0"/>
        </w:numPr>
        <w:rPr>
          <w:szCs w:val="26"/>
        </w:rPr>
      </w:pPr>
    </w:p>
    <w:p w:rsidR="009D6B6D" w:rsidRPr="00BF2493" w:rsidP="4296BF2D" w14:paraId="3656AFA8" w14:textId="77777777">
      <w:pPr>
        <w:pStyle w:val="FERCparanumber"/>
        <w:numPr>
          <w:ilvl w:val="0"/>
          <w:numId w:val="7"/>
        </w:numPr>
      </w:pPr>
      <w:r w:rsidRPr="00BF2493">
        <w:rPr>
          <w:b/>
        </w:rPr>
        <w:t>DESCRIBE ANY ASSURANCE OF CONFIDENTIALITY PROVIDED TO RESPONDENTS</w:t>
      </w:r>
    </w:p>
    <w:p w:rsidR="00BB6095" w:rsidRPr="00BF2493" w:rsidP="4296BF2D" w14:paraId="369D7F6C" w14:textId="77777777">
      <w:pPr>
        <w:pStyle w:val="FERCparanumber"/>
        <w:numPr>
          <w:ilvl w:val="0"/>
          <w:numId w:val="0"/>
        </w:numPr>
        <w:rPr>
          <w:b/>
        </w:rPr>
      </w:pPr>
    </w:p>
    <w:p w:rsidR="006A19F2" w:rsidRPr="00A501C5" w:rsidP="4296BF2D" w14:paraId="532E1F56" w14:textId="38998778">
      <w:pPr>
        <w:rPr>
          <w:sz w:val="26"/>
          <w:szCs w:val="26"/>
        </w:rPr>
      </w:pPr>
      <w:r w:rsidRPr="00A501C5">
        <w:rPr>
          <w:sz w:val="26"/>
          <w:szCs w:val="26"/>
        </w:rPr>
        <w:t>With the exception</w:t>
      </w:r>
      <w:r w:rsidRPr="00A501C5" w:rsidR="000963A1">
        <w:rPr>
          <w:sz w:val="26"/>
          <w:szCs w:val="26"/>
        </w:rPr>
        <w:t>s</w:t>
      </w:r>
      <w:r w:rsidRPr="00A501C5">
        <w:rPr>
          <w:sz w:val="26"/>
          <w:szCs w:val="26"/>
        </w:rPr>
        <w:t xml:space="preserve"> indicated below, </w:t>
      </w:r>
      <w:r w:rsidRPr="00A501C5" w:rsidR="000963A1">
        <w:rPr>
          <w:sz w:val="26"/>
          <w:szCs w:val="26"/>
        </w:rPr>
        <w:t>t</w:t>
      </w:r>
      <w:r w:rsidRPr="00A501C5">
        <w:rPr>
          <w:sz w:val="26"/>
          <w:szCs w:val="26"/>
        </w:rPr>
        <w:t>he Commission does not consider</w:t>
      </w:r>
      <w:r w:rsidRPr="00A501C5" w:rsidR="00166ED8">
        <w:rPr>
          <w:sz w:val="26"/>
          <w:szCs w:val="26"/>
        </w:rPr>
        <w:t xml:space="preserve"> </w:t>
      </w:r>
      <w:r w:rsidRPr="00A501C5" w:rsidR="5D569C71">
        <w:rPr>
          <w:sz w:val="26"/>
          <w:szCs w:val="26"/>
        </w:rPr>
        <w:t xml:space="preserve">the </w:t>
      </w:r>
      <w:r w:rsidRPr="00A501C5" w:rsidR="00166ED8">
        <w:rPr>
          <w:sz w:val="26"/>
          <w:szCs w:val="26"/>
        </w:rPr>
        <w:t xml:space="preserve">FERC-1002 </w:t>
      </w:r>
      <w:r w:rsidRPr="00A501C5" w:rsidR="4C4A352C">
        <w:rPr>
          <w:sz w:val="26"/>
          <w:szCs w:val="26"/>
        </w:rPr>
        <w:t>information</w:t>
      </w:r>
      <w:r w:rsidRPr="00A501C5" w:rsidR="00EF62A0">
        <w:rPr>
          <w:sz w:val="26"/>
          <w:szCs w:val="26"/>
        </w:rPr>
        <w:t xml:space="preserve"> </w:t>
      </w:r>
      <w:r w:rsidRPr="00A501C5">
        <w:rPr>
          <w:sz w:val="26"/>
          <w:szCs w:val="26"/>
        </w:rPr>
        <w:t xml:space="preserve">to be confidential.  </w:t>
      </w:r>
      <w:r w:rsidR="00B25E89">
        <w:rPr>
          <w:sz w:val="26"/>
          <w:szCs w:val="26"/>
        </w:rPr>
        <w:t xml:space="preserve">In general, any </w:t>
      </w:r>
      <w:r w:rsidRPr="00A501C5">
        <w:rPr>
          <w:sz w:val="26"/>
          <w:szCs w:val="26"/>
        </w:rPr>
        <w:t>filer may request non-public treatment of privileged information</w:t>
      </w:r>
      <w:r w:rsidRPr="00A501C5" w:rsidR="00FF7CDA">
        <w:rPr>
          <w:sz w:val="26"/>
          <w:szCs w:val="26"/>
        </w:rPr>
        <w:t xml:space="preserve"> </w:t>
      </w:r>
      <w:r w:rsidRPr="00A501C5" w:rsidR="30601464">
        <w:rPr>
          <w:sz w:val="26"/>
          <w:szCs w:val="26"/>
        </w:rPr>
        <w:t xml:space="preserve">or Critical Energy/Electric Infrastructure Information [CEII] </w:t>
      </w:r>
      <w:r w:rsidRPr="00A501C5" w:rsidR="00FF7CDA">
        <w:rPr>
          <w:sz w:val="26"/>
          <w:szCs w:val="26"/>
        </w:rPr>
        <w:t xml:space="preserve">as discussed in 18 CFR </w:t>
      </w:r>
      <w:r w:rsidRPr="00A501C5" w:rsidR="00ED7C7A">
        <w:rPr>
          <w:sz w:val="26"/>
          <w:szCs w:val="26"/>
        </w:rPr>
        <w:t>388.112</w:t>
      </w:r>
      <w:r w:rsidRPr="00A501C5" w:rsidR="1ED0B276">
        <w:rPr>
          <w:sz w:val="26"/>
          <w:szCs w:val="26"/>
        </w:rPr>
        <w:t xml:space="preserve"> and 388.113</w:t>
      </w:r>
      <w:r w:rsidRPr="00A501C5" w:rsidR="00001E34">
        <w:rPr>
          <w:sz w:val="26"/>
          <w:szCs w:val="26"/>
        </w:rPr>
        <w:t>.</w:t>
      </w:r>
      <w:r w:rsidRPr="4296BF2D" w:rsidR="00536378">
        <w:rPr>
          <w:sz w:val="26"/>
          <w:szCs w:val="26"/>
        </w:rPr>
        <w:t xml:space="preserve"> </w:t>
      </w:r>
    </w:p>
    <w:p w:rsidR="00BB6095" w:rsidRPr="00F405D1" w:rsidP="00BB6095" w14:paraId="2B74FC90" w14:textId="77777777">
      <w:pPr>
        <w:pStyle w:val="FERCparanumber"/>
        <w:numPr>
          <w:ilvl w:val="0"/>
          <w:numId w:val="0"/>
        </w:numPr>
        <w:rPr>
          <w:szCs w:val="26"/>
        </w:rPr>
      </w:pPr>
    </w:p>
    <w:p w:rsidR="009D6B6D" w:rsidRPr="00F405D1" w:rsidP="001D2EC1" w14:paraId="4209DD61" w14:textId="77777777">
      <w:pPr>
        <w:pStyle w:val="FERCparanumber"/>
        <w:numPr>
          <w:ilvl w:val="0"/>
          <w:numId w:val="7"/>
        </w:numPr>
        <w:rPr>
          <w:szCs w:val="26"/>
        </w:rPr>
      </w:pPr>
      <w:r w:rsidRPr="00F405D1">
        <w:rPr>
          <w:b/>
          <w:szCs w:val="26"/>
        </w:rPr>
        <w:t>PROVIDE ADDITIONAL JUSTIFICATION FOR ANY QUESTIONS OF A SENSITIVE NATURE</w:t>
      </w:r>
      <w:r w:rsidRPr="00F405D1" w:rsidR="00860C58">
        <w:rPr>
          <w:b/>
          <w:szCs w:val="26"/>
        </w:rPr>
        <w:t>, SUCH AS SEXUAL BEHAVIOR AND ATTITUDES, RELIGIOUS BELIEFS, AND OTHER MATTERS THAT ARE COMMONLY CONSIDERED PRIVATE</w:t>
      </w:r>
    </w:p>
    <w:p w:rsidR="00BB6095" w:rsidRPr="00F405D1" w:rsidP="00BB6095" w14:paraId="0F7EAD81" w14:textId="77777777">
      <w:pPr>
        <w:pStyle w:val="FERCparanumber"/>
        <w:numPr>
          <w:ilvl w:val="0"/>
          <w:numId w:val="0"/>
        </w:numPr>
        <w:rPr>
          <w:b/>
          <w:szCs w:val="26"/>
        </w:rPr>
      </w:pPr>
    </w:p>
    <w:p w:rsidR="00BB6095" w:rsidRPr="00F405D1" w:rsidP="00BB6095" w14:paraId="09D2EA7C" w14:textId="77777777">
      <w:pPr>
        <w:widowControl/>
        <w:rPr>
          <w:b/>
          <w:sz w:val="26"/>
          <w:szCs w:val="26"/>
        </w:rPr>
      </w:pPr>
      <w:r w:rsidRPr="00F405D1">
        <w:rPr>
          <w:sz w:val="26"/>
          <w:szCs w:val="26"/>
        </w:rPr>
        <w:t xml:space="preserve">There are no questions of a sensitive nature associated with the reporting requirements.  </w:t>
      </w:r>
    </w:p>
    <w:p w:rsidR="00BB6095" w:rsidRPr="00F405D1" w:rsidP="00BB6095" w14:paraId="7B7A487F" w14:textId="77777777">
      <w:pPr>
        <w:pStyle w:val="FERCparanumber"/>
        <w:numPr>
          <w:ilvl w:val="0"/>
          <w:numId w:val="0"/>
        </w:numPr>
        <w:rPr>
          <w:szCs w:val="26"/>
        </w:rPr>
      </w:pPr>
    </w:p>
    <w:p w:rsidR="00BB6095" w:rsidRPr="003C0C3E" w:rsidP="001D2EC1" w14:paraId="1D3C2BD9" w14:textId="0CE8CB7C">
      <w:pPr>
        <w:pStyle w:val="FERCparanumber"/>
        <w:numPr>
          <w:ilvl w:val="0"/>
          <w:numId w:val="7"/>
        </w:numPr>
        <w:rPr>
          <w:szCs w:val="26"/>
        </w:rPr>
      </w:pPr>
      <w:r w:rsidRPr="00F405D1">
        <w:rPr>
          <w:b/>
          <w:szCs w:val="26"/>
        </w:rPr>
        <w:t>ESTIMATED BURDEN COLLECTION OF INFORMATION</w:t>
      </w:r>
    </w:p>
    <w:p w:rsidR="003058EF" w:rsidRPr="00F405D1" w:rsidP="003C0C3E" w14:paraId="59D302E0" w14:textId="77777777">
      <w:pPr>
        <w:pStyle w:val="FERCparanumber"/>
        <w:numPr>
          <w:ilvl w:val="0"/>
          <w:numId w:val="0"/>
        </w:numPr>
        <w:ind w:left="720"/>
        <w:rPr>
          <w:szCs w:val="26"/>
        </w:rPr>
      </w:pPr>
    </w:p>
    <w:p w:rsidR="00C70A5D" w:rsidP="00A84F2F" w14:paraId="2B14B315" w14:textId="4D9E17A9">
      <w:pPr>
        <w:rPr>
          <w:sz w:val="26"/>
          <w:szCs w:val="26"/>
        </w:rPr>
      </w:pPr>
      <w:r w:rsidRPr="00F405D1">
        <w:rPr>
          <w:sz w:val="26"/>
          <w:szCs w:val="26"/>
        </w:rPr>
        <w:t>The Commission estimates the annual burden</w:t>
      </w:r>
      <w:r>
        <w:rPr>
          <w:rStyle w:val="FootnoteReference"/>
          <w:sz w:val="26"/>
          <w:szCs w:val="26"/>
          <w:vertAlign w:val="superscript"/>
        </w:rPr>
        <w:footnoteReference w:id="6"/>
      </w:r>
      <w:r w:rsidRPr="00F405D1">
        <w:rPr>
          <w:sz w:val="26"/>
          <w:szCs w:val="26"/>
          <w:vertAlign w:val="superscript"/>
        </w:rPr>
        <w:t xml:space="preserve"> </w:t>
      </w:r>
      <w:r w:rsidRPr="00822B26">
        <w:rPr>
          <w:sz w:val="26"/>
          <w:szCs w:val="26"/>
        </w:rPr>
        <w:t>and cost</w:t>
      </w:r>
      <w:r>
        <w:rPr>
          <w:rStyle w:val="FootnoteReference"/>
          <w:sz w:val="26"/>
          <w:szCs w:val="26"/>
          <w:vertAlign w:val="superscript"/>
        </w:rPr>
        <w:footnoteReference w:id="7"/>
      </w:r>
      <w:r w:rsidRPr="00822B26">
        <w:rPr>
          <w:sz w:val="26"/>
          <w:szCs w:val="26"/>
          <w:vertAlign w:val="superscript"/>
        </w:rPr>
        <w:t xml:space="preserve"> </w:t>
      </w:r>
      <w:r w:rsidRPr="00822B26">
        <w:rPr>
          <w:sz w:val="26"/>
          <w:szCs w:val="26"/>
        </w:rPr>
        <w:t>for</w:t>
      </w:r>
      <w:r w:rsidRPr="00F405D1">
        <w:rPr>
          <w:sz w:val="26"/>
          <w:szCs w:val="26"/>
        </w:rPr>
        <w:t xml:space="preserve"> th</w:t>
      </w:r>
      <w:r w:rsidR="00B800B4">
        <w:rPr>
          <w:sz w:val="26"/>
          <w:szCs w:val="26"/>
        </w:rPr>
        <w:t>e</w:t>
      </w:r>
      <w:r w:rsidRPr="00F405D1">
        <w:rPr>
          <w:sz w:val="26"/>
          <w:szCs w:val="26"/>
        </w:rPr>
        <w:t xml:space="preserve"> </w:t>
      </w:r>
      <w:r w:rsidR="00B30493">
        <w:rPr>
          <w:sz w:val="26"/>
          <w:szCs w:val="26"/>
        </w:rPr>
        <w:t>FERC-1002 survey</w:t>
      </w:r>
      <w:r w:rsidRPr="00F405D1">
        <w:rPr>
          <w:sz w:val="26"/>
          <w:szCs w:val="26"/>
        </w:rPr>
        <w:t xml:space="preserve"> as</w:t>
      </w:r>
      <w:r w:rsidR="00822B26">
        <w:rPr>
          <w:sz w:val="26"/>
          <w:szCs w:val="26"/>
        </w:rPr>
        <w:t xml:space="preserve"> </w:t>
      </w:r>
      <w:r w:rsidR="00822B26">
        <w:rPr>
          <w:sz w:val="26"/>
          <w:szCs w:val="26"/>
        </w:rPr>
        <w:t>follows.</w:t>
      </w:r>
    </w:p>
    <w:p w:rsidR="0024560C" w:rsidRPr="00F405D1" w:rsidP="00A84F2F" w14:paraId="02C5A3DF" w14:textId="77777777">
      <w:pPr>
        <w:rPr>
          <w:sz w:val="26"/>
          <w:szCs w:val="26"/>
        </w:rPr>
      </w:pPr>
    </w:p>
    <w:tbl>
      <w:tblPr>
        <w:tblW w:w="9360" w:type="dxa"/>
        <w:tblLook w:val="04A0"/>
      </w:tblPr>
      <w:tblGrid>
        <w:gridCol w:w="2282"/>
        <w:gridCol w:w="1521"/>
        <w:gridCol w:w="1503"/>
        <w:gridCol w:w="1325"/>
        <w:gridCol w:w="1177"/>
        <w:gridCol w:w="1552"/>
      </w:tblGrid>
      <w:tr w14:paraId="6D50971C" w14:textId="77777777" w:rsidTr="00130DCC">
        <w:tblPrEx>
          <w:tblW w:w="9360" w:type="dxa"/>
          <w:tblLook w:val="04A0"/>
        </w:tblPrEx>
        <w:trPr>
          <w:trHeight w:val="350"/>
        </w:trPr>
        <w:tc>
          <w:tcPr>
            <w:tcW w:w="9360" w:type="dxa"/>
            <w:gridSpan w:val="6"/>
            <w:noWrap/>
            <w:vAlign w:val="bottom"/>
            <w:hideMark/>
          </w:tcPr>
          <w:p w:rsidR="008C6A2E" w:rsidRPr="008C6A2E" w:rsidP="008C6A2E" w14:paraId="4A3EFBD9" w14:textId="44FE91C0">
            <w:pPr>
              <w:widowControl/>
              <w:autoSpaceDE/>
              <w:autoSpaceDN/>
              <w:adjustRightInd/>
              <w:spacing w:line="256" w:lineRule="auto"/>
              <w:jc w:val="center"/>
              <w:rPr>
                <w:b/>
                <w:bCs/>
                <w:color w:val="000000"/>
                <w:sz w:val="26"/>
                <w:szCs w:val="26"/>
              </w:rPr>
            </w:pPr>
            <w:r w:rsidRPr="008C6A2E">
              <w:rPr>
                <w:b/>
                <w:bCs/>
                <w:color w:val="000000"/>
                <w:sz w:val="26"/>
                <w:szCs w:val="26"/>
              </w:rPr>
              <w:t>Estimated Annual Averages for Proposed FERC-1002</w:t>
            </w:r>
          </w:p>
        </w:tc>
      </w:tr>
      <w:tr w14:paraId="67ABBFAA" w14:textId="77777777" w:rsidTr="00130DCC">
        <w:tblPrEx>
          <w:tblW w:w="9360" w:type="dxa"/>
          <w:tblLook w:val="04A0"/>
        </w:tblPrEx>
        <w:trPr>
          <w:trHeight w:val="310"/>
        </w:trPr>
        <w:tc>
          <w:tcPr>
            <w:tcW w:w="9360" w:type="dxa"/>
            <w:gridSpan w:val="6"/>
            <w:noWrap/>
            <w:vAlign w:val="bottom"/>
            <w:hideMark/>
          </w:tcPr>
          <w:p w:rsidR="008C6A2E" w:rsidRPr="008C6A2E" w:rsidP="008C6A2E" w14:paraId="027F45F7" w14:textId="77777777">
            <w:pPr>
              <w:widowControl/>
              <w:autoSpaceDE/>
              <w:autoSpaceDN/>
              <w:adjustRightInd/>
              <w:spacing w:line="256" w:lineRule="auto"/>
              <w:jc w:val="center"/>
              <w:rPr>
                <w:b/>
                <w:bCs/>
                <w:color w:val="000000"/>
              </w:rPr>
            </w:pPr>
            <w:r w:rsidRPr="008C6A2E">
              <w:rPr>
                <w:b/>
                <w:bCs/>
                <w:color w:val="000000"/>
              </w:rPr>
              <w:t>Estimated Annual Burden Hours for FERC-1002</w:t>
            </w:r>
          </w:p>
        </w:tc>
      </w:tr>
      <w:tr w14:paraId="5AF72FCC" w14:textId="77777777" w:rsidTr="00DC69BE">
        <w:tblPrEx>
          <w:tblW w:w="9360" w:type="dxa"/>
          <w:tblLook w:val="04A0"/>
        </w:tblPrEx>
        <w:trPr>
          <w:trHeight w:val="1210"/>
        </w:trPr>
        <w:tc>
          <w:tcPr>
            <w:tcW w:w="2284" w:type="dxa"/>
            <w:tcBorders>
              <w:top w:val="single" w:sz="4" w:space="0" w:color="auto"/>
              <w:left w:val="single" w:sz="4" w:space="0" w:color="auto"/>
              <w:bottom w:val="single" w:sz="4" w:space="0" w:color="auto"/>
              <w:right w:val="single" w:sz="4" w:space="0" w:color="auto"/>
            </w:tcBorders>
            <w:noWrap/>
            <w:vAlign w:val="bottom"/>
            <w:hideMark/>
          </w:tcPr>
          <w:p w:rsidR="008C6A2E" w:rsidRPr="008C6A2E" w:rsidP="008C6A2E" w14:paraId="42E4B9AC" w14:textId="393ECA9F">
            <w:pPr>
              <w:widowControl/>
              <w:autoSpaceDE/>
              <w:autoSpaceDN/>
              <w:adjustRightInd/>
              <w:spacing w:line="256" w:lineRule="auto"/>
              <w:rPr>
                <w:b/>
                <w:bCs/>
                <w:color w:val="000000"/>
              </w:rPr>
            </w:pPr>
            <w:r w:rsidRPr="008C6A2E">
              <w:rPr>
                <w:b/>
                <w:bCs/>
                <w:color w:val="000000"/>
              </w:rPr>
              <w:t> </w:t>
            </w:r>
            <w:r w:rsidRPr="00E64949" w:rsidR="00E64949">
              <w:rPr>
                <w:b/>
                <w:bCs/>
                <w:color w:val="000000"/>
              </w:rPr>
              <w:t>Engagement/Filer Type</w:t>
            </w:r>
          </w:p>
        </w:tc>
        <w:tc>
          <w:tcPr>
            <w:tcW w:w="1513" w:type="dxa"/>
            <w:tcBorders>
              <w:top w:val="single" w:sz="4" w:space="0" w:color="auto"/>
              <w:left w:val="nil"/>
              <w:bottom w:val="nil"/>
              <w:right w:val="single" w:sz="4" w:space="0" w:color="auto"/>
            </w:tcBorders>
            <w:vAlign w:val="bottom"/>
            <w:hideMark/>
          </w:tcPr>
          <w:p w:rsidR="008C6A2E" w:rsidRPr="008C6A2E" w:rsidP="008C6A2E" w14:paraId="5BB3CEF4" w14:textId="0D58A3E3">
            <w:pPr>
              <w:widowControl/>
              <w:autoSpaceDE/>
              <w:autoSpaceDN/>
              <w:adjustRightInd/>
              <w:spacing w:line="256" w:lineRule="auto"/>
              <w:jc w:val="center"/>
              <w:rPr>
                <w:b/>
                <w:bCs/>
                <w:color w:val="000000"/>
              </w:rPr>
            </w:pPr>
            <w:r>
              <w:rPr>
                <w:b/>
                <w:bCs/>
                <w:color w:val="000000"/>
              </w:rPr>
              <w:t xml:space="preserve">No. </w:t>
            </w:r>
            <w:r w:rsidRPr="008C6A2E">
              <w:rPr>
                <w:b/>
                <w:bCs/>
                <w:color w:val="000000"/>
              </w:rPr>
              <w:t xml:space="preserve">of Respondents </w:t>
            </w:r>
          </w:p>
        </w:tc>
        <w:tc>
          <w:tcPr>
            <w:tcW w:w="1505" w:type="dxa"/>
            <w:tcBorders>
              <w:top w:val="single" w:sz="4" w:space="0" w:color="auto"/>
              <w:left w:val="single" w:sz="4" w:space="0" w:color="auto"/>
              <w:bottom w:val="nil"/>
              <w:right w:val="single" w:sz="4" w:space="0" w:color="auto"/>
            </w:tcBorders>
            <w:vAlign w:val="bottom"/>
            <w:hideMark/>
          </w:tcPr>
          <w:p w:rsidR="008C6A2E" w:rsidRPr="008C6A2E" w:rsidP="008C6A2E" w14:paraId="1C174DD2" w14:textId="4673D5C3">
            <w:pPr>
              <w:widowControl/>
              <w:autoSpaceDE/>
              <w:autoSpaceDN/>
              <w:adjustRightInd/>
              <w:spacing w:line="256" w:lineRule="auto"/>
              <w:jc w:val="center"/>
              <w:rPr>
                <w:b/>
                <w:bCs/>
                <w:color w:val="000000"/>
              </w:rPr>
            </w:pPr>
            <w:r>
              <w:rPr>
                <w:b/>
                <w:bCs/>
                <w:color w:val="000000"/>
              </w:rPr>
              <w:t xml:space="preserve">No. </w:t>
            </w:r>
            <w:r w:rsidRPr="008C6A2E">
              <w:rPr>
                <w:b/>
                <w:bCs/>
                <w:color w:val="000000"/>
              </w:rPr>
              <w:t xml:space="preserve">of Responses per Respondent </w:t>
            </w:r>
          </w:p>
        </w:tc>
        <w:tc>
          <w:tcPr>
            <w:tcW w:w="1326" w:type="dxa"/>
            <w:tcBorders>
              <w:top w:val="single" w:sz="4" w:space="0" w:color="auto"/>
              <w:left w:val="nil"/>
              <w:bottom w:val="nil"/>
              <w:right w:val="single" w:sz="4" w:space="0" w:color="auto"/>
            </w:tcBorders>
            <w:vAlign w:val="bottom"/>
            <w:hideMark/>
          </w:tcPr>
          <w:p w:rsidR="008C6A2E" w:rsidRPr="008C6A2E" w:rsidP="008C6A2E" w14:paraId="45112956" w14:textId="535DB4BE">
            <w:pPr>
              <w:widowControl/>
              <w:autoSpaceDE/>
              <w:autoSpaceDN/>
              <w:adjustRightInd/>
              <w:spacing w:line="256" w:lineRule="auto"/>
              <w:jc w:val="center"/>
              <w:rPr>
                <w:b/>
                <w:bCs/>
                <w:color w:val="000000"/>
              </w:rPr>
            </w:pPr>
            <w:r w:rsidRPr="008C6A2E">
              <w:rPr>
                <w:b/>
                <w:bCs/>
                <w:color w:val="000000"/>
              </w:rPr>
              <w:t xml:space="preserve">Total </w:t>
            </w:r>
            <w:r w:rsidR="005B25F4">
              <w:rPr>
                <w:b/>
                <w:bCs/>
                <w:color w:val="000000"/>
              </w:rPr>
              <w:t xml:space="preserve">No. </w:t>
            </w:r>
            <w:r w:rsidRPr="008C6A2E">
              <w:rPr>
                <w:b/>
                <w:bCs/>
                <w:color w:val="000000"/>
              </w:rPr>
              <w:t>of Responses</w:t>
            </w:r>
          </w:p>
        </w:tc>
        <w:tc>
          <w:tcPr>
            <w:tcW w:w="1178" w:type="dxa"/>
            <w:tcBorders>
              <w:top w:val="single" w:sz="4" w:space="0" w:color="auto"/>
              <w:left w:val="nil"/>
              <w:bottom w:val="nil"/>
              <w:right w:val="single" w:sz="4" w:space="0" w:color="auto"/>
            </w:tcBorders>
            <w:vAlign w:val="bottom"/>
            <w:hideMark/>
          </w:tcPr>
          <w:p w:rsidR="008C6A2E" w:rsidRPr="008C6A2E" w:rsidP="008C6A2E" w14:paraId="3E6B9CFD" w14:textId="77777777">
            <w:pPr>
              <w:widowControl/>
              <w:autoSpaceDE/>
              <w:autoSpaceDN/>
              <w:adjustRightInd/>
              <w:spacing w:line="256" w:lineRule="auto"/>
              <w:jc w:val="center"/>
              <w:rPr>
                <w:b/>
                <w:bCs/>
                <w:color w:val="000000"/>
              </w:rPr>
            </w:pPr>
            <w:r w:rsidRPr="008C6A2E">
              <w:rPr>
                <w:b/>
                <w:bCs/>
                <w:color w:val="000000"/>
              </w:rPr>
              <w:t>Average Burden Hours per Response</w:t>
            </w:r>
          </w:p>
        </w:tc>
        <w:tc>
          <w:tcPr>
            <w:tcW w:w="1554" w:type="dxa"/>
            <w:tcBorders>
              <w:top w:val="single" w:sz="4" w:space="0" w:color="auto"/>
              <w:left w:val="nil"/>
              <w:bottom w:val="nil"/>
              <w:right w:val="single" w:sz="4" w:space="0" w:color="auto"/>
            </w:tcBorders>
            <w:vAlign w:val="bottom"/>
            <w:hideMark/>
          </w:tcPr>
          <w:p w:rsidR="008C6A2E" w:rsidRPr="008C6A2E" w:rsidP="008C6A2E" w14:paraId="41725A18" w14:textId="77777777">
            <w:pPr>
              <w:widowControl/>
              <w:autoSpaceDE/>
              <w:autoSpaceDN/>
              <w:adjustRightInd/>
              <w:spacing w:line="256" w:lineRule="auto"/>
              <w:jc w:val="center"/>
              <w:rPr>
                <w:b/>
                <w:bCs/>
                <w:color w:val="000000"/>
              </w:rPr>
            </w:pPr>
            <w:r w:rsidRPr="008C6A2E">
              <w:rPr>
                <w:b/>
                <w:bCs/>
                <w:color w:val="000000"/>
              </w:rPr>
              <w:t>Total Annual Burden Hours</w:t>
            </w:r>
          </w:p>
        </w:tc>
      </w:tr>
      <w:tr w14:paraId="2C76EA5D" w14:textId="77777777" w:rsidTr="00DC69BE">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noWrap/>
            <w:vAlign w:val="bottom"/>
            <w:hideMark/>
          </w:tcPr>
          <w:p w:rsidR="008C6A2E" w:rsidRPr="008C6A2E" w:rsidP="008C6A2E" w14:paraId="57F18039" w14:textId="638F0707">
            <w:pPr>
              <w:widowControl/>
              <w:autoSpaceDE/>
              <w:autoSpaceDN/>
              <w:adjustRightInd/>
              <w:spacing w:line="256" w:lineRule="auto"/>
              <w:rPr>
                <w:b/>
                <w:bCs/>
                <w:color w:val="000000"/>
              </w:rPr>
            </w:pPr>
          </w:p>
        </w:tc>
        <w:tc>
          <w:tcPr>
            <w:tcW w:w="1513" w:type="dxa"/>
            <w:tcBorders>
              <w:top w:val="nil"/>
              <w:left w:val="single" w:sz="4" w:space="0" w:color="auto"/>
              <w:bottom w:val="single" w:sz="4" w:space="0" w:color="auto"/>
              <w:right w:val="single" w:sz="4" w:space="0" w:color="auto"/>
            </w:tcBorders>
            <w:vAlign w:val="bottom"/>
            <w:hideMark/>
          </w:tcPr>
          <w:p w:rsidR="008C6A2E" w:rsidRPr="008C6A2E" w:rsidP="008C6A2E" w14:paraId="66D0DFC0" w14:textId="77777777">
            <w:pPr>
              <w:widowControl/>
              <w:autoSpaceDE/>
              <w:autoSpaceDN/>
              <w:adjustRightInd/>
              <w:spacing w:line="256" w:lineRule="auto"/>
              <w:jc w:val="center"/>
              <w:rPr>
                <w:b/>
                <w:bCs/>
                <w:color w:val="000000"/>
              </w:rPr>
            </w:pPr>
            <w:r w:rsidRPr="008C6A2E">
              <w:rPr>
                <w:b/>
                <w:bCs/>
                <w:color w:val="000000"/>
              </w:rPr>
              <w:t>(1)</w:t>
            </w:r>
          </w:p>
        </w:tc>
        <w:tc>
          <w:tcPr>
            <w:tcW w:w="1505" w:type="dxa"/>
            <w:tcBorders>
              <w:top w:val="nil"/>
              <w:left w:val="single" w:sz="4" w:space="0" w:color="auto"/>
              <w:bottom w:val="single" w:sz="4" w:space="0" w:color="auto"/>
              <w:right w:val="single" w:sz="4" w:space="0" w:color="auto"/>
            </w:tcBorders>
            <w:vAlign w:val="bottom"/>
            <w:hideMark/>
          </w:tcPr>
          <w:p w:rsidR="008C6A2E" w:rsidRPr="008C6A2E" w:rsidP="008C6A2E" w14:paraId="7624A8CE" w14:textId="77777777">
            <w:pPr>
              <w:widowControl/>
              <w:autoSpaceDE/>
              <w:autoSpaceDN/>
              <w:adjustRightInd/>
              <w:spacing w:line="256" w:lineRule="auto"/>
              <w:jc w:val="center"/>
              <w:rPr>
                <w:b/>
                <w:bCs/>
                <w:color w:val="000000"/>
              </w:rPr>
            </w:pPr>
            <w:r w:rsidRPr="008C6A2E">
              <w:rPr>
                <w:b/>
                <w:bCs/>
                <w:color w:val="000000"/>
              </w:rPr>
              <w:t>(2)</w:t>
            </w:r>
          </w:p>
        </w:tc>
        <w:tc>
          <w:tcPr>
            <w:tcW w:w="1326" w:type="dxa"/>
            <w:tcBorders>
              <w:top w:val="nil"/>
              <w:left w:val="single" w:sz="4" w:space="0" w:color="auto"/>
              <w:bottom w:val="single" w:sz="4" w:space="0" w:color="auto"/>
              <w:right w:val="single" w:sz="4" w:space="0" w:color="auto"/>
            </w:tcBorders>
            <w:vAlign w:val="bottom"/>
            <w:hideMark/>
          </w:tcPr>
          <w:p w:rsidR="008C6A2E" w:rsidRPr="008C6A2E" w:rsidP="008C6A2E" w14:paraId="776CE1CA" w14:textId="0A2DC727">
            <w:pPr>
              <w:widowControl/>
              <w:autoSpaceDE/>
              <w:autoSpaceDN/>
              <w:adjustRightInd/>
              <w:spacing w:line="256" w:lineRule="auto"/>
              <w:jc w:val="center"/>
              <w:rPr>
                <w:b/>
                <w:bCs/>
                <w:color w:val="000000"/>
              </w:rPr>
            </w:pPr>
            <w:r w:rsidRPr="36CC7E2E">
              <w:rPr>
                <w:b/>
                <w:bCs/>
                <w:color w:val="000000" w:themeColor="text1"/>
              </w:rPr>
              <w:t>(1) x (2)</w:t>
            </w:r>
            <w:r w:rsidRPr="36CC7E2E" w:rsidR="56F0F3D3">
              <w:rPr>
                <w:b/>
                <w:bCs/>
                <w:color w:val="000000" w:themeColor="text1"/>
              </w:rPr>
              <w:t xml:space="preserve"> </w:t>
            </w:r>
            <w:r w:rsidRPr="36CC7E2E">
              <w:rPr>
                <w:b/>
                <w:bCs/>
                <w:color w:val="000000" w:themeColor="text1"/>
              </w:rPr>
              <w:t>=</w:t>
            </w:r>
            <w:r w:rsidR="00643348">
              <w:rPr>
                <w:b/>
                <w:bCs/>
                <w:color w:val="000000" w:themeColor="text1"/>
              </w:rPr>
              <w:t xml:space="preserve"> </w:t>
            </w:r>
            <w:r w:rsidRPr="36CC7E2E">
              <w:rPr>
                <w:b/>
                <w:bCs/>
                <w:color w:val="000000" w:themeColor="text1"/>
              </w:rPr>
              <w:t>(3)</w:t>
            </w:r>
          </w:p>
        </w:tc>
        <w:tc>
          <w:tcPr>
            <w:tcW w:w="1178" w:type="dxa"/>
            <w:tcBorders>
              <w:top w:val="nil"/>
              <w:left w:val="single" w:sz="4" w:space="0" w:color="auto"/>
              <w:bottom w:val="single" w:sz="4" w:space="0" w:color="auto"/>
              <w:right w:val="single" w:sz="4" w:space="0" w:color="auto"/>
            </w:tcBorders>
            <w:vAlign w:val="bottom"/>
            <w:hideMark/>
          </w:tcPr>
          <w:p w:rsidR="008C6A2E" w:rsidRPr="008C6A2E" w:rsidP="008C6A2E" w14:paraId="271F056F" w14:textId="77777777">
            <w:pPr>
              <w:widowControl/>
              <w:autoSpaceDE/>
              <w:autoSpaceDN/>
              <w:adjustRightInd/>
              <w:spacing w:line="256" w:lineRule="auto"/>
              <w:jc w:val="center"/>
              <w:rPr>
                <w:b/>
                <w:bCs/>
                <w:color w:val="000000"/>
              </w:rPr>
            </w:pPr>
            <w:r w:rsidRPr="008C6A2E">
              <w:rPr>
                <w:b/>
                <w:bCs/>
                <w:color w:val="000000"/>
              </w:rPr>
              <w:t>(4)</w:t>
            </w:r>
          </w:p>
        </w:tc>
        <w:tc>
          <w:tcPr>
            <w:tcW w:w="1554" w:type="dxa"/>
            <w:tcBorders>
              <w:top w:val="nil"/>
              <w:left w:val="nil"/>
              <w:bottom w:val="single" w:sz="4" w:space="0" w:color="auto"/>
              <w:right w:val="single" w:sz="4" w:space="0" w:color="auto"/>
            </w:tcBorders>
            <w:vAlign w:val="bottom"/>
            <w:hideMark/>
          </w:tcPr>
          <w:p w:rsidR="008C6A2E" w:rsidRPr="008C6A2E" w:rsidP="008C6A2E" w14:paraId="6C204152" w14:textId="77777777">
            <w:pPr>
              <w:widowControl/>
              <w:autoSpaceDE/>
              <w:autoSpaceDN/>
              <w:adjustRightInd/>
              <w:spacing w:line="256" w:lineRule="auto"/>
              <w:jc w:val="center"/>
              <w:rPr>
                <w:b/>
                <w:bCs/>
                <w:color w:val="000000"/>
              </w:rPr>
            </w:pPr>
            <w:r w:rsidRPr="008C6A2E">
              <w:rPr>
                <w:b/>
                <w:bCs/>
                <w:color w:val="000000"/>
              </w:rPr>
              <w:t>(3) x (4) = (5)</w:t>
            </w:r>
          </w:p>
        </w:tc>
      </w:tr>
      <w:tr w14:paraId="0FBAE7C9" w14:textId="77777777" w:rsidTr="00DC69BE">
        <w:tblPrEx>
          <w:tblW w:w="9360" w:type="dxa"/>
          <w:tblLook w:val="04A0"/>
        </w:tblPrEx>
        <w:trPr>
          <w:trHeight w:val="620"/>
        </w:trPr>
        <w:tc>
          <w:tcPr>
            <w:tcW w:w="2284" w:type="dxa"/>
            <w:tcBorders>
              <w:top w:val="nil"/>
              <w:left w:val="single" w:sz="4" w:space="0" w:color="auto"/>
              <w:bottom w:val="single" w:sz="4" w:space="0" w:color="auto"/>
              <w:right w:val="single" w:sz="4" w:space="0" w:color="auto"/>
            </w:tcBorders>
            <w:vAlign w:val="bottom"/>
            <w:hideMark/>
          </w:tcPr>
          <w:p w:rsidR="008C6A2E" w:rsidRPr="008C6A2E" w:rsidP="008C6A2E" w14:paraId="6909CA20" w14:textId="02188592">
            <w:pPr>
              <w:widowControl/>
              <w:autoSpaceDE/>
              <w:autoSpaceDN/>
              <w:adjustRightInd/>
              <w:spacing w:line="256" w:lineRule="auto"/>
              <w:rPr>
                <w:color w:val="000000"/>
              </w:rPr>
            </w:pPr>
            <w:r w:rsidRPr="34A9A49E">
              <w:rPr>
                <w:color w:val="000000" w:themeColor="text1"/>
              </w:rPr>
              <w:t xml:space="preserve">OEA </w:t>
            </w:r>
            <w:r w:rsidR="00B51869">
              <w:rPr>
                <w:color w:val="000000" w:themeColor="text1"/>
              </w:rPr>
              <w:t>Subscriber</w:t>
            </w:r>
          </w:p>
        </w:tc>
        <w:tc>
          <w:tcPr>
            <w:tcW w:w="1513"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379C0D62" w14:textId="3744CDD6">
            <w:pPr>
              <w:widowControl/>
              <w:autoSpaceDE/>
              <w:autoSpaceDN/>
              <w:adjustRightInd/>
              <w:spacing w:line="256" w:lineRule="auto"/>
              <w:jc w:val="right"/>
              <w:rPr>
                <w:color w:val="000000"/>
              </w:rPr>
            </w:pPr>
            <w:r w:rsidRPr="008C6A2E">
              <w:rPr>
                <w:color w:val="000000"/>
              </w:rPr>
              <w:t>2</w:t>
            </w:r>
            <w:r w:rsidR="00473D9B">
              <w:rPr>
                <w:color w:val="000000"/>
              </w:rPr>
              <w:t>,</w:t>
            </w:r>
            <w:r w:rsidRPr="008C6A2E">
              <w:rPr>
                <w:color w:val="000000"/>
              </w:rPr>
              <w:t>000</w:t>
            </w:r>
          </w:p>
        </w:tc>
        <w:tc>
          <w:tcPr>
            <w:tcW w:w="1505"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78BA47AF" w14:textId="77777777">
            <w:pPr>
              <w:widowControl/>
              <w:autoSpaceDE/>
              <w:autoSpaceDN/>
              <w:adjustRightInd/>
              <w:spacing w:line="256" w:lineRule="auto"/>
              <w:jc w:val="right"/>
              <w:rPr>
                <w:color w:val="000000"/>
              </w:rPr>
            </w:pPr>
            <w:r w:rsidRPr="008C6A2E">
              <w:rPr>
                <w:color w:val="000000"/>
              </w:rPr>
              <w:t>1</w:t>
            </w:r>
          </w:p>
        </w:tc>
        <w:tc>
          <w:tcPr>
            <w:tcW w:w="1326" w:type="dxa"/>
            <w:tcBorders>
              <w:top w:val="nil"/>
              <w:left w:val="nil"/>
              <w:bottom w:val="single" w:sz="4" w:space="0" w:color="auto"/>
              <w:right w:val="single" w:sz="4" w:space="0" w:color="auto"/>
            </w:tcBorders>
            <w:noWrap/>
            <w:vAlign w:val="bottom"/>
            <w:hideMark/>
          </w:tcPr>
          <w:p w:rsidR="008C6A2E" w:rsidRPr="008C6A2E" w:rsidP="008C6A2E" w14:paraId="1D5CF1AC" w14:textId="6A0CAE65">
            <w:pPr>
              <w:widowControl/>
              <w:autoSpaceDE/>
              <w:autoSpaceDN/>
              <w:adjustRightInd/>
              <w:spacing w:line="256" w:lineRule="auto"/>
              <w:jc w:val="right"/>
              <w:rPr>
                <w:color w:val="000000"/>
              </w:rPr>
            </w:pPr>
            <w:r w:rsidRPr="008C6A2E">
              <w:rPr>
                <w:color w:val="000000"/>
              </w:rPr>
              <w:t>2</w:t>
            </w:r>
            <w:r w:rsidR="00473D9B">
              <w:rPr>
                <w:color w:val="000000"/>
              </w:rPr>
              <w:t>,</w:t>
            </w:r>
            <w:r w:rsidRPr="008C6A2E">
              <w:rPr>
                <w:color w:val="000000"/>
              </w:rPr>
              <w:t>000</w:t>
            </w:r>
          </w:p>
        </w:tc>
        <w:tc>
          <w:tcPr>
            <w:tcW w:w="1178"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36CC7E2E" w14:paraId="11B018F2" w14:textId="7E7DA8AC">
            <w:pPr>
              <w:widowControl/>
              <w:spacing w:line="256" w:lineRule="auto"/>
              <w:jc w:val="right"/>
            </w:pPr>
            <w:r w:rsidRPr="36CC7E2E">
              <w:rPr>
                <w:color w:val="000000" w:themeColor="text1"/>
              </w:rPr>
              <w:t>0.083</w:t>
            </w:r>
          </w:p>
        </w:tc>
        <w:tc>
          <w:tcPr>
            <w:tcW w:w="1554" w:type="dxa"/>
            <w:tcBorders>
              <w:top w:val="nil"/>
              <w:left w:val="nil"/>
              <w:bottom w:val="single" w:sz="4" w:space="0" w:color="auto"/>
              <w:right w:val="single" w:sz="4" w:space="0" w:color="auto"/>
            </w:tcBorders>
            <w:noWrap/>
            <w:vAlign w:val="bottom"/>
            <w:hideMark/>
          </w:tcPr>
          <w:p w:rsidR="008C6A2E" w:rsidRPr="008C6A2E" w:rsidP="36CC7E2E" w14:paraId="2BB9BE01" w14:textId="4622EC99">
            <w:pPr>
              <w:widowControl/>
              <w:spacing w:line="256" w:lineRule="auto"/>
              <w:jc w:val="right"/>
            </w:pPr>
            <w:r w:rsidRPr="36CC7E2E">
              <w:rPr>
                <w:color w:val="000000" w:themeColor="text1"/>
              </w:rPr>
              <w:t>166</w:t>
            </w:r>
          </w:p>
        </w:tc>
      </w:tr>
      <w:tr w14:paraId="3E557CE4" w14:textId="77777777" w:rsidTr="00DC69BE">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vAlign w:val="bottom"/>
            <w:hideMark/>
          </w:tcPr>
          <w:p w:rsidR="008C6A2E" w:rsidRPr="008C6A2E" w:rsidP="008C6A2E" w14:paraId="105ABF12" w14:textId="78B407BC">
            <w:pPr>
              <w:widowControl/>
              <w:autoSpaceDE/>
              <w:autoSpaceDN/>
              <w:adjustRightInd/>
              <w:spacing w:line="256" w:lineRule="auto"/>
              <w:rPr>
                <w:color w:val="000000"/>
              </w:rPr>
            </w:pPr>
            <w:r w:rsidRPr="36CC7E2E">
              <w:rPr>
                <w:color w:val="000000" w:themeColor="text1"/>
              </w:rPr>
              <w:t xml:space="preserve">OPP </w:t>
            </w:r>
            <w:r w:rsidRPr="36CC7E2E" w:rsidR="00B51869">
              <w:rPr>
                <w:color w:val="000000" w:themeColor="text1"/>
              </w:rPr>
              <w:t>Subscriber</w:t>
            </w:r>
          </w:p>
        </w:tc>
        <w:tc>
          <w:tcPr>
            <w:tcW w:w="1513"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0460E019" w14:textId="77777777">
            <w:pPr>
              <w:widowControl/>
              <w:autoSpaceDE/>
              <w:autoSpaceDN/>
              <w:adjustRightInd/>
              <w:spacing w:line="256" w:lineRule="auto"/>
              <w:jc w:val="right"/>
              <w:rPr>
                <w:color w:val="000000"/>
              </w:rPr>
            </w:pPr>
            <w:r w:rsidRPr="008C6A2E">
              <w:rPr>
                <w:color w:val="000000"/>
              </w:rPr>
              <w:t>100</w:t>
            </w:r>
          </w:p>
        </w:tc>
        <w:tc>
          <w:tcPr>
            <w:tcW w:w="1505"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1381C84C" w14:textId="77777777">
            <w:pPr>
              <w:widowControl/>
              <w:autoSpaceDE/>
              <w:autoSpaceDN/>
              <w:adjustRightInd/>
              <w:spacing w:line="256" w:lineRule="auto"/>
              <w:jc w:val="right"/>
              <w:rPr>
                <w:color w:val="000000"/>
              </w:rPr>
            </w:pPr>
            <w:r w:rsidRPr="008C6A2E">
              <w:rPr>
                <w:color w:val="000000"/>
              </w:rPr>
              <w:t>1</w:t>
            </w:r>
          </w:p>
        </w:tc>
        <w:tc>
          <w:tcPr>
            <w:tcW w:w="1326" w:type="dxa"/>
            <w:tcBorders>
              <w:top w:val="nil"/>
              <w:left w:val="nil"/>
              <w:bottom w:val="single" w:sz="4" w:space="0" w:color="auto"/>
              <w:right w:val="single" w:sz="4" w:space="0" w:color="auto"/>
            </w:tcBorders>
            <w:noWrap/>
            <w:vAlign w:val="bottom"/>
            <w:hideMark/>
          </w:tcPr>
          <w:p w:rsidR="008C6A2E" w:rsidRPr="008C6A2E" w:rsidP="008C6A2E" w14:paraId="74EDBB56" w14:textId="77777777">
            <w:pPr>
              <w:widowControl/>
              <w:autoSpaceDE/>
              <w:autoSpaceDN/>
              <w:adjustRightInd/>
              <w:spacing w:line="256" w:lineRule="auto"/>
              <w:jc w:val="right"/>
              <w:rPr>
                <w:color w:val="000000"/>
              </w:rPr>
            </w:pPr>
            <w:r w:rsidRPr="008C6A2E">
              <w:rPr>
                <w:color w:val="000000"/>
              </w:rPr>
              <w:t>100</w:t>
            </w:r>
          </w:p>
        </w:tc>
        <w:tc>
          <w:tcPr>
            <w:tcW w:w="1178"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5F38C721" w14:textId="32C74036">
            <w:pPr>
              <w:widowControl/>
              <w:autoSpaceDE/>
              <w:autoSpaceDN/>
              <w:adjustRightInd/>
              <w:spacing w:line="256" w:lineRule="auto"/>
              <w:jc w:val="right"/>
              <w:rPr>
                <w:color w:val="000000"/>
              </w:rPr>
            </w:pPr>
            <w:r w:rsidRPr="36CC7E2E">
              <w:rPr>
                <w:color w:val="000000" w:themeColor="text1"/>
              </w:rPr>
              <w:t>0.13</w:t>
            </w:r>
          </w:p>
        </w:tc>
        <w:tc>
          <w:tcPr>
            <w:tcW w:w="1554" w:type="dxa"/>
            <w:tcBorders>
              <w:top w:val="nil"/>
              <w:left w:val="nil"/>
              <w:bottom w:val="single" w:sz="4" w:space="0" w:color="auto"/>
              <w:right w:val="single" w:sz="4" w:space="0" w:color="auto"/>
            </w:tcBorders>
            <w:noWrap/>
            <w:vAlign w:val="bottom"/>
            <w:hideMark/>
          </w:tcPr>
          <w:p w:rsidR="008C6A2E" w:rsidRPr="008C6A2E" w:rsidP="36CC7E2E" w14:paraId="203C249E" w14:textId="12105887">
            <w:pPr>
              <w:widowControl/>
              <w:spacing w:line="256" w:lineRule="auto"/>
              <w:jc w:val="right"/>
              <w:rPr>
                <w:color w:val="000000" w:themeColor="text1"/>
              </w:rPr>
            </w:pPr>
            <w:r w:rsidRPr="36CC7E2E">
              <w:rPr>
                <w:color w:val="000000" w:themeColor="text1"/>
              </w:rPr>
              <w:t>13</w:t>
            </w:r>
          </w:p>
        </w:tc>
      </w:tr>
      <w:tr w14:paraId="05912A8F" w14:textId="77777777" w:rsidTr="00663104">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vAlign w:val="bottom"/>
            <w:hideMark/>
          </w:tcPr>
          <w:p w:rsidR="008C6A2E" w:rsidRPr="008C6A2E" w:rsidP="008C6A2E" w14:paraId="70A51935" w14:textId="16B34922">
            <w:pPr>
              <w:widowControl/>
              <w:autoSpaceDE/>
              <w:autoSpaceDN/>
              <w:adjustRightInd/>
              <w:spacing w:line="256" w:lineRule="auto"/>
              <w:rPr>
                <w:color w:val="000000"/>
              </w:rPr>
            </w:pPr>
          </w:p>
        </w:tc>
        <w:tc>
          <w:tcPr>
            <w:tcW w:w="1513"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08C4F30E" w14:textId="770958EB">
            <w:pPr>
              <w:widowControl/>
              <w:autoSpaceDE/>
              <w:autoSpaceDN/>
              <w:adjustRightInd/>
              <w:spacing w:line="256" w:lineRule="auto"/>
              <w:jc w:val="right"/>
              <w:rPr>
                <w:color w:val="000000"/>
              </w:rPr>
            </w:pPr>
          </w:p>
        </w:tc>
        <w:tc>
          <w:tcPr>
            <w:tcW w:w="1505" w:type="dxa"/>
            <w:tcBorders>
              <w:top w:val="nil"/>
              <w:left w:val="nil"/>
              <w:bottom w:val="single" w:sz="4" w:space="0" w:color="auto"/>
              <w:right w:val="single" w:sz="4" w:space="0" w:color="auto"/>
            </w:tcBorders>
            <w:shd w:val="clear" w:color="auto" w:fill="FFFFFF" w:themeFill="background1"/>
            <w:noWrap/>
            <w:vAlign w:val="bottom"/>
          </w:tcPr>
          <w:p w:rsidR="008C6A2E" w:rsidRPr="008C6A2E" w:rsidP="008C6A2E" w14:paraId="06AD09AD" w14:textId="3CA518B9">
            <w:pPr>
              <w:widowControl/>
              <w:autoSpaceDE/>
              <w:autoSpaceDN/>
              <w:adjustRightInd/>
              <w:spacing w:line="256" w:lineRule="auto"/>
              <w:jc w:val="right"/>
              <w:rPr>
                <w:color w:val="000000"/>
              </w:rPr>
            </w:pPr>
          </w:p>
        </w:tc>
        <w:tc>
          <w:tcPr>
            <w:tcW w:w="1326" w:type="dxa"/>
            <w:tcBorders>
              <w:top w:val="nil"/>
              <w:left w:val="nil"/>
              <w:bottom w:val="single" w:sz="4" w:space="0" w:color="auto"/>
              <w:right w:val="single" w:sz="4" w:space="0" w:color="auto"/>
            </w:tcBorders>
            <w:noWrap/>
            <w:vAlign w:val="bottom"/>
          </w:tcPr>
          <w:p w:rsidR="008C6A2E" w:rsidRPr="008C6A2E" w:rsidP="008C6A2E" w14:paraId="3758DE0E" w14:textId="24B233AC">
            <w:pPr>
              <w:widowControl/>
              <w:autoSpaceDE/>
              <w:autoSpaceDN/>
              <w:adjustRightInd/>
              <w:spacing w:line="256" w:lineRule="auto"/>
              <w:jc w:val="right"/>
              <w:rPr>
                <w:color w:val="000000"/>
              </w:rPr>
            </w:pPr>
          </w:p>
        </w:tc>
        <w:tc>
          <w:tcPr>
            <w:tcW w:w="1178" w:type="dxa"/>
            <w:tcBorders>
              <w:top w:val="nil"/>
              <w:left w:val="nil"/>
              <w:bottom w:val="single" w:sz="4" w:space="0" w:color="auto"/>
              <w:right w:val="single" w:sz="4" w:space="0" w:color="auto"/>
            </w:tcBorders>
            <w:shd w:val="clear" w:color="auto" w:fill="FFFFFF" w:themeFill="background1"/>
            <w:noWrap/>
            <w:vAlign w:val="bottom"/>
          </w:tcPr>
          <w:p w:rsidR="008C6A2E" w:rsidRPr="008C6A2E" w:rsidP="008C6A2E" w14:paraId="674B9F5E" w14:textId="63750561">
            <w:pPr>
              <w:widowControl/>
              <w:autoSpaceDE/>
              <w:autoSpaceDN/>
              <w:adjustRightInd/>
              <w:spacing w:line="256" w:lineRule="auto"/>
              <w:jc w:val="right"/>
              <w:rPr>
                <w:color w:val="000000"/>
              </w:rPr>
            </w:pPr>
          </w:p>
        </w:tc>
        <w:tc>
          <w:tcPr>
            <w:tcW w:w="1554" w:type="dxa"/>
            <w:tcBorders>
              <w:top w:val="nil"/>
              <w:left w:val="nil"/>
              <w:bottom w:val="single" w:sz="4" w:space="0" w:color="auto"/>
              <w:right w:val="single" w:sz="4" w:space="0" w:color="auto"/>
            </w:tcBorders>
            <w:noWrap/>
            <w:vAlign w:val="bottom"/>
          </w:tcPr>
          <w:p w:rsidR="008C6A2E" w:rsidRPr="008C6A2E" w:rsidP="36CC7E2E" w14:paraId="5B2DC2A5" w14:textId="1B5C4769">
            <w:pPr>
              <w:widowControl/>
              <w:spacing w:line="256" w:lineRule="auto"/>
              <w:jc w:val="right"/>
            </w:pPr>
          </w:p>
        </w:tc>
      </w:tr>
      <w:tr w14:paraId="03E0D32E" w14:textId="77777777" w:rsidTr="00DC69BE">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noWrap/>
            <w:vAlign w:val="bottom"/>
            <w:hideMark/>
          </w:tcPr>
          <w:p w:rsidR="008C6A2E" w:rsidRPr="008C6A2E" w:rsidP="008C6A2E" w14:paraId="2D1A51AB" w14:textId="77777777">
            <w:pPr>
              <w:widowControl/>
              <w:autoSpaceDE/>
              <w:autoSpaceDN/>
              <w:adjustRightInd/>
              <w:spacing w:line="256" w:lineRule="auto"/>
              <w:rPr>
                <w:b/>
                <w:bCs/>
                <w:color w:val="000000"/>
              </w:rPr>
            </w:pPr>
            <w:r w:rsidRPr="008C6A2E">
              <w:rPr>
                <w:b/>
                <w:bCs/>
                <w:color w:val="000000"/>
              </w:rPr>
              <w:t>Totals (Rounded) for FERC-1002</w:t>
            </w:r>
          </w:p>
        </w:tc>
        <w:tc>
          <w:tcPr>
            <w:tcW w:w="1513" w:type="dxa"/>
            <w:tcBorders>
              <w:top w:val="nil"/>
              <w:left w:val="nil"/>
              <w:bottom w:val="single" w:sz="4" w:space="0" w:color="auto"/>
              <w:right w:val="single" w:sz="4" w:space="0" w:color="auto"/>
            </w:tcBorders>
            <w:noWrap/>
            <w:vAlign w:val="bottom"/>
            <w:hideMark/>
          </w:tcPr>
          <w:p w:rsidR="008C6A2E" w:rsidRPr="008C6A2E" w:rsidP="00A93CB3" w14:paraId="65BBDCEB" w14:textId="474E952A">
            <w:pPr>
              <w:widowControl/>
              <w:autoSpaceDE/>
              <w:autoSpaceDN/>
              <w:adjustRightInd/>
              <w:spacing w:line="256" w:lineRule="auto"/>
              <w:jc w:val="right"/>
              <w:rPr>
                <w:color w:val="000000"/>
              </w:rPr>
            </w:pPr>
            <w:r w:rsidRPr="36CC7E2E">
              <w:rPr>
                <w:color w:val="000000" w:themeColor="text1"/>
              </w:rPr>
              <w:t> </w:t>
            </w:r>
          </w:p>
        </w:tc>
        <w:tc>
          <w:tcPr>
            <w:tcW w:w="1505" w:type="dxa"/>
            <w:tcBorders>
              <w:top w:val="nil"/>
              <w:left w:val="nil"/>
              <w:bottom w:val="single" w:sz="4" w:space="0" w:color="auto"/>
              <w:right w:val="single" w:sz="4" w:space="0" w:color="auto"/>
            </w:tcBorders>
            <w:noWrap/>
            <w:vAlign w:val="bottom"/>
            <w:hideMark/>
          </w:tcPr>
          <w:p w:rsidR="008C6A2E" w:rsidRPr="008C6A2E" w:rsidP="008C6A2E" w14:paraId="73170E5E" w14:textId="77777777">
            <w:pPr>
              <w:widowControl/>
              <w:autoSpaceDE/>
              <w:autoSpaceDN/>
              <w:adjustRightInd/>
              <w:spacing w:line="256" w:lineRule="auto"/>
              <w:rPr>
                <w:color w:val="000000"/>
              </w:rPr>
            </w:pPr>
            <w:r w:rsidRPr="008C6A2E">
              <w:rPr>
                <w:color w:val="000000"/>
              </w:rPr>
              <w:t> </w:t>
            </w:r>
          </w:p>
        </w:tc>
        <w:tc>
          <w:tcPr>
            <w:tcW w:w="1326" w:type="dxa"/>
            <w:tcBorders>
              <w:top w:val="nil"/>
              <w:left w:val="nil"/>
              <w:bottom w:val="single" w:sz="4" w:space="0" w:color="auto"/>
              <w:right w:val="single" w:sz="4" w:space="0" w:color="auto"/>
            </w:tcBorders>
            <w:noWrap/>
            <w:vAlign w:val="bottom"/>
            <w:hideMark/>
          </w:tcPr>
          <w:p w:rsidR="008C6A2E" w:rsidRPr="008C6A2E" w:rsidP="008C6A2E" w14:paraId="568F14AC" w14:textId="3E2C5392">
            <w:pPr>
              <w:widowControl/>
              <w:autoSpaceDE/>
              <w:autoSpaceDN/>
              <w:adjustRightInd/>
              <w:spacing w:line="256" w:lineRule="auto"/>
              <w:jc w:val="right"/>
              <w:rPr>
                <w:color w:val="000000"/>
              </w:rPr>
            </w:pPr>
            <w:r w:rsidRPr="36CC7E2E">
              <w:rPr>
                <w:color w:val="000000" w:themeColor="text1"/>
              </w:rPr>
              <w:t>2</w:t>
            </w:r>
            <w:r w:rsidR="001A2DE4">
              <w:rPr>
                <w:color w:val="000000" w:themeColor="text1"/>
              </w:rPr>
              <w:t>1</w:t>
            </w:r>
            <w:r w:rsidRPr="36CC7E2E">
              <w:rPr>
                <w:color w:val="000000" w:themeColor="text1"/>
              </w:rPr>
              <w:t>00</w:t>
            </w:r>
          </w:p>
        </w:tc>
        <w:tc>
          <w:tcPr>
            <w:tcW w:w="1178" w:type="dxa"/>
            <w:tcBorders>
              <w:top w:val="nil"/>
              <w:left w:val="nil"/>
              <w:bottom w:val="single" w:sz="4" w:space="0" w:color="auto"/>
              <w:right w:val="single" w:sz="4" w:space="0" w:color="auto"/>
            </w:tcBorders>
            <w:noWrap/>
            <w:vAlign w:val="bottom"/>
            <w:hideMark/>
          </w:tcPr>
          <w:p w:rsidR="008C6A2E" w:rsidRPr="008C6A2E" w:rsidP="008C6A2E" w14:paraId="4A18F34F" w14:textId="77777777">
            <w:pPr>
              <w:widowControl/>
              <w:autoSpaceDE/>
              <w:autoSpaceDN/>
              <w:adjustRightInd/>
              <w:spacing w:line="256" w:lineRule="auto"/>
              <w:rPr>
                <w:color w:val="000000"/>
              </w:rPr>
            </w:pPr>
            <w:r w:rsidRPr="008C6A2E">
              <w:rPr>
                <w:color w:val="000000"/>
              </w:rPr>
              <w:t> </w:t>
            </w:r>
          </w:p>
        </w:tc>
        <w:tc>
          <w:tcPr>
            <w:tcW w:w="1554" w:type="dxa"/>
            <w:tcBorders>
              <w:top w:val="nil"/>
              <w:left w:val="nil"/>
              <w:bottom w:val="single" w:sz="4" w:space="0" w:color="auto"/>
              <w:right w:val="single" w:sz="4" w:space="0" w:color="auto"/>
            </w:tcBorders>
            <w:noWrap/>
            <w:vAlign w:val="bottom"/>
            <w:hideMark/>
          </w:tcPr>
          <w:p w:rsidR="008C6A2E" w:rsidRPr="008C6A2E" w:rsidP="36CC7E2E" w14:paraId="3A3AFBF6" w14:textId="458EEC5E">
            <w:pPr>
              <w:widowControl/>
              <w:spacing w:line="256" w:lineRule="auto"/>
              <w:jc w:val="right"/>
              <w:rPr>
                <w:b/>
                <w:bCs/>
                <w:color w:val="000000" w:themeColor="text1"/>
              </w:rPr>
            </w:pPr>
            <w:r>
              <w:rPr>
                <w:b/>
                <w:bCs/>
                <w:color w:val="000000" w:themeColor="text1"/>
              </w:rPr>
              <w:t>179</w:t>
            </w:r>
          </w:p>
        </w:tc>
      </w:tr>
      <w:tr w14:paraId="305FD849" w14:textId="77777777" w:rsidTr="00DC69BE">
        <w:tblPrEx>
          <w:tblW w:w="9360" w:type="dxa"/>
          <w:tblLook w:val="04A0"/>
        </w:tblPrEx>
        <w:trPr>
          <w:trHeight w:val="310"/>
        </w:trPr>
        <w:tc>
          <w:tcPr>
            <w:tcW w:w="2284" w:type="dxa"/>
            <w:noWrap/>
            <w:vAlign w:val="bottom"/>
            <w:hideMark/>
          </w:tcPr>
          <w:p w:rsidR="008C6A2E" w:rsidRPr="008C6A2E" w:rsidP="008C6A2E" w14:paraId="631231C6" w14:textId="77777777">
            <w:pPr>
              <w:widowControl/>
              <w:autoSpaceDE/>
              <w:autoSpaceDN/>
              <w:adjustRightInd/>
              <w:rPr>
                <w:sz w:val="26"/>
              </w:rPr>
            </w:pPr>
          </w:p>
        </w:tc>
        <w:tc>
          <w:tcPr>
            <w:tcW w:w="1513" w:type="dxa"/>
            <w:noWrap/>
            <w:vAlign w:val="bottom"/>
            <w:hideMark/>
          </w:tcPr>
          <w:p w:rsidR="008C6A2E" w:rsidRPr="008C6A2E" w:rsidP="008C6A2E" w14:paraId="4C0C5D42" w14:textId="77777777">
            <w:pPr>
              <w:widowControl/>
              <w:autoSpaceDE/>
              <w:autoSpaceDN/>
              <w:adjustRightInd/>
              <w:spacing w:line="256" w:lineRule="auto"/>
              <w:rPr>
                <w:rFonts w:ascii="Calibri" w:hAnsi="Calibri"/>
                <w:sz w:val="20"/>
                <w:szCs w:val="20"/>
              </w:rPr>
            </w:pPr>
          </w:p>
        </w:tc>
        <w:tc>
          <w:tcPr>
            <w:tcW w:w="1505" w:type="dxa"/>
            <w:noWrap/>
            <w:vAlign w:val="bottom"/>
            <w:hideMark/>
          </w:tcPr>
          <w:p w:rsidR="008C6A2E" w:rsidRPr="008C6A2E" w:rsidP="008C6A2E" w14:paraId="11628F23" w14:textId="77777777">
            <w:pPr>
              <w:widowControl/>
              <w:autoSpaceDE/>
              <w:autoSpaceDN/>
              <w:adjustRightInd/>
              <w:spacing w:line="256" w:lineRule="auto"/>
              <w:rPr>
                <w:rFonts w:ascii="Calibri" w:hAnsi="Calibri"/>
                <w:sz w:val="20"/>
                <w:szCs w:val="20"/>
              </w:rPr>
            </w:pPr>
          </w:p>
        </w:tc>
        <w:tc>
          <w:tcPr>
            <w:tcW w:w="1326" w:type="dxa"/>
            <w:noWrap/>
            <w:vAlign w:val="bottom"/>
            <w:hideMark/>
          </w:tcPr>
          <w:p w:rsidR="008C6A2E" w:rsidRPr="008C6A2E" w:rsidP="008C6A2E" w14:paraId="0D19E33F" w14:textId="77777777">
            <w:pPr>
              <w:widowControl/>
              <w:autoSpaceDE/>
              <w:autoSpaceDN/>
              <w:adjustRightInd/>
              <w:spacing w:line="256" w:lineRule="auto"/>
              <w:rPr>
                <w:rFonts w:ascii="Calibri" w:hAnsi="Calibri"/>
                <w:sz w:val="20"/>
                <w:szCs w:val="20"/>
              </w:rPr>
            </w:pPr>
          </w:p>
        </w:tc>
        <w:tc>
          <w:tcPr>
            <w:tcW w:w="1178" w:type="dxa"/>
            <w:noWrap/>
            <w:vAlign w:val="bottom"/>
            <w:hideMark/>
          </w:tcPr>
          <w:p w:rsidR="008C6A2E" w:rsidRPr="008C6A2E" w:rsidP="008C6A2E" w14:paraId="352F9DD6" w14:textId="77777777">
            <w:pPr>
              <w:widowControl/>
              <w:autoSpaceDE/>
              <w:autoSpaceDN/>
              <w:adjustRightInd/>
              <w:spacing w:line="256" w:lineRule="auto"/>
              <w:rPr>
                <w:rFonts w:ascii="Calibri" w:hAnsi="Calibri"/>
                <w:sz w:val="20"/>
                <w:szCs w:val="20"/>
              </w:rPr>
            </w:pPr>
          </w:p>
        </w:tc>
        <w:tc>
          <w:tcPr>
            <w:tcW w:w="1554" w:type="dxa"/>
            <w:noWrap/>
            <w:vAlign w:val="bottom"/>
            <w:hideMark/>
          </w:tcPr>
          <w:p w:rsidR="008C6A2E" w:rsidRPr="008C6A2E" w:rsidP="008C6A2E" w14:paraId="7EC6EC30" w14:textId="77777777">
            <w:pPr>
              <w:widowControl/>
              <w:autoSpaceDE/>
              <w:autoSpaceDN/>
              <w:adjustRightInd/>
              <w:spacing w:line="256" w:lineRule="auto"/>
              <w:rPr>
                <w:rFonts w:ascii="Calibri" w:hAnsi="Calibri"/>
                <w:sz w:val="20"/>
                <w:szCs w:val="20"/>
              </w:rPr>
            </w:pPr>
          </w:p>
        </w:tc>
      </w:tr>
      <w:tr w14:paraId="6096138A" w14:textId="77777777" w:rsidTr="00130DCC">
        <w:tblPrEx>
          <w:tblW w:w="9360" w:type="dxa"/>
          <w:tblLook w:val="04A0"/>
        </w:tblPrEx>
        <w:trPr>
          <w:trHeight w:val="310"/>
        </w:trPr>
        <w:tc>
          <w:tcPr>
            <w:tcW w:w="9360" w:type="dxa"/>
            <w:gridSpan w:val="6"/>
            <w:noWrap/>
            <w:vAlign w:val="bottom"/>
            <w:hideMark/>
          </w:tcPr>
          <w:p w:rsidR="008C6A2E" w:rsidRPr="008C6A2E" w:rsidP="008C6A2E" w14:paraId="67F94341" w14:textId="77777777">
            <w:pPr>
              <w:widowControl/>
              <w:autoSpaceDE/>
              <w:autoSpaceDN/>
              <w:adjustRightInd/>
              <w:spacing w:line="256" w:lineRule="auto"/>
              <w:jc w:val="center"/>
              <w:rPr>
                <w:b/>
                <w:bCs/>
                <w:color w:val="000000"/>
              </w:rPr>
            </w:pPr>
            <w:r w:rsidRPr="008C6A2E">
              <w:rPr>
                <w:b/>
                <w:bCs/>
                <w:color w:val="000000"/>
              </w:rPr>
              <w:t>Estimated Annual Cost for FERC-1002</w:t>
            </w:r>
          </w:p>
        </w:tc>
      </w:tr>
      <w:tr w14:paraId="7C21E5DB" w14:textId="77777777" w:rsidTr="00950C6A">
        <w:tblPrEx>
          <w:tblW w:w="9360" w:type="dxa"/>
          <w:tblLook w:val="04A0"/>
        </w:tblPrEx>
        <w:trPr>
          <w:trHeight w:val="1510"/>
        </w:trPr>
        <w:tc>
          <w:tcPr>
            <w:tcW w:w="2284" w:type="dxa"/>
            <w:tcBorders>
              <w:top w:val="single" w:sz="4" w:space="0" w:color="auto"/>
              <w:left w:val="single" w:sz="4" w:space="0" w:color="auto"/>
              <w:bottom w:val="single" w:sz="4" w:space="0" w:color="auto"/>
              <w:right w:val="single" w:sz="4" w:space="0" w:color="auto"/>
            </w:tcBorders>
            <w:noWrap/>
            <w:vAlign w:val="bottom"/>
            <w:hideMark/>
          </w:tcPr>
          <w:p w:rsidR="008C6A2E" w:rsidRPr="008C6A2E" w:rsidP="008C6A2E" w14:paraId="787889CB" w14:textId="1363B4B2">
            <w:pPr>
              <w:widowControl/>
              <w:autoSpaceDE/>
              <w:autoSpaceDN/>
              <w:adjustRightInd/>
              <w:spacing w:line="256" w:lineRule="auto"/>
              <w:rPr>
                <w:b/>
                <w:bCs/>
                <w:color w:val="000000"/>
              </w:rPr>
            </w:pPr>
            <w:r w:rsidRPr="008C6A2E">
              <w:rPr>
                <w:b/>
                <w:bCs/>
                <w:color w:val="000000"/>
              </w:rPr>
              <w:t> </w:t>
            </w:r>
            <w:r w:rsidRPr="00E64949" w:rsidR="00E64949">
              <w:rPr>
                <w:b/>
                <w:bCs/>
                <w:color w:val="000000"/>
              </w:rPr>
              <w:t>Engagement/Filer Type</w:t>
            </w:r>
          </w:p>
        </w:tc>
        <w:tc>
          <w:tcPr>
            <w:tcW w:w="1513" w:type="dxa"/>
            <w:tcBorders>
              <w:top w:val="single" w:sz="4" w:space="0" w:color="auto"/>
              <w:left w:val="nil"/>
              <w:bottom w:val="nil"/>
              <w:right w:val="single" w:sz="4" w:space="0" w:color="auto"/>
            </w:tcBorders>
            <w:vAlign w:val="bottom"/>
            <w:hideMark/>
          </w:tcPr>
          <w:p w:rsidR="008C6A2E" w:rsidRPr="008C6A2E" w:rsidP="008C6A2E" w14:paraId="434B29D5" w14:textId="37B41C02">
            <w:pPr>
              <w:widowControl/>
              <w:autoSpaceDE/>
              <w:autoSpaceDN/>
              <w:adjustRightInd/>
              <w:spacing w:line="256" w:lineRule="auto"/>
              <w:jc w:val="center"/>
              <w:rPr>
                <w:b/>
                <w:bCs/>
                <w:color w:val="000000"/>
              </w:rPr>
            </w:pPr>
            <w:r w:rsidRPr="008C6A2E">
              <w:rPr>
                <w:b/>
                <w:bCs/>
                <w:color w:val="000000"/>
              </w:rPr>
              <w:t xml:space="preserve">Total </w:t>
            </w:r>
            <w:r w:rsidR="005B25F4">
              <w:rPr>
                <w:b/>
                <w:bCs/>
                <w:color w:val="000000"/>
              </w:rPr>
              <w:t xml:space="preserve">No. </w:t>
            </w:r>
            <w:r w:rsidRPr="008C6A2E">
              <w:rPr>
                <w:b/>
                <w:bCs/>
                <w:color w:val="000000"/>
              </w:rPr>
              <w:t>of Responses</w:t>
            </w:r>
          </w:p>
        </w:tc>
        <w:tc>
          <w:tcPr>
            <w:tcW w:w="1505" w:type="dxa"/>
            <w:tcBorders>
              <w:top w:val="single" w:sz="4" w:space="0" w:color="auto"/>
              <w:left w:val="single" w:sz="4" w:space="0" w:color="auto"/>
              <w:bottom w:val="nil"/>
              <w:right w:val="single" w:sz="4" w:space="0" w:color="auto"/>
            </w:tcBorders>
            <w:vAlign w:val="bottom"/>
            <w:hideMark/>
          </w:tcPr>
          <w:p w:rsidR="008C6A2E" w:rsidRPr="008C6A2E" w:rsidP="008C6A2E" w14:paraId="3590983C" w14:textId="77777777">
            <w:pPr>
              <w:widowControl/>
              <w:autoSpaceDE/>
              <w:autoSpaceDN/>
              <w:adjustRightInd/>
              <w:spacing w:line="256" w:lineRule="auto"/>
              <w:jc w:val="center"/>
              <w:rPr>
                <w:b/>
                <w:bCs/>
                <w:color w:val="000000"/>
              </w:rPr>
            </w:pPr>
            <w:r w:rsidRPr="008C6A2E">
              <w:rPr>
                <w:b/>
                <w:bCs/>
                <w:color w:val="000000"/>
              </w:rPr>
              <w:t>Average Burden Hours per Response</w:t>
            </w:r>
          </w:p>
        </w:tc>
        <w:tc>
          <w:tcPr>
            <w:tcW w:w="1326" w:type="dxa"/>
            <w:tcBorders>
              <w:top w:val="single" w:sz="4" w:space="0" w:color="auto"/>
              <w:left w:val="single" w:sz="4" w:space="0" w:color="auto"/>
              <w:bottom w:val="nil"/>
              <w:right w:val="single" w:sz="4" w:space="0" w:color="auto"/>
            </w:tcBorders>
            <w:vAlign w:val="bottom"/>
            <w:hideMark/>
          </w:tcPr>
          <w:p w:rsidR="008C6A2E" w:rsidRPr="008C6A2E" w:rsidP="008C6A2E" w14:paraId="072D170F" w14:textId="77777777">
            <w:pPr>
              <w:widowControl/>
              <w:autoSpaceDE/>
              <w:autoSpaceDN/>
              <w:adjustRightInd/>
              <w:spacing w:line="256" w:lineRule="auto"/>
              <w:jc w:val="center"/>
              <w:rPr>
                <w:b/>
                <w:bCs/>
                <w:color w:val="000000"/>
              </w:rPr>
            </w:pPr>
            <w:r w:rsidRPr="008C6A2E">
              <w:rPr>
                <w:b/>
                <w:bCs/>
                <w:color w:val="000000"/>
              </w:rPr>
              <w:t>Loaded Cost per Hour</w:t>
            </w:r>
          </w:p>
        </w:tc>
        <w:tc>
          <w:tcPr>
            <w:tcW w:w="1178" w:type="dxa"/>
            <w:tcBorders>
              <w:top w:val="single" w:sz="4" w:space="0" w:color="auto"/>
              <w:left w:val="single" w:sz="4" w:space="0" w:color="auto"/>
              <w:bottom w:val="nil"/>
              <w:right w:val="single" w:sz="4" w:space="0" w:color="auto"/>
            </w:tcBorders>
            <w:vAlign w:val="bottom"/>
            <w:hideMark/>
          </w:tcPr>
          <w:p w:rsidR="008C6A2E" w:rsidRPr="008C6A2E" w:rsidP="008C6A2E" w14:paraId="67DA4515" w14:textId="77777777">
            <w:pPr>
              <w:widowControl/>
              <w:autoSpaceDE/>
              <w:autoSpaceDN/>
              <w:adjustRightInd/>
              <w:spacing w:line="256" w:lineRule="auto"/>
              <w:jc w:val="center"/>
              <w:rPr>
                <w:b/>
                <w:bCs/>
                <w:color w:val="000000"/>
              </w:rPr>
            </w:pPr>
            <w:r w:rsidRPr="008C6A2E">
              <w:rPr>
                <w:b/>
                <w:bCs/>
                <w:color w:val="000000"/>
              </w:rPr>
              <w:t>Average Cost per Response</w:t>
            </w:r>
          </w:p>
        </w:tc>
        <w:tc>
          <w:tcPr>
            <w:tcW w:w="1554" w:type="dxa"/>
            <w:tcBorders>
              <w:top w:val="single" w:sz="4" w:space="0" w:color="auto"/>
              <w:left w:val="nil"/>
              <w:bottom w:val="nil"/>
              <w:right w:val="single" w:sz="4" w:space="0" w:color="auto"/>
            </w:tcBorders>
            <w:vAlign w:val="bottom"/>
            <w:hideMark/>
          </w:tcPr>
          <w:p w:rsidR="008C6A2E" w:rsidRPr="008C6A2E" w:rsidP="008C6A2E" w14:paraId="3B991E08" w14:textId="77777777">
            <w:pPr>
              <w:widowControl/>
              <w:autoSpaceDE/>
              <w:autoSpaceDN/>
              <w:adjustRightInd/>
              <w:spacing w:line="256" w:lineRule="auto"/>
              <w:jc w:val="center"/>
              <w:rPr>
                <w:b/>
                <w:bCs/>
                <w:color w:val="000000"/>
              </w:rPr>
            </w:pPr>
            <w:r w:rsidRPr="008C6A2E">
              <w:rPr>
                <w:b/>
                <w:bCs/>
                <w:color w:val="000000"/>
              </w:rPr>
              <w:t>Total Annual Cost</w:t>
            </w:r>
          </w:p>
        </w:tc>
      </w:tr>
      <w:tr w14:paraId="1B665F1E" w14:textId="77777777" w:rsidTr="00950C6A">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noWrap/>
            <w:vAlign w:val="bottom"/>
            <w:hideMark/>
          </w:tcPr>
          <w:p w:rsidR="008C6A2E" w:rsidRPr="008C6A2E" w:rsidP="008C6A2E" w14:paraId="3B7BF14E" w14:textId="7311BF7C">
            <w:pPr>
              <w:widowControl/>
              <w:autoSpaceDE/>
              <w:autoSpaceDN/>
              <w:adjustRightInd/>
              <w:spacing w:line="256" w:lineRule="auto"/>
              <w:rPr>
                <w:b/>
                <w:bCs/>
                <w:color w:val="000000"/>
              </w:rPr>
            </w:pPr>
          </w:p>
        </w:tc>
        <w:tc>
          <w:tcPr>
            <w:tcW w:w="1513" w:type="dxa"/>
            <w:tcBorders>
              <w:top w:val="nil"/>
              <w:left w:val="single" w:sz="4" w:space="0" w:color="auto"/>
              <w:bottom w:val="single" w:sz="4" w:space="0" w:color="auto"/>
              <w:right w:val="single" w:sz="4" w:space="0" w:color="auto"/>
            </w:tcBorders>
            <w:vAlign w:val="bottom"/>
            <w:hideMark/>
          </w:tcPr>
          <w:p w:rsidR="008C6A2E" w:rsidRPr="008C6A2E" w:rsidP="008C6A2E" w14:paraId="1CE502CC" w14:textId="77777777">
            <w:pPr>
              <w:widowControl/>
              <w:autoSpaceDE/>
              <w:autoSpaceDN/>
              <w:adjustRightInd/>
              <w:spacing w:line="256" w:lineRule="auto"/>
              <w:jc w:val="center"/>
              <w:rPr>
                <w:b/>
                <w:bCs/>
                <w:color w:val="000000"/>
              </w:rPr>
            </w:pPr>
            <w:r w:rsidRPr="008C6A2E">
              <w:rPr>
                <w:b/>
                <w:bCs/>
                <w:color w:val="000000"/>
              </w:rPr>
              <w:t>(3)</w:t>
            </w:r>
          </w:p>
        </w:tc>
        <w:tc>
          <w:tcPr>
            <w:tcW w:w="1505" w:type="dxa"/>
            <w:tcBorders>
              <w:top w:val="nil"/>
              <w:left w:val="single" w:sz="4" w:space="0" w:color="auto"/>
              <w:bottom w:val="single" w:sz="4" w:space="0" w:color="auto"/>
              <w:right w:val="single" w:sz="4" w:space="0" w:color="auto"/>
            </w:tcBorders>
            <w:vAlign w:val="bottom"/>
            <w:hideMark/>
          </w:tcPr>
          <w:p w:rsidR="008C6A2E" w:rsidRPr="008C6A2E" w:rsidP="008C6A2E" w14:paraId="18A90E33" w14:textId="77777777">
            <w:pPr>
              <w:widowControl/>
              <w:autoSpaceDE/>
              <w:autoSpaceDN/>
              <w:adjustRightInd/>
              <w:spacing w:line="256" w:lineRule="auto"/>
              <w:jc w:val="center"/>
              <w:rPr>
                <w:b/>
                <w:bCs/>
                <w:color w:val="000000"/>
              </w:rPr>
            </w:pPr>
            <w:r w:rsidRPr="008C6A2E">
              <w:rPr>
                <w:b/>
                <w:bCs/>
                <w:color w:val="000000"/>
              </w:rPr>
              <w:t>(4)</w:t>
            </w:r>
          </w:p>
        </w:tc>
        <w:tc>
          <w:tcPr>
            <w:tcW w:w="1326" w:type="dxa"/>
            <w:tcBorders>
              <w:top w:val="nil"/>
              <w:left w:val="single" w:sz="4" w:space="0" w:color="auto"/>
              <w:bottom w:val="single" w:sz="4" w:space="0" w:color="auto"/>
              <w:right w:val="single" w:sz="4" w:space="0" w:color="auto"/>
            </w:tcBorders>
            <w:vAlign w:val="bottom"/>
            <w:hideMark/>
          </w:tcPr>
          <w:p w:rsidR="008C6A2E" w:rsidRPr="008C6A2E" w:rsidP="008C6A2E" w14:paraId="289275F2" w14:textId="77777777">
            <w:pPr>
              <w:widowControl/>
              <w:autoSpaceDE/>
              <w:autoSpaceDN/>
              <w:adjustRightInd/>
              <w:spacing w:line="256" w:lineRule="auto"/>
              <w:jc w:val="center"/>
              <w:rPr>
                <w:b/>
                <w:bCs/>
                <w:color w:val="000000"/>
              </w:rPr>
            </w:pPr>
            <w:r w:rsidRPr="008C6A2E">
              <w:rPr>
                <w:b/>
                <w:bCs/>
                <w:color w:val="000000"/>
              </w:rPr>
              <w:t>(6)</w:t>
            </w:r>
          </w:p>
        </w:tc>
        <w:tc>
          <w:tcPr>
            <w:tcW w:w="1178" w:type="dxa"/>
            <w:tcBorders>
              <w:top w:val="nil"/>
              <w:left w:val="single" w:sz="4" w:space="0" w:color="auto"/>
              <w:bottom w:val="single" w:sz="4" w:space="0" w:color="auto"/>
              <w:right w:val="single" w:sz="4" w:space="0" w:color="auto"/>
            </w:tcBorders>
            <w:vAlign w:val="bottom"/>
            <w:hideMark/>
          </w:tcPr>
          <w:p w:rsidR="008C6A2E" w:rsidRPr="008C6A2E" w:rsidP="008C6A2E" w14:paraId="15C3A054" w14:textId="77777777">
            <w:pPr>
              <w:widowControl/>
              <w:autoSpaceDE/>
              <w:autoSpaceDN/>
              <w:adjustRightInd/>
              <w:spacing w:line="256" w:lineRule="auto"/>
              <w:jc w:val="center"/>
              <w:rPr>
                <w:b/>
                <w:bCs/>
                <w:color w:val="000000"/>
              </w:rPr>
            </w:pPr>
            <w:r w:rsidRPr="008C6A2E">
              <w:rPr>
                <w:b/>
                <w:bCs/>
                <w:color w:val="000000"/>
              </w:rPr>
              <w:t>(4) x (6) = (7)</w:t>
            </w:r>
          </w:p>
        </w:tc>
        <w:tc>
          <w:tcPr>
            <w:tcW w:w="1554" w:type="dxa"/>
            <w:tcBorders>
              <w:top w:val="nil"/>
              <w:left w:val="nil"/>
              <w:bottom w:val="single" w:sz="4" w:space="0" w:color="auto"/>
              <w:right w:val="single" w:sz="4" w:space="0" w:color="auto"/>
            </w:tcBorders>
            <w:vAlign w:val="bottom"/>
            <w:hideMark/>
          </w:tcPr>
          <w:p w:rsidR="008C6A2E" w:rsidRPr="008C6A2E" w:rsidP="008C6A2E" w14:paraId="0CEA8113" w14:textId="77777777">
            <w:pPr>
              <w:widowControl/>
              <w:autoSpaceDE/>
              <w:autoSpaceDN/>
              <w:adjustRightInd/>
              <w:spacing w:line="256" w:lineRule="auto"/>
              <w:jc w:val="center"/>
              <w:rPr>
                <w:b/>
                <w:bCs/>
                <w:color w:val="000000"/>
              </w:rPr>
            </w:pPr>
            <w:r w:rsidRPr="008C6A2E">
              <w:rPr>
                <w:b/>
                <w:bCs/>
                <w:color w:val="000000"/>
              </w:rPr>
              <w:t>(3) x (7) = (8)</w:t>
            </w:r>
          </w:p>
        </w:tc>
      </w:tr>
      <w:tr w14:paraId="4544872D" w14:textId="77777777" w:rsidTr="00950C6A">
        <w:tblPrEx>
          <w:tblW w:w="9360" w:type="dxa"/>
          <w:tblLook w:val="04A0"/>
        </w:tblPrEx>
        <w:trPr>
          <w:trHeight w:val="620"/>
        </w:trPr>
        <w:tc>
          <w:tcPr>
            <w:tcW w:w="2284" w:type="dxa"/>
            <w:tcBorders>
              <w:top w:val="nil"/>
              <w:left w:val="single" w:sz="4" w:space="0" w:color="auto"/>
              <w:bottom w:val="single" w:sz="4" w:space="0" w:color="auto"/>
              <w:right w:val="single" w:sz="4" w:space="0" w:color="auto"/>
            </w:tcBorders>
            <w:vAlign w:val="bottom"/>
            <w:hideMark/>
          </w:tcPr>
          <w:p w:rsidR="008C6A2E" w:rsidRPr="008C6A2E" w:rsidP="008C6A2E" w14:paraId="415BB1A1" w14:textId="01C8E658">
            <w:pPr>
              <w:widowControl/>
              <w:autoSpaceDE/>
              <w:autoSpaceDN/>
              <w:adjustRightInd/>
              <w:spacing w:line="256" w:lineRule="auto"/>
              <w:rPr>
                <w:color w:val="000000"/>
              </w:rPr>
            </w:pPr>
            <w:r w:rsidRPr="34A9A49E">
              <w:rPr>
                <w:color w:val="000000" w:themeColor="text1"/>
              </w:rPr>
              <w:t xml:space="preserve">OEA </w:t>
            </w:r>
            <w:r w:rsidR="00B51869">
              <w:rPr>
                <w:color w:val="000000" w:themeColor="text1"/>
              </w:rPr>
              <w:t>Subscriber</w:t>
            </w:r>
            <w:r w:rsidRPr="34A9A49E">
              <w:rPr>
                <w:color w:val="000000" w:themeColor="text1"/>
              </w:rPr>
              <w:t xml:space="preserve"> </w:t>
            </w:r>
          </w:p>
        </w:tc>
        <w:tc>
          <w:tcPr>
            <w:tcW w:w="1513"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75BA3C03" w14:textId="4B4C4F15">
            <w:pPr>
              <w:widowControl/>
              <w:autoSpaceDE/>
              <w:autoSpaceDN/>
              <w:adjustRightInd/>
              <w:spacing w:line="256" w:lineRule="auto"/>
              <w:jc w:val="right"/>
              <w:rPr>
                <w:color w:val="000000"/>
              </w:rPr>
            </w:pPr>
            <w:r w:rsidRPr="008C6A2E">
              <w:rPr>
                <w:color w:val="000000"/>
              </w:rPr>
              <w:t>2</w:t>
            </w:r>
            <w:r w:rsidR="005A6378">
              <w:rPr>
                <w:color w:val="000000"/>
              </w:rPr>
              <w:t>,</w:t>
            </w:r>
            <w:r w:rsidRPr="008C6A2E">
              <w:rPr>
                <w:color w:val="000000"/>
              </w:rPr>
              <w:t>000</w:t>
            </w:r>
          </w:p>
        </w:tc>
        <w:tc>
          <w:tcPr>
            <w:tcW w:w="1505"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049D26B8" w14:textId="0B39C069">
            <w:pPr>
              <w:widowControl/>
              <w:autoSpaceDE/>
              <w:autoSpaceDN/>
              <w:adjustRightInd/>
              <w:spacing w:line="256" w:lineRule="auto"/>
              <w:jc w:val="right"/>
              <w:rPr>
                <w:color w:val="000000"/>
              </w:rPr>
            </w:pPr>
            <w:r w:rsidRPr="36CC7E2E">
              <w:rPr>
                <w:color w:val="000000" w:themeColor="text1"/>
              </w:rPr>
              <w:t>0.</w:t>
            </w:r>
            <w:r w:rsidRPr="36CC7E2E" w:rsidR="5DD1079D">
              <w:rPr>
                <w:color w:val="000000" w:themeColor="text1"/>
              </w:rPr>
              <w:t>0</w:t>
            </w:r>
            <w:r w:rsidRPr="36CC7E2E">
              <w:rPr>
                <w:color w:val="000000" w:themeColor="text1"/>
              </w:rPr>
              <w:t>83</w:t>
            </w:r>
          </w:p>
        </w:tc>
        <w:tc>
          <w:tcPr>
            <w:tcW w:w="1326"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1BE31C6A" w14:textId="77777777">
            <w:pPr>
              <w:widowControl/>
              <w:autoSpaceDE/>
              <w:autoSpaceDN/>
              <w:adjustRightInd/>
              <w:spacing w:line="256" w:lineRule="auto"/>
              <w:jc w:val="right"/>
              <w:rPr>
                <w:color w:val="000000"/>
              </w:rPr>
            </w:pPr>
            <w:r w:rsidRPr="008C6A2E">
              <w:rPr>
                <w:color w:val="000000"/>
              </w:rPr>
              <w:t xml:space="preserve">$91 </w:t>
            </w:r>
          </w:p>
        </w:tc>
        <w:tc>
          <w:tcPr>
            <w:tcW w:w="1178"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72C5D17E" w14:textId="56D597C7">
            <w:pPr>
              <w:widowControl/>
              <w:autoSpaceDE/>
              <w:autoSpaceDN/>
              <w:adjustRightInd/>
              <w:spacing w:line="256" w:lineRule="auto"/>
              <w:jc w:val="right"/>
              <w:rPr>
                <w:color w:val="000000"/>
              </w:rPr>
            </w:pPr>
            <w:r w:rsidRPr="36CC7E2E">
              <w:rPr>
                <w:color w:val="000000" w:themeColor="text1"/>
              </w:rPr>
              <w:t>$</w:t>
            </w:r>
            <w:r w:rsidRPr="36CC7E2E" w:rsidR="596C8346">
              <w:rPr>
                <w:color w:val="000000" w:themeColor="text1"/>
              </w:rPr>
              <w:t>7.55</w:t>
            </w:r>
            <w:r w:rsidRPr="36CC7E2E">
              <w:rPr>
                <w:color w:val="000000" w:themeColor="text1"/>
              </w:rPr>
              <w:t xml:space="preserve"> </w:t>
            </w:r>
          </w:p>
        </w:tc>
        <w:tc>
          <w:tcPr>
            <w:tcW w:w="1554" w:type="dxa"/>
            <w:tcBorders>
              <w:top w:val="nil"/>
              <w:left w:val="nil"/>
              <w:bottom w:val="single" w:sz="4" w:space="0" w:color="auto"/>
              <w:right w:val="single" w:sz="4" w:space="0" w:color="auto"/>
            </w:tcBorders>
            <w:noWrap/>
            <w:vAlign w:val="bottom"/>
            <w:hideMark/>
          </w:tcPr>
          <w:p w:rsidR="008C6A2E" w:rsidRPr="008C6A2E" w:rsidP="008C6A2E" w14:paraId="2A02B773" w14:textId="55FCD010">
            <w:pPr>
              <w:widowControl/>
              <w:autoSpaceDE/>
              <w:autoSpaceDN/>
              <w:adjustRightInd/>
              <w:spacing w:line="256" w:lineRule="auto"/>
              <w:jc w:val="right"/>
              <w:rPr>
                <w:color w:val="000000"/>
              </w:rPr>
            </w:pPr>
            <w:r w:rsidRPr="36CC7E2E">
              <w:rPr>
                <w:color w:val="000000" w:themeColor="text1"/>
              </w:rPr>
              <w:t>$</w:t>
            </w:r>
            <w:r w:rsidRPr="36CC7E2E" w:rsidR="43C4EECF">
              <w:rPr>
                <w:color w:val="000000" w:themeColor="text1"/>
              </w:rPr>
              <w:t>15,100</w:t>
            </w:r>
            <w:r w:rsidRPr="36CC7E2E">
              <w:rPr>
                <w:color w:val="000000" w:themeColor="text1"/>
              </w:rPr>
              <w:t xml:space="preserve">.00 </w:t>
            </w:r>
          </w:p>
        </w:tc>
      </w:tr>
      <w:tr w14:paraId="631A876C" w14:textId="77777777" w:rsidTr="00950C6A">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vAlign w:val="bottom"/>
            <w:hideMark/>
          </w:tcPr>
          <w:p w:rsidR="008C6A2E" w:rsidRPr="008C6A2E" w:rsidP="008C6A2E" w14:paraId="71029F5D" w14:textId="15D51AFF">
            <w:pPr>
              <w:widowControl/>
              <w:autoSpaceDE/>
              <w:autoSpaceDN/>
              <w:adjustRightInd/>
              <w:spacing w:line="256" w:lineRule="auto"/>
              <w:rPr>
                <w:color w:val="000000"/>
              </w:rPr>
            </w:pPr>
            <w:r w:rsidRPr="36CC7E2E">
              <w:rPr>
                <w:color w:val="000000" w:themeColor="text1"/>
              </w:rPr>
              <w:t xml:space="preserve">OPP </w:t>
            </w:r>
            <w:r w:rsidRPr="36CC7E2E" w:rsidR="00B51869">
              <w:rPr>
                <w:color w:val="000000" w:themeColor="text1"/>
              </w:rPr>
              <w:t>Subscriber</w:t>
            </w:r>
          </w:p>
        </w:tc>
        <w:tc>
          <w:tcPr>
            <w:tcW w:w="1513"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0CA8A0B5" w14:textId="77777777">
            <w:pPr>
              <w:widowControl/>
              <w:autoSpaceDE/>
              <w:autoSpaceDN/>
              <w:adjustRightInd/>
              <w:spacing w:line="256" w:lineRule="auto"/>
              <w:jc w:val="right"/>
              <w:rPr>
                <w:color w:val="000000"/>
              </w:rPr>
            </w:pPr>
            <w:r w:rsidRPr="008C6A2E">
              <w:rPr>
                <w:color w:val="000000"/>
              </w:rPr>
              <w:t>100</w:t>
            </w:r>
          </w:p>
        </w:tc>
        <w:tc>
          <w:tcPr>
            <w:tcW w:w="1505"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3C2A0537" w14:textId="130D4392">
            <w:pPr>
              <w:widowControl/>
              <w:autoSpaceDE/>
              <w:autoSpaceDN/>
              <w:adjustRightInd/>
              <w:spacing w:line="256" w:lineRule="auto"/>
              <w:jc w:val="right"/>
              <w:rPr>
                <w:color w:val="000000"/>
              </w:rPr>
            </w:pPr>
            <w:r w:rsidRPr="36CC7E2E">
              <w:rPr>
                <w:color w:val="000000" w:themeColor="text1"/>
              </w:rPr>
              <w:t>0.</w:t>
            </w:r>
            <w:r w:rsidRPr="36CC7E2E" w:rsidR="54CC7361">
              <w:rPr>
                <w:color w:val="000000" w:themeColor="text1"/>
              </w:rPr>
              <w:t>13</w:t>
            </w:r>
          </w:p>
        </w:tc>
        <w:tc>
          <w:tcPr>
            <w:tcW w:w="1326"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3316D111" w14:textId="77777777">
            <w:pPr>
              <w:widowControl/>
              <w:autoSpaceDE/>
              <w:autoSpaceDN/>
              <w:adjustRightInd/>
              <w:spacing w:line="256" w:lineRule="auto"/>
              <w:jc w:val="right"/>
              <w:rPr>
                <w:color w:val="000000"/>
              </w:rPr>
            </w:pPr>
            <w:r w:rsidRPr="008C6A2E">
              <w:rPr>
                <w:color w:val="000000"/>
              </w:rPr>
              <w:t xml:space="preserve">$91 </w:t>
            </w:r>
          </w:p>
        </w:tc>
        <w:tc>
          <w:tcPr>
            <w:tcW w:w="1178" w:type="dxa"/>
            <w:tcBorders>
              <w:top w:val="nil"/>
              <w:left w:val="nil"/>
              <w:bottom w:val="single" w:sz="4" w:space="0" w:color="auto"/>
              <w:right w:val="single" w:sz="4" w:space="0" w:color="auto"/>
            </w:tcBorders>
            <w:shd w:val="clear" w:color="auto" w:fill="FFFFFF" w:themeFill="background1"/>
            <w:noWrap/>
            <w:vAlign w:val="bottom"/>
            <w:hideMark/>
          </w:tcPr>
          <w:p w:rsidR="008C6A2E" w:rsidRPr="008C6A2E" w:rsidP="008C6A2E" w14:paraId="0D5F5AF6" w14:textId="18C2B6A2">
            <w:pPr>
              <w:widowControl/>
              <w:autoSpaceDE/>
              <w:autoSpaceDN/>
              <w:adjustRightInd/>
              <w:spacing w:line="256" w:lineRule="auto"/>
              <w:jc w:val="right"/>
              <w:rPr>
                <w:color w:val="000000"/>
              </w:rPr>
            </w:pPr>
            <w:r w:rsidRPr="36CC7E2E">
              <w:rPr>
                <w:color w:val="000000" w:themeColor="text1"/>
              </w:rPr>
              <w:t>$</w:t>
            </w:r>
            <w:r w:rsidRPr="36CC7E2E" w:rsidR="4C599377">
              <w:rPr>
                <w:color w:val="000000" w:themeColor="text1"/>
              </w:rPr>
              <w:t>11.83</w:t>
            </w:r>
            <w:r w:rsidRPr="36CC7E2E">
              <w:rPr>
                <w:color w:val="000000" w:themeColor="text1"/>
              </w:rPr>
              <w:t xml:space="preserve"> </w:t>
            </w:r>
          </w:p>
        </w:tc>
        <w:tc>
          <w:tcPr>
            <w:tcW w:w="1554" w:type="dxa"/>
            <w:tcBorders>
              <w:top w:val="nil"/>
              <w:left w:val="nil"/>
              <w:bottom w:val="single" w:sz="4" w:space="0" w:color="auto"/>
              <w:right w:val="single" w:sz="4" w:space="0" w:color="auto"/>
            </w:tcBorders>
            <w:noWrap/>
            <w:vAlign w:val="bottom"/>
            <w:hideMark/>
          </w:tcPr>
          <w:p w:rsidR="008C6A2E" w:rsidRPr="008C6A2E" w:rsidP="008C6A2E" w14:paraId="1E31446B" w14:textId="6342BBE3">
            <w:pPr>
              <w:widowControl/>
              <w:autoSpaceDE/>
              <w:autoSpaceDN/>
              <w:adjustRightInd/>
              <w:spacing w:line="256" w:lineRule="auto"/>
              <w:jc w:val="right"/>
              <w:rPr>
                <w:color w:val="000000"/>
              </w:rPr>
            </w:pPr>
            <w:r w:rsidRPr="36CC7E2E">
              <w:rPr>
                <w:color w:val="000000" w:themeColor="text1"/>
              </w:rPr>
              <w:t>$1,</w:t>
            </w:r>
            <w:r w:rsidRPr="36CC7E2E" w:rsidR="67DB3779">
              <w:rPr>
                <w:color w:val="000000" w:themeColor="text1"/>
              </w:rPr>
              <w:t>183</w:t>
            </w:r>
            <w:r w:rsidRPr="36CC7E2E">
              <w:rPr>
                <w:color w:val="000000" w:themeColor="text1"/>
              </w:rPr>
              <w:t xml:space="preserve">.00 </w:t>
            </w:r>
          </w:p>
        </w:tc>
      </w:tr>
      <w:tr w14:paraId="6022E805" w14:textId="77777777" w:rsidTr="00663104">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vAlign w:val="bottom"/>
          </w:tcPr>
          <w:p w:rsidR="008C6A2E" w:rsidRPr="008C6A2E" w:rsidP="008C6A2E" w14:paraId="0BCA302D" w14:textId="170EB44F">
            <w:pPr>
              <w:widowControl/>
              <w:autoSpaceDE/>
              <w:autoSpaceDN/>
              <w:adjustRightInd/>
              <w:spacing w:line="256" w:lineRule="auto"/>
              <w:rPr>
                <w:color w:val="000000"/>
              </w:rPr>
            </w:pPr>
          </w:p>
        </w:tc>
        <w:tc>
          <w:tcPr>
            <w:tcW w:w="1513" w:type="dxa"/>
            <w:tcBorders>
              <w:top w:val="nil"/>
              <w:left w:val="nil"/>
              <w:bottom w:val="single" w:sz="4" w:space="0" w:color="auto"/>
              <w:right w:val="single" w:sz="4" w:space="0" w:color="auto"/>
            </w:tcBorders>
            <w:shd w:val="clear" w:color="auto" w:fill="FFFFFF" w:themeFill="background1"/>
            <w:noWrap/>
            <w:vAlign w:val="bottom"/>
          </w:tcPr>
          <w:p w:rsidR="008C6A2E" w:rsidRPr="008C6A2E" w:rsidP="008C6A2E" w14:paraId="66A6DE13" w14:textId="2A27EC3A">
            <w:pPr>
              <w:widowControl/>
              <w:autoSpaceDE/>
              <w:autoSpaceDN/>
              <w:adjustRightInd/>
              <w:spacing w:line="256" w:lineRule="auto"/>
              <w:jc w:val="right"/>
              <w:rPr>
                <w:color w:val="000000"/>
              </w:rPr>
            </w:pPr>
          </w:p>
        </w:tc>
        <w:tc>
          <w:tcPr>
            <w:tcW w:w="1505" w:type="dxa"/>
            <w:tcBorders>
              <w:top w:val="nil"/>
              <w:left w:val="nil"/>
              <w:bottom w:val="single" w:sz="4" w:space="0" w:color="auto"/>
              <w:right w:val="single" w:sz="4" w:space="0" w:color="auto"/>
            </w:tcBorders>
            <w:shd w:val="clear" w:color="auto" w:fill="FFFFFF" w:themeFill="background1"/>
            <w:noWrap/>
            <w:vAlign w:val="bottom"/>
          </w:tcPr>
          <w:p w:rsidR="008C6A2E" w:rsidRPr="008C6A2E" w:rsidP="008C6A2E" w14:paraId="2AA273CB" w14:textId="589E4961">
            <w:pPr>
              <w:widowControl/>
              <w:autoSpaceDE/>
              <w:autoSpaceDN/>
              <w:adjustRightInd/>
              <w:spacing w:line="256" w:lineRule="auto"/>
              <w:jc w:val="right"/>
              <w:rPr>
                <w:color w:val="000000"/>
              </w:rPr>
            </w:pPr>
          </w:p>
        </w:tc>
        <w:tc>
          <w:tcPr>
            <w:tcW w:w="1326" w:type="dxa"/>
            <w:tcBorders>
              <w:top w:val="nil"/>
              <w:left w:val="nil"/>
              <w:bottom w:val="single" w:sz="4" w:space="0" w:color="auto"/>
              <w:right w:val="single" w:sz="4" w:space="0" w:color="auto"/>
            </w:tcBorders>
            <w:shd w:val="clear" w:color="auto" w:fill="FFFFFF" w:themeFill="background1"/>
            <w:noWrap/>
            <w:vAlign w:val="bottom"/>
          </w:tcPr>
          <w:p w:rsidR="008C6A2E" w:rsidRPr="008C6A2E" w:rsidP="008C6A2E" w14:paraId="3540F402" w14:textId="4B72060C">
            <w:pPr>
              <w:widowControl/>
              <w:autoSpaceDE/>
              <w:autoSpaceDN/>
              <w:adjustRightInd/>
              <w:spacing w:line="256" w:lineRule="auto"/>
              <w:jc w:val="right"/>
              <w:rPr>
                <w:color w:val="000000"/>
              </w:rPr>
            </w:pPr>
          </w:p>
        </w:tc>
        <w:tc>
          <w:tcPr>
            <w:tcW w:w="1178" w:type="dxa"/>
            <w:tcBorders>
              <w:top w:val="nil"/>
              <w:left w:val="nil"/>
              <w:bottom w:val="single" w:sz="4" w:space="0" w:color="auto"/>
              <w:right w:val="single" w:sz="4" w:space="0" w:color="auto"/>
            </w:tcBorders>
            <w:shd w:val="clear" w:color="auto" w:fill="FFFFFF" w:themeFill="background1"/>
            <w:noWrap/>
            <w:vAlign w:val="bottom"/>
          </w:tcPr>
          <w:p w:rsidR="008C6A2E" w:rsidRPr="008C6A2E" w:rsidP="008C6A2E" w14:paraId="17DDD296" w14:textId="038BFCD9">
            <w:pPr>
              <w:widowControl/>
              <w:autoSpaceDE/>
              <w:autoSpaceDN/>
              <w:adjustRightInd/>
              <w:spacing w:line="256" w:lineRule="auto"/>
              <w:jc w:val="right"/>
              <w:rPr>
                <w:color w:val="000000"/>
              </w:rPr>
            </w:pPr>
          </w:p>
        </w:tc>
        <w:tc>
          <w:tcPr>
            <w:tcW w:w="1554" w:type="dxa"/>
            <w:tcBorders>
              <w:top w:val="nil"/>
              <w:left w:val="nil"/>
              <w:bottom w:val="single" w:sz="4" w:space="0" w:color="auto"/>
              <w:right w:val="single" w:sz="4" w:space="0" w:color="auto"/>
            </w:tcBorders>
            <w:noWrap/>
            <w:vAlign w:val="bottom"/>
            <w:hideMark/>
          </w:tcPr>
          <w:p w:rsidR="008C6A2E" w:rsidRPr="008C6A2E" w:rsidP="008C6A2E" w14:paraId="33E48083" w14:textId="5486367E">
            <w:pPr>
              <w:widowControl/>
              <w:autoSpaceDE/>
              <w:autoSpaceDN/>
              <w:adjustRightInd/>
              <w:spacing w:line="256" w:lineRule="auto"/>
              <w:jc w:val="right"/>
              <w:rPr>
                <w:color w:val="000000"/>
              </w:rPr>
            </w:pPr>
          </w:p>
        </w:tc>
      </w:tr>
      <w:tr w14:paraId="6C8CAC37" w14:textId="77777777" w:rsidTr="00950C6A">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noWrap/>
            <w:vAlign w:val="bottom"/>
            <w:hideMark/>
          </w:tcPr>
          <w:p w:rsidR="008C6A2E" w:rsidRPr="008C6A2E" w:rsidP="008C6A2E" w14:paraId="362BFE21" w14:textId="77777777">
            <w:pPr>
              <w:widowControl/>
              <w:autoSpaceDE/>
              <w:autoSpaceDN/>
              <w:adjustRightInd/>
              <w:spacing w:line="256" w:lineRule="auto"/>
              <w:rPr>
                <w:b/>
                <w:bCs/>
                <w:color w:val="000000"/>
              </w:rPr>
            </w:pPr>
            <w:r w:rsidRPr="008C6A2E">
              <w:rPr>
                <w:b/>
                <w:bCs/>
                <w:color w:val="000000"/>
              </w:rPr>
              <w:t>Totals (Rounded) for FERC-1002</w:t>
            </w:r>
          </w:p>
        </w:tc>
        <w:tc>
          <w:tcPr>
            <w:tcW w:w="1513" w:type="dxa"/>
            <w:tcBorders>
              <w:top w:val="nil"/>
              <w:left w:val="nil"/>
              <w:bottom w:val="single" w:sz="4" w:space="0" w:color="auto"/>
              <w:right w:val="single" w:sz="4" w:space="0" w:color="auto"/>
            </w:tcBorders>
            <w:noWrap/>
            <w:vAlign w:val="bottom"/>
            <w:hideMark/>
          </w:tcPr>
          <w:p w:rsidR="008C6A2E" w:rsidRPr="008C6A2E" w:rsidP="008C6A2E" w14:paraId="50C10A8F" w14:textId="3BE573FD">
            <w:pPr>
              <w:widowControl/>
              <w:autoSpaceDE/>
              <w:autoSpaceDN/>
              <w:adjustRightInd/>
              <w:spacing w:line="256" w:lineRule="auto"/>
              <w:jc w:val="right"/>
              <w:rPr>
                <w:color w:val="000000"/>
              </w:rPr>
            </w:pPr>
            <w:r w:rsidRPr="36CC7E2E">
              <w:rPr>
                <w:color w:val="000000" w:themeColor="text1"/>
              </w:rPr>
              <w:t>2</w:t>
            </w:r>
            <w:r w:rsidRPr="36CC7E2E" w:rsidR="000E7C75">
              <w:rPr>
                <w:color w:val="000000" w:themeColor="text1"/>
              </w:rPr>
              <w:t>,</w:t>
            </w:r>
            <w:r w:rsidR="000E3FF9">
              <w:rPr>
                <w:color w:val="000000" w:themeColor="text1"/>
              </w:rPr>
              <w:t>1</w:t>
            </w:r>
            <w:r w:rsidRPr="36CC7E2E" w:rsidR="5858E460">
              <w:rPr>
                <w:color w:val="000000" w:themeColor="text1"/>
              </w:rPr>
              <w:t>00</w:t>
            </w:r>
          </w:p>
        </w:tc>
        <w:tc>
          <w:tcPr>
            <w:tcW w:w="1505" w:type="dxa"/>
            <w:tcBorders>
              <w:top w:val="nil"/>
              <w:left w:val="nil"/>
              <w:bottom w:val="single" w:sz="4" w:space="0" w:color="auto"/>
              <w:right w:val="single" w:sz="4" w:space="0" w:color="auto"/>
            </w:tcBorders>
            <w:noWrap/>
            <w:vAlign w:val="bottom"/>
            <w:hideMark/>
          </w:tcPr>
          <w:p w:rsidR="008C6A2E" w:rsidRPr="008C6A2E" w:rsidP="008C6A2E" w14:paraId="18BEF03C" w14:textId="77777777">
            <w:pPr>
              <w:widowControl/>
              <w:autoSpaceDE/>
              <w:autoSpaceDN/>
              <w:adjustRightInd/>
              <w:spacing w:line="256" w:lineRule="auto"/>
              <w:rPr>
                <w:color w:val="000000"/>
              </w:rPr>
            </w:pPr>
            <w:r w:rsidRPr="008C6A2E">
              <w:rPr>
                <w:color w:val="000000"/>
              </w:rPr>
              <w:t> </w:t>
            </w:r>
          </w:p>
        </w:tc>
        <w:tc>
          <w:tcPr>
            <w:tcW w:w="1326" w:type="dxa"/>
            <w:tcBorders>
              <w:top w:val="nil"/>
              <w:left w:val="nil"/>
              <w:bottom w:val="single" w:sz="4" w:space="0" w:color="auto"/>
              <w:right w:val="single" w:sz="4" w:space="0" w:color="auto"/>
            </w:tcBorders>
            <w:noWrap/>
            <w:vAlign w:val="bottom"/>
            <w:hideMark/>
          </w:tcPr>
          <w:p w:rsidR="008C6A2E" w:rsidRPr="008C6A2E" w:rsidP="008C6A2E" w14:paraId="7012F0EE" w14:textId="77777777">
            <w:pPr>
              <w:widowControl/>
              <w:autoSpaceDE/>
              <w:autoSpaceDN/>
              <w:adjustRightInd/>
              <w:spacing w:line="256" w:lineRule="auto"/>
              <w:rPr>
                <w:color w:val="000000"/>
              </w:rPr>
            </w:pPr>
            <w:r w:rsidRPr="008C6A2E">
              <w:rPr>
                <w:color w:val="000000"/>
              </w:rPr>
              <w:t> </w:t>
            </w:r>
          </w:p>
        </w:tc>
        <w:tc>
          <w:tcPr>
            <w:tcW w:w="1178" w:type="dxa"/>
            <w:tcBorders>
              <w:top w:val="nil"/>
              <w:left w:val="nil"/>
              <w:bottom w:val="single" w:sz="4" w:space="0" w:color="auto"/>
              <w:right w:val="single" w:sz="4" w:space="0" w:color="auto"/>
            </w:tcBorders>
            <w:noWrap/>
            <w:vAlign w:val="bottom"/>
            <w:hideMark/>
          </w:tcPr>
          <w:p w:rsidR="008C6A2E" w:rsidRPr="008C6A2E" w:rsidP="00A13981" w14:paraId="21B1D113" w14:textId="77777777">
            <w:pPr>
              <w:widowControl/>
              <w:autoSpaceDE/>
              <w:autoSpaceDN/>
              <w:adjustRightInd/>
              <w:spacing w:line="256" w:lineRule="auto"/>
              <w:jc w:val="right"/>
              <w:rPr>
                <w:color w:val="000000"/>
              </w:rPr>
            </w:pPr>
            <w:r w:rsidRPr="008C6A2E">
              <w:rPr>
                <w:color w:val="000000"/>
              </w:rPr>
              <w:t> </w:t>
            </w:r>
          </w:p>
        </w:tc>
        <w:tc>
          <w:tcPr>
            <w:tcW w:w="1554" w:type="dxa"/>
            <w:tcBorders>
              <w:top w:val="nil"/>
              <w:left w:val="nil"/>
              <w:bottom w:val="single" w:sz="4" w:space="0" w:color="auto"/>
              <w:right w:val="single" w:sz="4" w:space="0" w:color="auto"/>
            </w:tcBorders>
            <w:noWrap/>
            <w:vAlign w:val="bottom"/>
            <w:hideMark/>
          </w:tcPr>
          <w:p w:rsidR="008C6A2E" w:rsidRPr="008C6A2E" w:rsidP="00A13981" w14:paraId="3DAE8E0F" w14:textId="70FFEB1D">
            <w:pPr>
              <w:widowControl/>
              <w:autoSpaceDE/>
              <w:autoSpaceDN/>
              <w:adjustRightInd/>
              <w:spacing w:line="256" w:lineRule="auto"/>
              <w:jc w:val="right"/>
              <w:rPr>
                <w:b/>
                <w:bCs/>
                <w:color w:val="000000"/>
              </w:rPr>
            </w:pPr>
            <w:r>
              <w:rPr>
                <w:b/>
                <w:bCs/>
                <w:color w:val="000000" w:themeColor="text1"/>
              </w:rPr>
              <w:t>$16,283</w:t>
            </w:r>
          </w:p>
        </w:tc>
      </w:tr>
      <w:tr w14:paraId="77631D2E" w14:textId="77777777" w:rsidTr="00950C6A">
        <w:tblPrEx>
          <w:tblW w:w="9360" w:type="dxa"/>
          <w:tblLook w:val="04A0"/>
        </w:tblPrEx>
        <w:trPr>
          <w:trHeight w:val="310"/>
        </w:trPr>
        <w:tc>
          <w:tcPr>
            <w:tcW w:w="2284" w:type="dxa"/>
            <w:tcBorders>
              <w:top w:val="nil"/>
              <w:left w:val="single" w:sz="4" w:space="0" w:color="auto"/>
              <w:bottom w:val="single" w:sz="4" w:space="0" w:color="auto"/>
              <w:right w:val="single" w:sz="4" w:space="0" w:color="auto"/>
            </w:tcBorders>
            <w:noWrap/>
            <w:vAlign w:val="bottom"/>
          </w:tcPr>
          <w:p w:rsidR="008C6A2E" w:rsidRPr="008C6A2E" w:rsidP="008C6A2E" w14:paraId="6BB7A0DB" w14:textId="77777777">
            <w:pPr>
              <w:widowControl/>
              <w:autoSpaceDE/>
              <w:autoSpaceDN/>
              <w:adjustRightInd/>
              <w:spacing w:line="256" w:lineRule="auto"/>
              <w:rPr>
                <w:b/>
                <w:bCs/>
                <w:color w:val="000000"/>
              </w:rPr>
            </w:pPr>
          </w:p>
        </w:tc>
        <w:tc>
          <w:tcPr>
            <w:tcW w:w="1513" w:type="dxa"/>
            <w:tcBorders>
              <w:top w:val="nil"/>
              <w:left w:val="nil"/>
              <w:bottom w:val="single" w:sz="4" w:space="0" w:color="auto"/>
              <w:right w:val="single" w:sz="4" w:space="0" w:color="auto"/>
            </w:tcBorders>
            <w:noWrap/>
            <w:vAlign w:val="bottom"/>
          </w:tcPr>
          <w:p w:rsidR="008C6A2E" w:rsidRPr="008C6A2E" w:rsidP="008C6A2E" w14:paraId="7EA2DA88" w14:textId="77777777">
            <w:pPr>
              <w:widowControl/>
              <w:autoSpaceDE/>
              <w:autoSpaceDN/>
              <w:adjustRightInd/>
              <w:spacing w:line="256" w:lineRule="auto"/>
              <w:jc w:val="right"/>
              <w:rPr>
                <w:color w:val="000000"/>
              </w:rPr>
            </w:pPr>
          </w:p>
        </w:tc>
        <w:tc>
          <w:tcPr>
            <w:tcW w:w="1505" w:type="dxa"/>
            <w:tcBorders>
              <w:top w:val="nil"/>
              <w:left w:val="nil"/>
              <w:bottom w:val="single" w:sz="4" w:space="0" w:color="auto"/>
              <w:right w:val="single" w:sz="4" w:space="0" w:color="auto"/>
            </w:tcBorders>
            <w:noWrap/>
            <w:vAlign w:val="bottom"/>
          </w:tcPr>
          <w:p w:rsidR="008C6A2E" w:rsidRPr="008C6A2E" w:rsidP="008C6A2E" w14:paraId="48A67FAD" w14:textId="77777777">
            <w:pPr>
              <w:widowControl/>
              <w:autoSpaceDE/>
              <w:autoSpaceDN/>
              <w:adjustRightInd/>
              <w:spacing w:line="256" w:lineRule="auto"/>
              <w:rPr>
                <w:color w:val="000000"/>
              </w:rPr>
            </w:pPr>
          </w:p>
        </w:tc>
        <w:tc>
          <w:tcPr>
            <w:tcW w:w="1326" w:type="dxa"/>
            <w:tcBorders>
              <w:top w:val="nil"/>
              <w:left w:val="nil"/>
              <w:bottom w:val="single" w:sz="4" w:space="0" w:color="auto"/>
              <w:right w:val="single" w:sz="4" w:space="0" w:color="auto"/>
            </w:tcBorders>
            <w:noWrap/>
            <w:vAlign w:val="bottom"/>
          </w:tcPr>
          <w:p w:rsidR="008C6A2E" w:rsidRPr="008C6A2E" w:rsidP="008C6A2E" w14:paraId="367CFBD2" w14:textId="77777777">
            <w:pPr>
              <w:widowControl/>
              <w:autoSpaceDE/>
              <w:autoSpaceDN/>
              <w:adjustRightInd/>
              <w:spacing w:line="256" w:lineRule="auto"/>
              <w:rPr>
                <w:color w:val="000000"/>
              </w:rPr>
            </w:pPr>
          </w:p>
        </w:tc>
        <w:tc>
          <w:tcPr>
            <w:tcW w:w="1178" w:type="dxa"/>
            <w:tcBorders>
              <w:top w:val="nil"/>
              <w:left w:val="nil"/>
              <w:bottom w:val="single" w:sz="4" w:space="0" w:color="auto"/>
              <w:right w:val="single" w:sz="4" w:space="0" w:color="auto"/>
            </w:tcBorders>
            <w:noWrap/>
            <w:vAlign w:val="bottom"/>
          </w:tcPr>
          <w:p w:rsidR="008C6A2E" w:rsidRPr="008C6A2E" w:rsidP="008C6A2E" w14:paraId="73D5774F" w14:textId="77777777">
            <w:pPr>
              <w:widowControl/>
              <w:autoSpaceDE/>
              <w:autoSpaceDN/>
              <w:adjustRightInd/>
              <w:spacing w:line="256" w:lineRule="auto"/>
              <w:rPr>
                <w:color w:val="000000"/>
              </w:rPr>
            </w:pPr>
          </w:p>
        </w:tc>
        <w:tc>
          <w:tcPr>
            <w:tcW w:w="1554" w:type="dxa"/>
            <w:tcBorders>
              <w:top w:val="nil"/>
              <w:left w:val="nil"/>
              <w:bottom w:val="single" w:sz="4" w:space="0" w:color="auto"/>
              <w:right w:val="single" w:sz="4" w:space="0" w:color="auto"/>
            </w:tcBorders>
            <w:noWrap/>
            <w:vAlign w:val="bottom"/>
          </w:tcPr>
          <w:p w:rsidR="008C6A2E" w:rsidRPr="008C6A2E" w:rsidP="008C6A2E" w14:paraId="5F4F119A" w14:textId="77777777">
            <w:pPr>
              <w:widowControl/>
              <w:autoSpaceDE/>
              <w:autoSpaceDN/>
              <w:adjustRightInd/>
              <w:spacing w:line="256" w:lineRule="auto"/>
              <w:rPr>
                <w:b/>
                <w:bCs/>
                <w:color w:val="000000"/>
              </w:rPr>
            </w:pPr>
          </w:p>
        </w:tc>
      </w:tr>
      <w:tr w14:paraId="6F2F3657" w14:textId="77777777" w:rsidTr="00130DCC">
        <w:tblPrEx>
          <w:tblW w:w="9360" w:type="dxa"/>
          <w:tblLook w:val="04A0"/>
        </w:tblPrEx>
        <w:trPr>
          <w:trHeight w:val="310"/>
        </w:trPr>
        <w:tc>
          <w:tcPr>
            <w:tcW w:w="9360" w:type="dxa"/>
            <w:gridSpan w:val="6"/>
            <w:noWrap/>
            <w:vAlign w:val="bottom"/>
            <w:hideMark/>
          </w:tcPr>
          <w:p w:rsidR="008C6A2E" w:rsidRPr="008C6A2E" w:rsidP="008C6A2E" w14:paraId="30635E8E" w14:textId="55EE93B8">
            <w:pPr>
              <w:widowControl/>
              <w:autoSpaceDE/>
              <w:autoSpaceDN/>
              <w:adjustRightInd/>
              <w:spacing w:line="256" w:lineRule="auto"/>
              <w:jc w:val="center"/>
              <w:rPr>
                <w:sz w:val="20"/>
                <w:szCs w:val="20"/>
              </w:rPr>
            </w:pPr>
            <w:r>
              <w:rPr>
                <w:b/>
                <w:bCs/>
                <w:color w:val="000000"/>
              </w:rPr>
              <w:t xml:space="preserve">Annual </w:t>
            </w:r>
            <w:r w:rsidRPr="008C6A2E">
              <w:rPr>
                <w:b/>
                <w:bCs/>
                <w:color w:val="000000"/>
              </w:rPr>
              <w:t>Total for Proposed FERC-1002</w:t>
            </w:r>
          </w:p>
        </w:tc>
      </w:tr>
      <w:tr w14:paraId="475AF27F" w14:textId="77777777" w:rsidTr="00950C6A">
        <w:tblPrEx>
          <w:tblW w:w="9360" w:type="dxa"/>
          <w:tblLook w:val="04A0"/>
        </w:tblPrEx>
        <w:trPr>
          <w:trHeight w:val="610"/>
        </w:trPr>
        <w:tc>
          <w:tcPr>
            <w:tcW w:w="2284" w:type="dxa"/>
            <w:tcBorders>
              <w:top w:val="nil"/>
              <w:left w:val="nil"/>
              <w:bottom w:val="single" w:sz="4" w:space="0" w:color="auto"/>
              <w:right w:val="single" w:sz="4" w:space="0" w:color="auto"/>
            </w:tcBorders>
            <w:noWrap/>
            <w:vAlign w:val="bottom"/>
            <w:hideMark/>
          </w:tcPr>
          <w:p w:rsidR="008C6A2E" w:rsidRPr="008C6A2E" w:rsidP="008C6A2E" w14:paraId="01448FC3" w14:textId="77777777">
            <w:pPr>
              <w:widowControl/>
              <w:autoSpaceDE/>
              <w:autoSpaceDN/>
              <w:adjustRightInd/>
              <w:spacing w:line="256" w:lineRule="auto"/>
              <w:rPr>
                <w:color w:val="000000"/>
              </w:rPr>
            </w:pPr>
            <w:r w:rsidRPr="008C6A2E">
              <w:rPr>
                <w:color w:val="000000"/>
              </w:rPr>
              <w:t> </w:t>
            </w:r>
          </w:p>
        </w:tc>
        <w:tc>
          <w:tcPr>
            <w:tcW w:w="1513" w:type="dxa"/>
            <w:tcBorders>
              <w:top w:val="single" w:sz="4" w:space="0" w:color="auto"/>
              <w:left w:val="nil"/>
              <w:bottom w:val="single" w:sz="4" w:space="0" w:color="auto"/>
              <w:right w:val="single" w:sz="4" w:space="0" w:color="auto"/>
            </w:tcBorders>
            <w:vAlign w:val="bottom"/>
            <w:hideMark/>
          </w:tcPr>
          <w:p w:rsidR="008C6A2E" w:rsidRPr="008C6A2E" w:rsidP="008C6A2E" w14:paraId="3E4BCB89" w14:textId="77777777">
            <w:pPr>
              <w:widowControl/>
              <w:autoSpaceDE/>
              <w:autoSpaceDN/>
              <w:adjustRightInd/>
              <w:spacing w:line="256" w:lineRule="auto"/>
              <w:rPr>
                <w:b/>
                <w:bCs/>
                <w:color w:val="000000"/>
              </w:rPr>
            </w:pPr>
            <w:r w:rsidRPr="008C6A2E">
              <w:rPr>
                <w:b/>
                <w:bCs/>
                <w:color w:val="000000"/>
              </w:rPr>
              <w:t>Estimated Hour Burden</w:t>
            </w:r>
          </w:p>
        </w:tc>
        <w:tc>
          <w:tcPr>
            <w:tcW w:w="1505" w:type="dxa"/>
            <w:tcBorders>
              <w:top w:val="single" w:sz="4" w:space="0" w:color="auto"/>
              <w:left w:val="nil"/>
              <w:bottom w:val="single" w:sz="4" w:space="0" w:color="auto"/>
              <w:right w:val="single" w:sz="4" w:space="0" w:color="auto"/>
            </w:tcBorders>
            <w:vAlign w:val="bottom"/>
            <w:hideMark/>
          </w:tcPr>
          <w:p w:rsidR="008C6A2E" w:rsidRPr="008C6A2E" w:rsidP="008C6A2E" w14:paraId="7CCC1A3D" w14:textId="77777777">
            <w:pPr>
              <w:widowControl/>
              <w:autoSpaceDE/>
              <w:autoSpaceDN/>
              <w:adjustRightInd/>
              <w:spacing w:line="256" w:lineRule="auto"/>
              <w:rPr>
                <w:b/>
                <w:bCs/>
                <w:color w:val="000000"/>
              </w:rPr>
            </w:pPr>
            <w:r w:rsidRPr="008C6A2E">
              <w:rPr>
                <w:b/>
                <w:bCs/>
                <w:color w:val="000000"/>
              </w:rPr>
              <w:t>Estimated Cost Burden</w:t>
            </w:r>
          </w:p>
        </w:tc>
        <w:tc>
          <w:tcPr>
            <w:tcW w:w="1326" w:type="dxa"/>
            <w:noWrap/>
            <w:vAlign w:val="bottom"/>
            <w:hideMark/>
          </w:tcPr>
          <w:p w:rsidR="008C6A2E" w:rsidRPr="008C6A2E" w:rsidP="008C6A2E" w14:paraId="3D1788CD" w14:textId="77777777">
            <w:pPr>
              <w:widowControl/>
              <w:autoSpaceDE/>
              <w:autoSpaceDN/>
              <w:adjustRightInd/>
              <w:rPr>
                <w:b/>
                <w:bCs/>
                <w:color w:val="000000"/>
              </w:rPr>
            </w:pPr>
          </w:p>
        </w:tc>
        <w:tc>
          <w:tcPr>
            <w:tcW w:w="1178" w:type="dxa"/>
            <w:noWrap/>
            <w:vAlign w:val="bottom"/>
            <w:hideMark/>
          </w:tcPr>
          <w:p w:rsidR="008C6A2E" w:rsidRPr="008C6A2E" w:rsidP="008C6A2E" w14:paraId="4AE7F704" w14:textId="77777777">
            <w:pPr>
              <w:widowControl/>
              <w:autoSpaceDE/>
              <w:autoSpaceDN/>
              <w:adjustRightInd/>
              <w:spacing w:line="256" w:lineRule="auto"/>
              <w:rPr>
                <w:rFonts w:ascii="Calibri" w:hAnsi="Calibri"/>
                <w:sz w:val="20"/>
                <w:szCs w:val="20"/>
              </w:rPr>
            </w:pPr>
          </w:p>
        </w:tc>
        <w:tc>
          <w:tcPr>
            <w:tcW w:w="1554" w:type="dxa"/>
            <w:noWrap/>
            <w:vAlign w:val="bottom"/>
            <w:hideMark/>
          </w:tcPr>
          <w:p w:rsidR="008C6A2E" w:rsidRPr="008C6A2E" w:rsidP="008C6A2E" w14:paraId="3FFC266D" w14:textId="77777777">
            <w:pPr>
              <w:widowControl/>
              <w:autoSpaceDE/>
              <w:autoSpaceDN/>
              <w:adjustRightInd/>
              <w:spacing w:line="256" w:lineRule="auto"/>
              <w:rPr>
                <w:rFonts w:ascii="Calibri" w:hAnsi="Calibri"/>
                <w:sz w:val="20"/>
                <w:szCs w:val="20"/>
              </w:rPr>
            </w:pPr>
          </w:p>
        </w:tc>
      </w:tr>
      <w:tr w14:paraId="2844893A" w14:textId="77777777" w:rsidTr="00950C6A">
        <w:tblPrEx>
          <w:tblW w:w="9360" w:type="dxa"/>
          <w:tblLook w:val="04A0"/>
        </w:tblPrEx>
        <w:trPr>
          <w:trHeight w:val="1210"/>
        </w:trPr>
        <w:tc>
          <w:tcPr>
            <w:tcW w:w="2284" w:type="dxa"/>
            <w:tcBorders>
              <w:top w:val="nil"/>
              <w:left w:val="single" w:sz="4" w:space="0" w:color="auto"/>
              <w:bottom w:val="single" w:sz="4" w:space="0" w:color="auto"/>
              <w:right w:val="single" w:sz="4" w:space="0" w:color="auto"/>
            </w:tcBorders>
            <w:vAlign w:val="bottom"/>
            <w:hideMark/>
          </w:tcPr>
          <w:p w:rsidR="008C6A2E" w:rsidRPr="008C6A2E" w:rsidP="008C6A2E" w14:paraId="0715D63F" w14:textId="40355811">
            <w:pPr>
              <w:widowControl/>
              <w:autoSpaceDE/>
              <w:autoSpaceDN/>
              <w:adjustRightInd/>
              <w:spacing w:line="256" w:lineRule="auto"/>
              <w:rPr>
                <w:b/>
                <w:bCs/>
                <w:color w:val="000000"/>
              </w:rPr>
            </w:pPr>
            <w:r w:rsidRPr="008C6A2E">
              <w:rPr>
                <w:b/>
                <w:bCs/>
                <w:color w:val="000000"/>
              </w:rPr>
              <w:t xml:space="preserve">Estimated Annual Total </w:t>
            </w:r>
            <w:r w:rsidR="00007E66">
              <w:rPr>
                <w:b/>
                <w:bCs/>
                <w:color w:val="000000"/>
              </w:rPr>
              <w:t>(Rounded)</w:t>
            </w:r>
            <w:r w:rsidRPr="008C6A2E">
              <w:rPr>
                <w:b/>
                <w:bCs/>
                <w:color w:val="000000"/>
              </w:rPr>
              <w:t xml:space="preserve"> for Proposed FERC-1002</w:t>
            </w:r>
          </w:p>
        </w:tc>
        <w:tc>
          <w:tcPr>
            <w:tcW w:w="1513" w:type="dxa"/>
            <w:tcBorders>
              <w:top w:val="nil"/>
              <w:left w:val="nil"/>
              <w:bottom w:val="single" w:sz="4" w:space="0" w:color="auto"/>
              <w:right w:val="single" w:sz="4" w:space="0" w:color="auto"/>
            </w:tcBorders>
            <w:noWrap/>
            <w:vAlign w:val="bottom"/>
            <w:hideMark/>
          </w:tcPr>
          <w:p w:rsidR="008C6A2E" w:rsidRPr="008C6A2E" w14:paraId="6BC8D5C6" w14:textId="24EBA4A2">
            <w:pPr>
              <w:widowControl/>
              <w:spacing w:line="256" w:lineRule="auto"/>
              <w:jc w:val="right"/>
              <w:rPr>
                <w:color w:val="000000" w:themeColor="text1"/>
              </w:rPr>
            </w:pPr>
            <w:r>
              <w:rPr>
                <w:color w:val="000000" w:themeColor="text1"/>
              </w:rPr>
              <w:t>179</w:t>
            </w:r>
          </w:p>
        </w:tc>
        <w:tc>
          <w:tcPr>
            <w:tcW w:w="1505" w:type="dxa"/>
            <w:tcBorders>
              <w:top w:val="nil"/>
              <w:left w:val="nil"/>
              <w:bottom w:val="single" w:sz="4" w:space="0" w:color="auto"/>
              <w:right w:val="single" w:sz="4" w:space="0" w:color="auto"/>
            </w:tcBorders>
            <w:noWrap/>
            <w:vAlign w:val="bottom"/>
            <w:hideMark/>
          </w:tcPr>
          <w:p w:rsidR="008C6A2E" w:rsidRPr="008C6A2E" w:rsidP="00EF6941" w14:paraId="12BDF130" w14:textId="7F17A04E">
            <w:pPr>
              <w:widowControl/>
              <w:autoSpaceDE/>
              <w:autoSpaceDN/>
              <w:adjustRightInd/>
              <w:spacing w:line="256" w:lineRule="auto"/>
              <w:jc w:val="right"/>
              <w:rPr>
                <w:color w:val="000000"/>
              </w:rPr>
            </w:pPr>
            <w:r w:rsidRPr="36CC7E2E">
              <w:rPr>
                <w:color w:val="000000" w:themeColor="text1"/>
              </w:rPr>
              <w:t xml:space="preserve"> $</w:t>
            </w:r>
            <w:r w:rsidR="00112915">
              <w:rPr>
                <w:color w:val="000000" w:themeColor="text1"/>
              </w:rPr>
              <w:t>16,283</w:t>
            </w:r>
          </w:p>
        </w:tc>
        <w:tc>
          <w:tcPr>
            <w:tcW w:w="1326" w:type="dxa"/>
            <w:noWrap/>
            <w:vAlign w:val="bottom"/>
            <w:hideMark/>
          </w:tcPr>
          <w:p w:rsidR="008C6A2E" w:rsidRPr="008C6A2E" w:rsidP="008C6A2E" w14:paraId="1BDA736A" w14:textId="77777777">
            <w:pPr>
              <w:widowControl/>
              <w:autoSpaceDE/>
              <w:autoSpaceDN/>
              <w:adjustRightInd/>
              <w:rPr>
                <w:color w:val="000000"/>
              </w:rPr>
            </w:pPr>
          </w:p>
        </w:tc>
        <w:tc>
          <w:tcPr>
            <w:tcW w:w="1178" w:type="dxa"/>
            <w:noWrap/>
            <w:vAlign w:val="bottom"/>
            <w:hideMark/>
          </w:tcPr>
          <w:p w:rsidR="008C6A2E" w:rsidRPr="008C6A2E" w:rsidP="008C6A2E" w14:paraId="268A6D18" w14:textId="77777777">
            <w:pPr>
              <w:widowControl/>
              <w:autoSpaceDE/>
              <w:autoSpaceDN/>
              <w:adjustRightInd/>
              <w:spacing w:line="256" w:lineRule="auto"/>
              <w:rPr>
                <w:rFonts w:ascii="Calibri" w:hAnsi="Calibri"/>
                <w:sz w:val="20"/>
                <w:szCs w:val="20"/>
              </w:rPr>
            </w:pPr>
          </w:p>
        </w:tc>
        <w:tc>
          <w:tcPr>
            <w:tcW w:w="1554" w:type="dxa"/>
            <w:noWrap/>
            <w:vAlign w:val="bottom"/>
            <w:hideMark/>
          </w:tcPr>
          <w:p w:rsidR="008C6A2E" w:rsidRPr="008C6A2E" w:rsidP="008C6A2E" w14:paraId="2788056A" w14:textId="77777777">
            <w:pPr>
              <w:widowControl/>
              <w:autoSpaceDE/>
              <w:autoSpaceDN/>
              <w:adjustRightInd/>
              <w:spacing w:line="256" w:lineRule="auto"/>
              <w:rPr>
                <w:rFonts w:ascii="Calibri" w:hAnsi="Calibri"/>
                <w:sz w:val="20"/>
                <w:szCs w:val="20"/>
              </w:rPr>
            </w:pPr>
          </w:p>
        </w:tc>
      </w:tr>
    </w:tbl>
    <w:p w:rsidR="00C70A5D" w:rsidRPr="00F405D1" w:rsidP="00BB6095" w14:paraId="767D72A9" w14:textId="77777777">
      <w:pPr>
        <w:pStyle w:val="FERCparanumber"/>
        <w:numPr>
          <w:ilvl w:val="0"/>
          <w:numId w:val="0"/>
        </w:numPr>
        <w:rPr>
          <w:b/>
          <w:szCs w:val="26"/>
        </w:rPr>
      </w:pPr>
    </w:p>
    <w:p w:rsidR="009D6B6D" w:rsidRPr="00F405D1" w:rsidP="001D2EC1" w14:paraId="56EC7A22" w14:textId="3F7B748D">
      <w:pPr>
        <w:pStyle w:val="FERCparanumber"/>
        <w:numPr>
          <w:ilvl w:val="0"/>
          <w:numId w:val="7"/>
        </w:numPr>
        <w:rPr>
          <w:szCs w:val="26"/>
        </w:rPr>
      </w:pPr>
      <w:r w:rsidRPr="00F405D1">
        <w:rPr>
          <w:b/>
          <w:szCs w:val="26"/>
        </w:rPr>
        <w:t>ESTIMATE OF THE TOTAL ANNUAL COST BURDEN TO RESPONDENTS</w:t>
      </w:r>
    </w:p>
    <w:p w:rsidR="00EF40FF" w:rsidRPr="00F405D1" w:rsidP="00EF40FF" w14:paraId="49163BBA" w14:textId="77777777">
      <w:pPr>
        <w:pStyle w:val="FERCparanumber"/>
        <w:numPr>
          <w:ilvl w:val="0"/>
          <w:numId w:val="0"/>
        </w:numPr>
        <w:rPr>
          <w:b/>
          <w:szCs w:val="26"/>
        </w:rPr>
      </w:pPr>
    </w:p>
    <w:p w:rsidR="00432DA3" w:rsidRPr="00F405D1" w:rsidP="00432DA3" w14:paraId="74FE178C" w14:textId="77777777">
      <w:pPr>
        <w:widowControl/>
        <w:rPr>
          <w:sz w:val="26"/>
          <w:szCs w:val="26"/>
        </w:rPr>
      </w:pPr>
      <w:r w:rsidRPr="00F405D1">
        <w:rPr>
          <w:sz w:val="26"/>
          <w:szCs w:val="26"/>
        </w:rPr>
        <w:t>There are no non-labor start-up costs. All costs are related to burden hours and are addressed in Questions #12 and #15.</w:t>
      </w:r>
    </w:p>
    <w:p w:rsidR="00EF40FF" w:rsidRPr="00F405D1" w:rsidP="00EF40FF" w14:paraId="52DA52EA" w14:textId="77777777">
      <w:pPr>
        <w:pStyle w:val="FERCparanumber"/>
        <w:numPr>
          <w:ilvl w:val="0"/>
          <w:numId w:val="0"/>
        </w:numPr>
        <w:rPr>
          <w:szCs w:val="26"/>
        </w:rPr>
      </w:pPr>
    </w:p>
    <w:p w:rsidR="00EF40FF" w:rsidRPr="00F405D1" w:rsidP="001D2EC1" w14:paraId="1CABBAFE" w14:textId="77777777">
      <w:pPr>
        <w:pStyle w:val="FERCparanumber"/>
        <w:numPr>
          <w:ilvl w:val="0"/>
          <w:numId w:val="7"/>
        </w:numPr>
        <w:rPr>
          <w:b/>
          <w:szCs w:val="26"/>
        </w:rPr>
      </w:pPr>
      <w:r w:rsidRPr="00F405D1">
        <w:rPr>
          <w:b/>
          <w:szCs w:val="26"/>
        </w:rPr>
        <w:t>ESTIMATED ANNUALIZED COST TO FEDERAL GOVERNMENT</w:t>
      </w:r>
    </w:p>
    <w:p w:rsidR="00EF40FF" w:rsidRPr="00F405D1" w:rsidP="00EF40FF" w14:paraId="03316FE7" w14:textId="58E99D48">
      <w:pPr>
        <w:pStyle w:val="FERCparanumber"/>
        <w:numPr>
          <w:ilvl w:val="0"/>
          <w:numId w:val="0"/>
        </w:numPr>
        <w:rPr>
          <w:b/>
          <w:szCs w:val="26"/>
        </w:rPr>
      </w:pPr>
    </w:p>
    <w:p w:rsidR="00C70A5D" w:rsidP="4029EF50" w14:paraId="2BDFB4F8" w14:textId="13BA99BE">
      <w:pPr>
        <w:widowControl/>
        <w:autoSpaceDE/>
        <w:autoSpaceDN/>
        <w:adjustRightInd/>
        <w:rPr>
          <w:rFonts w:eastAsiaTheme="minorEastAsia"/>
          <w:sz w:val="26"/>
          <w:szCs w:val="26"/>
        </w:rPr>
      </w:pPr>
      <w:r w:rsidRPr="4029EF50">
        <w:rPr>
          <w:rFonts w:eastAsiaTheme="minorEastAsia"/>
          <w:sz w:val="26"/>
          <w:szCs w:val="26"/>
        </w:rPr>
        <w:t xml:space="preserve">The estimate of the cost for analysis and processing of </w:t>
      </w:r>
      <w:r w:rsidRPr="4029EF50" w:rsidR="3ED38C10">
        <w:rPr>
          <w:rFonts w:eastAsiaTheme="minorEastAsia"/>
          <w:sz w:val="26"/>
          <w:szCs w:val="26"/>
        </w:rPr>
        <w:t>information</w:t>
      </w:r>
      <w:r w:rsidRPr="4029EF50">
        <w:rPr>
          <w:rFonts w:eastAsiaTheme="minorEastAsia"/>
          <w:sz w:val="26"/>
          <w:szCs w:val="26"/>
        </w:rPr>
        <w:t xml:space="preserve"> is based on salaries and benefits for professional and clerical support.  This estimated cost represents staff analysis, decision-making, and review of </w:t>
      </w:r>
      <w:r w:rsidRPr="4029EF50" w:rsidR="12DE37E9">
        <w:rPr>
          <w:rFonts w:eastAsiaTheme="minorEastAsia"/>
          <w:sz w:val="26"/>
          <w:szCs w:val="26"/>
        </w:rPr>
        <w:t>responses</w:t>
      </w:r>
      <w:r w:rsidRPr="4029EF50" w:rsidR="004A5FB4">
        <w:rPr>
          <w:rFonts w:eastAsiaTheme="minorEastAsia"/>
          <w:sz w:val="26"/>
          <w:szCs w:val="26"/>
        </w:rPr>
        <w:t xml:space="preserve"> </w:t>
      </w:r>
      <w:r w:rsidR="00DF4299">
        <w:rPr>
          <w:rFonts w:eastAsiaTheme="minorEastAsia"/>
          <w:sz w:val="26"/>
          <w:szCs w:val="26"/>
        </w:rPr>
        <w:t xml:space="preserve">to the </w:t>
      </w:r>
      <w:r w:rsidR="005C2F05">
        <w:rPr>
          <w:rFonts w:eastAsiaTheme="minorEastAsia"/>
          <w:sz w:val="26"/>
          <w:szCs w:val="26"/>
        </w:rPr>
        <w:t>survey</w:t>
      </w:r>
      <w:r w:rsidRPr="4029EF50">
        <w:rPr>
          <w:rFonts w:eastAsiaTheme="minorEastAsia"/>
          <w:sz w:val="26"/>
          <w:szCs w:val="26"/>
        </w:rPr>
        <w:t>.</w:t>
      </w:r>
    </w:p>
    <w:p w:rsidR="00960F73" w:rsidP="00C70A5D" w14:paraId="7ECABB6A" w14:textId="08A08553">
      <w:pPr>
        <w:widowControl/>
        <w:autoSpaceDE/>
        <w:autoSpaceDN/>
        <w:adjustRightInd/>
        <w:rPr>
          <w:rFonts w:eastAsiaTheme="minorHAnsi"/>
          <w:sz w:val="26"/>
          <w:szCs w:val="26"/>
        </w:rPr>
      </w:pPr>
    </w:p>
    <w:p w:rsidR="00C70A5D" w:rsidP="00C70A5D" w14:paraId="402E5C78" w14:textId="6F5B42AD">
      <w:pPr>
        <w:widowControl/>
        <w:autoSpaceDE/>
        <w:autoSpaceDN/>
        <w:adjustRightInd/>
        <w:rPr>
          <w:sz w:val="26"/>
          <w:szCs w:val="26"/>
        </w:rPr>
      </w:pPr>
      <w:r w:rsidRPr="00197BC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w:t>
      </w:r>
      <w:r>
        <w:rPr>
          <w:sz w:val="26"/>
          <w:szCs w:val="26"/>
        </w:rPr>
        <w:t>n.</w:t>
      </w:r>
    </w:p>
    <w:p w:rsidR="00084776" w:rsidP="00C70A5D" w14:paraId="4D47BB75" w14:textId="07080AED">
      <w:pPr>
        <w:widowControl/>
        <w:autoSpaceDE/>
        <w:autoSpaceDN/>
        <w:adjustRightInd/>
        <w:rPr>
          <w:sz w:val="26"/>
          <w:szCs w:val="26"/>
        </w:rPr>
      </w:pPr>
    </w:p>
    <w:p w:rsidR="00EF40FF" w:rsidRPr="00F405D1" w:rsidP="00EF40FF" w14:paraId="1A9EAB4A" w14:textId="77777777">
      <w:pPr>
        <w:pStyle w:val="ListParagraph"/>
        <w:spacing w:after="0" w:line="240" w:lineRule="auto"/>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075B8A8A" w14:textId="77777777" w:rsidTr="73D440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themeFill="background1" w:themeFillShade="D9"/>
            <w:vAlign w:val="center"/>
          </w:tcPr>
          <w:p w:rsidR="00EF40FF" w:rsidRPr="00F405D1" w:rsidP="009235C7" w14:paraId="541DFC77" w14:textId="77777777">
            <w:pPr>
              <w:pStyle w:val="ListParagraph"/>
              <w:spacing w:after="0" w:line="240" w:lineRule="auto"/>
              <w:ind w:left="0"/>
              <w:rPr>
                <w:rFonts w:ascii="Times New Roman" w:hAnsi="Times New Roman"/>
                <w:b/>
                <w:sz w:val="26"/>
                <w:szCs w:val="26"/>
              </w:rPr>
            </w:pPr>
          </w:p>
        </w:tc>
        <w:tc>
          <w:tcPr>
            <w:tcW w:w="1627" w:type="pct"/>
            <w:shd w:val="clear" w:color="auto" w:fill="D9D9D9" w:themeFill="background1" w:themeFillShade="D9"/>
            <w:vAlign w:val="center"/>
          </w:tcPr>
          <w:p w:rsidR="00EF40FF" w:rsidRPr="00F405D1" w:rsidP="009235C7" w14:paraId="1D6B561F"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Number of Employees (FTE)</w:t>
            </w:r>
          </w:p>
        </w:tc>
        <w:tc>
          <w:tcPr>
            <w:tcW w:w="1617" w:type="pct"/>
            <w:shd w:val="clear" w:color="auto" w:fill="D9D9D9" w:themeFill="background1" w:themeFillShade="D9"/>
            <w:vAlign w:val="center"/>
          </w:tcPr>
          <w:p w:rsidR="00EF40FF" w:rsidRPr="00F405D1" w:rsidP="009235C7" w14:paraId="39D3A486"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Estimated Annual Federal Cost</w:t>
            </w:r>
          </w:p>
        </w:tc>
      </w:tr>
      <w:tr w14:paraId="43E764C3" w14:textId="77777777" w:rsidTr="73D44049">
        <w:tblPrEx>
          <w:tblW w:w="5000" w:type="pct"/>
          <w:tblLook w:val="01E0"/>
        </w:tblPrEx>
        <w:tc>
          <w:tcPr>
            <w:tcW w:w="1756" w:type="pct"/>
            <w:shd w:val="clear" w:color="auto" w:fill="auto"/>
            <w:vAlign w:val="center"/>
          </w:tcPr>
          <w:p w:rsidR="00EF40FF" w:rsidRPr="00F405D1" w:rsidP="009235C7" w14:paraId="5DDE8C26" w14:textId="5E695E2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 xml:space="preserve">Analysis and Processing of </w:t>
            </w:r>
            <w:r w:rsidRPr="4296BF2D" w:rsidR="45FDF602">
              <w:rPr>
                <w:rFonts w:ascii="Times New Roman" w:hAnsi="Times New Roman"/>
                <w:sz w:val="26"/>
                <w:szCs w:val="26"/>
              </w:rPr>
              <w:t>Information</w:t>
            </w:r>
            <w:r>
              <w:rPr>
                <w:rStyle w:val="FootnoteReference"/>
                <w:rFonts w:ascii="Times New Roman" w:hAnsi="Times New Roman"/>
                <w:sz w:val="26"/>
                <w:szCs w:val="26"/>
                <w:vertAlign w:val="superscript"/>
              </w:rPr>
              <w:footnoteReference w:id="8"/>
            </w:r>
          </w:p>
        </w:tc>
        <w:tc>
          <w:tcPr>
            <w:tcW w:w="1627" w:type="pct"/>
            <w:shd w:val="clear" w:color="auto" w:fill="auto"/>
            <w:vAlign w:val="center"/>
          </w:tcPr>
          <w:p w:rsidR="00905284" w:rsidRPr="00AA648D" w:rsidP="36CC7E2E" w14:paraId="3DB37A9A" w14:textId="603BF18C">
            <w:pPr>
              <w:pStyle w:val="ListParagraph"/>
              <w:spacing w:after="0" w:line="240" w:lineRule="auto"/>
              <w:ind w:left="0"/>
              <w:jc w:val="right"/>
              <w:rPr>
                <w:rFonts w:ascii="Times New Roman" w:hAnsi="Times New Roman"/>
                <w:sz w:val="26"/>
                <w:szCs w:val="26"/>
              </w:rPr>
            </w:pPr>
            <w:r w:rsidRPr="73D44049">
              <w:rPr>
                <w:rFonts w:ascii="Times New Roman" w:hAnsi="Times New Roman"/>
                <w:sz w:val="26"/>
                <w:szCs w:val="26"/>
              </w:rPr>
              <w:t>2</w:t>
            </w:r>
          </w:p>
        </w:tc>
        <w:tc>
          <w:tcPr>
            <w:tcW w:w="1617" w:type="pct"/>
            <w:shd w:val="clear" w:color="auto" w:fill="auto"/>
            <w:vAlign w:val="center"/>
          </w:tcPr>
          <w:p w:rsidR="00EF40FF" w:rsidRPr="00BB7B87" w14:paraId="297335E5" w14:textId="37E7D5F3">
            <w:pPr>
              <w:pStyle w:val="ListParagraph"/>
              <w:spacing w:after="0" w:line="240" w:lineRule="auto"/>
              <w:ind w:left="0"/>
              <w:jc w:val="right"/>
              <w:rPr>
                <w:rFonts w:ascii="Times New Roman" w:hAnsi="Times New Roman"/>
                <w:sz w:val="26"/>
                <w:szCs w:val="26"/>
              </w:rPr>
            </w:pPr>
            <w:r w:rsidRPr="73D44049">
              <w:rPr>
                <w:rFonts w:ascii="Times New Roman" w:hAnsi="Times New Roman"/>
                <w:sz w:val="26"/>
                <w:szCs w:val="26"/>
              </w:rPr>
              <w:t>$</w:t>
            </w:r>
            <w:r w:rsidR="00230273">
              <w:rPr>
                <w:rFonts w:ascii="Times New Roman" w:hAnsi="Times New Roman"/>
                <w:sz w:val="26"/>
                <w:szCs w:val="26"/>
              </w:rPr>
              <w:t>377,844</w:t>
            </w:r>
          </w:p>
        </w:tc>
      </w:tr>
      <w:tr w14:paraId="6EC91E82" w14:textId="77777777" w:rsidTr="73D44049">
        <w:tblPrEx>
          <w:tblW w:w="5000" w:type="pct"/>
          <w:tblLook w:val="01E0"/>
        </w:tblPrEx>
        <w:tc>
          <w:tcPr>
            <w:tcW w:w="1756" w:type="pct"/>
            <w:shd w:val="clear" w:color="auto" w:fill="auto"/>
            <w:vAlign w:val="center"/>
          </w:tcPr>
          <w:p w:rsidR="00EF40FF" w:rsidRPr="00F405D1" w:rsidP="009235C7" w14:paraId="1F116D20" w14:textId="757C47F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PRA</w:t>
            </w:r>
            <w:r>
              <w:rPr>
                <w:rStyle w:val="FootnoteReference"/>
                <w:rFonts w:ascii="Times New Roman" w:hAnsi="Times New Roman"/>
                <w:sz w:val="26"/>
                <w:szCs w:val="26"/>
                <w:vertAlign w:val="superscript"/>
              </w:rPr>
              <w:footnoteReference w:id="9"/>
            </w:r>
            <w:r w:rsidRPr="00F405D1">
              <w:rPr>
                <w:rFonts w:ascii="Times New Roman" w:hAnsi="Times New Roman"/>
                <w:sz w:val="26"/>
                <w:szCs w:val="26"/>
              </w:rPr>
              <w:t xml:space="preserve"> Administrative Cost</w:t>
            </w:r>
            <w:r>
              <w:rPr>
                <w:rStyle w:val="FootnoteReference"/>
                <w:rFonts w:ascii="Times New Roman" w:hAnsi="Times New Roman"/>
                <w:sz w:val="26"/>
                <w:szCs w:val="26"/>
                <w:vertAlign w:val="superscript"/>
              </w:rPr>
              <w:footnoteReference w:id="10"/>
            </w:r>
          </w:p>
        </w:tc>
        <w:tc>
          <w:tcPr>
            <w:tcW w:w="1627" w:type="pct"/>
            <w:shd w:val="clear" w:color="auto" w:fill="D9D9D9" w:themeFill="background1" w:themeFillShade="D9"/>
            <w:vAlign w:val="center"/>
          </w:tcPr>
          <w:p w:rsidR="00EF40FF" w:rsidRPr="00F405D1" w:rsidP="009235C7" w14:paraId="7A9427C2"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F405D1" w:rsidP="009235C7" w14:paraId="20C63417" w14:textId="1C28D459">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$7,964</w:t>
            </w:r>
          </w:p>
        </w:tc>
      </w:tr>
      <w:tr w14:paraId="79A2256A" w14:textId="77777777" w:rsidTr="73D44049">
        <w:tblPrEx>
          <w:tblW w:w="5000" w:type="pct"/>
          <w:tblLook w:val="01E0"/>
        </w:tblPrEx>
        <w:tc>
          <w:tcPr>
            <w:tcW w:w="1756" w:type="pct"/>
            <w:shd w:val="clear" w:color="auto" w:fill="auto"/>
            <w:vAlign w:val="center"/>
          </w:tcPr>
          <w:p w:rsidR="00732926" w:rsidRPr="00F405D1" w:rsidP="009235C7" w14:paraId="38BC8353" w14:textId="54D5C023">
            <w:pPr>
              <w:pStyle w:val="ListParagraph"/>
              <w:spacing w:after="0" w:line="240" w:lineRule="auto"/>
              <w:ind w:left="0"/>
              <w:rPr>
                <w:rFonts w:ascii="Times New Roman" w:hAnsi="Times New Roman"/>
                <w:sz w:val="26"/>
                <w:szCs w:val="26"/>
              </w:rPr>
            </w:pPr>
            <w:r w:rsidRPr="4296BF2D">
              <w:rPr>
                <w:rFonts w:ascii="Times New Roman" w:hAnsi="Times New Roman"/>
                <w:sz w:val="26"/>
                <w:szCs w:val="26"/>
              </w:rPr>
              <w:t>IT system work</w:t>
            </w:r>
            <w:r w:rsidRPr="4296BF2D" w:rsidR="00C36FD0">
              <w:rPr>
                <w:rFonts w:ascii="Times New Roman" w:hAnsi="Times New Roman"/>
                <w:sz w:val="26"/>
                <w:szCs w:val="26"/>
              </w:rPr>
              <w:t xml:space="preserve"> </w:t>
            </w:r>
          </w:p>
        </w:tc>
        <w:tc>
          <w:tcPr>
            <w:tcW w:w="1627" w:type="pct"/>
            <w:shd w:val="clear" w:color="auto" w:fill="D9D9D9" w:themeFill="background1" w:themeFillShade="D9"/>
            <w:vAlign w:val="center"/>
          </w:tcPr>
          <w:p w:rsidR="00732926" w:rsidRPr="00F405D1" w:rsidP="009235C7" w14:paraId="3306CE69"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732926" w:rsidP="009235C7" w14:paraId="27296205" w14:textId="5AD1DB01">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w:t>
            </w:r>
            <w:r w:rsidR="008D6E46">
              <w:rPr>
                <w:rFonts w:ascii="Times New Roman" w:hAnsi="Times New Roman"/>
                <w:sz w:val="26"/>
                <w:szCs w:val="26"/>
              </w:rPr>
              <w:t>645,000</w:t>
            </w:r>
          </w:p>
        </w:tc>
      </w:tr>
      <w:tr w14:paraId="147F0E38" w14:textId="77777777" w:rsidTr="73D44049">
        <w:tblPrEx>
          <w:tblW w:w="5000" w:type="pct"/>
          <w:tblLook w:val="01E0"/>
        </w:tblPrEx>
        <w:tc>
          <w:tcPr>
            <w:tcW w:w="1756" w:type="pct"/>
            <w:shd w:val="clear" w:color="auto" w:fill="auto"/>
            <w:vAlign w:val="center"/>
          </w:tcPr>
          <w:p w:rsidR="00EF40FF" w:rsidRPr="00E61D47" w:rsidP="009235C7" w14:paraId="34A45E5C" w14:textId="77777777">
            <w:pPr>
              <w:pStyle w:val="ListParagraph"/>
              <w:spacing w:after="0" w:line="240" w:lineRule="auto"/>
              <w:ind w:left="0"/>
              <w:rPr>
                <w:rFonts w:ascii="Times New Roman" w:hAnsi="Times New Roman"/>
                <w:b/>
                <w:bCs/>
                <w:sz w:val="26"/>
                <w:szCs w:val="26"/>
              </w:rPr>
            </w:pPr>
            <w:r w:rsidRPr="00E61D47">
              <w:rPr>
                <w:rFonts w:ascii="Times New Roman" w:hAnsi="Times New Roman"/>
                <w:b/>
                <w:bCs/>
                <w:sz w:val="26"/>
                <w:szCs w:val="26"/>
              </w:rPr>
              <w:t>FERC Total</w:t>
            </w:r>
          </w:p>
        </w:tc>
        <w:tc>
          <w:tcPr>
            <w:tcW w:w="1627" w:type="pct"/>
            <w:shd w:val="clear" w:color="auto" w:fill="D9D9D9" w:themeFill="background1" w:themeFillShade="D9"/>
            <w:vAlign w:val="center"/>
          </w:tcPr>
          <w:p w:rsidR="00EF40FF" w:rsidRPr="00944224" w:rsidP="009235C7" w14:paraId="20C4B01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944224" w:rsidP="009235C7" w14:paraId="34A40C77" w14:textId="3DEF6924">
            <w:pPr>
              <w:pStyle w:val="ListParagraph"/>
              <w:spacing w:after="0" w:line="240" w:lineRule="auto"/>
              <w:ind w:left="0"/>
              <w:jc w:val="right"/>
              <w:rPr>
                <w:rFonts w:ascii="Times New Roman" w:hAnsi="Times New Roman"/>
                <w:sz w:val="26"/>
                <w:szCs w:val="26"/>
              </w:rPr>
            </w:pPr>
            <w:r w:rsidRPr="73D44049">
              <w:rPr>
                <w:rFonts w:ascii="Times New Roman" w:hAnsi="Times New Roman"/>
                <w:sz w:val="26"/>
                <w:szCs w:val="26"/>
              </w:rPr>
              <w:t>$</w:t>
            </w:r>
            <w:r w:rsidRPr="73D44049" w:rsidR="52EABB4C">
              <w:rPr>
                <w:rFonts w:ascii="Times New Roman" w:hAnsi="Times New Roman"/>
                <w:sz w:val="26"/>
                <w:szCs w:val="26"/>
              </w:rPr>
              <w:t>1,</w:t>
            </w:r>
            <w:r w:rsidR="00487413">
              <w:rPr>
                <w:rFonts w:ascii="Times New Roman" w:hAnsi="Times New Roman"/>
                <w:sz w:val="26"/>
                <w:szCs w:val="26"/>
              </w:rPr>
              <w:t>030</w:t>
            </w:r>
            <w:r w:rsidR="00B976EB">
              <w:rPr>
                <w:rFonts w:ascii="Times New Roman" w:hAnsi="Times New Roman"/>
                <w:sz w:val="26"/>
                <w:szCs w:val="26"/>
              </w:rPr>
              <w:t>,808</w:t>
            </w:r>
            <w:r w:rsidRPr="73D44049" w:rsidR="1738DF84">
              <w:rPr>
                <w:rFonts w:ascii="Times New Roman" w:hAnsi="Times New Roman"/>
                <w:sz w:val="26"/>
                <w:szCs w:val="26"/>
              </w:rPr>
              <w:t xml:space="preserve"> (</w:t>
            </w:r>
            <w:r w:rsidRPr="73D44049" w:rsidR="75E5AF07">
              <w:rPr>
                <w:rFonts w:ascii="Times New Roman" w:hAnsi="Times New Roman"/>
                <w:sz w:val="26"/>
                <w:szCs w:val="26"/>
              </w:rPr>
              <w:t xml:space="preserve">in </w:t>
            </w:r>
            <w:r w:rsidRPr="73D44049" w:rsidR="1738DF84">
              <w:rPr>
                <w:rFonts w:ascii="Times New Roman" w:hAnsi="Times New Roman"/>
                <w:sz w:val="26"/>
                <w:szCs w:val="26"/>
              </w:rPr>
              <w:t>Year 1 with IT cost significantly lower in subsequent years)</w:t>
            </w:r>
          </w:p>
        </w:tc>
      </w:tr>
    </w:tbl>
    <w:p w:rsidR="00EF40FF" w:rsidRPr="00F405D1" w:rsidP="00EF40FF" w14:paraId="7FA9AB77" w14:textId="77777777">
      <w:pPr>
        <w:pStyle w:val="FERCparanumber"/>
        <w:numPr>
          <w:ilvl w:val="0"/>
          <w:numId w:val="0"/>
        </w:numPr>
        <w:rPr>
          <w:b/>
          <w:szCs w:val="26"/>
        </w:rPr>
      </w:pPr>
    </w:p>
    <w:p w:rsidR="00EF40FF" w:rsidRPr="00F405D1" w:rsidP="001D2EC1" w14:paraId="2B23EC0B" w14:textId="77777777">
      <w:pPr>
        <w:pStyle w:val="FERCparanumber"/>
        <w:numPr>
          <w:ilvl w:val="0"/>
          <w:numId w:val="7"/>
        </w:numPr>
        <w:rPr>
          <w:b/>
          <w:szCs w:val="26"/>
        </w:rPr>
      </w:pPr>
      <w:r w:rsidRPr="00F405D1">
        <w:rPr>
          <w:b/>
          <w:szCs w:val="26"/>
        </w:rPr>
        <w:t>REASONS FOR CHANGES IN BURDEN INCLUDING THE NEED FOR ANY INCREASE</w:t>
      </w:r>
    </w:p>
    <w:p w:rsidR="00A90D43" w:rsidRPr="00F405D1" w:rsidP="00EF40FF" w14:paraId="0162923D" w14:textId="22A60FF3">
      <w:pPr>
        <w:widowControl/>
        <w:rPr>
          <w:sz w:val="26"/>
          <w:szCs w:val="26"/>
        </w:rPr>
      </w:pPr>
    </w:p>
    <w:p w:rsidR="00C2490C" w:rsidRPr="00130DCC" w:rsidP="00885617" w14:paraId="238C8EC4" w14:textId="53C4BAE5">
      <w:pPr>
        <w:widowControl/>
        <w:rPr>
          <w:b/>
          <w:sz w:val="26"/>
          <w:szCs w:val="26"/>
        </w:rPr>
      </w:pPr>
      <w:r w:rsidRPr="4E0CA784">
        <w:rPr>
          <w:sz w:val="26"/>
          <w:szCs w:val="26"/>
        </w:rPr>
        <w:t xml:space="preserve">The collection of </w:t>
      </w:r>
      <w:r w:rsidRPr="001E2F04">
        <w:rPr>
          <w:sz w:val="26"/>
          <w:szCs w:val="26"/>
        </w:rPr>
        <w:t xml:space="preserve">information is necessary to help members of the </w:t>
      </w:r>
      <w:r w:rsidRPr="001E2F04" w:rsidR="00557AA5">
        <w:rPr>
          <w:sz w:val="26"/>
          <w:szCs w:val="26"/>
        </w:rPr>
        <w:t xml:space="preserve">public </w:t>
      </w:r>
      <w:r w:rsidR="00557AA5">
        <w:rPr>
          <w:sz w:val="26"/>
          <w:szCs w:val="26"/>
        </w:rPr>
        <w:t xml:space="preserve">and </w:t>
      </w:r>
      <w:r w:rsidRPr="001E2F04">
        <w:rPr>
          <w:sz w:val="26"/>
          <w:szCs w:val="26"/>
        </w:rPr>
        <w:t xml:space="preserve">regulated community </w:t>
      </w:r>
      <w:r w:rsidRPr="00130DCC">
        <w:rPr>
          <w:sz w:val="26"/>
          <w:szCs w:val="26"/>
        </w:rPr>
        <w:t>understand FERC matters</w:t>
      </w:r>
      <w:r w:rsidR="00557AA5">
        <w:t xml:space="preserve"> and </w:t>
      </w:r>
      <w:r w:rsidRPr="00130DCC">
        <w:rPr>
          <w:sz w:val="26"/>
          <w:szCs w:val="26"/>
        </w:rPr>
        <w:t>to participate in FERC proceedings that</w:t>
      </w:r>
      <w:r w:rsidRPr="00130DCC" w:rsidR="00D2331C">
        <w:rPr>
          <w:sz w:val="26"/>
          <w:szCs w:val="26"/>
        </w:rPr>
        <w:t xml:space="preserve"> may</w:t>
      </w:r>
      <w:r w:rsidRPr="00130DCC">
        <w:rPr>
          <w:sz w:val="26"/>
          <w:szCs w:val="26"/>
        </w:rPr>
        <w:t xml:space="preserve"> result in agency actions </w:t>
      </w:r>
      <w:r w:rsidRPr="00130DCC" w:rsidR="00D2331C">
        <w:rPr>
          <w:sz w:val="26"/>
          <w:szCs w:val="26"/>
        </w:rPr>
        <w:t>affecting</w:t>
      </w:r>
      <w:r w:rsidRPr="00130DCC">
        <w:rPr>
          <w:sz w:val="26"/>
          <w:szCs w:val="26"/>
        </w:rPr>
        <w:t xml:space="preserve"> their </w:t>
      </w:r>
      <w:r w:rsidRPr="00130DCC" w:rsidR="00557AA5">
        <w:rPr>
          <w:sz w:val="26"/>
          <w:szCs w:val="26"/>
        </w:rPr>
        <w:t xml:space="preserve">communities, </w:t>
      </w:r>
      <w:r w:rsidRPr="00130DCC">
        <w:rPr>
          <w:sz w:val="26"/>
          <w:szCs w:val="26"/>
        </w:rPr>
        <w:t>business</w:t>
      </w:r>
      <w:r w:rsidRPr="00130DCC" w:rsidR="00557AA5">
        <w:rPr>
          <w:sz w:val="26"/>
          <w:szCs w:val="26"/>
        </w:rPr>
        <w:t>es,</w:t>
      </w:r>
      <w:r w:rsidRPr="00130DCC" w:rsidR="00CB3B79">
        <w:rPr>
          <w:sz w:val="26"/>
          <w:szCs w:val="26"/>
        </w:rPr>
        <w:t xml:space="preserve"> or property</w:t>
      </w:r>
      <w:r w:rsidR="00557AA5">
        <w:rPr>
          <w:sz w:val="26"/>
          <w:szCs w:val="26"/>
        </w:rPr>
        <w:t>.</w:t>
      </w:r>
    </w:p>
    <w:p w:rsidR="00990A5E" w:rsidP="00545B62" w14:paraId="6CB7D643" w14:textId="3A6A5910">
      <w:pPr>
        <w:rPr>
          <w:sz w:val="26"/>
          <w:szCs w:val="26"/>
        </w:rPr>
      </w:pPr>
    </w:p>
    <w:p w:rsidR="00545B62" w:rsidRPr="00F405D1" w:rsidP="00545B62" w14:paraId="1A559D32" w14:textId="37E5248C">
      <w:pPr>
        <w:rPr>
          <w:sz w:val="26"/>
          <w:szCs w:val="26"/>
        </w:rPr>
      </w:pPr>
      <w:r w:rsidRPr="00F405D1">
        <w:rPr>
          <w:sz w:val="26"/>
          <w:szCs w:val="26"/>
        </w:rPr>
        <w:t>The following table shows the total burden of the collection of information</w:t>
      </w:r>
      <w:r w:rsidR="00317C67">
        <w:rPr>
          <w:sz w:val="26"/>
          <w:szCs w:val="26"/>
        </w:rPr>
        <w:t xml:space="preserve"> (figures rounded)</w:t>
      </w:r>
      <w:r w:rsidRPr="00F405D1">
        <w:rPr>
          <w:sz w:val="26"/>
          <w:szCs w:val="26"/>
        </w:rPr>
        <w:t>.  The format, labels, and definitions of the table follow the ROCIS submission system’s “Information Collection Request Summary of Burden” for the metadata.</w:t>
      </w:r>
    </w:p>
    <w:p w:rsidR="00EF40FF" w:rsidRPr="00F405D1" w:rsidP="00EF40FF" w14:paraId="617C559D" w14:textId="156F8B76">
      <w:pPr>
        <w:widowControl/>
        <w:tabs>
          <w:tab w:val="left" w:pos="2394"/>
        </w:tabs>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60488A11" w14:textId="77777777" w:rsidTr="36CC7E2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shd w:val="clear" w:color="auto" w:fill="D9D9D9" w:themeFill="background1" w:themeFillShade="D9"/>
            <w:vAlign w:val="bottom"/>
          </w:tcPr>
          <w:p w:rsidR="00EF40FF" w:rsidRPr="00F405D1" w:rsidP="009235C7" w14:paraId="79ED48B0" w14:textId="34D4AF13">
            <w:pPr>
              <w:jc w:val="center"/>
              <w:rPr>
                <w:b/>
                <w:sz w:val="26"/>
                <w:szCs w:val="26"/>
              </w:rPr>
            </w:pPr>
            <w:r>
              <w:rPr>
                <w:b/>
                <w:sz w:val="26"/>
                <w:szCs w:val="26"/>
              </w:rPr>
              <w:t xml:space="preserve">FERC-1002 </w:t>
            </w:r>
          </w:p>
        </w:tc>
        <w:tc>
          <w:tcPr>
            <w:tcW w:w="829" w:type="pct"/>
            <w:shd w:val="clear" w:color="auto" w:fill="D9D9D9" w:themeFill="background1" w:themeFillShade="D9"/>
            <w:vAlign w:val="bottom"/>
          </w:tcPr>
          <w:p w:rsidR="00EF40FF" w:rsidRPr="00F405D1" w:rsidP="009235C7" w14:paraId="1F0A9448" w14:textId="277CC820">
            <w:pPr>
              <w:jc w:val="center"/>
              <w:rPr>
                <w:b/>
                <w:sz w:val="26"/>
                <w:szCs w:val="26"/>
              </w:rPr>
            </w:pPr>
            <w:r w:rsidRPr="00F405D1">
              <w:rPr>
                <w:b/>
                <w:sz w:val="26"/>
                <w:szCs w:val="26"/>
              </w:rPr>
              <w:t>Total Request</w:t>
            </w:r>
            <w:r w:rsidR="0075431D">
              <w:rPr>
                <w:b/>
                <w:sz w:val="26"/>
                <w:szCs w:val="26"/>
              </w:rPr>
              <w:t xml:space="preserve"> (rounded)</w:t>
            </w:r>
          </w:p>
        </w:tc>
        <w:tc>
          <w:tcPr>
            <w:tcW w:w="854" w:type="pct"/>
            <w:shd w:val="clear" w:color="auto" w:fill="D9D9D9" w:themeFill="background1" w:themeFillShade="D9"/>
            <w:vAlign w:val="bottom"/>
          </w:tcPr>
          <w:p w:rsidR="00EF40FF" w:rsidRPr="00F405D1" w:rsidP="009235C7" w14:paraId="73E749DF" w14:textId="77777777">
            <w:pPr>
              <w:jc w:val="center"/>
              <w:rPr>
                <w:b/>
                <w:sz w:val="26"/>
                <w:szCs w:val="26"/>
              </w:rPr>
            </w:pPr>
            <w:r w:rsidRPr="00F405D1">
              <w:rPr>
                <w:b/>
                <w:sz w:val="26"/>
                <w:szCs w:val="26"/>
              </w:rPr>
              <w:t>Previously Approved</w:t>
            </w:r>
          </w:p>
        </w:tc>
        <w:tc>
          <w:tcPr>
            <w:tcW w:w="1010" w:type="pct"/>
            <w:shd w:val="clear" w:color="auto" w:fill="D9D9D9" w:themeFill="background1" w:themeFillShade="D9"/>
            <w:vAlign w:val="bottom"/>
          </w:tcPr>
          <w:p w:rsidR="00EF40FF" w:rsidRPr="00F405D1" w:rsidP="009235C7" w14:paraId="0B09E74D" w14:textId="1D16A6E4">
            <w:pPr>
              <w:jc w:val="center"/>
              <w:rPr>
                <w:b/>
                <w:sz w:val="26"/>
                <w:szCs w:val="26"/>
              </w:rPr>
            </w:pPr>
            <w:r w:rsidRPr="00F405D1">
              <w:rPr>
                <w:b/>
                <w:sz w:val="26"/>
                <w:szCs w:val="26"/>
              </w:rPr>
              <w:t>Change due to Adjustment in Estimate</w:t>
            </w:r>
            <w:r w:rsidR="00BC4827">
              <w:rPr>
                <w:b/>
                <w:sz w:val="26"/>
                <w:szCs w:val="26"/>
              </w:rPr>
              <w:t xml:space="preserve"> (rounded)</w:t>
            </w:r>
          </w:p>
        </w:tc>
        <w:tc>
          <w:tcPr>
            <w:tcW w:w="865" w:type="pct"/>
            <w:shd w:val="clear" w:color="auto" w:fill="D9D9D9" w:themeFill="background1" w:themeFillShade="D9"/>
            <w:vAlign w:val="bottom"/>
          </w:tcPr>
          <w:p w:rsidR="00EF40FF" w:rsidRPr="00F405D1" w:rsidP="009235C7" w14:paraId="15FB2F0C" w14:textId="77777777">
            <w:pPr>
              <w:jc w:val="center"/>
              <w:rPr>
                <w:b/>
                <w:sz w:val="26"/>
                <w:szCs w:val="26"/>
              </w:rPr>
            </w:pPr>
            <w:r w:rsidRPr="00F405D1">
              <w:rPr>
                <w:b/>
                <w:sz w:val="26"/>
                <w:szCs w:val="26"/>
              </w:rPr>
              <w:t>Change Due to Agency Discretion</w:t>
            </w:r>
          </w:p>
        </w:tc>
      </w:tr>
      <w:tr w14:paraId="1AEF2CD1" w14:textId="77777777" w:rsidTr="36CC7E2E">
        <w:tblPrEx>
          <w:tblW w:w="5000" w:type="pct"/>
          <w:tblLook w:val="01E0"/>
        </w:tblPrEx>
        <w:trPr>
          <w:trHeight w:val="591"/>
        </w:trPr>
        <w:tc>
          <w:tcPr>
            <w:tcW w:w="1442" w:type="pct"/>
            <w:shd w:val="clear" w:color="auto" w:fill="auto"/>
          </w:tcPr>
          <w:p w:rsidR="00EF40FF" w:rsidRPr="00F405D1" w:rsidP="00A90D43" w14:paraId="59E59C8B" w14:textId="073B9D24">
            <w:pPr>
              <w:jc w:val="center"/>
              <w:rPr>
                <w:sz w:val="26"/>
                <w:szCs w:val="26"/>
              </w:rPr>
            </w:pPr>
            <w:r w:rsidRPr="00F405D1">
              <w:rPr>
                <w:sz w:val="26"/>
                <w:szCs w:val="26"/>
              </w:rPr>
              <w:t>Annual Number of Responses</w:t>
            </w:r>
            <w:r w:rsidR="0075431D">
              <w:rPr>
                <w:sz w:val="26"/>
                <w:szCs w:val="26"/>
              </w:rPr>
              <w:t xml:space="preserve"> </w:t>
            </w:r>
          </w:p>
        </w:tc>
        <w:tc>
          <w:tcPr>
            <w:tcW w:w="829" w:type="pct"/>
            <w:shd w:val="clear" w:color="auto" w:fill="auto"/>
            <w:vAlign w:val="center"/>
          </w:tcPr>
          <w:p w:rsidR="00EF40FF" w:rsidRPr="00F405D1" w:rsidP="009235C7" w14:paraId="58B36FB0" w14:textId="486DDF26">
            <w:pPr>
              <w:jc w:val="right"/>
              <w:rPr>
                <w:sz w:val="26"/>
                <w:szCs w:val="26"/>
              </w:rPr>
            </w:pPr>
            <w:r w:rsidRPr="36CC7E2E">
              <w:rPr>
                <w:sz w:val="26"/>
                <w:szCs w:val="26"/>
              </w:rPr>
              <w:t>2,</w:t>
            </w:r>
            <w:r w:rsidR="001C0D4C">
              <w:rPr>
                <w:sz w:val="26"/>
                <w:szCs w:val="26"/>
              </w:rPr>
              <w:t>1</w:t>
            </w:r>
            <w:r w:rsidRPr="36CC7E2E">
              <w:rPr>
                <w:sz w:val="26"/>
                <w:szCs w:val="26"/>
              </w:rPr>
              <w:t>00</w:t>
            </w:r>
          </w:p>
        </w:tc>
        <w:tc>
          <w:tcPr>
            <w:tcW w:w="854" w:type="pct"/>
            <w:shd w:val="clear" w:color="auto" w:fill="auto"/>
            <w:vAlign w:val="center"/>
          </w:tcPr>
          <w:p w:rsidR="00EF40FF" w:rsidRPr="00F405D1" w:rsidP="009235C7" w14:paraId="76D0A20E" w14:textId="2A984369">
            <w:pPr>
              <w:jc w:val="right"/>
              <w:rPr>
                <w:sz w:val="26"/>
                <w:szCs w:val="26"/>
              </w:rPr>
            </w:pPr>
            <w:r>
              <w:rPr>
                <w:sz w:val="26"/>
                <w:szCs w:val="26"/>
              </w:rPr>
              <w:t>0</w:t>
            </w:r>
          </w:p>
        </w:tc>
        <w:tc>
          <w:tcPr>
            <w:tcW w:w="1010" w:type="pct"/>
            <w:shd w:val="clear" w:color="auto" w:fill="auto"/>
            <w:vAlign w:val="center"/>
          </w:tcPr>
          <w:p w:rsidR="00EF40FF" w:rsidRPr="00F405D1" w:rsidP="009235C7" w14:paraId="3CE5DB3D" w14:textId="0CF276F4">
            <w:pPr>
              <w:jc w:val="right"/>
              <w:rPr>
                <w:sz w:val="26"/>
                <w:szCs w:val="26"/>
              </w:rPr>
            </w:pPr>
            <w:r>
              <w:rPr>
                <w:sz w:val="26"/>
                <w:szCs w:val="26"/>
              </w:rPr>
              <w:t>0</w:t>
            </w:r>
          </w:p>
        </w:tc>
        <w:tc>
          <w:tcPr>
            <w:tcW w:w="865" w:type="pct"/>
            <w:shd w:val="clear" w:color="auto" w:fill="auto"/>
            <w:vAlign w:val="center"/>
          </w:tcPr>
          <w:p w:rsidR="00EF40FF" w:rsidRPr="00F405D1" w:rsidP="009235C7" w14:paraId="59187938" w14:textId="3A1696BD">
            <w:pPr>
              <w:jc w:val="right"/>
              <w:rPr>
                <w:sz w:val="26"/>
                <w:szCs w:val="26"/>
              </w:rPr>
            </w:pPr>
            <w:r w:rsidRPr="36CC7E2E">
              <w:rPr>
                <w:sz w:val="26"/>
                <w:szCs w:val="26"/>
              </w:rPr>
              <w:t>2,</w:t>
            </w:r>
            <w:r w:rsidR="001C0D4C">
              <w:rPr>
                <w:sz w:val="26"/>
                <w:szCs w:val="26"/>
              </w:rPr>
              <w:t>1</w:t>
            </w:r>
            <w:r w:rsidRPr="36CC7E2E">
              <w:rPr>
                <w:sz w:val="26"/>
                <w:szCs w:val="26"/>
              </w:rPr>
              <w:t>00</w:t>
            </w:r>
          </w:p>
        </w:tc>
      </w:tr>
      <w:tr w14:paraId="544C6AB5" w14:textId="77777777" w:rsidTr="36CC7E2E">
        <w:tblPrEx>
          <w:tblW w:w="5000" w:type="pct"/>
          <w:tblLook w:val="01E0"/>
        </w:tblPrEx>
        <w:trPr>
          <w:trHeight w:val="575"/>
        </w:trPr>
        <w:tc>
          <w:tcPr>
            <w:tcW w:w="1442" w:type="pct"/>
            <w:shd w:val="clear" w:color="auto" w:fill="auto"/>
          </w:tcPr>
          <w:p w:rsidR="00EF40FF" w:rsidRPr="00F405D1" w:rsidP="009235C7" w14:paraId="64970EBD" w14:textId="560A3FCF">
            <w:pPr>
              <w:jc w:val="center"/>
              <w:rPr>
                <w:sz w:val="26"/>
                <w:szCs w:val="26"/>
              </w:rPr>
            </w:pPr>
            <w:r w:rsidRPr="00F405D1">
              <w:rPr>
                <w:sz w:val="26"/>
                <w:szCs w:val="26"/>
              </w:rPr>
              <w:t>Annual Time Burden (Hours)</w:t>
            </w:r>
          </w:p>
        </w:tc>
        <w:tc>
          <w:tcPr>
            <w:tcW w:w="829" w:type="pct"/>
            <w:shd w:val="clear" w:color="auto" w:fill="auto"/>
            <w:vAlign w:val="center"/>
          </w:tcPr>
          <w:p w:rsidR="00EF40FF" w:rsidRPr="00F405D1" w:rsidP="009235C7" w14:paraId="121D4713" w14:textId="0FA193A6">
            <w:pPr>
              <w:jc w:val="right"/>
              <w:rPr>
                <w:sz w:val="26"/>
                <w:szCs w:val="26"/>
              </w:rPr>
            </w:pPr>
            <w:r>
              <w:rPr>
                <w:sz w:val="26"/>
                <w:szCs w:val="26"/>
              </w:rPr>
              <w:t>179</w:t>
            </w:r>
          </w:p>
        </w:tc>
        <w:tc>
          <w:tcPr>
            <w:tcW w:w="854" w:type="pct"/>
            <w:shd w:val="clear" w:color="auto" w:fill="auto"/>
            <w:vAlign w:val="center"/>
          </w:tcPr>
          <w:p w:rsidR="00EF40FF" w:rsidRPr="00F405D1" w:rsidP="009235C7" w14:paraId="083C5249" w14:textId="255F18EC">
            <w:pPr>
              <w:jc w:val="right"/>
              <w:rPr>
                <w:sz w:val="26"/>
                <w:szCs w:val="26"/>
              </w:rPr>
            </w:pPr>
            <w:r>
              <w:rPr>
                <w:sz w:val="26"/>
                <w:szCs w:val="26"/>
              </w:rPr>
              <w:t>0</w:t>
            </w:r>
          </w:p>
        </w:tc>
        <w:tc>
          <w:tcPr>
            <w:tcW w:w="1010" w:type="pct"/>
            <w:shd w:val="clear" w:color="auto" w:fill="auto"/>
            <w:vAlign w:val="center"/>
          </w:tcPr>
          <w:p w:rsidR="00EF40FF" w:rsidRPr="00F405D1" w:rsidP="009235C7" w14:paraId="0D2D7EB5" w14:textId="7B458357">
            <w:pPr>
              <w:jc w:val="right"/>
              <w:rPr>
                <w:sz w:val="26"/>
                <w:szCs w:val="26"/>
              </w:rPr>
            </w:pPr>
            <w:r>
              <w:rPr>
                <w:sz w:val="26"/>
                <w:szCs w:val="26"/>
              </w:rPr>
              <w:t>0</w:t>
            </w:r>
          </w:p>
        </w:tc>
        <w:tc>
          <w:tcPr>
            <w:tcW w:w="865" w:type="pct"/>
            <w:shd w:val="clear" w:color="auto" w:fill="auto"/>
            <w:vAlign w:val="center"/>
          </w:tcPr>
          <w:p w:rsidR="00EF40FF" w:rsidRPr="00F405D1" w:rsidP="009235C7" w14:paraId="2562A479" w14:textId="44AA099E">
            <w:pPr>
              <w:jc w:val="right"/>
              <w:rPr>
                <w:sz w:val="26"/>
                <w:szCs w:val="26"/>
              </w:rPr>
            </w:pPr>
            <w:r>
              <w:rPr>
                <w:sz w:val="26"/>
                <w:szCs w:val="26"/>
              </w:rPr>
              <w:t>179</w:t>
            </w:r>
          </w:p>
        </w:tc>
      </w:tr>
      <w:tr w14:paraId="63FF5253" w14:textId="77777777" w:rsidTr="36CC7E2E">
        <w:tblPrEx>
          <w:tblW w:w="5000" w:type="pct"/>
          <w:tblLook w:val="01E0"/>
        </w:tblPrEx>
        <w:trPr>
          <w:trHeight w:val="295"/>
        </w:trPr>
        <w:tc>
          <w:tcPr>
            <w:tcW w:w="1442" w:type="pct"/>
            <w:tcBorders>
              <w:bottom w:val="single" w:sz="4" w:space="0" w:color="auto"/>
            </w:tcBorders>
            <w:shd w:val="clear" w:color="auto" w:fill="auto"/>
          </w:tcPr>
          <w:p w:rsidR="00EF40FF" w:rsidRPr="00F405D1" w:rsidP="009235C7" w14:paraId="12A676CD" w14:textId="77777777">
            <w:pPr>
              <w:jc w:val="center"/>
              <w:rPr>
                <w:sz w:val="26"/>
                <w:szCs w:val="26"/>
              </w:rPr>
            </w:pPr>
            <w:r w:rsidRPr="00F405D1">
              <w:rPr>
                <w:sz w:val="26"/>
                <w:szCs w:val="26"/>
              </w:rPr>
              <w:t>Annual Cost Burden ($)</w:t>
            </w:r>
          </w:p>
        </w:tc>
        <w:tc>
          <w:tcPr>
            <w:tcW w:w="829" w:type="pct"/>
            <w:tcBorders>
              <w:bottom w:val="single" w:sz="4" w:space="0" w:color="auto"/>
            </w:tcBorders>
            <w:shd w:val="clear" w:color="auto" w:fill="auto"/>
            <w:vAlign w:val="center"/>
          </w:tcPr>
          <w:p w:rsidR="00EF40FF" w:rsidRPr="00F405D1" w:rsidP="009235C7" w14:paraId="1728502C" w14:textId="5981EE88">
            <w:pPr>
              <w:jc w:val="right"/>
              <w:rPr>
                <w:sz w:val="26"/>
                <w:szCs w:val="26"/>
              </w:rPr>
            </w:pPr>
            <w:r w:rsidRPr="36CC7E2E">
              <w:rPr>
                <w:sz w:val="26"/>
                <w:szCs w:val="26"/>
              </w:rPr>
              <w:t>$</w:t>
            </w:r>
            <w:r w:rsidR="00915126">
              <w:rPr>
                <w:sz w:val="26"/>
                <w:szCs w:val="26"/>
              </w:rPr>
              <w:t>0</w:t>
            </w:r>
          </w:p>
        </w:tc>
        <w:tc>
          <w:tcPr>
            <w:tcW w:w="854" w:type="pct"/>
            <w:tcBorders>
              <w:bottom w:val="single" w:sz="4" w:space="0" w:color="auto"/>
            </w:tcBorders>
            <w:shd w:val="clear" w:color="auto" w:fill="auto"/>
            <w:vAlign w:val="center"/>
          </w:tcPr>
          <w:p w:rsidR="00EF40FF" w:rsidRPr="00F405D1" w:rsidP="009235C7" w14:paraId="00985638" w14:textId="77777777">
            <w:pPr>
              <w:jc w:val="right"/>
              <w:rPr>
                <w:sz w:val="26"/>
                <w:szCs w:val="26"/>
              </w:rPr>
            </w:pPr>
            <w:r w:rsidRPr="00F405D1">
              <w:rPr>
                <w:sz w:val="26"/>
                <w:szCs w:val="26"/>
              </w:rPr>
              <w:t>$0</w:t>
            </w:r>
          </w:p>
        </w:tc>
        <w:tc>
          <w:tcPr>
            <w:tcW w:w="1010" w:type="pct"/>
            <w:tcBorders>
              <w:bottom w:val="single" w:sz="4" w:space="0" w:color="auto"/>
            </w:tcBorders>
            <w:shd w:val="clear" w:color="auto" w:fill="auto"/>
            <w:vAlign w:val="center"/>
          </w:tcPr>
          <w:p w:rsidR="00EF40FF" w:rsidRPr="00F405D1" w:rsidP="009235C7" w14:paraId="6F305897" w14:textId="77777777">
            <w:pPr>
              <w:jc w:val="right"/>
              <w:rPr>
                <w:sz w:val="26"/>
                <w:szCs w:val="26"/>
              </w:rPr>
            </w:pPr>
            <w:r w:rsidRPr="00F405D1">
              <w:rPr>
                <w:sz w:val="26"/>
                <w:szCs w:val="26"/>
              </w:rPr>
              <w:t>$0</w:t>
            </w:r>
          </w:p>
        </w:tc>
        <w:tc>
          <w:tcPr>
            <w:tcW w:w="865" w:type="pct"/>
            <w:tcBorders>
              <w:bottom w:val="single" w:sz="4" w:space="0" w:color="auto"/>
            </w:tcBorders>
            <w:shd w:val="clear" w:color="auto" w:fill="auto"/>
            <w:vAlign w:val="center"/>
          </w:tcPr>
          <w:p w:rsidR="00EF40FF" w:rsidRPr="00F405D1" w:rsidP="009235C7" w14:paraId="2CC3862E" w14:textId="68A8C6E6">
            <w:pPr>
              <w:jc w:val="right"/>
              <w:rPr>
                <w:sz w:val="26"/>
                <w:szCs w:val="26"/>
              </w:rPr>
            </w:pPr>
            <w:r w:rsidRPr="36CC7E2E">
              <w:rPr>
                <w:sz w:val="26"/>
                <w:szCs w:val="26"/>
              </w:rPr>
              <w:t>$</w:t>
            </w:r>
            <w:r w:rsidR="00915126">
              <w:rPr>
                <w:sz w:val="26"/>
                <w:szCs w:val="26"/>
              </w:rPr>
              <w:t>0</w:t>
            </w:r>
          </w:p>
        </w:tc>
      </w:tr>
    </w:tbl>
    <w:p w:rsidR="00EF40FF" w:rsidRPr="00F405D1" w:rsidP="00EF40FF" w14:paraId="55061C28" w14:textId="77777777">
      <w:pPr>
        <w:widowControl/>
        <w:rPr>
          <w:b/>
          <w:sz w:val="26"/>
          <w:szCs w:val="26"/>
        </w:rPr>
      </w:pPr>
    </w:p>
    <w:p w:rsidR="009D6B6D" w:rsidRPr="00F405D1" w:rsidP="00EF40FF" w14:paraId="68D9DB62" w14:textId="77777777">
      <w:pPr>
        <w:pStyle w:val="FERCparanumber"/>
        <w:numPr>
          <w:ilvl w:val="0"/>
          <w:numId w:val="7"/>
        </w:numPr>
        <w:rPr>
          <w:b/>
          <w:szCs w:val="26"/>
        </w:rPr>
      </w:pPr>
      <w:r w:rsidRPr="00F405D1">
        <w:rPr>
          <w:b/>
          <w:szCs w:val="26"/>
        </w:rPr>
        <w:t>TIME SCHEDULE FOR PUBLICATION OF DATA</w:t>
      </w:r>
    </w:p>
    <w:p w:rsidR="00EF40FF" w:rsidRPr="00F405D1" w:rsidP="00EF40FF" w14:paraId="08C235AB" w14:textId="77777777">
      <w:pPr>
        <w:pStyle w:val="FERCparanumber"/>
        <w:numPr>
          <w:ilvl w:val="0"/>
          <w:numId w:val="0"/>
        </w:numPr>
        <w:rPr>
          <w:b/>
          <w:szCs w:val="26"/>
        </w:rPr>
      </w:pPr>
    </w:p>
    <w:p w:rsidR="00EF40FF" w:rsidP="00EF40FF" w14:paraId="72D97BF4" w14:textId="619D9799">
      <w:pPr>
        <w:pStyle w:val="FERCparanumber"/>
        <w:numPr>
          <w:ilvl w:val="0"/>
          <w:numId w:val="0"/>
        </w:numPr>
        <w:rPr>
          <w:szCs w:val="26"/>
        </w:rPr>
      </w:pPr>
      <w:r w:rsidRPr="00F405D1">
        <w:rPr>
          <w:szCs w:val="26"/>
        </w:rPr>
        <w:t>There are no publications of the information.</w:t>
      </w:r>
    </w:p>
    <w:p w:rsidR="00C423CC" w:rsidRPr="00F405D1" w:rsidP="00EF40FF" w14:paraId="44AEAFCF" w14:textId="77777777">
      <w:pPr>
        <w:pStyle w:val="FERCparanumber"/>
        <w:numPr>
          <w:ilvl w:val="0"/>
          <w:numId w:val="0"/>
        </w:numPr>
        <w:rPr>
          <w:b/>
          <w:szCs w:val="26"/>
        </w:rPr>
      </w:pPr>
    </w:p>
    <w:p w:rsidR="009D6B6D" w:rsidRPr="00F405D1" w:rsidP="001D2EC1" w14:paraId="1C752CE3" w14:textId="77777777">
      <w:pPr>
        <w:pStyle w:val="FERCparanumber"/>
        <w:numPr>
          <w:ilvl w:val="0"/>
          <w:numId w:val="7"/>
        </w:numPr>
        <w:rPr>
          <w:b/>
          <w:szCs w:val="26"/>
        </w:rPr>
      </w:pPr>
      <w:r w:rsidRPr="00F405D1">
        <w:rPr>
          <w:b/>
          <w:szCs w:val="26"/>
        </w:rPr>
        <w:t>DISPLAY OF EXPIRATION DATE</w:t>
      </w:r>
    </w:p>
    <w:p w:rsidR="00EF40FF" w:rsidRPr="00F405D1" w:rsidP="00EF40FF" w14:paraId="5647D402" w14:textId="77777777">
      <w:pPr>
        <w:pStyle w:val="FERCparanumber"/>
        <w:numPr>
          <w:ilvl w:val="0"/>
          <w:numId w:val="0"/>
        </w:numPr>
        <w:rPr>
          <w:b/>
          <w:szCs w:val="26"/>
        </w:rPr>
      </w:pPr>
    </w:p>
    <w:p w:rsidR="00EB35DB" w:rsidRPr="00F405D1" w:rsidP="00EF40FF" w14:paraId="1C9D3EE0" w14:textId="66DA2011">
      <w:pPr>
        <w:pStyle w:val="FERCparanumber"/>
        <w:numPr>
          <w:ilvl w:val="0"/>
          <w:numId w:val="0"/>
        </w:numPr>
        <w:rPr>
          <w:szCs w:val="26"/>
        </w:rPr>
      </w:pPr>
      <w:r w:rsidRPr="00F405D1">
        <w:rPr>
          <w:szCs w:val="26"/>
        </w:rPr>
        <w:t xml:space="preserve">The </w:t>
      </w:r>
      <w:r w:rsidRPr="00F405D1" w:rsidR="00781D09">
        <w:rPr>
          <w:szCs w:val="26"/>
        </w:rPr>
        <w:t xml:space="preserve">OMB </w:t>
      </w:r>
      <w:r w:rsidRPr="00F405D1">
        <w:rPr>
          <w:szCs w:val="26"/>
        </w:rPr>
        <w:t xml:space="preserve">expiration dates are posted </w:t>
      </w:r>
      <w:r w:rsidR="00243EE8">
        <w:rPr>
          <w:szCs w:val="26"/>
        </w:rPr>
        <w:t>on</w:t>
      </w:r>
      <w:r w:rsidR="007778F4">
        <w:rPr>
          <w:szCs w:val="26"/>
        </w:rPr>
        <w:t xml:space="preserve"> </w:t>
      </w:r>
      <w:hyperlink r:id="rId9" w:history="1">
        <w:r w:rsidRPr="007778F4" w:rsidR="007778F4">
          <w:rPr>
            <w:rStyle w:val="Hyperlink"/>
            <w:szCs w:val="26"/>
          </w:rPr>
          <w:t>Information Collections | Federal Energy Regulatory Commission (ferc.gov)</w:t>
        </w:r>
      </w:hyperlink>
      <w:r w:rsidR="00243EE8">
        <w:rPr>
          <w:szCs w:val="26"/>
        </w:rPr>
        <w:t xml:space="preserve"> and will be posted on the survey documents</w:t>
      </w:r>
      <w:r w:rsidRPr="00F405D1">
        <w:rPr>
          <w:szCs w:val="26"/>
        </w:rPr>
        <w:t xml:space="preserve">.  </w:t>
      </w:r>
    </w:p>
    <w:p w:rsidR="00EB35DB" w:rsidRPr="00F405D1" w:rsidP="00EF40FF" w14:paraId="5781CB4D" w14:textId="77777777">
      <w:pPr>
        <w:pStyle w:val="FERCparanumber"/>
        <w:numPr>
          <w:ilvl w:val="0"/>
          <w:numId w:val="0"/>
        </w:numPr>
        <w:rPr>
          <w:szCs w:val="26"/>
        </w:rPr>
      </w:pPr>
    </w:p>
    <w:p w:rsidR="00EF40FF" w:rsidRPr="00F405D1" w:rsidP="00E138E1" w14:paraId="6FA86312" w14:textId="77777777">
      <w:pPr>
        <w:widowControl/>
        <w:numPr>
          <w:ilvl w:val="0"/>
          <w:numId w:val="7"/>
        </w:numPr>
        <w:ind w:hanging="720"/>
        <w:rPr>
          <w:b/>
          <w:sz w:val="26"/>
          <w:szCs w:val="26"/>
        </w:rPr>
      </w:pPr>
      <w:r w:rsidRPr="00F405D1">
        <w:rPr>
          <w:b/>
          <w:sz w:val="26"/>
          <w:szCs w:val="26"/>
        </w:rPr>
        <w:t>EXCEPTIONS TO THE CERTIFICATION STATEMENT</w:t>
      </w:r>
    </w:p>
    <w:p w:rsidR="009D6B6D" w:rsidRPr="00F405D1" w:rsidP="001D2EC1" w14:paraId="29EDACE4" w14:textId="77777777">
      <w:pPr>
        <w:widowControl/>
        <w:ind w:left="720"/>
        <w:rPr>
          <w:b/>
          <w:sz w:val="26"/>
          <w:szCs w:val="26"/>
        </w:rPr>
      </w:pPr>
    </w:p>
    <w:p w:rsidR="009235C7" w:rsidRPr="00F405D1" w:rsidP="001D2EC1" w14:paraId="1E0E6A57" w14:textId="01CFA444">
      <w:pPr>
        <w:widowControl/>
        <w:rPr>
          <w:sz w:val="26"/>
          <w:szCs w:val="26"/>
        </w:rPr>
      </w:pPr>
      <w:r>
        <w:rPr>
          <w:sz w:val="26"/>
          <w:szCs w:val="26"/>
        </w:rPr>
        <w:t>There are no exceptions.</w:t>
      </w:r>
      <w:r w:rsidR="00067E72">
        <w:rPr>
          <w:sz w:val="26"/>
          <w:szCs w:val="26"/>
        </w:rPr>
        <w:t xml:space="preserve"> </w:t>
      </w:r>
      <w:r w:rsidR="00836548">
        <w:rPr>
          <w:sz w:val="26"/>
          <w:szCs w:val="26"/>
        </w:rPr>
        <w:t xml:space="preserve"> </w:t>
      </w:r>
    </w:p>
    <w:sectPr w:rsidSect="00703122">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73" w14:paraId="337C3C2E" w14:textId="0F32EC05">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6711">
          <w:rPr>
            <w:noProof/>
          </w:rPr>
          <w:t>9</w:t>
        </w:r>
        <w:r>
          <w:rPr>
            <w:noProof/>
          </w:rPr>
          <w:fldChar w:fldCharType="end"/>
        </w:r>
      </w:sdtContent>
    </w:sdt>
  </w:p>
  <w:p w:rsidR="00F86373" w14:paraId="401D70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3E91" w:rsidP="009D6B6D" w14:paraId="3A1AC504" w14:textId="77777777">
      <w:r>
        <w:separator/>
      </w:r>
    </w:p>
  </w:footnote>
  <w:footnote w:type="continuationSeparator" w:id="1">
    <w:p w:rsidR="00353E91" w:rsidP="009D6B6D" w14:paraId="4BD2FF4C" w14:textId="77777777">
      <w:r>
        <w:continuationSeparator/>
      </w:r>
    </w:p>
  </w:footnote>
  <w:footnote w:type="continuationNotice" w:id="2">
    <w:p w:rsidR="00353E91" w14:paraId="1BCAAEBF" w14:textId="77777777"/>
  </w:footnote>
  <w:footnote w:id="3">
    <w:p w:rsidR="00A717EC" w:rsidRPr="00B216AF" w14:paraId="0C00509E" w14:textId="0A5E3B31">
      <w:pPr>
        <w:pStyle w:val="FootnoteText"/>
        <w:rPr>
          <w:sz w:val="26"/>
          <w:szCs w:val="26"/>
        </w:rPr>
      </w:pPr>
      <w:r w:rsidRPr="000C2073">
        <w:rPr>
          <w:rStyle w:val="FootnoteReference"/>
          <w:sz w:val="26"/>
          <w:szCs w:val="26"/>
          <w:vertAlign w:val="superscript"/>
        </w:rPr>
        <w:footnoteRef/>
      </w:r>
      <w:r w:rsidRPr="000C2073">
        <w:rPr>
          <w:sz w:val="26"/>
          <w:szCs w:val="26"/>
          <w:vertAlign w:val="superscript"/>
        </w:rPr>
        <w:t xml:space="preserve"> </w:t>
      </w:r>
      <w:r w:rsidRPr="000C2073">
        <w:rPr>
          <w:sz w:val="26"/>
          <w:szCs w:val="26"/>
        </w:rPr>
        <w:t>FERC is no longer soliciting comments on the previously proposed survey FERC-1001 (Hotline and Helpline Survey).</w:t>
      </w:r>
      <w:r w:rsidR="00987D26">
        <w:rPr>
          <w:sz w:val="26"/>
          <w:szCs w:val="26"/>
        </w:rPr>
        <w:t xml:space="preserve"> The FERC-1001 </w:t>
      </w:r>
      <w:r w:rsidR="00D733AB">
        <w:rPr>
          <w:sz w:val="26"/>
          <w:szCs w:val="26"/>
        </w:rPr>
        <w:t>was</w:t>
      </w:r>
      <w:r w:rsidR="00987D26">
        <w:rPr>
          <w:sz w:val="26"/>
          <w:szCs w:val="26"/>
        </w:rPr>
        <w:t xml:space="preserve"> included</w:t>
      </w:r>
      <w:r w:rsidR="00D733AB">
        <w:rPr>
          <w:sz w:val="26"/>
          <w:szCs w:val="26"/>
        </w:rPr>
        <w:t xml:space="preserve"> in the 60-day notice but was removed from the 30-day notice and is no longer being proposed.</w:t>
      </w:r>
    </w:p>
  </w:footnote>
  <w:footnote w:id="4">
    <w:p w:rsidR="00921ABC" w:rsidRPr="00663104" w14:paraId="68D77044" w14:textId="28016CBC">
      <w:pPr>
        <w:pStyle w:val="FootnoteText"/>
        <w:rPr>
          <w:sz w:val="26"/>
          <w:szCs w:val="26"/>
        </w:rPr>
      </w:pPr>
      <w:r w:rsidRPr="000211DA">
        <w:rPr>
          <w:rStyle w:val="FootnoteReference"/>
          <w:sz w:val="26"/>
          <w:szCs w:val="26"/>
          <w:vertAlign w:val="superscript"/>
        </w:rPr>
        <w:footnoteRef/>
      </w:r>
      <w:r w:rsidRPr="000211DA">
        <w:rPr>
          <w:sz w:val="26"/>
          <w:szCs w:val="26"/>
          <w:vertAlign w:val="superscript"/>
        </w:rPr>
        <w:t xml:space="preserve"> </w:t>
      </w:r>
      <w:r w:rsidRPr="000211DA">
        <w:rPr>
          <w:sz w:val="26"/>
          <w:szCs w:val="26"/>
        </w:rPr>
        <w:t xml:space="preserve">Proposed FERC–1002 covers </w:t>
      </w:r>
      <w:r w:rsidRPr="000211DA" w:rsidR="004D1994">
        <w:rPr>
          <w:sz w:val="26"/>
          <w:szCs w:val="26"/>
        </w:rPr>
        <w:t xml:space="preserve">two </w:t>
      </w:r>
      <w:r w:rsidRPr="000211DA">
        <w:rPr>
          <w:sz w:val="26"/>
          <w:szCs w:val="26"/>
        </w:rPr>
        <w:t>areas of outreach for</w:t>
      </w:r>
      <w:r w:rsidRPr="000211DA">
        <w:rPr>
          <w:sz w:val="26"/>
          <w:szCs w:val="26"/>
        </w:rPr>
        <w:t xml:space="preserve"> </w:t>
      </w:r>
      <w:r w:rsidRPr="000211DA">
        <w:rPr>
          <w:sz w:val="26"/>
          <w:szCs w:val="26"/>
        </w:rPr>
        <w:t>customer engagement (</w:t>
      </w:r>
      <w:r w:rsidRPr="000211DA" w:rsidR="004D1994">
        <w:rPr>
          <w:sz w:val="26"/>
          <w:szCs w:val="26"/>
        </w:rPr>
        <w:t>1</w:t>
      </w:r>
      <w:r w:rsidRPr="000211DA">
        <w:rPr>
          <w:sz w:val="26"/>
          <w:szCs w:val="26"/>
        </w:rPr>
        <w:t xml:space="preserve">) from the </w:t>
      </w:r>
      <w:r w:rsidRPr="000211DA" w:rsidR="00ED0CF4">
        <w:rPr>
          <w:sz w:val="26"/>
          <w:szCs w:val="26"/>
        </w:rPr>
        <w:t>OPP</w:t>
      </w:r>
      <w:r w:rsidRPr="000211DA">
        <w:rPr>
          <w:sz w:val="26"/>
          <w:szCs w:val="26"/>
        </w:rPr>
        <w:t xml:space="preserve">: </w:t>
      </w:r>
      <w:r w:rsidRPr="000211DA">
        <w:rPr>
          <w:color w:val="0000FF"/>
          <w:sz w:val="26"/>
          <w:szCs w:val="26"/>
          <w:u w:val="single"/>
        </w:rPr>
        <w:t>Subscribe for Updates From the Office of Public Participation | Federal Energy Regulatory Commission (</w:t>
      </w:r>
      <w:r w:rsidRPr="000211DA">
        <w:rPr>
          <w:sz w:val="26"/>
          <w:szCs w:val="26"/>
        </w:rPr>
        <w:t xml:space="preserve">at </w:t>
      </w:r>
      <w:hyperlink r:id="rId1" w:history="1">
        <w:r w:rsidRPr="00663104">
          <w:rPr>
            <w:sz w:val="26"/>
            <w:szCs w:val="26"/>
          </w:rPr>
          <w:t>https://www.ferc.gov/office-of-public-participation-subscribe</w:t>
        </w:r>
      </w:hyperlink>
      <w:r w:rsidRPr="000211DA">
        <w:rPr>
          <w:color w:val="0000FF"/>
          <w:sz w:val="26"/>
          <w:szCs w:val="26"/>
          <w:u w:val="single"/>
        </w:rPr>
        <w:t xml:space="preserve">), </w:t>
      </w:r>
      <w:r w:rsidRPr="008C27FC" w:rsidR="004D1994">
        <w:rPr>
          <w:color w:val="0000FF"/>
          <w:sz w:val="26"/>
          <w:szCs w:val="26"/>
          <w:u w:val="single"/>
        </w:rPr>
        <w:t xml:space="preserve">and </w:t>
      </w:r>
      <w:r w:rsidRPr="00663104">
        <w:rPr>
          <w:color w:val="0000FF"/>
          <w:sz w:val="26"/>
          <w:szCs w:val="26"/>
          <w:u w:val="single"/>
        </w:rPr>
        <w:t>(</w:t>
      </w:r>
      <w:r w:rsidRPr="00663104" w:rsidR="004D1994">
        <w:rPr>
          <w:color w:val="0000FF"/>
          <w:sz w:val="26"/>
          <w:szCs w:val="26"/>
          <w:u w:val="single"/>
        </w:rPr>
        <w:t>2</w:t>
      </w:r>
      <w:r w:rsidRPr="00663104">
        <w:rPr>
          <w:color w:val="0000FF"/>
          <w:sz w:val="26"/>
          <w:szCs w:val="26"/>
          <w:u w:val="single"/>
        </w:rPr>
        <w:t xml:space="preserve">) from the </w:t>
      </w:r>
      <w:r w:rsidRPr="00663104" w:rsidR="00ED0CF4">
        <w:rPr>
          <w:color w:val="0000FF"/>
          <w:sz w:val="26"/>
          <w:szCs w:val="26"/>
          <w:u w:val="single"/>
        </w:rPr>
        <w:t>OEA</w:t>
      </w:r>
      <w:r w:rsidRPr="00663104">
        <w:rPr>
          <w:sz w:val="26"/>
          <w:szCs w:val="26"/>
        </w:rPr>
        <w:t xml:space="preserve">: </w:t>
      </w:r>
      <w:hyperlink r:id="rId2" w:history="1">
        <w:r w:rsidRPr="00663104">
          <w:rPr>
            <w:color w:val="0000FF"/>
            <w:sz w:val="26"/>
            <w:szCs w:val="26"/>
            <w:u w:val="single"/>
          </w:rPr>
          <w:t>FERC Insight Newsletter | Federal Energy Regulatory Commission</w:t>
        </w:r>
      </w:hyperlink>
      <w:r w:rsidRPr="000211DA">
        <w:rPr>
          <w:sz w:val="26"/>
          <w:szCs w:val="26"/>
        </w:rPr>
        <w:t xml:space="preserve"> (</w:t>
      </w:r>
      <w:hyperlink r:id="rId2" w:history="1">
        <w:r w:rsidRPr="00663104" w:rsidR="00892D52">
          <w:rPr>
            <w:rStyle w:val="Hyperlink"/>
            <w:sz w:val="26"/>
            <w:szCs w:val="26"/>
          </w:rPr>
          <w:t>https://www.ferc.gov/ferc-insight-newsletter</w:t>
        </w:r>
      </w:hyperlink>
      <w:r w:rsidRPr="000211DA">
        <w:rPr>
          <w:sz w:val="26"/>
          <w:szCs w:val="26"/>
        </w:rPr>
        <w:t>)</w:t>
      </w:r>
      <w:r w:rsidRPr="008C27FC" w:rsidR="004D1994">
        <w:rPr>
          <w:sz w:val="26"/>
          <w:szCs w:val="26"/>
        </w:rPr>
        <w:t>.</w:t>
      </w:r>
    </w:p>
  </w:footnote>
  <w:footnote w:id="5">
    <w:p w:rsidR="002C6FE8" w14:paraId="637451B5" w14:textId="1C507DC6">
      <w:pPr>
        <w:pStyle w:val="FootnoteText"/>
      </w:pPr>
      <w:r w:rsidRPr="00B216AF">
        <w:rPr>
          <w:rStyle w:val="FootnoteReference"/>
          <w:sz w:val="26"/>
          <w:szCs w:val="26"/>
          <w:vertAlign w:val="superscript"/>
        </w:rPr>
        <w:footnoteRef/>
      </w:r>
      <w:r w:rsidRPr="00663104">
        <w:rPr>
          <w:sz w:val="26"/>
          <w:szCs w:val="26"/>
        </w:rPr>
        <w:t xml:space="preserve"> </w:t>
      </w:r>
      <w:r w:rsidRPr="00224AAF" w:rsidR="00224AAF">
        <w:rPr>
          <w:sz w:val="26"/>
          <w:szCs w:val="26"/>
        </w:rPr>
        <w:t>Industry burden associated with the Electric Quarterly Report is covered under FERC-920 (OMB Control No. 1902-0255).</w:t>
      </w:r>
    </w:p>
  </w:footnote>
  <w:footnote w:id="6">
    <w:p w:rsidR="00F86373" w:rsidP="00C70A5D" w14:paraId="5426E3DA" w14:textId="2F13149D">
      <w:pPr>
        <w:pStyle w:val="FootnoteText"/>
        <w:rPr>
          <w:rFonts w:eastAsia="Calibri"/>
          <w:sz w:val="26"/>
          <w:szCs w:val="26"/>
        </w:rPr>
      </w:pPr>
      <w:r w:rsidRPr="008E7C1D">
        <w:rPr>
          <w:rStyle w:val="FootnoteReference"/>
          <w:sz w:val="26"/>
          <w:szCs w:val="26"/>
          <w:vertAlign w:val="superscript"/>
        </w:rPr>
        <w:footnoteRef/>
      </w:r>
      <w:r w:rsidRPr="008E7C1D">
        <w:rPr>
          <w:sz w:val="26"/>
          <w:szCs w:val="26"/>
          <w:vertAlign w:val="superscript"/>
        </w:rPr>
        <w:t xml:space="preserve"> </w:t>
      </w:r>
      <w:r w:rsidRPr="009C5703">
        <w:rPr>
          <w:rFonts w:eastAsia="Calibri"/>
          <w:sz w:val="26"/>
          <w:szCs w:val="26"/>
        </w:rPr>
        <w:t xml:space="preserve">Burden is defined as the total time, effort, or financial resources expended by persons to generate, maintain, retain, or disclose or provide information to or for a </w:t>
      </w:r>
      <w:r w:rsidRPr="009C5703" w:rsidR="001B008A">
        <w:rPr>
          <w:rFonts w:eastAsia="Calibri"/>
          <w:sz w:val="26"/>
          <w:szCs w:val="26"/>
        </w:rPr>
        <w:t>federal</w:t>
      </w:r>
      <w:r w:rsidRPr="009C5703">
        <w:rPr>
          <w:rFonts w:eastAsia="Calibri"/>
          <w:sz w:val="26"/>
          <w:szCs w:val="26"/>
        </w:rPr>
        <w:t xml:space="preserve"> agency.  For further explanation of what is included in the information collection burden, refer to 5 CFR 1320.3.</w:t>
      </w:r>
    </w:p>
    <w:p w:rsidR="002770E2" w:rsidRPr="00A33003" w:rsidP="00C70A5D" w14:paraId="0A0A86E8" w14:textId="77777777">
      <w:pPr>
        <w:pStyle w:val="FootnoteText"/>
        <w:rPr>
          <w:sz w:val="26"/>
          <w:szCs w:val="26"/>
        </w:rPr>
      </w:pPr>
    </w:p>
  </w:footnote>
  <w:footnote w:id="7">
    <w:p w:rsidR="00F86373" w:rsidRPr="00A33003" w:rsidP="00C70A5D" w14:paraId="792D5E56" w14:textId="1F47D970">
      <w:pPr>
        <w:pStyle w:val="FootnoteText"/>
        <w:rPr>
          <w:sz w:val="26"/>
          <w:szCs w:val="26"/>
        </w:rPr>
      </w:pPr>
      <w:r w:rsidRPr="008E7C1D">
        <w:rPr>
          <w:rStyle w:val="FootnoteReference"/>
          <w:sz w:val="26"/>
          <w:szCs w:val="26"/>
          <w:vertAlign w:val="superscript"/>
        </w:rPr>
        <w:footnoteRef/>
      </w:r>
      <w:r w:rsidRPr="00452623" w:rsidR="00452623">
        <w:rPr>
          <w:sz w:val="26"/>
          <w:szCs w:val="26"/>
        </w:rPr>
        <w:t>Commission staff believes the FERC average wages plus benefits are a reasonable approximation of the cost for industry and public respondents.  Therefore</w:t>
      </w:r>
      <w:r w:rsidR="005B0705">
        <w:rPr>
          <w:sz w:val="26"/>
          <w:szCs w:val="26"/>
        </w:rPr>
        <w:t>,</w:t>
      </w:r>
      <w:r w:rsidRPr="00452623" w:rsidR="00452623">
        <w:rPr>
          <w:sz w:val="26"/>
          <w:szCs w:val="26"/>
        </w:rPr>
        <w:t xml:space="preserve"> we are using the 2022 FERC average cost for wages plus benefits </w:t>
      </w:r>
      <w:r w:rsidR="0037616E">
        <w:rPr>
          <w:sz w:val="26"/>
          <w:szCs w:val="26"/>
        </w:rPr>
        <w:t>[</w:t>
      </w:r>
      <w:r w:rsidRPr="00452623" w:rsidR="00452623">
        <w:rPr>
          <w:sz w:val="26"/>
          <w:szCs w:val="26"/>
        </w:rPr>
        <w:t>$91.00 (rounded) per hour or $188,922 (rounded) per year</w:t>
      </w:r>
      <w:r w:rsidR="0037616E">
        <w:rPr>
          <w:sz w:val="26"/>
          <w:szCs w:val="26"/>
        </w:rPr>
        <w:t>]</w:t>
      </w:r>
      <w:r w:rsidRPr="00452623" w:rsidR="00452623">
        <w:rPr>
          <w:sz w:val="26"/>
          <w:szCs w:val="26"/>
        </w:rPr>
        <w:t>.</w:t>
      </w:r>
    </w:p>
  </w:footnote>
  <w:footnote w:id="8">
    <w:p w:rsidR="00F86373" w:rsidP="00EF40FF" w14:paraId="49D8CD06" w14:textId="50E62AC7">
      <w:pPr>
        <w:rPr>
          <w:sz w:val="26"/>
          <w:szCs w:val="26"/>
        </w:rPr>
      </w:pPr>
      <w:r w:rsidRPr="00197BC1">
        <w:rPr>
          <w:rStyle w:val="FootnoteReference"/>
          <w:sz w:val="26"/>
          <w:szCs w:val="26"/>
          <w:vertAlign w:val="superscript"/>
        </w:rPr>
        <w:footnoteRef/>
      </w:r>
      <w:r w:rsidRPr="00197BC1">
        <w:rPr>
          <w:sz w:val="26"/>
          <w:szCs w:val="26"/>
        </w:rPr>
        <w:t xml:space="preserve"> </w:t>
      </w:r>
      <w:r w:rsidRPr="004726ED" w:rsidR="004726ED">
        <w:rPr>
          <w:sz w:val="26"/>
          <w:szCs w:val="26"/>
        </w:rPr>
        <w:t xml:space="preserve">FERC’s </w:t>
      </w:r>
      <w:r w:rsidRPr="00A03B02" w:rsidR="00A03B02">
        <w:rPr>
          <w:sz w:val="26"/>
          <w:szCs w:val="26"/>
        </w:rPr>
        <w:t xml:space="preserve">2022 FERC average cost for </w:t>
      </w:r>
      <w:r w:rsidRPr="00704A64" w:rsidR="00A03B02">
        <w:rPr>
          <w:sz w:val="26"/>
          <w:szCs w:val="26"/>
        </w:rPr>
        <w:t>wages plus benefits is $91.00 (rounded) per hour or $188,922 (rounded</w:t>
      </w:r>
      <w:r w:rsidRPr="00704A64" w:rsidR="009E02E5">
        <w:rPr>
          <w:sz w:val="26"/>
          <w:szCs w:val="26"/>
        </w:rPr>
        <w:t xml:space="preserve"> for one Full-Time Equivalent (FTE)</w:t>
      </w:r>
      <w:r w:rsidRPr="00704A64" w:rsidR="00A03B02">
        <w:rPr>
          <w:sz w:val="26"/>
          <w:szCs w:val="26"/>
        </w:rPr>
        <w:t>) per year.</w:t>
      </w:r>
    </w:p>
    <w:p w:rsidR="002770E2" w:rsidRPr="00704A64" w:rsidP="00EF40FF" w14:paraId="2903EC7C" w14:textId="77777777">
      <w:pPr>
        <w:rPr>
          <w:sz w:val="26"/>
          <w:szCs w:val="26"/>
        </w:rPr>
      </w:pPr>
    </w:p>
  </w:footnote>
  <w:footnote w:id="9">
    <w:p w:rsidR="00F86373" w:rsidP="00EF40FF" w14:paraId="1D3E441C" w14:textId="169422DF">
      <w:pPr>
        <w:pStyle w:val="FootnoteText"/>
        <w:rPr>
          <w:sz w:val="26"/>
          <w:szCs w:val="26"/>
        </w:rPr>
      </w:pPr>
      <w:r w:rsidRPr="00704A64">
        <w:rPr>
          <w:rStyle w:val="FootnoteReference"/>
          <w:sz w:val="26"/>
          <w:szCs w:val="26"/>
          <w:vertAlign w:val="superscript"/>
        </w:rPr>
        <w:footnoteRef/>
      </w:r>
      <w:r w:rsidRPr="00704A64">
        <w:rPr>
          <w:sz w:val="26"/>
          <w:szCs w:val="26"/>
          <w:vertAlign w:val="superscript"/>
        </w:rPr>
        <w:t xml:space="preserve"> </w:t>
      </w:r>
      <w:r w:rsidRPr="00704A64">
        <w:rPr>
          <w:sz w:val="26"/>
          <w:szCs w:val="26"/>
        </w:rPr>
        <w:t>Paperwork Reduction Act of 1995 (PRA).</w:t>
      </w:r>
    </w:p>
    <w:p w:rsidR="002770E2" w:rsidRPr="00704A64" w:rsidP="00EF40FF" w14:paraId="4C0A85F9" w14:textId="77777777">
      <w:pPr>
        <w:pStyle w:val="FootnoteText"/>
        <w:rPr>
          <w:sz w:val="26"/>
          <w:szCs w:val="26"/>
        </w:rPr>
      </w:pPr>
    </w:p>
  </w:footnote>
  <w:footnote w:id="10">
    <w:p w:rsidR="004726ED" w:rsidRPr="003C0C3E" w14:paraId="3BE1D155" w14:textId="05CA716F">
      <w:pPr>
        <w:pStyle w:val="FootnoteText"/>
        <w:rPr>
          <w:sz w:val="26"/>
          <w:szCs w:val="26"/>
        </w:rPr>
      </w:pPr>
      <w:r w:rsidRPr="00704A64">
        <w:rPr>
          <w:rStyle w:val="FootnoteReference"/>
          <w:sz w:val="26"/>
          <w:szCs w:val="26"/>
          <w:vertAlign w:val="superscript"/>
        </w:rPr>
        <w:footnoteRef/>
      </w:r>
      <w:r w:rsidRPr="00704A64">
        <w:rPr>
          <w:sz w:val="26"/>
          <w:szCs w:val="26"/>
          <w:vertAlign w:val="superscript"/>
        </w:rPr>
        <w:t xml:space="preserve"> </w:t>
      </w:r>
      <w:r w:rsidRPr="00704A64">
        <w:rPr>
          <w:sz w:val="26"/>
          <w:szCs w:val="26"/>
        </w:rPr>
        <w:t>Based upon FERC’s 202</w:t>
      </w:r>
      <w:r w:rsidRPr="00704A64" w:rsidR="00827F38">
        <w:rPr>
          <w:sz w:val="26"/>
          <w:szCs w:val="26"/>
        </w:rPr>
        <w:t>2</w:t>
      </w:r>
      <w:r w:rsidRPr="00704A64">
        <w:rPr>
          <w:sz w:val="26"/>
          <w:szCs w:val="26"/>
        </w:rPr>
        <w:t xml:space="preserve"> estimated average annual PRA Administrative Cost of $</w:t>
      </w:r>
      <w:r w:rsidRPr="00704A64" w:rsidR="00827F38">
        <w:rPr>
          <w:sz w:val="26"/>
          <w:szCs w:val="26"/>
        </w:rPr>
        <w:t>7,694</w:t>
      </w:r>
      <w:r w:rsidRPr="00704A64">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73" w:rsidRPr="00130DCC" w14:paraId="2165CDE1" w14:textId="51E464F3">
    <w:pPr>
      <w:pStyle w:val="Header"/>
      <w:rPr>
        <w:sz w:val="26"/>
        <w:szCs w:val="26"/>
        <w:lang w:val="es-CO"/>
      </w:rPr>
    </w:pPr>
    <w:r w:rsidRPr="00130DCC">
      <w:rPr>
        <w:sz w:val="26"/>
        <w:szCs w:val="26"/>
        <w:lang w:val="es-CO"/>
      </w:rPr>
      <w:t>FERC-1002</w:t>
    </w:r>
    <w:r w:rsidRPr="00130DCC" w:rsidR="004C0527">
      <w:rPr>
        <w:sz w:val="26"/>
        <w:szCs w:val="26"/>
        <w:lang w:val="es-CO"/>
      </w:rPr>
      <w:t xml:space="preserve"> </w:t>
    </w:r>
    <w:r w:rsidRPr="00130DCC">
      <w:rPr>
        <w:sz w:val="26"/>
        <w:szCs w:val="26"/>
        <w:lang w:val="es-CO"/>
      </w:rPr>
      <w:t>(OMB Control No. 1902-</w:t>
    </w:r>
    <w:r w:rsidRPr="00130DCC">
      <w:rPr>
        <w:sz w:val="26"/>
        <w:szCs w:val="26"/>
        <w:lang w:val="es-CO"/>
      </w:rPr>
      <w:t>TBD</w:t>
    </w:r>
    <w:r w:rsidRPr="00130DCC">
      <w:rPr>
        <w:sz w:val="26"/>
        <w:szCs w:val="26"/>
        <w:lang w:val="es-CO"/>
      </w:rPr>
      <w:t>)</w:t>
    </w:r>
  </w:p>
  <w:p w:rsidR="008566C9" w:rsidRPr="00E927E5" w14:paraId="3C0F421A" w14:textId="7772784C">
    <w:pPr>
      <w:pStyle w:val="Header"/>
      <w:rPr>
        <w:sz w:val="26"/>
        <w:szCs w:val="26"/>
      </w:rPr>
    </w:pPr>
    <w:r w:rsidRPr="00E927E5">
      <w:rPr>
        <w:sz w:val="26"/>
        <w:szCs w:val="26"/>
      </w:rPr>
      <w:t>(</w:t>
    </w:r>
    <w:r w:rsidR="00686956">
      <w:rPr>
        <w:sz w:val="26"/>
        <w:szCs w:val="26"/>
      </w:rPr>
      <w:t xml:space="preserve">Proposed </w:t>
    </w:r>
    <w:r w:rsidRPr="00E927E5" w:rsidR="00B7124F">
      <w:rPr>
        <w:sz w:val="26"/>
        <w:szCs w:val="26"/>
      </w:rPr>
      <w:t xml:space="preserve">in </w:t>
    </w:r>
    <w:r w:rsidRPr="00E927E5">
      <w:rPr>
        <w:sz w:val="26"/>
        <w:szCs w:val="26"/>
      </w:rPr>
      <w:t xml:space="preserve">Docket No. </w:t>
    </w:r>
    <w:r w:rsidR="0057323D">
      <w:rPr>
        <w:sz w:val="26"/>
        <w:szCs w:val="26"/>
      </w:rPr>
      <w:t>AD22-14</w:t>
    </w:r>
    <w:r w:rsidRPr="00E927E5">
      <w:rPr>
        <w:sz w:val="26"/>
        <w:szCs w:val="26"/>
      </w:rPr>
      <w:t>)</w:t>
    </w:r>
  </w:p>
  <w:p w:rsidR="00506ACA" w14:paraId="08D8EE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73" w14:paraId="583EA8D9"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E27B9"/>
    <w:multiLevelType w:val="hybridMultilevel"/>
    <w:tmpl w:val="CABC0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CD28D1"/>
    <w:multiLevelType w:val="hybridMultilevel"/>
    <w:tmpl w:val="4086E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68E521B"/>
    <w:multiLevelType w:val="hybridMultilevel"/>
    <w:tmpl w:val="3A88B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B6B4B"/>
    <w:multiLevelType w:val="hybridMultilevel"/>
    <w:tmpl w:val="88DCC0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90B3DDE"/>
    <w:multiLevelType w:val="hybridMultilevel"/>
    <w:tmpl w:val="3CD29E0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1">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56E7439"/>
    <w:multiLevelType w:val="hybridMultilevel"/>
    <w:tmpl w:val="566E1AD2"/>
    <w:lvl w:ilvl="0">
      <w:start w:val="1"/>
      <w:numFmt w:val="decimal"/>
      <w:lvlText w:val="%1."/>
      <w:lvlJc w:val="left"/>
      <w:pPr>
        <w:ind w:left="790" w:hanging="360"/>
      </w:pPr>
      <w:rPr>
        <w:rFonts w:ascii="Times New Roman" w:hAnsi="Times New Roman" w:cs="Times New Roman" w:hint="default"/>
      </w:r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15">
    <w:nsid w:val="6DFC3766"/>
    <w:multiLevelType w:val="hybridMultilevel"/>
    <w:tmpl w:val="35C09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A86C93"/>
    <w:multiLevelType w:val="hybridMultilevel"/>
    <w:tmpl w:val="1B0AC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EF3E48"/>
    <w:multiLevelType w:val="hybridMultilevel"/>
    <w:tmpl w:val="1408DD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3E6DAE"/>
    <w:multiLevelType w:val="hybridMultilevel"/>
    <w:tmpl w:val="F0D49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1"/>
  </w:num>
  <w:num w:numId="4">
    <w:abstractNumId w:val="4"/>
  </w:num>
  <w:num w:numId="5">
    <w:abstractNumId w:val="9"/>
  </w:num>
  <w:num w:numId="6">
    <w:abstractNumId w:val="12"/>
  </w:num>
  <w:num w:numId="7">
    <w:abstractNumId w:val="8"/>
  </w:num>
  <w:num w:numId="8">
    <w:abstractNumId w:val="3"/>
  </w:num>
  <w:num w:numId="9">
    <w:abstractNumId w:val="16"/>
  </w:num>
  <w:num w:numId="10">
    <w:abstractNumId w:val="1"/>
  </w:num>
  <w:num w:numId="11">
    <w:abstractNumId w:val="17"/>
  </w:num>
  <w:num w:numId="12">
    <w:abstractNumId w:val="10"/>
  </w:num>
  <w:num w:numId="13">
    <w:abstractNumId w:val="18"/>
  </w:num>
  <w:num w:numId="14">
    <w:abstractNumId w:val="0"/>
  </w:num>
  <w:num w:numId="15">
    <w:abstractNumId w:val="19"/>
  </w:num>
  <w:num w:numId="16">
    <w:abstractNumId w:val="6"/>
  </w:num>
  <w:num w:numId="17">
    <w:abstractNumId w:val="2"/>
  </w:num>
  <w:num w:numId="18">
    <w:abstractNumId w:val="5"/>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0C8A"/>
    <w:rsid w:val="00001E34"/>
    <w:rsid w:val="00003919"/>
    <w:rsid w:val="0000715D"/>
    <w:rsid w:val="00007E66"/>
    <w:rsid w:val="000114B4"/>
    <w:rsid w:val="000133EC"/>
    <w:rsid w:val="000211DA"/>
    <w:rsid w:val="000218B7"/>
    <w:rsid w:val="0002319D"/>
    <w:rsid w:val="00023A77"/>
    <w:rsid w:val="00024197"/>
    <w:rsid w:val="000242CE"/>
    <w:rsid w:val="000258F2"/>
    <w:rsid w:val="0002625F"/>
    <w:rsid w:val="00026A96"/>
    <w:rsid w:val="000334EB"/>
    <w:rsid w:val="000336F6"/>
    <w:rsid w:val="00033720"/>
    <w:rsid w:val="00034BA8"/>
    <w:rsid w:val="00034E4A"/>
    <w:rsid w:val="0003550F"/>
    <w:rsid w:val="00036A31"/>
    <w:rsid w:val="0004061B"/>
    <w:rsid w:val="00040840"/>
    <w:rsid w:val="00040C33"/>
    <w:rsid w:val="00040FB9"/>
    <w:rsid w:val="000414F4"/>
    <w:rsid w:val="00045EEC"/>
    <w:rsid w:val="000479D1"/>
    <w:rsid w:val="00050252"/>
    <w:rsid w:val="00050B2D"/>
    <w:rsid w:val="000525E0"/>
    <w:rsid w:val="0005628C"/>
    <w:rsid w:val="00056AF0"/>
    <w:rsid w:val="000607DF"/>
    <w:rsid w:val="00061D7A"/>
    <w:rsid w:val="000636FD"/>
    <w:rsid w:val="00063C75"/>
    <w:rsid w:val="00065973"/>
    <w:rsid w:val="00066A2B"/>
    <w:rsid w:val="00067E72"/>
    <w:rsid w:val="000806CF"/>
    <w:rsid w:val="0008184B"/>
    <w:rsid w:val="00084776"/>
    <w:rsid w:val="00084CA6"/>
    <w:rsid w:val="00085C82"/>
    <w:rsid w:val="00086524"/>
    <w:rsid w:val="000865E3"/>
    <w:rsid w:val="00087AAF"/>
    <w:rsid w:val="00090D4A"/>
    <w:rsid w:val="000926A6"/>
    <w:rsid w:val="00093AE0"/>
    <w:rsid w:val="0009414E"/>
    <w:rsid w:val="000963A1"/>
    <w:rsid w:val="000969B5"/>
    <w:rsid w:val="00097423"/>
    <w:rsid w:val="000A19C9"/>
    <w:rsid w:val="000A235E"/>
    <w:rsid w:val="000A2E00"/>
    <w:rsid w:val="000A377A"/>
    <w:rsid w:val="000A53DD"/>
    <w:rsid w:val="000A666A"/>
    <w:rsid w:val="000B425F"/>
    <w:rsid w:val="000B6FDE"/>
    <w:rsid w:val="000B72DF"/>
    <w:rsid w:val="000C047C"/>
    <w:rsid w:val="000C09C2"/>
    <w:rsid w:val="000C2007"/>
    <w:rsid w:val="000C2073"/>
    <w:rsid w:val="000C361B"/>
    <w:rsid w:val="000C46CF"/>
    <w:rsid w:val="000C55E5"/>
    <w:rsid w:val="000C5C56"/>
    <w:rsid w:val="000C6EFB"/>
    <w:rsid w:val="000C7EFC"/>
    <w:rsid w:val="000D0E00"/>
    <w:rsid w:val="000D532E"/>
    <w:rsid w:val="000D59C1"/>
    <w:rsid w:val="000D68A7"/>
    <w:rsid w:val="000D6E9A"/>
    <w:rsid w:val="000E00D7"/>
    <w:rsid w:val="000E2F9D"/>
    <w:rsid w:val="000E3FF9"/>
    <w:rsid w:val="000E6849"/>
    <w:rsid w:val="000E7C75"/>
    <w:rsid w:val="000F0016"/>
    <w:rsid w:val="000F1B73"/>
    <w:rsid w:val="000F2F0F"/>
    <w:rsid w:val="000F4F33"/>
    <w:rsid w:val="000F53A6"/>
    <w:rsid w:val="000F53D5"/>
    <w:rsid w:val="000F6F0D"/>
    <w:rsid w:val="000F7815"/>
    <w:rsid w:val="001039EE"/>
    <w:rsid w:val="001040F2"/>
    <w:rsid w:val="00104257"/>
    <w:rsid w:val="001050BA"/>
    <w:rsid w:val="001078FF"/>
    <w:rsid w:val="00111E5F"/>
    <w:rsid w:val="00112789"/>
    <w:rsid w:val="00112915"/>
    <w:rsid w:val="00112B80"/>
    <w:rsid w:val="0011761D"/>
    <w:rsid w:val="00117FD8"/>
    <w:rsid w:val="0012122B"/>
    <w:rsid w:val="00123392"/>
    <w:rsid w:val="0012369B"/>
    <w:rsid w:val="001239BF"/>
    <w:rsid w:val="00124850"/>
    <w:rsid w:val="00124C9A"/>
    <w:rsid w:val="0012500E"/>
    <w:rsid w:val="00125BD1"/>
    <w:rsid w:val="00127D72"/>
    <w:rsid w:val="00130DCC"/>
    <w:rsid w:val="00132DB0"/>
    <w:rsid w:val="001352B5"/>
    <w:rsid w:val="00135B06"/>
    <w:rsid w:val="00140150"/>
    <w:rsid w:val="00143398"/>
    <w:rsid w:val="0014414D"/>
    <w:rsid w:val="00144ED4"/>
    <w:rsid w:val="0014545F"/>
    <w:rsid w:val="0014631F"/>
    <w:rsid w:val="00146FDA"/>
    <w:rsid w:val="00147917"/>
    <w:rsid w:val="00147DD0"/>
    <w:rsid w:val="00150221"/>
    <w:rsid w:val="001550C7"/>
    <w:rsid w:val="00155ECA"/>
    <w:rsid w:val="00157D33"/>
    <w:rsid w:val="00166145"/>
    <w:rsid w:val="00166A20"/>
    <w:rsid w:val="00166ED8"/>
    <w:rsid w:val="0016761E"/>
    <w:rsid w:val="001679EA"/>
    <w:rsid w:val="001718FA"/>
    <w:rsid w:val="0017363D"/>
    <w:rsid w:val="00173C76"/>
    <w:rsid w:val="00175FD8"/>
    <w:rsid w:val="00177916"/>
    <w:rsid w:val="00180B65"/>
    <w:rsid w:val="00181B4A"/>
    <w:rsid w:val="0018233B"/>
    <w:rsid w:val="0018379E"/>
    <w:rsid w:val="00183FF0"/>
    <w:rsid w:val="001922FC"/>
    <w:rsid w:val="00192A85"/>
    <w:rsid w:val="00194C82"/>
    <w:rsid w:val="00197BC1"/>
    <w:rsid w:val="00197FBE"/>
    <w:rsid w:val="001A07E0"/>
    <w:rsid w:val="001A0C58"/>
    <w:rsid w:val="001A2689"/>
    <w:rsid w:val="001A270D"/>
    <w:rsid w:val="001A2DE4"/>
    <w:rsid w:val="001B008A"/>
    <w:rsid w:val="001B1350"/>
    <w:rsid w:val="001B49A9"/>
    <w:rsid w:val="001B4F34"/>
    <w:rsid w:val="001B572C"/>
    <w:rsid w:val="001B6647"/>
    <w:rsid w:val="001C042A"/>
    <w:rsid w:val="001C0D4C"/>
    <w:rsid w:val="001C126A"/>
    <w:rsid w:val="001C61F0"/>
    <w:rsid w:val="001C68DA"/>
    <w:rsid w:val="001D2EC1"/>
    <w:rsid w:val="001D6060"/>
    <w:rsid w:val="001E053A"/>
    <w:rsid w:val="001E0A5C"/>
    <w:rsid w:val="001E2F04"/>
    <w:rsid w:val="001E6D2B"/>
    <w:rsid w:val="001E742E"/>
    <w:rsid w:val="001E7729"/>
    <w:rsid w:val="001F019E"/>
    <w:rsid w:val="001F2F75"/>
    <w:rsid w:val="001F3ADE"/>
    <w:rsid w:val="001F42E7"/>
    <w:rsid w:val="001F60CC"/>
    <w:rsid w:val="001F622E"/>
    <w:rsid w:val="001F6554"/>
    <w:rsid w:val="001F703D"/>
    <w:rsid w:val="001F794B"/>
    <w:rsid w:val="002000AA"/>
    <w:rsid w:val="002010DD"/>
    <w:rsid w:val="00201CDB"/>
    <w:rsid w:val="00202CDA"/>
    <w:rsid w:val="002048C2"/>
    <w:rsid w:val="00211AB5"/>
    <w:rsid w:val="00213D51"/>
    <w:rsid w:val="002142A2"/>
    <w:rsid w:val="002147B7"/>
    <w:rsid w:val="002178D0"/>
    <w:rsid w:val="0022031A"/>
    <w:rsid w:val="002204E1"/>
    <w:rsid w:val="00220CCB"/>
    <w:rsid w:val="002226B2"/>
    <w:rsid w:val="00222830"/>
    <w:rsid w:val="00224A7A"/>
    <w:rsid w:val="00224AAF"/>
    <w:rsid w:val="002263AA"/>
    <w:rsid w:val="002277CA"/>
    <w:rsid w:val="00230273"/>
    <w:rsid w:val="00233AD2"/>
    <w:rsid w:val="00233CB1"/>
    <w:rsid w:val="00237D5D"/>
    <w:rsid w:val="0024137A"/>
    <w:rsid w:val="002417B4"/>
    <w:rsid w:val="0024256B"/>
    <w:rsid w:val="002428D0"/>
    <w:rsid w:val="00243EE8"/>
    <w:rsid w:val="00244792"/>
    <w:rsid w:val="0024560C"/>
    <w:rsid w:val="00246BF0"/>
    <w:rsid w:val="00251A1A"/>
    <w:rsid w:val="002521E6"/>
    <w:rsid w:val="00252276"/>
    <w:rsid w:val="00252543"/>
    <w:rsid w:val="002565F8"/>
    <w:rsid w:val="002621D7"/>
    <w:rsid w:val="0026322C"/>
    <w:rsid w:val="00265706"/>
    <w:rsid w:val="00265D36"/>
    <w:rsid w:val="00265D47"/>
    <w:rsid w:val="00267F92"/>
    <w:rsid w:val="002707D1"/>
    <w:rsid w:val="002717C0"/>
    <w:rsid w:val="002736E8"/>
    <w:rsid w:val="002766FC"/>
    <w:rsid w:val="002770E2"/>
    <w:rsid w:val="00283A20"/>
    <w:rsid w:val="00285756"/>
    <w:rsid w:val="002862CC"/>
    <w:rsid w:val="00286DE2"/>
    <w:rsid w:val="00287C47"/>
    <w:rsid w:val="0029409D"/>
    <w:rsid w:val="00295C38"/>
    <w:rsid w:val="002A0055"/>
    <w:rsid w:val="002A1548"/>
    <w:rsid w:val="002A2B8E"/>
    <w:rsid w:val="002A3C7E"/>
    <w:rsid w:val="002A473A"/>
    <w:rsid w:val="002A506D"/>
    <w:rsid w:val="002A533E"/>
    <w:rsid w:val="002A5B3D"/>
    <w:rsid w:val="002A5C79"/>
    <w:rsid w:val="002A6E8C"/>
    <w:rsid w:val="002B3BC7"/>
    <w:rsid w:val="002B636E"/>
    <w:rsid w:val="002C1E7A"/>
    <w:rsid w:val="002C426D"/>
    <w:rsid w:val="002C6FE8"/>
    <w:rsid w:val="002C7756"/>
    <w:rsid w:val="002D1606"/>
    <w:rsid w:val="002D18D7"/>
    <w:rsid w:val="002D4D48"/>
    <w:rsid w:val="002D5138"/>
    <w:rsid w:val="002D587E"/>
    <w:rsid w:val="002D7855"/>
    <w:rsid w:val="002E0380"/>
    <w:rsid w:val="002E1015"/>
    <w:rsid w:val="002E2FFC"/>
    <w:rsid w:val="002E444C"/>
    <w:rsid w:val="002F0974"/>
    <w:rsid w:val="002F18AA"/>
    <w:rsid w:val="002F1B77"/>
    <w:rsid w:val="002F28A7"/>
    <w:rsid w:val="002F290F"/>
    <w:rsid w:val="002F5220"/>
    <w:rsid w:val="00301FCD"/>
    <w:rsid w:val="003030AC"/>
    <w:rsid w:val="00305325"/>
    <w:rsid w:val="003058EF"/>
    <w:rsid w:val="0030646B"/>
    <w:rsid w:val="00307F28"/>
    <w:rsid w:val="00312583"/>
    <w:rsid w:val="003131E6"/>
    <w:rsid w:val="0031346B"/>
    <w:rsid w:val="0031435F"/>
    <w:rsid w:val="003148A9"/>
    <w:rsid w:val="003163AE"/>
    <w:rsid w:val="0031733C"/>
    <w:rsid w:val="00317C67"/>
    <w:rsid w:val="00320FB4"/>
    <w:rsid w:val="00320FCF"/>
    <w:rsid w:val="0032225E"/>
    <w:rsid w:val="00323A77"/>
    <w:rsid w:val="003246CA"/>
    <w:rsid w:val="0032720F"/>
    <w:rsid w:val="0033109C"/>
    <w:rsid w:val="003312C9"/>
    <w:rsid w:val="00332772"/>
    <w:rsid w:val="00333AB8"/>
    <w:rsid w:val="0033418F"/>
    <w:rsid w:val="003363A8"/>
    <w:rsid w:val="00337E79"/>
    <w:rsid w:val="00340814"/>
    <w:rsid w:val="00340D85"/>
    <w:rsid w:val="0034285E"/>
    <w:rsid w:val="00342D0E"/>
    <w:rsid w:val="003431A7"/>
    <w:rsid w:val="003442F6"/>
    <w:rsid w:val="00347DCB"/>
    <w:rsid w:val="003534E0"/>
    <w:rsid w:val="00353E91"/>
    <w:rsid w:val="0035481D"/>
    <w:rsid w:val="0035636C"/>
    <w:rsid w:val="003614F9"/>
    <w:rsid w:val="003655B3"/>
    <w:rsid w:val="003663AE"/>
    <w:rsid w:val="00367BC9"/>
    <w:rsid w:val="00370496"/>
    <w:rsid w:val="00372192"/>
    <w:rsid w:val="00372521"/>
    <w:rsid w:val="003748E2"/>
    <w:rsid w:val="00374CC7"/>
    <w:rsid w:val="00374D8A"/>
    <w:rsid w:val="00375C14"/>
    <w:rsid w:val="00375FD9"/>
    <w:rsid w:val="0037616E"/>
    <w:rsid w:val="00381C5C"/>
    <w:rsid w:val="00384466"/>
    <w:rsid w:val="00385B39"/>
    <w:rsid w:val="00387C25"/>
    <w:rsid w:val="00387F09"/>
    <w:rsid w:val="0039186F"/>
    <w:rsid w:val="003964A8"/>
    <w:rsid w:val="003A1BA3"/>
    <w:rsid w:val="003A4AD2"/>
    <w:rsid w:val="003A6780"/>
    <w:rsid w:val="003B4508"/>
    <w:rsid w:val="003B7DB9"/>
    <w:rsid w:val="003B7F15"/>
    <w:rsid w:val="003C0C3E"/>
    <w:rsid w:val="003C117E"/>
    <w:rsid w:val="003C31F1"/>
    <w:rsid w:val="003C3A8E"/>
    <w:rsid w:val="003C429A"/>
    <w:rsid w:val="003C458F"/>
    <w:rsid w:val="003C6A3B"/>
    <w:rsid w:val="003C72D9"/>
    <w:rsid w:val="003C7325"/>
    <w:rsid w:val="003C780F"/>
    <w:rsid w:val="003D06D5"/>
    <w:rsid w:val="003D393C"/>
    <w:rsid w:val="003E0067"/>
    <w:rsid w:val="003E0363"/>
    <w:rsid w:val="003E3D66"/>
    <w:rsid w:val="003E5367"/>
    <w:rsid w:val="003E61C5"/>
    <w:rsid w:val="003E7E96"/>
    <w:rsid w:val="003F03BC"/>
    <w:rsid w:val="003F0669"/>
    <w:rsid w:val="003F325D"/>
    <w:rsid w:val="00405E59"/>
    <w:rsid w:val="004114B9"/>
    <w:rsid w:val="00413784"/>
    <w:rsid w:val="00413AAD"/>
    <w:rsid w:val="0041560D"/>
    <w:rsid w:val="004170C5"/>
    <w:rsid w:val="00417F21"/>
    <w:rsid w:val="004204FB"/>
    <w:rsid w:val="0042119E"/>
    <w:rsid w:val="0042315D"/>
    <w:rsid w:val="00424253"/>
    <w:rsid w:val="004254E7"/>
    <w:rsid w:val="004268BF"/>
    <w:rsid w:val="00426B6E"/>
    <w:rsid w:val="00427363"/>
    <w:rsid w:val="00430DC1"/>
    <w:rsid w:val="00432393"/>
    <w:rsid w:val="004328E1"/>
    <w:rsid w:val="00432A15"/>
    <w:rsid w:val="00432DA3"/>
    <w:rsid w:val="00437EF1"/>
    <w:rsid w:val="004406B6"/>
    <w:rsid w:val="00442531"/>
    <w:rsid w:val="004442BE"/>
    <w:rsid w:val="004445CE"/>
    <w:rsid w:val="004452D1"/>
    <w:rsid w:val="00445413"/>
    <w:rsid w:val="004472EB"/>
    <w:rsid w:val="004472F1"/>
    <w:rsid w:val="00447C71"/>
    <w:rsid w:val="00452377"/>
    <w:rsid w:val="00452623"/>
    <w:rsid w:val="00453765"/>
    <w:rsid w:val="0045487B"/>
    <w:rsid w:val="00454D32"/>
    <w:rsid w:val="0045583E"/>
    <w:rsid w:val="00455E32"/>
    <w:rsid w:val="004564E4"/>
    <w:rsid w:val="00456707"/>
    <w:rsid w:val="00463253"/>
    <w:rsid w:val="00463882"/>
    <w:rsid w:val="004645C9"/>
    <w:rsid w:val="00464A14"/>
    <w:rsid w:val="00466CDB"/>
    <w:rsid w:val="00467C5C"/>
    <w:rsid w:val="004703C0"/>
    <w:rsid w:val="00470B79"/>
    <w:rsid w:val="004726ED"/>
    <w:rsid w:val="00472AED"/>
    <w:rsid w:val="00473D9B"/>
    <w:rsid w:val="00476711"/>
    <w:rsid w:val="00477145"/>
    <w:rsid w:val="004815C6"/>
    <w:rsid w:val="004818A6"/>
    <w:rsid w:val="00483060"/>
    <w:rsid w:val="0048328A"/>
    <w:rsid w:val="00483CEB"/>
    <w:rsid w:val="00485003"/>
    <w:rsid w:val="00487413"/>
    <w:rsid w:val="00490241"/>
    <w:rsid w:val="0049081D"/>
    <w:rsid w:val="004908FF"/>
    <w:rsid w:val="00493F50"/>
    <w:rsid w:val="004966EA"/>
    <w:rsid w:val="00496F8B"/>
    <w:rsid w:val="004A0097"/>
    <w:rsid w:val="004A0D59"/>
    <w:rsid w:val="004A0FB5"/>
    <w:rsid w:val="004A1CCF"/>
    <w:rsid w:val="004A251B"/>
    <w:rsid w:val="004A3C4C"/>
    <w:rsid w:val="004A5798"/>
    <w:rsid w:val="004A5E1E"/>
    <w:rsid w:val="004A5FB4"/>
    <w:rsid w:val="004A7CB4"/>
    <w:rsid w:val="004B05E9"/>
    <w:rsid w:val="004B0930"/>
    <w:rsid w:val="004B1650"/>
    <w:rsid w:val="004B3A55"/>
    <w:rsid w:val="004B4A99"/>
    <w:rsid w:val="004B5052"/>
    <w:rsid w:val="004B5D42"/>
    <w:rsid w:val="004C0527"/>
    <w:rsid w:val="004C0AE2"/>
    <w:rsid w:val="004C3EE2"/>
    <w:rsid w:val="004C7277"/>
    <w:rsid w:val="004D1983"/>
    <w:rsid w:val="004D1994"/>
    <w:rsid w:val="004D1AEB"/>
    <w:rsid w:val="004D320E"/>
    <w:rsid w:val="004D6DEB"/>
    <w:rsid w:val="004D7738"/>
    <w:rsid w:val="004E095D"/>
    <w:rsid w:val="004E1B50"/>
    <w:rsid w:val="004E2D18"/>
    <w:rsid w:val="004E391F"/>
    <w:rsid w:val="004E5A5E"/>
    <w:rsid w:val="004E6781"/>
    <w:rsid w:val="004E743B"/>
    <w:rsid w:val="004E7478"/>
    <w:rsid w:val="004F3C72"/>
    <w:rsid w:val="004F4A3D"/>
    <w:rsid w:val="004F611D"/>
    <w:rsid w:val="004F68E8"/>
    <w:rsid w:val="004F6ED7"/>
    <w:rsid w:val="004F73BB"/>
    <w:rsid w:val="005008FE"/>
    <w:rsid w:val="00502D6F"/>
    <w:rsid w:val="00502E90"/>
    <w:rsid w:val="0050520C"/>
    <w:rsid w:val="00506ACA"/>
    <w:rsid w:val="00507426"/>
    <w:rsid w:val="00511B7C"/>
    <w:rsid w:val="00515F1D"/>
    <w:rsid w:val="005165DE"/>
    <w:rsid w:val="00516902"/>
    <w:rsid w:val="00522953"/>
    <w:rsid w:val="005240A1"/>
    <w:rsid w:val="00524AB5"/>
    <w:rsid w:val="0052581B"/>
    <w:rsid w:val="00525CC0"/>
    <w:rsid w:val="00525F58"/>
    <w:rsid w:val="00526C2E"/>
    <w:rsid w:val="0053176B"/>
    <w:rsid w:val="00536378"/>
    <w:rsid w:val="00537045"/>
    <w:rsid w:val="005373FC"/>
    <w:rsid w:val="00541601"/>
    <w:rsid w:val="005453DD"/>
    <w:rsid w:val="005458AF"/>
    <w:rsid w:val="00545B62"/>
    <w:rsid w:val="005469C9"/>
    <w:rsid w:val="00547F5C"/>
    <w:rsid w:val="005513B0"/>
    <w:rsid w:val="0055150A"/>
    <w:rsid w:val="00551E87"/>
    <w:rsid w:val="00553010"/>
    <w:rsid w:val="005532DE"/>
    <w:rsid w:val="0055448B"/>
    <w:rsid w:val="005544E7"/>
    <w:rsid w:val="00557AA5"/>
    <w:rsid w:val="00560503"/>
    <w:rsid w:val="00560CE5"/>
    <w:rsid w:val="005650B1"/>
    <w:rsid w:val="00567F24"/>
    <w:rsid w:val="00571A5F"/>
    <w:rsid w:val="0057323D"/>
    <w:rsid w:val="005737A6"/>
    <w:rsid w:val="0057463A"/>
    <w:rsid w:val="00576E2F"/>
    <w:rsid w:val="00580032"/>
    <w:rsid w:val="005841C3"/>
    <w:rsid w:val="00585835"/>
    <w:rsid w:val="00586E04"/>
    <w:rsid w:val="00590E36"/>
    <w:rsid w:val="0059295B"/>
    <w:rsid w:val="00592E82"/>
    <w:rsid w:val="00593CC7"/>
    <w:rsid w:val="005A15F9"/>
    <w:rsid w:val="005A1C14"/>
    <w:rsid w:val="005A1C54"/>
    <w:rsid w:val="005A3A72"/>
    <w:rsid w:val="005A5789"/>
    <w:rsid w:val="005A5E06"/>
    <w:rsid w:val="005A6378"/>
    <w:rsid w:val="005A6D1E"/>
    <w:rsid w:val="005A775C"/>
    <w:rsid w:val="005A7F58"/>
    <w:rsid w:val="005B00A8"/>
    <w:rsid w:val="005B0705"/>
    <w:rsid w:val="005B25F4"/>
    <w:rsid w:val="005B4E86"/>
    <w:rsid w:val="005B75BD"/>
    <w:rsid w:val="005C2F05"/>
    <w:rsid w:val="005C5DE2"/>
    <w:rsid w:val="005C6866"/>
    <w:rsid w:val="005C692B"/>
    <w:rsid w:val="005C6964"/>
    <w:rsid w:val="005D42D0"/>
    <w:rsid w:val="005D4F62"/>
    <w:rsid w:val="005D5E6D"/>
    <w:rsid w:val="005D6791"/>
    <w:rsid w:val="005E069F"/>
    <w:rsid w:val="005E1F6C"/>
    <w:rsid w:val="005E5255"/>
    <w:rsid w:val="005E5635"/>
    <w:rsid w:val="005E58D4"/>
    <w:rsid w:val="005E595A"/>
    <w:rsid w:val="005E6B79"/>
    <w:rsid w:val="005E71DF"/>
    <w:rsid w:val="005F2D62"/>
    <w:rsid w:val="005F2FE7"/>
    <w:rsid w:val="005F62ED"/>
    <w:rsid w:val="005F6731"/>
    <w:rsid w:val="006041B5"/>
    <w:rsid w:val="0060435B"/>
    <w:rsid w:val="00611CD0"/>
    <w:rsid w:val="00613B17"/>
    <w:rsid w:val="00614EC4"/>
    <w:rsid w:val="006154F5"/>
    <w:rsid w:val="00616AD2"/>
    <w:rsid w:val="00617221"/>
    <w:rsid w:val="006202DA"/>
    <w:rsid w:val="00620415"/>
    <w:rsid w:val="00620CE2"/>
    <w:rsid w:val="006224D6"/>
    <w:rsid w:val="00624BCE"/>
    <w:rsid w:val="00625962"/>
    <w:rsid w:val="00626D7D"/>
    <w:rsid w:val="00627886"/>
    <w:rsid w:val="006279FE"/>
    <w:rsid w:val="0063015C"/>
    <w:rsid w:val="0063140B"/>
    <w:rsid w:val="00633394"/>
    <w:rsid w:val="00634631"/>
    <w:rsid w:val="00642B6A"/>
    <w:rsid w:val="00643348"/>
    <w:rsid w:val="00644523"/>
    <w:rsid w:val="006549F3"/>
    <w:rsid w:val="00655A48"/>
    <w:rsid w:val="006612CB"/>
    <w:rsid w:val="00662931"/>
    <w:rsid w:val="00663104"/>
    <w:rsid w:val="00663AE0"/>
    <w:rsid w:val="00663F88"/>
    <w:rsid w:val="00665A11"/>
    <w:rsid w:val="00665FEA"/>
    <w:rsid w:val="00671B69"/>
    <w:rsid w:val="00672520"/>
    <w:rsid w:val="00673048"/>
    <w:rsid w:val="00674567"/>
    <w:rsid w:val="0067571A"/>
    <w:rsid w:val="0067741F"/>
    <w:rsid w:val="00677580"/>
    <w:rsid w:val="006835CB"/>
    <w:rsid w:val="0068452D"/>
    <w:rsid w:val="00685F6C"/>
    <w:rsid w:val="00686956"/>
    <w:rsid w:val="006911C3"/>
    <w:rsid w:val="00692B76"/>
    <w:rsid w:val="0069414A"/>
    <w:rsid w:val="00694472"/>
    <w:rsid w:val="00694EA4"/>
    <w:rsid w:val="006967D1"/>
    <w:rsid w:val="00696C83"/>
    <w:rsid w:val="0069723E"/>
    <w:rsid w:val="00697466"/>
    <w:rsid w:val="006A064A"/>
    <w:rsid w:val="006A09B9"/>
    <w:rsid w:val="006A19F2"/>
    <w:rsid w:val="006A1A2E"/>
    <w:rsid w:val="006A46A5"/>
    <w:rsid w:val="006A6928"/>
    <w:rsid w:val="006B07F5"/>
    <w:rsid w:val="006B26C4"/>
    <w:rsid w:val="006B42A3"/>
    <w:rsid w:val="006B56FF"/>
    <w:rsid w:val="006C0F70"/>
    <w:rsid w:val="006C1E96"/>
    <w:rsid w:val="006C2909"/>
    <w:rsid w:val="006C29E5"/>
    <w:rsid w:val="006C3443"/>
    <w:rsid w:val="006C6E3C"/>
    <w:rsid w:val="006D094C"/>
    <w:rsid w:val="006D0C3F"/>
    <w:rsid w:val="006D2856"/>
    <w:rsid w:val="006D34AE"/>
    <w:rsid w:val="006D6340"/>
    <w:rsid w:val="006E366B"/>
    <w:rsid w:val="006E6EBF"/>
    <w:rsid w:val="006F0148"/>
    <w:rsid w:val="006F0D1F"/>
    <w:rsid w:val="006F4A10"/>
    <w:rsid w:val="006F540D"/>
    <w:rsid w:val="006F5572"/>
    <w:rsid w:val="006F6032"/>
    <w:rsid w:val="0070160F"/>
    <w:rsid w:val="00701CE8"/>
    <w:rsid w:val="007028E1"/>
    <w:rsid w:val="00702E79"/>
    <w:rsid w:val="00703122"/>
    <w:rsid w:val="007045E4"/>
    <w:rsid w:val="00704A64"/>
    <w:rsid w:val="007053B1"/>
    <w:rsid w:val="0070677C"/>
    <w:rsid w:val="00713654"/>
    <w:rsid w:val="00713CD3"/>
    <w:rsid w:val="00715BEA"/>
    <w:rsid w:val="00716323"/>
    <w:rsid w:val="00720260"/>
    <w:rsid w:val="00722332"/>
    <w:rsid w:val="00725EAB"/>
    <w:rsid w:val="00731224"/>
    <w:rsid w:val="00732914"/>
    <w:rsid w:val="00732926"/>
    <w:rsid w:val="007339DC"/>
    <w:rsid w:val="007405E5"/>
    <w:rsid w:val="00741E29"/>
    <w:rsid w:val="00741EE4"/>
    <w:rsid w:val="00742983"/>
    <w:rsid w:val="00743237"/>
    <w:rsid w:val="0074380F"/>
    <w:rsid w:val="00744580"/>
    <w:rsid w:val="007470F7"/>
    <w:rsid w:val="007517E8"/>
    <w:rsid w:val="00752518"/>
    <w:rsid w:val="0075420C"/>
    <w:rsid w:val="0075431D"/>
    <w:rsid w:val="0075737E"/>
    <w:rsid w:val="0076015E"/>
    <w:rsid w:val="007605FE"/>
    <w:rsid w:val="00761887"/>
    <w:rsid w:val="00761C25"/>
    <w:rsid w:val="007625CD"/>
    <w:rsid w:val="00763CA1"/>
    <w:rsid w:val="00764515"/>
    <w:rsid w:val="00767DF8"/>
    <w:rsid w:val="00774DB8"/>
    <w:rsid w:val="007777CF"/>
    <w:rsid w:val="007778F4"/>
    <w:rsid w:val="00781454"/>
    <w:rsid w:val="00781D09"/>
    <w:rsid w:val="00783398"/>
    <w:rsid w:val="00785B9F"/>
    <w:rsid w:val="00786C30"/>
    <w:rsid w:val="00787A3E"/>
    <w:rsid w:val="00790DB8"/>
    <w:rsid w:val="00791B07"/>
    <w:rsid w:val="00793C72"/>
    <w:rsid w:val="00796FC0"/>
    <w:rsid w:val="00797EBF"/>
    <w:rsid w:val="007A1311"/>
    <w:rsid w:val="007A1A3D"/>
    <w:rsid w:val="007A3C6C"/>
    <w:rsid w:val="007A404A"/>
    <w:rsid w:val="007A577F"/>
    <w:rsid w:val="007A5CE5"/>
    <w:rsid w:val="007A6C28"/>
    <w:rsid w:val="007B1099"/>
    <w:rsid w:val="007B2668"/>
    <w:rsid w:val="007B2DF1"/>
    <w:rsid w:val="007B4FF7"/>
    <w:rsid w:val="007B630C"/>
    <w:rsid w:val="007B7B0D"/>
    <w:rsid w:val="007B7E20"/>
    <w:rsid w:val="007C0B96"/>
    <w:rsid w:val="007C4F76"/>
    <w:rsid w:val="007C5162"/>
    <w:rsid w:val="007C638F"/>
    <w:rsid w:val="007C77C2"/>
    <w:rsid w:val="007C7831"/>
    <w:rsid w:val="007C7D20"/>
    <w:rsid w:val="007D27B1"/>
    <w:rsid w:val="007D3E42"/>
    <w:rsid w:val="007D6A43"/>
    <w:rsid w:val="007E173F"/>
    <w:rsid w:val="007E1A66"/>
    <w:rsid w:val="007E3AF1"/>
    <w:rsid w:val="007E540E"/>
    <w:rsid w:val="007E5EEB"/>
    <w:rsid w:val="007F16AA"/>
    <w:rsid w:val="007F1F1E"/>
    <w:rsid w:val="007F2633"/>
    <w:rsid w:val="007F35C4"/>
    <w:rsid w:val="007F3CB9"/>
    <w:rsid w:val="007F441A"/>
    <w:rsid w:val="007F45E9"/>
    <w:rsid w:val="007F57C8"/>
    <w:rsid w:val="007F6154"/>
    <w:rsid w:val="007F6FF9"/>
    <w:rsid w:val="007F74C9"/>
    <w:rsid w:val="00800C35"/>
    <w:rsid w:val="00803D8D"/>
    <w:rsid w:val="00804656"/>
    <w:rsid w:val="00805B27"/>
    <w:rsid w:val="00805BEB"/>
    <w:rsid w:val="00805CAC"/>
    <w:rsid w:val="00805D63"/>
    <w:rsid w:val="00815606"/>
    <w:rsid w:val="00815F57"/>
    <w:rsid w:val="0081615D"/>
    <w:rsid w:val="00820D18"/>
    <w:rsid w:val="00822B26"/>
    <w:rsid w:val="00823785"/>
    <w:rsid w:val="00824568"/>
    <w:rsid w:val="00827F38"/>
    <w:rsid w:val="00831572"/>
    <w:rsid w:val="00833D03"/>
    <w:rsid w:val="00833E5F"/>
    <w:rsid w:val="00834885"/>
    <w:rsid w:val="00835D10"/>
    <w:rsid w:val="00836548"/>
    <w:rsid w:val="008438E5"/>
    <w:rsid w:val="00843C52"/>
    <w:rsid w:val="00844139"/>
    <w:rsid w:val="008447D5"/>
    <w:rsid w:val="00850419"/>
    <w:rsid w:val="00851D29"/>
    <w:rsid w:val="0085224A"/>
    <w:rsid w:val="008538D9"/>
    <w:rsid w:val="00855F1F"/>
    <w:rsid w:val="008566C9"/>
    <w:rsid w:val="00860C58"/>
    <w:rsid w:val="008621D3"/>
    <w:rsid w:val="00862566"/>
    <w:rsid w:val="00863A77"/>
    <w:rsid w:val="0086435D"/>
    <w:rsid w:val="00864780"/>
    <w:rsid w:val="00864804"/>
    <w:rsid w:val="008673D1"/>
    <w:rsid w:val="00867774"/>
    <w:rsid w:val="008704D0"/>
    <w:rsid w:val="00870A54"/>
    <w:rsid w:val="00872682"/>
    <w:rsid w:val="00873F3C"/>
    <w:rsid w:val="00875DFB"/>
    <w:rsid w:val="00876C7B"/>
    <w:rsid w:val="0087780B"/>
    <w:rsid w:val="00884556"/>
    <w:rsid w:val="00884861"/>
    <w:rsid w:val="00885357"/>
    <w:rsid w:val="00885617"/>
    <w:rsid w:val="008856F9"/>
    <w:rsid w:val="00885AD3"/>
    <w:rsid w:val="008872AA"/>
    <w:rsid w:val="00891C89"/>
    <w:rsid w:val="008928D4"/>
    <w:rsid w:val="00892C3B"/>
    <w:rsid w:val="00892D52"/>
    <w:rsid w:val="00893289"/>
    <w:rsid w:val="0089369D"/>
    <w:rsid w:val="008937C2"/>
    <w:rsid w:val="00893A01"/>
    <w:rsid w:val="0089541D"/>
    <w:rsid w:val="008963EE"/>
    <w:rsid w:val="008A004A"/>
    <w:rsid w:val="008A0523"/>
    <w:rsid w:val="008A2D05"/>
    <w:rsid w:val="008A38B5"/>
    <w:rsid w:val="008A4B76"/>
    <w:rsid w:val="008A78E6"/>
    <w:rsid w:val="008B1A17"/>
    <w:rsid w:val="008B1CAD"/>
    <w:rsid w:val="008B1F51"/>
    <w:rsid w:val="008B2BB6"/>
    <w:rsid w:val="008B340E"/>
    <w:rsid w:val="008B5086"/>
    <w:rsid w:val="008B5096"/>
    <w:rsid w:val="008B5679"/>
    <w:rsid w:val="008C27FC"/>
    <w:rsid w:val="008C33B3"/>
    <w:rsid w:val="008C36A8"/>
    <w:rsid w:val="008C62DE"/>
    <w:rsid w:val="008C6A2E"/>
    <w:rsid w:val="008C7518"/>
    <w:rsid w:val="008D1874"/>
    <w:rsid w:val="008D6E46"/>
    <w:rsid w:val="008D7944"/>
    <w:rsid w:val="008E29F9"/>
    <w:rsid w:val="008E3743"/>
    <w:rsid w:val="008E58CC"/>
    <w:rsid w:val="008E70C3"/>
    <w:rsid w:val="008E7915"/>
    <w:rsid w:val="008E7C1D"/>
    <w:rsid w:val="008F4946"/>
    <w:rsid w:val="00900EA9"/>
    <w:rsid w:val="009037E7"/>
    <w:rsid w:val="00904243"/>
    <w:rsid w:val="00905284"/>
    <w:rsid w:val="009054D9"/>
    <w:rsid w:val="00906824"/>
    <w:rsid w:val="00906CCA"/>
    <w:rsid w:val="00907A71"/>
    <w:rsid w:val="00910605"/>
    <w:rsid w:val="0091154B"/>
    <w:rsid w:val="00913C17"/>
    <w:rsid w:val="00915126"/>
    <w:rsid w:val="009158A8"/>
    <w:rsid w:val="009201FF"/>
    <w:rsid w:val="0092043E"/>
    <w:rsid w:val="00920C9E"/>
    <w:rsid w:val="00921ABC"/>
    <w:rsid w:val="00922E5C"/>
    <w:rsid w:val="009235C7"/>
    <w:rsid w:val="0092656B"/>
    <w:rsid w:val="00930156"/>
    <w:rsid w:val="00931669"/>
    <w:rsid w:val="009328C7"/>
    <w:rsid w:val="00933292"/>
    <w:rsid w:val="00935066"/>
    <w:rsid w:val="009352FB"/>
    <w:rsid w:val="00935E00"/>
    <w:rsid w:val="00942830"/>
    <w:rsid w:val="00944224"/>
    <w:rsid w:val="00945943"/>
    <w:rsid w:val="00950C6A"/>
    <w:rsid w:val="0095113E"/>
    <w:rsid w:val="00952075"/>
    <w:rsid w:val="00956B16"/>
    <w:rsid w:val="00957AB1"/>
    <w:rsid w:val="00957DA2"/>
    <w:rsid w:val="00960F73"/>
    <w:rsid w:val="00961D79"/>
    <w:rsid w:val="00962886"/>
    <w:rsid w:val="0096328E"/>
    <w:rsid w:val="00964F77"/>
    <w:rsid w:val="00966247"/>
    <w:rsid w:val="00971331"/>
    <w:rsid w:val="00980E8E"/>
    <w:rsid w:val="00981403"/>
    <w:rsid w:val="009850D9"/>
    <w:rsid w:val="00987D26"/>
    <w:rsid w:val="00990175"/>
    <w:rsid w:val="00990A5E"/>
    <w:rsid w:val="00990E2B"/>
    <w:rsid w:val="009921D5"/>
    <w:rsid w:val="00997FD7"/>
    <w:rsid w:val="009A02F5"/>
    <w:rsid w:val="009A10A8"/>
    <w:rsid w:val="009A1333"/>
    <w:rsid w:val="009A22C1"/>
    <w:rsid w:val="009A2DCB"/>
    <w:rsid w:val="009B25D5"/>
    <w:rsid w:val="009B263A"/>
    <w:rsid w:val="009B333A"/>
    <w:rsid w:val="009B6541"/>
    <w:rsid w:val="009C0752"/>
    <w:rsid w:val="009C14AE"/>
    <w:rsid w:val="009C1F34"/>
    <w:rsid w:val="009C2B06"/>
    <w:rsid w:val="009C37CB"/>
    <w:rsid w:val="009C3A34"/>
    <w:rsid w:val="009C3DC7"/>
    <w:rsid w:val="009C5703"/>
    <w:rsid w:val="009C6E19"/>
    <w:rsid w:val="009C7402"/>
    <w:rsid w:val="009D1C4C"/>
    <w:rsid w:val="009D2E9A"/>
    <w:rsid w:val="009D5DA4"/>
    <w:rsid w:val="009D6B4D"/>
    <w:rsid w:val="009D6B6D"/>
    <w:rsid w:val="009D78DF"/>
    <w:rsid w:val="009E02E5"/>
    <w:rsid w:val="009E1926"/>
    <w:rsid w:val="009E1C87"/>
    <w:rsid w:val="009F026D"/>
    <w:rsid w:val="009F2DDF"/>
    <w:rsid w:val="009F4474"/>
    <w:rsid w:val="009F4865"/>
    <w:rsid w:val="009F670A"/>
    <w:rsid w:val="009F6EBC"/>
    <w:rsid w:val="00A01823"/>
    <w:rsid w:val="00A019B7"/>
    <w:rsid w:val="00A03B02"/>
    <w:rsid w:val="00A054B7"/>
    <w:rsid w:val="00A05C4F"/>
    <w:rsid w:val="00A06C07"/>
    <w:rsid w:val="00A06E96"/>
    <w:rsid w:val="00A07587"/>
    <w:rsid w:val="00A114EC"/>
    <w:rsid w:val="00A12437"/>
    <w:rsid w:val="00A13981"/>
    <w:rsid w:val="00A16ACF"/>
    <w:rsid w:val="00A1799D"/>
    <w:rsid w:val="00A20082"/>
    <w:rsid w:val="00A24979"/>
    <w:rsid w:val="00A3025F"/>
    <w:rsid w:val="00A322B3"/>
    <w:rsid w:val="00A33003"/>
    <w:rsid w:val="00A35BCD"/>
    <w:rsid w:val="00A419B5"/>
    <w:rsid w:val="00A42AE2"/>
    <w:rsid w:val="00A43A8E"/>
    <w:rsid w:val="00A45EE5"/>
    <w:rsid w:val="00A47A07"/>
    <w:rsid w:val="00A501C5"/>
    <w:rsid w:val="00A50B90"/>
    <w:rsid w:val="00A50E46"/>
    <w:rsid w:val="00A574DE"/>
    <w:rsid w:val="00A60B67"/>
    <w:rsid w:val="00A662CA"/>
    <w:rsid w:val="00A66BEA"/>
    <w:rsid w:val="00A67DC8"/>
    <w:rsid w:val="00A717EC"/>
    <w:rsid w:val="00A73E9A"/>
    <w:rsid w:val="00A74005"/>
    <w:rsid w:val="00A75D13"/>
    <w:rsid w:val="00A776FD"/>
    <w:rsid w:val="00A803CE"/>
    <w:rsid w:val="00A84F2F"/>
    <w:rsid w:val="00A85473"/>
    <w:rsid w:val="00A863DA"/>
    <w:rsid w:val="00A87834"/>
    <w:rsid w:val="00A878F8"/>
    <w:rsid w:val="00A90D43"/>
    <w:rsid w:val="00A93909"/>
    <w:rsid w:val="00A93CB3"/>
    <w:rsid w:val="00A94615"/>
    <w:rsid w:val="00AA006B"/>
    <w:rsid w:val="00AA0A06"/>
    <w:rsid w:val="00AA0B9E"/>
    <w:rsid w:val="00AA0BC5"/>
    <w:rsid w:val="00AA20EE"/>
    <w:rsid w:val="00AA2A30"/>
    <w:rsid w:val="00AA2C04"/>
    <w:rsid w:val="00AA2C8E"/>
    <w:rsid w:val="00AA3D3B"/>
    <w:rsid w:val="00AA3F59"/>
    <w:rsid w:val="00AA40E2"/>
    <w:rsid w:val="00AA5110"/>
    <w:rsid w:val="00AA5AB3"/>
    <w:rsid w:val="00AA6035"/>
    <w:rsid w:val="00AA648D"/>
    <w:rsid w:val="00AA732D"/>
    <w:rsid w:val="00AB0690"/>
    <w:rsid w:val="00AB2382"/>
    <w:rsid w:val="00AB27BC"/>
    <w:rsid w:val="00AB4C25"/>
    <w:rsid w:val="00AB6239"/>
    <w:rsid w:val="00AC0001"/>
    <w:rsid w:val="00AC0958"/>
    <w:rsid w:val="00AC1FB6"/>
    <w:rsid w:val="00AC2DF4"/>
    <w:rsid w:val="00AD0D8A"/>
    <w:rsid w:val="00AD1397"/>
    <w:rsid w:val="00AD1414"/>
    <w:rsid w:val="00AD2904"/>
    <w:rsid w:val="00AD4874"/>
    <w:rsid w:val="00AD4A73"/>
    <w:rsid w:val="00AD525C"/>
    <w:rsid w:val="00AD5A7A"/>
    <w:rsid w:val="00AE1489"/>
    <w:rsid w:val="00AE3765"/>
    <w:rsid w:val="00AE7C3E"/>
    <w:rsid w:val="00B0276E"/>
    <w:rsid w:val="00B02F16"/>
    <w:rsid w:val="00B03FE7"/>
    <w:rsid w:val="00B047ED"/>
    <w:rsid w:val="00B04F81"/>
    <w:rsid w:val="00B057B3"/>
    <w:rsid w:val="00B06936"/>
    <w:rsid w:val="00B06EC0"/>
    <w:rsid w:val="00B077BB"/>
    <w:rsid w:val="00B07E55"/>
    <w:rsid w:val="00B11428"/>
    <w:rsid w:val="00B1256E"/>
    <w:rsid w:val="00B12820"/>
    <w:rsid w:val="00B12F58"/>
    <w:rsid w:val="00B13159"/>
    <w:rsid w:val="00B144C8"/>
    <w:rsid w:val="00B147B2"/>
    <w:rsid w:val="00B1529A"/>
    <w:rsid w:val="00B165E6"/>
    <w:rsid w:val="00B216AF"/>
    <w:rsid w:val="00B223B8"/>
    <w:rsid w:val="00B25193"/>
    <w:rsid w:val="00B25E89"/>
    <w:rsid w:val="00B30493"/>
    <w:rsid w:val="00B33836"/>
    <w:rsid w:val="00B3570E"/>
    <w:rsid w:val="00B379C9"/>
    <w:rsid w:val="00B400E7"/>
    <w:rsid w:val="00B4017A"/>
    <w:rsid w:val="00B41B86"/>
    <w:rsid w:val="00B427BD"/>
    <w:rsid w:val="00B42837"/>
    <w:rsid w:val="00B42D2D"/>
    <w:rsid w:val="00B44FAB"/>
    <w:rsid w:val="00B46303"/>
    <w:rsid w:val="00B47842"/>
    <w:rsid w:val="00B5045E"/>
    <w:rsid w:val="00B51869"/>
    <w:rsid w:val="00B51D9F"/>
    <w:rsid w:val="00B52795"/>
    <w:rsid w:val="00B52947"/>
    <w:rsid w:val="00B52E8D"/>
    <w:rsid w:val="00B5309E"/>
    <w:rsid w:val="00B576F9"/>
    <w:rsid w:val="00B60E62"/>
    <w:rsid w:val="00B61465"/>
    <w:rsid w:val="00B61F02"/>
    <w:rsid w:val="00B66AB0"/>
    <w:rsid w:val="00B70611"/>
    <w:rsid w:val="00B7124F"/>
    <w:rsid w:val="00B74332"/>
    <w:rsid w:val="00B745E2"/>
    <w:rsid w:val="00B74E7E"/>
    <w:rsid w:val="00B76E56"/>
    <w:rsid w:val="00B800B4"/>
    <w:rsid w:val="00B831BC"/>
    <w:rsid w:val="00B86172"/>
    <w:rsid w:val="00B87953"/>
    <w:rsid w:val="00B93F17"/>
    <w:rsid w:val="00B94A6F"/>
    <w:rsid w:val="00B96E9A"/>
    <w:rsid w:val="00B976EB"/>
    <w:rsid w:val="00B97B43"/>
    <w:rsid w:val="00BA032B"/>
    <w:rsid w:val="00BA118E"/>
    <w:rsid w:val="00BA1F93"/>
    <w:rsid w:val="00BA3CF7"/>
    <w:rsid w:val="00BA52E6"/>
    <w:rsid w:val="00BA5B62"/>
    <w:rsid w:val="00BA7E1D"/>
    <w:rsid w:val="00BB2AC4"/>
    <w:rsid w:val="00BB2E22"/>
    <w:rsid w:val="00BB3AEC"/>
    <w:rsid w:val="00BB4344"/>
    <w:rsid w:val="00BB5AA1"/>
    <w:rsid w:val="00BB606C"/>
    <w:rsid w:val="00BB6095"/>
    <w:rsid w:val="00BB64DE"/>
    <w:rsid w:val="00BB6EE3"/>
    <w:rsid w:val="00BB7B87"/>
    <w:rsid w:val="00BC14F8"/>
    <w:rsid w:val="00BC236A"/>
    <w:rsid w:val="00BC2921"/>
    <w:rsid w:val="00BC4827"/>
    <w:rsid w:val="00BC5BC5"/>
    <w:rsid w:val="00BC73DC"/>
    <w:rsid w:val="00BD085F"/>
    <w:rsid w:val="00BD4039"/>
    <w:rsid w:val="00BD4859"/>
    <w:rsid w:val="00BD645E"/>
    <w:rsid w:val="00BE0D53"/>
    <w:rsid w:val="00BE283C"/>
    <w:rsid w:val="00BE2BB8"/>
    <w:rsid w:val="00BE4C6E"/>
    <w:rsid w:val="00BE6AAC"/>
    <w:rsid w:val="00BE798A"/>
    <w:rsid w:val="00BF0136"/>
    <w:rsid w:val="00BF2493"/>
    <w:rsid w:val="00BF2511"/>
    <w:rsid w:val="00BF416D"/>
    <w:rsid w:val="00BF493B"/>
    <w:rsid w:val="00BF6678"/>
    <w:rsid w:val="00C01D00"/>
    <w:rsid w:val="00C05C05"/>
    <w:rsid w:val="00C06027"/>
    <w:rsid w:val="00C06837"/>
    <w:rsid w:val="00C07FA3"/>
    <w:rsid w:val="00C10E9A"/>
    <w:rsid w:val="00C12A63"/>
    <w:rsid w:val="00C12DC0"/>
    <w:rsid w:val="00C14A8F"/>
    <w:rsid w:val="00C15208"/>
    <w:rsid w:val="00C15E71"/>
    <w:rsid w:val="00C16F6C"/>
    <w:rsid w:val="00C17DBC"/>
    <w:rsid w:val="00C234EA"/>
    <w:rsid w:val="00C2490C"/>
    <w:rsid w:val="00C3086A"/>
    <w:rsid w:val="00C3107A"/>
    <w:rsid w:val="00C32AB2"/>
    <w:rsid w:val="00C32E01"/>
    <w:rsid w:val="00C33FDE"/>
    <w:rsid w:val="00C35346"/>
    <w:rsid w:val="00C35756"/>
    <w:rsid w:val="00C35912"/>
    <w:rsid w:val="00C36FD0"/>
    <w:rsid w:val="00C414D4"/>
    <w:rsid w:val="00C42076"/>
    <w:rsid w:val="00C423CC"/>
    <w:rsid w:val="00C43162"/>
    <w:rsid w:val="00C46B04"/>
    <w:rsid w:val="00C50C87"/>
    <w:rsid w:val="00C52C85"/>
    <w:rsid w:val="00C532B1"/>
    <w:rsid w:val="00C5359D"/>
    <w:rsid w:val="00C55C4D"/>
    <w:rsid w:val="00C6042D"/>
    <w:rsid w:val="00C6217A"/>
    <w:rsid w:val="00C6340A"/>
    <w:rsid w:val="00C63916"/>
    <w:rsid w:val="00C63E24"/>
    <w:rsid w:val="00C651D2"/>
    <w:rsid w:val="00C66C85"/>
    <w:rsid w:val="00C70A5D"/>
    <w:rsid w:val="00C711E6"/>
    <w:rsid w:val="00C720E6"/>
    <w:rsid w:val="00C7666C"/>
    <w:rsid w:val="00C769F9"/>
    <w:rsid w:val="00C76A2C"/>
    <w:rsid w:val="00C80F93"/>
    <w:rsid w:val="00C813D6"/>
    <w:rsid w:val="00C817EF"/>
    <w:rsid w:val="00C864A4"/>
    <w:rsid w:val="00C86CA3"/>
    <w:rsid w:val="00C874FF"/>
    <w:rsid w:val="00C87FEA"/>
    <w:rsid w:val="00C909A2"/>
    <w:rsid w:val="00C90FA4"/>
    <w:rsid w:val="00C92A59"/>
    <w:rsid w:val="00C959EA"/>
    <w:rsid w:val="00C95B47"/>
    <w:rsid w:val="00C95C95"/>
    <w:rsid w:val="00C95E75"/>
    <w:rsid w:val="00C95FC6"/>
    <w:rsid w:val="00C96AFE"/>
    <w:rsid w:val="00C96B09"/>
    <w:rsid w:val="00C97C55"/>
    <w:rsid w:val="00C97FEE"/>
    <w:rsid w:val="00CA09BE"/>
    <w:rsid w:val="00CA15E5"/>
    <w:rsid w:val="00CA3989"/>
    <w:rsid w:val="00CA5AF7"/>
    <w:rsid w:val="00CA7A35"/>
    <w:rsid w:val="00CA7C27"/>
    <w:rsid w:val="00CB2854"/>
    <w:rsid w:val="00CB2A5B"/>
    <w:rsid w:val="00CB32DF"/>
    <w:rsid w:val="00CB3675"/>
    <w:rsid w:val="00CB3B79"/>
    <w:rsid w:val="00CB3EA0"/>
    <w:rsid w:val="00CB4EA2"/>
    <w:rsid w:val="00CC1439"/>
    <w:rsid w:val="00CC3512"/>
    <w:rsid w:val="00CC41E8"/>
    <w:rsid w:val="00CC615D"/>
    <w:rsid w:val="00CD1A7A"/>
    <w:rsid w:val="00CD2130"/>
    <w:rsid w:val="00CD48CF"/>
    <w:rsid w:val="00CD5574"/>
    <w:rsid w:val="00CE126A"/>
    <w:rsid w:val="00CE1A77"/>
    <w:rsid w:val="00CE21A3"/>
    <w:rsid w:val="00CE4267"/>
    <w:rsid w:val="00CE7101"/>
    <w:rsid w:val="00CF1510"/>
    <w:rsid w:val="00CF1CE7"/>
    <w:rsid w:val="00CF2920"/>
    <w:rsid w:val="00CF36F6"/>
    <w:rsid w:val="00CF521D"/>
    <w:rsid w:val="00CF7222"/>
    <w:rsid w:val="00CF75D5"/>
    <w:rsid w:val="00D00D07"/>
    <w:rsid w:val="00D0170E"/>
    <w:rsid w:val="00D01B97"/>
    <w:rsid w:val="00D029D0"/>
    <w:rsid w:val="00D05C1E"/>
    <w:rsid w:val="00D142F7"/>
    <w:rsid w:val="00D20F42"/>
    <w:rsid w:val="00D224C6"/>
    <w:rsid w:val="00D2331C"/>
    <w:rsid w:val="00D2481E"/>
    <w:rsid w:val="00D26BE1"/>
    <w:rsid w:val="00D27B89"/>
    <w:rsid w:val="00D30327"/>
    <w:rsid w:val="00D33E2D"/>
    <w:rsid w:val="00D37001"/>
    <w:rsid w:val="00D37CB4"/>
    <w:rsid w:val="00D41CA1"/>
    <w:rsid w:val="00D42542"/>
    <w:rsid w:val="00D43B02"/>
    <w:rsid w:val="00D44F46"/>
    <w:rsid w:val="00D479C4"/>
    <w:rsid w:val="00D50386"/>
    <w:rsid w:val="00D551B9"/>
    <w:rsid w:val="00D6244D"/>
    <w:rsid w:val="00D6275F"/>
    <w:rsid w:val="00D64217"/>
    <w:rsid w:val="00D728B5"/>
    <w:rsid w:val="00D733AB"/>
    <w:rsid w:val="00D73494"/>
    <w:rsid w:val="00D74AD7"/>
    <w:rsid w:val="00D74C26"/>
    <w:rsid w:val="00D75032"/>
    <w:rsid w:val="00D76D01"/>
    <w:rsid w:val="00D77B77"/>
    <w:rsid w:val="00D82665"/>
    <w:rsid w:val="00D86226"/>
    <w:rsid w:val="00D875E8"/>
    <w:rsid w:val="00D9097D"/>
    <w:rsid w:val="00D91C58"/>
    <w:rsid w:val="00D924D4"/>
    <w:rsid w:val="00D92BFF"/>
    <w:rsid w:val="00D93813"/>
    <w:rsid w:val="00DA07FD"/>
    <w:rsid w:val="00DA16D6"/>
    <w:rsid w:val="00DA2487"/>
    <w:rsid w:val="00DA33D3"/>
    <w:rsid w:val="00DA4553"/>
    <w:rsid w:val="00DA47C8"/>
    <w:rsid w:val="00DA572C"/>
    <w:rsid w:val="00DB19C1"/>
    <w:rsid w:val="00DB2EC3"/>
    <w:rsid w:val="00DB3C40"/>
    <w:rsid w:val="00DB48F4"/>
    <w:rsid w:val="00DC2B68"/>
    <w:rsid w:val="00DC46DC"/>
    <w:rsid w:val="00DC4E4C"/>
    <w:rsid w:val="00DC69BE"/>
    <w:rsid w:val="00DC7777"/>
    <w:rsid w:val="00DD0539"/>
    <w:rsid w:val="00DD3F3A"/>
    <w:rsid w:val="00DD4130"/>
    <w:rsid w:val="00DD41B2"/>
    <w:rsid w:val="00DD5270"/>
    <w:rsid w:val="00DD5452"/>
    <w:rsid w:val="00DE012F"/>
    <w:rsid w:val="00DE0C3A"/>
    <w:rsid w:val="00DE15D0"/>
    <w:rsid w:val="00DE3DC5"/>
    <w:rsid w:val="00DE6C7A"/>
    <w:rsid w:val="00DE7532"/>
    <w:rsid w:val="00DF0DDE"/>
    <w:rsid w:val="00DF22EB"/>
    <w:rsid w:val="00DF4299"/>
    <w:rsid w:val="00DF4D5A"/>
    <w:rsid w:val="00DF5323"/>
    <w:rsid w:val="00DF6DB9"/>
    <w:rsid w:val="00E05401"/>
    <w:rsid w:val="00E06964"/>
    <w:rsid w:val="00E1091B"/>
    <w:rsid w:val="00E138E1"/>
    <w:rsid w:val="00E16380"/>
    <w:rsid w:val="00E17347"/>
    <w:rsid w:val="00E20CDD"/>
    <w:rsid w:val="00E300B3"/>
    <w:rsid w:val="00E300F9"/>
    <w:rsid w:val="00E309B5"/>
    <w:rsid w:val="00E32773"/>
    <w:rsid w:val="00E32EA4"/>
    <w:rsid w:val="00E355FA"/>
    <w:rsid w:val="00E358CC"/>
    <w:rsid w:val="00E36B0B"/>
    <w:rsid w:val="00E36B29"/>
    <w:rsid w:val="00E37586"/>
    <w:rsid w:val="00E404E1"/>
    <w:rsid w:val="00E40D6E"/>
    <w:rsid w:val="00E430C0"/>
    <w:rsid w:val="00E466D9"/>
    <w:rsid w:val="00E468E6"/>
    <w:rsid w:val="00E46B67"/>
    <w:rsid w:val="00E46E21"/>
    <w:rsid w:val="00E5018D"/>
    <w:rsid w:val="00E50548"/>
    <w:rsid w:val="00E507EE"/>
    <w:rsid w:val="00E5456B"/>
    <w:rsid w:val="00E5564E"/>
    <w:rsid w:val="00E56C1A"/>
    <w:rsid w:val="00E60847"/>
    <w:rsid w:val="00E61D47"/>
    <w:rsid w:val="00E6336B"/>
    <w:rsid w:val="00E643C4"/>
    <w:rsid w:val="00E64949"/>
    <w:rsid w:val="00E658E5"/>
    <w:rsid w:val="00E75BF2"/>
    <w:rsid w:val="00E76211"/>
    <w:rsid w:val="00E76DD4"/>
    <w:rsid w:val="00E80254"/>
    <w:rsid w:val="00E82878"/>
    <w:rsid w:val="00E82BD3"/>
    <w:rsid w:val="00E82BDC"/>
    <w:rsid w:val="00E9207E"/>
    <w:rsid w:val="00E92131"/>
    <w:rsid w:val="00E927E5"/>
    <w:rsid w:val="00E930E4"/>
    <w:rsid w:val="00E93849"/>
    <w:rsid w:val="00E94031"/>
    <w:rsid w:val="00E9504E"/>
    <w:rsid w:val="00E970BC"/>
    <w:rsid w:val="00E974B8"/>
    <w:rsid w:val="00EA026E"/>
    <w:rsid w:val="00EA1F3B"/>
    <w:rsid w:val="00EA4398"/>
    <w:rsid w:val="00EA7F33"/>
    <w:rsid w:val="00EAC729"/>
    <w:rsid w:val="00EB052D"/>
    <w:rsid w:val="00EB1B0F"/>
    <w:rsid w:val="00EB35DB"/>
    <w:rsid w:val="00EB414E"/>
    <w:rsid w:val="00EB421C"/>
    <w:rsid w:val="00EB670D"/>
    <w:rsid w:val="00EB7A33"/>
    <w:rsid w:val="00EB7BE5"/>
    <w:rsid w:val="00EC0840"/>
    <w:rsid w:val="00EC275D"/>
    <w:rsid w:val="00EC50CF"/>
    <w:rsid w:val="00EC7940"/>
    <w:rsid w:val="00EC7CB6"/>
    <w:rsid w:val="00ED0A82"/>
    <w:rsid w:val="00ED0CF4"/>
    <w:rsid w:val="00ED1AF6"/>
    <w:rsid w:val="00ED275D"/>
    <w:rsid w:val="00ED2F21"/>
    <w:rsid w:val="00ED3A92"/>
    <w:rsid w:val="00ED53F7"/>
    <w:rsid w:val="00ED7C7A"/>
    <w:rsid w:val="00EE0D0D"/>
    <w:rsid w:val="00EE1452"/>
    <w:rsid w:val="00EE2A8F"/>
    <w:rsid w:val="00EE4F13"/>
    <w:rsid w:val="00EE559B"/>
    <w:rsid w:val="00EE5C6E"/>
    <w:rsid w:val="00EE60E1"/>
    <w:rsid w:val="00EE67D0"/>
    <w:rsid w:val="00EF1B56"/>
    <w:rsid w:val="00EF2F24"/>
    <w:rsid w:val="00EF347C"/>
    <w:rsid w:val="00EF40FF"/>
    <w:rsid w:val="00EF5D67"/>
    <w:rsid w:val="00EF62A0"/>
    <w:rsid w:val="00EF6941"/>
    <w:rsid w:val="00F0545E"/>
    <w:rsid w:val="00F14439"/>
    <w:rsid w:val="00F14D3D"/>
    <w:rsid w:val="00F154F1"/>
    <w:rsid w:val="00F15A0E"/>
    <w:rsid w:val="00F205D2"/>
    <w:rsid w:val="00F21334"/>
    <w:rsid w:val="00F21550"/>
    <w:rsid w:val="00F23531"/>
    <w:rsid w:val="00F2439A"/>
    <w:rsid w:val="00F24858"/>
    <w:rsid w:val="00F249C1"/>
    <w:rsid w:val="00F3059E"/>
    <w:rsid w:val="00F3088B"/>
    <w:rsid w:val="00F31D61"/>
    <w:rsid w:val="00F33430"/>
    <w:rsid w:val="00F34879"/>
    <w:rsid w:val="00F35050"/>
    <w:rsid w:val="00F35DAA"/>
    <w:rsid w:val="00F3663C"/>
    <w:rsid w:val="00F37CF5"/>
    <w:rsid w:val="00F401ED"/>
    <w:rsid w:val="00F405D1"/>
    <w:rsid w:val="00F42BE8"/>
    <w:rsid w:val="00F51496"/>
    <w:rsid w:val="00F51916"/>
    <w:rsid w:val="00F51C79"/>
    <w:rsid w:val="00F528CE"/>
    <w:rsid w:val="00F53D97"/>
    <w:rsid w:val="00F53FA7"/>
    <w:rsid w:val="00F55BF4"/>
    <w:rsid w:val="00F55C2E"/>
    <w:rsid w:val="00F57C36"/>
    <w:rsid w:val="00F620F6"/>
    <w:rsid w:val="00F63298"/>
    <w:rsid w:val="00F635BD"/>
    <w:rsid w:val="00F657FC"/>
    <w:rsid w:val="00F65F74"/>
    <w:rsid w:val="00F66EA0"/>
    <w:rsid w:val="00F6720B"/>
    <w:rsid w:val="00F70679"/>
    <w:rsid w:val="00F71E3E"/>
    <w:rsid w:val="00F761BC"/>
    <w:rsid w:val="00F80193"/>
    <w:rsid w:val="00F8120D"/>
    <w:rsid w:val="00F824FE"/>
    <w:rsid w:val="00F83B2C"/>
    <w:rsid w:val="00F86373"/>
    <w:rsid w:val="00F87D78"/>
    <w:rsid w:val="00F907C9"/>
    <w:rsid w:val="00F91AB2"/>
    <w:rsid w:val="00F920C8"/>
    <w:rsid w:val="00F9261F"/>
    <w:rsid w:val="00F940C2"/>
    <w:rsid w:val="00F943A4"/>
    <w:rsid w:val="00F953E2"/>
    <w:rsid w:val="00F95594"/>
    <w:rsid w:val="00F97AD7"/>
    <w:rsid w:val="00FA2774"/>
    <w:rsid w:val="00FA2C7E"/>
    <w:rsid w:val="00FA33AC"/>
    <w:rsid w:val="00FB0539"/>
    <w:rsid w:val="00FB0EEC"/>
    <w:rsid w:val="00FB17C1"/>
    <w:rsid w:val="00FB18CD"/>
    <w:rsid w:val="00FB78C5"/>
    <w:rsid w:val="00FC11D3"/>
    <w:rsid w:val="00FC1EE0"/>
    <w:rsid w:val="00FC2AAE"/>
    <w:rsid w:val="00FC349F"/>
    <w:rsid w:val="00FC50F1"/>
    <w:rsid w:val="00FC5158"/>
    <w:rsid w:val="00FC7031"/>
    <w:rsid w:val="00FC7C5C"/>
    <w:rsid w:val="00FD0402"/>
    <w:rsid w:val="00FD0412"/>
    <w:rsid w:val="00FD1383"/>
    <w:rsid w:val="00FD1715"/>
    <w:rsid w:val="00FD2F5E"/>
    <w:rsid w:val="00FD4B10"/>
    <w:rsid w:val="00FD6D2B"/>
    <w:rsid w:val="00FE2B4F"/>
    <w:rsid w:val="00FE3988"/>
    <w:rsid w:val="00FE62B7"/>
    <w:rsid w:val="00FE64A6"/>
    <w:rsid w:val="00FE74E0"/>
    <w:rsid w:val="00FE7DDA"/>
    <w:rsid w:val="00FF3527"/>
    <w:rsid w:val="00FF532F"/>
    <w:rsid w:val="00FF6950"/>
    <w:rsid w:val="00FF7CDA"/>
    <w:rsid w:val="0109C028"/>
    <w:rsid w:val="013A3765"/>
    <w:rsid w:val="014F3B7A"/>
    <w:rsid w:val="01A6F3EF"/>
    <w:rsid w:val="020AA1E6"/>
    <w:rsid w:val="022A1146"/>
    <w:rsid w:val="0342C450"/>
    <w:rsid w:val="03805D7D"/>
    <w:rsid w:val="03D02024"/>
    <w:rsid w:val="03E8C84A"/>
    <w:rsid w:val="0412B979"/>
    <w:rsid w:val="044DE128"/>
    <w:rsid w:val="047B0FBA"/>
    <w:rsid w:val="04C4FC3D"/>
    <w:rsid w:val="04D63412"/>
    <w:rsid w:val="05188146"/>
    <w:rsid w:val="053175D2"/>
    <w:rsid w:val="0532C58A"/>
    <w:rsid w:val="05592553"/>
    <w:rsid w:val="058C0C62"/>
    <w:rsid w:val="058E8FA5"/>
    <w:rsid w:val="05BED9A3"/>
    <w:rsid w:val="05EB170B"/>
    <w:rsid w:val="063F6525"/>
    <w:rsid w:val="0682613B"/>
    <w:rsid w:val="0683E30A"/>
    <w:rsid w:val="06CAB682"/>
    <w:rsid w:val="07360383"/>
    <w:rsid w:val="07D73794"/>
    <w:rsid w:val="07EA8232"/>
    <w:rsid w:val="085DA477"/>
    <w:rsid w:val="085DB464"/>
    <w:rsid w:val="08C75F57"/>
    <w:rsid w:val="08E67352"/>
    <w:rsid w:val="0983D9A5"/>
    <w:rsid w:val="0986E2F7"/>
    <w:rsid w:val="0A2815DE"/>
    <w:rsid w:val="0A2EF065"/>
    <w:rsid w:val="0A65118C"/>
    <w:rsid w:val="0A672D46"/>
    <w:rsid w:val="0A809F16"/>
    <w:rsid w:val="0AAC63B1"/>
    <w:rsid w:val="0B13DA14"/>
    <w:rsid w:val="0B6745A0"/>
    <w:rsid w:val="0B96CAB2"/>
    <w:rsid w:val="0BD2AE4C"/>
    <w:rsid w:val="0C41CA67"/>
    <w:rsid w:val="0C5E52F5"/>
    <w:rsid w:val="0C6FD6EF"/>
    <w:rsid w:val="0C7556BF"/>
    <w:rsid w:val="0D44358A"/>
    <w:rsid w:val="0D884CBC"/>
    <w:rsid w:val="0D971E47"/>
    <w:rsid w:val="0E1672C8"/>
    <w:rsid w:val="0E1E65FE"/>
    <w:rsid w:val="0E254D21"/>
    <w:rsid w:val="0E3DCB64"/>
    <w:rsid w:val="0E6994AA"/>
    <w:rsid w:val="0F3BD550"/>
    <w:rsid w:val="0F558205"/>
    <w:rsid w:val="0F8D6CCB"/>
    <w:rsid w:val="0F9275F1"/>
    <w:rsid w:val="0FA200D8"/>
    <w:rsid w:val="0FB6F921"/>
    <w:rsid w:val="0FDACDFE"/>
    <w:rsid w:val="1005B61B"/>
    <w:rsid w:val="10473933"/>
    <w:rsid w:val="10F018CD"/>
    <w:rsid w:val="10F22828"/>
    <w:rsid w:val="1104ADFA"/>
    <w:rsid w:val="11133BD3"/>
    <w:rsid w:val="11175F7C"/>
    <w:rsid w:val="1159CEAC"/>
    <w:rsid w:val="119B8EBD"/>
    <w:rsid w:val="11A18E5D"/>
    <w:rsid w:val="12007B54"/>
    <w:rsid w:val="1227FEFD"/>
    <w:rsid w:val="125EC5CE"/>
    <w:rsid w:val="12BEBBC7"/>
    <w:rsid w:val="12DE37E9"/>
    <w:rsid w:val="12EEAEA1"/>
    <w:rsid w:val="12F13660"/>
    <w:rsid w:val="130D8F61"/>
    <w:rsid w:val="1333A590"/>
    <w:rsid w:val="136398C1"/>
    <w:rsid w:val="137FCAB0"/>
    <w:rsid w:val="139930B7"/>
    <w:rsid w:val="141F1656"/>
    <w:rsid w:val="142D8CD1"/>
    <w:rsid w:val="143C4EBC"/>
    <w:rsid w:val="144A08E6"/>
    <w:rsid w:val="14991215"/>
    <w:rsid w:val="14F1B40A"/>
    <w:rsid w:val="14FA178E"/>
    <w:rsid w:val="15A66B86"/>
    <w:rsid w:val="15FD0E6C"/>
    <w:rsid w:val="164D8A50"/>
    <w:rsid w:val="16E65541"/>
    <w:rsid w:val="1738DF84"/>
    <w:rsid w:val="17419D38"/>
    <w:rsid w:val="1771223D"/>
    <w:rsid w:val="179DF7A8"/>
    <w:rsid w:val="17A7FD7F"/>
    <w:rsid w:val="17B293A7"/>
    <w:rsid w:val="17B7BF60"/>
    <w:rsid w:val="18EEF62F"/>
    <w:rsid w:val="1906F3D3"/>
    <w:rsid w:val="19409707"/>
    <w:rsid w:val="198CDF0E"/>
    <w:rsid w:val="1991796C"/>
    <w:rsid w:val="19ABC7C7"/>
    <w:rsid w:val="19DE2B10"/>
    <w:rsid w:val="1AD44D89"/>
    <w:rsid w:val="1AD4EDDA"/>
    <w:rsid w:val="1ADBE6C6"/>
    <w:rsid w:val="1B04BE83"/>
    <w:rsid w:val="1B46EF16"/>
    <w:rsid w:val="1B6398DA"/>
    <w:rsid w:val="1B7D8C0A"/>
    <w:rsid w:val="1B862381"/>
    <w:rsid w:val="1B916636"/>
    <w:rsid w:val="1BA9B9A5"/>
    <w:rsid w:val="1BE591D6"/>
    <w:rsid w:val="1C0C28DB"/>
    <w:rsid w:val="1C8BD95C"/>
    <w:rsid w:val="1CA92ED8"/>
    <w:rsid w:val="1CBB7F26"/>
    <w:rsid w:val="1CE7B449"/>
    <w:rsid w:val="1DAD745C"/>
    <w:rsid w:val="1E227B5F"/>
    <w:rsid w:val="1E238E52"/>
    <w:rsid w:val="1E62F7CB"/>
    <w:rsid w:val="1E963F68"/>
    <w:rsid w:val="1ED0B276"/>
    <w:rsid w:val="1EE0EEA3"/>
    <w:rsid w:val="1EFA1773"/>
    <w:rsid w:val="1EFB68B1"/>
    <w:rsid w:val="1EFD37E8"/>
    <w:rsid w:val="1F01E580"/>
    <w:rsid w:val="1F775A27"/>
    <w:rsid w:val="1F88FC84"/>
    <w:rsid w:val="202D7D88"/>
    <w:rsid w:val="2041ECA8"/>
    <w:rsid w:val="2047F0A2"/>
    <w:rsid w:val="204C25DC"/>
    <w:rsid w:val="204C3DA4"/>
    <w:rsid w:val="207D2AC8"/>
    <w:rsid w:val="20E05A59"/>
    <w:rsid w:val="20E7B3AA"/>
    <w:rsid w:val="21748F19"/>
    <w:rsid w:val="219A3B11"/>
    <w:rsid w:val="21C50537"/>
    <w:rsid w:val="22167C7D"/>
    <w:rsid w:val="2218FB29"/>
    <w:rsid w:val="22C74584"/>
    <w:rsid w:val="22D1AF1D"/>
    <w:rsid w:val="233FD25F"/>
    <w:rsid w:val="235838CE"/>
    <w:rsid w:val="23BB4B5A"/>
    <w:rsid w:val="23EE4B49"/>
    <w:rsid w:val="24407FFF"/>
    <w:rsid w:val="24699306"/>
    <w:rsid w:val="24BC0F6F"/>
    <w:rsid w:val="25BC304B"/>
    <w:rsid w:val="26EDB7C8"/>
    <w:rsid w:val="27559083"/>
    <w:rsid w:val="2762A2B7"/>
    <w:rsid w:val="27A76979"/>
    <w:rsid w:val="27C5424F"/>
    <w:rsid w:val="27FE31CD"/>
    <w:rsid w:val="28481BE1"/>
    <w:rsid w:val="286A91F2"/>
    <w:rsid w:val="2884DB91"/>
    <w:rsid w:val="28B90EA4"/>
    <w:rsid w:val="290B31DE"/>
    <w:rsid w:val="29691971"/>
    <w:rsid w:val="2A05E661"/>
    <w:rsid w:val="2ABADFA5"/>
    <w:rsid w:val="2AD9D954"/>
    <w:rsid w:val="2AE77A55"/>
    <w:rsid w:val="2B14CE52"/>
    <w:rsid w:val="2B2B77C5"/>
    <w:rsid w:val="2B8CBBF6"/>
    <w:rsid w:val="2B9206BF"/>
    <w:rsid w:val="2BAFCA6B"/>
    <w:rsid w:val="2C0C8D77"/>
    <w:rsid w:val="2C19D156"/>
    <w:rsid w:val="2C7C2779"/>
    <w:rsid w:val="2C92518C"/>
    <w:rsid w:val="2CC2C2E8"/>
    <w:rsid w:val="2CD5EFAC"/>
    <w:rsid w:val="2D4DDDD0"/>
    <w:rsid w:val="2DC565E3"/>
    <w:rsid w:val="2DC72F8E"/>
    <w:rsid w:val="2E2EBC0F"/>
    <w:rsid w:val="2E92675C"/>
    <w:rsid w:val="2EBAC705"/>
    <w:rsid w:val="2EEC8372"/>
    <w:rsid w:val="2EF43D58"/>
    <w:rsid w:val="2EF4BB28"/>
    <w:rsid w:val="2FA10672"/>
    <w:rsid w:val="2FB330C3"/>
    <w:rsid w:val="2FB440DC"/>
    <w:rsid w:val="2FE59436"/>
    <w:rsid w:val="2FEA0B17"/>
    <w:rsid w:val="300735AE"/>
    <w:rsid w:val="302B10B5"/>
    <w:rsid w:val="30601464"/>
    <w:rsid w:val="308BF262"/>
    <w:rsid w:val="313A8048"/>
    <w:rsid w:val="31776328"/>
    <w:rsid w:val="3201F4D0"/>
    <w:rsid w:val="324852C2"/>
    <w:rsid w:val="32DEAE96"/>
    <w:rsid w:val="32F4D5DB"/>
    <w:rsid w:val="336F86BE"/>
    <w:rsid w:val="338D30CF"/>
    <w:rsid w:val="3393A93C"/>
    <w:rsid w:val="3460BEAF"/>
    <w:rsid w:val="3465149C"/>
    <w:rsid w:val="3466EDC4"/>
    <w:rsid w:val="347F1A02"/>
    <w:rsid w:val="34A9A49E"/>
    <w:rsid w:val="34C46C7F"/>
    <w:rsid w:val="34D12CED"/>
    <w:rsid w:val="350361C7"/>
    <w:rsid w:val="354C7299"/>
    <w:rsid w:val="3552915B"/>
    <w:rsid w:val="35CD33AE"/>
    <w:rsid w:val="35E17412"/>
    <w:rsid w:val="360DF16B"/>
    <w:rsid w:val="362EA2EB"/>
    <w:rsid w:val="362F575B"/>
    <w:rsid w:val="36884C9F"/>
    <w:rsid w:val="368D5033"/>
    <w:rsid w:val="3691E01E"/>
    <w:rsid w:val="3694E48D"/>
    <w:rsid w:val="36CC7E2E"/>
    <w:rsid w:val="37143C01"/>
    <w:rsid w:val="37A70A92"/>
    <w:rsid w:val="38031AC0"/>
    <w:rsid w:val="381D7550"/>
    <w:rsid w:val="382F9FA1"/>
    <w:rsid w:val="386A1101"/>
    <w:rsid w:val="38D08C73"/>
    <w:rsid w:val="38DB483C"/>
    <w:rsid w:val="38E87147"/>
    <w:rsid w:val="3908E616"/>
    <w:rsid w:val="3935B0C7"/>
    <w:rsid w:val="394D582F"/>
    <w:rsid w:val="39D2C861"/>
    <w:rsid w:val="39F17D18"/>
    <w:rsid w:val="39FB40DA"/>
    <w:rsid w:val="3A367407"/>
    <w:rsid w:val="3A4DB467"/>
    <w:rsid w:val="3A55A55B"/>
    <w:rsid w:val="3A84862E"/>
    <w:rsid w:val="3ADF61D0"/>
    <w:rsid w:val="3B13530B"/>
    <w:rsid w:val="3BADCAA6"/>
    <w:rsid w:val="3BDE082B"/>
    <w:rsid w:val="3BE8C246"/>
    <w:rsid w:val="3C512ECE"/>
    <w:rsid w:val="3C8F2D31"/>
    <w:rsid w:val="3CCF03B9"/>
    <w:rsid w:val="3D63E48F"/>
    <w:rsid w:val="3D8CECFD"/>
    <w:rsid w:val="3D923A64"/>
    <w:rsid w:val="3DDE1238"/>
    <w:rsid w:val="3E73B52E"/>
    <w:rsid w:val="3EAE30B4"/>
    <w:rsid w:val="3EC231D7"/>
    <w:rsid w:val="3ED38C10"/>
    <w:rsid w:val="3EDE002A"/>
    <w:rsid w:val="3EE33EC7"/>
    <w:rsid w:val="3EF7DAC8"/>
    <w:rsid w:val="3F4799BF"/>
    <w:rsid w:val="3F49FB28"/>
    <w:rsid w:val="3F63742B"/>
    <w:rsid w:val="3F8921BA"/>
    <w:rsid w:val="3F9139EF"/>
    <w:rsid w:val="3FD3EE4A"/>
    <w:rsid w:val="3FD7F6BC"/>
    <w:rsid w:val="401D21D9"/>
    <w:rsid w:val="4029EF50"/>
    <w:rsid w:val="4072F60B"/>
    <w:rsid w:val="408E245F"/>
    <w:rsid w:val="412170A3"/>
    <w:rsid w:val="413509A0"/>
    <w:rsid w:val="41409501"/>
    <w:rsid w:val="416A81C3"/>
    <w:rsid w:val="41AF78B2"/>
    <w:rsid w:val="41EDC505"/>
    <w:rsid w:val="42616460"/>
    <w:rsid w:val="4280CC8B"/>
    <w:rsid w:val="4285E563"/>
    <w:rsid w:val="4296BF2D"/>
    <w:rsid w:val="42B589D8"/>
    <w:rsid w:val="42E2875A"/>
    <w:rsid w:val="43712315"/>
    <w:rsid w:val="439E53AB"/>
    <w:rsid w:val="43C4EECF"/>
    <w:rsid w:val="444BE7AF"/>
    <w:rsid w:val="445879ED"/>
    <w:rsid w:val="44C52AA9"/>
    <w:rsid w:val="44EC5118"/>
    <w:rsid w:val="45EA285C"/>
    <w:rsid w:val="45F33E15"/>
    <w:rsid w:val="45FDF602"/>
    <w:rsid w:val="471DEB02"/>
    <w:rsid w:val="477A90A5"/>
    <w:rsid w:val="483B368E"/>
    <w:rsid w:val="484E2EBA"/>
    <w:rsid w:val="485210AC"/>
    <w:rsid w:val="486C21B0"/>
    <w:rsid w:val="48BB3943"/>
    <w:rsid w:val="48E2FAFA"/>
    <w:rsid w:val="49337A75"/>
    <w:rsid w:val="4955D81E"/>
    <w:rsid w:val="499DDF81"/>
    <w:rsid w:val="499FD153"/>
    <w:rsid w:val="4A49F205"/>
    <w:rsid w:val="4A57D853"/>
    <w:rsid w:val="4A88D7EC"/>
    <w:rsid w:val="4AA7C2D2"/>
    <w:rsid w:val="4AB76EB2"/>
    <w:rsid w:val="4AD042BC"/>
    <w:rsid w:val="4AFE3A10"/>
    <w:rsid w:val="4B121780"/>
    <w:rsid w:val="4B1FB3E5"/>
    <w:rsid w:val="4B23BDE7"/>
    <w:rsid w:val="4B5C1C74"/>
    <w:rsid w:val="4B94A74B"/>
    <w:rsid w:val="4BA4B41C"/>
    <w:rsid w:val="4BC5E936"/>
    <w:rsid w:val="4BC63077"/>
    <w:rsid w:val="4BDB9AB6"/>
    <w:rsid w:val="4BE0583C"/>
    <w:rsid w:val="4BE91ABB"/>
    <w:rsid w:val="4C11B02A"/>
    <w:rsid w:val="4C2C2FEE"/>
    <w:rsid w:val="4C44A23F"/>
    <w:rsid w:val="4C4A352C"/>
    <w:rsid w:val="4C599377"/>
    <w:rsid w:val="4C5FB978"/>
    <w:rsid w:val="4C935A8F"/>
    <w:rsid w:val="4CB82A01"/>
    <w:rsid w:val="4D000318"/>
    <w:rsid w:val="4D31D927"/>
    <w:rsid w:val="4D7421F9"/>
    <w:rsid w:val="4D76D016"/>
    <w:rsid w:val="4DA185E3"/>
    <w:rsid w:val="4DFA644B"/>
    <w:rsid w:val="4E0CA784"/>
    <w:rsid w:val="4EA697F1"/>
    <w:rsid w:val="4ECFD8C0"/>
    <w:rsid w:val="4EF54A75"/>
    <w:rsid w:val="4F3F1CAC"/>
    <w:rsid w:val="4F3F6EB1"/>
    <w:rsid w:val="4F818BDC"/>
    <w:rsid w:val="4F9C86AB"/>
    <w:rsid w:val="4FE46793"/>
    <w:rsid w:val="4FE535B6"/>
    <w:rsid w:val="5013346F"/>
    <w:rsid w:val="5023EB82"/>
    <w:rsid w:val="5071A423"/>
    <w:rsid w:val="50D27589"/>
    <w:rsid w:val="51024504"/>
    <w:rsid w:val="5104C36D"/>
    <w:rsid w:val="512D44FC"/>
    <w:rsid w:val="516D56B8"/>
    <w:rsid w:val="51A74129"/>
    <w:rsid w:val="51BB0B42"/>
    <w:rsid w:val="51C640DC"/>
    <w:rsid w:val="51DDA14F"/>
    <w:rsid w:val="52157036"/>
    <w:rsid w:val="522E4652"/>
    <w:rsid w:val="52794233"/>
    <w:rsid w:val="52EABB4C"/>
    <w:rsid w:val="52ED9EDD"/>
    <w:rsid w:val="5347F502"/>
    <w:rsid w:val="534AB65A"/>
    <w:rsid w:val="534B17F2"/>
    <w:rsid w:val="5354834D"/>
    <w:rsid w:val="53609E77"/>
    <w:rsid w:val="53801BEE"/>
    <w:rsid w:val="53A20071"/>
    <w:rsid w:val="53B8E147"/>
    <w:rsid w:val="5405BDDC"/>
    <w:rsid w:val="541FD72F"/>
    <w:rsid w:val="542C9C66"/>
    <w:rsid w:val="5430217A"/>
    <w:rsid w:val="54B6F94C"/>
    <w:rsid w:val="54CC7361"/>
    <w:rsid w:val="5542C2B3"/>
    <w:rsid w:val="554D10F8"/>
    <w:rsid w:val="5568BD27"/>
    <w:rsid w:val="55A968B9"/>
    <w:rsid w:val="55F75925"/>
    <w:rsid w:val="560E8BE3"/>
    <w:rsid w:val="56464D14"/>
    <w:rsid w:val="564E507B"/>
    <w:rsid w:val="565C6708"/>
    <w:rsid w:val="5671084B"/>
    <w:rsid w:val="56B74224"/>
    <w:rsid w:val="56E4CE97"/>
    <w:rsid w:val="56F0F3D3"/>
    <w:rsid w:val="5765680C"/>
    <w:rsid w:val="576ED9E6"/>
    <w:rsid w:val="57726E64"/>
    <w:rsid w:val="57D384F7"/>
    <w:rsid w:val="57E8563B"/>
    <w:rsid w:val="5858E460"/>
    <w:rsid w:val="586F9A68"/>
    <w:rsid w:val="5875B2DE"/>
    <w:rsid w:val="58E96B80"/>
    <w:rsid w:val="591F49B5"/>
    <w:rsid w:val="5943D588"/>
    <w:rsid w:val="596C8346"/>
    <w:rsid w:val="598B4050"/>
    <w:rsid w:val="5A3C2E4A"/>
    <w:rsid w:val="5AA7AA3A"/>
    <w:rsid w:val="5AE1CD23"/>
    <w:rsid w:val="5AF00D15"/>
    <w:rsid w:val="5B01C1DB"/>
    <w:rsid w:val="5C4AC0F7"/>
    <w:rsid w:val="5C6CC113"/>
    <w:rsid w:val="5C87C6CE"/>
    <w:rsid w:val="5CC04E04"/>
    <w:rsid w:val="5CE21EAB"/>
    <w:rsid w:val="5D1E5AC5"/>
    <w:rsid w:val="5D569C71"/>
    <w:rsid w:val="5D65EDBF"/>
    <w:rsid w:val="5DBE692C"/>
    <w:rsid w:val="5DD1079D"/>
    <w:rsid w:val="5DD34DE4"/>
    <w:rsid w:val="5E22B2BD"/>
    <w:rsid w:val="5E6027DC"/>
    <w:rsid w:val="5E85AD30"/>
    <w:rsid w:val="5F349035"/>
    <w:rsid w:val="5F47B381"/>
    <w:rsid w:val="5FECD4B2"/>
    <w:rsid w:val="602119C0"/>
    <w:rsid w:val="60341B45"/>
    <w:rsid w:val="60472A1E"/>
    <w:rsid w:val="60868E1F"/>
    <w:rsid w:val="609FE6D3"/>
    <w:rsid w:val="614FFC1D"/>
    <w:rsid w:val="61E6E8AE"/>
    <w:rsid w:val="62035BA8"/>
    <w:rsid w:val="620F7C5E"/>
    <w:rsid w:val="6226A290"/>
    <w:rsid w:val="625F73C2"/>
    <w:rsid w:val="626193F3"/>
    <w:rsid w:val="6292B0CC"/>
    <w:rsid w:val="6299376B"/>
    <w:rsid w:val="62B47F4D"/>
    <w:rsid w:val="63105817"/>
    <w:rsid w:val="6331CFFE"/>
    <w:rsid w:val="633FB142"/>
    <w:rsid w:val="63722BD1"/>
    <w:rsid w:val="642765C9"/>
    <w:rsid w:val="64324EE8"/>
    <w:rsid w:val="64419D33"/>
    <w:rsid w:val="64552CC4"/>
    <w:rsid w:val="648681A6"/>
    <w:rsid w:val="64922184"/>
    <w:rsid w:val="649B6CF4"/>
    <w:rsid w:val="64B32BA2"/>
    <w:rsid w:val="64F304CB"/>
    <w:rsid w:val="650BBDCE"/>
    <w:rsid w:val="651692CE"/>
    <w:rsid w:val="6548485F"/>
    <w:rsid w:val="65F48D5A"/>
    <w:rsid w:val="6605ED1C"/>
    <w:rsid w:val="66D5FFD6"/>
    <w:rsid w:val="67642F0A"/>
    <w:rsid w:val="6790DEB2"/>
    <w:rsid w:val="67999073"/>
    <w:rsid w:val="67A9D715"/>
    <w:rsid w:val="67AA8FF4"/>
    <w:rsid w:val="67DB3779"/>
    <w:rsid w:val="6808591D"/>
    <w:rsid w:val="68A2C30A"/>
    <w:rsid w:val="691366A6"/>
    <w:rsid w:val="698DEA65"/>
    <w:rsid w:val="69A11A57"/>
    <w:rsid w:val="69D4CB36"/>
    <w:rsid w:val="69DE2F0B"/>
    <w:rsid w:val="6A0C470D"/>
    <w:rsid w:val="6A2C748C"/>
    <w:rsid w:val="6A5729FB"/>
    <w:rsid w:val="6AA4134D"/>
    <w:rsid w:val="6B2CF086"/>
    <w:rsid w:val="6B4BCAC0"/>
    <w:rsid w:val="6B9B2C89"/>
    <w:rsid w:val="6BD28858"/>
    <w:rsid w:val="6C42C73C"/>
    <w:rsid w:val="6C598AD5"/>
    <w:rsid w:val="6C7CE852"/>
    <w:rsid w:val="6CD673A5"/>
    <w:rsid w:val="6CEB96D7"/>
    <w:rsid w:val="6D2A32CD"/>
    <w:rsid w:val="6D49E0E6"/>
    <w:rsid w:val="6D4B8469"/>
    <w:rsid w:val="6DB2007A"/>
    <w:rsid w:val="6E0AC550"/>
    <w:rsid w:val="6E1026E3"/>
    <w:rsid w:val="6E3B361E"/>
    <w:rsid w:val="6E93AF37"/>
    <w:rsid w:val="6E954706"/>
    <w:rsid w:val="6EE24CA6"/>
    <w:rsid w:val="6EF6032E"/>
    <w:rsid w:val="6F0AE6ED"/>
    <w:rsid w:val="6F9B58B8"/>
    <w:rsid w:val="70028553"/>
    <w:rsid w:val="700A4008"/>
    <w:rsid w:val="70700FF2"/>
    <w:rsid w:val="707610E9"/>
    <w:rsid w:val="70C8E61D"/>
    <w:rsid w:val="70CD004E"/>
    <w:rsid w:val="71413762"/>
    <w:rsid w:val="71EA8620"/>
    <w:rsid w:val="7200D5B6"/>
    <w:rsid w:val="72215326"/>
    <w:rsid w:val="725F0485"/>
    <w:rsid w:val="7276AFB2"/>
    <w:rsid w:val="729132B3"/>
    <w:rsid w:val="729184B8"/>
    <w:rsid w:val="72950741"/>
    <w:rsid w:val="72B5C823"/>
    <w:rsid w:val="73367D9A"/>
    <w:rsid w:val="7350A361"/>
    <w:rsid w:val="7390223F"/>
    <w:rsid w:val="73D44049"/>
    <w:rsid w:val="73ED4210"/>
    <w:rsid w:val="743E0E1C"/>
    <w:rsid w:val="74433642"/>
    <w:rsid w:val="7459FBC6"/>
    <w:rsid w:val="748DC83F"/>
    <w:rsid w:val="74CF82CF"/>
    <w:rsid w:val="756DF843"/>
    <w:rsid w:val="759B3E7B"/>
    <w:rsid w:val="75C778D1"/>
    <w:rsid w:val="75DCE815"/>
    <w:rsid w:val="75E5AF07"/>
    <w:rsid w:val="75FA6C75"/>
    <w:rsid w:val="764F993E"/>
    <w:rsid w:val="765A3695"/>
    <w:rsid w:val="7667112D"/>
    <w:rsid w:val="76810970"/>
    <w:rsid w:val="76BB4133"/>
    <w:rsid w:val="770EB9BE"/>
    <w:rsid w:val="777F9312"/>
    <w:rsid w:val="7784B2C6"/>
    <w:rsid w:val="77AD1923"/>
    <w:rsid w:val="77E44F40"/>
    <w:rsid w:val="7811938D"/>
    <w:rsid w:val="781BFD26"/>
    <w:rsid w:val="7853E64A"/>
    <w:rsid w:val="787814A4"/>
    <w:rsid w:val="7890C803"/>
    <w:rsid w:val="78CFF671"/>
    <w:rsid w:val="78E520CB"/>
    <w:rsid w:val="78F280BD"/>
    <w:rsid w:val="790EF70E"/>
    <w:rsid w:val="7A04972F"/>
    <w:rsid w:val="7A0709E9"/>
    <w:rsid w:val="7A54FF0C"/>
    <w:rsid w:val="7A775B25"/>
    <w:rsid w:val="7A9984BC"/>
    <w:rsid w:val="7AE4C099"/>
    <w:rsid w:val="7B1118D0"/>
    <w:rsid w:val="7B3C7DB7"/>
    <w:rsid w:val="7B8935DE"/>
    <w:rsid w:val="7B9EE644"/>
    <w:rsid w:val="7BA1A7DC"/>
    <w:rsid w:val="7BBF2DA5"/>
    <w:rsid w:val="7BC261E2"/>
    <w:rsid w:val="7C715FBC"/>
    <w:rsid w:val="7CFF788D"/>
    <w:rsid w:val="7D67579E"/>
    <w:rsid w:val="7DA396CB"/>
    <w:rsid w:val="7DC97377"/>
    <w:rsid w:val="7DE3E2FA"/>
    <w:rsid w:val="7DE418CC"/>
    <w:rsid w:val="7E29051C"/>
    <w:rsid w:val="7E38D372"/>
    <w:rsid w:val="7E5AC98F"/>
    <w:rsid w:val="7E5C7D0A"/>
    <w:rsid w:val="7ED91887"/>
    <w:rsid w:val="7F76B4CB"/>
    <w:rsid w:val="7F76C110"/>
    <w:rsid w:val="7F811F8A"/>
    <w:rsid w:val="7F8CD92C"/>
    <w:rsid w:val="7FD62102"/>
    <w:rsid w:val="7FE10767"/>
    <w:rsid w:val="7FFB3D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A1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uiPriority w:val="99"/>
    <w:qFormat/>
    <w:rsid w:val="009D6B6D"/>
    <w:rPr>
      <w:sz w:val="20"/>
      <w:szCs w:val="20"/>
    </w:rPr>
  </w:style>
  <w:style w:type="character" w:customStyle="1" w:styleId="FootnoteTextChar">
    <w:name w:val="Footnote Text Char"/>
    <w:aliases w:val="Char Char1 Char,Footnote Text Char Char1 Char Char,Footnote Text Char1 Char Char Char,Footnote Text Char1 Char Char Char Char,Footnote Text Char1 Char Char1,Footnote Text Char2 Char Char,Footnote Text Char3 Char,Footnote Text MRP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 Char Char,Footnote Text Char Char Char Char,Footnote Text Char Char Char1,Footnote Text Char Char1 Char,Footnote Text Char1 Char Char,Footnote Text Char1 Char1,Footnote Text Char1 Char1 Char Char,fn Char,fn Char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unhideWhenUsed/>
    <w:rsid w:val="00EF1B56"/>
    <w:rPr>
      <w:color w:val="605E5C"/>
      <w:shd w:val="clear" w:color="auto" w:fill="E1DFDD"/>
    </w:rPr>
  </w:style>
  <w:style w:type="character" w:styleId="Mention">
    <w:name w:val="Mention"/>
    <w:basedOn w:val="DefaultParagraphFont"/>
    <w:uiPriority w:val="99"/>
    <w:unhideWhenUsed/>
    <w:rsid w:val="002226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office-of-public-participation-subscribe" TargetMode="External" /><Relationship Id="rId2" Type="http://schemas.openxmlformats.org/officeDocument/2006/relationships/hyperlink" Target="https://www.ferc.gov/ferc-insight-newsle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6" ma:contentTypeDescription="Create a new document." ma:contentTypeScope="" ma:versionID="0da7ac89a5e8d5d952adf582e96c97b9">
  <xsd:schema xmlns:xsd="http://www.w3.org/2001/XMLSchema" xmlns:xs="http://www.w3.org/2001/XMLSchema" xmlns:p="http://schemas.microsoft.com/office/2006/metadata/properties" xmlns:ns2="5a7c6213-c3f8-4376-93f2-dc58e5c51d54" targetNamespace="http://schemas.microsoft.com/office/2006/metadata/properties" ma:root="true" ma:fieldsID="aec4fbc7c21cf6e61295636b3d7ad1ee" ns2:_="">
    <xsd:import namespace="5a7c6213-c3f8-4376-93f2-dc58e5c51d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F01F-EC81-49CD-AE9C-D757D8760642}">
  <ds:schemaRefs>
    <ds:schemaRef ds:uri="http://schemas.microsoft.com/sharepoint/v3/contenttype/forms"/>
  </ds:schemaRefs>
</ds:datastoreItem>
</file>

<file path=customXml/itemProps2.xml><?xml version="1.0" encoding="utf-8"?>
<ds:datastoreItem xmlns:ds="http://schemas.openxmlformats.org/officeDocument/2006/customXml" ds:itemID="{74FF6CF4-5BA5-47D0-85F8-01AFF20A2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A2AB8-CEF9-4964-A6F3-960503DB9119}">
  <ds:schemaRefs>
    <ds:schemaRef ds:uri="http://schemas.microsoft.com/office/2006/documentManagement/types"/>
    <ds:schemaRef ds:uri="5a7c6213-c3f8-4376-93f2-dc58e5c51d5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C80FE41-5E23-4F48-B52C-64A3BF2F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2023-05-23T12:17:00Z</dcterms:created>
  <dcterms:modified xsi:type="dcterms:W3CDTF">2023-05-23T12:17:00Z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ies>
</file>