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5253A" w:rsidRPr="00B7618A" w:rsidP="00396F4C" w14:paraId="662B2FD0" w14:textId="77777777">
      <w:pPr>
        <w:tabs>
          <w:tab w:val="center" w:pos="4680"/>
        </w:tabs>
        <w:jc w:val="center"/>
      </w:pPr>
    </w:p>
    <w:p w:rsidR="009E1D15" w:rsidRPr="006820FC" w:rsidP="00396F4C" w14:paraId="21D61D33" w14:textId="67415246">
      <w:pPr>
        <w:tabs>
          <w:tab w:val="center" w:pos="4680"/>
        </w:tabs>
        <w:jc w:val="center"/>
        <w:rPr>
          <w:rFonts w:ascii="Times New Roman Bold" w:hAnsi="Times New Roman Bold"/>
          <w:b/>
          <w:sz w:val="32"/>
          <w:szCs w:val="32"/>
        </w:rPr>
      </w:pPr>
      <w:r w:rsidRPr="006820FC">
        <w:rPr>
          <w:rFonts w:ascii="Times New Roman Bold" w:hAnsi="Times New Roman Bold"/>
          <w:b/>
          <w:bCs/>
          <w:sz w:val="32"/>
          <w:szCs w:val="32"/>
        </w:rPr>
        <w:t>Information Collection Request</w:t>
      </w:r>
    </w:p>
    <w:p w:rsidR="009E1D15" w:rsidRPr="006820FC" w:rsidP="00396F4C" w14:paraId="2E2AF0D0" w14:textId="4FFE41B6">
      <w:pPr>
        <w:tabs>
          <w:tab w:val="center" w:pos="4680"/>
        </w:tabs>
        <w:jc w:val="center"/>
        <w:rPr>
          <w:rFonts w:ascii="Times New Roman Bold" w:hAnsi="Times New Roman Bold"/>
          <w:b/>
          <w:bCs/>
          <w:sz w:val="32"/>
          <w:szCs w:val="32"/>
        </w:rPr>
      </w:pPr>
      <w:r w:rsidRPr="006820FC">
        <w:rPr>
          <w:rFonts w:ascii="Times New Roman Bold" w:hAnsi="Times New Roman Bold"/>
          <w:b/>
          <w:bCs/>
          <w:sz w:val="32"/>
          <w:szCs w:val="32"/>
        </w:rPr>
        <w:t>for</w:t>
      </w:r>
    </w:p>
    <w:p w:rsidR="009E1D15" w:rsidRPr="00396F4C" w:rsidP="006820FC" w14:paraId="74858367" w14:textId="1E9CD973">
      <w:pPr>
        <w:tabs>
          <w:tab w:val="center" w:pos="4680"/>
        </w:tabs>
        <w:jc w:val="center"/>
      </w:pPr>
      <w:r w:rsidRPr="006820FC">
        <w:rPr>
          <w:rFonts w:ascii="Times New Roman Bold" w:hAnsi="Times New Roman Bold"/>
          <w:b/>
          <w:bCs/>
          <w:sz w:val="32"/>
          <w:szCs w:val="32"/>
        </w:rPr>
        <w:t>W</w:t>
      </w:r>
      <w:r w:rsidR="006820FC">
        <w:rPr>
          <w:rFonts w:ascii="Times New Roman Bold" w:hAnsi="Times New Roman Bold"/>
          <w:b/>
          <w:bCs/>
          <w:sz w:val="32"/>
          <w:szCs w:val="32"/>
        </w:rPr>
        <w:t>ater</w:t>
      </w:r>
      <w:r w:rsidRPr="006820FC">
        <w:rPr>
          <w:rFonts w:ascii="Times New Roman Bold" w:hAnsi="Times New Roman Bold"/>
          <w:b/>
          <w:bCs/>
          <w:sz w:val="32"/>
          <w:szCs w:val="32"/>
        </w:rPr>
        <w:t xml:space="preserve"> Q</w:t>
      </w:r>
      <w:r w:rsidR="006820FC">
        <w:rPr>
          <w:rFonts w:ascii="Times New Roman Bold" w:hAnsi="Times New Roman Bold"/>
          <w:b/>
          <w:bCs/>
          <w:sz w:val="32"/>
          <w:szCs w:val="32"/>
        </w:rPr>
        <w:t>uality</w:t>
      </w:r>
      <w:r w:rsidRPr="006820FC">
        <w:rPr>
          <w:rFonts w:ascii="Times New Roman Bold" w:hAnsi="Times New Roman Bold"/>
          <w:b/>
          <w:bCs/>
          <w:sz w:val="32"/>
          <w:szCs w:val="32"/>
        </w:rPr>
        <w:t xml:space="preserve"> S</w:t>
      </w:r>
      <w:r w:rsidR="006820FC">
        <w:rPr>
          <w:rFonts w:ascii="Times New Roman Bold" w:hAnsi="Times New Roman Bold"/>
          <w:b/>
          <w:bCs/>
          <w:sz w:val="32"/>
          <w:szCs w:val="32"/>
        </w:rPr>
        <w:t xml:space="preserve">tandards Regulatory Revisions </w:t>
      </w:r>
      <w:r w:rsidR="00247FFD">
        <w:rPr>
          <w:rFonts w:ascii="Times New Roman Bold" w:hAnsi="Times New Roman Bold"/>
          <w:b/>
          <w:bCs/>
          <w:sz w:val="32"/>
          <w:szCs w:val="32"/>
        </w:rPr>
        <w:t>to Protect Tribal Reserved Rights (</w:t>
      </w:r>
      <w:r w:rsidR="00537D42">
        <w:rPr>
          <w:rFonts w:ascii="Times New Roman Bold" w:hAnsi="Times New Roman Bold"/>
          <w:b/>
          <w:bCs/>
          <w:sz w:val="32"/>
          <w:szCs w:val="32"/>
        </w:rPr>
        <w:t>Proposed</w:t>
      </w:r>
      <w:r w:rsidR="006820FC">
        <w:rPr>
          <w:rFonts w:ascii="Times New Roman Bold" w:hAnsi="Times New Roman Bold"/>
          <w:b/>
          <w:bCs/>
          <w:sz w:val="32"/>
          <w:szCs w:val="32"/>
        </w:rPr>
        <w:t xml:space="preserve"> Rule</w:t>
      </w:r>
      <w:r w:rsidR="00247FFD">
        <w:rPr>
          <w:rFonts w:ascii="Times New Roman Bold" w:hAnsi="Times New Roman Bold"/>
          <w:b/>
          <w:bCs/>
          <w:sz w:val="32"/>
          <w:szCs w:val="32"/>
        </w:rPr>
        <w:t>)</w:t>
      </w:r>
    </w:p>
    <w:p w:rsidR="009E1D15" w:rsidRPr="00396F4C" w:rsidP="00396F4C" w14:paraId="410EEA5F" w14:textId="77777777">
      <w:pPr>
        <w:jc w:val="center"/>
      </w:pPr>
    </w:p>
    <w:p w:rsidR="009E1D15" w:rsidRPr="00396F4C" w:rsidP="00396F4C" w14:paraId="74422456" w14:textId="77777777">
      <w:pPr>
        <w:jc w:val="center"/>
      </w:pPr>
    </w:p>
    <w:p w:rsidR="009E1D15" w:rsidRPr="00396F4C" w:rsidP="00396F4C" w14:paraId="2878F1AD" w14:textId="7380B7B4">
      <w:pPr>
        <w:tabs>
          <w:tab w:val="center" w:pos="4680"/>
        </w:tabs>
        <w:jc w:val="center"/>
      </w:pPr>
    </w:p>
    <w:p w:rsidR="009E1D15" w:rsidRPr="00396F4C" w:rsidP="00396F4C" w14:paraId="42DC4C32" w14:textId="2C1471BF">
      <w:pPr>
        <w:tabs>
          <w:tab w:val="center" w:pos="4680"/>
        </w:tabs>
        <w:jc w:val="center"/>
      </w:pPr>
    </w:p>
    <w:p w:rsidR="009E1D15" w:rsidRPr="006820FC" w:rsidP="00396F4C" w14:paraId="1863E58B" w14:textId="3CB31B23">
      <w:pPr>
        <w:tabs>
          <w:tab w:val="center" w:pos="4680"/>
        </w:tabs>
        <w:jc w:val="center"/>
        <w:rPr>
          <w:b/>
          <w:sz w:val="28"/>
          <w:szCs w:val="28"/>
        </w:rPr>
      </w:pPr>
      <w:r w:rsidRPr="00851FD7">
        <w:rPr>
          <w:b/>
          <w:sz w:val="28"/>
          <w:szCs w:val="28"/>
        </w:rPr>
        <w:t>November</w:t>
      </w:r>
      <w:r w:rsidRPr="00851FD7" w:rsidR="00943DA4">
        <w:rPr>
          <w:b/>
          <w:sz w:val="28"/>
          <w:szCs w:val="28"/>
        </w:rPr>
        <w:t xml:space="preserve"> </w:t>
      </w:r>
      <w:r w:rsidRPr="00851FD7" w:rsidR="002E50A3">
        <w:rPr>
          <w:b/>
          <w:sz w:val="28"/>
          <w:szCs w:val="28"/>
        </w:rPr>
        <w:t>20</w:t>
      </w:r>
      <w:r w:rsidRPr="00851FD7" w:rsidR="00537D42">
        <w:rPr>
          <w:b/>
          <w:sz w:val="28"/>
          <w:szCs w:val="28"/>
        </w:rPr>
        <w:t>22</w:t>
      </w:r>
    </w:p>
    <w:p w:rsidR="009E1D15" w:rsidRPr="00396F4C" w:rsidP="00396F4C" w14:paraId="4B69D4FF" w14:textId="77777777">
      <w:pPr>
        <w:jc w:val="center"/>
      </w:pPr>
    </w:p>
    <w:p w:rsidR="009E1D15" w:rsidRPr="00396F4C" w:rsidP="00396F4C" w14:paraId="361D09C3" w14:textId="77777777">
      <w:pPr>
        <w:jc w:val="center"/>
      </w:pPr>
    </w:p>
    <w:p w:rsidR="009E1D15" w:rsidRPr="00396F4C" w:rsidP="00396F4C" w14:paraId="130C507D" w14:textId="77777777">
      <w:pPr>
        <w:jc w:val="center"/>
      </w:pPr>
    </w:p>
    <w:p w:rsidR="009E1D15" w:rsidRPr="00396F4C" w:rsidP="00396F4C" w14:paraId="5A788C4C" w14:textId="77777777">
      <w:pPr>
        <w:jc w:val="center"/>
      </w:pPr>
    </w:p>
    <w:p w:rsidR="009E1D15" w:rsidRPr="00C502CD" w:rsidP="00396F4C" w14:paraId="5DAB24FC" w14:textId="2561786D">
      <w:pPr>
        <w:tabs>
          <w:tab w:val="center" w:pos="4680"/>
        </w:tabs>
        <w:jc w:val="center"/>
      </w:pPr>
      <w:r w:rsidRPr="00C502CD">
        <w:t xml:space="preserve">EPA ICR Number </w:t>
      </w:r>
      <w:r w:rsidR="00537D42">
        <w:t>2700.01</w:t>
      </w:r>
    </w:p>
    <w:p w:rsidR="009E1D15" w:rsidRPr="00396F4C" w:rsidP="00396F4C" w14:paraId="09B6CE89" w14:textId="6BC4EDF1">
      <w:pPr>
        <w:tabs>
          <w:tab w:val="center" w:pos="4680"/>
        </w:tabs>
        <w:jc w:val="center"/>
      </w:pPr>
      <w:r w:rsidRPr="00C502CD">
        <w:t xml:space="preserve">OMB Control Number </w:t>
      </w:r>
      <w:r w:rsidR="00BB563B">
        <w:t>2040-</w:t>
      </w:r>
      <w:r w:rsidR="00272BBA">
        <w:t>NEW</w:t>
      </w:r>
    </w:p>
    <w:p w:rsidR="009E1D15" w:rsidRPr="00396F4C" w:rsidP="00396F4C" w14:paraId="451E2254" w14:textId="77777777">
      <w:pPr>
        <w:jc w:val="center"/>
      </w:pPr>
    </w:p>
    <w:p w:rsidR="009E1D15" w:rsidRPr="00396F4C" w:rsidP="00396F4C" w14:paraId="3017D213" w14:textId="77777777">
      <w:pPr>
        <w:jc w:val="center"/>
      </w:pPr>
    </w:p>
    <w:p w:rsidR="009E1D15" w:rsidRPr="00396F4C" w:rsidP="00396F4C" w14:paraId="1CE2E96A" w14:textId="7E5CFEF8">
      <w:pPr>
        <w:tabs>
          <w:tab w:val="center" w:pos="4680"/>
        </w:tabs>
        <w:jc w:val="center"/>
      </w:pPr>
    </w:p>
    <w:p w:rsidR="009E1D15" w:rsidRPr="00396F4C" w:rsidP="00396F4C" w14:paraId="48213810" w14:textId="77777777">
      <w:pPr>
        <w:jc w:val="center"/>
      </w:pPr>
    </w:p>
    <w:p w:rsidR="009E1D15" w:rsidRPr="00396F4C" w:rsidP="00396F4C" w14:paraId="3D708C43" w14:textId="77777777">
      <w:pPr>
        <w:jc w:val="center"/>
      </w:pPr>
    </w:p>
    <w:p w:rsidR="009E1D15" w:rsidRPr="00396F4C" w:rsidP="00396F4C" w14:paraId="21C1C700" w14:textId="77777777">
      <w:pPr>
        <w:jc w:val="center"/>
      </w:pPr>
    </w:p>
    <w:p w:rsidR="009E1D15" w:rsidRPr="00396F4C" w:rsidP="00396F4C" w14:paraId="21FC0A9E" w14:textId="77777777">
      <w:pPr>
        <w:jc w:val="center"/>
      </w:pPr>
    </w:p>
    <w:p w:rsidR="009E1D15" w:rsidRPr="00396F4C" w:rsidP="00396F4C" w14:paraId="5D300B0A" w14:textId="77777777">
      <w:pPr>
        <w:jc w:val="center"/>
      </w:pPr>
    </w:p>
    <w:p w:rsidR="009E1D15" w:rsidRPr="00396F4C" w:rsidP="00396F4C" w14:paraId="17246EF4" w14:textId="77777777">
      <w:pPr>
        <w:jc w:val="center"/>
      </w:pPr>
    </w:p>
    <w:p w:rsidR="009E1D15" w:rsidRPr="00396F4C" w:rsidP="00396F4C" w14:paraId="707A7013" w14:textId="50AE6EA6">
      <w:pPr>
        <w:tabs>
          <w:tab w:val="center" w:pos="4680"/>
        </w:tabs>
        <w:jc w:val="center"/>
        <w:rPr>
          <w:bCs/>
        </w:rPr>
      </w:pPr>
      <w:r w:rsidRPr="00396F4C">
        <w:rPr>
          <w:bCs/>
        </w:rPr>
        <w:t>U.S. Environmental Protection Agency</w:t>
      </w:r>
    </w:p>
    <w:p w:rsidR="002D2F63" w:rsidRPr="00396F4C" w:rsidP="00396F4C" w14:paraId="242A7ADF" w14:textId="4ED7A833">
      <w:pPr>
        <w:tabs>
          <w:tab w:val="center" w:pos="4680"/>
        </w:tabs>
        <w:jc w:val="center"/>
        <w:rPr>
          <w:bCs/>
        </w:rPr>
      </w:pPr>
      <w:r w:rsidRPr="00396F4C">
        <w:rPr>
          <w:bCs/>
        </w:rPr>
        <w:t>Office of Water</w:t>
      </w:r>
    </w:p>
    <w:p w:rsidR="0055400B" w:rsidP="00396F4C" w14:paraId="5F1A5EB7" w14:textId="77777777">
      <w:pPr>
        <w:tabs>
          <w:tab w:val="center" w:pos="4680"/>
        </w:tabs>
        <w:jc w:val="center"/>
        <w:rPr>
          <w:bCs/>
        </w:rPr>
      </w:pPr>
      <w:r w:rsidRPr="00396F4C">
        <w:rPr>
          <w:bCs/>
        </w:rPr>
        <w:t>Office of Science and Technology</w:t>
      </w:r>
    </w:p>
    <w:p w:rsidR="009E1D15" w:rsidRPr="00396F4C" w:rsidP="00396F4C" w14:paraId="1C586AB8" w14:textId="11B06A13">
      <w:pPr>
        <w:tabs>
          <w:tab w:val="center" w:pos="4680"/>
        </w:tabs>
        <w:jc w:val="center"/>
        <w:rPr>
          <w:bCs/>
        </w:rPr>
      </w:pPr>
      <w:r w:rsidRPr="00396F4C">
        <w:rPr>
          <w:bCs/>
        </w:rPr>
        <w:t>1200 Pennsylvania Avenue, N</w:t>
      </w:r>
      <w:r w:rsidRPr="00396F4C" w:rsidR="002D2F63">
        <w:rPr>
          <w:bCs/>
        </w:rPr>
        <w:t>.</w:t>
      </w:r>
      <w:r w:rsidRPr="00396F4C">
        <w:rPr>
          <w:bCs/>
        </w:rPr>
        <w:t>W</w:t>
      </w:r>
      <w:r w:rsidRPr="00396F4C" w:rsidR="002D2F63">
        <w:rPr>
          <w:bCs/>
        </w:rPr>
        <w:t>.</w:t>
      </w:r>
    </w:p>
    <w:p w:rsidR="009E1D15" w:rsidRPr="00396F4C" w:rsidP="00396F4C" w14:paraId="0702E47F" w14:textId="41D5A71D">
      <w:pPr>
        <w:tabs>
          <w:tab w:val="center" w:pos="4680"/>
        </w:tabs>
        <w:jc w:val="center"/>
        <w:rPr>
          <w:bCs/>
        </w:rPr>
      </w:pPr>
      <w:r w:rsidRPr="00396F4C">
        <w:rPr>
          <w:bCs/>
        </w:rPr>
        <w:t>Washington, DC</w:t>
      </w:r>
      <w:r w:rsidR="00433B9B">
        <w:rPr>
          <w:bCs/>
        </w:rPr>
        <w:t xml:space="preserve"> </w:t>
      </w:r>
      <w:r w:rsidRPr="00396F4C">
        <w:rPr>
          <w:bCs/>
        </w:rPr>
        <w:t>20460</w:t>
      </w:r>
    </w:p>
    <w:p w:rsidR="009E1D15" w:rsidRPr="00B7618A" w:rsidP="00396F4C" w14:paraId="150492D6" w14:textId="77777777">
      <w:pPr>
        <w:jc w:val="center"/>
        <w:rPr>
          <w:b/>
          <w:bCs/>
        </w:rPr>
      </w:pPr>
    </w:p>
    <w:p w:rsidR="009E1D15" w:rsidRPr="00B7618A" w14:paraId="6B81E625" w14:textId="77777777">
      <w:pPr>
        <w:sectPr w:rsidSect="00332C05">
          <w:pgSz w:w="12240" w:h="15840"/>
          <w:pgMar w:top="1440" w:right="1440" w:bottom="1440" w:left="1440" w:header="630" w:footer="1440" w:gutter="0"/>
          <w:cols w:space="720"/>
          <w:vAlign w:val="center"/>
          <w:noEndnote/>
          <w:docGrid w:linePitch="326"/>
        </w:sectPr>
      </w:pPr>
    </w:p>
    <w:bookmarkStart w:id="0" w:name="_Toc118451086" w:displacedByCustomXml="next"/>
    <w:sdt>
      <w:sdtPr>
        <w:rPr>
          <w:rFonts w:ascii="Times New Roman" w:hAnsi="Times New Roman"/>
          <w:b w:val="0"/>
          <w:color w:val="auto"/>
          <w:kern w:val="0"/>
          <w:sz w:val="24"/>
        </w:rPr>
        <w:id w:val="1838801087"/>
        <w:docPartObj>
          <w:docPartGallery w:val="Table of Contents"/>
          <w:docPartUnique/>
        </w:docPartObj>
      </w:sdtPr>
      <w:sdtEndPr>
        <w:rPr>
          <w:bCs/>
          <w:noProof/>
        </w:rPr>
      </w:sdtEndPr>
      <w:sdtContent>
        <w:p w:rsidR="00475FDA" w14:paraId="784815D9" w14:textId="6DA6E5DB">
          <w:pPr>
            <w:pStyle w:val="TOCHeading"/>
          </w:pPr>
          <w:r>
            <w:t>Contents</w:t>
          </w:r>
          <w:bookmarkEnd w:id="0"/>
        </w:p>
        <w:p w:rsidR="00DA2156" w14:paraId="052D32A3" w14:textId="144AF028">
          <w:pPr>
            <w:pStyle w:val="TOC1"/>
            <w:tabs>
              <w:tab w:val="right" w:leader="dot" w:pos="9350"/>
            </w:tabs>
            <w:rPr>
              <w:rFonts w:asciiTheme="minorHAnsi" w:eastAsiaTheme="minorEastAsia" w:hAnsiTheme="minorHAnsi" w:cstheme="minorBidi"/>
              <w:b w:val="0"/>
              <w:noProof/>
              <w:sz w:val="22"/>
              <w:szCs w:val="22"/>
            </w:rPr>
          </w:pPr>
          <w:r>
            <w:fldChar w:fldCharType="begin"/>
          </w:r>
          <w:r>
            <w:instrText xml:space="preserve"> TOC \o "1-3" \h \z \u </w:instrText>
          </w:r>
          <w:r>
            <w:fldChar w:fldCharType="separate"/>
          </w:r>
          <w:hyperlink w:anchor="_Toc118451086" w:history="1">
            <w:r w:rsidRPr="001D4F0C">
              <w:rPr>
                <w:rStyle w:val="Hyperlink"/>
                <w:noProof/>
              </w:rPr>
              <w:t>Contents</w:t>
            </w:r>
            <w:r>
              <w:rPr>
                <w:noProof/>
                <w:webHidden/>
              </w:rPr>
              <w:tab/>
            </w:r>
            <w:r>
              <w:rPr>
                <w:noProof/>
                <w:webHidden/>
              </w:rPr>
              <w:fldChar w:fldCharType="begin"/>
            </w:r>
            <w:r>
              <w:rPr>
                <w:noProof/>
                <w:webHidden/>
              </w:rPr>
              <w:instrText xml:space="preserve"> PAGEREF _Toc118451086 \h </w:instrText>
            </w:r>
            <w:r>
              <w:rPr>
                <w:noProof/>
                <w:webHidden/>
              </w:rPr>
              <w:fldChar w:fldCharType="separate"/>
            </w:r>
            <w:r>
              <w:rPr>
                <w:noProof/>
                <w:webHidden/>
              </w:rPr>
              <w:t>2</w:t>
            </w:r>
            <w:r>
              <w:rPr>
                <w:noProof/>
                <w:webHidden/>
              </w:rPr>
              <w:fldChar w:fldCharType="end"/>
            </w:r>
          </w:hyperlink>
        </w:p>
        <w:p w:rsidR="00DA2156" w14:paraId="31FC5123" w14:textId="083364F2">
          <w:pPr>
            <w:pStyle w:val="TOC1"/>
            <w:tabs>
              <w:tab w:val="right" w:leader="dot" w:pos="9350"/>
            </w:tabs>
            <w:rPr>
              <w:rFonts w:asciiTheme="minorHAnsi" w:eastAsiaTheme="minorEastAsia" w:hAnsiTheme="minorHAnsi" w:cstheme="minorBidi"/>
              <w:b w:val="0"/>
              <w:noProof/>
              <w:sz w:val="22"/>
              <w:szCs w:val="22"/>
            </w:rPr>
          </w:pPr>
          <w:hyperlink w:anchor="_Toc118451087" w:history="1">
            <w:r w:rsidRPr="001D4F0C">
              <w:rPr>
                <w:rStyle w:val="Hyperlink"/>
                <w:noProof/>
              </w:rPr>
              <w:t>1.</w:t>
            </w:r>
            <w:r>
              <w:rPr>
                <w:rFonts w:asciiTheme="minorHAnsi" w:eastAsiaTheme="minorEastAsia" w:hAnsiTheme="minorHAnsi" w:cstheme="minorBidi"/>
                <w:b w:val="0"/>
                <w:noProof/>
                <w:sz w:val="22"/>
                <w:szCs w:val="22"/>
              </w:rPr>
              <w:tab/>
            </w:r>
            <w:r w:rsidRPr="001D4F0C">
              <w:rPr>
                <w:rStyle w:val="Hyperlink"/>
                <w:noProof/>
              </w:rPr>
              <w:t>Identification of the Information Collection</w:t>
            </w:r>
            <w:r>
              <w:rPr>
                <w:noProof/>
                <w:webHidden/>
              </w:rPr>
              <w:tab/>
            </w:r>
            <w:r>
              <w:rPr>
                <w:noProof/>
                <w:webHidden/>
              </w:rPr>
              <w:fldChar w:fldCharType="begin"/>
            </w:r>
            <w:r>
              <w:rPr>
                <w:noProof/>
                <w:webHidden/>
              </w:rPr>
              <w:instrText xml:space="preserve"> PAGEREF _Toc118451087 \h </w:instrText>
            </w:r>
            <w:r>
              <w:rPr>
                <w:noProof/>
                <w:webHidden/>
              </w:rPr>
              <w:fldChar w:fldCharType="separate"/>
            </w:r>
            <w:r>
              <w:rPr>
                <w:noProof/>
                <w:webHidden/>
              </w:rPr>
              <w:t>3</w:t>
            </w:r>
            <w:r>
              <w:rPr>
                <w:noProof/>
                <w:webHidden/>
              </w:rPr>
              <w:fldChar w:fldCharType="end"/>
            </w:r>
          </w:hyperlink>
        </w:p>
        <w:p w:rsidR="00DA2156" w14:paraId="37C16EDA" w14:textId="4015D1F9">
          <w:pPr>
            <w:pStyle w:val="TOC2"/>
            <w:tabs>
              <w:tab w:val="right" w:leader="dot" w:pos="9350"/>
            </w:tabs>
            <w:rPr>
              <w:rFonts w:asciiTheme="minorHAnsi" w:eastAsiaTheme="minorEastAsia" w:hAnsiTheme="minorHAnsi" w:cstheme="minorBidi"/>
              <w:noProof/>
              <w:sz w:val="22"/>
              <w:szCs w:val="22"/>
            </w:rPr>
          </w:pPr>
          <w:hyperlink w:anchor="_Toc118451088" w:history="1">
            <w:r w:rsidRPr="001D4F0C">
              <w:rPr>
                <w:rStyle w:val="Hyperlink"/>
                <w:noProof/>
              </w:rPr>
              <w:t>1(a)</w:t>
            </w:r>
            <w:r>
              <w:rPr>
                <w:rFonts w:asciiTheme="minorHAnsi" w:eastAsiaTheme="minorEastAsia" w:hAnsiTheme="minorHAnsi" w:cstheme="minorBidi"/>
                <w:noProof/>
                <w:sz w:val="22"/>
                <w:szCs w:val="22"/>
              </w:rPr>
              <w:tab/>
            </w:r>
            <w:r w:rsidRPr="001D4F0C">
              <w:rPr>
                <w:rStyle w:val="Hyperlink"/>
                <w:noProof/>
              </w:rPr>
              <w:t>Title of the Information Collection</w:t>
            </w:r>
            <w:r>
              <w:rPr>
                <w:noProof/>
                <w:webHidden/>
              </w:rPr>
              <w:tab/>
            </w:r>
            <w:r>
              <w:rPr>
                <w:noProof/>
                <w:webHidden/>
              </w:rPr>
              <w:fldChar w:fldCharType="begin"/>
            </w:r>
            <w:r>
              <w:rPr>
                <w:noProof/>
                <w:webHidden/>
              </w:rPr>
              <w:instrText xml:space="preserve"> PAGEREF _Toc118451088 \h </w:instrText>
            </w:r>
            <w:r>
              <w:rPr>
                <w:noProof/>
                <w:webHidden/>
              </w:rPr>
              <w:fldChar w:fldCharType="separate"/>
            </w:r>
            <w:r>
              <w:rPr>
                <w:noProof/>
                <w:webHidden/>
              </w:rPr>
              <w:t>3</w:t>
            </w:r>
            <w:r>
              <w:rPr>
                <w:noProof/>
                <w:webHidden/>
              </w:rPr>
              <w:fldChar w:fldCharType="end"/>
            </w:r>
          </w:hyperlink>
        </w:p>
        <w:p w:rsidR="00DA2156" w14:paraId="12C67172" w14:textId="47524EEE">
          <w:pPr>
            <w:pStyle w:val="TOC2"/>
            <w:tabs>
              <w:tab w:val="right" w:leader="dot" w:pos="9350"/>
            </w:tabs>
            <w:rPr>
              <w:rFonts w:asciiTheme="minorHAnsi" w:eastAsiaTheme="minorEastAsia" w:hAnsiTheme="minorHAnsi" w:cstheme="minorBidi"/>
              <w:noProof/>
              <w:sz w:val="22"/>
              <w:szCs w:val="22"/>
            </w:rPr>
          </w:pPr>
          <w:hyperlink w:anchor="_Toc118451089" w:history="1">
            <w:r w:rsidRPr="001D4F0C">
              <w:rPr>
                <w:rStyle w:val="Hyperlink"/>
                <w:noProof/>
              </w:rPr>
              <w:t>1(b)</w:t>
            </w:r>
            <w:r>
              <w:rPr>
                <w:rFonts w:asciiTheme="minorHAnsi" w:eastAsiaTheme="minorEastAsia" w:hAnsiTheme="minorHAnsi" w:cstheme="minorBidi"/>
                <w:noProof/>
                <w:sz w:val="22"/>
                <w:szCs w:val="22"/>
              </w:rPr>
              <w:tab/>
            </w:r>
            <w:r w:rsidRPr="001D4F0C">
              <w:rPr>
                <w:rStyle w:val="Hyperlink"/>
                <w:noProof/>
              </w:rPr>
              <w:t>Short Characterization/Abstract</w:t>
            </w:r>
            <w:r>
              <w:rPr>
                <w:noProof/>
                <w:webHidden/>
              </w:rPr>
              <w:tab/>
            </w:r>
            <w:r>
              <w:rPr>
                <w:noProof/>
                <w:webHidden/>
              </w:rPr>
              <w:fldChar w:fldCharType="begin"/>
            </w:r>
            <w:r>
              <w:rPr>
                <w:noProof/>
                <w:webHidden/>
              </w:rPr>
              <w:instrText xml:space="preserve"> PAGEREF _Toc118451089 \h </w:instrText>
            </w:r>
            <w:r>
              <w:rPr>
                <w:noProof/>
                <w:webHidden/>
              </w:rPr>
              <w:fldChar w:fldCharType="separate"/>
            </w:r>
            <w:r>
              <w:rPr>
                <w:noProof/>
                <w:webHidden/>
              </w:rPr>
              <w:t>3</w:t>
            </w:r>
            <w:r>
              <w:rPr>
                <w:noProof/>
                <w:webHidden/>
              </w:rPr>
              <w:fldChar w:fldCharType="end"/>
            </w:r>
          </w:hyperlink>
        </w:p>
        <w:p w:rsidR="00DA2156" w14:paraId="61FAEA7E" w14:textId="2717D008">
          <w:pPr>
            <w:pStyle w:val="TOC1"/>
            <w:tabs>
              <w:tab w:val="right" w:leader="dot" w:pos="9350"/>
            </w:tabs>
            <w:rPr>
              <w:rFonts w:asciiTheme="minorHAnsi" w:eastAsiaTheme="minorEastAsia" w:hAnsiTheme="minorHAnsi" w:cstheme="minorBidi"/>
              <w:b w:val="0"/>
              <w:noProof/>
              <w:sz w:val="22"/>
              <w:szCs w:val="22"/>
            </w:rPr>
          </w:pPr>
          <w:hyperlink w:anchor="_Toc118451090" w:history="1">
            <w:r w:rsidRPr="001D4F0C">
              <w:rPr>
                <w:rStyle w:val="Hyperlink"/>
                <w:noProof/>
              </w:rPr>
              <w:t>2.</w:t>
            </w:r>
            <w:r>
              <w:rPr>
                <w:rFonts w:asciiTheme="minorHAnsi" w:eastAsiaTheme="minorEastAsia" w:hAnsiTheme="minorHAnsi" w:cstheme="minorBidi"/>
                <w:b w:val="0"/>
                <w:noProof/>
                <w:sz w:val="22"/>
                <w:szCs w:val="22"/>
              </w:rPr>
              <w:tab/>
            </w:r>
            <w:r w:rsidRPr="001D4F0C">
              <w:rPr>
                <w:rStyle w:val="Hyperlink"/>
                <w:noProof/>
              </w:rPr>
              <w:t>Need for and Use of the Collection</w:t>
            </w:r>
            <w:r>
              <w:rPr>
                <w:noProof/>
                <w:webHidden/>
              </w:rPr>
              <w:tab/>
            </w:r>
            <w:r>
              <w:rPr>
                <w:noProof/>
                <w:webHidden/>
              </w:rPr>
              <w:fldChar w:fldCharType="begin"/>
            </w:r>
            <w:r>
              <w:rPr>
                <w:noProof/>
                <w:webHidden/>
              </w:rPr>
              <w:instrText xml:space="preserve"> PAGEREF _Toc118451090 \h </w:instrText>
            </w:r>
            <w:r>
              <w:rPr>
                <w:noProof/>
                <w:webHidden/>
              </w:rPr>
              <w:fldChar w:fldCharType="separate"/>
            </w:r>
            <w:r>
              <w:rPr>
                <w:noProof/>
                <w:webHidden/>
              </w:rPr>
              <w:t>5</w:t>
            </w:r>
            <w:r>
              <w:rPr>
                <w:noProof/>
                <w:webHidden/>
              </w:rPr>
              <w:fldChar w:fldCharType="end"/>
            </w:r>
          </w:hyperlink>
        </w:p>
        <w:p w:rsidR="00DA2156" w14:paraId="7202D9EF" w14:textId="77CA6589">
          <w:pPr>
            <w:pStyle w:val="TOC2"/>
            <w:tabs>
              <w:tab w:val="right" w:leader="dot" w:pos="9350"/>
            </w:tabs>
            <w:rPr>
              <w:rFonts w:asciiTheme="minorHAnsi" w:eastAsiaTheme="minorEastAsia" w:hAnsiTheme="minorHAnsi" w:cstheme="minorBidi"/>
              <w:noProof/>
              <w:sz w:val="22"/>
              <w:szCs w:val="22"/>
            </w:rPr>
          </w:pPr>
          <w:hyperlink w:anchor="_Toc118451091" w:history="1">
            <w:r w:rsidRPr="001D4F0C">
              <w:rPr>
                <w:rStyle w:val="Hyperlink"/>
                <w:noProof/>
              </w:rPr>
              <w:t>2(a)</w:t>
            </w:r>
            <w:r>
              <w:rPr>
                <w:rFonts w:asciiTheme="minorHAnsi" w:eastAsiaTheme="minorEastAsia" w:hAnsiTheme="minorHAnsi" w:cstheme="minorBidi"/>
                <w:noProof/>
                <w:sz w:val="22"/>
                <w:szCs w:val="22"/>
              </w:rPr>
              <w:tab/>
            </w:r>
            <w:r w:rsidRPr="001D4F0C">
              <w:rPr>
                <w:rStyle w:val="Hyperlink"/>
                <w:noProof/>
              </w:rPr>
              <w:t>Need and Authority for the Collection</w:t>
            </w:r>
            <w:r>
              <w:rPr>
                <w:noProof/>
                <w:webHidden/>
              </w:rPr>
              <w:tab/>
            </w:r>
            <w:r>
              <w:rPr>
                <w:noProof/>
                <w:webHidden/>
              </w:rPr>
              <w:fldChar w:fldCharType="begin"/>
            </w:r>
            <w:r>
              <w:rPr>
                <w:noProof/>
                <w:webHidden/>
              </w:rPr>
              <w:instrText xml:space="preserve"> PAGEREF _Toc118451091 \h </w:instrText>
            </w:r>
            <w:r>
              <w:rPr>
                <w:noProof/>
                <w:webHidden/>
              </w:rPr>
              <w:fldChar w:fldCharType="separate"/>
            </w:r>
            <w:r>
              <w:rPr>
                <w:noProof/>
                <w:webHidden/>
              </w:rPr>
              <w:t>5</w:t>
            </w:r>
            <w:r>
              <w:rPr>
                <w:noProof/>
                <w:webHidden/>
              </w:rPr>
              <w:fldChar w:fldCharType="end"/>
            </w:r>
          </w:hyperlink>
        </w:p>
        <w:p w:rsidR="00DA2156" w14:paraId="726F90D2" w14:textId="43A873DD">
          <w:pPr>
            <w:pStyle w:val="TOC2"/>
            <w:tabs>
              <w:tab w:val="right" w:leader="dot" w:pos="9350"/>
            </w:tabs>
            <w:rPr>
              <w:rFonts w:asciiTheme="minorHAnsi" w:eastAsiaTheme="minorEastAsia" w:hAnsiTheme="minorHAnsi" w:cstheme="minorBidi"/>
              <w:noProof/>
              <w:sz w:val="22"/>
              <w:szCs w:val="22"/>
            </w:rPr>
          </w:pPr>
          <w:hyperlink w:anchor="_Toc118451092" w:history="1">
            <w:r w:rsidRPr="001D4F0C">
              <w:rPr>
                <w:rStyle w:val="Hyperlink"/>
                <w:noProof/>
              </w:rPr>
              <w:t>2(b)</w:t>
            </w:r>
            <w:r>
              <w:rPr>
                <w:rFonts w:asciiTheme="minorHAnsi" w:eastAsiaTheme="minorEastAsia" w:hAnsiTheme="minorHAnsi" w:cstheme="minorBidi"/>
                <w:noProof/>
                <w:sz w:val="22"/>
                <w:szCs w:val="22"/>
              </w:rPr>
              <w:tab/>
            </w:r>
            <w:r w:rsidRPr="001D4F0C">
              <w:rPr>
                <w:rStyle w:val="Hyperlink"/>
                <w:noProof/>
              </w:rPr>
              <w:t>Practical Utility/Users of the Data</w:t>
            </w:r>
            <w:r>
              <w:rPr>
                <w:noProof/>
                <w:webHidden/>
              </w:rPr>
              <w:tab/>
            </w:r>
            <w:r>
              <w:rPr>
                <w:noProof/>
                <w:webHidden/>
              </w:rPr>
              <w:fldChar w:fldCharType="begin"/>
            </w:r>
            <w:r>
              <w:rPr>
                <w:noProof/>
                <w:webHidden/>
              </w:rPr>
              <w:instrText xml:space="preserve"> PAGEREF _Toc118451092 \h </w:instrText>
            </w:r>
            <w:r>
              <w:rPr>
                <w:noProof/>
                <w:webHidden/>
              </w:rPr>
              <w:fldChar w:fldCharType="separate"/>
            </w:r>
            <w:r>
              <w:rPr>
                <w:noProof/>
                <w:webHidden/>
              </w:rPr>
              <w:t>5</w:t>
            </w:r>
            <w:r>
              <w:rPr>
                <w:noProof/>
                <w:webHidden/>
              </w:rPr>
              <w:fldChar w:fldCharType="end"/>
            </w:r>
          </w:hyperlink>
        </w:p>
        <w:p w:rsidR="00DA2156" w14:paraId="3D13B0D1" w14:textId="18D7881E">
          <w:pPr>
            <w:pStyle w:val="TOC1"/>
            <w:tabs>
              <w:tab w:val="right" w:leader="dot" w:pos="9350"/>
            </w:tabs>
            <w:rPr>
              <w:rFonts w:asciiTheme="minorHAnsi" w:eastAsiaTheme="minorEastAsia" w:hAnsiTheme="minorHAnsi" w:cstheme="minorBidi"/>
              <w:b w:val="0"/>
              <w:noProof/>
              <w:sz w:val="22"/>
              <w:szCs w:val="22"/>
            </w:rPr>
          </w:pPr>
          <w:hyperlink w:anchor="_Toc118451093" w:history="1">
            <w:r w:rsidRPr="001D4F0C">
              <w:rPr>
                <w:rStyle w:val="Hyperlink"/>
                <w:noProof/>
              </w:rPr>
              <w:t>3.</w:t>
            </w:r>
            <w:r>
              <w:rPr>
                <w:rFonts w:asciiTheme="minorHAnsi" w:eastAsiaTheme="minorEastAsia" w:hAnsiTheme="minorHAnsi" w:cstheme="minorBidi"/>
                <w:b w:val="0"/>
                <w:noProof/>
                <w:sz w:val="22"/>
                <w:szCs w:val="22"/>
              </w:rPr>
              <w:tab/>
            </w:r>
            <w:r w:rsidRPr="001D4F0C">
              <w:rPr>
                <w:rStyle w:val="Hyperlink"/>
                <w:noProof/>
              </w:rPr>
              <w:t>Non-Duplication, Consultations, and Other Collection Criteria</w:t>
            </w:r>
            <w:r>
              <w:rPr>
                <w:noProof/>
                <w:webHidden/>
              </w:rPr>
              <w:tab/>
            </w:r>
            <w:r>
              <w:rPr>
                <w:noProof/>
                <w:webHidden/>
              </w:rPr>
              <w:fldChar w:fldCharType="begin"/>
            </w:r>
            <w:r>
              <w:rPr>
                <w:noProof/>
                <w:webHidden/>
              </w:rPr>
              <w:instrText xml:space="preserve"> PAGEREF _Toc118451093 \h </w:instrText>
            </w:r>
            <w:r>
              <w:rPr>
                <w:noProof/>
                <w:webHidden/>
              </w:rPr>
              <w:fldChar w:fldCharType="separate"/>
            </w:r>
            <w:r>
              <w:rPr>
                <w:noProof/>
                <w:webHidden/>
              </w:rPr>
              <w:t>6</w:t>
            </w:r>
            <w:r>
              <w:rPr>
                <w:noProof/>
                <w:webHidden/>
              </w:rPr>
              <w:fldChar w:fldCharType="end"/>
            </w:r>
          </w:hyperlink>
        </w:p>
        <w:p w:rsidR="00DA2156" w14:paraId="37730463" w14:textId="15D58D25">
          <w:pPr>
            <w:pStyle w:val="TOC2"/>
            <w:tabs>
              <w:tab w:val="right" w:leader="dot" w:pos="9350"/>
            </w:tabs>
            <w:rPr>
              <w:rFonts w:asciiTheme="minorHAnsi" w:eastAsiaTheme="minorEastAsia" w:hAnsiTheme="minorHAnsi" w:cstheme="minorBidi"/>
              <w:noProof/>
              <w:sz w:val="22"/>
              <w:szCs w:val="22"/>
            </w:rPr>
          </w:pPr>
          <w:hyperlink w:anchor="_Toc118451094" w:history="1">
            <w:r w:rsidRPr="001D4F0C">
              <w:rPr>
                <w:rStyle w:val="Hyperlink"/>
                <w:noProof/>
              </w:rPr>
              <w:t>3(a)</w:t>
            </w:r>
            <w:r>
              <w:rPr>
                <w:rFonts w:asciiTheme="minorHAnsi" w:eastAsiaTheme="minorEastAsia" w:hAnsiTheme="minorHAnsi" w:cstheme="minorBidi"/>
                <w:noProof/>
                <w:sz w:val="22"/>
                <w:szCs w:val="22"/>
              </w:rPr>
              <w:tab/>
            </w:r>
            <w:r w:rsidRPr="001D4F0C">
              <w:rPr>
                <w:rStyle w:val="Hyperlink"/>
                <w:noProof/>
              </w:rPr>
              <w:t>Non-Duplication</w:t>
            </w:r>
            <w:r>
              <w:rPr>
                <w:noProof/>
                <w:webHidden/>
              </w:rPr>
              <w:tab/>
            </w:r>
            <w:r>
              <w:rPr>
                <w:noProof/>
                <w:webHidden/>
              </w:rPr>
              <w:fldChar w:fldCharType="begin"/>
            </w:r>
            <w:r>
              <w:rPr>
                <w:noProof/>
                <w:webHidden/>
              </w:rPr>
              <w:instrText xml:space="preserve"> PAGEREF _Toc118451094 \h </w:instrText>
            </w:r>
            <w:r>
              <w:rPr>
                <w:noProof/>
                <w:webHidden/>
              </w:rPr>
              <w:fldChar w:fldCharType="separate"/>
            </w:r>
            <w:r>
              <w:rPr>
                <w:noProof/>
                <w:webHidden/>
              </w:rPr>
              <w:t>6</w:t>
            </w:r>
            <w:r>
              <w:rPr>
                <w:noProof/>
                <w:webHidden/>
              </w:rPr>
              <w:fldChar w:fldCharType="end"/>
            </w:r>
          </w:hyperlink>
        </w:p>
        <w:p w:rsidR="00DA2156" w14:paraId="527C2839" w14:textId="29784523">
          <w:pPr>
            <w:pStyle w:val="TOC2"/>
            <w:tabs>
              <w:tab w:val="right" w:leader="dot" w:pos="9350"/>
            </w:tabs>
            <w:rPr>
              <w:rFonts w:asciiTheme="minorHAnsi" w:eastAsiaTheme="minorEastAsia" w:hAnsiTheme="minorHAnsi" w:cstheme="minorBidi"/>
              <w:noProof/>
              <w:sz w:val="22"/>
              <w:szCs w:val="22"/>
            </w:rPr>
          </w:pPr>
          <w:hyperlink w:anchor="_Toc118451095" w:history="1">
            <w:r w:rsidRPr="001D4F0C">
              <w:rPr>
                <w:rStyle w:val="Hyperlink"/>
                <w:noProof/>
              </w:rPr>
              <w:t>3(b)</w:t>
            </w:r>
            <w:r>
              <w:rPr>
                <w:rFonts w:asciiTheme="minorHAnsi" w:eastAsiaTheme="minorEastAsia" w:hAnsiTheme="minorHAnsi" w:cstheme="minorBidi"/>
                <w:noProof/>
                <w:sz w:val="22"/>
                <w:szCs w:val="22"/>
              </w:rPr>
              <w:tab/>
            </w:r>
            <w:r w:rsidRPr="001D4F0C">
              <w:rPr>
                <w:rStyle w:val="Hyperlink"/>
                <w:noProof/>
              </w:rPr>
              <w:t>Public Notice Required Prior to ICR Submission to OMB</w:t>
            </w:r>
            <w:r>
              <w:rPr>
                <w:noProof/>
                <w:webHidden/>
              </w:rPr>
              <w:tab/>
            </w:r>
            <w:r>
              <w:rPr>
                <w:noProof/>
                <w:webHidden/>
              </w:rPr>
              <w:fldChar w:fldCharType="begin"/>
            </w:r>
            <w:r>
              <w:rPr>
                <w:noProof/>
                <w:webHidden/>
              </w:rPr>
              <w:instrText xml:space="preserve"> PAGEREF _Toc118451095 \h </w:instrText>
            </w:r>
            <w:r>
              <w:rPr>
                <w:noProof/>
                <w:webHidden/>
              </w:rPr>
              <w:fldChar w:fldCharType="separate"/>
            </w:r>
            <w:r>
              <w:rPr>
                <w:noProof/>
                <w:webHidden/>
              </w:rPr>
              <w:t>6</w:t>
            </w:r>
            <w:r>
              <w:rPr>
                <w:noProof/>
                <w:webHidden/>
              </w:rPr>
              <w:fldChar w:fldCharType="end"/>
            </w:r>
          </w:hyperlink>
        </w:p>
        <w:p w:rsidR="00DA2156" w14:paraId="001FFFE2" w14:textId="71B30BA6">
          <w:pPr>
            <w:pStyle w:val="TOC2"/>
            <w:tabs>
              <w:tab w:val="right" w:leader="dot" w:pos="9350"/>
            </w:tabs>
            <w:rPr>
              <w:rFonts w:asciiTheme="minorHAnsi" w:eastAsiaTheme="minorEastAsia" w:hAnsiTheme="minorHAnsi" w:cstheme="minorBidi"/>
              <w:noProof/>
              <w:sz w:val="22"/>
              <w:szCs w:val="22"/>
            </w:rPr>
          </w:pPr>
          <w:hyperlink w:anchor="_Toc118451096" w:history="1">
            <w:r w:rsidRPr="001D4F0C">
              <w:rPr>
                <w:rStyle w:val="Hyperlink"/>
                <w:noProof/>
              </w:rPr>
              <w:t>3(c)</w:t>
            </w:r>
            <w:r>
              <w:rPr>
                <w:rFonts w:asciiTheme="minorHAnsi" w:eastAsiaTheme="minorEastAsia" w:hAnsiTheme="minorHAnsi" w:cstheme="minorBidi"/>
                <w:noProof/>
                <w:sz w:val="22"/>
                <w:szCs w:val="22"/>
              </w:rPr>
              <w:tab/>
            </w:r>
            <w:r w:rsidRPr="001D4F0C">
              <w:rPr>
                <w:rStyle w:val="Hyperlink"/>
                <w:noProof/>
              </w:rPr>
              <w:t>Consultations</w:t>
            </w:r>
            <w:r>
              <w:rPr>
                <w:noProof/>
                <w:webHidden/>
              </w:rPr>
              <w:tab/>
            </w:r>
            <w:r>
              <w:rPr>
                <w:noProof/>
                <w:webHidden/>
              </w:rPr>
              <w:fldChar w:fldCharType="begin"/>
            </w:r>
            <w:r>
              <w:rPr>
                <w:noProof/>
                <w:webHidden/>
              </w:rPr>
              <w:instrText xml:space="preserve"> PAGEREF _Toc118451096 \h </w:instrText>
            </w:r>
            <w:r>
              <w:rPr>
                <w:noProof/>
                <w:webHidden/>
              </w:rPr>
              <w:fldChar w:fldCharType="separate"/>
            </w:r>
            <w:r>
              <w:rPr>
                <w:noProof/>
                <w:webHidden/>
              </w:rPr>
              <w:t>6</w:t>
            </w:r>
            <w:r>
              <w:rPr>
                <w:noProof/>
                <w:webHidden/>
              </w:rPr>
              <w:fldChar w:fldCharType="end"/>
            </w:r>
          </w:hyperlink>
        </w:p>
        <w:p w:rsidR="00DA2156" w14:paraId="66A8272A" w14:textId="3F12045A">
          <w:pPr>
            <w:pStyle w:val="TOC2"/>
            <w:tabs>
              <w:tab w:val="right" w:leader="dot" w:pos="9350"/>
            </w:tabs>
            <w:rPr>
              <w:rFonts w:asciiTheme="minorHAnsi" w:eastAsiaTheme="minorEastAsia" w:hAnsiTheme="minorHAnsi" w:cstheme="minorBidi"/>
              <w:noProof/>
              <w:sz w:val="22"/>
              <w:szCs w:val="22"/>
            </w:rPr>
          </w:pPr>
          <w:hyperlink w:anchor="_Toc118451097" w:history="1">
            <w:r w:rsidRPr="001D4F0C">
              <w:rPr>
                <w:rStyle w:val="Hyperlink"/>
                <w:noProof/>
              </w:rPr>
              <w:t>3(d)</w:t>
            </w:r>
            <w:r>
              <w:rPr>
                <w:rFonts w:asciiTheme="minorHAnsi" w:eastAsiaTheme="minorEastAsia" w:hAnsiTheme="minorHAnsi" w:cstheme="minorBidi"/>
                <w:noProof/>
                <w:sz w:val="22"/>
                <w:szCs w:val="22"/>
              </w:rPr>
              <w:tab/>
            </w:r>
            <w:r w:rsidRPr="001D4F0C">
              <w:rPr>
                <w:rStyle w:val="Hyperlink"/>
                <w:noProof/>
              </w:rPr>
              <w:t>Effects of Less Frequent Collection</w:t>
            </w:r>
            <w:r>
              <w:rPr>
                <w:noProof/>
                <w:webHidden/>
              </w:rPr>
              <w:tab/>
            </w:r>
            <w:r>
              <w:rPr>
                <w:noProof/>
                <w:webHidden/>
              </w:rPr>
              <w:fldChar w:fldCharType="begin"/>
            </w:r>
            <w:r>
              <w:rPr>
                <w:noProof/>
                <w:webHidden/>
              </w:rPr>
              <w:instrText xml:space="preserve"> PAGEREF _Toc118451097 \h </w:instrText>
            </w:r>
            <w:r>
              <w:rPr>
                <w:noProof/>
                <w:webHidden/>
              </w:rPr>
              <w:fldChar w:fldCharType="separate"/>
            </w:r>
            <w:r>
              <w:rPr>
                <w:noProof/>
                <w:webHidden/>
              </w:rPr>
              <w:t>6</w:t>
            </w:r>
            <w:r>
              <w:rPr>
                <w:noProof/>
                <w:webHidden/>
              </w:rPr>
              <w:fldChar w:fldCharType="end"/>
            </w:r>
          </w:hyperlink>
        </w:p>
        <w:p w:rsidR="00DA2156" w14:paraId="5BF35A96" w14:textId="2BD1ACF5">
          <w:pPr>
            <w:pStyle w:val="TOC2"/>
            <w:tabs>
              <w:tab w:val="right" w:leader="dot" w:pos="9350"/>
            </w:tabs>
            <w:rPr>
              <w:rFonts w:asciiTheme="minorHAnsi" w:eastAsiaTheme="minorEastAsia" w:hAnsiTheme="minorHAnsi" w:cstheme="minorBidi"/>
              <w:noProof/>
              <w:sz w:val="22"/>
              <w:szCs w:val="22"/>
            </w:rPr>
          </w:pPr>
          <w:hyperlink w:anchor="_Toc118451098" w:history="1">
            <w:r w:rsidRPr="001D4F0C">
              <w:rPr>
                <w:rStyle w:val="Hyperlink"/>
                <w:noProof/>
              </w:rPr>
              <w:t>3(e)</w:t>
            </w:r>
            <w:r>
              <w:rPr>
                <w:rFonts w:asciiTheme="minorHAnsi" w:eastAsiaTheme="minorEastAsia" w:hAnsiTheme="minorHAnsi" w:cstheme="minorBidi"/>
                <w:noProof/>
                <w:sz w:val="22"/>
                <w:szCs w:val="22"/>
              </w:rPr>
              <w:tab/>
            </w:r>
            <w:r w:rsidRPr="001D4F0C">
              <w:rPr>
                <w:rStyle w:val="Hyperlink"/>
                <w:noProof/>
              </w:rPr>
              <w:t>General Guidelines</w:t>
            </w:r>
            <w:r>
              <w:rPr>
                <w:noProof/>
                <w:webHidden/>
              </w:rPr>
              <w:tab/>
            </w:r>
            <w:r>
              <w:rPr>
                <w:noProof/>
                <w:webHidden/>
              </w:rPr>
              <w:fldChar w:fldCharType="begin"/>
            </w:r>
            <w:r>
              <w:rPr>
                <w:noProof/>
                <w:webHidden/>
              </w:rPr>
              <w:instrText xml:space="preserve"> PAGEREF _Toc118451098 \h </w:instrText>
            </w:r>
            <w:r>
              <w:rPr>
                <w:noProof/>
                <w:webHidden/>
              </w:rPr>
              <w:fldChar w:fldCharType="separate"/>
            </w:r>
            <w:r>
              <w:rPr>
                <w:noProof/>
                <w:webHidden/>
              </w:rPr>
              <w:t>7</w:t>
            </w:r>
            <w:r>
              <w:rPr>
                <w:noProof/>
                <w:webHidden/>
              </w:rPr>
              <w:fldChar w:fldCharType="end"/>
            </w:r>
          </w:hyperlink>
        </w:p>
        <w:p w:rsidR="00DA2156" w14:paraId="21E71D09" w14:textId="5EEB4EFC">
          <w:pPr>
            <w:pStyle w:val="TOC2"/>
            <w:tabs>
              <w:tab w:val="right" w:leader="dot" w:pos="9350"/>
            </w:tabs>
            <w:rPr>
              <w:rFonts w:asciiTheme="minorHAnsi" w:eastAsiaTheme="minorEastAsia" w:hAnsiTheme="minorHAnsi" w:cstheme="minorBidi"/>
              <w:noProof/>
              <w:sz w:val="22"/>
              <w:szCs w:val="22"/>
            </w:rPr>
          </w:pPr>
          <w:hyperlink w:anchor="_Toc118451099" w:history="1">
            <w:r w:rsidRPr="001D4F0C">
              <w:rPr>
                <w:rStyle w:val="Hyperlink"/>
                <w:noProof/>
              </w:rPr>
              <w:t>3(f)</w:t>
            </w:r>
            <w:r>
              <w:rPr>
                <w:rFonts w:asciiTheme="minorHAnsi" w:eastAsiaTheme="minorEastAsia" w:hAnsiTheme="minorHAnsi" w:cstheme="minorBidi"/>
                <w:noProof/>
                <w:sz w:val="22"/>
                <w:szCs w:val="22"/>
              </w:rPr>
              <w:tab/>
            </w:r>
            <w:r w:rsidRPr="001D4F0C">
              <w:rPr>
                <w:rStyle w:val="Hyperlink"/>
                <w:noProof/>
              </w:rPr>
              <w:t>Confidentiality And Sensitive Questions</w:t>
            </w:r>
            <w:r>
              <w:rPr>
                <w:noProof/>
                <w:webHidden/>
              </w:rPr>
              <w:tab/>
            </w:r>
            <w:r>
              <w:rPr>
                <w:noProof/>
                <w:webHidden/>
              </w:rPr>
              <w:fldChar w:fldCharType="begin"/>
            </w:r>
            <w:r>
              <w:rPr>
                <w:noProof/>
                <w:webHidden/>
              </w:rPr>
              <w:instrText xml:space="preserve"> PAGEREF _Toc118451099 \h </w:instrText>
            </w:r>
            <w:r>
              <w:rPr>
                <w:noProof/>
                <w:webHidden/>
              </w:rPr>
              <w:fldChar w:fldCharType="separate"/>
            </w:r>
            <w:r>
              <w:rPr>
                <w:noProof/>
                <w:webHidden/>
              </w:rPr>
              <w:t>7</w:t>
            </w:r>
            <w:r>
              <w:rPr>
                <w:noProof/>
                <w:webHidden/>
              </w:rPr>
              <w:fldChar w:fldCharType="end"/>
            </w:r>
          </w:hyperlink>
        </w:p>
        <w:p w:rsidR="00DA2156" w14:paraId="3A51B55E" w14:textId="7328575B">
          <w:pPr>
            <w:pStyle w:val="TOC1"/>
            <w:tabs>
              <w:tab w:val="right" w:leader="dot" w:pos="9350"/>
            </w:tabs>
            <w:rPr>
              <w:rFonts w:asciiTheme="minorHAnsi" w:eastAsiaTheme="minorEastAsia" w:hAnsiTheme="minorHAnsi" w:cstheme="minorBidi"/>
              <w:b w:val="0"/>
              <w:noProof/>
              <w:sz w:val="22"/>
              <w:szCs w:val="22"/>
            </w:rPr>
          </w:pPr>
          <w:hyperlink w:anchor="_Toc118451100" w:history="1">
            <w:r w:rsidRPr="001D4F0C">
              <w:rPr>
                <w:rStyle w:val="Hyperlink"/>
                <w:noProof/>
              </w:rPr>
              <w:t>4.</w:t>
            </w:r>
            <w:r>
              <w:rPr>
                <w:rFonts w:asciiTheme="minorHAnsi" w:eastAsiaTheme="minorEastAsia" w:hAnsiTheme="minorHAnsi" w:cstheme="minorBidi"/>
                <w:b w:val="0"/>
                <w:noProof/>
                <w:sz w:val="22"/>
                <w:szCs w:val="22"/>
              </w:rPr>
              <w:tab/>
            </w:r>
            <w:r w:rsidRPr="001D4F0C">
              <w:rPr>
                <w:rStyle w:val="Hyperlink"/>
                <w:noProof/>
              </w:rPr>
              <w:t>Respondents and Information Collected</w:t>
            </w:r>
            <w:r>
              <w:rPr>
                <w:noProof/>
                <w:webHidden/>
              </w:rPr>
              <w:tab/>
            </w:r>
            <w:r>
              <w:rPr>
                <w:noProof/>
                <w:webHidden/>
              </w:rPr>
              <w:fldChar w:fldCharType="begin"/>
            </w:r>
            <w:r>
              <w:rPr>
                <w:noProof/>
                <w:webHidden/>
              </w:rPr>
              <w:instrText xml:space="preserve"> PAGEREF _Toc118451100 \h </w:instrText>
            </w:r>
            <w:r>
              <w:rPr>
                <w:noProof/>
                <w:webHidden/>
              </w:rPr>
              <w:fldChar w:fldCharType="separate"/>
            </w:r>
            <w:r>
              <w:rPr>
                <w:noProof/>
                <w:webHidden/>
              </w:rPr>
              <w:t>8</w:t>
            </w:r>
            <w:r>
              <w:rPr>
                <w:noProof/>
                <w:webHidden/>
              </w:rPr>
              <w:fldChar w:fldCharType="end"/>
            </w:r>
          </w:hyperlink>
        </w:p>
        <w:p w:rsidR="00DA2156" w14:paraId="6BA79B7B" w14:textId="01DDB91C">
          <w:pPr>
            <w:pStyle w:val="TOC2"/>
            <w:tabs>
              <w:tab w:val="right" w:leader="dot" w:pos="9350"/>
            </w:tabs>
            <w:rPr>
              <w:rFonts w:asciiTheme="minorHAnsi" w:eastAsiaTheme="minorEastAsia" w:hAnsiTheme="minorHAnsi" w:cstheme="minorBidi"/>
              <w:noProof/>
              <w:sz w:val="22"/>
              <w:szCs w:val="22"/>
            </w:rPr>
          </w:pPr>
          <w:hyperlink w:anchor="_Toc118451101" w:history="1">
            <w:r w:rsidRPr="001D4F0C">
              <w:rPr>
                <w:rStyle w:val="Hyperlink"/>
                <w:noProof/>
              </w:rPr>
              <w:t>4(a)</w:t>
            </w:r>
            <w:r>
              <w:rPr>
                <w:rFonts w:asciiTheme="minorHAnsi" w:eastAsiaTheme="minorEastAsia" w:hAnsiTheme="minorHAnsi" w:cstheme="minorBidi"/>
                <w:noProof/>
                <w:sz w:val="22"/>
                <w:szCs w:val="22"/>
              </w:rPr>
              <w:tab/>
            </w:r>
            <w:r w:rsidRPr="001D4F0C">
              <w:rPr>
                <w:rStyle w:val="Hyperlink"/>
                <w:noProof/>
              </w:rPr>
              <w:t>Respondents/</w:t>
            </w:r>
            <w:r w:rsidRPr="001D4F0C">
              <w:rPr>
                <w:rStyle w:val="Hyperlink"/>
                <w:caps/>
                <w:noProof/>
              </w:rPr>
              <w:t>Naics</w:t>
            </w:r>
            <w:r w:rsidRPr="001D4F0C">
              <w:rPr>
                <w:rStyle w:val="Hyperlink"/>
                <w:noProof/>
              </w:rPr>
              <w:t xml:space="preserve"> Codes</w:t>
            </w:r>
            <w:r>
              <w:rPr>
                <w:noProof/>
                <w:webHidden/>
              </w:rPr>
              <w:tab/>
            </w:r>
            <w:r>
              <w:rPr>
                <w:noProof/>
                <w:webHidden/>
              </w:rPr>
              <w:fldChar w:fldCharType="begin"/>
            </w:r>
            <w:r>
              <w:rPr>
                <w:noProof/>
                <w:webHidden/>
              </w:rPr>
              <w:instrText xml:space="preserve"> PAGEREF _Toc118451101 \h </w:instrText>
            </w:r>
            <w:r>
              <w:rPr>
                <w:noProof/>
                <w:webHidden/>
              </w:rPr>
              <w:fldChar w:fldCharType="separate"/>
            </w:r>
            <w:r>
              <w:rPr>
                <w:noProof/>
                <w:webHidden/>
              </w:rPr>
              <w:t>8</w:t>
            </w:r>
            <w:r>
              <w:rPr>
                <w:noProof/>
                <w:webHidden/>
              </w:rPr>
              <w:fldChar w:fldCharType="end"/>
            </w:r>
          </w:hyperlink>
        </w:p>
        <w:p w:rsidR="00DA2156" w14:paraId="1804B0B4" w14:textId="23A15095">
          <w:pPr>
            <w:pStyle w:val="TOC2"/>
            <w:tabs>
              <w:tab w:val="right" w:leader="dot" w:pos="9350"/>
            </w:tabs>
            <w:rPr>
              <w:rFonts w:asciiTheme="minorHAnsi" w:eastAsiaTheme="minorEastAsia" w:hAnsiTheme="minorHAnsi" w:cstheme="minorBidi"/>
              <w:noProof/>
              <w:sz w:val="22"/>
              <w:szCs w:val="22"/>
            </w:rPr>
          </w:pPr>
          <w:hyperlink w:anchor="_Toc118451102" w:history="1">
            <w:r w:rsidRPr="001D4F0C">
              <w:rPr>
                <w:rStyle w:val="Hyperlink"/>
                <w:noProof/>
              </w:rPr>
              <w:t>4(b)</w:t>
            </w:r>
            <w:r>
              <w:rPr>
                <w:rFonts w:asciiTheme="minorHAnsi" w:eastAsiaTheme="minorEastAsia" w:hAnsiTheme="minorHAnsi" w:cstheme="minorBidi"/>
                <w:noProof/>
                <w:sz w:val="22"/>
                <w:szCs w:val="22"/>
              </w:rPr>
              <w:tab/>
            </w:r>
            <w:r w:rsidRPr="001D4F0C">
              <w:rPr>
                <w:rStyle w:val="Hyperlink"/>
                <w:noProof/>
              </w:rPr>
              <w:t>Information Requested</w:t>
            </w:r>
            <w:r>
              <w:rPr>
                <w:noProof/>
                <w:webHidden/>
              </w:rPr>
              <w:tab/>
            </w:r>
            <w:r>
              <w:rPr>
                <w:noProof/>
                <w:webHidden/>
              </w:rPr>
              <w:fldChar w:fldCharType="begin"/>
            </w:r>
            <w:r>
              <w:rPr>
                <w:noProof/>
                <w:webHidden/>
              </w:rPr>
              <w:instrText xml:space="preserve"> PAGEREF _Toc118451102 \h </w:instrText>
            </w:r>
            <w:r>
              <w:rPr>
                <w:noProof/>
                <w:webHidden/>
              </w:rPr>
              <w:fldChar w:fldCharType="separate"/>
            </w:r>
            <w:r>
              <w:rPr>
                <w:noProof/>
                <w:webHidden/>
              </w:rPr>
              <w:t>9</w:t>
            </w:r>
            <w:r>
              <w:rPr>
                <w:noProof/>
                <w:webHidden/>
              </w:rPr>
              <w:fldChar w:fldCharType="end"/>
            </w:r>
          </w:hyperlink>
        </w:p>
        <w:p w:rsidR="00DA2156" w14:paraId="06FB95FA" w14:textId="6E59E78D">
          <w:pPr>
            <w:pStyle w:val="TOC2"/>
            <w:tabs>
              <w:tab w:val="right" w:leader="dot" w:pos="9350"/>
            </w:tabs>
            <w:rPr>
              <w:rFonts w:asciiTheme="minorHAnsi" w:eastAsiaTheme="minorEastAsia" w:hAnsiTheme="minorHAnsi" w:cstheme="minorBidi"/>
              <w:noProof/>
              <w:sz w:val="22"/>
              <w:szCs w:val="22"/>
            </w:rPr>
          </w:pPr>
          <w:hyperlink w:anchor="_Toc118451103" w:history="1">
            <w:r w:rsidRPr="001D4F0C">
              <w:rPr>
                <w:rStyle w:val="Hyperlink"/>
                <w:noProof/>
              </w:rPr>
              <w:t>4(c)</w:t>
            </w:r>
            <w:r>
              <w:rPr>
                <w:rFonts w:asciiTheme="minorHAnsi" w:eastAsiaTheme="minorEastAsia" w:hAnsiTheme="minorHAnsi" w:cstheme="minorBidi"/>
                <w:noProof/>
                <w:sz w:val="22"/>
                <w:szCs w:val="22"/>
              </w:rPr>
              <w:tab/>
            </w:r>
            <w:r w:rsidRPr="001D4F0C">
              <w:rPr>
                <w:rStyle w:val="Hyperlink"/>
                <w:noProof/>
              </w:rPr>
              <w:t>Respondent Activities</w:t>
            </w:r>
            <w:r>
              <w:rPr>
                <w:noProof/>
                <w:webHidden/>
              </w:rPr>
              <w:tab/>
            </w:r>
            <w:r>
              <w:rPr>
                <w:noProof/>
                <w:webHidden/>
              </w:rPr>
              <w:fldChar w:fldCharType="begin"/>
            </w:r>
            <w:r>
              <w:rPr>
                <w:noProof/>
                <w:webHidden/>
              </w:rPr>
              <w:instrText xml:space="preserve"> PAGEREF _Toc118451103 \h </w:instrText>
            </w:r>
            <w:r>
              <w:rPr>
                <w:noProof/>
                <w:webHidden/>
              </w:rPr>
              <w:fldChar w:fldCharType="separate"/>
            </w:r>
            <w:r>
              <w:rPr>
                <w:noProof/>
                <w:webHidden/>
              </w:rPr>
              <w:t>9</w:t>
            </w:r>
            <w:r>
              <w:rPr>
                <w:noProof/>
                <w:webHidden/>
              </w:rPr>
              <w:fldChar w:fldCharType="end"/>
            </w:r>
          </w:hyperlink>
        </w:p>
        <w:p w:rsidR="00DA2156" w14:paraId="7CB54E37" w14:textId="63E3CAD8">
          <w:pPr>
            <w:pStyle w:val="TOC1"/>
            <w:tabs>
              <w:tab w:val="right" w:leader="dot" w:pos="9350"/>
            </w:tabs>
            <w:rPr>
              <w:rFonts w:asciiTheme="minorHAnsi" w:eastAsiaTheme="minorEastAsia" w:hAnsiTheme="minorHAnsi" w:cstheme="minorBidi"/>
              <w:b w:val="0"/>
              <w:noProof/>
              <w:sz w:val="22"/>
              <w:szCs w:val="22"/>
            </w:rPr>
          </w:pPr>
          <w:hyperlink w:anchor="_Toc118451104" w:history="1">
            <w:r w:rsidRPr="001D4F0C">
              <w:rPr>
                <w:rStyle w:val="Hyperlink"/>
                <w:noProof/>
              </w:rPr>
              <w:t>5.</w:t>
            </w:r>
            <w:r>
              <w:rPr>
                <w:rFonts w:asciiTheme="minorHAnsi" w:eastAsiaTheme="minorEastAsia" w:hAnsiTheme="minorHAnsi" w:cstheme="minorBidi"/>
                <w:b w:val="0"/>
                <w:noProof/>
                <w:sz w:val="22"/>
                <w:szCs w:val="22"/>
              </w:rPr>
              <w:tab/>
            </w:r>
            <w:r w:rsidRPr="001D4F0C">
              <w:rPr>
                <w:rStyle w:val="Hyperlink"/>
                <w:noProof/>
              </w:rPr>
              <w:t>Information Collected – Agency Activities, Collection Methods, and Information Management</w:t>
            </w:r>
            <w:r>
              <w:rPr>
                <w:noProof/>
                <w:webHidden/>
              </w:rPr>
              <w:tab/>
            </w:r>
            <w:r>
              <w:rPr>
                <w:noProof/>
                <w:webHidden/>
              </w:rPr>
              <w:fldChar w:fldCharType="begin"/>
            </w:r>
            <w:r>
              <w:rPr>
                <w:noProof/>
                <w:webHidden/>
              </w:rPr>
              <w:instrText xml:space="preserve"> PAGEREF _Toc118451104 \h </w:instrText>
            </w:r>
            <w:r>
              <w:rPr>
                <w:noProof/>
                <w:webHidden/>
              </w:rPr>
              <w:fldChar w:fldCharType="separate"/>
            </w:r>
            <w:r>
              <w:rPr>
                <w:noProof/>
                <w:webHidden/>
              </w:rPr>
              <w:t>11</w:t>
            </w:r>
            <w:r>
              <w:rPr>
                <w:noProof/>
                <w:webHidden/>
              </w:rPr>
              <w:fldChar w:fldCharType="end"/>
            </w:r>
          </w:hyperlink>
        </w:p>
        <w:p w:rsidR="00DA2156" w14:paraId="52868F3D" w14:textId="031EDFDD">
          <w:pPr>
            <w:pStyle w:val="TOC2"/>
            <w:tabs>
              <w:tab w:val="right" w:leader="dot" w:pos="9350"/>
            </w:tabs>
            <w:rPr>
              <w:rFonts w:asciiTheme="minorHAnsi" w:eastAsiaTheme="minorEastAsia" w:hAnsiTheme="minorHAnsi" w:cstheme="minorBidi"/>
              <w:noProof/>
              <w:sz w:val="22"/>
              <w:szCs w:val="22"/>
            </w:rPr>
          </w:pPr>
          <w:hyperlink w:anchor="_Toc118451105" w:history="1">
            <w:r w:rsidRPr="001D4F0C">
              <w:rPr>
                <w:rStyle w:val="Hyperlink"/>
                <w:noProof/>
              </w:rPr>
              <w:t>5(a)</w:t>
            </w:r>
            <w:r>
              <w:rPr>
                <w:rFonts w:asciiTheme="minorHAnsi" w:eastAsiaTheme="minorEastAsia" w:hAnsiTheme="minorHAnsi" w:cstheme="minorBidi"/>
                <w:noProof/>
                <w:sz w:val="22"/>
                <w:szCs w:val="22"/>
              </w:rPr>
              <w:tab/>
            </w:r>
            <w:r w:rsidRPr="001D4F0C">
              <w:rPr>
                <w:rStyle w:val="Hyperlink"/>
                <w:noProof/>
              </w:rPr>
              <w:t>Agency Activities</w:t>
            </w:r>
            <w:r>
              <w:rPr>
                <w:noProof/>
                <w:webHidden/>
              </w:rPr>
              <w:tab/>
            </w:r>
            <w:r>
              <w:rPr>
                <w:noProof/>
                <w:webHidden/>
              </w:rPr>
              <w:fldChar w:fldCharType="begin"/>
            </w:r>
            <w:r>
              <w:rPr>
                <w:noProof/>
                <w:webHidden/>
              </w:rPr>
              <w:instrText xml:space="preserve"> PAGEREF _Toc118451105 \h </w:instrText>
            </w:r>
            <w:r>
              <w:rPr>
                <w:noProof/>
                <w:webHidden/>
              </w:rPr>
              <w:fldChar w:fldCharType="separate"/>
            </w:r>
            <w:r>
              <w:rPr>
                <w:noProof/>
                <w:webHidden/>
              </w:rPr>
              <w:t>11</w:t>
            </w:r>
            <w:r>
              <w:rPr>
                <w:noProof/>
                <w:webHidden/>
              </w:rPr>
              <w:fldChar w:fldCharType="end"/>
            </w:r>
          </w:hyperlink>
        </w:p>
        <w:p w:rsidR="00DA2156" w14:paraId="0F31E95C" w14:textId="668430B6">
          <w:pPr>
            <w:pStyle w:val="TOC2"/>
            <w:tabs>
              <w:tab w:val="right" w:leader="dot" w:pos="9350"/>
            </w:tabs>
            <w:rPr>
              <w:rFonts w:asciiTheme="minorHAnsi" w:eastAsiaTheme="minorEastAsia" w:hAnsiTheme="minorHAnsi" w:cstheme="minorBidi"/>
              <w:noProof/>
              <w:sz w:val="22"/>
              <w:szCs w:val="22"/>
            </w:rPr>
          </w:pPr>
          <w:hyperlink w:anchor="_Toc118451106" w:history="1">
            <w:r w:rsidRPr="001D4F0C">
              <w:rPr>
                <w:rStyle w:val="Hyperlink"/>
                <w:noProof/>
              </w:rPr>
              <w:t>5(b)</w:t>
            </w:r>
            <w:r>
              <w:rPr>
                <w:rFonts w:asciiTheme="minorHAnsi" w:eastAsiaTheme="minorEastAsia" w:hAnsiTheme="minorHAnsi" w:cstheme="minorBidi"/>
                <w:noProof/>
                <w:sz w:val="22"/>
                <w:szCs w:val="22"/>
              </w:rPr>
              <w:tab/>
            </w:r>
            <w:r w:rsidRPr="001D4F0C">
              <w:rPr>
                <w:rStyle w:val="Hyperlink"/>
                <w:noProof/>
              </w:rPr>
              <w:t>Collection Methods and Management</w:t>
            </w:r>
            <w:r>
              <w:rPr>
                <w:noProof/>
                <w:webHidden/>
              </w:rPr>
              <w:tab/>
            </w:r>
            <w:r>
              <w:rPr>
                <w:noProof/>
                <w:webHidden/>
              </w:rPr>
              <w:fldChar w:fldCharType="begin"/>
            </w:r>
            <w:r>
              <w:rPr>
                <w:noProof/>
                <w:webHidden/>
              </w:rPr>
              <w:instrText xml:space="preserve"> PAGEREF _Toc118451106 \h </w:instrText>
            </w:r>
            <w:r>
              <w:rPr>
                <w:noProof/>
                <w:webHidden/>
              </w:rPr>
              <w:fldChar w:fldCharType="separate"/>
            </w:r>
            <w:r>
              <w:rPr>
                <w:noProof/>
                <w:webHidden/>
              </w:rPr>
              <w:t>12</w:t>
            </w:r>
            <w:r>
              <w:rPr>
                <w:noProof/>
                <w:webHidden/>
              </w:rPr>
              <w:fldChar w:fldCharType="end"/>
            </w:r>
          </w:hyperlink>
        </w:p>
        <w:p w:rsidR="00DA2156" w14:paraId="08D22BDE" w14:textId="54F9E042">
          <w:pPr>
            <w:pStyle w:val="TOC2"/>
            <w:tabs>
              <w:tab w:val="right" w:leader="dot" w:pos="9350"/>
            </w:tabs>
            <w:rPr>
              <w:rFonts w:asciiTheme="minorHAnsi" w:eastAsiaTheme="minorEastAsia" w:hAnsiTheme="minorHAnsi" w:cstheme="minorBidi"/>
              <w:noProof/>
              <w:sz w:val="22"/>
              <w:szCs w:val="22"/>
            </w:rPr>
          </w:pPr>
          <w:hyperlink w:anchor="_Toc118451107" w:history="1">
            <w:r w:rsidRPr="001D4F0C">
              <w:rPr>
                <w:rStyle w:val="Hyperlink"/>
                <w:noProof/>
              </w:rPr>
              <w:t>5(c)</w:t>
            </w:r>
            <w:r>
              <w:rPr>
                <w:rFonts w:asciiTheme="minorHAnsi" w:eastAsiaTheme="minorEastAsia" w:hAnsiTheme="minorHAnsi" w:cstheme="minorBidi"/>
                <w:noProof/>
                <w:sz w:val="22"/>
                <w:szCs w:val="22"/>
              </w:rPr>
              <w:tab/>
            </w:r>
            <w:r w:rsidRPr="001D4F0C">
              <w:rPr>
                <w:rStyle w:val="Hyperlink"/>
                <w:noProof/>
              </w:rPr>
              <w:t>Small Entity Flexibility</w:t>
            </w:r>
            <w:r>
              <w:rPr>
                <w:noProof/>
                <w:webHidden/>
              </w:rPr>
              <w:tab/>
            </w:r>
            <w:r>
              <w:rPr>
                <w:noProof/>
                <w:webHidden/>
              </w:rPr>
              <w:fldChar w:fldCharType="begin"/>
            </w:r>
            <w:r>
              <w:rPr>
                <w:noProof/>
                <w:webHidden/>
              </w:rPr>
              <w:instrText xml:space="preserve"> PAGEREF _Toc118451107 \h </w:instrText>
            </w:r>
            <w:r>
              <w:rPr>
                <w:noProof/>
                <w:webHidden/>
              </w:rPr>
              <w:fldChar w:fldCharType="separate"/>
            </w:r>
            <w:r>
              <w:rPr>
                <w:noProof/>
                <w:webHidden/>
              </w:rPr>
              <w:t>12</w:t>
            </w:r>
            <w:r>
              <w:rPr>
                <w:noProof/>
                <w:webHidden/>
              </w:rPr>
              <w:fldChar w:fldCharType="end"/>
            </w:r>
          </w:hyperlink>
        </w:p>
        <w:p w:rsidR="00DA2156" w14:paraId="01E99508" w14:textId="264F9E1D">
          <w:pPr>
            <w:pStyle w:val="TOC2"/>
            <w:tabs>
              <w:tab w:val="right" w:leader="dot" w:pos="9350"/>
            </w:tabs>
            <w:rPr>
              <w:rFonts w:asciiTheme="minorHAnsi" w:eastAsiaTheme="minorEastAsia" w:hAnsiTheme="minorHAnsi" w:cstheme="minorBidi"/>
              <w:noProof/>
              <w:sz w:val="22"/>
              <w:szCs w:val="22"/>
            </w:rPr>
          </w:pPr>
          <w:hyperlink w:anchor="_Toc118451108" w:history="1">
            <w:r w:rsidRPr="001D4F0C">
              <w:rPr>
                <w:rStyle w:val="Hyperlink"/>
                <w:noProof/>
              </w:rPr>
              <w:t>5(d)</w:t>
            </w:r>
            <w:r>
              <w:rPr>
                <w:rFonts w:asciiTheme="minorHAnsi" w:eastAsiaTheme="minorEastAsia" w:hAnsiTheme="minorHAnsi" w:cstheme="minorBidi"/>
                <w:noProof/>
                <w:sz w:val="22"/>
                <w:szCs w:val="22"/>
              </w:rPr>
              <w:tab/>
            </w:r>
            <w:r w:rsidRPr="001D4F0C">
              <w:rPr>
                <w:rStyle w:val="Hyperlink"/>
                <w:noProof/>
              </w:rPr>
              <w:t>Collection Schedule</w:t>
            </w:r>
            <w:r>
              <w:rPr>
                <w:noProof/>
                <w:webHidden/>
              </w:rPr>
              <w:tab/>
            </w:r>
            <w:r>
              <w:rPr>
                <w:noProof/>
                <w:webHidden/>
              </w:rPr>
              <w:fldChar w:fldCharType="begin"/>
            </w:r>
            <w:r>
              <w:rPr>
                <w:noProof/>
                <w:webHidden/>
              </w:rPr>
              <w:instrText xml:space="preserve"> PAGEREF _Toc118451108 \h </w:instrText>
            </w:r>
            <w:r>
              <w:rPr>
                <w:noProof/>
                <w:webHidden/>
              </w:rPr>
              <w:fldChar w:fldCharType="separate"/>
            </w:r>
            <w:r>
              <w:rPr>
                <w:noProof/>
                <w:webHidden/>
              </w:rPr>
              <w:t>13</w:t>
            </w:r>
            <w:r>
              <w:rPr>
                <w:noProof/>
                <w:webHidden/>
              </w:rPr>
              <w:fldChar w:fldCharType="end"/>
            </w:r>
          </w:hyperlink>
        </w:p>
        <w:p w:rsidR="00DA2156" w14:paraId="7906FBEA" w14:textId="3BB02F65">
          <w:pPr>
            <w:pStyle w:val="TOC1"/>
            <w:tabs>
              <w:tab w:val="right" w:leader="dot" w:pos="9350"/>
            </w:tabs>
            <w:rPr>
              <w:rFonts w:asciiTheme="minorHAnsi" w:eastAsiaTheme="minorEastAsia" w:hAnsiTheme="minorHAnsi" w:cstheme="minorBidi"/>
              <w:b w:val="0"/>
              <w:noProof/>
              <w:sz w:val="22"/>
              <w:szCs w:val="22"/>
            </w:rPr>
          </w:pPr>
          <w:hyperlink w:anchor="_Toc118451109" w:history="1">
            <w:r w:rsidRPr="001D4F0C">
              <w:rPr>
                <w:rStyle w:val="Hyperlink"/>
                <w:noProof/>
              </w:rPr>
              <w:t>6.</w:t>
            </w:r>
            <w:r>
              <w:rPr>
                <w:rFonts w:asciiTheme="minorHAnsi" w:eastAsiaTheme="minorEastAsia" w:hAnsiTheme="minorHAnsi" w:cstheme="minorBidi"/>
                <w:b w:val="0"/>
                <w:noProof/>
                <w:sz w:val="22"/>
                <w:szCs w:val="22"/>
              </w:rPr>
              <w:tab/>
            </w:r>
            <w:r w:rsidRPr="001D4F0C">
              <w:rPr>
                <w:rStyle w:val="Hyperlink"/>
                <w:noProof/>
              </w:rPr>
              <w:t>Burden, Cost, and Benefit of the Collection</w:t>
            </w:r>
            <w:r>
              <w:rPr>
                <w:noProof/>
                <w:webHidden/>
              </w:rPr>
              <w:tab/>
            </w:r>
            <w:r>
              <w:rPr>
                <w:noProof/>
                <w:webHidden/>
              </w:rPr>
              <w:fldChar w:fldCharType="begin"/>
            </w:r>
            <w:r>
              <w:rPr>
                <w:noProof/>
                <w:webHidden/>
              </w:rPr>
              <w:instrText xml:space="preserve"> PAGEREF _Toc118451109 \h </w:instrText>
            </w:r>
            <w:r>
              <w:rPr>
                <w:noProof/>
                <w:webHidden/>
              </w:rPr>
              <w:fldChar w:fldCharType="separate"/>
            </w:r>
            <w:r>
              <w:rPr>
                <w:noProof/>
                <w:webHidden/>
              </w:rPr>
              <w:t>14</w:t>
            </w:r>
            <w:r>
              <w:rPr>
                <w:noProof/>
                <w:webHidden/>
              </w:rPr>
              <w:fldChar w:fldCharType="end"/>
            </w:r>
          </w:hyperlink>
        </w:p>
        <w:p w:rsidR="00DA2156" w14:paraId="1BFB4011" w14:textId="19015104">
          <w:pPr>
            <w:pStyle w:val="TOC2"/>
            <w:tabs>
              <w:tab w:val="right" w:leader="dot" w:pos="9350"/>
            </w:tabs>
            <w:rPr>
              <w:rFonts w:asciiTheme="minorHAnsi" w:eastAsiaTheme="minorEastAsia" w:hAnsiTheme="minorHAnsi" w:cstheme="minorBidi"/>
              <w:noProof/>
              <w:sz w:val="22"/>
              <w:szCs w:val="22"/>
            </w:rPr>
          </w:pPr>
          <w:hyperlink w:anchor="_Toc118451110" w:history="1">
            <w:r w:rsidRPr="001D4F0C">
              <w:rPr>
                <w:rStyle w:val="Hyperlink"/>
                <w:noProof/>
              </w:rPr>
              <w:t>6(a)</w:t>
            </w:r>
            <w:r>
              <w:rPr>
                <w:rFonts w:asciiTheme="minorHAnsi" w:eastAsiaTheme="minorEastAsia" w:hAnsiTheme="minorHAnsi" w:cstheme="minorBidi"/>
                <w:noProof/>
                <w:sz w:val="22"/>
                <w:szCs w:val="22"/>
              </w:rPr>
              <w:tab/>
            </w:r>
            <w:r w:rsidRPr="001D4F0C">
              <w:rPr>
                <w:rStyle w:val="Hyperlink"/>
                <w:noProof/>
              </w:rPr>
              <w:t>Estimating Respondent Burden &amp; Universe</w:t>
            </w:r>
            <w:r>
              <w:rPr>
                <w:noProof/>
                <w:webHidden/>
              </w:rPr>
              <w:tab/>
            </w:r>
            <w:r>
              <w:rPr>
                <w:noProof/>
                <w:webHidden/>
              </w:rPr>
              <w:fldChar w:fldCharType="begin"/>
            </w:r>
            <w:r>
              <w:rPr>
                <w:noProof/>
                <w:webHidden/>
              </w:rPr>
              <w:instrText xml:space="preserve"> PAGEREF _Toc118451110 \h </w:instrText>
            </w:r>
            <w:r>
              <w:rPr>
                <w:noProof/>
                <w:webHidden/>
              </w:rPr>
              <w:fldChar w:fldCharType="separate"/>
            </w:r>
            <w:r>
              <w:rPr>
                <w:noProof/>
                <w:webHidden/>
              </w:rPr>
              <w:t>14</w:t>
            </w:r>
            <w:r>
              <w:rPr>
                <w:noProof/>
                <w:webHidden/>
              </w:rPr>
              <w:fldChar w:fldCharType="end"/>
            </w:r>
          </w:hyperlink>
        </w:p>
        <w:p w:rsidR="00DA2156" w14:paraId="10D5808E" w14:textId="75E885AD">
          <w:pPr>
            <w:pStyle w:val="TOC2"/>
            <w:tabs>
              <w:tab w:val="right" w:leader="dot" w:pos="9350"/>
            </w:tabs>
            <w:rPr>
              <w:rFonts w:asciiTheme="minorHAnsi" w:eastAsiaTheme="minorEastAsia" w:hAnsiTheme="minorHAnsi" w:cstheme="minorBidi"/>
              <w:noProof/>
              <w:sz w:val="22"/>
              <w:szCs w:val="22"/>
            </w:rPr>
          </w:pPr>
          <w:hyperlink w:anchor="_Toc118451111" w:history="1">
            <w:r w:rsidRPr="001D4F0C">
              <w:rPr>
                <w:rStyle w:val="Hyperlink"/>
                <w:noProof/>
              </w:rPr>
              <w:t>6(b)</w:t>
            </w:r>
            <w:r>
              <w:rPr>
                <w:rFonts w:asciiTheme="minorHAnsi" w:eastAsiaTheme="minorEastAsia" w:hAnsiTheme="minorHAnsi" w:cstheme="minorBidi"/>
                <w:noProof/>
                <w:sz w:val="22"/>
                <w:szCs w:val="22"/>
              </w:rPr>
              <w:tab/>
            </w:r>
            <w:r w:rsidRPr="001D4F0C">
              <w:rPr>
                <w:rStyle w:val="Hyperlink"/>
                <w:noProof/>
              </w:rPr>
              <w:t>Estimating Respondent Costs</w:t>
            </w:r>
            <w:r>
              <w:rPr>
                <w:noProof/>
                <w:webHidden/>
              </w:rPr>
              <w:tab/>
            </w:r>
            <w:r>
              <w:rPr>
                <w:noProof/>
                <w:webHidden/>
              </w:rPr>
              <w:fldChar w:fldCharType="begin"/>
            </w:r>
            <w:r>
              <w:rPr>
                <w:noProof/>
                <w:webHidden/>
              </w:rPr>
              <w:instrText xml:space="preserve"> PAGEREF _Toc118451111 \h </w:instrText>
            </w:r>
            <w:r>
              <w:rPr>
                <w:noProof/>
                <w:webHidden/>
              </w:rPr>
              <w:fldChar w:fldCharType="separate"/>
            </w:r>
            <w:r>
              <w:rPr>
                <w:noProof/>
                <w:webHidden/>
              </w:rPr>
              <w:t>14</w:t>
            </w:r>
            <w:r>
              <w:rPr>
                <w:noProof/>
                <w:webHidden/>
              </w:rPr>
              <w:fldChar w:fldCharType="end"/>
            </w:r>
          </w:hyperlink>
        </w:p>
        <w:p w:rsidR="00DA2156" w14:paraId="69B179C9" w14:textId="37871174">
          <w:pPr>
            <w:pStyle w:val="TOC2"/>
            <w:tabs>
              <w:tab w:val="right" w:leader="dot" w:pos="9350"/>
            </w:tabs>
            <w:rPr>
              <w:rFonts w:asciiTheme="minorHAnsi" w:eastAsiaTheme="minorEastAsia" w:hAnsiTheme="minorHAnsi" w:cstheme="minorBidi"/>
              <w:noProof/>
              <w:sz w:val="22"/>
              <w:szCs w:val="22"/>
            </w:rPr>
          </w:pPr>
          <w:hyperlink w:anchor="_Toc118451112" w:history="1">
            <w:r w:rsidRPr="001D4F0C">
              <w:rPr>
                <w:rStyle w:val="Hyperlink"/>
                <w:noProof/>
              </w:rPr>
              <w:t>6(c)</w:t>
            </w:r>
            <w:r>
              <w:rPr>
                <w:rFonts w:asciiTheme="minorHAnsi" w:eastAsiaTheme="minorEastAsia" w:hAnsiTheme="minorHAnsi" w:cstheme="minorBidi"/>
                <w:noProof/>
                <w:sz w:val="22"/>
                <w:szCs w:val="22"/>
              </w:rPr>
              <w:tab/>
            </w:r>
            <w:r w:rsidRPr="001D4F0C">
              <w:rPr>
                <w:rStyle w:val="Hyperlink"/>
                <w:noProof/>
              </w:rPr>
              <w:t>Estimating Agency Burden &amp; Cost</w:t>
            </w:r>
            <w:r>
              <w:rPr>
                <w:noProof/>
                <w:webHidden/>
              </w:rPr>
              <w:tab/>
            </w:r>
            <w:r>
              <w:rPr>
                <w:noProof/>
                <w:webHidden/>
              </w:rPr>
              <w:fldChar w:fldCharType="begin"/>
            </w:r>
            <w:r>
              <w:rPr>
                <w:noProof/>
                <w:webHidden/>
              </w:rPr>
              <w:instrText xml:space="preserve"> PAGEREF _Toc118451112 \h </w:instrText>
            </w:r>
            <w:r>
              <w:rPr>
                <w:noProof/>
                <w:webHidden/>
              </w:rPr>
              <w:fldChar w:fldCharType="separate"/>
            </w:r>
            <w:r>
              <w:rPr>
                <w:noProof/>
                <w:webHidden/>
              </w:rPr>
              <w:t>18</w:t>
            </w:r>
            <w:r>
              <w:rPr>
                <w:noProof/>
                <w:webHidden/>
              </w:rPr>
              <w:fldChar w:fldCharType="end"/>
            </w:r>
          </w:hyperlink>
        </w:p>
        <w:p w:rsidR="00DA2156" w14:paraId="589A08AF" w14:textId="7160F8AA">
          <w:pPr>
            <w:pStyle w:val="TOC2"/>
            <w:tabs>
              <w:tab w:val="right" w:leader="dot" w:pos="9350"/>
            </w:tabs>
            <w:rPr>
              <w:rFonts w:asciiTheme="minorHAnsi" w:eastAsiaTheme="minorEastAsia" w:hAnsiTheme="minorHAnsi" w:cstheme="minorBidi"/>
              <w:noProof/>
              <w:sz w:val="22"/>
              <w:szCs w:val="22"/>
            </w:rPr>
          </w:pPr>
          <w:hyperlink w:anchor="_Toc118451113" w:history="1">
            <w:r w:rsidRPr="001D4F0C">
              <w:rPr>
                <w:rStyle w:val="Hyperlink"/>
                <w:noProof/>
              </w:rPr>
              <w:t>6(d)</w:t>
            </w:r>
            <w:r>
              <w:rPr>
                <w:rFonts w:asciiTheme="minorHAnsi" w:eastAsiaTheme="minorEastAsia" w:hAnsiTheme="minorHAnsi" w:cstheme="minorBidi"/>
                <w:noProof/>
                <w:sz w:val="22"/>
                <w:szCs w:val="22"/>
              </w:rPr>
              <w:tab/>
            </w:r>
            <w:r w:rsidRPr="001D4F0C">
              <w:rPr>
                <w:rStyle w:val="Hyperlink"/>
                <w:noProof/>
              </w:rPr>
              <w:t>Reasons for Change in Burden</w:t>
            </w:r>
            <w:r>
              <w:rPr>
                <w:noProof/>
                <w:webHidden/>
              </w:rPr>
              <w:tab/>
            </w:r>
            <w:r>
              <w:rPr>
                <w:noProof/>
                <w:webHidden/>
              </w:rPr>
              <w:fldChar w:fldCharType="begin"/>
            </w:r>
            <w:r>
              <w:rPr>
                <w:noProof/>
                <w:webHidden/>
              </w:rPr>
              <w:instrText xml:space="preserve"> PAGEREF _Toc118451113 \h </w:instrText>
            </w:r>
            <w:r>
              <w:rPr>
                <w:noProof/>
                <w:webHidden/>
              </w:rPr>
              <w:fldChar w:fldCharType="separate"/>
            </w:r>
            <w:r>
              <w:rPr>
                <w:noProof/>
                <w:webHidden/>
              </w:rPr>
              <w:t>19</w:t>
            </w:r>
            <w:r>
              <w:rPr>
                <w:noProof/>
                <w:webHidden/>
              </w:rPr>
              <w:fldChar w:fldCharType="end"/>
            </w:r>
          </w:hyperlink>
        </w:p>
        <w:p w:rsidR="00DA2156" w14:paraId="284BF44C" w14:textId="4F70FDBD">
          <w:pPr>
            <w:pStyle w:val="TOC2"/>
            <w:tabs>
              <w:tab w:val="right" w:leader="dot" w:pos="9350"/>
            </w:tabs>
            <w:rPr>
              <w:rFonts w:asciiTheme="minorHAnsi" w:eastAsiaTheme="minorEastAsia" w:hAnsiTheme="minorHAnsi" w:cstheme="minorBidi"/>
              <w:noProof/>
              <w:sz w:val="22"/>
              <w:szCs w:val="22"/>
            </w:rPr>
          </w:pPr>
          <w:hyperlink w:anchor="_Toc118451114" w:history="1">
            <w:r w:rsidRPr="001D4F0C">
              <w:rPr>
                <w:rStyle w:val="Hyperlink"/>
                <w:noProof/>
              </w:rPr>
              <w:t>6(e)</w:t>
            </w:r>
            <w:r>
              <w:rPr>
                <w:rFonts w:asciiTheme="minorHAnsi" w:eastAsiaTheme="minorEastAsia" w:hAnsiTheme="minorHAnsi" w:cstheme="minorBidi"/>
                <w:noProof/>
                <w:sz w:val="22"/>
                <w:szCs w:val="22"/>
              </w:rPr>
              <w:tab/>
            </w:r>
            <w:r w:rsidRPr="001D4F0C">
              <w:rPr>
                <w:rStyle w:val="Hyperlink"/>
                <w:noProof/>
              </w:rPr>
              <w:t>Burden Statement</w:t>
            </w:r>
            <w:r>
              <w:rPr>
                <w:noProof/>
                <w:webHidden/>
              </w:rPr>
              <w:tab/>
            </w:r>
            <w:r>
              <w:rPr>
                <w:noProof/>
                <w:webHidden/>
              </w:rPr>
              <w:fldChar w:fldCharType="begin"/>
            </w:r>
            <w:r>
              <w:rPr>
                <w:noProof/>
                <w:webHidden/>
              </w:rPr>
              <w:instrText xml:space="preserve"> PAGEREF _Toc118451114 \h </w:instrText>
            </w:r>
            <w:r>
              <w:rPr>
                <w:noProof/>
                <w:webHidden/>
              </w:rPr>
              <w:fldChar w:fldCharType="separate"/>
            </w:r>
            <w:r>
              <w:rPr>
                <w:noProof/>
                <w:webHidden/>
              </w:rPr>
              <w:t>19</w:t>
            </w:r>
            <w:r>
              <w:rPr>
                <w:noProof/>
                <w:webHidden/>
              </w:rPr>
              <w:fldChar w:fldCharType="end"/>
            </w:r>
          </w:hyperlink>
        </w:p>
        <w:p w:rsidR="009E1D15" w:rsidRPr="00B7618A" w:rsidP="00042B2A" w14:paraId="6301DD66" w14:textId="5FD32D28">
          <w:pPr>
            <w:sectPr w:rsidSect="00234AF7">
              <w:pgSz w:w="12240" w:h="15840"/>
              <w:pgMar w:top="1440" w:right="1440" w:bottom="1440" w:left="1440" w:header="720" w:footer="1080" w:gutter="0"/>
              <w:cols w:space="720"/>
              <w:noEndnote/>
              <w:docGrid w:linePitch="326"/>
            </w:sectPr>
          </w:pPr>
          <w:r>
            <w:rPr>
              <w:b/>
              <w:bCs/>
              <w:noProof/>
            </w:rPr>
            <w:fldChar w:fldCharType="end"/>
          </w:r>
        </w:p>
      </w:sdtContent>
    </w:sdt>
    <w:p w:rsidR="009E1D15" w:rsidRPr="00B7618A" w:rsidP="00704F82" w14:paraId="20E503EF" w14:textId="4B90064F">
      <w:pPr>
        <w:pStyle w:val="Heading1"/>
      </w:pPr>
      <w:bookmarkStart w:id="1" w:name="_Toc103778439"/>
      <w:bookmarkStart w:id="2" w:name="_Toc118451087"/>
      <w:r>
        <w:t>Identification of the Information Collection</w:t>
      </w:r>
      <w:bookmarkEnd w:id="1"/>
      <w:bookmarkEnd w:id="2"/>
    </w:p>
    <w:p w:rsidR="00344C82" w:rsidP="00344C82" w14:paraId="05D34E2A" w14:textId="6EBEF998">
      <w:pPr>
        <w:pStyle w:val="BodyText"/>
      </w:pPr>
      <w:r>
        <w:t>This section describes the information collection.</w:t>
      </w:r>
    </w:p>
    <w:p w:rsidR="009E1D15" w:rsidRPr="00B7618A" w:rsidP="00517A40" w14:paraId="57673BD4" w14:textId="77777777">
      <w:pPr>
        <w:pStyle w:val="Heading2"/>
      </w:pPr>
      <w:bookmarkStart w:id="3" w:name="_Toc103778440"/>
      <w:bookmarkStart w:id="4" w:name="_Toc118451088"/>
      <w:r w:rsidRPr="00B7618A">
        <w:t>T</w:t>
      </w:r>
      <w:r w:rsidRPr="00B7618A" w:rsidR="00D710D6">
        <w:t xml:space="preserve">itle of the Information </w:t>
      </w:r>
      <w:r w:rsidRPr="00B7618A">
        <w:t>C</w:t>
      </w:r>
      <w:r w:rsidRPr="00B7618A" w:rsidR="00D710D6">
        <w:t>ollection</w:t>
      </w:r>
      <w:bookmarkEnd w:id="3"/>
      <w:bookmarkEnd w:id="4"/>
    </w:p>
    <w:p w:rsidR="00766725" w:rsidRPr="00B7618A" w:rsidP="00396F4C" w14:paraId="7608D581" w14:textId="6A11CF6A">
      <w:pPr>
        <w:pStyle w:val="BodyText"/>
      </w:pPr>
      <w:r w:rsidRPr="00B7618A">
        <w:t xml:space="preserve">The title of this Information Collection Request (ICR) is </w:t>
      </w:r>
      <w:r w:rsidRPr="00B7618A" w:rsidR="002E50A3">
        <w:rPr>
          <w:i/>
        </w:rPr>
        <w:t xml:space="preserve">Water Quality Standards Regulatory </w:t>
      </w:r>
      <w:r w:rsidRPr="00B7618A" w:rsidR="00076C06">
        <w:rPr>
          <w:i/>
        </w:rPr>
        <w:t>Revisions</w:t>
      </w:r>
      <w:r w:rsidR="000A38EA">
        <w:rPr>
          <w:i/>
        </w:rPr>
        <w:t xml:space="preserve"> </w:t>
      </w:r>
      <w:r w:rsidR="00893FAF">
        <w:rPr>
          <w:i/>
        </w:rPr>
        <w:t xml:space="preserve">to Protect Tribal Reserved Rights </w:t>
      </w:r>
      <w:r w:rsidR="00247FFD">
        <w:rPr>
          <w:i/>
        </w:rPr>
        <w:t>(</w:t>
      </w:r>
      <w:r w:rsidR="00893FAF">
        <w:rPr>
          <w:i/>
        </w:rPr>
        <w:t>Proposed</w:t>
      </w:r>
      <w:r w:rsidR="000A38EA">
        <w:rPr>
          <w:i/>
        </w:rPr>
        <w:t xml:space="preserve"> Rule</w:t>
      </w:r>
      <w:r w:rsidR="00247FFD">
        <w:rPr>
          <w:i/>
        </w:rPr>
        <w:t>)</w:t>
      </w:r>
      <w:r w:rsidRPr="00B7618A">
        <w:t>.</w:t>
      </w:r>
      <w:r w:rsidR="00433B9B">
        <w:t xml:space="preserve"> </w:t>
      </w:r>
    </w:p>
    <w:p w:rsidR="009E1D15" w:rsidRPr="00B7618A" w:rsidP="00704F82" w14:paraId="5C2CE37F" w14:textId="77777777">
      <w:pPr>
        <w:pStyle w:val="Heading2"/>
      </w:pPr>
      <w:bookmarkStart w:id="5" w:name="_Toc103778441"/>
      <w:bookmarkStart w:id="6" w:name="_Toc118451089"/>
      <w:r w:rsidRPr="00B7618A">
        <w:t>S</w:t>
      </w:r>
      <w:r w:rsidRPr="00B7618A" w:rsidR="00D710D6">
        <w:t>hort</w:t>
      </w:r>
      <w:r w:rsidRPr="00B7618A">
        <w:t xml:space="preserve"> C</w:t>
      </w:r>
      <w:r w:rsidRPr="00B7618A" w:rsidR="00D710D6">
        <w:t>haracterization</w:t>
      </w:r>
      <w:r w:rsidRPr="00B7618A" w:rsidR="001B63D9">
        <w:t>/A</w:t>
      </w:r>
      <w:r w:rsidRPr="00B7618A" w:rsidR="00D710D6">
        <w:t>bstract</w:t>
      </w:r>
      <w:bookmarkEnd w:id="5"/>
      <w:bookmarkEnd w:id="6"/>
    </w:p>
    <w:p w:rsidR="009E1D15" w:rsidP="00396F4C" w14:paraId="113E9DC8" w14:textId="73AB2082">
      <w:pPr>
        <w:pStyle w:val="BodyText"/>
      </w:pPr>
      <w:r>
        <w:t>Under the Clean Water Act</w:t>
      </w:r>
      <w:r w:rsidR="004545A4">
        <w:t xml:space="preserve"> (CWA)</w:t>
      </w:r>
      <w:r>
        <w:t>, states</w:t>
      </w:r>
      <w:r>
        <w:rPr>
          <w:vertAlign w:val="superscript"/>
        </w:rPr>
        <w:footnoteReference w:id="3"/>
      </w:r>
      <w:r w:rsidR="00EC12E0">
        <w:t xml:space="preserve"> and authorized tribes</w:t>
      </w:r>
      <w:r>
        <w:rPr>
          <w:rStyle w:val="FootnoteReference"/>
        </w:rPr>
        <w:footnoteReference w:id="4"/>
      </w:r>
      <w:r>
        <w:t xml:space="preserve"> establish w</w:t>
      </w:r>
      <w:r w:rsidRPr="00B7618A">
        <w:t xml:space="preserve">ater quality standards </w:t>
      </w:r>
      <w:r w:rsidRPr="00B7618A" w:rsidR="000B04ED">
        <w:t xml:space="preserve">(WQS) </w:t>
      </w:r>
      <w:r>
        <w:t xml:space="preserve">for waters of the United States under their jurisdiction. </w:t>
      </w:r>
      <w:r w:rsidRPr="00B7618A" w:rsidR="00E03559">
        <w:t>WQS</w:t>
      </w:r>
      <w:r w:rsidRPr="00B7618A">
        <w:t xml:space="preserve"> </w:t>
      </w:r>
      <w:r>
        <w:t xml:space="preserve">establish goals to </w:t>
      </w:r>
      <w:r w:rsidRPr="00B7618A" w:rsidR="007B4CF7">
        <w:t>p</w:t>
      </w:r>
      <w:r w:rsidRPr="00B7618A">
        <w:t xml:space="preserve">rotect public health or welfare, enhance the quality of water, and serve the purposes of the </w:t>
      </w:r>
      <w:r w:rsidRPr="00B7618A" w:rsidR="007B4CF7">
        <w:t>CWA</w:t>
      </w:r>
      <w:r w:rsidRPr="00B7618A">
        <w:t xml:space="preserve">. </w:t>
      </w:r>
      <w:r>
        <w:t xml:space="preserve">WQS </w:t>
      </w:r>
      <w:r w:rsidRPr="00B7618A">
        <w:t>serv</w:t>
      </w:r>
      <w:r>
        <w:t>e</w:t>
      </w:r>
      <w:r w:rsidRPr="00B7618A">
        <w:t xml:space="preserve"> as </w:t>
      </w:r>
      <w:r>
        <w:t>the</w:t>
      </w:r>
      <w:r w:rsidRPr="00B7618A">
        <w:t xml:space="preserve"> regulatory basis for </w:t>
      </w:r>
      <w:r>
        <w:t xml:space="preserve">other CWA </w:t>
      </w:r>
      <w:r w:rsidR="004545A4">
        <w:t>actions</w:t>
      </w:r>
      <w:r>
        <w:t>, including impairment</w:t>
      </w:r>
      <w:r w:rsidR="00B90F36">
        <w:t xml:space="preserve"> and </w:t>
      </w:r>
      <w:r>
        <w:t>listing decision</w:t>
      </w:r>
      <w:r w:rsidR="0065754B">
        <w:t>s</w:t>
      </w:r>
      <w:r>
        <w:t xml:space="preserve"> under CWA Section 303(d)</w:t>
      </w:r>
      <w:r w:rsidR="004545A4">
        <w:t xml:space="preserve"> and</w:t>
      </w:r>
      <w:r>
        <w:t xml:space="preserve"> </w:t>
      </w:r>
      <w:r w:rsidRPr="00B7618A">
        <w:t>establishing water quality</w:t>
      </w:r>
      <w:r w:rsidRPr="00B7618A">
        <w:noBreakHyphen/>
        <w:t xml:space="preserve">based </w:t>
      </w:r>
      <w:r>
        <w:t xml:space="preserve">effluent limits </w:t>
      </w:r>
      <w:r w:rsidRPr="004545A4" w:rsidR="004545A4">
        <w:t xml:space="preserve">issued through state or National Pollutant Discharge Elimination System (NPDES) Programs under </w:t>
      </w:r>
      <w:r w:rsidR="004545A4">
        <w:t xml:space="preserve">CWA </w:t>
      </w:r>
      <w:r w:rsidRPr="004545A4" w:rsidR="004545A4">
        <w:t>Section 402</w:t>
      </w:r>
      <w:r w:rsidRPr="00B7618A">
        <w:t>.</w:t>
      </w:r>
      <w:r w:rsidR="004545A4">
        <w:t xml:space="preserve"> </w:t>
      </w:r>
      <w:r w:rsidRPr="004545A4" w:rsidR="004545A4">
        <w:t>Any new or revised WQS must be submitted to EPA for review</w:t>
      </w:r>
      <w:r w:rsidR="004545A4">
        <w:t xml:space="preserve"> and approval or disapproval. </w:t>
      </w:r>
    </w:p>
    <w:p w:rsidR="00EB61EF" w:rsidRPr="00EB61EF" w:rsidP="00EB61EF" w14:paraId="37AB3E0F" w14:textId="050C13F4">
      <w:pPr>
        <w:pStyle w:val="BodyText"/>
      </w:pPr>
      <w:r>
        <w:t>Many federally recognized tribes hold rights to</w:t>
      </w:r>
      <w:r w:rsidR="00BB2845">
        <w:t xml:space="preserve"> aquatic and</w:t>
      </w:r>
      <w:r>
        <w:t xml:space="preserve"> aquatic-dependent resources </w:t>
      </w:r>
      <w:r w:rsidRPr="00EB61EF" w:rsidR="00410FF4">
        <w:t>through treaties, statutes, executive orders, or other sources of federal law</w:t>
      </w:r>
      <w:r w:rsidR="00410FF4">
        <w:t>,</w:t>
      </w:r>
      <w:r w:rsidRPr="00410FF4" w:rsidR="00410FF4">
        <w:t xml:space="preserve"> </w:t>
      </w:r>
      <w:r>
        <w:t xml:space="preserve">in waters of the U.S. where </w:t>
      </w:r>
      <w:r w:rsidR="008B7C4E">
        <w:t>states</w:t>
      </w:r>
      <w:r>
        <w:t xml:space="preserve"> establish WQS. </w:t>
      </w:r>
      <w:r w:rsidRPr="00EB61EF">
        <w:t>For the purposes of the proposed rule</w:t>
      </w:r>
      <w:r w:rsidR="00410FF4">
        <w:t xml:space="preserve"> and this document</w:t>
      </w:r>
      <w:r w:rsidRPr="00EB61EF">
        <w:t>,</w:t>
      </w:r>
      <w:r w:rsidR="00410FF4">
        <w:t xml:space="preserve"> these are called</w:t>
      </w:r>
      <w:r w:rsidRPr="00EB61EF">
        <w:t xml:space="preserve"> “tribal reserved rights</w:t>
      </w:r>
      <w:r w:rsidR="00410FF4">
        <w:t>.</w:t>
      </w:r>
      <w:r w:rsidRPr="00EB61EF">
        <w:t xml:space="preserve">” In implementing CWA Section 303(c), EPA has an obligation to ensure that its actions are consistent with treaties, statutes, and executive orders </w:t>
      </w:r>
      <w:r w:rsidR="002F7127">
        <w:t>reserving</w:t>
      </w:r>
      <w:r w:rsidRPr="00EB61EF">
        <w:t xml:space="preserve"> tribal rights. Therefore, wherever these rights exist, states and EPA must ensure that the WQS established for those waters protect the reserved resources. For example, where a tribal fishing right exists, water quality cannot be diminished to the point that consuming fish threatens human health; otherwise, the tribal fishing right would not be protected.</w:t>
      </w:r>
    </w:p>
    <w:p w:rsidR="00EB61EF" w:rsidP="00396F4C" w14:paraId="265B3F3E" w14:textId="4EDEA773">
      <w:pPr>
        <w:pStyle w:val="BodyText"/>
        <w:rPr>
          <w:iCs/>
        </w:rPr>
      </w:pPr>
      <w:r w:rsidRPr="004545A4">
        <w:t xml:space="preserve">EPA’s implementing regulation at 40 CFR </w:t>
      </w:r>
      <w:r w:rsidR="004D2066">
        <w:t>p</w:t>
      </w:r>
      <w:r w:rsidRPr="004545A4">
        <w:t xml:space="preserve">art 131 specifies requirements for states to develop WQS for EPA review that are consistent with the </w:t>
      </w:r>
      <w:r>
        <w:t>CWA</w:t>
      </w:r>
      <w:r w:rsidRPr="004545A4">
        <w:t xml:space="preserve">. </w:t>
      </w:r>
      <w:r w:rsidRPr="00EB61EF">
        <w:rPr>
          <w:iCs/>
        </w:rPr>
        <w:t xml:space="preserve">EPA’s existing WQS regulation does not, however, explicitly address how WQS must protect tribal reserved rights. </w:t>
      </w:r>
      <w:r>
        <w:rPr>
          <w:iCs/>
        </w:rPr>
        <w:t xml:space="preserve">The proposed rule would </w:t>
      </w:r>
      <w:r w:rsidRPr="00410FF4" w:rsidR="00410FF4">
        <w:rPr>
          <w:iCs/>
        </w:rPr>
        <w:t>clarify and prescribe how WQS must protect aquatic and aquatic-dependent resources reserved to tribes</w:t>
      </w:r>
      <w:r w:rsidR="00410FF4">
        <w:rPr>
          <w:iCs/>
        </w:rPr>
        <w:t>.</w:t>
      </w:r>
    </w:p>
    <w:p w:rsidR="004545A4" w:rsidP="00396F4C" w14:paraId="14F29EB2" w14:textId="53C219C4">
      <w:pPr>
        <w:pStyle w:val="BodyText"/>
        <w:rPr>
          <w:iCs/>
        </w:rPr>
      </w:pPr>
      <w:r w:rsidRPr="00A83863">
        <w:rPr>
          <w:iCs/>
        </w:rPr>
        <w:t xml:space="preserve">The current </w:t>
      </w:r>
      <w:r w:rsidR="004C6DE3">
        <w:rPr>
          <w:iCs/>
        </w:rPr>
        <w:t>WQS</w:t>
      </w:r>
      <w:r w:rsidRPr="00EB61EF">
        <w:rPr>
          <w:iCs/>
        </w:rPr>
        <w:t xml:space="preserve"> regulation at 40 CFR </w:t>
      </w:r>
      <w:r w:rsidR="004D2066">
        <w:rPr>
          <w:iCs/>
        </w:rPr>
        <w:t>p</w:t>
      </w:r>
      <w:r w:rsidRPr="00EB61EF">
        <w:rPr>
          <w:iCs/>
        </w:rPr>
        <w:t xml:space="preserve">art 131 </w:t>
      </w:r>
      <w:r w:rsidRPr="00A83863">
        <w:rPr>
          <w:iCs/>
        </w:rPr>
        <w:t xml:space="preserve">requires states to include supporting information to accompany WQS submissions to help EPA determine whether the submitted new and revised WQS are consistent with </w:t>
      </w:r>
      <w:r w:rsidR="00B51CE4">
        <w:rPr>
          <w:iCs/>
        </w:rPr>
        <w:t>the CWA</w:t>
      </w:r>
      <w:r w:rsidRPr="00A83863">
        <w:rPr>
          <w:iCs/>
        </w:rPr>
        <w:t>.</w:t>
      </w:r>
      <w:r w:rsidRPr="00EB61EF">
        <w:rPr>
          <w:iCs/>
        </w:rPr>
        <w:t xml:space="preserve"> </w:t>
      </w:r>
      <w:r>
        <w:rPr>
          <w:iCs/>
        </w:rPr>
        <w:t xml:space="preserve">The proposed rule would </w:t>
      </w:r>
      <w:r w:rsidRPr="00A83863">
        <w:rPr>
          <w:iCs/>
        </w:rPr>
        <w:t xml:space="preserve">add a new requirement to 40 CFR </w:t>
      </w:r>
      <w:r w:rsidR="004D2066">
        <w:rPr>
          <w:iCs/>
        </w:rPr>
        <w:t>p</w:t>
      </w:r>
      <w:r w:rsidRPr="00A83863">
        <w:rPr>
          <w:iCs/>
        </w:rPr>
        <w:t>art 131 to require, where applicable, that state WQS submissions provide additional supporting information about whether the submitted WQS protect tribal reserved rights</w:t>
      </w:r>
      <w:r w:rsidR="008B7C4E">
        <w:rPr>
          <w:iCs/>
        </w:rPr>
        <w:t>, as informed by the right holders</w:t>
      </w:r>
      <w:r w:rsidRPr="00A83863">
        <w:rPr>
          <w:iCs/>
        </w:rPr>
        <w:t>.</w:t>
      </w:r>
    </w:p>
    <w:p w:rsidR="00AA16F3" w:rsidP="00396F4C" w14:paraId="58F83249" w14:textId="25EE0D30">
      <w:pPr>
        <w:pStyle w:val="BodyText"/>
      </w:pPr>
      <w:r w:rsidRPr="00B7618A">
        <w:t xml:space="preserve">This </w:t>
      </w:r>
      <w:r w:rsidRPr="00B7618A" w:rsidR="00920648">
        <w:t xml:space="preserve">ICR provides estimates of burden and </w:t>
      </w:r>
      <w:r w:rsidR="00747C5B">
        <w:t>cost</w:t>
      </w:r>
      <w:r w:rsidRPr="00B7618A" w:rsidR="00920648">
        <w:t xml:space="preserve"> to </w:t>
      </w:r>
      <w:r w:rsidRPr="00B7618A" w:rsidR="00CD4947">
        <w:t>s</w:t>
      </w:r>
      <w:r w:rsidRPr="00B7618A" w:rsidR="00920648">
        <w:t>tates to imp</w:t>
      </w:r>
      <w:r w:rsidRPr="00B7618A" w:rsidR="008F4B0A">
        <w:t xml:space="preserve">lement new </w:t>
      </w:r>
      <w:r w:rsidR="000A38EA">
        <w:t xml:space="preserve">collection </w:t>
      </w:r>
      <w:r w:rsidRPr="00B7618A" w:rsidR="008F4B0A">
        <w:t xml:space="preserve">requirements in </w:t>
      </w:r>
      <w:r w:rsidR="00CB0566">
        <w:t>the</w:t>
      </w:r>
      <w:r w:rsidRPr="00B7618A" w:rsidR="008F4B0A">
        <w:t xml:space="preserve"> </w:t>
      </w:r>
      <w:r w:rsidR="00640173">
        <w:t xml:space="preserve">proposed </w:t>
      </w:r>
      <w:r w:rsidR="006820FC">
        <w:t>r</w:t>
      </w:r>
      <w:r w:rsidRPr="00B7618A" w:rsidR="00920648">
        <w:t xml:space="preserve">ule. These estimates represent the incremental burden and </w:t>
      </w:r>
      <w:r w:rsidR="00747C5B">
        <w:t>cost</w:t>
      </w:r>
      <w:r w:rsidRPr="00B7618A" w:rsidR="00920648">
        <w:t xml:space="preserve"> over and above the estimates presented in the ICR entitled </w:t>
      </w:r>
      <w:r w:rsidRPr="00B7618A" w:rsidR="00920648">
        <w:rPr>
          <w:i/>
        </w:rPr>
        <w:t>Water Quality Standards Regulation (Renewal)</w:t>
      </w:r>
      <w:r w:rsidRPr="00B7618A" w:rsidR="00920648">
        <w:t xml:space="preserve"> (EPA ICR Number 0988.1</w:t>
      </w:r>
      <w:r w:rsidR="004545A4">
        <w:t>5</w:t>
      </w:r>
      <w:r w:rsidRPr="00B7618A" w:rsidR="00920648">
        <w:t>, OMB Control Number 2040</w:t>
      </w:r>
      <w:r w:rsidRPr="00B7618A" w:rsidR="00920648">
        <w:noBreakHyphen/>
        <w:t>0049).</w:t>
      </w:r>
      <w:r w:rsidR="00600A32">
        <w:t xml:space="preserve"> </w:t>
      </w:r>
      <w:r w:rsidRPr="00B7618A" w:rsidR="006A4927">
        <w:t xml:space="preserve">The </w:t>
      </w:r>
      <w:r w:rsidR="00C502CD">
        <w:t>burden and cost</w:t>
      </w:r>
      <w:r w:rsidRPr="00B7618A" w:rsidR="006A4927">
        <w:t xml:space="preserve"> in this ICR </w:t>
      </w:r>
      <w:r w:rsidR="00640173">
        <w:t>are</w:t>
      </w:r>
      <w:r w:rsidRPr="00B7618A" w:rsidR="006A4927">
        <w:t xml:space="preserve"> </w:t>
      </w:r>
      <w:r w:rsidR="00CB0566">
        <w:t>the same as</w:t>
      </w:r>
      <w:r w:rsidRPr="00B7618A" w:rsidR="006A4927">
        <w:t xml:space="preserve"> the burden</w:t>
      </w:r>
      <w:r w:rsidR="00C502CD">
        <w:t xml:space="preserve"> and cost</w:t>
      </w:r>
      <w:r w:rsidRPr="00B7618A" w:rsidR="006A4927">
        <w:t xml:space="preserve"> </w:t>
      </w:r>
      <w:r w:rsidR="00CB0566">
        <w:t>EPA estimate</w:t>
      </w:r>
      <w:r w:rsidR="00640173">
        <w:t>d</w:t>
      </w:r>
      <w:r w:rsidR="00CB0566">
        <w:t xml:space="preserve"> in the</w:t>
      </w:r>
      <w:r w:rsidRPr="00B7618A" w:rsidR="006A4927">
        <w:t xml:space="preserve"> Economic Analysis</w:t>
      </w:r>
      <w:r w:rsidR="00CB0566">
        <w:t xml:space="preserve"> </w:t>
      </w:r>
      <w:r w:rsidR="00640173">
        <w:t>for</w:t>
      </w:r>
      <w:r w:rsidR="00CB0566">
        <w:t xml:space="preserve"> the </w:t>
      </w:r>
      <w:r w:rsidR="00640173">
        <w:t xml:space="preserve">proposed </w:t>
      </w:r>
      <w:r w:rsidR="00CB0566">
        <w:t>rule</w:t>
      </w:r>
      <w:r w:rsidR="00640173">
        <w:t>, which is available in the docket for this proposed rule</w:t>
      </w:r>
      <w:r w:rsidRPr="00B7618A" w:rsidR="006A4927">
        <w:t>.</w:t>
      </w:r>
    </w:p>
    <w:p w:rsidR="008D1E6F" w:rsidRPr="00B7618A" w:rsidP="008D1E6F" w14:paraId="5903FCBB" w14:textId="1D043378">
      <w:pPr>
        <w:pStyle w:val="Heading1"/>
      </w:pPr>
      <w:bookmarkStart w:id="7" w:name="_Toc406051410"/>
      <w:bookmarkStart w:id="8" w:name="_Toc103778442"/>
      <w:bookmarkStart w:id="9" w:name="_Toc118451090"/>
      <w:bookmarkEnd w:id="7"/>
      <w:r>
        <w:t>Need for and Use of the Collection</w:t>
      </w:r>
      <w:bookmarkEnd w:id="8"/>
      <w:bookmarkEnd w:id="9"/>
    </w:p>
    <w:p w:rsidR="00344C82" w:rsidP="00344C82" w14:paraId="2F7A20EC" w14:textId="4F80E672">
      <w:pPr>
        <w:pStyle w:val="BodyText"/>
      </w:pPr>
      <w:r>
        <w:t xml:space="preserve">This section describes why the information is needed, the legal </w:t>
      </w:r>
      <w:r w:rsidR="00CB0566">
        <w:t>authority for collecting the information</w:t>
      </w:r>
      <w:r>
        <w:t>, and how EPA will use the information.</w:t>
      </w:r>
    </w:p>
    <w:p w:rsidR="009E1D15" w:rsidRPr="00B7618A" w:rsidP="008B085E" w14:paraId="62338925" w14:textId="77777777">
      <w:pPr>
        <w:pStyle w:val="Heading2"/>
      </w:pPr>
      <w:bookmarkStart w:id="10" w:name="_Toc103778443"/>
      <w:bookmarkStart w:id="11" w:name="_Toc118451091"/>
      <w:r w:rsidRPr="00B7618A">
        <w:t>N</w:t>
      </w:r>
      <w:r w:rsidRPr="00B7618A" w:rsidR="00D710D6">
        <w:t>eed and Authority</w:t>
      </w:r>
      <w:r w:rsidRPr="00B7618A">
        <w:t xml:space="preserve"> </w:t>
      </w:r>
      <w:r w:rsidRPr="00B7618A" w:rsidR="00D710D6">
        <w:t>for the Collection</w:t>
      </w:r>
      <w:bookmarkEnd w:id="10"/>
      <w:bookmarkEnd w:id="11"/>
    </w:p>
    <w:p w:rsidR="009E1D15" w:rsidRPr="00B7618A" w:rsidP="00396F4C" w14:paraId="454A5AA1" w14:textId="32F9F151">
      <w:pPr>
        <w:pStyle w:val="BodyText"/>
      </w:pPr>
      <w:r w:rsidRPr="004B5801">
        <w:rPr>
          <w:iCs/>
        </w:rPr>
        <w:t xml:space="preserve">EPA’s existing WQS regulation </w:t>
      </w:r>
      <w:r>
        <w:rPr>
          <w:iCs/>
        </w:rPr>
        <w:t xml:space="preserve">at 40 CFR </w:t>
      </w:r>
      <w:r w:rsidR="004D2066">
        <w:rPr>
          <w:iCs/>
        </w:rPr>
        <w:t>p</w:t>
      </w:r>
      <w:r>
        <w:rPr>
          <w:iCs/>
        </w:rPr>
        <w:t xml:space="preserve">art 131 </w:t>
      </w:r>
      <w:r w:rsidRPr="004B5801">
        <w:rPr>
          <w:iCs/>
        </w:rPr>
        <w:t xml:space="preserve">does not explicitly address how WQS must protect tribal reserved rights. </w:t>
      </w:r>
      <w:r>
        <w:rPr>
          <w:iCs/>
        </w:rPr>
        <w:t xml:space="preserve">In this proposed rule </w:t>
      </w:r>
      <w:r w:rsidRPr="005A74EC" w:rsidR="005A74EC">
        <w:t>EPA is exercis</w:t>
      </w:r>
      <w:r>
        <w:t>ing</w:t>
      </w:r>
      <w:r w:rsidRPr="005A74EC" w:rsidR="005A74EC">
        <w:t xml:space="preserve"> its discretion in implementing CWA Section 303(c) to propose new regulatory requirements to ensure that WQS give effect to rights to aquatic and aquatic-dependent resources reserved in federal laws. The agency is proposing to establish a transparent and consistent process by which </w:t>
      </w:r>
      <w:r w:rsidRPr="005A74EC" w:rsidR="005A74EC">
        <w:t>states</w:t>
      </w:r>
      <w:r w:rsidRPr="005A74EC" w:rsidR="005A74EC">
        <w:t xml:space="preserve"> and EPA can set WQS that protect applicable reserved rights.</w:t>
      </w:r>
      <w:r>
        <w:t xml:space="preserve"> </w:t>
      </w:r>
      <w:r w:rsidRPr="004B5801">
        <w:rPr>
          <w:iCs/>
        </w:rPr>
        <w:t xml:space="preserve">The proposed rule would </w:t>
      </w:r>
      <w:r w:rsidRPr="00A83863">
        <w:rPr>
          <w:iCs/>
        </w:rPr>
        <w:t xml:space="preserve">add a new requirement to 40 CFR </w:t>
      </w:r>
      <w:r w:rsidR="004D2066">
        <w:rPr>
          <w:iCs/>
        </w:rPr>
        <w:t>p</w:t>
      </w:r>
      <w:r w:rsidRPr="00A83863">
        <w:rPr>
          <w:iCs/>
        </w:rPr>
        <w:t>art 131 to require, where applicable, that state WQS submissions provide additional supporting information about whether the submitted WQS protect tribal reserved rights</w:t>
      </w:r>
      <w:r w:rsidR="00DB705B">
        <w:rPr>
          <w:iCs/>
        </w:rPr>
        <w:t>, as informed by the right holders</w:t>
      </w:r>
      <w:r w:rsidRPr="00A83863">
        <w:rPr>
          <w:iCs/>
        </w:rPr>
        <w:t>.</w:t>
      </w:r>
      <w:r>
        <w:rPr>
          <w:iCs/>
        </w:rPr>
        <w:t xml:space="preserve"> </w:t>
      </w:r>
      <w:r w:rsidRPr="004B5801">
        <w:t xml:space="preserve">This mandatory information collection would provide EPA with information necessary to review and approve or disapprove standards in accordance with the CWA, 40 CFR </w:t>
      </w:r>
      <w:r w:rsidR="004D2066">
        <w:t>p</w:t>
      </w:r>
      <w:r w:rsidRPr="004B5801">
        <w:t>art 131, and other federal laws.</w:t>
      </w:r>
    </w:p>
    <w:p w:rsidR="009E1D15" w:rsidRPr="00B7618A" w:rsidP="00517A40" w14:paraId="6601097D" w14:textId="77777777">
      <w:pPr>
        <w:pStyle w:val="Heading2"/>
      </w:pPr>
      <w:bookmarkStart w:id="12" w:name="_Toc103778444"/>
      <w:bookmarkStart w:id="13" w:name="_Toc118451092"/>
      <w:r w:rsidRPr="00B7618A">
        <w:t>Practical Utility/Users of the Data</w:t>
      </w:r>
      <w:bookmarkEnd w:id="12"/>
      <w:bookmarkEnd w:id="13"/>
    </w:p>
    <w:p w:rsidR="00B51CE4" w:rsidP="00B51CE4" w14:paraId="26F793F7" w14:textId="070B0FE5">
      <w:pPr>
        <w:pStyle w:val="BodyText"/>
      </w:pPr>
      <w:r>
        <w:t>T</w:t>
      </w:r>
      <w:r w:rsidR="002F7127">
        <w:t>he proposed</w:t>
      </w:r>
      <w:r>
        <w:t xml:space="preserve"> rule includes a new regulatory section </w:t>
      </w:r>
      <w:r w:rsidRPr="00B7618A">
        <w:t xml:space="preserve">at </w:t>
      </w:r>
      <w:r>
        <w:t>§ </w:t>
      </w:r>
      <w:r w:rsidRPr="00B7618A">
        <w:t>131</w:t>
      </w:r>
      <w:r>
        <w:t>.</w:t>
      </w:r>
      <w:r>
        <w:t>6</w:t>
      </w:r>
      <w:r>
        <w:t xml:space="preserve"> requiring </w:t>
      </w:r>
      <w:r>
        <w:t xml:space="preserve">that when states submit WQS to EPA for approval or disapproval, </w:t>
      </w:r>
      <w:r>
        <w:t xml:space="preserve">states </w:t>
      </w:r>
      <w:r>
        <w:t>include additional supporting</w:t>
      </w:r>
      <w:r>
        <w:t xml:space="preserve"> information that would allow</w:t>
      </w:r>
      <w:r w:rsidRPr="00B7618A" w:rsidR="00A43964">
        <w:t xml:space="preserve"> EPA </w:t>
      </w:r>
      <w:r>
        <w:t xml:space="preserve">to evaluate if a WQS </w:t>
      </w:r>
      <w:r>
        <w:t xml:space="preserve">protects tribal reserved rights, where applicable. </w:t>
      </w:r>
      <w:r w:rsidRPr="00B51CE4">
        <w:t xml:space="preserve">EPA would use the information collected </w:t>
      </w:r>
      <w:r w:rsidRPr="00B51CE4">
        <w:t>as a result of</w:t>
      </w:r>
      <w:r w:rsidRPr="00B51CE4">
        <w:t xml:space="preserve"> this rule to inform its review and approval</w:t>
      </w:r>
      <w:r w:rsidR="00F37FD0">
        <w:t xml:space="preserve"> or </w:t>
      </w:r>
      <w:r w:rsidRPr="00B51CE4">
        <w:t>disapproval decisions on state-submitted new and revised WQS in accordance with the requirements of the proposed rule.</w:t>
      </w:r>
    </w:p>
    <w:p w:rsidR="00893FAF" w:rsidRPr="00893FAF" w:rsidP="00893FAF" w14:paraId="3E598205" w14:textId="283767FA">
      <w:pPr>
        <w:tabs>
          <w:tab w:val="left" w:pos="1000"/>
          <w:tab w:val="left" w:pos="3607"/>
        </w:tabs>
      </w:pPr>
      <w:r>
        <w:tab/>
      </w:r>
      <w:r>
        <w:tab/>
      </w:r>
    </w:p>
    <w:p w:rsidR="008D1E6F" w:rsidRPr="00B7618A" w:rsidP="008D1E6F" w14:paraId="307F22A6" w14:textId="7E91918C">
      <w:pPr>
        <w:pStyle w:val="Heading1"/>
      </w:pPr>
      <w:bookmarkStart w:id="14" w:name="_Toc103778445"/>
      <w:bookmarkStart w:id="15" w:name="_Toc118451093"/>
      <w:r>
        <w:t>Non-Duplication, Consultations, and Other Collection Criteria</w:t>
      </w:r>
      <w:bookmarkEnd w:id="14"/>
      <w:bookmarkEnd w:id="15"/>
    </w:p>
    <w:p w:rsidR="006934E4" w:rsidP="006934E4" w14:paraId="3D2373C4" w14:textId="5E97C651">
      <w:pPr>
        <w:pStyle w:val="BodyText"/>
      </w:pPr>
      <w:r>
        <w:t xml:space="preserve">This section addresses </w:t>
      </w:r>
      <w:r w:rsidR="001E66DF">
        <w:t>non-duplication</w:t>
      </w:r>
      <w:r>
        <w:t xml:space="preserve">, public support, and </w:t>
      </w:r>
      <w:r w:rsidR="00D15B71">
        <w:t xml:space="preserve">other </w:t>
      </w:r>
      <w:r>
        <w:t xml:space="preserve">collection </w:t>
      </w:r>
      <w:r w:rsidR="00D15B71">
        <w:t>criteria</w:t>
      </w:r>
      <w:r w:rsidR="001E66DF">
        <w:t>.</w:t>
      </w:r>
    </w:p>
    <w:p w:rsidR="009E1D15" w:rsidRPr="00B7618A" w:rsidP="00704F82" w14:paraId="5C57C341" w14:textId="60734D16">
      <w:pPr>
        <w:pStyle w:val="Heading2"/>
      </w:pPr>
      <w:bookmarkStart w:id="16" w:name="_Toc103778446"/>
      <w:bookmarkStart w:id="17" w:name="_Toc118451094"/>
      <w:r w:rsidRPr="00B7618A">
        <w:t>Non-Duplication</w:t>
      </w:r>
      <w:bookmarkEnd w:id="16"/>
      <w:bookmarkEnd w:id="17"/>
    </w:p>
    <w:p w:rsidR="009E1D15" w:rsidRPr="00B7618A" w:rsidP="00396F4C" w14:paraId="179BD2CC" w14:textId="04C144E6">
      <w:pPr>
        <w:pStyle w:val="BodyText"/>
      </w:pPr>
      <w:r w:rsidRPr="00B7618A">
        <w:t xml:space="preserve">The information collection requirements </w:t>
      </w:r>
      <w:r w:rsidR="00287348">
        <w:t>described</w:t>
      </w:r>
      <w:r w:rsidRPr="00B7618A" w:rsidR="00287348">
        <w:t xml:space="preserve"> </w:t>
      </w:r>
      <w:r w:rsidRPr="00B7618A">
        <w:t xml:space="preserve">in this </w:t>
      </w:r>
      <w:r w:rsidRPr="00B7618A" w:rsidR="00A23938">
        <w:t xml:space="preserve">ICR </w:t>
      </w:r>
      <w:r w:rsidRPr="00B7618A" w:rsidR="00C16ED1">
        <w:t xml:space="preserve">do not duplicate the information collection </w:t>
      </w:r>
      <w:r w:rsidRPr="00B7618A">
        <w:t xml:space="preserve">requirements </w:t>
      </w:r>
      <w:r w:rsidR="00287348">
        <w:t>described</w:t>
      </w:r>
      <w:r w:rsidRPr="00B7618A" w:rsidR="00287348">
        <w:t xml:space="preserve"> </w:t>
      </w:r>
      <w:r w:rsidRPr="00B7618A" w:rsidR="00C16ED1">
        <w:t>in other ICRs provided by EPA</w:t>
      </w:r>
      <w:r w:rsidRPr="00B7618A">
        <w:t>.</w:t>
      </w:r>
      <w:r w:rsidRPr="00B7618A" w:rsidR="0068763C">
        <w:t xml:space="preserve"> </w:t>
      </w:r>
      <w:r w:rsidRPr="00B7618A" w:rsidR="00C16ED1">
        <w:t>The burden</w:t>
      </w:r>
      <w:r w:rsidRPr="00B7618A">
        <w:t xml:space="preserve"> and </w:t>
      </w:r>
      <w:r w:rsidR="00747C5B">
        <w:t>cost</w:t>
      </w:r>
      <w:r w:rsidRPr="00B7618A" w:rsidR="00C16ED1">
        <w:t xml:space="preserve"> estimated in this ICR are in additi</w:t>
      </w:r>
      <w:r w:rsidRPr="00B7618A">
        <w:t>on to th</w:t>
      </w:r>
      <w:r w:rsidR="009458A3">
        <w:t>e</w:t>
      </w:r>
      <w:r w:rsidRPr="00B7618A">
        <w:t xml:space="preserve"> burden and </w:t>
      </w:r>
      <w:r w:rsidR="00747C5B">
        <w:t>cost</w:t>
      </w:r>
      <w:r w:rsidRPr="00B7618A">
        <w:t xml:space="preserve"> provided in the ICR entitled </w:t>
      </w:r>
      <w:r w:rsidRPr="00B7618A" w:rsidR="00AF67C1">
        <w:rPr>
          <w:i/>
        </w:rPr>
        <w:t>Water Quality Standards Regulation (Renewal)</w:t>
      </w:r>
      <w:r w:rsidRPr="00B7618A" w:rsidR="00AF67C1">
        <w:t xml:space="preserve"> (EPA ICR Number 0988.1</w:t>
      </w:r>
      <w:r w:rsidR="00517A40">
        <w:t>5</w:t>
      </w:r>
      <w:r w:rsidRPr="00B7618A" w:rsidR="00AF67C1">
        <w:t>, OMB Control Number 2040</w:t>
      </w:r>
      <w:r w:rsidRPr="00B7618A" w:rsidR="00AF67C1">
        <w:noBreakHyphen/>
        <w:t>0049).</w:t>
      </w:r>
    </w:p>
    <w:p w:rsidR="001D3944" w:rsidP="00517A40" w14:paraId="19E3307A" w14:textId="38B9189D">
      <w:pPr>
        <w:pStyle w:val="Heading2"/>
      </w:pPr>
      <w:bookmarkStart w:id="18" w:name="_Toc103778447"/>
      <w:bookmarkStart w:id="19" w:name="_Toc118451095"/>
      <w:r w:rsidRPr="001D3944">
        <w:t>Public Notice Required Prior to ICR Submission to OMB</w:t>
      </w:r>
      <w:bookmarkEnd w:id="18"/>
      <w:bookmarkEnd w:id="19"/>
    </w:p>
    <w:p w:rsidR="001D3944" w:rsidRPr="001D3944" w:rsidP="00AC73B3" w14:paraId="2FF21CC6" w14:textId="51CA539E">
      <w:pPr>
        <w:pStyle w:val="BodyText"/>
      </w:pPr>
      <w:r>
        <w:t xml:space="preserve">The EPA will issue a Federal Register notice requesting comments on the proposed rule, including the ICR, and will provide a </w:t>
      </w:r>
      <w:r w:rsidR="00E6306A">
        <w:t>9</w:t>
      </w:r>
      <w:r>
        <w:t xml:space="preserve">0-day public notice and comment period. </w:t>
      </w:r>
    </w:p>
    <w:p w:rsidR="009E1D15" w:rsidRPr="00B7618A" w:rsidP="00517A40" w14:paraId="7527453B" w14:textId="136AF85F">
      <w:pPr>
        <w:pStyle w:val="Heading2"/>
      </w:pPr>
      <w:bookmarkStart w:id="20" w:name="_Toc103778448"/>
      <w:bookmarkStart w:id="21" w:name="_Toc118451096"/>
      <w:r w:rsidRPr="00B7618A">
        <w:t>Consultations</w:t>
      </w:r>
      <w:bookmarkEnd w:id="20"/>
      <w:bookmarkEnd w:id="21"/>
    </w:p>
    <w:p w:rsidR="000909A1" w:rsidP="000909A1" w14:paraId="62C5DEAB" w14:textId="4E6D70A0">
      <w:pPr>
        <w:pStyle w:val="BodyText"/>
      </w:pPr>
      <w:r>
        <w:t xml:space="preserve">During development of the proposed rule EPA held a presentation and Q&amp;A session </w:t>
      </w:r>
      <w:r w:rsidRPr="000909A1">
        <w:t xml:space="preserve">in September 2021 </w:t>
      </w:r>
      <w:r>
        <w:t xml:space="preserve">with the Association of Clean Water Agencies (ACWA) Monitoring, Standards, and Assessment </w:t>
      </w:r>
      <w:r w:rsidRPr="000909A1">
        <w:t xml:space="preserve">(MSA) </w:t>
      </w:r>
      <w:r>
        <w:t xml:space="preserve">Subcommittee </w:t>
      </w:r>
      <w:r w:rsidR="00104884">
        <w:t xml:space="preserve">at which EPA </w:t>
      </w:r>
      <w:r w:rsidRPr="00104884" w:rsidR="00104884">
        <w:t>provide</w:t>
      </w:r>
      <w:r w:rsidR="00104884">
        <w:t>d</w:t>
      </w:r>
      <w:r w:rsidRPr="00104884" w:rsidR="00104884">
        <w:t xml:space="preserve"> an overview of </w:t>
      </w:r>
      <w:r w:rsidR="00104884">
        <w:t xml:space="preserve">the Agency’s </w:t>
      </w:r>
      <w:r w:rsidRPr="00104884" w:rsidR="00104884">
        <w:t>preliminary thinking on potential regulatory revisions, received feedback, and answered questions</w:t>
      </w:r>
      <w:r>
        <w:t xml:space="preserve">. EPA also met with representatives of state agencies responsible for </w:t>
      </w:r>
      <w:r w:rsidR="00087062">
        <w:t xml:space="preserve">WQS </w:t>
      </w:r>
      <w:r>
        <w:t>development from Idaho, Oklahoma, and Minnesota. States expressed concerns about h</w:t>
      </w:r>
      <w:r w:rsidRPr="000909A1">
        <w:t>ow they should determine where tribal reserved rights apply</w:t>
      </w:r>
      <w:r w:rsidR="00104884">
        <w:t xml:space="preserve">; requested additional </w:t>
      </w:r>
      <w:r w:rsidRPr="000909A1">
        <w:t>resources and tools</w:t>
      </w:r>
      <w:r w:rsidR="00104884">
        <w:t>, such as</w:t>
      </w:r>
      <w:r w:rsidRPr="000909A1">
        <w:t xml:space="preserve"> geospatial data</w:t>
      </w:r>
      <w:r w:rsidR="00104884">
        <w:t>; and asked h</w:t>
      </w:r>
      <w:r w:rsidRPr="000909A1">
        <w:t xml:space="preserve">ow </w:t>
      </w:r>
      <w:r w:rsidR="00104884">
        <w:t xml:space="preserve">they would be expected to </w:t>
      </w:r>
      <w:r w:rsidRPr="000909A1">
        <w:t xml:space="preserve">handle situations where data </w:t>
      </w:r>
      <w:r w:rsidR="00570469">
        <w:t>are</w:t>
      </w:r>
      <w:r w:rsidRPr="000909A1">
        <w:t xml:space="preserve"> not available, the state and tribe disagree, or multiple tribes have overlapping rights and do not agree on the level of protection.</w:t>
      </w:r>
      <w:r w:rsidR="00104884">
        <w:t xml:space="preserve"> </w:t>
      </w:r>
      <w:r w:rsidRPr="00104884" w:rsidR="00104884">
        <w:t>Early feedback received during these meetings helped inform EPA’s proposed regulatory revisions.</w:t>
      </w:r>
    </w:p>
    <w:p w:rsidR="009E1D15" w:rsidRPr="00B7618A" w:rsidP="00704F82" w14:paraId="5E96E407" w14:textId="77777777">
      <w:pPr>
        <w:pStyle w:val="Heading2"/>
      </w:pPr>
      <w:bookmarkStart w:id="22" w:name="_Toc103778449"/>
      <w:bookmarkStart w:id="23" w:name="_Toc118451097"/>
      <w:r w:rsidRPr="00B7618A">
        <w:t>Effects of Less Frequent Collection</w:t>
      </w:r>
      <w:bookmarkEnd w:id="22"/>
      <w:bookmarkEnd w:id="23"/>
    </w:p>
    <w:p w:rsidR="00EC1388" w:rsidP="00396F4C" w14:paraId="3A4D8B6A" w14:textId="0CCC6743">
      <w:pPr>
        <w:pStyle w:val="BodyText"/>
      </w:pPr>
      <w:r w:rsidRPr="00B7618A">
        <w:t xml:space="preserve">The information collection schedule is </w:t>
      </w:r>
      <w:r w:rsidR="002F7127">
        <w:t xml:space="preserve">applicable when states revise WQS. At a minimum, </w:t>
      </w:r>
      <w:r w:rsidR="00722C41">
        <w:t xml:space="preserve">CWA </w:t>
      </w:r>
      <w:r w:rsidR="00F53C7B">
        <w:t>S</w:t>
      </w:r>
      <w:r w:rsidRPr="00B7618A">
        <w:t xml:space="preserve">ection 303(c) </w:t>
      </w:r>
      <w:r w:rsidR="00722C41">
        <w:t>requir</w:t>
      </w:r>
      <w:r w:rsidR="002F7127">
        <w:t>es</w:t>
      </w:r>
      <w:r w:rsidRPr="00B7618A" w:rsidR="00722C41">
        <w:t xml:space="preserve"> </w:t>
      </w:r>
      <w:r w:rsidRPr="00B7618A" w:rsidR="00CD4947">
        <w:t>s</w:t>
      </w:r>
      <w:r w:rsidRPr="00B7618A">
        <w:t xml:space="preserve">tates to review </w:t>
      </w:r>
      <w:r w:rsidRPr="00B7618A" w:rsidR="00E03559">
        <w:t>WQS</w:t>
      </w:r>
      <w:r w:rsidRPr="00B7618A">
        <w:t xml:space="preserve"> once every three years.</w:t>
      </w:r>
      <w:r>
        <w:t xml:space="preserve"> </w:t>
      </w:r>
      <w:r w:rsidR="00C648A1">
        <w:t xml:space="preserve">Less frequent </w:t>
      </w:r>
      <w:r w:rsidR="002F7127">
        <w:t>data collection would result in</w:t>
      </w:r>
      <w:r w:rsidR="00663DC0">
        <w:t xml:space="preserve"> </w:t>
      </w:r>
      <w:r w:rsidR="002F7127">
        <w:t xml:space="preserve">WQS submissions </w:t>
      </w:r>
      <w:r w:rsidR="00663DC0">
        <w:t>that lack adequate supporting information. In such cases</w:t>
      </w:r>
      <w:r w:rsidR="00325CAC">
        <w:t>,</w:t>
      </w:r>
      <w:r w:rsidR="00663DC0">
        <w:t xml:space="preserve"> EPA would lack the information necessary to determine whether there are any reserved rights applicable to the submission, and if yes, whether the submission protects those rights. This would mean that </w:t>
      </w:r>
      <w:r w:rsidR="002F7127">
        <w:t xml:space="preserve">EPA </w:t>
      </w:r>
      <w:r w:rsidR="00663DC0">
        <w:t>would</w:t>
      </w:r>
      <w:r w:rsidR="002F7127">
        <w:t xml:space="preserve"> </w:t>
      </w:r>
      <w:r w:rsidR="008E5C52">
        <w:t xml:space="preserve">be </w:t>
      </w:r>
      <w:r w:rsidR="002F7127">
        <w:t>unable to determine</w:t>
      </w:r>
      <w:r w:rsidR="00663DC0">
        <w:t xml:space="preserve"> compliance</w:t>
      </w:r>
      <w:r w:rsidR="002F7127">
        <w:t xml:space="preserve"> with the proposed rule</w:t>
      </w:r>
      <w:r w:rsidR="00663DC0">
        <w:t xml:space="preserve"> and the CWA and would not have enough information to make the approval or disapproval decision required by </w:t>
      </w:r>
      <w:r>
        <w:t xml:space="preserve">CWA Section </w:t>
      </w:r>
      <w:r w:rsidR="00663DC0">
        <w:t>303(c)</w:t>
      </w:r>
      <w:r w:rsidR="002F7127">
        <w:t xml:space="preserve">. </w:t>
      </w:r>
    </w:p>
    <w:p w:rsidR="009E1D15" w:rsidRPr="00B7618A" w:rsidP="00396F4C" w14:paraId="46E24A38" w14:textId="734F2FF0">
      <w:pPr>
        <w:pStyle w:val="BodyText"/>
      </w:pPr>
      <w:r w:rsidRPr="00EC1388">
        <w:t xml:space="preserve">EPA estimates that all 50 states will each undertake three WQS rulemakings to protect tribal reserved rights. After these three rulemakings, EPA does not anticipate any future </w:t>
      </w:r>
      <w:r w:rsidR="00CD23A8">
        <w:t xml:space="preserve">recurring </w:t>
      </w:r>
      <w:r w:rsidRPr="00EC1388">
        <w:t>data collection will be needed</w:t>
      </w:r>
      <w:r>
        <w:t xml:space="preserve"> because WQS will have been established to protect all applicable tribal reserved rights.</w:t>
      </w:r>
    </w:p>
    <w:p w:rsidR="009E1D15" w:rsidRPr="00B7618A" w:rsidP="00704F82" w14:paraId="09FF5DB6" w14:textId="49CB40F7">
      <w:pPr>
        <w:pStyle w:val="Heading2"/>
      </w:pPr>
      <w:bookmarkStart w:id="24" w:name="_Toc103778450"/>
      <w:bookmarkStart w:id="25" w:name="_Toc118451098"/>
      <w:r w:rsidRPr="00B7618A">
        <w:t>General Guidelines</w:t>
      </w:r>
      <w:bookmarkEnd w:id="24"/>
      <w:bookmarkEnd w:id="25"/>
    </w:p>
    <w:p w:rsidR="009E1D15" w:rsidRPr="00B7618A" w:rsidP="00396F4C" w14:paraId="2CFE84ED" w14:textId="639F4421">
      <w:pPr>
        <w:pStyle w:val="BodyText"/>
      </w:pPr>
      <w:r w:rsidRPr="00B7618A">
        <w:t>EPA</w:t>
      </w:r>
      <w:r w:rsidRPr="00B7618A" w:rsidR="009460E1">
        <w:t xml:space="preserve"> reviewed this ICR</w:t>
      </w:r>
      <w:r w:rsidRPr="00B7618A" w:rsidR="006853C9">
        <w:t xml:space="preserve"> for</w:t>
      </w:r>
      <w:r w:rsidRPr="00B7618A" w:rsidR="009460E1">
        <w:t xml:space="preserve"> compliance with OMB’s information collection guidelines in 5 CFR 1320.5(d)(2)</w:t>
      </w:r>
      <w:r w:rsidRPr="00B7618A" w:rsidR="00E81D62">
        <w:t xml:space="preserve"> and conclude</w:t>
      </w:r>
      <w:r w:rsidR="00EF0754">
        <w:t xml:space="preserve">s </w:t>
      </w:r>
      <w:r w:rsidRPr="00B7618A" w:rsidR="00E81D62">
        <w:t xml:space="preserve">it </w:t>
      </w:r>
      <w:r w:rsidRPr="00B7618A" w:rsidR="00E81D62">
        <w:t>is in compliance</w:t>
      </w:r>
      <w:r w:rsidRPr="00B7618A" w:rsidR="00E81D62">
        <w:t>.</w:t>
      </w:r>
    </w:p>
    <w:p w:rsidR="009E1D15" w:rsidRPr="00B7618A" w:rsidP="00704F82" w14:paraId="5D539E77" w14:textId="77777777">
      <w:pPr>
        <w:pStyle w:val="Heading2"/>
      </w:pPr>
      <w:bookmarkStart w:id="26" w:name="_Toc103778451"/>
      <w:bookmarkStart w:id="27" w:name="_Toc118451099"/>
      <w:r w:rsidRPr="00B7618A">
        <w:t>Confidentiality And Sensitive Questions</w:t>
      </w:r>
      <w:bookmarkEnd w:id="26"/>
      <w:bookmarkEnd w:id="27"/>
    </w:p>
    <w:p w:rsidR="00C375A0" w:rsidP="00396F4C" w14:paraId="25E499EC" w14:textId="38D39407">
      <w:pPr>
        <w:pStyle w:val="BodyText"/>
      </w:pPr>
      <w:r w:rsidRPr="00B7618A">
        <w:t>State submissions under this ICR will contain no confidential or sensitive information.</w:t>
      </w:r>
    </w:p>
    <w:p w:rsidR="00AD6354" w:rsidP="00396F4C" w14:paraId="6BFCDD44" w14:textId="77777777">
      <w:pPr>
        <w:pStyle w:val="BodyText"/>
      </w:pPr>
    </w:p>
    <w:p w:rsidR="00AD6354" w:rsidP="00396F4C" w14:paraId="320103D5" w14:textId="77777777">
      <w:pPr>
        <w:pStyle w:val="BodyText"/>
        <w:rPr>
          <w:b/>
          <w:color w:val="000000"/>
        </w:rPr>
        <w:sectPr w:rsidSect="00DA2156">
          <w:headerReference w:type="default" r:id="rId11"/>
          <w:footerReference w:type="default" r:id="rId12"/>
          <w:pgSz w:w="12240" w:h="15840"/>
          <w:pgMar w:top="1440" w:right="1440" w:bottom="1440" w:left="1440" w:header="720" w:footer="1440" w:gutter="0"/>
          <w:cols w:space="720"/>
          <w:noEndnote/>
          <w:docGrid w:linePitch="326"/>
        </w:sectPr>
      </w:pPr>
    </w:p>
    <w:p w:rsidR="009E1D15" w:rsidRPr="00B7618A" w:rsidP="00704F82" w14:paraId="4DF1BF63" w14:textId="4B45FFDA">
      <w:pPr>
        <w:pStyle w:val="Heading1"/>
      </w:pPr>
      <w:bookmarkStart w:id="28" w:name="_Toc103778452"/>
      <w:bookmarkStart w:id="29" w:name="_Toc118451100"/>
      <w:r>
        <w:t>Respondents and Information Collected</w:t>
      </w:r>
      <w:bookmarkEnd w:id="28"/>
      <w:bookmarkEnd w:id="29"/>
    </w:p>
    <w:p w:rsidR="00D15B71" w:rsidP="00D15B71" w14:paraId="21293469" w14:textId="70059ED8">
      <w:pPr>
        <w:pStyle w:val="BodyText"/>
      </w:pPr>
      <w:r>
        <w:t xml:space="preserve">This section describes the respondents and information </w:t>
      </w:r>
      <w:r w:rsidR="00817744">
        <w:t>EPA will collect</w:t>
      </w:r>
      <w:r>
        <w:t>.</w:t>
      </w:r>
    </w:p>
    <w:p w:rsidR="009E1D15" w:rsidRPr="00B7618A" w:rsidP="00704F82" w14:paraId="3CFAE689" w14:textId="77777777">
      <w:pPr>
        <w:pStyle w:val="Heading2"/>
      </w:pPr>
      <w:bookmarkStart w:id="30" w:name="_Toc103778453"/>
      <w:bookmarkStart w:id="31" w:name="_Toc118451101"/>
      <w:r w:rsidRPr="00B7618A">
        <w:t>Respondents/</w:t>
      </w:r>
      <w:r w:rsidRPr="00B7618A">
        <w:rPr>
          <w:caps/>
        </w:rPr>
        <w:t>Naics</w:t>
      </w:r>
      <w:r w:rsidRPr="00B7618A">
        <w:t xml:space="preserve"> Codes</w:t>
      </w:r>
      <w:bookmarkEnd w:id="30"/>
      <w:bookmarkEnd w:id="31"/>
    </w:p>
    <w:p w:rsidR="009E1D15" w:rsidRPr="00B7618A" w:rsidP="005A75FD" w14:paraId="215766C5" w14:textId="0B96F956">
      <w:pPr>
        <w:pStyle w:val="BodyText"/>
      </w:pPr>
      <w:r>
        <w:t>This section</w:t>
      </w:r>
      <w:r w:rsidRPr="00B7618A">
        <w:t xml:space="preserve"> describes the </w:t>
      </w:r>
      <w:r w:rsidRPr="00B7618A" w:rsidR="00450E20">
        <w:t>“</w:t>
      </w:r>
      <w:r w:rsidRPr="00B7618A">
        <w:t>universe</w:t>
      </w:r>
      <w:r w:rsidRPr="00B7618A" w:rsidR="00810772">
        <w:t>”</w:t>
      </w:r>
      <w:r w:rsidRPr="00B7618A" w:rsidR="00450E20">
        <w:t xml:space="preserve"> </w:t>
      </w:r>
      <w:r w:rsidRPr="00B7618A">
        <w:t>of potential respondents.</w:t>
      </w:r>
      <w:r w:rsidR="00F701C7">
        <w:t xml:space="preserve"> </w:t>
      </w:r>
      <w:r>
        <w:t>Section</w:t>
      </w:r>
      <w:r w:rsidRPr="00B7618A">
        <w:t xml:space="preserve"> </w:t>
      </w:r>
      <w:r>
        <w:fldChar w:fldCharType="begin"/>
      </w:r>
      <w:r>
        <w:instrText xml:space="preserve"> REF _Ref403051913 \r \h </w:instrText>
      </w:r>
      <w:r>
        <w:fldChar w:fldCharType="separate"/>
      </w:r>
      <w:r>
        <w:t>6</w:t>
      </w:r>
      <w:r>
        <w:fldChar w:fldCharType="end"/>
      </w:r>
      <w:r w:rsidRPr="00B7618A">
        <w:t xml:space="preserve"> </w:t>
      </w:r>
      <w:r>
        <w:t>provides e</w:t>
      </w:r>
      <w:r w:rsidRPr="00B7618A">
        <w:t>stimate</w:t>
      </w:r>
      <w:r w:rsidR="00D15B71">
        <w:t>s of the number of respondents that will</w:t>
      </w:r>
      <w:r w:rsidRPr="00B7618A">
        <w:t xml:space="preserve"> submit information annually</w:t>
      </w:r>
      <w:r w:rsidRPr="00817744">
        <w:t xml:space="preserve"> </w:t>
      </w:r>
      <w:r>
        <w:t>to EPA</w:t>
      </w:r>
      <w:r w:rsidRPr="00B7618A">
        <w:t>.</w:t>
      </w:r>
    </w:p>
    <w:p w:rsidR="00B5091A" w:rsidP="005A75FD" w14:paraId="17ADBE27" w14:textId="0D4BF1F8">
      <w:pPr>
        <w:pStyle w:val="BodyText"/>
      </w:pPr>
      <w:r w:rsidRPr="00B7618A">
        <w:t xml:space="preserve">The </w:t>
      </w:r>
      <w:r w:rsidRPr="00B7618A" w:rsidR="00E03559">
        <w:t>WQS</w:t>
      </w:r>
      <w:r w:rsidRPr="00B7618A">
        <w:t xml:space="preserve"> </w:t>
      </w:r>
      <w:r w:rsidRPr="00B7618A" w:rsidR="00CD4947">
        <w:t>r</w:t>
      </w:r>
      <w:r w:rsidRPr="00B7618A">
        <w:t>egulation</w:t>
      </w:r>
      <w:r w:rsidRPr="00B7618A" w:rsidR="00CD4947">
        <w:t xml:space="preserve"> at 40 CFR </w:t>
      </w:r>
      <w:r w:rsidR="005A381F">
        <w:t>p</w:t>
      </w:r>
      <w:r w:rsidR="009E2A7B">
        <w:t>art</w:t>
      </w:r>
      <w:r w:rsidR="00F43A01">
        <w:t> </w:t>
      </w:r>
      <w:r w:rsidRPr="00B7618A" w:rsidR="00CD4947">
        <w:t>131</w:t>
      </w:r>
      <w:r w:rsidRPr="00B7618A">
        <w:t xml:space="preserve"> requires reporting at least once every three years from </w:t>
      </w:r>
      <w:r w:rsidR="00F61AEA">
        <w:t>103</w:t>
      </w:r>
      <w:r w:rsidRPr="00B7618A" w:rsidR="008D781B">
        <w:t xml:space="preserve"> </w:t>
      </w:r>
      <w:r w:rsidRPr="00B7618A">
        <w:t>jurisdictions</w:t>
      </w:r>
      <w:r w:rsidRPr="00B7618A" w:rsidR="00F11708">
        <w:t xml:space="preserve"> </w:t>
      </w:r>
      <w:r w:rsidRPr="00B7618A" w:rsidR="00990946">
        <w:t>–</w:t>
      </w:r>
      <w:r w:rsidRPr="00B7618A" w:rsidR="00F11708">
        <w:t xml:space="preserve"> </w:t>
      </w:r>
      <w:r w:rsidRPr="00B7618A">
        <w:t>5</w:t>
      </w:r>
      <w:r w:rsidR="000251A8">
        <w:t>0</w:t>
      </w:r>
      <w:r w:rsidRPr="00B7618A">
        <w:t xml:space="preserve"> </w:t>
      </w:r>
      <w:r w:rsidRPr="00B7618A" w:rsidR="00CD3249">
        <w:t>s</w:t>
      </w:r>
      <w:r w:rsidRPr="00B7618A">
        <w:t>tates</w:t>
      </w:r>
      <w:r w:rsidR="000251A8">
        <w:t>, 5 territories, the</w:t>
      </w:r>
      <w:r w:rsidR="00FF1705">
        <w:t xml:space="preserve"> District of Columbia</w:t>
      </w:r>
      <w:r w:rsidRPr="00B7618A">
        <w:t xml:space="preserve">, and the </w:t>
      </w:r>
      <w:r w:rsidRPr="00B7618A" w:rsidR="00B2406D">
        <w:t>4</w:t>
      </w:r>
      <w:r w:rsidR="00F61AEA">
        <w:t>7</w:t>
      </w:r>
      <w:r w:rsidRPr="00B7618A" w:rsidR="008D781B">
        <w:t xml:space="preserve"> </w:t>
      </w:r>
      <w:r w:rsidRPr="00B7618A" w:rsidR="00A22639">
        <w:t>authorized tribes</w:t>
      </w:r>
      <w:r w:rsidRPr="00B7618A">
        <w:t xml:space="preserve"> that have </w:t>
      </w:r>
      <w:r w:rsidRPr="00B7618A" w:rsidR="00A22639">
        <w:t>EPA-approved WQS in place</w:t>
      </w:r>
      <w:r w:rsidRPr="00B7618A" w:rsidR="00E81D62">
        <w:t>.</w:t>
      </w:r>
      <w:r>
        <w:rPr>
          <w:rStyle w:val="FootnoteReference"/>
          <w:color w:val="000000"/>
        </w:rPr>
        <w:footnoteReference w:id="5"/>
      </w:r>
    </w:p>
    <w:p w:rsidR="00B5091A" w:rsidP="00B5091A" w14:paraId="1FF90095" w14:textId="1144F2B0">
      <w:pPr>
        <w:pStyle w:val="Acronyms"/>
        <w:rPr>
          <w:rFonts w:eastAsia="Garamond"/>
        </w:rPr>
      </w:pPr>
      <w:r w:rsidRPr="00EA1F73">
        <w:t xml:space="preserve">EPA does not anticipate this rule will impose any compliance costs </w:t>
      </w:r>
      <w:r>
        <w:t xml:space="preserve">on the District of Columbia or any U.S. territories </w:t>
      </w:r>
      <w:r w:rsidRPr="00EA1F73">
        <w:t xml:space="preserve">because EPA is not aware of any federally recognized tribes with reserved rights in or downstream of </w:t>
      </w:r>
      <w:r w:rsidR="00F44C0A">
        <w:t>these jurisdictions</w:t>
      </w:r>
      <w:r>
        <w:t xml:space="preserve">. </w:t>
      </w:r>
      <w:r>
        <w:rPr>
          <w:rFonts w:eastAsia="Garamond"/>
        </w:rPr>
        <w:t xml:space="preserve">EPA also does not anticipate costs to </w:t>
      </w:r>
      <w:r w:rsidRPr="00DB5266">
        <w:rPr>
          <w:rFonts w:eastAsia="Garamond"/>
        </w:rPr>
        <w:t>authorized tribes</w:t>
      </w:r>
      <w:r>
        <w:rPr>
          <w:rFonts w:eastAsia="Garamond"/>
        </w:rPr>
        <w:t xml:space="preserve"> because:</w:t>
      </w:r>
    </w:p>
    <w:p w:rsidR="00B5091A" w:rsidRPr="004033C2" w:rsidP="00B5091A" w14:paraId="2E98141E" w14:textId="767E1878">
      <w:pPr>
        <w:pStyle w:val="Acronyms"/>
        <w:numPr>
          <w:ilvl w:val="0"/>
          <w:numId w:val="28"/>
        </w:numPr>
        <w:rPr>
          <w:rFonts w:eastAsia="Garamond"/>
        </w:rPr>
      </w:pPr>
      <w:r w:rsidRPr="004033C2">
        <w:rPr>
          <w:rFonts w:eastAsia="Garamond"/>
        </w:rPr>
        <w:t>EPA anticipates that few, if any tribes have reserved rights to resources on another tribe’s reservation</w:t>
      </w:r>
      <w:r>
        <w:rPr>
          <w:rFonts w:eastAsia="Garamond"/>
        </w:rPr>
        <w:t xml:space="preserve"> or otherwise under the jurisdiction of another tribe</w:t>
      </w:r>
      <w:r w:rsidRPr="004033C2">
        <w:rPr>
          <w:rFonts w:eastAsia="Garamond"/>
        </w:rPr>
        <w:t xml:space="preserve">. </w:t>
      </w:r>
    </w:p>
    <w:p w:rsidR="00B5091A" w:rsidP="00B5091A" w14:paraId="1B48A163" w14:textId="2F510AAD">
      <w:pPr>
        <w:pStyle w:val="Acronyms"/>
        <w:numPr>
          <w:ilvl w:val="0"/>
          <w:numId w:val="28"/>
        </w:numPr>
        <w:rPr>
          <w:rFonts w:eastAsia="Garamond"/>
        </w:rPr>
      </w:pPr>
      <w:r>
        <w:rPr>
          <w:rFonts w:eastAsia="Garamond"/>
        </w:rPr>
        <w:t xml:space="preserve">EPA anticipates that should there be authorized tribes </w:t>
      </w:r>
      <w:r>
        <w:rPr>
          <w:rFonts w:eastAsia="Garamond"/>
        </w:rPr>
        <w:t xml:space="preserve">with </w:t>
      </w:r>
      <w:r w:rsidRPr="00DD7CB2" w:rsidR="00DD7CB2">
        <w:rPr>
          <w:rFonts w:eastAsia="Garamond"/>
        </w:rPr>
        <w:t>EPA-approved authority to administer a WQS program for waters where one or more other tribes hold</w:t>
      </w:r>
      <w:r>
        <w:rPr>
          <w:rFonts w:eastAsia="Garamond"/>
        </w:rPr>
        <w:t xml:space="preserve"> reserved right</w:t>
      </w:r>
      <w:r w:rsidR="006B41BF">
        <w:rPr>
          <w:rFonts w:eastAsia="Garamond"/>
        </w:rPr>
        <w:t>s</w:t>
      </w:r>
      <w:r>
        <w:rPr>
          <w:rFonts w:eastAsia="Garamond"/>
        </w:rPr>
        <w:t xml:space="preserve">, </w:t>
      </w:r>
      <w:r>
        <w:rPr>
          <w:rFonts w:eastAsia="Garamond"/>
        </w:rPr>
        <w:t xml:space="preserve">their interests may align such that any adopted WQS would reflect protecting such rights in the absence of this proposed rule. Should this not be the case, then authorized tribes could be subject to similar administrative costs as presented </w:t>
      </w:r>
      <w:r>
        <w:rPr>
          <w:rFonts w:eastAsia="Garamond"/>
        </w:rPr>
        <w:t xml:space="preserve">below for states. </w:t>
      </w:r>
    </w:p>
    <w:p w:rsidR="000251A8" w:rsidP="005A75FD" w14:paraId="219E407B" w14:textId="456B78CC">
      <w:pPr>
        <w:pStyle w:val="BodyText"/>
      </w:pPr>
      <w:r>
        <w:t xml:space="preserve">Therefore, EPA anticipates </w:t>
      </w:r>
      <w:r>
        <w:t xml:space="preserve">the universe of potential respondents to be the 50 states. </w:t>
      </w:r>
    </w:p>
    <w:p w:rsidR="009E1D15" w:rsidP="005A75FD" w14:paraId="0CC262EC" w14:textId="299C0C92">
      <w:pPr>
        <w:pStyle w:val="BodyText"/>
      </w:pPr>
      <w:r w:rsidRPr="00B7618A">
        <w:t xml:space="preserve">The respondents affected by this collection activity are in NAICS code 92411 </w:t>
      </w:r>
      <w:r w:rsidRPr="00B7618A" w:rsidR="00450E20">
        <w:t>“</w:t>
      </w:r>
      <w:r w:rsidRPr="00B7618A">
        <w:t>Administration of Air and Water Resources and Solid Waste Management</w:t>
      </w:r>
      <w:r w:rsidRPr="00B7618A" w:rsidR="00F061FC">
        <w:t xml:space="preserve"> Programs</w:t>
      </w:r>
      <w:r w:rsidRPr="00B7618A">
        <w:t>,</w:t>
      </w:r>
      <w:r w:rsidRPr="00B7618A" w:rsidR="00450E20">
        <w:t>”</w:t>
      </w:r>
      <w:r w:rsidRPr="00B7618A">
        <w:t xml:space="preserve"> formerly SIC 9511.</w:t>
      </w:r>
    </w:p>
    <w:p w:rsidR="004E1FE9" w:rsidRPr="004E1FE9" w:rsidP="004E1FE9" w14:paraId="301C8C99" w14:textId="77777777">
      <w:pPr>
        <w:pStyle w:val="BodyText"/>
      </w:pPr>
      <w:bookmarkStart w:id="32" w:name="_Hlk117154643"/>
      <w:r w:rsidRPr="004E1FE9">
        <w:t>While tribal right holders would not be required to provide any specific information in any specific format and therefore would not be direct respondents</w:t>
      </w:r>
      <w:bookmarkEnd w:id="32"/>
      <w:r w:rsidRPr="004E1FE9">
        <w:t>, EPA acknowledges that the proposed regulation would require that state submissions be informed by the right holders. EPA believes this would not lead to increased burden on right holders because the proposed rule would not require any additional coordination beyond that which already occurs in connection with the WQS public participation processes and EPA’s consultations with tribal governments.</w:t>
      </w:r>
    </w:p>
    <w:p w:rsidR="004E1FE9" w:rsidRPr="00B7618A" w:rsidP="005A75FD" w14:paraId="629B0DE3" w14:textId="02A24C59">
      <w:pPr>
        <w:pStyle w:val="BodyText"/>
      </w:pPr>
      <w:r w:rsidRPr="004E1FE9">
        <w:t>EPA requests comment on this conclusion.</w:t>
      </w:r>
    </w:p>
    <w:p w:rsidR="00687E7D" w:rsidRPr="00B7618A" w:rsidP="00704F82" w14:paraId="432DF6AC" w14:textId="77777777">
      <w:pPr>
        <w:pStyle w:val="Heading2"/>
      </w:pPr>
      <w:bookmarkStart w:id="33" w:name="_Toc103778454"/>
      <w:bookmarkStart w:id="34" w:name="_Toc118451102"/>
      <w:r w:rsidRPr="00B7618A">
        <w:t>Information Requested</w:t>
      </w:r>
      <w:bookmarkEnd w:id="33"/>
      <w:bookmarkEnd w:id="34"/>
    </w:p>
    <w:p w:rsidR="003269B8" w:rsidP="009E2A7B" w14:paraId="4297232B" w14:textId="72EB55D7">
      <w:pPr>
        <w:pStyle w:val="BodyText"/>
      </w:pPr>
      <w:r>
        <w:t xml:space="preserve">All information requested in this ICR would be required by the proposed rule. </w:t>
      </w:r>
    </w:p>
    <w:p w:rsidR="003269B8" w:rsidP="003269B8" w14:paraId="485BDBBD" w14:textId="704D6EE6">
      <w:pPr>
        <w:pStyle w:val="BodyText"/>
      </w:pPr>
      <w:r>
        <w:t xml:space="preserve">The rule may require states to perform a WQS rulemaking for the purpose of </w:t>
      </w:r>
      <w:r>
        <w:t>ensuring state WQS protect tribal reserved rights</w:t>
      </w:r>
      <w:r>
        <w:t>.</w:t>
      </w:r>
      <w:r w:rsidR="00433B9B">
        <w:t xml:space="preserve"> </w:t>
      </w:r>
      <w:r>
        <w:t>State WQS</w:t>
      </w:r>
      <w:r>
        <w:t xml:space="preserve"> are subject to EPA review and approval</w:t>
      </w:r>
      <w:r>
        <w:t>,</w:t>
      </w:r>
      <w:r>
        <w:t xml:space="preserve"> and </w:t>
      </w:r>
      <w:r>
        <w:t>s</w:t>
      </w:r>
      <w:r>
        <w:t xml:space="preserve">tates must submit </w:t>
      </w:r>
      <w:r w:rsidR="000251A8">
        <w:t>new and revised</w:t>
      </w:r>
      <w:r>
        <w:t xml:space="preserve"> WQS </w:t>
      </w:r>
      <w:r w:rsidRPr="00B7618A">
        <w:t>to EPA</w:t>
      </w:r>
      <w:r>
        <w:t xml:space="preserve"> along with supporting information documenting the WQS’ compliance with the CWA and implementing regulations at 40 CFR Part 131.</w:t>
      </w:r>
    </w:p>
    <w:p w:rsidR="003269B8" w:rsidP="003269B8" w14:paraId="303F7E4B" w14:textId="7CA5A922">
      <w:pPr>
        <w:pStyle w:val="BodyText"/>
      </w:pPr>
      <w:r>
        <w:t xml:space="preserve">The proposed rule would require that, where applicable, states include in their submission information which will aid EPA in evaluating whether the submission protects tribal reserved rights, including: </w:t>
      </w:r>
    </w:p>
    <w:p w:rsidR="003269B8" w:rsidP="003269B8" w14:paraId="0EDCC4F6" w14:textId="119B2317">
      <w:pPr>
        <w:pStyle w:val="BodyText"/>
      </w:pPr>
      <w:r>
        <w:t xml:space="preserve">(1) Information about the scope, nature, and current and past use of the tribal reserved rights; and, </w:t>
      </w:r>
    </w:p>
    <w:p w:rsidR="009E2A7B" w:rsidRPr="00B7618A" w:rsidP="003269B8" w14:paraId="34FA8C70" w14:textId="467CD04F">
      <w:pPr>
        <w:pStyle w:val="BodyText"/>
      </w:pPr>
      <w:r>
        <w:t>(2) Data and methods used to develop the water quality standards.</w:t>
      </w:r>
    </w:p>
    <w:p w:rsidR="009E1D15" w:rsidRPr="00B7618A" w:rsidP="00704F82" w14:paraId="0517F31A" w14:textId="77777777">
      <w:pPr>
        <w:pStyle w:val="Heading2"/>
      </w:pPr>
      <w:bookmarkStart w:id="35" w:name="_Toc406051424"/>
      <w:bookmarkStart w:id="36" w:name="_Toc103778455"/>
      <w:bookmarkStart w:id="37" w:name="_Toc118451103"/>
      <w:bookmarkEnd w:id="35"/>
      <w:r w:rsidRPr="00B7618A">
        <w:t>Respondent Activities</w:t>
      </w:r>
      <w:bookmarkEnd w:id="36"/>
      <w:bookmarkEnd w:id="37"/>
    </w:p>
    <w:p w:rsidR="009E1D15" w:rsidRPr="00B7618A" w:rsidP="005A75FD" w14:paraId="62C84939" w14:textId="5F286854">
      <w:pPr>
        <w:pStyle w:val="BodyText"/>
      </w:pPr>
      <w:r>
        <w:t>E</w:t>
      </w:r>
      <w:r w:rsidRPr="00B7618A" w:rsidR="00E01A0B">
        <w:t>PA</w:t>
      </w:r>
      <w:r w:rsidRPr="00B7618A" w:rsidR="001F426D">
        <w:t xml:space="preserve"> </w:t>
      </w:r>
      <w:r w:rsidRPr="00B7618A">
        <w:t xml:space="preserve">identified the following activities </w:t>
      </w:r>
      <w:r w:rsidR="00EC7F29">
        <w:t xml:space="preserve">states may </w:t>
      </w:r>
      <w:r w:rsidRPr="00B7618A">
        <w:t xml:space="preserve">to </w:t>
      </w:r>
      <w:r w:rsidR="00EC7F29">
        <w:t xml:space="preserve">need to undertake </w:t>
      </w:r>
      <w:r w:rsidR="00EC7F29">
        <w:t>as a result of</w:t>
      </w:r>
      <w:r w:rsidR="00EC7F29">
        <w:t xml:space="preserve"> the rule</w:t>
      </w:r>
      <w:r w:rsidR="00635D0E">
        <w:t>:</w:t>
      </w:r>
    </w:p>
    <w:p w:rsidR="001B5FB2" w:rsidP="00381864" w14:paraId="6C978ACC" w14:textId="77777777">
      <w:pPr>
        <w:pStyle w:val="bulletlist"/>
        <w:numPr>
          <w:ilvl w:val="0"/>
          <w:numId w:val="11"/>
        </w:numPr>
      </w:pPr>
      <w:r>
        <w:t xml:space="preserve">Searching data sources </w:t>
      </w:r>
      <w:r w:rsidR="008C1612">
        <w:t>to determine the scope and nature of applicable tribal reserved rights and the level of protection necessary to protect those rights.</w:t>
      </w:r>
      <w:r>
        <w:t xml:space="preserve"> </w:t>
      </w:r>
    </w:p>
    <w:p w:rsidR="00F61AEA" w:rsidP="00381864" w14:paraId="6BD6E347" w14:textId="56B99FDA">
      <w:pPr>
        <w:pStyle w:val="bulletlist"/>
        <w:numPr>
          <w:ilvl w:val="0"/>
          <w:numId w:val="11"/>
        </w:numPr>
      </w:pPr>
      <w:r>
        <w:t>C</w:t>
      </w:r>
      <w:r w:rsidRPr="001B5FB2">
        <w:t xml:space="preserve">oordinating </w:t>
      </w:r>
      <w:r>
        <w:t xml:space="preserve">as necessary </w:t>
      </w:r>
      <w:r w:rsidRPr="001B5FB2">
        <w:t xml:space="preserve">with EPA, other state and federal agencies, and federally recognized tribes within their jurisdiction as well as those outside their jurisdiction who may hold reserved rights to </w:t>
      </w:r>
      <w:r w:rsidR="00107DF8">
        <w:t xml:space="preserve">aquatic and </w:t>
      </w:r>
      <w:r w:rsidRPr="001B5FB2">
        <w:t>aquatic-dependent resources within their jurisdiction</w:t>
      </w:r>
      <w:r>
        <w:t xml:space="preserve">. </w:t>
      </w:r>
    </w:p>
    <w:p w:rsidR="00FB69FE" w:rsidP="00381864" w14:paraId="10774E84" w14:textId="474E9847">
      <w:pPr>
        <w:pStyle w:val="bulletlist"/>
        <w:numPr>
          <w:ilvl w:val="0"/>
          <w:numId w:val="11"/>
        </w:numPr>
      </w:pPr>
      <w:r>
        <w:t>I</w:t>
      </w:r>
      <w:r w:rsidRPr="005A75FD" w:rsidR="009E1D15">
        <w:t xml:space="preserve">dentifying </w:t>
      </w:r>
      <w:r w:rsidR="008C1612">
        <w:t xml:space="preserve">and prioritizing </w:t>
      </w:r>
      <w:r w:rsidR="004A7961">
        <w:t>WQS</w:t>
      </w:r>
      <w:r w:rsidRPr="005A75FD" w:rsidR="004A7961">
        <w:t xml:space="preserve"> </w:t>
      </w:r>
      <w:r w:rsidR="004A7961">
        <w:t>that need to</w:t>
      </w:r>
      <w:r w:rsidRPr="005A75FD" w:rsidR="004A7961">
        <w:t xml:space="preserve"> </w:t>
      </w:r>
      <w:r w:rsidRPr="005A75FD" w:rsidR="009E1D15">
        <w:t xml:space="preserve">be </w:t>
      </w:r>
      <w:r w:rsidR="008C1612">
        <w:t>updated</w:t>
      </w:r>
      <w:r w:rsidRPr="005A75FD" w:rsidR="009E1D15">
        <w:t xml:space="preserve">, </w:t>
      </w:r>
      <w:r w:rsidRPr="005A75FD" w:rsidR="009E1D15">
        <w:t>gathering</w:t>
      </w:r>
      <w:r w:rsidRPr="005A75FD" w:rsidR="009E1D15">
        <w:t xml:space="preserve"> and analyzing existing water quality data and waterbody use information as needed</w:t>
      </w:r>
      <w:r w:rsidR="00D44608">
        <w:t>, and planning</w:t>
      </w:r>
      <w:r w:rsidRPr="005A75FD" w:rsidR="009E1D15">
        <w:t xml:space="preserve"> activities </w:t>
      </w:r>
      <w:r w:rsidR="00D44608">
        <w:t xml:space="preserve">such as </w:t>
      </w:r>
      <w:r w:rsidRPr="005A75FD" w:rsidR="009E1D15">
        <w:t>developing site-</w:t>
      </w:r>
      <w:r w:rsidR="00D44608">
        <w:t>specific criteria</w:t>
      </w:r>
      <w:r>
        <w:t>, revising waterbody designated uses, and revising antidegradation protection tiers</w:t>
      </w:r>
      <w:r w:rsidRPr="005A75FD" w:rsidR="009E1D15">
        <w:t>.</w:t>
      </w:r>
    </w:p>
    <w:p w:rsidR="003C02FF" w:rsidRPr="003C02FF" w:rsidP="00381864" w14:paraId="02307360" w14:textId="74AA477C">
      <w:pPr>
        <w:pStyle w:val="bulletlist"/>
        <w:numPr>
          <w:ilvl w:val="0"/>
          <w:numId w:val="11"/>
        </w:numPr>
      </w:pPr>
      <w:r w:rsidRPr="00D44608">
        <w:t>Initiat</w:t>
      </w:r>
      <w:r w:rsidR="00970F30">
        <w:t>ing</w:t>
      </w:r>
      <w:r w:rsidRPr="00D44608">
        <w:t xml:space="preserve"> rulemaking activities</w:t>
      </w:r>
      <w:r w:rsidR="00D44608">
        <w:t xml:space="preserve">, including </w:t>
      </w:r>
      <w:r w:rsidRPr="003C02FF">
        <w:t>new efforts or increase</w:t>
      </w:r>
      <w:r w:rsidR="00D44608">
        <w:t>d</w:t>
      </w:r>
      <w:r w:rsidRPr="003C02FF">
        <w:t xml:space="preserve"> scope of other planned regulatory changes.</w:t>
      </w:r>
    </w:p>
    <w:p w:rsidR="003C02FF" w:rsidRPr="003C02FF" w:rsidP="00381864" w14:paraId="3E2E65CD" w14:textId="6E72BF29">
      <w:pPr>
        <w:pStyle w:val="bulletlist"/>
        <w:numPr>
          <w:ilvl w:val="0"/>
          <w:numId w:val="11"/>
        </w:numPr>
      </w:pPr>
      <w:r>
        <w:t>Compiling and developing materials to support public proposal</w:t>
      </w:r>
      <w:r w:rsidR="00CA6A87">
        <w:t>s</w:t>
      </w:r>
      <w:r>
        <w:t xml:space="preserve"> </w:t>
      </w:r>
      <w:r w:rsidR="007E3907">
        <w:t xml:space="preserve">of revised WQS </w:t>
      </w:r>
      <w:r>
        <w:t>and submission to EPA</w:t>
      </w:r>
      <w:r w:rsidRPr="003C02FF">
        <w:t xml:space="preserve">. </w:t>
      </w:r>
    </w:p>
    <w:p w:rsidR="001B5FB2" w:rsidP="00381864" w14:paraId="7178E34B" w14:textId="77777777">
      <w:pPr>
        <w:pStyle w:val="bulletlist"/>
        <w:numPr>
          <w:ilvl w:val="0"/>
          <w:numId w:val="11"/>
        </w:numPr>
      </w:pPr>
      <w:r>
        <w:t>P</w:t>
      </w:r>
      <w:r w:rsidRPr="005A75FD" w:rsidR="009E1D15">
        <w:t>reparing</w:t>
      </w:r>
      <w:r>
        <w:t>,</w:t>
      </w:r>
      <w:r w:rsidRPr="005A75FD" w:rsidR="009E1D15">
        <w:t xml:space="preserve"> </w:t>
      </w:r>
      <w:r w:rsidRPr="005A75FD" w:rsidR="009E1D15">
        <w:t>reviewing</w:t>
      </w:r>
      <w:r w:rsidRPr="005A75FD" w:rsidR="009E1D15">
        <w:t xml:space="preserve"> </w:t>
      </w:r>
      <w:r>
        <w:t xml:space="preserve">and completing </w:t>
      </w:r>
      <w:r w:rsidRPr="005A75FD" w:rsidR="009E1D15">
        <w:t xml:space="preserve">the revised </w:t>
      </w:r>
      <w:r w:rsidR="00982F3D">
        <w:t xml:space="preserve">WQS </w:t>
      </w:r>
      <w:r w:rsidRPr="005A75FD" w:rsidR="009E1D15">
        <w:t>package</w:t>
      </w:r>
      <w:r>
        <w:t>.</w:t>
      </w:r>
    </w:p>
    <w:p w:rsidR="001B5FB2" w:rsidP="00381864" w14:paraId="439426F9" w14:textId="13A8D17C">
      <w:pPr>
        <w:pStyle w:val="bulletlist"/>
        <w:numPr>
          <w:ilvl w:val="0"/>
          <w:numId w:val="11"/>
        </w:numPr>
      </w:pPr>
      <w:r>
        <w:t>A</w:t>
      </w:r>
      <w:r w:rsidRPr="005A75FD" w:rsidR="009E1D15">
        <w:t xml:space="preserve">dopting the revised </w:t>
      </w:r>
      <w:r w:rsidR="00982F3D">
        <w:t>WQS</w:t>
      </w:r>
      <w:r w:rsidRPr="005A75FD" w:rsidR="009E1D15">
        <w:t xml:space="preserve"> </w:t>
      </w:r>
      <w:r w:rsidR="00982F3D">
        <w:t>a</w:t>
      </w:r>
      <w:r w:rsidRPr="005A75FD" w:rsidR="009E1D15">
        <w:t xml:space="preserve">ccording to </w:t>
      </w:r>
      <w:r w:rsidRPr="005A75FD" w:rsidR="00335507">
        <w:t>s</w:t>
      </w:r>
      <w:r w:rsidRPr="005A75FD" w:rsidR="00810244">
        <w:t>tates</w:t>
      </w:r>
      <w:r w:rsidR="00982F3D">
        <w:t>’</w:t>
      </w:r>
      <w:r w:rsidRPr="005A75FD" w:rsidR="00335507">
        <w:t xml:space="preserve"> </w:t>
      </w:r>
      <w:r w:rsidRPr="005A75FD" w:rsidR="009E1D15">
        <w:t xml:space="preserve">internal administrative procedures and </w:t>
      </w:r>
      <w:r w:rsidRPr="005A75FD" w:rsidR="00E01A0B">
        <w:t>EPA</w:t>
      </w:r>
      <w:r w:rsidRPr="005A75FD" w:rsidR="00810244">
        <w:t xml:space="preserve">’s </w:t>
      </w:r>
      <w:r w:rsidRPr="005A75FD" w:rsidR="009E1D15">
        <w:t>public participation requirements</w:t>
      </w:r>
      <w:r>
        <w:t>, including</w:t>
      </w:r>
      <w:r w:rsidRPr="005A75FD" w:rsidR="009E1D15">
        <w:t xml:space="preserve"> conducting public hearing</w:t>
      </w:r>
      <w:r w:rsidR="004A7961">
        <w:t>s</w:t>
      </w:r>
      <w:r>
        <w:t>.</w:t>
      </w:r>
    </w:p>
    <w:p w:rsidR="00AD6354" w:rsidP="00381864" w14:paraId="2F6639B4" w14:textId="1D837AC2">
      <w:pPr>
        <w:pStyle w:val="bulletlist"/>
        <w:numPr>
          <w:ilvl w:val="0"/>
          <w:numId w:val="11"/>
        </w:numPr>
      </w:pPr>
      <w:r>
        <w:t>S</w:t>
      </w:r>
      <w:r w:rsidRPr="005A75FD" w:rsidR="009E1D15">
        <w:t xml:space="preserve">ubmitting revised </w:t>
      </w:r>
      <w:r w:rsidR="00982F3D">
        <w:t>WQS</w:t>
      </w:r>
      <w:r w:rsidRPr="005A75FD" w:rsidR="009E1D15">
        <w:t xml:space="preserve"> to </w:t>
      </w:r>
      <w:r w:rsidRPr="005A75FD" w:rsidR="00E01A0B">
        <w:t>EPA</w:t>
      </w:r>
      <w:r w:rsidRPr="005A75FD" w:rsidR="009E1D15">
        <w:t xml:space="preserve"> for </w:t>
      </w:r>
      <w:r w:rsidR="004A7961">
        <w:t xml:space="preserve">review and </w:t>
      </w:r>
      <w:r w:rsidRPr="005A75FD" w:rsidR="009E1D15">
        <w:t>approval</w:t>
      </w:r>
      <w:r w:rsidR="004A7961">
        <w:t xml:space="preserve"> or disapproval</w:t>
      </w:r>
      <w:r w:rsidRPr="005A75FD" w:rsidR="009E1D15">
        <w:t>.</w:t>
      </w:r>
    </w:p>
    <w:p w:rsidR="00AD6354" w:rsidP="00381864" w14:paraId="4E7DAB88" w14:textId="77777777">
      <w:pPr>
        <w:pStyle w:val="BodyText"/>
        <w:ind w:left="360"/>
        <w:sectPr w:rsidSect="00893FAF">
          <w:pgSz w:w="12240" w:h="15840"/>
          <w:pgMar w:top="1440" w:right="1440" w:bottom="1440" w:left="1440" w:header="720" w:footer="1440" w:gutter="0"/>
          <w:cols w:space="720"/>
          <w:noEndnote/>
          <w:docGrid w:linePitch="326"/>
        </w:sectPr>
      </w:pPr>
    </w:p>
    <w:p w:rsidR="009E1D15" w:rsidRPr="00B7618A" w:rsidP="00704F82" w14:paraId="23C359FA" w14:textId="1C3BF3B8">
      <w:pPr>
        <w:pStyle w:val="Heading1"/>
      </w:pPr>
      <w:bookmarkStart w:id="38" w:name="_Toc103778456"/>
      <w:bookmarkStart w:id="39" w:name="_Toc118451104"/>
      <w:r>
        <w:t>Information Collected – Agency Activities, Collection Method</w:t>
      </w:r>
      <w:r w:rsidR="00EF254C">
        <w:t>s</w:t>
      </w:r>
      <w:r>
        <w:t>, and Information Management</w:t>
      </w:r>
      <w:bookmarkEnd w:id="38"/>
      <w:bookmarkEnd w:id="39"/>
    </w:p>
    <w:p w:rsidR="00E7083C" w:rsidP="00E7083C" w14:paraId="7EBB424A" w14:textId="4F0AA242">
      <w:pPr>
        <w:pStyle w:val="BodyText"/>
      </w:pPr>
      <w:r>
        <w:t>This section describes how EPA will collect and manage the information.</w:t>
      </w:r>
    </w:p>
    <w:p w:rsidR="009E1D15" w:rsidRPr="00B7618A" w:rsidP="00704F82" w14:paraId="2397AD4A" w14:textId="77777777">
      <w:pPr>
        <w:pStyle w:val="Heading2"/>
      </w:pPr>
      <w:bookmarkStart w:id="40" w:name="_Toc103778457"/>
      <w:bookmarkStart w:id="41" w:name="_Toc118451105"/>
      <w:r w:rsidRPr="00B7618A">
        <w:t>Agency Activities</w:t>
      </w:r>
      <w:bookmarkEnd w:id="40"/>
      <w:bookmarkEnd w:id="41"/>
    </w:p>
    <w:p w:rsidR="009E1D15" w:rsidRPr="00B7618A" w:rsidP="005A75FD" w14:paraId="7F78B951" w14:textId="0714440C">
      <w:pPr>
        <w:pStyle w:val="BodyText"/>
      </w:pPr>
      <w:r>
        <w:t>The CWA and implementing regulation require s</w:t>
      </w:r>
      <w:r w:rsidRPr="00B7618A">
        <w:t xml:space="preserve">tates to review and, as appropriate, revise </w:t>
      </w:r>
      <w:r w:rsidRPr="00B7618A" w:rsidR="00E03559">
        <w:t>WQS</w:t>
      </w:r>
      <w:r w:rsidRPr="00B7618A">
        <w:t xml:space="preserve"> at least once every three years.</w:t>
      </w:r>
      <w:r w:rsidRPr="00B7618A" w:rsidR="0068763C">
        <w:t xml:space="preserve"> </w:t>
      </w:r>
      <w:r w:rsidR="007D2CBE">
        <w:t xml:space="preserve">States must submit the </w:t>
      </w:r>
      <w:r w:rsidRPr="00B7618A">
        <w:t>results of such review</w:t>
      </w:r>
      <w:r>
        <w:t>s to EPA</w:t>
      </w:r>
      <w:r w:rsidR="001B5FB2">
        <w:t xml:space="preserve"> </w:t>
      </w:r>
      <w:r>
        <w:t>for review and approval or disapproval</w:t>
      </w:r>
      <w:r w:rsidRPr="00B7618A">
        <w:t>.</w:t>
      </w:r>
      <w:r w:rsidRPr="00B7618A" w:rsidR="0068763C">
        <w:t xml:space="preserve"> </w:t>
      </w:r>
      <w:r w:rsidRPr="00B7618A" w:rsidR="00E01A0B">
        <w:t>EPA</w:t>
      </w:r>
      <w:r w:rsidRPr="00B7618A">
        <w:t xml:space="preserve"> reviews the </w:t>
      </w:r>
      <w:r w:rsidRPr="00B7618A" w:rsidR="00563712">
        <w:t>s</w:t>
      </w:r>
      <w:r w:rsidRPr="00B7618A" w:rsidR="00810244">
        <w:t xml:space="preserve">tates’ </w:t>
      </w:r>
      <w:r w:rsidRPr="00B7618A" w:rsidR="00E03559">
        <w:t>WQS</w:t>
      </w:r>
      <w:r w:rsidRPr="00B7618A">
        <w:t xml:space="preserve"> for consistency with the CWA</w:t>
      </w:r>
      <w:r w:rsidRPr="00B7618A" w:rsidR="00563712">
        <w:t xml:space="preserve"> and the WQS regulation at 40 CFR </w:t>
      </w:r>
      <w:r w:rsidR="00FE653F">
        <w:t>Part</w:t>
      </w:r>
      <w:r w:rsidRPr="00B7618A" w:rsidR="00563712">
        <w:t xml:space="preserve"> 131</w:t>
      </w:r>
      <w:r w:rsidRPr="00B7618A">
        <w:t>.</w:t>
      </w:r>
      <w:r w:rsidRPr="00B7618A" w:rsidR="0068763C">
        <w:t xml:space="preserve"> </w:t>
      </w:r>
      <w:r w:rsidRPr="00B7618A">
        <w:t xml:space="preserve">If the </w:t>
      </w:r>
      <w:r w:rsidRPr="00B7618A" w:rsidR="00E03559">
        <w:t>WQS</w:t>
      </w:r>
      <w:r w:rsidRPr="00B7618A">
        <w:t xml:space="preserve"> are inconsistent with the Act</w:t>
      </w:r>
      <w:r w:rsidRPr="00B7618A" w:rsidR="005641CE">
        <w:t xml:space="preserve"> </w:t>
      </w:r>
      <w:r w:rsidR="00E61DB1">
        <w:t xml:space="preserve">or regulation </w:t>
      </w:r>
      <w:r w:rsidRPr="00B7618A" w:rsidR="005641CE">
        <w:t>and the state does not revise their WQS accordingly</w:t>
      </w:r>
      <w:r w:rsidRPr="00B7618A">
        <w:t xml:space="preserve">, </w:t>
      </w:r>
      <w:r w:rsidRPr="00B7618A" w:rsidR="00E01A0B">
        <w:t>EPA</w:t>
      </w:r>
      <w:r w:rsidRPr="00B7618A">
        <w:t xml:space="preserve"> must </w:t>
      </w:r>
      <w:r w:rsidR="00C378B0">
        <w:t>promptly propose</w:t>
      </w:r>
      <w:r w:rsidRPr="00B7618A">
        <w:t xml:space="preserve"> </w:t>
      </w:r>
      <w:r w:rsidRPr="00B7618A" w:rsidR="00563712">
        <w:t>f</w:t>
      </w:r>
      <w:r w:rsidRPr="00B7618A">
        <w:t xml:space="preserve">ederal </w:t>
      </w:r>
      <w:r w:rsidR="00C378B0">
        <w:t xml:space="preserve">replacement </w:t>
      </w:r>
      <w:r w:rsidR="007D2CBE">
        <w:t>WQS</w:t>
      </w:r>
      <w:r w:rsidRPr="00B7618A">
        <w:t>.</w:t>
      </w:r>
      <w:r w:rsidRPr="00B7618A" w:rsidR="0068763C">
        <w:t xml:space="preserve"> </w:t>
      </w:r>
    </w:p>
    <w:p w:rsidR="007D2CBE" w:rsidP="005A75FD" w14:paraId="4B77ED0E" w14:textId="5DBFFB3F">
      <w:pPr>
        <w:pStyle w:val="BodyText"/>
      </w:pPr>
      <w:r w:rsidRPr="00B7618A">
        <w:t>EPA</w:t>
      </w:r>
      <w:r w:rsidRPr="00B7618A" w:rsidR="009E1D15">
        <w:t xml:space="preserve"> conducts a range of activities to manage the </w:t>
      </w:r>
      <w:r w:rsidRPr="00B7618A" w:rsidR="00E03559">
        <w:t>WQS</w:t>
      </w:r>
      <w:r w:rsidRPr="00B7618A" w:rsidR="009E1D15">
        <w:t xml:space="preserve"> program. Activities related to but </w:t>
      </w:r>
      <w:r w:rsidRPr="00B7618A" w:rsidR="009E1D15">
        <w:rPr>
          <w:u w:val="single"/>
        </w:rPr>
        <w:t>not</w:t>
      </w:r>
      <w:r w:rsidRPr="00B7618A" w:rsidR="009E1D15">
        <w:t xml:space="preserve"> included in this ICR include</w:t>
      </w:r>
      <w:r>
        <w:t>:</w:t>
      </w:r>
    </w:p>
    <w:p w:rsidR="007D2CBE" w:rsidP="00381864" w14:paraId="65A6DAF0" w14:textId="50776954">
      <w:pPr>
        <w:pStyle w:val="BodyText"/>
        <w:numPr>
          <w:ilvl w:val="0"/>
          <w:numId w:val="23"/>
        </w:numPr>
      </w:pPr>
      <w:r>
        <w:t>T</w:t>
      </w:r>
      <w:r w:rsidRPr="00B7618A" w:rsidR="009E1D15">
        <w:t xml:space="preserve">ransmission of policy and guidance to the </w:t>
      </w:r>
      <w:r w:rsidRPr="00B7618A" w:rsidR="00563712">
        <w:t>s</w:t>
      </w:r>
      <w:r w:rsidRPr="00B7618A" w:rsidR="009E1D15">
        <w:t>tates</w:t>
      </w:r>
      <w:r w:rsidR="00BF1FD9">
        <w:t>,</w:t>
      </w:r>
    </w:p>
    <w:p w:rsidR="007D2CBE" w:rsidP="00381864" w14:paraId="74520947" w14:textId="08859132">
      <w:pPr>
        <w:pStyle w:val="BodyText"/>
        <w:numPr>
          <w:ilvl w:val="0"/>
          <w:numId w:val="23"/>
        </w:numPr>
      </w:pPr>
      <w:r>
        <w:t>D</w:t>
      </w:r>
      <w:r w:rsidRPr="00B7618A" w:rsidR="009E1D15">
        <w:t xml:space="preserve">evelopment of </w:t>
      </w:r>
      <w:r w:rsidR="00846429">
        <w:t xml:space="preserve">CWA Section 304(a) national </w:t>
      </w:r>
      <w:r w:rsidRPr="00B7618A" w:rsidR="009E1D15">
        <w:t>recommended water quality criteria</w:t>
      </w:r>
      <w:r>
        <w:t>,</w:t>
      </w:r>
    </w:p>
    <w:p w:rsidR="007D2CBE" w:rsidP="00381864" w14:paraId="274A4A4C" w14:textId="384C2CA7">
      <w:pPr>
        <w:pStyle w:val="BodyText"/>
        <w:numPr>
          <w:ilvl w:val="0"/>
          <w:numId w:val="23"/>
        </w:numPr>
      </w:pPr>
      <w:r>
        <w:t>A</w:t>
      </w:r>
      <w:r w:rsidR="00240814">
        <w:t>ssistance to</w:t>
      </w:r>
      <w:r w:rsidRPr="00B7618A" w:rsidR="00240814">
        <w:t xml:space="preserve"> </w:t>
      </w:r>
      <w:r w:rsidRPr="00417120" w:rsidR="00563712">
        <w:t>s</w:t>
      </w:r>
      <w:r w:rsidRPr="00417120" w:rsidR="009E1D15">
        <w:t xml:space="preserve">tates </w:t>
      </w:r>
      <w:r w:rsidRPr="00B7618A" w:rsidR="009E1D15">
        <w:t xml:space="preserve">in interpretation and implementation of </w:t>
      </w:r>
      <w:r w:rsidR="001E3F17">
        <w:t>laws and regulations</w:t>
      </w:r>
      <w:r w:rsidR="00FE763C">
        <w:t>,</w:t>
      </w:r>
    </w:p>
    <w:p w:rsidR="007D2CBE" w:rsidP="00381864" w14:paraId="3B8D7AB4" w14:textId="732B6E9E">
      <w:pPr>
        <w:pStyle w:val="BodyText"/>
        <w:numPr>
          <w:ilvl w:val="0"/>
          <w:numId w:val="23"/>
        </w:numPr>
      </w:pPr>
      <w:r>
        <w:t>C</w:t>
      </w:r>
      <w:r w:rsidRPr="00B7618A" w:rsidR="009E1D15">
        <w:t xml:space="preserve">oordination of activities related to standards with other CWA programs, with other federal agencies, and for interstate and international waters. </w:t>
      </w:r>
    </w:p>
    <w:p w:rsidR="009E1D15" w:rsidRPr="00B7618A" w:rsidP="005A75FD" w14:paraId="6ADCD569" w14:textId="3DA92D3F">
      <w:pPr>
        <w:pStyle w:val="BodyText"/>
      </w:pPr>
      <w:r w:rsidRPr="00B7618A">
        <w:t xml:space="preserve">See </w:t>
      </w:r>
      <w:r w:rsidRPr="00B7618A" w:rsidR="00E01A0B">
        <w:t>EPA</w:t>
      </w:r>
      <w:r w:rsidRPr="00B7618A" w:rsidR="00733419">
        <w:t>’</w:t>
      </w:r>
      <w:r w:rsidRPr="00B7618A">
        <w:t xml:space="preserve">s website, </w:t>
      </w:r>
      <w:hyperlink r:id="rId13" w:history="1">
        <w:r w:rsidRPr="00D41EB8" w:rsidR="00E7083C">
          <w:rPr>
            <w:rStyle w:val="Hyperlink"/>
          </w:rPr>
          <w:t>http://water.epa.gov/scitech/</w:t>
        </w:r>
      </w:hyperlink>
      <w:r w:rsidRPr="00BD3345" w:rsidR="00240814">
        <w:t>,</w:t>
      </w:r>
      <w:r w:rsidR="00240814">
        <w:t xml:space="preserve"> </w:t>
      </w:r>
      <w:r w:rsidRPr="00B7618A">
        <w:t>for more information.</w:t>
      </w:r>
    </w:p>
    <w:p w:rsidR="009E1D15" w:rsidRPr="00B7618A" w:rsidP="005A75FD" w14:paraId="10427D42" w14:textId="77777777">
      <w:pPr>
        <w:pStyle w:val="BodyText"/>
      </w:pPr>
      <w:r w:rsidRPr="00B7618A">
        <w:t xml:space="preserve">For this ICR, EPA activities associated with </w:t>
      </w:r>
      <w:r w:rsidRPr="00B7618A" w:rsidR="00E03559">
        <w:t>WQS</w:t>
      </w:r>
      <w:r w:rsidRPr="00B7618A">
        <w:t xml:space="preserve"> review include: </w:t>
      </w:r>
    </w:p>
    <w:p w:rsidR="009E1D15" w:rsidP="00381864" w14:paraId="7568D2EF" w14:textId="2DC86C50">
      <w:pPr>
        <w:pStyle w:val="bulletlist"/>
        <w:numPr>
          <w:ilvl w:val="0"/>
          <w:numId w:val="12"/>
        </w:numPr>
      </w:pPr>
      <w:r w:rsidRPr="00B7618A">
        <w:t xml:space="preserve">Reviewing </w:t>
      </w:r>
      <w:r w:rsidR="00E7083C">
        <w:t>WQS</w:t>
      </w:r>
      <w:r w:rsidRPr="00B7618A">
        <w:t xml:space="preserve"> revisions for consistency with the CWA</w:t>
      </w:r>
      <w:r w:rsidR="00EC2776">
        <w:t xml:space="preserve">, including protection of </w:t>
      </w:r>
      <w:r w:rsidR="001E3F17">
        <w:t>tribal reserved rights</w:t>
      </w:r>
      <w:r w:rsidRPr="00B7618A">
        <w:t>.</w:t>
      </w:r>
      <w:r w:rsidR="00433B9B">
        <w:t xml:space="preserve"> </w:t>
      </w:r>
    </w:p>
    <w:p w:rsidR="001E3F17" w:rsidRPr="00B7618A" w:rsidP="00381864" w14:paraId="70FA37BF" w14:textId="1C9599D5">
      <w:pPr>
        <w:pStyle w:val="bulletlist"/>
        <w:numPr>
          <w:ilvl w:val="0"/>
          <w:numId w:val="12"/>
        </w:numPr>
      </w:pPr>
      <w:r>
        <w:t>Initiating government-to-government consultation with all federally recognized tribes whose rights or interests may be affected by the WQS revision.</w:t>
      </w:r>
    </w:p>
    <w:p w:rsidR="009E1D15" w:rsidRPr="00B7618A" w:rsidP="00381864" w14:paraId="51710C0A" w14:textId="694DA420">
      <w:pPr>
        <w:pStyle w:val="bulletlist"/>
        <w:numPr>
          <w:ilvl w:val="0"/>
          <w:numId w:val="12"/>
        </w:numPr>
      </w:pPr>
      <w:r w:rsidRPr="00B7618A">
        <w:t xml:space="preserve">Preparing and sending a letter to the </w:t>
      </w:r>
      <w:r w:rsidRPr="00B7618A" w:rsidR="00563712">
        <w:t>s</w:t>
      </w:r>
      <w:r w:rsidRPr="00B7618A">
        <w:t xml:space="preserve">tate conveying </w:t>
      </w:r>
      <w:r w:rsidRPr="00B7618A" w:rsidR="00E01A0B">
        <w:t>EPA</w:t>
      </w:r>
      <w:r w:rsidRPr="00B7618A" w:rsidR="003473F0">
        <w:t>’</w:t>
      </w:r>
      <w:r w:rsidRPr="00B7618A">
        <w:t>s approval or disapproval decision(s).</w:t>
      </w:r>
    </w:p>
    <w:p w:rsidR="009E1D15" w:rsidRPr="00B7618A" w:rsidP="00381864" w14:paraId="78E7C727" w14:textId="4591CA92">
      <w:pPr>
        <w:pStyle w:val="bulletlist"/>
        <w:numPr>
          <w:ilvl w:val="0"/>
          <w:numId w:val="12"/>
        </w:numPr>
      </w:pPr>
      <w:r w:rsidRPr="00B7618A">
        <w:t>Determining</w:t>
      </w:r>
      <w:r w:rsidRPr="00B7618A">
        <w:t xml:space="preserve"> </w:t>
      </w:r>
      <w:r w:rsidR="00240814">
        <w:t>whether</w:t>
      </w:r>
      <w:r w:rsidRPr="00B7618A" w:rsidR="00240814">
        <w:t xml:space="preserve"> </w:t>
      </w:r>
      <w:r w:rsidRPr="00B7618A" w:rsidR="00563712">
        <w:t>f</w:t>
      </w:r>
      <w:r w:rsidRPr="00B7618A">
        <w:t xml:space="preserve">ederal </w:t>
      </w:r>
      <w:r w:rsidRPr="00B7618A" w:rsidR="00E03559">
        <w:t>WQS</w:t>
      </w:r>
      <w:r w:rsidRPr="00B7618A">
        <w:t xml:space="preserve"> are necessary</w:t>
      </w:r>
      <w:r w:rsidR="00BF1FD9">
        <w:t xml:space="preserve"> to meet the requirements of the CWA</w:t>
      </w:r>
      <w:r w:rsidRPr="00B7618A">
        <w:t>.</w:t>
      </w:r>
    </w:p>
    <w:p w:rsidR="009E1D15" w:rsidP="00381864" w14:paraId="6ED0161B" w14:textId="559BCF25">
      <w:pPr>
        <w:pStyle w:val="bulletlist"/>
        <w:numPr>
          <w:ilvl w:val="0"/>
          <w:numId w:val="12"/>
        </w:numPr>
      </w:pPr>
      <w:r w:rsidRPr="00B7618A">
        <w:t xml:space="preserve">Proposing and promulgating </w:t>
      </w:r>
      <w:r w:rsidRPr="00B7618A" w:rsidR="00563712">
        <w:t>f</w:t>
      </w:r>
      <w:r w:rsidRPr="00B7618A">
        <w:t>ederal replacement standards</w:t>
      </w:r>
      <w:r w:rsidR="008D732A">
        <w:t xml:space="preserve"> when necessary</w:t>
      </w:r>
      <w:r w:rsidRPr="00B7618A">
        <w:t>.</w:t>
      </w:r>
    </w:p>
    <w:p w:rsidR="009E1D15" w:rsidRPr="00B7618A" w:rsidP="00381864" w14:paraId="3FECFC39" w14:textId="5B46610D">
      <w:pPr>
        <w:pStyle w:val="bulletlist"/>
        <w:numPr>
          <w:ilvl w:val="0"/>
          <w:numId w:val="12"/>
        </w:numPr>
      </w:pPr>
      <w:r w:rsidRPr="00B7618A">
        <w:t xml:space="preserve">Proposing and finalizing the withdrawal of </w:t>
      </w:r>
      <w:r w:rsidRPr="00B7618A" w:rsidR="00563712">
        <w:t>f</w:t>
      </w:r>
      <w:r w:rsidRPr="00B7618A">
        <w:t xml:space="preserve">ederal standards when a </w:t>
      </w:r>
      <w:r w:rsidRPr="00B7618A" w:rsidR="00563712">
        <w:t>s</w:t>
      </w:r>
      <w:r w:rsidRPr="00B7618A">
        <w:t xml:space="preserve">tate </w:t>
      </w:r>
      <w:r w:rsidRPr="00B7618A" w:rsidR="003608B9">
        <w:t>adopts WQS that meet CWA requirements</w:t>
      </w:r>
      <w:r w:rsidRPr="00B7618A">
        <w:t>.</w:t>
      </w:r>
    </w:p>
    <w:p w:rsidR="0078227A" w:rsidRPr="00B7618A" w:rsidP="00704F82" w14:paraId="4BF96438" w14:textId="163A41AE">
      <w:pPr>
        <w:pStyle w:val="Heading2"/>
      </w:pPr>
      <w:bookmarkStart w:id="42" w:name="_Toc103778458"/>
      <w:bookmarkStart w:id="43" w:name="_Toc118451106"/>
      <w:r w:rsidRPr="00B7618A">
        <w:t>Collection Method</w:t>
      </w:r>
      <w:r w:rsidR="008D732A">
        <w:t>s</w:t>
      </w:r>
      <w:r w:rsidRPr="00B7618A">
        <w:t xml:space="preserve"> and Management</w:t>
      </w:r>
      <w:bookmarkEnd w:id="42"/>
      <w:bookmarkEnd w:id="43"/>
    </w:p>
    <w:p w:rsidR="009E1D15" w:rsidP="005A75FD" w14:paraId="79723FEA" w14:textId="58AF661C">
      <w:pPr>
        <w:pStyle w:val="BodyText"/>
      </w:pPr>
      <w:r w:rsidRPr="00B7618A">
        <w:t xml:space="preserve">States submit their revised </w:t>
      </w:r>
      <w:r w:rsidRPr="00B7618A" w:rsidR="00E03559">
        <w:t>WQS</w:t>
      </w:r>
      <w:r w:rsidRPr="00B7618A">
        <w:t xml:space="preserve"> </w:t>
      </w:r>
      <w:r w:rsidR="003F299F">
        <w:t xml:space="preserve">via e-mail </w:t>
      </w:r>
      <w:r w:rsidRPr="00B7618A">
        <w:t xml:space="preserve">to their EPA </w:t>
      </w:r>
      <w:r w:rsidRPr="00B7618A" w:rsidR="00B95A97">
        <w:t>r</w:t>
      </w:r>
      <w:r w:rsidRPr="00B7618A">
        <w:t>egional office</w:t>
      </w:r>
      <w:r w:rsidRPr="00B7618A" w:rsidR="00580340">
        <w:t xml:space="preserve">. Regional </w:t>
      </w:r>
      <w:r w:rsidRPr="00B7618A" w:rsidR="00B95A97">
        <w:t>o</w:t>
      </w:r>
      <w:r w:rsidRPr="00B7618A" w:rsidR="00580340">
        <w:t xml:space="preserve">ffices </w:t>
      </w:r>
      <w:r w:rsidRPr="00B7618A">
        <w:t xml:space="preserve">have the responsibility to review the submissions for </w:t>
      </w:r>
      <w:r w:rsidRPr="00B7618A">
        <w:t xml:space="preserve">consistency with </w:t>
      </w:r>
      <w:r w:rsidR="00FE653F">
        <w:t>the CWA</w:t>
      </w:r>
      <w:r w:rsidR="00E61DB1">
        <w:t xml:space="preserve"> and </w:t>
      </w:r>
      <w:r w:rsidRPr="00B7618A" w:rsidR="00563712">
        <w:t>r</w:t>
      </w:r>
      <w:r w:rsidRPr="00B7618A">
        <w:t xml:space="preserve">egulation and approve or disapprove the </w:t>
      </w:r>
      <w:r w:rsidR="00E61DB1">
        <w:t>WQS</w:t>
      </w:r>
      <w:r w:rsidRPr="00B7618A">
        <w:t>.</w:t>
      </w:r>
      <w:r w:rsidRPr="00B7618A" w:rsidR="0068763C">
        <w:t xml:space="preserve"> </w:t>
      </w:r>
      <w:r w:rsidRPr="00B7618A">
        <w:t xml:space="preserve">The </w:t>
      </w:r>
      <w:r w:rsidRPr="00B7618A" w:rsidR="00E03559">
        <w:t>WQS</w:t>
      </w:r>
      <w:r w:rsidRPr="00B7618A" w:rsidR="00EB20F2">
        <w:t xml:space="preserve"> staff in </w:t>
      </w:r>
      <w:r w:rsidRPr="00B7618A" w:rsidR="00B95A97">
        <w:t>r</w:t>
      </w:r>
      <w:r w:rsidRPr="00B7618A" w:rsidR="00EB20F2">
        <w:t xml:space="preserve">egional </w:t>
      </w:r>
      <w:r w:rsidRPr="00B7618A">
        <w:t>offices work closely with the</w:t>
      </w:r>
      <w:r w:rsidR="00E61DB1">
        <w:t>ir</w:t>
      </w:r>
      <w:r w:rsidRPr="00B7618A">
        <w:t xml:space="preserve"> </w:t>
      </w:r>
      <w:r w:rsidRPr="00B7618A" w:rsidR="00563712">
        <w:t>s</w:t>
      </w:r>
      <w:r w:rsidRPr="00B7618A">
        <w:t xml:space="preserve">tates on </w:t>
      </w:r>
      <w:r w:rsidRPr="00B7618A" w:rsidR="00E03559">
        <w:t>WQS</w:t>
      </w:r>
      <w:r w:rsidRPr="00B7618A">
        <w:t xml:space="preserve"> issues, including the review of both draft and final submissions of </w:t>
      </w:r>
      <w:r w:rsidRPr="00B7618A" w:rsidR="00E03559">
        <w:t>WQS</w:t>
      </w:r>
      <w:r w:rsidRPr="00B7618A">
        <w:t>.</w:t>
      </w:r>
      <w:r w:rsidRPr="00B7618A" w:rsidR="0068763C">
        <w:t xml:space="preserve"> </w:t>
      </w:r>
      <w:r w:rsidRPr="00B7618A" w:rsidR="00E01A0B">
        <w:t>EPA</w:t>
      </w:r>
      <w:r w:rsidR="00E61DB1">
        <w:t xml:space="preserve"> headquarters </w:t>
      </w:r>
      <w:r w:rsidRPr="00B7618A">
        <w:t xml:space="preserve">provides support to the </w:t>
      </w:r>
      <w:r w:rsidRPr="00B7618A" w:rsidR="00B95A97">
        <w:t>r</w:t>
      </w:r>
      <w:r w:rsidRPr="00B7618A">
        <w:t>egional offices in the review of these submissions.</w:t>
      </w:r>
      <w:r w:rsidRPr="00B7618A" w:rsidR="0068763C">
        <w:t xml:space="preserve"> </w:t>
      </w:r>
      <w:r w:rsidRPr="00B7618A">
        <w:t xml:space="preserve">EPA </w:t>
      </w:r>
      <w:r w:rsidR="00E61DB1">
        <w:t xml:space="preserve">posts </w:t>
      </w:r>
      <w:r w:rsidRPr="00B7618A">
        <w:t xml:space="preserve">approved </w:t>
      </w:r>
      <w:r w:rsidRPr="00B7618A" w:rsidR="00563712">
        <w:t>s</w:t>
      </w:r>
      <w:r w:rsidRPr="00B7618A">
        <w:t>tate</w:t>
      </w:r>
      <w:r w:rsidRPr="00B7618A" w:rsidR="00DA5BD3">
        <w:t xml:space="preserve"> and authorized</w:t>
      </w:r>
      <w:r w:rsidRPr="00B7618A" w:rsidR="00DA5BD3">
        <w:t xml:space="preserve"> </w:t>
      </w:r>
      <w:r w:rsidRPr="00B7618A" w:rsidR="00563712">
        <w:t>t</w:t>
      </w:r>
      <w:r w:rsidRPr="00B7618A">
        <w:t xml:space="preserve">ribal </w:t>
      </w:r>
      <w:r w:rsidR="00E61DB1">
        <w:t>WQS</w:t>
      </w:r>
      <w:r w:rsidRPr="00B7618A" w:rsidR="00E61DB1">
        <w:t xml:space="preserve"> </w:t>
      </w:r>
      <w:r w:rsidRPr="00B7618A">
        <w:t>at</w:t>
      </w:r>
      <w:r w:rsidRPr="00B7618A" w:rsidR="009B0CD7">
        <w:t xml:space="preserve"> </w:t>
      </w:r>
      <w:hyperlink r:id="rId14" w:history="1">
        <w:r w:rsidRPr="007917E8" w:rsidR="006D49C6">
          <w:rPr>
            <w:rStyle w:val="Hyperlink"/>
          </w:rPr>
          <w:t>https://www.epa.gov/wqs-tech/state-specific-water-quality-standards-effective-under-clean-water-act-cwa</w:t>
        </w:r>
      </w:hyperlink>
      <w:r w:rsidR="006D49C6">
        <w:t xml:space="preserve">.  </w:t>
      </w:r>
      <w:r w:rsidRPr="00B7618A">
        <w:t>EPA</w:t>
      </w:r>
      <w:r w:rsidR="00E61DB1">
        <w:t xml:space="preserve"> p</w:t>
      </w:r>
      <w:r w:rsidR="00733557">
        <w:t>rovides links to</w:t>
      </w:r>
      <w:r w:rsidR="00E61DB1">
        <w:t xml:space="preserve"> </w:t>
      </w:r>
      <w:r w:rsidRPr="00B7618A">
        <w:t xml:space="preserve">promulgated </w:t>
      </w:r>
      <w:r w:rsidR="00E61DB1">
        <w:t>WQS</w:t>
      </w:r>
      <w:r w:rsidRPr="00B7618A" w:rsidR="00E61DB1">
        <w:t xml:space="preserve"> </w:t>
      </w:r>
      <w:r w:rsidRPr="00B7618A">
        <w:t xml:space="preserve">for </w:t>
      </w:r>
      <w:r w:rsidRPr="00B7618A" w:rsidR="00DA5BD3">
        <w:t>s</w:t>
      </w:r>
      <w:r w:rsidRPr="00B7618A">
        <w:t>tates</w:t>
      </w:r>
      <w:r w:rsidRPr="00B7618A" w:rsidR="00DA5BD3">
        <w:t xml:space="preserve"> and t</w:t>
      </w:r>
      <w:r w:rsidRPr="00B7618A">
        <w:t>ribes at</w:t>
      </w:r>
      <w:r w:rsidRPr="00417120" w:rsidR="00A5253A">
        <w:t xml:space="preserve"> </w:t>
      </w:r>
      <w:hyperlink r:id="rId15" w:history="1">
        <w:r w:rsidRPr="007917E8" w:rsidR="006D49C6">
          <w:rPr>
            <w:rStyle w:val="Hyperlink"/>
          </w:rPr>
          <w:t>https://www.epa.gov/wqs-tech/federally-promulgated-water-quality-standards-specific-states-territories-and-tribes</w:t>
        </w:r>
      </w:hyperlink>
      <w:r w:rsidR="006D49C6">
        <w:t xml:space="preserve">. </w:t>
      </w:r>
      <w:r w:rsidRPr="00B7618A" w:rsidR="00A5253A">
        <w:t xml:space="preserve"> </w:t>
      </w:r>
    </w:p>
    <w:p w:rsidR="003F299F" w:rsidRPr="00B7618A" w:rsidP="005A75FD" w14:paraId="38A1A077" w14:textId="5762B53C">
      <w:pPr>
        <w:pStyle w:val="BodyText"/>
      </w:pPr>
      <w:r>
        <w:t xml:space="preserve">EPA also maintains </w:t>
      </w:r>
      <w:r w:rsidR="00E77616">
        <w:t>information</w:t>
      </w:r>
      <w:r w:rsidR="006D49C6">
        <w:t>al</w:t>
      </w:r>
      <w:r w:rsidR="00E77616">
        <w:t xml:space="preserve"> copies </w:t>
      </w:r>
      <w:r>
        <w:t xml:space="preserve">of state submission materials and EPA decisions in an internal </w:t>
      </w:r>
      <w:r w:rsidR="00BA49E3">
        <w:t>system</w:t>
      </w:r>
      <w:r>
        <w:t>.</w:t>
      </w:r>
    </w:p>
    <w:p w:rsidR="00673189" w:rsidRPr="00B7618A" w:rsidP="00673189" w14:paraId="533BE24C" w14:textId="77777777">
      <w:pPr>
        <w:pStyle w:val="Heading2"/>
      </w:pPr>
      <w:bookmarkStart w:id="44" w:name="_Toc103778459"/>
      <w:bookmarkStart w:id="45" w:name="_Toc118451107"/>
      <w:r w:rsidRPr="00B7618A">
        <w:t>Small Entity Flexibility</w:t>
      </w:r>
      <w:bookmarkEnd w:id="44"/>
      <w:bookmarkEnd w:id="45"/>
    </w:p>
    <w:p w:rsidR="00957A33" w:rsidRPr="00B7618A" w:rsidP="005A75FD" w14:paraId="1A53AE66" w14:textId="7288CC12">
      <w:pPr>
        <w:pStyle w:val="BodyText"/>
      </w:pPr>
      <w:r w:rsidRPr="00B7618A">
        <w:t>The 1995 Paperwork Reduction Act (PRA) incorporate</w:t>
      </w:r>
      <w:r w:rsidR="00E61DB1">
        <w:t>s</w:t>
      </w:r>
      <w:r w:rsidRPr="00B7618A">
        <w:t xml:space="preserve"> the Regulatory Flexibility Act (RFA). The RFA requires </w:t>
      </w:r>
      <w:r w:rsidRPr="00B7618A" w:rsidR="00E01A0B">
        <w:t>EPA</w:t>
      </w:r>
      <w:r w:rsidRPr="00B7618A">
        <w:t xml:space="preserve"> </w:t>
      </w:r>
      <w:r w:rsidR="00E61DB1">
        <w:t xml:space="preserve">to </w:t>
      </w:r>
      <w:r w:rsidRPr="00B7618A">
        <w:t xml:space="preserve">prepare a regulatory flexibility analysis for any rule that has a “significant economic impact on a substantial number of small entities.” </w:t>
      </w:r>
      <w:r w:rsidR="000F36A7">
        <w:t>EPA must also consider t</w:t>
      </w:r>
      <w:r w:rsidRPr="00B7618A">
        <w:t xml:space="preserve">he requirements of the Small Business Regulatory Enforcement Fairness Act of 1996. </w:t>
      </w:r>
      <w:r w:rsidR="000F36A7">
        <w:t>Small entities warrant s</w:t>
      </w:r>
      <w:r w:rsidRPr="00B7618A">
        <w:t xml:space="preserve">pecial </w:t>
      </w:r>
      <w:r w:rsidRPr="00B7618A" w:rsidR="00416A4B">
        <w:t xml:space="preserve">consideration because </w:t>
      </w:r>
      <w:r w:rsidR="000F36A7">
        <w:t>they</w:t>
      </w:r>
      <w:r w:rsidRPr="00B7618A" w:rsidR="00416A4B">
        <w:t xml:space="preserve"> generally cannot devote staff resources to follow regulatory </w:t>
      </w:r>
      <w:r w:rsidRPr="00B7618A" w:rsidR="00E3720F">
        <w:t xml:space="preserve">developments </w:t>
      </w:r>
      <w:r w:rsidRPr="00B7618A" w:rsidR="00416A4B">
        <w:t>and often are less likely to have their interests represented by lobbyists and associations. In addition, smaller entities may be less able to bear the burden of an information collection because of their small staff and resources.</w:t>
      </w:r>
    </w:p>
    <w:p w:rsidR="00416A4B" w:rsidRPr="00B7618A" w:rsidP="005A75FD" w14:paraId="3254A2B8" w14:textId="6EE754ED">
      <w:pPr>
        <w:pStyle w:val="BodyText"/>
      </w:pPr>
      <w:r w:rsidRPr="00B7618A">
        <w:t>The Small Business Administration</w:t>
      </w:r>
      <w:r w:rsidR="006401CE">
        <w:t xml:space="preserve"> (SBA) establishes</w:t>
      </w:r>
      <w:r w:rsidRPr="00B7618A">
        <w:t xml:space="preserve"> size eligibility provisions and standards </w:t>
      </w:r>
      <w:r w:rsidR="006401CE">
        <w:t>(</w:t>
      </w:r>
      <w:r w:rsidRPr="00B7618A">
        <w:t xml:space="preserve">codified at 13 CFR </w:t>
      </w:r>
      <w:r w:rsidR="00FE653F">
        <w:t>Part</w:t>
      </w:r>
      <w:r w:rsidRPr="00B7618A">
        <w:t xml:space="preserve"> 121</w:t>
      </w:r>
      <w:r w:rsidR="006401CE">
        <w:t>)</w:t>
      </w:r>
      <w:r w:rsidRPr="00B7618A">
        <w:t xml:space="preserve">. The RFA also provides some guidance for defining a small entity. Section 601 of the RFA defines a “small entity” to include “small business,” “small organization,” and “small governmental </w:t>
      </w:r>
      <w:r w:rsidRPr="00B7618A" w:rsidR="00D82994">
        <w:t>jurisdiction</w:t>
      </w:r>
      <w:r w:rsidRPr="00B7618A">
        <w:t>.” The</w:t>
      </w:r>
      <w:r w:rsidR="006401CE">
        <w:t xml:space="preserve"> RFA defines the</w:t>
      </w:r>
      <w:r w:rsidRPr="00B7618A">
        <w:t>se terms as follows:</w:t>
      </w:r>
      <w:r w:rsidRPr="00B7618A">
        <w:tab/>
      </w:r>
    </w:p>
    <w:p w:rsidR="002F79A2" w:rsidRPr="00B7618A" w:rsidP="00381864" w14:paraId="73F33B97" w14:textId="3A8B6441">
      <w:pPr>
        <w:pStyle w:val="bulletlist"/>
        <w:numPr>
          <w:ilvl w:val="0"/>
          <w:numId w:val="13"/>
        </w:numPr>
      </w:pPr>
      <w:r w:rsidRPr="00B7618A">
        <w:t>“Small Business” is any business that is independently owned and operated and not dominant in its field a</w:t>
      </w:r>
      <w:r w:rsidRPr="00B7618A" w:rsidR="00E3720F">
        <w:t>s</w:t>
      </w:r>
      <w:r w:rsidRPr="00B7618A">
        <w:t xml:space="preserve"> defined by the Small Business Administration (SBA) regulations under Section 3 of the Small Business Act.</w:t>
      </w:r>
    </w:p>
    <w:p w:rsidR="002F79A2" w:rsidRPr="00B7618A" w:rsidP="00381864" w14:paraId="55420C63" w14:textId="4AA91FCD">
      <w:pPr>
        <w:pStyle w:val="bulletlist"/>
        <w:numPr>
          <w:ilvl w:val="0"/>
          <w:numId w:val="13"/>
        </w:numPr>
      </w:pPr>
      <w:r w:rsidRPr="00B7618A">
        <w:t>“Small Organ</w:t>
      </w:r>
      <w:r w:rsidRPr="00B7618A" w:rsidR="00D82994">
        <w:t>i</w:t>
      </w:r>
      <w:r w:rsidRPr="00B7618A">
        <w:t xml:space="preserve">zation” is </w:t>
      </w:r>
      <w:r w:rsidR="006401CE">
        <w:t>a</w:t>
      </w:r>
      <w:r w:rsidRPr="00B7618A">
        <w:t xml:space="preserve">ny </w:t>
      </w:r>
      <w:r w:rsidRPr="00B7618A" w:rsidR="00E3720F">
        <w:t>not</w:t>
      </w:r>
      <w:r w:rsidRPr="00B7618A">
        <w:t>-for-profit enterprise that is independently owned and operated and not dominant in its field (e.g., private hospitals and educational institutions).</w:t>
      </w:r>
    </w:p>
    <w:p w:rsidR="002F79A2" w:rsidRPr="00B7618A" w:rsidP="00381864" w14:paraId="61E2079B" w14:textId="43A46387">
      <w:pPr>
        <w:pStyle w:val="bulletlist"/>
        <w:numPr>
          <w:ilvl w:val="0"/>
          <w:numId w:val="13"/>
        </w:numPr>
      </w:pPr>
      <w:r w:rsidRPr="00B7618A">
        <w:t xml:space="preserve">“Small Governmental Jurisdiction” is </w:t>
      </w:r>
      <w:r w:rsidR="006401CE">
        <w:t>the</w:t>
      </w:r>
      <w:r w:rsidRPr="00B7618A">
        <w:t xml:space="preserve"> governments of cities, counties, towns</w:t>
      </w:r>
      <w:r w:rsidRPr="00B7618A" w:rsidR="00E3720F">
        <w:t>,</w:t>
      </w:r>
      <w:r w:rsidRPr="00B7618A">
        <w:t xml:space="preserve"> townships, villages, school districts, or special districts with a population of less than </w:t>
      </w:r>
      <w:r w:rsidRPr="00B7618A">
        <w:t>50,000</w:t>
      </w:r>
      <w:r w:rsidR="006401CE">
        <w:t>, and</w:t>
      </w:r>
      <w:r w:rsidR="006401CE">
        <w:t xml:space="preserve"> m</w:t>
      </w:r>
      <w:r w:rsidRPr="00B7618A">
        <w:t>ay also include Indian Tribes.</w:t>
      </w:r>
    </w:p>
    <w:p w:rsidR="00FC098A" w:rsidRPr="00B7618A" w:rsidP="00934F18" w14:paraId="20245BE9" w14:textId="77777777">
      <w:pPr>
        <w:pStyle w:val="BodyText"/>
      </w:pPr>
      <w:r w:rsidRPr="00B7618A">
        <w:t>EPA</w:t>
      </w:r>
      <w:r w:rsidRPr="00B7618A" w:rsidR="002F79A2">
        <w:t xml:space="preserve"> may also develop regulation-specific definitions of small entities when the above definitions ar</w:t>
      </w:r>
      <w:r w:rsidRPr="00B7618A">
        <w:t>e</w:t>
      </w:r>
      <w:r w:rsidRPr="00B7618A" w:rsidR="002F79A2">
        <w:t xml:space="preserve"> not appropriate</w:t>
      </w:r>
      <w:r w:rsidR="00934F18">
        <w:t>.</w:t>
      </w:r>
    </w:p>
    <w:p w:rsidR="006B06E5" w:rsidP="005A75FD" w14:paraId="23B6FF99" w14:textId="1C1BE243">
      <w:pPr>
        <w:pStyle w:val="BodyText"/>
      </w:pPr>
      <w:r w:rsidRPr="00B7618A">
        <w:t>Th</w:t>
      </w:r>
      <w:r>
        <w:t>is proposed</w:t>
      </w:r>
      <w:r w:rsidRPr="00B7618A">
        <w:t xml:space="preserve"> </w:t>
      </w:r>
      <w:r w:rsidR="00E61DB1">
        <w:t>rule</w:t>
      </w:r>
      <w:r w:rsidRPr="00B7618A" w:rsidR="00580340">
        <w:t xml:space="preserve"> </w:t>
      </w:r>
      <w:r w:rsidRPr="00B7618A">
        <w:t>w</w:t>
      </w:r>
      <w:r>
        <w:t>ould</w:t>
      </w:r>
      <w:r w:rsidRPr="00B7618A">
        <w:t xml:space="preserve"> have no </w:t>
      </w:r>
      <w:r w:rsidRPr="00B7618A" w:rsidR="001F426D">
        <w:t>direct</w:t>
      </w:r>
      <w:r w:rsidRPr="00B7618A">
        <w:t xml:space="preserve"> impact on small businesses </w:t>
      </w:r>
      <w:r w:rsidR="00E61DB1">
        <w:t>because</w:t>
      </w:r>
      <w:r w:rsidRPr="00B7618A" w:rsidR="00E61DB1">
        <w:t xml:space="preserve"> </w:t>
      </w:r>
      <w:r w:rsidRPr="00B7618A">
        <w:t>the primary impact w</w:t>
      </w:r>
      <w:r>
        <w:t>ould</w:t>
      </w:r>
      <w:r w:rsidRPr="00B7618A">
        <w:t xml:space="preserve"> be on </w:t>
      </w:r>
      <w:r w:rsidRPr="00B7618A" w:rsidR="002D2131">
        <w:t>s</w:t>
      </w:r>
      <w:r w:rsidRPr="00B7618A">
        <w:t xml:space="preserve">tate and </w:t>
      </w:r>
      <w:r w:rsidRPr="00B7618A" w:rsidR="002D2131">
        <w:t>authorized t</w:t>
      </w:r>
      <w:r w:rsidRPr="00B7618A">
        <w:t>ribal government</w:t>
      </w:r>
      <w:r w:rsidRPr="00B7618A" w:rsidR="00321286">
        <w:t>s</w:t>
      </w:r>
      <w:r w:rsidRPr="00B7618A">
        <w:t xml:space="preserve">. There may be a secondary impact on </w:t>
      </w:r>
      <w:r w:rsidR="008368F6">
        <w:t xml:space="preserve">some </w:t>
      </w:r>
      <w:r w:rsidRPr="00B7618A">
        <w:t>permitted facilities, including businesses, federal government entities, and local government</w:t>
      </w:r>
      <w:r w:rsidR="005F7975">
        <w:t>s</w:t>
      </w:r>
      <w:r w:rsidRPr="00B7618A">
        <w:t xml:space="preserve"> with </w:t>
      </w:r>
      <w:r w:rsidR="00157BB2">
        <w:t xml:space="preserve">publicly owned treatment works. </w:t>
      </w:r>
      <w:r>
        <w:t>However</w:t>
      </w:r>
      <w:r w:rsidR="005832F8">
        <w:t>,</w:t>
      </w:r>
      <w:r>
        <w:t xml:space="preserve"> EPA has no means to estimate secondary impacts. </w:t>
      </w:r>
    </w:p>
    <w:p w:rsidR="004F7931" w:rsidRPr="00B7618A" w:rsidP="005A75FD" w14:paraId="23098134" w14:textId="6EC13F3D">
      <w:pPr>
        <w:pStyle w:val="BodyText"/>
      </w:pPr>
      <w:r>
        <w:t>T</w:t>
      </w:r>
      <w:r w:rsidRPr="00B7618A">
        <w:t xml:space="preserve">he Agency has instituted several efforts to minimize the impact </w:t>
      </w:r>
      <w:r w:rsidR="006B06E5">
        <w:t xml:space="preserve">of its regulations </w:t>
      </w:r>
      <w:r w:rsidRPr="00B7618A">
        <w:t>on small businesses.</w:t>
      </w:r>
      <w:r w:rsidR="006B06E5">
        <w:t xml:space="preserve"> </w:t>
      </w:r>
      <w:r w:rsidRPr="00B7618A" w:rsidR="00E01A0B">
        <w:t>EPA</w:t>
      </w:r>
      <w:r w:rsidRPr="00B7618A">
        <w:t>’s Small Business Division</w:t>
      </w:r>
      <w:r w:rsidRPr="00B7618A" w:rsidR="00AE3689">
        <w:t xml:space="preserve"> </w:t>
      </w:r>
      <w:r w:rsidRPr="00B7618A" w:rsidR="001F6498">
        <w:t xml:space="preserve">(SBD) </w:t>
      </w:r>
      <w:r w:rsidRPr="00B7618A" w:rsidR="00AE3689">
        <w:t xml:space="preserve">maintains a website and a telephone hotline that small businesses can access with their questions about complying with environmental requirements. Small businesses are assisted by programs in the </w:t>
      </w:r>
      <w:r w:rsidRPr="00B7618A" w:rsidR="00321286">
        <w:t>s</w:t>
      </w:r>
      <w:r w:rsidRPr="00B7618A" w:rsidR="00AE3689">
        <w:t xml:space="preserve">tates, so partnerships between EPA and the </w:t>
      </w:r>
      <w:r w:rsidRPr="00417120" w:rsidR="00321286">
        <w:t>s</w:t>
      </w:r>
      <w:r w:rsidRPr="00CF32C7" w:rsidR="00AE3689">
        <w:t>tates a</w:t>
      </w:r>
      <w:r w:rsidR="00625E0C">
        <w:t>re essential. The Agency</w:t>
      </w:r>
      <w:r w:rsidRPr="00CF32C7" w:rsidR="00AE3689">
        <w:t xml:space="preserve"> </w:t>
      </w:r>
      <w:r w:rsidR="00625E0C">
        <w:t>h</w:t>
      </w:r>
      <w:r w:rsidRPr="00B7618A" w:rsidR="00AE3689">
        <w:t xml:space="preserve">as </w:t>
      </w:r>
      <w:r w:rsidR="006B06E5">
        <w:t xml:space="preserve">also </w:t>
      </w:r>
      <w:r w:rsidRPr="00B7618A" w:rsidR="00AE3689">
        <w:t>developed an extensive network with State Compliance Advisory Panels, Small Business Ombudsmen and Small Business Assistance Providers.</w:t>
      </w:r>
      <w:r w:rsidRPr="00B7618A" w:rsidR="0068763C">
        <w:t xml:space="preserve"> </w:t>
      </w:r>
      <w:r w:rsidR="00E61DB1">
        <w:t xml:space="preserve">EPA’s </w:t>
      </w:r>
      <w:r w:rsidRPr="00B7618A" w:rsidR="00AE3689">
        <w:t>SBD hosts an annual conference provid</w:t>
      </w:r>
      <w:r w:rsidR="00E61DB1">
        <w:t>ing</w:t>
      </w:r>
      <w:r w:rsidRPr="00B7618A" w:rsidR="00AE3689">
        <w:t xml:space="preserve"> an opportunity for </w:t>
      </w:r>
      <w:r w:rsidRPr="00B7618A" w:rsidR="00321286">
        <w:t>s</w:t>
      </w:r>
      <w:r w:rsidRPr="00B7618A" w:rsidR="00AE3689">
        <w:t xml:space="preserve">tate small business assistance providers, Compliance Advisory Panel members, trade association representatives, </w:t>
      </w:r>
      <w:r w:rsidRPr="00B7618A" w:rsidR="00E01A0B">
        <w:t>EPA</w:t>
      </w:r>
      <w:r w:rsidR="00E61DB1">
        <w:t>,</w:t>
      </w:r>
      <w:r w:rsidRPr="00B7618A" w:rsidR="00AE3689">
        <w:t xml:space="preserve"> and other federal agenc</w:t>
      </w:r>
      <w:r w:rsidR="00213560">
        <w:t>y</w:t>
      </w:r>
      <w:r w:rsidRPr="00B7618A" w:rsidR="00AE3689">
        <w:t xml:space="preserve"> staff to learn and share information about helping the small business community</w:t>
      </w:r>
      <w:r w:rsidR="00E61DB1">
        <w:t xml:space="preserve"> and</w:t>
      </w:r>
      <w:r w:rsidRPr="00B7618A" w:rsidR="00AE3689">
        <w:t xml:space="preserve"> better coordinate their small business assistance delivery mechanisms. </w:t>
      </w:r>
      <w:r w:rsidRPr="00B7618A" w:rsidR="00E01A0B">
        <w:t>EPA</w:t>
      </w:r>
      <w:r w:rsidRPr="00B7618A" w:rsidR="00AE3689">
        <w:t xml:space="preserve"> Small Business Ombudsman also periodically reports to Congress on the activities and progress of the </w:t>
      </w:r>
      <w:r w:rsidRPr="00B7618A" w:rsidR="00321286">
        <w:t>s</w:t>
      </w:r>
      <w:r w:rsidRPr="00B7618A" w:rsidR="00AE3689">
        <w:t>tate Small Business Assistance Programs.</w:t>
      </w:r>
    </w:p>
    <w:p w:rsidR="009E1D15" w:rsidRPr="00B7618A" w:rsidP="00704F82" w14:paraId="4646A508" w14:textId="77777777">
      <w:pPr>
        <w:pStyle w:val="Heading2"/>
      </w:pPr>
      <w:bookmarkStart w:id="46" w:name="_Toc103778460"/>
      <w:bookmarkStart w:id="47" w:name="_Toc118451108"/>
      <w:r w:rsidRPr="00B7618A">
        <w:t xml:space="preserve">Collection </w:t>
      </w:r>
      <w:r w:rsidRPr="00B7618A" w:rsidR="0078227A">
        <w:t>Schedule</w:t>
      </w:r>
      <w:bookmarkEnd w:id="46"/>
      <w:bookmarkEnd w:id="47"/>
    </w:p>
    <w:p w:rsidR="005210A4" w:rsidP="005A75FD" w14:paraId="56139D81" w14:textId="4892A13C">
      <w:pPr>
        <w:pStyle w:val="BodyText"/>
      </w:pPr>
      <w:r w:rsidRPr="00B7618A">
        <w:t xml:space="preserve">The CWA requires </w:t>
      </w:r>
      <w:r w:rsidRPr="00B7618A" w:rsidR="009E20AC">
        <w:t>s</w:t>
      </w:r>
      <w:r w:rsidRPr="00B7618A">
        <w:t xml:space="preserve">tates to review </w:t>
      </w:r>
      <w:r w:rsidRPr="00B7618A" w:rsidR="00E03559">
        <w:t>WQS</w:t>
      </w:r>
      <w:r w:rsidRPr="00B7618A">
        <w:t xml:space="preserve"> at least once every three years and provide the results to </w:t>
      </w:r>
      <w:r w:rsidRPr="00B7618A" w:rsidR="00E01A0B">
        <w:t>EPA</w:t>
      </w:r>
      <w:r w:rsidRPr="00B7618A">
        <w:t>.</w:t>
      </w:r>
      <w:r w:rsidRPr="00B7618A" w:rsidR="0068763C">
        <w:t xml:space="preserve"> </w:t>
      </w:r>
      <w:r w:rsidRPr="00B7618A">
        <w:t xml:space="preserve">In practice, some </w:t>
      </w:r>
      <w:r w:rsidRPr="00B7618A" w:rsidR="009E20AC">
        <w:t>s</w:t>
      </w:r>
      <w:r w:rsidRPr="00B7618A">
        <w:t xml:space="preserve">tates choose to </w:t>
      </w:r>
      <w:r w:rsidRPr="00B7618A" w:rsidR="00406708">
        <w:t xml:space="preserve">review and revise </w:t>
      </w:r>
      <w:r w:rsidRPr="00B7618A">
        <w:t xml:space="preserve">portions of their </w:t>
      </w:r>
      <w:r w:rsidRPr="00B7618A" w:rsidR="00406708">
        <w:t>WQS</w:t>
      </w:r>
      <w:r w:rsidRPr="00B7618A">
        <w:t xml:space="preserve"> more frequently.</w:t>
      </w:r>
      <w:r w:rsidR="00213560">
        <w:t xml:space="preserve"> </w:t>
      </w:r>
      <w:r w:rsidRPr="00213560" w:rsidR="00213560">
        <w:t xml:space="preserve">EPA estimates that all 50 states will each undertake three WQS rulemakings to protect tribal reserved rights. </w:t>
      </w:r>
    </w:p>
    <w:p w:rsidR="00AD6354" w:rsidP="005A75FD" w14:paraId="6EAC8BE0" w14:textId="77777777">
      <w:pPr>
        <w:pStyle w:val="BodyText"/>
      </w:pPr>
    </w:p>
    <w:p w:rsidR="00AD6354" w:rsidP="005A75FD" w14:paraId="6C7EFAEC" w14:textId="77777777">
      <w:pPr>
        <w:pStyle w:val="BodyText"/>
        <w:sectPr w:rsidSect="00893FAF">
          <w:pgSz w:w="12240" w:h="15840"/>
          <w:pgMar w:top="1440" w:right="1440" w:bottom="1440" w:left="1440" w:header="720" w:footer="1440" w:gutter="0"/>
          <w:cols w:space="720"/>
          <w:noEndnote/>
          <w:docGrid w:linePitch="326"/>
        </w:sectPr>
      </w:pPr>
    </w:p>
    <w:p w:rsidR="009E1D15" w:rsidRPr="00B7618A" w:rsidP="00704F82" w14:paraId="498E3202" w14:textId="451CD0F5">
      <w:pPr>
        <w:pStyle w:val="Heading1"/>
      </w:pPr>
      <w:bookmarkStart w:id="48" w:name="_Ref403051913"/>
      <w:bookmarkStart w:id="49" w:name="_Toc103778461"/>
      <w:bookmarkStart w:id="50" w:name="_Toc118451109"/>
      <w:r>
        <w:t>Burden, Cost, and Benefit of the Collection</w:t>
      </w:r>
      <w:bookmarkEnd w:id="48"/>
      <w:bookmarkEnd w:id="49"/>
      <w:bookmarkEnd w:id="50"/>
    </w:p>
    <w:p w:rsidR="0043329C" w:rsidP="0043329C" w14:paraId="539197BB" w14:textId="0E5371F9">
      <w:pPr>
        <w:pStyle w:val="BodyText"/>
      </w:pPr>
      <w:bookmarkStart w:id="51" w:name="_Ref403036384"/>
      <w:r>
        <w:t>This section describes how EPA estimate</w:t>
      </w:r>
      <w:r w:rsidR="00E61DB1">
        <w:t>s</w:t>
      </w:r>
      <w:r>
        <w:t xml:space="preserve"> the burden and cost of the information collection, summarizes the results, and </w:t>
      </w:r>
      <w:r w:rsidR="0042239F">
        <w:t xml:space="preserve">summarizes </w:t>
      </w:r>
      <w:r>
        <w:t>the benefit</w:t>
      </w:r>
      <w:r w:rsidR="0042239F">
        <w:t xml:space="preserve"> of collecting the information</w:t>
      </w:r>
      <w:r>
        <w:t>.</w:t>
      </w:r>
    </w:p>
    <w:p w:rsidR="00D9711C" w:rsidRPr="00B7618A" w:rsidP="00704F82" w14:paraId="6C02BD82" w14:textId="4F623DAD">
      <w:pPr>
        <w:pStyle w:val="Heading2"/>
      </w:pPr>
      <w:bookmarkStart w:id="52" w:name="_Toc103778462"/>
      <w:bookmarkStart w:id="53" w:name="_Toc118451110"/>
      <w:r w:rsidRPr="00B7618A">
        <w:t>Estimating</w:t>
      </w:r>
      <w:r w:rsidR="00165071">
        <w:t xml:space="preserve"> Respondent</w:t>
      </w:r>
      <w:r w:rsidRPr="00B7618A">
        <w:t xml:space="preserve"> </w:t>
      </w:r>
      <w:r w:rsidR="00AA16F3">
        <w:t>B</w:t>
      </w:r>
      <w:r w:rsidRPr="00B7618A">
        <w:t>urden</w:t>
      </w:r>
      <w:bookmarkEnd w:id="51"/>
      <w:r w:rsidR="0010045B">
        <w:t xml:space="preserve"> &amp; Universe</w:t>
      </w:r>
      <w:bookmarkEnd w:id="52"/>
      <w:bookmarkEnd w:id="53"/>
    </w:p>
    <w:p w:rsidR="00F60C3D" w:rsidP="005A75FD" w14:paraId="5A11EEDE" w14:textId="0CEDF5EE">
      <w:pPr>
        <w:pStyle w:val="BodyText"/>
        <w:rPr>
          <w:szCs w:val="24"/>
        </w:rPr>
      </w:pPr>
      <w:r>
        <w:rPr>
          <w:szCs w:val="24"/>
        </w:rPr>
        <w:t>This section describes how EPA estimated the burden per respondent and total universe of respondents.</w:t>
      </w:r>
    </w:p>
    <w:p w:rsidR="00165071" w:rsidP="005A75FD" w14:paraId="056F7D15" w14:textId="582020ED">
      <w:pPr>
        <w:pStyle w:val="BodyText"/>
        <w:rPr>
          <w:szCs w:val="24"/>
        </w:rPr>
      </w:pPr>
      <w:r w:rsidRPr="008368F6">
        <w:rPr>
          <w:szCs w:val="24"/>
        </w:rPr>
        <w:t xml:space="preserve">EPA estimated the incremental number of labor hours required to comply with the proposed rule based on </w:t>
      </w:r>
      <w:bookmarkStart w:id="54" w:name="_Hlk86844216"/>
      <w:r w:rsidRPr="008368F6">
        <w:rPr>
          <w:szCs w:val="24"/>
        </w:rPr>
        <w:t>past experience</w:t>
      </w:r>
      <w:r w:rsidRPr="008368F6">
        <w:rPr>
          <w:szCs w:val="24"/>
        </w:rPr>
        <w:t xml:space="preserve"> estimating the cost of state WQS rulemaking efforts to comply with EPA’s 2015 WQS regulation </w:t>
      </w:r>
      <w:bookmarkEnd w:id="54"/>
      <w:r w:rsidR="00726D96">
        <w:rPr>
          <w:szCs w:val="24"/>
        </w:rPr>
        <w:t xml:space="preserve">revisions </w:t>
      </w:r>
      <w:r w:rsidRPr="008368F6">
        <w:rPr>
          <w:szCs w:val="24"/>
        </w:rPr>
        <w:t xml:space="preserve">and the best professional judgment of EPA’s personnel with experience administering the WQS program. </w:t>
      </w:r>
    </w:p>
    <w:p w:rsidR="00165071" w:rsidRPr="00165071" w:rsidP="00165071" w14:paraId="3BF8376B" w14:textId="069BA14D">
      <w:pPr>
        <w:pStyle w:val="BodyText"/>
        <w:rPr>
          <w:szCs w:val="24"/>
          <w:lang w:val="en-CA"/>
        </w:rPr>
      </w:pPr>
      <w:r w:rsidRPr="00165071">
        <w:rPr>
          <w:szCs w:val="24"/>
        </w:rPr>
        <w:t xml:space="preserve">For the proposed rule, </w:t>
      </w:r>
      <w:r w:rsidRPr="00165071">
        <w:rPr>
          <w:szCs w:val="24"/>
        </w:rPr>
        <w:t>in order to</w:t>
      </w:r>
      <w:r w:rsidRPr="00165071">
        <w:rPr>
          <w:szCs w:val="24"/>
        </w:rPr>
        <w:t xml:space="preserve"> minimize the risk of underestimating potential costs, EPA assumed that all 50 states will each undertake three WQS rulemakings to protect tribal reserved rights. </w:t>
      </w:r>
      <w:bookmarkStart w:id="55" w:name="_Hlk92800185"/>
      <w:r w:rsidRPr="00165071">
        <w:rPr>
          <w:szCs w:val="24"/>
        </w:rPr>
        <w:t xml:space="preserve">The Agency assumed one rulemaking for each of the following purposes: </w:t>
      </w:r>
    </w:p>
    <w:p w:rsidR="00165071" w:rsidRPr="00165071" w:rsidP="00165071" w14:paraId="3C72C4FC" w14:textId="77777777">
      <w:pPr>
        <w:pStyle w:val="BodyText"/>
        <w:numPr>
          <w:ilvl w:val="0"/>
          <w:numId w:val="24"/>
        </w:numPr>
        <w:rPr>
          <w:szCs w:val="24"/>
          <w:lang w:val="en-CA"/>
        </w:rPr>
      </w:pPr>
      <w:r w:rsidRPr="00165071">
        <w:rPr>
          <w:szCs w:val="24"/>
        </w:rPr>
        <w:t xml:space="preserve">To evaluate or revise WQS for protection of human </w:t>
      </w:r>
      <w:r w:rsidRPr="00165071">
        <w:rPr>
          <w:szCs w:val="24"/>
        </w:rPr>
        <w:t>health;</w:t>
      </w:r>
      <w:r w:rsidRPr="00165071">
        <w:rPr>
          <w:szCs w:val="24"/>
        </w:rPr>
        <w:t xml:space="preserve"> </w:t>
      </w:r>
    </w:p>
    <w:p w:rsidR="00165071" w:rsidRPr="00165071" w:rsidP="00165071" w14:paraId="19FBCB78" w14:textId="77777777">
      <w:pPr>
        <w:pStyle w:val="BodyText"/>
        <w:numPr>
          <w:ilvl w:val="0"/>
          <w:numId w:val="24"/>
        </w:numPr>
        <w:rPr>
          <w:szCs w:val="24"/>
          <w:lang w:val="en-CA"/>
        </w:rPr>
      </w:pPr>
      <w:r w:rsidRPr="00165071">
        <w:rPr>
          <w:szCs w:val="24"/>
        </w:rPr>
        <w:t>To evaluate or revise WQS for protection of aquatic life; and</w:t>
      </w:r>
    </w:p>
    <w:bookmarkEnd w:id="55"/>
    <w:p w:rsidR="00165071" w:rsidRPr="00165071" w:rsidP="00165071" w14:paraId="6BB97EDA" w14:textId="77777777">
      <w:pPr>
        <w:pStyle w:val="BodyText"/>
        <w:numPr>
          <w:ilvl w:val="0"/>
          <w:numId w:val="24"/>
        </w:numPr>
        <w:rPr>
          <w:szCs w:val="24"/>
          <w:lang w:val="en-CA"/>
        </w:rPr>
      </w:pPr>
      <w:r w:rsidRPr="00165071">
        <w:rPr>
          <w:szCs w:val="24"/>
        </w:rPr>
        <w:t xml:space="preserve">To account for any other WQS changes needed to protect tribal reserved rights, including addressing the emergence of any information in the future that informs either the applicability of the reserved rights or the necessary level of water quality. </w:t>
      </w:r>
    </w:p>
    <w:p w:rsidR="00104523" w:rsidRPr="00104523" w:rsidP="00104523" w14:paraId="67EB744E" w14:textId="791C583A">
      <w:pPr>
        <w:pStyle w:val="BodyText"/>
        <w:rPr>
          <w:szCs w:val="24"/>
        </w:rPr>
      </w:pPr>
      <w:r w:rsidRPr="00165071">
        <w:rPr>
          <w:szCs w:val="24"/>
        </w:rPr>
        <w:t xml:space="preserve">EPA estimated that the incremental labor hours needed to complete the first state rulemaking to protect tribal reserved rights would range from 100 hours for a relatively small rule change to 500 hours for a more complex rulemaking. EPA assumed that each subsequent rulemaking would benefit from the data, information, and experience gained from the prior rulemaking(s) and would require a smaller level of effort. EPA assumed that the second rulemaking would require 90% of the level of effort of the first rulemaking and the third rulemaking would require 75% of the level of effort of the first rulemaking. </w:t>
      </w:r>
      <w:r w:rsidRPr="00104523">
        <w:rPr>
          <w:szCs w:val="24"/>
        </w:rPr>
        <w:t>As shown in Table 6-2</w:t>
      </w:r>
      <w:r>
        <w:rPr>
          <w:szCs w:val="24"/>
        </w:rPr>
        <w:t xml:space="preserve"> below</w:t>
      </w:r>
      <w:r w:rsidRPr="00104523">
        <w:rPr>
          <w:szCs w:val="24"/>
        </w:rPr>
        <w:t xml:space="preserve">, the average burden per response </w:t>
      </w:r>
      <w:r>
        <w:rPr>
          <w:szCs w:val="24"/>
        </w:rPr>
        <w:t xml:space="preserve">therefore </w:t>
      </w:r>
      <w:r w:rsidRPr="00104523">
        <w:rPr>
          <w:szCs w:val="24"/>
        </w:rPr>
        <w:t xml:space="preserve">ranges from 75-500 hours. </w:t>
      </w:r>
      <w:r w:rsidR="00625C4B">
        <w:rPr>
          <w:szCs w:val="24"/>
        </w:rPr>
        <w:t xml:space="preserve">EPA was not able to </w:t>
      </w:r>
      <w:r w:rsidRPr="00625C4B" w:rsidR="00625C4B">
        <w:rPr>
          <w:szCs w:val="24"/>
        </w:rPr>
        <w:t xml:space="preserve">apportion the burden estimate by </w:t>
      </w:r>
      <w:r w:rsidR="00494E71">
        <w:rPr>
          <w:szCs w:val="24"/>
        </w:rPr>
        <w:t>professional</w:t>
      </w:r>
      <w:r w:rsidRPr="00625C4B" w:rsidR="00625C4B">
        <w:rPr>
          <w:szCs w:val="24"/>
        </w:rPr>
        <w:t xml:space="preserve"> </w:t>
      </w:r>
      <w:r w:rsidR="00494E71">
        <w:rPr>
          <w:szCs w:val="24"/>
        </w:rPr>
        <w:t xml:space="preserve">category </w:t>
      </w:r>
      <w:r w:rsidRPr="00625C4B" w:rsidR="00625C4B">
        <w:rPr>
          <w:szCs w:val="24"/>
        </w:rPr>
        <w:t>require</w:t>
      </w:r>
      <w:r w:rsidR="00625C4B">
        <w:rPr>
          <w:szCs w:val="24"/>
        </w:rPr>
        <w:t>d</w:t>
      </w:r>
      <w:r w:rsidRPr="00625C4B" w:rsidR="00625C4B">
        <w:rPr>
          <w:szCs w:val="24"/>
        </w:rPr>
        <w:t xml:space="preserve"> for each activity</w:t>
      </w:r>
      <w:r w:rsidR="00494E71">
        <w:rPr>
          <w:szCs w:val="24"/>
        </w:rPr>
        <w:t xml:space="preserve"> as</w:t>
      </w:r>
      <w:r w:rsidR="00625C4B">
        <w:rPr>
          <w:szCs w:val="24"/>
        </w:rPr>
        <w:t xml:space="preserve"> </w:t>
      </w:r>
      <w:r w:rsidRPr="00625C4B" w:rsidR="00625C4B">
        <w:rPr>
          <w:szCs w:val="24"/>
        </w:rPr>
        <w:t>it does not have information on the division of labor hours by professional category that states use to administer their WQS programs</w:t>
      </w:r>
      <w:r w:rsidR="00625C4B">
        <w:rPr>
          <w:szCs w:val="24"/>
        </w:rPr>
        <w:t>.</w:t>
      </w:r>
    </w:p>
    <w:p w:rsidR="00165071" w:rsidRPr="00B7618A" w:rsidP="00165071" w14:paraId="120ED35B" w14:textId="3B495562">
      <w:pPr>
        <w:pStyle w:val="Heading2"/>
      </w:pPr>
      <w:bookmarkStart w:id="56" w:name="_Toc103778463"/>
      <w:bookmarkStart w:id="57" w:name="_Toc118451111"/>
      <w:r w:rsidRPr="00B7618A">
        <w:t xml:space="preserve">Estimating </w:t>
      </w:r>
      <w:r>
        <w:t>Respondent Costs</w:t>
      </w:r>
      <w:bookmarkEnd w:id="56"/>
      <w:bookmarkEnd w:id="57"/>
    </w:p>
    <w:p w:rsidR="0010045B" w:rsidP="00F60C3D" w14:paraId="7FFBD692" w14:textId="3C910401">
      <w:pPr>
        <w:pStyle w:val="BodyText"/>
      </w:pPr>
      <w:r>
        <w:t xml:space="preserve">This section </w:t>
      </w:r>
      <w:r w:rsidR="00F60C3D">
        <w:t>describes how EPA estimated</w:t>
      </w:r>
      <w:r>
        <w:t xml:space="preserve"> respondent costs per </w:t>
      </w:r>
      <w:r w:rsidR="00F60C3D">
        <w:t xml:space="preserve">reporting </w:t>
      </w:r>
      <w:r>
        <w:t>activity</w:t>
      </w:r>
      <w:r w:rsidR="00F60C3D">
        <w:t xml:space="preserve"> and for all respondents.</w:t>
      </w:r>
    </w:p>
    <w:p w:rsidR="00523340" w:rsidRPr="005A75FD" w:rsidP="005A75FD" w14:paraId="67332384" w14:textId="0C0D9438">
      <w:pPr>
        <w:pStyle w:val="BodyText"/>
      </w:pPr>
      <w:r>
        <w:t>EPA estimate</w:t>
      </w:r>
      <w:r w:rsidR="008368F6">
        <w:t>d</w:t>
      </w:r>
      <w:r w:rsidR="001B3816">
        <w:t xml:space="preserve"> the cost of labor </w:t>
      </w:r>
      <w:r w:rsidRPr="005A75FD" w:rsidR="00F317D3">
        <w:t xml:space="preserve">from data on state government hourly wage rates. </w:t>
      </w:r>
      <w:r w:rsidRPr="005A75FD" w:rsidR="006B5FFE">
        <w:fldChar w:fldCharType="begin"/>
      </w:r>
      <w:r w:rsidRPr="005A75FD" w:rsidR="006B5FFE">
        <w:instrText xml:space="preserve"> REF _Ref301788750 \h  \* MERGEFORMAT </w:instrText>
      </w:r>
      <w:r w:rsidRPr="005A75FD" w:rsidR="006B5FFE">
        <w:fldChar w:fldCharType="separate"/>
      </w:r>
      <w:r w:rsidRPr="005A75FD" w:rsidR="00C1356F">
        <w:t>Table 6</w:t>
      </w:r>
      <w:r w:rsidRPr="005A75FD" w:rsidR="00C1356F">
        <w:noBreakHyphen/>
        <w:t>1</w:t>
      </w:r>
      <w:r w:rsidRPr="005A75FD" w:rsidR="006B5FFE">
        <w:fldChar w:fldCharType="end"/>
      </w:r>
      <w:r w:rsidRPr="005A75FD" w:rsidR="00F317D3">
        <w:t xml:space="preserve"> shows the </w:t>
      </w:r>
      <w:r w:rsidRPr="005A75FD" w:rsidR="00877526">
        <w:t>20</w:t>
      </w:r>
      <w:r w:rsidR="008368F6">
        <w:t>20</w:t>
      </w:r>
      <w:r w:rsidRPr="005A75FD" w:rsidR="00877526">
        <w:t xml:space="preserve"> </w:t>
      </w:r>
      <w:r w:rsidRPr="005A75FD" w:rsidR="00F317D3">
        <w:t>labor rates for the</w:t>
      </w:r>
      <w:r w:rsidRPr="001B3816" w:rsidR="001B3816">
        <w:t xml:space="preserve"> </w:t>
      </w:r>
      <w:r w:rsidRPr="005A75FD" w:rsidR="001B3816">
        <w:t xml:space="preserve">categories </w:t>
      </w:r>
      <w:r w:rsidR="001B3816">
        <w:t>EPA identifie</w:t>
      </w:r>
      <w:r w:rsidR="00E61DB1">
        <w:t>s</w:t>
      </w:r>
      <w:r w:rsidR="001B3816">
        <w:t xml:space="preserve"> </w:t>
      </w:r>
      <w:r w:rsidRPr="005A75FD" w:rsidR="001B3816">
        <w:t xml:space="preserve">as applicable to </w:t>
      </w:r>
      <w:r w:rsidR="00E61DB1">
        <w:t>the rule</w:t>
      </w:r>
      <w:r w:rsidRPr="005A75FD" w:rsidR="00F317D3">
        <w:t xml:space="preserve">, accounting for benefits using the </w:t>
      </w:r>
      <w:r w:rsidR="00240814">
        <w:t xml:space="preserve">Bureau of Labor Statistics </w:t>
      </w:r>
      <w:r w:rsidRPr="005A75FD" w:rsidR="00F317D3">
        <w:t>Employer Cost for Employee Compensation for state and local professional government workers (</w:t>
      </w:r>
      <w:r w:rsidRPr="005A75FD" w:rsidR="008F3525">
        <w:t>3</w:t>
      </w:r>
      <w:r w:rsidR="008368F6">
        <w:t>6</w:t>
      </w:r>
      <w:r w:rsidRPr="005A75FD" w:rsidR="00F317D3">
        <w:t xml:space="preserve">% of total compensation is attributable to benefits). </w:t>
      </w:r>
      <w:r w:rsidR="001B3816">
        <w:t>EPA use</w:t>
      </w:r>
      <w:r w:rsidR="00E61DB1">
        <w:t>s</w:t>
      </w:r>
      <w:r w:rsidR="001B3816">
        <w:t xml:space="preserve"> a</w:t>
      </w:r>
      <w:r w:rsidRPr="005A75FD" w:rsidR="00F317D3">
        <w:t xml:space="preserve">n average wage rate because </w:t>
      </w:r>
      <w:r w:rsidR="001B3816">
        <w:t xml:space="preserve">it </w:t>
      </w:r>
      <w:r w:rsidRPr="005A75FD" w:rsidR="00F317D3">
        <w:t>does not have information on the division of labor hours by professional category that states</w:t>
      </w:r>
      <w:r w:rsidR="008368F6">
        <w:t xml:space="preserve"> </w:t>
      </w:r>
      <w:r w:rsidRPr="005A75FD" w:rsidR="00F317D3">
        <w:t xml:space="preserve">use to administer their WQS programs. </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tblPr>
      <w:tblGrid>
        <w:gridCol w:w="3780"/>
        <w:gridCol w:w="1980"/>
        <w:gridCol w:w="1800"/>
        <w:gridCol w:w="1800"/>
      </w:tblGrid>
      <w:tr w14:paraId="35111C97" w14:textId="77777777" w:rsidTr="00381864">
        <w:tblPrEx>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tblPrEx>
        <w:trPr>
          <w:trHeight w:val="255"/>
          <w:jc w:val="center"/>
        </w:trPr>
        <w:tc>
          <w:tcPr>
            <w:tcW w:w="9360" w:type="dxa"/>
            <w:gridSpan w:val="4"/>
            <w:tcBorders>
              <w:top w:val="single" w:sz="4" w:space="0" w:color="auto"/>
              <w:left w:val="single" w:sz="4" w:space="0" w:color="auto"/>
              <w:bottom w:val="single" w:sz="4" w:space="0" w:color="auto"/>
              <w:right w:val="single" w:sz="4" w:space="0" w:color="auto"/>
            </w:tcBorders>
            <w:shd w:val="clear" w:color="auto" w:fill="D9D9D9"/>
            <w:noWrap/>
            <w:vAlign w:val="bottom"/>
          </w:tcPr>
          <w:p w:rsidR="00523340" w:rsidRPr="005A75FD" w:rsidP="00625E0C" w14:paraId="2FE6672E" w14:textId="627A3611">
            <w:pPr>
              <w:pStyle w:val="Caption"/>
              <w:rPr>
                <w:szCs w:val="24"/>
              </w:rPr>
            </w:pPr>
            <w:bookmarkStart w:id="58" w:name="_Ref279661033"/>
            <w:bookmarkStart w:id="59" w:name="_Ref301788750"/>
            <w:bookmarkStart w:id="60" w:name="_Toc288043052"/>
            <w:bookmarkStart w:id="61" w:name="_Ref291066085"/>
            <w:bookmarkStart w:id="62" w:name="_Toc300763558"/>
            <w:r w:rsidRPr="00396F4C">
              <w:rPr>
                <w:szCs w:val="24"/>
              </w:rPr>
              <w:t xml:space="preserve">Table </w:t>
            </w:r>
            <w:bookmarkEnd w:id="58"/>
            <w:r w:rsidRPr="005A75FD" w:rsidR="00AC008A">
              <w:rPr>
                <w:szCs w:val="24"/>
              </w:rPr>
              <w:fldChar w:fldCharType="begin"/>
            </w:r>
            <w:r w:rsidRPr="005A75FD" w:rsidR="00AC008A">
              <w:rPr>
                <w:szCs w:val="24"/>
              </w:rPr>
              <w:instrText xml:space="preserve"> STYLEREF 1 \s </w:instrText>
            </w:r>
            <w:r w:rsidRPr="005A75FD" w:rsidR="00AC008A">
              <w:rPr>
                <w:szCs w:val="24"/>
              </w:rPr>
              <w:fldChar w:fldCharType="separate"/>
            </w:r>
            <w:r w:rsidRPr="005A75FD" w:rsidR="00AC008A">
              <w:rPr>
                <w:noProof/>
                <w:szCs w:val="24"/>
              </w:rPr>
              <w:t>6</w:t>
            </w:r>
            <w:r w:rsidRPr="005A75FD" w:rsidR="00AC008A">
              <w:rPr>
                <w:szCs w:val="24"/>
              </w:rPr>
              <w:fldChar w:fldCharType="end"/>
            </w:r>
            <w:r w:rsidRPr="005A75FD" w:rsidR="00AC008A">
              <w:rPr>
                <w:szCs w:val="24"/>
              </w:rPr>
              <w:noBreakHyphen/>
            </w:r>
            <w:r w:rsidRPr="005A75FD" w:rsidR="00AC008A">
              <w:rPr>
                <w:szCs w:val="24"/>
              </w:rPr>
              <w:fldChar w:fldCharType="begin"/>
            </w:r>
            <w:r w:rsidRPr="005A75FD" w:rsidR="00AC008A">
              <w:rPr>
                <w:szCs w:val="24"/>
              </w:rPr>
              <w:instrText xml:space="preserve"> SEQ Table \* ARABIC \s 1 </w:instrText>
            </w:r>
            <w:r w:rsidRPr="005A75FD" w:rsidR="00AC008A">
              <w:rPr>
                <w:szCs w:val="24"/>
              </w:rPr>
              <w:fldChar w:fldCharType="separate"/>
            </w:r>
            <w:r w:rsidRPr="005A75FD" w:rsidR="00AC008A">
              <w:rPr>
                <w:noProof/>
                <w:szCs w:val="24"/>
              </w:rPr>
              <w:t>1</w:t>
            </w:r>
            <w:r w:rsidRPr="005A75FD" w:rsidR="00AC008A">
              <w:rPr>
                <w:szCs w:val="24"/>
              </w:rPr>
              <w:fldChar w:fldCharType="end"/>
            </w:r>
            <w:bookmarkEnd w:id="59"/>
            <w:r w:rsidRPr="005A75FD" w:rsidR="00F13C69">
              <w:rPr>
                <w:szCs w:val="24"/>
              </w:rPr>
              <w:t>:</w:t>
            </w:r>
            <w:r w:rsidRPr="005A75FD">
              <w:rPr>
                <w:szCs w:val="24"/>
              </w:rPr>
              <w:t xml:space="preserve"> Summary of State Government Average Hourly Wage Rates</w:t>
            </w:r>
            <w:bookmarkEnd w:id="60"/>
            <w:r w:rsidRPr="005A75FD">
              <w:rPr>
                <w:szCs w:val="24"/>
              </w:rPr>
              <w:t xml:space="preserve"> (20</w:t>
            </w:r>
            <w:r w:rsidR="00351588">
              <w:rPr>
                <w:szCs w:val="24"/>
              </w:rPr>
              <w:t>20</w:t>
            </w:r>
            <w:r w:rsidRPr="005A75FD">
              <w:rPr>
                <w:szCs w:val="24"/>
              </w:rPr>
              <w:t>$)</w:t>
            </w:r>
            <w:bookmarkEnd w:id="61"/>
            <w:bookmarkEnd w:id="62"/>
          </w:p>
        </w:tc>
      </w:tr>
      <w:tr w14:paraId="367DC1BA" w14:textId="77777777" w:rsidTr="00381864">
        <w:tblPrEx>
          <w:tblW w:w="9360" w:type="dxa"/>
          <w:jc w:val="center"/>
          <w:tblLayout w:type="fixed"/>
          <w:tblCellMar>
            <w:left w:w="58" w:type="dxa"/>
            <w:right w:w="58" w:type="dxa"/>
          </w:tblCellMar>
          <w:tblLook w:val="0000"/>
        </w:tblPrEx>
        <w:trPr>
          <w:trHeight w:val="485"/>
          <w:jc w:val="center"/>
        </w:trPr>
        <w:tc>
          <w:tcPr>
            <w:tcW w:w="3780" w:type="dxa"/>
            <w:tcBorders>
              <w:top w:val="single" w:sz="4" w:space="0" w:color="auto"/>
            </w:tcBorders>
            <w:shd w:val="clear" w:color="auto" w:fill="FFFF99"/>
            <w:noWrap/>
            <w:vAlign w:val="center"/>
          </w:tcPr>
          <w:p w:rsidR="00523340" w:rsidRPr="005A75FD" w:rsidP="005A75FD" w14:paraId="6C828E44" w14:textId="0D83CB06">
            <w:pPr>
              <w:pStyle w:val="ExhibitHeading"/>
              <w:keepLines/>
              <w:rPr>
                <w:sz w:val="24"/>
                <w:szCs w:val="24"/>
              </w:rPr>
            </w:pPr>
            <w:r w:rsidRPr="005A75FD">
              <w:rPr>
                <w:sz w:val="24"/>
                <w:szCs w:val="24"/>
              </w:rPr>
              <w:t>Labor Category</w:t>
            </w:r>
          </w:p>
        </w:tc>
        <w:tc>
          <w:tcPr>
            <w:tcW w:w="1980" w:type="dxa"/>
            <w:tcBorders>
              <w:top w:val="single" w:sz="4" w:space="0" w:color="auto"/>
            </w:tcBorders>
            <w:shd w:val="clear" w:color="auto" w:fill="FFFF99"/>
            <w:noWrap/>
            <w:vAlign w:val="center"/>
          </w:tcPr>
          <w:p w:rsidR="00523340" w:rsidRPr="005A75FD" w:rsidP="005A75FD" w14:paraId="6798B67E" w14:textId="77777777">
            <w:pPr>
              <w:pStyle w:val="ExhibitHeading"/>
              <w:keepLines/>
              <w:rPr>
                <w:sz w:val="24"/>
                <w:szCs w:val="24"/>
              </w:rPr>
            </w:pPr>
            <w:r w:rsidRPr="005A75FD">
              <w:rPr>
                <w:sz w:val="24"/>
                <w:szCs w:val="24"/>
              </w:rPr>
              <w:t>Hourly Labor Rate</w:t>
            </w:r>
          </w:p>
        </w:tc>
        <w:tc>
          <w:tcPr>
            <w:tcW w:w="1800" w:type="dxa"/>
            <w:tcBorders>
              <w:top w:val="single" w:sz="4" w:space="0" w:color="auto"/>
            </w:tcBorders>
            <w:shd w:val="clear" w:color="auto" w:fill="FFFF99"/>
            <w:vAlign w:val="center"/>
          </w:tcPr>
          <w:p w:rsidR="00523340" w:rsidRPr="005A75FD" w:rsidP="005A75FD" w14:paraId="689E0046" w14:textId="21260415">
            <w:pPr>
              <w:pStyle w:val="ExhibitHeading"/>
              <w:keepLines/>
              <w:rPr>
                <w:sz w:val="24"/>
                <w:szCs w:val="24"/>
              </w:rPr>
            </w:pPr>
            <w:r w:rsidRPr="005A75FD">
              <w:rPr>
                <w:sz w:val="24"/>
                <w:szCs w:val="24"/>
              </w:rPr>
              <w:t>Hourly Benefits</w:t>
            </w:r>
          </w:p>
        </w:tc>
        <w:tc>
          <w:tcPr>
            <w:tcW w:w="1800" w:type="dxa"/>
            <w:tcBorders>
              <w:top w:val="single" w:sz="4" w:space="0" w:color="auto"/>
            </w:tcBorders>
            <w:shd w:val="clear" w:color="auto" w:fill="FFFF99"/>
            <w:noWrap/>
            <w:vAlign w:val="center"/>
          </w:tcPr>
          <w:p w:rsidR="00523340" w:rsidRPr="005A75FD" w:rsidP="005A75FD" w14:paraId="107D6AFA" w14:textId="77777777">
            <w:pPr>
              <w:pStyle w:val="ExhibitHeading"/>
              <w:keepLines/>
              <w:rPr>
                <w:sz w:val="24"/>
                <w:szCs w:val="24"/>
              </w:rPr>
            </w:pPr>
            <w:r w:rsidRPr="005A75FD">
              <w:rPr>
                <w:sz w:val="24"/>
                <w:szCs w:val="24"/>
              </w:rPr>
              <w:t>Hourly Wage Rate</w:t>
            </w:r>
          </w:p>
        </w:tc>
      </w:tr>
      <w:tr w14:paraId="6423069B" w14:textId="77777777" w:rsidTr="00E37F5A">
        <w:tblPrEx>
          <w:tblW w:w="9360" w:type="dxa"/>
          <w:jc w:val="center"/>
          <w:tblLayout w:type="fixed"/>
          <w:tblCellMar>
            <w:left w:w="58" w:type="dxa"/>
            <w:right w:w="58" w:type="dxa"/>
          </w:tblCellMar>
          <w:tblLook w:val="0000"/>
        </w:tblPrEx>
        <w:trPr>
          <w:trHeight w:val="255"/>
          <w:jc w:val="center"/>
        </w:trPr>
        <w:tc>
          <w:tcPr>
            <w:tcW w:w="3780" w:type="dxa"/>
            <w:noWrap/>
          </w:tcPr>
          <w:p w:rsidR="00351588" w:rsidRPr="005A75FD" w:rsidP="00351588" w14:paraId="117DCC4C" w14:textId="6C1BC7EB">
            <w:pPr>
              <w:pStyle w:val="ExhibitLeft"/>
            </w:pPr>
            <w:r w:rsidRPr="00F4597E">
              <w:t>Economist (19-3011)</w:t>
            </w:r>
          </w:p>
        </w:tc>
        <w:tc>
          <w:tcPr>
            <w:tcW w:w="1980" w:type="dxa"/>
            <w:noWrap/>
          </w:tcPr>
          <w:p w:rsidR="00351588" w:rsidRPr="005A75FD" w:rsidP="00351588" w14:paraId="22133D47" w14:textId="7FE17AB3">
            <w:pPr>
              <w:pStyle w:val="ExhibitCenter"/>
            </w:pPr>
            <w:r w:rsidRPr="00FB1CE3">
              <w:rPr>
                <w:rFonts w:cs="Times New Roman"/>
              </w:rPr>
              <w:t>$36</w:t>
            </w:r>
            <w:r>
              <w:rPr>
                <w:rFonts w:cs="Times New Roman"/>
              </w:rPr>
              <w:t>.33</w:t>
            </w:r>
            <w:r w:rsidRPr="00FB1CE3">
              <w:rPr>
                <w:rFonts w:cs="Times New Roman"/>
              </w:rPr>
              <w:t> </w:t>
            </w:r>
          </w:p>
        </w:tc>
        <w:tc>
          <w:tcPr>
            <w:tcW w:w="1800" w:type="dxa"/>
          </w:tcPr>
          <w:p w:rsidR="00351588" w:rsidRPr="005A75FD" w:rsidP="00351588" w14:paraId="57229313" w14:textId="48DA300C">
            <w:pPr>
              <w:pStyle w:val="ExhibitCenter"/>
            </w:pPr>
            <w:r w:rsidRPr="00FB1CE3">
              <w:rPr>
                <w:rFonts w:cs="Times New Roman"/>
              </w:rPr>
              <w:t>$20</w:t>
            </w:r>
            <w:r>
              <w:rPr>
                <w:rFonts w:cs="Times New Roman"/>
              </w:rPr>
              <w:t>.34</w:t>
            </w:r>
            <w:r w:rsidRPr="00FB1CE3">
              <w:rPr>
                <w:rFonts w:cs="Times New Roman"/>
              </w:rPr>
              <w:t> </w:t>
            </w:r>
          </w:p>
        </w:tc>
        <w:tc>
          <w:tcPr>
            <w:tcW w:w="1800" w:type="dxa"/>
            <w:noWrap/>
          </w:tcPr>
          <w:p w:rsidR="00351588" w:rsidRPr="005A75FD" w:rsidP="00351588" w14:paraId="64712847" w14:textId="77BC1CDA">
            <w:pPr>
              <w:pStyle w:val="ExhibitCenter"/>
            </w:pPr>
            <w:r w:rsidRPr="00FB1CE3">
              <w:rPr>
                <w:rFonts w:cs="Times New Roman"/>
              </w:rPr>
              <w:t>$67</w:t>
            </w:r>
            <w:r>
              <w:rPr>
                <w:rFonts w:cs="Times New Roman"/>
              </w:rPr>
              <w:t>.21</w:t>
            </w:r>
            <w:r w:rsidRPr="00FB1CE3">
              <w:rPr>
                <w:rFonts w:cs="Times New Roman"/>
              </w:rPr>
              <w:t> </w:t>
            </w:r>
          </w:p>
        </w:tc>
      </w:tr>
      <w:tr w14:paraId="6D3889C3" w14:textId="77777777" w:rsidTr="00E37F5A">
        <w:tblPrEx>
          <w:tblW w:w="9360" w:type="dxa"/>
          <w:jc w:val="center"/>
          <w:tblLayout w:type="fixed"/>
          <w:tblCellMar>
            <w:left w:w="58" w:type="dxa"/>
            <w:right w:w="58" w:type="dxa"/>
          </w:tblCellMar>
          <w:tblLook w:val="0000"/>
        </w:tblPrEx>
        <w:trPr>
          <w:trHeight w:val="255"/>
          <w:jc w:val="center"/>
        </w:trPr>
        <w:tc>
          <w:tcPr>
            <w:tcW w:w="3780" w:type="dxa"/>
            <w:noWrap/>
          </w:tcPr>
          <w:p w:rsidR="00351588" w:rsidRPr="005A75FD" w:rsidP="00351588" w14:paraId="2EC147D8" w14:textId="1712D4B3">
            <w:pPr>
              <w:pStyle w:val="ExhibitLeft"/>
            </w:pPr>
            <w:r w:rsidRPr="00F4597E">
              <w:t>Environmental Engineer (17-2081)</w:t>
            </w:r>
          </w:p>
        </w:tc>
        <w:tc>
          <w:tcPr>
            <w:tcW w:w="1980" w:type="dxa"/>
            <w:noWrap/>
          </w:tcPr>
          <w:p w:rsidR="00351588" w:rsidRPr="005A75FD" w:rsidP="00351588" w14:paraId="47EDF3A6" w14:textId="09A32666">
            <w:pPr>
              <w:pStyle w:val="ExhibitCenter"/>
            </w:pPr>
            <w:r w:rsidRPr="00FB1CE3">
              <w:rPr>
                <w:rFonts w:cs="Times New Roman"/>
              </w:rPr>
              <w:t>$42</w:t>
            </w:r>
            <w:r>
              <w:rPr>
                <w:rFonts w:cs="Times New Roman"/>
              </w:rPr>
              <w:t>.15</w:t>
            </w:r>
            <w:r w:rsidRPr="00FB1CE3">
              <w:rPr>
                <w:rFonts w:cs="Times New Roman"/>
              </w:rPr>
              <w:t> </w:t>
            </w:r>
          </w:p>
        </w:tc>
        <w:tc>
          <w:tcPr>
            <w:tcW w:w="1800" w:type="dxa"/>
          </w:tcPr>
          <w:p w:rsidR="00351588" w:rsidRPr="005A75FD" w:rsidP="00351588" w14:paraId="0EA8FA67" w14:textId="77B86DA6">
            <w:pPr>
              <w:pStyle w:val="ExhibitCenter"/>
            </w:pPr>
            <w:r w:rsidRPr="00FB1CE3">
              <w:rPr>
                <w:rFonts w:cs="Times New Roman"/>
              </w:rPr>
              <w:t>$2</w:t>
            </w:r>
            <w:r>
              <w:rPr>
                <w:rFonts w:cs="Times New Roman"/>
              </w:rPr>
              <w:t>3.60</w:t>
            </w:r>
          </w:p>
        </w:tc>
        <w:tc>
          <w:tcPr>
            <w:tcW w:w="1800" w:type="dxa"/>
            <w:noWrap/>
          </w:tcPr>
          <w:p w:rsidR="00351588" w:rsidRPr="005A75FD" w:rsidP="00351588" w14:paraId="039B05C2" w14:textId="05A1E1C7">
            <w:pPr>
              <w:pStyle w:val="ExhibitCenter"/>
            </w:pPr>
            <w:r w:rsidRPr="00FB1CE3">
              <w:rPr>
                <w:rFonts w:cs="Times New Roman"/>
              </w:rPr>
              <w:t>$</w:t>
            </w:r>
            <w:r>
              <w:rPr>
                <w:rFonts w:cs="Times New Roman"/>
              </w:rPr>
              <w:t>77.97</w:t>
            </w:r>
            <w:r w:rsidRPr="00FB1CE3">
              <w:rPr>
                <w:rFonts w:cs="Times New Roman"/>
              </w:rPr>
              <w:t> </w:t>
            </w:r>
          </w:p>
        </w:tc>
      </w:tr>
      <w:tr w14:paraId="57C34582" w14:textId="77777777" w:rsidTr="00E37F5A">
        <w:tblPrEx>
          <w:tblW w:w="9360" w:type="dxa"/>
          <w:jc w:val="center"/>
          <w:tblLayout w:type="fixed"/>
          <w:tblCellMar>
            <w:left w:w="58" w:type="dxa"/>
            <w:right w:w="58" w:type="dxa"/>
          </w:tblCellMar>
          <w:tblLook w:val="0000"/>
        </w:tblPrEx>
        <w:trPr>
          <w:trHeight w:val="255"/>
          <w:jc w:val="center"/>
        </w:trPr>
        <w:tc>
          <w:tcPr>
            <w:tcW w:w="3780" w:type="dxa"/>
            <w:noWrap/>
          </w:tcPr>
          <w:p w:rsidR="00351588" w:rsidRPr="005A75FD" w:rsidP="00351588" w14:paraId="2D09F713" w14:textId="205AF673">
            <w:pPr>
              <w:pStyle w:val="ExhibitLeft"/>
            </w:pPr>
            <w:r w:rsidRPr="00F4597E">
              <w:t>Environmental Scientist (19-2041)</w:t>
            </w:r>
          </w:p>
        </w:tc>
        <w:tc>
          <w:tcPr>
            <w:tcW w:w="1980" w:type="dxa"/>
            <w:noWrap/>
          </w:tcPr>
          <w:p w:rsidR="00351588" w:rsidRPr="005A75FD" w:rsidP="00351588" w14:paraId="725869D8" w14:textId="041F92C0">
            <w:pPr>
              <w:pStyle w:val="ExhibitCenter"/>
            </w:pPr>
            <w:r w:rsidRPr="00FB1CE3">
              <w:rPr>
                <w:rFonts w:cs="Times New Roman"/>
              </w:rPr>
              <w:t>$3</w:t>
            </w:r>
            <w:r>
              <w:rPr>
                <w:rFonts w:cs="Times New Roman"/>
              </w:rPr>
              <w:t>3.91</w:t>
            </w:r>
            <w:r w:rsidRPr="00FB1CE3">
              <w:rPr>
                <w:rFonts w:cs="Times New Roman"/>
              </w:rPr>
              <w:t> </w:t>
            </w:r>
          </w:p>
        </w:tc>
        <w:tc>
          <w:tcPr>
            <w:tcW w:w="1800" w:type="dxa"/>
          </w:tcPr>
          <w:p w:rsidR="00351588" w:rsidRPr="005A75FD" w:rsidP="00351588" w14:paraId="44E16A6C" w14:textId="17E739D1">
            <w:pPr>
              <w:pStyle w:val="ExhibitCenter"/>
            </w:pPr>
            <w:r w:rsidRPr="00FB1CE3">
              <w:rPr>
                <w:rFonts w:cs="Times New Roman"/>
              </w:rPr>
              <w:t>$1</w:t>
            </w:r>
            <w:r>
              <w:rPr>
                <w:rFonts w:cs="Times New Roman"/>
              </w:rPr>
              <w:t>8.99</w:t>
            </w:r>
            <w:r w:rsidRPr="00FB1CE3">
              <w:rPr>
                <w:rFonts w:cs="Times New Roman"/>
              </w:rPr>
              <w:t> </w:t>
            </w:r>
          </w:p>
        </w:tc>
        <w:tc>
          <w:tcPr>
            <w:tcW w:w="1800" w:type="dxa"/>
            <w:noWrap/>
          </w:tcPr>
          <w:p w:rsidR="00351588" w:rsidRPr="005A75FD" w:rsidP="00351588" w14:paraId="16BC7AE4" w14:textId="15CE058C">
            <w:pPr>
              <w:pStyle w:val="ExhibitCenter"/>
            </w:pPr>
            <w:r w:rsidRPr="00FB1CE3">
              <w:rPr>
                <w:rFonts w:cs="Times New Roman"/>
              </w:rPr>
              <w:t>$6</w:t>
            </w:r>
            <w:r>
              <w:rPr>
                <w:rFonts w:cs="Times New Roman"/>
              </w:rPr>
              <w:t>2.73</w:t>
            </w:r>
            <w:r w:rsidRPr="00FB1CE3">
              <w:rPr>
                <w:rFonts w:cs="Times New Roman"/>
              </w:rPr>
              <w:t> </w:t>
            </w:r>
          </w:p>
        </w:tc>
      </w:tr>
      <w:tr w14:paraId="2098EBBE" w14:textId="77777777" w:rsidTr="00E37F5A">
        <w:tblPrEx>
          <w:tblW w:w="9360" w:type="dxa"/>
          <w:jc w:val="center"/>
          <w:tblLayout w:type="fixed"/>
          <w:tblCellMar>
            <w:left w:w="58" w:type="dxa"/>
            <w:right w:w="58" w:type="dxa"/>
          </w:tblCellMar>
          <w:tblLook w:val="0000"/>
        </w:tblPrEx>
        <w:trPr>
          <w:trHeight w:val="255"/>
          <w:jc w:val="center"/>
        </w:trPr>
        <w:tc>
          <w:tcPr>
            <w:tcW w:w="3780" w:type="dxa"/>
            <w:noWrap/>
          </w:tcPr>
          <w:p w:rsidR="00351588" w:rsidRPr="005A75FD" w:rsidP="00351588" w14:paraId="794E6D68" w14:textId="5BD838E7">
            <w:pPr>
              <w:pStyle w:val="ExhibitLeft"/>
            </w:pPr>
            <w:r>
              <w:t>Lawyer (23-1011)</w:t>
            </w:r>
          </w:p>
        </w:tc>
        <w:tc>
          <w:tcPr>
            <w:tcW w:w="1980" w:type="dxa"/>
            <w:noWrap/>
          </w:tcPr>
          <w:p w:rsidR="00351588" w:rsidRPr="005A75FD" w:rsidP="00351588" w14:paraId="50C81F2C" w14:textId="0D9B693E">
            <w:pPr>
              <w:pStyle w:val="ExhibitCenter"/>
            </w:pPr>
            <w:r w:rsidRPr="00FB1CE3">
              <w:rPr>
                <w:rFonts w:cs="Times New Roman"/>
              </w:rPr>
              <w:t>$4</w:t>
            </w:r>
            <w:r>
              <w:rPr>
                <w:rFonts w:cs="Times New Roman"/>
              </w:rPr>
              <w:t>6.85</w:t>
            </w:r>
            <w:r w:rsidRPr="00FB1CE3">
              <w:rPr>
                <w:rFonts w:cs="Times New Roman"/>
              </w:rPr>
              <w:t> </w:t>
            </w:r>
          </w:p>
        </w:tc>
        <w:tc>
          <w:tcPr>
            <w:tcW w:w="1800" w:type="dxa"/>
          </w:tcPr>
          <w:p w:rsidR="00351588" w:rsidRPr="005A75FD" w:rsidP="00351588" w14:paraId="2860C682" w14:textId="7662BE86">
            <w:pPr>
              <w:pStyle w:val="ExhibitCenter"/>
            </w:pPr>
            <w:r w:rsidRPr="00FB1CE3">
              <w:rPr>
                <w:rFonts w:cs="Times New Roman"/>
              </w:rPr>
              <w:t>$26</w:t>
            </w:r>
            <w:r>
              <w:rPr>
                <w:rFonts w:cs="Times New Roman"/>
              </w:rPr>
              <w:t>.24</w:t>
            </w:r>
          </w:p>
        </w:tc>
        <w:tc>
          <w:tcPr>
            <w:tcW w:w="1800" w:type="dxa"/>
            <w:noWrap/>
          </w:tcPr>
          <w:p w:rsidR="00351588" w:rsidRPr="005A75FD" w:rsidP="00351588" w14:paraId="23AC35CE" w14:textId="68C5419C">
            <w:pPr>
              <w:pStyle w:val="ExhibitCenter"/>
            </w:pPr>
            <w:r w:rsidRPr="00FB1CE3">
              <w:rPr>
                <w:rFonts w:cs="Times New Roman"/>
              </w:rPr>
              <w:t>$8</w:t>
            </w:r>
            <w:r>
              <w:rPr>
                <w:rFonts w:cs="Times New Roman"/>
              </w:rPr>
              <w:t>6.68</w:t>
            </w:r>
            <w:r w:rsidRPr="00FB1CE3">
              <w:rPr>
                <w:rFonts w:cs="Times New Roman"/>
              </w:rPr>
              <w:t> </w:t>
            </w:r>
          </w:p>
        </w:tc>
      </w:tr>
      <w:tr w14:paraId="55DB4702" w14:textId="77777777" w:rsidTr="00E37F5A">
        <w:tblPrEx>
          <w:tblW w:w="9360" w:type="dxa"/>
          <w:jc w:val="center"/>
          <w:tblLayout w:type="fixed"/>
          <w:tblCellMar>
            <w:left w:w="58" w:type="dxa"/>
            <w:right w:w="58" w:type="dxa"/>
          </w:tblCellMar>
          <w:tblLook w:val="0000"/>
        </w:tblPrEx>
        <w:trPr>
          <w:trHeight w:val="255"/>
          <w:jc w:val="center"/>
        </w:trPr>
        <w:tc>
          <w:tcPr>
            <w:tcW w:w="3780" w:type="dxa"/>
            <w:noWrap/>
          </w:tcPr>
          <w:p w:rsidR="00351588" w:rsidRPr="005A75FD" w:rsidP="00351588" w14:paraId="5E58DDF2" w14:textId="0E48B457">
            <w:pPr>
              <w:pStyle w:val="ExhibitLeft"/>
            </w:pPr>
            <w:r w:rsidRPr="00F4597E">
              <w:t>Natural Sciences Manager (11-9121)</w:t>
            </w:r>
          </w:p>
        </w:tc>
        <w:tc>
          <w:tcPr>
            <w:tcW w:w="1980" w:type="dxa"/>
            <w:noWrap/>
          </w:tcPr>
          <w:p w:rsidR="00351588" w:rsidRPr="005A75FD" w:rsidP="00351588" w14:paraId="12476D46" w14:textId="163B30F8">
            <w:pPr>
              <w:pStyle w:val="ExhibitCenter"/>
            </w:pPr>
            <w:r w:rsidRPr="00FB1CE3">
              <w:rPr>
                <w:rFonts w:cs="Times New Roman"/>
              </w:rPr>
              <w:t>$4</w:t>
            </w:r>
            <w:r>
              <w:rPr>
                <w:rFonts w:cs="Times New Roman"/>
              </w:rPr>
              <w:t>2.52</w:t>
            </w:r>
            <w:r w:rsidRPr="00FB1CE3">
              <w:rPr>
                <w:rFonts w:cs="Times New Roman"/>
              </w:rPr>
              <w:t> </w:t>
            </w:r>
          </w:p>
        </w:tc>
        <w:tc>
          <w:tcPr>
            <w:tcW w:w="1800" w:type="dxa"/>
          </w:tcPr>
          <w:p w:rsidR="00351588" w:rsidRPr="005A75FD" w:rsidP="00351588" w14:paraId="5937E088" w14:textId="77D258E1">
            <w:pPr>
              <w:pStyle w:val="ExhibitCenter"/>
            </w:pPr>
            <w:r w:rsidRPr="00FB1CE3">
              <w:rPr>
                <w:rFonts w:cs="Times New Roman"/>
              </w:rPr>
              <w:t>$2</w:t>
            </w:r>
            <w:r>
              <w:rPr>
                <w:rFonts w:cs="Times New Roman"/>
              </w:rPr>
              <w:t>3.81</w:t>
            </w:r>
            <w:r w:rsidRPr="00FB1CE3">
              <w:rPr>
                <w:rFonts w:cs="Times New Roman"/>
              </w:rPr>
              <w:t> </w:t>
            </w:r>
          </w:p>
        </w:tc>
        <w:tc>
          <w:tcPr>
            <w:tcW w:w="1800" w:type="dxa"/>
            <w:noWrap/>
          </w:tcPr>
          <w:p w:rsidR="00351588" w:rsidRPr="005A75FD" w:rsidP="00351588" w14:paraId="4FADB3E5" w14:textId="40C46913">
            <w:pPr>
              <w:pStyle w:val="ExhibitCenter"/>
            </w:pPr>
            <w:r w:rsidRPr="00FB1CE3">
              <w:rPr>
                <w:rFonts w:cs="Times New Roman"/>
              </w:rPr>
              <w:t>$7</w:t>
            </w:r>
            <w:r>
              <w:rPr>
                <w:rFonts w:cs="Times New Roman"/>
              </w:rPr>
              <w:t>8.66</w:t>
            </w:r>
            <w:r w:rsidRPr="00FB1CE3">
              <w:rPr>
                <w:rFonts w:cs="Times New Roman"/>
              </w:rPr>
              <w:t> </w:t>
            </w:r>
          </w:p>
        </w:tc>
      </w:tr>
      <w:tr w14:paraId="689F89A4" w14:textId="77777777" w:rsidTr="00FD1BBA">
        <w:tblPrEx>
          <w:tblW w:w="9360" w:type="dxa"/>
          <w:jc w:val="center"/>
          <w:tblLayout w:type="fixed"/>
          <w:tblCellMar>
            <w:left w:w="58" w:type="dxa"/>
            <w:right w:w="58" w:type="dxa"/>
          </w:tblCellMar>
          <w:tblLook w:val="0000"/>
        </w:tblPrEx>
        <w:trPr>
          <w:trHeight w:val="70"/>
          <w:jc w:val="center"/>
        </w:trPr>
        <w:tc>
          <w:tcPr>
            <w:tcW w:w="3780" w:type="dxa"/>
            <w:noWrap/>
          </w:tcPr>
          <w:p w:rsidR="00351588" w:rsidRPr="003B1AFF" w:rsidP="00351588" w14:paraId="25988B93" w14:textId="333EFDF1">
            <w:pPr>
              <w:pStyle w:val="ExhibitLeft"/>
              <w:rPr>
                <w:b/>
              </w:rPr>
            </w:pPr>
            <w:r w:rsidRPr="00D87FCC">
              <w:rPr>
                <w:b/>
              </w:rPr>
              <w:t>Average</w:t>
            </w:r>
          </w:p>
        </w:tc>
        <w:tc>
          <w:tcPr>
            <w:tcW w:w="1980" w:type="dxa"/>
            <w:vAlign w:val="center"/>
          </w:tcPr>
          <w:p w:rsidR="00351588" w:rsidRPr="003B1AFF" w:rsidP="00351588" w14:paraId="682F5F0A" w14:textId="3EDEC43F">
            <w:pPr>
              <w:pStyle w:val="ExhibitCenter"/>
              <w:rPr>
                <w:b/>
              </w:rPr>
            </w:pPr>
            <w:r w:rsidRPr="00FB1CE3">
              <w:rPr>
                <w:rFonts w:cs="Times New Roman"/>
                <w:b/>
                <w:bCs/>
              </w:rPr>
              <w:t>--</w:t>
            </w:r>
            <w:r w:rsidRPr="00FB1CE3">
              <w:rPr>
                <w:rFonts w:cs="Times New Roman"/>
              </w:rPr>
              <w:t> </w:t>
            </w:r>
          </w:p>
        </w:tc>
        <w:tc>
          <w:tcPr>
            <w:tcW w:w="1800" w:type="dxa"/>
            <w:vAlign w:val="center"/>
          </w:tcPr>
          <w:p w:rsidR="00351588" w:rsidRPr="003B1AFF" w:rsidP="00351588" w14:paraId="7C5DFE43" w14:textId="4DC5DAAD">
            <w:pPr>
              <w:pStyle w:val="ExhibitCenter"/>
              <w:rPr>
                <w:b/>
              </w:rPr>
            </w:pPr>
            <w:r w:rsidRPr="00FB1CE3">
              <w:rPr>
                <w:rFonts w:cs="Times New Roman"/>
                <w:b/>
                <w:bCs/>
              </w:rPr>
              <w:t>--</w:t>
            </w:r>
            <w:r w:rsidRPr="00FB1CE3">
              <w:rPr>
                <w:rFonts w:cs="Times New Roman"/>
              </w:rPr>
              <w:t> </w:t>
            </w:r>
          </w:p>
        </w:tc>
        <w:tc>
          <w:tcPr>
            <w:tcW w:w="1800" w:type="dxa"/>
            <w:noWrap/>
            <w:vAlign w:val="center"/>
          </w:tcPr>
          <w:p w:rsidR="00351588" w:rsidRPr="003B1AFF" w:rsidP="00351588" w14:paraId="3CF0454E" w14:textId="74414582">
            <w:pPr>
              <w:pStyle w:val="ExhibitCenter"/>
              <w:rPr>
                <w:b/>
              </w:rPr>
            </w:pPr>
            <w:r w:rsidRPr="00FB1CE3">
              <w:rPr>
                <w:rFonts w:cs="Times New Roman"/>
                <w:b/>
                <w:bCs/>
              </w:rPr>
              <w:t>$7</w:t>
            </w:r>
            <w:r>
              <w:rPr>
                <w:rFonts w:cs="Times New Roman"/>
                <w:b/>
                <w:bCs/>
              </w:rPr>
              <w:t>4.65</w:t>
            </w:r>
            <w:r w:rsidRPr="00FB1CE3">
              <w:rPr>
                <w:rFonts w:cs="Times New Roman"/>
              </w:rPr>
              <w:t> </w:t>
            </w:r>
          </w:p>
        </w:tc>
      </w:tr>
      <w:tr w14:paraId="10DC1C09" w14:textId="77777777" w:rsidTr="00381864">
        <w:tblPrEx>
          <w:tblW w:w="9360" w:type="dxa"/>
          <w:jc w:val="center"/>
          <w:tblLayout w:type="fixed"/>
          <w:tblCellMar>
            <w:left w:w="58" w:type="dxa"/>
            <w:right w:w="58" w:type="dxa"/>
          </w:tblCellMar>
          <w:tblLook w:val="0000"/>
        </w:tblPrEx>
        <w:trPr>
          <w:trHeight w:val="512"/>
          <w:jc w:val="center"/>
        </w:trPr>
        <w:tc>
          <w:tcPr>
            <w:tcW w:w="9360" w:type="dxa"/>
            <w:gridSpan w:val="4"/>
            <w:noWrap/>
            <w:vAlign w:val="bottom"/>
          </w:tcPr>
          <w:p w:rsidR="0078785F" w:rsidRPr="005A75FD" w:rsidP="005A75FD" w14:paraId="2BEBD1CB" w14:textId="32DAD320">
            <w:pPr>
              <w:pStyle w:val="Exhibitnotes"/>
            </w:pPr>
            <w:r w:rsidRPr="005A75FD">
              <w:t>Source</w:t>
            </w:r>
            <w:r w:rsidR="00351588">
              <w:t>s</w:t>
            </w:r>
            <w:r w:rsidRPr="005A75FD">
              <w:t xml:space="preserve">: </w:t>
            </w:r>
            <w:r w:rsidRPr="00351588" w:rsidR="00351588">
              <w:t xml:space="preserve">Occupational Employment and Wage Statistics for May 2020 (USBLS 2021a); Employer Cost for Employee Compensation—December 2020 (USBLS 2021b); </w:t>
            </w:r>
            <w:r w:rsidRPr="00351588" w:rsidR="00351588">
              <w:rPr>
                <w:i/>
              </w:rPr>
              <w:t>Handbook on Valuing Changes in Time Use Induced by Regulatory Requirements and Other EPA Actions</w:t>
            </w:r>
            <w:r w:rsidRPr="00351588" w:rsidR="00351588">
              <w:t xml:space="preserve"> (USEPA 2020)</w:t>
            </w:r>
          </w:p>
        </w:tc>
      </w:tr>
    </w:tbl>
    <w:p w:rsidR="00F317D3" w:rsidP="003B3A98" w14:paraId="672C3D17" w14:textId="701CB840">
      <w:pPr>
        <w:pStyle w:val="BodyText"/>
      </w:pPr>
    </w:p>
    <w:p w:rsidR="00FA1593" w:rsidRPr="00B7618A" w:rsidP="00FA1593" w14:paraId="18D55EF9" w14:textId="7D3DDDED">
      <w:pPr>
        <w:pStyle w:val="BodyText"/>
      </w:pPr>
      <w:r>
        <w:t>T</w:t>
      </w:r>
      <w:r w:rsidRPr="00F4597E">
        <w:t xml:space="preserve">he </w:t>
      </w:r>
      <w:r>
        <w:t xml:space="preserve">estimated </w:t>
      </w:r>
      <w:r w:rsidRPr="00F4597E">
        <w:t xml:space="preserve">total </w:t>
      </w:r>
      <w:r w:rsidR="002245A7">
        <w:t xml:space="preserve">one-time </w:t>
      </w:r>
      <w:r>
        <w:t xml:space="preserve">cost per state </w:t>
      </w:r>
      <w:r w:rsidRPr="00F4597E">
        <w:t xml:space="preserve">to comply with the proposed rule ranges from </w:t>
      </w:r>
      <w:r w:rsidRPr="00FF259F">
        <w:t>$19,782</w:t>
      </w:r>
      <w:r>
        <w:t xml:space="preserve"> to </w:t>
      </w:r>
      <w:r w:rsidRPr="00FF259F">
        <w:t>$98,911</w:t>
      </w:r>
      <w:r>
        <w:t>.</w:t>
      </w:r>
      <w:r w:rsidRPr="00F4597E">
        <w:t xml:space="preserve"> Using the estimated average hourly labor rate shown in </w:t>
      </w:r>
      <w:r>
        <w:t>Table</w:t>
      </w:r>
      <w:r w:rsidRPr="00F4597E">
        <w:t xml:space="preserve"> </w:t>
      </w:r>
      <w:r w:rsidR="00011011">
        <w:t>6</w:t>
      </w:r>
      <w:r w:rsidRPr="00F4597E">
        <w:t>-1 ($</w:t>
      </w:r>
      <w:r>
        <w:t>74.65</w:t>
      </w:r>
      <w:r w:rsidRPr="00F4597E">
        <w:t xml:space="preserve">), EPA estimated </w:t>
      </w:r>
      <w:r>
        <w:t xml:space="preserve">that </w:t>
      </w:r>
      <w:r w:rsidRPr="00F4597E">
        <w:t xml:space="preserve">the </w:t>
      </w:r>
      <w:r>
        <w:t xml:space="preserve">total </w:t>
      </w:r>
      <w:r w:rsidRPr="00F4597E">
        <w:t xml:space="preserve">cost associated with state rulemaking activities </w:t>
      </w:r>
      <w:r>
        <w:t>for all 50 states would</w:t>
      </w:r>
      <w:r w:rsidRPr="00F4597E">
        <w:t xml:space="preserve"> range from approximately $</w:t>
      </w:r>
      <w:r>
        <w:t>989,112</w:t>
      </w:r>
      <w:r w:rsidRPr="00F4597E">
        <w:t xml:space="preserve"> ($</w:t>
      </w:r>
      <w:r>
        <w:t>74.65</w:t>
      </w:r>
      <w:r w:rsidRPr="00F4597E">
        <w:t xml:space="preserve"> per hour x </w:t>
      </w:r>
      <w:r w:rsidRPr="00CE3489">
        <w:t>13,250 hours) to $4,</w:t>
      </w:r>
      <w:r>
        <w:t>945,562</w:t>
      </w:r>
      <w:r w:rsidRPr="006658BE">
        <w:t xml:space="preserve"> ($</w:t>
      </w:r>
      <w:r>
        <w:t>74.65</w:t>
      </w:r>
      <w:r w:rsidRPr="006658BE">
        <w:t xml:space="preserve"> per hour x 66</w:t>
      </w:r>
      <w:r w:rsidRPr="00CE3489">
        <w:t>,250 hours).</w:t>
      </w:r>
      <w:r w:rsidRPr="002245A7" w:rsidR="002245A7">
        <w:rPr>
          <w:szCs w:val="22"/>
        </w:rPr>
        <w:t xml:space="preserve"> </w:t>
      </w:r>
      <w:r w:rsidRPr="002245A7" w:rsidR="002245A7">
        <w:t xml:space="preserve">EPA chose to not annualize these costs given uncertainty </w:t>
      </w:r>
      <w:r w:rsidR="002245A7">
        <w:t>about</w:t>
      </w:r>
      <w:r w:rsidRPr="002245A7" w:rsidR="002245A7">
        <w:t xml:space="preserve"> the period over which that annualization would occur.</w:t>
      </w:r>
      <w:r w:rsidR="002245A7">
        <w:t xml:space="preserve"> </w:t>
      </w:r>
      <w:r w:rsidRPr="002245A7" w:rsidR="002245A7">
        <w:t xml:space="preserve">EPA anticipates that once a state updates its WQS to protect all applicable tribal reserved rights, it will not have any recurring costs (i.e., ongoing annual burden and costs) that would be specifically attributable to the proposed rule, because periodic evaluation of and revision to state WQS is already a requirement of the CWA and WQS regulation. </w:t>
      </w:r>
    </w:p>
    <w:p w:rsidR="00011011" w:rsidRPr="00CE3489" w:rsidP="00011011" w14:paraId="59AB83BD" w14:textId="74C3D723">
      <w:pPr>
        <w:pStyle w:val="BodyText"/>
      </w:pPr>
      <w:r>
        <w:t>Table</w:t>
      </w:r>
      <w:r w:rsidRPr="00CE3489">
        <w:t xml:space="preserve"> </w:t>
      </w:r>
      <w:r>
        <w:t>6</w:t>
      </w:r>
      <w:r w:rsidRPr="006658BE">
        <w:t xml:space="preserve">-2 summarizes the potential incremental burden and cost associated with </w:t>
      </w:r>
      <w:r>
        <w:t xml:space="preserve">state </w:t>
      </w:r>
      <w:r w:rsidRPr="006658BE">
        <w:t>rulemaking activities.</w:t>
      </w:r>
    </w:p>
    <w:p w:rsidR="00011011" w:rsidRPr="00CE3489" w:rsidP="00011011" w14:paraId="23E9D6FC" w14:textId="4C45C409">
      <w:pPr>
        <w:pStyle w:val="ExhibitTitle"/>
      </w:pPr>
      <w:bookmarkStart w:id="63" w:name="_Toc92738834"/>
      <w:r>
        <w:t>Table</w:t>
      </w:r>
      <w:r w:rsidRPr="00CE3489">
        <w:t xml:space="preserve"> </w:t>
      </w:r>
      <w:r>
        <w:t>6</w:t>
      </w:r>
      <w:r w:rsidRPr="00CE3489">
        <w:t>-2: Potential One-</w:t>
      </w:r>
      <w:r>
        <w:t>T</w:t>
      </w:r>
      <w:r w:rsidRPr="00CE3489">
        <w:t xml:space="preserve">ime Burden and Cost Associated with </w:t>
      </w:r>
      <w:r>
        <w:t xml:space="preserve">State </w:t>
      </w:r>
      <w:r w:rsidRPr="00CE3489">
        <w:t>Rulemaking Activities</w:t>
      </w:r>
      <w:bookmarkEnd w:id="63"/>
    </w:p>
    <w:tbl>
      <w:tblPr>
        <w:tblW w:w="9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58" w:type="dxa"/>
        </w:tblCellMar>
        <w:tblLook w:val="01E0"/>
      </w:tblPr>
      <w:tblGrid>
        <w:gridCol w:w="1439"/>
        <w:gridCol w:w="1273"/>
        <w:gridCol w:w="1457"/>
        <w:gridCol w:w="1491"/>
        <w:gridCol w:w="1530"/>
        <w:gridCol w:w="1890"/>
      </w:tblGrid>
      <w:tr w14:paraId="5368EF24" w14:textId="77777777" w:rsidTr="00CD23A8">
        <w:tblPrEx>
          <w:tblW w:w="9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58" w:type="dxa"/>
          </w:tblCellMar>
          <w:tblLook w:val="01E0"/>
        </w:tblPrEx>
        <w:trPr>
          <w:cantSplit/>
          <w:tblHeader/>
        </w:trPr>
        <w:tc>
          <w:tcPr>
            <w:tcW w:w="1439" w:type="dxa"/>
            <w:tcBorders>
              <w:top w:val="single" w:sz="12" w:space="0" w:color="000000"/>
              <w:left w:val="single" w:sz="12" w:space="0" w:color="000000"/>
              <w:bottom w:val="single" w:sz="8" w:space="0" w:color="000000"/>
              <w:right w:val="single" w:sz="8" w:space="0" w:color="000000"/>
            </w:tcBorders>
            <w:shd w:val="clear" w:color="auto" w:fill="FFFF99"/>
            <w:vAlign w:val="center"/>
          </w:tcPr>
          <w:p w:rsidR="00CD23A8" w:rsidRPr="00CE3489" w:rsidP="005B5E34" w14:paraId="5CE9358C" w14:textId="77777777">
            <w:pPr>
              <w:pStyle w:val="TableParagraph"/>
              <w:jc w:val="center"/>
              <w:rPr>
                <w:rFonts w:cs="Times New Roman"/>
                <w:b/>
                <w:bCs/>
                <w:szCs w:val="20"/>
              </w:rPr>
            </w:pPr>
            <w:bookmarkStart w:id="64" w:name="_Hlk83384484"/>
            <w:r w:rsidRPr="00CE3489">
              <w:rPr>
                <w:b/>
                <w:bCs/>
              </w:rPr>
              <w:t>Rulemaking Effort</w:t>
            </w:r>
            <w:r w:rsidRPr="00CE3489">
              <w:rPr>
                <w:rFonts w:cs="Times New Roman"/>
                <w:b/>
                <w:bCs/>
                <w:szCs w:val="20"/>
                <w:vertAlign w:val="superscript"/>
              </w:rPr>
              <w:t>1</w:t>
            </w:r>
          </w:p>
        </w:tc>
        <w:tc>
          <w:tcPr>
            <w:tcW w:w="1273" w:type="dxa"/>
            <w:tcBorders>
              <w:top w:val="single" w:sz="12" w:space="0" w:color="000000"/>
              <w:left w:val="single" w:sz="8" w:space="0" w:color="000000"/>
              <w:bottom w:val="single" w:sz="8" w:space="0" w:color="000000"/>
              <w:right w:val="single" w:sz="8" w:space="0" w:color="000000"/>
            </w:tcBorders>
            <w:shd w:val="clear" w:color="auto" w:fill="FFFF99"/>
            <w:vAlign w:val="center"/>
          </w:tcPr>
          <w:p w:rsidR="00CD23A8" w:rsidRPr="00CE3489" w:rsidP="005B5E34" w14:paraId="79B817F1" w14:textId="77777777">
            <w:pPr>
              <w:pStyle w:val="TableParagraph"/>
              <w:jc w:val="center"/>
              <w:rPr>
                <w:rFonts w:cs="Times New Roman"/>
                <w:b/>
                <w:bCs/>
                <w:szCs w:val="20"/>
              </w:rPr>
            </w:pPr>
            <w:r w:rsidRPr="00CE3489">
              <w:rPr>
                <w:b/>
                <w:bCs/>
              </w:rPr>
              <w:t xml:space="preserve">Burden per </w:t>
            </w:r>
            <w:r>
              <w:rPr>
                <w:b/>
                <w:bCs/>
              </w:rPr>
              <w:t>State</w:t>
            </w:r>
            <w:r w:rsidRPr="00CE3489">
              <w:rPr>
                <w:b/>
                <w:bCs/>
              </w:rPr>
              <w:t xml:space="preserve"> (hours)</w:t>
            </w:r>
          </w:p>
        </w:tc>
        <w:tc>
          <w:tcPr>
            <w:tcW w:w="1457" w:type="dxa"/>
            <w:tcBorders>
              <w:top w:val="single" w:sz="12" w:space="0" w:color="000000"/>
              <w:left w:val="single" w:sz="8" w:space="0" w:color="000000"/>
              <w:bottom w:val="single" w:sz="8" w:space="0" w:color="000000"/>
              <w:right w:val="single" w:sz="8" w:space="0" w:color="000000"/>
            </w:tcBorders>
            <w:shd w:val="clear" w:color="auto" w:fill="FFFF99"/>
            <w:vAlign w:val="center"/>
          </w:tcPr>
          <w:p w:rsidR="00CD23A8" w:rsidRPr="00CE3489" w:rsidP="005B5E34" w14:paraId="267B81D2" w14:textId="77777777">
            <w:pPr>
              <w:pStyle w:val="TableParagraph"/>
              <w:jc w:val="center"/>
              <w:rPr>
                <w:b/>
                <w:bCs/>
              </w:rPr>
            </w:pPr>
            <w:r w:rsidRPr="00CE3489">
              <w:rPr>
                <w:b/>
                <w:bCs/>
              </w:rPr>
              <w:t xml:space="preserve">Cost per </w:t>
            </w:r>
            <w:r>
              <w:rPr>
                <w:b/>
                <w:bCs/>
              </w:rPr>
              <w:t>State</w:t>
            </w:r>
            <w:r w:rsidRPr="00CE3489">
              <w:rPr>
                <w:b/>
                <w:bCs/>
              </w:rPr>
              <w:t xml:space="preserve"> (2020</w:t>
            </w:r>
            <w:r>
              <w:rPr>
                <w:b/>
                <w:bCs/>
              </w:rPr>
              <w:t xml:space="preserve"> </w:t>
            </w:r>
            <w:r w:rsidRPr="00CE3489">
              <w:rPr>
                <w:b/>
                <w:bCs/>
              </w:rPr>
              <w:t>$)</w:t>
            </w:r>
            <w:r w:rsidRPr="00CE3489">
              <w:rPr>
                <w:rFonts w:cs="Times New Roman"/>
                <w:b/>
                <w:bCs/>
                <w:szCs w:val="20"/>
                <w:vertAlign w:val="superscript"/>
              </w:rPr>
              <w:t>2</w:t>
            </w:r>
          </w:p>
        </w:tc>
        <w:tc>
          <w:tcPr>
            <w:tcW w:w="1491" w:type="dxa"/>
            <w:tcBorders>
              <w:top w:val="single" w:sz="12" w:space="0" w:color="000000"/>
              <w:left w:val="single" w:sz="8" w:space="0" w:color="000000"/>
              <w:bottom w:val="single" w:sz="8" w:space="0" w:color="000000"/>
              <w:right w:val="single" w:sz="8" w:space="0" w:color="000000"/>
            </w:tcBorders>
            <w:shd w:val="clear" w:color="auto" w:fill="FFFF99"/>
          </w:tcPr>
          <w:p w:rsidR="00CD23A8" w:rsidRPr="00CE3489" w:rsidP="005B5E34" w14:paraId="6B302622" w14:textId="77777777">
            <w:pPr>
              <w:pStyle w:val="TableParagraph"/>
              <w:jc w:val="center"/>
              <w:rPr>
                <w:rFonts w:cs="Times New Roman"/>
                <w:b/>
                <w:bCs/>
                <w:szCs w:val="20"/>
              </w:rPr>
            </w:pPr>
            <w:r w:rsidRPr="00CE3489">
              <w:rPr>
                <w:b/>
                <w:bCs/>
              </w:rPr>
              <w:t>Number of Potentially Affected States</w:t>
            </w:r>
            <w:r w:rsidRPr="00CE3489">
              <w:rPr>
                <w:rFonts w:cs="Times New Roman"/>
                <w:b/>
                <w:bCs/>
                <w:szCs w:val="20"/>
                <w:vertAlign w:val="superscript"/>
              </w:rPr>
              <w:t>3</w:t>
            </w:r>
          </w:p>
        </w:tc>
        <w:tc>
          <w:tcPr>
            <w:tcW w:w="1530" w:type="dxa"/>
            <w:tcBorders>
              <w:top w:val="single" w:sz="12" w:space="0" w:color="000000"/>
              <w:left w:val="single" w:sz="8" w:space="0" w:color="000000"/>
              <w:bottom w:val="single" w:sz="8" w:space="0" w:color="000000"/>
              <w:right w:val="single" w:sz="8" w:space="0" w:color="000000"/>
            </w:tcBorders>
            <w:shd w:val="clear" w:color="auto" w:fill="FFFF99"/>
            <w:vAlign w:val="center"/>
          </w:tcPr>
          <w:p w:rsidR="00CD23A8" w:rsidRPr="00CE3489" w:rsidP="005B5E34" w14:paraId="3133E62E" w14:textId="77777777">
            <w:pPr>
              <w:pStyle w:val="TableParagraph"/>
              <w:jc w:val="center"/>
              <w:rPr>
                <w:rFonts w:cs="Times New Roman"/>
                <w:b/>
                <w:bCs/>
                <w:szCs w:val="20"/>
              </w:rPr>
            </w:pPr>
            <w:r w:rsidRPr="00CE3489">
              <w:rPr>
                <w:b/>
                <w:bCs/>
              </w:rPr>
              <w:t>Total Burden (hours)</w:t>
            </w:r>
            <w:r w:rsidRPr="00CE3489">
              <w:rPr>
                <w:rFonts w:cs="Times New Roman"/>
                <w:b/>
                <w:bCs/>
                <w:szCs w:val="20"/>
                <w:vertAlign w:val="superscript"/>
              </w:rPr>
              <w:t>4</w:t>
            </w:r>
          </w:p>
        </w:tc>
        <w:tc>
          <w:tcPr>
            <w:tcW w:w="1890" w:type="dxa"/>
            <w:tcBorders>
              <w:top w:val="single" w:sz="12" w:space="0" w:color="000000"/>
              <w:left w:val="single" w:sz="8" w:space="0" w:color="000000"/>
              <w:bottom w:val="single" w:sz="8" w:space="0" w:color="000000"/>
              <w:right w:val="single" w:sz="8" w:space="0" w:color="000000"/>
            </w:tcBorders>
            <w:shd w:val="clear" w:color="auto" w:fill="FFFF99"/>
            <w:vAlign w:val="center"/>
          </w:tcPr>
          <w:p w:rsidR="00CD23A8" w:rsidRPr="00CE3489" w:rsidP="005B5E34" w14:paraId="2F12480E" w14:textId="77777777">
            <w:pPr>
              <w:pStyle w:val="TableParagraph"/>
              <w:jc w:val="center"/>
              <w:rPr>
                <w:b/>
                <w:bCs/>
              </w:rPr>
            </w:pPr>
            <w:r w:rsidRPr="00CE3489">
              <w:rPr>
                <w:b/>
                <w:bCs/>
              </w:rPr>
              <w:t>Total Cost (2020</w:t>
            </w:r>
            <w:r>
              <w:rPr>
                <w:b/>
                <w:bCs/>
              </w:rPr>
              <w:t xml:space="preserve"> </w:t>
            </w:r>
            <w:r w:rsidRPr="00CE3489">
              <w:rPr>
                <w:b/>
                <w:bCs/>
              </w:rPr>
              <w:t>$;</w:t>
            </w:r>
            <w:r w:rsidRPr="00CE3489">
              <w:rPr>
                <w:b/>
                <w:bCs/>
              </w:rPr>
              <w:br/>
              <w:t>one-time)</w:t>
            </w:r>
            <w:r w:rsidRPr="00CE3489">
              <w:rPr>
                <w:rFonts w:cs="Times New Roman"/>
                <w:b/>
                <w:bCs/>
                <w:szCs w:val="20"/>
                <w:vertAlign w:val="superscript"/>
              </w:rPr>
              <w:t>5</w:t>
            </w:r>
          </w:p>
        </w:tc>
      </w:tr>
      <w:tr w14:paraId="46BB0360" w14:textId="77777777" w:rsidTr="00CD23A8">
        <w:tblPrEx>
          <w:tblW w:w="9080" w:type="dxa"/>
          <w:tblInd w:w="-5" w:type="dxa"/>
          <w:tblLayout w:type="fixed"/>
          <w:tblCellMar>
            <w:left w:w="58" w:type="dxa"/>
            <w:right w:w="58" w:type="dxa"/>
          </w:tblCellMar>
          <w:tblLook w:val="01E0"/>
        </w:tblPrEx>
        <w:trPr>
          <w:cantSplit/>
        </w:trPr>
        <w:tc>
          <w:tcPr>
            <w:tcW w:w="1439" w:type="dxa"/>
            <w:tcBorders>
              <w:top w:val="single" w:sz="8" w:space="0" w:color="000000"/>
              <w:left w:val="single" w:sz="12" w:space="0" w:color="000000"/>
              <w:bottom w:val="single" w:sz="8" w:space="0" w:color="000000"/>
              <w:right w:val="single" w:sz="8" w:space="0" w:color="000000"/>
            </w:tcBorders>
            <w:vAlign w:val="center"/>
          </w:tcPr>
          <w:p w:rsidR="00CD23A8" w:rsidRPr="00CE3489" w:rsidP="005B5E34" w14:paraId="7BAB1642" w14:textId="77777777">
            <w:pPr>
              <w:pStyle w:val="TableParagraph"/>
              <w:jc w:val="center"/>
              <w:rPr>
                <w:rFonts w:cs="Times New Roman"/>
                <w:szCs w:val="20"/>
              </w:rPr>
            </w:pPr>
            <w:r w:rsidRPr="00CE3489">
              <w:rPr>
                <w:rFonts w:cs="Times New Roman"/>
                <w:szCs w:val="20"/>
              </w:rPr>
              <w:t>Rulemaking #1</w:t>
            </w:r>
          </w:p>
        </w:tc>
        <w:tc>
          <w:tcPr>
            <w:tcW w:w="1273" w:type="dxa"/>
            <w:tcBorders>
              <w:top w:val="single" w:sz="8" w:space="0" w:color="000000"/>
              <w:left w:val="single" w:sz="8" w:space="0" w:color="000000"/>
              <w:bottom w:val="single" w:sz="8" w:space="0" w:color="000000"/>
              <w:right w:val="single" w:sz="8" w:space="0" w:color="000000"/>
            </w:tcBorders>
            <w:vAlign w:val="center"/>
          </w:tcPr>
          <w:p w:rsidR="00CD23A8" w:rsidRPr="00CE3489" w:rsidP="005B5E34" w14:paraId="6D81EE8A" w14:textId="77777777">
            <w:pPr>
              <w:pStyle w:val="TableParagraph"/>
              <w:spacing w:line="244" w:lineRule="exact"/>
              <w:jc w:val="center"/>
              <w:rPr>
                <w:rFonts w:cs="Times New Roman"/>
                <w:szCs w:val="20"/>
              </w:rPr>
            </w:pPr>
            <w:r w:rsidRPr="00CE3489">
              <w:rPr>
                <w:rFonts w:cs="Times New Roman"/>
                <w:szCs w:val="20"/>
              </w:rPr>
              <w:t>100</w:t>
            </w:r>
            <w:r>
              <w:rPr>
                <w:rFonts w:cs="Times New Roman"/>
                <w:szCs w:val="20"/>
              </w:rPr>
              <w:t>–</w:t>
            </w:r>
            <w:r w:rsidRPr="00CE3489">
              <w:rPr>
                <w:rFonts w:cs="Times New Roman"/>
                <w:szCs w:val="20"/>
              </w:rPr>
              <w:t>500</w:t>
            </w:r>
          </w:p>
        </w:tc>
        <w:tc>
          <w:tcPr>
            <w:tcW w:w="1457" w:type="dxa"/>
            <w:tcBorders>
              <w:top w:val="single" w:sz="8" w:space="0" w:color="000000"/>
              <w:left w:val="single" w:sz="8" w:space="0" w:color="000000"/>
              <w:bottom w:val="single" w:sz="8" w:space="0" w:color="000000"/>
              <w:right w:val="single" w:sz="8" w:space="0" w:color="000000"/>
            </w:tcBorders>
            <w:vAlign w:val="center"/>
          </w:tcPr>
          <w:p w:rsidR="00CD23A8" w:rsidRPr="00CE3489" w:rsidP="005B5E34" w14:paraId="2CA91B0C" w14:textId="77777777">
            <w:pPr>
              <w:pStyle w:val="TableParagraph"/>
              <w:jc w:val="center"/>
              <w:rPr>
                <w:rFonts w:cs="Times New Roman"/>
                <w:szCs w:val="20"/>
              </w:rPr>
            </w:pPr>
            <w:r w:rsidRPr="00CE3489">
              <w:rPr>
                <w:rFonts w:cs="Times New Roman"/>
                <w:szCs w:val="20"/>
              </w:rPr>
              <w:t>$</w:t>
            </w:r>
            <w:r>
              <w:rPr>
                <w:rFonts w:cs="Times New Roman"/>
                <w:szCs w:val="20"/>
              </w:rPr>
              <w:t>7,465</w:t>
            </w:r>
            <w:r w:rsidRPr="00CE3489">
              <w:rPr>
                <w:rFonts w:cs="Times New Roman"/>
                <w:szCs w:val="20"/>
              </w:rPr>
              <w:t>-$3</w:t>
            </w:r>
            <w:r>
              <w:rPr>
                <w:rFonts w:cs="Times New Roman"/>
                <w:szCs w:val="20"/>
              </w:rPr>
              <w:t>7</w:t>
            </w:r>
            <w:r w:rsidRPr="00CE3489">
              <w:rPr>
                <w:rFonts w:cs="Times New Roman"/>
                <w:szCs w:val="20"/>
              </w:rPr>
              <w:t>,</w:t>
            </w:r>
            <w:r>
              <w:rPr>
                <w:rFonts w:cs="Times New Roman"/>
                <w:szCs w:val="20"/>
              </w:rPr>
              <w:t>325</w:t>
            </w:r>
          </w:p>
        </w:tc>
        <w:tc>
          <w:tcPr>
            <w:tcW w:w="1491" w:type="dxa"/>
            <w:tcBorders>
              <w:top w:val="single" w:sz="8" w:space="0" w:color="000000"/>
              <w:left w:val="single" w:sz="8" w:space="0" w:color="000000"/>
              <w:bottom w:val="single" w:sz="8" w:space="0" w:color="000000"/>
              <w:right w:val="single" w:sz="8" w:space="0" w:color="000000"/>
            </w:tcBorders>
            <w:vAlign w:val="center"/>
          </w:tcPr>
          <w:p w:rsidR="00CD23A8" w:rsidRPr="00CE3489" w:rsidP="005B5E34" w14:paraId="6E7F5906" w14:textId="77777777">
            <w:pPr>
              <w:pStyle w:val="TableParagraph"/>
              <w:jc w:val="center"/>
              <w:rPr>
                <w:rFonts w:cs="Times New Roman"/>
                <w:szCs w:val="20"/>
              </w:rPr>
            </w:pPr>
            <w:r w:rsidRPr="00CE3489">
              <w:rPr>
                <w:rFonts w:cs="Times New Roman"/>
                <w:szCs w:val="20"/>
              </w:rPr>
              <w:t>50</w:t>
            </w:r>
          </w:p>
        </w:tc>
        <w:tc>
          <w:tcPr>
            <w:tcW w:w="1530" w:type="dxa"/>
            <w:tcBorders>
              <w:top w:val="single" w:sz="8" w:space="0" w:color="000000"/>
              <w:left w:val="single" w:sz="8" w:space="0" w:color="000000"/>
              <w:bottom w:val="single" w:sz="8" w:space="0" w:color="000000"/>
              <w:right w:val="single" w:sz="8" w:space="0" w:color="000000"/>
            </w:tcBorders>
            <w:vAlign w:val="center"/>
          </w:tcPr>
          <w:p w:rsidR="00CD23A8" w:rsidRPr="00CE3489" w:rsidP="005B5E34" w14:paraId="268727D4" w14:textId="77777777">
            <w:pPr>
              <w:pStyle w:val="TableParagraph"/>
              <w:spacing w:line="244" w:lineRule="exact"/>
              <w:jc w:val="center"/>
              <w:rPr>
                <w:rFonts w:cs="Times New Roman"/>
                <w:szCs w:val="20"/>
              </w:rPr>
            </w:pPr>
            <w:r w:rsidRPr="00CE3489">
              <w:rPr>
                <w:rFonts w:cs="Times New Roman"/>
                <w:szCs w:val="20"/>
              </w:rPr>
              <w:t>5,000–25,000</w:t>
            </w:r>
          </w:p>
        </w:tc>
        <w:tc>
          <w:tcPr>
            <w:tcW w:w="1890" w:type="dxa"/>
            <w:tcBorders>
              <w:top w:val="single" w:sz="8" w:space="0" w:color="000000"/>
              <w:left w:val="single" w:sz="8" w:space="0" w:color="000000"/>
              <w:bottom w:val="single" w:sz="8" w:space="0" w:color="000000"/>
              <w:right w:val="single" w:sz="8" w:space="0" w:color="000000"/>
            </w:tcBorders>
            <w:vAlign w:val="center"/>
          </w:tcPr>
          <w:p w:rsidR="00CD23A8" w:rsidRPr="00CE3489" w:rsidP="005B5E34" w14:paraId="2A0FB22E" w14:textId="77777777">
            <w:pPr>
              <w:pStyle w:val="TableParagraph"/>
              <w:spacing w:line="244" w:lineRule="exact"/>
              <w:jc w:val="center"/>
              <w:rPr>
                <w:rFonts w:cs="Times New Roman"/>
                <w:szCs w:val="20"/>
              </w:rPr>
            </w:pPr>
            <w:r w:rsidRPr="00CE3489">
              <w:rPr>
                <w:rFonts w:cs="Times New Roman"/>
                <w:szCs w:val="20"/>
              </w:rPr>
              <w:t>$3</w:t>
            </w:r>
            <w:r>
              <w:rPr>
                <w:rFonts w:cs="Times New Roman"/>
                <w:szCs w:val="20"/>
              </w:rPr>
              <w:t>73</w:t>
            </w:r>
            <w:r w:rsidRPr="00CE3489">
              <w:rPr>
                <w:rFonts w:cs="Times New Roman"/>
                <w:szCs w:val="20"/>
              </w:rPr>
              <w:t>,</w:t>
            </w:r>
            <w:r>
              <w:rPr>
                <w:rFonts w:cs="Times New Roman"/>
                <w:szCs w:val="20"/>
              </w:rPr>
              <w:t>250–</w:t>
            </w:r>
            <w:r w:rsidRPr="00CE3489">
              <w:rPr>
                <w:rFonts w:cs="Times New Roman"/>
                <w:szCs w:val="20"/>
              </w:rPr>
              <w:t>$1,</w:t>
            </w:r>
            <w:r>
              <w:rPr>
                <w:rFonts w:cs="Times New Roman"/>
                <w:szCs w:val="20"/>
              </w:rPr>
              <w:t>866</w:t>
            </w:r>
            <w:r w:rsidRPr="00CE3489">
              <w:rPr>
                <w:rFonts w:cs="Times New Roman"/>
                <w:szCs w:val="20"/>
              </w:rPr>
              <w:t>,</w:t>
            </w:r>
            <w:r>
              <w:rPr>
                <w:rFonts w:cs="Times New Roman"/>
                <w:szCs w:val="20"/>
              </w:rPr>
              <w:t>25</w:t>
            </w:r>
            <w:r w:rsidRPr="00CE3489">
              <w:rPr>
                <w:rFonts w:cs="Times New Roman"/>
                <w:szCs w:val="20"/>
              </w:rPr>
              <w:t>0</w:t>
            </w:r>
          </w:p>
        </w:tc>
      </w:tr>
      <w:tr w14:paraId="1D5E18B9" w14:textId="77777777" w:rsidTr="00CD23A8">
        <w:tblPrEx>
          <w:tblW w:w="9080" w:type="dxa"/>
          <w:tblInd w:w="-5" w:type="dxa"/>
          <w:tblLayout w:type="fixed"/>
          <w:tblCellMar>
            <w:left w:w="58" w:type="dxa"/>
            <w:right w:w="58" w:type="dxa"/>
          </w:tblCellMar>
          <w:tblLook w:val="01E0"/>
        </w:tblPrEx>
        <w:trPr>
          <w:cantSplit/>
        </w:trPr>
        <w:tc>
          <w:tcPr>
            <w:tcW w:w="1439" w:type="dxa"/>
            <w:tcBorders>
              <w:top w:val="single" w:sz="8" w:space="0" w:color="000000"/>
              <w:left w:val="single" w:sz="12" w:space="0" w:color="000000"/>
              <w:bottom w:val="single" w:sz="8" w:space="0" w:color="000000"/>
              <w:right w:val="single" w:sz="8" w:space="0" w:color="000000"/>
            </w:tcBorders>
            <w:vAlign w:val="center"/>
          </w:tcPr>
          <w:p w:rsidR="00CD23A8" w:rsidRPr="00CE3489" w:rsidP="005B5E34" w14:paraId="0F7D44CE" w14:textId="77777777">
            <w:pPr>
              <w:pStyle w:val="TableParagraph"/>
              <w:jc w:val="center"/>
              <w:rPr>
                <w:rFonts w:cs="Times New Roman"/>
                <w:szCs w:val="20"/>
              </w:rPr>
            </w:pPr>
            <w:r w:rsidRPr="00CE3489">
              <w:rPr>
                <w:rFonts w:cs="Times New Roman"/>
                <w:szCs w:val="20"/>
              </w:rPr>
              <w:t>Rulemaking #2</w:t>
            </w:r>
          </w:p>
        </w:tc>
        <w:tc>
          <w:tcPr>
            <w:tcW w:w="1273" w:type="dxa"/>
            <w:tcBorders>
              <w:top w:val="single" w:sz="8" w:space="0" w:color="000000"/>
              <w:left w:val="single" w:sz="8" w:space="0" w:color="000000"/>
              <w:bottom w:val="single" w:sz="8" w:space="0" w:color="000000"/>
              <w:right w:val="single" w:sz="8" w:space="0" w:color="000000"/>
            </w:tcBorders>
            <w:vAlign w:val="center"/>
          </w:tcPr>
          <w:p w:rsidR="00CD23A8" w:rsidRPr="00CE3489" w:rsidP="005B5E34" w14:paraId="53C55EE3" w14:textId="77777777">
            <w:pPr>
              <w:pStyle w:val="TableParagraph"/>
              <w:spacing w:line="244" w:lineRule="exact"/>
              <w:jc w:val="center"/>
              <w:rPr>
                <w:rFonts w:cs="Times New Roman"/>
                <w:szCs w:val="20"/>
              </w:rPr>
            </w:pPr>
            <w:r w:rsidRPr="00CE3489">
              <w:rPr>
                <w:rFonts w:cs="Times New Roman"/>
                <w:szCs w:val="20"/>
              </w:rPr>
              <w:t>90</w:t>
            </w:r>
            <w:r>
              <w:rPr>
                <w:rFonts w:cs="Times New Roman"/>
                <w:szCs w:val="20"/>
              </w:rPr>
              <w:t>–</w:t>
            </w:r>
            <w:r w:rsidRPr="00CE3489">
              <w:rPr>
                <w:rFonts w:cs="Times New Roman"/>
                <w:szCs w:val="20"/>
              </w:rPr>
              <w:t>450</w:t>
            </w:r>
          </w:p>
        </w:tc>
        <w:tc>
          <w:tcPr>
            <w:tcW w:w="1457" w:type="dxa"/>
            <w:tcBorders>
              <w:top w:val="single" w:sz="8" w:space="0" w:color="000000"/>
              <w:left w:val="single" w:sz="8" w:space="0" w:color="000000"/>
              <w:bottom w:val="single" w:sz="8" w:space="0" w:color="000000"/>
              <w:right w:val="single" w:sz="8" w:space="0" w:color="000000"/>
            </w:tcBorders>
            <w:vAlign w:val="center"/>
          </w:tcPr>
          <w:p w:rsidR="00CD23A8" w:rsidRPr="00CE3489" w:rsidP="005B5E34" w14:paraId="55D61250" w14:textId="77777777">
            <w:pPr>
              <w:pStyle w:val="TableParagraph"/>
              <w:jc w:val="center"/>
              <w:rPr>
                <w:rFonts w:cs="Times New Roman"/>
                <w:szCs w:val="20"/>
              </w:rPr>
            </w:pPr>
            <w:r w:rsidRPr="00CE3489">
              <w:rPr>
                <w:rFonts w:cs="Times New Roman"/>
                <w:szCs w:val="20"/>
              </w:rPr>
              <w:t>$</w:t>
            </w:r>
            <w:r>
              <w:rPr>
                <w:rFonts w:cs="Times New Roman"/>
                <w:szCs w:val="20"/>
              </w:rPr>
              <w:t>6,718–</w:t>
            </w:r>
            <w:r w:rsidRPr="00CE3489">
              <w:rPr>
                <w:rFonts w:cs="Times New Roman"/>
                <w:szCs w:val="20"/>
              </w:rPr>
              <w:t>$</w:t>
            </w:r>
            <w:r>
              <w:rPr>
                <w:rFonts w:cs="Times New Roman"/>
                <w:szCs w:val="20"/>
              </w:rPr>
              <w:t>33</w:t>
            </w:r>
            <w:r w:rsidRPr="00CE3489">
              <w:rPr>
                <w:rFonts w:cs="Times New Roman"/>
                <w:szCs w:val="20"/>
              </w:rPr>
              <w:t>,</w:t>
            </w:r>
            <w:r>
              <w:rPr>
                <w:rFonts w:cs="Times New Roman"/>
                <w:szCs w:val="20"/>
              </w:rPr>
              <w:t>592</w:t>
            </w:r>
          </w:p>
        </w:tc>
        <w:tc>
          <w:tcPr>
            <w:tcW w:w="1491" w:type="dxa"/>
            <w:tcBorders>
              <w:top w:val="single" w:sz="8" w:space="0" w:color="000000"/>
              <w:left w:val="single" w:sz="8" w:space="0" w:color="000000"/>
              <w:bottom w:val="single" w:sz="8" w:space="0" w:color="000000"/>
              <w:right w:val="single" w:sz="8" w:space="0" w:color="000000"/>
            </w:tcBorders>
            <w:vAlign w:val="center"/>
          </w:tcPr>
          <w:p w:rsidR="00CD23A8" w:rsidRPr="00CE3489" w:rsidP="005B5E34" w14:paraId="10897DD4" w14:textId="77777777">
            <w:pPr>
              <w:pStyle w:val="TableParagraph"/>
              <w:jc w:val="center"/>
              <w:rPr>
                <w:rFonts w:cs="Times New Roman"/>
                <w:szCs w:val="20"/>
              </w:rPr>
            </w:pPr>
            <w:r w:rsidRPr="00CE3489">
              <w:rPr>
                <w:rFonts w:cs="Times New Roman"/>
                <w:szCs w:val="20"/>
              </w:rPr>
              <w:t>50</w:t>
            </w:r>
          </w:p>
        </w:tc>
        <w:tc>
          <w:tcPr>
            <w:tcW w:w="1530" w:type="dxa"/>
            <w:tcBorders>
              <w:top w:val="single" w:sz="8" w:space="0" w:color="000000"/>
              <w:left w:val="single" w:sz="8" w:space="0" w:color="000000"/>
              <w:bottom w:val="single" w:sz="8" w:space="0" w:color="000000"/>
              <w:right w:val="single" w:sz="8" w:space="0" w:color="000000"/>
            </w:tcBorders>
            <w:vAlign w:val="center"/>
          </w:tcPr>
          <w:p w:rsidR="00CD23A8" w:rsidRPr="00CE3489" w:rsidP="005B5E34" w14:paraId="05ACDDAD" w14:textId="77777777">
            <w:pPr>
              <w:pStyle w:val="TableParagraph"/>
              <w:spacing w:line="244" w:lineRule="exact"/>
              <w:jc w:val="center"/>
              <w:rPr>
                <w:rFonts w:cs="Times New Roman"/>
                <w:szCs w:val="20"/>
              </w:rPr>
            </w:pPr>
            <w:r w:rsidRPr="00CE3489">
              <w:rPr>
                <w:rFonts w:cs="Times New Roman"/>
                <w:szCs w:val="20"/>
              </w:rPr>
              <w:t>4,500</w:t>
            </w:r>
            <w:r>
              <w:rPr>
                <w:rFonts w:cs="Times New Roman"/>
                <w:szCs w:val="20"/>
              </w:rPr>
              <w:t>–</w:t>
            </w:r>
            <w:r w:rsidRPr="00CE3489">
              <w:rPr>
                <w:rFonts w:cs="Times New Roman"/>
                <w:szCs w:val="20"/>
              </w:rPr>
              <w:t>22,500</w:t>
            </w:r>
          </w:p>
        </w:tc>
        <w:tc>
          <w:tcPr>
            <w:tcW w:w="1890" w:type="dxa"/>
            <w:tcBorders>
              <w:top w:val="single" w:sz="8" w:space="0" w:color="000000"/>
              <w:left w:val="single" w:sz="8" w:space="0" w:color="000000"/>
              <w:bottom w:val="single" w:sz="8" w:space="0" w:color="000000"/>
              <w:right w:val="single" w:sz="8" w:space="0" w:color="000000"/>
            </w:tcBorders>
            <w:vAlign w:val="center"/>
          </w:tcPr>
          <w:p w:rsidR="00CD23A8" w:rsidRPr="00CE3489" w:rsidP="005B5E34" w14:paraId="53C0D70A" w14:textId="77777777">
            <w:pPr>
              <w:pStyle w:val="TableParagraph"/>
              <w:spacing w:line="244" w:lineRule="exact"/>
              <w:jc w:val="center"/>
              <w:rPr>
                <w:rFonts w:cs="Times New Roman"/>
                <w:szCs w:val="20"/>
              </w:rPr>
            </w:pPr>
            <w:r w:rsidRPr="00CE3489">
              <w:rPr>
                <w:rFonts w:cs="Times New Roman"/>
                <w:szCs w:val="20"/>
              </w:rPr>
              <w:t>$</w:t>
            </w:r>
            <w:r>
              <w:rPr>
                <w:rFonts w:cs="Times New Roman"/>
                <w:szCs w:val="20"/>
              </w:rPr>
              <w:t>335</w:t>
            </w:r>
            <w:r w:rsidRPr="00CE3489">
              <w:rPr>
                <w:rFonts w:cs="Times New Roman"/>
                <w:szCs w:val="20"/>
              </w:rPr>
              <w:t>,</w:t>
            </w:r>
            <w:r>
              <w:rPr>
                <w:rFonts w:cs="Times New Roman"/>
                <w:szCs w:val="20"/>
              </w:rPr>
              <w:t>925–</w:t>
            </w:r>
            <w:r w:rsidRPr="00CE3489">
              <w:rPr>
                <w:rFonts w:cs="Times New Roman"/>
                <w:szCs w:val="20"/>
              </w:rPr>
              <w:t>$1,</w:t>
            </w:r>
            <w:r>
              <w:rPr>
                <w:rFonts w:cs="Times New Roman"/>
                <w:szCs w:val="20"/>
              </w:rPr>
              <w:t>679</w:t>
            </w:r>
            <w:r w:rsidRPr="00CE3489">
              <w:rPr>
                <w:rFonts w:cs="Times New Roman"/>
                <w:szCs w:val="20"/>
              </w:rPr>
              <w:t>,</w:t>
            </w:r>
            <w:r>
              <w:rPr>
                <w:rFonts w:cs="Times New Roman"/>
                <w:szCs w:val="20"/>
              </w:rPr>
              <w:t>625</w:t>
            </w:r>
          </w:p>
        </w:tc>
      </w:tr>
      <w:tr w14:paraId="5593F161" w14:textId="77777777" w:rsidTr="00CD23A8">
        <w:tblPrEx>
          <w:tblW w:w="9080" w:type="dxa"/>
          <w:tblInd w:w="-5" w:type="dxa"/>
          <w:tblLayout w:type="fixed"/>
          <w:tblCellMar>
            <w:left w:w="58" w:type="dxa"/>
            <w:right w:w="58" w:type="dxa"/>
          </w:tblCellMar>
          <w:tblLook w:val="01E0"/>
        </w:tblPrEx>
        <w:trPr>
          <w:cantSplit/>
        </w:trPr>
        <w:tc>
          <w:tcPr>
            <w:tcW w:w="1439" w:type="dxa"/>
            <w:tcBorders>
              <w:top w:val="single" w:sz="8" w:space="0" w:color="000000"/>
              <w:left w:val="single" w:sz="12" w:space="0" w:color="000000"/>
              <w:bottom w:val="single" w:sz="8" w:space="0" w:color="000000"/>
              <w:right w:val="single" w:sz="8" w:space="0" w:color="000000"/>
            </w:tcBorders>
            <w:vAlign w:val="center"/>
          </w:tcPr>
          <w:p w:rsidR="00CD23A8" w:rsidRPr="00CE3489" w:rsidP="005B5E34" w14:paraId="3DE730BF" w14:textId="77777777">
            <w:pPr>
              <w:pStyle w:val="TableParagraph"/>
              <w:jc w:val="center"/>
              <w:rPr>
                <w:rFonts w:cs="Times New Roman"/>
                <w:szCs w:val="20"/>
              </w:rPr>
            </w:pPr>
            <w:r w:rsidRPr="00CE3489">
              <w:rPr>
                <w:rFonts w:cs="Times New Roman"/>
                <w:szCs w:val="20"/>
              </w:rPr>
              <w:t>Rulemaking #3</w:t>
            </w:r>
          </w:p>
        </w:tc>
        <w:tc>
          <w:tcPr>
            <w:tcW w:w="1273" w:type="dxa"/>
            <w:tcBorders>
              <w:top w:val="single" w:sz="8" w:space="0" w:color="000000"/>
              <w:left w:val="single" w:sz="8" w:space="0" w:color="000000"/>
              <w:bottom w:val="single" w:sz="8" w:space="0" w:color="000000"/>
              <w:right w:val="single" w:sz="8" w:space="0" w:color="000000"/>
            </w:tcBorders>
            <w:vAlign w:val="center"/>
          </w:tcPr>
          <w:p w:rsidR="00CD23A8" w:rsidRPr="00CE3489" w:rsidP="005B5E34" w14:paraId="6945EA6C" w14:textId="77777777">
            <w:pPr>
              <w:pStyle w:val="TableParagraph"/>
              <w:spacing w:line="244" w:lineRule="exact"/>
              <w:jc w:val="center"/>
              <w:rPr>
                <w:rFonts w:cs="Times New Roman"/>
                <w:szCs w:val="20"/>
              </w:rPr>
            </w:pPr>
            <w:r w:rsidRPr="00CE3489">
              <w:rPr>
                <w:rFonts w:cs="Times New Roman"/>
                <w:szCs w:val="20"/>
              </w:rPr>
              <w:t>75</w:t>
            </w:r>
            <w:r>
              <w:rPr>
                <w:rFonts w:cs="Times New Roman"/>
                <w:szCs w:val="20"/>
              </w:rPr>
              <w:t>–</w:t>
            </w:r>
            <w:r w:rsidRPr="00CE3489">
              <w:rPr>
                <w:rFonts w:cs="Times New Roman"/>
                <w:szCs w:val="20"/>
              </w:rPr>
              <w:t>375</w:t>
            </w:r>
          </w:p>
        </w:tc>
        <w:tc>
          <w:tcPr>
            <w:tcW w:w="1457" w:type="dxa"/>
            <w:tcBorders>
              <w:top w:val="single" w:sz="8" w:space="0" w:color="000000"/>
              <w:left w:val="single" w:sz="8" w:space="0" w:color="000000"/>
              <w:bottom w:val="single" w:sz="8" w:space="0" w:color="000000"/>
              <w:right w:val="single" w:sz="8" w:space="0" w:color="000000"/>
            </w:tcBorders>
            <w:vAlign w:val="center"/>
          </w:tcPr>
          <w:p w:rsidR="00CD23A8" w:rsidRPr="00CE3489" w:rsidP="005B5E34" w14:paraId="3A3F25AC" w14:textId="77777777">
            <w:pPr>
              <w:pStyle w:val="TableParagraph"/>
              <w:jc w:val="center"/>
              <w:rPr>
                <w:rFonts w:cs="Times New Roman"/>
                <w:szCs w:val="20"/>
              </w:rPr>
            </w:pPr>
            <w:r w:rsidRPr="00CE3489">
              <w:rPr>
                <w:rFonts w:cs="Times New Roman"/>
                <w:szCs w:val="20"/>
              </w:rPr>
              <w:t>$</w:t>
            </w:r>
            <w:r>
              <w:rPr>
                <w:rFonts w:cs="Times New Roman"/>
                <w:szCs w:val="20"/>
              </w:rPr>
              <w:t>5,599–</w:t>
            </w:r>
            <w:r w:rsidRPr="00CE3489">
              <w:rPr>
                <w:rFonts w:cs="Times New Roman"/>
                <w:szCs w:val="20"/>
              </w:rPr>
              <w:t>$2</w:t>
            </w:r>
            <w:r>
              <w:rPr>
                <w:rFonts w:cs="Times New Roman"/>
                <w:szCs w:val="20"/>
              </w:rPr>
              <w:t>7</w:t>
            </w:r>
            <w:r w:rsidRPr="00CE3489">
              <w:rPr>
                <w:rFonts w:cs="Times New Roman"/>
                <w:szCs w:val="20"/>
              </w:rPr>
              <w:t>,</w:t>
            </w:r>
            <w:r>
              <w:rPr>
                <w:rFonts w:cs="Times New Roman"/>
                <w:szCs w:val="20"/>
              </w:rPr>
              <w:t>994</w:t>
            </w:r>
          </w:p>
        </w:tc>
        <w:tc>
          <w:tcPr>
            <w:tcW w:w="1491" w:type="dxa"/>
            <w:tcBorders>
              <w:top w:val="single" w:sz="8" w:space="0" w:color="000000"/>
              <w:left w:val="single" w:sz="8" w:space="0" w:color="000000"/>
              <w:bottom w:val="single" w:sz="8" w:space="0" w:color="000000"/>
              <w:right w:val="single" w:sz="8" w:space="0" w:color="000000"/>
            </w:tcBorders>
            <w:vAlign w:val="center"/>
          </w:tcPr>
          <w:p w:rsidR="00CD23A8" w:rsidRPr="00CE3489" w:rsidP="005B5E34" w14:paraId="23951BAA" w14:textId="77777777">
            <w:pPr>
              <w:pStyle w:val="TableParagraph"/>
              <w:jc w:val="center"/>
              <w:rPr>
                <w:rFonts w:cs="Times New Roman"/>
                <w:szCs w:val="20"/>
              </w:rPr>
            </w:pPr>
            <w:r w:rsidRPr="00CE3489">
              <w:rPr>
                <w:rFonts w:cs="Times New Roman"/>
                <w:szCs w:val="20"/>
              </w:rPr>
              <w:t>50</w:t>
            </w:r>
          </w:p>
        </w:tc>
        <w:tc>
          <w:tcPr>
            <w:tcW w:w="1530" w:type="dxa"/>
            <w:tcBorders>
              <w:top w:val="single" w:sz="8" w:space="0" w:color="000000"/>
              <w:left w:val="single" w:sz="8" w:space="0" w:color="000000"/>
              <w:bottom w:val="single" w:sz="8" w:space="0" w:color="000000"/>
              <w:right w:val="single" w:sz="8" w:space="0" w:color="000000"/>
            </w:tcBorders>
            <w:vAlign w:val="center"/>
          </w:tcPr>
          <w:p w:rsidR="00CD23A8" w:rsidRPr="00CE3489" w:rsidP="005B5E34" w14:paraId="2A531CFB" w14:textId="77777777">
            <w:pPr>
              <w:pStyle w:val="TableParagraph"/>
              <w:spacing w:line="244" w:lineRule="exact"/>
              <w:jc w:val="center"/>
              <w:rPr>
                <w:rFonts w:cs="Times New Roman"/>
                <w:szCs w:val="20"/>
              </w:rPr>
            </w:pPr>
            <w:r w:rsidRPr="00CE3489">
              <w:rPr>
                <w:rFonts w:cs="Times New Roman"/>
                <w:szCs w:val="20"/>
              </w:rPr>
              <w:t>3,750</w:t>
            </w:r>
            <w:r>
              <w:rPr>
                <w:rFonts w:cs="Times New Roman"/>
                <w:szCs w:val="20"/>
              </w:rPr>
              <w:t>–</w:t>
            </w:r>
            <w:r w:rsidRPr="00CE3489">
              <w:rPr>
                <w:rFonts w:cs="Times New Roman"/>
                <w:szCs w:val="20"/>
              </w:rPr>
              <w:t>18,750</w:t>
            </w:r>
          </w:p>
        </w:tc>
        <w:tc>
          <w:tcPr>
            <w:tcW w:w="1890" w:type="dxa"/>
            <w:tcBorders>
              <w:top w:val="single" w:sz="8" w:space="0" w:color="000000"/>
              <w:left w:val="single" w:sz="8" w:space="0" w:color="000000"/>
              <w:bottom w:val="single" w:sz="8" w:space="0" w:color="000000"/>
              <w:right w:val="single" w:sz="8" w:space="0" w:color="000000"/>
            </w:tcBorders>
            <w:vAlign w:val="center"/>
          </w:tcPr>
          <w:p w:rsidR="00CD23A8" w:rsidRPr="00CE3489" w:rsidP="005B5E34" w14:paraId="518B82F4" w14:textId="77777777">
            <w:pPr>
              <w:pStyle w:val="TableParagraph"/>
              <w:spacing w:line="244" w:lineRule="exact"/>
              <w:jc w:val="center"/>
              <w:rPr>
                <w:rFonts w:cs="Times New Roman"/>
                <w:szCs w:val="20"/>
              </w:rPr>
            </w:pPr>
            <w:r w:rsidRPr="00CE3489">
              <w:rPr>
                <w:rFonts w:cs="Times New Roman"/>
                <w:szCs w:val="20"/>
              </w:rPr>
              <w:t>$2</w:t>
            </w:r>
            <w:r>
              <w:rPr>
                <w:rFonts w:cs="Times New Roman"/>
                <w:szCs w:val="20"/>
              </w:rPr>
              <w:t>79</w:t>
            </w:r>
            <w:r w:rsidRPr="00CE3489">
              <w:rPr>
                <w:rFonts w:cs="Times New Roman"/>
                <w:szCs w:val="20"/>
              </w:rPr>
              <w:t>,</w:t>
            </w:r>
            <w:r>
              <w:rPr>
                <w:rFonts w:cs="Times New Roman"/>
                <w:szCs w:val="20"/>
              </w:rPr>
              <w:t>938–</w:t>
            </w:r>
            <w:r w:rsidRPr="00CE3489">
              <w:rPr>
                <w:rFonts w:cs="Times New Roman"/>
                <w:szCs w:val="20"/>
              </w:rPr>
              <w:t>$1,</w:t>
            </w:r>
            <w:r>
              <w:rPr>
                <w:rFonts w:cs="Times New Roman"/>
                <w:szCs w:val="20"/>
              </w:rPr>
              <w:t>399</w:t>
            </w:r>
            <w:r w:rsidRPr="00CE3489">
              <w:rPr>
                <w:rFonts w:cs="Times New Roman"/>
                <w:szCs w:val="20"/>
              </w:rPr>
              <w:t>,</w:t>
            </w:r>
            <w:r>
              <w:rPr>
                <w:rFonts w:cs="Times New Roman"/>
                <w:szCs w:val="20"/>
              </w:rPr>
              <w:t>688</w:t>
            </w:r>
          </w:p>
        </w:tc>
      </w:tr>
      <w:tr w14:paraId="316EB8AB" w14:textId="77777777" w:rsidTr="00CD23A8">
        <w:tblPrEx>
          <w:tblW w:w="9080" w:type="dxa"/>
          <w:tblInd w:w="-5" w:type="dxa"/>
          <w:tblLayout w:type="fixed"/>
          <w:tblCellMar>
            <w:left w:w="58" w:type="dxa"/>
            <w:right w:w="58" w:type="dxa"/>
          </w:tblCellMar>
          <w:tblLook w:val="01E0"/>
        </w:tblPrEx>
        <w:trPr>
          <w:cantSplit/>
        </w:trPr>
        <w:tc>
          <w:tcPr>
            <w:tcW w:w="1439" w:type="dxa"/>
            <w:tcBorders>
              <w:top w:val="single" w:sz="8" w:space="0" w:color="000000"/>
              <w:left w:val="single" w:sz="12" w:space="0" w:color="000000"/>
              <w:bottom w:val="single" w:sz="12" w:space="0" w:color="000000"/>
              <w:right w:val="single" w:sz="8" w:space="0" w:color="000000"/>
            </w:tcBorders>
            <w:vAlign w:val="center"/>
          </w:tcPr>
          <w:p w:rsidR="00CD23A8" w:rsidRPr="00CE3489" w:rsidP="005B5E34" w14:paraId="27A00403" w14:textId="77777777">
            <w:pPr>
              <w:pStyle w:val="TableParagraph"/>
              <w:jc w:val="center"/>
              <w:rPr>
                <w:rFonts w:cs="Times New Roman"/>
                <w:b/>
                <w:szCs w:val="20"/>
              </w:rPr>
            </w:pPr>
            <w:r w:rsidRPr="00CE3489">
              <w:rPr>
                <w:rFonts w:cs="Times New Roman"/>
                <w:b/>
                <w:szCs w:val="20"/>
              </w:rPr>
              <w:t>Total</w:t>
            </w:r>
          </w:p>
        </w:tc>
        <w:tc>
          <w:tcPr>
            <w:tcW w:w="1273" w:type="dxa"/>
            <w:tcBorders>
              <w:top w:val="single" w:sz="8" w:space="0" w:color="000000"/>
              <w:left w:val="single" w:sz="12" w:space="0" w:color="000000"/>
              <w:bottom w:val="single" w:sz="12" w:space="0" w:color="000000"/>
              <w:right w:val="single" w:sz="8" w:space="0" w:color="000000"/>
            </w:tcBorders>
            <w:vAlign w:val="center"/>
          </w:tcPr>
          <w:p w:rsidR="00CD23A8" w:rsidP="005B5E34" w14:paraId="40C69E89" w14:textId="77777777">
            <w:pPr>
              <w:pStyle w:val="TableParagraph"/>
              <w:jc w:val="center"/>
              <w:rPr>
                <w:rFonts w:cs="Times New Roman"/>
                <w:b/>
                <w:szCs w:val="20"/>
              </w:rPr>
            </w:pPr>
            <w:r>
              <w:rPr>
                <w:rFonts w:cs="Times New Roman"/>
                <w:b/>
                <w:szCs w:val="20"/>
              </w:rPr>
              <w:t>265-1,325</w:t>
            </w:r>
          </w:p>
        </w:tc>
        <w:tc>
          <w:tcPr>
            <w:tcW w:w="1457" w:type="dxa"/>
            <w:tcBorders>
              <w:top w:val="single" w:sz="8" w:space="0" w:color="000000"/>
              <w:left w:val="single" w:sz="8" w:space="0" w:color="000000"/>
              <w:bottom w:val="single" w:sz="12" w:space="0" w:color="000000"/>
              <w:right w:val="single" w:sz="8" w:space="0" w:color="000000"/>
            </w:tcBorders>
            <w:vAlign w:val="center"/>
          </w:tcPr>
          <w:p w:rsidR="00CD23A8" w:rsidRPr="00A62CE2" w:rsidP="005B5E34" w14:paraId="1EBCD77F" w14:textId="77777777">
            <w:pPr>
              <w:pStyle w:val="TableParagraph"/>
              <w:jc w:val="center"/>
              <w:rPr>
                <w:rFonts w:cs="Times New Roman"/>
                <w:b/>
                <w:szCs w:val="20"/>
              </w:rPr>
            </w:pPr>
            <w:r w:rsidRPr="00A62CE2">
              <w:rPr>
                <w:rFonts w:cs="Times New Roman"/>
                <w:b/>
                <w:szCs w:val="20"/>
              </w:rPr>
              <w:t>$19,</w:t>
            </w:r>
            <w:r>
              <w:rPr>
                <w:rFonts w:cs="Times New Roman"/>
                <w:b/>
                <w:szCs w:val="20"/>
              </w:rPr>
              <w:t>782</w:t>
            </w:r>
            <w:r w:rsidRPr="00A62CE2">
              <w:rPr>
                <w:rFonts w:cs="Times New Roman"/>
                <w:b/>
                <w:szCs w:val="20"/>
              </w:rPr>
              <w:t>–$9</w:t>
            </w:r>
            <w:r>
              <w:rPr>
                <w:rFonts w:cs="Times New Roman"/>
                <w:b/>
                <w:szCs w:val="20"/>
              </w:rPr>
              <w:t>8</w:t>
            </w:r>
            <w:r w:rsidRPr="00A62CE2">
              <w:rPr>
                <w:rFonts w:cs="Times New Roman"/>
                <w:b/>
                <w:szCs w:val="20"/>
              </w:rPr>
              <w:t>,</w:t>
            </w:r>
            <w:r>
              <w:rPr>
                <w:rFonts w:cs="Times New Roman"/>
                <w:b/>
                <w:szCs w:val="20"/>
              </w:rPr>
              <w:t>911</w:t>
            </w:r>
          </w:p>
        </w:tc>
        <w:tc>
          <w:tcPr>
            <w:tcW w:w="1491" w:type="dxa"/>
            <w:tcBorders>
              <w:top w:val="single" w:sz="8" w:space="0" w:color="000000"/>
              <w:left w:val="single" w:sz="8" w:space="0" w:color="000000"/>
              <w:bottom w:val="single" w:sz="12" w:space="0" w:color="000000"/>
              <w:right w:val="single" w:sz="8" w:space="0" w:color="000000"/>
            </w:tcBorders>
            <w:vAlign w:val="center"/>
          </w:tcPr>
          <w:p w:rsidR="00CD23A8" w:rsidRPr="00CE3489" w:rsidP="005B5E34" w14:paraId="4DA3E1ED" w14:textId="77777777">
            <w:pPr>
              <w:pStyle w:val="TableParagraph"/>
              <w:jc w:val="center"/>
              <w:rPr>
                <w:rFonts w:cs="Times New Roman"/>
                <w:b/>
                <w:szCs w:val="20"/>
              </w:rPr>
            </w:pPr>
            <w:r>
              <w:rPr>
                <w:rFonts w:cs="Times New Roman"/>
                <w:b/>
                <w:szCs w:val="20"/>
              </w:rPr>
              <w:t>50</w:t>
            </w:r>
          </w:p>
        </w:tc>
        <w:tc>
          <w:tcPr>
            <w:tcW w:w="1530" w:type="dxa"/>
            <w:tcBorders>
              <w:top w:val="single" w:sz="8" w:space="0" w:color="000000"/>
              <w:left w:val="single" w:sz="8" w:space="0" w:color="000000"/>
              <w:bottom w:val="single" w:sz="12" w:space="0" w:color="000000"/>
              <w:right w:val="single" w:sz="8" w:space="0" w:color="000000"/>
            </w:tcBorders>
            <w:vAlign w:val="center"/>
          </w:tcPr>
          <w:p w:rsidR="00CD23A8" w:rsidRPr="00CE3489" w:rsidP="005B5E34" w14:paraId="231F232E" w14:textId="77777777">
            <w:pPr>
              <w:pStyle w:val="TableParagraph"/>
              <w:spacing w:line="244" w:lineRule="exact"/>
              <w:jc w:val="center"/>
              <w:rPr>
                <w:rFonts w:cs="Times New Roman"/>
                <w:b/>
                <w:szCs w:val="20"/>
              </w:rPr>
            </w:pPr>
            <w:r w:rsidRPr="00CE3489">
              <w:rPr>
                <w:rFonts w:cs="Times New Roman"/>
                <w:b/>
                <w:szCs w:val="20"/>
              </w:rPr>
              <w:t>13</w:t>
            </w:r>
            <w:r>
              <w:rPr>
                <w:rFonts w:cs="Times New Roman"/>
                <w:b/>
                <w:szCs w:val="20"/>
              </w:rPr>
              <w:t>,</w:t>
            </w:r>
            <w:r w:rsidRPr="00CE3489">
              <w:rPr>
                <w:rFonts w:cs="Times New Roman"/>
                <w:b/>
                <w:szCs w:val="20"/>
              </w:rPr>
              <w:t>250</w:t>
            </w:r>
            <w:r>
              <w:rPr>
                <w:rFonts w:cs="Times New Roman"/>
                <w:b/>
                <w:szCs w:val="20"/>
              </w:rPr>
              <w:t>–</w:t>
            </w:r>
            <w:r w:rsidRPr="00CE3489">
              <w:rPr>
                <w:rFonts w:cs="Times New Roman"/>
                <w:b/>
                <w:szCs w:val="20"/>
              </w:rPr>
              <w:t>66,250</w:t>
            </w:r>
          </w:p>
        </w:tc>
        <w:tc>
          <w:tcPr>
            <w:tcW w:w="1890" w:type="dxa"/>
            <w:tcBorders>
              <w:top w:val="single" w:sz="8" w:space="0" w:color="000000"/>
              <w:left w:val="single" w:sz="8" w:space="0" w:color="000000"/>
              <w:bottom w:val="single" w:sz="12" w:space="0" w:color="000000"/>
              <w:right w:val="single" w:sz="8" w:space="0" w:color="000000"/>
            </w:tcBorders>
            <w:vAlign w:val="center"/>
          </w:tcPr>
          <w:p w:rsidR="00CD23A8" w:rsidRPr="00CE3489" w:rsidP="005B5E34" w14:paraId="7C956CA1" w14:textId="77777777">
            <w:pPr>
              <w:pStyle w:val="TableParagraph"/>
              <w:spacing w:line="244" w:lineRule="exact"/>
              <w:jc w:val="center"/>
              <w:rPr>
                <w:rFonts w:cs="Times New Roman"/>
                <w:b/>
                <w:szCs w:val="20"/>
              </w:rPr>
            </w:pPr>
            <w:r w:rsidRPr="00CE3489">
              <w:rPr>
                <w:rFonts w:cs="Times New Roman"/>
                <w:b/>
                <w:szCs w:val="20"/>
              </w:rPr>
              <w:t>$</w:t>
            </w:r>
            <w:r>
              <w:rPr>
                <w:rFonts w:cs="Times New Roman"/>
                <w:b/>
                <w:szCs w:val="20"/>
              </w:rPr>
              <w:t>989,112–</w:t>
            </w:r>
            <w:r w:rsidRPr="00CE3489">
              <w:rPr>
                <w:rFonts w:cs="Times New Roman"/>
                <w:b/>
                <w:szCs w:val="20"/>
              </w:rPr>
              <w:t>$</w:t>
            </w:r>
            <w:r>
              <w:rPr>
                <w:rFonts w:cs="Times New Roman"/>
                <w:b/>
                <w:szCs w:val="20"/>
              </w:rPr>
              <w:t>4,945,562</w:t>
            </w:r>
          </w:p>
        </w:tc>
      </w:tr>
    </w:tbl>
    <w:p w:rsidR="00011011" w:rsidRPr="00CE3489" w:rsidP="00011011" w14:paraId="7FAF4718" w14:textId="77777777">
      <w:pPr>
        <w:pStyle w:val="Tablenote"/>
      </w:pPr>
      <w:r w:rsidRPr="00CE3489">
        <w:rPr>
          <w:vertAlign w:val="superscript"/>
        </w:rPr>
        <w:t>1</w:t>
      </w:r>
      <w:r w:rsidRPr="00CE3489">
        <w:t xml:space="preserve"> Reflects potential new or increased rulemaking activities to adopt provisions consistent with the proposed rule into WQS.</w:t>
      </w:r>
    </w:p>
    <w:p w:rsidR="00011011" w:rsidRPr="00CE3489" w:rsidP="00011011" w14:paraId="02474ECC" w14:textId="77777777">
      <w:pPr>
        <w:pStyle w:val="Tablenote"/>
      </w:pPr>
      <w:r w:rsidRPr="00CE3489">
        <w:rPr>
          <w:vertAlign w:val="superscript"/>
        </w:rPr>
        <w:t>2</w:t>
      </w:r>
      <w:r w:rsidRPr="00CE3489">
        <w:t xml:space="preserve"> Hours per state multiplied by average hourly labor rate of $</w:t>
      </w:r>
      <w:r>
        <w:t>74.65 and rounded to the nearest dollar</w:t>
      </w:r>
      <w:r w:rsidRPr="00CE3489">
        <w:t>.</w:t>
      </w:r>
    </w:p>
    <w:p w:rsidR="00011011" w:rsidRPr="00CE3489" w:rsidP="00011011" w14:paraId="04A68AF4" w14:textId="77777777">
      <w:pPr>
        <w:pStyle w:val="Tablenote"/>
      </w:pPr>
      <w:r w:rsidRPr="00CE3489">
        <w:rPr>
          <w:vertAlign w:val="superscript"/>
        </w:rPr>
        <w:t>3</w:t>
      </w:r>
      <w:r w:rsidRPr="00CE3489">
        <w:t xml:space="preserve"> Includes 50 states, but no territories or tribes.</w:t>
      </w:r>
    </w:p>
    <w:p w:rsidR="00011011" w:rsidRPr="00CE3489" w:rsidP="00011011" w14:paraId="042D77E1" w14:textId="77777777">
      <w:pPr>
        <w:pStyle w:val="Tablenote"/>
      </w:pPr>
      <w:r w:rsidRPr="00CE3489">
        <w:rPr>
          <w:vertAlign w:val="superscript"/>
        </w:rPr>
        <w:t>4</w:t>
      </w:r>
      <w:r w:rsidRPr="00CE3489">
        <w:t xml:space="preserve"> Burden per state multiplied by total number of potentially affected states.</w:t>
      </w:r>
    </w:p>
    <w:p w:rsidR="00011011" w:rsidP="00CD23A8" w14:paraId="373D21DA" w14:textId="486F0249">
      <w:pPr>
        <w:pStyle w:val="Tablenote"/>
        <w:rPr>
          <w:szCs w:val="18"/>
        </w:rPr>
      </w:pPr>
      <w:r w:rsidRPr="00CE3489">
        <w:rPr>
          <w:vertAlign w:val="superscript"/>
        </w:rPr>
        <w:t xml:space="preserve">5 </w:t>
      </w:r>
      <w:r w:rsidRPr="00CE3489">
        <w:t>Total burden for all potentially affected states multiplied by average hourly labor rate of $</w:t>
      </w:r>
      <w:r>
        <w:t>74.65 and rounded to the nearest dollar</w:t>
      </w:r>
      <w:r w:rsidRPr="00CE3489">
        <w:t>.</w:t>
      </w:r>
    </w:p>
    <w:bookmarkEnd w:id="64"/>
    <w:p w:rsidR="00011011" w:rsidP="00011011" w14:paraId="3F488734" w14:textId="2ABE943A">
      <w:pPr>
        <w:pStyle w:val="BodyText"/>
      </w:pPr>
      <w:r w:rsidRPr="00CE3489">
        <w:t>Because EPA has assumed that there are no recurring costs to states associated</w:t>
      </w:r>
      <w:r>
        <w:t xml:space="preserve"> with the proposed rule and did not estimate costs to regulated entities, the potential one-time burden and costs in Table 6-2 represent the total estimated burden and cost of the proposed rule.</w:t>
      </w:r>
    </w:p>
    <w:p w:rsidR="00BB53F6" w:rsidRPr="003B3A98" w:rsidP="003B3A98" w14:paraId="57E620F4" w14:textId="3808D569">
      <w:pPr>
        <w:pStyle w:val="BodyText"/>
      </w:pPr>
      <w:r w:rsidRPr="003B3A98">
        <w:fldChar w:fldCharType="begin"/>
      </w:r>
      <w:r w:rsidRPr="003B3A98">
        <w:instrText xml:space="preserve"> REF _Ref402182052 \h </w:instrText>
      </w:r>
      <w:r w:rsidRPr="003B3A98" w:rsidR="00B7618A">
        <w:instrText xml:space="preserve"> \* MERGEFORMAT </w:instrText>
      </w:r>
      <w:r w:rsidRPr="003B3A98">
        <w:fldChar w:fldCharType="separate"/>
      </w:r>
      <w:r w:rsidRPr="003B3A98">
        <w:t xml:space="preserve">Table </w:t>
      </w:r>
      <w:r w:rsidRPr="00AA16F3">
        <w:t>6</w:t>
      </w:r>
      <w:r w:rsidRPr="00AA16F3">
        <w:noBreakHyphen/>
      </w:r>
      <w:r w:rsidRPr="003B3A98">
        <w:fldChar w:fldCharType="end"/>
      </w:r>
      <w:r w:rsidR="00011011">
        <w:t>3</w:t>
      </w:r>
      <w:r w:rsidRPr="003B3A98">
        <w:t xml:space="preserve"> </w:t>
      </w:r>
      <w:r w:rsidRPr="003B3A98" w:rsidR="001C7A1D">
        <w:t>provides a summary of the uncertainties associated with the estimates.</w:t>
      </w:r>
    </w:p>
    <w:tbl>
      <w:tblPr>
        <w:tblW w:w="936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tblPr>
      <w:tblGrid>
        <w:gridCol w:w="3555"/>
        <w:gridCol w:w="2040"/>
        <w:gridCol w:w="3765"/>
      </w:tblGrid>
      <w:tr w14:paraId="20C42184" w14:textId="77777777" w:rsidTr="00DF204A">
        <w:tblPrEx>
          <w:tblW w:w="936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tblPrEx>
        <w:trPr>
          <w:cantSplit/>
          <w:trHeight w:val="70"/>
          <w:tblHeader/>
        </w:trPr>
        <w:tc>
          <w:tcPr>
            <w:tcW w:w="936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6837A6" w:rsidP="00DF204A" w14:paraId="6DA9A8F8" w14:textId="5E770A1C">
            <w:pPr>
              <w:pStyle w:val="Caption"/>
              <w:rPr>
                <w:szCs w:val="24"/>
              </w:rPr>
            </w:pPr>
            <w:bookmarkStart w:id="65" w:name="_Toc279663513"/>
            <w:bookmarkStart w:id="66" w:name="_Toc295293549"/>
            <w:bookmarkStart w:id="67" w:name="_Toc404352331"/>
            <w:r>
              <w:t>Table 6-</w:t>
            </w:r>
            <w:r w:rsidR="00011011">
              <w:t>3</w:t>
            </w:r>
            <w:r>
              <w:rPr>
                <w:szCs w:val="24"/>
              </w:rPr>
              <w:t>: Uncertainties in the Analysis</w:t>
            </w:r>
            <w:bookmarkEnd w:id="65"/>
            <w:bookmarkEnd w:id="66"/>
            <w:bookmarkEnd w:id="67"/>
          </w:p>
        </w:tc>
      </w:tr>
      <w:tr w14:paraId="16CDD05F" w14:textId="77777777" w:rsidTr="00DF204A">
        <w:tblPrEx>
          <w:tblW w:w="9360" w:type="dxa"/>
          <w:tblInd w:w="103" w:type="dxa"/>
          <w:tblLayout w:type="fixed"/>
          <w:tblCellMar>
            <w:left w:w="58" w:type="dxa"/>
            <w:right w:w="58" w:type="dxa"/>
          </w:tblCellMar>
          <w:tblLook w:val="04A0"/>
        </w:tblPrEx>
        <w:trPr>
          <w:cantSplit/>
          <w:trHeight w:val="520"/>
          <w:tblHeader/>
        </w:trPr>
        <w:tc>
          <w:tcPr>
            <w:tcW w:w="3555" w:type="dxa"/>
            <w:tcBorders>
              <w:top w:val="single" w:sz="4" w:space="0" w:color="auto"/>
              <w:left w:val="single" w:sz="4" w:space="0" w:color="auto"/>
              <w:bottom w:val="single" w:sz="4" w:space="0" w:color="auto"/>
              <w:right w:val="single" w:sz="4" w:space="0" w:color="auto"/>
            </w:tcBorders>
            <w:shd w:val="clear" w:color="auto" w:fill="FFFF99"/>
            <w:vAlign w:val="center"/>
            <w:hideMark/>
          </w:tcPr>
          <w:p w:rsidR="006837A6" w:rsidRPr="00CD23A8" w:rsidP="00DF204A" w14:paraId="1F467C54" w14:textId="77777777">
            <w:pPr>
              <w:pStyle w:val="ExhibitHeading"/>
              <w:rPr>
                <w:rFonts w:ascii="Times New Roman" w:hAnsi="Times New Roman" w:cs="Times New Roman"/>
                <w:sz w:val="24"/>
                <w:szCs w:val="24"/>
              </w:rPr>
            </w:pPr>
            <w:r w:rsidRPr="00CD23A8">
              <w:rPr>
                <w:rFonts w:ascii="Times New Roman" w:hAnsi="Times New Roman" w:cs="Times New Roman"/>
                <w:sz w:val="24"/>
                <w:szCs w:val="24"/>
              </w:rPr>
              <w:t>Key Assumption/Uncertainty</w:t>
            </w:r>
          </w:p>
        </w:tc>
        <w:tc>
          <w:tcPr>
            <w:tcW w:w="2040" w:type="dxa"/>
            <w:tcBorders>
              <w:top w:val="single" w:sz="4" w:space="0" w:color="auto"/>
              <w:left w:val="single" w:sz="4" w:space="0" w:color="auto"/>
              <w:bottom w:val="single" w:sz="4" w:space="0" w:color="auto"/>
              <w:right w:val="single" w:sz="4" w:space="0" w:color="auto"/>
            </w:tcBorders>
            <w:shd w:val="clear" w:color="auto" w:fill="FFFF99"/>
            <w:vAlign w:val="center"/>
            <w:hideMark/>
          </w:tcPr>
          <w:p w:rsidR="006837A6" w:rsidRPr="00CD23A8" w:rsidP="00DF204A" w14:paraId="6E1C5EE8" w14:textId="77777777">
            <w:pPr>
              <w:pStyle w:val="ExhibitHeading"/>
              <w:rPr>
                <w:rFonts w:ascii="Times New Roman" w:hAnsi="Times New Roman" w:cs="Times New Roman"/>
                <w:sz w:val="24"/>
                <w:szCs w:val="24"/>
              </w:rPr>
            </w:pPr>
            <w:r w:rsidRPr="00CD23A8">
              <w:rPr>
                <w:rFonts w:ascii="Times New Roman" w:hAnsi="Times New Roman" w:cs="Times New Roman"/>
                <w:sz w:val="24"/>
                <w:szCs w:val="24"/>
              </w:rPr>
              <w:t>Potential Impact on Estimated Burden and Cost</w:t>
            </w:r>
          </w:p>
        </w:tc>
        <w:tc>
          <w:tcPr>
            <w:tcW w:w="3765" w:type="dxa"/>
            <w:tcBorders>
              <w:top w:val="single" w:sz="4" w:space="0" w:color="auto"/>
              <w:left w:val="single" w:sz="4" w:space="0" w:color="auto"/>
              <w:bottom w:val="single" w:sz="4" w:space="0" w:color="auto"/>
              <w:right w:val="single" w:sz="4" w:space="0" w:color="auto"/>
            </w:tcBorders>
            <w:shd w:val="clear" w:color="auto" w:fill="FFFF99"/>
            <w:vAlign w:val="center"/>
            <w:hideMark/>
          </w:tcPr>
          <w:p w:rsidR="006837A6" w:rsidRPr="00CD23A8" w:rsidP="00DF204A" w14:paraId="5171D38E" w14:textId="77777777">
            <w:pPr>
              <w:pStyle w:val="ExhibitHeading"/>
              <w:rPr>
                <w:rFonts w:ascii="Times New Roman" w:hAnsi="Times New Roman" w:cs="Times New Roman"/>
                <w:sz w:val="24"/>
                <w:szCs w:val="24"/>
              </w:rPr>
            </w:pPr>
            <w:r w:rsidRPr="00CD23A8">
              <w:rPr>
                <w:rFonts w:ascii="Times New Roman" w:hAnsi="Times New Roman" w:cs="Times New Roman"/>
                <w:sz w:val="24"/>
                <w:szCs w:val="24"/>
              </w:rPr>
              <w:t>Comment</w:t>
            </w:r>
          </w:p>
        </w:tc>
      </w:tr>
      <w:tr w14:paraId="44B4D7BF" w14:textId="77777777" w:rsidTr="00097EFC">
        <w:tblPrEx>
          <w:tblW w:w="9360" w:type="dxa"/>
          <w:tblInd w:w="103" w:type="dxa"/>
          <w:tblLayout w:type="fixed"/>
          <w:tblCellMar>
            <w:left w:w="58" w:type="dxa"/>
            <w:right w:w="58" w:type="dxa"/>
          </w:tblCellMar>
          <w:tblLook w:val="04A0"/>
        </w:tblPrEx>
        <w:trPr>
          <w:cantSplit/>
          <w:trHeight w:val="720"/>
        </w:trPr>
        <w:tc>
          <w:tcPr>
            <w:tcW w:w="3555" w:type="dxa"/>
            <w:tcBorders>
              <w:top w:val="single" w:sz="4" w:space="0" w:color="auto"/>
              <w:left w:val="single" w:sz="4" w:space="0" w:color="auto"/>
              <w:bottom w:val="single" w:sz="4" w:space="0" w:color="auto"/>
              <w:right w:val="single" w:sz="4" w:space="0" w:color="auto"/>
            </w:tcBorders>
            <w:hideMark/>
          </w:tcPr>
          <w:p w:rsidR="001007C0" w:rsidRPr="00CD23A8" w:rsidP="001007C0" w14:paraId="70BF818F" w14:textId="286D3624">
            <w:pPr>
              <w:pStyle w:val="ExhibitLeft"/>
              <w:rPr>
                <w:rFonts w:ascii="Times New Roman" w:hAnsi="Times New Roman" w:cs="Times New Roman"/>
              </w:rPr>
            </w:pPr>
            <w:r w:rsidRPr="00CD23A8">
              <w:rPr>
                <w:rFonts w:ascii="Times New Roman" w:hAnsi="Times New Roman" w:cs="Times New Roman"/>
              </w:rPr>
              <w:t>Labor hours required to implement various provisions based on best professional judgment.</w:t>
            </w:r>
          </w:p>
        </w:tc>
        <w:tc>
          <w:tcPr>
            <w:tcW w:w="2040" w:type="dxa"/>
            <w:tcBorders>
              <w:top w:val="single" w:sz="4" w:space="0" w:color="auto"/>
              <w:left w:val="single" w:sz="4" w:space="0" w:color="auto"/>
              <w:bottom w:val="single" w:sz="4" w:space="0" w:color="auto"/>
              <w:right w:val="single" w:sz="4" w:space="0" w:color="auto"/>
            </w:tcBorders>
            <w:vAlign w:val="center"/>
            <w:hideMark/>
          </w:tcPr>
          <w:p w:rsidR="001007C0" w:rsidRPr="00CD23A8" w:rsidP="001007C0" w14:paraId="7DDA3BDD" w14:textId="4E9F152C">
            <w:pPr>
              <w:pStyle w:val="ExhibitCenter"/>
              <w:rPr>
                <w:rFonts w:ascii="Times New Roman" w:hAnsi="Times New Roman" w:cs="Times New Roman"/>
              </w:rPr>
            </w:pPr>
            <w:r w:rsidRPr="00CD23A8">
              <w:rPr>
                <w:rFonts w:ascii="Times New Roman" w:hAnsi="Times New Roman" w:cs="Times New Roman"/>
              </w:rPr>
              <w:t>?</w:t>
            </w:r>
          </w:p>
        </w:tc>
        <w:tc>
          <w:tcPr>
            <w:tcW w:w="3765" w:type="dxa"/>
            <w:tcBorders>
              <w:top w:val="single" w:sz="4" w:space="0" w:color="auto"/>
              <w:left w:val="single" w:sz="4" w:space="0" w:color="auto"/>
              <w:bottom w:val="single" w:sz="4" w:space="0" w:color="auto"/>
              <w:right w:val="single" w:sz="4" w:space="0" w:color="auto"/>
            </w:tcBorders>
            <w:hideMark/>
          </w:tcPr>
          <w:p w:rsidR="001007C0" w:rsidRPr="00CD23A8" w:rsidP="001007C0" w14:paraId="3837834C" w14:textId="2CF7DF74">
            <w:pPr>
              <w:pStyle w:val="ExhibitLeft"/>
              <w:rPr>
                <w:rFonts w:ascii="Times New Roman" w:hAnsi="Times New Roman" w:cs="Times New Roman"/>
              </w:rPr>
            </w:pPr>
            <w:r w:rsidRPr="00CD23A8">
              <w:rPr>
                <w:rFonts w:ascii="Times New Roman" w:hAnsi="Times New Roman" w:cs="Times New Roman"/>
              </w:rPr>
              <w:t xml:space="preserve">Labor hours needed for a given state depend on several factors, including the size of each state, level of economic activity involving dischargers to water, and the existing regulatory framework; labor hours may be higher or lower than EPA’s estimates. </w:t>
            </w:r>
          </w:p>
        </w:tc>
      </w:tr>
      <w:tr w14:paraId="2CF509D2" w14:textId="77777777" w:rsidTr="00097EFC">
        <w:tblPrEx>
          <w:tblW w:w="9360" w:type="dxa"/>
          <w:tblInd w:w="103" w:type="dxa"/>
          <w:tblLayout w:type="fixed"/>
          <w:tblCellMar>
            <w:left w:w="58" w:type="dxa"/>
            <w:right w:w="58" w:type="dxa"/>
          </w:tblCellMar>
          <w:tblLook w:val="04A0"/>
        </w:tblPrEx>
        <w:trPr>
          <w:cantSplit/>
          <w:trHeight w:val="720"/>
        </w:trPr>
        <w:tc>
          <w:tcPr>
            <w:tcW w:w="3555" w:type="dxa"/>
            <w:tcBorders>
              <w:top w:val="single" w:sz="4" w:space="0" w:color="auto"/>
              <w:left w:val="single" w:sz="4" w:space="0" w:color="auto"/>
              <w:bottom w:val="single" w:sz="4" w:space="0" w:color="auto"/>
              <w:right w:val="single" w:sz="4" w:space="0" w:color="auto"/>
            </w:tcBorders>
            <w:hideMark/>
          </w:tcPr>
          <w:p w:rsidR="001007C0" w:rsidRPr="00CD23A8" w:rsidP="001007C0" w14:paraId="68C58BC2" w14:textId="1E6814EE">
            <w:pPr>
              <w:pStyle w:val="ExhibitLeft"/>
              <w:rPr>
                <w:rFonts w:ascii="Times New Roman" w:hAnsi="Times New Roman" w:cs="Times New Roman"/>
              </w:rPr>
            </w:pPr>
            <w:r w:rsidRPr="00CD23A8">
              <w:rPr>
                <w:rFonts w:ascii="Times New Roman" w:hAnsi="Times New Roman" w:cs="Times New Roman"/>
              </w:rPr>
              <w:t>Labor cost based on state government wage and labor rates.</w:t>
            </w:r>
          </w:p>
        </w:tc>
        <w:tc>
          <w:tcPr>
            <w:tcW w:w="2040" w:type="dxa"/>
            <w:tcBorders>
              <w:top w:val="single" w:sz="4" w:space="0" w:color="auto"/>
              <w:left w:val="single" w:sz="4" w:space="0" w:color="auto"/>
              <w:bottom w:val="single" w:sz="4" w:space="0" w:color="auto"/>
              <w:right w:val="single" w:sz="4" w:space="0" w:color="auto"/>
            </w:tcBorders>
            <w:vAlign w:val="center"/>
            <w:hideMark/>
          </w:tcPr>
          <w:p w:rsidR="001007C0" w:rsidRPr="00CD23A8" w:rsidP="00F47368" w14:paraId="40AFE2E2" w14:textId="19F7BA11">
            <w:pPr>
              <w:jc w:val="center"/>
            </w:pPr>
            <w:r w:rsidRPr="00CD23A8">
              <w:t>?</w:t>
            </w:r>
          </w:p>
        </w:tc>
        <w:tc>
          <w:tcPr>
            <w:tcW w:w="3765" w:type="dxa"/>
            <w:tcBorders>
              <w:top w:val="single" w:sz="4" w:space="0" w:color="auto"/>
              <w:left w:val="single" w:sz="4" w:space="0" w:color="auto"/>
              <w:bottom w:val="single" w:sz="4" w:space="0" w:color="auto"/>
              <w:right w:val="single" w:sz="4" w:space="0" w:color="auto"/>
            </w:tcBorders>
            <w:hideMark/>
          </w:tcPr>
          <w:p w:rsidR="001007C0" w:rsidRPr="00CD23A8" w:rsidP="001007C0" w14:paraId="039602C6" w14:textId="4272131B">
            <w:pPr>
              <w:pStyle w:val="ExhibitLeft"/>
              <w:rPr>
                <w:rFonts w:ascii="Times New Roman" w:hAnsi="Times New Roman" w:cs="Times New Roman"/>
              </w:rPr>
            </w:pPr>
            <w:r w:rsidRPr="00CD23A8">
              <w:rPr>
                <w:rFonts w:ascii="Times New Roman" w:hAnsi="Times New Roman" w:cs="Times New Roman"/>
              </w:rPr>
              <w:t xml:space="preserve">The mix of labor categories (economist, environmental engineer, environmental scientist, lawyer, natural sciences manager) may be different for individual states from the mix that EPA used to calculate hourly wage and labor rates. </w:t>
            </w:r>
          </w:p>
        </w:tc>
      </w:tr>
      <w:tr w14:paraId="2FF7E7DB" w14:textId="77777777" w:rsidTr="00097EFC">
        <w:tblPrEx>
          <w:tblW w:w="9360" w:type="dxa"/>
          <w:tblInd w:w="103" w:type="dxa"/>
          <w:tblLayout w:type="fixed"/>
          <w:tblCellMar>
            <w:left w:w="58" w:type="dxa"/>
            <w:right w:w="58" w:type="dxa"/>
          </w:tblCellMar>
          <w:tblLook w:val="04A0"/>
        </w:tblPrEx>
        <w:trPr>
          <w:cantSplit/>
          <w:trHeight w:val="70"/>
        </w:trPr>
        <w:tc>
          <w:tcPr>
            <w:tcW w:w="3555" w:type="dxa"/>
            <w:tcBorders>
              <w:top w:val="single" w:sz="4" w:space="0" w:color="auto"/>
              <w:left w:val="single" w:sz="4" w:space="0" w:color="auto"/>
              <w:bottom w:val="single" w:sz="4" w:space="0" w:color="auto"/>
              <w:right w:val="single" w:sz="4" w:space="0" w:color="auto"/>
            </w:tcBorders>
            <w:hideMark/>
          </w:tcPr>
          <w:p w:rsidR="001007C0" w:rsidRPr="00CD23A8" w:rsidP="001007C0" w14:paraId="4F86975A" w14:textId="01F5F875">
            <w:pPr>
              <w:pStyle w:val="ExhibitLeft"/>
              <w:rPr>
                <w:rFonts w:ascii="Times New Roman" w:hAnsi="Times New Roman" w:cs="Times New Roman"/>
              </w:rPr>
            </w:pPr>
            <w:r w:rsidRPr="00CD23A8">
              <w:rPr>
                <w:rFonts w:ascii="Times New Roman" w:hAnsi="Times New Roman" w:cs="Times New Roman"/>
              </w:rPr>
              <w:t>The number of rulemakings to ensure reserved rights are protected in WQS is unknown.</w:t>
            </w:r>
          </w:p>
        </w:tc>
        <w:tc>
          <w:tcPr>
            <w:tcW w:w="2040" w:type="dxa"/>
            <w:tcBorders>
              <w:top w:val="single" w:sz="4" w:space="0" w:color="auto"/>
              <w:left w:val="single" w:sz="4" w:space="0" w:color="auto"/>
              <w:bottom w:val="single" w:sz="4" w:space="0" w:color="auto"/>
              <w:right w:val="single" w:sz="4" w:space="0" w:color="auto"/>
            </w:tcBorders>
            <w:vAlign w:val="center"/>
            <w:hideMark/>
          </w:tcPr>
          <w:p w:rsidR="001007C0" w:rsidRPr="00CD23A8" w:rsidP="001007C0" w14:paraId="79693E45" w14:textId="1A5E8A6C">
            <w:pPr>
              <w:pStyle w:val="ExhibitCenter"/>
              <w:rPr>
                <w:rFonts w:ascii="Times New Roman" w:hAnsi="Times New Roman" w:cs="Times New Roman"/>
              </w:rPr>
            </w:pPr>
            <w:r w:rsidRPr="00CD23A8">
              <w:rPr>
                <w:rFonts w:ascii="Times New Roman" w:hAnsi="Times New Roman" w:cs="Times New Roman"/>
              </w:rPr>
              <w:t>?</w:t>
            </w:r>
          </w:p>
        </w:tc>
        <w:tc>
          <w:tcPr>
            <w:tcW w:w="3765" w:type="dxa"/>
            <w:tcBorders>
              <w:top w:val="single" w:sz="4" w:space="0" w:color="auto"/>
              <w:left w:val="single" w:sz="4" w:space="0" w:color="auto"/>
              <w:bottom w:val="single" w:sz="4" w:space="0" w:color="auto"/>
              <w:right w:val="single" w:sz="4" w:space="0" w:color="auto"/>
            </w:tcBorders>
            <w:hideMark/>
          </w:tcPr>
          <w:p w:rsidR="001007C0" w:rsidRPr="00CD23A8" w:rsidP="001007C0" w14:paraId="52E0DB5E" w14:textId="38259F8F">
            <w:pPr>
              <w:pStyle w:val="ExhibitLeft"/>
              <w:rPr>
                <w:rFonts w:ascii="Times New Roman" w:hAnsi="Times New Roman" w:cs="Times New Roman"/>
              </w:rPr>
            </w:pPr>
            <w:r w:rsidRPr="00CD23A8">
              <w:rPr>
                <w:rFonts w:ascii="Times New Roman" w:hAnsi="Times New Roman" w:cs="Times New Roman"/>
              </w:rPr>
              <w:t>The number of rulemakings will depend on the extent of reserved rights to aquatic and aquatic-dependent resources across the country and the extent to which existing WQS already protect reserved resources. Determining the extent of reserved rights to aquatic and aquatic-dependent resources will require a careful case-by-case analysis of each legal agreement that reserves resources to tribes, including relevant case law, where applicable. It is also uncertain how states will elect to conduct the rulemakings (e.g., all at once or in stages) and whether new information about the reserved rights will become available over time.</w:t>
            </w:r>
          </w:p>
        </w:tc>
      </w:tr>
      <w:tr w14:paraId="234CC8E2" w14:textId="77777777" w:rsidTr="00097EFC">
        <w:tblPrEx>
          <w:tblW w:w="9360" w:type="dxa"/>
          <w:tblInd w:w="103" w:type="dxa"/>
          <w:tblLayout w:type="fixed"/>
          <w:tblCellMar>
            <w:left w:w="58" w:type="dxa"/>
            <w:right w:w="58" w:type="dxa"/>
          </w:tblCellMar>
          <w:tblLook w:val="04A0"/>
        </w:tblPrEx>
        <w:trPr>
          <w:cantSplit/>
          <w:trHeight w:val="70"/>
        </w:trPr>
        <w:tc>
          <w:tcPr>
            <w:tcW w:w="3555" w:type="dxa"/>
            <w:tcBorders>
              <w:top w:val="single" w:sz="4" w:space="0" w:color="auto"/>
              <w:left w:val="single" w:sz="4" w:space="0" w:color="auto"/>
              <w:bottom w:val="single" w:sz="4" w:space="0" w:color="auto"/>
              <w:right w:val="single" w:sz="4" w:space="0" w:color="auto"/>
            </w:tcBorders>
          </w:tcPr>
          <w:p w:rsidR="001007C0" w:rsidRPr="00CD23A8" w:rsidP="001007C0" w14:paraId="54867DBF" w14:textId="0B85A881">
            <w:pPr>
              <w:pStyle w:val="ExhibitLeft"/>
              <w:rPr>
                <w:rFonts w:ascii="Times New Roman" w:hAnsi="Times New Roman" w:cs="Times New Roman"/>
              </w:rPr>
            </w:pPr>
            <w:r w:rsidRPr="00CD23A8">
              <w:rPr>
                <w:rFonts w:ascii="Times New Roman" w:hAnsi="Times New Roman" w:cs="Times New Roman"/>
              </w:rPr>
              <w:t xml:space="preserve">The </w:t>
            </w:r>
            <w:r w:rsidRPr="00CD23A8">
              <w:rPr>
                <w:rFonts w:ascii="Times New Roman" w:hAnsi="Times New Roman" w:cs="Times New Roman"/>
              </w:rPr>
              <w:t>time period</w:t>
            </w:r>
            <w:r w:rsidRPr="00CD23A8">
              <w:rPr>
                <w:rFonts w:ascii="Times New Roman" w:hAnsi="Times New Roman" w:cs="Times New Roman"/>
              </w:rPr>
              <w:t xml:space="preserve"> over which states undertake rulemakings to revise their WQS to ensure protection of tribal reserved rights is unknown and may vary by state.</w:t>
            </w:r>
          </w:p>
        </w:tc>
        <w:tc>
          <w:tcPr>
            <w:tcW w:w="2040" w:type="dxa"/>
            <w:tcBorders>
              <w:top w:val="single" w:sz="4" w:space="0" w:color="auto"/>
              <w:left w:val="single" w:sz="4" w:space="0" w:color="auto"/>
              <w:bottom w:val="single" w:sz="4" w:space="0" w:color="auto"/>
              <w:right w:val="single" w:sz="4" w:space="0" w:color="auto"/>
            </w:tcBorders>
            <w:vAlign w:val="center"/>
          </w:tcPr>
          <w:p w:rsidR="001007C0" w:rsidRPr="00CD23A8" w:rsidP="001007C0" w14:paraId="4692E346" w14:textId="49445B80">
            <w:pPr>
              <w:pStyle w:val="ExhibitCenter"/>
              <w:rPr>
                <w:rFonts w:ascii="Times New Roman" w:hAnsi="Times New Roman" w:cs="Times New Roman"/>
              </w:rPr>
            </w:pPr>
            <w:r w:rsidRPr="00CD23A8">
              <w:rPr>
                <w:rFonts w:ascii="Times New Roman" w:hAnsi="Times New Roman" w:cs="Times New Roman"/>
              </w:rPr>
              <w:t>?</w:t>
            </w:r>
          </w:p>
        </w:tc>
        <w:tc>
          <w:tcPr>
            <w:tcW w:w="3765" w:type="dxa"/>
            <w:tcBorders>
              <w:top w:val="single" w:sz="4" w:space="0" w:color="auto"/>
              <w:left w:val="single" w:sz="4" w:space="0" w:color="auto"/>
              <w:bottom w:val="single" w:sz="4" w:space="0" w:color="auto"/>
              <w:right w:val="single" w:sz="4" w:space="0" w:color="auto"/>
            </w:tcBorders>
          </w:tcPr>
          <w:p w:rsidR="001007C0" w:rsidRPr="00CD23A8" w:rsidP="001007C0" w14:paraId="00F249EC" w14:textId="191ABE0A">
            <w:pPr>
              <w:pStyle w:val="ExhibitLeft"/>
              <w:rPr>
                <w:rFonts w:ascii="Times New Roman" w:hAnsi="Times New Roman" w:cs="Times New Roman"/>
              </w:rPr>
            </w:pPr>
            <w:r w:rsidRPr="00CD23A8">
              <w:rPr>
                <w:rFonts w:ascii="Times New Roman" w:hAnsi="Times New Roman" w:cs="Times New Roman"/>
              </w:rPr>
              <w:t>States may take more or less time to complete rulemakings than the nine years assumed in the analysis, based on when issues are identified and how long it takes to formulate a solution. This uncertainty potentially affects the estimated annualized burden and cost.</w:t>
            </w:r>
          </w:p>
        </w:tc>
      </w:tr>
      <w:tr w14:paraId="633EC212" w14:textId="77777777" w:rsidTr="00097EFC">
        <w:tblPrEx>
          <w:tblW w:w="9360" w:type="dxa"/>
          <w:tblInd w:w="103" w:type="dxa"/>
          <w:tblLayout w:type="fixed"/>
          <w:tblCellMar>
            <w:left w:w="58" w:type="dxa"/>
            <w:right w:w="58" w:type="dxa"/>
          </w:tblCellMar>
          <w:tblLook w:val="04A0"/>
        </w:tblPrEx>
        <w:trPr>
          <w:cantSplit/>
          <w:trHeight w:val="70"/>
        </w:trPr>
        <w:tc>
          <w:tcPr>
            <w:tcW w:w="3555" w:type="dxa"/>
            <w:tcBorders>
              <w:top w:val="single" w:sz="4" w:space="0" w:color="auto"/>
              <w:left w:val="single" w:sz="4" w:space="0" w:color="auto"/>
              <w:bottom w:val="single" w:sz="4" w:space="0" w:color="auto"/>
              <w:right w:val="single" w:sz="4" w:space="0" w:color="auto"/>
            </w:tcBorders>
          </w:tcPr>
          <w:p w:rsidR="001007C0" w:rsidRPr="00CD23A8" w:rsidP="001007C0" w14:paraId="53C35992" w14:textId="438EDC22">
            <w:pPr>
              <w:pStyle w:val="ExhibitLeft"/>
              <w:rPr>
                <w:rFonts w:ascii="Times New Roman" w:hAnsi="Times New Roman" w:cs="Times New Roman"/>
              </w:rPr>
            </w:pPr>
            <w:r w:rsidRPr="00CD23A8">
              <w:rPr>
                <w:rFonts w:ascii="Times New Roman" w:hAnsi="Times New Roman" w:cs="Times New Roman"/>
              </w:rPr>
              <w:t xml:space="preserve">States may have varying access to data from which to perform analyses necessary to evaluate the extent and applicability of tribal reserved rights to aquatic and aquatic-dependent resources and the level of water quality necessary to protect those rights. In some cases, states may want to collect additional data. </w:t>
            </w:r>
          </w:p>
        </w:tc>
        <w:tc>
          <w:tcPr>
            <w:tcW w:w="2040" w:type="dxa"/>
            <w:tcBorders>
              <w:top w:val="single" w:sz="4" w:space="0" w:color="auto"/>
              <w:left w:val="single" w:sz="4" w:space="0" w:color="auto"/>
              <w:bottom w:val="single" w:sz="4" w:space="0" w:color="auto"/>
              <w:right w:val="single" w:sz="4" w:space="0" w:color="auto"/>
            </w:tcBorders>
            <w:vAlign w:val="center"/>
          </w:tcPr>
          <w:p w:rsidR="001007C0" w:rsidRPr="00CD23A8" w:rsidP="001007C0" w14:paraId="08501D38" w14:textId="42EAC629">
            <w:pPr>
              <w:pStyle w:val="ExhibitCenter"/>
              <w:rPr>
                <w:rFonts w:ascii="Times New Roman" w:hAnsi="Times New Roman" w:cs="Times New Roman"/>
              </w:rPr>
            </w:pPr>
            <w:r w:rsidRPr="00CD23A8">
              <w:rPr>
                <w:rFonts w:ascii="Times New Roman" w:hAnsi="Times New Roman" w:cs="Times New Roman"/>
              </w:rPr>
              <w:t>?</w:t>
            </w:r>
          </w:p>
        </w:tc>
        <w:tc>
          <w:tcPr>
            <w:tcW w:w="3765" w:type="dxa"/>
            <w:tcBorders>
              <w:top w:val="single" w:sz="4" w:space="0" w:color="auto"/>
              <w:left w:val="single" w:sz="4" w:space="0" w:color="auto"/>
              <w:bottom w:val="single" w:sz="4" w:space="0" w:color="auto"/>
              <w:right w:val="single" w:sz="4" w:space="0" w:color="auto"/>
            </w:tcBorders>
          </w:tcPr>
          <w:p w:rsidR="001007C0" w:rsidRPr="00CD23A8" w:rsidP="001007C0" w14:paraId="047DA565" w14:textId="5CBC6928">
            <w:pPr>
              <w:pStyle w:val="ExhibitLeft"/>
              <w:rPr>
                <w:rFonts w:ascii="Times New Roman" w:hAnsi="Times New Roman" w:cs="Times New Roman"/>
              </w:rPr>
            </w:pPr>
            <w:r w:rsidRPr="00CD23A8">
              <w:rPr>
                <w:rFonts w:ascii="Times New Roman" w:hAnsi="Times New Roman" w:cs="Times New Roman"/>
              </w:rPr>
              <w:t>The cost of resources required to collect data and perform analyses is unknown. The number of analyses will depend on the number of WQS changes needed to protect reserved rights and the sufficiency of existing, readily available data on the scope of the right(s) and level of water quality necessary to protect those rights.</w:t>
            </w:r>
          </w:p>
        </w:tc>
      </w:tr>
      <w:tr w14:paraId="28E0E096" w14:textId="77777777" w:rsidTr="00097EFC">
        <w:tblPrEx>
          <w:tblW w:w="9360" w:type="dxa"/>
          <w:tblInd w:w="103" w:type="dxa"/>
          <w:tblLayout w:type="fixed"/>
          <w:tblCellMar>
            <w:left w:w="58" w:type="dxa"/>
            <w:right w:w="58" w:type="dxa"/>
          </w:tblCellMar>
          <w:tblLook w:val="04A0"/>
        </w:tblPrEx>
        <w:trPr>
          <w:cantSplit/>
          <w:trHeight w:val="70"/>
        </w:trPr>
        <w:tc>
          <w:tcPr>
            <w:tcW w:w="3555" w:type="dxa"/>
            <w:tcBorders>
              <w:top w:val="single" w:sz="4" w:space="0" w:color="auto"/>
              <w:left w:val="single" w:sz="4" w:space="0" w:color="auto"/>
              <w:bottom w:val="single" w:sz="4" w:space="0" w:color="auto"/>
              <w:right w:val="single" w:sz="4" w:space="0" w:color="auto"/>
            </w:tcBorders>
            <w:hideMark/>
          </w:tcPr>
          <w:p w:rsidR="001007C0" w:rsidRPr="00CD23A8" w:rsidP="001007C0" w14:paraId="79A81715" w14:textId="7D9975A1">
            <w:pPr>
              <w:pStyle w:val="ExhibitLeft"/>
              <w:rPr>
                <w:rFonts w:ascii="Times New Roman" w:hAnsi="Times New Roman" w:cs="Times New Roman"/>
              </w:rPr>
            </w:pPr>
            <w:r w:rsidRPr="00CD23A8">
              <w:rPr>
                <w:rFonts w:ascii="Times New Roman" w:hAnsi="Times New Roman" w:cs="Times New Roman"/>
              </w:rPr>
              <w:t>All states undertake a rulemaking effort in response to the proposed rule.</w:t>
            </w:r>
          </w:p>
        </w:tc>
        <w:tc>
          <w:tcPr>
            <w:tcW w:w="2040" w:type="dxa"/>
            <w:tcBorders>
              <w:top w:val="single" w:sz="4" w:space="0" w:color="auto"/>
              <w:left w:val="single" w:sz="4" w:space="0" w:color="auto"/>
              <w:bottom w:val="single" w:sz="4" w:space="0" w:color="auto"/>
              <w:right w:val="single" w:sz="4" w:space="0" w:color="auto"/>
            </w:tcBorders>
            <w:vAlign w:val="center"/>
            <w:hideMark/>
          </w:tcPr>
          <w:p w:rsidR="001007C0" w:rsidRPr="00CD23A8" w:rsidP="001007C0" w14:paraId="408A8C12" w14:textId="2C8728F7">
            <w:pPr>
              <w:pStyle w:val="ExhibitCenter"/>
              <w:rPr>
                <w:rFonts w:ascii="Times New Roman" w:hAnsi="Times New Roman" w:cs="Times New Roman"/>
              </w:rPr>
            </w:pPr>
            <w:r w:rsidRPr="00CD23A8">
              <w:rPr>
                <w:rFonts w:ascii="Times New Roman" w:hAnsi="Times New Roman" w:cs="Times New Roman"/>
              </w:rPr>
              <w:t>+</w:t>
            </w:r>
          </w:p>
        </w:tc>
        <w:tc>
          <w:tcPr>
            <w:tcW w:w="3765" w:type="dxa"/>
            <w:tcBorders>
              <w:top w:val="single" w:sz="4" w:space="0" w:color="auto"/>
              <w:left w:val="single" w:sz="4" w:space="0" w:color="auto"/>
              <w:bottom w:val="single" w:sz="4" w:space="0" w:color="auto"/>
              <w:right w:val="single" w:sz="4" w:space="0" w:color="auto"/>
            </w:tcBorders>
            <w:hideMark/>
          </w:tcPr>
          <w:p w:rsidR="001007C0" w:rsidRPr="00CD23A8" w:rsidP="001007C0" w14:paraId="1E2C69BB" w14:textId="780DEDB9">
            <w:pPr>
              <w:pStyle w:val="ExhibitLeft"/>
              <w:rPr>
                <w:rFonts w:ascii="Times New Roman" w:hAnsi="Times New Roman" w:cs="Times New Roman"/>
              </w:rPr>
            </w:pPr>
            <w:r w:rsidRPr="00CD23A8">
              <w:rPr>
                <w:rFonts w:ascii="Times New Roman" w:hAnsi="Times New Roman" w:cs="Times New Roman"/>
              </w:rPr>
              <w:t>The cost may be overestimated because there may not be tribal reserved rights applicable to waterbodies in all 50 states. Additionally, some resources reserved to tribes may already be protected by existing WQS.</w:t>
            </w:r>
          </w:p>
        </w:tc>
      </w:tr>
      <w:tr w14:paraId="3333D4A2" w14:textId="77777777" w:rsidTr="00DF204A">
        <w:tblPrEx>
          <w:tblW w:w="9360" w:type="dxa"/>
          <w:tblInd w:w="103" w:type="dxa"/>
          <w:tblLayout w:type="fixed"/>
          <w:tblCellMar>
            <w:left w:w="58" w:type="dxa"/>
            <w:right w:w="58" w:type="dxa"/>
          </w:tblCellMar>
          <w:tblLook w:val="04A0"/>
        </w:tblPrEx>
        <w:trPr>
          <w:cantSplit/>
          <w:trHeight w:val="70"/>
        </w:trPr>
        <w:tc>
          <w:tcPr>
            <w:tcW w:w="9360" w:type="dxa"/>
            <w:gridSpan w:val="3"/>
            <w:tcBorders>
              <w:top w:val="single" w:sz="4" w:space="0" w:color="auto"/>
              <w:left w:val="single" w:sz="4" w:space="0" w:color="auto"/>
              <w:bottom w:val="single" w:sz="4" w:space="0" w:color="auto"/>
              <w:right w:val="single" w:sz="4" w:space="0" w:color="auto"/>
            </w:tcBorders>
            <w:vAlign w:val="center"/>
            <w:hideMark/>
          </w:tcPr>
          <w:p w:rsidR="006837A6" w:rsidRPr="00CD23A8" w:rsidP="00DF204A" w14:paraId="66D2F143" w14:textId="77777777">
            <w:pPr>
              <w:pStyle w:val="ExhibitLeft"/>
              <w:rPr>
                <w:rFonts w:ascii="Times New Roman" w:hAnsi="Times New Roman" w:cs="Times New Roman"/>
                <w:sz w:val="22"/>
              </w:rPr>
            </w:pPr>
            <w:r w:rsidRPr="00CD23A8">
              <w:rPr>
                <w:rFonts w:ascii="Times New Roman" w:hAnsi="Times New Roman" w:cs="Times New Roman"/>
              </w:rPr>
              <w:t>Key:</w:t>
            </w:r>
          </w:p>
          <w:p w:rsidR="006837A6" w:rsidRPr="00CD23A8" w:rsidP="00DF204A" w14:paraId="457E8FE6" w14:textId="77777777">
            <w:pPr>
              <w:pStyle w:val="ExhibitLeft"/>
              <w:rPr>
                <w:rFonts w:ascii="Times New Roman" w:hAnsi="Times New Roman" w:cs="Times New Roman"/>
              </w:rPr>
            </w:pPr>
            <w:r w:rsidRPr="00CD23A8">
              <w:rPr>
                <w:rFonts w:ascii="Times New Roman" w:hAnsi="Times New Roman" w:cs="Times New Roman"/>
              </w:rPr>
              <w:t>“+” = Burden and cost potentially overestimated</w:t>
            </w:r>
          </w:p>
          <w:p w:rsidR="006837A6" w:rsidRPr="00CD23A8" w:rsidP="00DF204A" w14:paraId="23634E5C" w14:textId="77777777">
            <w:pPr>
              <w:pStyle w:val="ExhibitLeft"/>
              <w:rPr>
                <w:rFonts w:ascii="Times New Roman" w:hAnsi="Times New Roman" w:cs="Times New Roman"/>
              </w:rPr>
            </w:pPr>
            <w:r w:rsidRPr="00CD23A8">
              <w:rPr>
                <w:rFonts w:ascii="Times New Roman" w:hAnsi="Times New Roman" w:cs="Times New Roman"/>
              </w:rPr>
              <w:t>“</w:t>
            </w:r>
            <w:r w:rsidRPr="00CD23A8">
              <w:rPr>
                <w:rFonts w:ascii="Times New Roman" w:hAnsi="Times New Roman" w:cs="Times New Roman"/>
              </w:rPr>
              <w:t>-“ =</w:t>
            </w:r>
            <w:r w:rsidRPr="00CD23A8">
              <w:rPr>
                <w:rFonts w:ascii="Times New Roman" w:hAnsi="Times New Roman" w:cs="Times New Roman"/>
              </w:rPr>
              <w:t xml:space="preserve"> Burden and cost potentially underestimated</w:t>
            </w:r>
          </w:p>
          <w:p w:rsidR="006837A6" w:rsidRPr="00CD23A8" w:rsidP="00DF204A" w14:paraId="33C1F72A" w14:textId="77777777">
            <w:pPr>
              <w:pStyle w:val="ExhibitLeft"/>
              <w:rPr>
                <w:rFonts w:ascii="Times New Roman" w:hAnsi="Times New Roman" w:cs="Times New Roman"/>
              </w:rPr>
            </w:pPr>
            <w:r w:rsidRPr="00CD23A8">
              <w:rPr>
                <w:rFonts w:ascii="Times New Roman" w:hAnsi="Times New Roman" w:cs="Times New Roman"/>
              </w:rPr>
              <w:t>“?” = Impact on burden and cost uncertain</w:t>
            </w:r>
          </w:p>
        </w:tc>
      </w:tr>
    </w:tbl>
    <w:p w:rsidR="006A4927" w:rsidRPr="00B7618A" w:rsidP="003B3A98" w14:paraId="2CCDB059" w14:textId="77777777">
      <w:pPr>
        <w:pStyle w:val="BodyText"/>
      </w:pPr>
    </w:p>
    <w:p w:rsidR="00826119" w:rsidRPr="003B3A98" w:rsidP="00165071" w14:paraId="69F2FE9A" w14:textId="2C557570">
      <w:pPr>
        <w:pStyle w:val="Heading2"/>
      </w:pPr>
      <w:bookmarkStart w:id="68" w:name="_Toc103778464"/>
      <w:bookmarkStart w:id="69" w:name="_Toc118451112"/>
      <w:r>
        <w:t>Estimating</w:t>
      </w:r>
      <w:r w:rsidRPr="003B3A98" w:rsidR="00FB4E52">
        <w:t xml:space="preserve"> Agency Burden</w:t>
      </w:r>
      <w:r>
        <w:t xml:space="preserve"> &amp; Cost</w:t>
      </w:r>
      <w:bookmarkEnd w:id="68"/>
      <w:bookmarkEnd w:id="69"/>
    </w:p>
    <w:p w:rsidR="00FB4E52" w:rsidRPr="00B7618A" w:rsidP="003B3A98" w14:paraId="6613FC67" w14:textId="53910D11">
      <w:pPr>
        <w:pStyle w:val="BodyText"/>
        <w:rPr>
          <w:szCs w:val="24"/>
        </w:rPr>
      </w:pPr>
      <w:r w:rsidRPr="00B7618A">
        <w:rPr>
          <w:szCs w:val="24"/>
        </w:rPr>
        <w:t xml:space="preserve">In addition to the potential burden and </w:t>
      </w:r>
      <w:r w:rsidR="00747C5B">
        <w:rPr>
          <w:szCs w:val="24"/>
        </w:rPr>
        <w:t>cost</w:t>
      </w:r>
      <w:r w:rsidRPr="00B7618A">
        <w:rPr>
          <w:szCs w:val="24"/>
        </w:rPr>
        <w:t xml:space="preserve"> to states, the </w:t>
      </w:r>
      <w:r w:rsidR="001561C3">
        <w:rPr>
          <w:szCs w:val="24"/>
        </w:rPr>
        <w:t>rule could result in</w:t>
      </w:r>
      <w:r w:rsidRPr="00B7618A">
        <w:rPr>
          <w:szCs w:val="24"/>
        </w:rPr>
        <w:t xml:space="preserve"> incremental burden and </w:t>
      </w:r>
      <w:r w:rsidR="00747C5B">
        <w:rPr>
          <w:szCs w:val="24"/>
        </w:rPr>
        <w:t>cost</w:t>
      </w:r>
      <w:r w:rsidRPr="00B7618A">
        <w:rPr>
          <w:szCs w:val="24"/>
        </w:rPr>
        <w:t xml:space="preserve"> to </w:t>
      </w:r>
      <w:r w:rsidRPr="00B7618A" w:rsidR="00E01A0B">
        <w:rPr>
          <w:szCs w:val="24"/>
        </w:rPr>
        <w:t>EPA</w:t>
      </w:r>
      <w:r w:rsidR="00E12993">
        <w:rPr>
          <w:szCs w:val="24"/>
        </w:rPr>
        <w:t xml:space="preserve"> associated with </w:t>
      </w:r>
      <w:r w:rsidRPr="00B7618A">
        <w:rPr>
          <w:szCs w:val="24"/>
        </w:rPr>
        <w:t>review</w:t>
      </w:r>
      <w:r w:rsidR="00E12993">
        <w:rPr>
          <w:szCs w:val="24"/>
        </w:rPr>
        <w:t>ing</w:t>
      </w:r>
      <w:r w:rsidRPr="00B7618A">
        <w:rPr>
          <w:szCs w:val="24"/>
        </w:rPr>
        <w:t xml:space="preserve"> the</w:t>
      </w:r>
      <w:r w:rsidR="00C2255A">
        <w:rPr>
          <w:szCs w:val="24"/>
        </w:rPr>
        <w:t xml:space="preserve"> WQS program</w:t>
      </w:r>
      <w:r w:rsidRPr="00B7618A">
        <w:rPr>
          <w:szCs w:val="24"/>
        </w:rPr>
        <w:t xml:space="preserve"> </w:t>
      </w:r>
      <w:r w:rsidR="001561C3">
        <w:rPr>
          <w:szCs w:val="24"/>
        </w:rPr>
        <w:t>information s</w:t>
      </w:r>
      <w:r w:rsidRPr="00B7618A">
        <w:rPr>
          <w:szCs w:val="24"/>
        </w:rPr>
        <w:t>ubmitted by states</w:t>
      </w:r>
      <w:r w:rsidRPr="00CF32C7">
        <w:rPr>
          <w:szCs w:val="24"/>
        </w:rPr>
        <w:t xml:space="preserve">. </w:t>
      </w:r>
      <w:r w:rsidRPr="00CF32C7">
        <w:rPr>
          <w:szCs w:val="24"/>
        </w:rPr>
        <w:t>On the basis of</w:t>
      </w:r>
      <w:r w:rsidRPr="00CF32C7">
        <w:rPr>
          <w:szCs w:val="24"/>
        </w:rPr>
        <w:t xml:space="preserve"> best professional ju</w:t>
      </w:r>
      <w:r w:rsidRPr="00B7618A">
        <w:rPr>
          <w:szCs w:val="24"/>
        </w:rPr>
        <w:t xml:space="preserve">dgment, </w:t>
      </w:r>
      <w:r w:rsidRPr="00B7618A" w:rsidR="00E01A0B">
        <w:rPr>
          <w:szCs w:val="24"/>
        </w:rPr>
        <w:t>EPA</w:t>
      </w:r>
      <w:r w:rsidRPr="00B7618A">
        <w:rPr>
          <w:szCs w:val="24"/>
        </w:rPr>
        <w:t xml:space="preserve"> conservatively estimates the incremental burden and </w:t>
      </w:r>
      <w:r w:rsidR="00747C5B">
        <w:rPr>
          <w:szCs w:val="24"/>
        </w:rPr>
        <w:t>cost</w:t>
      </w:r>
      <w:r w:rsidRPr="00B7618A">
        <w:rPr>
          <w:szCs w:val="24"/>
        </w:rPr>
        <w:t xml:space="preserve"> to </w:t>
      </w:r>
      <w:r w:rsidRPr="00B7618A" w:rsidR="00E01A0B">
        <w:rPr>
          <w:szCs w:val="24"/>
        </w:rPr>
        <w:t>EPA</w:t>
      </w:r>
      <w:r w:rsidRPr="00B7618A">
        <w:rPr>
          <w:szCs w:val="24"/>
        </w:rPr>
        <w:t xml:space="preserve"> </w:t>
      </w:r>
      <w:r w:rsidR="001561C3">
        <w:rPr>
          <w:szCs w:val="24"/>
        </w:rPr>
        <w:t>as</w:t>
      </w:r>
      <w:r w:rsidRPr="00B7618A">
        <w:rPr>
          <w:szCs w:val="24"/>
        </w:rPr>
        <w:t xml:space="preserve"> </w:t>
      </w:r>
      <w:r w:rsidR="00E12993">
        <w:rPr>
          <w:szCs w:val="24"/>
        </w:rPr>
        <w:t>approximately</w:t>
      </w:r>
      <w:r w:rsidRPr="00B7618A">
        <w:rPr>
          <w:szCs w:val="24"/>
        </w:rPr>
        <w:t xml:space="preserve"> 20% of the </w:t>
      </w:r>
      <w:r w:rsidR="00747C5B">
        <w:rPr>
          <w:szCs w:val="24"/>
        </w:rPr>
        <w:t>cost</w:t>
      </w:r>
      <w:r w:rsidRPr="00B7618A">
        <w:rPr>
          <w:szCs w:val="24"/>
        </w:rPr>
        <w:t xml:space="preserve"> to states. Thus, </w:t>
      </w:r>
      <w:r w:rsidRPr="00B7618A" w:rsidR="00E01A0B">
        <w:rPr>
          <w:szCs w:val="24"/>
        </w:rPr>
        <w:t>EPA</w:t>
      </w:r>
      <w:r w:rsidRPr="00B7618A">
        <w:rPr>
          <w:szCs w:val="24"/>
        </w:rPr>
        <w:t xml:space="preserve"> estimates that one-time incremental </w:t>
      </w:r>
      <w:r w:rsidR="00747C5B">
        <w:rPr>
          <w:szCs w:val="24"/>
        </w:rPr>
        <w:t>cost</w:t>
      </w:r>
      <w:r w:rsidRPr="00B7618A">
        <w:rPr>
          <w:szCs w:val="24"/>
        </w:rPr>
        <w:t xml:space="preserve"> to the Agency </w:t>
      </w:r>
      <w:r w:rsidR="00E12993">
        <w:rPr>
          <w:szCs w:val="24"/>
        </w:rPr>
        <w:t>c</w:t>
      </w:r>
      <w:r w:rsidRPr="00B7618A" w:rsidR="00E12993">
        <w:rPr>
          <w:szCs w:val="24"/>
        </w:rPr>
        <w:t xml:space="preserve">ould </w:t>
      </w:r>
      <w:r w:rsidRPr="00B7618A">
        <w:rPr>
          <w:szCs w:val="24"/>
        </w:rPr>
        <w:t>range from $</w:t>
      </w:r>
      <w:r w:rsidR="006871A2">
        <w:rPr>
          <w:szCs w:val="24"/>
        </w:rPr>
        <w:t>199,622</w:t>
      </w:r>
      <w:r w:rsidRPr="00B7618A">
        <w:rPr>
          <w:szCs w:val="24"/>
        </w:rPr>
        <w:t xml:space="preserve"> ($</w:t>
      </w:r>
      <w:r w:rsidR="006871A2">
        <w:rPr>
          <w:szCs w:val="24"/>
        </w:rPr>
        <w:t>998</w:t>
      </w:r>
      <w:r w:rsidRPr="00B7618A" w:rsidR="00244FF6">
        <w:rPr>
          <w:szCs w:val="24"/>
        </w:rPr>
        <w:t>,</w:t>
      </w:r>
      <w:r w:rsidR="006871A2">
        <w:rPr>
          <w:szCs w:val="24"/>
        </w:rPr>
        <w:t xml:space="preserve">112 </w:t>
      </w:r>
      <w:r w:rsidRPr="00B7618A">
        <w:rPr>
          <w:szCs w:val="24"/>
        </w:rPr>
        <w:t>× 20%) to $</w:t>
      </w:r>
      <w:r w:rsidR="006871A2">
        <w:rPr>
          <w:szCs w:val="24"/>
        </w:rPr>
        <w:t>989,112</w:t>
      </w:r>
      <w:r w:rsidRPr="00B7618A">
        <w:rPr>
          <w:szCs w:val="24"/>
        </w:rPr>
        <w:t xml:space="preserve"> (</w:t>
      </w:r>
      <w:r w:rsidRPr="006871A2" w:rsidR="006871A2">
        <w:rPr>
          <w:szCs w:val="24"/>
        </w:rPr>
        <w:t>$4,945,562</w:t>
      </w:r>
      <w:r w:rsidR="006871A2">
        <w:rPr>
          <w:szCs w:val="24"/>
        </w:rPr>
        <w:t xml:space="preserve"> </w:t>
      </w:r>
      <w:r w:rsidR="001561C3">
        <w:rPr>
          <w:szCs w:val="24"/>
        </w:rPr>
        <w:t>× 20%)</w:t>
      </w:r>
      <w:r w:rsidRPr="00B7618A">
        <w:rPr>
          <w:szCs w:val="24"/>
        </w:rPr>
        <w:t>.</w:t>
      </w:r>
      <w:r w:rsidRPr="00B7618A" w:rsidR="000279BA">
        <w:rPr>
          <w:szCs w:val="24"/>
        </w:rPr>
        <w:t xml:space="preserve"> </w:t>
      </w:r>
    </w:p>
    <w:p w:rsidR="00673189" w:rsidRPr="00B7618A" w:rsidP="003B3A98" w14:paraId="27C6E19F" w14:textId="29E5063E">
      <w:pPr>
        <w:pStyle w:val="BodyText"/>
        <w:rPr>
          <w:szCs w:val="24"/>
        </w:rPr>
      </w:pPr>
      <w:r w:rsidRPr="00B7618A">
        <w:rPr>
          <w:szCs w:val="24"/>
        </w:rPr>
        <w:t xml:space="preserve">EPA </w:t>
      </w:r>
      <w:r w:rsidR="001561C3">
        <w:rPr>
          <w:szCs w:val="24"/>
        </w:rPr>
        <w:t>assu</w:t>
      </w:r>
      <w:r w:rsidRPr="00B7618A" w:rsidR="00F622A2">
        <w:rPr>
          <w:szCs w:val="24"/>
        </w:rPr>
        <w:t>mes that review</w:t>
      </w:r>
      <w:r w:rsidR="00C2255A">
        <w:rPr>
          <w:szCs w:val="24"/>
        </w:rPr>
        <w:t xml:space="preserve"> of</w:t>
      </w:r>
      <w:r w:rsidRPr="00B7618A" w:rsidR="00F622A2">
        <w:rPr>
          <w:szCs w:val="24"/>
        </w:rPr>
        <w:t xml:space="preserve"> </w:t>
      </w:r>
      <w:r w:rsidR="00C2255A">
        <w:rPr>
          <w:szCs w:val="24"/>
        </w:rPr>
        <w:t>WQS program submissions</w:t>
      </w:r>
      <w:r w:rsidRPr="00B7618A">
        <w:rPr>
          <w:szCs w:val="24"/>
        </w:rPr>
        <w:t xml:space="preserve"> </w:t>
      </w:r>
      <w:r w:rsidR="00C2255A">
        <w:rPr>
          <w:szCs w:val="24"/>
        </w:rPr>
        <w:t>would be performed by</w:t>
      </w:r>
      <w:r w:rsidRPr="00B7618A">
        <w:rPr>
          <w:szCs w:val="24"/>
        </w:rPr>
        <w:t xml:space="preserve"> General Schedule (GS) 13, Step 5 federal employees (including EPA regional staff). </w:t>
      </w:r>
      <w:r w:rsidR="00CB2AB8">
        <w:rPr>
          <w:szCs w:val="24"/>
        </w:rPr>
        <w:t>Using the Washington, D.C. salary table as a conservative estimate, i</w:t>
      </w:r>
      <w:r w:rsidRPr="00B7618A">
        <w:rPr>
          <w:szCs w:val="24"/>
        </w:rPr>
        <w:t>n 20</w:t>
      </w:r>
      <w:r w:rsidR="00970040">
        <w:rPr>
          <w:szCs w:val="24"/>
        </w:rPr>
        <w:t>20</w:t>
      </w:r>
      <w:r w:rsidRPr="00B7618A">
        <w:rPr>
          <w:szCs w:val="24"/>
        </w:rPr>
        <w:t xml:space="preserve"> the hourly wage rate for all federal employees at this grade and step </w:t>
      </w:r>
      <w:r w:rsidR="00CB2AB8">
        <w:rPr>
          <w:szCs w:val="24"/>
        </w:rPr>
        <w:t xml:space="preserve">receiving the Washington, D.C. locality pay adjustment </w:t>
      </w:r>
      <w:r w:rsidRPr="00B7618A">
        <w:rPr>
          <w:szCs w:val="24"/>
        </w:rPr>
        <w:t>was $</w:t>
      </w:r>
      <w:r w:rsidR="00CB2AB8">
        <w:rPr>
          <w:szCs w:val="24"/>
        </w:rPr>
        <w:t>55</w:t>
      </w:r>
      <w:r w:rsidRPr="00B7618A">
        <w:rPr>
          <w:szCs w:val="24"/>
        </w:rPr>
        <w:t>.</w:t>
      </w:r>
      <w:r w:rsidR="00CB2AB8">
        <w:rPr>
          <w:szCs w:val="24"/>
        </w:rPr>
        <w:t>75</w:t>
      </w:r>
      <w:r w:rsidRPr="00B7618A">
        <w:rPr>
          <w:szCs w:val="24"/>
        </w:rPr>
        <w:t xml:space="preserve"> per hour</w:t>
      </w:r>
      <w:r>
        <w:rPr>
          <w:rStyle w:val="FootnoteReference"/>
          <w:szCs w:val="24"/>
        </w:rPr>
        <w:footnoteReference w:id="6"/>
      </w:r>
      <w:r w:rsidR="00475FDA">
        <w:rPr>
          <w:szCs w:val="24"/>
          <w:vertAlign w:val="superscript"/>
        </w:rPr>
        <w:t>,</w:t>
      </w:r>
      <w:r>
        <w:rPr>
          <w:rStyle w:val="FootnoteReference"/>
          <w:szCs w:val="24"/>
        </w:rPr>
        <w:footnoteReference w:id="7"/>
      </w:r>
      <w:r w:rsidR="00475FDA">
        <w:rPr>
          <w:szCs w:val="24"/>
        </w:rPr>
        <w:t>.</w:t>
      </w:r>
      <w:r w:rsidRPr="00B7618A">
        <w:rPr>
          <w:szCs w:val="24"/>
        </w:rPr>
        <w:t xml:space="preserve"> Assuming that benefits and overhead are equal to 60% of the hourly wage, the average loaded hourly wage rate for federal employees is equal to $</w:t>
      </w:r>
      <w:r w:rsidR="00BE3BAC">
        <w:rPr>
          <w:szCs w:val="24"/>
        </w:rPr>
        <w:t>89</w:t>
      </w:r>
      <w:r w:rsidRPr="00B7618A">
        <w:rPr>
          <w:szCs w:val="24"/>
        </w:rPr>
        <w:t>.</w:t>
      </w:r>
      <w:r w:rsidR="00BE3BAC">
        <w:rPr>
          <w:szCs w:val="24"/>
        </w:rPr>
        <w:t>20</w:t>
      </w:r>
      <w:r w:rsidRPr="00B7618A">
        <w:rPr>
          <w:szCs w:val="24"/>
        </w:rPr>
        <w:t xml:space="preserve"> ($</w:t>
      </w:r>
      <w:r w:rsidR="00BE3BAC">
        <w:rPr>
          <w:szCs w:val="24"/>
        </w:rPr>
        <w:t>55</w:t>
      </w:r>
      <w:r w:rsidRPr="00B7618A">
        <w:rPr>
          <w:szCs w:val="24"/>
        </w:rPr>
        <w:t>.</w:t>
      </w:r>
      <w:r w:rsidR="00BE3BAC">
        <w:rPr>
          <w:szCs w:val="24"/>
        </w:rPr>
        <w:t>75</w:t>
      </w:r>
      <w:r w:rsidRPr="00B7618A">
        <w:rPr>
          <w:szCs w:val="24"/>
        </w:rPr>
        <w:t xml:space="preserve"> per hour + (60% × ($</w:t>
      </w:r>
      <w:r w:rsidR="00BE3BAC">
        <w:rPr>
          <w:szCs w:val="24"/>
        </w:rPr>
        <w:t>55</w:t>
      </w:r>
      <w:r w:rsidRPr="00B7618A">
        <w:rPr>
          <w:szCs w:val="24"/>
        </w:rPr>
        <w:t>.</w:t>
      </w:r>
      <w:r w:rsidR="00BE3BAC">
        <w:rPr>
          <w:szCs w:val="24"/>
        </w:rPr>
        <w:t>75</w:t>
      </w:r>
      <w:r w:rsidRPr="00B7618A">
        <w:rPr>
          <w:szCs w:val="24"/>
        </w:rPr>
        <w:t xml:space="preserve"> per hour)). Full-time equivalent (FTE) employees work 2,080 hours per year (40 hours per week × 52 weeks).</w:t>
      </w:r>
    </w:p>
    <w:p w:rsidR="00FA44A6" w:rsidRPr="00CF32C7" w:rsidP="003B3A98" w14:paraId="61FCEBB5" w14:textId="2D573523">
      <w:pPr>
        <w:pStyle w:val="BodyText"/>
        <w:rPr>
          <w:szCs w:val="24"/>
        </w:rPr>
      </w:pPr>
      <w:r w:rsidRPr="00B7618A">
        <w:rPr>
          <w:szCs w:val="24"/>
        </w:rPr>
        <w:t>Using the average loaded wage rate and the number of hours worked per FTE, EPA estimates the burden and EPA FTEs associated with the incre</w:t>
      </w:r>
      <w:r w:rsidR="00C2255A">
        <w:rPr>
          <w:szCs w:val="24"/>
        </w:rPr>
        <w:t>mental effort</w:t>
      </w:r>
      <w:r w:rsidRPr="00B7618A">
        <w:rPr>
          <w:szCs w:val="24"/>
        </w:rPr>
        <w:t xml:space="preserve">. </w:t>
      </w:r>
      <w:r w:rsidRPr="00B7618A" w:rsidR="005F390B">
        <w:rPr>
          <w:szCs w:val="24"/>
        </w:rPr>
        <w:t>B</w:t>
      </w:r>
      <w:r w:rsidRPr="00B7618A">
        <w:rPr>
          <w:szCs w:val="24"/>
        </w:rPr>
        <w:t xml:space="preserve">urden to EPA </w:t>
      </w:r>
      <w:r w:rsidRPr="00B7618A" w:rsidR="005F390B">
        <w:rPr>
          <w:szCs w:val="24"/>
        </w:rPr>
        <w:t xml:space="preserve">associated with one-time incremental activities </w:t>
      </w:r>
      <w:r w:rsidRPr="00B7618A">
        <w:rPr>
          <w:szCs w:val="24"/>
        </w:rPr>
        <w:t xml:space="preserve">ranges from </w:t>
      </w:r>
      <w:r w:rsidRPr="00B7618A" w:rsidR="000606FC">
        <w:rPr>
          <w:szCs w:val="24"/>
        </w:rPr>
        <w:t>2,</w:t>
      </w:r>
      <w:r w:rsidR="008506C9">
        <w:rPr>
          <w:szCs w:val="24"/>
        </w:rPr>
        <w:t>238</w:t>
      </w:r>
      <w:r w:rsidRPr="00B7618A">
        <w:rPr>
          <w:szCs w:val="24"/>
        </w:rPr>
        <w:t xml:space="preserve"> hours ($</w:t>
      </w:r>
      <w:r w:rsidRPr="008506C9" w:rsidR="008506C9">
        <w:rPr>
          <w:szCs w:val="24"/>
        </w:rPr>
        <w:t xml:space="preserve">199,622 </w:t>
      </w:r>
      <w:r w:rsidRPr="00B7618A">
        <w:rPr>
          <w:szCs w:val="24"/>
        </w:rPr>
        <w:t>÷ $</w:t>
      </w:r>
      <w:r w:rsidR="008506C9">
        <w:rPr>
          <w:szCs w:val="24"/>
        </w:rPr>
        <w:t>89</w:t>
      </w:r>
      <w:r w:rsidRPr="00B7618A">
        <w:rPr>
          <w:szCs w:val="24"/>
        </w:rPr>
        <w:t>.</w:t>
      </w:r>
      <w:r w:rsidR="008506C9">
        <w:rPr>
          <w:szCs w:val="24"/>
        </w:rPr>
        <w:t>20</w:t>
      </w:r>
      <w:r w:rsidRPr="00B7618A">
        <w:rPr>
          <w:szCs w:val="24"/>
        </w:rPr>
        <w:t xml:space="preserve"> per hour) to </w:t>
      </w:r>
      <w:r w:rsidR="008506C9">
        <w:rPr>
          <w:szCs w:val="24"/>
        </w:rPr>
        <w:t>11,08</w:t>
      </w:r>
      <w:r w:rsidR="00475FDA">
        <w:rPr>
          <w:szCs w:val="24"/>
        </w:rPr>
        <w:t>9</w:t>
      </w:r>
      <w:r w:rsidRPr="00B7618A" w:rsidR="005F390B">
        <w:rPr>
          <w:szCs w:val="24"/>
        </w:rPr>
        <w:t xml:space="preserve"> </w:t>
      </w:r>
      <w:r w:rsidRPr="00B7618A">
        <w:rPr>
          <w:szCs w:val="24"/>
        </w:rPr>
        <w:t>hours ($</w:t>
      </w:r>
      <w:r w:rsidRPr="008506C9" w:rsidR="008506C9">
        <w:rPr>
          <w:szCs w:val="24"/>
        </w:rPr>
        <w:t xml:space="preserve">989,112 </w:t>
      </w:r>
      <w:r w:rsidRPr="00B7618A">
        <w:rPr>
          <w:szCs w:val="24"/>
        </w:rPr>
        <w:t>÷ $</w:t>
      </w:r>
      <w:r w:rsidR="008506C9">
        <w:rPr>
          <w:szCs w:val="24"/>
        </w:rPr>
        <w:t>89</w:t>
      </w:r>
      <w:r w:rsidRPr="00B7618A">
        <w:rPr>
          <w:szCs w:val="24"/>
        </w:rPr>
        <w:t>.</w:t>
      </w:r>
      <w:r w:rsidR="008506C9">
        <w:rPr>
          <w:szCs w:val="24"/>
        </w:rPr>
        <w:t>20</w:t>
      </w:r>
      <w:r w:rsidRPr="00B7618A">
        <w:rPr>
          <w:szCs w:val="24"/>
        </w:rPr>
        <w:t xml:space="preserve"> per hour). These one-time incremental burden estimates correspond to </w:t>
      </w:r>
      <w:r w:rsidRPr="00B7618A" w:rsidR="005F390B">
        <w:rPr>
          <w:szCs w:val="24"/>
        </w:rPr>
        <w:t>1.1</w:t>
      </w:r>
      <w:r w:rsidRPr="00B7618A">
        <w:rPr>
          <w:szCs w:val="24"/>
        </w:rPr>
        <w:t xml:space="preserve"> FTEs (</w:t>
      </w:r>
      <w:r w:rsidRPr="00B7618A" w:rsidR="005F390B">
        <w:rPr>
          <w:szCs w:val="24"/>
        </w:rPr>
        <w:t>2,</w:t>
      </w:r>
      <w:r w:rsidR="00A21174">
        <w:rPr>
          <w:szCs w:val="24"/>
        </w:rPr>
        <w:t>238</w:t>
      </w:r>
      <w:r w:rsidRPr="00B7618A">
        <w:rPr>
          <w:szCs w:val="24"/>
        </w:rPr>
        <w:t xml:space="preserve"> burden hours ÷ 2,080 hours worked per FTE) to </w:t>
      </w:r>
      <w:r w:rsidR="00A21174">
        <w:rPr>
          <w:szCs w:val="24"/>
        </w:rPr>
        <w:t>5</w:t>
      </w:r>
      <w:r w:rsidRPr="00B7618A" w:rsidR="005F390B">
        <w:rPr>
          <w:szCs w:val="24"/>
        </w:rPr>
        <w:t>.3</w:t>
      </w:r>
      <w:r w:rsidRPr="00B7618A">
        <w:rPr>
          <w:szCs w:val="24"/>
        </w:rPr>
        <w:t xml:space="preserve"> FTEs (</w:t>
      </w:r>
      <w:r w:rsidRPr="00B7618A" w:rsidR="005F390B">
        <w:rPr>
          <w:szCs w:val="24"/>
        </w:rPr>
        <w:t>4,717</w:t>
      </w:r>
      <w:r w:rsidRPr="00B7618A">
        <w:rPr>
          <w:szCs w:val="24"/>
        </w:rPr>
        <w:t xml:space="preserve"> burden hours ÷ 2,080 hours worked per FTE). </w:t>
      </w:r>
    </w:p>
    <w:p w:rsidR="00D9711C" w:rsidRPr="00CF32C7" w:rsidP="00101817" w14:paraId="5CA8562E" w14:textId="16B7292F">
      <w:pPr>
        <w:pStyle w:val="Bodynoindent"/>
      </w:pPr>
      <w:r w:rsidRPr="00CF32C7">
        <w:t xml:space="preserve"> </w:t>
      </w:r>
    </w:p>
    <w:p w:rsidR="00972FB2" w:rsidRPr="00CF32C7" w:rsidP="00704F82" w14:paraId="0339181C" w14:textId="5CEDDF10">
      <w:pPr>
        <w:pStyle w:val="Heading2"/>
      </w:pPr>
      <w:bookmarkStart w:id="70" w:name="_Toc103778465"/>
      <w:bookmarkStart w:id="71" w:name="_Toc118451113"/>
      <w:r w:rsidRPr="00CF32C7">
        <w:t>Reasons for Change in Burden</w:t>
      </w:r>
      <w:bookmarkEnd w:id="70"/>
      <w:bookmarkEnd w:id="71"/>
    </w:p>
    <w:p w:rsidR="00972FB2" w:rsidRPr="00CF32C7" w:rsidP="003B3A98" w14:paraId="0923375D" w14:textId="18364BC7">
      <w:pPr>
        <w:pStyle w:val="BodyText"/>
      </w:pPr>
      <w:r w:rsidRPr="00CF32C7">
        <w:t>EPA</w:t>
      </w:r>
      <w:r w:rsidRPr="00CF32C7">
        <w:t xml:space="preserve"> </w:t>
      </w:r>
      <w:r w:rsidR="00E12993">
        <w:t xml:space="preserve">is </w:t>
      </w:r>
      <w:r w:rsidR="00251B22">
        <w:t>proposing</w:t>
      </w:r>
      <w:r w:rsidRPr="00CF32C7">
        <w:t xml:space="preserve"> </w:t>
      </w:r>
      <w:r w:rsidR="00CF32C7">
        <w:t xml:space="preserve">changes to </w:t>
      </w:r>
      <w:r w:rsidRPr="00CF32C7">
        <w:t xml:space="preserve">the WQS regulation at 40 CFR </w:t>
      </w:r>
      <w:r w:rsidR="00497B26">
        <w:t>Part</w:t>
      </w:r>
      <w:r w:rsidRPr="00CF32C7">
        <w:t xml:space="preserve"> 131. The </w:t>
      </w:r>
      <w:r w:rsidR="00CF32C7">
        <w:t xml:space="preserve">rule </w:t>
      </w:r>
      <w:r w:rsidRPr="00CF32C7">
        <w:t>w</w:t>
      </w:r>
      <w:r w:rsidR="00251B22">
        <w:t>ould</w:t>
      </w:r>
      <w:r w:rsidRPr="00CF32C7">
        <w:t xml:space="preserve"> add new burden as </w:t>
      </w:r>
      <w:r w:rsidR="00497B26">
        <w:t>described</w:t>
      </w:r>
      <w:r w:rsidRPr="00CF32C7">
        <w:t xml:space="preserve"> in this ICR.</w:t>
      </w:r>
    </w:p>
    <w:p w:rsidR="00826119" w:rsidRPr="003B3A98" w:rsidP="003B3A98" w14:paraId="1ACD3DD2" w14:textId="77777777">
      <w:pPr>
        <w:pStyle w:val="Heading2"/>
      </w:pPr>
      <w:bookmarkStart w:id="72" w:name="_Toc103778466"/>
      <w:bookmarkStart w:id="73" w:name="_Toc118451114"/>
      <w:r w:rsidRPr="003B3A98">
        <w:t>Burden Statement</w:t>
      </w:r>
      <w:bookmarkEnd w:id="73"/>
      <w:r w:rsidRPr="003B3A98" w:rsidR="003C4B12">
        <w:t xml:space="preserve"> </w:t>
      </w:r>
      <w:bookmarkEnd w:id="72"/>
    </w:p>
    <w:p w:rsidR="003C4B12" w:rsidRPr="00CF32C7" w:rsidP="003B3A98" w14:paraId="45B27C26" w14:textId="7C90B7DD">
      <w:pPr>
        <w:pStyle w:val="BodyText"/>
      </w:pPr>
      <w:r w:rsidRPr="00CF32C7">
        <w:t xml:space="preserve">The annual public reporting and recordkeeping burden for this collection of information is estimated to </w:t>
      </w:r>
      <w:r w:rsidRPr="00CF32C7" w:rsidR="00AD7B0A">
        <w:t>range from</w:t>
      </w:r>
      <w:r w:rsidRPr="00CF32C7">
        <w:t xml:space="preserve"> </w:t>
      </w:r>
      <w:r w:rsidRPr="00D91BE4" w:rsidR="00D91BE4">
        <w:t>75</w:t>
      </w:r>
      <w:r w:rsidRPr="00D91BE4" w:rsidR="00AD7B0A">
        <w:t xml:space="preserve"> to </w:t>
      </w:r>
      <w:r w:rsidRPr="00D91BE4" w:rsidR="00D91BE4">
        <w:t>500</w:t>
      </w:r>
      <w:r w:rsidRPr="00D91BE4" w:rsidR="00ED74F5">
        <w:rPr>
          <w:color w:val="000000"/>
        </w:rPr>
        <w:t xml:space="preserve"> </w:t>
      </w:r>
      <w:r w:rsidRPr="00D91BE4">
        <w:rPr>
          <w:color w:val="000000"/>
        </w:rPr>
        <w:t>hours per response</w:t>
      </w:r>
      <w:r w:rsidRPr="00CF32C7">
        <w:rPr>
          <w:color w:val="000000"/>
        </w:rPr>
        <w:t xml:space="preserve">. Burden means the total time, effort, or financial resources expended by persons to generate, maintain, retain, or disclose or provide information to or for a </w:t>
      </w:r>
      <w:r w:rsidRPr="00CF32C7">
        <w:rPr>
          <w:color w:val="000000"/>
        </w:rPr>
        <w:t>Federal</w:t>
      </w:r>
      <w:r w:rsidRPr="00CF32C7">
        <w:rPr>
          <w:color w:val="000000"/>
        </w:rPr>
        <w:t xml:space="preserve"> agency. </w:t>
      </w:r>
      <w:r w:rsidR="005617A5">
        <w:rPr>
          <w:color w:val="000000"/>
        </w:rPr>
        <w:t>Burden</w:t>
      </w:r>
      <w:r w:rsidRPr="00CF32C7">
        <w:rPr>
          <w:color w:val="000000"/>
        </w:rPr>
        <w:t xml:space="preserve">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w:t>
      </w:r>
      <w:r w:rsidR="00AC2267">
        <w:rPr>
          <w:color w:val="000000"/>
        </w:rPr>
        <w:t>’</w:t>
      </w:r>
      <w:r w:rsidRPr="00CF32C7">
        <w:rPr>
          <w:color w:val="000000"/>
        </w:rPr>
        <w:t xml:space="preserve">s regulations are listed in 40 CFR </w:t>
      </w:r>
      <w:r w:rsidR="00AC2267">
        <w:rPr>
          <w:color w:val="000000"/>
        </w:rPr>
        <w:t>Part</w:t>
      </w:r>
      <w:r w:rsidRPr="00CF32C7" w:rsidR="00AC2267">
        <w:rPr>
          <w:color w:val="000000"/>
        </w:rPr>
        <w:t xml:space="preserve"> </w:t>
      </w:r>
      <w:r w:rsidRPr="00CF32C7">
        <w:rPr>
          <w:color w:val="000000"/>
        </w:rPr>
        <w:t>9 and 48 CFR chapter 15.</w:t>
      </w:r>
    </w:p>
    <w:sectPr w:rsidSect="00893FAF">
      <w:pgSz w:w="12240" w:h="15840"/>
      <w:pgMar w:top="1440" w:right="1440" w:bottom="1440" w:left="1440" w:header="72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Garamond">
    <w:altName w:val="Cambria"/>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0A32" w:rsidRPr="00E77608" w:rsidP="00071994" w14:paraId="24B025B4" w14:textId="26985DDD">
    <w:pPr>
      <w:spacing w:line="240" w:lineRule="exact"/>
    </w:pPr>
    <w:r w:rsidRPr="00DA2156">
      <w:rPr>
        <w:noProof/>
      </w:rPr>
      <mc:AlternateContent>
        <mc:Choice Requires="wps">
          <w:drawing>
            <wp:anchor distT="0" distB="0" distL="114300" distR="114300" simplePos="0" relativeHeight="251658240" behindDoc="0" locked="0" layoutInCell="1" allowOverlap="1">
              <wp:simplePos x="0" y="0"/>
              <wp:positionH relativeFrom="column">
                <wp:align>center</wp:align>
              </wp:positionH>
              <wp:positionV relativeFrom="paragraph">
                <wp:posOffset>-27306</wp:posOffset>
              </wp:positionV>
              <wp:extent cx="5943600" cy="0"/>
              <wp:effectExtent l="0" t="0" r="19050" b="19050"/>
              <wp:wrapNone/>
              <wp:docPr id="6" name="Line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2050" style="mso-height-percent:0;mso-height-relative:page;mso-position-horizontal:center;mso-width-percent:0;mso-width-relative:page;mso-wrap-distance-bottom:0;mso-wrap-distance-left:9pt;mso-wrap-distance-right:9pt;mso-wrap-distance-top:0;mso-wrap-style:square;position:absolute;visibility:visible;z-index:251659264" from="0,-2.15pt" to="468pt,-2.15pt"/>
          </w:pict>
        </mc:Fallback>
      </mc:AlternateContent>
    </w:r>
    <w:r w:rsidRPr="00DA2156" w:rsidR="00DA2156">
      <w:rPr>
        <w:noProof/>
      </w:rPr>
      <w:t xml:space="preserve">November </w:t>
    </w:r>
    <w:r w:rsidRPr="00DA2156">
      <w:rPr>
        <w:szCs w:val="16"/>
      </w:rPr>
      <w:t>20</w:t>
    </w:r>
    <w:r w:rsidRPr="00DA2156" w:rsidR="00893FAF">
      <w:rPr>
        <w:szCs w:val="16"/>
      </w:rPr>
      <w:t>22</w:t>
    </w:r>
    <w:r w:rsidR="00893FAF">
      <w:rPr>
        <w:szCs w:val="16"/>
      </w:rPr>
      <w:tab/>
    </w:r>
    <w:r w:rsidR="00893FAF">
      <w:rPr>
        <w:szCs w:val="16"/>
      </w:rPr>
      <w:tab/>
    </w:r>
    <w:r w:rsidR="00893FAF">
      <w:rPr>
        <w:szCs w:val="16"/>
      </w:rPr>
      <w:tab/>
    </w:r>
    <w:r w:rsidR="00893FAF">
      <w:rPr>
        <w:szCs w:val="16"/>
      </w:rPr>
      <w:tab/>
    </w:r>
    <w:r>
      <w:rPr>
        <w:szCs w:val="16"/>
      </w:rPr>
      <w:tab/>
    </w:r>
    <w:r w:rsidR="00893FAF">
      <w:rPr>
        <w:szCs w:val="16"/>
      </w:rPr>
      <w:fldChar w:fldCharType="begin"/>
    </w:r>
    <w:r w:rsidR="00893FAF">
      <w:rPr>
        <w:szCs w:val="16"/>
      </w:rPr>
      <w:instrText xml:space="preserve"> PAGE  \* Arabic  \* MERGEFORMAT </w:instrText>
    </w:r>
    <w:r w:rsidR="00893FAF">
      <w:rPr>
        <w:szCs w:val="16"/>
      </w:rPr>
      <w:fldChar w:fldCharType="separate"/>
    </w:r>
    <w:r w:rsidR="00893FAF">
      <w:rPr>
        <w:noProof/>
        <w:szCs w:val="16"/>
      </w:rPr>
      <w:t>1</w:t>
    </w:r>
    <w:r w:rsidR="00893FAF">
      <w:rPr>
        <w:szCs w:val="16"/>
      </w:rPr>
      <w:fldChar w:fldCharType="end"/>
    </w:r>
    <w:r>
      <w:rPr>
        <w:szCs w:val="16"/>
      </w:rPr>
      <w:tab/>
    </w:r>
    <w:r>
      <w:rPr>
        <w:szCs w:val="16"/>
      </w:rPr>
      <w:tab/>
    </w:r>
    <w:r>
      <w:rPr>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A73A6" w14:paraId="66B13BA9" w14:textId="77777777">
      <w:r>
        <w:separator/>
      </w:r>
    </w:p>
  </w:footnote>
  <w:footnote w:type="continuationSeparator" w:id="1">
    <w:p w:rsidR="00BA73A6" w14:paraId="26CD7C9E" w14:textId="77777777">
      <w:r>
        <w:continuationSeparator/>
      </w:r>
    </w:p>
  </w:footnote>
  <w:footnote w:type="continuationNotice" w:id="2">
    <w:p w:rsidR="00BA73A6" w14:paraId="12056B52" w14:textId="77777777">
      <w:pPr>
        <w:spacing w:after="0"/>
      </w:pPr>
    </w:p>
  </w:footnote>
  <w:footnote w:id="3">
    <w:p w:rsidR="00F81533" w:rsidRPr="00F81533" w:rsidP="00F81533" w14:paraId="1E7B1139" w14:textId="6B82F21C">
      <w:pPr>
        <w:rPr>
          <w:sz w:val="18"/>
          <w:szCs w:val="18"/>
        </w:rPr>
      </w:pPr>
      <w:r w:rsidRPr="00596832">
        <w:rPr>
          <w:vertAlign w:val="superscript"/>
        </w:rPr>
        <w:footnoteRef/>
      </w:r>
      <w:r>
        <w:t xml:space="preserve"> </w:t>
      </w:r>
      <w:r w:rsidRPr="00F81533">
        <w:rPr>
          <w:sz w:val="18"/>
          <w:szCs w:val="18"/>
        </w:rPr>
        <w:t>“</w:t>
      </w:r>
      <w:r w:rsidR="00D42705">
        <w:rPr>
          <w:sz w:val="18"/>
          <w:szCs w:val="18"/>
        </w:rPr>
        <w:t>S</w:t>
      </w:r>
      <w:r w:rsidRPr="00F81533">
        <w:rPr>
          <w:sz w:val="18"/>
          <w:szCs w:val="18"/>
        </w:rPr>
        <w:t>tates” for the purpose of this document include</w:t>
      </w:r>
      <w:r w:rsidR="00203A31">
        <w:rPr>
          <w:sz w:val="18"/>
          <w:szCs w:val="18"/>
        </w:rPr>
        <w:t>s 56 entities:</w:t>
      </w:r>
      <w:r w:rsidRPr="00F81533">
        <w:rPr>
          <w:sz w:val="18"/>
          <w:szCs w:val="18"/>
        </w:rPr>
        <w:t xml:space="preserve"> the 50 states, the District of Columbia, Guam, the Commonwealth of Puerto Rico, Virgin Islands, American Samoa, </w:t>
      </w:r>
      <w:r w:rsidR="00D848CA">
        <w:rPr>
          <w:sz w:val="18"/>
          <w:szCs w:val="18"/>
        </w:rPr>
        <w:t xml:space="preserve">and </w:t>
      </w:r>
      <w:r w:rsidRPr="00F81533">
        <w:rPr>
          <w:sz w:val="18"/>
          <w:szCs w:val="18"/>
        </w:rPr>
        <w:t>the Commonwealth of the Northern Mariana Islands.</w:t>
      </w:r>
    </w:p>
  </w:footnote>
  <w:footnote w:id="4">
    <w:p w:rsidR="00F81533" w14:paraId="13B27913" w14:textId="198F0DFE">
      <w:pPr>
        <w:pStyle w:val="FootnoteText"/>
      </w:pPr>
      <w:r w:rsidRPr="00F81533">
        <w:rPr>
          <w:rStyle w:val="FootnoteReference"/>
          <w:sz w:val="18"/>
          <w:szCs w:val="18"/>
        </w:rPr>
        <w:footnoteRef/>
      </w:r>
      <w:r w:rsidR="006D7E83">
        <w:rPr>
          <w:sz w:val="18"/>
          <w:szCs w:val="18"/>
        </w:rPr>
        <w:t>“</w:t>
      </w:r>
      <w:r w:rsidRPr="00D848CA" w:rsidR="00D848CA">
        <w:rPr>
          <w:sz w:val="18"/>
          <w:szCs w:val="18"/>
        </w:rPr>
        <w:t xml:space="preserve">Tribe” in this document refers to federally recognized tribes and “authorized tribes” </w:t>
      </w:r>
      <w:r w:rsidRPr="00F81533">
        <w:rPr>
          <w:sz w:val="18"/>
          <w:szCs w:val="18"/>
        </w:rPr>
        <w:t>refers to those federally recognized tribes with authority to administer a CWA WQS program</w:t>
      </w:r>
      <w:r w:rsidR="000231B4">
        <w:rPr>
          <w:sz w:val="18"/>
          <w:szCs w:val="18"/>
        </w:rPr>
        <w:t xml:space="preserve"> in the same manner as states</w:t>
      </w:r>
      <w:r w:rsidRPr="00F81533">
        <w:rPr>
          <w:sz w:val="18"/>
          <w:szCs w:val="18"/>
        </w:rPr>
        <w:t>.</w:t>
      </w:r>
      <w:r w:rsidR="00D848CA">
        <w:rPr>
          <w:sz w:val="18"/>
          <w:szCs w:val="18"/>
        </w:rPr>
        <w:t xml:space="preserve"> </w:t>
      </w:r>
    </w:p>
  </w:footnote>
  <w:footnote w:id="5">
    <w:p w:rsidR="00600A32" w:rsidRPr="00596832" w:rsidP="00C9562B" w14:paraId="724025B1" w14:textId="6A99CE74">
      <w:pPr>
        <w:pStyle w:val="Foonote"/>
        <w:rPr>
          <w:rStyle w:val="Footnote"/>
        </w:rPr>
      </w:pPr>
      <w:r w:rsidRPr="00596832">
        <w:rPr>
          <w:rStyle w:val="Footnote"/>
          <w:vertAlign w:val="superscript"/>
        </w:rPr>
        <w:footnoteRef/>
      </w:r>
      <w:r>
        <w:rPr>
          <w:rStyle w:val="Footnote"/>
        </w:rPr>
        <w:t xml:space="preserve"> </w:t>
      </w:r>
      <w:r w:rsidRPr="00596832">
        <w:rPr>
          <w:rStyle w:val="Footnote"/>
        </w:rPr>
        <w:t>4</w:t>
      </w:r>
      <w:r w:rsidR="00F61AEA">
        <w:rPr>
          <w:rStyle w:val="Footnote"/>
        </w:rPr>
        <w:t>7</w:t>
      </w:r>
      <w:r w:rsidRPr="00596832">
        <w:rPr>
          <w:rStyle w:val="Footnote"/>
        </w:rPr>
        <w:t xml:space="preserve"> </w:t>
      </w:r>
      <w:r w:rsidR="00F61AEA">
        <w:rPr>
          <w:rStyle w:val="Footnote"/>
        </w:rPr>
        <w:t>federally recognized t</w:t>
      </w:r>
      <w:r w:rsidRPr="00596832">
        <w:rPr>
          <w:rStyle w:val="Footnote"/>
        </w:rPr>
        <w:t xml:space="preserve">ribes have received EPA authorization to administer the </w:t>
      </w:r>
      <w:r w:rsidR="00F61AEA">
        <w:rPr>
          <w:rStyle w:val="Footnote"/>
        </w:rPr>
        <w:t>WQS</w:t>
      </w:r>
      <w:r w:rsidRPr="00596832">
        <w:rPr>
          <w:rStyle w:val="Footnote"/>
        </w:rPr>
        <w:t xml:space="preserve"> program under 40 CFR 131.8</w:t>
      </w:r>
      <w:r w:rsidR="00F61AEA">
        <w:rPr>
          <w:rStyle w:val="Footnote"/>
        </w:rPr>
        <w:t xml:space="preserve"> and have EPA-approved WQS</w:t>
      </w:r>
      <w:r w:rsidRPr="00596832">
        <w:rPr>
          <w:rStyle w:val="Footnote"/>
        </w:rPr>
        <w:t xml:space="preserve">. </w:t>
      </w:r>
      <w:r>
        <w:rPr>
          <w:rStyle w:val="Footnote"/>
        </w:rPr>
        <w:t>EPA</w:t>
      </w:r>
      <w:r w:rsidRPr="00596832">
        <w:rPr>
          <w:rStyle w:val="Footnote"/>
        </w:rPr>
        <w:t xml:space="preserve"> maintains a current list of</w:t>
      </w:r>
      <w:r w:rsidR="00F61AEA">
        <w:rPr>
          <w:rStyle w:val="Footnote"/>
        </w:rPr>
        <w:t xml:space="preserve"> </w:t>
      </w:r>
      <w:r w:rsidRPr="00596832">
        <w:rPr>
          <w:rStyle w:val="Footnote"/>
        </w:rPr>
        <w:t xml:space="preserve">tribes </w:t>
      </w:r>
      <w:r w:rsidR="00F61AEA">
        <w:rPr>
          <w:rStyle w:val="Footnote"/>
        </w:rPr>
        <w:t xml:space="preserve">authorized to administer WQS </w:t>
      </w:r>
      <w:r w:rsidRPr="00596832">
        <w:rPr>
          <w:rStyle w:val="Footnote"/>
        </w:rPr>
        <w:t xml:space="preserve">at </w:t>
      </w:r>
      <w:hyperlink r:id="rId1" w:history="1">
        <w:r w:rsidRPr="00D41EB8">
          <w:rPr>
            <w:rStyle w:val="Hyperlink"/>
          </w:rPr>
          <w:t>http://water.epa.gov/scitech/swguidance/standards/wqslibrary/approvtable.cfm</w:t>
        </w:r>
      </w:hyperlink>
      <w:r w:rsidRPr="00596832">
        <w:rPr>
          <w:rStyle w:val="Footnote"/>
        </w:rPr>
        <w:t>.</w:t>
      </w:r>
      <w:r>
        <w:rPr>
          <w:rStyle w:val="Footnote"/>
        </w:rPr>
        <w:t xml:space="preserve"> </w:t>
      </w:r>
    </w:p>
  </w:footnote>
  <w:footnote w:id="6">
    <w:p w:rsidR="00CB2AB8" w:rsidP="00475FDA" w14:paraId="1C2096D2" w14:textId="6A3FDAAD">
      <w:pPr>
        <w:pStyle w:val="FootnoteText"/>
        <w:spacing w:after="0"/>
      </w:pPr>
      <w:r>
        <w:rPr>
          <w:rStyle w:val="FootnoteReference"/>
        </w:rPr>
        <w:footnoteRef/>
      </w:r>
      <w:r>
        <w:t xml:space="preserve"> </w:t>
      </w:r>
      <w:r w:rsidRPr="00CB2AB8">
        <w:rPr>
          <w:sz w:val="18"/>
          <w:szCs w:val="18"/>
        </w:rPr>
        <w:t>https://www.opm.gov/policy-data-oversight/pay-leave/salaries-wages/2020/general-schedule/</w:t>
      </w:r>
    </w:p>
  </w:footnote>
  <w:footnote w:id="7">
    <w:p w:rsidR="00600A32" w:rsidRPr="00596832" w:rsidP="00C9562B" w14:paraId="01A63AAF" w14:textId="5FF4BE03">
      <w:pPr>
        <w:pStyle w:val="FootnoteText"/>
        <w:rPr>
          <w:rStyle w:val="Footnote"/>
        </w:rPr>
      </w:pPr>
      <w:r w:rsidRPr="00596832">
        <w:rPr>
          <w:rStyle w:val="Footnote"/>
          <w:vertAlign w:val="superscript"/>
        </w:rPr>
        <w:footnoteRef/>
      </w:r>
      <w:r w:rsidRPr="00596832">
        <w:rPr>
          <w:rStyle w:val="Footnote"/>
        </w:rPr>
        <w:t xml:space="preserve"> The employees reviewing and approving WQS materials submitted by state</w:t>
      </w:r>
      <w:r w:rsidR="00B5091A">
        <w:rPr>
          <w:rStyle w:val="Footnote"/>
        </w:rPr>
        <w:t>s</w:t>
      </w:r>
      <w:r w:rsidRPr="00596832">
        <w:rPr>
          <w:rStyle w:val="Footnote"/>
        </w:rPr>
        <w:t xml:space="preserve"> include EPA staff in the Washington, DC area and EPA regional staff. Hence, EPA calculates the average of all locality wage rates for federal employees at GS 13, Step 5 in 20</w:t>
      </w:r>
      <w:r w:rsidR="006871A2">
        <w:rPr>
          <w:rStyle w:val="Footnote"/>
        </w:rPr>
        <w:t>20</w:t>
      </w:r>
      <w:r w:rsidRPr="00596832">
        <w:rPr>
          <w:rStyle w:val="Footnot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0A32" w:rsidRPr="0049406C" w14:paraId="751FD98B" w14:textId="40CAA66F">
    <w:pPr>
      <w:rPr>
        <w:rFonts w:ascii="Shruti" w:hAnsi="Shruti" w:cs="Shruti"/>
        <w:sz w:val="22"/>
        <w:szCs w:val="22"/>
      </w:rPr>
    </w:pPr>
    <w:r w:rsidRPr="0049406C">
      <w:rPr>
        <w:rFonts w:ascii="Shruti" w:hAnsi="Shruti" w:cs="Shruti"/>
        <w:sz w:val="22"/>
        <w:szCs w:val="22"/>
      </w:rPr>
      <w:t>Water Quality Standards Regulat</w:t>
    </w:r>
    <w:r>
      <w:rPr>
        <w:rFonts w:ascii="Shruti" w:hAnsi="Shruti" w:cs="Shruti"/>
        <w:sz w:val="22"/>
        <w:szCs w:val="22"/>
      </w:rPr>
      <w:t>ory Revisions</w:t>
    </w:r>
    <w:r w:rsidR="00893FAF">
      <w:rPr>
        <w:rFonts w:ascii="Shruti" w:hAnsi="Shruti" w:cs="Shruti"/>
        <w:sz w:val="22"/>
        <w:szCs w:val="22"/>
      </w:rPr>
      <w:t xml:space="preserve"> to Protect Tribal Reserved Rights</w:t>
    </w:r>
    <w:r>
      <w:rPr>
        <w:rFonts w:ascii="Shruti" w:hAnsi="Shruti" w:cs="Shruti"/>
        <w:sz w:val="22"/>
        <w:szCs w:val="22"/>
      </w:rPr>
      <w:t xml:space="preserve"> </w:t>
    </w:r>
    <w:r w:rsidRPr="0049406C">
      <w:rPr>
        <w:rFonts w:ascii="Shruti" w:hAnsi="Shruti" w:cs="Shruti"/>
        <w:sz w:val="22"/>
        <w:szCs w:val="22"/>
      </w:rPr>
      <w:t>ICR</w:t>
    </w:r>
  </w:p>
  <w:p w:rsidR="00600A32" w14:paraId="61E9A460" w14:textId="77777777">
    <w:pPr>
      <w:spacing w:line="19" w:lineRule="exact"/>
      <w:rPr>
        <w:rFonts w:ascii="Shruti" w:hAnsi="Shruti" w:cs="Shruti"/>
      </w:rPr>
    </w:pPr>
    <w:r>
      <w:rPr>
        <w:noProof/>
      </w:rPr>
      <mc:AlternateContent>
        <mc:Choice Requires="wps">
          <w:drawing>
            <wp:anchor distT="0" distB="0" distL="114300" distR="114300" simplePos="0" relativeHeight="251658240" behindDoc="1" locked="1" layoutInCell="0" allowOverlap="1">
              <wp:simplePos x="0" y="0"/>
              <wp:positionH relativeFrom="page">
                <wp:posOffset>914400</wp:posOffset>
              </wp:positionH>
              <wp:positionV relativeFrom="paragraph">
                <wp:posOffset>0</wp:posOffset>
              </wp:positionV>
              <wp:extent cx="5943600" cy="12065"/>
              <wp:effectExtent l="0" t="0" r="0" b="6985"/>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xtLst>
                        <a:ext xmlns:a="http://schemas.openxmlformats.org/drawingml/2006/main"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8pt;height:0.95pt;margin-top:0;margin-left:1in;mso-height-percent:0;mso-height-relative:page;mso-position-horizontal-relative:page;mso-width-percent:0;mso-width-relative:page;mso-wrap-distance-bottom:0;mso-wrap-distance-left:9pt;mso-wrap-distance-right:9pt;mso-wrap-distance-top:0;mso-wrap-style:square;position:absolute;visibility:visible;v-text-anchor:top;z-index:-251657216" o:allowincell="f" fillcolor="black" stroked="f">
              <w10:anchorlock/>
            </v:rect>
          </w:pict>
        </mc:Fallback>
      </mc:AlternateContent>
    </w:r>
  </w:p>
  <w:p w:rsidR="00600A32" w14:paraId="5B53F2E1" w14:textId="77777777">
    <w:pPr>
      <w:spacing w:line="240" w:lineRule="exact"/>
      <w:rPr>
        <w:rFonts w:ascii="Shruti" w:hAnsi="Shruti" w:cs="Shrut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0"/>
    <w:name w:val="AutoList34"/>
    <w:lvl w:ilvl="0">
      <w:start w:val="1"/>
      <w:numFmt w:val="lowerRoman"/>
      <w:lvlText w:val="(%1)"/>
      <w:lvlJc w:val="left"/>
    </w:lvl>
    <w:lvl w:ilvl="1">
      <w:start w:val="1"/>
      <w:numFmt w:val="lowerRoman"/>
      <w:lvlText w:val="(%2)"/>
      <w:lvlJc w:val="left"/>
    </w:lvl>
    <w:lvl w:ilvl="2">
      <w:start w:val="1"/>
      <w:numFmt w:val="lowerRoman"/>
      <w:lvlText w:val="(%3)"/>
      <w:lvlJc w:val="left"/>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start w:val="0"/>
      <w:numFmt w:val="decimal"/>
      <w:lvlJc w:val="left"/>
    </w:lvl>
  </w:abstractNum>
  <w:abstractNum w:abstractNumId="1">
    <w:nsid w:val="00000002"/>
    <w:multiLevelType w:val="multilevel"/>
    <w:tmpl w:val="00000000"/>
    <w:name w:val="AutoList11"/>
    <w:lvl w:ilvl="0">
      <w:start w:val="1"/>
      <w:numFmt w:val="decimal"/>
      <w:lvlText w:val="S"/>
      <w:lvlJc w:val="left"/>
    </w:lvl>
    <w:lvl w:ilvl="1">
      <w:start w:val="1"/>
      <w:numFmt w:val="decimal"/>
      <w:lvlText w:val="S"/>
      <w:lvlJc w:val="left"/>
    </w:lvl>
    <w:lvl w:ilvl="2">
      <w:start w:val="1"/>
      <w:numFmt w:val="decimal"/>
      <w:lvlText w:val="S"/>
      <w:lvlJc w:val="left"/>
    </w:lvl>
    <w:lvl w:ilvl="3">
      <w:start w:val="1"/>
      <w:numFmt w:val="decimal"/>
      <w:lvlText w:val="S"/>
      <w:lvlJc w:val="left"/>
    </w:lvl>
    <w:lvl w:ilvl="4">
      <w:start w:val="1"/>
      <w:numFmt w:val="decimal"/>
      <w:lvlText w:val="S"/>
      <w:lvlJc w:val="left"/>
    </w:lvl>
    <w:lvl w:ilvl="5">
      <w:start w:val="1"/>
      <w:numFmt w:val="decimal"/>
      <w:lvlText w:val="S"/>
      <w:lvlJc w:val="left"/>
    </w:lvl>
    <w:lvl w:ilvl="6">
      <w:start w:val="1"/>
      <w:numFmt w:val="decimal"/>
      <w:lvlText w:val="S"/>
      <w:lvlJc w:val="left"/>
    </w:lvl>
    <w:lvl w:ilvl="7">
      <w:start w:val="1"/>
      <w:numFmt w:val="decimal"/>
      <w:lvlText w:val="S"/>
      <w:lvlJc w:val="left"/>
    </w:lvl>
    <w:lvl w:ilvl="8">
      <w:start w:val="0"/>
      <w:numFmt w:val="decimal"/>
      <w:lvlJc w:val="left"/>
    </w:lvl>
  </w:abstractNum>
  <w:abstractNum w:abstractNumId="2">
    <w:nsid w:val="00000003"/>
    <w:multiLevelType w:val="multilevel"/>
    <w:tmpl w:val="00000000"/>
    <w:name w:val="AutoList1"/>
    <w:lvl w:ilvl="0">
      <w:start w:val="1"/>
      <w:numFmt w:val="decimal"/>
      <w:lvlText w:val="S"/>
      <w:lvlJc w:val="left"/>
    </w:lvl>
    <w:lvl w:ilvl="1">
      <w:start w:val="1"/>
      <w:numFmt w:val="decimal"/>
      <w:lvlText w:val="S"/>
      <w:lvlJc w:val="left"/>
    </w:lvl>
    <w:lvl w:ilvl="2">
      <w:start w:val="1"/>
      <w:numFmt w:val="decimal"/>
      <w:lvlText w:val="S"/>
      <w:lvlJc w:val="left"/>
    </w:lvl>
    <w:lvl w:ilvl="3">
      <w:start w:val="1"/>
      <w:numFmt w:val="decimal"/>
      <w:lvlText w:val="S"/>
      <w:lvlJc w:val="left"/>
    </w:lvl>
    <w:lvl w:ilvl="4">
      <w:start w:val="1"/>
      <w:numFmt w:val="decimal"/>
      <w:lvlText w:val="S"/>
      <w:lvlJc w:val="left"/>
    </w:lvl>
    <w:lvl w:ilvl="5">
      <w:start w:val="1"/>
      <w:numFmt w:val="decimal"/>
      <w:lvlText w:val="S"/>
      <w:lvlJc w:val="left"/>
    </w:lvl>
    <w:lvl w:ilvl="6">
      <w:start w:val="1"/>
      <w:numFmt w:val="decimal"/>
      <w:lvlText w:val="S"/>
      <w:lvlJc w:val="left"/>
    </w:lvl>
    <w:lvl w:ilvl="7">
      <w:start w:val="1"/>
      <w:numFmt w:val="decimal"/>
      <w:lvlText w:val="S"/>
      <w:lvlJc w:val="left"/>
    </w:lvl>
    <w:lvl w:ilvl="8">
      <w:start w:val="0"/>
      <w:numFmt w:val="decimal"/>
      <w:lvlJc w:val="left"/>
    </w:lvl>
  </w:abstractNum>
  <w:abstractNum w:abstractNumId="3">
    <w:nsid w:val="00000004"/>
    <w:multiLevelType w:val="multilevel"/>
    <w:tmpl w:val="00000000"/>
    <w:name w:val="AutoList35"/>
    <w:lvl w:ilvl="0">
      <w:start w:val="1"/>
      <w:numFmt w:val="lowerRoman"/>
      <w:lvlText w:val="(%1)"/>
      <w:lvlJc w:val="left"/>
    </w:lvl>
    <w:lvl w:ilvl="1">
      <w:start w:val="1"/>
      <w:numFmt w:val="lowerRoman"/>
      <w:lvlText w:val="(%2)"/>
      <w:lvlJc w:val="left"/>
    </w:lvl>
    <w:lvl w:ilvl="2">
      <w:start w:val="1"/>
      <w:numFmt w:val="lowerRoman"/>
      <w:lvlText w:val="(%3)"/>
      <w:lvlJc w:val="left"/>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start w:val="0"/>
      <w:numFmt w:val="decimal"/>
      <w:lvlJc w:val="left"/>
    </w:lvl>
  </w:abstractNum>
  <w:abstractNum w:abstractNumId="4">
    <w:nsid w:val="00000005"/>
    <w:multiLevelType w:val="multilevel"/>
    <w:tmpl w:val="00000000"/>
    <w:name w:val="AutoList14"/>
    <w:lvl w:ilvl="0">
      <w:start w:val="1"/>
      <w:numFmt w:val="decimal"/>
      <w:lvlText w:val="S"/>
      <w:lvlJc w:val="left"/>
    </w:lvl>
    <w:lvl w:ilvl="1">
      <w:start w:val="1"/>
      <w:numFmt w:val="decimal"/>
      <w:lvlText w:val="S"/>
      <w:lvlJc w:val="left"/>
    </w:lvl>
    <w:lvl w:ilvl="2">
      <w:start w:val="1"/>
      <w:numFmt w:val="decimal"/>
      <w:lvlText w:val="S"/>
      <w:lvlJc w:val="left"/>
    </w:lvl>
    <w:lvl w:ilvl="3">
      <w:start w:val="1"/>
      <w:numFmt w:val="decimal"/>
      <w:lvlText w:val="S"/>
      <w:lvlJc w:val="left"/>
    </w:lvl>
    <w:lvl w:ilvl="4">
      <w:start w:val="1"/>
      <w:numFmt w:val="decimal"/>
      <w:lvlText w:val="S"/>
      <w:lvlJc w:val="left"/>
    </w:lvl>
    <w:lvl w:ilvl="5">
      <w:start w:val="1"/>
      <w:numFmt w:val="decimal"/>
      <w:lvlText w:val="S"/>
      <w:lvlJc w:val="left"/>
    </w:lvl>
    <w:lvl w:ilvl="6">
      <w:start w:val="1"/>
      <w:numFmt w:val="decimal"/>
      <w:lvlText w:val="S"/>
      <w:lvlJc w:val="left"/>
    </w:lvl>
    <w:lvl w:ilvl="7">
      <w:start w:val="1"/>
      <w:numFmt w:val="decimal"/>
      <w:lvlText w:val="S"/>
      <w:lvlJc w:val="left"/>
    </w:lvl>
    <w:lvl w:ilvl="8">
      <w:start w:val="0"/>
      <w:numFmt w:val="decimal"/>
      <w:lvlJc w:val="left"/>
    </w:lvl>
  </w:abstractNum>
  <w:abstractNum w:abstractNumId="5">
    <w:nsid w:val="015414BF"/>
    <w:multiLevelType w:val="multilevel"/>
    <w:tmpl w:val="63E47C72"/>
    <w:lvl w:ilvl="0">
      <w:start w:val="1"/>
      <w:numFmt w:val="decimal"/>
      <w:pStyle w:val="Heading1"/>
      <w:lvlText w:val="%1."/>
      <w:lvlJc w:val="left"/>
      <w:pPr>
        <w:tabs>
          <w:tab w:val="num" w:pos="432"/>
        </w:tabs>
        <w:ind w:left="432" w:hanging="432"/>
      </w:pPr>
      <w:rPr>
        <w:rFonts w:cs="Times New Roman" w:hint="default"/>
      </w:rPr>
    </w:lvl>
    <w:lvl w:ilvl="1">
      <w:start w:val="1"/>
      <w:numFmt w:val="lowerLetter"/>
      <w:pStyle w:val="Heading2"/>
      <w:lvlText w:val="%1(%2)"/>
      <w:lvlJc w:val="left"/>
      <w:pPr>
        <w:tabs>
          <w:tab w:val="num" w:pos="840"/>
        </w:tabs>
        <w:ind w:left="840" w:hanging="720"/>
      </w:pPr>
      <w:rPr>
        <w:rFonts w:cs="Times New Roman" w:hint="default"/>
      </w:rPr>
    </w:lvl>
    <w:lvl w:ilvl="2">
      <w:start w:val="1"/>
      <w:numFmt w:val="decimal"/>
      <w:pStyle w:val="Heading3"/>
      <w:lvlText w:val="%1(%2)%3"/>
      <w:lvlJc w:val="left"/>
      <w:pPr>
        <w:tabs>
          <w:tab w:val="num" w:pos="2250"/>
        </w:tabs>
        <w:ind w:left="2250" w:hanging="720"/>
      </w:pPr>
      <w:rPr>
        <w:rFonts w:cs="Times New Roman" w:hint="default"/>
        <w:color w:val="auto"/>
      </w:rPr>
    </w:lvl>
    <w:lvl w:ilvl="3">
      <w:start w:val="1"/>
      <w:numFmt w:val="decimal"/>
      <w:pStyle w:val="Heading4"/>
      <w:lvlText w:val="%1.%2.%3.%4"/>
      <w:lvlJc w:val="left"/>
      <w:pPr>
        <w:tabs>
          <w:tab w:val="num" w:pos="990"/>
        </w:tabs>
        <w:ind w:left="990" w:hanging="720"/>
      </w:pPr>
      <w:rPr>
        <w:rFonts w:cs="Times New Roman" w:hint="default"/>
      </w:rPr>
    </w:lvl>
    <w:lvl w:ilvl="4">
      <w:start w:val="1"/>
      <w:numFmt w:val="none"/>
      <w:pStyle w:val="Heading5"/>
      <w:suff w:val="nothing"/>
      <w:lvlJc w:val="left"/>
      <w:pPr>
        <w:ind w:left="0" w:firstLine="0"/>
      </w:pPr>
      <w:rPr>
        <w:rFonts w:cs="Times New Roman" w:hint="default"/>
      </w:rPr>
    </w:lvl>
    <w:lvl w:ilvl="5">
      <w:start w:val="1"/>
      <w:numFmt w:val="none"/>
      <w:pStyle w:val="Heading6"/>
      <w:suff w:val="nothing"/>
      <w:lvlJc w:val="left"/>
      <w:pPr>
        <w:ind w:left="0" w:firstLine="0"/>
      </w:pPr>
      <w:rPr>
        <w:rFonts w:cs="Times New Roman" w:hint="default"/>
      </w:rPr>
    </w:lvl>
    <w:lvl w:ilvl="6">
      <w:start w:val="1"/>
      <w:numFmt w:val="upperLetter"/>
      <w:pStyle w:val="Heading7"/>
      <w:suff w:val="space"/>
      <w:lvlText w:val="Appendix %7."/>
      <w:lvlJc w:val="left"/>
      <w:pPr>
        <w:ind w:left="0" w:firstLine="0"/>
      </w:pPr>
      <w:rPr>
        <w:rFonts w:cs="Times New Roman" w:hint="default"/>
      </w:rPr>
    </w:lvl>
    <w:lvl w:ilvl="7">
      <w:start w:val="1"/>
      <w:numFmt w:val="none"/>
      <w:pStyle w:val="Heading8"/>
      <w:suff w:val="nothing"/>
      <w:lvlJc w:val="left"/>
      <w:pPr>
        <w:ind w:left="0" w:firstLine="0"/>
      </w:pPr>
      <w:rPr>
        <w:rFonts w:cs="Times New Roman" w:hint="default"/>
      </w:rPr>
    </w:lvl>
    <w:lvl w:ilvl="8">
      <w:start w:val="1"/>
      <w:numFmt w:val="none"/>
      <w:suff w:val="nothing"/>
      <w:lvlJc w:val="left"/>
      <w:pPr>
        <w:ind w:left="0" w:firstLine="0"/>
      </w:pPr>
      <w:rPr>
        <w:rFonts w:cs="Times New Roman" w:hint="default"/>
      </w:rPr>
    </w:lvl>
  </w:abstractNum>
  <w:abstractNum w:abstractNumId="6">
    <w:nsid w:val="028556F4"/>
    <w:multiLevelType w:val="multilevel"/>
    <w:tmpl w:val="D56ADAC0"/>
    <w:lvl w:ilvl="0">
      <w:start w:val="1"/>
      <w:numFmt w:val="bullet"/>
      <w:pStyle w:val="List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Times New Roman"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pStyle w:val="Heading9"/>
      <w:lvlText w:val=""/>
      <w:lvlJc w:val="left"/>
      <w:pPr>
        <w:tabs>
          <w:tab w:val="num" w:pos="3240"/>
        </w:tabs>
        <w:ind w:left="3240" w:hanging="360"/>
      </w:pPr>
      <w:rPr>
        <w:rFonts w:ascii="Symbol" w:hAnsi="Symbol" w:hint="default"/>
      </w:rPr>
    </w:lvl>
  </w:abstractNum>
  <w:abstractNum w:abstractNumId="7">
    <w:nsid w:val="07712B29"/>
    <w:multiLevelType w:val="hybridMultilevel"/>
    <w:tmpl w:val="1B2A5F3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08817F5D"/>
    <w:multiLevelType w:val="hybridMultilevel"/>
    <w:tmpl w:val="7D3CF9A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12C24E91"/>
    <w:multiLevelType w:val="hybridMultilevel"/>
    <w:tmpl w:val="FAB2165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165C7261"/>
    <w:multiLevelType w:val="hybridMultilevel"/>
    <w:tmpl w:val="AB94C7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74C7AD3"/>
    <w:multiLevelType w:val="hybridMultilevel"/>
    <w:tmpl w:val="7A5CA2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77A68B4"/>
    <w:multiLevelType w:val="hybridMultilevel"/>
    <w:tmpl w:val="067C16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C75693C"/>
    <w:multiLevelType w:val="hybridMultilevel"/>
    <w:tmpl w:val="032C1E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D1B4A15"/>
    <w:multiLevelType w:val="hybridMultilevel"/>
    <w:tmpl w:val="9E4A26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E392592"/>
    <w:multiLevelType w:val="hybridMultilevel"/>
    <w:tmpl w:val="082E2F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9A850AA"/>
    <w:multiLevelType w:val="hybridMultilevel"/>
    <w:tmpl w:val="236AFB96"/>
    <w:lvl w:ilvl="0">
      <w:start w:val="1"/>
      <w:numFmt w:val="bullet"/>
      <w:pStyle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38EA3416"/>
    <w:multiLevelType w:val="hybridMultilevel"/>
    <w:tmpl w:val="8B28F2CE"/>
    <w:lvl w:ilvl="0">
      <w:start w:val="0"/>
      <w:numFmt w:val="bullet"/>
      <w:lvlText w:val="-"/>
      <w:lvlJc w:val="left"/>
      <w:pPr>
        <w:ind w:left="408" w:hanging="360"/>
      </w:pPr>
      <w:rPr>
        <w:rFonts w:ascii="Times New Roman" w:eastAsia="Times New Roman" w:hAnsi="Times New Roman" w:cs="Times New Roman" w:hint="default"/>
      </w:rPr>
    </w:lvl>
    <w:lvl w:ilvl="1" w:tentative="1">
      <w:start w:val="1"/>
      <w:numFmt w:val="bullet"/>
      <w:lvlText w:val="o"/>
      <w:lvlJc w:val="left"/>
      <w:pPr>
        <w:ind w:left="1128" w:hanging="360"/>
      </w:pPr>
      <w:rPr>
        <w:rFonts w:ascii="Courier New" w:hAnsi="Courier New" w:cs="Courier New" w:hint="default"/>
      </w:rPr>
    </w:lvl>
    <w:lvl w:ilvl="2" w:tentative="1">
      <w:start w:val="1"/>
      <w:numFmt w:val="bullet"/>
      <w:lvlText w:val=""/>
      <w:lvlJc w:val="left"/>
      <w:pPr>
        <w:ind w:left="1848" w:hanging="360"/>
      </w:pPr>
      <w:rPr>
        <w:rFonts w:ascii="Wingdings" w:hAnsi="Wingdings" w:hint="default"/>
      </w:rPr>
    </w:lvl>
    <w:lvl w:ilvl="3" w:tentative="1">
      <w:start w:val="1"/>
      <w:numFmt w:val="bullet"/>
      <w:lvlText w:val=""/>
      <w:lvlJc w:val="left"/>
      <w:pPr>
        <w:ind w:left="2568" w:hanging="360"/>
      </w:pPr>
      <w:rPr>
        <w:rFonts w:ascii="Symbol" w:hAnsi="Symbol" w:hint="default"/>
      </w:rPr>
    </w:lvl>
    <w:lvl w:ilvl="4" w:tentative="1">
      <w:start w:val="1"/>
      <w:numFmt w:val="bullet"/>
      <w:lvlText w:val="o"/>
      <w:lvlJc w:val="left"/>
      <w:pPr>
        <w:ind w:left="3288" w:hanging="360"/>
      </w:pPr>
      <w:rPr>
        <w:rFonts w:ascii="Courier New" w:hAnsi="Courier New" w:cs="Courier New" w:hint="default"/>
      </w:rPr>
    </w:lvl>
    <w:lvl w:ilvl="5" w:tentative="1">
      <w:start w:val="1"/>
      <w:numFmt w:val="bullet"/>
      <w:lvlText w:val=""/>
      <w:lvlJc w:val="left"/>
      <w:pPr>
        <w:ind w:left="4008" w:hanging="360"/>
      </w:pPr>
      <w:rPr>
        <w:rFonts w:ascii="Wingdings" w:hAnsi="Wingdings" w:hint="default"/>
      </w:rPr>
    </w:lvl>
    <w:lvl w:ilvl="6" w:tentative="1">
      <w:start w:val="1"/>
      <w:numFmt w:val="bullet"/>
      <w:lvlText w:val=""/>
      <w:lvlJc w:val="left"/>
      <w:pPr>
        <w:ind w:left="4728" w:hanging="360"/>
      </w:pPr>
      <w:rPr>
        <w:rFonts w:ascii="Symbol" w:hAnsi="Symbol" w:hint="default"/>
      </w:rPr>
    </w:lvl>
    <w:lvl w:ilvl="7" w:tentative="1">
      <w:start w:val="1"/>
      <w:numFmt w:val="bullet"/>
      <w:lvlText w:val="o"/>
      <w:lvlJc w:val="left"/>
      <w:pPr>
        <w:ind w:left="5448" w:hanging="360"/>
      </w:pPr>
      <w:rPr>
        <w:rFonts w:ascii="Courier New" w:hAnsi="Courier New" w:cs="Courier New" w:hint="default"/>
      </w:rPr>
    </w:lvl>
    <w:lvl w:ilvl="8" w:tentative="1">
      <w:start w:val="1"/>
      <w:numFmt w:val="bullet"/>
      <w:lvlText w:val=""/>
      <w:lvlJc w:val="left"/>
      <w:pPr>
        <w:ind w:left="6168" w:hanging="360"/>
      </w:pPr>
      <w:rPr>
        <w:rFonts w:ascii="Wingdings" w:hAnsi="Wingdings" w:hint="default"/>
      </w:rPr>
    </w:lvl>
  </w:abstractNum>
  <w:abstractNum w:abstractNumId="18">
    <w:nsid w:val="3A371017"/>
    <w:multiLevelType w:val="multilevel"/>
    <w:tmpl w:val="E32EFFD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nsid w:val="3C5F3E5D"/>
    <w:multiLevelType w:val="hybridMultilevel"/>
    <w:tmpl w:val="7458D2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76B0AA2"/>
    <w:multiLevelType w:val="hybridMultilevel"/>
    <w:tmpl w:val="50262A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8F47E13"/>
    <w:multiLevelType w:val="hybridMultilevel"/>
    <w:tmpl w:val="02B417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93A6CE9"/>
    <w:multiLevelType w:val="hybridMultilevel"/>
    <w:tmpl w:val="0D9A47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BE85023"/>
    <w:multiLevelType w:val="hybridMultilevel"/>
    <w:tmpl w:val="07E684F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F5D6C9C"/>
    <w:multiLevelType w:val="hybridMultilevel"/>
    <w:tmpl w:val="B4A6EC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8EB72D4"/>
    <w:multiLevelType w:val="hybridMultilevel"/>
    <w:tmpl w:val="EC1A3C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FDD62DF"/>
    <w:multiLevelType w:val="multilevel"/>
    <w:tmpl w:val="04090023"/>
    <w:styleLink w:val="ArticleSection"/>
    <w:lvl w:ilvl="0">
      <w:start w:val="1"/>
      <w:numFmt w:val="upperRoman"/>
      <w:pStyle w:val="ListNumber5"/>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7">
    <w:nsid w:val="638D58BC"/>
    <w:multiLevelType w:val="hybridMultilevel"/>
    <w:tmpl w:val="FA74CC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6C7204F"/>
    <w:multiLevelType w:val="hybridMultilevel"/>
    <w:tmpl w:val="3F9481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DF81EE1"/>
    <w:multiLevelType w:val="hybridMultilevel"/>
    <w:tmpl w:val="512A33CE"/>
    <w:lvl w:ilvl="0">
      <w:start w:val="1"/>
      <w:numFmt w:val="bullet"/>
      <w:pStyle w:val="bulletlis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F6718F2"/>
    <w:multiLevelType w:val="hybridMultilevel"/>
    <w:tmpl w:val="4D10F7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5382B53"/>
    <w:multiLevelType w:val="hybridMultilevel"/>
    <w:tmpl w:val="723E24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9156AB4"/>
    <w:multiLevelType w:val="hybridMultilevel"/>
    <w:tmpl w:val="8D3A79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6"/>
  </w:num>
  <w:num w:numId="2">
    <w:abstractNumId w:val="26"/>
  </w:num>
  <w:num w:numId="3">
    <w:abstractNumId w:val="23"/>
  </w:num>
  <w:num w:numId="4">
    <w:abstractNumId w:val="29"/>
  </w:num>
  <w:num w:numId="5">
    <w:abstractNumId w:val="5"/>
  </w:num>
  <w:num w:numId="6">
    <w:abstractNumId w:val="16"/>
  </w:num>
  <w:num w:numId="7">
    <w:abstractNumId w:val="14"/>
  </w:num>
  <w:num w:numId="8">
    <w:abstractNumId w:val="7"/>
  </w:num>
  <w:num w:numId="9">
    <w:abstractNumId w:val="22"/>
  </w:num>
  <w:num w:numId="10">
    <w:abstractNumId w:val="21"/>
  </w:num>
  <w:num w:numId="11">
    <w:abstractNumId w:val="13"/>
  </w:num>
  <w:num w:numId="12">
    <w:abstractNumId w:val="24"/>
  </w:num>
  <w:num w:numId="13">
    <w:abstractNumId w:val="31"/>
  </w:num>
  <w:num w:numId="14">
    <w:abstractNumId w:val="25"/>
  </w:num>
  <w:num w:numId="15">
    <w:abstractNumId w:val="12"/>
  </w:num>
  <w:num w:numId="16">
    <w:abstractNumId w:val="20"/>
  </w:num>
  <w:num w:numId="17">
    <w:abstractNumId w:val="19"/>
  </w:num>
  <w:num w:numId="18">
    <w:abstractNumId w:val="27"/>
  </w:num>
  <w:num w:numId="19">
    <w:abstractNumId w:val="32"/>
  </w:num>
  <w:num w:numId="20">
    <w:abstractNumId w:val="28"/>
  </w:num>
  <w:num w:numId="21">
    <w:abstractNumId w:val="11"/>
  </w:num>
  <w:num w:numId="22">
    <w:abstractNumId w:val="10"/>
  </w:num>
  <w:num w:numId="23">
    <w:abstractNumId w:val="15"/>
  </w:num>
  <w:num w:numId="24">
    <w:abstractNumId w:val="8"/>
  </w:num>
  <w:num w:numId="25">
    <w:abstractNumId w:val="18"/>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9"/>
  </w:num>
  <w:num w:numId="29">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 w:id="2"/>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D15"/>
    <w:rsid w:val="00000289"/>
    <w:rsid w:val="00002176"/>
    <w:rsid w:val="00002208"/>
    <w:rsid w:val="00011011"/>
    <w:rsid w:val="00012670"/>
    <w:rsid w:val="00015E27"/>
    <w:rsid w:val="00016D1F"/>
    <w:rsid w:val="00022A23"/>
    <w:rsid w:val="00022BCC"/>
    <w:rsid w:val="000231B4"/>
    <w:rsid w:val="000234AA"/>
    <w:rsid w:val="00023B44"/>
    <w:rsid w:val="00024A2E"/>
    <w:rsid w:val="000251A8"/>
    <w:rsid w:val="000279BA"/>
    <w:rsid w:val="0003412A"/>
    <w:rsid w:val="00037518"/>
    <w:rsid w:val="000416E8"/>
    <w:rsid w:val="00042B2A"/>
    <w:rsid w:val="00045F9B"/>
    <w:rsid w:val="000531A7"/>
    <w:rsid w:val="00057A2D"/>
    <w:rsid w:val="000606FC"/>
    <w:rsid w:val="00061CFF"/>
    <w:rsid w:val="00062217"/>
    <w:rsid w:val="00062D7D"/>
    <w:rsid w:val="000631F8"/>
    <w:rsid w:val="00063CD5"/>
    <w:rsid w:val="00067B76"/>
    <w:rsid w:val="000709E2"/>
    <w:rsid w:val="00071994"/>
    <w:rsid w:val="00075A8B"/>
    <w:rsid w:val="00076C06"/>
    <w:rsid w:val="00076DFE"/>
    <w:rsid w:val="00077E84"/>
    <w:rsid w:val="00081720"/>
    <w:rsid w:val="00083D36"/>
    <w:rsid w:val="00084B4A"/>
    <w:rsid w:val="00087062"/>
    <w:rsid w:val="000909A1"/>
    <w:rsid w:val="00097E59"/>
    <w:rsid w:val="000A23C4"/>
    <w:rsid w:val="000A38EA"/>
    <w:rsid w:val="000B04ED"/>
    <w:rsid w:val="000B4EB5"/>
    <w:rsid w:val="000B7BC1"/>
    <w:rsid w:val="000B7E88"/>
    <w:rsid w:val="000C1357"/>
    <w:rsid w:val="000C18F9"/>
    <w:rsid w:val="000C678F"/>
    <w:rsid w:val="000C6CD6"/>
    <w:rsid w:val="000D4C15"/>
    <w:rsid w:val="000D7921"/>
    <w:rsid w:val="000D7928"/>
    <w:rsid w:val="000E0483"/>
    <w:rsid w:val="000E2790"/>
    <w:rsid w:val="000E2837"/>
    <w:rsid w:val="000E3C65"/>
    <w:rsid w:val="000F121E"/>
    <w:rsid w:val="000F36A7"/>
    <w:rsid w:val="0010045B"/>
    <w:rsid w:val="001007C0"/>
    <w:rsid w:val="00101817"/>
    <w:rsid w:val="00102F7E"/>
    <w:rsid w:val="00103C0B"/>
    <w:rsid w:val="0010431F"/>
    <w:rsid w:val="00104523"/>
    <w:rsid w:val="00104884"/>
    <w:rsid w:val="00105A6D"/>
    <w:rsid w:val="00107DF8"/>
    <w:rsid w:val="00113BB0"/>
    <w:rsid w:val="00114AB3"/>
    <w:rsid w:val="00116FBF"/>
    <w:rsid w:val="00120A82"/>
    <w:rsid w:val="00121389"/>
    <w:rsid w:val="001241A0"/>
    <w:rsid w:val="00133668"/>
    <w:rsid w:val="00136676"/>
    <w:rsid w:val="00141127"/>
    <w:rsid w:val="00143463"/>
    <w:rsid w:val="001457E7"/>
    <w:rsid w:val="00145DB0"/>
    <w:rsid w:val="00147A1E"/>
    <w:rsid w:val="001561C3"/>
    <w:rsid w:val="00157BB2"/>
    <w:rsid w:val="001632BC"/>
    <w:rsid w:val="001635C2"/>
    <w:rsid w:val="00165071"/>
    <w:rsid w:val="001730E1"/>
    <w:rsid w:val="00177233"/>
    <w:rsid w:val="00180436"/>
    <w:rsid w:val="001818E2"/>
    <w:rsid w:val="00184B7F"/>
    <w:rsid w:val="0019285A"/>
    <w:rsid w:val="001952D3"/>
    <w:rsid w:val="001968D7"/>
    <w:rsid w:val="00196EC5"/>
    <w:rsid w:val="00196EC9"/>
    <w:rsid w:val="00197612"/>
    <w:rsid w:val="001A045C"/>
    <w:rsid w:val="001A2466"/>
    <w:rsid w:val="001A2DDD"/>
    <w:rsid w:val="001A6275"/>
    <w:rsid w:val="001A6BD0"/>
    <w:rsid w:val="001B0EAE"/>
    <w:rsid w:val="001B3816"/>
    <w:rsid w:val="001B49F5"/>
    <w:rsid w:val="001B4D3C"/>
    <w:rsid w:val="001B5FB2"/>
    <w:rsid w:val="001B63D9"/>
    <w:rsid w:val="001C10A0"/>
    <w:rsid w:val="001C40A2"/>
    <w:rsid w:val="001C572C"/>
    <w:rsid w:val="001C671A"/>
    <w:rsid w:val="001C7A1D"/>
    <w:rsid w:val="001D11FB"/>
    <w:rsid w:val="001D3944"/>
    <w:rsid w:val="001D4F0C"/>
    <w:rsid w:val="001E0A68"/>
    <w:rsid w:val="001E1D4A"/>
    <w:rsid w:val="001E3F17"/>
    <w:rsid w:val="001E637F"/>
    <w:rsid w:val="001E66DF"/>
    <w:rsid w:val="001E681D"/>
    <w:rsid w:val="001F0113"/>
    <w:rsid w:val="001F070B"/>
    <w:rsid w:val="001F2C83"/>
    <w:rsid w:val="001F426D"/>
    <w:rsid w:val="001F6498"/>
    <w:rsid w:val="00203212"/>
    <w:rsid w:val="00203A31"/>
    <w:rsid w:val="002118D5"/>
    <w:rsid w:val="00213560"/>
    <w:rsid w:val="0022078E"/>
    <w:rsid w:val="00224461"/>
    <w:rsid w:val="002245A7"/>
    <w:rsid w:val="00225009"/>
    <w:rsid w:val="0022611F"/>
    <w:rsid w:val="00232582"/>
    <w:rsid w:val="00234AF7"/>
    <w:rsid w:val="00235BC0"/>
    <w:rsid w:val="002370EE"/>
    <w:rsid w:val="00240814"/>
    <w:rsid w:val="00241D56"/>
    <w:rsid w:val="0024385E"/>
    <w:rsid w:val="00244975"/>
    <w:rsid w:val="00244FF6"/>
    <w:rsid w:val="0024551B"/>
    <w:rsid w:val="00247365"/>
    <w:rsid w:val="00247FFD"/>
    <w:rsid w:val="00250703"/>
    <w:rsid w:val="00250898"/>
    <w:rsid w:val="00251B22"/>
    <w:rsid w:val="00256385"/>
    <w:rsid w:val="00260BFE"/>
    <w:rsid w:val="00261560"/>
    <w:rsid w:val="00265FFE"/>
    <w:rsid w:val="002670AF"/>
    <w:rsid w:val="002704A9"/>
    <w:rsid w:val="00271917"/>
    <w:rsid w:val="00272BBA"/>
    <w:rsid w:val="00274C17"/>
    <w:rsid w:val="00274C90"/>
    <w:rsid w:val="0027568D"/>
    <w:rsid w:val="0027699E"/>
    <w:rsid w:val="00280D47"/>
    <w:rsid w:val="00282419"/>
    <w:rsid w:val="002850E0"/>
    <w:rsid w:val="00287348"/>
    <w:rsid w:val="00287779"/>
    <w:rsid w:val="0029092D"/>
    <w:rsid w:val="002909BE"/>
    <w:rsid w:val="002961BF"/>
    <w:rsid w:val="002966AD"/>
    <w:rsid w:val="002976A0"/>
    <w:rsid w:val="002B2335"/>
    <w:rsid w:val="002B5DF3"/>
    <w:rsid w:val="002C49F3"/>
    <w:rsid w:val="002C53C3"/>
    <w:rsid w:val="002C7AB1"/>
    <w:rsid w:val="002D072D"/>
    <w:rsid w:val="002D2131"/>
    <w:rsid w:val="002D2F63"/>
    <w:rsid w:val="002D3715"/>
    <w:rsid w:val="002D3AA6"/>
    <w:rsid w:val="002D5801"/>
    <w:rsid w:val="002D72F6"/>
    <w:rsid w:val="002E062B"/>
    <w:rsid w:val="002E19A3"/>
    <w:rsid w:val="002E3EEB"/>
    <w:rsid w:val="002E4B36"/>
    <w:rsid w:val="002E50A3"/>
    <w:rsid w:val="002E525B"/>
    <w:rsid w:val="002E6F4E"/>
    <w:rsid w:val="002F0D5B"/>
    <w:rsid w:val="002F14FF"/>
    <w:rsid w:val="002F531F"/>
    <w:rsid w:val="002F55B4"/>
    <w:rsid w:val="002F6AC2"/>
    <w:rsid w:val="002F6F12"/>
    <w:rsid w:val="002F7127"/>
    <w:rsid w:val="002F79A2"/>
    <w:rsid w:val="0030101F"/>
    <w:rsid w:val="00302F81"/>
    <w:rsid w:val="0031626B"/>
    <w:rsid w:val="003207F4"/>
    <w:rsid w:val="00320F9D"/>
    <w:rsid w:val="00321286"/>
    <w:rsid w:val="0032361E"/>
    <w:rsid w:val="00324F19"/>
    <w:rsid w:val="003253F2"/>
    <w:rsid w:val="00325CAC"/>
    <w:rsid w:val="003262D9"/>
    <w:rsid w:val="003269B8"/>
    <w:rsid w:val="003301A2"/>
    <w:rsid w:val="0033047F"/>
    <w:rsid w:val="00330A4F"/>
    <w:rsid w:val="00332C05"/>
    <w:rsid w:val="00333219"/>
    <w:rsid w:val="0033403D"/>
    <w:rsid w:val="00335507"/>
    <w:rsid w:val="00337943"/>
    <w:rsid w:val="00343EE4"/>
    <w:rsid w:val="00344572"/>
    <w:rsid w:val="00344734"/>
    <w:rsid w:val="00344C82"/>
    <w:rsid w:val="00345E3B"/>
    <w:rsid w:val="003473F0"/>
    <w:rsid w:val="003504F1"/>
    <w:rsid w:val="003508D4"/>
    <w:rsid w:val="00351588"/>
    <w:rsid w:val="003556C4"/>
    <w:rsid w:val="003558AF"/>
    <w:rsid w:val="003608B9"/>
    <w:rsid w:val="00360DCB"/>
    <w:rsid w:val="0036314A"/>
    <w:rsid w:val="003635B1"/>
    <w:rsid w:val="00363D0A"/>
    <w:rsid w:val="00367B72"/>
    <w:rsid w:val="00372855"/>
    <w:rsid w:val="003730FD"/>
    <w:rsid w:val="003766ED"/>
    <w:rsid w:val="00380EE0"/>
    <w:rsid w:val="00381864"/>
    <w:rsid w:val="00383FBE"/>
    <w:rsid w:val="00384E0E"/>
    <w:rsid w:val="00392982"/>
    <w:rsid w:val="00396F4C"/>
    <w:rsid w:val="003A29A8"/>
    <w:rsid w:val="003B1AFF"/>
    <w:rsid w:val="003B1DDA"/>
    <w:rsid w:val="003B2649"/>
    <w:rsid w:val="003B3A98"/>
    <w:rsid w:val="003B573E"/>
    <w:rsid w:val="003B71F6"/>
    <w:rsid w:val="003C02FF"/>
    <w:rsid w:val="003C36C6"/>
    <w:rsid w:val="003C4B12"/>
    <w:rsid w:val="003C5CF6"/>
    <w:rsid w:val="003C5F1D"/>
    <w:rsid w:val="003C7352"/>
    <w:rsid w:val="003D2039"/>
    <w:rsid w:val="003D37A8"/>
    <w:rsid w:val="003E0C9A"/>
    <w:rsid w:val="003E1B7D"/>
    <w:rsid w:val="003E435F"/>
    <w:rsid w:val="003E79B9"/>
    <w:rsid w:val="003F299F"/>
    <w:rsid w:val="003F36DA"/>
    <w:rsid w:val="004033C2"/>
    <w:rsid w:val="004045DF"/>
    <w:rsid w:val="00404AAA"/>
    <w:rsid w:val="00404BCC"/>
    <w:rsid w:val="00406708"/>
    <w:rsid w:val="004073BE"/>
    <w:rsid w:val="00407A17"/>
    <w:rsid w:val="00410FF4"/>
    <w:rsid w:val="00416A4B"/>
    <w:rsid w:val="00417120"/>
    <w:rsid w:val="0042239F"/>
    <w:rsid w:val="00424F54"/>
    <w:rsid w:val="0043329C"/>
    <w:rsid w:val="00433B9B"/>
    <w:rsid w:val="00436EBB"/>
    <w:rsid w:val="00440B87"/>
    <w:rsid w:val="00441DB4"/>
    <w:rsid w:val="00443D7D"/>
    <w:rsid w:val="004464B2"/>
    <w:rsid w:val="004464F9"/>
    <w:rsid w:val="00450B86"/>
    <w:rsid w:val="00450E20"/>
    <w:rsid w:val="0045256B"/>
    <w:rsid w:val="0045406D"/>
    <w:rsid w:val="004545A4"/>
    <w:rsid w:val="00460441"/>
    <w:rsid w:val="00463574"/>
    <w:rsid w:val="004637F0"/>
    <w:rsid w:val="00464217"/>
    <w:rsid w:val="00465D56"/>
    <w:rsid w:val="0047065A"/>
    <w:rsid w:val="004723E4"/>
    <w:rsid w:val="004758D4"/>
    <w:rsid w:val="00475FDA"/>
    <w:rsid w:val="00480F25"/>
    <w:rsid w:val="004863AF"/>
    <w:rsid w:val="00486420"/>
    <w:rsid w:val="00491000"/>
    <w:rsid w:val="0049198C"/>
    <w:rsid w:val="0049406C"/>
    <w:rsid w:val="004943D5"/>
    <w:rsid w:val="00494E71"/>
    <w:rsid w:val="004953D5"/>
    <w:rsid w:val="004967F2"/>
    <w:rsid w:val="0049712D"/>
    <w:rsid w:val="00497B26"/>
    <w:rsid w:val="00497E55"/>
    <w:rsid w:val="004A7961"/>
    <w:rsid w:val="004B4E92"/>
    <w:rsid w:val="004B5801"/>
    <w:rsid w:val="004C6DE3"/>
    <w:rsid w:val="004D2066"/>
    <w:rsid w:val="004D55F3"/>
    <w:rsid w:val="004D5F61"/>
    <w:rsid w:val="004D6680"/>
    <w:rsid w:val="004E1FE9"/>
    <w:rsid w:val="004E4A80"/>
    <w:rsid w:val="004E6730"/>
    <w:rsid w:val="004F5ECD"/>
    <w:rsid w:val="004F7931"/>
    <w:rsid w:val="004F79CA"/>
    <w:rsid w:val="0050157D"/>
    <w:rsid w:val="00503FEF"/>
    <w:rsid w:val="005046E3"/>
    <w:rsid w:val="005077B1"/>
    <w:rsid w:val="00513443"/>
    <w:rsid w:val="00517A40"/>
    <w:rsid w:val="005210A4"/>
    <w:rsid w:val="00523340"/>
    <w:rsid w:val="00527728"/>
    <w:rsid w:val="00527CFB"/>
    <w:rsid w:val="005309AE"/>
    <w:rsid w:val="005319C8"/>
    <w:rsid w:val="00533214"/>
    <w:rsid w:val="00535A46"/>
    <w:rsid w:val="00537D42"/>
    <w:rsid w:val="00541F82"/>
    <w:rsid w:val="005467CE"/>
    <w:rsid w:val="00547072"/>
    <w:rsid w:val="0055120E"/>
    <w:rsid w:val="005512DB"/>
    <w:rsid w:val="00552FA9"/>
    <w:rsid w:val="00553227"/>
    <w:rsid w:val="0055400B"/>
    <w:rsid w:val="00555881"/>
    <w:rsid w:val="0056166F"/>
    <w:rsid w:val="005617A5"/>
    <w:rsid w:val="00563712"/>
    <w:rsid w:val="005641CE"/>
    <w:rsid w:val="005652F6"/>
    <w:rsid w:val="00567F32"/>
    <w:rsid w:val="00570161"/>
    <w:rsid w:val="00570469"/>
    <w:rsid w:val="00573A74"/>
    <w:rsid w:val="005754E6"/>
    <w:rsid w:val="005755E8"/>
    <w:rsid w:val="00576948"/>
    <w:rsid w:val="00577553"/>
    <w:rsid w:val="005775E7"/>
    <w:rsid w:val="00580340"/>
    <w:rsid w:val="005832F8"/>
    <w:rsid w:val="005857DC"/>
    <w:rsid w:val="00587A3A"/>
    <w:rsid w:val="0059019E"/>
    <w:rsid w:val="005941CF"/>
    <w:rsid w:val="005945B1"/>
    <w:rsid w:val="0059671E"/>
    <w:rsid w:val="00596832"/>
    <w:rsid w:val="00596A08"/>
    <w:rsid w:val="005974B0"/>
    <w:rsid w:val="005A0123"/>
    <w:rsid w:val="005A381F"/>
    <w:rsid w:val="005A4281"/>
    <w:rsid w:val="005A54E3"/>
    <w:rsid w:val="005A74EC"/>
    <w:rsid w:val="005A75FD"/>
    <w:rsid w:val="005B2276"/>
    <w:rsid w:val="005B23C1"/>
    <w:rsid w:val="005B5593"/>
    <w:rsid w:val="005B5E34"/>
    <w:rsid w:val="005B7926"/>
    <w:rsid w:val="005B79C8"/>
    <w:rsid w:val="005B7A7F"/>
    <w:rsid w:val="005C208F"/>
    <w:rsid w:val="005C3C0E"/>
    <w:rsid w:val="005C57DE"/>
    <w:rsid w:val="005C72C2"/>
    <w:rsid w:val="005D2DC6"/>
    <w:rsid w:val="005D3E40"/>
    <w:rsid w:val="005D5CC8"/>
    <w:rsid w:val="005D7685"/>
    <w:rsid w:val="005E1036"/>
    <w:rsid w:val="005E3843"/>
    <w:rsid w:val="005E43A9"/>
    <w:rsid w:val="005E468D"/>
    <w:rsid w:val="005E4CAC"/>
    <w:rsid w:val="005E57D8"/>
    <w:rsid w:val="005E6B10"/>
    <w:rsid w:val="005F390B"/>
    <w:rsid w:val="005F3A70"/>
    <w:rsid w:val="005F4AE1"/>
    <w:rsid w:val="005F5254"/>
    <w:rsid w:val="005F5BCC"/>
    <w:rsid w:val="005F7975"/>
    <w:rsid w:val="00600A32"/>
    <w:rsid w:val="00602D02"/>
    <w:rsid w:val="006037F9"/>
    <w:rsid w:val="006045EB"/>
    <w:rsid w:val="0060634A"/>
    <w:rsid w:val="006125C2"/>
    <w:rsid w:val="00614D75"/>
    <w:rsid w:val="00617AED"/>
    <w:rsid w:val="00620EB1"/>
    <w:rsid w:val="0062282A"/>
    <w:rsid w:val="00625C4B"/>
    <w:rsid w:val="00625E0C"/>
    <w:rsid w:val="006330EF"/>
    <w:rsid w:val="00635D0E"/>
    <w:rsid w:val="00636657"/>
    <w:rsid w:val="006371E1"/>
    <w:rsid w:val="00640173"/>
    <w:rsid w:val="006401CE"/>
    <w:rsid w:val="006424AD"/>
    <w:rsid w:val="006429F8"/>
    <w:rsid w:val="00643B34"/>
    <w:rsid w:val="00647540"/>
    <w:rsid w:val="00655000"/>
    <w:rsid w:val="00656F82"/>
    <w:rsid w:val="0065754B"/>
    <w:rsid w:val="006636ED"/>
    <w:rsid w:val="00663B38"/>
    <w:rsid w:val="00663DC0"/>
    <w:rsid w:val="00664981"/>
    <w:rsid w:val="006658BE"/>
    <w:rsid w:val="00665F7A"/>
    <w:rsid w:val="006669BC"/>
    <w:rsid w:val="00673189"/>
    <w:rsid w:val="00673589"/>
    <w:rsid w:val="006748E7"/>
    <w:rsid w:val="006774B1"/>
    <w:rsid w:val="00680544"/>
    <w:rsid w:val="00681F56"/>
    <w:rsid w:val="006820FC"/>
    <w:rsid w:val="00682A53"/>
    <w:rsid w:val="006837A6"/>
    <w:rsid w:val="0068517A"/>
    <w:rsid w:val="006853C9"/>
    <w:rsid w:val="00686E79"/>
    <w:rsid w:val="006871A2"/>
    <w:rsid w:val="00687355"/>
    <w:rsid w:val="0068763C"/>
    <w:rsid w:val="0068775D"/>
    <w:rsid w:val="00687CD3"/>
    <w:rsid w:val="00687E7D"/>
    <w:rsid w:val="0069154F"/>
    <w:rsid w:val="006934E4"/>
    <w:rsid w:val="00693F8E"/>
    <w:rsid w:val="006968F5"/>
    <w:rsid w:val="006A08A1"/>
    <w:rsid w:val="006A20CE"/>
    <w:rsid w:val="006A4927"/>
    <w:rsid w:val="006B06E5"/>
    <w:rsid w:val="006B0B6D"/>
    <w:rsid w:val="006B41BF"/>
    <w:rsid w:val="006B50D0"/>
    <w:rsid w:val="006B5FFE"/>
    <w:rsid w:val="006B657E"/>
    <w:rsid w:val="006C42EE"/>
    <w:rsid w:val="006D49C6"/>
    <w:rsid w:val="006D4FC1"/>
    <w:rsid w:val="006D590B"/>
    <w:rsid w:val="006D7660"/>
    <w:rsid w:val="006D7E83"/>
    <w:rsid w:val="006E6E4C"/>
    <w:rsid w:val="006E703C"/>
    <w:rsid w:val="006E757E"/>
    <w:rsid w:val="006F361B"/>
    <w:rsid w:val="006F3D04"/>
    <w:rsid w:val="006F466B"/>
    <w:rsid w:val="006F59F3"/>
    <w:rsid w:val="00700C47"/>
    <w:rsid w:val="00701540"/>
    <w:rsid w:val="0070388C"/>
    <w:rsid w:val="00704138"/>
    <w:rsid w:val="00704A75"/>
    <w:rsid w:val="00704F82"/>
    <w:rsid w:val="00705436"/>
    <w:rsid w:val="00714CB0"/>
    <w:rsid w:val="007157C0"/>
    <w:rsid w:val="00717331"/>
    <w:rsid w:val="007212B5"/>
    <w:rsid w:val="00721A2C"/>
    <w:rsid w:val="007223C0"/>
    <w:rsid w:val="00722C41"/>
    <w:rsid w:val="00726D96"/>
    <w:rsid w:val="007305A7"/>
    <w:rsid w:val="00731DC1"/>
    <w:rsid w:val="0073269D"/>
    <w:rsid w:val="00733419"/>
    <w:rsid w:val="00733557"/>
    <w:rsid w:val="00735CA2"/>
    <w:rsid w:val="007427AF"/>
    <w:rsid w:val="00743724"/>
    <w:rsid w:val="00744965"/>
    <w:rsid w:val="007473E4"/>
    <w:rsid w:val="00747875"/>
    <w:rsid w:val="00747B77"/>
    <w:rsid w:val="00747C5B"/>
    <w:rsid w:val="007554C8"/>
    <w:rsid w:val="007609E2"/>
    <w:rsid w:val="0076113E"/>
    <w:rsid w:val="0076123B"/>
    <w:rsid w:val="00762D98"/>
    <w:rsid w:val="00765D6E"/>
    <w:rsid w:val="00766725"/>
    <w:rsid w:val="0076688D"/>
    <w:rsid w:val="00766BE3"/>
    <w:rsid w:val="00774DB8"/>
    <w:rsid w:val="00775065"/>
    <w:rsid w:val="007808C1"/>
    <w:rsid w:val="00780F58"/>
    <w:rsid w:val="0078223A"/>
    <w:rsid w:val="0078227A"/>
    <w:rsid w:val="0078785F"/>
    <w:rsid w:val="0079021B"/>
    <w:rsid w:val="007917E8"/>
    <w:rsid w:val="007A0C7B"/>
    <w:rsid w:val="007A1061"/>
    <w:rsid w:val="007A2E7D"/>
    <w:rsid w:val="007A34AA"/>
    <w:rsid w:val="007A38D1"/>
    <w:rsid w:val="007A3EFB"/>
    <w:rsid w:val="007B4CF7"/>
    <w:rsid w:val="007B568D"/>
    <w:rsid w:val="007B7D96"/>
    <w:rsid w:val="007C5C66"/>
    <w:rsid w:val="007D2422"/>
    <w:rsid w:val="007D2CBE"/>
    <w:rsid w:val="007D309D"/>
    <w:rsid w:val="007D3FF8"/>
    <w:rsid w:val="007E3907"/>
    <w:rsid w:val="007E40E2"/>
    <w:rsid w:val="007E77C2"/>
    <w:rsid w:val="007E7C43"/>
    <w:rsid w:val="007F1282"/>
    <w:rsid w:val="007F52FD"/>
    <w:rsid w:val="007F6326"/>
    <w:rsid w:val="007F6BCA"/>
    <w:rsid w:val="007F78E7"/>
    <w:rsid w:val="008027D1"/>
    <w:rsid w:val="00803023"/>
    <w:rsid w:val="0080484F"/>
    <w:rsid w:val="00805643"/>
    <w:rsid w:val="00810244"/>
    <w:rsid w:val="00810772"/>
    <w:rsid w:val="008131B7"/>
    <w:rsid w:val="0081718D"/>
    <w:rsid w:val="00817744"/>
    <w:rsid w:val="00820637"/>
    <w:rsid w:val="00821465"/>
    <w:rsid w:val="00824DD3"/>
    <w:rsid w:val="00825117"/>
    <w:rsid w:val="00826119"/>
    <w:rsid w:val="00830F0B"/>
    <w:rsid w:val="008368F6"/>
    <w:rsid w:val="00837531"/>
    <w:rsid w:val="00840C7F"/>
    <w:rsid w:val="00843D69"/>
    <w:rsid w:val="00846429"/>
    <w:rsid w:val="008506C9"/>
    <w:rsid w:val="008516C8"/>
    <w:rsid w:val="00851FD7"/>
    <w:rsid w:val="008520CE"/>
    <w:rsid w:val="00856090"/>
    <w:rsid w:val="00860E43"/>
    <w:rsid w:val="00861755"/>
    <w:rsid w:val="00861B3E"/>
    <w:rsid w:val="00864673"/>
    <w:rsid w:val="008661C0"/>
    <w:rsid w:val="00867538"/>
    <w:rsid w:val="008710E3"/>
    <w:rsid w:val="00873637"/>
    <w:rsid w:val="00877526"/>
    <w:rsid w:val="00877C44"/>
    <w:rsid w:val="00880979"/>
    <w:rsid w:val="00882747"/>
    <w:rsid w:val="0088606D"/>
    <w:rsid w:val="00890398"/>
    <w:rsid w:val="00891634"/>
    <w:rsid w:val="00893283"/>
    <w:rsid w:val="00893E68"/>
    <w:rsid w:val="00893FAF"/>
    <w:rsid w:val="008941A7"/>
    <w:rsid w:val="008A2CC2"/>
    <w:rsid w:val="008A2F93"/>
    <w:rsid w:val="008A656E"/>
    <w:rsid w:val="008B0214"/>
    <w:rsid w:val="008B085E"/>
    <w:rsid w:val="008B7C4E"/>
    <w:rsid w:val="008C0548"/>
    <w:rsid w:val="008C1612"/>
    <w:rsid w:val="008D0F72"/>
    <w:rsid w:val="008D1E6F"/>
    <w:rsid w:val="008D598E"/>
    <w:rsid w:val="008D6C94"/>
    <w:rsid w:val="008D732A"/>
    <w:rsid w:val="008D781B"/>
    <w:rsid w:val="008E2A20"/>
    <w:rsid w:val="008E3118"/>
    <w:rsid w:val="008E35B2"/>
    <w:rsid w:val="008E38AC"/>
    <w:rsid w:val="008E3AB6"/>
    <w:rsid w:val="008E5C52"/>
    <w:rsid w:val="008F1BC5"/>
    <w:rsid w:val="008F30B6"/>
    <w:rsid w:val="008F34E3"/>
    <w:rsid w:val="008F3525"/>
    <w:rsid w:val="008F4B0A"/>
    <w:rsid w:val="008F60A4"/>
    <w:rsid w:val="008F6FC0"/>
    <w:rsid w:val="008F74A4"/>
    <w:rsid w:val="009014F2"/>
    <w:rsid w:val="00907498"/>
    <w:rsid w:val="009105B9"/>
    <w:rsid w:val="00912385"/>
    <w:rsid w:val="00920648"/>
    <w:rsid w:val="009249FB"/>
    <w:rsid w:val="00924DC6"/>
    <w:rsid w:val="0092508A"/>
    <w:rsid w:val="00932B55"/>
    <w:rsid w:val="00934F18"/>
    <w:rsid w:val="009361AC"/>
    <w:rsid w:val="00942661"/>
    <w:rsid w:val="00943C8E"/>
    <w:rsid w:val="00943DA4"/>
    <w:rsid w:val="009458A3"/>
    <w:rsid w:val="009460E1"/>
    <w:rsid w:val="0095395D"/>
    <w:rsid w:val="009547F5"/>
    <w:rsid w:val="00957A33"/>
    <w:rsid w:val="00957DEC"/>
    <w:rsid w:val="00962FE7"/>
    <w:rsid w:val="00963FA0"/>
    <w:rsid w:val="009677ED"/>
    <w:rsid w:val="00967E94"/>
    <w:rsid w:val="00970040"/>
    <w:rsid w:val="00970F30"/>
    <w:rsid w:val="009715AB"/>
    <w:rsid w:val="00972FB2"/>
    <w:rsid w:val="00975F7B"/>
    <w:rsid w:val="00982F3D"/>
    <w:rsid w:val="009833C7"/>
    <w:rsid w:val="009856BA"/>
    <w:rsid w:val="009860E7"/>
    <w:rsid w:val="00987DCC"/>
    <w:rsid w:val="00990946"/>
    <w:rsid w:val="00990E2B"/>
    <w:rsid w:val="00991398"/>
    <w:rsid w:val="009915FD"/>
    <w:rsid w:val="009946F3"/>
    <w:rsid w:val="00995655"/>
    <w:rsid w:val="009A2874"/>
    <w:rsid w:val="009A3117"/>
    <w:rsid w:val="009A4AEA"/>
    <w:rsid w:val="009A5B20"/>
    <w:rsid w:val="009A60A6"/>
    <w:rsid w:val="009B0CD7"/>
    <w:rsid w:val="009B3653"/>
    <w:rsid w:val="009B36D5"/>
    <w:rsid w:val="009B544B"/>
    <w:rsid w:val="009C2F2F"/>
    <w:rsid w:val="009C2F94"/>
    <w:rsid w:val="009C75F4"/>
    <w:rsid w:val="009E09F0"/>
    <w:rsid w:val="009E1D15"/>
    <w:rsid w:val="009E20AC"/>
    <w:rsid w:val="009E2107"/>
    <w:rsid w:val="009E2A7B"/>
    <w:rsid w:val="009E40D5"/>
    <w:rsid w:val="009F0C8F"/>
    <w:rsid w:val="00A00CD0"/>
    <w:rsid w:val="00A01E49"/>
    <w:rsid w:val="00A074E2"/>
    <w:rsid w:val="00A0764F"/>
    <w:rsid w:val="00A128DC"/>
    <w:rsid w:val="00A131D1"/>
    <w:rsid w:val="00A1442D"/>
    <w:rsid w:val="00A14D24"/>
    <w:rsid w:val="00A179A2"/>
    <w:rsid w:val="00A17DBC"/>
    <w:rsid w:val="00A2089B"/>
    <w:rsid w:val="00A20E08"/>
    <w:rsid w:val="00A21174"/>
    <w:rsid w:val="00A2261B"/>
    <w:rsid w:val="00A22639"/>
    <w:rsid w:val="00A23801"/>
    <w:rsid w:val="00A23938"/>
    <w:rsid w:val="00A26D2B"/>
    <w:rsid w:val="00A27F3D"/>
    <w:rsid w:val="00A30F1D"/>
    <w:rsid w:val="00A34874"/>
    <w:rsid w:val="00A40776"/>
    <w:rsid w:val="00A40F85"/>
    <w:rsid w:val="00A434C6"/>
    <w:rsid w:val="00A43964"/>
    <w:rsid w:val="00A4600D"/>
    <w:rsid w:val="00A4782E"/>
    <w:rsid w:val="00A5253A"/>
    <w:rsid w:val="00A5376F"/>
    <w:rsid w:val="00A551EF"/>
    <w:rsid w:val="00A6223C"/>
    <w:rsid w:val="00A62CE2"/>
    <w:rsid w:val="00A63D37"/>
    <w:rsid w:val="00A63F93"/>
    <w:rsid w:val="00A6617C"/>
    <w:rsid w:val="00A676E6"/>
    <w:rsid w:val="00A72514"/>
    <w:rsid w:val="00A72AD5"/>
    <w:rsid w:val="00A73CAC"/>
    <w:rsid w:val="00A75D85"/>
    <w:rsid w:val="00A812C6"/>
    <w:rsid w:val="00A83863"/>
    <w:rsid w:val="00A956DC"/>
    <w:rsid w:val="00A9755D"/>
    <w:rsid w:val="00AA16F3"/>
    <w:rsid w:val="00AA23B4"/>
    <w:rsid w:val="00AA58B7"/>
    <w:rsid w:val="00AA5B05"/>
    <w:rsid w:val="00AA5C1E"/>
    <w:rsid w:val="00AB02E2"/>
    <w:rsid w:val="00AB136F"/>
    <w:rsid w:val="00AB4124"/>
    <w:rsid w:val="00AB49DB"/>
    <w:rsid w:val="00AB567E"/>
    <w:rsid w:val="00AB6264"/>
    <w:rsid w:val="00AC008A"/>
    <w:rsid w:val="00AC050E"/>
    <w:rsid w:val="00AC1A4B"/>
    <w:rsid w:val="00AC1A91"/>
    <w:rsid w:val="00AC2267"/>
    <w:rsid w:val="00AC412A"/>
    <w:rsid w:val="00AC54CE"/>
    <w:rsid w:val="00AC57EB"/>
    <w:rsid w:val="00AC63D2"/>
    <w:rsid w:val="00AC73B3"/>
    <w:rsid w:val="00AD6354"/>
    <w:rsid w:val="00AD7B0A"/>
    <w:rsid w:val="00AE05C7"/>
    <w:rsid w:val="00AE0B74"/>
    <w:rsid w:val="00AE2753"/>
    <w:rsid w:val="00AE2D00"/>
    <w:rsid w:val="00AE3689"/>
    <w:rsid w:val="00AE4C19"/>
    <w:rsid w:val="00AE6912"/>
    <w:rsid w:val="00AF270B"/>
    <w:rsid w:val="00AF67C1"/>
    <w:rsid w:val="00B009F7"/>
    <w:rsid w:val="00B00DD7"/>
    <w:rsid w:val="00B020B8"/>
    <w:rsid w:val="00B07E64"/>
    <w:rsid w:val="00B15BCB"/>
    <w:rsid w:val="00B2406D"/>
    <w:rsid w:val="00B254DC"/>
    <w:rsid w:val="00B35257"/>
    <w:rsid w:val="00B36BCE"/>
    <w:rsid w:val="00B5019B"/>
    <w:rsid w:val="00B5091A"/>
    <w:rsid w:val="00B5193F"/>
    <w:rsid w:val="00B51CE4"/>
    <w:rsid w:val="00B52228"/>
    <w:rsid w:val="00B546F5"/>
    <w:rsid w:val="00B6587A"/>
    <w:rsid w:val="00B6618F"/>
    <w:rsid w:val="00B70B6A"/>
    <w:rsid w:val="00B7147D"/>
    <w:rsid w:val="00B714D4"/>
    <w:rsid w:val="00B71560"/>
    <w:rsid w:val="00B7466B"/>
    <w:rsid w:val="00B74767"/>
    <w:rsid w:val="00B7618A"/>
    <w:rsid w:val="00B77907"/>
    <w:rsid w:val="00B80253"/>
    <w:rsid w:val="00B82414"/>
    <w:rsid w:val="00B8501B"/>
    <w:rsid w:val="00B90926"/>
    <w:rsid w:val="00B90F36"/>
    <w:rsid w:val="00B911AC"/>
    <w:rsid w:val="00B95A97"/>
    <w:rsid w:val="00BA1E1B"/>
    <w:rsid w:val="00BA26BD"/>
    <w:rsid w:val="00BA3998"/>
    <w:rsid w:val="00BA4364"/>
    <w:rsid w:val="00BA49E3"/>
    <w:rsid w:val="00BA73A6"/>
    <w:rsid w:val="00BB2845"/>
    <w:rsid w:val="00BB2EF2"/>
    <w:rsid w:val="00BB3653"/>
    <w:rsid w:val="00BB3706"/>
    <w:rsid w:val="00BB3CC5"/>
    <w:rsid w:val="00BB53F6"/>
    <w:rsid w:val="00BB563B"/>
    <w:rsid w:val="00BB6EEA"/>
    <w:rsid w:val="00BC03AB"/>
    <w:rsid w:val="00BC05DA"/>
    <w:rsid w:val="00BC0731"/>
    <w:rsid w:val="00BC0EB1"/>
    <w:rsid w:val="00BC3CF5"/>
    <w:rsid w:val="00BC3DBD"/>
    <w:rsid w:val="00BC43D2"/>
    <w:rsid w:val="00BC47EB"/>
    <w:rsid w:val="00BD2103"/>
    <w:rsid w:val="00BD3345"/>
    <w:rsid w:val="00BD4A64"/>
    <w:rsid w:val="00BD5895"/>
    <w:rsid w:val="00BE0A54"/>
    <w:rsid w:val="00BE3BAC"/>
    <w:rsid w:val="00BE4CAD"/>
    <w:rsid w:val="00BE4E5E"/>
    <w:rsid w:val="00BE68DC"/>
    <w:rsid w:val="00BE702B"/>
    <w:rsid w:val="00BE70DA"/>
    <w:rsid w:val="00BE7D62"/>
    <w:rsid w:val="00BF18EE"/>
    <w:rsid w:val="00BF1FD9"/>
    <w:rsid w:val="00BF4A9B"/>
    <w:rsid w:val="00BF6459"/>
    <w:rsid w:val="00C006D5"/>
    <w:rsid w:val="00C00798"/>
    <w:rsid w:val="00C01EB7"/>
    <w:rsid w:val="00C03A4D"/>
    <w:rsid w:val="00C11268"/>
    <w:rsid w:val="00C1356F"/>
    <w:rsid w:val="00C13781"/>
    <w:rsid w:val="00C13C4D"/>
    <w:rsid w:val="00C14EF2"/>
    <w:rsid w:val="00C16ED1"/>
    <w:rsid w:val="00C2255A"/>
    <w:rsid w:val="00C238E5"/>
    <w:rsid w:val="00C31976"/>
    <w:rsid w:val="00C353D6"/>
    <w:rsid w:val="00C375A0"/>
    <w:rsid w:val="00C378B0"/>
    <w:rsid w:val="00C4285B"/>
    <w:rsid w:val="00C42F67"/>
    <w:rsid w:val="00C4315E"/>
    <w:rsid w:val="00C43F19"/>
    <w:rsid w:val="00C449A7"/>
    <w:rsid w:val="00C45E9E"/>
    <w:rsid w:val="00C46517"/>
    <w:rsid w:val="00C502CD"/>
    <w:rsid w:val="00C50A35"/>
    <w:rsid w:val="00C5149C"/>
    <w:rsid w:val="00C556E3"/>
    <w:rsid w:val="00C55762"/>
    <w:rsid w:val="00C56F98"/>
    <w:rsid w:val="00C6258A"/>
    <w:rsid w:val="00C63AD6"/>
    <w:rsid w:val="00C648A1"/>
    <w:rsid w:val="00C66AC2"/>
    <w:rsid w:val="00C71600"/>
    <w:rsid w:val="00C72708"/>
    <w:rsid w:val="00C727F4"/>
    <w:rsid w:val="00C72C0C"/>
    <w:rsid w:val="00C83A63"/>
    <w:rsid w:val="00C848E0"/>
    <w:rsid w:val="00C85AEA"/>
    <w:rsid w:val="00C86A59"/>
    <w:rsid w:val="00C90905"/>
    <w:rsid w:val="00C91587"/>
    <w:rsid w:val="00C94A38"/>
    <w:rsid w:val="00C9562B"/>
    <w:rsid w:val="00C95C0F"/>
    <w:rsid w:val="00C97EC8"/>
    <w:rsid w:val="00CA0086"/>
    <w:rsid w:val="00CA0CB5"/>
    <w:rsid w:val="00CA109B"/>
    <w:rsid w:val="00CA181A"/>
    <w:rsid w:val="00CA2B4D"/>
    <w:rsid w:val="00CA3418"/>
    <w:rsid w:val="00CA3FF4"/>
    <w:rsid w:val="00CA4319"/>
    <w:rsid w:val="00CA5A17"/>
    <w:rsid w:val="00CA6A87"/>
    <w:rsid w:val="00CB0566"/>
    <w:rsid w:val="00CB15BB"/>
    <w:rsid w:val="00CB2AB8"/>
    <w:rsid w:val="00CB37CA"/>
    <w:rsid w:val="00CB3C86"/>
    <w:rsid w:val="00CB7C5C"/>
    <w:rsid w:val="00CB7EE3"/>
    <w:rsid w:val="00CC0C01"/>
    <w:rsid w:val="00CC0E0B"/>
    <w:rsid w:val="00CC3808"/>
    <w:rsid w:val="00CC584B"/>
    <w:rsid w:val="00CD23A8"/>
    <w:rsid w:val="00CD30E9"/>
    <w:rsid w:val="00CD3249"/>
    <w:rsid w:val="00CD3B30"/>
    <w:rsid w:val="00CD4947"/>
    <w:rsid w:val="00CD4CE4"/>
    <w:rsid w:val="00CD4E5D"/>
    <w:rsid w:val="00CE00CD"/>
    <w:rsid w:val="00CE2269"/>
    <w:rsid w:val="00CE323D"/>
    <w:rsid w:val="00CE3489"/>
    <w:rsid w:val="00CF32C7"/>
    <w:rsid w:val="00D01229"/>
    <w:rsid w:val="00D01FA4"/>
    <w:rsid w:val="00D02557"/>
    <w:rsid w:val="00D03A18"/>
    <w:rsid w:val="00D06B9C"/>
    <w:rsid w:val="00D10B55"/>
    <w:rsid w:val="00D110E2"/>
    <w:rsid w:val="00D13EEC"/>
    <w:rsid w:val="00D14627"/>
    <w:rsid w:val="00D15B71"/>
    <w:rsid w:val="00D15E72"/>
    <w:rsid w:val="00D164B3"/>
    <w:rsid w:val="00D17547"/>
    <w:rsid w:val="00D21B0B"/>
    <w:rsid w:val="00D22F62"/>
    <w:rsid w:val="00D24BE0"/>
    <w:rsid w:val="00D265B9"/>
    <w:rsid w:val="00D303A9"/>
    <w:rsid w:val="00D30824"/>
    <w:rsid w:val="00D34A3F"/>
    <w:rsid w:val="00D366D5"/>
    <w:rsid w:val="00D40348"/>
    <w:rsid w:val="00D40658"/>
    <w:rsid w:val="00D40E5B"/>
    <w:rsid w:val="00D41EB8"/>
    <w:rsid w:val="00D42705"/>
    <w:rsid w:val="00D44608"/>
    <w:rsid w:val="00D5028E"/>
    <w:rsid w:val="00D50313"/>
    <w:rsid w:val="00D50874"/>
    <w:rsid w:val="00D511D4"/>
    <w:rsid w:val="00D51771"/>
    <w:rsid w:val="00D56E35"/>
    <w:rsid w:val="00D575C6"/>
    <w:rsid w:val="00D61A55"/>
    <w:rsid w:val="00D62D2B"/>
    <w:rsid w:val="00D64AB8"/>
    <w:rsid w:val="00D66CFD"/>
    <w:rsid w:val="00D710D6"/>
    <w:rsid w:val="00D71DB1"/>
    <w:rsid w:val="00D75906"/>
    <w:rsid w:val="00D75A36"/>
    <w:rsid w:val="00D76942"/>
    <w:rsid w:val="00D80E5A"/>
    <w:rsid w:val="00D82994"/>
    <w:rsid w:val="00D848CA"/>
    <w:rsid w:val="00D87FCC"/>
    <w:rsid w:val="00D91BE4"/>
    <w:rsid w:val="00D91DDE"/>
    <w:rsid w:val="00D93216"/>
    <w:rsid w:val="00D93A2E"/>
    <w:rsid w:val="00D943AC"/>
    <w:rsid w:val="00D9711C"/>
    <w:rsid w:val="00DA1275"/>
    <w:rsid w:val="00DA2156"/>
    <w:rsid w:val="00DA5BD3"/>
    <w:rsid w:val="00DB0434"/>
    <w:rsid w:val="00DB07CB"/>
    <w:rsid w:val="00DB2EC8"/>
    <w:rsid w:val="00DB5266"/>
    <w:rsid w:val="00DB5352"/>
    <w:rsid w:val="00DB7013"/>
    <w:rsid w:val="00DB705B"/>
    <w:rsid w:val="00DC0A23"/>
    <w:rsid w:val="00DC1B19"/>
    <w:rsid w:val="00DC3118"/>
    <w:rsid w:val="00DC3143"/>
    <w:rsid w:val="00DC6AC8"/>
    <w:rsid w:val="00DC7EDB"/>
    <w:rsid w:val="00DD56F0"/>
    <w:rsid w:val="00DD62B1"/>
    <w:rsid w:val="00DD7CB2"/>
    <w:rsid w:val="00DE3154"/>
    <w:rsid w:val="00DE51B1"/>
    <w:rsid w:val="00DF204A"/>
    <w:rsid w:val="00DF4B87"/>
    <w:rsid w:val="00DF5D12"/>
    <w:rsid w:val="00E01A0B"/>
    <w:rsid w:val="00E03559"/>
    <w:rsid w:val="00E05BD8"/>
    <w:rsid w:val="00E07E85"/>
    <w:rsid w:val="00E12993"/>
    <w:rsid w:val="00E16500"/>
    <w:rsid w:val="00E2190B"/>
    <w:rsid w:val="00E2333D"/>
    <w:rsid w:val="00E23416"/>
    <w:rsid w:val="00E26040"/>
    <w:rsid w:val="00E26D2B"/>
    <w:rsid w:val="00E3592F"/>
    <w:rsid w:val="00E3720F"/>
    <w:rsid w:val="00E40443"/>
    <w:rsid w:val="00E40728"/>
    <w:rsid w:val="00E41138"/>
    <w:rsid w:val="00E465ED"/>
    <w:rsid w:val="00E526CA"/>
    <w:rsid w:val="00E53107"/>
    <w:rsid w:val="00E539DE"/>
    <w:rsid w:val="00E53FDF"/>
    <w:rsid w:val="00E54015"/>
    <w:rsid w:val="00E548AE"/>
    <w:rsid w:val="00E54F84"/>
    <w:rsid w:val="00E56DAB"/>
    <w:rsid w:val="00E5764C"/>
    <w:rsid w:val="00E60214"/>
    <w:rsid w:val="00E61DB1"/>
    <w:rsid w:val="00E6306A"/>
    <w:rsid w:val="00E652E6"/>
    <w:rsid w:val="00E65B3C"/>
    <w:rsid w:val="00E66DF4"/>
    <w:rsid w:val="00E7083C"/>
    <w:rsid w:val="00E708E1"/>
    <w:rsid w:val="00E71A33"/>
    <w:rsid w:val="00E71E62"/>
    <w:rsid w:val="00E737AD"/>
    <w:rsid w:val="00E77362"/>
    <w:rsid w:val="00E77608"/>
    <w:rsid w:val="00E77616"/>
    <w:rsid w:val="00E777E7"/>
    <w:rsid w:val="00E8133B"/>
    <w:rsid w:val="00E81D62"/>
    <w:rsid w:val="00E85FD6"/>
    <w:rsid w:val="00E91F28"/>
    <w:rsid w:val="00E92685"/>
    <w:rsid w:val="00E93B1A"/>
    <w:rsid w:val="00E94363"/>
    <w:rsid w:val="00E94BC8"/>
    <w:rsid w:val="00E9712C"/>
    <w:rsid w:val="00EA0475"/>
    <w:rsid w:val="00EA1F73"/>
    <w:rsid w:val="00EA2EB2"/>
    <w:rsid w:val="00EA2F59"/>
    <w:rsid w:val="00EA3669"/>
    <w:rsid w:val="00EA39AA"/>
    <w:rsid w:val="00EA6000"/>
    <w:rsid w:val="00EA74F9"/>
    <w:rsid w:val="00EB20F2"/>
    <w:rsid w:val="00EB2145"/>
    <w:rsid w:val="00EB5356"/>
    <w:rsid w:val="00EB61EF"/>
    <w:rsid w:val="00EB6BF9"/>
    <w:rsid w:val="00EB7AC9"/>
    <w:rsid w:val="00EC12E0"/>
    <w:rsid w:val="00EC1388"/>
    <w:rsid w:val="00EC2776"/>
    <w:rsid w:val="00EC2FDD"/>
    <w:rsid w:val="00EC54D4"/>
    <w:rsid w:val="00EC56E9"/>
    <w:rsid w:val="00EC6D76"/>
    <w:rsid w:val="00EC7D84"/>
    <w:rsid w:val="00EC7F29"/>
    <w:rsid w:val="00ED295F"/>
    <w:rsid w:val="00ED5B4E"/>
    <w:rsid w:val="00ED6A9C"/>
    <w:rsid w:val="00ED7286"/>
    <w:rsid w:val="00ED74F5"/>
    <w:rsid w:val="00EE0268"/>
    <w:rsid w:val="00EE2C9F"/>
    <w:rsid w:val="00EE3121"/>
    <w:rsid w:val="00EE5219"/>
    <w:rsid w:val="00EF0754"/>
    <w:rsid w:val="00EF254C"/>
    <w:rsid w:val="00EF370D"/>
    <w:rsid w:val="00EF5D1A"/>
    <w:rsid w:val="00EF6543"/>
    <w:rsid w:val="00EF7337"/>
    <w:rsid w:val="00F061FC"/>
    <w:rsid w:val="00F06AAF"/>
    <w:rsid w:val="00F06DBA"/>
    <w:rsid w:val="00F07530"/>
    <w:rsid w:val="00F0773E"/>
    <w:rsid w:val="00F11708"/>
    <w:rsid w:val="00F13C69"/>
    <w:rsid w:val="00F14E48"/>
    <w:rsid w:val="00F158FD"/>
    <w:rsid w:val="00F20DB1"/>
    <w:rsid w:val="00F2208F"/>
    <w:rsid w:val="00F26B15"/>
    <w:rsid w:val="00F317D3"/>
    <w:rsid w:val="00F32709"/>
    <w:rsid w:val="00F3340B"/>
    <w:rsid w:val="00F354EF"/>
    <w:rsid w:val="00F37FD0"/>
    <w:rsid w:val="00F43A01"/>
    <w:rsid w:val="00F44C0A"/>
    <w:rsid w:val="00F4554B"/>
    <w:rsid w:val="00F4597E"/>
    <w:rsid w:val="00F47368"/>
    <w:rsid w:val="00F53C7B"/>
    <w:rsid w:val="00F540EA"/>
    <w:rsid w:val="00F54176"/>
    <w:rsid w:val="00F56E21"/>
    <w:rsid w:val="00F60C3D"/>
    <w:rsid w:val="00F61307"/>
    <w:rsid w:val="00F616B8"/>
    <w:rsid w:val="00F61AEA"/>
    <w:rsid w:val="00F622A2"/>
    <w:rsid w:val="00F62C71"/>
    <w:rsid w:val="00F701C7"/>
    <w:rsid w:val="00F71ADB"/>
    <w:rsid w:val="00F728C3"/>
    <w:rsid w:val="00F7775E"/>
    <w:rsid w:val="00F81533"/>
    <w:rsid w:val="00F8307F"/>
    <w:rsid w:val="00F83B4E"/>
    <w:rsid w:val="00F90B9D"/>
    <w:rsid w:val="00F914C8"/>
    <w:rsid w:val="00F92C08"/>
    <w:rsid w:val="00F9492B"/>
    <w:rsid w:val="00FA08BB"/>
    <w:rsid w:val="00FA1593"/>
    <w:rsid w:val="00FA44A6"/>
    <w:rsid w:val="00FA492F"/>
    <w:rsid w:val="00FA4BEA"/>
    <w:rsid w:val="00FB1CE3"/>
    <w:rsid w:val="00FB4E52"/>
    <w:rsid w:val="00FB69FE"/>
    <w:rsid w:val="00FC07D9"/>
    <w:rsid w:val="00FC098A"/>
    <w:rsid w:val="00FC0F24"/>
    <w:rsid w:val="00FC2E73"/>
    <w:rsid w:val="00FC3DCF"/>
    <w:rsid w:val="00FC6EB5"/>
    <w:rsid w:val="00FD20E5"/>
    <w:rsid w:val="00FD53CD"/>
    <w:rsid w:val="00FD57BF"/>
    <w:rsid w:val="00FE016E"/>
    <w:rsid w:val="00FE1442"/>
    <w:rsid w:val="00FE653F"/>
    <w:rsid w:val="00FE660D"/>
    <w:rsid w:val="00FE763C"/>
    <w:rsid w:val="00FE7A02"/>
    <w:rsid w:val="00FF1705"/>
    <w:rsid w:val="00FF259F"/>
    <w:rsid w:val="00FF324A"/>
    <w:rsid w:val="00FF6CD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B1118C3"/>
  <w15:docId w15:val="{0A73A703-292C-419D-BC45-4A6F92827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99"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96F4C"/>
    <w:pPr>
      <w:spacing w:after="120"/>
    </w:pPr>
    <w:rPr>
      <w:sz w:val="24"/>
    </w:rPr>
  </w:style>
  <w:style w:type="paragraph" w:styleId="Heading1">
    <w:name w:val="heading 1"/>
    <w:basedOn w:val="Normal"/>
    <w:next w:val="BodyText"/>
    <w:link w:val="Heading1Char"/>
    <w:uiPriority w:val="9"/>
    <w:qFormat/>
    <w:rsid w:val="00396F4C"/>
    <w:pPr>
      <w:keepNext/>
      <w:keepLines/>
      <w:pageBreakBefore/>
      <w:numPr>
        <w:numId w:val="5"/>
      </w:numPr>
      <w:pBdr>
        <w:top w:val="single" w:sz="48" w:space="1" w:color="000066"/>
        <w:bottom w:val="single" w:sz="48" w:space="1" w:color="000066"/>
      </w:pBdr>
      <w:shd w:val="clear" w:color="auto" w:fill="000066"/>
      <w:spacing w:before="240" w:after="240"/>
      <w:outlineLvl w:val="0"/>
    </w:pPr>
    <w:rPr>
      <w:rFonts w:ascii="Arial" w:hAnsi="Arial"/>
      <w:b/>
      <w:color w:val="FFFFFF"/>
      <w:kern w:val="28"/>
      <w:sz w:val="28"/>
    </w:rPr>
  </w:style>
  <w:style w:type="paragraph" w:styleId="Heading2">
    <w:name w:val="heading 2"/>
    <w:basedOn w:val="Heading1"/>
    <w:next w:val="BodyText"/>
    <w:link w:val="Heading2Char"/>
    <w:uiPriority w:val="9"/>
    <w:qFormat/>
    <w:rsid w:val="005A75FD"/>
    <w:pPr>
      <w:pageBreakBefore w:val="0"/>
      <w:numPr>
        <w:ilvl w:val="1"/>
      </w:numPr>
      <w:pBdr>
        <w:top w:val="none" w:sz="0" w:space="0" w:color="auto"/>
        <w:bottom w:val="none" w:sz="0" w:space="0" w:color="auto"/>
      </w:pBdr>
      <w:shd w:val="clear" w:color="auto" w:fill="auto"/>
      <w:spacing w:after="60"/>
      <w:ind w:left="720"/>
      <w:outlineLvl w:val="1"/>
    </w:pPr>
    <w:rPr>
      <w:bCs/>
      <w:color w:val="auto"/>
      <w:sz w:val="24"/>
    </w:rPr>
  </w:style>
  <w:style w:type="paragraph" w:styleId="Heading3">
    <w:name w:val="heading 3"/>
    <w:basedOn w:val="Heading2"/>
    <w:next w:val="BodyText"/>
    <w:link w:val="Heading3Char"/>
    <w:uiPriority w:val="9"/>
    <w:qFormat/>
    <w:rsid w:val="00396F4C"/>
    <w:pPr>
      <w:numPr>
        <w:ilvl w:val="2"/>
      </w:numPr>
      <w:spacing w:before="180"/>
      <w:outlineLvl w:val="2"/>
    </w:pPr>
    <w:rPr>
      <w:iCs/>
      <w:sz w:val="22"/>
    </w:rPr>
  </w:style>
  <w:style w:type="paragraph" w:styleId="Heading4">
    <w:name w:val="heading 4"/>
    <w:basedOn w:val="Heading3"/>
    <w:link w:val="Heading4Char"/>
    <w:uiPriority w:val="9"/>
    <w:qFormat/>
    <w:rsid w:val="00396F4C"/>
    <w:pPr>
      <w:numPr>
        <w:ilvl w:val="3"/>
      </w:numPr>
      <w:tabs>
        <w:tab w:val="left" w:pos="1152"/>
      </w:tabs>
      <w:outlineLvl w:val="3"/>
    </w:pPr>
    <w:rPr>
      <w:iCs w:val="0"/>
    </w:rPr>
  </w:style>
  <w:style w:type="paragraph" w:styleId="Heading5">
    <w:name w:val="heading 5"/>
    <w:basedOn w:val="Heading4"/>
    <w:link w:val="Heading5Char"/>
    <w:uiPriority w:val="9"/>
    <w:qFormat/>
    <w:rsid w:val="00396F4C"/>
    <w:pPr>
      <w:numPr>
        <w:ilvl w:val="4"/>
      </w:numPr>
      <w:outlineLvl w:val="4"/>
    </w:pPr>
  </w:style>
  <w:style w:type="paragraph" w:styleId="Heading6">
    <w:name w:val="heading 6"/>
    <w:basedOn w:val="Normal"/>
    <w:next w:val="Normal"/>
    <w:link w:val="Heading6Char"/>
    <w:uiPriority w:val="9"/>
    <w:qFormat/>
    <w:rsid w:val="00396F4C"/>
    <w:pPr>
      <w:numPr>
        <w:ilvl w:val="5"/>
        <w:numId w:val="5"/>
      </w:numPr>
      <w:spacing w:before="240" w:after="60"/>
      <w:outlineLvl w:val="5"/>
    </w:pPr>
    <w:rPr>
      <w:i/>
      <w:sz w:val="20"/>
    </w:rPr>
  </w:style>
  <w:style w:type="paragraph" w:styleId="Heading7">
    <w:name w:val="heading 7"/>
    <w:basedOn w:val="Heading1"/>
    <w:next w:val="Normal"/>
    <w:link w:val="Heading7Char"/>
    <w:uiPriority w:val="9"/>
    <w:qFormat/>
    <w:rsid w:val="00396F4C"/>
    <w:pPr>
      <w:numPr>
        <w:ilvl w:val="6"/>
      </w:numPr>
      <w:spacing w:after="60"/>
      <w:outlineLvl w:val="6"/>
    </w:pPr>
    <w:rPr>
      <w:rFonts w:ascii="Arial Bold" w:hAnsi="Arial Bold"/>
    </w:rPr>
  </w:style>
  <w:style w:type="paragraph" w:styleId="Heading8">
    <w:name w:val="heading 8"/>
    <w:basedOn w:val="Normal"/>
    <w:next w:val="Normal"/>
    <w:link w:val="Heading8Char"/>
    <w:uiPriority w:val="9"/>
    <w:qFormat/>
    <w:rsid w:val="00396F4C"/>
    <w:pPr>
      <w:numPr>
        <w:ilvl w:val="7"/>
        <w:numId w:val="5"/>
      </w:numPr>
      <w:spacing w:before="240" w:after="60"/>
      <w:outlineLvl w:val="7"/>
    </w:pPr>
    <w:rPr>
      <w:rFonts w:ascii="Arial" w:hAnsi="Arial"/>
      <w:i/>
      <w:sz w:val="20"/>
    </w:rPr>
  </w:style>
  <w:style w:type="paragraph" w:styleId="Heading9">
    <w:name w:val="heading 9"/>
    <w:basedOn w:val="Normal"/>
    <w:next w:val="Normal"/>
    <w:link w:val="Heading9Char"/>
    <w:uiPriority w:val="9"/>
    <w:qFormat/>
    <w:rsid w:val="00396F4C"/>
    <w:pPr>
      <w:numPr>
        <w:ilvl w:val="8"/>
        <w:numId w:val="1"/>
      </w:numPr>
      <w:tabs>
        <w:tab w:val="clear" w:pos="3240"/>
      </w:tabs>
      <w:spacing w:before="240" w:after="60"/>
      <w:ind w:left="0" w:firstLine="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16 Point,FR,IEE Footnote,Styl,Style 12,Style 13,Style 15,Style 17,Style 18,Style 19,Style 20,Style 28,Style 7,Style 8,Style 9,Superscript 6 Point,fr,fr1,fr2,fr3,o,o1,o2,o3"/>
    <w:uiPriority w:val="99"/>
    <w:qFormat/>
    <w:rsid w:val="005C3C0E"/>
    <w:rPr>
      <w:vertAlign w:val="superscript"/>
    </w:rPr>
  </w:style>
  <w:style w:type="paragraph" w:styleId="TOC1">
    <w:name w:val="toc 1"/>
    <w:basedOn w:val="Normal"/>
    <w:next w:val="Normal"/>
    <w:uiPriority w:val="39"/>
    <w:rsid w:val="00AA16F3"/>
    <w:pPr>
      <w:ind w:left="720" w:hanging="720"/>
    </w:pPr>
    <w:rPr>
      <w:b/>
    </w:rPr>
  </w:style>
  <w:style w:type="paragraph" w:styleId="TOC2">
    <w:name w:val="toc 2"/>
    <w:basedOn w:val="Normal"/>
    <w:next w:val="Normal"/>
    <w:uiPriority w:val="39"/>
    <w:rsid w:val="00AA16F3"/>
    <w:pPr>
      <w:ind w:left="720" w:hanging="720"/>
    </w:pPr>
  </w:style>
  <w:style w:type="character" w:customStyle="1" w:styleId="Level-01">
    <w:name w:val="Level-01"/>
    <w:rsid w:val="00F914C8"/>
    <w:rPr>
      <w:rFonts w:ascii="Shruti" w:hAnsi="Shruti" w:cs="Shruti"/>
      <w:sz w:val="20"/>
      <w:szCs w:val="20"/>
    </w:rPr>
  </w:style>
  <w:style w:type="character" w:customStyle="1" w:styleId="Hypertext">
    <w:name w:val="Hypertext"/>
    <w:rsid w:val="00F914C8"/>
    <w:rPr>
      <w:color w:val="0000FF"/>
      <w:u w:val="single"/>
    </w:rPr>
  </w:style>
  <w:style w:type="paragraph" w:customStyle="1" w:styleId="Level1">
    <w:name w:val="Level 1"/>
    <w:basedOn w:val="Normal"/>
    <w:rsid w:val="00F914C8"/>
    <w:pPr>
      <w:ind w:left="1440" w:hanging="720"/>
    </w:pPr>
  </w:style>
  <w:style w:type="paragraph" w:customStyle="1" w:styleId="a">
    <w:name w:val="_"/>
    <w:basedOn w:val="Normal"/>
    <w:rsid w:val="00F914C8"/>
    <w:pPr>
      <w:ind w:left="1440" w:hanging="720"/>
    </w:pPr>
  </w:style>
  <w:style w:type="paragraph" w:styleId="BalloonText">
    <w:name w:val="Balloon Text"/>
    <w:basedOn w:val="Normal"/>
    <w:semiHidden/>
    <w:rsid w:val="001B63D9"/>
    <w:rPr>
      <w:rFonts w:ascii="Tahoma" w:hAnsi="Tahoma" w:cs="Tahoma"/>
      <w:sz w:val="16"/>
      <w:szCs w:val="16"/>
    </w:rPr>
  </w:style>
  <w:style w:type="paragraph" w:styleId="Header">
    <w:name w:val="header"/>
    <w:basedOn w:val="Normal"/>
    <w:link w:val="HeaderChar"/>
    <w:uiPriority w:val="99"/>
    <w:rsid w:val="0049406C"/>
    <w:pPr>
      <w:tabs>
        <w:tab w:val="center" w:pos="4320"/>
        <w:tab w:val="right" w:pos="8640"/>
      </w:tabs>
    </w:pPr>
  </w:style>
  <w:style w:type="paragraph" w:styleId="Footer">
    <w:name w:val="footer"/>
    <w:basedOn w:val="Normal"/>
    <w:link w:val="FooterChar"/>
    <w:uiPriority w:val="99"/>
    <w:rsid w:val="0049406C"/>
    <w:pPr>
      <w:tabs>
        <w:tab w:val="center" w:pos="4320"/>
        <w:tab w:val="right" w:pos="8640"/>
      </w:tabs>
    </w:pPr>
  </w:style>
  <w:style w:type="character" w:styleId="Hyperlink">
    <w:name w:val="Hyperlink"/>
    <w:uiPriority w:val="99"/>
    <w:rsid w:val="00B70B6A"/>
    <w:rPr>
      <w:color w:val="0000FF"/>
      <w:u w:val="single"/>
    </w:rPr>
  </w:style>
  <w:style w:type="character" w:styleId="PageNumber">
    <w:name w:val="page number"/>
    <w:basedOn w:val="DefaultParagraphFont"/>
    <w:rsid w:val="005E4CAC"/>
  </w:style>
  <w:style w:type="paragraph" w:styleId="FootnoteText">
    <w:name w:val="footnote text"/>
    <w:aliases w:val="ALTS FOOTNOTE,Char,Char2,Char3,Char4,Footnote Text - Preamble,Footnote Text - Preamble1,Footnote Text Char Char,Footnote Text Char Char Char Char,Footnote Text Char Char1,Footnote Text Char Char2,Footnote Text Char1 Char Char,f,fn,fn1,fn2"/>
    <w:basedOn w:val="Normal"/>
    <w:link w:val="FootnoteTextChar"/>
    <w:uiPriority w:val="99"/>
    <w:qFormat/>
    <w:rsid w:val="00121389"/>
    <w:rPr>
      <w:sz w:val="20"/>
    </w:rPr>
  </w:style>
  <w:style w:type="character" w:customStyle="1" w:styleId="FootnoteTextChar">
    <w:name w:val="Footnote Text Char"/>
    <w:aliases w:val="ALTS FOOTNOTE Char,Char Char,Char2 Char,Char3 Char,Char4 Char,Footnote Text - Preamble Char,Footnote Text Char Char Char,Footnote Text Char Char Char Char Char,Footnote Text Char Char1 Char,Footnote Text Char1 Char Char Char,fn Char"/>
    <w:link w:val="FootnoteText"/>
    <w:uiPriority w:val="99"/>
    <w:rsid w:val="00121389"/>
    <w:rPr>
      <w:rFonts w:ascii="Courier" w:hAnsi="Courier"/>
    </w:rPr>
  </w:style>
  <w:style w:type="character" w:styleId="CommentReference">
    <w:name w:val="annotation reference"/>
    <w:rsid w:val="00E71A33"/>
    <w:rPr>
      <w:sz w:val="16"/>
      <w:szCs w:val="16"/>
    </w:rPr>
  </w:style>
  <w:style w:type="paragraph" w:styleId="CommentText">
    <w:name w:val="annotation text"/>
    <w:basedOn w:val="Normal"/>
    <w:link w:val="CommentTextChar"/>
    <w:rsid w:val="00E71A33"/>
    <w:rPr>
      <w:sz w:val="20"/>
    </w:rPr>
  </w:style>
  <w:style w:type="character" w:customStyle="1" w:styleId="CommentTextChar">
    <w:name w:val="Comment Text Char"/>
    <w:link w:val="CommentText"/>
    <w:rsid w:val="00E71A33"/>
    <w:rPr>
      <w:rFonts w:ascii="Courier" w:hAnsi="Courier"/>
    </w:rPr>
  </w:style>
  <w:style w:type="paragraph" w:styleId="CommentSubject">
    <w:name w:val="annotation subject"/>
    <w:basedOn w:val="CommentText"/>
    <w:next w:val="CommentText"/>
    <w:link w:val="CommentSubjectChar"/>
    <w:rsid w:val="00E71A33"/>
    <w:rPr>
      <w:b/>
      <w:bCs/>
    </w:rPr>
  </w:style>
  <w:style w:type="character" w:customStyle="1" w:styleId="CommentSubjectChar">
    <w:name w:val="Comment Subject Char"/>
    <w:link w:val="CommentSubject"/>
    <w:rsid w:val="00E71A33"/>
    <w:rPr>
      <w:rFonts w:ascii="Courier" w:hAnsi="Courier"/>
      <w:b/>
      <w:bCs/>
    </w:rPr>
  </w:style>
  <w:style w:type="paragraph" w:customStyle="1" w:styleId="Bodynoindent">
    <w:name w:val="Bodynoindent"/>
    <w:basedOn w:val="BodyText"/>
    <w:next w:val="BodyText"/>
    <w:link w:val="BodynoindentChar"/>
    <w:qFormat/>
    <w:rsid w:val="00396F4C"/>
    <w:pPr>
      <w:numPr>
        <w:ilvl w:val="12"/>
      </w:numPr>
      <w:spacing w:before="120" w:line="240" w:lineRule="auto"/>
    </w:pPr>
    <w:rPr>
      <w:szCs w:val="24"/>
    </w:rPr>
  </w:style>
  <w:style w:type="character" w:customStyle="1" w:styleId="BodynoindentChar">
    <w:name w:val="Bodynoindent Char"/>
    <w:basedOn w:val="BodyTextChar"/>
    <w:link w:val="Bodynoindent"/>
    <w:rsid w:val="00396F4C"/>
    <w:rPr>
      <w:sz w:val="24"/>
      <w:szCs w:val="24"/>
    </w:rPr>
  </w:style>
  <w:style w:type="character" w:customStyle="1" w:styleId="Heading1Char">
    <w:name w:val="Heading 1 Char"/>
    <w:link w:val="Heading1"/>
    <w:uiPriority w:val="99"/>
    <w:rsid w:val="00396F4C"/>
    <w:rPr>
      <w:rFonts w:ascii="Arial" w:hAnsi="Arial"/>
      <w:b/>
      <w:color w:val="FFFFFF"/>
      <w:kern w:val="28"/>
      <w:sz w:val="28"/>
      <w:shd w:val="clear" w:color="auto" w:fill="000066"/>
    </w:rPr>
  </w:style>
  <w:style w:type="character" w:customStyle="1" w:styleId="Heading2Char">
    <w:name w:val="Heading 2 Char"/>
    <w:link w:val="Heading2"/>
    <w:uiPriority w:val="99"/>
    <w:rsid w:val="005A75FD"/>
    <w:rPr>
      <w:rFonts w:ascii="Arial" w:hAnsi="Arial"/>
      <w:b/>
      <w:bCs/>
      <w:kern w:val="28"/>
      <w:sz w:val="24"/>
    </w:rPr>
  </w:style>
  <w:style w:type="character" w:customStyle="1" w:styleId="Heading3Char">
    <w:name w:val="Heading 3 Char"/>
    <w:link w:val="Heading3"/>
    <w:uiPriority w:val="99"/>
    <w:rsid w:val="00396F4C"/>
    <w:rPr>
      <w:rFonts w:ascii="Arial" w:hAnsi="Arial"/>
      <w:b/>
      <w:bCs/>
      <w:iCs/>
      <w:kern w:val="28"/>
      <w:sz w:val="22"/>
    </w:rPr>
  </w:style>
  <w:style w:type="character" w:customStyle="1" w:styleId="Heading4Char">
    <w:name w:val="Heading 4 Char"/>
    <w:link w:val="Heading4"/>
    <w:uiPriority w:val="99"/>
    <w:rsid w:val="00396F4C"/>
    <w:rPr>
      <w:rFonts w:ascii="Arial" w:hAnsi="Arial"/>
      <w:b/>
      <w:bCs/>
      <w:kern w:val="28"/>
      <w:sz w:val="22"/>
    </w:rPr>
  </w:style>
  <w:style w:type="character" w:customStyle="1" w:styleId="Heading5Char">
    <w:name w:val="Heading 5 Char"/>
    <w:link w:val="Heading5"/>
    <w:uiPriority w:val="9"/>
    <w:rsid w:val="00396F4C"/>
    <w:rPr>
      <w:rFonts w:ascii="Arial" w:hAnsi="Arial"/>
      <w:b/>
      <w:bCs/>
      <w:kern w:val="28"/>
      <w:sz w:val="22"/>
    </w:rPr>
  </w:style>
  <w:style w:type="character" w:customStyle="1" w:styleId="Heading6Char">
    <w:name w:val="Heading 6 Char"/>
    <w:link w:val="Heading6"/>
    <w:uiPriority w:val="9"/>
    <w:rsid w:val="00396F4C"/>
    <w:rPr>
      <w:i/>
    </w:rPr>
  </w:style>
  <w:style w:type="character" w:customStyle="1" w:styleId="Heading7Char">
    <w:name w:val="Heading 7 Char"/>
    <w:link w:val="Heading7"/>
    <w:uiPriority w:val="99"/>
    <w:rsid w:val="00396F4C"/>
    <w:rPr>
      <w:rFonts w:ascii="Arial Bold" w:hAnsi="Arial Bold"/>
      <w:b/>
      <w:color w:val="FFFFFF"/>
      <w:kern w:val="28"/>
      <w:sz w:val="28"/>
      <w:shd w:val="clear" w:color="auto" w:fill="000066"/>
    </w:rPr>
  </w:style>
  <w:style w:type="character" w:customStyle="1" w:styleId="Heading8Char">
    <w:name w:val="Heading 8 Char"/>
    <w:link w:val="Heading8"/>
    <w:uiPriority w:val="99"/>
    <w:rsid w:val="00396F4C"/>
    <w:rPr>
      <w:rFonts w:ascii="Arial" w:hAnsi="Arial"/>
      <w:i/>
    </w:rPr>
  </w:style>
  <w:style w:type="character" w:customStyle="1" w:styleId="Heading9Char">
    <w:name w:val="Heading 9 Char"/>
    <w:link w:val="Heading9"/>
    <w:uiPriority w:val="99"/>
    <w:rsid w:val="00396F4C"/>
    <w:rPr>
      <w:rFonts w:ascii="Arial" w:hAnsi="Arial"/>
      <w:b/>
      <w:i/>
      <w:sz w:val="18"/>
    </w:rPr>
  </w:style>
  <w:style w:type="paragraph" w:styleId="BodyText">
    <w:name w:val="Body Text"/>
    <w:basedOn w:val="Normal"/>
    <w:link w:val="BodyTextChar"/>
    <w:uiPriority w:val="99"/>
    <w:rsid w:val="00077E84"/>
    <w:pPr>
      <w:spacing w:before="60" w:line="264" w:lineRule="auto"/>
    </w:pPr>
  </w:style>
  <w:style w:type="character" w:customStyle="1" w:styleId="BodyTextChar">
    <w:name w:val="Body Text Char"/>
    <w:link w:val="BodyText"/>
    <w:uiPriority w:val="99"/>
    <w:rsid w:val="00077E84"/>
    <w:rPr>
      <w:sz w:val="24"/>
    </w:rPr>
  </w:style>
  <w:style w:type="paragraph" w:styleId="Caption">
    <w:name w:val="caption"/>
    <w:basedOn w:val="Normal"/>
    <w:next w:val="Normal"/>
    <w:link w:val="CaptionChar1"/>
    <w:autoRedefine/>
    <w:uiPriority w:val="99"/>
    <w:qFormat/>
    <w:rsid w:val="003B3A98"/>
    <w:pPr>
      <w:keepNext/>
      <w:keepLines/>
      <w:spacing w:after="0"/>
      <w:jc w:val="center"/>
    </w:pPr>
    <w:rPr>
      <w:rFonts w:cs="Arial"/>
      <w:b/>
    </w:rPr>
  </w:style>
  <w:style w:type="character" w:customStyle="1" w:styleId="CaptionChar">
    <w:name w:val="Caption Char"/>
    <w:uiPriority w:val="99"/>
    <w:locked/>
    <w:rsid w:val="00D71DB1"/>
    <w:rPr>
      <w:rFonts w:cs="Arial"/>
      <w:b/>
      <w:sz w:val="22"/>
    </w:rPr>
  </w:style>
  <w:style w:type="paragraph" w:customStyle="1" w:styleId="ExhibitHeading">
    <w:name w:val="Exhibit Heading"/>
    <w:basedOn w:val="Normal"/>
    <w:uiPriority w:val="99"/>
    <w:rsid w:val="00780F58"/>
    <w:pPr>
      <w:keepNext/>
      <w:spacing w:after="0"/>
      <w:jc w:val="center"/>
    </w:pPr>
    <w:rPr>
      <w:rFonts w:ascii="Garamond" w:hAnsi="Garamond" w:cs="Arial"/>
      <w:b/>
      <w:bCs/>
      <w:sz w:val="22"/>
      <w:szCs w:val="22"/>
    </w:rPr>
  </w:style>
  <w:style w:type="paragraph" w:customStyle="1" w:styleId="ExhibitLeft">
    <w:name w:val="Exhibit Left"/>
    <w:basedOn w:val="Normal"/>
    <w:uiPriority w:val="99"/>
    <w:rsid w:val="005A75FD"/>
    <w:pPr>
      <w:spacing w:after="0"/>
    </w:pPr>
    <w:rPr>
      <w:rFonts w:ascii="Garamond" w:hAnsi="Garamond" w:cs="Arial"/>
      <w:szCs w:val="22"/>
    </w:rPr>
  </w:style>
  <w:style w:type="paragraph" w:customStyle="1" w:styleId="ExhibitCenter">
    <w:name w:val="Exhibit Center"/>
    <w:basedOn w:val="Normal"/>
    <w:autoRedefine/>
    <w:uiPriority w:val="99"/>
    <w:rsid w:val="005A75FD"/>
    <w:pPr>
      <w:spacing w:after="0"/>
      <w:jc w:val="center"/>
    </w:pPr>
    <w:rPr>
      <w:rFonts w:ascii="Garamond" w:hAnsi="Garamond" w:cs="Arial"/>
    </w:rPr>
  </w:style>
  <w:style w:type="paragraph" w:customStyle="1" w:styleId="ExhibitTitle">
    <w:name w:val="Exhibit Title"/>
    <w:basedOn w:val="Normal"/>
    <w:qFormat/>
    <w:rsid w:val="00D71DB1"/>
    <w:pPr>
      <w:jc w:val="center"/>
    </w:pPr>
    <w:rPr>
      <w:rFonts w:cs="Arial"/>
      <w:b/>
      <w:bCs/>
    </w:rPr>
  </w:style>
  <w:style w:type="paragraph" w:styleId="ListBullet">
    <w:name w:val="List Bullet"/>
    <w:basedOn w:val="Normal"/>
    <w:link w:val="ListBulletChar"/>
    <w:uiPriority w:val="99"/>
    <w:rsid w:val="00D71DB1"/>
    <w:pPr>
      <w:numPr>
        <w:numId w:val="1"/>
      </w:numPr>
      <w:spacing w:line="264" w:lineRule="auto"/>
    </w:pPr>
    <w:rPr>
      <w:sz w:val="20"/>
    </w:rPr>
  </w:style>
  <w:style w:type="character" w:customStyle="1" w:styleId="ListBulletChar">
    <w:name w:val="List Bullet Char"/>
    <w:link w:val="ListBullet"/>
    <w:uiPriority w:val="99"/>
    <w:locked/>
    <w:rsid w:val="00D71DB1"/>
  </w:style>
  <w:style w:type="paragraph" w:styleId="DocumentMap">
    <w:name w:val="Document Map"/>
    <w:basedOn w:val="Normal"/>
    <w:semiHidden/>
    <w:rsid w:val="00DC6AC8"/>
    <w:pPr>
      <w:shd w:val="clear" w:color="auto" w:fill="000080"/>
    </w:pPr>
    <w:rPr>
      <w:rFonts w:ascii="Tahoma" w:hAnsi="Tahoma" w:cs="Tahoma"/>
      <w:sz w:val="20"/>
    </w:rPr>
  </w:style>
  <w:style w:type="character" w:styleId="FollowedHyperlink">
    <w:name w:val="FollowedHyperlink"/>
    <w:rsid w:val="009B0CD7"/>
    <w:rPr>
      <w:color w:val="800080"/>
      <w:u w:val="single"/>
    </w:rPr>
  </w:style>
  <w:style w:type="character" w:customStyle="1" w:styleId="CaptionChar1">
    <w:name w:val="Caption Char1"/>
    <w:link w:val="Caption"/>
    <w:uiPriority w:val="99"/>
    <w:locked/>
    <w:rsid w:val="003B3A98"/>
    <w:rPr>
      <w:rFonts w:cs="Arial"/>
      <w:b/>
      <w:sz w:val="24"/>
    </w:rPr>
  </w:style>
  <w:style w:type="paragraph" w:styleId="ListNumber5">
    <w:name w:val="List Number 5"/>
    <w:basedOn w:val="Normal"/>
    <w:uiPriority w:val="99"/>
    <w:rsid w:val="00F317D3"/>
    <w:pPr>
      <w:numPr>
        <w:numId w:val="2"/>
      </w:numPr>
      <w:tabs>
        <w:tab w:val="clear" w:pos="1440"/>
        <w:tab w:val="num" w:pos="1800"/>
      </w:tabs>
      <w:ind w:left="1800" w:hanging="360"/>
    </w:pPr>
  </w:style>
  <w:style w:type="numbering" w:styleId="ArticleSection">
    <w:name w:val="Outline List 3"/>
    <w:basedOn w:val="NoList"/>
    <w:uiPriority w:val="99"/>
    <w:unhideWhenUsed/>
    <w:rsid w:val="00F317D3"/>
    <w:pPr>
      <w:numPr>
        <w:numId w:val="2"/>
      </w:numPr>
    </w:pPr>
  </w:style>
  <w:style w:type="paragraph" w:customStyle="1" w:styleId="Exhibitright">
    <w:name w:val="Exhibit right"/>
    <w:basedOn w:val="ExhibitLeft"/>
    <w:uiPriority w:val="99"/>
    <w:rsid w:val="00F317D3"/>
    <w:pPr>
      <w:spacing w:after="120"/>
      <w:jc w:val="right"/>
    </w:pPr>
    <w:rPr>
      <w:b/>
    </w:rPr>
  </w:style>
  <w:style w:type="paragraph" w:styleId="Revision">
    <w:name w:val="Revision"/>
    <w:hidden/>
    <w:uiPriority w:val="99"/>
    <w:semiHidden/>
    <w:rsid w:val="00FF6CDC"/>
    <w:rPr>
      <w:rFonts w:ascii="Courier" w:hAnsi="Courier"/>
      <w:sz w:val="24"/>
      <w:szCs w:val="24"/>
    </w:rPr>
  </w:style>
  <w:style w:type="paragraph" w:styleId="TOC3">
    <w:name w:val="toc 3"/>
    <w:basedOn w:val="Normal"/>
    <w:next w:val="Normal"/>
    <w:autoRedefine/>
    <w:uiPriority w:val="39"/>
    <w:rsid w:val="00AA16F3"/>
    <w:pPr>
      <w:ind w:left="720"/>
    </w:pPr>
  </w:style>
  <w:style w:type="character" w:customStyle="1" w:styleId="HeaderChar">
    <w:name w:val="Header Char"/>
    <w:basedOn w:val="DefaultParagraphFont"/>
    <w:link w:val="Header"/>
    <w:uiPriority w:val="99"/>
    <w:rsid w:val="00EB5356"/>
    <w:rPr>
      <w:rFonts w:ascii="Courier" w:hAnsi="Courier"/>
      <w:sz w:val="24"/>
      <w:szCs w:val="24"/>
    </w:rPr>
  </w:style>
  <w:style w:type="character" w:customStyle="1" w:styleId="Footnote">
    <w:name w:val="Footnote"/>
    <w:uiPriority w:val="99"/>
    <w:locked/>
    <w:rsid w:val="00FB4E52"/>
    <w:rPr>
      <w:rFonts w:ascii="Times New Roman" w:eastAsia="Times New Roman" w:hAnsi="Times New Roman" w:cs="Times New Roman"/>
      <w:sz w:val="18"/>
      <w:szCs w:val="20"/>
    </w:rPr>
  </w:style>
  <w:style w:type="paragraph" w:styleId="ListParagraph">
    <w:name w:val="List Paragraph"/>
    <w:basedOn w:val="Normal"/>
    <w:uiPriority w:val="34"/>
    <w:qFormat/>
    <w:rsid w:val="00396F4C"/>
    <w:pPr>
      <w:ind w:left="720"/>
      <w:contextualSpacing/>
    </w:pPr>
    <w:rPr>
      <w:rFonts w:cs="Arial"/>
    </w:rPr>
  </w:style>
  <w:style w:type="paragraph" w:customStyle="1" w:styleId="ChapSum">
    <w:name w:val="ChapSum"/>
    <w:basedOn w:val="BodyText"/>
    <w:next w:val="BodyText"/>
    <w:uiPriority w:val="99"/>
    <w:rsid w:val="00673189"/>
    <w:pPr>
      <w:pBdr>
        <w:top w:val="single" w:sz="4" w:space="1" w:color="808080"/>
        <w:bottom w:val="single" w:sz="4" w:space="1" w:color="808080"/>
      </w:pBdr>
      <w:shd w:val="clear" w:color="auto" w:fill="FFFFCC"/>
      <w:spacing w:before="0" w:line="240" w:lineRule="auto"/>
    </w:pPr>
  </w:style>
  <w:style w:type="paragraph" w:customStyle="1" w:styleId="bullet">
    <w:name w:val="bullet"/>
    <w:basedOn w:val="Normal"/>
    <w:qFormat/>
    <w:rsid w:val="00396F4C"/>
    <w:pPr>
      <w:numPr>
        <w:numId w:val="6"/>
      </w:numPr>
      <w:tabs>
        <w:tab w:val="left" w:pos="810"/>
      </w:tabs>
      <w:autoSpaceDE w:val="0"/>
      <w:autoSpaceDN w:val="0"/>
      <w:adjustRightInd w:val="0"/>
      <w:spacing w:before="60" w:after="60"/>
    </w:pPr>
    <w:rPr>
      <w:szCs w:val="24"/>
    </w:rPr>
  </w:style>
  <w:style w:type="paragraph" w:styleId="Title">
    <w:name w:val="Title"/>
    <w:basedOn w:val="Normal"/>
    <w:next w:val="Normal"/>
    <w:link w:val="TitleChar"/>
    <w:uiPriority w:val="10"/>
    <w:qFormat/>
    <w:rsid w:val="00396F4C"/>
    <w:pPr>
      <w:keepNext/>
      <w:keepLines/>
      <w:spacing w:after="180"/>
    </w:pPr>
    <w:rPr>
      <w:rFonts w:ascii="Cambria" w:hAnsi="Cambria"/>
      <w:b/>
      <w:bCs/>
      <w:kern w:val="28"/>
      <w:sz w:val="32"/>
      <w:szCs w:val="32"/>
    </w:rPr>
  </w:style>
  <w:style w:type="character" w:customStyle="1" w:styleId="TitleChar">
    <w:name w:val="Title Char"/>
    <w:link w:val="Title"/>
    <w:uiPriority w:val="10"/>
    <w:rsid w:val="00396F4C"/>
    <w:rPr>
      <w:rFonts w:ascii="Cambria" w:hAnsi="Cambria"/>
      <w:b/>
      <w:bCs/>
      <w:kern w:val="28"/>
      <w:sz w:val="32"/>
      <w:szCs w:val="32"/>
    </w:rPr>
  </w:style>
  <w:style w:type="character" w:styleId="Strong">
    <w:name w:val="Strong"/>
    <w:uiPriority w:val="99"/>
    <w:qFormat/>
    <w:rsid w:val="00396F4C"/>
    <w:rPr>
      <w:rFonts w:cs="Times New Roman"/>
      <w:b/>
      <w:bCs/>
    </w:rPr>
  </w:style>
  <w:style w:type="character" w:styleId="Emphasis">
    <w:name w:val="Emphasis"/>
    <w:uiPriority w:val="99"/>
    <w:qFormat/>
    <w:rsid w:val="00396F4C"/>
    <w:rPr>
      <w:rFonts w:cs="Times New Roman"/>
      <w:i/>
      <w:iCs/>
    </w:rPr>
  </w:style>
  <w:style w:type="paragraph" w:styleId="NoSpacing">
    <w:name w:val="No Spacing"/>
    <w:uiPriority w:val="99"/>
    <w:qFormat/>
    <w:rsid w:val="00396F4C"/>
    <w:rPr>
      <w:rFonts w:ascii="Calibri" w:hAnsi="Calibri"/>
      <w:sz w:val="22"/>
      <w:szCs w:val="22"/>
    </w:rPr>
  </w:style>
  <w:style w:type="paragraph" w:styleId="TOCHeading">
    <w:name w:val="TOC Heading"/>
    <w:basedOn w:val="Heading1"/>
    <w:uiPriority w:val="39"/>
    <w:qFormat/>
    <w:rsid w:val="00396F4C"/>
    <w:pPr>
      <w:pageBreakBefore w:val="0"/>
      <w:numPr>
        <w:numId w:val="0"/>
      </w:numPr>
      <w:tabs>
        <w:tab w:val="left" w:pos="360"/>
      </w:tabs>
    </w:pPr>
  </w:style>
  <w:style w:type="paragraph" w:customStyle="1" w:styleId="bulletlist">
    <w:name w:val="bullet list"/>
    <w:basedOn w:val="a"/>
    <w:rsid w:val="00FB69FE"/>
    <w:pPr>
      <w:keepLines/>
      <w:numPr>
        <w:numId w:val="4"/>
      </w:numPr>
      <w:tabs>
        <w:tab w:val="left" w:pos="0"/>
        <w:tab w:val="left" w:pos="1080"/>
      </w:tabs>
      <w:spacing w:line="276" w:lineRule="auto"/>
    </w:pPr>
    <w:rPr>
      <w:iCs/>
      <w:color w:val="000000"/>
    </w:rPr>
  </w:style>
  <w:style w:type="paragraph" w:styleId="Quote">
    <w:name w:val="Quote"/>
    <w:basedOn w:val="Normal"/>
    <w:next w:val="Normal"/>
    <w:link w:val="QuoteChar"/>
    <w:uiPriority w:val="29"/>
    <w:qFormat/>
    <w:rsid w:val="005A75FD"/>
    <w:pPr>
      <w:ind w:left="1440" w:right="1440"/>
      <w:jc w:val="both"/>
    </w:pPr>
    <w:rPr>
      <w:i/>
      <w:iCs/>
      <w:color w:val="000000" w:themeColor="text1"/>
      <w:sz w:val="22"/>
    </w:rPr>
  </w:style>
  <w:style w:type="character" w:customStyle="1" w:styleId="QuoteChar">
    <w:name w:val="Quote Char"/>
    <w:basedOn w:val="DefaultParagraphFont"/>
    <w:link w:val="Quote"/>
    <w:uiPriority w:val="29"/>
    <w:rsid w:val="005A75FD"/>
    <w:rPr>
      <w:i/>
      <w:iCs/>
      <w:color w:val="000000" w:themeColor="text1"/>
      <w:sz w:val="22"/>
    </w:rPr>
  </w:style>
  <w:style w:type="paragraph" w:customStyle="1" w:styleId="Exhibitnotes">
    <w:name w:val="Exhibit notes"/>
    <w:basedOn w:val="ExhibitLeft"/>
    <w:rsid w:val="005A75FD"/>
    <w:pPr>
      <w:keepNext/>
      <w:keepLines/>
    </w:pPr>
    <w:rPr>
      <w:sz w:val="22"/>
      <w:szCs w:val="24"/>
    </w:rPr>
  </w:style>
  <w:style w:type="paragraph" w:customStyle="1" w:styleId="Subheading">
    <w:name w:val="Subheading"/>
    <w:basedOn w:val="BodyText"/>
    <w:rsid w:val="003B3A98"/>
    <w:pPr>
      <w:keepNext/>
    </w:pPr>
    <w:rPr>
      <w:b/>
      <w:szCs w:val="24"/>
    </w:rPr>
  </w:style>
  <w:style w:type="paragraph" w:customStyle="1" w:styleId="Subheading2">
    <w:name w:val="Subheading 2"/>
    <w:basedOn w:val="BodyText"/>
    <w:rsid w:val="003B3A98"/>
    <w:pPr>
      <w:keepNext/>
      <w:spacing w:line="240" w:lineRule="auto"/>
    </w:pPr>
    <w:rPr>
      <w:szCs w:val="24"/>
      <w:u w:val="single"/>
    </w:rPr>
  </w:style>
  <w:style w:type="paragraph" w:customStyle="1" w:styleId="Foonote">
    <w:name w:val="Foonote"/>
    <w:basedOn w:val="Normal"/>
    <w:rsid w:val="00596832"/>
    <w:pPr>
      <w:spacing w:after="240"/>
    </w:pPr>
    <w:rPr>
      <w:sz w:val="18"/>
    </w:rPr>
  </w:style>
  <w:style w:type="character" w:customStyle="1" w:styleId="FooterChar">
    <w:name w:val="Footer Char"/>
    <w:basedOn w:val="DefaultParagraphFont"/>
    <w:link w:val="Footer"/>
    <w:uiPriority w:val="99"/>
    <w:rsid w:val="00893FAF"/>
    <w:rPr>
      <w:sz w:val="24"/>
    </w:rPr>
  </w:style>
  <w:style w:type="paragraph" w:customStyle="1" w:styleId="TableParagraph">
    <w:name w:val="Table Paragraph"/>
    <w:basedOn w:val="Normal"/>
    <w:uiPriority w:val="1"/>
    <w:qFormat/>
    <w:rsid w:val="001007C0"/>
    <w:pPr>
      <w:autoSpaceDE w:val="0"/>
      <w:autoSpaceDN w:val="0"/>
      <w:spacing w:before="40" w:after="40"/>
    </w:pPr>
    <w:rPr>
      <w:rFonts w:eastAsia="Garamond" w:cs="Garamond"/>
      <w:sz w:val="20"/>
      <w:szCs w:val="22"/>
    </w:rPr>
  </w:style>
  <w:style w:type="paragraph" w:customStyle="1" w:styleId="Tablenote">
    <w:name w:val="Table note"/>
    <w:basedOn w:val="Normal"/>
    <w:qFormat/>
    <w:rsid w:val="00011011"/>
    <w:pPr>
      <w:autoSpaceDE w:val="0"/>
      <w:autoSpaceDN w:val="0"/>
      <w:spacing w:before="40" w:after="240"/>
      <w:ind w:left="180" w:hanging="180"/>
      <w:contextualSpacing/>
    </w:pPr>
    <w:rPr>
      <w:sz w:val="18"/>
      <w:szCs w:val="16"/>
    </w:rPr>
  </w:style>
  <w:style w:type="paragraph" w:customStyle="1" w:styleId="Acronyms">
    <w:name w:val="Acronyms"/>
    <w:basedOn w:val="BodyText"/>
    <w:qFormat/>
    <w:rsid w:val="00B5091A"/>
    <w:pPr>
      <w:tabs>
        <w:tab w:val="left" w:pos="2339"/>
      </w:tabs>
      <w:autoSpaceDE w:val="0"/>
      <w:autoSpaceDN w:val="0"/>
      <w:spacing w:before="80" w:after="80" w:line="240" w:lineRule="auto"/>
    </w:pPr>
    <w:rPr>
      <w:szCs w:val="24"/>
    </w:rPr>
  </w:style>
  <w:style w:type="character" w:styleId="UnresolvedMention">
    <w:name w:val="Unresolved Mention"/>
    <w:basedOn w:val="DefaultParagraphFont"/>
    <w:uiPriority w:val="99"/>
    <w:unhideWhenUsed/>
    <w:rsid w:val="0047065A"/>
    <w:rPr>
      <w:color w:val="605E5C"/>
      <w:shd w:val="clear" w:color="auto" w:fill="E1DFDD"/>
    </w:rPr>
  </w:style>
  <w:style w:type="character" w:styleId="Mention">
    <w:name w:val="Mention"/>
    <w:basedOn w:val="DefaultParagraphFont"/>
    <w:uiPriority w:val="99"/>
    <w:unhideWhenUsed/>
    <w:rsid w:val="00F4736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yperlink" Target="http://water.epa.gov/scitech/" TargetMode="External" /><Relationship Id="rId14" Type="http://schemas.openxmlformats.org/officeDocument/2006/relationships/hyperlink" Target="https://www.epa.gov/wqs-tech/state-specific-water-quality-standards-effective-under-clean-water-act-cwa" TargetMode="External" /><Relationship Id="rId15" Type="http://schemas.openxmlformats.org/officeDocument/2006/relationships/hyperlink" Target="https://www.epa.gov/wqs-tech/federally-promulgated-water-quality-standards-specific-states-territories-and-tribes"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water.epa.gov/scitech/swguidance/standards/wqslibrary/approvtable.cf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2014-11-20T21:27:49+00:00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a149ff02-c332-4df2-a0b2-efa33f7e6d30">
      <UserInfo>
        <DisplayName/>
        <AccountId xsi:nil="true"/>
        <AccountType/>
      </UserInfo>
    </SharedWithUsers>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216AED2CEC31414AAA012175CB3A0EB5" ma:contentTypeVersion="6" ma:contentTypeDescription="Create a new document." ma:contentTypeScope="" ma:versionID="413f518ae74767964bb2323603af6324">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81a6c468-aaac-4988-8379-c4b480e64866" xmlns:ns6="a149ff02-c332-4df2-a0b2-efa33f7e6d30" targetNamespace="http://schemas.microsoft.com/office/2006/metadata/properties" ma:root="true" ma:fieldsID="8c36e1ad147e850c2dc7fdac7ad73180" ns1:_="" ns2:_="" ns3:_="" ns4:_="" ns5:_="" ns6:_="">
    <xsd:import namespace="http://schemas.microsoft.com/sharepoint/v3"/>
    <xsd:import namespace="4ffa91fb-a0ff-4ac5-b2db-65c790d184a4"/>
    <xsd:import namespace="http://schemas.microsoft.com/sharepoint.v3"/>
    <xsd:import namespace="http://schemas.microsoft.com/sharepoint/v3/fields"/>
    <xsd:import namespace="81a6c468-aaac-4988-8379-c4b480e64866"/>
    <xsd:import namespace="a149ff02-c332-4df2-a0b2-efa33f7e6d30"/>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2c0b2925-5869-4c9f-8b1a-18e001b6a62d}" ma:internalName="TaxCatchAllLabel" ma:readOnly="true" ma:showField="CatchAllDataLabel" ma:web="a149ff02-c332-4df2-a0b2-efa33f7e6d30">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2c0b2925-5869-4c9f-8b1a-18e001b6a62d}" ma:internalName="TaxCatchAll" ma:showField="CatchAllData" ma:web="a149ff02-c332-4df2-a0b2-efa33f7e6d3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a6c468-aaac-4988-8379-c4b480e64866"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49ff02-c332-4df2-a0b2-efa33f7e6d30"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386DF3-51D5-4005-9D2C-F1AE80476848}">
  <ds:schemaRefs>
    <ds:schemaRef ds:uri="http://schemas.openxmlformats.org/officeDocument/2006/bibliography"/>
  </ds:schemaRefs>
</ds:datastoreItem>
</file>

<file path=customXml/itemProps2.xml><?xml version="1.0" encoding="utf-8"?>
<ds:datastoreItem xmlns:ds="http://schemas.openxmlformats.org/officeDocument/2006/customXml" ds:itemID="{01B65458-D62B-436F-8AF6-953121790612}">
  <ds:schemaRefs>
    <ds:schemaRef ds:uri="http://schemas.openxmlformats.org/officeDocument/2006/bibliography"/>
  </ds:schemaRefs>
</ds:datastoreItem>
</file>

<file path=customXml/itemProps3.xml><?xml version="1.0" encoding="utf-8"?>
<ds:datastoreItem xmlns:ds="http://schemas.openxmlformats.org/officeDocument/2006/customXml" ds:itemID="{669FB8ED-2CED-4473-BAE1-944B5AFD99AD}">
  <ds:schemaRefs>
    <ds:schemaRef ds:uri="http://schemas.microsoft.com/sharepoint/v3/contenttype/forms"/>
  </ds:schemaRefs>
</ds:datastoreItem>
</file>

<file path=customXml/itemProps4.xml><?xml version="1.0" encoding="utf-8"?>
<ds:datastoreItem xmlns:ds="http://schemas.openxmlformats.org/officeDocument/2006/customXml" ds:itemID="{5AB852E8-A440-4F3B-8C83-E82ABB85637C}">
  <ds:schemaRefs>
    <ds:schemaRef ds:uri="Microsoft.SharePoint.Taxonomy.ContentTypeSync"/>
  </ds:schemaRefs>
</ds:datastoreItem>
</file>

<file path=customXml/itemProps5.xml><?xml version="1.0" encoding="utf-8"?>
<ds:datastoreItem xmlns:ds="http://schemas.openxmlformats.org/officeDocument/2006/customXml" ds:itemID="{38976F28-3F42-45AC-A1F5-B76B7FC1265B}">
  <ds:schemaRefs>
    <ds:schemaRef ds:uri="http://schemas.microsoft.com/office/infopath/2007/PartnerControls"/>
    <ds:schemaRef ds:uri="http://www.w3.org/XML/1998/namespace"/>
    <ds:schemaRef ds:uri="http://schemas.microsoft.com/office/2006/documentManagement/types"/>
    <ds:schemaRef ds:uri="http://purl.org/dc/dcmitype/"/>
    <ds:schemaRef ds:uri="a149ff02-c332-4df2-a0b2-efa33f7e6d30"/>
    <ds:schemaRef ds:uri="http://purl.org/dc/terms/"/>
    <ds:schemaRef ds:uri="http://schemas.microsoft.com/office/2006/metadata/properties"/>
    <ds:schemaRef ds:uri="http://schemas.openxmlformats.org/package/2006/metadata/core-properties"/>
    <ds:schemaRef ds:uri="http://schemas.microsoft.com/sharepoint.v3"/>
    <ds:schemaRef ds:uri="4ffa91fb-a0ff-4ac5-b2db-65c790d184a4"/>
    <ds:schemaRef ds:uri="http://purl.org/dc/elements/1.1/"/>
    <ds:schemaRef ds:uri="81a6c468-aaac-4988-8379-c4b480e64866"/>
    <ds:schemaRef ds:uri="http://schemas.microsoft.com/sharepoint/v3/fields"/>
    <ds:schemaRef ds:uri="http://schemas.microsoft.com/sharepoint/v3"/>
  </ds:schemaRefs>
</ds:datastoreItem>
</file>

<file path=customXml/itemProps6.xml><?xml version="1.0" encoding="utf-8"?>
<ds:datastoreItem xmlns:ds="http://schemas.openxmlformats.org/officeDocument/2006/customXml" ds:itemID="{0E97287D-A3D6-4168-A4B2-AA2AB4FEA5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81a6c468-aaac-4988-8379-c4b480e64866"/>
    <ds:schemaRef ds:uri="a149ff02-c332-4df2-a0b2-efa33f7e6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18</Pages>
  <Words>4886</Words>
  <Characters>29887</Characters>
  <Application>Microsoft Office Word</Application>
  <DocSecurity>0</DocSecurity>
  <Lines>249</Lines>
  <Paragraphs>69</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34704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Aguirre.Janita@epa.gov</dc:creator>
  <cp:lastModifiedBy>Brundage, Jennifer</cp:lastModifiedBy>
  <cp:revision>15</cp:revision>
  <cp:lastPrinted>2013-08-13T16:25:00Z</cp:lastPrinted>
  <dcterms:created xsi:type="dcterms:W3CDTF">2022-06-21T13:10:00Z</dcterms:created>
  <dcterms:modified xsi:type="dcterms:W3CDTF">2022-11-04T15:19:00Z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0x010100216AED2CEC31414AAA012175CB3A0EB5</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EPA_x0020_Subject">
    <vt:lpwstr/>
  </property>
  <property fmtid="{D5CDD505-2E9C-101B-9397-08002B2CF9AE}" pid="7" name="IsMyDocuments">
    <vt:bool>true</vt:bool>
  </property>
  <property fmtid="{D5CDD505-2E9C-101B-9397-08002B2CF9AE}" pid="8" name="TaxKeyword">
    <vt:lpwstr/>
  </property>
</Properties>
</file>