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8A0" w:rsidRPr="00B10A33" w:rsidP="00D608A0" w14:paraId="6A0F94A4" w14:textId="77777777">
      <w:pPr>
        <w:widowControl w:val="0"/>
        <w:autoSpaceDE w:val="0"/>
        <w:autoSpaceDN w:val="0"/>
        <w:spacing w:before="2376" w:after="0" w:line="240" w:lineRule="auto"/>
        <w:jc w:val="center"/>
        <w:rPr>
          <w:rFonts w:ascii="Times New Roman" w:eastAsia="Times New Roman" w:hAnsi="Times New Roman" w:cs="Times New Roman"/>
          <w:spacing w:val="8"/>
          <w:sz w:val="24"/>
          <w:szCs w:val="24"/>
        </w:rPr>
      </w:pPr>
      <w:r w:rsidRPr="00B10A33">
        <w:rPr>
          <w:rFonts w:ascii="Times New Roman" w:eastAsia="Times New Roman" w:hAnsi="Times New Roman" w:cs="Times New Roman"/>
          <w:spacing w:val="8"/>
          <w:sz w:val="24"/>
          <w:szCs w:val="24"/>
        </w:rPr>
        <w:t>Supporting Statement</w:t>
      </w:r>
      <w:r w:rsidRPr="00B10A33">
        <w:rPr>
          <w:rFonts w:ascii="Times New Roman" w:eastAsia="Times New Roman" w:hAnsi="Times New Roman" w:cs="Times New Roman"/>
          <w:spacing w:val="8"/>
          <w:sz w:val="24"/>
          <w:szCs w:val="24"/>
        </w:rPr>
        <w:br/>
        <w:t>for</w:t>
      </w:r>
      <w:r w:rsidRPr="00B10A33">
        <w:rPr>
          <w:rFonts w:ascii="Times New Roman" w:eastAsia="Times New Roman" w:hAnsi="Times New Roman" w:cs="Times New Roman"/>
          <w:spacing w:val="8"/>
          <w:sz w:val="24"/>
          <w:szCs w:val="24"/>
        </w:rPr>
        <w:br/>
        <w:t>Information Collection Request</w:t>
      </w:r>
    </w:p>
    <w:p w:rsidR="006F6195" w:rsidRPr="00B10A33" w14:paraId="72C656E1" w14:textId="77777777"/>
    <w:p w:rsidR="00D608A0" w:rsidRPr="00B10A33" w:rsidP="00D608A0" w14:paraId="3DFFE6E1" w14:textId="346C7485">
      <w:pPr>
        <w:jc w:val="center"/>
        <w:rPr>
          <w:rFonts w:ascii="Times New Roman" w:hAnsi="Times New Roman" w:cs="Times New Roman"/>
          <w:sz w:val="24"/>
          <w:szCs w:val="24"/>
        </w:rPr>
      </w:pPr>
      <w:r w:rsidRPr="00B10A33">
        <w:rPr>
          <w:rFonts w:ascii="Times New Roman" w:hAnsi="Times New Roman" w:cs="Times New Roman"/>
          <w:sz w:val="24"/>
          <w:szCs w:val="24"/>
        </w:rPr>
        <w:t>On-Highway Motorcycle Certification and Compliance Program</w:t>
      </w:r>
      <w:r w:rsidRPr="00B10A33" w:rsidR="00CE5CCD">
        <w:rPr>
          <w:rFonts w:ascii="Times New Roman" w:hAnsi="Times New Roman" w:cs="Times New Roman"/>
          <w:sz w:val="24"/>
          <w:szCs w:val="24"/>
        </w:rPr>
        <w:t xml:space="preserve"> (Renewal)</w:t>
      </w:r>
    </w:p>
    <w:p w:rsidR="00D608A0" w:rsidRPr="00B10A33" w:rsidP="00D608A0" w14:paraId="1D492A5F" w14:textId="0BF3273F">
      <w:pPr>
        <w:jc w:val="center"/>
        <w:rPr>
          <w:rFonts w:ascii="Times New Roman" w:hAnsi="Times New Roman" w:cs="Times New Roman"/>
          <w:sz w:val="24"/>
          <w:szCs w:val="24"/>
        </w:rPr>
      </w:pPr>
      <w:r w:rsidRPr="00B10A33">
        <w:rPr>
          <w:rFonts w:ascii="Times New Roman" w:hAnsi="Times New Roman" w:cs="Times New Roman"/>
          <w:sz w:val="24"/>
          <w:szCs w:val="24"/>
        </w:rPr>
        <w:t>EPA ICR Number 2535.0</w:t>
      </w:r>
      <w:r w:rsidRPr="00B10A33" w:rsidR="00806B73">
        <w:rPr>
          <w:rFonts w:ascii="Times New Roman" w:hAnsi="Times New Roman" w:cs="Times New Roman"/>
          <w:sz w:val="24"/>
          <w:szCs w:val="24"/>
        </w:rPr>
        <w:t>3</w:t>
      </w:r>
    </w:p>
    <w:p w:rsidR="00D608A0" w:rsidRPr="00B10A33" w:rsidP="00D608A0" w14:paraId="1AEB2FD1" w14:textId="77777777">
      <w:pPr>
        <w:jc w:val="center"/>
        <w:rPr>
          <w:rFonts w:ascii="Times New Roman" w:hAnsi="Times New Roman" w:cs="Times New Roman"/>
          <w:sz w:val="24"/>
          <w:szCs w:val="24"/>
        </w:rPr>
      </w:pPr>
    </w:p>
    <w:p w:rsidR="00D608A0" w:rsidRPr="00B10A33" w:rsidP="00D608A0" w14:paraId="4B962C55" w14:textId="77777777">
      <w:pPr>
        <w:jc w:val="center"/>
        <w:rPr>
          <w:rFonts w:ascii="Times New Roman" w:hAnsi="Times New Roman" w:cs="Times New Roman"/>
          <w:sz w:val="24"/>
          <w:szCs w:val="24"/>
        </w:rPr>
      </w:pPr>
    </w:p>
    <w:p w:rsidR="00D608A0" w:rsidRPr="00B10A33" w:rsidP="00D608A0" w14:paraId="5B2F96B0" w14:textId="77777777">
      <w:pPr>
        <w:jc w:val="center"/>
        <w:rPr>
          <w:rFonts w:ascii="Times New Roman" w:hAnsi="Times New Roman" w:cs="Times New Roman"/>
          <w:sz w:val="24"/>
          <w:szCs w:val="24"/>
        </w:rPr>
      </w:pPr>
    </w:p>
    <w:p w:rsidR="00D608A0" w:rsidRPr="00B10A33" w:rsidP="00D608A0" w14:paraId="4BB4C7A9" w14:textId="77777777">
      <w:pPr>
        <w:jc w:val="center"/>
        <w:rPr>
          <w:rFonts w:ascii="Times New Roman" w:hAnsi="Times New Roman" w:cs="Times New Roman"/>
          <w:sz w:val="24"/>
          <w:szCs w:val="24"/>
        </w:rPr>
      </w:pPr>
    </w:p>
    <w:p w:rsidR="00D608A0" w:rsidRPr="00B10A33" w:rsidP="00D608A0" w14:paraId="052F73F2" w14:textId="77777777">
      <w:pPr>
        <w:jc w:val="center"/>
        <w:rPr>
          <w:rFonts w:ascii="Times New Roman" w:hAnsi="Times New Roman" w:cs="Times New Roman"/>
          <w:sz w:val="24"/>
          <w:szCs w:val="24"/>
        </w:rPr>
      </w:pPr>
    </w:p>
    <w:p w:rsidR="00D608A0" w:rsidRPr="00B10A33" w:rsidP="00D608A0" w14:paraId="087FB58D" w14:textId="77777777">
      <w:pPr>
        <w:spacing w:after="0" w:line="240" w:lineRule="auto"/>
        <w:jc w:val="center"/>
        <w:rPr>
          <w:rFonts w:ascii="Times New Roman" w:hAnsi="Times New Roman" w:cs="Times New Roman"/>
          <w:sz w:val="24"/>
          <w:szCs w:val="24"/>
        </w:rPr>
      </w:pPr>
      <w:r w:rsidRPr="00B10A33">
        <w:rPr>
          <w:rFonts w:ascii="Times New Roman" w:hAnsi="Times New Roman" w:cs="Times New Roman"/>
          <w:sz w:val="24"/>
          <w:szCs w:val="24"/>
        </w:rPr>
        <w:t>Compliance Division</w:t>
      </w:r>
    </w:p>
    <w:p w:rsidR="00D608A0" w:rsidRPr="00B10A33" w:rsidP="00D608A0" w14:paraId="2664A343" w14:textId="77777777">
      <w:pPr>
        <w:spacing w:after="0" w:line="240" w:lineRule="auto"/>
        <w:jc w:val="center"/>
        <w:rPr>
          <w:rFonts w:ascii="Times New Roman" w:hAnsi="Times New Roman" w:cs="Times New Roman"/>
          <w:sz w:val="24"/>
          <w:szCs w:val="24"/>
        </w:rPr>
      </w:pPr>
      <w:r w:rsidRPr="00B10A33">
        <w:rPr>
          <w:rFonts w:ascii="Times New Roman" w:hAnsi="Times New Roman" w:cs="Times New Roman"/>
          <w:sz w:val="24"/>
          <w:szCs w:val="24"/>
        </w:rPr>
        <w:t>Office of Transportation and Air Quality</w:t>
      </w:r>
    </w:p>
    <w:p w:rsidR="00D608A0" w:rsidRPr="00B10A33" w:rsidP="00D608A0" w14:paraId="7DD80E4A" w14:textId="77777777">
      <w:pPr>
        <w:spacing w:after="0" w:line="240" w:lineRule="auto"/>
        <w:jc w:val="center"/>
        <w:rPr>
          <w:rFonts w:ascii="Times New Roman" w:hAnsi="Times New Roman" w:cs="Times New Roman"/>
          <w:sz w:val="24"/>
          <w:szCs w:val="24"/>
        </w:rPr>
      </w:pPr>
      <w:r w:rsidRPr="00B10A33">
        <w:rPr>
          <w:rFonts w:ascii="Times New Roman" w:hAnsi="Times New Roman" w:cs="Times New Roman"/>
          <w:sz w:val="24"/>
          <w:szCs w:val="24"/>
        </w:rPr>
        <w:t>Office of Air and Radiation</w:t>
      </w:r>
    </w:p>
    <w:p w:rsidR="00D608A0" w:rsidRPr="00B10A33" w:rsidP="00D608A0" w14:paraId="64A91BA0" w14:textId="77777777">
      <w:pPr>
        <w:spacing w:after="0" w:line="240" w:lineRule="auto"/>
        <w:jc w:val="center"/>
        <w:rPr>
          <w:rFonts w:ascii="Times New Roman" w:hAnsi="Times New Roman" w:cs="Times New Roman"/>
          <w:sz w:val="24"/>
          <w:szCs w:val="24"/>
        </w:rPr>
      </w:pPr>
      <w:r w:rsidRPr="00B10A33">
        <w:rPr>
          <w:rFonts w:ascii="Times New Roman" w:hAnsi="Times New Roman" w:cs="Times New Roman"/>
          <w:sz w:val="24"/>
          <w:szCs w:val="24"/>
        </w:rPr>
        <w:t>U.S. Environmental Protection Agency</w:t>
      </w:r>
    </w:p>
    <w:p w:rsidR="00D608A0" w:rsidRPr="00B10A33" w:rsidP="00D608A0" w14:paraId="4695B4F2" w14:textId="77777777">
      <w:pPr>
        <w:spacing w:after="0" w:line="240" w:lineRule="auto"/>
        <w:jc w:val="center"/>
        <w:rPr>
          <w:rFonts w:ascii="Times New Roman" w:hAnsi="Times New Roman" w:cs="Times New Roman"/>
          <w:sz w:val="24"/>
          <w:szCs w:val="24"/>
        </w:rPr>
      </w:pPr>
    </w:p>
    <w:p w:rsidR="00D608A0" w:rsidRPr="00B10A33" w14:paraId="784B905C" w14:textId="77777777">
      <w:pPr>
        <w:rPr>
          <w:rFonts w:ascii="Times New Roman" w:hAnsi="Times New Roman" w:cs="Times New Roman"/>
          <w:sz w:val="24"/>
          <w:szCs w:val="24"/>
        </w:rPr>
      </w:pPr>
      <w:r w:rsidRPr="00B10A33">
        <w:rPr>
          <w:rFonts w:ascii="Times New Roman" w:hAnsi="Times New Roman" w:cs="Times New Roman"/>
          <w:sz w:val="24"/>
          <w:szCs w:val="24"/>
        </w:rPr>
        <w:br w:type="page"/>
      </w:r>
    </w:p>
    <w:p w:rsidR="00D608A0" w:rsidRPr="00B10A33" w:rsidP="00D608A0" w14:paraId="05EE2192" w14:textId="77777777">
      <w:pPr>
        <w:spacing w:after="0" w:line="240" w:lineRule="auto"/>
        <w:jc w:val="center"/>
        <w:rPr>
          <w:rFonts w:ascii="Times New Roman" w:hAnsi="Times New Roman" w:cs="Times New Roman"/>
          <w:sz w:val="24"/>
          <w:szCs w:val="24"/>
        </w:rPr>
      </w:pPr>
      <w:r w:rsidRPr="00B10A33">
        <w:rPr>
          <w:rFonts w:ascii="Times New Roman" w:hAnsi="Times New Roman" w:cs="Times New Roman"/>
          <w:sz w:val="24"/>
          <w:szCs w:val="24"/>
        </w:rPr>
        <w:t xml:space="preserve">Part A </w:t>
      </w:r>
      <w:r w:rsidRPr="00B10A33" w:rsidR="00DD779A">
        <w:rPr>
          <w:rFonts w:ascii="Times New Roman" w:hAnsi="Times New Roman" w:cs="Times New Roman"/>
          <w:sz w:val="24"/>
          <w:szCs w:val="24"/>
        </w:rPr>
        <w:t>of the Supporting Statement</w:t>
      </w:r>
    </w:p>
    <w:p w:rsidR="00DD779A" w:rsidRPr="00B10A33" w:rsidP="00D608A0" w14:paraId="1B8A932A" w14:textId="77777777">
      <w:pPr>
        <w:widowControl w:val="0"/>
        <w:autoSpaceDE w:val="0"/>
        <w:autoSpaceDN w:val="0"/>
        <w:spacing w:after="0" w:line="480" w:lineRule="auto"/>
        <w:ind w:right="3456" w:firstLine="3456"/>
        <w:rPr>
          <w:rFonts w:ascii="Times New Roman" w:hAnsi="Times New Roman" w:cs="Times New Roman"/>
          <w:sz w:val="24"/>
          <w:szCs w:val="24"/>
        </w:rPr>
      </w:pPr>
    </w:p>
    <w:p w:rsidR="00D608A0" w:rsidRPr="00B10A33" w:rsidP="00DD779A" w14:paraId="2E3C83C8" w14:textId="77777777">
      <w:pPr>
        <w:widowControl w:val="0"/>
        <w:autoSpaceDE w:val="0"/>
        <w:autoSpaceDN w:val="0"/>
        <w:spacing w:after="0" w:line="480" w:lineRule="auto"/>
        <w:rPr>
          <w:rFonts w:ascii="Times New Roman" w:eastAsia="Times New Roman" w:hAnsi="Times New Roman" w:cs="Times New Roman"/>
          <w:spacing w:val="6"/>
          <w:sz w:val="24"/>
          <w:szCs w:val="24"/>
          <w:u w:val="single"/>
        </w:rPr>
      </w:pPr>
      <w:r w:rsidRPr="00B10A33">
        <w:rPr>
          <w:rFonts w:ascii="Times New Roman" w:eastAsia="Times New Roman" w:hAnsi="Times New Roman" w:cs="Times New Roman"/>
          <w:spacing w:val="6"/>
          <w:sz w:val="24"/>
          <w:szCs w:val="24"/>
          <w:u w:val="single"/>
        </w:rPr>
        <w:t>Section 1: Identification of the Information Collection</w:t>
      </w:r>
    </w:p>
    <w:p w:rsidR="00D608A0" w:rsidRPr="00B10A33" w:rsidP="00D608A0" w14:paraId="62985B1B" w14:textId="77777777">
      <w:pPr>
        <w:widowControl w:val="0"/>
        <w:autoSpaceDE w:val="0"/>
        <w:autoSpaceDN w:val="0"/>
        <w:spacing w:after="0" w:line="480" w:lineRule="auto"/>
        <w:ind w:right="3456"/>
        <w:outlineLvl w:val="0"/>
        <w:rPr>
          <w:rFonts w:ascii="Times New Roman" w:eastAsia="Times New Roman" w:hAnsi="Times New Roman" w:cs="Times New Roman"/>
          <w:spacing w:val="6"/>
          <w:sz w:val="24"/>
          <w:szCs w:val="24"/>
        </w:rPr>
      </w:pPr>
      <w:r w:rsidRPr="00B10A33">
        <w:rPr>
          <w:rFonts w:ascii="Times New Roman" w:eastAsia="Times New Roman" w:hAnsi="Times New Roman" w:cs="Times New Roman"/>
          <w:spacing w:val="6"/>
          <w:sz w:val="24"/>
          <w:szCs w:val="24"/>
        </w:rPr>
        <w:t xml:space="preserve">1(a) </w:t>
      </w:r>
      <w:r w:rsidRPr="00B10A33">
        <w:rPr>
          <w:rFonts w:ascii="Times New Roman" w:eastAsia="Times New Roman" w:hAnsi="Times New Roman" w:cs="Times New Roman"/>
          <w:spacing w:val="6"/>
          <w:sz w:val="24"/>
          <w:szCs w:val="24"/>
          <w:u w:val="single"/>
        </w:rPr>
        <w:t>Title and Number of the Information Collection</w:t>
      </w:r>
    </w:p>
    <w:p w:rsidR="00D608A0" w:rsidRPr="00B10A33" w:rsidP="00D608A0" w14:paraId="09EC17A5" w14:textId="03BD4B5C">
      <w:pPr>
        <w:widowControl w:val="0"/>
        <w:autoSpaceDE w:val="0"/>
        <w:autoSpaceDN w:val="0"/>
        <w:spacing w:after="0" w:line="240" w:lineRule="auto"/>
        <w:rPr>
          <w:rFonts w:ascii="Times New Roman" w:eastAsia="Times New Roman" w:hAnsi="Times New Roman" w:cs="Times New Roman"/>
          <w:spacing w:val="6"/>
          <w:sz w:val="24"/>
          <w:szCs w:val="24"/>
        </w:rPr>
      </w:pPr>
      <w:r w:rsidRPr="00B10A33">
        <w:rPr>
          <w:rFonts w:ascii="Times New Roman" w:eastAsia="Times New Roman" w:hAnsi="Times New Roman" w:cs="Times New Roman"/>
          <w:spacing w:val="6"/>
          <w:sz w:val="24"/>
          <w:szCs w:val="24"/>
        </w:rPr>
        <w:t xml:space="preserve">On-Highway Motorcycle </w:t>
      </w:r>
      <w:r w:rsidRPr="00B10A33" w:rsidR="00B85F7C">
        <w:rPr>
          <w:rFonts w:ascii="Times New Roman" w:eastAsia="Times New Roman" w:hAnsi="Times New Roman" w:cs="Times New Roman"/>
          <w:spacing w:val="6"/>
          <w:sz w:val="24"/>
          <w:szCs w:val="24"/>
        </w:rPr>
        <w:t xml:space="preserve">(HMC) </w:t>
      </w:r>
      <w:r w:rsidRPr="00B10A33">
        <w:rPr>
          <w:rFonts w:ascii="Times New Roman" w:eastAsia="Times New Roman" w:hAnsi="Times New Roman" w:cs="Times New Roman"/>
          <w:spacing w:val="6"/>
          <w:sz w:val="24"/>
          <w:szCs w:val="24"/>
        </w:rPr>
        <w:t>Certification and Compliance Program</w:t>
      </w:r>
      <w:r w:rsidRPr="00B10A33" w:rsidR="000578E9">
        <w:rPr>
          <w:rFonts w:ascii="Times New Roman" w:eastAsia="Times New Roman" w:hAnsi="Times New Roman" w:cs="Times New Roman"/>
          <w:spacing w:val="6"/>
          <w:sz w:val="24"/>
          <w:szCs w:val="24"/>
        </w:rPr>
        <w:t xml:space="preserve"> (Renewal)</w:t>
      </w:r>
      <w:r w:rsidRPr="00B10A33" w:rsidR="002F037B">
        <w:rPr>
          <w:rFonts w:ascii="Times New Roman" w:eastAsia="Times New Roman" w:hAnsi="Times New Roman" w:cs="Times New Roman"/>
          <w:spacing w:val="6"/>
          <w:sz w:val="24"/>
          <w:szCs w:val="24"/>
        </w:rPr>
        <w:t>;</w:t>
      </w:r>
      <w:r w:rsidRPr="00B10A33">
        <w:rPr>
          <w:rFonts w:ascii="Times New Roman" w:eastAsia="Times New Roman" w:hAnsi="Times New Roman" w:cs="Times New Roman"/>
          <w:spacing w:val="6"/>
          <w:sz w:val="24"/>
          <w:szCs w:val="24"/>
        </w:rPr>
        <w:t xml:space="preserve"> EPA</w:t>
      </w:r>
      <w:r w:rsidRPr="00B10A33" w:rsidR="002F037B">
        <w:rPr>
          <w:rFonts w:ascii="Times New Roman" w:eastAsia="Times New Roman" w:hAnsi="Times New Roman" w:cs="Times New Roman"/>
          <w:spacing w:val="6"/>
          <w:sz w:val="24"/>
          <w:szCs w:val="24"/>
        </w:rPr>
        <w:t xml:space="preserve"> </w:t>
      </w:r>
      <w:r w:rsidRPr="00B10A33">
        <w:rPr>
          <w:rFonts w:ascii="Times New Roman" w:eastAsia="Times New Roman" w:hAnsi="Times New Roman" w:cs="Times New Roman"/>
          <w:spacing w:val="6"/>
          <w:sz w:val="24"/>
          <w:szCs w:val="24"/>
        </w:rPr>
        <w:t>ICR Number</w:t>
      </w:r>
      <w:r w:rsidRPr="00B10A33" w:rsidR="002F037B">
        <w:rPr>
          <w:rFonts w:ascii="Times New Roman" w:eastAsia="Times New Roman" w:hAnsi="Times New Roman" w:cs="Times New Roman"/>
          <w:spacing w:val="6"/>
          <w:sz w:val="24"/>
          <w:szCs w:val="24"/>
        </w:rPr>
        <w:t>:</w:t>
      </w:r>
      <w:r w:rsidRPr="00B10A33">
        <w:rPr>
          <w:rFonts w:ascii="Times New Roman" w:eastAsia="Times New Roman" w:hAnsi="Times New Roman" w:cs="Times New Roman"/>
          <w:spacing w:val="6"/>
          <w:sz w:val="24"/>
          <w:szCs w:val="24"/>
        </w:rPr>
        <w:t xml:space="preserve"> 2535.0</w:t>
      </w:r>
      <w:r w:rsidRPr="00B10A33" w:rsidR="00806B73">
        <w:rPr>
          <w:rFonts w:ascii="Times New Roman" w:eastAsia="Times New Roman" w:hAnsi="Times New Roman" w:cs="Times New Roman"/>
          <w:spacing w:val="6"/>
          <w:sz w:val="24"/>
          <w:szCs w:val="24"/>
        </w:rPr>
        <w:t>3</w:t>
      </w:r>
      <w:r w:rsidRPr="00B10A33" w:rsidR="002F037B">
        <w:rPr>
          <w:rFonts w:ascii="Times New Roman" w:eastAsia="Times New Roman" w:hAnsi="Times New Roman" w:cs="Times New Roman"/>
          <w:spacing w:val="6"/>
          <w:sz w:val="24"/>
          <w:szCs w:val="24"/>
        </w:rPr>
        <w:t xml:space="preserve">; </w:t>
      </w:r>
      <w:r w:rsidRPr="00B10A33" w:rsidR="00327312">
        <w:rPr>
          <w:rFonts w:ascii="Times New Roman" w:eastAsia="Times New Roman" w:hAnsi="Times New Roman" w:cs="Times New Roman"/>
          <w:spacing w:val="6"/>
          <w:sz w:val="24"/>
          <w:szCs w:val="24"/>
        </w:rPr>
        <w:t>OM</w:t>
      </w:r>
      <w:r w:rsidRPr="00B10A33" w:rsidR="002F037B">
        <w:rPr>
          <w:rFonts w:ascii="Times New Roman" w:eastAsia="Times New Roman" w:hAnsi="Times New Roman" w:cs="Times New Roman"/>
          <w:spacing w:val="6"/>
          <w:sz w:val="24"/>
          <w:szCs w:val="24"/>
        </w:rPr>
        <w:t>B</w:t>
      </w:r>
      <w:r w:rsidRPr="00B10A33" w:rsidR="00327312">
        <w:rPr>
          <w:rFonts w:ascii="Times New Roman" w:eastAsia="Times New Roman" w:hAnsi="Times New Roman" w:cs="Times New Roman"/>
          <w:spacing w:val="6"/>
          <w:sz w:val="24"/>
          <w:szCs w:val="24"/>
        </w:rPr>
        <w:t xml:space="preserve"> Control Number </w:t>
      </w:r>
      <w:r w:rsidRPr="00B10A33" w:rsidR="00327312">
        <w:rPr>
          <w:rFonts w:ascii="Times New Roman" w:hAnsi="Times New Roman" w:cs="Times New Roman"/>
          <w:sz w:val="24"/>
          <w:szCs w:val="24"/>
        </w:rPr>
        <w:t>2060-0710</w:t>
      </w:r>
      <w:r w:rsidRPr="00B10A33" w:rsidR="00327312">
        <w:rPr>
          <w:rFonts w:ascii="Times New Roman" w:eastAsia="Times New Roman" w:hAnsi="Times New Roman" w:cs="Times New Roman"/>
          <w:spacing w:val="6"/>
          <w:sz w:val="24"/>
          <w:szCs w:val="24"/>
        </w:rPr>
        <w:t xml:space="preserve">. </w:t>
      </w:r>
    </w:p>
    <w:p w:rsidR="00D608A0" w:rsidRPr="00B10A33" w:rsidP="00D608A0" w14:paraId="4153B995" w14:textId="77777777">
      <w:pPr>
        <w:widowControl w:val="0"/>
        <w:autoSpaceDE w:val="0"/>
        <w:autoSpaceDN w:val="0"/>
        <w:spacing w:after="0" w:line="240" w:lineRule="auto"/>
        <w:rPr>
          <w:rFonts w:ascii="Times New Roman" w:eastAsia="Times New Roman" w:hAnsi="Times New Roman" w:cs="Times New Roman"/>
          <w:spacing w:val="6"/>
          <w:sz w:val="24"/>
          <w:szCs w:val="24"/>
        </w:rPr>
      </w:pPr>
    </w:p>
    <w:p w:rsidR="00D608A0" w:rsidRPr="00B10A33" w:rsidP="00D608A0" w14:paraId="44035C26" w14:textId="77777777">
      <w:pPr>
        <w:widowControl w:val="0"/>
        <w:autoSpaceDE w:val="0"/>
        <w:autoSpaceDN w:val="0"/>
        <w:spacing w:after="0" w:line="240" w:lineRule="auto"/>
        <w:rPr>
          <w:rFonts w:ascii="Times New Roman" w:eastAsia="Times New Roman" w:hAnsi="Times New Roman" w:cs="Times New Roman"/>
          <w:spacing w:val="6"/>
          <w:sz w:val="24"/>
          <w:szCs w:val="24"/>
        </w:rPr>
      </w:pPr>
      <w:r w:rsidRPr="00B10A33">
        <w:rPr>
          <w:rFonts w:ascii="Times New Roman" w:eastAsia="Times New Roman" w:hAnsi="Times New Roman" w:cs="Times New Roman"/>
          <w:spacing w:val="6"/>
          <w:sz w:val="24"/>
          <w:szCs w:val="24"/>
        </w:rPr>
        <w:t xml:space="preserve">1(b) </w:t>
      </w:r>
      <w:r w:rsidRPr="00B10A33">
        <w:rPr>
          <w:rFonts w:ascii="Times New Roman" w:eastAsia="Times New Roman" w:hAnsi="Times New Roman" w:cs="Times New Roman"/>
          <w:spacing w:val="6"/>
          <w:sz w:val="24"/>
          <w:szCs w:val="24"/>
          <w:u w:val="single"/>
        </w:rPr>
        <w:t>Short Characterization/Abstract</w:t>
      </w:r>
    </w:p>
    <w:p w:rsidR="00D608A0" w:rsidRPr="00B10A33" w:rsidP="00D608A0" w14:paraId="4FF30189" w14:textId="77777777">
      <w:pPr>
        <w:spacing w:after="0" w:line="240" w:lineRule="auto"/>
        <w:rPr>
          <w:rFonts w:ascii="Times New Roman" w:hAnsi="Times New Roman" w:cs="Times New Roman"/>
          <w:sz w:val="24"/>
          <w:szCs w:val="24"/>
        </w:rPr>
      </w:pPr>
    </w:p>
    <w:p w:rsidR="009A2618" w:rsidRPr="00B10A33" w:rsidP="00D608A0" w14:paraId="388EB58B" w14:textId="3A0A0F54">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Under the Clean Air Act (42 U.S.C. 7521 et seq.) manufacturers and importers of on-highway motorcycles must have a certificate of conformity issued by </w:t>
      </w:r>
      <w:r w:rsidRPr="00B10A33" w:rsidR="0098599F">
        <w:rPr>
          <w:rFonts w:ascii="Times New Roman" w:hAnsi="Times New Roman" w:cs="Times New Roman"/>
          <w:sz w:val="24"/>
          <w:szCs w:val="24"/>
        </w:rPr>
        <w:t xml:space="preserve">the </w:t>
      </w:r>
      <w:r w:rsidRPr="00B10A33">
        <w:rPr>
          <w:rFonts w:ascii="Times New Roman" w:hAnsi="Times New Roman" w:cs="Times New Roman"/>
          <w:sz w:val="24"/>
          <w:szCs w:val="24"/>
        </w:rPr>
        <w:t xml:space="preserve">EPA covering any vehicle they intend to offer for sale in the United States. A certificate of conformity represents </w:t>
      </w:r>
      <w:r w:rsidRPr="00B10A33">
        <w:rPr>
          <w:rFonts w:ascii="Times New Roman" w:hAnsi="Times New Roman" w:cs="Times New Roman"/>
          <w:sz w:val="24"/>
          <w:szCs w:val="24"/>
        </w:rPr>
        <w:t xml:space="preserve">to the prospective purchaser </w:t>
      </w:r>
      <w:r w:rsidRPr="00B10A33">
        <w:rPr>
          <w:rFonts w:ascii="Times New Roman" w:hAnsi="Times New Roman" w:cs="Times New Roman"/>
          <w:sz w:val="24"/>
          <w:szCs w:val="24"/>
        </w:rPr>
        <w:t>that the respective vehicle conforms to all applicable emissions requirements. In issuing a certificate of conformity,</w:t>
      </w:r>
      <w:r w:rsidRPr="00B10A33" w:rsidR="0098599F">
        <w:rPr>
          <w:rFonts w:ascii="Times New Roman" w:hAnsi="Times New Roman" w:cs="Times New Roman"/>
          <w:sz w:val="24"/>
          <w:szCs w:val="24"/>
        </w:rPr>
        <w:t xml:space="preserve"> the</w:t>
      </w:r>
      <w:r w:rsidRPr="00B10A33">
        <w:rPr>
          <w:rFonts w:ascii="Times New Roman" w:hAnsi="Times New Roman" w:cs="Times New Roman"/>
          <w:sz w:val="24"/>
          <w:szCs w:val="24"/>
        </w:rPr>
        <w:t xml:space="preserve"> EPA reviews vehicle information and emissions test data to determine if the required testing has been performed </w:t>
      </w:r>
      <w:r w:rsidRPr="00B10A33">
        <w:rPr>
          <w:rFonts w:ascii="Times New Roman" w:hAnsi="Times New Roman" w:cs="Times New Roman"/>
          <w:sz w:val="24"/>
          <w:szCs w:val="24"/>
        </w:rPr>
        <w:t xml:space="preserve">by the certificate applicant </w:t>
      </w:r>
      <w:r w:rsidRPr="00B10A33">
        <w:rPr>
          <w:rFonts w:ascii="Times New Roman" w:hAnsi="Times New Roman" w:cs="Times New Roman"/>
          <w:sz w:val="24"/>
          <w:szCs w:val="24"/>
        </w:rPr>
        <w:t xml:space="preserve">and the required emissions levels have been demonstrated. After a certificate of conformity has been issued, the Agency may request additional information to verify that the product continues to meet its certified emissions standards throughout its useful life. </w:t>
      </w:r>
    </w:p>
    <w:p w:rsidR="000578E9" w:rsidRPr="00B10A33" w:rsidP="00D608A0" w14:paraId="30DBDD12" w14:textId="77777777">
      <w:pPr>
        <w:spacing w:after="0" w:line="240" w:lineRule="auto"/>
        <w:rPr>
          <w:rFonts w:ascii="Times New Roman" w:hAnsi="Times New Roman" w:cs="Times New Roman"/>
          <w:sz w:val="24"/>
          <w:szCs w:val="24"/>
        </w:rPr>
      </w:pPr>
    </w:p>
    <w:p w:rsidR="009A2618" w:rsidRPr="00B10A33" w:rsidP="00D608A0" w14:paraId="43BD5497" w14:textId="63740952">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The </w:t>
      </w:r>
      <w:r w:rsidRPr="00B10A33" w:rsidR="000578E9">
        <w:rPr>
          <w:rFonts w:ascii="Times New Roman" w:hAnsi="Times New Roman" w:cs="Times New Roman"/>
          <w:sz w:val="24"/>
          <w:szCs w:val="24"/>
        </w:rPr>
        <w:t xml:space="preserve">burdens under this </w:t>
      </w:r>
      <w:r w:rsidRPr="00B10A33" w:rsidR="0098599F">
        <w:rPr>
          <w:rFonts w:ascii="Times New Roman" w:hAnsi="Times New Roman" w:cs="Times New Roman"/>
          <w:sz w:val="24"/>
          <w:szCs w:val="24"/>
        </w:rPr>
        <w:t>HMC</w:t>
      </w:r>
      <w:r w:rsidRPr="00B10A33" w:rsidR="001033AA">
        <w:rPr>
          <w:rFonts w:ascii="Times New Roman" w:hAnsi="Times New Roman" w:cs="Times New Roman"/>
          <w:sz w:val="24"/>
          <w:szCs w:val="24"/>
        </w:rPr>
        <w:t xml:space="preserve"> </w:t>
      </w:r>
      <w:r w:rsidRPr="00B10A33">
        <w:rPr>
          <w:rFonts w:ascii="Times New Roman" w:hAnsi="Times New Roman" w:cs="Times New Roman"/>
          <w:sz w:val="24"/>
          <w:szCs w:val="24"/>
        </w:rPr>
        <w:t xml:space="preserve">ICR </w:t>
      </w:r>
      <w:r w:rsidRPr="00B10A33" w:rsidR="00ED7BF2">
        <w:rPr>
          <w:rFonts w:ascii="Times New Roman" w:hAnsi="Times New Roman" w:cs="Times New Roman"/>
          <w:sz w:val="24"/>
          <w:szCs w:val="24"/>
        </w:rPr>
        <w:t xml:space="preserve">cover </w:t>
      </w:r>
      <w:r w:rsidRPr="00B10A33">
        <w:rPr>
          <w:rFonts w:ascii="Times New Roman" w:hAnsi="Times New Roman" w:cs="Times New Roman"/>
          <w:sz w:val="24"/>
          <w:szCs w:val="24"/>
        </w:rPr>
        <w:t xml:space="preserve">the application </w:t>
      </w:r>
      <w:r w:rsidRPr="00B10A33" w:rsidR="00D573E7">
        <w:rPr>
          <w:rFonts w:ascii="Times New Roman" w:hAnsi="Times New Roman" w:cs="Times New Roman"/>
          <w:sz w:val="24"/>
          <w:szCs w:val="24"/>
        </w:rPr>
        <w:t xml:space="preserve">for a certificate of conformity </w:t>
      </w:r>
      <w:r w:rsidRPr="00B10A33">
        <w:rPr>
          <w:rFonts w:ascii="Times New Roman" w:hAnsi="Times New Roman" w:cs="Times New Roman"/>
          <w:sz w:val="24"/>
          <w:szCs w:val="24"/>
        </w:rPr>
        <w:t xml:space="preserve">(and supporting test results) submitted by </w:t>
      </w:r>
      <w:r w:rsidRPr="00B10A33" w:rsidR="00191852">
        <w:rPr>
          <w:rFonts w:ascii="Times New Roman" w:hAnsi="Times New Roman" w:cs="Times New Roman"/>
          <w:sz w:val="24"/>
          <w:szCs w:val="24"/>
        </w:rPr>
        <w:t xml:space="preserve">HMC </w:t>
      </w:r>
      <w:r w:rsidRPr="00B10A33">
        <w:rPr>
          <w:rFonts w:ascii="Times New Roman" w:hAnsi="Times New Roman" w:cs="Times New Roman"/>
          <w:sz w:val="24"/>
          <w:szCs w:val="24"/>
        </w:rPr>
        <w:t>certificat</w:t>
      </w:r>
      <w:r w:rsidRPr="00B10A33" w:rsidR="00376EBF">
        <w:rPr>
          <w:rFonts w:ascii="Times New Roman" w:hAnsi="Times New Roman" w:cs="Times New Roman"/>
          <w:sz w:val="24"/>
          <w:szCs w:val="24"/>
        </w:rPr>
        <w:t>ion applicants</w:t>
      </w:r>
      <w:r w:rsidRPr="00B10A33">
        <w:rPr>
          <w:rFonts w:ascii="Times New Roman" w:hAnsi="Times New Roman" w:cs="Times New Roman"/>
          <w:sz w:val="24"/>
          <w:szCs w:val="24"/>
        </w:rPr>
        <w:t xml:space="preserve"> prior to </w:t>
      </w:r>
      <w:r w:rsidRPr="00B10A33" w:rsidR="00830BDD">
        <w:rPr>
          <w:rFonts w:ascii="Times New Roman" w:hAnsi="Times New Roman" w:cs="Times New Roman"/>
          <w:sz w:val="24"/>
          <w:szCs w:val="24"/>
        </w:rPr>
        <w:t>introduction into US commerce</w:t>
      </w:r>
      <w:r w:rsidRPr="00B10A33">
        <w:rPr>
          <w:rFonts w:ascii="Times New Roman" w:hAnsi="Times New Roman" w:cs="Times New Roman"/>
          <w:sz w:val="24"/>
          <w:szCs w:val="24"/>
        </w:rPr>
        <w:t xml:space="preserve"> as well as various reports and information </w:t>
      </w:r>
      <w:r w:rsidRPr="00B10A33" w:rsidR="00F64EDB">
        <w:rPr>
          <w:rFonts w:ascii="Times New Roman" w:hAnsi="Times New Roman" w:cs="Times New Roman"/>
          <w:sz w:val="24"/>
          <w:szCs w:val="24"/>
        </w:rPr>
        <w:t xml:space="preserve">produced </w:t>
      </w:r>
      <w:r w:rsidRPr="00B10A33">
        <w:rPr>
          <w:rFonts w:ascii="Times New Roman" w:hAnsi="Times New Roman" w:cs="Times New Roman"/>
          <w:sz w:val="24"/>
          <w:szCs w:val="24"/>
        </w:rPr>
        <w:t xml:space="preserve">during and after production including the defect </w:t>
      </w:r>
      <w:r w:rsidRPr="00B10A33" w:rsidR="006640D0">
        <w:rPr>
          <w:rFonts w:ascii="Times New Roman" w:hAnsi="Times New Roman" w:cs="Times New Roman"/>
          <w:sz w:val="24"/>
          <w:szCs w:val="24"/>
        </w:rPr>
        <w:t xml:space="preserve">information </w:t>
      </w:r>
      <w:r w:rsidRPr="00B10A33">
        <w:rPr>
          <w:rFonts w:ascii="Times New Roman" w:hAnsi="Times New Roman" w:cs="Times New Roman"/>
          <w:sz w:val="24"/>
          <w:szCs w:val="24"/>
        </w:rPr>
        <w:t xml:space="preserve">report (DR) and </w:t>
      </w:r>
      <w:r w:rsidRPr="00B10A33" w:rsidR="006640D0">
        <w:rPr>
          <w:rFonts w:ascii="Times New Roman" w:hAnsi="Times New Roman" w:cs="Times New Roman"/>
          <w:sz w:val="24"/>
          <w:szCs w:val="24"/>
        </w:rPr>
        <w:t>voluntary emissions recall report (</w:t>
      </w:r>
      <w:r w:rsidRPr="00B10A33">
        <w:rPr>
          <w:rFonts w:ascii="Times New Roman" w:hAnsi="Times New Roman" w:cs="Times New Roman"/>
          <w:sz w:val="24"/>
          <w:szCs w:val="24"/>
        </w:rPr>
        <w:t>VERR</w:t>
      </w:r>
      <w:r w:rsidRPr="00B10A33" w:rsidR="006640D0">
        <w:rPr>
          <w:rFonts w:ascii="Times New Roman" w:hAnsi="Times New Roman" w:cs="Times New Roman"/>
          <w:sz w:val="24"/>
          <w:szCs w:val="24"/>
        </w:rPr>
        <w:t>)</w:t>
      </w:r>
      <w:r w:rsidRPr="00B10A33">
        <w:rPr>
          <w:rFonts w:ascii="Times New Roman" w:hAnsi="Times New Roman" w:cs="Times New Roman"/>
          <w:sz w:val="24"/>
          <w:szCs w:val="24"/>
        </w:rPr>
        <w:t>.</w:t>
      </w:r>
      <w:r w:rsidRPr="00B10A33" w:rsidR="006640D0">
        <w:t xml:space="preserve"> </w:t>
      </w:r>
      <w:r w:rsidRPr="00B10A33" w:rsidR="000578E9">
        <w:rPr>
          <w:rFonts w:ascii="Times New Roman" w:hAnsi="Times New Roman" w:cs="Times New Roman"/>
          <w:sz w:val="24"/>
          <w:szCs w:val="24"/>
        </w:rPr>
        <w:t xml:space="preserve">The </w:t>
      </w:r>
      <w:r w:rsidRPr="00B10A33" w:rsidR="006640D0">
        <w:rPr>
          <w:rFonts w:ascii="Times New Roman" w:hAnsi="Times New Roman" w:cs="Times New Roman"/>
          <w:sz w:val="24"/>
          <w:szCs w:val="24"/>
        </w:rPr>
        <w:t>EPA’s processing of this information is conducted by the Compliance Division, Office of Transportation and Air Quality, Office of Air and Radiation, US</w:t>
      </w:r>
      <w:r w:rsidRPr="00B10A33" w:rsidR="00392E85">
        <w:rPr>
          <w:rFonts w:ascii="Times New Roman" w:hAnsi="Times New Roman" w:cs="Times New Roman"/>
          <w:sz w:val="24"/>
          <w:szCs w:val="24"/>
        </w:rPr>
        <w:t xml:space="preserve"> </w:t>
      </w:r>
      <w:r w:rsidRPr="00B10A33" w:rsidR="006640D0">
        <w:rPr>
          <w:rFonts w:ascii="Times New Roman" w:hAnsi="Times New Roman" w:cs="Times New Roman"/>
          <w:sz w:val="24"/>
          <w:szCs w:val="24"/>
        </w:rPr>
        <w:t>EPA.</w:t>
      </w:r>
      <w:r w:rsidRPr="00B10A33">
        <w:rPr>
          <w:rFonts w:ascii="Times New Roman" w:hAnsi="Times New Roman" w:cs="Times New Roman"/>
          <w:sz w:val="24"/>
          <w:szCs w:val="24"/>
        </w:rPr>
        <w:t xml:space="preserve"> </w:t>
      </w:r>
      <w:r w:rsidRPr="00B10A33" w:rsidR="000578E9">
        <w:rPr>
          <w:rFonts w:ascii="Times New Roman" w:hAnsi="Times New Roman" w:cs="Times New Roman"/>
          <w:sz w:val="24"/>
          <w:szCs w:val="24"/>
        </w:rPr>
        <w:t>T</w:t>
      </w:r>
      <w:r w:rsidRPr="00B10A33">
        <w:rPr>
          <w:rFonts w:ascii="Times New Roman" w:hAnsi="Times New Roman" w:cs="Times New Roman"/>
          <w:sz w:val="24"/>
          <w:szCs w:val="24"/>
        </w:rPr>
        <w:t xml:space="preserve">here </w:t>
      </w:r>
      <w:r w:rsidRPr="00B10A33" w:rsidR="000D770D">
        <w:rPr>
          <w:rFonts w:ascii="Times New Roman" w:hAnsi="Times New Roman" w:cs="Times New Roman"/>
          <w:sz w:val="24"/>
          <w:szCs w:val="24"/>
        </w:rPr>
        <w:t>have been</w:t>
      </w:r>
      <w:r w:rsidRPr="00B10A33" w:rsidR="00ED7BF2">
        <w:rPr>
          <w:rFonts w:ascii="Times New Roman" w:hAnsi="Times New Roman" w:cs="Times New Roman"/>
          <w:sz w:val="24"/>
          <w:szCs w:val="24"/>
        </w:rPr>
        <w:t xml:space="preserve"> </w:t>
      </w:r>
      <w:r w:rsidRPr="00B10A33">
        <w:rPr>
          <w:rFonts w:ascii="Times New Roman" w:hAnsi="Times New Roman" w:cs="Times New Roman"/>
          <w:sz w:val="24"/>
          <w:szCs w:val="24"/>
        </w:rPr>
        <w:t>no</w:t>
      </w:r>
      <w:r w:rsidRPr="00B10A33" w:rsidR="00ED7BF2">
        <w:rPr>
          <w:rFonts w:ascii="Times New Roman" w:hAnsi="Times New Roman" w:cs="Times New Roman"/>
          <w:sz w:val="24"/>
          <w:szCs w:val="24"/>
        </w:rPr>
        <w:t xml:space="preserve"> </w:t>
      </w:r>
      <w:r w:rsidRPr="00B10A33" w:rsidR="000D770D">
        <w:rPr>
          <w:rFonts w:ascii="Times New Roman" w:hAnsi="Times New Roman" w:cs="Times New Roman"/>
          <w:sz w:val="24"/>
          <w:szCs w:val="24"/>
        </w:rPr>
        <w:t>programmatic</w:t>
      </w:r>
      <w:r w:rsidRPr="00B10A33" w:rsidR="00F64EDB">
        <w:rPr>
          <w:rFonts w:ascii="Times New Roman" w:hAnsi="Times New Roman" w:cs="Times New Roman"/>
          <w:sz w:val="24"/>
          <w:szCs w:val="24"/>
        </w:rPr>
        <w:t xml:space="preserve"> changes</w:t>
      </w:r>
      <w:r w:rsidRPr="00B10A33">
        <w:rPr>
          <w:rFonts w:ascii="Times New Roman" w:hAnsi="Times New Roman" w:cs="Times New Roman"/>
          <w:sz w:val="24"/>
          <w:szCs w:val="24"/>
        </w:rPr>
        <w:t xml:space="preserve"> </w:t>
      </w:r>
      <w:r w:rsidRPr="00B10A33" w:rsidR="000D770D">
        <w:rPr>
          <w:rFonts w:ascii="Times New Roman" w:hAnsi="Times New Roman" w:cs="Times New Roman"/>
          <w:sz w:val="24"/>
          <w:szCs w:val="24"/>
        </w:rPr>
        <w:t xml:space="preserve">made </w:t>
      </w:r>
      <w:r w:rsidRPr="00B10A33">
        <w:rPr>
          <w:rFonts w:ascii="Times New Roman" w:hAnsi="Times New Roman" w:cs="Times New Roman"/>
          <w:sz w:val="24"/>
          <w:szCs w:val="24"/>
        </w:rPr>
        <w:t xml:space="preserve">since the </w:t>
      </w:r>
      <w:r w:rsidRPr="00B10A33" w:rsidR="007E067B">
        <w:rPr>
          <w:rFonts w:ascii="Times New Roman" w:hAnsi="Times New Roman" w:cs="Times New Roman"/>
          <w:sz w:val="24"/>
          <w:szCs w:val="24"/>
        </w:rPr>
        <w:t>previous renewal package was approved in 2020</w:t>
      </w:r>
      <w:r w:rsidRPr="00B10A33">
        <w:rPr>
          <w:rFonts w:ascii="Times New Roman" w:hAnsi="Times New Roman" w:cs="Times New Roman"/>
          <w:sz w:val="24"/>
          <w:szCs w:val="24"/>
        </w:rPr>
        <w:t xml:space="preserve">. </w:t>
      </w:r>
    </w:p>
    <w:p w:rsidR="003413BD" w:rsidRPr="00B10A33" w:rsidP="003413BD" w14:paraId="7BCE6152" w14:textId="77777777">
      <w:pPr>
        <w:spacing w:after="0" w:line="240" w:lineRule="auto"/>
        <w:rPr>
          <w:rFonts w:ascii="Times New Roman" w:hAnsi="Times New Roman" w:cs="Times New Roman"/>
          <w:sz w:val="24"/>
          <w:szCs w:val="24"/>
        </w:rPr>
      </w:pPr>
    </w:p>
    <w:p w:rsidR="00321096" w:rsidRPr="00B10A33" w:rsidP="00321096" w14:paraId="37787B14" w14:textId="19B0A1B5">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Information collected for the purposes listed above consists of descriptions of </w:t>
      </w:r>
      <w:r w:rsidRPr="00B10A33" w:rsidR="008A26AF">
        <w:rPr>
          <w:rFonts w:ascii="Times New Roman" w:hAnsi="Times New Roman" w:cs="Times New Roman"/>
          <w:sz w:val="24"/>
          <w:szCs w:val="24"/>
        </w:rPr>
        <w:t>on-highway motorcycles</w:t>
      </w:r>
      <w:r w:rsidRPr="00B10A33">
        <w:rPr>
          <w:rFonts w:ascii="Times New Roman" w:hAnsi="Times New Roman" w:cs="Times New Roman"/>
          <w:sz w:val="24"/>
          <w:szCs w:val="24"/>
        </w:rPr>
        <w:t xml:space="preserve"> (with emphasis on emission control systems), test results, defect and recall reports, and sales information. These data are reviewed to verify that the necessary tests have been performed and the manufacturer’s product line meets emission standards</w:t>
      </w:r>
      <w:r w:rsidRPr="00B10A33" w:rsidR="00ED7BF2">
        <w:rPr>
          <w:rFonts w:ascii="Times New Roman" w:hAnsi="Times New Roman" w:cs="Times New Roman"/>
          <w:sz w:val="24"/>
          <w:szCs w:val="24"/>
        </w:rPr>
        <w:t xml:space="preserve"> throughout its useful life.</w:t>
      </w:r>
      <w:r w:rsidRPr="00B10A33">
        <w:rPr>
          <w:rFonts w:ascii="Times New Roman" w:hAnsi="Times New Roman" w:cs="Times New Roman"/>
          <w:sz w:val="24"/>
          <w:szCs w:val="24"/>
        </w:rPr>
        <w:t xml:space="preserve"> </w:t>
      </w:r>
    </w:p>
    <w:p w:rsidR="00321096" w:rsidRPr="00B10A33" w:rsidP="00321096" w14:paraId="24168483" w14:textId="77777777">
      <w:pPr>
        <w:spacing w:after="0" w:line="240" w:lineRule="auto"/>
        <w:rPr>
          <w:rFonts w:ascii="Times New Roman" w:hAnsi="Times New Roman" w:cs="Times New Roman"/>
          <w:sz w:val="24"/>
          <w:szCs w:val="24"/>
        </w:rPr>
      </w:pPr>
    </w:p>
    <w:p w:rsidR="00321096" w:rsidRPr="00B10A33" w:rsidP="00321096" w14:paraId="0EE64BB1" w14:textId="09EDABA1">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All reporting covered by this ICR can </w:t>
      </w:r>
      <w:r w:rsidRPr="00B10A33" w:rsidR="005A18E2">
        <w:rPr>
          <w:rFonts w:ascii="Times New Roman" w:hAnsi="Times New Roman" w:cs="Times New Roman"/>
          <w:sz w:val="24"/>
          <w:szCs w:val="24"/>
        </w:rPr>
        <w:t xml:space="preserve">be </w:t>
      </w:r>
      <w:r w:rsidRPr="00B10A33" w:rsidR="008C0137">
        <w:rPr>
          <w:rFonts w:ascii="Times New Roman" w:hAnsi="Times New Roman" w:cs="Times New Roman"/>
          <w:sz w:val="24"/>
          <w:szCs w:val="24"/>
        </w:rPr>
        <w:t>entered and submitted</w:t>
      </w:r>
      <w:r w:rsidRPr="00B10A33">
        <w:rPr>
          <w:rFonts w:ascii="Times New Roman" w:hAnsi="Times New Roman" w:cs="Times New Roman"/>
          <w:sz w:val="24"/>
          <w:szCs w:val="24"/>
        </w:rPr>
        <w:t xml:space="preserve"> electronically via </w:t>
      </w:r>
      <w:r w:rsidRPr="00B10A33" w:rsidR="00392E85">
        <w:rPr>
          <w:rFonts w:ascii="Times New Roman" w:hAnsi="Times New Roman" w:cs="Times New Roman"/>
          <w:sz w:val="24"/>
          <w:szCs w:val="24"/>
        </w:rPr>
        <w:t xml:space="preserve">the </w:t>
      </w:r>
      <w:r w:rsidRPr="00B10A33">
        <w:rPr>
          <w:rFonts w:ascii="Times New Roman" w:hAnsi="Times New Roman" w:cs="Times New Roman"/>
          <w:sz w:val="24"/>
          <w:szCs w:val="24"/>
        </w:rPr>
        <w:t xml:space="preserve">EPA’s web-based </w:t>
      </w:r>
      <w:r w:rsidRPr="00B10A33" w:rsidR="005A18E2">
        <w:rPr>
          <w:rFonts w:ascii="Times New Roman" w:hAnsi="Times New Roman" w:cs="Times New Roman"/>
          <w:sz w:val="24"/>
          <w:szCs w:val="24"/>
        </w:rPr>
        <w:t>Engines and Vehicles Compliance Information</w:t>
      </w:r>
      <w:r w:rsidRPr="00B10A33" w:rsidR="008A26AF">
        <w:rPr>
          <w:rFonts w:ascii="Times New Roman" w:hAnsi="Times New Roman" w:cs="Times New Roman"/>
          <w:sz w:val="24"/>
          <w:szCs w:val="24"/>
        </w:rPr>
        <w:t xml:space="preserve"> </w:t>
      </w:r>
      <w:r w:rsidRPr="00B10A33" w:rsidR="005A18E2">
        <w:rPr>
          <w:rFonts w:ascii="Times New Roman" w:hAnsi="Times New Roman" w:cs="Times New Roman"/>
          <w:sz w:val="24"/>
          <w:szCs w:val="24"/>
        </w:rPr>
        <w:t>S</w:t>
      </w:r>
      <w:r w:rsidRPr="00B10A33">
        <w:rPr>
          <w:rFonts w:ascii="Times New Roman" w:hAnsi="Times New Roman" w:cs="Times New Roman"/>
          <w:sz w:val="24"/>
          <w:szCs w:val="24"/>
        </w:rPr>
        <w:t xml:space="preserve">ystem, </w:t>
      </w:r>
      <w:r w:rsidRPr="00B10A33" w:rsidR="008C0137">
        <w:rPr>
          <w:rFonts w:ascii="Times New Roman" w:hAnsi="Times New Roman" w:cs="Times New Roman"/>
          <w:sz w:val="24"/>
          <w:szCs w:val="24"/>
        </w:rPr>
        <w:t>EV-CIS</w:t>
      </w:r>
      <w:r w:rsidRPr="00B10A33" w:rsidR="00191852">
        <w:rPr>
          <w:rFonts w:ascii="Times New Roman" w:hAnsi="Times New Roman" w:cs="Times New Roman"/>
          <w:sz w:val="24"/>
          <w:szCs w:val="24"/>
        </w:rPr>
        <w:t>.</w:t>
      </w:r>
      <w:r w:rsidRPr="00B10A33">
        <w:rPr>
          <w:rFonts w:ascii="Times New Roman" w:hAnsi="Times New Roman" w:cs="Times New Roman"/>
          <w:sz w:val="24"/>
          <w:szCs w:val="24"/>
        </w:rPr>
        <w:t xml:space="preserve"> Subject to confidentiality claims, this information is made available to interested parties upon request. Emission test information </w:t>
      </w:r>
      <w:r w:rsidRPr="00B10A33" w:rsidR="00584A2D">
        <w:rPr>
          <w:rFonts w:ascii="Times New Roman" w:hAnsi="Times New Roman" w:cs="Times New Roman"/>
          <w:sz w:val="24"/>
          <w:szCs w:val="24"/>
        </w:rPr>
        <w:t xml:space="preserve">and some recall notifications </w:t>
      </w:r>
      <w:r w:rsidRPr="00B10A33" w:rsidR="00052446">
        <w:rPr>
          <w:rFonts w:ascii="Times New Roman" w:hAnsi="Times New Roman" w:cs="Times New Roman"/>
          <w:sz w:val="24"/>
          <w:szCs w:val="24"/>
        </w:rPr>
        <w:t>are</w:t>
      </w:r>
      <w:r w:rsidRPr="00B10A33" w:rsidR="00052446">
        <w:rPr>
          <w:rFonts w:ascii="Times New Roman" w:hAnsi="Times New Roman" w:cs="Times New Roman"/>
          <w:sz w:val="24"/>
          <w:szCs w:val="24"/>
        </w:rPr>
        <w:t xml:space="preserve"> </w:t>
      </w:r>
      <w:r w:rsidRPr="00B10A33">
        <w:rPr>
          <w:rFonts w:ascii="Times New Roman" w:hAnsi="Times New Roman" w:cs="Times New Roman"/>
          <w:sz w:val="24"/>
          <w:szCs w:val="24"/>
        </w:rPr>
        <w:t>available on the internet.</w:t>
      </w:r>
    </w:p>
    <w:p w:rsidR="00321096" w:rsidRPr="00B10A33" w:rsidP="00321096" w14:paraId="33F27E53" w14:textId="77777777">
      <w:pPr>
        <w:spacing w:after="0" w:line="240" w:lineRule="auto"/>
        <w:rPr>
          <w:rFonts w:ascii="Times New Roman" w:hAnsi="Times New Roman" w:cs="Times New Roman"/>
          <w:sz w:val="24"/>
          <w:szCs w:val="24"/>
        </w:rPr>
      </w:pPr>
    </w:p>
    <w:p w:rsidR="00321096" w:rsidRPr="00B10A33" w:rsidP="007E067B" w14:paraId="78E4F264" w14:textId="69C577D8">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The burdens in this ICR are based on experience administering the program from January 1, 20</w:t>
      </w:r>
      <w:r w:rsidRPr="00B10A33" w:rsidR="00806B73">
        <w:rPr>
          <w:rFonts w:ascii="Times New Roman" w:hAnsi="Times New Roman" w:cs="Times New Roman"/>
          <w:sz w:val="24"/>
          <w:szCs w:val="24"/>
        </w:rPr>
        <w:t>19</w:t>
      </w:r>
      <w:r w:rsidRPr="00B10A33">
        <w:rPr>
          <w:rFonts w:ascii="Times New Roman" w:hAnsi="Times New Roman" w:cs="Times New Roman"/>
          <w:sz w:val="24"/>
          <w:szCs w:val="24"/>
        </w:rPr>
        <w:t>, through December 31, 20</w:t>
      </w:r>
      <w:r w:rsidRPr="00B10A33" w:rsidR="00806B73">
        <w:rPr>
          <w:rFonts w:ascii="Times New Roman" w:hAnsi="Times New Roman" w:cs="Times New Roman"/>
          <w:sz w:val="24"/>
          <w:szCs w:val="24"/>
        </w:rPr>
        <w:t>22</w:t>
      </w:r>
      <w:r w:rsidRPr="00B10A33">
        <w:rPr>
          <w:rFonts w:ascii="Times New Roman" w:hAnsi="Times New Roman" w:cs="Times New Roman"/>
          <w:sz w:val="24"/>
          <w:szCs w:val="24"/>
        </w:rPr>
        <w:t xml:space="preserve">. The current request estimates </w:t>
      </w:r>
      <w:r w:rsidRPr="00B10A33" w:rsidR="001378AA">
        <w:rPr>
          <w:rFonts w:ascii="Times New Roman" w:hAnsi="Times New Roman" w:cs="Times New Roman"/>
          <w:sz w:val="24"/>
          <w:szCs w:val="24"/>
        </w:rPr>
        <w:t>95</w:t>
      </w:r>
      <w:r w:rsidRPr="00B10A33" w:rsidR="003C4F35">
        <w:rPr>
          <w:rFonts w:ascii="Times New Roman" w:hAnsi="Times New Roman" w:cs="Times New Roman"/>
          <w:sz w:val="24"/>
          <w:szCs w:val="24"/>
        </w:rPr>
        <w:t xml:space="preserve"> </w:t>
      </w:r>
      <w:r w:rsidRPr="00B10A33">
        <w:rPr>
          <w:rFonts w:ascii="Times New Roman" w:hAnsi="Times New Roman" w:cs="Times New Roman"/>
          <w:sz w:val="24"/>
          <w:szCs w:val="24"/>
        </w:rPr>
        <w:t>respondents</w:t>
      </w:r>
      <w:r w:rsidRPr="00457895" w:rsidR="009257D5">
        <w:rPr>
          <w:rFonts w:ascii="Times New Roman" w:hAnsi="Times New Roman" w:cs="Times New Roman"/>
          <w:sz w:val="24"/>
          <w:szCs w:val="24"/>
        </w:rPr>
        <w:t xml:space="preserve"> (manufacturers) submitting certification requests on 314 engine families.  Total average annual burden and costs are </w:t>
      </w:r>
      <w:r w:rsidRPr="00B10A33" w:rsidR="00A6093C">
        <w:rPr>
          <w:rFonts w:ascii="Times New Roman" w:hAnsi="Times New Roman" w:cs="Times New Roman"/>
          <w:sz w:val="24"/>
          <w:szCs w:val="24"/>
        </w:rPr>
        <w:t>16,380</w:t>
      </w:r>
      <w:r w:rsidRPr="00457895" w:rsidR="009257D5">
        <w:rPr>
          <w:rFonts w:ascii="Times New Roman" w:hAnsi="Times New Roman" w:cs="Times New Roman"/>
          <w:sz w:val="24"/>
          <w:szCs w:val="24"/>
        </w:rPr>
        <w:t xml:space="preserve"> hours and</w:t>
      </w:r>
      <w:r w:rsidRPr="00457895" w:rsidR="00B07955">
        <w:rPr>
          <w:rFonts w:ascii="Times New Roman" w:hAnsi="Times New Roman" w:cs="Times New Roman"/>
          <w:sz w:val="24"/>
          <w:szCs w:val="24"/>
        </w:rPr>
        <w:t xml:space="preserve"> </w:t>
      </w:r>
      <w:r w:rsidRPr="00457895" w:rsidR="009257D5">
        <w:rPr>
          <w:rFonts w:ascii="Times New Roman" w:hAnsi="Times New Roman" w:cs="Times New Roman"/>
          <w:sz w:val="24"/>
          <w:szCs w:val="24"/>
        </w:rPr>
        <w:t>$</w:t>
      </w:r>
      <w:r w:rsidRPr="00B10A33" w:rsidR="00A6093C">
        <w:rPr>
          <w:rFonts w:ascii="Times New Roman" w:hAnsi="Times New Roman" w:cs="Times New Roman"/>
          <w:sz w:val="24"/>
          <w:szCs w:val="24"/>
        </w:rPr>
        <w:t>1,001,365</w:t>
      </w:r>
      <w:r w:rsidRPr="00457895" w:rsidR="009257D5">
        <w:rPr>
          <w:rFonts w:ascii="Times New Roman" w:hAnsi="Times New Roman" w:cs="Times New Roman"/>
          <w:sz w:val="24"/>
          <w:szCs w:val="24"/>
        </w:rPr>
        <w:t xml:space="preserve">. </w:t>
      </w:r>
      <w:r w:rsidRPr="00457895" w:rsidR="002E3439">
        <w:rPr>
          <w:rFonts w:ascii="Times New Roman" w:hAnsi="Times New Roman" w:cs="Times New Roman"/>
          <w:sz w:val="24"/>
          <w:szCs w:val="24"/>
        </w:rPr>
        <w:t>Total costs break down into $</w:t>
      </w:r>
      <w:r w:rsidRPr="00B10A33" w:rsidR="00A6093C">
        <w:rPr>
          <w:rFonts w:ascii="Times New Roman" w:hAnsi="Times New Roman" w:cs="Times New Roman"/>
          <w:sz w:val="24"/>
          <w:szCs w:val="24"/>
        </w:rPr>
        <w:t>784,626</w:t>
      </w:r>
      <w:r w:rsidRPr="00457895" w:rsidR="002E3439">
        <w:rPr>
          <w:rFonts w:ascii="Times New Roman" w:hAnsi="Times New Roman" w:cs="Times New Roman"/>
          <w:sz w:val="24"/>
          <w:szCs w:val="24"/>
        </w:rPr>
        <w:t xml:space="preserve"> in labor costs and $216,739 in non-labor costs.  </w:t>
      </w:r>
    </w:p>
    <w:p w:rsidR="00321096" w:rsidRPr="00B10A33" w:rsidP="007E067B" w14:paraId="0233E808" w14:textId="42A974F5">
      <w:pPr>
        <w:spacing w:after="0" w:line="240" w:lineRule="auto"/>
        <w:rPr>
          <w:rFonts w:ascii="Times New Roman" w:hAnsi="Times New Roman" w:cs="Times New Roman"/>
          <w:sz w:val="24"/>
          <w:szCs w:val="24"/>
        </w:rPr>
      </w:pPr>
    </w:p>
    <w:p w:rsidR="009D68AE" w:rsidRPr="00B10A33" w:rsidP="009D68AE" w14:paraId="7F9FC134"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u w:val="single"/>
        </w:rPr>
        <w:t xml:space="preserve">Section 2: Need </w:t>
      </w:r>
      <w:r w:rsidRPr="00B10A33">
        <w:rPr>
          <w:rFonts w:ascii="Times New Roman" w:hAnsi="Times New Roman" w:cs="Times New Roman"/>
          <w:sz w:val="24"/>
          <w:szCs w:val="24"/>
          <w:u w:val="single"/>
        </w:rPr>
        <w:t>For</w:t>
      </w:r>
      <w:r w:rsidRPr="00B10A33">
        <w:rPr>
          <w:rFonts w:ascii="Times New Roman" w:hAnsi="Times New Roman" w:cs="Times New Roman"/>
          <w:sz w:val="24"/>
          <w:szCs w:val="24"/>
          <w:u w:val="single"/>
        </w:rPr>
        <w:t xml:space="preserve"> and Use of the Collection </w:t>
      </w:r>
    </w:p>
    <w:p w:rsidR="003413BD" w:rsidRPr="00B10A33" w:rsidP="009D68AE" w14:paraId="2EC3D79C" w14:textId="77777777">
      <w:pPr>
        <w:spacing w:after="0" w:line="240" w:lineRule="auto"/>
        <w:rPr>
          <w:rFonts w:ascii="Times New Roman" w:hAnsi="Times New Roman" w:cs="Times New Roman"/>
          <w:sz w:val="24"/>
          <w:szCs w:val="24"/>
        </w:rPr>
      </w:pPr>
    </w:p>
    <w:p w:rsidR="003413BD" w:rsidRPr="00B10A33" w:rsidP="009D68AE" w14:paraId="2A334EEB"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2(a) </w:t>
      </w:r>
      <w:r w:rsidRPr="00B10A33">
        <w:rPr>
          <w:rFonts w:ascii="Times New Roman" w:hAnsi="Times New Roman" w:cs="Times New Roman"/>
          <w:sz w:val="24"/>
          <w:szCs w:val="24"/>
          <w:u w:val="single"/>
        </w:rPr>
        <w:t>Need/Authority for the Collection</w:t>
      </w:r>
      <w:r w:rsidRPr="00B10A33">
        <w:rPr>
          <w:rFonts w:ascii="Times New Roman" w:hAnsi="Times New Roman" w:cs="Times New Roman"/>
          <w:sz w:val="24"/>
          <w:szCs w:val="24"/>
        </w:rPr>
        <w:t xml:space="preserve"> </w:t>
      </w:r>
    </w:p>
    <w:p w:rsidR="003413BD" w:rsidRPr="00B10A33" w:rsidP="009D68AE" w14:paraId="0D675FA5" w14:textId="77777777">
      <w:pPr>
        <w:spacing w:after="0" w:line="240" w:lineRule="auto"/>
        <w:rPr>
          <w:rFonts w:ascii="Times New Roman" w:hAnsi="Times New Roman" w:cs="Times New Roman"/>
          <w:sz w:val="24"/>
          <w:szCs w:val="24"/>
        </w:rPr>
      </w:pPr>
    </w:p>
    <w:p w:rsidR="002F1CBD" w:rsidRPr="00B10A33" w:rsidP="009D68AE" w14:paraId="51CD015A" w14:textId="5FFD8086">
      <w:pPr>
        <w:spacing w:after="0" w:line="240" w:lineRule="auto"/>
      </w:pPr>
      <w:r w:rsidRPr="00B10A33">
        <w:rPr>
          <w:rFonts w:ascii="Times New Roman" w:hAnsi="Times New Roman" w:cs="Times New Roman"/>
          <w:sz w:val="24"/>
          <w:szCs w:val="24"/>
        </w:rPr>
        <w:t xml:space="preserve">Under Title II of the Clean Air Act (42 U.S.C. 7521 et seq.),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EPA is charged with issuing certificates of conformity for motor vehicle designs that comply with applicable emission standards set under section 202(a)(1) of the Act, such as those for C</w:t>
      </w:r>
      <w:r w:rsidRPr="00B10A33" w:rsidR="00766682">
        <w:rPr>
          <w:rFonts w:ascii="Times New Roman" w:hAnsi="Times New Roman" w:cs="Times New Roman"/>
          <w:sz w:val="24"/>
          <w:szCs w:val="24"/>
        </w:rPr>
        <w:t>arbon Monoxide</w:t>
      </w:r>
      <w:r w:rsidRPr="00B10A33" w:rsidR="00510DC9">
        <w:rPr>
          <w:rFonts w:ascii="Times New Roman" w:hAnsi="Times New Roman" w:cs="Times New Roman"/>
          <w:sz w:val="24"/>
          <w:szCs w:val="24"/>
        </w:rPr>
        <w:t xml:space="preserve"> (CO)</w:t>
      </w:r>
      <w:r w:rsidRPr="00B10A33">
        <w:rPr>
          <w:rFonts w:ascii="Times New Roman" w:hAnsi="Times New Roman" w:cs="Times New Roman"/>
          <w:sz w:val="24"/>
          <w:szCs w:val="24"/>
        </w:rPr>
        <w:t>, H</w:t>
      </w:r>
      <w:r w:rsidRPr="00B10A33" w:rsidR="00510DC9">
        <w:rPr>
          <w:rFonts w:ascii="Times New Roman" w:hAnsi="Times New Roman" w:cs="Times New Roman"/>
          <w:sz w:val="24"/>
          <w:szCs w:val="24"/>
        </w:rPr>
        <w:t>ydro</w:t>
      </w:r>
      <w:r w:rsidRPr="00B10A33" w:rsidR="00191852">
        <w:rPr>
          <w:rFonts w:ascii="Times New Roman" w:hAnsi="Times New Roman" w:cs="Times New Roman"/>
          <w:sz w:val="24"/>
          <w:szCs w:val="24"/>
        </w:rPr>
        <w:t>c</w:t>
      </w:r>
      <w:r w:rsidRPr="00B10A33" w:rsidR="00510DC9">
        <w:rPr>
          <w:rFonts w:ascii="Times New Roman" w:hAnsi="Times New Roman" w:cs="Times New Roman"/>
          <w:sz w:val="24"/>
          <w:szCs w:val="24"/>
        </w:rPr>
        <w:t>arbons (HC)</w:t>
      </w:r>
      <w:r w:rsidRPr="00B10A33">
        <w:rPr>
          <w:rFonts w:ascii="Times New Roman" w:hAnsi="Times New Roman" w:cs="Times New Roman"/>
          <w:sz w:val="24"/>
          <w:szCs w:val="24"/>
        </w:rPr>
        <w:t xml:space="preserve"> and </w:t>
      </w:r>
      <w:r w:rsidRPr="00B10A33" w:rsidR="00510DC9">
        <w:rPr>
          <w:rFonts w:ascii="Times New Roman" w:hAnsi="Times New Roman" w:cs="Times New Roman"/>
          <w:sz w:val="24"/>
          <w:szCs w:val="24"/>
        </w:rPr>
        <w:t>Oxides of Nitrogen (</w:t>
      </w:r>
      <w:r w:rsidRPr="00B10A33">
        <w:rPr>
          <w:rFonts w:ascii="Times New Roman" w:hAnsi="Times New Roman" w:cs="Times New Roman"/>
          <w:sz w:val="24"/>
          <w:szCs w:val="24"/>
        </w:rPr>
        <w:t>NOx</w:t>
      </w:r>
      <w:r w:rsidRPr="00B10A33" w:rsidR="00510DC9">
        <w:rPr>
          <w:rFonts w:ascii="Times New Roman" w:hAnsi="Times New Roman" w:cs="Times New Roman"/>
          <w:sz w:val="24"/>
          <w:szCs w:val="24"/>
        </w:rPr>
        <w:t>)</w:t>
      </w:r>
      <w:r w:rsidRPr="00B10A33" w:rsidR="00830CE7">
        <w:rPr>
          <w:rFonts w:ascii="Times New Roman" w:hAnsi="Times New Roman" w:cs="Times New Roman"/>
          <w:sz w:val="24"/>
          <w:szCs w:val="24"/>
        </w:rPr>
        <w:t xml:space="preserve">. </w:t>
      </w:r>
      <w:r w:rsidRPr="00B10A33">
        <w:rPr>
          <w:rFonts w:ascii="Times New Roman" w:hAnsi="Times New Roman" w:cs="Times New Roman"/>
          <w:sz w:val="24"/>
          <w:szCs w:val="24"/>
        </w:rPr>
        <w:t xml:space="preserve">(This authority was clarified in the Supreme Court’s decision State of Massachusetts v. EPA, 127 S. Ct. 1438 (2007)). Section 202(a)(1) states that “the Administrator shall by regulation prescribe (and from </w:t>
      </w:r>
      <w:r w:rsidRPr="00B10A33" w:rsidR="00D43AC9">
        <w:rPr>
          <w:rFonts w:ascii="Times New Roman" w:hAnsi="Times New Roman" w:cs="Times New Roman"/>
          <w:sz w:val="24"/>
          <w:szCs w:val="24"/>
        </w:rPr>
        <w:t>time-to-time</w:t>
      </w:r>
      <w:r w:rsidRPr="00B10A33">
        <w:rPr>
          <w:rFonts w:ascii="Times New Roman" w:hAnsi="Times New Roman" w:cs="Times New Roman"/>
          <w:sz w:val="24"/>
          <w:szCs w:val="24"/>
        </w:rPr>
        <w:t xml:space="preserve"> revise) [...] standards applicable to the emission of any air pollutant from any class or classes of new motor vehicles [...], which in his judgment cause, or contribute to, air pollution which may reasonably be anticipated to endanger public health or welfare.” Under Section 206(a) of the Clean Air Act (42 U.S.C. 7525) “... The Administrator shall test ... any new motor vehicle ... submitted by a manufacturer ... If such vehicle ... conforms … the Administrator shall issue a certificate of conformity.”  While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 xml:space="preserve">EPA has delegated a substantial portion of the process of calculating and reporting emissions and fuel economy results to the manufacturers, the test results upon which </w:t>
      </w:r>
      <w:r w:rsidRPr="00B10A33">
        <w:rPr>
          <w:rFonts w:ascii="Times New Roman" w:hAnsi="Times New Roman" w:cs="Times New Roman"/>
          <w:sz w:val="24"/>
          <w:szCs w:val="24"/>
        </w:rPr>
        <w:t>labels are based are subject to EPA confirmatory testing</w:t>
      </w:r>
      <w:r w:rsidRPr="00B10A33" w:rsidR="00830CE7">
        <w:rPr>
          <w:rFonts w:ascii="Times New Roman" w:hAnsi="Times New Roman" w:cs="Times New Roman"/>
          <w:sz w:val="24"/>
          <w:szCs w:val="24"/>
        </w:rPr>
        <w:t xml:space="preserve">. </w:t>
      </w:r>
      <w:r w:rsidRPr="00B10A33">
        <w:rPr>
          <w:rFonts w:ascii="Times New Roman" w:hAnsi="Times New Roman" w:cs="Times New Roman"/>
          <w:sz w:val="24"/>
          <w:szCs w:val="24"/>
        </w:rPr>
        <w:t>Such confirmation testing makes sure that results from different manufacturers can be accurately used for comparison.</w:t>
      </w:r>
      <w:r w:rsidRPr="00B10A33">
        <w:t xml:space="preserve"> </w:t>
      </w:r>
    </w:p>
    <w:p w:rsidR="002F1CBD" w:rsidRPr="00B10A33" w:rsidP="009D68AE" w14:paraId="40B9AD51" w14:textId="77777777">
      <w:pPr>
        <w:spacing w:after="0" w:line="240" w:lineRule="auto"/>
      </w:pPr>
    </w:p>
    <w:p w:rsidR="00ED7BF2" w:rsidRPr="00B10A33" w:rsidP="00ED7BF2" w14:paraId="3D143B41" w14:textId="208BEFF6">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Relevant portions of the above statutes can be found online at </w:t>
      </w:r>
      <w:hyperlink r:id="rId6" w:history="1">
        <w:r w:rsidRPr="00B10A33">
          <w:rPr>
            <w:rStyle w:val="Hyperlink"/>
            <w:rFonts w:ascii="Times New Roman" w:hAnsi="Times New Roman" w:cs="Times New Roman"/>
            <w:sz w:val="24"/>
            <w:szCs w:val="24"/>
          </w:rPr>
          <w:t>https://www.epa.gov/clean-air-act-overview/title-ii-emission-standards-moving-sources</w:t>
        </w:r>
      </w:hyperlink>
      <w:r w:rsidRPr="00B10A33">
        <w:rPr>
          <w:rFonts w:ascii="Times New Roman" w:hAnsi="Times New Roman" w:cs="Times New Roman"/>
          <w:sz w:val="24"/>
          <w:szCs w:val="24"/>
        </w:rPr>
        <w:t xml:space="preserve">. The regulations dealing with on-highway motorcycle emission control can be found in 40 CFR Parts 85 and 86. These regulations are not attached to this statement due to their length and technical nature but may be found on-line at </w:t>
      </w:r>
      <w:hyperlink r:id="rId7" w:history="1">
        <w:r w:rsidRPr="00B10A33">
          <w:rPr>
            <w:rStyle w:val="Hyperlink"/>
            <w:rFonts w:ascii="Times New Roman" w:hAnsi="Times New Roman" w:cs="Times New Roman"/>
            <w:sz w:val="24"/>
            <w:szCs w:val="24"/>
          </w:rPr>
          <w:t>www.ecfr.gov</w:t>
        </w:r>
      </w:hyperlink>
      <w:r w:rsidRPr="00B10A33">
        <w:rPr>
          <w:rStyle w:val="Hyperlink"/>
          <w:rFonts w:ascii="Times New Roman" w:hAnsi="Times New Roman" w:cs="Times New Roman"/>
          <w:sz w:val="24"/>
          <w:szCs w:val="24"/>
        </w:rPr>
        <w:t>.</w:t>
      </w:r>
    </w:p>
    <w:p w:rsidR="003413BD" w:rsidRPr="00B10A33" w:rsidP="009D68AE" w14:paraId="20915384" w14:textId="77777777">
      <w:pPr>
        <w:spacing w:after="0" w:line="240" w:lineRule="auto"/>
        <w:rPr>
          <w:rFonts w:ascii="Times New Roman" w:hAnsi="Times New Roman" w:cs="Times New Roman"/>
          <w:sz w:val="24"/>
          <w:szCs w:val="24"/>
        </w:rPr>
      </w:pPr>
    </w:p>
    <w:p w:rsidR="002F1CBD" w:rsidRPr="00B10A33" w:rsidP="002F1CBD" w14:paraId="023DC473"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2(b) </w:t>
      </w:r>
      <w:r w:rsidRPr="00B10A33">
        <w:rPr>
          <w:rFonts w:ascii="Times New Roman" w:hAnsi="Times New Roman" w:cs="Times New Roman"/>
          <w:sz w:val="24"/>
          <w:szCs w:val="24"/>
          <w:u w:val="single"/>
        </w:rPr>
        <w:t>Practical Utility/Users of the Data</w:t>
      </w:r>
    </w:p>
    <w:p w:rsidR="002F1CBD" w:rsidRPr="00B10A33" w:rsidP="002F1CBD" w14:paraId="16A62CEC" w14:textId="77777777">
      <w:pPr>
        <w:spacing w:after="0" w:line="240" w:lineRule="auto"/>
        <w:rPr>
          <w:rFonts w:ascii="Times New Roman" w:hAnsi="Times New Roman" w:cs="Times New Roman"/>
          <w:sz w:val="24"/>
          <w:szCs w:val="24"/>
        </w:rPr>
      </w:pPr>
    </w:p>
    <w:p w:rsidR="003413BD" w:rsidRPr="00B10A33" w:rsidP="002F1CBD" w14:paraId="0016159C" w14:textId="458A816A">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The discussion in this section outlines the major features of the program covered by this ICR as well as </w:t>
      </w:r>
      <w:r w:rsidRPr="00B10A33" w:rsidR="0075052A">
        <w:rPr>
          <w:rFonts w:ascii="Times New Roman" w:hAnsi="Times New Roman" w:cs="Times New Roman"/>
          <w:sz w:val="24"/>
          <w:szCs w:val="24"/>
        </w:rPr>
        <w:t xml:space="preserve">summarizes </w:t>
      </w:r>
      <w:r w:rsidRPr="00B10A33">
        <w:rPr>
          <w:rFonts w:ascii="Times New Roman" w:hAnsi="Times New Roman" w:cs="Times New Roman"/>
          <w:sz w:val="24"/>
          <w:szCs w:val="24"/>
        </w:rPr>
        <w:t>some of the recent historical and ongoing developments that have a bearing on the information burden.</w:t>
      </w:r>
    </w:p>
    <w:p w:rsidR="00672403" w:rsidRPr="00B10A33" w:rsidP="009D68AE" w14:paraId="6A47AACE" w14:textId="77777777">
      <w:pPr>
        <w:spacing w:after="0" w:line="240" w:lineRule="auto"/>
        <w:rPr>
          <w:rFonts w:ascii="Times New Roman" w:hAnsi="Times New Roman" w:cs="Times New Roman"/>
          <w:sz w:val="24"/>
          <w:szCs w:val="24"/>
        </w:rPr>
      </w:pPr>
    </w:p>
    <w:p w:rsidR="00393943" w:rsidRPr="00B10A33" w:rsidP="00393943" w14:paraId="5A709653"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u w:val="single"/>
        </w:rPr>
        <w:t>Highway Motorcycles Certification and Compliance</w:t>
      </w:r>
    </w:p>
    <w:p w:rsidR="00393943" w:rsidRPr="00B10A33" w:rsidP="00393943" w14:paraId="2C43CE70" w14:textId="77777777">
      <w:pPr>
        <w:spacing w:after="0" w:line="240" w:lineRule="auto"/>
        <w:rPr>
          <w:rFonts w:ascii="Times New Roman" w:hAnsi="Times New Roman" w:cs="Times New Roman"/>
          <w:sz w:val="24"/>
          <w:szCs w:val="24"/>
        </w:rPr>
      </w:pPr>
    </w:p>
    <w:p w:rsidR="00393943" w:rsidRPr="00B10A33" w:rsidP="00393943" w14:paraId="59DCABE6" w14:textId="60E59F45">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Federal standards for HMCs have been in effect since the 1978 model year. On January 15, 2004, </w:t>
      </w:r>
      <w:r w:rsidRPr="00B10A33" w:rsidR="00392E85">
        <w:rPr>
          <w:rFonts w:ascii="Times New Roman" w:hAnsi="Times New Roman" w:cs="Times New Roman"/>
          <w:sz w:val="24"/>
          <w:szCs w:val="24"/>
        </w:rPr>
        <w:t xml:space="preserve">the </w:t>
      </w:r>
      <w:r w:rsidRPr="00B10A33">
        <w:rPr>
          <w:rFonts w:ascii="Times New Roman" w:hAnsi="Times New Roman" w:cs="Times New Roman"/>
          <w:sz w:val="24"/>
          <w:szCs w:val="24"/>
        </w:rPr>
        <w:t>EPA finalized the first revision to these standards</w:t>
      </w:r>
      <w:r w:rsidRPr="00B10A33" w:rsidR="00ED7BF2">
        <w:rPr>
          <w:rFonts w:ascii="Times New Roman" w:hAnsi="Times New Roman" w:cs="Times New Roman"/>
          <w:sz w:val="24"/>
          <w:szCs w:val="24"/>
        </w:rPr>
        <w:t xml:space="preserve"> which included,</w:t>
      </w:r>
      <w:r w:rsidRPr="00B10A33">
        <w:rPr>
          <w:rFonts w:ascii="Times New Roman" w:hAnsi="Times New Roman" w:cs="Times New Roman"/>
          <w:sz w:val="24"/>
          <w:szCs w:val="24"/>
        </w:rPr>
        <w:t xml:space="preserve"> for the first time</w:t>
      </w:r>
      <w:r w:rsidRPr="00B10A33" w:rsidR="004B0936">
        <w:rPr>
          <w:rFonts w:ascii="Times New Roman" w:hAnsi="Times New Roman" w:cs="Times New Roman"/>
          <w:sz w:val="24"/>
          <w:szCs w:val="24"/>
        </w:rPr>
        <w:t>,</w:t>
      </w:r>
      <w:r w:rsidRPr="00B10A33">
        <w:rPr>
          <w:rFonts w:ascii="Times New Roman" w:hAnsi="Times New Roman" w:cs="Times New Roman"/>
          <w:sz w:val="24"/>
          <w:szCs w:val="24"/>
        </w:rPr>
        <w:t xml:space="preserve"> engines with displacements of less than 50cc and new standards that require the use of low permeability fuel tanks and fuel hoses. These provisions </w:t>
      </w:r>
      <w:r w:rsidRPr="00B10A33" w:rsidR="00ED7BF2">
        <w:rPr>
          <w:rFonts w:ascii="Times New Roman" w:hAnsi="Times New Roman" w:cs="Times New Roman"/>
          <w:sz w:val="24"/>
          <w:szCs w:val="24"/>
        </w:rPr>
        <w:t xml:space="preserve">have been </w:t>
      </w:r>
      <w:r w:rsidRPr="00B10A33">
        <w:rPr>
          <w:rFonts w:ascii="Times New Roman" w:hAnsi="Times New Roman" w:cs="Times New Roman"/>
          <w:sz w:val="24"/>
          <w:szCs w:val="24"/>
        </w:rPr>
        <w:t>effect</w:t>
      </w:r>
      <w:r w:rsidRPr="00B10A33" w:rsidR="00DD10E9">
        <w:rPr>
          <w:rFonts w:ascii="Times New Roman" w:hAnsi="Times New Roman" w:cs="Times New Roman"/>
          <w:sz w:val="24"/>
          <w:szCs w:val="24"/>
        </w:rPr>
        <w:t>ive</w:t>
      </w:r>
      <w:r w:rsidRPr="00B10A33">
        <w:rPr>
          <w:rFonts w:ascii="Times New Roman" w:hAnsi="Times New Roman" w:cs="Times New Roman"/>
          <w:sz w:val="24"/>
          <w:szCs w:val="24"/>
        </w:rPr>
        <w:t xml:space="preserve"> </w:t>
      </w:r>
      <w:r w:rsidRPr="00B10A33" w:rsidR="00ED7BF2">
        <w:rPr>
          <w:rFonts w:ascii="Times New Roman" w:hAnsi="Times New Roman" w:cs="Times New Roman"/>
          <w:sz w:val="24"/>
          <w:szCs w:val="24"/>
        </w:rPr>
        <w:t xml:space="preserve">since the </w:t>
      </w:r>
      <w:r w:rsidRPr="00B10A33">
        <w:rPr>
          <w:rFonts w:ascii="Times New Roman" w:hAnsi="Times New Roman" w:cs="Times New Roman"/>
          <w:sz w:val="24"/>
          <w:szCs w:val="24"/>
        </w:rPr>
        <w:t xml:space="preserve">2006 </w:t>
      </w:r>
      <w:r w:rsidRPr="00B10A33" w:rsidR="00385BAA">
        <w:rPr>
          <w:rFonts w:ascii="Times New Roman" w:hAnsi="Times New Roman" w:cs="Times New Roman"/>
          <w:sz w:val="24"/>
          <w:szCs w:val="24"/>
        </w:rPr>
        <w:t>model year.</w:t>
      </w:r>
      <w:r w:rsidRPr="00B10A33" w:rsidR="004B0936">
        <w:rPr>
          <w:rFonts w:ascii="Times New Roman" w:hAnsi="Times New Roman" w:cs="Times New Roman"/>
          <w:sz w:val="24"/>
          <w:szCs w:val="24"/>
        </w:rPr>
        <w:t xml:space="preserve"> </w:t>
      </w:r>
      <w:r w:rsidRPr="00B10A33">
        <w:rPr>
          <w:rFonts w:ascii="Times New Roman" w:hAnsi="Times New Roman" w:cs="Times New Roman"/>
          <w:sz w:val="24"/>
          <w:szCs w:val="24"/>
        </w:rPr>
        <w:t xml:space="preserve">Manufacturers group vehicles/engines into engine families, conduct emissions tests to demonstrate compliance with exhaust emissions standards, calculate durability factors for useful-life compliance, and submit </w:t>
      </w:r>
      <w:r w:rsidRPr="00457895" w:rsidR="00B07955">
        <w:rPr>
          <w:rFonts w:ascii="Times New Roman" w:hAnsi="Times New Roman" w:cs="Times New Roman"/>
          <w:sz w:val="24"/>
          <w:szCs w:val="24"/>
        </w:rPr>
        <w:t>applications</w:t>
      </w:r>
      <w:r w:rsidRPr="00B10A33">
        <w:rPr>
          <w:rFonts w:ascii="Times New Roman" w:hAnsi="Times New Roman" w:cs="Times New Roman"/>
          <w:sz w:val="24"/>
          <w:szCs w:val="24"/>
        </w:rPr>
        <w:t xml:space="preserve"> for certification</w:t>
      </w:r>
      <w:r w:rsidRPr="00B10A33" w:rsidR="00B07955">
        <w:rPr>
          <w:rFonts w:ascii="Times New Roman" w:hAnsi="Times New Roman" w:cs="Times New Roman"/>
          <w:sz w:val="24"/>
          <w:szCs w:val="24"/>
        </w:rPr>
        <w:t xml:space="preserve"> to the EPA</w:t>
      </w:r>
      <w:r w:rsidRPr="00B10A33">
        <w:rPr>
          <w:rFonts w:ascii="Times New Roman" w:hAnsi="Times New Roman" w:cs="Times New Roman"/>
          <w:sz w:val="24"/>
          <w:szCs w:val="24"/>
        </w:rPr>
        <w:t xml:space="preserve">. Manufacturers </w:t>
      </w:r>
      <w:r w:rsidRPr="00B10A33" w:rsidR="004B0936">
        <w:rPr>
          <w:rFonts w:ascii="Times New Roman" w:hAnsi="Times New Roman" w:cs="Times New Roman"/>
          <w:sz w:val="24"/>
          <w:szCs w:val="24"/>
        </w:rPr>
        <w:t>may be</w:t>
      </w:r>
      <w:r w:rsidRPr="00B10A33">
        <w:rPr>
          <w:rFonts w:ascii="Times New Roman" w:hAnsi="Times New Roman" w:cs="Times New Roman"/>
          <w:sz w:val="24"/>
          <w:szCs w:val="24"/>
        </w:rPr>
        <w:t xml:space="preserve"> subject to production vehicle testing for EPA in-use compliance </w:t>
      </w:r>
      <w:r w:rsidRPr="00B10A33" w:rsidR="0075052A">
        <w:rPr>
          <w:rFonts w:ascii="Times New Roman" w:hAnsi="Times New Roman" w:cs="Times New Roman"/>
          <w:sz w:val="24"/>
          <w:szCs w:val="24"/>
        </w:rPr>
        <w:t>i</w:t>
      </w:r>
      <w:r w:rsidRPr="00B10A33">
        <w:rPr>
          <w:rFonts w:ascii="Times New Roman" w:hAnsi="Times New Roman" w:cs="Times New Roman"/>
          <w:sz w:val="24"/>
          <w:szCs w:val="24"/>
        </w:rPr>
        <w:t xml:space="preserve">nvestigations (40 CFR 86.415-78). </w:t>
      </w:r>
    </w:p>
    <w:p w:rsidR="00672403" w:rsidRPr="00B10A33" w:rsidP="00D608A0" w14:paraId="01BB8501" w14:textId="77777777">
      <w:pPr>
        <w:spacing w:after="0" w:line="240" w:lineRule="auto"/>
        <w:rPr>
          <w:rFonts w:ascii="Times New Roman" w:hAnsi="Times New Roman" w:cs="Times New Roman"/>
          <w:sz w:val="24"/>
          <w:szCs w:val="24"/>
        </w:rPr>
      </w:pPr>
    </w:p>
    <w:p w:rsidR="00F837B9" w:rsidRPr="00B10A33" w:rsidP="00F837B9" w14:paraId="11EA20CD"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u w:val="single"/>
        </w:rPr>
        <w:t>Defect Reports and Voluntary Emissions Recall Reports</w:t>
      </w:r>
    </w:p>
    <w:p w:rsidR="00F837B9" w:rsidRPr="00B10A33" w:rsidP="00F837B9" w14:paraId="5DF91D1C" w14:textId="77777777">
      <w:pPr>
        <w:spacing w:after="0" w:line="240" w:lineRule="auto"/>
        <w:rPr>
          <w:rFonts w:ascii="Times New Roman" w:hAnsi="Times New Roman" w:cs="Times New Roman"/>
          <w:sz w:val="24"/>
          <w:szCs w:val="24"/>
        </w:rPr>
      </w:pPr>
    </w:p>
    <w:p w:rsidR="00DB54EA" w:rsidRPr="00B10A33" w:rsidP="00DB54EA" w14:paraId="0D0DAE85" w14:textId="43289573">
      <w:pPr>
        <w:rPr>
          <w:rFonts w:ascii="Times New Roman" w:hAnsi="Times New Roman" w:cs="Times New Roman"/>
          <w:sz w:val="24"/>
          <w:szCs w:val="24"/>
        </w:rPr>
      </w:pPr>
      <w:r w:rsidRPr="00B10A33">
        <w:rPr>
          <w:rFonts w:ascii="Times New Roman" w:hAnsi="Times New Roman" w:cs="Times New Roman"/>
          <w:sz w:val="24"/>
          <w:szCs w:val="24"/>
        </w:rPr>
        <w:t xml:space="preserve">The </w:t>
      </w:r>
      <w:r w:rsidRPr="00B10A33">
        <w:rPr>
          <w:rFonts w:ascii="Times New Roman" w:hAnsi="Times New Roman" w:cs="Times New Roman"/>
          <w:sz w:val="24"/>
          <w:szCs w:val="24"/>
        </w:rPr>
        <w:t>Clean Air Act</w:t>
      </w:r>
      <w:r w:rsidRPr="00B10A33">
        <w:rPr>
          <w:rFonts w:ascii="Times New Roman" w:hAnsi="Times New Roman" w:cs="Times New Roman"/>
          <w:sz w:val="24"/>
          <w:szCs w:val="24"/>
        </w:rPr>
        <w:t>’s</w:t>
      </w:r>
      <w:r w:rsidRPr="00B10A33">
        <w:rPr>
          <w:rFonts w:ascii="Times New Roman" w:hAnsi="Times New Roman" w:cs="Times New Roman"/>
          <w:sz w:val="24"/>
          <w:szCs w:val="24"/>
        </w:rPr>
        <w:t xml:space="preserve"> § 208 </w:t>
      </w:r>
      <w:r w:rsidRPr="00B10A33">
        <w:rPr>
          <w:rFonts w:ascii="Times New Roman" w:hAnsi="Times New Roman" w:cs="Times New Roman"/>
          <w:sz w:val="24"/>
          <w:szCs w:val="24"/>
        </w:rPr>
        <w:t xml:space="preserve">gives the </w:t>
      </w:r>
      <w:r w:rsidRPr="00B10A33">
        <w:rPr>
          <w:rFonts w:ascii="Times New Roman" w:hAnsi="Times New Roman" w:cs="Times New Roman"/>
          <w:sz w:val="24"/>
          <w:szCs w:val="24"/>
        </w:rPr>
        <w:t>EPA authority to require manufacturers that have been issued certificates of conformity to report on compliance issues with in-use products</w:t>
      </w:r>
      <w:r w:rsidRPr="00B10A33">
        <w:rPr>
          <w:rFonts w:ascii="Times New Roman" w:hAnsi="Times New Roman" w:cs="Times New Roman"/>
          <w:sz w:val="24"/>
          <w:szCs w:val="24"/>
        </w:rPr>
        <w:t>.</w:t>
      </w:r>
      <w:r w:rsidRPr="00B10A33">
        <w:rPr>
          <w:rFonts w:ascii="Times New Roman" w:hAnsi="Times New Roman" w:cs="Times New Roman"/>
          <w:sz w:val="24"/>
          <w:szCs w:val="24"/>
        </w:rPr>
        <w:t xml:space="preserve"> Th</w:t>
      </w:r>
      <w:r w:rsidRPr="00457895">
        <w:rPr>
          <w:rFonts w:ascii="Times New Roman" w:hAnsi="Times New Roman" w:cs="Times New Roman"/>
          <w:sz w:val="24"/>
          <w:szCs w:val="24"/>
        </w:rPr>
        <w:t xml:space="preserve">e information reported by </w:t>
      </w:r>
      <w:r w:rsidRPr="00B10A33">
        <w:rPr>
          <w:rFonts w:ascii="Times New Roman" w:hAnsi="Times New Roman" w:cs="Times New Roman"/>
          <w:sz w:val="24"/>
          <w:szCs w:val="24"/>
        </w:rPr>
        <w:t>manufacturers</w:t>
      </w:r>
      <w:r w:rsidRPr="00457895">
        <w:rPr>
          <w:rFonts w:ascii="Times New Roman" w:hAnsi="Times New Roman" w:cs="Times New Roman"/>
          <w:sz w:val="24"/>
          <w:szCs w:val="24"/>
        </w:rPr>
        <w:t xml:space="preserve"> may be gathered from </w:t>
      </w:r>
      <w:r w:rsidRPr="00457895">
        <w:rPr>
          <w:rFonts w:ascii="Times New Roman" w:hAnsi="Times New Roman" w:cs="Times New Roman"/>
          <w:sz w:val="24"/>
          <w:szCs w:val="24"/>
        </w:rPr>
        <w:t>a number of</w:t>
      </w:r>
      <w:r w:rsidRPr="00457895">
        <w:rPr>
          <w:rFonts w:ascii="Times New Roman" w:hAnsi="Times New Roman" w:cs="Times New Roman"/>
          <w:sz w:val="24"/>
          <w:szCs w:val="24"/>
        </w:rPr>
        <w:t xml:space="preserve"> </w:t>
      </w:r>
      <w:r w:rsidRPr="00457895" w:rsidR="00D2664C">
        <w:rPr>
          <w:rFonts w:ascii="Times New Roman" w:hAnsi="Times New Roman" w:cs="Times New Roman"/>
          <w:sz w:val="24"/>
          <w:szCs w:val="24"/>
        </w:rPr>
        <w:t>sources but</w:t>
      </w:r>
      <w:r w:rsidRPr="00457895">
        <w:rPr>
          <w:rFonts w:ascii="Times New Roman" w:hAnsi="Times New Roman" w:cs="Times New Roman"/>
          <w:sz w:val="24"/>
          <w:szCs w:val="24"/>
        </w:rPr>
        <w:t xml:space="preserve"> is often </w:t>
      </w:r>
      <w:r w:rsidRPr="00457895" w:rsidR="00D2664C">
        <w:rPr>
          <w:rFonts w:ascii="Times New Roman" w:hAnsi="Times New Roman" w:cs="Times New Roman"/>
          <w:sz w:val="24"/>
          <w:szCs w:val="24"/>
        </w:rPr>
        <w:t xml:space="preserve">derived primarily </w:t>
      </w:r>
      <w:r w:rsidRPr="00457895">
        <w:rPr>
          <w:rFonts w:ascii="Times New Roman" w:hAnsi="Times New Roman" w:cs="Times New Roman"/>
          <w:sz w:val="24"/>
          <w:szCs w:val="24"/>
        </w:rPr>
        <w:t xml:space="preserve">from </w:t>
      </w:r>
      <w:r w:rsidRPr="00B10A33">
        <w:rPr>
          <w:rFonts w:ascii="Times New Roman" w:hAnsi="Times New Roman" w:cs="Times New Roman"/>
          <w:sz w:val="24"/>
          <w:szCs w:val="24"/>
        </w:rPr>
        <w:t xml:space="preserve">their warranty claims systems. EPA </w:t>
      </w:r>
      <w:r w:rsidRPr="00B10A33" w:rsidR="00D2664C">
        <w:rPr>
          <w:rFonts w:ascii="Times New Roman" w:hAnsi="Times New Roman" w:cs="Times New Roman"/>
          <w:sz w:val="24"/>
          <w:szCs w:val="24"/>
        </w:rPr>
        <w:t xml:space="preserve">uses it </w:t>
      </w:r>
      <w:r w:rsidRPr="00B10A33">
        <w:rPr>
          <w:rFonts w:ascii="Times New Roman" w:hAnsi="Times New Roman" w:cs="Times New Roman"/>
          <w:sz w:val="24"/>
          <w:szCs w:val="24"/>
        </w:rPr>
        <w:t xml:space="preserve">to assess whether a manufacturer is meeting its obligations under the Act </w:t>
      </w:r>
      <w:r w:rsidRPr="00B10A33" w:rsidR="00D2664C">
        <w:rPr>
          <w:rFonts w:ascii="Times New Roman" w:hAnsi="Times New Roman" w:cs="Times New Roman"/>
          <w:sz w:val="24"/>
          <w:szCs w:val="24"/>
        </w:rPr>
        <w:t>potentially inform d</w:t>
      </w:r>
      <w:r w:rsidRPr="00B10A33">
        <w:rPr>
          <w:rFonts w:ascii="Times New Roman" w:hAnsi="Times New Roman" w:cs="Times New Roman"/>
          <w:sz w:val="24"/>
          <w:szCs w:val="24"/>
        </w:rPr>
        <w:t xml:space="preserve">eterminations of noncompliance. The defect provisions under 40 CFR Part 85, subpart T require manufacturers to report a “defect” exceeding a certain number of vehicles to the EPA and provide a remedy. Manufacturers may seek to cure the “defect” using the Voluntary Emissions Recall provisions under 40 CFR Part 85, subpart S. Both the defect reporting requirement and the voluntary emissions recall reporting requirement allow the EPA to receive information on how manufacturers continue to </w:t>
      </w:r>
      <w:r w:rsidRPr="00B10A33">
        <w:rPr>
          <w:rFonts w:ascii="Times New Roman" w:hAnsi="Times New Roman" w:cs="Times New Roman"/>
          <w:sz w:val="24"/>
          <w:szCs w:val="24"/>
        </w:rPr>
        <w:t xml:space="preserve">comply with the emissions of their products not just at the time of certification, but throughout the useful life of the product. </w:t>
      </w:r>
      <w:r w:rsidRPr="00B10A33">
        <w:rPr>
          <w:rStyle w:val="CommentReference"/>
        </w:rPr>
        <w:t xml:space="preserve"> </w:t>
      </w:r>
    </w:p>
    <w:p w:rsidR="002F1CBD" w:rsidRPr="00B10A33" w:rsidP="002F1CBD" w14:paraId="2EBAAAD6"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 </w:t>
      </w:r>
      <w:r w:rsidRPr="00B10A33">
        <w:rPr>
          <w:rFonts w:ascii="Times New Roman" w:hAnsi="Times New Roman" w:cs="Times New Roman"/>
          <w:sz w:val="24"/>
          <w:szCs w:val="24"/>
          <w:u w:val="single"/>
        </w:rPr>
        <w:t xml:space="preserve">Investigation into Possible Noncompliance of </w:t>
      </w:r>
      <w:r w:rsidRPr="00B10A33" w:rsidR="000303BE">
        <w:rPr>
          <w:rFonts w:ascii="Times New Roman" w:hAnsi="Times New Roman" w:cs="Times New Roman"/>
          <w:sz w:val="24"/>
          <w:szCs w:val="24"/>
          <w:u w:val="single"/>
        </w:rPr>
        <w:t>HMCs</w:t>
      </w:r>
    </w:p>
    <w:p w:rsidR="002F1CBD" w:rsidRPr="00B10A33" w:rsidP="002F1CBD" w14:paraId="4A3898D3" w14:textId="77777777">
      <w:pPr>
        <w:spacing w:after="0" w:line="240" w:lineRule="auto"/>
        <w:rPr>
          <w:rFonts w:ascii="Times New Roman" w:hAnsi="Times New Roman" w:cs="Times New Roman"/>
          <w:sz w:val="24"/>
          <w:szCs w:val="24"/>
          <w:u w:val="single"/>
        </w:rPr>
      </w:pPr>
    </w:p>
    <w:p w:rsidR="00672403" w:rsidRPr="00B10A33" w:rsidP="002F1CBD" w14:paraId="784BC29F" w14:textId="1BF3EB6C">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The HMC emissions compliance program include</w:t>
      </w:r>
      <w:r w:rsidRPr="00B10A33" w:rsidR="00110B73">
        <w:rPr>
          <w:rFonts w:ascii="Times New Roman" w:hAnsi="Times New Roman" w:cs="Times New Roman"/>
          <w:sz w:val="24"/>
          <w:szCs w:val="24"/>
        </w:rPr>
        <w:t>s</w:t>
      </w:r>
      <w:r w:rsidRPr="00B10A33">
        <w:rPr>
          <w:rFonts w:ascii="Times New Roman" w:hAnsi="Times New Roman" w:cs="Times New Roman"/>
          <w:sz w:val="24"/>
          <w:szCs w:val="24"/>
        </w:rPr>
        <w:t xml:space="preserve"> pre-production, production, and in-use components. </w:t>
      </w:r>
      <w:r w:rsidRPr="00B10A33" w:rsidR="00FF3E11">
        <w:rPr>
          <w:rFonts w:ascii="Times New Roman" w:hAnsi="Times New Roman" w:cs="Times New Roman"/>
          <w:sz w:val="24"/>
          <w:szCs w:val="24"/>
        </w:rPr>
        <w:t>HMC</w:t>
      </w:r>
      <w:r w:rsidRPr="00B10A33" w:rsidR="00110B73">
        <w:rPr>
          <w:rFonts w:ascii="Times New Roman" w:hAnsi="Times New Roman" w:cs="Times New Roman"/>
          <w:sz w:val="24"/>
          <w:szCs w:val="24"/>
        </w:rPr>
        <w:t>s</w:t>
      </w:r>
      <w:r w:rsidRPr="00B10A33">
        <w:rPr>
          <w:rFonts w:ascii="Times New Roman" w:hAnsi="Times New Roman" w:cs="Times New Roman"/>
          <w:sz w:val="24"/>
          <w:szCs w:val="24"/>
        </w:rPr>
        <w:t xml:space="preserve"> are evaluated as prototypes prior to production and those designs that meet applicable criteria are certified for introduction into commerce.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EPA also has discretion to conduct vehicle testing</w:t>
      </w:r>
      <w:r w:rsidRPr="00B10A33" w:rsidR="000E673B">
        <w:rPr>
          <w:rFonts w:ascii="Times New Roman" w:hAnsi="Times New Roman" w:cs="Times New Roman"/>
          <w:sz w:val="24"/>
          <w:szCs w:val="24"/>
        </w:rPr>
        <w:t xml:space="preserve"> once a vehicle is in production</w:t>
      </w:r>
      <w:r w:rsidRPr="00B10A33">
        <w:rPr>
          <w:rFonts w:ascii="Times New Roman" w:hAnsi="Times New Roman" w:cs="Times New Roman"/>
          <w:sz w:val="24"/>
          <w:szCs w:val="24"/>
        </w:rPr>
        <w:t xml:space="preserve">. </w:t>
      </w:r>
      <w:r w:rsidRPr="00B10A33" w:rsidR="000E673B">
        <w:rPr>
          <w:rFonts w:ascii="Times New Roman" w:hAnsi="Times New Roman" w:cs="Times New Roman"/>
          <w:sz w:val="24"/>
          <w:szCs w:val="24"/>
        </w:rPr>
        <w:t>Additionally,</w:t>
      </w:r>
      <w:r w:rsidRPr="00B10A33" w:rsidR="002F79E8">
        <w:rPr>
          <w:rFonts w:ascii="Times New Roman" w:hAnsi="Times New Roman" w:cs="Times New Roman"/>
          <w:sz w:val="24"/>
          <w:szCs w:val="24"/>
        </w:rPr>
        <w:t xml:space="preserve"> </w:t>
      </w:r>
      <w:r w:rsidRPr="00B10A33">
        <w:rPr>
          <w:rFonts w:ascii="Times New Roman" w:hAnsi="Times New Roman" w:cs="Times New Roman"/>
          <w:sz w:val="24"/>
          <w:szCs w:val="24"/>
        </w:rPr>
        <w:t xml:space="preserve">EPA will follow up on information </w:t>
      </w:r>
      <w:r w:rsidRPr="00B10A33" w:rsidR="008A68E3">
        <w:rPr>
          <w:rFonts w:ascii="Times New Roman" w:hAnsi="Times New Roman" w:cs="Times New Roman"/>
          <w:sz w:val="24"/>
          <w:szCs w:val="24"/>
        </w:rPr>
        <w:t>submitted to</w:t>
      </w:r>
      <w:r w:rsidRPr="00B10A33">
        <w:rPr>
          <w:rFonts w:ascii="Times New Roman" w:hAnsi="Times New Roman" w:cs="Times New Roman"/>
          <w:sz w:val="24"/>
          <w:szCs w:val="24"/>
        </w:rPr>
        <w:t xml:space="preserve"> the </w:t>
      </w:r>
      <w:r w:rsidRPr="00B10A33" w:rsidR="00A04D3E">
        <w:rPr>
          <w:rFonts w:ascii="Times New Roman" w:hAnsi="Times New Roman" w:cs="Times New Roman"/>
          <w:sz w:val="24"/>
          <w:szCs w:val="24"/>
        </w:rPr>
        <w:t>A</w:t>
      </w:r>
      <w:r w:rsidRPr="00B10A33">
        <w:rPr>
          <w:rFonts w:ascii="Times New Roman" w:hAnsi="Times New Roman" w:cs="Times New Roman"/>
          <w:sz w:val="24"/>
          <w:szCs w:val="24"/>
        </w:rPr>
        <w:t xml:space="preserve">gency </w:t>
      </w:r>
      <w:r w:rsidRPr="00B10A33" w:rsidR="000E673B">
        <w:rPr>
          <w:rFonts w:ascii="Times New Roman" w:hAnsi="Times New Roman" w:cs="Times New Roman"/>
          <w:sz w:val="24"/>
          <w:szCs w:val="24"/>
        </w:rPr>
        <w:t>from</w:t>
      </w:r>
      <w:r w:rsidRPr="00B10A33" w:rsidR="000E673B">
        <w:rPr>
          <w:rFonts w:ascii="Times New Roman" w:hAnsi="Times New Roman" w:cs="Times New Roman"/>
          <w:sz w:val="24"/>
          <w:szCs w:val="24"/>
        </w:rPr>
        <w:t xml:space="preserve"> </w:t>
      </w:r>
      <w:r w:rsidRPr="00B10A33">
        <w:rPr>
          <w:rFonts w:ascii="Times New Roman" w:hAnsi="Times New Roman" w:cs="Times New Roman"/>
          <w:sz w:val="24"/>
          <w:szCs w:val="24"/>
        </w:rPr>
        <w:t xml:space="preserve">other administrative and state agencies, such as California’s Air Resources Board and Environment </w:t>
      </w:r>
      <w:r w:rsidRPr="00B10A33" w:rsidR="002B3691">
        <w:rPr>
          <w:rFonts w:ascii="Times New Roman" w:hAnsi="Times New Roman" w:cs="Times New Roman"/>
          <w:sz w:val="24"/>
          <w:szCs w:val="24"/>
        </w:rPr>
        <w:t xml:space="preserve">and Climate Control </w:t>
      </w:r>
      <w:r w:rsidRPr="00B10A33">
        <w:rPr>
          <w:rFonts w:ascii="Times New Roman" w:hAnsi="Times New Roman" w:cs="Times New Roman"/>
          <w:sz w:val="24"/>
          <w:szCs w:val="24"/>
        </w:rPr>
        <w:t xml:space="preserve">Canada, to investigate vehicle compliance. </w:t>
      </w:r>
    </w:p>
    <w:p w:rsidR="008C53F5" w:rsidRPr="00B10A33" w:rsidP="001649A8" w14:paraId="355A2103" w14:textId="77777777">
      <w:pPr>
        <w:spacing w:after="0" w:line="240" w:lineRule="auto"/>
        <w:rPr>
          <w:rFonts w:ascii="Times New Roman" w:hAnsi="Times New Roman" w:cs="Times New Roman"/>
          <w:sz w:val="24"/>
          <w:szCs w:val="24"/>
        </w:rPr>
      </w:pPr>
    </w:p>
    <w:p w:rsidR="00393943" w:rsidRPr="00B10A33" w:rsidP="00393943" w14:paraId="5DB149ED"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u w:val="single"/>
        </w:rPr>
        <w:t xml:space="preserve">Averaging Program for </w:t>
      </w:r>
      <w:r w:rsidRPr="00B10A33">
        <w:rPr>
          <w:rFonts w:ascii="Times New Roman" w:hAnsi="Times New Roman" w:cs="Times New Roman"/>
          <w:sz w:val="24"/>
          <w:szCs w:val="24"/>
          <w:u w:val="single"/>
        </w:rPr>
        <w:t>HC+N</w:t>
      </w:r>
      <w:r w:rsidRPr="00B10A33" w:rsidR="00552D5E">
        <w:rPr>
          <w:rFonts w:ascii="Times New Roman" w:hAnsi="Times New Roman" w:cs="Times New Roman"/>
          <w:sz w:val="24"/>
          <w:szCs w:val="24"/>
          <w:u w:val="single"/>
        </w:rPr>
        <w:t>O</w:t>
      </w:r>
      <w:r w:rsidRPr="00B10A33">
        <w:rPr>
          <w:rFonts w:ascii="Times New Roman" w:hAnsi="Times New Roman" w:cs="Times New Roman"/>
          <w:sz w:val="24"/>
          <w:szCs w:val="24"/>
          <w:u w:val="single"/>
        </w:rPr>
        <w:t>x</w:t>
      </w:r>
    </w:p>
    <w:p w:rsidR="00552D5E" w:rsidRPr="00B10A33" w:rsidP="00393943" w14:paraId="756E0121" w14:textId="77777777">
      <w:pPr>
        <w:spacing w:after="0" w:line="240" w:lineRule="auto"/>
        <w:rPr>
          <w:rFonts w:ascii="Times New Roman" w:hAnsi="Times New Roman" w:cs="Times New Roman"/>
          <w:i/>
          <w:sz w:val="24"/>
          <w:szCs w:val="24"/>
        </w:rPr>
      </w:pPr>
    </w:p>
    <w:p w:rsidR="004B77AF" w:rsidRPr="00B10A33" w:rsidP="00393943" w14:paraId="182E4EBE" w14:textId="378DD950">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To provide flexibility in meeting the on-highway motorcycle emissions standards, </w:t>
      </w:r>
      <w:r w:rsidRPr="00B10A33" w:rsidR="000E673B">
        <w:rPr>
          <w:rFonts w:ascii="Times New Roman" w:hAnsi="Times New Roman" w:cs="Times New Roman"/>
          <w:sz w:val="24"/>
          <w:szCs w:val="24"/>
        </w:rPr>
        <w:t>EPA</w:t>
      </w:r>
      <w:r w:rsidRPr="00B10A33">
        <w:rPr>
          <w:rFonts w:ascii="Times New Roman" w:hAnsi="Times New Roman" w:cs="Times New Roman"/>
          <w:sz w:val="24"/>
          <w:szCs w:val="24"/>
        </w:rPr>
        <w:t xml:space="preserve"> adopted an emission credit program that provided an early incentive </w:t>
      </w:r>
      <w:r w:rsidRPr="00B10A33" w:rsidR="00676ABC">
        <w:rPr>
          <w:rFonts w:ascii="Times New Roman" w:hAnsi="Times New Roman" w:cs="Times New Roman"/>
          <w:sz w:val="24"/>
          <w:szCs w:val="24"/>
        </w:rPr>
        <w:t xml:space="preserve">for HMC manufacturers </w:t>
      </w:r>
      <w:r w:rsidRPr="00B10A33">
        <w:rPr>
          <w:rFonts w:ascii="Times New Roman" w:hAnsi="Times New Roman" w:cs="Times New Roman"/>
          <w:sz w:val="24"/>
          <w:szCs w:val="24"/>
        </w:rPr>
        <w:t>to bank credits for use in future model years while retaining the ability to average emissions across</w:t>
      </w:r>
      <w:r w:rsidRPr="00B10A33" w:rsidR="0088771C">
        <w:rPr>
          <w:rFonts w:ascii="Times New Roman" w:hAnsi="Times New Roman" w:cs="Times New Roman"/>
          <w:sz w:val="24"/>
          <w:szCs w:val="24"/>
        </w:rPr>
        <w:t xml:space="preserve"> engine</w:t>
      </w:r>
      <w:r w:rsidRPr="00B10A33">
        <w:rPr>
          <w:rFonts w:ascii="Times New Roman" w:hAnsi="Times New Roman" w:cs="Times New Roman"/>
          <w:sz w:val="24"/>
          <w:szCs w:val="24"/>
        </w:rPr>
        <w:t xml:space="preserve"> </w:t>
      </w:r>
      <w:r w:rsidRPr="00B10A33">
        <w:rPr>
          <w:rFonts w:ascii="Times New Roman" w:hAnsi="Times New Roman" w:cs="Times New Roman"/>
          <w:sz w:val="24"/>
          <w:szCs w:val="24"/>
        </w:rPr>
        <w:t xml:space="preserve">families. Under the averaging program, manufacturers </w:t>
      </w:r>
      <w:r w:rsidRPr="00B10A33">
        <w:rPr>
          <w:rFonts w:ascii="Times New Roman" w:hAnsi="Times New Roman" w:cs="Times New Roman"/>
          <w:sz w:val="24"/>
          <w:szCs w:val="24"/>
        </w:rPr>
        <w:t>are able to</w:t>
      </w:r>
      <w:r w:rsidRPr="00B10A33">
        <w:rPr>
          <w:rFonts w:ascii="Times New Roman" w:hAnsi="Times New Roman" w:cs="Times New Roman"/>
          <w:sz w:val="24"/>
          <w:szCs w:val="24"/>
        </w:rPr>
        <w:t xml:space="preserve"> balance the certified emissions of their motorcycles so that the sales-weighted emissions level meets the applicable standard. This means that some engine families</w:t>
      </w:r>
      <w:r w:rsidRPr="00B10A33">
        <w:t xml:space="preserve"> </w:t>
      </w:r>
      <w:r w:rsidRPr="00B10A33">
        <w:rPr>
          <w:rFonts w:ascii="Times New Roman" w:hAnsi="Times New Roman" w:cs="Times New Roman"/>
          <w:sz w:val="24"/>
          <w:szCs w:val="24"/>
        </w:rPr>
        <w:t>may have emissions below the standards while others have emissions higher than the standards. For enforcement purposes, manufacturers are required to specify a certification limit, or ‘‘Family Emission Limit’’ (FEL)</w:t>
      </w:r>
      <w:r w:rsidRPr="00B10A33" w:rsidR="002B3691">
        <w:rPr>
          <w:rFonts w:ascii="Times New Roman" w:hAnsi="Times New Roman" w:cs="Times New Roman"/>
          <w:sz w:val="24"/>
          <w:szCs w:val="24"/>
        </w:rPr>
        <w:t>,</w:t>
      </w:r>
      <w:r w:rsidRPr="00B10A33">
        <w:rPr>
          <w:rFonts w:ascii="Times New Roman" w:hAnsi="Times New Roman" w:cs="Times New Roman"/>
          <w:sz w:val="24"/>
          <w:szCs w:val="24"/>
        </w:rPr>
        <w:t xml:space="preserve"> for each engine family. The FEL is the emission level that a particular engine family is certified as meeting and, in effect, become</w:t>
      </w:r>
      <w:r w:rsidRPr="00B10A33" w:rsidR="000D2D8D">
        <w:rPr>
          <w:rFonts w:ascii="Times New Roman" w:hAnsi="Times New Roman" w:cs="Times New Roman"/>
          <w:sz w:val="24"/>
          <w:szCs w:val="24"/>
        </w:rPr>
        <w:t>s</w:t>
      </w:r>
      <w:r w:rsidRPr="00B10A33">
        <w:rPr>
          <w:rFonts w:ascii="Times New Roman" w:hAnsi="Times New Roman" w:cs="Times New Roman"/>
          <w:sz w:val="24"/>
          <w:szCs w:val="24"/>
        </w:rPr>
        <w:t xml:space="preserve"> the standard for the individual family. The FEL may be above or below the applicable standard </w:t>
      </w:r>
      <w:r w:rsidRPr="00B10A33">
        <w:rPr>
          <w:rFonts w:ascii="Times New Roman" w:hAnsi="Times New Roman" w:cs="Times New Roman"/>
          <w:sz w:val="24"/>
          <w:szCs w:val="24"/>
        </w:rPr>
        <w:t>as long as</w:t>
      </w:r>
      <w:r w:rsidRPr="00B10A33">
        <w:rPr>
          <w:rFonts w:ascii="Times New Roman" w:hAnsi="Times New Roman" w:cs="Times New Roman"/>
          <w:sz w:val="24"/>
          <w:szCs w:val="24"/>
        </w:rPr>
        <w:t xml:space="preserve"> the manufacturer’s sales-weighted emissions </w:t>
      </w:r>
      <w:r w:rsidRPr="00B10A33" w:rsidR="002B3691">
        <w:rPr>
          <w:rFonts w:ascii="Times New Roman" w:hAnsi="Times New Roman" w:cs="Times New Roman"/>
          <w:sz w:val="24"/>
          <w:szCs w:val="24"/>
        </w:rPr>
        <w:t xml:space="preserve">average </w:t>
      </w:r>
      <w:r w:rsidRPr="00B10A33">
        <w:rPr>
          <w:rFonts w:ascii="Times New Roman" w:hAnsi="Times New Roman" w:cs="Times New Roman"/>
          <w:sz w:val="24"/>
          <w:szCs w:val="24"/>
        </w:rPr>
        <w:t>meets the applicable standard. Manufacturers participating in the averaging program (promulgated under 40 CFR 86.449), must certify each participating family to an FEL in its application for certification. In its application, participants must also project an average emission level for all families participating in the program. At the end of the model year, each participant must submit an end-of-year report accounting for the actual production volume to demonstrate compliance with the standard. This report must be received by the EPA within 120 days of the end of the model year. This reporting requirement is a necessary component of the averaging program.</w:t>
      </w:r>
    </w:p>
    <w:p w:rsidR="00393943" w:rsidRPr="00B10A33" w:rsidP="00393943" w14:paraId="438F9D53" w14:textId="77777777">
      <w:pPr>
        <w:spacing w:after="0" w:line="240" w:lineRule="auto"/>
        <w:rPr>
          <w:rFonts w:ascii="Times New Roman" w:hAnsi="Times New Roman" w:cs="Times New Roman"/>
          <w:sz w:val="24"/>
          <w:szCs w:val="24"/>
        </w:rPr>
      </w:pPr>
    </w:p>
    <w:p w:rsidR="00E21E82" w:rsidRPr="00B10A33" w:rsidP="006E78D5" w14:paraId="77934BDF" w14:textId="77777777">
      <w:pPr>
        <w:keepNext/>
        <w:keepLines/>
        <w:spacing w:after="0" w:line="240" w:lineRule="auto"/>
        <w:rPr>
          <w:rFonts w:ascii="Times New Roman" w:hAnsi="Times New Roman" w:cs="Times New Roman"/>
          <w:sz w:val="24"/>
          <w:szCs w:val="24"/>
        </w:rPr>
      </w:pPr>
      <w:r w:rsidRPr="00B10A33">
        <w:rPr>
          <w:rFonts w:ascii="Times New Roman" w:hAnsi="Times New Roman" w:cs="Times New Roman"/>
          <w:sz w:val="24"/>
          <w:szCs w:val="24"/>
          <w:u w:val="single"/>
        </w:rPr>
        <w:t xml:space="preserve">Section 3: </w:t>
      </w:r>
      <w:r w:rsidRPr="00B10A33" w:rsidR="001C5C81">
        <w:rPr>
          <w:rFonts w:ascii="Times New Roman" w:hAnsi="Times New Roman" w:cs="Times New Roman"/>
          <w:sz w:val="24"/>
          <w:szCs w:val="24"/>
          <w:u w:val="single"/>
        </w:rPr>
        <w:t>Non-duplication</w:t>
      </w:r>
      <w:r w:rsidRPr="00B10A33">
        <w:rPr>
          <w:rFonts w:ascii="Times New Roman" w:hAnsi="Times New Roman" w:cs="Times New Roman"/>
          <w:sz w:val="24"/>
          <w:szCs w:val="24"/>
          <w:u w:val="single"/>
        </w:rPr>
        <w:t>, Consultations, and Other Collection Criteria</w:t>
      </w:r>
      <w:r w:rsidRPr="00B10A33">
        <w:rPr>
          <w:rFonts w:ascii="Times New Roman" w:hAnsi="Times New Roman" w:cs="Times New Roman"/>
          <w:sz w:val="24"/>
          <w:szCs w:val="24"/>
        </w:rPr>
        <w:t xml:space="preserve"> </w:t>
      </w:r>
    </w:p>
    <w:p w:rsidR="00E21E82" w:rsidRPr="00B10A33" w:rsidP="006E78D5" w14:paraId="68D2983B" w14:textId="77777777">
      <w:pPr>
        <w:keepNext/>
        <w:keepLines/>
        <w:spacing w:after="0" w:line="240" w:lineRule="auto"/>
        <w:rPr>
          <w:rFonts w:ascii="Times New Roman" w:hAnsi="Times New Roman" w:cs="Times New Roman"/>
          <w:sz w:val="24"/>
          <w:szCs w:val="24"/>
        </w:rPr>
      </w:pPr>
    </w:p>
    <w:p w:rsidR="00E21E82" w:rsidRPr="00B10A33" w:rsidP="006E78D5" w14:paraId="7226F0C3" w14:textId="77777777">
      <w:pPr>
        <w:keepNext/>
        <w:keepLines/>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3(a) </w:t>
      </w:r>
      <w:r w:rsidRPr="00B10A33">
        <w:rPr>
          <w:rFonts w:ascii="Times New Roman" w:hAnsi="Times New Roman" w:cs="Times New Roman"/>
          <w:sz w:val="24"/>
          <w:szCs w:val="24"/>
          <w:u w:val="single"/>
        </w:rPr>
        <w:t>Non</w:t>
      </w:r>
      <w:r w:rsidRPr="00B10A33" w:rsidR="001C5C81">
        <w:rPr>
          <w:rFonts w:ascii="Times New Roman" w:hAnsi="Times New Roman" w:cs="Times New Roman"/>
          <w:sz w:val="24"/>
          <w:szCs w:val="24"/>
          <w:u w:val="single"/>
        </w:rPr>
        <w:t>-</w:t>
      </w:r>
      <w:r w:rsidRPr="00B10A33">
        <w:rPr>
          <w:rFonts w:ascii="Times New Roman" w:hAnsi="Times New Roman" w:cs="Times New Roman"/>
          <w:sz w:val="24"/>
          <w:szCs w:val="24"/>
          <w:u w:val="single"/>
        </w:rPr>
        <w:t>duplication</w:t>
      </w:r>
    </w:p>
    <w:p w:rsidR="00E21E82" w:rsidRPr="00B10A33" w:rsidP="006E78D5" w14:paraId="5AEF672B" w14:textId="77777777">
      <w:pPr>
        <w:keepNext/>
        <w:keepLines/>
        <w:spacing w:after="0" w:line="240" w:lineRule="auto"/>
        <w:rPr>
          <w:rFonts w:ascii="Times New Roman" w:hAnsi="Times New Roman" w:cs="Times New Roman"/>
          <w:sz w:val="24"/>
          <w:szCs w:val="24"/>
        </w:rPr>
      </w:pPr>
    </w:p>
    <w:p w:rsidR="00E21E82" w:rsidRPr="00B10A33" w:rsidP="00E21E82" w14:paraId="4914DF87"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Because of </w:t>
      </w:r>
      <w:r w:rsidRPr="00B10A33" w:rsidR="001C0590">
        <w:rPr>
          <w:rFonts w:ascii="Times New Roman" w:hAnsi="Times New Roman" w:cs="Times New Roman"/>
          <w:sz w:val="24"/>
          <w:szCs w:val="24"/>
        </w:rPr>
        <w:t xml:space="preserve">the </w:t>
      </w:r>
      <w:r w:rsidRPr="00B10A33">
        <w:rPr>
          <w:rFonts w:ascii="Times New Roman" w:hAnsi="Times New Roman" w:cs="Times New Roman"/>
          <w:sz w:val="24"/>
          <w:szCs w:val="24"/>
        </w:rPr>
        <w:t>specialized nature</w:t>
      </w:r>
      <w:r w:rsidRPr="00B10A33" w:rsidR="001C0590">
        <w:rPr>
          <w:rFonts w:ascii="Times New Roman" w:hAnsi="Times New Roman" w:cs="Times New Roman"/>
          <w:sz w:val="24"/>
          <w:szCs w:val="24"/>
        </w:rPr>
        <w:t xml:space="preserve"> of HMC manufacturing</w:t>
      </w:r>
      <w:r w:rsidRPr="00B10A33">
        <w:rPr>
          <w:rFonts w:ascii="Times New Roman" w:hAnsi="Times New Roman" w:cs="Times New Roman"/>
          <w:sz w:val="24"/>
          <w:szCs w:val="24"/>
        </w:rPr>
        <w:t xml:space="preserve"> and the fact that product plans and emission performance information </w:t>
      </w:r>
      <w:r w:rsidRPr="00B10A33" w:rsidR="004607A8">
        <w:rPr>
          <w:rFonts w:ascii="Times New Roman" w:hAnsi="Times New Roman" w:cs="Times New Roman"/>
          <w:sz w:val="24"/>
          <w:szCs w:val="24"/>
        </w:rPr>
        <w:t xml:space="preserve">may </w:t>
      </w:r>
      <w:r w:rsidRPr="00B10A33">
        <w:rPr>
          <w:rFonts w:ascii="Times New Roman" w:hAnsi="Times New Roman" w:cs="Times New Roman"/>
          <w:sz w:val="24"/>
          <w:szCs w:val="24"/>
        </w:rPr>
        <w:t xml:space="preserve">be submitted to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 xml:space="preserve">EPA prior to the </w:t>
      </w:r>
      <w:r w:rsidRPr="00B10A33" w:rsidR="004607A8">
        <w:rPr>
          <w:rFonts w:ascii="Times New Roman" w:hAnsi="Times New Roman" w:cs="Times New Roman"/>
          <w:sz w:val="24"/>
          <w:szCs w:val="24"/>
        </w:rPr>
        <w:t>introduction of production vehicles into US commerce</w:t>
      </w:r>
      <w:r w:rsidRPr="00B10A33">
        <w:rPr>
          <w:rFonts w:ascii="Times New Roman" w:hAnsi="Times New Roman" w:cs="Times New Roman"/>
          <w:sz w:val="24"/>
          <w:szCs w:val="24"/>
        </w:rPr>
        <w:t>, this information is not available from any source other than the manufacturer.</w:t>
      </w:r>
      <w:r w:rsidRPr="00B10A33" w:rsidR="004607A8">
        <w:rPr>
          <w:rFonts w:ascii="Times New Roman" w:hAnsi="Times New Roman" w:cs="Times New Roman"/>
          <w:sz w:val="24"/>
          <w:szCs w:val="24"/>
        </w:rPr>
        <w:t xml:space="preserve"> Therefore, this information is not likely to be collected by any other governmental agency for this or related purposes.</w:t>
      </w:r>
    </w:p>
    <w:p w:rsidR="00E21E82" w:rsidRPr="00B10A33" w:rsidP="00E21E82" w14:paraId="40D015DC"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 </w:t>
      </w:r>
    </w:p>
    <w:p w:rsidR="00E21E82" w:rsidRPr="00B10A33" w:rsidP="00E21E82" w14:paraId="09E36E45" w14:textId="73B40A36">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3(b) </w:t>
      </w:r>
      <w:r w:rsidRPr="00B10A33">
        <w:rPr>
          <w:rFonts w:ascii="Times New Roman" w:hAnsi="Times New Roman" w:cs="Times New Roman"/>
          <w:sz w:val="24"/>
          <w:szCs w:val="24"/>
          <w:u w:val="single"/>
        </w:rPr>
        <w:t xml:space="preserve">Public Notice </w:t>
      </w:r>
    </w:p>
    <w:p w:rsidR="00E21E82" w:rsidRPr="00B10A33" w:rsidP="00393943" w14:paraId="7509FC45" w14:textId="77777777">
      <w:pPr>
        <w:spacing w:after="0" w:line="240" w:lineRule="auto"/>
        <w:rPr>
          <w:rFonts w:ascii="Times New Roman" w:hAnsi="Times New Roman" w:cs="Times New Roman"/>
          <w:sz w:val="24"/>
          <w:szCs w:val="24"/>
        </w:rPr>
      </w:pPr>
    </w:p>
    <w:p w:rsidR="002751ED" w:rsidRPr="00B10A33" w:rsidP="00E21E82" w14:paraId="499FD9D2" w14:textId="401C445C">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EPA published a </w:t>
      </w:r>
      <w:r w:rsidRPr="00457895">
        <w:rPr>
          <w:rFonts w:ascii="Times New Roman" w:hAnsi="Times New Roman" w:cs="Times New Roman"/>
          <w:i/>
          <w:iCs/>
          <w:sz w:val="24"/>
          <w:szCs w:val="24"/>
        </w:rPr>
        <w:t>Federal Register</w:t>
      </w:r>
      <w:r w:rsidRPr="00B10A33">
        <w:rPr>
          <w:rFonts w:ascii="Times New Roman" w:hAnsi="Times New Roman" w:cs="Times New Roman"/>
          <w:sz w:val="24"/>
          <w:szCs w:val="24"/>
        </w:rPr>
        <w:t xml:space="preserve"> notice on July 31, 2023 (88 FR 49460).  No comments were received.</w:t>
      </w:r>
    </w:p>
    <w:p w:rsidR="002751ED" w:rsidRPr="00B10A33" w:rsidP="00E21E82" w14:paraId="5CF8B46C" w14:textId="77777777">
      <w:pPr>
        <w:spacing w:after="0" w:line="240" w:lineRule="auto"/>
        <w:rPr>
          <w:rFonts w:ascii="Times New Roman" w:hAnsi="Times New Roman" w:cs="Times New Roman"/>
          <w:sz w:val="24"/>
          <w:szCs w:val="24"/>
        </w:rPr>
      </w:pPr>
    </w:p>
    <w:p w:rsidR="00E21E82" w:rsidRPr="00B10A33" w:rsidP="00E21E82" w14:paraId="2E1D0552"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3(c) </w:t>
      </w:r>
      <w:r w:rsidRPr="00B10A33">
        <w:rPr>
          <w:rFonts w:ascii="Times New Roman" w:hAnsi="Times New Roman" w:cs="Times New Roman"/>
          <w:sz w:val="24"/>
          <w:szCs w:val="24"/>
          <w:u w:val="single"/>
        </w:rPr>
        <w:t>Consultations</w:t>
      </w:r>
    </w:p>
    <w:p w:rsidR="00E21E82" w:rsidRPr="00B10A33" w:rsidP="00E21E82" w14:paraId="2A61DAA1" w14:textId="77777777">
      <w:pPr>
        <w:spacing w:after="0" w:line="240" w:lineRule="auto"/>
        <w:rPr>
          <w:rFonts w:ascii="Times New Roman" w:hAnsi="Times New Roman" w:cs="Times New Roman"/>
          <w:sz w:val="24"/>
          <w:szCs w:val="24"/>
        </w:rPr>
      </w:pPr>
    </w:p>
    <w:p w:rsidR="00E21E82" w:rsidRPr="00B10A33" w:rsidP="00E21E82" w14:paraId="070D230A"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In preparing this ICR submission, </w:t>
      </w:r>
      <w:r w:rsidRPr="00B10A33" w:rsidR="00392E85">
        <w:rPr>
          <w:rFonts w:ascii="Times New Roman" w:hAnsi="Times New Roman" w:cs="Times New Roman"/>
          <w:sz w:val="24"/>
          <w:szCs w:val="24"/>
        </w:rPr>
        <w:t xml:space="preserve">the </w:t>
      </w:r>
      <w:r w:rsidRPr="00B10A33">
        <w:rPr>
          <w:rFonts w:ascii="Times New Roman" w:hAnsi="Times New Roman" w:cs="Times New Roman"/>
          <w:sz w:val="24"/>
          <w:szCs w:val="24"/>
        </w:rPr>
        <w:t xml:space="preserve">EPA </w:t>
      </w:r>
      <w:r w:rsidRPr="00B10A33" w:rsidR="009D62C5">
        <w:rPr>
          <w:rFonts w:ascii="Times New Roman" w:hAnsi="Times New Roman" w:cs="Times New Roman"/>
          <w:sz w:val="24"/>
          <w:szCs w:val="24"/>
        </w:rPr>
        <w:t xml:space="preserve">has consulted </w:t>
      </w:r>
      <w:r w:rsidRPr="00B10A33">
        <w:rPr>
          <w:rFonts w:ascii="Times New Roman" w:hAnsi="Times New Roman" w:cs="Times New Roman"/>
          <w:sz w:val="24"/>
          <w:szCs w:val="24"/>
        </w:rPr>
        <w:t>with the following individuals working in the regulated industries:</w:t>
      </w:r>
    </w:p>
    <w:p w:rsidR="00E21E82" w:rsidRPr="00B10A33" w:rsidP="00E21E82" w14:paraId="1E05F43A" w14:textId="77777777">
      <w:pPr>
        <w:spacing w:after="0" w:line="240" w:lineRule="auto"/>
        <w:rPr>
          <w:rFonts w:ascii="Times New Roman" w:hAnsi="Times New Roman" w:cs="Times New Roman"/>
          <w:sz w:val="24"/>
          <w:szCs w:val="24"/>
        </w:rPr>
      </w:pPr>
    </w:p>
    <w:p w:rsidR="00823410" w:rsidRPr="00B10A33" w:rsidP="00823410" w14:paraId="65771462"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ab/>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3848"/>
        <w:gridCol w:w="3302"/>
        <w:gridCol w:w="2190"/>
      </w:tblGrid>
      <w:tr w14:paraId="01AF55FE" w14:textId="77777777" w:rsidTr="009F779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c>
          <w:tcPr>
            <w:tcW w:w="3848" w:type="dxa"/>
            <w:shd w:val="clear" w:color="auto" w:fill="auto"/>
            <w:tcMar>
              <w:top w:w="0" w:type="dxa"/>
              <w:left w:w="108" w:type="dxa"/>
              <w:bottom w:w="0" w:type="dxa"/>
              <w:right w:w="108" w:type="dxa"/>
            </w:tcMar>
            <w:hideMark/>
          </w:tcPr>
          <w:p w:rsidR="00BB096D" w:rsidRPr="00B10A33" w14:paraId="0DBE7B2D" w14:textId="77777777">
            <w:pPr>
              <w:autoSpaceDE w:val="0"/>
              <w:autoSpaceDN w:val="0"/>
              <w:rPr>
                <w:color w:val="000000" w:themeColor="text1"/>
                <w:sz w:val="24"/>
                <w:szCs w:val="24"/>
                <w:u w:val="single"/>
              </w:rPr>
            </w:pPr>
            <w:bookmarkStart w:id="0" w:name="_Hlk20753238"/>
            <w:r w:rsidRPr="00B10A33">
              <w:rPr>
                <w:color w:val="000000" w:themeColor="text1"/>
                <w:sz w:val="24"/>
                <w:szCs w:val="24"/>
                <w:u w:val="single"/>
              </w:rPr>
              <w:t xml:space="preserve">Name  </w:t>
            </w:r>
          </w:p>
        </w:tc>
        <w:tc>
          <w:tcPr>
            <w:tcW w:w="3302" w:type="dxa"/>
            <w:shd w:val="clear" w:color="auto" w:fill="auto"/>
            <w:tcMar>
              <w:top w:w="0" w:type="dxa"/>
              <w:left w:w="108" w:type="dxa"/>
              <w:bottom w:w="0" w:type="dxa"/>
              <w:right w:w="108" w:type="dxa"/>
            </w:tcMar>
            <w:hideMark/>
          </w:tcPr>
          <w:p w:rsidR="00BB096D" w:rsidRPr="00B10A33" w14:paraId="5F8833B4" w14:textId="77777777">
            <w:pPr>
              <w:autoSpaceDE w:val="0"/>
              <w:autoSpaceDN w:val="0"/>
              <w:rPr>
                <w:color w:val="000000" w:themeColor="text1"/>
                <w:sz w:val="24"/>
                <w:szCs w:val="24"/>
                <w:u w:val="single"/>
              </w:rPr>
            </w:pPr>
            <w:r w:rsidRPr="00B10A33">
              <w:rPr>
                <w:color w:val="000000" w:themeColor="text1"/>
                <w:sz w:val="24"/>
                <w:szCs w:val="24"/>
                <w:u w:val="single"/>
              </w:rPr>
              <w:t>Firm</w:t>
            </w:r>
          </w:p>
        </w:tc>
        <w:tc>
          <w:tcPr>
            <w:tcW w:w="2190" w:type="dxa"/>
            <w:shd w:val="clear" w:color="auto" w:fill="auto"/>
            <w:tcMar>
              <w:top w:w="0" w:type="dxa"/>
              <w:left w:w="108" w:type="dxa"/>
              <w:bottom w:w="0" w:type="dxa"/>
              <w:right w:w="108" w:type="dxa"/>
            </w:tcMar>
            <w:hideMark/>
          </w:tcPr>
          <w:p w:rsidR="00BB096D" w:rsidRPr="00B10A33" w14:paraId="07346FBD" w14:textId="77777777">
            <w:pPr>
              <w:autoSpaceDE w:val="0"/>
              <w:autoSpaceDN w:val="0"/>
              <w:rPr>
                <w:color w:val="000000" w:themeColor="text1"/>
                <w:sz w:val="24"/>
                <w:szCs w:val="24"/>
                <w:u w:val="single"/>
              </w:rPr>
            </w:pPr>
            <w:r w:rsidRPr="00B10A33">
              <w:rPr>
                <w:color w:val="000000" w:themeColor="text1"/>
                <w:sz w:val="24"/>
                <w:szCs w:val="24"/>
                <w:u w:val="single"/>
              </w:rPr>
              <w:t>Telephone</w:t>
            </w:r>
          </w:p>
        </w:tc>
      </w:tr>
      <w:tr w14:paraId="6CA58E0E" w14:textId="77777777" w:rsidTr="009F779D">
        <w:tblPrEx>
          <w:tblW w:w="0" w:type="auto"/>
          <w:tblCellMar>
            <w:left w:w="0" w:type="dxa"/>
            <w:right w:w="0" w:type="dxa"/>
          </w:tblCellMar>
          <w:tblLook w:val="04A0"/>
        </w:tblPrEx>
        <w:tc>
          <w:tcPr>
            <w:tcW w:w="3848" w:type="dxa"/>
            <w:shd w:val="clear" w:color="auto" w:fill="auto"/>
            <w:tcMar>
              <w:top w:w="0" w:type="dxa"/>
              <w:left w:w="108" w:type="dxa"/>
              <w:bottom w:w="0" w:type="dxa"/>
              <w:right w:w="108" w:type="dxa"/>
            </w:tcMar>
            <w:hideMark/>
          </w:tcPr>
          <w:p w:rsidR="00BB096D" w:rsidRPr="00B10A33" w14:paraId="18F31DB3" w14:textId="77777777">
            <w:pPr>
              <w:autoSpaceDE w:val="0"/>
              <w:autoSpaceDN w:val="0"/>
              <w:rPr>
                <w:color w:val="000000" w:themeColor="text1"/>
                <w:sz w:val="24"/>
                <w:szCs w:val="24"/>
              </w:rPr>
            </w:pPr>
            <w:r w:rsidRPr="00B10A33">
              <w:rPr>
                <w:color w:val="000000" w:themeColor="text1"/>
                <w:sz w:val="24"/>
                <w:szCs w:val="24"/>
              </w:rPr>
              <w:t>Margaret Goldstein</w:t>
            </w:r>
          </w:p>
          <w:p w:rsidR="00FF1509" w:rsidRPr="00B10A33" w14:paraId="028B52E1" w14:textId="7E9DB507">
            <w:pPr>
              <w:autoSpaceDE w:val="0"/>
              <w:autoSpaceDN w:val="0"/>
              <w:rPr>
                <w:color w:val="000000" w:themeColor="text1"/>
                <w:sz w:val="24"/>
                <w:szCs w:val="24"/>
              </w:rPr>
            </w:pPr>
            <w:r w:rsidRPr="00B10A33">
              <w:rPr>
                <w:color w:val="000000" w:themeColor="text1"/>
                <w:sz w:val="24"/>
                <w:szCs w:val="24"/>
              </w:rPr>
              <w:t>margaret@harrisonwolf.com</w:t>
            </w:r>
          </w:p>
        </w:tc>
        <w:tc>
          <w:tcPr>
            <w:tcW w:w="3302" w:type="dxa"/>
            <w:shd w:val="clear" w:color="auto" w:fill="auto"/>
            <w:tcMar>
              <w:top w:w="0" w:type="dxa"/>
              <w:left w:w="108" w:type="dxa"/>
              <w:bottom w:w="0" w:type="dxa"/>
              <w:right w:w="108" w:type="dxa"/>
            </w:tcMar>
            <w:hideMark/>
          </w:tcPr>
          <w:p w:rsidR="00BB096D" w:rsidRPr="00B10A33" w14:paraId="35F7306B" w14:textId="77777777">
            <w:pPr>
              <w:autoSpaceDE w:val="0"/>
              <w:autoSpaceDN w:val="0"/>
              <w:rPr>
                <w:color w:val="000000" w:themeColor="text1"/>
                <w:sz w:val="24"/>
                <w:szCs w:val="24"/>
              </w:rPr>
            </w:pPr>
            <w:r w:rsidRPr="00B10A33">
              <w:rPr>
                <w:color w:val="000000" w:themeColor="text1"/>
                <w:sz w:val="24"/>
                <w:szCs w:val="24"/>
              </w:rPr>
              <w:t>Harrison Wolf</w:t>
            </w:r>
          </w:p>
        </w:tc>
        <w:tc>
          <w:tcPr>
            <w:tcW w:w="2190" w:type="dxa"/>
            <w:shd w:val="clear" w:color="auto" w:fill="auto"/>
            <w:tcMar>
              <w:top w:w="0" w:type="dxa"/>
              <w:left w:w="108" w:type="dxa"/>
              <w:bottom w:w="0" w:type="dxa"/>
              <w:right w:w="108" w:type="dxa"/>
            </w:tcMar>
            <w:hideMark/>
          </w:tcPr>
          <w:p w:rsidR="00BB096D" w:rsidRPr="00B10A33" w14:paraId="670958EE" w14:textId="77777777">
            <w:pPr>
              <w:autoSpaceDE w:val="0"/>
              <w:autoSpaceDN w:val="0"/>
              <w:rPr>
                <w:color w:val="000000" w:themeColor="text1"/>
                <w:sz w:val="24"/>
                <w:szCs w:val="24"/>
              </w:rPr>
            </w:pPr>
            <w:r w:rsidRPr="00B10A33">
              <w:rPr>
                <w:color w:val="000000" w:themeColor="text1"/>
                <w:sz w:val="24"/>
                <w:szCs w:val="24"/>
              </w:rPr>
              <w:t>714-841-6400</w:t>
            </w:r>
          </w:p>
        </w:tc>
      </w:tr>
      <w:tr w14:paraId="32599F3A" w14:textId="77777777" w:rsidTr="009F779D">
        <w:tblPrEx>
          <w:tblW w:w="0" w:type="auto"/>
          <w:tblCellMar>
            <w:left w:w="0" w:type="dxa"/>
            <w:right w:w="0" w:type="dxa"/>
          </w:tblCellMar>
          <w:tblLook w:val="04A0"/>
        </w:tblPrEx>
        <w:tc>
          <w:tcPr>
            <w:tcW w:w="3848" w:type="dxa"/>
            <w:shd w:val="clear" w:color="auto" w:fill="auto"/>
            <w:tcMar>
              <w:top w:w="0" w:type="dxa"/>
              <w:left w:w="108" w:type="dxa"/>
              <w:bottom w:w="0" w:type="dxa"/>
              <w:right w:w="108" w:type="dxa"/>
            </w:tcMar>
          </w:tcPr>
          <w:p w:rsidR="00FF1509" w:rsidRPr="00B10A33" w14:paraId="131BA7F1" w14:textId="77777777">
            <w:pPr>
              <w:autoSpaceDE w:val="0"/>
              <w:autoSpaceDN w:val="0"/>
              <w:rPr>
                <w:color w:val="000000" w:themeColor="text1"/>
                <w:sz w:val="24"/>
                <w:szCs w:val="24"/>
              </w:rPr>
            </w:pPr>
            <w:r w:rsidRPr="00B10A33">
              <w:rPr>
                <w:color w:val="000000" w:themeColor="text1"/>
                <w:sz w:val="24"/>
                <w:szCs w:val="24"/>
              </w:rPr>
              <w:t xml:space="preserve">Matthew K Johnson </w:t>
            </w:r>
          </w:p>
          <w:p w:rsidR="00FF1509" w:rsidRPr="00B10A33" w14:paraId="0575A305" w14:textId="20020E66">
            <w:pPr>
              <w:autoSpaceDE w:val="0"/>
              <w:autoSpaceDN w:val="0"/>
              <w:rPr>
                <w:color w:val="000000" w:themeColor="text1"/>
                <w:sz w:val="24"/>
                <w:szCs w:val="24"/>
              </w:rPr>
            </w:pPr>
            <w:hyperlink r:id="rId8" w:history="1">
              <w:r w:rsidRPr="00B10A33">
                <w:rPr>
                  <w:rStyle w:val="Hyperlink"/>
                  <w:color w:val="000000" w:themeColor="text1"/>
                  <w:sz w:val="24"/>
                  <w:szCs w:val="24"/>
                  <w:u w:val="none"/>
                </w:rPr>
                <w:t>matthew_k_johnson@na.honda.com</w:t>
              </w:r>
            </w:hyperlink>
          </w:p>
        </w:tc>
        <w:tc>
          <w:tcPr>
            <w:tcW w:w="3302" w:type="dxa"/>
            <w:shd w:val="clear" w:color="auto" w:fill="auto"/>
            <w:tcMar>
              <w:top w:w="0" w:type="dxa"/>
              <w:left w:w="108" w:type="dxa"/>
              <w:bottom w:w="0" w:type="dxa"/>
              <w:right w:w="108" w:type="dxa"/>
            </w:tcMar>
          </w:tcPr>
          <w:p w:rsidR="00FF1509" w:rsidRPr="00B10A33" w14:paraId="0CFBAFFD" w14:textId="70B1488E">
            <w:pPr>
              <w:autoSpaceDE w:val="0"/>
              <w:autoSpaceDN w:val="0"/>
              <w:rPr>
                <w:color w:val="000000" w:themeColor="text1"/>
                <w:sz w:val="24"/>
                <w:szCs w:val="24"/>
              </w:rPr>
            </w:pPr>
            <w:r w:rsidRPr="00B10A33">
              <w:rPr>
                <w:color w:val="000000" w:themeColor="text1"/>
                <w:sz w:val="24"/>
                <w:szCs w:val="24"/>
              </w:rPr>
              <w:t>Honda</w:t>
            </w:r>
          </w:p>
        </w:tc>
        <w:tc>
          <w:tcPr>
            <w:tcW w:w="2190" w:type="dxa"/>
            <w:shd w:val="clear" w:color="auto" w:fill="auto"/>
            <w:tcMar>
              <w:top w:w="0" w:type="dxa"/>
              <w:left w:w="108" w:type="dxa"/>
              <w:bottom w:w="0" w:type="dxa"/>
              <w:right w:w="108" w:type="dxa"/>
            </w:tcMar>
          </w:tcPr>
          <w:p w:rsidR="00FF1509" w:rsidRPr="00B10A33" w14:paraId="2E9B4717" w14:textId="1C07DC29">
            <w:pPr>
              <w:autoSpaceDE w:val="0"/>
              <w:autoSpaceDN w:val="0"/>
              <w:rPr>
                <w:color w:val="000000" w:themeColor="text1"/>
                <w:sz w:val="24"/>
                <w:szCs w:val="24"/>
              </w:rPr>
            </w:pPr>
            <w:r w:rsidRPr="00B10A33">
              <w:rPr>
                <w:color w:val="000000" w:themeColor="text1"/>
                <w:sz w:val="24"/>
                <w:szCs w:val="24"/>
              </w:rPr>
              <w:t>(562) 900-3765</w:t>
            </w:r>
          </w:p>
        </w:tc>
      </w:tr>
      <w:tr w14:paraId="4C81B3C0" w14:textId="77777777" w:rsidTr="009F779D">
        <w:tblPrEx>
          <w:tblW w:w="0" w:type="auto"/>
          <w:tblCellMar>
            <w:left w:w="0" w:type="dxa"/>
            <w:right w:w="0" w:type="dxa"/>
          </w:tblCellMar>
          <w:tblLook w:val="04A0"/>
        </w:tblPrEx>
        <w:tc>
          <w:tcPr>
            <w:tcW w:w="3848" w:type="dxa"/>
            <w:shd w:val="clear" w:color="auto" w:fill="auto"/>
            <w:tcMar>
              <w:top w:w="0" w:type="dxa"/>
              <w:left w:w="108" w:type="dxa"/>
              <w:bottom w:w="0" w:type="dxa"/>
              <w:right w:w="108" w:type="dxa"/>
            </w:tcMar>
          </w:tcPr>
          <w:p w:rsidR="00FF1509" w:rsidRPr="00B10A33" w:rsidP="00FF1509" w14:paraId="6225F295" w14:textId="77777777">
            <w:pPr>
              <w:autoSpaceDE w:val="0"/>
              <w:autoSpaceDN w:val="0"/>
              <w:rPr>
                <w:color w:val="000000" w:themeColor="text1"/>
                <w:sz w:val="24"/>
                <w:szCs w:val="24"/>
              </w:rPr>
            </w:pPr>
            <w:r w:rsidRPr="00B10A33">
              <w:rPr>
                <w:color w:val="000000" w:themeColor="text1"/>
                <w:sz w:val="24"/>
                <w:szCs w:val="24"/>
              </w:rPr>
              <w:t xml:space="preserve">Luis Hernandez </w:t>
            </w:r>
          </w:p>
          <w:p w:rsidR="00FF1509" w:rsidRPr="00B10A33" w:rsidP="00FF1509" w14:paraId="06C49EA7" w14:textId="2AA3B48E">
            <w:pPr>
              <w:autoSpaceDE w:val="0"/>
              <w:autoSpaceDN w:val="0"/>
              <w:rPr>
                <w:color w:val="000000" w:themeColor="text1"/>
                <w:sz w:val="24"/>
                <w:szCs w:val="24"/>
              </w:rPr>
            </w:pPr>
            <w:r w:rsidRPr="00B10A33">
              <w:rPr>
                <w:color w:val="000000" w:themeColor="text1"/>
                <w:sz w:val="24"/>
                <w:szCs w:val="24"/>
              </w:rPr>
              <w:t>Luis.Hernandez@suz.com</w:t>
            </w:r>
          </w:p>
        </w:tc>
        <w:tc>
          <w:tcPr>
            <w:tcW w:w="3302" w:type="dxa"/>
            <w:shd w:val="clear" w:color="auto" w:fill="auto"/>
            <w:tcMar>
              <w:top w:w="0" w:type="dxa"/>
              <w:left w:w="108" w:type="dxa"/>
              <w:bottom w:w="0" w:type="dxa"/>
              <w:right w:w="108" w:type="dxa"/>
            </w:tcMar>
          </w:tcPr>
          <w:p w:rsidR="00FF1509" w:rsidRPr="00B10A33" w14:paraId="400730C7" w14:textId="3CB41175">
            <w:pPr>
              <w:autoSpaceDE w:val="0"/>
              <w:autoSpaceDN w:val="0"/>
              <w:rPr>
                <w:color w:val="000000" w:themeColor="text1"/>
                <w:sz w:val="24"/>
                <w:szCs w:val="24"/>
              </w:rPr>
            </w:pPr>
            <w:r w:rsidRPr="00B10A33">
              <w:rPr>
                <w:color w:val="000000" w:themeColor="text1"/>
                <w:sz w:val="24"/>
                <w:szCs w:val="24"/>
              </w:rPr>
              <w:t>Suzuki</w:t>
            </w:r>
          </w:p>
        </w:tc>
        <w:tc>
          <w:tcPr>
            <w:tcW w:w="2190" w:type="dxa"/>
            <w:shd w:val="clear" w:color="auto" w:fill="auto"/>
            <w:tcMar>
              <w:top w:w="0" w:type="dxa"/>
              <w:left w:w="108" w:type="dxa"/>
              <w:bottom w:w="0" w:type="dxa"/>
              <w:right w:w="108" w:type="dxa"/>
            </w:tcMar>
          </w:tcPr>
          <w:p w:rsidR="00FF1509" w:rsidRPr="00B10A33" w14:paraId="6EE72066" w14:textId="5EA5E72A">
            <w:pPr>
              <w:autoSpaceDE w:val="0"/>
              <w:autoSpaceDN w:val="0"/>
              <w:rPr>
                <w:color w:val="000000" w:themeColor="text1"/>
                <w:sz w:val="24"/>
                <w:szCs w:val="24"/>
              </w:rPr>
            </w:pPr>
            <w:r w:rsidRPr="00B10A33">
              <w:rPr>
                <w:color w:val="000000" w:themeColor="text1"/>
                <w:sz w:val="24"/>
                <w:szCs w:val="24"/>
              </w:rPr>
              <w:t>(714) 996-7040</w:t>
            </w:r>
          </w:p>
        </w:tc>
      </w:tr>
      <w:tr w14:paraId="71916EF5" w14:textId="77777777" w:rsidTr="009F779D">
        <w:tblPrEx>
          <w:tblW w:w="0" w:type="auto"/>
          <w:tblCellMar>
            <w:left w:w="0" w:type="dxa"/>
            <w:right w:w="0" w:type="dxa"/>
          </w:tblCellMar>
          <w:tblLook w:val="04A0"/>
        </w:tblPrEx>
        <w:tc>
          <w:tcPr>
            <w:tcW w:w="3848" w:type="dxa"/>
            <w:shd w:val="clear" w:color="auto" w:fill="auto"/>
            <w:tcMar>
              <w:top w:w="0" w:type="dxa"/>
              <w:left w:w="108" w:type="dxa"/>
              <w:bottom w:w="0" w:type="dxa"/>
              <w:right w:w="108" w:type="dxa"/>
            </w:tcMar>
          </w:tcPr>
          <w:p w:rsidR="00FF1509" w:rsidRPr="00B10A33" w:rsidP="00FF1509" w14:paraId="0FED98EA" w14:textId="77777777">
            <w:pPr>
              <w:autoSpaceDE w:val="0"/>
              <w:autoSpaceDN w:val="0"/>
              <w:rPr>
                <w:color w:val="000000" w:themeColor="text1"/>
                <w:sz w:val="24"/>
                <w:szCs w:val="24"/>
              </w:rPr>
            </w:pPr>
            <w:r w:rsidRPr="00B10A33">
              <w:rPr>
                <w:color w:val="000000" w:themeColor="text1"/>
                <w:sz w:val="24"/>
                <w:szCs w:val="24"/>
              </w:rPr>
              <w:t xml:space="preserve">Bollinger, Scott </w:t>
            </w:r>
          </w:p>
          <w:p w:rsidR="00FF1509" w:rsidRPr="00B10A33" w:rsidP="00FF1509" w14:paraId="249894DC" w14:textId="21AA0707">
            <w:pPr>
              <w:autoSpaceDE w:val="0"/>
              <w:autoSpaceDN w:val="0"/>
              <w:rPr>
                <w:color w:val="000000" w:themeColor="text1"/>
                <w:sz w:val="24"/>
                <w:szCs w:val="24"/>
              </w:rPr>
            </w:pPr>
            <w:r w:rsidRPr="00B10A33">
              <w:rPr>
                <w:color w:val="000000" w:themeColor="text1"/>
                <w:sz w:val="24"/>
                <w:szCs w:val="24"/>
              </w:rPr>
              <w:t>Scott.Bollinger@harley-davidson.com</w:t>
            </w:r>
          </w:p>
        </w:tc>
        <w:tc>
          <w:tcPr>
            <w:tcW w:w="3302" w:type="dxa"/>
            <w:shd w:val="clear" w:color="auto" w:fill="auto"/>
            <w:tcMar>
              <w:top w:w="0" w:type="dxa"/>
              <w:left w:w="108" w:type="dxa"/>
              <w:bottom w:w="0" w:type="dxa"/>
              <w:right w:w="108" w:type="dxa"/>
            </w:tcMar>
          </w:tcPr>
          <w:p w:rsidR="00FF1509" w:rsidRPr="00B10A33" w14:paraId="0C938009" w14:textId="76A88A95">
            <w:pPr>
              <w:autoSpaceDE w:val="0"/>
              <w:autoSpaceDN w:val="0"/>
              <w:rPr>
                <w:color w:val="000000" w:themeColor="text1"/>
                <w:sz w:val="24"/>
                <w:szCs w:val="24"/>
              </w:rPr>
            </w:pPr>
            <w:r w:rsidRPr="00B10A33">
              <w:rPr>
                <w:color w:val="000000" w:themeColor="text1"/>
                <w:sz w:val="24"/>
                <w:szCs w:val="24"/>
              </w:rPr>
              <w:t>Harley Davidson</w:t>
            </w:r>
          </w:p>
        </w:tc>
        <w:tc>
          <w:tcPr>
            <w:tcW w:w="2190" w:type="dxa"/>
            <w:shd w:val="clear" w:color="auto" w:fill="auto"/>
            <w:tcMar>
              <w:top w:w="0" w:type="dxa"/>
              <w:left w:w="108" w:type="dxa"/>
              <w:bottom w:w="0" w:type="dxa"/>
              <w:right w:w="108" w:type="dxa"/>
            </w:tcMar>
          </w:tcPr>
          <w:p w:rsidR="00FF1509" w:rsidRPr="00B10A33" w14:paraId="11A39105" w14:textId="20D39DEC">
            <w:pPr>
              <w:autoSpaceDE w:val="0"/>
              <w:autoSpaceDN w:val="0"/>
              <w:rPr>
                <w:color w:val="000000" w:themeColor="text1"/>
                <w:sz w:val="24"/>
                <w:szCs w:val="24"/>
              </w:rPr>
            </w:pPr>
            <w:r w:rsidRPr="00B10A33">
              <w:rPr>
                <w:color w:val="000000" w:themeColor="text1"/>
                <w:sz w:val="24"/>
                <w:szCs w:val="24"/>
              </w:rPr>
              <w:t>(414) 465-6050</w:t>
            </w:r>
          </w:p>
        </w:tc>
      </w:tr>
      <w:bookmarkEnd w:id="0"/>
    </w:tbl>
    <w:p w:rsidR="00E21E82" w:rsidRPr="00B10A33" w:rsidP="00823410" w14:paraId="44C69B25" w14:textId="77777777">
      <w:pPr>
        <w:spacing w:after="0" w:line="240" w:lineRule="auto"/>
        <w:rPr>
          <w:rFonts w:ascii="Times New Roman" w:hAnsi="Times New Roman" w:cs="Times New Roman"/>
          <w:sz w:val="24"/>
          <w:szCs w:val="24"/>
        </w:rPr>
      </w:pPr>
    </w:p>
    <w:p w:rsidR="00E21E82" w:rsidRPr="00B10A33" w:rsidP="00E21E82" w14:paraId="123AC12C" w14:textId="77777777">
      <w:pPr>
        <w:spacing w:after="0" w:line="240" w:lineRule="auto"/>
        <w:rPr>
          <w:rFonts w:ascii="Times New Roman" w:hAnsi="Times New Roman" w:cs="Times New Roman"/>
          <w:sz w:val="24"/>
          <w:szCs w:val="24"/>
        </w:rPr>
      </w:pPr>
    </w:p>
    <w:p w:rsidR="00E21E82" w:rsidRPr="00B10A33" w:rsidP="00E21E82" w14:paraId="73116995"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These individuals have experience with the </w:t>
      </w:r>
      <w:r w:rsidRPr="00B10A33" w:rsidR="009D62C5">
        <w:rPr>
          <w:rFonts w:ascii="Times New Roman" w:hAnsi="Times New Roman" w:cs="Times New Roman"/>
          <w:sz w:val="24"/>
          <w:szCs w:val="24"/>
        </w:rPr>
        <w:t>reporting aspects</w:t>
      </w:r>
      <w:r w:rsidRPr="00B10A33">
        <w:rPr>
          <w:rFonts w:ascii="Times New Roman" w:hAnsi="Times New Roman" w:cs="Times New Roman"/>
          <w:sz w:val="24"/>
          <w:szCs w:val="24"/>
        </w:rPr>
        <w:t xml:space="preserve"> of </w:t>
      </w:r>
      <w:r w:rsidRPr="00B10A33" w:rsidR="002A035C">
        <w:rPr>
          <w:rFonts w:ascii="Times New Roman" w:hAnsi="Times New Roman" w:cs="Times New Roman"/>
          <w:sz w:val="24"/>
          <w:szCs w:val="24"/>
        </w:rPr>
        <w:t xml:space="preserve">the </w:t>
      </w:r>
      <w:r w:rsidRPr="00B10A33">
        <w:rPr>
          <w:rFonts w:ascii="Times New Roman" w:hAnsi="Times New Roman" w:cs="Times New Roman"/>
          <w:sz w:val="24"/>
          <w:szCs w:val="24"/>
        </w:rPr>
        <w:t xml:space="preserve">EPA’s current programs. Comments received </w:t>
      </w:r>
      <w:r w:rsidRPr="00B10A33" w:rsidR="004B7589">
        <w:rPr>
          <w:rFonts w:ascii="Times New Roman" w:hAnsi="Times New Roman" w:cs="Times New Roman"/>
          <w:sz w:val="24"/>
          <w:szCs w:val="24"/>
        </w:rPr>
        <w:t>have been</w:t>
      </w:r>
      <w:r w:rsidRPr="00B10A33">
        <w:rPr>
          <w:rFonts w:ascii="Times New Roman" w:hAnsi="Times New Roman" w:cs="Times New Roman"/>
          <w:sz w:val="24"/>
          <w:szCs w:val="24"/>
        </w:rPr>
        <w:t xml:space="preserve"> reflected in the burden estimates discussed below. </w:t>
      </w:r>
    </w:p>
    <w:p w:rsidR="00E21E82" w:rsidRPr="00B10A33" w:rsidP="00E21E82" w14:paraId="7E0C6698" w14:textId="77777777">
      <w:pPr>
        <w:spacing w:after="0" w:line="240" w:lineRule="auto"/>
        <w:rPr>
          <w:rFonts w:ascii="Times New Roman" w:hAnsi="Times New Roman" w:cs="Times New Roman"/>
          <w:sz w:val="24"/>
          <w:szCs w:val="24"/>
        </w:rPr>
      </w:pPr>
    </w:p>
    <w:p w:rsidR="00E21E82" w:rsidRPr="00B10A33" w:rsidP="00E21E82" w14:paraId="3CC8E3F5"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3(d) </w:t>
      </w:r>
      <w:r w:rsidRPr="00B10A33">
        <w:rPr>
          <w:rFonts w:ascii="Times New Roman" w:hAnsi="Times New Roman" w:cs="Times New Roman"/>
          <w:sz w:val="24"/>
          <w:szCs w:val="24"/>
          <w:u w:val="single"/>
        </w:rPr>
        <w:t>Effects of Less Frequent Collection</w:t>
      </w:r>
    </w:p>
    <w:p w:rsidR="00E21E82" w:rsidRPr="00B10A33" w:rsidP="00E21E82" w14:paraId="01DE08E5" w14:textId="77777777">
      <w:pPr>
        <w:spacing w:after="0" w:line="240" w:lineRule="auto"/>
        <w:rPr>
          <w:rFonts w:ascii="Times New Roman" w:hAnsi="Times New Roman" w:cs="Times New Roman"/>
          <w:sz w:val="24"/>
          <w:szCs w:val="24"/>
          <w:u w:val="single"/>
        </w:rPr>
      </w:pPr>
    </w:p>
    <w:p w:rsidR="00E21E82" w:rsidRPr="00B10A33" w:rsidP="00E21E82" w14:paraId="3E07F955" w14:textId="5803117E">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As required by the Clean Air Act (42 USC 7525(a)), emission information is submitted on a yearly basis coinciding with the manufacturer’s “model year.”</w:t>
      </w:r>
      <w:r>
        <w:rPr>
          <w:rStyle w:val="FootnoteReference"/>
          <w:rFonts w:ascii="Times New Roman" w:hAnsi="Times New Roman" w:cs="Times New Roman"/>
          <w:sz w:val="24"/>
          <w:szCs w:val="24"/>
        </w:rPr>
        <w:footnoteReference w:id="3"/>
      </w:r>
      <w:r w:rsidRPr="00B10A33">
        <w:rPr>
          <w:rFonts w:ascii="Times New Roman" w:hAnsi="Times New Roman" w:cs="Times New Roman"/>
          <w:sz w:val="24"/>
          <w:szCs w:val="24"/>
        </w:rPr>
        <w:t xml:space="preserve">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EPA allows applicants to define their own “model year”, within limits</w:t>
      </w:r>
      <w:r w:rsidRPr="00B10A33" w:rsidR="003D6E8C">
        <w:rPr>
          <w:rFonts w:ascii="Times New Roman" w:hAnsi="Times New Roman" w:cs="Times New Roman"/>
          <w:sz w:val="24"/>
          <w:szCs w:val="24"/>
        </w:rPr>
        <w:t xml:space="preserve"> under the statute and regulations</w:t>
      </w:r>
      <w:r w:rsidRPr="00B10A33">
        <w:rPr>
          <w:rFonts w:ascii="Times New Roman" w:hAnsi="Times New Roman" w:cs="Times New Roman"/>
          <w:sz w:val="24"/>
          <w:szCs w:val="24"/>
        </w:rPr>
        <w:t xml:space="preserve">, thus granting some flexibility in this regard. Major product changes typically occur at the start of a model year. For these reasons, a collection frequency longer than a model year is not possible. However, when a vehicle design is </w:t>
      </w:r>
      <w:r w:rsidRPr="00B10A33" w:rsidR="003D6E8C">
        <w:rPr>
          <w:rFonts w:ascii="Times New Roman" w:hAnsi="Times New Roman" w:cs="Times New Roman"/>
          <w:sz w:val="24"/>
          <w:szCs w:val="24"/>
        </w:rPr>
        <w:t xml:space="preserve">unchanged for subsequent model years the regulations allow manufacturers to certify using the data generated for the preceding year’s certification. The use of previous data is often referred to as </w:t>
      </w:r>
      <w:r w:rsidRPr="00B10A33" w:rsidR="00E157C2">
        <w:rPr>
          <w:rFonts w:ascii="Times New Roman" w:hAnsi="Times New Roman" w:cs="Times New Roman"/>
          <w:sz w:val="24"/>
          <w:szCs w:val="24"/>
        </w:rPr>
        <w:t xml:space="preserve">data </w:t>
      </w:r>
      <w:r w:rsidRPr="00B10A33">
        <w:rPr>
          <w:rFonts w:ascii="Times New Roman" w:hAnsi="Times New Roman" w:cs="Times New Roman"/>
          <w:sz w:val="24"/>
          <w:szCs w:val="24"/>
        </w:rPr>
        <w:t xml:space="preserve">“carried over” to a subsequent model year, </w:t>
      </w:r>
      <w:r w:rsidRPr="00B10A33" w:rsidR="003D6E8C">
        <w:rPr>
          <w:rFonts w:ascii="Times New Roman" w:hAnsi="Times New Roman" w:cs="Times New Roman"/>
          <w:sz w:val="24"/>
          <w:szCs w:val="24"/>
        </w:rPr>
        <w:t>and as a result</w:t>
      </w:r>
      <w:r w:rsidRPr="00B10A33" w:rsidR="00A04D3E">
        <w:rPr>
          <w:rFonts w:ascii="Times New Roman" w:hAnsi="Times New Roman" w:cs="Times New Roman"/>
          <w:sz w:val="24"/>
          <w:szCs w:val="24"/>
        </w:rPr>
        <w:t>,</w:t>
      </w:r>
      <w:r w:rsidRPr="00B10A33" w:rsidR="003D6E8C">
        <w:rPr>
          <w:rFonts w:ascii="Times New Roman" w:hAnsi="Times New Roman" w:cs="Times New Roman"/>
          <w:sz w:val="24"/>
          <w:szCs w:val="24"/>
        </w:rPr>
        <w:t xml:space="preserve"> </w:t>
      </w:r>
      <w:r w:rsidRPr="00B10A33">
        <w:rPr>
          <w:rFonts w:ascii="Times New Roman" w:hAnsi="Times New Roman" w:cs="Times New Roman"/>
          <w:sz w:val="24"/>
          <w:szCs w:val="24"/>
        </w:rPr>
        <w:t xml:space="preserve">the amount of new information required </w:t>
      </w:r>
      <w:r w:rsidRPr="00B10A33" w:rsidR="003D6E8C">
        <w:rPr>
          <w:rFonts w:ascii="Times New Roman" w:hAnsi="Times New Roman" w:cs="Times New Roman"/>
          <w:sz w:val="24"/>
          <w:szCs w:val="24"/>
        </w:rPr>
        <w:t xml:space="preserve">for certification </w:t>
      </w:r>
      <w:r w:rsidRPr="00B10A33">
        <w:rPr>
          <w:rFonts w:ascii="Times New Roman" w:hAnsi="Times New Roman" w:cs="Times New Roman"/>
          <w:sz w:val="24"/>
          <w:szCs w:val="24"/>
        </w:rPr>
        <w:t>is substantially reduced</w:t>
      </w:r>
      <w:r w:rsidRPr="00B10A33" w:rsidR="00830CE7">
        <w:rPr>
          <w:rFonts w:ascii="Times New Roman" w:hAnsi="Times New Roman" w:cs="Times New Roman"/>
          <w:sz w:val="24"/>
          <w:szCs w:val="24"/>
        </w:rPr>
        <w:t xml:space="preserve">. </w:t>
      </w:r>
    </w:p>
    <w:p w:rsidR="00E21E82" w:rsidRPr="00B10A33" w:rsidP="00E21E82" w14:paraId="52F4F7F0" w14:textId="77777777">
      <w:pPr>
        <w:spacing w:after="0" w:line="240" w:lineRule="auto"/>
        <w:rPr>
          <w:rFonts w:ascii="Times New Roman" w:hAnsi="Times New Roman" w:cs="Times New Roman"/>
          <w:sz w:val="24"/>
          <w:szCs w:val="24"/>
        </w:rPr>
      </w:pPr>
    </w:p>
    <w:p w:rsidR="00E21E82" w:rsidRPr="00B10A33" w:rsidP="00E21E82" w14:paraId="1AD89CAA"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3(e) </w:t>
      </w:r>
      <w:r w:rsidRPr="00B10A33">
        <w:rPr>
          <w:rFonts w:ascii="Times New Roman" w:hAnsi="Times New Roman" w:cs="Times New Roman"/>
          <w:sz w:val="24"/>
          <w:szCs w:val="24"/>
          <w:u w:val="single"/>
        </w:rPr>
        <w:t>General Guidelines</w:t>
      </w:r>
    </w:p>
    <w:p w:rsidR="00E21E82" w:rsidRPr="00B10A33" w:rsidP="00E21E82" w14:paraId="02FEDD82" w14:textId="77777777">
      <w:pPr>
        <w:spacing w:after="0" w:line="240" w:lineRule="auto"/>
        <w:rPr>
          <w:rFonts w:ascii="Times New Roman" w:hAnsi="Times New Roman" w:cs="Times New Roman"/>
          <w:sz w:val="24"/>
          <w:szCs w:val="24"/>
        </w:rPr>
      </w:pPr>
    </w:p>
    <w:p w:rsidR="00E21E82" w:rsidRPr="00B10A33" w:rsidP="00E21E82" w14:paraId="06847D1A" w14:textId="0B52B820">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Manufacturers are required to keep some records for periods longer than three years. This requirement stems from the statutory </w:t>
      </w:r>
      <w:r w:rsidRPr="00B10A33" w:rsidR="00A04D3E">
        <w:rPr>
          <w:rFonts w:ascii="Times New Roman" w:hAnsi="Times New Roman" w:cs="Times New Roman"/>
          <w:sz w:val="24"/>
          <w:szCs w:val="24"/>
        </w:rPr>
        <w:t>language</w:t>
      </w:r>
      <w:r w:rsidRPr="00B10A33">
        <w:rPr>
          <w:rFonts w:ascii="Times New Roman" w:hAnsi="Times New Roman" w:cs="Times New Roman"/>
          <w:sz w:val="24"/>
          <w:szCs w:val="24"/>
        </w:rPr>
        <w:t xml:space="preserve">. Manufacturers must also recall vehicle classes failing to meet emission standards during their useful life, typically five to </w:t>
      </w:r>
      <w:r w:rsidRPr="00B10A33" w:rsidR="009D62C5">
        <w:rPr>
          <w:rFonts w:ascii="Times New Roman" w:hAnsi="Times New Roman" w:cs="Times New Roman"/>
          <w:sz w:val="24"/>
          <w:szCs w:val="24"/>
        </w:rPr>
        <w:t>eight</w:t>
      </w:r>
      <w:r w:rsidRPr="00B10A33">
        <w:rPr>
          <w:rFonts w:ascii="Times New Roman" w:hAnsi="Times New Roman" w:cs="Times New Roman"/>
          <w:sz w:val="24"/>
          <w:szCs w:val="24"/>
        </w:rPr>
        <w:t xml:space="preserve"> years depending on vehicle type. </w:t>
      </w:r>
      <w:r w:rsidRPr="00B10A33">
        <w:rPr>
          <w:rFonts w:ascii="Times New Roman" w:hAnsi="Times New Roman" w:cs="Times New Roman"/>
          <w:sz w:val="24"/>
          <w:szCs w:val="24"/>
        </w:rPr>
        <w:t>In order to</w:t>
      </w:r>
      <w:r w:rsidRPr="00B10A33">
        <w:rPr>
          <w:rFonts w:ascii="Times New Roman" w:hAnsi="Times New Roman" w:cs="Times New Roman"/>
          <w:sz w:val="24"/>
          <w:szCs w:val="24"/>
        </w:rPr>
        <w:t xml:space="preserve"> satisfy these obligations, manufacturers must retain product information, with particular emphasis on the emission control systems. This information is vital in assuring that repairs and replacement parts properly function during the life of the warranty and that emissions limitations are met during the full useful li</w:t>
      </w:r>
      <w:r w:rsidRPr="00B10A33" w:rsidR="003D6E8C">
        <w:rPr>
          <w:rFonts w:ascii="Times New Roman" w:hAnsi="Times New Roman" w:cs="Times New Roman"/>
          <w:sz w:val="24"/>
          <w:szCs w:val="24"/>
        </w:rPr>
        <w:t>fe</w:t>
      </w:r>
      <w:r w:rsidRPr="00B10A33" w:rsidR="00E157C2">
        <w:rPr>
          <w:rFonts w:ascii="Times New Roman" w:hAnsi="Times New Roman" w:cs="Times New Roman"/>
          <w:sz w:val="24"/>
          <w:szCs w:val="24"/>
        </w:rPr>
        <w:t xml:space="preserve"> of the vehicle</w:t>
      </w:r>
      <w:r w:rsidRPr="00B10A33">
        <w:rPr>
          <w:rFonts w:ascii="Times New Roman" w:hAnsi="Times New Roman" w:cs="Times New Roman"/>
          <w:sz w:val="24"/>
          <w:szCs w:val="24"/>
        </w:rPr>
        <w:t xml:space="preserve">.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 xml:space="preserve">EPA believes that this recordkeeping requirement does not impose an unreasonable burden given the warranty and </w:t>
      </w:r>
      <w:r w:rsidRPr="00B10A33">
        <w:rPr>
          <w:rFonts w:ascii="Times New Roman" w:hAnsi="Times New Roman" w:cs="Times New Roman"/>
          <w:sz w:val="24"/>
          <w:szCs w:val="24"/>
        </w:rPr>
        <w:t>recall obligations</w:t>
      </w:r>
      <w:r w:rsidRPr="00B10A33" w:rsidR="00E157C2">
        <w:rPr>
          <w:rFonts w:ascii="Times New Roman" w:hAnsi="Times New Roman" w:cs="Times New Roman"/>
          <w:sz w:val="24"/>
          <w:szCs w:val="24"/>
        </w:rPr>
        <w:t xml:space="preserve"> in our regulations and the Act</w:t>
      </w:r>
      <w:r w:rsidRPr="00B10A33">
        <w:rPr>
          <w:rFonts w:ascii="Times New Roman" w:hAnsi="Times New Roman" w:cs="Times New Roman"/>
          <w:sz w:val="24"/>
          <w:szCs w:val="24"/>
        </w:rPr>
        <w:t xml:space="preserve">. </w:t>
      </w:r>
    </w:p>
    <w:p w:rsidR="00E21E82" w:rsidRPr="00B10A33" w:rsidP="00E21E82" w14:paraId="23BFFCC1" w14:textId="77777777">
      <w:pPr>
        <w:spacing w:after="0" w:line="240" w:lineRule="auto"/>
        <w:rPr>
          <w:rFonts w:ascii="Times New Roman" w:hAnsi="Times New Roman" w:cs="Times New Roman"/>
          <w:sz w:val="24"/>
          <w:szCs w:val="24"/>
        </w:rPr>
      </w:pPr>
    </w:p>
    <w:p w:rsidR="00E21E82" w:rsidRPr="00B10A33" w:rsidP="00E21E82" w14:paraId="17504C53"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This information collection activity complies with the remaining guidelines in 5 CFR 1320.5.</w:t>
      </w:r>
    </w:p>
    <w:p w:rsidR="00E21E82" w:rsidRPr="00B10A33" w:rsidP="00E21E82" w14:paraId="7E8CDD09" w14:textId="77777777">
      <w:pPr>
        <w:spacing w:after="0" w:line="240" w:lineRule="auto"/>
        <w:rPr>
          <w:rFonts w:ascii="Times New Roman" w:hAnsi="Times New Roman" w:cs="Times New Roman"/>
          <w:sz w:val="24"/>
          <w:szCs w:val="24"/>
        </w:rPr>
      </w:pPr>
    </w:p>
    <w:p w:rsidR="00E21E82" w:rsidRPr="00B10A33" w:rsidP="00E21E82" w14:paraId="7D089265"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3(f) </w:t>
      </w:r>
      <w:r w:rsidRPr="00B10A33">
        <w:rPr>
          <w:rFonts w:ascii="Times New Roman" w:hAnsi="Times New Roman" w:cs="Times New Roman"/>
          <w:sz w:val="24"/>
          <w:szCs w:val="24"/>
          <w:u w:val="single"/>
        </w:rPr>
        <w:t>Confidentiality</w:t>
      </w:r>
    </w:p>
    <w:p w:rsidR="00E21E82" w:rsidRPr="00B10A33" w:rsidP="00E21E82" w14:paraId="4CE5397B" w14:textId="77777777">
      <w:pPr>
        <w:spacing w:after="0" w:line="240" w:lineRule="auto"/>
        <w:rPr>
          <w:rFonts w:ascii="Times New Roman" w:hAnsi="Times New Roman" w:cs="Times New Roman"/>
          <w:sz w:val="24"/>
          <w:szCs w:val="24"/>
        </w:rPr>
      </w:pPr>
    </w:p>
    <w:p w:rsidR="00E21E82" w:rsidRPr="00B10A33" w:rsidP="00E21E82" w14:paraId="10DB0937"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Information submitted by manufacturers is held as confidential until the specific vehicle to which it pertains is available for purchase. After vehicles are available, most information associated with the manufacturer/importer’s application is available to the public. Under section 208 of the Clean Air Act (42 USC 7542(c)) all information, other than trade secret processes or methods, must be publicly available. Proprietary information is granted confidentiality in accordance with the Freedom of Information Act, EPA regulations at 40 CFR Part 2, and class determinations issued by </w:t>
      </w:r>
      <w:r w:rsidRPr="00B10A33" w:rsidR="00392E85">
        <w:rPr>
          <w:rFonts w:ascii="Times New Roman" w:hAnsi="Times New Roman" w:cs="Times New Roman"/>
          <w:sz w:val="24"/>
          <w:szCs w:val="24"/>
        </w:rPr>
        <w:t xml:space="preserve">the </w:t>
      </w:r>
      <w:r w:rsidRPr="00B10A33">
        <w:rPr>
          <w:rFonts w:ascii="Times New Roman" w:hAnsi="Times New Roman" w:cs="Times New Roman"/>
          <w:sz w:val="24"/>
          <w:szCs w:val="24"/>
        </w:rPr>
        <w:t>EPA’s Office of General Counsel.</w:t>
      </w:r>
    </w:p>
    <w:p w:rsidR="00E21E82" w:rsidRPr="00B10A33" w:rsidP="00E21E82" w14:paraId="3DFD3B2D" w14:textId="77777777">
      <w:pPr>
        <w:spacing w:after="0" w:line="240" w:lineRule="auto"/>
        <w:rPr>
          <w:rFonts w:ascii="Times New Roman" w:hAnsi="Times New Roman" w:cs="Times New Roman"/>
          <w:sz w:val="24"/>
          <w:szCs w:val="24"/>
        </w:rPr>
      </w:pPr>
    </w:p>
    <w:p w:rsidR="00E21E82" w:rsidRPr="00B10A33" w:rsidP="00E21E82" w14:paraId="36D41007"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3(g) </w:t>
      </w:r>
      <w:r w:rsidRPr="00B10A33">
        <w:rPr>
          <w:rFonts w:ascii="Times New Roman" w:hAnsi="Times New Roman" w:cs="Times New Roman"/>
          <w:sz w:val="24"/>
          <w:szCs w:val="24"/>
          <w:u w:val="single"/>
        </w:rPr>
        <w:t>Sensitive Questions</w:t>
      </w:r>
    </w:p>
    <w:p w:rsidR="00E21E82" w:rsidRPr="00B10A33" w:rsidP="00E21E82" w14:paraId="0077BEDA" w14:textId="77777777">
      <w:pPr>
        <w:spacing w:after="0" w:line="240" w:lineRule="auto"/>
        <w:rPr>
          <w:rFonts w:ascii="Times New Roman" w:hAnsi="Times New Roman" w:cs="Times New Roman"/>
          <w:sz w:val="24"/>
          <w:szCs w:val="24"/>
        </w:rPr>
      </w:pPr>
    </w:p>
    <w:p w:rsidR="00E21E82" w:rsidRPr="00B10A33" w:rsidP="00E21E82" w14:paraId="0CE170AA"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No sensitive questions are asked in this information collection. This collection complies with the Privacy Act and OMB Circular A-108.</w:t>
      </w:r>
    </w:p>
    <w:p w:rsidR="009D62C5" w:rsidRPr="00B10A33" w:rsidP="00E21E82" w14:paraId="3FABD777" w14:textId="77777777">
      <w:pPr>
        <w:spacing w:after="0" w:line="240" w:lineRule="auto"/>
        <w:rPr>
          <w:rFonts w:ascii="Times New Roman" w:hAnsi="Times New Roman" w:cs="Times New Roman"/>
          <w:sz w:val="24"/>
          <w:szCs w:val="24"/>
        </w:rPr>
      </w:pPr>
    </w:p>
    <w:p w:rsidR="009D62C5" w:rsidRPr="00B10A33" w:rsidP="009D62C5" w14:paraId="3E75CDEE"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u w:val="single"/>
        </w:rPr>
        <w:t>Section 4: Respondents and Information Requested</w:t>
      </w:r>
    </w:p>
    <w:p w:rsidR="009D62C5" w:rsidRPr="00B10A33" w:rsidP="009D62C5" w14:paraId="4869EF97" w14:textId="77777777">
      <w:pPr>
        <w:spacing w:after="0" w:line="240" w:lineRule="auto"/>
        <w:rPr>
          <w:rFonts w:ascii="Times New Roman" w:hAnsi="Times New Roman" w:cs="Times New Roman"/>
          <w:sz w:val="24"/>
          <w:szCs w:val="24"/>
        </w:rPr>
      </w:pPr>
    </w:p>
    <w:p w:rsidR="009D62C5" w:rsidRPr="00B10A33" w:rsidP="009D62C5" w14:paraId="23193C50"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4(a) </w:t>
      </w:r>
      <w:r w:rsidRPr="00B10A33">
        <w:rPr>
          <w:rFonts w:ascii="Times New Roman" w:hAnsi="Times New Roman" w:cs="Times New Roman"/>
          <w:sz w:val="24"/>
          <w:szCs w:val="24"/>
          <w:u w:val="single"/>
        </w:rPr>
        <w:t>Respondents/NAICS Codes</w:t>
      </w:r>
    </w:p>
    <w:p w:rsidR="009D62C5" w:rsidRPr="00B10A33" w:rsidP="009D62C5" w14:paraId="1A2B9558" w14:textId="77777777">
      <w:pPr>
        <w:spacing w:after="0" w:line="240" w:lineRule="auto"/>
        <w:rPr>
          <w:rFonts w:ascii="Times New Roman" w:hAnsi="Times New Roman" w:cs="Times New Roman"/>
          <w:sz w:val="24"/>
          <w:szCs w:val="24"/>
          <w:u w:val="single"/>
        </w:rPr>
      </w:pPr>
    </w:p>
    <w:p w:rsidR="009D62C5" w:rsidRPr="00B10A33" w:rsidP="009D62C5" w14:paraId="150D0100"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The respondents are involved in the industries shown in the following table:</w:t>
      </w:r>
    </w:p>
    <w:p w:rsidR="009D62C5" w:rsidRPr="00B10A33" w:rsidP="009D62C5" w14:paraId="2EEC2109" w14:textId="77777777">
      <w:pPr>
        <w:spacing w:after="0" w:line="240" w:lineRule="auto"/>
        <w:rPr>
          <w:rFonts w:ascii="Times New Roman" w:hAnsi="Times New Roman" w:cs="Times New Roman"/>
          <w:sz w:val="24"/>
          <w:szCs w:val="24"/>
        </w:rPr>
      </w:pPr>
    </w:p>
    <w:tbl>
      <w:tblPr>
        <w:tblW w:w="936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1661"/>
        <w:gridCol w:w="1764"/>
        <w:gridCol w:w="5935"/>
      </w:tblGrid>
      <w:tr w14:paraId="5EC8C4D9" w14:textId="77777777" w:rsidTr="001A19FF">
        <w:tblPrEx>
          <w:tblW w:w="936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blHeader/>
        </w:trPr>
        <w:tc>
          <w:tcPr>
            <w:tcW w:w="1661" w:type="dxa"/>
            <w:tcBorders>
              <w:top w:val="double" w:sz="7" w:space="0" w:color="000000"/>
              <w:left w:val="double" w:sz="7" w:space="0" w:color="000000"/>
              <w:bottom w:val="double" w:sz="7" w:space="0" w:color="000000"/>
              <w:right w:val="single" w:sz="7" w:space="0" w:color="000000"/>
            </w:tcBorders>
          </w:tcPr>
          <w:p w:rsidR="009D62C5" w:rsidRPr="00B10A33" w:rsidP="009D62C5" w14:paraId="33BC2D6A"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Category</w:t>
            </w:r>
          </w:p>
        </w:tc>
        <w:tc>
          <w:tcPr>
            <w:tcW w:w="1764" w:type="dxa"/>
            <w:tcBorders>
              <w:top w:val="double" w:sz="7" w:space="0" w:color="000000"/>
              <w:left w:val="single" w:sz="7" w:space="0" w:color="000000"/>
              <w:bottom w:val="double" w:sz="7" w:space="0" w:color="000000"/>
              <w:right w:val="single" w:sz="7" w:space="0" w:color="000000"/>
            </w:tcBorders>
          </w:tcPr>
          <w:p w:rsidR="009D62C5" w:rsidRPr="00B10A33" w:rsidP="009D62C5" w14:paraId="5526F880" w14:textId="221FE35F">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NAICS Codes</w:t>
            </w:r>
            <w:r w:rsidRPr="00B10A33" w:rsidR="00693DE1">
              <w:rPr>
                <w:rFonts w:ascii="Times New Roman" w:hAnsi="Times New Roman" w:cs="Times New Roman"/>
                <w:sz w:val="24"/>
                <w:szCs w:val="24"/>
                <w:vertAlign w:val="superscript"/>
              </w:rPr>
              <w:t>1</w:t>
            </w:r>
          </w:p>
        </w:tc>
        <w:tc>
          <w:tcPr>
            <w:tcW w:w="5935" w:type="dxa"/>
            <w:tcBorders>
              <w:top w:val="double" w:sz="7" w:space="0" w:color="000000"/>
              <w:left w:val="single" w:sz="7" w:space="0" w:color="000000"/>
              <w:bottom w:val="double" w:sz="7" w:space="0" w:color="000000"/>
              <w:right w:val="double" w:sz="7" w:space="0" w:color="000000"/>
            </w:tcBorders>
          </w:tcPr>
          <w:p w:rsidR="009D62C5" w:rsidRPr="00B10A33" w:rsidP="009D62C5" w14:paraId="53181ACB"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Examples of Potentially Regulated Entities</w:t>
            </w:r>
          </w:p>
        </w:tc>
      </w:tr>
      <w:tr w14:paraId="27047279" w14:textId="77777777" w:rsidTr="001A19FF">
        <w:tblPrEx>
          <w:tblW w:w="9360" w:type="dxa"/>
          <w:tblInd w:w="82" w:type="dxa"/>
          <w:tblLayout w:type="fixed"/>
          <w:tblCellMar>
            <w:left w:w="82" w:type="dxa"/>
            <w:right w:w="82" w:type="dxa"/>
          </w:tblCellMar>
          <w:tblLook w:val="0000"/>
        </w:tblPrEx>
        <w:trPr>
          <w:cantSplit/>
        </w:trPr>
        <w:tc>
          <w:tcPr>
            <w:tcW w:w="1661" w:type="dxa"/>
            <w:tcBorders>
              <w:top w:val="double" w:sz="7" w:space="0" w:color="000000"/>
              <w:left w:val="double" w:sz="7" w:space="0" w:color="000000"/>
              <w:bottom w:val="double" w:sz="7" w:space="0" w:color="000000"/>
              <w:right w:val="single" w:sz="7" w:space="0" w:color="000000"/>
            </w:tcBorders>
          </w:tcPr>
          <w:p w:rsidR="009D62C5" w:rsidRPr="00B10A33" w:rsidP="009D62C5" w14:paraId="57349046"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Industry</w:t>
            </w:r>
          </w:p>
        </w:tc>
        <w:tc>
          <w:tcPr>
            <w:tcW w:w="1764" w:type="dxa"/>
            <w:tcBorders>
              <w:top w:val="double" w:sz="7" w:space="0" w:color="000000"/>
              <w:left w:val="single" w:sz="7" w:space="0" w:color="000000"/>
              <w:bottom w:val="double" w:sz="7" w:space="0" w:color="000000"/>
              <w:right w:val="single" w:sz="7" w:space="0" w:color="000000"/>
            </w:tcBorders>
          </w:tcPr>
          <w:p w:rsidR="009D62C5" w:rsidRPr="00B10A33" w:rsidP="009D62C5" w14:paraId="168FA64C"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336991</w:t>
            </w:r>
          </w:p>
        </w:tc>
        <w:tc>
          <w:tcPr>
            <w:tcW w:w="5935" w:type="dxa"/>
            <w:tcBorders>
              <w:top w:val="double" w:sz="7" w:space="0" w:color="000000"/>
              <w:left w:val="single" w:sz="7" w:space="0" w:color="000000"/>
              <w:bottom w:val="double" w:sz="7" w:space="0" w:color="000000"/>
              <w:right w:val="double" w:sz="7" w:space="0" w:color="000000"/>
            </w:tcBorders>
          </w:tcPr>
          <w:p w:rsidR="009D62C5" w:rsidRPr="00B10A33" w:rsidP="009D62C5" w14:paraId="1FEB756C"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Motorcycle and motorcycle parts manufacturers</w:t>
            </w:r>
          </w:p>
        </w:tc>
      </w:tr>
      <w:tr w14:paraId="3A936BB8" w14:textId="77777777" w:rsidTr="001A19FF">
        <w:tblPrEx>
          <w:tblW w:w="9360" w:type="dxa"/>
          <w:tblInd w:w="82" w:type="dxa"/>
          <w:tblLayout w:type="fixed"/>
          <w:tblCellMar>
            <w:left w:w="82" w:type="dxa"/>
            <w:right w:w="82" w:type="dxa"/>
          </w:tblCellMar>
          <w:tblLook w:val="0000"/>
        </w:tblPrEx>
        <w:trPr>
          <w:cantSplit/>
        </w:trPr>
        <w:tc>
          <w:tcPr>
            <w:tcW w:w="1661" w:type="dxa"/>
            <w:tcBorders>
              <w:top w:val="double" w:sz="7" w:space="0" w:color="000000"/>
              <w:left w:val="double" w:sz="7" w:space="0" w:color="000000"/>
              <w:bottom w:val="double" w:sz="7" w:space="0" w:color="000000"/>
              <w:right w:val="single" w:sz="7" w:space="0" w:color="000000"/>
            </w:tcBorders>
          </w:tcPr>
          <w:p w:rsidR="001C5C81" w:rsidRPr="00B10A33" w:rsidP="009D62C5" w14:paraId="70A8554F"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Industry</w:t>
            </w:r>
          </w:p>
        </w:tc>
        <w:tc>
          <w:tcPr>
            <w:tcW w:w="1764" w:type="dxa"/>
            <w:tcBorders>
              <w:top w:val="double" w:sz="7" w:space="0" w:color="000000"/>
              <w:left w:val="single" w:sz="7" w:space="0" w:color="000000"/>
              <w:bottom w:val="double" w:sz="7" w:space="0" w:color="000000"/>
              <w:right w:val="single" w:sz="7" w:space="0" w:color="000000"/>
            </w:tcBorders>
          </w:tcPr>
          <w:p w:rsidR="001C5C81" w:rsidRPr="00B10A33" w:rsidP="009D62C5" w14:paraId="04DDB13D"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336310</w:t>
            </w:r>
          </w:p>
        </w:tc>
        <w:tc>
          <w:tcPr>
            <w:tcW w:w="5935" w:type="dxa"/>
            <w:tcBorders>
              <w:top w:val="double" w:sz="7" w:space="0" w:color="000000"/>
              <w:left w:val="single" w:sz="7" w:space="0" w:color="000000"/>
              <w:bottom w:val="double" w:sz="7" w:space="0" w:color="000000"/>
              <w:right w:val="double" w:sz="7" w:space="0" w:color="000000"/>
            </w:tcBorders>
          </w:tcPr>
          <w:p w:rsidR="001C5C81" w:rsidRPr="00B10A33" w:rsidP="009D62C5" w14:paraId="47E51640"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Motor Vehicle Gasoline Engine and Engine Parts Manufacturing</w:t>
            </w:r>
          </w:p>
        </w:tc>
      </w:tr>
    </w:tbl>
    <w:p w:rsidR="009D62C5" w:rsidRPr="00B10A33" w:rsidP="009D62C5" w14:paraId="44983CD9" w14:textId="2A5458B3">
      <w:pPr>
        <w:spacing w:after="0" w:line="240" w:lineRule="auto"/>
        <w:rPr>
          <w:rFonts w:ascii="Times New Roman" w:hAnsi="Times New Roman" w:cs="Times New Roman"/>
          <w:sz w:val="24"/>
          <w:szCs w:val="24"/>
        </w:rPr>
      </w:pPr>
      <w:r w:rsidRPr="00B10A33">
        <w:rPr>
          <w:rFonts w:ascii="Times New Roman" w:hAnsi="Times New Roman" w:cs="Times New Roman"/>
          <w:sz w:val="24"/>
          <w:szCs w:val="24"/>
          <w:vertAlign w:val="superscript"/>
        </w:rPr>
        <w:t>1</w:t>
      </w:r>
      <w:r w:rsidRPr="00B10A33">
        <w:rPr>
          <w:rFonts w:ascii="Times New Roman" w:hAnsi="Times New Roman" w:cs="Times New Roman"/>
          <w:sz w:val="24"/>
          <w:szCs w:val="24"/>
          <w:vertAlign w:val="superscript"/>
        </w:rPr>
        <w:t xml:space="preserve"> </w:t>
      </w:r>
      <w:r w:rsidRPr="00B10A33">
        <w:rPr>
          <w:rFonts w:ascii="Times New Roman" w:hAnsi="Times New Roman" w:cs="Times New Roman"/>
          <w:sz w:val="24"/>
          <w:szCs w:val="24"/>
        </w:rPr>
        <w:t>North American Industry Classification System (NAICS)</w:t>
      </w:r>
    </w:p>
    <w:p w:rsidR="0075052A" w:rsidRPr="00B10A33" w:rsidP="0075052A" w14:paraId="3D9909A0" w14:textId="3E1B4D5B">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 </w:t>
      </w:r>
    </w:p>
    <w:p w:rsidR="00855908" w:rsidRPr="00B10A33" w:rsidP="00457895" w14:paraId="2107661F" w14:textId="16ADF3FF">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4(b) </w:t>
      </w:r>
      <w:r w:rsidRPr="00B10A33">
        <w:rPr>
          <w:rFonts w:ascii="Times New Roman" w:hAnsi="Times New Roman" w:cs="Times New Roman"/>
          <w:sz w:val="24"/>
          <w:szCs w:val="24"/>
          <w:u w:val="single"/>
        </w:rPr>
        <w:t>Information Requested</w:t>
      </w:r>
    </w:p>
    <w:p w:rsidR="009D62C5" w:rsidRPr="00B10A33" w:rsidP="00B331C4" w14:paraId="7C16EE81" w14:textId="77777777">
      <w:pPr>
        <w:keepNext/>
        <w:keepLines/>
        <w:spacing w:after="0" w:line="240" w:lineRule="auto"/>
        <w:rPr>
          <w:rFonts w:ascii="Times New Roman" w:hAnsi="Times New Roman" w:cs="Times New Roman"/>
          <w:sz w:val="24"/>
          <w:szCs w:val="24"/>
        </w:rPr>
      </w:pPr>
      <w:r w:rsidRPr="00B10A33">
        <w:rPr>
          <w:rFonts w:ascii="Times New Roman" w:hAnsi="Times New Roman" w:cs="Times New Roman"/>
          <w:sz w:val="24"/>
          <w:szCs w:val="24"/>
        </w:rPr>
        <w:t>(</w:t>
      </w:r>
      <w:r w:rsidRPr="00B10A33">
        <w:rPr>
          <w:rFonts w:ascii="Times New Roman" w:hAnsi="Times New Roman" w:cs="Times New Roman"/>
          <w:sz w:val="24"/>
          <w:szCs w:val="24"/>
        </w:rPr>
        <w:t>i</w:t>
      </w:r>
      <w:r w:rsidRPr="00B10A33">
        <w:rPr>
          <w:rFonts w:ascii="Times New Roman" w:hAnsi="Times New Roman" w:cs="Times New Roman"/>
          <w:sz w:val="24"/>
          <w:szCs w:val="24"/>
        </w:rPr>
        <w:t xml:space="preserve">) </w:t>
      </w:r>
      <w:r w:rsidRPr="00B10A33">
        <w:rPr>
          <w:rFonts w:ascii="Times New Roman" w:hAnsi="Times New Roman" w:cs="Times New Roman"/>
          <w:sz w:val="24"/>
          <w:szCs w:val="24"/>
          <w:u w:val="single"/>
        </w:rPr>
        <w:t>Data items</w:t>
      </w:r>
    </w:p>
    <w:p w:rsidR="009D62C5" w:rsidRPr="00B10A33" w:rsidP="00B331C4" w14:paraId="16C8CA8B" w14:textId="77777777">
      <w:pPr>
        <w:keepNext/>
        <w:keepLines/>
        <w:spacing w:after="0" w:line="240" w:lineRule="auto"/>
        <w:rPr>
          <w:rFonts w:ascii="Times New Roman" w:hAnsi="Times New Roman" w:cs="Times New Roman"/>
          <w:sz w:val="24"/>
          <w:szCs w:val="24"/>
        </w:rPr>
      </w:pPr>
    </w:p>
    <w:p w:rsidR="009D62C5" w:rsidRPr="00B10A33" w:rsidP="00B331C4" w14:paraId="300EFDC1" w14:textId="1473D58D">
      <w:pPr>
        <w:keepNext/>
        <w:keepLines/>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Manufacturers of on-highway motorcycles are required to submit descriptions of their planned product line, including detailed descriptions of the emission control system, test data, and demonstrations of compliance with other requirements, such as methods for determining deterioration factors for durability. Manufacturers supply test data to verify that their products will comply with the emission standards. They are also required to notify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EPA of in-use defects experienced by their vehicles and reports of voluntary recalls. Other major data items include submission of technical service bulletins; copies of warranties; and averaging and banking calculations. Given the diversity of vehicles produced and the complicated nature of the regulations, in certain instances manufacturers may also find it advantageous to request variances from standard EPA procedures.</w:t>
      </w:r>
    </w:p>
    <w:p w:rsidR="002E3439" w:rsidRPr="00B10A33" w:rsidP="002E3439" w14:paraId="50450503" w14:textId="77777777">
      <w:pPr>
        <w:spacing w:after="0" w:line="240" w:lineRule="auto"/>
        <w:rPr>
          <w:rFonts w:ascii="Times New Roman" w:hAnsi="Times New Roman" w:cs="Times New Roman"/>
          <w:sz w:val="24"/>
          <w:szCs w:val="24"/>
        </w:rPr>
      </w:pPr>
    </w:p>
    <w:p w:rsidR="002E3439" w:rsidRPr="00B10A33" w:rsidP="002E3439" w14:paraId="4B72D3A4" w14:textId="484DC07C">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Electronic submission by </w:t>
      </w:r>
      <w:r w:rsidRPr="00B10A33">
        <w:rPr>
          <w:rFonts w:ascii="Times New Roman" w:hAnsi="Times New Roman" w:cs="Times New Roman"/>
          <w:sz w:val="24"/>
          <w:szCs w:val="24"/>
        </w:rPr>
        <w:t>manufacturers</w:t>
      </w:r>
      <w:r w:rsidRPr="00B10A33">
        <w:rPr>
          <w:rFonts w:ascii="Times New Roman" w:hAnsi="Times New Roman" w:cs="Times New Roman"/>
          <w:sz w:val="24"/>
          <w:szCs w:val="24"/>
        </w:rPr>
        <w:t xml:space="preserve"> to the EPA’s engine and vehicle compliance information system</w:t>
      </w:r>
      <w:r w:rsidRPr="00B10A33">
        <w:rPr>
          <w:rFonts w:ascii="Times New Roman" w:hAnsi="Times New Roman" w:cs="Times New Roman"/>
          <w:sz w:val="24"/>
          <w:szCs w:val="24"/>
        </w:rPr>
        <w:t xml:space="preserve"> is carried out through the </w:t>
      </w:r>
      <w:r w:rsidRPr="00B10A33" w:rsidR="00180DBD">
        <w:rPr>
          <w:rFonts w:ascii="Times New Roman" w:hAnsi="Times New Roman" w:cs="Times New Roman"/>
          <w:sz w:val="24"/>
          <w:szCs w:val="24"/>
        </w:rPr>
        <w:t xml:space="preserve">web-based system, </w:t>
      </w:r>
      <w:r w:rsidRPr="00B10A33">
        <w:rPr>
          <w:rFonts w:ascii="Times New Roman" w:hAnsi="Times New Roman" w:cs="Times New Roman"/>
          <w:sz w:val="24"/>
          <w:szCs w:val="24"/>
        </w:rPr>
        <w:t>EV-CIS</w:t>
      </w:r>
      <w:r w:rsidRPr="00B10A33" w:rsidR="00180DBD">
        <w:rPr>
          <w:rFonts w:ascii="Times New Roman" w:hAnsi="Times New Roman" w:cs="Times New Roman"/>
          <w:sz w:val="24"/>
          <w:szCs w:val="24"/>
        </w:rPr>
        <w:t>.</w:t>
      </w:r>
      <w:r w:rsidRPr="00B10A33">
        <w:rPr>
          <w:rFonts w:ascii="Times New Roman" w:hAnsi="Times New Roman" w:cs="Times New Roman"/>
          <w:sz w:val="24"/>
          <w:szCs w:val="24"/>
        </w:rPr>
        <w:t xml:space="preserve"> </w:t>
      </w:r>
      <w:r w:rsidRPr="00B10A33" w:rsidR="00180DBD">
        <w:rPr>
          <w:rFonts w:ascii="Times New Roman" w:hAnsi="Times New Roman" w:cs="Times New Roman"/>
          <w:sz w:val="24"/>
          <w:szCs w:val="24"/>
        </w:rPr>
        <w:t xml:space="preserve">The system has been developed to provide manufacturers with helpful features such as the ability to self-correct their entries and </w:t>
      </w:r>
      <w:r w:rsidRPr="00B10A33">
        <w:rPr>
          <w:rFonts w:ascii="Times New Roman" w:hAnsi="Times New Roman" w:cs="Times New Roman"/>
          <w:sz w:val="24"/>
          <w:szCs w:val="24"/>
        </w:rPr>
        <w:t>coordinat</w:t>
      </w:r>
      <w:r w:rsidRPr="00B10A33" w:rsidR="00180DBD">
        <w:rPr>
          <w:rFonts w:ascii="Times New Roman" w:hAnsi="Times New Roman" w:cs="Times New Roman"/>
          <w:sz w:val="24"/>
          <w:szCs w:val="24"/>
        </w:rPr>
        <w:t xml:space="preserve">e their submissions </w:t>
      </w:r>
      <w:r w:rsidRPr="00B10A33">
        <w:rPr>
          <w:rFonts w:ascii="Times New Roman" w:hAnsi="Times New Roman" w:cs="Times New Roman"/>
          <w:sz w:val="24"/>
          <w:szCs w:val="24"/>
        </w:rPr>
        <w:t>with California’s certification process</w:t>
      </w:r>
      <w:r w:rsidRPr="00B10A33" w:rsidR="00180DBD">
        <w:rPr>
          <w:rFonts w:ascii="Times New Roman" w:hAnsi="Times New Roman" w:cs="Times New Roman"/>
          <w:sz w:val="24"/>
          <w:szCs w:val="24"/>
        </w:rPr>
        <w:t>.</w:t>
      </w:r>
      <w:r w:rsidRPr="00B10A33">
        <w:rPr>
          <w:rFonts w:ascii="Times New Roman" w:hAnsi="Times New Roman" w:cs="Times New Roman"/>
          <w:sz w:val="24"/>
          <w:szCs w:val="24"/>
        </w:rPr>
        <w:t xml:space="preserve"> </w:t>
      </w:r>
      <w:r w:rsidRPr="00B10A33">
        <w:rPr>
          <w:rFonts w:ascii="Times New Roman" w:hAnsi="Times New Roman" w:cs="Times New Roman"/>
          <w:sz w:val="24"/>
          <w:szCs w:val="24"/>
        </w:rPr>
        <w:t xml:space="preserve">Continued use of this centralized system </w:t>
      </w:r>
      <w:r w:rsidRPr="00B10A33" w:rsidR="003B2E1D">
        <w:rPr>
          <w:rFonts w:ascii="Times New Roman" w:hAnsi="Times New Roman" w:cs="Times New Roman"/>
          <w:sz w:val="24"/>
          <w:szCs w:val="24"/>
        </w:rPr>
        <w:t>allows the EPA to improve the accuracy of inputs used in ICRs for this collection.</w:t>
      </w:r>
      <w:r w:rsidRPr="00B10A33">
        <w:rPr>
          <w:rFonts w:ascii="Times New Roman" w:hAnsi="Times New Roman" w:cs="Times New Roman"/>
          <w:sz w:val="24"/>
          <w:szCs w:val="24"/>
        </w:rPr>
        <w:t xml:space="preserve"> Feedback from the highway motorcycle manufacturers questioned for this ICR regarding our EV-CIS system continues to be largely positive.</w:t>
      </w:r>
    </w:p>
    <w:p w:rsidR="009D62C5" w:rsidRPr="00B10A33" w:rsidP="009D62C5" w14:paraId="58300AFE" w14:textId="77777777">
      <w:pPr>
        <w:spacing w:after="0" w:line="240" w:lineRule="auto"/>
        <w:rPr>
          <w:rFonts w:ascii="Times New Roman" w:hAnsi="Times New Roman" w:cs="Times New Roman"/>
          <w:sz w:val="24"/>
          <w:szCs w:val="24"/>
        </w:rPr>
      </w:pPr>
    </w:p>
    <w:p w:rsidR="009D62C5" w:rsidRPr="00B10A33" w:rsidP="009D62C5" w14:paraId="46229B66"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(ii) </w:t>
      </w:r>
      <w:r w:rsidRPr="00B10A33">
        <w:rPr>
          <w:rFonts w:ascii="Times New Roman" w:hAnsi="Times New Roman" w:cs="Times New Roman"/>
          <w:sz w:val="24"/>
          <w:szCs w:val="24"/>
          <w:u w:val="single"/>
        </w:rPr>
        <w:t>Respondent Activities</w:t>
      </w:r>
    </w:p>
    <w:p w:rsidR="009D62C5" w:rsidRPr="00B10A33" w:rsidP="009D62C5" w14:paraId="38B06BD3" w14:textId="77777777">
      <w:pPr>
        <w:spacing w:after="0" w:line="240" w:lineRule="auto"/>
        <w:rPr>
          <w:rFonts w:ascii="Times New Roman" w:hAnsi="Times New Roman" w:cs="Times New Roman"/>
          <w:sz w:val="24"/>
          <w:szCs w:val="24"/>
        </w:rPr>
      </w:pPr>
    </w:p>
    <w:p w:rsidR="009D62C5" w:rsidRPr="00B10A33" w:rsidP="009D62C5" w14:paraId="63255A56" w14:textId="61152E66">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While there is no “typical” respondent, all manufacturers must describe their product and supply test data and other information to verify compliance. The </w:t>
      </w:r>
      <w:r w:rsidRPr="00B10A33" w:rsidR="0085431B">
        <w:rPr>
          <w:rFonts w:ascii="Times New Roman" w:hAnsi="Times New Roman" w:cs="Times New Roman"/>
          <w:sz w:val="24"/>
          <w:szCs w:val="24"/>
        </w:rPr>
        <w:t xml:space="preserve">process of generating the information that firms need to report to EPA is by far the </w:t>
      </w:r>
      <w:r w:rsidRPr="00B10A33">
        <w:rPr>
          <w:rFonts w:ascii="Times New Roman" w:hAnsi="Times New Roman" w:cs="Times New Roman"/>
          <w:sz w:val="24"/>
          <w:szCs w:val="24"/>
        </w:rPr>
        <w:t xml:space="preserve">biggest </w:t>
      </w:r>
      <w:r w:rsidRPr="00B10A33" w:rsidR="00180DBD">
        <w:rPr>
          <w:rFonts w:ascii="Times New Roman" w:hAnsi="Times New Roman" w:cs="Times New Roman"/>
          <w:sz w:val="24"/>
          <w:szCs w:val="24"/>
        </w:rPr>
        <w:t xml:space="preserve">source of </w:t>
      </w:r>
      <w:r w:rsidRPr="00B10A33">
        <w:rPr>
          <w:rFonts w:ascii="Times New Roman" w:hAnsi="Times New Roman" w:cs="Times New Roman"/>
          <w:sz w:val="24"/>
          <w:szCs w:val="24"/>
        </w:rPr>
        <w:t xml:space="preserve">burden in this </w:t>
      </w:r>
      <w:r w:rsidRPr="00B10A33" w:rsidR="0085431B">
        <w:rPr>
          <w:rFonts w:ascii="Times New Roman" w:hAnsi="Times New Roman" w:cs="Times New Roman"/>
          <w:sz w:val="24"/>
          <w:szCs w:val="24"/>
        </w:rPr>
        <w:t xml:space="preserve">collection. That involves manufacturers either operating their own test facilities or outsourcing that work </w:t>
      </w:r>
      <w:r w:rsidRPr="00B10A33">
        <w:rPr>
          <w:rFonts w:ascii="Times New Roman" w:hAnsi="Times New Roman" w:cs="Times New Roman"/>
          <w:sz w:val="24"/>
          <w:szCs w:val="24"/>
        </w:rPr>
        <w:t>ICR</w:t>
      </w:r>
      <w:r w:rsidRPr="00B10A33" w:rsidR="0085431B">
        <w:rPr>
          <w:rFonts w:ascii="Times New Roman" w:hAnsi="Times New Roman" w:cs="Times New Roman"/>
          <w:sz w:val="24"/>
          <w:szCs w:val="24"/>
        </w:rPr>
        <w:t>.</w:t>
      </w:r>
      <w:r w:rsidRPr="00B10A33">
        <w:rPr>
          <w:rFonts w:ascii="Times New Roman" w:hAnsi="Times New Roman" w:cs="Times New Roman"/>
          <w:sz w:val="24"/>
          <w:szCs w:val="24"/>
        </w:rPr>
        <w:t xml:space="preserve">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 xml:space="preserve">EPA will conduct a limited number of “confirmatory tests” to monitor manufacturer results. This generally requires that emissions test vehicle(s) be shipped to </w:t>
      </w:r>
      <w:r w:rsidRPr="00B10A33" w:rsidR="00392E85">
        <w:rPr>
          <w:rFonts w:ascii="Times New Roman" w:hAnsi="Times New Roman" w:cs="Times New Roman"/>
          <w:sz w:val="24"/>
          <w:szCs w:val="24"/>
        </w:rPr>
        <w:t xml:space="preserve">the </w:t>
      </w:r>
      <w:r w:rsidRPr="00B10A33">
        <w:rPr>
          <w:rFonts w:ascii="Times New Roman" w:hAnsi="Times New Roman" w:cs="Times New Roman"/>
          <w:sz w:val="24"/>
          <w:szCs w:val="24"/>
        </w:rPr>
        <w:t xml:space="preserve">EPA’s designated testing laboratory. Manufacturers must also retain records. These tasks are repeated for each model year, although typically previous data and information can be “carried over” when no significant changes have occurred. If, </w:t>
      </w:r>
      <w:r w:rsidRPr="00B10A33">
        <w:rPr>
          <w:rFonts w:ascii="Times New Roman" w:hAnsi="Times New Roman" w:cs="Times New Roman"/>
          <w:sz w:val="24"/>
          <w:szCs w:val="24"/>
        </w:rPr>
        <w:t>during the course of</w:t>
      </w:r>
      <w:r w:rsidRPr="00B10A33">
        <w:rPr>
          <w:rFonts w:ascii="Times New Roman" w:hAnsi="Times New Roman" w:cs="Times New Roman"/>
          <w:sz w:val="24"/>
          <w:szCs w:val="24"/>
        </w:rPr>
        <w:t xml:space="preserve"> a model year a product change is made (a</w:t>
      </w:r>
      <w:r w:rsidRPr="00B10A33" w:rsidR="005B4152">
        <w:rPr>
          <w:rFonts w:ascii="Times New Roman" w:hAnsi="Times New Roman" w:cs="Times New Roman"/>
          <w:sz w:val="24"/>
          <w:szCs w:val="24"/>
        </w:rPr>
        <w:t>n</w:t>
      </w:r>
      <w:r w:rsidRPr="00B10A33">
        <w:rPr>
          <w:rFonts w:ascii="Times New Roman" w:hAnsi="Times New Roman" w:cs="Times New Roman"/>
          <w:sz w:val="24"/>
          <w:szCs w:val="24"/>
        </w:rPr>
        <w:t xml:space="preserve"> “</w:t>
      </w:r>
      <w:r w:rsidRPr="00B10A33" w:rsidR="005B4152">
        <w:rPr>
          <w:rFonts w:ascii="Times New Roman" w:hAnsi="Times New Roman" w:cs="Times New Roman"/>
          <w:sz w:val="24"/>
          <w:szCs w:val="24"/>
        </w:rPr>
        <w:t>amendment</w:t>
      </w:r>
      <w:r w:rsidRPr="00B10A33">
        <w:rPr>
          <w:rFonts w:ascii="Times New Roman" w:hAnsi="Times New Roman" w:cs="Times New Roman"/>
          <w:sz w:val="24"/>
          <w:szCs w:val="24"/>
        </w:rPr>
        <w:t>”</w:t>
      </w:r>
      <w:r w:rsidRPr="00B10A33" w:rsidR="005B4152">
        <w:rPr>
          <w:rFonts w:ascii="Times New Roman" w:hAnsi="Times New Roman" w:cs="Times New Roman"/>
          <w:sz w:val="24"/>
          <w:szCs w:val="24"/>
        </w:rPr>
        <w:t xml:space="preserve"> to an application or certified configuration</w:t>
      </w:r>
      <w:r w:rsidRPr="00B10A33">
        <w:rPr>
          <w:rFonts w:ascii="Times New Roman" w:hAnsi="Times New Roman" w:cs="Times New Roman"/>
          <w:sz w:val="24"/>
          <w:szCs w:val="24"/>
        </w:rPr>
        <w:t xml:space="preserve">), </w:t>
      </w:r>
      <w:r w:rsidRPr="00B10A33" w:rsidR="00392E85">
        <w:rPr>
          <w:rFonts w:ascii="Times New Roman" w:hAnsi="Times New Roman" w:cs="Times New Roman"/>
          <w:sz w:val="24"/>
          <w:szCs w:val="24"/>
        </w:rPr>
        <w:t xml:space="preserve">the </w:t>
      </w:r>
      <w:r w:rsidRPr="00B10A33">
        <w:rPr>
          <w:rFonts w:ascii="Times New Roman" w:hAnsi="Times New Roman" w:cs="Times New Roman"/>
          <w:sz w:val="24"/>
          <w:szCs w:val="24"/>
        </w:rPr>
        <w:t>EPA must be notified. Under some circumstances</w:t>
      </w:r>
      <w:r w:rsidRPr="00B10A33" w:rsidR="003B2E1D">
        <w:rPr>
          <w:rFonts w:ascii="Times New Roman" w:hAnsi="Times New Roman" w:cs="Times New Roman"/>
          <w:sz w:val="24"/>
          <w:szCs w:val="24"/>
        </w:rPr>
        <w:t>,</w:t>
      </w:r>
      <w:r w:rsidRPr="00B10A33">
        <w:rPr>
          <w:rFonts w:ascii="Times New Roman" w:hAnsi="Times New Roman" w:cs="Times New Roman"/>
          <w:sz w:val="24"/>
          <w:szCs w:val="24"/>
        </w:rPr>
        <w:t xml:space="preserve"> additional test data may be required.</w:t>
      </w:r>
    </w:p>
    <w:p w:rsidR="009D62C5" w:rsidRPr="00B10A33" w:rsidP="009D62C5" w14:paraId="2B078988" w14:textId="77777777">
      <w:pPr>
        <w:spacing w:after="0" w:line="240" w:lineRule="auto"/>
        <w:rPr>
          <w:rFonts w:ascii="Times New Roman" w:hAnsi="Times New Roman" w:cs="Times New Roman"/>
          <w:sz w:val="24"/>
          <w:szCs w:val="24"/>
        </w:rPr>
      </w:pPr>
    </w:p>
    <w:p w:rsidR="009D62C5" w:rsidRPr="00B10A33" w:rsidP="009D62C5" w14:paraId="5B33FCA6" w14:textId="04A1EC01">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Manufacturers must also submit reports concerning defects that are discovered and voluntary recalls that are conducted</w:t>
      </w:r>
      <w:r w:rsidRPr="00B10A33" w:rsidR="0085431B">
        <w:rPr>
          <w:rFonts w:ascii="Times New Roman" w:hAnsi="Times New Roman" w:cs="Times New Roman"/>
          <w:sz w:val="24"/>
          <w:szCs w:val="24"/>
        </w:rPr>
        <w:t>. T</w:t>
      </w:r>
      <w:r w:rsidRPr="00B10A33">
        <w:rPr>
          <w:rFonts w:ascii="Times New Roman" w:hAnsi="Times New Roman" w:cs="Times New Roman"/>
          <w:sz w:val="24"/>
          <w:szCs w:val="24"/>
        </w:rPr>
        <w:t xml:space="preserve">hey may also be requested to </w:t>
      </w:r>
      <w:r w:rsidRPr="00B10A33" w:rsidR="005B4152">
        <w:rPr>
          <w:rFonts w:ascii="Times New Roman" w:hAnsi="Times New Roman" w:cs="Times New Roman"/>
          <w:sz w:val="24"/>
          <w:szCs w:val="24"/>
        </w:rPr>
        <w:t>submit to production vehicle</w:t>
      </w:r>
      <w:r w:rsidRPr="00B10A33">
        <w:rPr>
          <w:rFonts w:ascii="Times New Roman" w:hAnsi="Times New Roman" w:cs="Times New Roman"/>
          <w:sz w:val="24"/>
          <w:szCs w:val="24"/>
        </w:rPr>
        <w:t xml:space="preserve"> testing that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EPA may elect to conduct.</w:t>
      </w:r>
    </w:p>
    <w:p w:rsidR="0089351B" w:rsidRPr="00B10A33" w:rsidP="005B4152" w14:paraId="747048C3" w14:textId="77777777">
      <w:pPr>
        <w:spacing w:after="0" w:line="240" w:lineRule="auto"/>
        <w:rPr>
          <w:rFonts w:ascii="Times New Roman" w:hAnsi="Times New Roman" w:cs="Times New Roman"/>
          <w:sz w:val="24"/>
          <w:szCs w:val="24"/>
          <w:u w:val="single"/>
        </w:rPr>
      </w:pPr>
    </w:p>
    <w:p w:rsidR="005B4152" w:rsidRPr="00B10A33" w:rsidP="005B4152" w14:paraId="12A46697"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u w:val="single"/>
        </w:rPr>
        <w:t>Section 5: The Information Collected—Agency Activities, Collection Methodology, and Information Management</w:t>
      </w:r>
    </w:p>
    <w:p w:rsidR="005B4152" w:rsidRPr="00B10A33" w:rsidP="005B4152" w14:paraId="48006B2C" w14:textId="77777777">
      <w:pPr>
        <w:spacing w:after="0" w:line="240" w:lineRule="auto"/>
        <w:rPr>
          <w:rFonts w:ascii="Times New Roman" w:hAnsi="Times New Roman" w:cs="Times New Roman"/>
          <w:sz w:val="24"/>
          <w:szCs w:val="24"/>
        </w:rPr>
      </w:pPr>
    </w:p>
    <w:p w:rsidR="005B4152" w:rsidRPr="00B10A33" w:rsidP="005B4152" w14:paraId="531C594A" w14:textId="77777777">
      <w:pPr>
        <w:numPr>
          <w:ilvl w:val="0"/>
          <w:numId w:val="1"/>
        </w:numPr>
        <w:spacing w:after="0" w:line="240" w:lineRule="auto"/>
        <w:rPr>
          <w:rFonts w:ascii="Times New Roman" w:hAnsi="Times New Roman" w:cs="Times New Roman"/>
          <w:sz w:val="24"/>
          <w:szCs w:val="24"/>
        </w:rPr>
      </w:pPr>
      <w:r w:rsidRPr="00B10A33">
        <w:rPr>
          <w:rFonts w:ascii="Times New Roman" w:hAnsi="Times New Roman" w:cs="Times New Roman"/>
          <w:sz w:val="24"/>
          <w:szCs w:val="24"/>
          <w:u w:val="single"/>
        </w:rPr>
        <w:t>Agency Activities</w:t>
      </w:r>
    </w:p>
    <w:p w:rsidR="005B4152" w:rsidRPr="00B10A33" w:rsidP="005B4152" w14:paraId="019A51B7" w14:textId="77777777">
      <w:pPr>
        <w:spacing w:after="0" w:line="240" w:lineRule="auto"/>
        <w:rPr>
          <w:rFonts w:ascii="Times New Roman" w:hAnsi="Times New Roman" w:cs="Times New Roman"/>
          <w:sz w:val="24"/>
          <w:szCs w:val="24"/>
          <w:u w:val="single"/>
        </w:rPr>
      </w:pPr>
    </w:p>
    <w:p w:rsidR="005B4152" w:rsidRPr="00B10A33" w:rsidP="005B4152" w14:paraId="183D8731" w14:textId="1F3CC05C">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The EPA</w:t>
      </w:r>
      <w:r w:rsidRPr="00B10A33" w:rsidR="00E97782">
        <w:rPr>
          <w:rFonts w:ascii="Times New Roman" w:hAnsi="Times New Roman" w:cs="Times New Roman"/>
          <w:sz w:val="24"/>
          <w:szCs w:val="24"/>
        </w:rPr>
        <w:t xml:space="preserve"> spends a</w:t>
      </w:r>
      <w:r w:rsidRPr="00B10A33">
        <w:rPr>
          <w:rFonts w:ascii="Times New Roman" w:hAnsi="Times New Roman" w:cs="Times New Roman"/>
          <w:sz w:val="24"/>
          <w:szCs w:val="24"/>
        </w:rPr>
        <w:t xml:space="preserve"> significant portion of </w:t>
      </w:r>
      <w:r w:rsidRPr="00B10A33" w:rsidR="00E97782">
        <w:rPr>
          <w:rFonts w:ascii="Times New Roman" w:hAnsi="Times New Roman" w:cs="Times New Roman"/>
          <w:sz w:val="24"/>
          <w:szCs w:val="24"/>
        </w:rPr>
        <w:t xml:space="preserve">its emission compliance activity </w:t>
      </w:r>
      <w:r w:rsidRPr="00B10A33">
        <w:rPr>
          <w:rFonts w:ascii="Times New Roman" w:hAnsi="Times New Roman" w:cs="Times New Roman"/>
          <w:sz w:val="24"/>
          <w:szCs w:val="24"/>
        </w:rPr>
        <w:t xml:space="preserve">reviewing applications to verify that the correct vehicle tests have been conducted and necessary information </w:t>
      </w:r>
      <w:r w:rsidRPr="00B10A33" w:rsidR="006201D8">
        <w:rPr>
          <w:rFonts w:ascii="Times New Roman" w:hAnsi="Times New Roman" w:cs="Times New Roman"/>
          <w:sz w:val="24"/>
          <w:szCs w:val="24"/>
        </w:rPr>
        <w:t xml:space="preserve">has been </w:t>
      </w:r>
      <w:r w:rsidRPr="00B10A33">
        <w:rPr>
          <w:rFonts w:ascii="Times New Roman" w:hAnsi="Times New Roman" w:cs="Times New Roman"/>
          <w:sz w:val="24"/>
          <w:szCs w:val="24"/>
        </w:rPr>
        <w:t>submitted</w:t>
      </w:r>
      <w:r w:rsidRPr="00B10A33" w:rsidR="006201D8">
        <w:rPr>
          <w:rFonts w:ascii="Times New Roman" w:hAnsi="Times New Roman" w:cs="Times New Roman"/>
          <w:sz w:val="24"/>
          <w:szCs w:val="24"/>
        </w:rPr>
        <w:t xml:space="preserve"> by </w:t>
      </w:r>
      <w:r w:rsidRPr="00B10A33" w:rsidR="009F5406">
        <w:rPr>
          <w:rFonts w:ascii="Times New Roman" w:hAnsi="Times New Roman" w:cs="Times New Roman"/>
          <w:sz w:val="24"/>
          <w:szCs w:val="24"/>
        </w:rPr>
        <w:t>manufacturers</w:t>
      </w:r>
      <w:r w:rsidRPr="00B10A33" w:rsidR="006201D8">
        <w:rPr>
          <w:rFonts w:ascii="Times New Roman" w:hAnsi="Times New Roman" w:cs="Times New Roman"/>
          <w:sz w:val="24"/>
          <w:szCs w:val="24"/>
        </w:rPr>
        <w:t xml:space="preserve"> seeking certification</w:t>
      </w:r>
      <w:r w:rsidRPr="00B10A33">
        <w:rPr>
          <w:rFonts w:ascii="Times New Roman" w:hAnsi="Times New Roman" w:cs="Times New Roman"/>
          <w:sz w:val="24"/>
          <w:szCs w:val="24"/>
        </w:rPr>
        <w:t xml:space="preserve">. Amendments to applications must also be selectively reviewed for possible emissions impacts and manufacturers’ evaluations thereof. A part of this process involves determining if </w:t>
      </w:r>
      <w:r w:rsidRPr="00B10A33" w:rsidR="003D6E8C">
        <w:rPr>
          <w:rFonts w:ascii="Times New Roman" w:hAnsi="Times New Roman" w:cs="Times New Roman"/>
          <w:sz w:val="24"/>
          <w:szCs w:val="24"/>
        </w:rPr>
        <w:t>the use</w:t>
      </w:r>
      <w:r w:rsidRPr="00B10A33">
        <w:rPr>
          <w:rFonts w:ascii="Times New Roman" w:hAnsi="Times New Roman" w:cs="Times New Roman"/>
          <w:sz w:val="24"/>
          <w:szCs w:val="24"/>
        </w:rPr>
        <w:t xml:space="preserve"> of data from a previous model year is appropriate or if new testing will be required.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EPA also select</w:t>
      </w:r>
      <w:r w:rsidRPr="00B10A33" w:rsidR="0089351B">
        <w:rPr>
          <w:rFonts w:ascii="Times New Roman" w:hAnsi="Times New Roman" w:cs="Times New Roman"/>
          <w:sz w:val="24"/>
          <w:szCs w:val="24"/>
        </w:rPr>
        <w:t>s</w:t>
      </w:r>
      <w:r w:rsidRPr="00B10A33">
        <w:rPr>
          <w:rFonts w:ascii="Times New Roman" w:hAnsi="Times New Roman" w:cs="Times New Roman"/>
          <w:sz w:val="24"/>
          <w:szCs w:val="24"/>
        </w:rPr>
        <w:t xml:space="preserve"> </w:t>
      </w:r>
      <w:r w:rsidRPr="00B10A33">
        <w:rPr>
          <w:rFonts w:ascii="Times New Roman" w:hAnsi="Times New Roman" w:cs="Times New Roman"/>
          <w:sz w:val="24"/>
          <w:szCs w:val="24"/>
        </w:rPr>
        <w:t>a number of</w:t>
      </w:r>
      <w:r w:rsidRPr="00B10A33">
        <w:rPr>
          <w:rFonts w:ascii="Times New Roman" w:hAnsi="Times New Roman" w:cs="Times New Roman"/>
          <w:sz w:val="24"/>
          <w:szCs w:val="24"/>
        </w:rPr>
        <w:t xml:space="preserve"> tests for confirmation at </w:t>
      </w:r>
      <w:r w:rsidRPr="00B10A33" w:rsidR="00392E85">
        <w:rPr>
          <w:rFonts w:ascii="Times New Roman" w:hAnsi="Times New Roman" w:cs="Times New Roman"/>
          <w:sz w:val="24"/>
          <w:szCs w:val="24"/>
        </w:rPr>
        <w:t xml:space="preserve">the </w:t>
      </w:r>
      <w:r w:rsidRPr="00B10A33">
        <w:rPr>
          <w:rFonts w:ascii="Times New Roman" w:hAnsi="Times New Roman" w:cs="Times New Roman"/>
          <w:sz w:val="24"/>
          <w:szCs w:val="24"/>
        </w:rPr>
        <w:t>EPA’s own designated laboratory</w:t>
      </w:r>
      <w:r w:rsidRPr="00B10A33" w:rsidR="00830CE7">
        <w:rPr>
          <w:rFonts w:ascii="Times New Roman" w:hAnsi="Times New Roman" w:cs="Times New Roman"/>
          <w:sz w:val="24"/>
          <w:szCs w:val="24"/>
        </w:rPr>
        <w:t xml:space="preserve">.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EPA maintains the relevant reporting systems and records and analyzes relevant data for regulatory and oversight purposes.</w:t>
      </w:r>
    </w:p>
    <w:p w:rsidR="005B4152" w:rsidRPr="00B10A33" w:rsidP="005B4152" w14:paraId="0B780EA3" w14:textId="77777777">
      <w:pPr>
        <w:spacing w:after="0" w:line="240" w:lineRule="auto"/>
        <w:rPr>
          <w:rFonts w:ascii="Times New Roman" w:hAnsi="Times New Roman" w:cs="Times New Roman"/>
          <w:sz w:val="24"/>
          <w:szCs w:val="24"/>
        </w:rPr>
      </w:pPr>
    </w:p>
    <w:p w:rsidR="00D366A5" w:rsidRPr="00B10A33" w:rsidP="005B4152" w14:paraId="35EDCFAB" w14:textId="52E799E2">
      <w:pPr>
        <w:spacing w:after="0" w:line="240" w:lineRule="auto"/>
        <w:rPr>
          <w:rFonts w:ascii="Times New Roman" w:hAnsi="Times New Roman" w:cs="Times New Roman"/>
          <w:color w:val="000000" w:themeColor="text1"/>
          <w:sz w:val="24"/>
          <w:szCs w:val="24"/>
        </w:rPr>
      </w:pPr>
      <w:r w:rsidRPr="00B10A33">
        <w:rPr>
          <w:rFonts w:ascii="Times New Roman" w:hAnsi="Times New Roman" w:cs="Times New Roman"/>
          <w:sz w:val="24"/>
          <w:szCs w:val="24"/>
        </w:rPr>
        <w:t xml:space="preserve">The </w:t>
      </w:r>
      <w:r w:rsidRPr="00B10A33" w:rsidR="005B4152">
        <w:rPr>
          <w:rFonts w:ascii="Times New Roman" w:hAnsi="Times New Roman" w:cs="Times New Roman"/>
          <w:sz w:val="24"/>
          <w:szCs w:val="24"/>
        </w:rPr>
        <w:t xml:space="preserve">EPA prepares annual reports of emission test results submitted by the manufacturers. These and other reports, data and information are now available </w:t>
      </w:r>
      <w:r w:rsidRPr="00B10A33" w:rsidR="0089351B">
        <w:rPr>
          <w:rFonts w:ascii="Times New Roman" w:hAnsi="Times New Roman" w:cs="Times New Roman"/>
          <w:sz w:val="24"/>
          <w:szCs w:val="24"/>
        </w:rPr>
        <w:t xml:space="preserve">on </w:t>
      </w:r>
      <w:r w:rsidRPr="00B10A33" w:rsidR="00392E85">
        <w:rPr>
          <w:rFonts w:ascii="Times New Roman" w:hAnsi="Times New Roman" w:cs="Times New Roman"/>
          <w:sz w:val="24"/>
          <w:szCs w:val="24"/>
        </w:rPr>
        <w:t xml:space="preserve">the </w:t>
      </w:r>
      <w:r w:rsidRPr="00B10A33" w:rsidR="005B4152">
        <w:rPr>
          <w:rFonts w:ascii="Times New Roman" w:hAnsi="Times New Roman" w:cs="Times New Roman"/>
          <w:sz w:val="24"/>
          <w:szCs w:val="24"/>
        </w:rPr>
        <w:t>EPA’s website</w:t>
      </w:r>
      <w:r w:rsidRPr="00B10A33" w:rsidR="009F5406">
        <w:rPr>
          <w:rFonts w:ascii="Times New Roman" w:hAnsi="Times New Roman" w:cs="Times New Roman"/>
          <w:sz w:val="24"/>
          <w:szCs w:val="24"/>
        </w:rPr>
        <w:t xml:space="preserve"> </w:t>
      </w:r>
      <w:r w:rsidRPr="00B10A33" w:rsidR="00E850D7">
        <w:rPr>
          <w:rFonts w:ascii="Times New Roman" w:hAnsi="Times New Roman" w:cs="Times New Roman"/>
          <w:sz w:val="24"/>
          <w:szCs w:val="24"/>
        </w:rPr>
        <w:t xml:space="preserve">at </w:t>
      </w:r>
      <w:hyperlink r:id="rId9" w:history="1">
        <w:r w:rsidRPr="00457895" w:rsidR="006C5CE6">
          <w:rPr>
            <w:rStyle w:val="Hyperlink"/>
            <w:rFonts w:ascii="Times New Roman" w:hAnsi="Times New Roman" w:cs="Times New Roman"/>
          </w:rPr>
          <w:t>https://www.epa.gov/vehicles-and-engines</w:t>
        </w:r>
      </w:hyperlink>
      <w:r w:rsidRPr="00B10A33">
        <w:rPr>
          <w:rFonts w:ascii="Times New Roman" w:hAnsi="Times New Roman" w:cs="Times New Roman"/>
          <w:color w:val="000000" w:themeColor="text1"/>
          <w:sz w:val="24"/>
          <w:szCs w:val="24"/>
        </w:rPr>
        <w:t>.</w:t>
      </w:r>
    </w:p>
    <w:p w:rsidR="005B4152" w:rsidRPr="00B10A33" w:rsidP="005B4152" w14:paraId="133480EC" w14:textId="77777777">
      <w:pPr>
        <w:spacing w:after="0" w:line="240" w:lineRule="auto"/>
        <w:rPr>
          <w:rFonts w:ascii="Times New Roman" w:hAnsi="Times New Roman" w:cs="Times New Roman"/>
          <w:sz w:val="24"/>
          <w:szCs w:val="24"/>
        </w:rPr>
      </w:pPr>
    </w:p>
    <w:p w:rsidR="005B4152" w:rsidRPr="00B10A33" w:rsidP="005B4152" w14:paraId="6042AC85"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5(b) </w:t>
      </w:r>
      <w:r w:rsidRPr="00B10A33">
        <w:rPr>
          <w:rFonts w:ascii="Times New Roman" w:hAnsi="Times New Roman" w:cs="Times New Roman"/>
          <w:sz w:val="24"/>
          <w:szCs w:val="24"/>
          <w:u w:val="single"/>
        </w:rPr>
        <w:t>Collection Methodology and Management</w:t>
      </w:r>
    </w:p>
    <w:p w:rsidR="005B4152" w:rsidRPr="00B10A33" w:rsidP="005B4152" w14:paraId="78E15726" w14:textId="77777777">
      <w:pPr>
        <w:spacing w:after="0" w:line="240" w:lineRule="auto"/>
        <w:rPr>
          <w:rFonts w:ascii="Times New Roman" w:hAnsi="Times New Roman" w:cs="Times New Roman"/>
          <w:sz w:val="24"/>
          <w:szCs w:val="24"/>
          <w:u w:val="single"/>
        </w:rPr>
      </w:pPr>
    </w:p>
    <w:p w:rsidR="005B4152" w:rsidRPr="00B10A33" w:rsidP="005B4152" w14:paraId="77D93374" w14:textId="68FC2DE9">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All routine information (test results, vehicle descriptions, and all aspects of certification applications) is electronically transmitted directly from the manufacturers through the </w:t>
      </w:r>
      <w:r w:rsidRPr="00B10A33" w:rsidR="008C0137">
        <w:rPr>
          <w:rFonts w:ascii="Times New Roman" w:hAnsi="Times New Roman" w:cs="Times New Roman"/>
          <w:sz w:val="24"/>
          <w:szCs w:val="24"/>
        </w:rPr>
        <w:t>EV-CIS</w:t>
      </w:r>
      <w:r w:rsidRPr="00B10A33">
        <w:rPr>
          <w:rFonts w:ascii="Times New Roman" w:hAnsi="Times New Roman" w:cs="Times New Roman"/>
          <w:sz w:val="24"/>
          <w:szCs w:val="24"/>
        </w:rPr>
        <w:t xml:space="preserve"> system</w:t>
      </w:r>
      <w:r w:rsidRPr="00B10A33" w:rsidR="00830CE7">
        <w:rPr>
          <w:rFonts w:ascii="Times New Roman" w:hAnsi="Times New Roman" w:cs="Times New Roman"/>
          <w:sz w:val="24"/>
          <w:szCs w:val="24"/>
        </w:rPr>
        <w:t xml:space="preserve">. </w:t>
      </w:r>
    </w:p>
    <w:p w:rsidR="005B4152" w:rsidRPr="00B10A33" w:rsidP="005B4152" w14:paraId="6297E3A6" w14:textId="77777777">
      <w:pPr>
        <w:spacing w:after="0" w:line="240" w:lineRule="auto"/>
        <w:rPr>
          <w:rFonts w:ascii="Times New Roman" w:hAnsi="Times New Roman" w:cs="Times New Roman"/>
          <w:sz w:val="24"/>
          <w:szCs w:val="24"/>
        </w:rPr>
      </w:pPr>
    </w:p>
    <w:p w:rsidR="005B4152" w:rsidRPr="00B10A33" w:rsidP="005B4152" w14:paraId="7805308B" w14:textId="1C31C31F">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All information received by </w:t>
      </w:r>
      <w:r w:rsidRPr="00B10A33" w:rsidR="0057142D">
        <w:rPr>
          <w:rFonts w:ascii="Times New Roman" w:hAnsi="Times New Roman" w:cs="Times New Roman"/>
          <w:sz w:val="24"/>
          <w:szCs w:val="24"/>
        </w:rPr>
        <w:t xml:space="preserve">the </w:t>
      </w:r>
      <w:r w:rsidRPr="00B10A33">
        <w:rPr>
          <w:rFonts w:ascii="Times New Roman" w:hAnsi="Times New Roman" w:cs="Times New Roman"/>
          <w:sz w:val="24"/>
          <w:szCs w:val="24"/>
        </w:rPr>
        <w:t xml:space="preserve">EPA is subject to review. Data submitted electronically is in some cases automatically screened; for example, on-highway motorcycle test results that are close to </w:t>
      </w:r>
      <w:r w:rsidRPr="00B10A33" w:rsidR="003D6E8C">
        <w:rPr>
          <w:rFonts w:ascii="Times New Roman" w:hAnsi="Times New Roman" w:cs="Times New Roman"/>
          <w:sz w:val="24"/>
          <w:szCs w:val="24"/>
        </w:rPr>
        <w:t xml:space="preserve">the </w:t>
      </w:r>
      <w:r w:rsidRPr="00B10A33">
        <w:rPr>
          <w:rFonts w:ascii="Times New Roman" w:hAnsi="Times New Roman" w:cs="Times New Roman"/>
          <w:sz w:val="24"/>
          <w:szCs w:val="24"/>
        </w:rPr>
        <w:t xml:space="preserve">emission standard(s) are flagged for a more detailed review. Descriptions of the proposed product line are checked </w:t>
      </w:r>
      <w:r w:rsidRPr="00B10A33" w:rsidR="003D6E8C">
        <w:rPr>
          <w:rFonts w:ascii="Times New Roman" w:hAnsi="Times New Roman" w:cs="Times New Roman"/>
          <w:sz w:val="24"/>
          <w:szCs w:val="24"/>
        </w:rPr>
        <w:t xml:space="preserve">with </w:t>
      </w:r>
      <w:r w:rsidRPr="00B10A33" w:rsidR="008C0137">
        <w:rPr>
          <w:rFonts w:ascii="Times New Roman" w:hAnsi="Times New Roman" w:cs="Times New Roman"/>
          <w:sz w:val="24"/>
          <w:szCs w:val="24"/>
        </w:rPr>
        <w:t>EV-CIS</w:t>
      </w:r>
      <w:r w:rsidRPr="00B10A33">
        <w:rPr>
          <w:rFonts w:ascii="Times New Roman" w:hAnsi="Times New Roman" w:cs="Times New Roman"/>
          <w:sz w:val="24"/>
          <w:szCs w:val="24"/>
        </w:rPr>
        <w:t xml:space="preserve"> </w:t>
      </w:r>
      <w:r w:rsidRPr="00B10A33" w:rsidR="003D6E8C">
        <w:rPr>
          <w:rFonts w:ascii="Times New Roman" w:hAnsi="Times New Roman" w:cs="Times New Roman"/>
          <w:sz w:val="24"/>
          <w:szCs w:val="24"/>
        </w:rPr>
        <w:t xml:space="preserve">submissions to make certain </w:t>
      </w:r>
      <w:r w:rsidRPr="00B10A33">
        <w:rPr>
          <w:rFonts w:ascii="Times New Roman" w:hAnsi="Times New Roman" w:cs="Times New Roman"/>
          <w:sz w:val="24"/>
          <w:szCs w:val="24"/>
        </w:rPr>
        <w:t xml:space="preserve">that the appropriate vehicles have been tested. (The emission program relies on a combination of “worst case” and representative data to accomplish its goals.) </w:t>
      </w:r>
    </w:p>
    <w:p w:rsidR="005B4152" w:rsidRPr="00B10A33" w:rsidP="005B4152" w14:paraId="7A242B25" w14:textId="77777777">
      <w:pPr>
        <w:spacing w:after="0" w:line="240" w:lineRule="auto"/>
        <w:rPr>
          <w:rFonts w:ascii="Times New Roman" w:hAnsi="Times New Roman" w:cs="Times New Roman"/>
          <w:sz w:val="24"/>
          <w:szCs w:val="24"/>
        </w:rPr>
      </w:pPr>
    </w:p>
    <w:p w:rsidR="005B4152" w:rsidRPr="00B10A33" w:rsidP="005B4152" w14:paraId="589824F3"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5(c) </w:t>
      </w:r>
      <w:r w:rsidRPr="00B10A33">
        <w:rPr>
          <w:rFonts w:ascii="Times New Roman" w:hAnsi="Times New Roman" w:cs="Times New Roman"/>
          <w:sz w:val="24"/>
          <w:szCs w:val="24"/>
          <w:u w:val="single"/>
        </w:rPr>
        <w:t>Small Entity Flexibility</w:t>
      </w:r>
    </w:p>
    <w:p w:rsidR="005B4152" w:rsidRPr="00B10A33" w:rsidP="005B4152" w14:paraId="5FCE5784" w14:textId="77777777">
      <w:pPr>
        <w:spacing w:after="0" w:line="240" w:lineRule="auto"/>
        <w:rPr>
          <w:rFonts w:ascii="Times New Roman" w:hAnsi="Times New Roman" w:cs="Times New Roman"/>
          <w:sz w:val="24"/>
          <w:szCs w:val="24"/>
        </w:rPr>
      </w:pPr>
    </w:p>
    <w:p w:rsidR="005B4152" w:rsidRPr="00B10A33" w:rsidP="005B4152" w14:paraId="0A00499C" w14:textId="30FC922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The </w:t>
      </w:r>
      <w:r w:rsidRPr="00B10A33">
        <w:rPr>
          <w:rFonts w:ascii="Times New Roman" w:hAnsi="Times New Roman" w:cs="Times New Roman"/>
          <w:sz w:val="24"/>
          <w:szCs w:val="24"/>
        </w:rPr>
        <w:t>EPA has special procedures for small-volume on-highway motorcycle manufacturer certifications</w:t>
      </w:r>
      <w:r w:rsidRPr="00B10A33" w:rsidR="0085431B">
        <w:rPr>
          <w:rFonts w:ascii="Times New Roman" w:hAnsi="Times New Roman" w:cs="Times New Roman"/>
          <w:sz w:val="24"/>
          <w:szCs w:val="24"/>
        </w:rPr>
        <w:t xml:space="preserve"> (</w:t>
      </w:r>
      <w:r w:rsidRPr="00B10A33">
        <w:rPr>
          <w:rFonts w:ascii="Times New Roman" w:hAnsi="Times New Roman" w:cs="Times New Roman"/>
          <w:sz w:val="24"/>
          <w:szCs w:val="24"/>
        </w:rPr>
        <w:t>i.e., those whose total sales are less than 10,000 units per year</w:t>
      </w:r>
      <w:r w:rsidRPr="00B10A33" w:rsidR="0085431B">
        <w:rPr>
          <w:rFonts w:ascii="Times New Roman" w:hAnsi="Times New Roman" w:cs="Times New Roman"/>
          <w:sz w:val="24"/>
          <w:szCs w:val="24"/>
        </w:rPr>
        <w:t>)</w:t>
      </w:r>
      <w:r w:rsidRPr="00B10A33">
        <w:rPr>
          <w:rFonts w:ascii="Times New Roman" w:hAnsi="Times New Roman" w:cs="Times New Roman"/>
          <w:sz w:val="24"/>
          <w:szCs w:val="24"/>
        </w:rPr>
        <w:t xml:space="preserve">. These special procedures allow the </w:t>
      </w:r>
      <w:r w:rsidRPr="00B10A33" w:rsidR="003D6E8C">
        <w:rPr>
          <w:rFonts w:ascii="Times New Roman" w:hAnsi="Times New Roman" w:cs="Times New Roman"/>
          <w:sz w:val="24"/>
          <w:szCs w:val="24"/>
        </w:rPr>
        <w:t>“</w:t>
      </w:r>
      <w:r w:rsidRPr="00B10A33">
        <w:rPr>
          <w:rFonts w:ascii="Times New Roman" w:hAnsi="Times New Roman" w:cs="Times New Roman"/>
          <w:sz w:val="24"/>
          <w:szCs w:val="24"/>
        </w:rPr>
        <w:t>small-volume</w:t>
      </w:r>
      <w:r w:rsidRPr="00B10A33" w:rsidR="003D6E8C">
        <w:rPr>
          <w:rFonts w:ascii="Times New Roman" w:hAnsi="Times New Roman" w:cs="Times New Roman"/>
          <w:sz w:val="24"/>
          <w:szCs w:val="24"/>
        </w:rPr>
        <w:t>”</w:t>
      </w:r>
      <w:r w:rsidRPr="00B10A33">
        <w:rPr>
          <w:rFonts w:ascii="Times New Roman" w:hAnsi="Times New Roman" w:cs="Times New Roman"/>
          <w:sz w:val="24"/>
          <w:szCs w:val="24"/>
        </w:rPr>
        <w:t xml:space="preserve"> manufacturer to submit a simplified application for certification with respect to </w:t>
      </w:r>
      <w:r w:rsidRPr="00B10A33" w:rsidR="00EB553B">
        <w:rPr>
          <w:rFonts w:ascii="Times New Roman" w:hAnsi="Times New Roman" w:cs="Times New Roman"/>
          <w:sz w:val="24"/>
          <w:szCs w:val="24"/>
        </w:rPr>
        <w:t xml:space="preserve">vehicle </w:t>
      </w:r>
      <w:r w:rsidRPr="00B10A33">
        <w:rPr>
          <w:rFonts w:ascii="Times New Roman" w:hAnsi="Times New Roman" w:cs="Times New Roman"/>
          <w:sz w:val="24"/>
          <w:szCs w:val="24"/>
        </w:rPr>
        <w:t xml:space="preserve">durability demonstrations. These manufacturers also have reduced testing and reporting requirements. Further, by the very nature of their size, small volume manufacturers typically have very limited product lines. This characteristic both reduces the amount of information </w:t>
      </w:r>
      <w:r w:rsidRPr="00B10A33" w:rsidR="003D6E8C">
        <w:rPr>
          <w:rFonts w:ascii="Times New Roman" w:hAnsi="Times New Roman" w:cs="Times New Roman"/>
          <w:sz w:val="24"/>
          <w:szCs w:val="24"/>
        </w:rPr>
        <w:t xml:space="preserve">that </w:t>
      </w:r>
      <w:r w:rsidRPr="00B10A33">
        <w:rPr>
          <w:rFonts w:ascii="Times New Roman" w:hAnsi="Times New Roman" w:cs="Times New Roman"/>
          <w:sz w:val="24"/>
          <w:szCs w:val="24"/>
        </w:rPr>
        <w:t xml:space="preserve">must be submitted </w:t>
      </w:r>
      <w:r w:rsidRPr="00B10A33">
        <w:rPr>
          <w:rFonts w:ascii="Times New Roman" w:hAnsi="Times New Roman" w:cs="Times New Roman"/>
          <w:sz w:val="24"/>
          <w:szCs w:val="24"/>
        </w:rPr>
        <w:t>and also</w:t>
      </w:r>
      <w:r w:rsidRPr="00B10A33">
        <w:rPr>
          <w:rFonts w:ascii="Times New Roman" w:hAnsi="Times New Roman" w:cs="Times New Roman"/>
          <w:sz w:val="24"/>
          <w:szCs w:val="24"/>
        </w:rPr>
        <w:t xml:space="preserve"> simplifies the process of selecting the correct test vehicle(s). There are also several special provisions to reduce the regulatory burden on small highway motorcycle manufacturers</w:t>
      </w:r>
      <w:r w:rsidRPr="00B10A33" w:rsidR="003D6E8C">
        <w:rPr>
          <w:rFonts w:ascii="Times New Roman" w:hAnsi="Times New Roman" w:cs="Times New Roman"/>
          <w:sz w:val="24"/>
          <w:szCs w:val="24"/>
        </w:rPr>
        <w:t>;</w:t>
      </w:r>
      <w:r w:rsidRPr="00B10A33">
        <w:rPr>
          <w:rFonts w:ascii="Times New Roman" w:hAnsi="Times New Roman" w:cs="Times New Roman"/>
          <w:sz w:val="24"/>
          <w:szCs w:val="24"/>
        </w:rPr>
        <w:t xml:space="preserve"> in addition to hardship exemptions and </w:t>
      </w:r>
      <w:r w:rsidRPr="00B10A33" w:rsidR="007C6FB6">
        <w:rPr>
          <w:rFonts w:ascii="Times New Roman" w:hAnsi="Times New Roman" w:cs="Times New Roman"/>
          <w:sz w:val="24"/>
          <w:szCs w:val="24"/>
        </w:rPr>
        <w:t xml:space="preserve">extensions to meet </w:t>
      </w:r>
      <w:r w:rsidRPr="00B10A33">
        <w:rPr>
          <w:rFonts w:ascii="Times New Roman" w:hAnsi="Times New Roman" w:cs="Times New Roman"/>
          <w:sz w:val="24"/>
          <w:szCs w:val="24"/>
        </w:rPr>
        <w:t xml:space="preserve">program </w:t>
      </w:r>
      <w:r w:rsidRPr="00B10A33" w:rsidR="003160EE">
        <w:rPr>
          <w:rFonts w:ascii="Times New Roman" w:hAnsi="Times New Roman" w:cs="Times New Roman"/>
          <w:sz w:val="24"/>
          <w:szCs w:val="24"/>
        </w:rPr>
        <w:t>requirement</w:t>
      </w:r>
      <w:r w:rsidRPr="00B10A33">
        <w:rPr>
          <w:rFonts w:ascii="Times New Roman" w:hAnsi="Times New Roman" w:cs="Times New Roman"/>
          <w:sz w:val="24"/>
          <w:szCs w:val="24"/>
        </w:rPr>
        <w:t xml:space="preserve">s, manufacturers with sales </w:t>
      </w:r>
      <w:r w:rsidRPr="00B10A33" w:rsidR="006C5CE6">
        <w:rPr>
          <w:rFonts w:ascii="Times New Roman" w:hAnsi="Times New Roman" w:cs="Times New Roman"/>
          <w:sz w:val="24"/>
          <w:szCs w:val="24"/>
        </w:rPr>
        <w:t xml:space="preserve">of </w:t>
      </w:r>
      <w:r w:rsidRPr="00B10A33">
        <w:rPr>
          <w:rFonts w:ascii="Times New Roman" w:hAnsi="Times New Roman" w:cs="Times New Roman"/>
          <w:sz w:val="24"/>
          <w:szCs w:val="24"/>
        </w:rPr>
        <w:t xml:space="preserve">less than 3000 </w:t>
      </w:r>
      <w:r w:rsidRPr="00B10A33" w:rsidR="00841F8D">
        <w:rPr>
          <w:rFonts w:ascii="Times New Roman" w:hAnsi="Times New Roman" w:cs="Times New Roman"/>
          <w:sz w:val="24"/>
          <w:szCs w:val="24"/>
        </w:rPr>
        <w:t xml:space="preserve">units </w:t>
      </w:r>
      <w:r w:rsidRPr="00B10A33">
        <w:rPr>
          <w:rFonts w:ascii="Times New Roman" w:hAnsi="Times New Roman" w:cs="Times New Roman"/>
          <w:sz w:val="24"/>
          <w:szCs w:val="24"/>
        </w:rPr>
        <w:t>per year and 500 employees may use broader d</w:t>
      </w:r>
      <w:r w:rsidRPr="00B10A33" w:rsidR="00325928">
        <w:rPr>
          <w:rFonts w:ascii="Times New Roman" w:hAnsi="Times New Roman" w:cs="Times New Roman"/>
          <w:sz w:val="24"/>
          <w:szCs w:val="24"/>
        </w:rPr>
        <w:t>efinitions of engine categories</w:t>
      </w:r>
      <w:r w:rsidRPr="00B10A33">
        <w:rPr>
          <w:rFonts w:ascii="Times New Roman" w:hAnsi="Times New Roman" w:cs="Times New Roman"/>
          <w:sz w:val="24"/>
          <w:szCs w:val="24"/>
        </w:rPr>
        <w:t xml:space="preserve">. </w:t>
      </w:r>
    </w:p>
    <w:p w:rsidR="005B4152" w:rsidRPr="00B10A33" w:rsidP="005B4152" w14:paraId="4814934E" w14:textId="77777777">
      <w:pPr>
        <w:spacing w:after="0" w:line="240" w:lineRule="auto"/>
        <w:rPr>
          <w:rFonts w:ascii="Times New Roman" w:hAnsi="Times New Roman" w:cs="Times New Roman"/>
          <w:sz w:val="24"/>
          <w:szCs w:val="24"/>
        </w:rPr>
      </w:pPr>
    </w:p>
    <w:p w:rsidR="005B4152" w:rsidRPr="00B10A33" w:rsidP="005B4152" w14:paraId="5863E290"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5(d) </w:t>
      </w:r>
      <w:r w:rsidRPr="00B10A33">
        <w:rPr>
          <w:rFonts w:ascii="Times New Roman" w:hAnsi="Times New Roman" w:cs="Times New Roman"/>
          <w:sz w:val="24"/>
          <w:szCs w:val="24"/>
          <w:u w:val="single"/>
        </w:rPr>
        <w:t>Collection Schedule</w:t>
      </w:r>
    </w:p>
    <w:p w:rsidR="005B4152" w:rsidRPr="00B10A33" w:rsidP="005B4152" w14:paraId="0AF7963E" w14:textId="77777777">
      <w:pPr>
        <w:spacing w:after="0" w:line="240" w:lineRule="auto"/>
        <w:rPr>
          <w:rFonts w:ascii="Times New Roman" w:hAnsi="Times New Roman" w:cs="Times New Roman"/>
          <w:sz w:val="24"/>
          <w:szCs w:val="24"/>
        </w:rPr>
      </w:pPr>
    </w:p>
    <w:p w:rsidR="005B4152" w:rsidRPr="00B10A33" w:rsidP="005B4152" w14:paraId="574B7987" w14:textId="647FADFE">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Manufacturers must submit i</w:t>
      </w:r>
      <w:r w:rsidRPr="00B10A33">
        <w:rPr>
          <w:rFonts w:ascii="Times New Roman" w:hAnsi="Times New Roman" w:cs="Times New Roman"/>
          <w:sz w:val="24"/>
          <w:szCs w:val="24"/>
        </w:rPr>
        <w:t xml:space="preserve">nformation for each “model year” that </w:t>
      </w:r>
      <w:r w:rsidRPr="00B10A33">
        <w:rPr>
          <w:rFonts w:ascii="Times New Roman" w:hAnsi="Times New Roman" w:cs="Times New Roman"/>
          <w:sz w:val="24"/>
          <w:szCs w:val="24"/>
        </w:rPr>
        <w:t xml:space="preserve">it </w:t>
      </w:r>
      <w:r w:rsidRPr="00B10A33">
        <w:rPr>
          <w:rFonts w:ascii="Times New Roman" w:hAnsi="Times New Roman" w:cs="Times New Roman"/>
          <w:sz w:val="24"/>
          <w:szCs w:val="24"/>
        </w:rPr>
        <w:t xml:space="preserve">intends to build (or import) vehicles. Submission is by </w:t>
      </w:r>
      <w:r w:rsidRPr="00B10A33">
        <w:rPr>
          <w:rFonts w:ascii="Times New Roman" w:hAnsi="Times New Roman" w:cs="Times New Roman"/>
          <w:sz w:val="24"/>
          <w:szCs w:val="24"/>
        </w:rPr>
        <w:t>“</w:t>
      </w:r>
      <w:r w:rsidRPr="00B10A33">
        <w:rPr>
          <w:rFonts w:ascii="Times New Roman" w:hAnsi="Times New Roman" w:cs="Times New Roman"/>
          <w:sz w:val="24"/>
          <w:szCs w:val="24"/>
        </w:rPr>
        <w:t>engine family</w:t>
      </w:r>
      <w:r w:rsidRPr="00B10A33">
        <w:rPr>
          <w:rFonts w:ascii="Times New Roman" w:hAnsi="Times New Roman" w:cs="Times New Roman"/>
          <w:sz w:val="24"/>
          <w:szCs w:val="24"/>
        </w:rPr>
        <w:t>”</w:t>
      </w:r>
      <w:r w:rsidRPr="00B10A33" w:rsidR="003D6E8C">
        <w:rPr>
          <w:rFonts w:ascii="Times New Roman" w:hAnsi="Times New Roman" w:cs="Times New Roman"/>
          <w:sz w:val="24"/>
          <w:szCs w:val="24"/>
        </w:rPr>
        <w:t xml:space="preserve"> designation.</w:t>
      </w:r>
      <w:r w:rsidRPr="00B10A33">
        <w:rPr>
          <w:rFonts w:ascii="Times New Roman" w:hAnsi="Times New Roman" w:cs="Times New Roman"/>
          <w:sz w:val="24"/>
          <w:szCs w:val="24"/>
        </w:rPr>
        <w:t xml:space="preserve"> </w:t>
      </w:r>
      <w:r w:rsidRPr="00B10A33" w:rsidR="00A02242">
        <w:rPr>
          <w:rFonts w:ascii="Times New Roman" w:hAnsi="Times New Roman" w:cs="Times New Roman"/>
          <w:sz w:val="24"/>
          <w:szCs w:val="24"/>
        </w:rPr>
        <w:t>A “model year” approximates when a product is produced</w:t>
      </w:r>
      <w:r w:rsidRPr="00B10A33" w:rsidR="008B03F3">
        <w:rPr>
          <w:rFonts w:ascii="Times New Roman" w:hAnsi="Times New Roman" w:cs="Times New Roman"/>
          <w:sz w:val="24"/>
          <w:szCs w:val="24"/>
        </w:rPr>
        <w:t xml:space="preserve"> for sale</w:t>
      </w:r>
      <w:r w:rsidRPr="00B10A33" w:rsidR="00A02242">
        <w:rPr>
          <w:rFonts w:ascii="Times New Roman" w:hAnsi="Times New Roman" w:cs="Times New Roman"/>
          <w:sz w:val="24"/>
          <w:szCs w:val="24"/>
        </w:rPr>
        <w:t xml:space="preserve">. </w:t>
      </w:r>
      <w:r w:rsidRPr="00B10A33" w:rsidR="00402331">
        <w:rPr>
          <w:rFonts w:ascii="Times New Roman" w:hAnsi="Times New Roman" w:cs="Times New Roman"/>
          <w:sz w:val="24"/>
          <w:szCs w:val="24"/>
        </w:rPr>
        <w:t>Engines and v</w:t>
      </w:r>
      <w:r w:rsidRPr="00B10A33" w:rsidR="00A02242">
        <w:rPr>
          <w:rFonts w:ascii="Times New Roman" w:hAnsi="Times New Roman" w:cs="Times New Roman"/>
          <w:sz w:val="24"/>
          <w:szCs w:val="24"/>
        </w:rPr>
        <w:t>ehicles can be designated the next model-year if manufactured by Jan</w:t>
      </w:r>
      <w:r w:rsidRPr="00B10A33" w:rsidR="00402331">
        <w:rPr>
          <w:rFonts w:ascii="Times New Roman" w:hAnsi="Times New Roman" w:cs="Times New Roman"/>
          <w:sz w:val="24"/>
          <w:szCs w:val="24"/>
        </w:rPr>
        <w:t>uary</w:t>
      </w:r>
      <w:r w:rsidRPr="00B10A33" w:rsidR="00A02242">
        <w:rPr>
          <w:rFonts w:ascii="Times New Roman" w:hAnsi="Times New Roman" w:cs="Times New Roman"/>
          <w:sz w:val="24"/>
          <w:szCs w:val="24"/>
        </w:rPr>
        <w:t xml:space="preserve"> </w:t>
      </w:r>
      <w:r w:rsidRPr="00B10A33" w:rsidR="000119A4">
        <w:rPr>
          <w:rFonts w:ascii="Times New Roman" w:hAnsi="Times New Roman" w:cs="Times New Roman"/>
          <w:sz w:val="24"/>
          <w:szCs w:val="24"/>
        </w:rPr>
        <w:t>2</w:t>
      </w:r>
      <w:r w:rsidRPr="00B10A33" w:rsidR="00A02242">
        <w:rPr>
          <w:rFonts w:ascii="Times New Roman" w:hAnsi="Times New Roman" w:cs="Times New Roman"/>
          <w:sz w:val="24"/>
          <w:szCs w:val="24"/>
        </w:rPr>
        <w:t xml:space="preserve"> of the preceding calendar-year. For instance, a 201</w:t>
      </w:r>
      <w:r w:rsidRPr="00B10A33" w:rsidR="003D6E8C">
        <w:rPr>
          <w:rFonts w:ascii="Times New Roman" w:hAnsi="Times New Roman" w:cs="Times New Roman"/>
          <w:sz w:val="24"/>
          <w:szCs w:val="24"/>
        </w:rPr>
        <w:t>9</w:t>
      </w:r>
      <w:r w:rsidRPr="00B10A33" w:rsidR="00A02242">
        <w:rPr>
          <w:rFonts w:ascii="Times New Roman" w:hAnsi="Times New Roman" w:cs="Times New Roman"/>
          <w:sz w:val="24"/>
          <w:szCs w:val="24"/>
        </w:rPr>
        <w:t xml:space="preserve"> model year engine or vehicle can be produced </w:t>
      </w:r>
      <w:r w:rsidRPr="00B10A33" w:rsidR="00402331">
        <w:rPr>
          <w:rFonts w:ascii="Times New Roman" w:hAnsi="Times New Roman" w:cs="Times New Roman"/>
          <w:sz w:val="24"/>
          <w:szCs w:val="24"/>
        </w:rPr>
        <w:t>from</w:t>
      </w:r>
      <w:r w:rsidRPr="00B10A33" w:rsidR="00A02242">
        <w:rPr>
          <w:rFonts w:ascii="Times New Roman" w:hAnsi="Times New Roman" w:cs="Times New Roman"/>
          <w:sz w:val="24"/>
          <w:szCs w:val="24"/>
        </w:rPr>
        <w:t xml:space="preserve"> January 2, </w:t>
      </w:r>
      <w:r w:rsidRPr="00B10A33" w:rsidR="00A02242">
        <w:rPr>
          <w:rFonts w:ascii="Times New Roman" w:hAnsi="Times New Roman" w:cs="Times New Roman"/>
          <w:sz w:val="24"/>
          <w:szCs w:val="24"/>
        </w:rPr>
        <w:t>201</w:t>
      </w:r>
      <w:r w:rsidRPr="00B10A33" w:rsidR="003D6E8C">
        <w:rPr>
          <w:rFonts w:ascii="Times New Roman" w:hAnsi="Times New Roman" w:cs="Times New Roman"/>
          <w:sz w:val="24"/>
          <w:szCs w:val="24"/>
        </w:rPr>
        <w:t>8</w:t>
      </w:r>
      <w:r w:rsidRPr="00B10A33" w:rsidR="00402331">
        <w:rPr>
          <w:rFonts w:ascii="Times New Roman" w:hAnsi="Times New Roman" w:cs="Times New Roman"/>
          <w:sz w:val="24"/>
          <w:szCs w:val="24"/>
        </w:rPr>
        <w:t xml:space="preserve"> through December 31, 201</w:t>
      </w:r>
      <w:r w:rsidRPr="00B10A33" w:rsidR="003D6E8C">
        <w:rPr>
          <w:rFonts w:ascii="Times New Roman" w:hAnsi="Times New Roman" w:cs="Times New Roman"/>
          <w:sz w:val="24"/>
          <w:szCs w:val="24"/>
        </w:rPr>
        <w:t>9</w:t>
      </w:r>
      <w:r w:rsidRPr="00B10A33">
        <w:rPr>
          <w:rFonts w:ascii="Times New Roman" w:hAnsi="Times New Roman" w:cs="Times New Roman"/>
          <w:sz w:val="24"/>
          <w:szCs w:val="24"/>
        </w:rPr>
        <w:t xml:space="preserve">. If a product is unchanged between model years, much of the information can be </w:t>
      </w:r>
      <w:r w:rsidRPr="00B10A33" w:rsidR="00922047">
        <w:rPr>
          <w:rFonts w:ascii="Times New Roman" w:hAnsi="Times New Roman" w:cs="Times New Roman"/>
          <w:sz w:val="24"/>
          <w:szCs w:val="24"/>
        </w:rPr>
        <w:t>used (or “</w:t>
      </w:r>
      <w:r w:rsidRPr="00B10A33">
        <w:rPr>
          <w:rFonts w:ascii="Times New Roman" w:hAnsi="Times New Roman" w:cs="Times New Roman"/>
          <w:sz w:val="24"/>
          <w:szCs w:val="24"/>
        </w:rPr>
        <w:t>carried over</w:t>
      </w:r>
      <w:r w:rsidRPr="00B10A33" w:rsidR="00922047">
        <w:rPr>
          <w:rFonts w:ascii="Times New Roman" w:hAnsi="Times New Roman" w:cs="Times New Roman"/>
          <w:sz w:val="24"/>
          <w:szCs w:val="24"/>
        </w:rPr>
        <w:t>”)</w:t>
      </w:r>
      <w:r w:rsidRPr="00B10A33" w:rsidR="003D6E8C">
        <w:rPr>
          <w:rFonts w:ascii="Times New Roman" w:hAnsi="Times New Roman" w:cs="Times New Roman"/>
          <w:sz w:val="24"/>
          <w:szCs w:val="24"/>
        </w:rPr>
        <w:t xml:space="preserve"> to the new model year application</w:t>
      </w:r>
      <w:r w:rsidRPr="00B10A33">
        <w:rPr>
          <w:rFonts w:ascii="Times New Roman" w:hAnsi="Times New Roman" w:cs="Times New Roman"/>
          <w:sz w:val="24"/>
          <w:szCs w:val="24"/>
        </w:rPr>
        <w:t xml:space="preserve">. The collection frequency and burden are determined to a large extent by the manufacturer’s marketing and production plans. However, as required by law, some submission </w:t>
      </w:r>
      <w:r w:rsidRPr="00B10A33" w:rsidR="00033094">
        <w:rPr>
          <w:rFonts w:ascii="Times New Roman" w:hAnsi="Times New Roman" w:cs="Times New Roman"/>
          <w:sz w:val="24"/>
          <w:szCs w:val="24"/>
        </w:rPr>
        <w:t xml:space="preserve">of </w:t>
      </w:r>
      <w:r w:rsidRPr="00B10A33" w:rsidR="00A6737B">
        <w:rPr>
          <w:rFonts w:ascii="Times New Roman" w:hAnsi="Times New Roman" w:cs="Times New Roman"/>
          <w:sz w:val="24"/>
          <w:szCs w:val="24"/>
        </w:rPr>
        <w:t xml:space="preserve">information </w:t>
      </w:r>
      <w:r w:rsidRPr="00B10A33">
        <w:rPr>
          <w:rFonts w:ascii="Times New Roman" w:hAnsi="Times New Roman" w:cs="Times New Roman"/>
          <w:sz w:val="24"/>
          <w:szCs w:val="24"/>
        </w:rPr>
        <w:t xml:space="preserve">is required for each model year’s production. </w:t>
      </w:r>
    </w:p>
    <w:p w:rsidR="00325928" w:rsidRPr="00B10A33" w:rsidP="005B4152" w14:paraId="058201F2" w14:textId="77777777">
      <w:pPr>
        <w:spacing w:after="0" w:line="240" w:lineRule="auto"/>
        <w:rPr>
          <w:rFonts w:ascii="Times New Roman" w:hAnsi="Times New Roman" w:cs="Times New Roman"/>
          <w:sz w:val="24"/>
          <w:szCs w:val="24"/>
        </w:rPr>
      </w:pPr>
    </w:p>
    <w:p w:rsidR="00325928" w:rsidRPr="00B10A33" w:rsidP="006E6BCD" w14:paraId="6791427B" w14:textId="77777777">
      <w:pPr>
        <w:keepNext/>
        <w:keepLines/>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u w:val="single"/>
        </w:rPr>
        <w:t>Section 6: Estimating the Burden and Cost of the Collection</w:t>
      </w:r>
    </w:p>
    <w:p w:rsidR="00E866D1" w:rsidRPr="00B10A33" w:rsidP="006E6BCD" w14:paraId="4AB050E9" w14:textId="77777777">
      <w:pPr>
        <w:keepNext/>
        <w:keepLines/>
        <w:spacing w:after="0" w:line="240" w:lineRule="auto"/>
        <w:rPr>
          <w:rFonts w:ascii="Times New Roman" w:hAnsi="Times New Roman" w:cs="Times New Roman"/>
          <w:sz w:val="24"/>
          <w:szCs w:val="24"/>
        </w:rPr>
      </w:pPr>
    </w:p>
    <w:p w:rsidR="00325928" w:rsidRPr="00B10A33" w:rsidP="006E6BCD" w14:paraId="691CC785" w14:textId="77777777">
      <w:pPr>
        <w:keepNext/>
        <w:keepLines/>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6(a) </w:t>
      </w:r>
      <w:r w:rsidRPr="00B10A33">
        <w:rPr>
          <w:rFonts w:ascii="Times New Roman" w:hAnsi="Times New Roman" w:cs="Times New Roman"/>
          <w:sz w:val="24"/>
          <w:szCs w:val="24"/>
          <w:u w:val="single"/>
        </w:rPr>
        <w:t xml:space="preserve">Estimating Respondent Burden </w:t>
      </w:r>
    </w:p>
    <w:p w:rsidR="00325928" w:rsidRPr="00B10A33" w:rsidP="006E6BCD" w14:paraId="101F2118" w14:textId="77777777">
      <w:pPr>
        <w:keepNext/>
        <w:keepLines/>
        <w:spacing w:after="0" w:line="240" w:lineRule="auto"/>
        <w:rPr>
          <w:rFonts w:ascii="Times New Roman" w:hAnsi="Times New Roman" w:cs="Times New Roman"/>
          <w:sz w:val="24"/>
          <w:szCs w:val="24"/>
        </w:rPr>
      </w:pPr>
    </w:p>
    <w:p w:rsidR="00325928" w:rsidRPr="00B10A33" w:rsidP="006E6BCD" w14:paraId="15455F27" w14:textId="2B2EE291">
      <w:pPr>
        <w:keepNext/>
        <w:keepLines/>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The burden estimates below consider the </w:t>
      </w:r>
      <w:r w:rsidRPr="00B10A33" w:rsidR="00C06FD0">
        <w:rPr>
          <w:rFonts w:ascii="Times New Roman" w:hAnsi="Times New Roman" w:cs="Times New Roman"/>
          <w:sz w:val="24"/>
          <w:szCs w:val="24"/>
        </w:rPr>
        <w:t>HMC</w:t>
      </w:r>
      <w:r w:rsidRPr="00B10A33">
        <w:rPr>
          <w:rFonts w:ascii="Times New Roman" w:hAnsi="Times New Roman" w:cs="Times New Roman"/>
          <w:sz w:val="24"/>
          <w:szCs w:val="24"/>
        </w:rPr>
        <w:t xml:space="preserve"> program described above in section 2(b). </w:t>
      </w:r>
      <w:r w:rsidRPr="00B10A33" w:rsidR="007B5EA4">
        <w:rPr>
          <w:rFonts w:ascii="Times New Roman" w:hAnsi="Times New Roman" w:cs="Times New Roman"/>
          <w:sz w:val="24"/>
          <w:szCs w:val="24"/>
        </w:rPr>
        <w:t>Detailed burden and cost calculation spreadsheets are also provided in the supporting document “</w:t>
      </w:r>
      <w:r w:rsidRPr="00B10A33" w:rsidR="004A715E">
        <w:rPr>
          <w:rFonts w:ascii="Times New Roman" w:hAnsi="Times New Roman" w:cs="Times New Roman"/>
          <w:sz w:val="24"/>
          <w:szCs w:val="24"/>
        </w:rPr>
        <w:t xml:space="preserve">Burden </w:t>
      </w:r>
      <w:r w:rsidRPr="00B10A33" w:rsidR="007B5EA4">
        <w:rPr>
          <w:rFonts w:ascii="Times New Roman" w:hAnsi="Times New Roman" w:cs="Times New Roman"/>
          <w:sz w:val="24"/>
          <w:szCs w:val="24"/>
        </w:rPr>
        <w:t xml:space="preserve">and Cost Calculations.”  </w:t>
      </w:r>
    </w:p>
    <w:p w:rsidR="00325928" w:rsidRPr="00B10A33" w:rsidP="00325928" w14:paraId="544484FD" w14:textId="77777777">
      <w:pPr>
        <w:spacing w:after="0" w:line="240" w:lineRule="auto"/>
        <w:rPr>
          <w:rFonts w:ascii="Times New Roman" w:hAnsi="Times New Roman" w:cs="Times New Roman"/>
          <w:sz w:val="24"/>
          <w:szCs w:val="24"/>
        </w:rPr>
      </w:pPr>
    </w:p>
    <w:p w:rsidR="00325928" w:rsidRPr="00B10A33" w:rsidP="00325928" w14:paraId="63AEADB5" w14:textId="1CF67E54">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Within the </w:t>
      </w:r>
      <w:r w:rsidRPr="00B10A33" w:rsidR="00C06FD0">
        <w:rPr>
          <w:rFonts w:ascii="Times New Roman" w:hAnsi="Times New Roman" w:cs="Times New Roman"/>
          <w:sz w:val="24"/>
          <w:szCs w:val="24"/>
        </w:rPr>
        <w:t>HMC</w:t>
      </w:r>
      <w:r w:rsidRPr="00B10A33">
        <w:rPr>
          <w:rFonts w:ascii="Times New Roman" w:hAnsi="Times New Roman" w:cs="Times New Roman"/>
          <w:sz w:val="24"/>
          <w:szCs w:val="24"/>
        </w:rPr>
        <w:t xml:space="preserve"> program, the estimation of respondent burden hours and respondent costs essentially breaks down as testing costs, which constitute </w:t>
      </w:r>
      <w:r w:rsidRPr="00B10A33">
        <w:rPr>
          <w:rFonts w:ascii="Times New Roman" w:hAnsi="Times New Roman" w:cs="Times New Roman"/>
          <w:sz w:val="24"/>
          <w:szCs w:val="24"/>
        </w:rPr>
        <w:t>the majority of</w:t>
      </w:r>
      <w:r w:rsidRPr="00B10A33">
        <w:rPr>
          <w:rFonts w:ascii="Times New Roman" w:hAnsi="Times New Roman" w:cs="Times New Roman"/>
          <w:sz w:val="24"/>
          <w:szCs w:val="24"/>
        </w:rPr>
        <w:t xml:space="preserve"> Operations and Maintenance; testing facilities costs, which constitute the majority of Startup and Capital; the labor hours to conduct the tests; and additional costs and hours associated with other reporting and recordkeeping burdens</w:t>
      </w:r>
      <w:r w:rsidRPr="00B10A33" w:rsidR="00BA3D4D">
        <w:rPr>
          <w:rFonts w:ascii="Times New Roman" w:hAnsi="Times New Roman" w:cs="Times New Roman"/>
          <w:sz w:val="24"/>
          <w:szCs w:val="24"/>
        </w:rPr>
        <w:t xml:space="preserve">, including amendments to a certificate of conformity and </w:t>
      </w:r>
      <w:r w:rsidRPr="00B10A33" w:rsidR="00E64AEE">
        <w:rPr>
          <w:rFonts w:ascii="Times New Roman" w:hAnsi="Times New Roman" w:cs="Times New Roman"/>
          <w:sz w:val="24"/>
          <w:szCs w:val="24"/>
        </w:rPr>
        <w:t>compliance testing responses</w:t>
      </w:r>
      <w:r w:rsidRPr="00B10A33">
        <w:rPr>
          <w:rFonts w:ascii="Times New Roman" w:hAnsi="Times New Roman" w:cs="Times New Roman"/>
          <w:sz w:val="24"/>
          <w:szCs w:val="24"/>
        </w:rPr>
        <w:t xml:space="preserve">. In addition, some features are specific to </w:t>
      </w:r>
      <w:r w:rsidRPr="00B10A33">
        <w:rPr>
          <w:rFonts w:ascii="Times New Roman" w:hAnsi="Times New Roman" w:cs="Times New Roman"/>
          <w:sz w:val="24"/>
          <w:szCs w:val="24"/>
        </w:rPr>
        <w:t>particular programs</w:t>
      </w:r>
      <w:r w:rsidRPr="00B10A33">
        <w:rPr>
          <w:rFonts w:ascii="Times New Roman" w:hAnsi="Times New Roman" w:cs="Times New Roman"/>
          <w:sz w:val="24"/>
          <w:szCs w:val="24"/>
        </w:rPr>
        <w:t xml:space="preserve"> (notably permeation testing). </w:t>
      </w:r>
    </w:p>
    <w:p w:rsidR="00325928" w:rsidRPr="00B10A33" w:rsidP="00325928" w14:paraId="3F4AE3C0" w14:textId="77777777">
      <w:pPr>
        <w:spacing w:after="0" w:line="240" w:lineRule="auto"/>
        <w:rPr>
          <w:rFonts w:ascii="Times New Roman" w:hAnsi="Times New Roman" w:cs="Times New Roman"/>
          <w:sz w:val="24"/>
          <w:szCs w:val="24"/>
        </w:rPr>
      </w:pPr>
    </w:p>
    <w:p w:rsidR="00325928" w:rsidRPr="00B10A33" w:rsidP="004A715E" w14:paraId="2DB5D701" w14:textId="1B6EE13D">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The present burden estimate continues the process of updating based on a renewed examination of the burdens, consultations with industry, and consultations with program administrators within the EPA. </w:t>
      </w:r>
      <w:r w:rsidRPr="00B10A33">
        <w:rPr>
          <w:rFonts w:ascii="Times New Roman" w:hAnsi="Times New Roman" w:cs="Times New Roman"/>
          <w:sz w:val="24"/>
          <w:szCs w:val="24"/>
        </w:rPr>
        <w:t xml:space="preserve">Much of the burden change between this ICR and its predecessor is a </w:t>
      </w:r>
      <w:r w:rsidRPr="00B10A33">
        <w:rPr>
          <w:rFonts w:ascii="Times New Roman" w:hAnsi="Times New Roman" w:cs="Times New Roman"/>
          <w:sz w:val="24"/>
          <w:szCs w:val="24"/>
        </w:rPr>
        <w:t xml:space="preserve">results of </w:t>
      </w:r>
      <w:r w:rsidRPr="00B10A33" w:rsidR="006C5CE6">
        <w:rPr>
          <w:rFonts w:ascii="Times New Roman" w:hAnsi="Times New Roman" w:cs="Times New Roman"/>
          <w:sz w:val="24"/>
          <w:szCs w:val="24"/>
        </w:rPr>
        <w:t xml:space="preserve">updated </w:t>
      </w:r>
      <w:r w:rsidRPr="00B10A33">
        <w:rPr>
          <w:rFonts w:ascii="Times New Roman" w:hAnsi="Times New Roman" w:cs="Times New Roman"/>
          <w:sz w:val="24"/>
          <w:szCs w:val="24"/>
        </w:rPr>
        <w:t>estimates</w:t>
      </w:r>
      <w:r w:rsidRPr="00B10A33">
        <w:rPr>
          <w:rFonts w:ascii="Times New Roman" w:hAnsi="Times New Roman" w:cs="Times New Roman"/>
          <w:sz w:val="24"/>
          <w:szCs w:val="24"/>
        </w:rPr>
        <w:t xml:space="preserve"> </w:t>
      </w:r>
      <w:r w:rsidRPr="00B10A33">
        <w:rPr>
          <w:rFonts w:ascii="Times New Roman" w:hAnsi="Times New Roman" w:cs="Times New Roman"/>
          <w:sz w:val="24"/>
          <w:szCs w:val="24"/>
        </w:rPr>
        <w:t xml:space="preserve">for </w:t>
      </w:r>
      <w:r w:rsidRPr="00B10A33">
        <w:rPr>
          <w:rFonts w:ascii="Times New Roman" w:hAnsi="Times New Roman" w:cs="Times New Roman"/>
          <w:sz w:val="24"/>
          <w:szCs w:val="24"/>
        </w:rPr>
        <w:t>the number of engine families certified and tested</w:t>
      </w:r>
      <w:r w:rsidRPr="00B10A33" w:rsidR="007B5EA4">
        <w:rPr>
          <w:rFonts w:ascii="Times New Roman" w:hAnsi="Times New Roman" w:cs="Times New Roman"/>
          <w:sz w:val="24"/>
          <w:szCs w:val="24"/>
        </w:rPr>
        <w:t xml:space="preserve">. </w:t>
      </w:r>
      <w:r w:rsidRPr="00B10A33">
        <w:rPr>
          <w:rFonts w:ascii="Times New Roman" w:hAnsi="Times New Roman" w:cs="Times New Roman"/>
          <w:sz w:val="24"/>
          <w:szCs w:val="24"/>
        </w:rPr>
        <w:t>The</w:t>
      </w:r>
      <w:r w:rsidRPr="00B10A33">
        <w:rPr>
          <w:rFonts w:ascii="Times New Roman" w:hAnsi="Times New Roman" w:cs="Times New Roman"/>
          <w:sz w:val="24"/>
          <w:szCs w:val="24"/>
        </w:rPr>
        <w:t xml:space="preserve">se updates were informed by </w:t>
      </w:r>
      <w:r w:rsidRPr="00B10A33">
        <w:rPr>
          <w:rFonts w:ascii="Times New Roman" w:hAnsi="Times New Roman" w:cs="Times New Roman"/>
          <w:sz w:val="24"/>
          <w:szCs w:val="24"/>
        </w:rPr>
        <w:t>computer query results for model year 20</w:t>
      </w:r>
      <w:r w:rsidRPr="00B10A33" w:rsidR="00572070">
        <w:rPr>
          <w:rFonts w:ascii="Times New Roman" w:hAnsi="Times New Roman" w:cs="Times New Roman"/>
          <w:sz w:val="24"/>
          <w:szCs w:val="24"/>
        </w:rPr>
        <w:t>20</w:t>
      </w:r>
      <w:r w:rsidRPr="00B10A33" w:rsidR="00E64AEE">
        <w:rPr>
          <w:rFonts w:ascii="Times New Roman" w:hAnsi="Times New Roman" w:cs="Times New Roman"/>
          <w:sz w:val="24"/>
          <w:szCs w:val="24"/>
        </w:rPr>
        <w:t xml:space="preserve"> </w:t>
      </w:r>
      <w:r w:rsidRPr="00B10A33" w:rsidR="00572070">
        <w:rPr>
          <w:rFonts w:ascii="Times New Roman" w:hAnsi="Times New Roman" w:cs="Times New Roman"/>
          <w:sz w:val="24"/>
          <w:szCs w:val="24"/>
        </w:rPr>
        <w:t xml:space="preserve">through 2022 </w:t>
      </w:r>
      <w:r w:rsidRPr="00B10A33" w:rsidR="00E64AEE">
        <w:rPr>
          <w:rFonts w:ascii="Times New Roman" w:hAnsi="Times New Roman" w:cs="Times New Roman"/>
          <w:sz w:val="24"/>
          <w:szCs w:val="24"/>
        </w:rPr>
        <w:t>and additional improvements from EPA’s EV-CIS system</w:t>
      </w:r>
      <w:r w:rsidRPr="00B10A33">
        <w:rPr>
          <w:rFonts w:ascii="Times New Roman" w:hAnsi="Times New Roman" w:cs="Times New Roman"/>
          <w:sz w:val="24"/>
          <w:szCs w:val="24"/>
        </w:rPr>
        <w:t xml:space="preserve">. </w:t>
      </w:r>
      <w:r w:rsidRPr="00B10A33" w:rsidR="00CD50A0">
        <w:rPr>
          <w:rFonts w:ascii="Times New Roman" w:hAnsi="Times New Roman" w:cs="Times New Roman"/>
          <w:sz w:val="24"/>
          <w:szCs w:val="24"/>
        </w:rPr>
        <w:t>At the time of this ICR renewal preparation</w:t>
      </w:r>
      <w:r w:rsidRPr="00B10A33" w:rsidR="00E64AEE">
        <w:rPr>
          <w:rFonts w:ascii="Times New Roman" w:hAnsi="Times New Roman" w:cs="Times New Roman"/>
          <w:sz w:val="24"/>
          <w:szCs w:val="24"/>
        </w:rPr>
        <w:t>,</w:t>
      </w:r>
      <w:r w:rsidRPr="00B10A33" w:rsidR="00CD50A0">
        <w:rPr>
          <w:rFonts w:ascii="Times New Roman" w:hAnsi="Times New Roman" w:cs="Times New Roman"/>
          <w:sz w:val="24"/>
          <w:szCs w:val="24"/>
        </w:rPr>
        <w:t xml:space="preserve"> </w:t>
      </w:r>
      <w:r w:rsidRPr="00B10A33">
        <w:rPr>
          <w:rFonts w:ascii="Times New Roman" w:hAnsi="Times New Roman" w:cs="Times New Roman"/>
          <w:sz w:val="24"/>
          <w:szCs w:val="24"/>
        </w:rPr>
        <w:t>Model Year 20</w:t>
      </w:r>
      <w:r w:rsidRPr="00B10A33" w:rsidR="00572070">
        <w:rPr>
          <w:rFonts w:ascii="Times New Roman" w:hAnsi="Times New Roman" w:cs="Times New Roman"/>
          <w:sz w:val="24"/>
          <w:szCs w:val="24"/>
        </w:rPr>
        <w:t>23</w:t>
      </w:r>
      <w:r w:rsidRPr="00B10A33">
        <w:rPr>
          <w:rFonts w:ascii="Times New Roman" w:hAnsi="Times New Roman" w:cs="Times New Roman"/>
          <w:sz w:val="24"/>
          <w:szCs w:val="24"/>
        </w:rPr>
        <w:t xml:space="preserve"> data </w:t>
      </w:r>
      <w:r w:rsidRPr="00B10A33" w:rsidR="00CD50A0">
        <w:rPr>
          <w:rFonts w:ascii="Times New Roman" w:hAnsi="Times New Roman" w:cs="Times New Roman"/>
          <w:sz w:val="24"/>
          <w:szCs w:val="24"/>
        </w:rPr>
        <w:t xml:space="preserve">were </w:t>
      </w:r>
      <w:r w:rsidRPr="00B10A33">
        <w:rPr>
          <w:rFonts w:ascii="Times New Roman" w:hAnsi="Times New Roman" w:cs="Times New Roman"/>
          <w:sz w:val="24"/>
          <w:szCs w:val="24"/>
        </w:rPr>
        <w:t>not yet available</w:t>
      </w:r>
      <w:r w:rsidRPr="00B10A33">
        <w:rPr>
          <w:rFonts w:ascii="Times New Roman" w:hAnsi="Times New Roman" w:cs="Times New Roman"/>
          <w:sz w:val="24"/>
          <w:szCs w:val="24"/>
        </w:rPr>
        <w:t>.</w:t>
      </w:r>
      <w:r w:rsidRPr="00B10A33">
        <w:rPr>
          <w:rFonts w:ascii="Times New Roman" w:hAnsi="Times New Roman" w:cs="Times New Roman"/>
          <w:sz w:val="24"/>
          <w:szCs w:val="24"/>
        </w:rPr>
        <w:t xml:space="preserve"> </w:t>
      </w:r>
    </w:p>
    <w:p w:rsidR="00325928" w:rsidRPr="00B10A33" w:rsidP="00325928" w14:paraId="34060C4B" w14:textId="77777777">
      <w:pPr>
        <w:spacing w:after="0" w:line="240" w:lineRule="auto"/>
        <w:rPr>
          <w:rFonts w:ascii="Times New Roman" w:hAnsi="Times New Roman" w:cs="Times New Roman"/>
          <w:sz w:val="24"/>
          <w:szCs w:val="24"/>
        </w:rPr>
      </w:pPr>
    </w:p>
    <w:p w:rsidR="00440E73" w:rsidRPr="00B10A33" w:rsidP="00325928" w14:paraId="2174B5D1" w14:textId="0F319B61">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ICR</w:t>
      </w:r>
      <w:r w:rsidRPr="00B10A33" w:rsidR="00B770E2">
        <w:rPr>
          <w:rFonts w:ascii="Times New Roman" w:hAnsi="Times New Roman" w:cs="Times New Roman"/>
          <w:sz w:val="24"/>
          <w:szCs w:val="24"/>
        </w:rPr>
        <w:t>s for this collection have</w:t>
      </w:r>
      <w:r w:rsidRPr="00B10A33">
        <w:rPr>
          <w:rFonts w:ascii="Times New Roman" w:hAnsi="Times New Roman" w:cs="Times New Roman"/>
          <w:sz w:val="24"/>
          <w:szCs w:val="24"/>
        </w:rPr>
        <w:t xml:space="preserve"> traditionally included the burden of conducting tests that have to be reported to support the EPA’s oversight of compliance with the Clean Air Act. </w:t>
      </w:r>
      <w:r w:rsidRPr="00B10A33" w:rsidR="00B770E2">
        <w:rPr>
          <w:rFonts w:ascii="Times New Roman" w:hAnsi="Times New Roman" w:cs="Times New Roman"/>
          <w:sz w:val="24"/>
          <w:szCs w:val="24"/>
        </w:rPr>
        <w:t>Manufacturers will either develop and maintain their own testing facilities or contract out the testing work. In the former case, manufacturers incur the labor</w:t>
      </w:r>
      <w:r w:rsidRPr="00B10A33" w:rsidR="007B5EA4">
        <w:rPr>
          <w:rFonts w:ascii="Times New Roman" w:hAnsi="Times New Roman" w:cs="Times New Roman"/>
          <w:sz w:val="24"/>
          <w:szCs w:val="24"/>
        </w:rPr>
        <w:t xml:space="preserve"> burden and </w:t>
      </w:r>
      <w:r w:rsidRPr="00B10A33" w:rsidR="00B770E2">
        <w:rPr>
          <w:rFonts w:ascii="Times New Roman" w:hAnsi="Times New Roman" w:cs="Times New Roman"/>
          <w:sz w:val="24"/>
          <w:szCs w:val="24"/>
        </w:rPr>
        <w:t>c</w:t>
      </w:r>
      <w:r w:rsidRPr="00B10A33" w:rsidR="007B5EA4">
        <w:rPr>
          <w:rFonts w:ascii="Times New Roman" w:hAnsi="Times New Roman" w:cs="Times New Roman"/>
          <w:sz w:val="24"/>
          <w:szCs w:val="24"/>
        </w:rPr>
        <w:t>osts (both c</w:t>
      </w:r>
      <w:r w:rsidRPr="00B10A33" w:rsidR="00B770E2">
        <w:rPr>
          <w:rFonts w:ascii="Times New Roman" w:hAnsi="Times New Roman" w:cs="Times New Roman"/>
          <w:sz w:val="24"/>
          <w:szCs w:val="24"/>
        </w:rPr>
        <w:t>apital and O&amp;M</w:t>
      </w:r>
      <w:r w:rsidRPr="00B10A33" w:rsidR="007B5EA4">
        <w:rPr>
          <w:rFonts w:ascii="Times New Roman" w:hAnsi="Times New Roman" w:cs="Times New Roman"/>
          <w:sz w:val="24"/>
          <w:szCs w:val="24"/>
        </w:rPr>
        <w:t xml:space="preserve">) </w:t>
      </w:r>
      <w:r w:rsidRPr="00B10A33" w:rsidR="00B770E2">
        <w:rPr>
          <w:rFonts w:ascii="Times New Roman" w:hAnsi="Times New Roman" w:cs="Times New Roman"/>
          <w:sz w:val="24"/>
          <w:szCs w:val="24"/>
        </w:rPr>
        <w:t>associated with operating their lab. In the latter case, the labor burden</w:t>
      </w:r>
      <w:r w:rsidRPr="00B10A33">
        <w:rPr>
          <w:rFonts w:ascii="Times New Roman" w:hAnsi="Times New Roman" w:cs="Times New Roman"/>
          <w:sz w:val="24"/>
          <w:szCs w:val="24"/>
        </w:rPr>
        <w:t xml:space="preserve"> </w:t>
      </w:r>
      <w:r w:rsidRPr="00B10A33" w:rsidR="00B770E2">
        <w:rPr>
          <w:rFonts w:ascii="Times New Roman" w:hAnsi="Times New Roman" w:cs="Times New Roman"/>
          <w:sz w:val="24"/>
          <w:szCs w:val="24"/>
        </w:rPr>
        <w:t>is less extensive but O&amp;M costs (</w:t>
      </w:r>
      <w:r w:rsidRPr="00B10A33" w:rsidR="007B5EA4">
        <w:rPr>
          <w:rFonts w:ascii="Times New Roman" w:hAnsi="Times New Roman" w:cs="Times New Roman"/>
          <w:sz w:val="24"/>
          <w:szCs w:val="24"/>
        </w:rPr>
        <w:t xml:space="preserve">which is where the fees paid to outside laboratories accrue) will be higher. </w:t>
      </w:r>
      <w:r w:rsidRPr="00B10A33">
        <w:rPr>
          <w:rFonts w:ascii="Times New Roman" w:hAnsi="Times New Roman" w:cs="Times New Roman"/>
          <w:sz w:val="24"/>
          <w:szCs w:val="24"/>
        </w:rPr>
        <w:t xml:space="preserve">Additionally, respondents incur burden through the processes of generating and submitting certification requests and other reports to the EPA and recordkeeping.  </w:t>
      </w:r>
    </w:p>
    <w:p w:rsidR="00440E73" w:rsidRPr="00B10A33" w:rsidP="008D0A90" w14:paraId="74464933" w14:textId="141DDE47">
      <w:pPr>
        <w:spacing w:after="0" w:line="240" w:lineRule="auto"/>
        <w:rPr>
          <w:rFonts w:ascii="Times New Roman" w:hAnsi="Times New Roman" w:cs="Times New Roman"/>
          <w:sz w:val="24"/>
          <w:szCs w:val="24"/>
        </w:rPr>
      </w:pPr>
    </w:p>
    <w:p w:rsidR="008D0A90" w:rsidRPr="00B10A33" w:rsidP="008B3C6F" w14:paraId="0A4E8973" w14:textId="41ABF121">
      <w:pPr>
        <w:spacing w:after="240" w:line="240" w:lineRule="auto"/>
        <w:rPr>
          <w:rFonts w:ascii="Times New Roman" w:hAnsi="Times New Roman" w:cs="Times New Roman"/>
          <w:sz w:val="24"/>
          <w:szCs w:val="24"/>
        </w:rPr>
      </w:pPr>
      <w:r w:rsidRPr="00B10A33">
        <w:rPr>
          <w:rFonts w:ascii="Times New Roman" w:hAnsi="Times New Roman" w:cs="Times New Roman"/>
          <w:sz w:val="24"/>
          <w:szCs w:val="24"/>
        </w:rPr>
        <w:t>Estimated Respondent Burden Hours:</w:t>
      </w:r>
    </w:p>
    <w:tbl>
      <w:tblPr>
        <w:tblStyle w:val="TableGrid"/>
        <w:tblW w:w="0" w:type="auto"/>
        <w:tblInd w:w="-5" w:type="dxa"/>
        <w:tblLayout w:type="fixed"/>
        <w:tblLook w:val="04A0"/>
      </w:tblPr>
      <w:tblGrid>
        <w:gridCol w:w="2970"/>
        <w:gridCol w:w="1350"/>
        <w:gridCol w:w="2043"/>
        <w:gridCol w:w="1680"/>
      </w:tblGrid>
      <w:tr w14:paraId="7098198E" w14:textId="77777777" w:rsidTr="00457895">
        <w:tblPrEx>
          <w:tblW w:w="0" w:type="auto"/>
          <w:tblInd w:w="-5" w:type="dxa"/>
          <w:tblLayout w:type="fixed"/>
          <w:tblLook w:val="04A0"/>
        </w:tblPrEx>
        <w:tc>
          <w:tcPr>
            <w:tcW w:w="2970" w:type="dxa"/>
          </w:tcPr>
          <w:p w:rsidR="008D0A90" w:rsidRPr="00B10A33" w:rsidP="001A19FF" w14:paraId="01FBACEA" w14:textId="77777777">
            <w:pPr>
              <w:rPr>
                <w:spacing w:val="8"/>
                <w:sz w:val="24"/>
                <w:szCs w:val="24"/>
              </w:rPr>
            </w:pPr>
            <w:r w:rsidRPr="00B10A33">
              <w:rPr>
                <w:spacing w:val="8"/>
                <w:sz w:val="24"/>
                <w:szCs w:val="24"/>
              </w:rPr>
              <w:t>Program/Activity</w:t>
            </w:r>
          </w:p>
        </w:tc>
        <w:tc>
          <w:tcPr>
            <w:tcW w:w="1350" w:type="dxa"/>
          </w:tcPr>
          <w:p w:rsidR="008D0A90" w:rsidRPr="00B10A33" w:rsidP="001A19FF" w14:paraId="2F253FF6" w14:textId="77777777">
            <w:pPr>
              <w:rPr>
                <w:spacing w:val="8"/>
                <w:sz w:val="24"/>
                <w:szCs w:val="24"/>
              </w:rPr>
            </w:pPr>
            <w:r w:rsidRPr="00B10A33">
              <w:rPr>
                <w:spacing w:val="8"/>
                <w:sz w:val="24"/>
                <w:szCs w:val="24"/>
              </w:rPr>
              <w:t>Engine Families/Year</w:t>
            </w:r>
          </w:p>
        </w:tc>
        <w:tc>
          <w:tcPr>
            <w:tcW w:w="2043" w:type="dxa"/>
          </w:tcPr>
          <w:p w:rsidR="008D0A90" w:rsidRPr="00B10A33" w:rsidP="001A19FF" w14:paraId="3ED8A4E6" w14:textId="582DFFD5">
            <w:pPr>
              <w:rPr>
                <w:spacing w:val="8"/>
                <w:sz w:val="24"/>
                <w:szCs w:val="24"/>
              </w:rPr>
            </w:pPr>
            <w:r w:rsidRPr="00B10A33">
              <w:rPr>
                <w:spacing w:val="8"/>
                <w:sz w:val="24"/>
                <w:szCs w:val="24"/>
              </w:rPr>
              <w:t>Respondents</w:t>
            </w:r>
            <w:r w:rsidRPr="00457895" w:rsidR="00917F64">
              <w:rPr>
                <w:spacing w:val="8"/>
                <w:sz w:val="24"/>
                <w:szCs w:val="24"/>
              </w:rPr>
              <w:t xml:space="preserve"> </w:t>
            </w:r>
            <w:r w:rsidRPr="00457895" w:rsidR="003B2E1D">
              <w:rPr>
                <w:spacing w:val="8"/>
                <w:sz w:val="24"/>
                <w:szCs w:val="24"/>
              </w:rPr>
              <w:t>(Manufacturers)</w:t>
            </w:r>
          </w:p>
        </w:tc>
        <w:tc>
          <w:tcPr>
            <w:tcW w:w="1680" w:type="dxa"/>
          </w:tcPr>
          <w:p w:rsidR="008D0A90" w:rsidRPr="00B10A33" w:rsidP="001A19FF" w14:paraId="183AF0C9" w14:textId="77777777">
            <w:pPr>
              <w:rPr>
                <w:spacing w:val="8"/>
                <w:sz w:val="24"/>
                <w:szCs w:val="24"/>
              </w:rPr>
            </w:pPr>
            <w:r w:rsidRPr="00B10A33">
              <w:rPr>
                <w:spacing w:val="8"/>
                <w:sz w:val="24"/>
                <w:szCs w:val="24"/>
              </w:rPr>
              <w:t>Total</w:t>
            </w:r>
          </w:p>
          <w:p w:rsidR="008D0A90" w:rsidRPr="00B10A33" w:rsidP="001A19FF" w14:paraId="283411B5" w14:textId="77BC6E22">
            <w:pPr>
              <w:rPr>
                <w:spacing w:val="8"/>
                <w:sz w:val="24"/>
                <w:szCs w:val="24"/>
              </w:rPr>
            </w:pPr>
            <w:r w:rsidRPr="00457895">
              <w:rPr>
                <w:spacing w:val="8"/>
                <w:sz w:val="24"/>
                <w:szCs w:val="24"/>
              </w:rPr>
              <w:t>H</w:t>
            </w:r>
            <w:r w:rsidRPr="00B10A33">
              <w:rPr>
                <w:spacing w:val="8"/>
                <w:sz w:val="24"/>
                <w:szCs w:val="24"/>
              </w:rPr>
              <w:t>ours</w:t>
            </w:r>
            <w:r w:rsidRPr="00B10A33" w:rsidR="00E64AEE">
              <w:rPr>
                <w:spacing w:val="8"/>
                <w:sz w:val="24"/>
                <w:szCs w:val="24"/>
              </w:rPr>
              <w:t xml:space="preserve"> per Respondent (Average)</w:t>
            </w:r>
          </w:p>
        </w:tc>
      </w:tr>
      <w:tr w14:paraId="745DD600" w14:textId="77777777" w:rsidTr="00457895">
        <w:tblPrEx>
          <w:tblW w:w="0" w:type="auto"/>
          <w:tblInd w:w="-5" w:type="dxa"/>
          <w:tblLayout w:type="fixed"/>
          <w:tblLook w:val="01E0"/>
        </w:tblPrEx>
        <w:tc>
          <w:tcPr>
            <w:tcW w:w="2970" w:type="dxa"/>
            <w:tcBorders>
              <w:left w:val="double" w:sz="4" w:space="0" w:color="auto"/>
            </w:tcBorders>
          </w:tcPr>
          <w:p w:rsidR="008D0A90" w:rsidRPr="00B10A33" w:rsidP="008D0A90" w14:paraId="16193D65" w14:textId="77777777">
            <w:pPr>
              <w:widowControl/>
              <w:autoSpaceDE/>
              <w:autoSpaceDN/>
              <w:rPr>
                <w:sz w:val="24"/>
                <w:szCs w:val="24"/>
              </w:rPr>
            </w:pPr>
            <w:r w:rsidRPr="00B10A33">
              <w:rPr>
                <w:sz w:val="24"/>
                <w:szCs w:val="24"/>
              </w:rPr>
              <w:t>Highway Motorcycles</w:t>
            </w:r>
          </w:p>
        </w:tc>
        <w:tc>
          <w:tcPr>
            <w:tcW w:w="1350" w:type="dxa"/>
            <w:vAlign w:val="bottom"/>
          </w:tcPr>
          <w:p w:rsidR="008D0A90" w:rsidRPr="00B10A33" w:rsidP="008D0A90" w14:paraId="6155193E" w14:textId="252EB72B">
            <w:pPr>
              <w:widowControl/>
              <w:autoSpaceDE/>
              <w:autoSpaceDN/>
              <w:rPr>
                <w:b/>
                <w:bCs/>
                <w:sz w:val="24"/>
                <w:szCs w:val="24"/>
              </w:rPr>
            </w:pPr>
            <w:r w:rsidRPr="00B10A33">
              <w:rPr>
                <w:b/>
                <w:bCs/>
                <w:sz w:val="24"/>
                <w:szCs w:val="24"/>
              </w:rPr>
              <w:t>314</w:t>
            </w:r>
          </w:p>
        </w:tc>
        <w:tc>
          <w:tcPr>
            <w:tcW w:w="2043" w:type="dxa"/>
            <w:vAlign w:val="bottom"/>
          </w:tcPr>
          <w:p w:rsidR="008D0A90" w:rsidRPr="00B10A33" w:rsidP="008B3C6F" w14:paraId="18B6394A" w14:textId="7800ED44">
            <w:pPr>
              <w:widowControl/>
              <w:autoSpaceDE/>
              <w:autoSpaceDN/>
              <w:rPr>
                <w:b/>
                <w:bCs/>
                <w:sz w:val="24"/>
                <w:szCs w:val="24"/>
              </w:rPr>
            </w:pPr>
            <w:r w:rsidRPr="00B10A33">
              <w:rPr>
                <w:b/>
                <w:bCs/>
                <w:sz w:val="24"/>
                <w:szCs w:val="24"/>
              </w:rPr>
              <w:t>95</w:t>
            </w:r>
          </w:p>
        </w:tc>
        <w:tc>
          <w:tcPr>
            <w:tcW w:w="1680" w:type="dxa"/>
            <w:tcBorders>
              <w:right w:val="double" w:sz="4" w:space="0" w:color="auto"/>
            </w:tcBorders>
            <w:vAlign w:val="bottom"/>
          </w:tcPr>
          <w:p w:rsidR="00A6093C" w:rsidRPr="00457895" w:rsidP="008D0A90" w14:paraId="21C09697" w14:textId="12DA13CD">
            <w:pPr>
              <w:widowControl/>
              <w:autoSpaceDE/>
              <w:autoSpaceDN/>
              <w:rPr>
                <w:b/>
                <w:bCs/>
                <w:sz w:val="24"/>
                <w:szCs w:val="24"/>
              </w:rPr>
            </w:pPr>
            <w:r w:rsidRPr="00457895">
              <w:rPr>
                <w:b/>
                <w:bCs/>
                <w:sz w:val="24"/>
                <w:szCs w:val="24"/>
              </w:rPr>
              <w:t>172</w:t>
            </w:r>
          </w:p>
        </w:tc>
      </w:tr>
    </w:tbl>
    <w:p w:rsidR="009D62C5" w:rsidRPr="00B10A33" w:rsidP="00E21E82" w14:paraId="4EE7B237" w14:textId="77777777">
      <w:pPr>
        <w:spacing w:after="0" w:line="240" w:lineRule="auto"/>
        <w:rPr>
          <w:rFonts w:ascii="Times New Roman" w:hAnsi="Times New Roman" w:cs="Times New Roman"/>
          <w:sz w:val="24"/>
          <w:szCs w:val="24"/>
        </w:rPr>
      </w:pPr>
    </w:p>
    <w:p w:rsidR="008B3C6F" w:rsidRPr="00B10A33" w:rsidP="008B3C6F" w14:paraId="29ACB755"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6(b) </w:t>
      </w:r>
      <w:r w:rsidRPr="00B10A33">
        <w:rPr>
          <w:rFonts w:ascii="Times New Roman" w:hAnsi="Times New Roman" w:cs="Times New Roman"/>
          <w:sz w:val="24"/>
          <w:szCs w:val="24"/>
          <w:u w:val="single"/>
        </w:rPr>
        <w:t>Estimating Respondent Costs</w:t>
      </w:r>
    </w:p>
    <w:p w:rsidR="008B3C6F" w:rsidRPr="00B10A33" w:rsidP="008B3C6F" w14:paraId="6201F911" w14:textId="77777777">
      <w:pPr>
        <w:numPr>
          <w:ilvl w:val="0"/>
          <w:numId w:val="2"/>
        </w:numPr>
        <w:spacing w:after="0" w:line="240" w:lineRule="auto"/>
        <w:rPr>
          <w:rFonts w:ascii="Times New Roman" w:hAnsi="Times New Roman" w:cs="Times New Roman"/>
          <w:sz w:val="24"/>
          <w:szCs w:val="24"/>
        </w:rPr>
      </w:pPr>
      <w:r w:rsidRPr="00B10A33">
        <w:rPr>
          <w:rFonts w:ascii="Times New Roman" w:hAnsi="Times New Roman" w:cs="Times New Roman"/>
          <w:sz w:val="24"/>
          <w:szCs w:val="24"/>
          <w:u w:val="single"/>
        </w:rPr>
        <w:t>Estimating labor costs</w:t>
      </w:r>
    </w:p>
    <w:p w:rsidR="006B76A9" w:rsidRPr="00B10A33" w:rsidP="006B76A9" w14:paraId="00BCDC11" w14:textId="77777777">
      <w:pPr>
        <w:spacing w:after="0" w:line="240" w:lineRule="auto"/>
        <w:rPr>
          <w:rFonts w:ascii="Times New Roman" w:hAnsi="Times New Roman" w:cs="Times New Roman"/>
          <w:sz w:val="24"/>
          <w:szCs w:val="24"/>
        </w:rPr>
      </w:pPr>
    </w:p>
    <w:p w:rsidR="008B3C6F" w:rsidRPr="00B10A33" w:rsidP="006B76A9" w14:paraId="68533850" w14:textId="3906D949">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The labor costs in this ICR </w:t>
      </w:r>
      <w:r w:rsidRPr="00B10A33" w:rsidR="00C06FD0">
        <w:rPr>
          <w:rFonts w:ascii="Times New Roman" w:hAnsi="Times New Roman" w:cs="Times New Roman"/>
          <w:sz w:val="24"/>
          <w:szCs w:val="24"/>
        </w:rPr>
        <w:t>reflect</w:t>
      </w:r>
      <w:r w:rsidRPr="00B10A33">
        <w:rPr>
          <w:rFonts w:ascii="Times New Roman" w:hAnsi="Times New Roman" w:cs="Times New Roman"/>
          <w:sz w:val="24"/>
          <w:szCs w:val="24"/>
        </w:rPr>
        <w:t xml:space="preserve"> the May 20</w:t>
      </w:r>
      <w:r w:rsidRPr="00B10A33" w:rsidR="00DC120F">
        <w:rPr>
          <w:rFonts w:ascii="Times New Roman" w:hAnsi="Times New Roman" w:cs="Times New Roman"/>
          <w:sz w:val="24"/>
          <w:szCs w:val="24"/>
        </w:rPr>
        <w:t>23</w:t>
      </w:r>
      <w:r w:rsidRPr="00B10A33">
        <w:rPr>
          <w:rFonts w:ascii="Times New Roman" w:hAnsi="Times New Roman" w:cs="Times New Roman"/>
          <w:sz w:val="24"/>
          <w:szCs w:val="24"/>
        </w:rPr>
        <w:t xml:space="preserve"> BLS National Industry-Specific Occupational Employment and Wage Estimates (</w:t>
      </w:r>
      <w:r w:rsidRPr="00B10A33" w:rsidR="00D97283">
        <w:rPr>
          <w:rFonts w:ascii="Times New Roman" w:hAnsi="Times New Roman" w:cs="Times New Roman"/>
          <w:sz w:val="24"/>
          <w:szCs w:val="24"/>
        </w:rPr>
        <w:t>https://www.bls.gov/oes/current/naics4_336100.htm</w:t>
      </w:r>
      <w:r w:rsidRPr="00B10A33">
        <w:rPr>
          <w:rFonts w:ascii="Times New Roman" w:hAnsi="Times New Roman" w:cs="Times New Roman"/>
          <w:sz w:val="24"/>
          <w:szCs w:val="24"/>
        </w:rPr>
        <w:t xml:space="preserve">). With a 130% overhead multiplier, </w:t>
      </w:r>
      <w:r w:rsidRPr="00B10A33" w:rsidR="006B76A9">
        <w:rPr>
          <w:rFonts w:ascii="Times New Roman" w:hAnsi="Times New Roman" w:cs="Times New Roman"/>
          <w:sz w:val="24"/>
          <w:szCs w:val="24"/>
        </w:rPr>
        <w:t>also based on the BLS benefits adjustment factor of 30% for 20</w:t>
      </w:r>
      <w:r w:rsidRPr="00B10A33" w:rsidR="00D97283">
        <w:rPr>
          <w:rFonts w:ascii="Times New Roman" w:hAnsi="Times New Roman" w:cs="Times New Roman"/>
          <w:sz w:val="24"/>
          <w:szCs w:val="24"/>
        </w:rPr>
        <w:t>2</w:t>
      </w:r>
      <w:r w:rsidRPr="00B10A33" w:rsidR="00DC120F">
        <w:rPr>
          <w:rFonts w:ascii="Times New Roman" w:hAnsi="Times New Roman" w:cs="Times New Roman"/>
          <w:sz w:val="24"/>
          <w:szCs w:val="24"/>
        </w:rPr>
        <w:t>3</w:t>
      </w:r>
      <w:r w:rsidRPr="00B10A33" w:rsidR="006B76A9">
        <w:rPr>
          <w:rFonts w:ascii="Times New Roman" w:hAnsi="Times New Roman" w:cs="Times New Roman"/>
          <w:sz w:val="24"/>
          <w:szCs w:val="24"/>
        </w:rPr>
        <w:t xml:space="preserve">, </w:t>
      </w:r>
      <w:r w:rsidRPr="00B10A33">
        <w:rPr>
          <w:rFonts w:ascii="Times New Roman" w:hAnsi="Times New Roman" w:cs="Times New Roman"/>
          <w:sz w:val="24"/>
          <w:szCs w:val="24"/>
        </w:rPr>
        <w:t>the</w:t>
      </w:r>
      <w:r w:rsidRPr="00B10A33" w:rsidR="006B76A9">
        <w:rPr>
          <w:rFonts w:ascii="Times New Roman" w:hAnsi="Times New Roman" w:cs="Times New Roman"/>
          <w:sz w:val="24"/>
          <w:szCs w:val="24"/>
        </w:rPr>
        <w:t xml:space="preserve"> categorie</w:t>
      </w:r>
      <w:r w:rsidRPr="00B10A33">
        <w:rPr>
          <w:rFonts w:ascii="Times New Roman" w:hAnsi="Times New Roman" w:cs="Times New Roman"/>
          <w:sz w:val="24"/>
          <w:szCs w:val="24"/>
        </w:rPr>
        <w:t xml:space="preserve">s are </w:t>
      </w:r>
      <w:r w:rsidRPr="00B10A33" w:rsidR="00DD69B1">
        <w:rPr>
          <w:rFonts w:ascii="Times New Roman" w:hAnsi="Times New Roman" w:cs="Times New Roman"/>
          <w:sz w:val="24"/>
          <w:szCs w:val="24"/>
        </w:rPr>
        <w:t>$</w:t>
      </w:r>
      <w:r w:rsidRPr="00B10A33" w:rsidR="00C034E1">
        <w:rPr>
          <w:rFonts w:ascii="Times New Roman" w:hAnsi="Times New Roman" w:cs="Times New Roman"/>
          <w:sz w:val="24"/>
          <w:szCs w:val="24"/>
        </w:rPr>
        <w:t>104.94</w:t>
      </w:r>
      <w:r w:rsidRPr="00B10A33" w:rsidR="006B76A9">
        <w:rPr>
          <w:rFonts w:ascii="Times New Roman" w:hAnsi="Times New Roman" w:cs="Times New Roman"/>
          <w:sz w:val="24"/>
          <w:szCs w:val="24"/>
        </w:rPr>
        <w:t xml:space="preserve"> manager</w:t>
      </w:r>
      <w:r w:rsidRPr="00B10A33">
        <w:rPr>
          <w:rFonts w:ascii="Times New Roman" w:hAnsi="Times New Roman" w:cs="Times New Roman"/>
          <w:sz w:val="24"/>
          <w:szCs w:val="24"/>
        </w:rPr>
        <w:t xml:space="preserve">, </w:t>
      </w:r>
      <w:r w:rsidRPr="00B10A33" w:rsidR="00DD69B1">
        <w:rPr>
          <w:rFonts w:ascii="Times New Roman" w:hAnsi="Times New Roman" w:cs="Times New Roman"/>
          <w:sz w:val="24"/>
          <w:szCs w:val="24"/>
        </w:rPr>
        <w:t>$71.53</w:t>
      </w:r>
      <w:r w:rsidRPr="00B10A33" w:rsidR="00DC120F">
        <w:rPr>
          <w:rFonts w:ascii="Times New Roman" w:hAnsi="Times New Roman" w:cs="Times New Roman"/>
          <w:sz w:val="24"/>
          <w:szCs w:val="24"/>
        </w:rPr>
        <w:t xml:space="preserve"> </w:t>
      </w:r>
      <w:r w:rsidRPr="00B10A33" w:rsidR="00962F60">
        <w:rPr>
          <w:rFonts w:ascii="Times New Roman" w:hAnsi="Times New Roman" w:cs="Times New Roman"/>
          <w:sz w:val="24"/>
          <w:szCs w:val="24"/>
        </w:rPr>
        <w:t xml:space="preserve">Engineer, </w:t>
      </w:r>
      <w:r w:rsidRPr="00B10A33" w:rsidR="00EB531B">
        <w:rPr>
          <w:rFonts w:ascii="Times New Roman" w:hAnsi="Times New Roman" w:cs="Times New Roman"/>
          <w:sz w:val="24"/>
          <w:szCs w:val="24"/>
        </w:rPr>
        <w:t>$46.23</w:t>
      </w:r>
      <w:r w:rsidRPr="00B10A33" w:rsidR="006B76A9">
        <w:rPr>
          <w:rFonts w:ascii="Times New Roman" w:hAnsi="Times New Roman" w:cs="Times New Roman"/>
          <w:sz w:val="24"/>
          <w:szCs w:val="24"/>
        </w:rPr>
        <w:t xml:space="preserve"> </w:t>
      </w:r>
      <w:r w:rsidRPr="00B10A33" w:rsidR="00962F60">
        <w:rPr>
          <w:rFonts w:ascii="Times New Roman" w:hAnsi="Times New Roman" w:cs="Times New Roman"/>
          <w:sz w:val="24"/>
          <w:szCs w:val="24"/>
        </w:rPr>
        <w:t>T</w:t>
      </w:r>
      <w:r w:rsidRPr="00B10A33" w:rsidR="006B76A9">
        <w:rPr>
          <w:rFonts w:ascii="Times New Roman" w:hAnsi="Times New Roman" w:cs="Times New Roman"/>
          <w:sz w:val="24"/>
          <w:szCs w:val="24"/>
        </w:rPr>
        <w:t>echn</w:t>
      </w:r>
      <w:r w:rsidRPr="00B10A33" w:rsidR="00962F60">
        <w:rPr>
          <w:rFonts w:ascii="Times New Roman" w:hAnsi="Times New Roman" w:cs="Times New Roman"/>
          <w:sz w:val="24"/>
          <w:szCs w:val="24"/>
        </w:rPr>
        <w:t>ologist</w:t>
      </w:r>
      <w:r w:rsidRPr="00B10A33">
        <w:rPr>
          <w:rFonts w:ascii="Times New Roman" w:hAnsi="Times New Roman" w:cs="Times New Roman"/>
          <w:sz w:val="24"/>
          <w:szCs w:val="24"/>
        </w:rPr>
        <w:t xml:space="preserve">, and </w:t>
      </w:r>
      <w:r w:rsidRPr="00B10A33" w:rsidR="00EB531B">
        <w:rPr>
          <w:rFonts w:ascii="Times New Roman" w:hAnsi="Times New Roman" w:cs="Times New Roman"/>
          <w:sz w:val="24"/>
          <w:szCs w:val="24"/>
        </w:rPr>
        <w:t>$38.17</w:t>
      </w:r>
      <w:r w:rsidRPr="00B10A33" w:rsidR="006B76A9">
        <w:rPr>
          <w:rFonts w:ascii="Times New Roman" w:hAnsi="Times New Roman" w:cs="Times New Roman"/>
          <w:sz w:val="24"/>
          <w:szCs w:val="24"/>
        </w:rPr>
        <w:t xml:space="preserve"> </w:t>
      </w:r>
      <w:r w:rsidRPr="00B10A33" w:rsidR="00962F60">
        <w:rPr>
          <w:rFonts w:ascii="Times New Roman" w:hAnsi="Times New Roman" w:cs="Times New Roman"/>
          <w:sz w:val="24"/>
          <w:szCs w:val="24"/>
        </w:rPr>
        <w:t>A</w:t>
      </w:r>
      <w:r w:rsidRPr="00B10A33" w:rsidR="006B76A9">
        <w:rPr>
          <w:rFonts w:ascii="Times New Roman" w:hAnsi="Times New Roman" w:cs="Times New Roman"/>
          <w:sz w:val="24"/>
          <w:szCs w:val="24"/>
        </w:rPr>
        <w:t>dministrative</w:t>
      </w:r>
      <w:r w:rsidRPr="00B10A33">
        <w:rPr>
          <w:rFonts w:ascii="Times New Roman" w:hAnsi="Times New Roman" w:cs="Times New Roman"/>
          <w:sz w:val="24"/>
          <w:szCs w:val="24"/>
        </w:rPr>
        <w:t xml:space="preserve">. </w:t>
      </w:r>
      <w:r w:rsidRPr="00B10A33" w:rsidR="006C5CE6">
        <w:rPr>
          <w:rFonts w:ascii="Times New Roman" w:hAnsi="Times New Roman" w:cs="Times New Roman"/>
          <w:sz w:val="24"/>
          <w:szCs w:val="24"/>
        </w:rPr>
        <w:t>T</w:t>
      </w:r>
      <w:r w:rsidRPr="00B10A33">
        <w:rPr>
          <w:rFonts w:ascii="Times New Roman" w:hAnsi="Times New Roman" w:cs="Times New Roman"/>
          <w:sz w:val="24"/>
          <w:szCs w:val="24"/>
        </w:rPr>
        <w:t xml:space="preserve">hese rates represent a small </w:t>
      </w:r>
      <w:r w:rsidRPr="00B10A33" w:rsidR="00240E5D">
        <w:rPr>
          <w:rFonts w:ascii="Times New Roman" w:hAnsi="Times New Roman" w:cs="Times New Roman"/>
          <w:sz w:val="24"/>
          <w:szCs w:val="24"/>
        </w:rPr>
        <w:t>change</w:t>
      </w:r>
      <w:r w:rsidRPr="00B10A33" w:rsidR="00133057">
        <w:rPr>
          <w:rFonts w:ascii="Times New Roman" w:hAnsi="Times New Roman" w:cs="Times New Roman"/>
          <w:sz w:val="24"/>
          <w:szCs w:val="24"/>
        </w:rPr>
        <w:t xml:space="preserve"> </w:t>
      </w:r>
      <w:r w:rsidRPr="00B10A33" w:rsidR="00240E5D">
        <w:rPr>
          <w:rFonts w:ascii="Times New Roman" w:hAnsi="Times New Roman" w:cs="Times New Roman"/>
          <w:sz w:val="24"/>
          <w:szCs w:val="24"/>
        </w:rPr>
        <w:t>from</w:t>
      </w:r>
      <w:r w:rsidRPr="00B10A33">
        <w:rPr>
          <w:rFonts w:ascii="Times New Roman" w:hAnsi="Times New Roman" w:cs="Times New Roman"/>
          <w:sz w:val="24"/>
          <w:szCs w:val="24"/>
        </w:rPr>
        <w:t xml:space="preserve"> the rates previously used for the on-highway motorcycle burden adjustment (ICR </w:t>
      </w:r>
      <w:r w:rsidRPr="00B10A33" w:rsidR="00133057">
        <w:rPr>
          <w:rFonts w:ascii="Times New Roman" w:hAnsi="Times New Roman" w:cs="Times New Roman"/>
          <w:sz w:val="24"/>
          <w:szCs w:val="24"/>
        </w:rPr>
        <w:t>2535.0</w:t>
      </w:r>
      <w:r w:rsidRPr="00B10A33" w:rsidR="00240E5D">
        <w:rPr>
          <w:rFonts w:ascii="Times New Roman" w:hAnsi="Times New Roman" w:cs="Times New Roman"/>
          <w:sz w:val="24"/>
          <w:szCs w:val="24"/>
        </w:rPr>
        <w:t>2</w:t>
      </w:r>
      <w:r w:rsidRPr="00B10A33">
        <w:rPr>
          <w:rFonts w:ascii="Times New Roman" w:hAnsi="Times New Roman" w:cs="Times New Roman"/>
          <w:sz w:val="24"/>
          <w:szCs w:val="24"/>
        </w:rPr>
        <w:t>).</w:t>
      </w:r>
      <w:r w:rsidRPr="00B10A33" w:rsidR="00240E5D">
        <w:rPr>
          <w:rFonts w:ascii="Times New Roman" w:hAnsi="Times New Roman" w:cs="Times New Roman"/>
          <w:sz w:val="24"/>
          <w:szCs w:val="24"/>
        </w:rPr>
        <w:t xml:space="preserve"> For example, previously</w:t>
      </w:r>
      <w:r w:rsidRPr="00B10A33" w:rsidR="006C5CE6">
        <w:rPr>
          <w:rFonts w:ascii="Times New Roman" w:hAnsi="Times New Roman" w:cs="Times New Roman"/>
          <w:sz w:val="24"/>
          <w:szCs w:val="24"/>
        </w:rPr>
        <w:t>,</w:t>
      </w:r>
      <w:r w:rsidRPr="00B10A33" w:rsidR="00240E5D">
        <w:rPr>
          <w:rFonts w:ascii="Times New Roman" w:hAnsi="Times New Roman" w:cs="Times New Roman"/>
          <w:sz w:val="24"/>
          <w:szCs w:val="24"/>
        </w:rPr>
        <w:t xml:space="preserve"> we did not offer a role for the Engineer </w:t>
      </w:r>
      <w:r w:rsidRPr="00B10A33" w:rsidR="00CF340E">
        <w:rPr>
          <w:rFonts w:ascii="Times New Roman" w:hAnsi="Times New Roman" w:cs="Times New Roman"/>
          <w:sz w:val="24"/>
          <w:szCs w:val="24"/>
        </w:rPr>
        <w:t xml:space="preserve">for manufacturers but now have an improved understanding </w:t>
      </w:r>
      <w:r w:rsidRPr="00B10A33" w:rsidR="006C5CE6">
        <w:rPr>
          <w:rFonts w:ascii="Times New Roman" w:hAnsi="Times New Roman" w:cs="Times New Roman"/>
          <w:sz w:val="24"/>
          <w:szCs w:val="24"/>
        </w:rPr>
        <w:t xml:space="preserve">of the role that </w:t>
      </w:r>
      <w:r w:rsidRPr="00B10A33" w:rsidR="00CF340E">
        <w:rPr>
          <w:rFonts w:ascii="Times New Roman" w:hAnsi="Times New Roman" w:cs="Times New Roman"/>
          <w:sz w:val="24"/>
          <w:szCs w:val="24"/>
        </w:rPr>
        <w:t xml:space="preserve">the engineer plays in designing the test procedure and </w:t>
      </w:r>
      <w:r w:rsidRPr="00B10A33" w:rsidR="003C1D9B">
        <w:rPr>
          <w:rFonts w:ascii="Times New Roman" w:hAnsi="Times New Roman" w:cs="Times New Roman"/>
          <w:sz w:val="24"/>
          <w:szCs w:val="24"/>
        </w:rPr>
        <w:t>reviewing</w:t>
      </w:r>
      <w:r w:rsidRPr="00B10A33" w:rsidR="00CF340E">
        <w:rPr>
          <w:rFonts w:ascii="Times New Roman" w:hAnsi="Times New Roman" w:cs="Times New Roman"/>
          <w:sz w:val="24"/>
          <w:szCs w:val="24"/>
        </w:rPr>
        <w:t xml:space="preserve"> test results. </w:t>
      </w:r>
      <w:r w:rsidRPr="00B10A33" w:rsidR="004B00AB">
        <w:rPr>
          <w:rFonts w:ascii="Times New Roman" w:hAnsi="Times New Roman" w:cs="Times New Roman"/>
          <w:sz w:val="24"/>
          <w:szCs w:val="24"/>
        </w:rPr>
        <w:t>This small change further improves our ability to estimate the financial burden</w:t>
      </w:r>
      <w:r w:rsidRPr="00B10A33" w:rsidR="004E613F">
        <w:rPr>
          <w:rFonts w:ascii="Times New Roman" w:hAnsi="Times New Roman" w:cs="Times New Roman"/>
          <w:sz w:val="24"/>
          <w:szCs w:val="24"/>
        </w:rPr>
        <w:t xml:space="preserve"> </w:t>
      </w:r>
      <w:r w:rsidRPr="00B10A33" w:rsidR="00EA1A66">
        <w:rPr>
          <w:rFonts w:ascii="Times New Roman" w:hAnsi="Times New Roman" w:cs="Times New Roman"/>
          <w:sz w:val="24"/>
          <w:szCs w:val="24"/>
        </w:rPr>
        <w:t>on manufacturers in meeting the requirements of the EPA’s certification and compliance program.</w:t>
      </w:r>
    </w:p>
    <w:p w:rsidR="008B3C6F" w:rsidRPr="00B10A33" w:rsidP="008B3C6F" w14:paraId="5BA4417C" w14:textId="77777777">
      <w:pPr>
        <w:spacing w:after="0" w:line="240" w:lineRule="auto"/>
        <w:rPr>
          <w:rFonts w:ascii="Times New Roman" w:hAnsi="Times New Roman" w:cs="Times New Roman"/>
          <w:sz w:val="24"/>
          <w:szCs w:val="24"/>
        </w:rPr>
      </w:pPr>
    </w:p>
    <w:p w:rsidR="008B3C6F" w:rsidRPr="00B10A33" w:rsidP="008B3C6F" w14:paraId="57A54C57" w14:textId="311BFC9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We have estimated labor costs for these </w:t>
      </w:r>
      <w:r w:rsidRPr="00B10A33" w:rsidR="00EA1A66">
        <w:rPr>
          <w:rFonts w:ascii="Times New Roman" w:hAnsi="Times New Roman" w:cs="Times New Roman"/>
          <w:sz w:val="24"/>
          <w:szCs w:val="24"/>
        </w:rPr>
        <w:t>four</w:t>
      </w:r>
      <w:r w:rsidRPr="00B10A33">
        <w:rPr>
          <w:rFonts w:ascii="Times New Roman" w:hAnsi="Times New Roman" w:cs="Times New Roman"/>
          <w:sz w:val="24"/>
          <w:szCs w:val="24"/>
        </w:rPr>
        <w:t xml:space="preserve"> categories for each labor item</w:t>
      </w:r>
      <w:r w:rsidRPr="00B10A33" w:rsidR="00133057">
        <w:rPr>
          <w:rFonts w:ascii="Times New Roman" w:hAnsi="Times New Roman" w:cs="Times New Roman"/>
          <w:sz w:val="24"/>
          <w:szCs w:val="24"/>
        </w:rPr>
        <w:t xml:space="preserve"> for certification and compliance obligations</w:t>
      </w:r>
      <w:r w:rsidRPr="00B10A33">
        <w:rPr>
          <w:rFonts w:ascii="Times New Roman" w:hAnsi="Times New Roman" w:cs="Times New Roman"/>
          <w:sz w:val="24"/>
          <w:szCs w:val="24"/>
        </w:rPr>
        <w:t xml:space="preserve">. </w:t>
      </w:r>
      <w:r w:rsidRPr="00B10A33" w:rsidR="00133057">
        <w:rPr>
          <w:rFonts w:ascii="Times New Roman" w:hAnsi="Times New Roman" w:cs="Times New Roman"/>
          <w:sz w:val="24"/>
          <w:szCs w:val="24"/>
        </w:rPr>
        <w:t xml:space="preserve">The total </w:t>
      </w:r>
      <w:r w:rsidRPr="00457895" w:rsidR="00710018">
        <w:rPr>
          <w:rFonts w:ascii="Times New Roman" w:hAnsi="Times New Roman" w:cs="Times New Roman"/>
          <w:sz w:val="24"/>
          <w:szCs w:val="24"/>
        </w:rPr>
        <w:t xml:space="preserve">average annual </w:t>
      </w:r>
      <w:r w:rsidRPr="00B10A33" w:rsidR="00133057">
        <w:rPr>
          <w:rFonts w:ascii="Times New Roman" w:hAnsi="Times New Roman" w:cs="Times New Roman"/>
          <w:sz w:val="24"/>
          <w:szCs w:val="24"/>
        </w:rPr>
        <w:t xml:space="preserve">labor hours </w:t>
      </w:r>
      <w:r w:rsidRPr="00457895" w:rsidR="00710018">
        <w:rPr>
          <w:rFonts w:ascii="Times New Roman" w:hAnsi="Times New Roman" w:cs="Times New Roman"/>
          <w:sz w:val="24"/>
          <w:szCs w:val="24"/>
        </w:rPr>
        <w:t xml:space="preserve">associated with </w:t>
      </w:r>
      <w:r w:rsidRPr="00B10A33" w:rsidR="00133057">
        <w:rPr>
          <w:rFonts w:ascii="Times New Roman" w:hAnsi="Times New Roman" w:cs="Times New Roman"/>
          <w:sz w:val="24"/>
          <w:szCs w:val="24"/>
        </w:rPr>
        <w:t xml:space="preserve">all reporting, </w:t>
      </w:r>
      <w:r w:rsidRPr="00B10A33" w:rsidR="00133057">
        <w:rPr>
          <w:rFonts w:ascii="Times New Roman" w:hAnsi="Times New Roman" w:cs="Times New Roman"/>
          <w:sz w:val="24"/>
          <w:szCs w:val="24"/>
        </w:rPr>
        <w:t>recordkeeping</w:t>
      </w:r>
      <w:r w:rsidRPr="00B10A33" w:rsidR="00133057">
        <w:rPr>
          <w:rFonts w:ascii="Times New Roman" w:hAnsi="Times New Roman" w:cs="Times New Roman"/>
          <w:sz w:val="24"/>
          <w:szCs w:val="24"/>
        </w:rPr>
        <w:t xml:space="preserve"> and compliance testing requirements, </w:t>
      </w:r>
      <w:r w:rsidRPr="00B10A33">
        <w:rPr>
          <w:rFonts w:ascii="Times New Roman" w:hAnsi="Times New Roman" w:cs="Times New Roman"/>
          <w:sz w:val="24"/>
          <w:szCs w:val="24"/>
        </w:rPr>
        <w:t xml:space="preserve">is </w:t>
      </w:r>
      <w:r w:rsidRPr="00457895" w:rsidR="00A6093C">
        <w:rPr>
          <w:rFonts w:ascii="Times New Roman" w:hAnsi="Times New Roman" w:cs="Times New Roman"/>
          <w:sz w:val="24"/>
          <w:szCs w:val="24"/>
        </w:rPr>
        <w:t>16,380</w:t>
      </w:r>
      <w:r w:rsidRPr="00B10A33">
        <w:rPr>
          <w:rFonts w:ascii="Times New Roman" w:hAnsi="Times New Roman" w:cs="Times New Roman"/>
          <w:sz w:val="24"/>
          <w:szCs w:val="24"/>
        </w:rPr>
        <w:t>.</w:t>
      </w:r>
      <w:r w:rsidRPr="00B10A33" w:rsidR="00133057">
        <w:rPr>
          <w:rFonts w:ascii="Times New Roman" w:hAnsi="Times New Roman" w:cs="Times New Roman"/>
          <w:sz w:val="24"/>
          <w:szCs w:val="24"/>
        </w:rPr>
        <w:t xml:space="preserve"> </w:t>
      </w:r>
      <w:r w:rsidRPr="00B10A33" w:rsidR="005C5ABC">
        <w:rPr>
          <w:rFonts w:ascii="Times New Roman" w:hAnsi="Times New Roman" w:cs="Times New Roman"/>
          <w:sz w:val="24"/>
          <w:szCs w:val="24"/>
        </w:rPr>
        <w:t xml:space="preserve">This </w:t>
      </w:r>
      <w:r w:rsidRPr="00457895" w:rsidR="00710018">
        <w:rPr>
          <w:rFonts w:ascii="Times New Roman" w:hAnsi="Times New Roman" w:cs="Times New Roman"/>
          <w:sz w:val="24"/>
          <w:szCs w:val="24"/>
        </w:rPr>
        <w:t>equates to $</w:t>
      </w:r>
      <w:r w:rsidRPr="00457895" w:rsidR="00A6093C">
        <w:rPr>
          <w:rFonts w:ascii="Times New Roman" w:hAnsi="Times New Roman" w:cs="Times New Roman"/>
          <w:sz w:val="24"/>
          <w:szCs w:val="24"/>
        </w:rPr>
        <w:t>784,626</w:t>
      </w:r>
      <w:r w:rsidRPr="00457895" w:rsidR="00710018">
        <w:rPr>
          <w:rFonts w:ascii="Times New Roman" w:hAnsi="Times New Roman" w:cs="Times New Roman"/>
          <w:sz w:val="24"/>
          <w:szCs w:val="24"/>
        </w:rPr>
        <w:t xml:space="preserve"> in labor costs. </w:t>
      </w:r>
      <w:r w:rsidRPr="00B10A33" w:rsidR="005C5ABC">
        <w:rPr>
          <w:rFonts w:ascii="Times New Roman" w:hAnsi="Times New Roman" w:cs="Times New Roman"/>
          <w:sz w:val="24"/>
          <w:szCs w:val="24"/>
        </w:rPr>
        <w:t xml:space="preserve"> </w:t>
      </w:r>
    </w:p>
    <w:p w:rsidR="008B3C6F" w:rsidRPr="00B10A33" w:rsidP="008B3C6F" w14:paraId="7B6E99AB" w14:textId="77777777">
      <w:pPr>
        <w:spacing w:after="0" w:line="240" w:lineRule="auto"/>
        <w:rPr>
          <w:rFonts w:ascii="Times New Roman" w:hAnsi="Times New Roman" w:cs="Times New Roman"/>
          <w:sz w:val="24"/>
          <w:szCs w:val="24"/>
        </w:rPr>
      </w:pPr>
    </w:p>
    <w:p w:rsidR="008F7913" w:rsidRPr="00B10A33" w:rsidP="008F7913" w14:paraId="5D0A1CD2" w14:textId="77777777">
      <w:pPr>
        <w:pStyle w:val="ListParagraph"/>
        <w:numPr>
          <w:ilvl w:val="0"/>
          <w:numId w:val="2"/>
        </w:num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Estimating Operations and Maintenance Costs</w:t>
      </w:r>
    </w:p>
    <w:p w:rsidR="008F7913" w:rsidRPr="00B10A33" w:rsidP="008F7913" w14:paraId="68008D1D" w14:textId="77777777">
      <w:pPr>
        <w:spacing w:after="0" w:line="240" w:lineRule="auto"/>
        <w:ind w:left="720"/>
        <w:rPr>
          <w:rFonts w:ascii="Times New Roman" w:hAnsi="Times New Roman" w:cs="Times New Roman"/>
          <w:sz w:val="24"/>
          <w:szCs w:val="24"/>
        </w:rPr>
      </w:pPr>
    </w:p>
    <w:tbl>
      <w:tblPr>
        <w:tblStyle w:val="TableGrid"/>
        <w:tblW w:w="0" w:type="auto"/>
        <w:tblLayout w:type="fixed"/>
        <w:tblLook w:val="01E0"/>
      </w:tblPr>
      <w:tblGrid>
        <w:gridCol w:w="3045"/>
        <w:gridCol w:w="2070"/>
        <w:gridCol w:w="1473"/>
        <w:gridCol w:w="1800"/>
      </w:tblGrid>
      <w:tr w14:paraId="1D370207" w14:textId="77777777" w:rsidTr="00457895">
        <w:tblPrEx>
          <w:tblW w:w="0" w:type="auto"/>
          <w:tblLayout w:type="fixed"/>
          <w:tblLook w:val="01E0"/>
        </w:tblPrEx>
        <w:tc>
          <w:tcPr>
            <w:tcW w:w="3045" w:type="dxa"/>
            <w:tcBorders>
              <w:top w:val="double" w:sz="4" w:space="0" w:color="auto"/>
              <w:left w:val="double" w:sz="4" w:space="0" w:color="auto"/>
              <w:bottom w:val="double" w:sz="4" w:space="0" w:color="auto"/>
              <w:right w:val="single" w:sz="4" w:space="0" w:color="auto"/>
            </w:tcBorders>
          </w:tcPr>
          <w:p w:rsidR="008B3C6F" w:rsidRPr="00B10A33" w:rsidP="008B3C6F" w14:paraId="78326FCB" w14:textId="77777777">
            <w:pPr>
              <w:widowControl/>
              <w:autoSpaceDE/>
              <w:autoSpaceDN/>
              <w:rPr>
                <w:sz w:val="24"/>
                <w:szCs w:val="24"/>
              </w:rPr>
            </w:pPr>
            <w:r w:rsidRPr="00B10A33">
              <w:rPr>
                <w:sz w:val="24"/>
                <w:szCs w:val="24"/>
              </w:rPr>
              <w:t>Program/Activity</w:t>
            </w:r>
          </w:p>
        </w:tc>
        <w:tc>
          <w:tcPr>
            <w:tcW w:w="2070" w:type="dxa"/>
            <w:tcBorders>
              <w:top w:val="double" w:sz="4" w:space="0" w:color="auto"/>
              <w:left w:val="single" w:sz="4" w:space="0" w:color="auto"/>
              <w:bottom w:val="double" w:sz="4" w:space="0" w:color="auto"/>
              <w:right w:val="single" w:sz="4" w:space="0" w:color="auto"/>
            </w:tcBorders>
          </w:tcPr>
          <w:p w:rsidR="008B3C6F" w:rsidRPr="00B10A33" w:rsidP="008B3C6F" w14:paraId="558B22DF" w14:textId="6A17C486">
            <w:pPr>
              <w:widowControl/>
              <w:autoSpaceDE/>
              <w:autoSpaceDN/>
              <w:rPr>
                <w:sz w:val="24"/>
                <w:szCs w:val="24"/>
              </w:rPr>
            </w:pPr>
            <w:r w:rsidRPr="00457895">
              <w:rPr>
                <w:spacing w:val="8"/>
                <w:sz w:val="24"/>
                <w:szCs w:val="24"/>
              </w:rPr>
              <w:t>Respondents</w:t>
            </w:r>
            <w:r w:rsidRPr="00457895">
              <w:rPr>
                <w:spacing w:val="8"/>
                <w:sz w:val="24"/>
                <w:szCs w:val="24"/>
              </w:rPr>
              <w:t xml:space="preserve"> </w:t>
            </w:r>
            <w:r w:rsidRPr="00457895">
              <w:rPr>
                <w:spacing w:val="8"/>
                <w:sz w:val="24"/>
                <w:szCs w:val="24"/>
              </w:rPr>
              <w:t>(Manufacturers)</w:t>
            </w:r>
          </w:p>
        </w:tc>
        <w:tc>
          <w:tcPr>
            <w:tcW w:w="1473" w:type="dxa"/>
            <w:tcBorders>
              <w:top w:val="double" w:sz="4" w:space="0" w:color="auto"/>
              <w:left w:val="single" w:sz="4" w:space="0" w:color="auto"/>
              <w:bottom w:val="double" w:sz="4" w:space="0" w:color="auto"/>
              <w:right w:val="single" w:sz="4" w:space="0" w:color="auto"/>
            </w:tcBorders>
          </w:tcPr>
          <w:p w:rsidR="008B3C6F" w:rsidRPr="00B10A33" w:rsidP="008B3C6F" w14:paraId="55C5B04F" w14:textId="6F072BA1">
            <w:pPr>
              <w:widowControl/>
              <w:autoSpaceDE/>
              <w:autoSpaceDN/>
              <w:rPr>
                <w:sz w:val="24"/>
                <w:szCs w:val="24"/>
              </w:rPr>
            </w:pPr>
            <w:r w:rsidRPr="00B10A33">
              <w:rPr>
                <w:sz w:val="24"/>
                <w:szCs w:val="24"/>
              </w:rPr>
              <w:t>Average Annual Cost per</w:t>
            </w:r>
          </w:p>
          <w:p w:rsidR="008B3C6F" w:rsidRPr="00B10A33" w:rsidP="00AC2ECD" w14:paraId="39019890" w14:textId="7151A43F">
            <w:pPr>
              <w:widowControl/>
              <w:autoSpaceDE/>
              <w:autoSpaceDN/>
              <w:rPr>
                <w:sz w:val="24"/>
                <w:szCs w:val="24"/>
              </w:rPr>
            </w:pPr>
            <w:r w:rsidRPr="00B10A33">
              <w:rPr>
                <w:sz w:val="24"/>
                <w:szCs w:val="24"/>
              </w:rPr>
              <w:t>Respon</w:t>
            </w:r>
            <w:r w:rsidRPr="00B10A33" w:rsidR="001741B0">
              <w:rPr>
                <w:sz w:val="24"/>
                <w:szCs w:val="24"/>
              </w:rPr>
              <w:t>d</w:t>
            </w:r>
            <w:r w:rsidRPr="00B10A33">
              <w:rPr>
                <w:sz w:val="24"/>
                <w:szCs w:val="24"/>
              </w:rPr>
              <w:t>e</w:t>
            </w:r>
            <w:r w:rsidRPr="00B10A33" w:rsidR="001741B0">
              <w:rPr>
                <w:sz w:val="24"/>
                <w:szCs w:val="24"/>
              </w:rPr>
              <w:t>nt</w:t>
            </w:r>
          </w:p>
        </w:tc>
        <w:tc>
          <w:tcPr>
            <w:tcW w:w="1800" w:type="dxa"/>
            <w:tcBorders>
              <w:top w:val="double" w:sz="4" w:space="0" w:color="auto"/>
              <w:left w:val="single" w:sz="4" w:space="0" w:color="auto"/>
              <w:bottom w:val="double" w:sz="4" w:space="0" w:color="auto"/>
              <w:right w:val="double" w:sz="4" w:space="0" w:color="auto"/>
            </w:tcBorders>
          </w:tcPr>
          <w:p w:rsidR="008B3C6F" w:rsidRPr="00B10A33" w:rsidP="00AC2ECD" w14:paraId="6A38B9A6" w14:textId="75791BA1">
            <w:pPr>
              <w:widowControl/>
              <w:autoSpaceDE/>
              <w:autoSpaceDN/>
              <w:rPr>
                <w:sz w:val="24"/>
                <w:szCs w:val="24"/>
              </w:rPr>
            </w:pPr>
            <w:r w:rsidRPr="00B10A33">
              <w:rPr>
                <w:sz w:val="24"/>
                <w:szCs w:val="24"/>
              </w:rPr>
              <w:t>Total</w:t>
            </w:r>
            <w:r w:rsidRPr="00B10A33" w:rsidR="00710018">
              <w:rPr>
                <w:sz w:val="24"/>
                <w:szCs w:val="24"/>
              </w:rPr>
              <w:t xml:space="preserve"> average annual O&amp;M </w:t>
            </w:r>
          </w:p>
        </w:tc>
      </w:tr>
      <w:tr w14:paraId="75A662AE" w14:textId="77777777" w:rsidTr="00457895">
        <w:tblPrEx>
          <w:tblW w:w="0" w:type="auto"/>
          <w:tblLayout w:type="fixed"/>
          <w:tblLook w:val="04A0"/>
        </w:tblPrEx>
        <w:tc>
          <w:tcPr>
            <w:tcW w:w="3045" w:type="dxa"/>
          </w:tcPr>
          <w:p w:rsidR="008B3C6F" w:rsidRPr="00B10A33" w:rsidP="001A19FF" w14:paraId="62558F85" w14:textId="77777777">
            <w:pPr>
              <w:rPr>
                <w:spacing w:val="8"/>
                <w:sz w:val="24"/>
                <w:szCs w:val="24"/>
              </w:rPr>
            </w:pPr>
            <w:r w:rsidRPr="00B10A33">
              <w:rPr>
                <w:spacing w:val="8"/>
                <w:sz w:val="24"/>
                <w:szCs w:val="24"/>
              </w:rPr>
              <w:t>Highway Motorcycles</w:t>
            </w:r>
          </w:p>
        </w:tc>
        <w:tc>
          <w:tcPr>
            <w:tcW w:w="2070" w:type="dxa"/>
          </w:tcPr>
          <w:p w:rsidR="008B3C6F" w:rsidRPr="00B10A33" w:rsidP="001A19FF" w14:paraId="076FDE60" w14:textId="4D7223E3">
            <w:pPr>
              <w:jc w:val="right"/>
              <w:rPr>
                <w:b/>
                <w:bCs/>
                <w:sz w:val="24"/>
                <w:szCs w:val="24"/>
              </w:rPr>
            </w:pPr>
            <w:r w:rsidRPr="00B10A33">
              <w:rPr>
                <w:b/>
                <w:bCs/>
                <w:sz w:val="24"/>
                <w:szCs w:val="24"/>
              </w:rPr>
              <w:t>95</w:t>
            </w:r>
          </w:p>
        </w:tc>
        <w:tc>
          <w:tcPr>
            <w:tcW w:w="1473" w:type="dxa"/>
          </w:tcPr>
          <w:p w:rsidR="008B3C6F" w:rsidRPr="00B10A33" w:rsidP="000A45AF" w14:paraId="69B2C26B" w14:textId="4225D3E4">
            <w:pPr>
              <w:jc w:val="right"/>
              <w:rPr>
                <w:b/>
                <w:bCs/>
                <w:sz w:val="24"/>
                <w:szCs w:val="24"/>
              </w:rPr>
            </w:pPr>
            <w:r w:rsidRPr="00B10A33">
              <w:rPr>
                <w:b/>
                <w:bCs/>
                <w:sz w:val="24"/>
                <w:szCs w:val="24"/>
              </w:rPr>
              <w:t>$</w:t>
            </w:r>
            <w:r w:rsidRPr="00B10A33" w:rsidR="00E92A88">
              <w:rPr>
                <w:b/>
                <w:bCs/>
                <w:sz w:val="24"/>
                <w:szCs w:val="24"/>
              </w:rPr>
              <w:t>1,113</w:t>
            </w:r>
          </w:p>
        </w:tc>
        <w:tc>
          <w:tcPr>
            <w:tcW w:w="1800" w:type="dxa"/>
          </w:tcPr>
          <w:p w:rsidR="008B3C6F" w:rsidRPr="00457895" w:rsidP="006B76A9" w14:paraId="09D96FE5" w14:textId="403EBAF4">
            <w:pPr>
              <w:jc w:val="right"/>
              <w:rPr>
                <w:b/>
                <w:bCs/>
                <w:sz w:val="24"/>
                <w:szCs w:val="24"/>
              </w:rPr>
            </w:pPr>
            <w:r w:rsidRPr="00B10A33">
              <w:rPr>
                <w:b/>
                <w:bCs/>
                <w:sz w:val="24"/>
                <w:szCs w:val="24"/>
              </w:rPr>
              <w:t>$</w:t>
            </w:r>
            <w:r w:rsidRPr="00B10A33" w:rsidR="00E92A88">
              <w:rPr>
                <w:b/>
                <w:bCs/>
                <w:sz w:val="24"/>
                <w:szCs w:val="24"/>
              </w:rPr>
              <w:t>105,740</w:t>
            </w:r>
          </w:p>
        </w:tc>
      </w:tr>
    </w:tbl>
    <w:p w:rsidR="00E21E82" w:rsidRPr="00B10A33" w:rsidP="00393943" w14:paraId="0B2499C9" w14:textId="77777777">
      <w:pPr>
        <w:spacing w:after="0" w:line="240" w:lineRule="auto"/>
        <w:rPr>
          <w:rFonts w:ascii="Times New Roman" w:hAnsi="Times New Roman" w:cs="Times New Roman"/>
          <w:sz w:val="24"/>
          <w:szCs w:val="24"/>
        </w:rPr>
      </w:pPr>
    </w:p>
    <w:p w:rsidR="006B76A9" w:rsidRPr="00B10A33" w:rsidP="006B76A9" w14:paraId="162C6F24" w14:textId="65CCDB74">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The majority of</w:t>
      </w:r>
      <w:r w:rsidRPr="00B10A33">
        <w:rPr>
          <w:rFonts w:ascii="Times New Roman" w:hAnsi="Times New Roman" w:cs="Times New Roman"/>
          <w:sz w:val="24"/>
          <w:szCs w:val="24"/>
        </w:rPr>
        <w:t xml:space="preserve"> </w:t>
      </w:r>
      <w:r w:rsidRPr="00B10A33">
        <w:rPr>
          <w:rFonts w:ascii="Times New Roman" w:hAnsi="Times New Roman" w:cs="Times New Roman"/>
          <w:sz w:val="24"/>
          <w:szCs w:val="24"/>
        </w:rPr>
        <w:t xml:space="preserve">Operations and Maintenance </w:t>
      </w:r>
      <w:r w:rsidRPr="00B10A33" w:rsidR="00C06FD0">
        <w:rPr>
          <w:rFonts w:ascii="Times New Roman" w:hAnsi="Times New Roman" w:cs="Times New Roman"/>
          <w:sz w:val="24"/>
          <w:szCs w:val="24"/>
        </w:rPr>
        <w:t xml:space="preserve">(O&amp;M) </w:t>
      </w:r>
      <w:r w:rsidRPr="00B10A33">
        <w:rPr>
          <w:rFonts w:ascii="Times New Roman" w:hAnsi="Times New Roman" w:cs="Times New Roman"/>
          <w:sz w:val="24"/>
          <w:szCs w:val="24"/>
        </w:rPr>
        <w:t xml:space="preserve">costs are associated with </w:t>
      </w:r>
      <w:r w:rsidRPr="00B10A33">
        <w:rPr>
          <w:rFonts w:ascii="Times New Roman" w:hAnsi="Times New Roman" w:cs="Times New Roman"/>
          <w:sz w:val="24"/>
          <w:szCs w:val="24"/>
        </w:rPr>
        <w:t xml:space="preserve">respondents either outsourcing their required testing or using their own facilities to conduct tests. </w:t>
      </w:r>
      <w:r w:rsidRPr="00B10A33" w:rsidR="00AC2ECD">
        <w:rPr>
          <w:rFonts w:ascii="Times New Roman" w:hAnsi="Times New Roman" w:cs="Times New Roman"/>
          <w:sz w:val="24"/>
          <w:szCs w:val="24"/>
        </w:rPr>
        <w:t xml:space="preserve">There are also some O&amp;M costs associated with respondents maintaining the systems they need to fulfill their recordkeeping requirements. </w:t>
      </w:r>
    </w:p>
    <w:p w:rsidR="006B76A9" w:rsidRPr="00B10A33" w:rsidP="006B76A9" w14:paraId="41B0779E" w14:textId="77777777">
      <w:pPr>
        <w:spacing w:after="0" w:line="240" w:lineRule="auto"/>
        <w:rPr>
          <w:rFonts w:ascii="Times New Roman" w:hAnsi="Times New Roman" w:cs="Times New Roman"/>
          <w:sz w:val="24"/>
          <w:szCs w:val="24"/>
        </w:rPr>
      </w:pPr>
    </w:p>
    <w:p w:rsidR="006B76A9" w:rsidRPr="00B10A33" w:rsidP="006B76A9" w14:paraId="29E9C370" w14:textId="2C3903AC">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O&amp;M test costs here reflect a decrease in the number of </w:t>
      </w:r>
      <w:r w:rsidRPr="00B10A33" w:rsidR="000B0F73">
        <w:rPr>
          <w:rFonts w:ascii="Times New Roman" w:hAnsi="Times New Roman" w:cs="Times New Roman"/>
          <w:sz w:val="24"/>
          <w:szCs w:val="24"/>
        </w:rPr>
        <w:t xml:space="preserve">new </w:t>
      </w:r>
      <w:r w:rsidRPr="00B10A33" w:rsidR="00C06FD0">
        <w:rPr>
          <w:rFonts w:ascii="Times New Roman" w:hAnsi="Times New Roman" w:cs="Times New Roman"/>
          <w:sz w:val="24"/>
          <w:szCs w:val="24"/>
        </w:rPr>
        <w:t>HMC</w:t>
      </w:r>
      <w:r w:rsidRPr="00B10A33">
        <w:rPr>
          <w:rFonts w:ascii="Times New Roman" w:hAnsi="Times New Roman" w:cs="Times New Roman"/>
          <w:sz w:val="24"/>
          <w:szCs w:val="24"/>
        </w:rPr>
        <w:t xml:space="preserve"> engine families being certified</w:t>
      </w:r>
      <w:r w:rsidRPr="00B10A33" w:rsidR="000B0F73">
        <w:rPr>
          <w:rFonts w:ascii="Times New Roman" w:hAnsi="Times New Roman" w:cs="Times New Roman"/>
          <w:sz w:val="24"/>
          <w:szCs w:val="24"/>
        </w:rPr>
        <w:t xml:space="preserve"> that require new testing to demonstrate compliance with the standard</w:t>
      </w:r>
      <w:r w:rsidRPr="00B10A33">
        <w:rPr>
          <w:rFonts w:ascii="Times New Roman" w:hAnsi="Times New Roman" w:cs="Times New Roman"/>
          <w:sz w:val="24"/>
          <w:szCs w:val="24"/>
        </w:rPr>
        <w:t xml:space="preserve">.  </w:t>
      </w:r>
    </w:p>
    <w:p w:rsidR="006B76A9" w:rsidRPr="00B10A33" w:rsidP="006B76A9" w14:paraId="07FB6DC4" w14:textId="77777777">
      <w:pPr>
        <w:spacing w:after="0" w:line="240" w:lineRule="auto"/>
        <w:rPr>
          <w:rFonts w:ascii="Times New Roman" w:hAnsi="Times New Roman" w:cs="Times New Roman"/>
          <w:sz w:val="24"/>
          <w:szCs w:val="24"/>
        </w:rPr>
      </w:pPr>
    </w:p>
    <w:p w:rsidR="000A45AF" w:rsidRPr="00B10A33" w:rsidP="000A45AF" w14:paraId="53AEB605" w14:textId="77777777">
      <w:pPr>
        <w:pStyle w:val="ListParagraph"/>
        <w:numPr>
          <w:ilvl w:val="0"/>
          <w:numId w:val="2"/>
        </w:num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u w:val="single"/>
        </w:rPr>
        <w:t>Estimating Capital Costs</w:t>
      </w:r>
    </w:p>
    <w:p w:rsidR="000A45AF" w:rsidRPr="00B10A33" w:rsidP="000A45AF" w14:paraId="7089B208" w14:textId="77777777">
      <w:pPr>
        <w:spacing w:after="0" w:line="240" w:lineRule="auto"/>
        <w:rPr>
          <w:rFonts w:ascii="Times New Roman" w:hAnsi="Times New Roman" w:cs="Times New Roman"/>
          <w:sz w:val="24"/>
          <w:szCs w:val="24"/>
        </w:rPr>
      </w:pPr>
    </w:p>
    <w:tbl>
      <w:tblP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35"/>
        <w:gridCol w:w="1890"/>
        <w:gridCol w:w="1620"/>
        <w:gridCol w:w="1710"/>
      </w:tblGrid>
      <w:tr w14:paraId="278F1F32" w14:textId="77777777" w:rsidTr="00457895">
        <w:tblPrEx>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135" w:type="dxa"/>
            <w:tcBorders>
              <w:top w:val="double" w:sz="4" w:space="0" w:color="auto"/>
              <w:left w:val="double" w:sz="4" w:space="0" w:color="auto"/>
              <w:bottom w:val="double" w:sz="4" w:space="0" w:color="auto"/>
              <w:right w:val="single" w:sz="4" w:space="0" w:color="auto"/>
            </w:tcBorders>
          </w:tcPr>
          <w:p w:rsidR="00AC2ECD" w:rsidRPr="00457895" w:rsidP="00AC2ECD" w14:paraId="6D7FE366" w14:textId="77777777">
            <w:pPr>
              <w:spacing w:after="0" w:line="240" w:lineRule="auto"/>
              <w:rPr>
                <w:rFonts w:ascii="Times New Roman" w:hAnsi="Times New Roman" w:cs="Times New Roman"/>
                <w:sz w:val="24"/>
                <w:szCs w:val="24"/>
              </w:rPr>
            </w:pPr>
            <w:r w:rsidRPr="00457895">
              <w:rPr>
                <w:rFonts w:ascii="Times New Roman" w:hAnsi="Times New Roman" w:cs="Times New Roman"/>
                <w:sz w:val="24"/>
                <w:szCs w:val="24"/>
              </w:rPr>
              <w:t xml:space="preserve">Annualized Capital and Startup Costs: </w:t>
            </w:r>
          </w:p>
          <w:p w:rsidR="00AC2ECD" w:rsidRPr="00B10A33" w:rsidP="00AC2ECD" w14:paraId="5E43C20E" w14:textId="77777777">
            <w:pPr>
              <w:spacing w:after="0" w:line="240" w:lineRule="auto"/>
              <w:rPr>
                <w:rFonts w:ascii="Times New Roman" w:hAnsi="Times New Roman" w:cs="Times New Roman"/>
                <w:sz w:val="24"/>
                <w:szCs w:val="24"/>
              </w:rPr>
            </w:pPr>
          </w:p>
          <w:p w:rsidR="00AC2ECD" w:rsidRPr="00B10A33" w:rsidP="00AC2ECD" w14:paraId="6878729E"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Program/Activity</w:t>
            </w:r>
          </w:p>
        </w:tc>
        <w:tc>
          <w:tcPr>
            <w:tcW w:w="1890" w:type="dxa"/>
            <w:tcBorders>
              <w:top w:val="double" w:sz="4" w:space="0" w:color="auto"/>
              <w:left w:val="single" w:sz="4" w:space="0" w:color="auto"/>
              <w:bottom w:val="double" w:sz="4" w:space="0" w:color="auto"/>
              <w:right w:val="single" w:sz="4" w:space="0" w:color="auto"/>
            </w:tcBorders>
            <w:hideMark/>
          </w:tcPr>
          <w:p w:rsidR="00AC2ECD" w:rsidRPr="00B10A33" w:rsidP="00AC2ECD" w14:paraId="67877BA5" w14:textId="5FECD85B">
            <w:pPr>
              <w:spacing w:after="0" w:line="240" w:lineRule="auto"/>
              <w:rPr>
                <w:rFonts w:ascii="Times New Roman" w:hAnsi="Times New Roman" w:cs="Times New Roman"/>
                <w:sz w:val="24"/>
                <w:szCs w:val="24"/>
              </w:rPr>
            </w:pPr>
            <w:r w:rsidRPr="00457895">
              <w:rPr>
                <w:rFonts w:ascii="Times New Roman" w:hAnsi="Times New Roman" w:cs="Times New Roman"/>
                <w:sz w:val="24"/>
                <w:szCs w:val="24"/>
              </w:rPr>
              <w:t>Respondents (</w:t>
            </w:r>
            <w:r w:rsidRPr="00457895">
              <w:rPr>
                <w:rFonts w:ascii="Times New Roman" w:hAnsi="Times New Roman" w:cs="Times New Roman"/>
                <w:sz w:val="24"/>
                <w:szCs w:val="24"/>
              </w:rPr>
              <w:t>Manufacturers)</w:t>
            </w:r>
          </w:p>
        </w:tc>
        <w:tc>
          <w:tcPr>
            <w:tcW w:w="1620" w:type="dxa"/>
            <w:tcBorders>
              <w:top w:val="double" w:sz="4" w:space="0" w:color="auto"/>
              <w:left w:val="single" w:sz="4" w:space="0" w:color="auto"/>
              <w:bottom w:val="double" w:sz="4" w:space="0" w:color="auto"/>
              <w:right w:val="single" w:sz="4" w:space="0" w:color="auto"/>
            </w:tcBorders>
          </w:tcPr>
          <w:p w:rsidR="00AC2ECD" w:rsidRPr="00B10A33" w:rsidP="00457895" w14:paraId="4B436037" w14:textId="1C35114C">
            <w:pPr>
              <w:rPr>
                <w:rFonts w:ascii="Times New Roman" w:hAnsi="Times New Roman" w:cs="Times New Roman"/>
                <w:sz w:val="24"/>
                <w:szCs w:val="24"/>
              </w:rPr>
            </w:pPr>
            <w:r w:rsidRPr="00457895">
              <w:rPr>
                <w:rFonts w:ascii="Times New Roman" w:hAnsi="Times New Roman" w:cs="Times New Roman"/>
                <w:sz w:val="24"/>
                <w:szCs w:val="24"/>
              </w:rPr>
              <w:t>Average Annual Cost per</w:t>
            </w:r>
            <w:r w:rsidRPr="00457895">
              <w:rPr>
                <w:rFonts w:ascii="Times New Roman" w:hAnsi="Times New Roman" w:cs="Times New Roman"/>
                <w:sz w:val="24"/>
                <w:szCs w:val="24"/>
              </w:rPr>
              <w:t xml:space="preserve"> </w:t>
            </w:r>
            <w:r w:rsidRPr="00457895">
              <w:rPr>
                <w:rFonts w:ascii="Times New Roman" w:hAnsi="Times New Roman" w:cs="Times New Roman"/>
                <w:sz w:val="24"/>
                <w:szCs w:val="24"/>
              </w:rPr>
              <w:t>Respondent</w:t>
            </w:r>
          </w:p>
        </w:tc>
        <w:tc>
          <w:tcPr>
            <w:tcW w:w="1710" w:type="dxa"/>
            <w:tcBorders>
              <w:top w:val="double" w:sz="4" w:space="0" w:color="auto"/>
              <w:left w:val="single" w:sz="4" w:space="0" w:color="auto"/>
              <w:bottom w:val="double" w:sz="4" w:space="0" w:color="auto"/>
              <w:right w:val="double" w:sz="4" w:space="0" w:color="auto"/>
            </w:tcBorders>
            <w:hideMark/>
          </w:tcPr>
          <w:p w:rsidR="00AC2ECD" w:rsidRPr="00B10A33" w:rsidP="00457895" w14:paraId="225B671A" w14:textId="67F4A379">
            <w:pPr>
              <w:rPr>
                <w:rFonts w:ascii="Times New Roman" w:hAnsi="Times New Roman" w:cs="Times New Roman"/>
                <w:sz w:val="24"/>
                <w:szCs w:val="24"/>
              </w:rPr>
            </w:pPr>
            <w:r w:rsidRPr="00457895">
              <w:rPr>
                <w:rFonts w:ascii="Times New Roman" w:hAnsi="Times New Roman" w:cs="Times New Roman"/>
                <w:sz w:val="24"/>
                <w:szCs w:val="24"/>
              </w:rPr>
              <w:t xml:space="preserve">Total average annual O&amp;M </w:t>
            </w:r>
          </w:p>
        </w:tc>
      </w:tr>
      <w:tr w14:paraId="76DCB0AE" w14:textId="77777777" w:rsidTr="00457895">
        <w:tblPrEx>
          <w:tblW w:w="8355" w:type="dxa"/>
          <w:tblLayout w:type="fixed"/>
          <w:tblLook w:val="01E0"/>
        </w:tblPrEx>
        <w:tc>
          <w:tcPr>
            <w:tcW w:w="3135" w:type="dxa"/>
            <w:tcBorders>
              <w:top w:val="single" w:sz="4" w:space="0" w:color="auto"/>
              <w:left w:val="double" w:sz="4" w:space="0" w:color="auto"/>
              <w:bottom w:val="single" w:sz="4" w:space="0" w:color="auto"/>
              <w:right w:val="single" w:sz="4" w:space="0" w:color="auto"/>
            </w:tcBorders>
            <w:hideMark/>
          </w:tcPr>
          <w:p w:rsidR="00CD43E2" w:rsidRPr="00B10A33" w:rsidP="000A45AF" w14:paraId="38AC9755"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Highway Motorcycles</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43E2" w:rsidRPr="00B10A33" w:rsidP="000A45AF" w14:paraId="50366D5F" w14:textId="2F304D3F">
            <w:pPr>
              <w:spacing w:after="0" w:line="240" w:lineRule="auto"/>
              <w:rPr>
                <w:rFonts w:ascii="Times New Roman" w:hAnsi="Times New Roman" w:cs="Times New Roman"/>
                <w:b/>
                <w:bCs/>
                <w:sz w:val="24"/>
                <w:szCs w:val="24"/>
              </w:rPr>
            </w:pPr>
            <w:r w:rsidRPr="00B10A33">
              <w:rPr>
                <w:rFonts w:ascii="Times New Roman" w:hAnsi="Times New Roman" w:cs="Times New Roman"/>
                <w:b/>
                <w:bCs/>
                <w:sz w:val="24"/>
                <w:szCs w:val="24"/>
              </w:rPr>
              <w:t>95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D43E2" w:rsidRPr="00B10A33" w:rsidP="000A45AF" w14:paraId="0B6A496B" w14:textId="69790E73">
            <w:pPr>
              <w:spacing w:after="0" w:line="240" w:lineRule="auto"/>
              <w:rPr>
                <w:rFonts w:ascii="Times New Roman" w:hAnsi="Times New Roman" w:cs="Times New Roman"/>
                <w:b/>
                <w:bCs/>
                <w:sz w:val="24"/>
                <w:szCs w:val="24"/>
              </w:rPr>
            </w:pPr>
            <w:r w:rsidRPr="00B10A33">
              <w:rPr>
                <w:rFonts w:ascii="Times New Roman" w:hAnsi="Times New Roman" w:cs="Times New Roman"/>
                <w:b/>
                <w:bCs/>
                <w:sz w:val="24"/>
                <w:szCs w:val="24"/>
              </w:rPr>
              <w:t>$</w:t>
            </w:r>
            <w:r w:rsidRPr="00B10A33" w:rsidR="00E92A88">
              <w:rPr>
                <w:rFonts w:ascii="Times New Roman" w:hAnsi="Times New Roman" w:cs="Times New Roman"/>
                <w:b/>
                <w:bCs/>
                <w:sz w:val="24"/>
                <w:szCs w:val="24"/>
              </w:rPr>
              <w:t>1,168</w:t>
            </w:r>
          </w:p>
        </w:tc>
        <w:tc>
          <w:tcPr>
            <w:tcW w:w="1710" w:type="dxa"/>
            <w:tcBorders>
              <w:top w:val="single" w:sz="4" w:space="0" w:color="auto"/>
              <w:left w:val="single" w:sz="4" w:space="0" w:color="auto"/>
              <w:bottom w:val="single" w:sz="4" w:space="0" w:color="auto"/>
              <w:right w:val="double" w:sz="4" w:space="0" w:color="auto"/>
            </w:tcBorders>
            <w:vAlign w:val="bottom"/>
            <w:hideMark/>
          </w:tcPr>
          <w:p w:rsidR="00CD43E2" w:rsidRPr="00457895" w:rsidP="000A45AF" w14:paraId="530EB904" w14:textId="642C314F">
            <w:pPr>
              <w:spacing w:after="0" w:line="240" w:lineRule="auto"/>
              <w:rPr>
                <w:rFonts w:ascii="Times New Roman" w:hAnsi="Times New Roman" w:cs="Times New Roman"/>
                <w:b/>
                <w:bCs/>
                <w:sz w:val="24"/>
                <w:szCs w:val="24"/>
              </w:rPr>
            </w:pPr>
            <w:r w:rsidRPr="00B10A33">
              <w:rPr>
                <w:rFonts w:ascii="Times New Roman" w:hAnsi="Times New Roman" w:cs="Times New Roman"/>
                <w:b/>
                <w:bCs/>
                <w:sz w:val="24"/>
                <w:szCs w:val="24"/>
              </w:rPr>
              <w:t>$</w:t>
            </w:r>
            <w:r w:rsidRPr="00B10A33" w:rsidR="00E92A88">
              <w:rPr>
                <w:rFonts w:ascii="Times New Roman" w:hAnsi="Times New Roman" w:cs="Times New Roman"/>
                <w:b/>
                <w:bCs/>
                <w:sz w:val="24"/>
                <w:szCs w:val="24"/>
              </w:rPr>
              <w:t>110,999</w:t>
            </w:r>
          </w:p>
        </w:tc>
      </w:tr>
    </w:tbl>
    <w:p w:rsidR="000A45AF" w:rsidRPr="00B10A33" w:rsidP="000A45AF" w14:paraId="0B730870" w14:textId="77777777">
      <w:pPr>
        <w:spacing w:after="0" w:line="240" w:lineRule="auto"/>
        <w:rPr>
          <w:rFonts w:ascii="Times New Roman" w:hAnsi="Times New Roman" w:cs="Times New Roman"/>
          <w:sz w:val="24"/>
          <w:szCs w:val="24"/>
        </w:rPr>
      </w:pPr>
    </w:p>
    <w:p w:rsidR="000A45AF" w:rsidRPr="00B10A33" w:rsidP="000A45AF" w14:paraId="571762AA" w14:textId="574707BD">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To perform the required testing, a combination of “environmental” (</w:t>
      </w:r>
      <w:r w:rsidRPr="00B10A33" w:rsidR="00C06FD0">
        <w:rPr>
          <w:rFonts w:ascii="Times New Roman" w:hAnsi="Times New Roman" w:cs="Times New Roman"/>
          <w:sz w:val="24"/>
          <w:szCs w:val="24"/>
        </w:rPr>
        <w:t>exhaust</w:t>
      </w:r>
      <w:r w:rsidRPr="00B10A33">
        <w:rPr>
          <w:rFonts w:ascii="Times New Roman" w:hAnsi="Times New Roman" w:cs="Times New Roman"/>
          <w:sz w:val="24"/>
          <w:szCs w:val="24"/>
        </w:rPr>
        <w:t xml:space="preserve"> and evaporative emissions) test cells are required. </w:t>
      </w:r>
      <w:r w:rsidRPr="00B10A33" w:rsidR="007D746B">
        <w:rPr>
          <w:rFonts w:ascii="Times New Roman" w:hAnsi="Times New Roman" w:cs="Times New Roman"/>
          <w:sz w:val="24"/>
          <w:szCs w:val="24"/>
        </w:rPr>
        <w:t>In the previous ICR (2351.02), we made a</w:t>
      </w:r>
      <w:r w:rsidRPr="00B10A33">
        <w:rPr>
          <w:rFonts w:ascii="Times New Roman" w:hAnsi="Times New Roman" w:cs="Times New Roman"/>
          <w:sz w:val="24"/>
          <w:szCs w:val="24"/>
        </w:rPr>
        <w:t xml:space="preserve"> significant change </w:t>
      </w:r>
      <w:r w:rsidRPr="00B10A33" w:rsidR="00373F1A">
        <w:rPr>
          <w:rFonts w:ascii="Times New Roman" w:hAnsi="Times New Roman" w:cs="Times New Roman"/>
          <w:sz w:val="24"/>
          <w:szCs w:val="24"/>
        </w:rPr>
        <w:t xml:space="preserve">by providing estimates </w:t>
      </w:r>
      <w:r w:rsidRPr="00B10A33">
        <w:rPr>
          <w:rFonts w:ascii="Times New Roman" w:hAnsi="Times New Roman" w:cs="Times New Roman"/>
          <w:sz w:val="24"/>
          <w:szCs w:val="24"/>
        </w:rPr>
        <w:t xml:space="preserve">for evaporative emissions testing. </w:t>
      </w:r>
      <w:r w:rsidRPr="00B10A33" w:rsidR="00CA5D54">
        <w:rPr>
          <w:rFonts w:ascii="Times New Roman" w:hAnsi="Times New Roman" w:cs="Times New Roman"/>
          <w:sz w:val="24"/>
          <w:szCs w:val="24"/>
        </w:rPr>
        <w:t xml:space="preserve">Manufacturers of highway motorcycles must demonstrate their engine families meet evaporative emissions in three ways; 1) </w:t>
      </w:r>
      <w:r w:rsidRPr="00B10A33" w:rsidR="0030703C">
        <w:rPr>
          <w:rFonts w:ascii="Times New Roman" w:hAnsi="Times New Roman" w:cs="Times New Roman"/>
          <w:sz w:val="24"/>
          <w:szCs w:val="24"/>
        </w:rPr>
        <w:t xml:space="preserve">purchase fuel tanks certified </w:t>
      </w:r>
      <w:r w:rsidRPr="00B10A33" w:rsidR="00FE0A86">
        <w:rPr>
          <w:rFonts w:ascii="Times New Roman" w:hAnsi="Times New Roman" w:cs="Times New Roman"/>
          <w:sz w:val="24"/>
          <w:szCs w:val="24"/>
        </w:rPr>
        <w:t xml:space="preserve">to 40 CFR 1060 from a fuel tank manufacturer meeting those requirements, 2) test </w:t>
      </w:r>
      <w:r w:rsidRPr="00B10A33" w:rsidR="003C1D9B">
        <w:rPr>
          <w:rFonts w:ascii="Times New Roman" w:hAnsi="Times New Roman" w:cs="Times New Roman"/>
          <w:sz w:val="24"/>
          <w:szCs w:val="24"/>
        </w:rPr>
        <w:t xml:space="preserve">their </w:t>
      </w:r>
      <w:r w:rsidRPr="00B10A33" w:rsidR="00FE0A86">
        <w:rPr>
          <w:rFonts w:ascii="Times New Roman" w:hAnsi="Times New Roman" w:cs="Times New Roman"/>
          <w:sz w:val="24"/>
          <w:szCs w:val="24"/>
        </w:rPr>
        <w:t xml:space="preserve">own </w:t>
      </w:r>
      <w:r w:rsidRPr="00B10A33" w:rsidR="009B1681">
        <w:rPr>
          <w:rFonts w:ascii="Times New Roman" w:hAnsi="Times New Roman" w:cs="Times New Roman"/>
          <w:sz w:val="24"/>
          <w:szCs w:val="24"/>
        </w:rPr>
        <w:t xml:space="preserve">fuel tank under the </w:t>
      </w:r>
      <w:r w:rsidRPr="00B10A33" w:rsidR="004F5CAC">
        <w:rPr>
          <w:rFonts w:ascii="Times New Roman" w:hAnsi="Times New Roman" w:cs="Times New Roman"/>
          <w:sz w:val="24"/>
          <w:szCs w:val="24"/>
        </w:rPr>
        <w:t>provisions</w:t>
      </w:r>
      <w:r w:rsidRPr="00B10A33" w:rsidR="009B1681">
        <w:rPr>
          <w:rFonts w:ascii="Times New Roman" w:hAnsi="Times New Roman" w:cs="Times New Roman"/>
          <w:sz w:val="24"/>
          <w:szCs w:val="24"/>
        </w:rPr>
        <w:t xml:space="preserve"> of 40 CFR 1051, or 3) certify by design, demonstrating </w:t>
      </w:r>
      <w:r w:rsidRPr="00B10A33" w:rsidR="003C1D9B">
        <w:rPr>
          <w:rFonts w:ascii="Times New Roman" w:hAnsi="Times New Roman" w:cs="Times New Roman"/>
          <w:sz w:val="24"/>
          <w:szCs w:val="24"/>
        </w:rPr>
        <w:t xml:space="preserve">their </w:t>
      </w:r>
      <w:r w:rsidRPr="00B10A33" w:rsidR="009B1681">
        <w:rPr>
          <w:rFonts w:ascii="Times New Roman" w:hAnsi="Times New Roman" w:cs="Times New Roman"/>
          <w:sz w:val="24"/>
          <w:szCs w:val="24"/>
        </w:rPr>
        <w:t xml:space="preserve">fuel tank meets the design </w:t>
      </w:r>
      <w:r w:rsidRPr="00B10A33" w:rsidR="004F5CAC">
        <w:rPr>
          <w:rFonts w:ascii="Times New Roman" w:hAnsi="Times New Roman" w:cs="Times New Roman"/>
          <w:sz w:val="24"/>
          <w:szCs w:val="24"/>
        </w:rPr>
        <w:t>standards</w:t>
      </w:r>
      <w:r w:rsidRPr="00B10A33" w:rsidR="009B1681">
        <w:rPr>
          <w:rFonts w:ascii="Times New Roman" w:hAnsi="Times New Roman" w:cs="Times New Roman"/>
          <w:sz w:val="24"/>
          <w:szCs w:val="24"/>
        </w:rPr>
        <w:t xml:space="preserve"> in </w:t>
      </w:r>
      <w:r w:rsidRPr="00B10A33" w:rsidR="004F5CAC">
        <w:rPr>
          <w:rFonts w:ascii="Times New Roman" w:hAnsi="Times New Roman" w:cs="Times New Roman"/>
          <w:sz w:val="24"/>
          <w:szCs w:val="24"/>
        </w:rPr>
        <w:t xml:space="preserve">Part 86, subpart E. </w:t>
      </w:r>
      <w:r w:rsidRPr="00B10A33">
        <w:rPr>
          <w:rFonts w:ascii="Times New Roman" w:hAnsi="Times New Roman" w:cs="Times New Roman"/>
          <w:sz w:val="24"/>
          <w:szCs w:val="24"/>
        </w:rPr>
        <w:t xml:space="preserve">Our estimates </w:t>
      </w:r>
      <w:r w:rsidRPr="00B10A33" w:rsidR="00373F1A">
        <w:rPr>
          <w:rFonts w:ascii="Times New Roman" w:hAnsi="Times New Roman" w:cs="Times New Roman"/>
          <w:sz w:val="24"/>
          <w:szCs w:val="24"/>
        </w:rPr>
        <w:t xml:space="preserve">continue </w:t>
      </w:r>
      <w:r w:rsidRPr="00B10A33" w:rsidR="006F3584">
        <w:rPr>
          <w:rFonts w:ascii="Times New Roman" w:hAnsi="Times New Roman" w:cs="Times New Roman"/>
          <w:sz w:val="24"/>
          <w:szCs w:val="24"/>
        </w:rPr>
        <w:t>to</w:t>
      </w:r>
      <w:r w:rsidRPr="00B10A33">
        <w:rPr>
          <w:rFonts w:ascii="Times New Roman" w:hAnsi="Times New Roman" w:cs="Times New Roman"/>
          <w:sz w:val="24"/>
          <w:szCs w:val="24"/>
        </w:rPr>
        <w:t xml:space="preserve"> reflect </w:t>
      </w:r>
      <w:r w:rsidRPr="00B10A33" w:rsidR="006F722D">
        <w:rPr>
          <w:rFonts w:ascii="Times New Roman" w:hAnsi="Times New Roman" w:cs="Times New Roman"/>
          <w:sz w:val="24"/>
          <w:szCs w:val="24"/>
        </w:rPr>
        <w:t>information</w:t>
      </w:r>
      <w:r w:rsidRPr="00B10A33" w:rsidR="006F3584">
        <w:rPr>
          <w:rFonts w:ascii="Times New Roman" w:hAnsi="Times New Roman" w:cs="Times New Roman"/>
          <w:sz w:val="24"/>
          <w:szCs w:val="24"/>
        </w:rPr>
        <w:t xml:space="preserve"> from</w:t>
      </w:r>
      <w:r w:rsidRPr="00B10A33" w:rsidR="006F722D">
        <w:rPr>
          <w:rFonts w:ascii="Times New Roman" w:hAnsi="Times New Roman" w:cs="Times New Roman"/>
          <w:sz w:val="24"/>
          <w:szCs w:val="24"/>
        </w:rPr>
        <w:t xml:space="preserve"> estimates of evaporative testing from commercial test facilities. </w:t>
      </w:r>
    </w:p>
    <w:p w:rsidR="000A45AF" w:rsidRPr="00B10A33" w:rsidP="000A45AF" w14:paraId="3730F384" w14:textId="77777777">
      <w:pPr>
        <w:spacing w:after="0" w:line="240" w:lineRule="auto"/>
        <w:rPr>
          <w:rFonts w:ascii="Times New Roman" w:hAnsi="Times New Roman" w:cs="Times New Roman"/>
          <w:sz w:val="24"/>
          <w:szCs w:val="24"/>
        </w:rPr>
      </w:pPr>
    </w:p>
    <w:p w:rsidR="000A45AF" w:rsidRPr="00B10A33" w:rsidP="000A45AF" w14:paraId="2969279C" w14:textId="3795EEBD">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C</w:t>
      </w:r>
      <w:r w:rsidRPr="00B10A33">
        <w:rPr>
          <w:rFonts w:ascii="Times New Roman" w:hAnsi="Times New Roman" w:cs="Times New Roman"/>
          <w:sz w:val="24"/>
          <w:szCs w:val="24"/>
        </w:rPr>
        <w:t xml:space="preserve">apital costs </w:t>
      </w:r>
      <w:r w:rsidRPr="00B10A33">
        <w:rPr>
          <w:rFonts w:ascii="Times New Roman" w:hAnsi="Times New Roman" w:cs="Times New Roman"/>
          <w:sz w:val="24"/>
          <w:szCs w:val="24"/>
        </w:rPr>
        <w:t xml:space="preserve">associated with </w:t>
      </w:r>
      <w:r w:rsidRPr="00B10A33">
        <w:rPr>
          <w:rFonts w:ascii="Times New Roman" w:hAnsi="Times New Roman" w:cs="Times New Roman"/>
          <w:sz w:val="24"/>
          <w:szCs w:val="24"/>
        </w:rPr>
        <w:t>this</w:t>
      </w:r>
      <w:r w:rsidRPr="00B10A33">
        <w:rPr>
          <w:rFonts w:ascii="Times New Roman" w:hAnsi="Times New Roman" w:cs="Times New Roman"/>
          <w:sz w:val="24"/>
          <w:szCs w:val="24"/>
        </w:rPr>
        <w:t xml:space="preserve"> and other similar collections </w:t>
      </w:r>
      <w:r w:rsidRPr="00B10A33">
        <w:rPr>
          <w:rFonts w:ascii="Times New Roman" w:hAnsi="Times New Roman" w:cs="Times New Roman"/>
          <w:sz w:val="24"/>
          <w:szCs w:val="24"/>
        </w:rPr>
        <w:t>have long been treated as ongoing</w:t>
      </w:r>
      <w:r w:rsidRPr="00B10A33">
        <w:rPr>
          <w:rFonts w:ascii="Times New Roman" w:hAnsi="Times New Roman" w:cs="Times New Roman"/>
          <w:sz w:val="24"/>
          <w:szCs w:val="24"/>
        </w:rPr>
        <w:t xml:space="preserve">, </w:t>
      </w:r>
      <w:r w:rsidRPr="00B10A33">
        <w:rPr>
          <w:rFonts w:ascii="Times New Roman" w:hAnsi="Times New Roman" w:cs="Times New Roman"/>
          <w:sz w:val="24"/>
          <w:szCs w:val="24"/>
        </w:rPr>
        <w:t>rather than start-up cost</w:t>
      </w:r>
      <w:r w:rsidRPr="00B10A33">
        <w:rPr>
          <w:rFonts w:ascii="Times New Roman" w:hAnsi="Times New Roman" w:cs="Times New Roman"/>
          <w:sz w:val="24"/>
          <w:szCs w:val="24"/>
        </w:rPr>
        <w:t>s</w:t>
      </w:r>
      <w:r w:rsidRPr="00B10A33">
        <w:rPr>
          <w:rFonts w:ascii="Times New Roman" w:hAnsi="Times New Roman" w:cs="Times New Roman"/>
          <w:sz w:val="24"/>
          <w:szCs w:val="24"/>
        </w:rPr>
        <w:t>. Because of the wide variety of circumstances among manufacturers (land availability, capital assets, lending terms, labor shifts) and the continuing changes in the numbers of vehicles and engines being certified from year to year, this is the best method of counting facilities capital costs and one which allows continuity of treatment from one collection request to another</w:t>
      </w:r>
      <w:r w:rsidRPr="00B10A33" w:rsidR="00830CE7">
        <w:rPr>
          <w:rFonts w:ascii="Times New Roman" w:hAnsi="Times New Roman" w:cs="Times New Roman"/>
          <w:sz w:val="24"/>
          <w:szCs w:val="24"/>
        </w:rPr>
        <w:t xml:space="preserve">. </w:t>
      </w:r>
      <w:r w:rsidRPr="00B10A33">
        <w:rPr>
          <w:rFonts w:ascii="Times New Roman" w:hAnsi="Times New Roman" w:cs="Times New Roman"/>
          <w:sz w:val="24"/>
          <w:szCs w:val="24"/>
        </w:rPr>
        <w:t>The annualized depreciated costs of these facilities using the standard assumptions of 7% interest yearly over ten years is $</w:t>
      </w:r>
      <w:r w:rsidRPr="00B10A33" w:rsidR="00CD43E2">
        <w:rPr>
          <w:rFonts w:ascii="Times New Roman" w:hAnsi="Times New Roman" w:cs="Times New Roman"/>
          <w:sz w:val="24"/>
          <w:szCs w:val="24"/>
        </w:rPr>
        <w:t>5,333.00</w:t>
      </w:r>
      <w:r w:rsidRPr="00B10A33">
        <w:rPr>
          <w:rFonts w:ascii="Times New Roman" w:hAnsi="Times New Roman" w:cs="Times New Roman"/>
          <w:sz w:val="24"/>
          <w:szCs w:val="24"/>
        </w:rPr>
        <w:t>. This is regarded as a permanent capital cost item; that is, we regard the capital stock as being continuously depreciated and replaced.</w:t>
      </w:r>
    </w:p>
    <w:p w:rsidR="000A45AF" w:rsidRPr="00B10A33" w:rsidP="000A45AF" w14:paraId="42214DC2" w14:textId="77777777">
      <w:pPr>
        <w:spacing w:after="0" w:line="240" w:lineRule="auto"/>
        <w:rPr>
          <w:rFonts w:ascii="Times New Roman" w:hAnsi="Times New Roman" w:cs="Times New Roman"/>
          <w:sz w:val="24"/>
          <w:szCs w:val="24"/>
        </w:rPr>
      </w:pPr>
    </w:p>
    <w:p w:rsidR="000A45AF" w:rsidRPr="00B10A33" w:rsidP="000A45AF" w14:paraId="12B0ED43" w14:textId="77777777">
      <w:pPr>
        <w:spacing w:after="0" w:line="240" w:lineRule="auto"/>
        <w:rPr>
          <w:rFonts w:ascii="Times New Roman" w:hAnsi="Times New Roman" w:cs="Times New Roman"/>
          <w:sz w:val="24"/>
          <w:szCs w:val="24"/>
        </w:rPr>
      </w:pPr>
    </w:p>
    <w:p w:rsidR="000A45AF" w:rsidRPr="00B10A33" w:rsidP="000A45AF" w14:paraId="288AD864"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6(c) </w:t>
      </w:r>
      <w:r w:rsidRPr="00B10A33">
        <w:rPr>
          <w:rFonts w:ascii="Times New Roman" w:hAnsi="Times New Roman" w:cs="Times New Roman"/>
          <w:sz w:val="24"/>
          <w:szCs w:val="24"/>
          <w:u w:val="single"/>
        </w:rPr>
        <w:t>Estimating Agency Burden</w:t>
      </w:r>
    </w:p>
    <w:p w:rsidR="000A45AF" w:rsidRPr="00B10A33" w:rsidP="000A45AF" w14:paraId="719C3EE1" w14:textId="77777777">
      <w:pPr>
        <w:spacing w:after="0" w:line="240" w:lineRule="auto"/>
        <w:rPr>
          <w:rFonts w:ascii="Times New Roman" w:hAnsi="Times New Roman" w:cs="Times New Roman"/>
          <w:sz w:val="24"/>
          <w:szCs w:val="24"/>
        </w:rPr>
      </w:pPr>
    </w:p>
    <w:p w:rsidR="00AA6E15" w:rsidRPr="00B10A33" w:rsidP="00AA6E15" w14:paraId="561D6AFF" w14:textId="4CF7F2BF">
      <w:pPr>
        <w:numPr>
          <w:ilvl w:val="12"/>
          <w:numId w:val="0"/>
        </w:numPr>
        <w:autoSpaceDE w:val="0"/>
        <w:autoSpaceDN w:val="0"/>
        <w:adjustRightInd w:val="0"/>
        <w:spacing w:after="0" w:line="240" w:lineRule="auto"/>
        <w:rPr>
          <w:rFonts w:ascii="Times New Roman" w:eastAsia="Times New Roman" w:hAnsi="Times New Roman" w:cs="Times New Roman"/>
          <w:sz w:val="24"/>
          <w:szCs w:val="24"/>
        </w:rPr>
      </w:pPr>
      <w:r w:rsidRPr="00B10A33">
        <w:rPr>
          <w:rFonts w:ascii="Times New Roman" w:eastAsia="Times New Roman" w:hAnsi="Times New Roman" w:cs="Times New Roman"/>
          <w:sz w:val="24"/>
          <w:szCs w:val="24"/>
        </w:rPr>
        <w:t xml:space="preserve">The GECC administers the highway motorcycle certification and compliance programs. This group currently consists of one full-time employee in Ann Arbor, MI, and a Senior Environmental Employment (SEE) Program (for technical and administrative support) dedicated to the activities covered by this ICR. Other EPA employees from </w:t>
      </w:r>
      <w:smartTag w:uri="urn:schemas-microsoft-com:office:smarttags" w:element="City">
        <w:r w:rsidRPr="00B10A33">
          <w:rPr>
            <w:rFonts w:ascii="Times New Roman" w:eastAsia="Times New Roman" w:hAnsi="Times New Roman" w:cs="Times New Roman"/>
            <w:sz w:val="24"/>
            <w:szCs w:val="24"/>
          </w:rPr>
          <w:t>Washington</w:t>
        </w:r>
      </w:smartTag>
      <w:r w:rsidRPr="00B10A33">
        <w:rPr>
          <w:rFonts w:ascii="Times New Roman" w:eastAsia="Times New Roman" w:hAnsi="Times New Roman" w:cs="Times New Roman"/>
          <w:sz w:val="24"/>
          <w:szCs w:val="24"/>
        </w:rPr>
        <w:t xml:space="preserve">, </w:t>
      </w:r>
      <w:smartTag w:uri="urn:schemas-microsoft-com:office:smarttags" w:element="State">
        <w:r w:rsidRPr="00B10A33">
          <w:rPr>
            <w:rFonts w:ascii="Times New Roman" w:eastAsia="Times New Roman" w:hAnsi="Times New Roman" w:cs="Times New Roman"/>
            <w:sz w:val="24"/>
            <w:szCs w:val="24"/>
          </w:rPr>
          <w:t>DC</w:t>
        </w:r>
      </w:smartTag>
      <w:r w:rsidRPr="00B10A33">
        <w:rPr>
          <w:rFonts w:ascii="Times New Roman" w:eastAsia="Times New Roman" w:hAnsi="Times New Roman" w:cs="Times New Roman"/>
          <w:sz w:val="24"/>
          <w:szCs w:val="24"/>
        </w:rPr>
        <w:t xml:space="preserve"> and </w:t>
      </w:r>
      <w:smartTag w:uri="urn:schemas-microsoft-com:office:smarttags" w:element="place">
        <w:smartTag w:uri="urn:schemas-microsoft-com:office:smarttags" w:element="City">
          <w:r w:rsidRPr="00B10A33">
            <w:rPr>
              <w:rFonts w:ascii="Times New Roman" w:eastAsia="Times New Roman" w:hAnsi="Times New Roman" w:cs="Times New Roman"/>
              <w:sz w:val="24"/>
              <w:szCs w:val="24"/>
            </w:rPr>
            <w:t>Ann Arbor</w:t>
          </w:r>
        </w:smartTag>
      </w:smartTag>
      <w:r w:rsidRPr="00B10A33">
        <w:rPr>
          <w:rFonts w:ascii="Times New Roman" w:eastAsia="Times New Roman" w:hAnsi="Times New Roman" w:cs="Times New Roman"/>
          <w:sz w:val="24"/>
          <w:szCs w:val="24"/>
        </w:rPr>
        <w:t xml:space="preserve"> also provide support for these activities, such as IT personnel, agency lawyers at the Office of General Counsel and the Office of Enforcement and Compliance Activities, work assignment/contract managers, upper management, etc. Contract support is also provided for database development/maintenance as well as compliance program report processing. </w:t>
      </w:r>
    </w:p>
    <w:p w:rsidR="00AA6E15" w:rsidRPr="00B10A33" w:rsidP="00AA6E15" w14:paraId="419EA702" w14:textId="77777777">
      <w:pPr>
        <w:numPr>
          <w:ilvl w:val="12"/>
          <w:numId w:val="0"/>
        </w:numPr>
        <w:autoSpaceDE w:val="0"/>
        <w:autoSpaceDN w:val="0"/>
        <w:adjustRightInd w:val="0"/>
        <w:spacing w:after="0" w:line="240" w:lineRule="auto"/>
        <w:rPr>
          <w:rFonts w:ascii="Times New Roman" w:eastAsia="Times New Roman" w:hAnsi="Times New Roman" w:cs="Times New Roman"/>
          <w:sz w:val="24"/>
          <w:szCs w:val="24"/>
        </w:rPr>
      </w:pPr>
    </w:p>
    <w:p w:rsidR="000E04DB" w:rsidRPr="00B10A33" w:rsidP="00AA6E15" w14:paraId="6C8667C8" w14:textId="7DD6F0FC">
      <w:pPr>
        <w:spacing w:after="0" w:line="240" w:lineRule="auto"/>
        <w:rPr>
          <w:rFonts w:ascii="Times New Roman" w:hAnsi="Times New Roman" w:cs="Times New Roman"/>
          <w:sz w:val="24"/>
          <w:szCs w:val="24"/>
        </w:rPr>
      </w:pPr>
      <w:r w:rsidRPr="00B10A33">
        <w:rPr>
          <w:rFonts w:ascii="Times New Roman" w:eastAsia="Times New Roman" w:hAnsi="Times New Roman" w:cs="Times New Roman"/>
          <w:sz w:val="24"/>
          <w:szCs w:val="24"/>
        </w:rPr>
        <w:t xml:space="preserve">The cost of the Agency burden is based on hourly wage rates that are effective as of January </w:t>
      </w:r>
      <w:r w:rsidRPr="00B10A33" w:rsidR="000B65BB">
        <w:rPr>
          <w:rFonts w:ascii="Times New Roman" w:eastAsia="Times New Roman" w:hAnsi="Times New Roman" w:cs="Times New Roman"/>
          <w:sz w:val="24"/>
          <w:szCs w:val="24"/>
        </w:rPr>
        <w:t xml:space="preserve">2022 </w:t>
      </w:r>
      <w:r w:rsidRPr="00B10A33">
        <w:rPr>
          <w:rFonts w:ascii="Times New Roman" w:eastAsia="Times New Roman" w:hAnsi="Times New Roman" w:cs="Times New Roman"/>
          <w:sz w:val="24"/>
          <w:szCs w:val="24"/>
        </w:rPr>
        <w:t xml:space="preserve">as obtained from the Office of Personnel Management (OPM) and adjusted by a factor of 1.6 to account for benefits and overhead. These rates are available at </w:t>
      </w:r>
      <w:r w:rsidRPr="00B10A33" w:rsidR="00077B52">
        <w:rPr>
          <w:rFonts w:ascii="Times New Roman" w:eastAsia="Times New Roman" w:hAnsi="Times New Roman" w:cs="Times New Roman"/>
          <w:sz w:val="24"/>
          <w:szCs w:val="24"/>
        </w:rPr>
        <w:t>https://www.opm.gov/policy-data-oversight/pay-leave/salaries-wages/salary-tables/pdf/2022/DCB.pdf</w:t>
      </w:r>
      <w:r w:rsidRPr="00B10A33">
        <w:rPr>
          <w:rFonts w:ascii="Times New Roman" w:eastAsia="Times New Roman" w:hAnsi="Times New Roman" w:cs="Times New Roman"/>
          <w:sz w:val="24"/>
          <w:szCs w:val="24"/>
        </w:rPr>
        <w:t xml:space="preserve">. </w:t>
      </w:r>
      <w:r w:rsidRPr="00B10A33" w:rsidR="000A45AF">
        <w:rPr>
          <w:rFonts w:ascii="Times New Roman" w:hAnsi="Times New Roman" w:cs="Times New Roman"/>
          <w:sz w:val="24"/>
          <w:szCs w:val="24"/>
        </w:rPr>
        <w:t xml:space="preserve"> </w:t>
      </w:r>
    </w:p>
    <w:p w:rsidR="000E04DB" w:rsidRPr="00B10A33" w:rsidP="00AA6E15" w14:paraId="1FB388B5" w14:textId="77777777">
      <w:pPr>
        <w:spacing w:after="0" w:line="240" w:lineRule="auto"/>
        <w:rPr>
          <w:rFonts w:ascii="Times New Roman" w:hAnsi="Times New Roman" w:cs="Times New Roman"/>
          <w:sz w:val="24"/>
          <w:szCs w:val="24"/>
        </w:rPr>
      </w:pPr>
    </w:p>
    <w:p w:rsidR="000A45AF" w:rsidRPr="00B10A33" w:rsidP="00AA6E15" w14:paraId="122533AE" w14:textId="0194B730">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We are estimating </w:t>
      </w:r>
      <w:r w:rsidRPr="00B10A33" w:rsidR="00AC2ECD">
        <w:rPr>
          <w:rFonts w:ascii="Times New Roman" w:hAnsi="Times New Roman" w:cs="Times New Roman"/>
          <w:sz w:val="24"/>
          <w:szCs w:val="24"/>
        </w:rPr>
        <w:t>2,784</w:t>
      </w:r>
      <w:r w:rsidRPr="00B10A33">
        <w:rPr>
          <w:rFonts w:ascii="Times New Roman" w:hAnsi="Times New Roman" w:cs="Times New Roman"/>
          <w:sz w:val="24"/>
          <w:szCs w:val="24"/>
        </w:rPr>
        <w:t xml:space="preserve"> hours a year for the Agency to review applications, conduct certification and compliance testing, review amendments to applications and certificates, and collect and review records required to be submitted to the EPA. This amounts to a total Agency burden of </w:t>
      </w:r>
      <w:r w:rsidRPr="00B10A33" w:rsidR="00603AB3">
        <w:rPr>
          <w:rFonts w:ascii="Times New Roman" w:hAnsi="Times New Roman" w:cs="Times New Roman"/>
          <w:sz w:val="24"/>
          <w:szCs w:val="24"/>
        </w:rPr>
        <w:t>$</w:t>
      </w:r>
      <w:r w:rsidRPr="00457895" w:rsidR="00AC2ECD">
        <w:rPr>
          <w:rFonts w:ascii="Times New Roman" w:hAnsi="Times New Roman" w:cs="Times New Roman"/>
          <w:sz w:val="24"/>
          <w:szCs w:val="24"/>
        </w:rPr>
        <w:t>219,909</w:t>
      </w:r>
      <w:r w:rsidRPr="00B10A33">
        <w:rPr>
          <w:rFonts w:ascii="Times New Roman" w:hAnsi="Times New Roman" w:cs="Times New Roman"/>
          <w:sz w:val="24"/>
          <w:szCs w:val="24"/>
        </w:rPr>
        <w:t xml:space="preserve"> annually to administer this program. </w:t>
      </w:r>
    </w:p>
    <w:p w:rsidR="000A45AF" w:rsidRPr="00B10A33" w:rsidP="000A45AF" w14:paraId="383C4A17" w14:textId="77777777">
      <w:pPr>
        <w:spacing w:after="0" w:line="240" w:lineRule="auto"/>
        <w:rPr>
          <w:rFonts w:ascii="Times New Roman" w:hAnsi="Times New Roman" w:cs="Times New Roman"/>
          <w:sz w:val="24"/>
          <w:szCs w:val="24"/>
        </w:rPr>
      </w:pPr>
    </w:p>
    <w:p w:rsidR="000A45AF" w:rsidRPr="00B10A33" w:rsidP="000A45AF" w14:paraId="7BF330D0"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6(d) </w:t>
      </w:r>
      <w:r w:rsidRPr="00B10A33">
        <w:rPr>
          <w:rFonts w:ascii="Times New Roman" w:hAnsi="Times New Roman" w:cs="Times New Roman"/>
          <w:sz w:val="24"/>
          <w:szCs w:val="24"/>
          <w:u w:val="single"/>
        </w:rPr>
        <w:t>Estimating the Respondent Universe and Total Burden and Costs</w:t>
      </w:r>
    </w:p>
    <w:p w:rsidR="000A45AF" w:rsidRPr="00B10A33" w:rsidP="000A45AF" w14:paraId="3BA4A14F" w14:textId="77777777">
      <w:pPr>
        <w:spacing w:after="0" w:line="240" w:lineRule="auto"/>
        <w:rPr>
          <w:rFonts w:ascii="Times New Roman" w:hAnsi="Times New Roman" w:cs="Times New Roman"/>
          <w:sz w:val="24"/>
          <w:szCs w:val="24"/>
        </w:rPr>
      </w:pPr>
    </w:p>
    <w:p w:rsidR="000A45AF" w:rsidRPr="00B10A33" w:rsidP="000A45AF" w14:paraId="35CD3661"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From the above discussion the following total burden and cost estimates can be calculated. Due to the diverse nature of the </w:t>
      </w:r>
      <w:r w:rsidRPr="00B10A33" w:rsidR="008D75E1">
        <w:rPr>
          <w:rFonts w:ascii="Times New Roman" w:hAnsi="Times New Roman" w:cs="Times New Roman"/>
          <w:sz w:val="24"/>
          <w:szCs w:val="24"/>
        </w:rPr>
        <w:t>HMC</w:t>
      </w:r>
      <w:r w:rsidRPr="00B10A33">
        <w:rPr>
          <w:rFonts w:ascii="Times New Roman" w:hAnsi="Times New Roman" w:cs="Times New Roman"/>
          <w:sz w:val="24"/>
          <w:szCs w:val="24"/>
        </w:rPr>
        <w:t xml:space="preserve"> industry, there is no typical or average respondent. </w:t>
      </w:r>
      <w:r w:rsidRPr="00B10A33">
        <w:rPr>
          <w:rFonts w:ascii="Times New Roman" w:hAnsi="Times New Roman" w:cs="Times New Roman"/>
          <w:sz w:val="24"/>
          <w:szCs w:val="24"/>
        </w:rPr>
        <w:t xml:space="preserve">Respondents can be large manufacturers with many products such as </w:t>
      </w:r>
      <w:r w:rsidRPr="00B10A33" w:rsidR="006F722D">
        <w:rPr>
          <w:rFonts w:ascii="Times New Roman" w:hAnsi="Times New Roman" w:cs="Times New Roman"/>
          <w:sz w:val="24"/>
          <w:szCs w:val="24"/>
        </w:rPr>
        <w:t>Honda</w:t>
      </w:r>
      <w:r w:rsidRPr="00B10A33">
        <w:rPr>
          <w:rFonts w:ascii="Times New Roman" w:hAnsi="Times New Roman" w:cs="Times New Roman"/>
          <w:sz w:val="24"/>
          <w:szCs w:val="24"/>
        </w:rPr>
        <w:t xml:space="preserve"> Motors</w:t>
      </w:r>
      <w:r w:rsidRPr="00B10A33" w:rsidR="006E4A37">
        <w:rPr>
          <w:rFonts w:ascii="Times New Roman" w:hAnsi="Times New Roman" w:cs="Times New Roman"/>
          <w:sz w:val="24"/>
          <w:szCs w:val="24"/>
        </w:rPr>
        <w:t>, or they can be small businesses with a single product line. In addition, HWC’s</w:t>
      </w:r>
      <w:r w:rsidRPr="00B10A33">
        <w:rPr>
          <w:rFonts w:ascii="Times New Roman" w:hAnsi="Times New Roman" w:cs="Times New Roman"/>
          <w:sz w:val="24"/>
          <w:szCs w:val="24"/>
        </w:rPr>
        <w:t xml:space="preserve"> can also be small importers of a few specialized motorcycles per year</w:t>
      </w:r>
      <w:r w:rsidRPr="00B10A33" w:rsidR="006E4A37">
        <w:rPr>
          <w:rFonts w:ascii="Times New Roman" w:hAnsi="Times New Roman" w:cs="Times New Roman"/>
          <w:sz w:val="24"/>
          <w:szCs w:val="24"/>
        </w:rPr>
        <w:t xml:space="preserve"> that are manufactured abroad</w:t>
      </w:r>
      <w:r w:rsidRPr="00B10A33">
        <w:rPr>
          <w:rFonts w:ascii="Times New Roman" w:hAnsi="Times New Roman" w:cs="Times New Roman"/>
          <w:sz w:val="24"/>
          <w:szCs w:val="24"/>
        </w:rPr>
        <w:t>.</w:t>
      </w:r>
      <w:r w:rsidRPr="00B10A33" w:rsidR="006E4A37">
        <w:rPr>
          <w:rFonts w:ascii="Times New Roman" w:hAnsi="Times New Roman" w:cs="Times New Roman"/>
          <w:sz w:val="24"/>
          <w:szCs w:val="24"/>
        </w:rPr>
        <w:t xml:space="preserve"> The total burden and cost figures below are estimates </w:t>
      </w:r>
      <w:r w:rsidRPr="00B10A33" w:rsidR="006E4A37">
        <w:rPr>
          <w:rFonts w:ascii="Times New Roman" w:hAnsi="Times New Roman" w:cs="Times New Roman"/>
          <w:sz w:val="24"/>
          <w:szCs w:val="24"/>
        </w:rPr>
        <w:t>on the basis of</w:t>
      </w:r>
      <w:r w:rsidRPr="00B10A33" w:rsidR="006E4A37">
        <w:rPr>
          <w:rFonts w:ascii="Times New Roman" w:hAnsi="Times New Roman" w:cs="Times New Roman"/>
          <w:sz w:val="24"/>
          <w:szCs w:val="24"/>
        </w:rPr>
        <w:t xml:space="preserve"> report data from production and end-of-year reports as well as estimates from EPA personnel.</w:t>
      </w:r>
    </w:p>
    <w:p w:rsidR="006B76A9" w:rsidRPr="00B10A33" w:rsidP="006B76A9" w14:paraId="1CAC098C" w14:textId="77777777">
      <w:pPr>
        <w:spacing w:after="0" w:line="240" w:lineRule="auto"/>
        <w:rPr>
          <w:rFonts w:ascii="Times New Roman" w:hAnsi="Times New Roman" w:cs="Times New Roman"/>
          <w:sz w:val="24"/>
          <w:szCs w:val="24"/>
        </w:rPr>
      </w:pPr>
    </w:p>
    <w:p w:rsidR="006F722D" w:rsidRPr="00B10A33" w:rsidP="006F722D" w14:paraId="0EF6FF54" w14:textId="384711E6">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6(e) </w:t>
      </w:r>
      <w:r w:rsidRPr="00B10A33">
        <w:rPr>
          <w:rFonts w:ascii="Times New Roman" w:hAnsi="Times New Roman" w:cs="Times New Roman"/>
          <w:sz w:val="24"/>
          <w:szCs w:val="24"/>
          <w:u w:val="single"/>
        </w:rPr>
        <w:t>Bottom Line Burden Hours and Cost</w:t>
      </w:r>
    </w:p>
    <w:p w:rsidR="00B10A33" w:rsidRPr="00B10A33" w:rsidP="006F722D" w14:paraId="198669F1" w14:textId="74C2CE7F">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As noted above, d</w:t>
      </w:r>
      <w:r w:rsidRPr="00B10A33">
        <w:rPr>
          <w:rFonts w:ascii="Times New Roman" w:hAnsi="Times New Roman" w:cs="Times New Roman"/>
          <w:sz w:val="24"/>
          <w:szCs w:val="24"/>
        </w:rPr>
        <w:t xml:space="preserve">etailed burden and cost calculation spreadsheets </w:t>
      </w:r>
      <w:r w:rsidRPr="00B10A33">
        <w:rPr>
          <w:rFonts w:ascii="Times New Roman" w:hAnsi="Times New Roman" w:cs="Times New Roman"/>
          <w:sz w:val="24"/>
          <w:szCs w:val="24"/>
        </w:rPr>
        <w:t xml:space="preserve">for both respondents and the EPA </w:t>
      </w:r>
      <w:r w:rsidRPr="00B10A33">
        <w:rPr>
          <w:rFonts w:ascii="Times New Roman" w:hAnsi="Times New Roman" w:cs="Times New Roman"/>
          <w:sz w:val="24"/>
          <w:szCs w:val="24"/>
        </w:rPr>
        <w:t>are provided in the supporting document “Burden and Cost Calculations.”</w:t>
      </w:r>
    </w:p>
    <w:p w:rsidR="006F722D" w:rsidRPr="00B10A33" w:rsidP="006F722D" w14:paraId="34ADE739" w14:textId="77777777">
      <w:pPr>
        <w:spacing w:after="0" w:line="240" w:lineRule="auto"/>
        <w:rPr>
          <w:rFonts w:ascii="Times New Roman" w:hAnsi="Times New Roman" w:cs="Times New Roman"/>
          <w:sz w:val="24"/>
          <w:szCs w:val="24"/>
          <w:u w:val="single"/>
        </w:rPr>
      </w:pPr>
    </w:p>
    <w:p w:rsidR="006F722D" w:rsidRPr="00B10A33" w:rsidP="006F722D" w14:paraId="0E8C47E8"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w:t>
      </w:r>
      <w:r w:rsidRPr="00B10A33">
        <w:rPr>
          <w:rFonts w:ascii="Times New Roman" w:hAnsi="Times New Roman" w:cs="Times New Roman"/>
          <w:sz w:val="24"/>
          <w:szCs w:val="24"/>
        </w:rPr>
        <w:t>i</w:t>
      </w:r>
      <w:r w:rsidRPr="00B10A33">
        <w:rPr>
          <w:rFonts w:ascii="Times New Roman" w:hAnsi="Times New Roman" w:cs="Times New Roman"/>
          <w:sz w:val="24"/>
          <w:szCs w:val="24"/>
        </w:rPr>
        <w:t xml:space="preserve">)  </w:t>
      </w:r>
      <w:r w:rsidRPr="00B10A33">
        <w:rPr>
          <w:rFonts w:ascii="Times New Roman" w:hAnsi="Times New Roman" w:cs="Times New Roman"/>
          <w:sz w:val="24"/>
          <w:szCs w:val="24"/>
          <w:u w:val="single"/>
        </w:rPr>
        <w:t>Respondent Tally</w:t>
      </w:r>
    </w:p>
    <w:p w:rsidR="006F722D" w:rsidRPr="00B10A33" w:rsidP="006F722D" w14:paraId="36AF4CB9" w14:textId="77777777">
      <w:pPr>
        <w:spacing w:after="0" w:line="240" w:lineRule="auto"/>
        <w:rPr>
          <w:rFonts w:ascii="Times New Roman" w:hAnsi="Times New Roman" w:cs="Times New Roman"/>
          <w:sz w:val="24"/>
          <w:szCs w:val="24"/>
        </w:rPr>
      </w:pPr>
    </w:p>
    <w:tbl>
      <w:tblPr>
        <w:tblStyle w:val="TableGrid"/>
        <w:tblW w:w="0" w:type="auto"/>
        <w:tblLook w:val="04A0"/>
      </w:tblPr>
      <w:tblGrid>
        <w:gridCol w:w="3116"/>
        <w:gridCol w:w="3117"/>
      </w:tblGrid>
      <w:tr w14:paraId="284CC482" w14:textId="77777777" w:rsidTr="002E590B">
        <w:tblPrEx>
          <w:tblW w:w="0" w:type="auto"/>
          <w:tblLook w:val="04A0"/>
        </w:tblPrEx>
        <w:tc>
          <w:tcPr>
            <w:tcW w:w="3116" w:type="dxa"/>
          </w:tcPr>
          <w:p w:rsidR="002E590B" w:rsidRPr="00B10A33" w:rsidP="00C06FD0" w14:paraId="7E1F2CF2" w14:textId="77777777">
            <w:pPr>
              <w:rPr>
                <w:sz w:val="24"/>
                <w:szCs w:val="24"/>
              </w:rPr>
            </w:pPr>
            <w:r w:rsidRPr="00B10A33">
              <w:rPr>
                <w:sz w:val="24"/>
                <w:szCs w:val="24"/>
              </w:rPr>
              <w:t>RESPONDENTS</w:t>
            </w:r>
          </w:p>
        </w:tc>
        <w:tc>
          <w:tcPr>
            <w:tcW w:w="3117" w:type="dxa"/>
          </w:tcPr>
          <w:p w:rsidR="002E590B" w:rsidRPr="00B10A33" w:rsidP="00C06FD0" w14:paraId="0D0C34A8" w14:textId="5A7CEE06">
            <w:pPr>
              <w:rPr>
                <w:sz w:val="24"/>
                <w:szCs w:val="24"/>
              </w:rPr>
            </w:pPr>
            <w:r w:rsidRPr="00B10A33">
              <w:rPr>
                <w:sz w:val="24"/>
                <w:szCs w:val="24"/>
              </w:rPr>
              <w:t>95</w:t>
            </w:r>
          </w:p>
        </w:tc>
      </w:tr>
      <w:tr w14:paraId="2858A224" w14:textId="77777777" w:rsidTr="002E590B">
        <w:tblPrEx>
          <w:tblW w:w="0" w:type="auto"/>
          <w:tblLook w:val="04A0"/>
        </w:tblPrEx>
        <w:tc>
          <w:tcPr>
            <w:tcW w:w="3116" w:type="dxa"/>
          </w:tcPr>
          <w:p w:rsidR="002E590B" w:rsidRPr="00B10A33" w:rsidP="00C06FD0" w14:paraId="241B80E7" w14:textId="77777777">
            <w:pPr>
              <w:rPr>
                <w:sz w:val="24"/>
                <w:szCs w:val="24"/>
              </w:rPr>
            </w:pPr>
            <w:r w:rsidRPr="00B10A33">
              <w:rPr>
                <w:sz w:val="24"/>
                <w:szCs w:val="24"/>
              </w:rPr>
              <w:t>BURDEN HOURS</w:t>
            </w:r>
          </w:p>
        </w:tc>
        <w:tc>
          <w:tcPr>
            <w:tcW w:w="3117" w:type="dxa"/>
          </w:tcPr>
          <w:p w:rsidR="002E590B" w:rsidRPr="00B10A33" w:rsidP="00C06FD0" w14:paraId="4E2CD0F2" w14:textId="41446A2E">
            <w:pPr>
              <w:rPr>
                <w:sz w:val="24"/>
                <w:szCs w:val="24"/>
              </w:rPr>
            </w:pPr>
            <w:r w:rsidRPr="00B10A33">
              <w:rPr>
                <w:sz w:val="24"/>
                <w:szCs w:val="24"/>
              </w:rPr>
              <w:t>16,380</w:t>
            </w:r>
          </w:p>
        </w:tc>
      </w:tr>
      <w:tr w14:paraId="2A85D918" w14:textId="77777777" w:rsidTr="002E590B">
        <w:tblPrEx>
          <w:tblW w:w="0" w:type="auto"/>
          <w:tblLook w:val="04A0"/>
        </w:tblPrEx>
        <w:tc>
          <w:tcPr>
            <w:tcW w:w="3116" w:type="dxa"/>
          </w:tcPr>
          <w:p w:rsidR="002E590B" w:rsidRPr="00B10A33" w:rsidP="00C06FD0" w14:paraId="6B510AD4" w14:textId="77777777">
            <w:pPr>
              <w:rPr>
                <w:sz w:val="24"/>
                <w:szCs w:val="24"/>
              </w:rPr>
            </w:pPr>
            <w:r w:rsidRPr="00B10A33">
              <w:rPr>
                <w:sz w:val="24"/>
                <w:szCs w:val="24"/>
              </w:rPr>
              <w:t>LABOR COST</w:t>
            </w:r>
          </w:p>
        </w:tc>
        <w:tc>
          <w:tcPr>
            <w:tcW w:w="3117" w:type="dxa"/>
          </w:tcPr>
          <w:p w:rsidR="002E590B" w:rsidRPr="00B10A33" w:rsidP="00C06FD0" w14:paraId="1F19595C" w14:textId="52DEA33D">
            <w:pPr>
              <w:rPr>
                <w:sz w:val="24"/>
                <w:szCs w:val="24"/>
              </w:rPr>
            </w:pPr>
            <w:r w:rsidRPr="00B10A33">
              <w:rPr>
                <w:sz w:val="24"/>
                <w:szCs w:val="24"/>
              </w:rPr>
              <w:t>784,626</w:t>
            </w:r>
          </w:p>
        </w:tc>
      </w:tr>
      <w:tr w14:paraId="3BF618A2" w14:textId="77777777" w:rsidTr="002E590B">
        <w:tblPrEx>
          <w:tblW w:w="0" w:type="auto"/>
          <w:tblLook w:val="04A0"/>
        </w:tblPrEx>
        <w:tc>
          <w:tcPr>
            <w:tcW w:w="3116" w:type="dxa"/>
          </w:tcPr>
          <w:p w:rsidR="002E590B" w:rsidRPr="00B10A33" w:rsidP="00C06FD0" w14:paraId="6BE629CF" w14:textId="77777777">
            <w:pPr>
              <w:rPr>
                <w:sz w:val="24"/>
                <w:szCs w:val="24"/>
              </w:rPr>
            </w:pPr>
            <w:r w:rsidRPr="00B10A33">
              <w:rPr>
                <w:sz w:val="24"/>
                <w:szCs w:val="24"/>
              </w:rPr>
              <w:t>OPERATING COST</w:t>
            </w:r>
          </w:p>
        </w:tc>
        <w:tc>
          <w:tcPr>
            <w:tcW w:w="3117" w:type="dxa"/>
          </w:tcPr>
          <w:p w:rsidR="002E590B" w:rsidRPr="00B10A33" w:rsidP="00C06FD0" w14:paraId="77DEDDF6" w14:textId="42292D6E">
            <w:pPr>
              <w:rPr>
                <w:sz w:val="24"/>
                <w:szCs w:val="24"/>
              </w:rPr>
            </w:pPr>
            <w:r w:rsidRPr="00B10A33">
              <w:rPr>
                <w:sz w:val="24"/>
                <w:szCs w:val="24"/>
              </w:rPr>
              <w:t>$</w:t>
            </w:r>
            <w:r w:rsidRPr="00B10A33" w:rsidR="00EA06DE">
              <w:rPr>
                <w:sz w:val="24"/>
                <w:szCs w:val="24"/>
              </w:rPr>
              <w:t>105,740</w:t>
            </w:r>
          </w:p>
        </w:tc>
      </w:tr>
      <w:tr w14:paraId="7B4830A0" w14:textId="77777777" w:rsidTr="002E590B">
        <w:tblPrEx>
          <w:tblW w:w="0" w:type="auto"/>
          <w:tblLook w:val="04A0"/>
        </w:tblPrEx>
        <w:tc>
          <w:tcPr>
            <w:tcW w:w="3116" w:type="dxa"/>
          </w:tcPr>
          <w:p w:rsidR="002E590B" w:rsidRPr="00B10A33" w:rsidP="00C06FD0" w14:paraId="6B1BD8D7" w14:textId="40C0BFBC">
            <w:pPr>
              <w:rPr>
                <w:sz w:val="24"/>
                <w:szCs w:val="24"/>
              </w:rPr>
            </w:pPr>
            <w:r w:rsidRPr="00B10A33">
              <w:rPr>
                <w:sz w:val="24"/>
                <w:szCs w:val="24"/>
              </w:rPr>
              <w:t>CAPITAL COST</w:t>
            </w:r>
          </w:p>
        </w:tc>
        <w:tc>
          <w:tcPr>
            <w:tcW w:w="3117" w:type="dxa"/>
          </w:tcPr>
          <w:p w:rsidR="002E590B" w:rsidRPr="00B10A33" w:rsidP="00C06FD0" w14:paraId="265A8FB7" w14:textId="3D8862EB">
            <w:pPr>
              <w:rPr>
                <w:sz w:val="24"/>
                <w:szCs w:val="24"/>
              </w:rPr>
            </w:pPr>
            <w:r w:rsidRPr="00B10A33">
              <w:rPr>
                <w:sz w:val="24"/>
                <w:szCs w:val="24"/>
              </w:rPr>
              <w:t>$</w:t>
            </w:r>
            <w:r w:rsidRPr="00B10A33" w:rsidR="00EA06DE">
              <w:rPr>
                <w:sz w:val="24"/>
                <w:szCs w:val="24"/>
              </w:rPr>
              <w:t>110,999</w:t>
            </w:r>
          </w:p>
        </w:tc>
      </w:tr>
    </w:tbl>
    <w:p w:rsidR="00923DCA" w:rsidRPr="00B10A33" w:rsidP="006F722D" w14:paraId="02A3BC22" w14:textId="77777777">
      <w:pPr>
        <w:spacing w:after="0" w:line="240" w:lineRule="auto"/>
        <w:rPr>
          <w:rFonts w:ascii="Times New Roman" w:hAnsi="Times New Roman" w:cs="Times New Roman"/>
          <w:sz w:val="24"/>
          <w:szCs w:val="24"/>
        </w:rPr>
      </w:pPr>
    </w:p>
    <w:p w:rsidR="006F722D" w:rsidRPr="00B10A33" w:rsidP="006F722D" w14:paraId="1B7E5F77" w14:textId="43BC68D6">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The </w:t>
      </w:r>
      <w:r w:rsidRPr="00B10A33" w:rsidR="000430B7">
        <w:rPr>
          <w:rFonts w:ascii="Times New Roman" w:hAnsi="Times New Roman" w:cs="Times New Roman"/>
          <w:sz w:val="24"/>
          <w:szCs w:val="24"/>
        </w:rPr>
        <w:t>increase</w:t>
      </w:r>
      <w:r w:rsidRPr="00B10A33">
        <w:rPr>
          <w:rFonts w:ascii="Times New Roman" w:hAnsi="Times New Roman" w:cs="Times New Roman"/>
          <w:sz w:val="24"/>
          <w:szCs w:val="24"/>
        </w:rPr>
        <w:t xml:space="preserve"> </w:t>
      </w:r>
      <w:r w:rsidRPr="00B10A33" w:rsidR="00A97E18">
        <w:rPr>
          <w:rFonts w:ascii="Times New Roman" w:hAnsi="Times New Roman" w:cs="Times New Roman"/>
          <w:sz w:val="24"/>
          <w:szCs w:val="24"/>
        </w:rPr>
        <w:t xml:space="preserve">of </w:t>
      </w:r>
      <w:r w:rsidRPr="00B10A33" w:rsidR="000430B7">
        <w:rPr>
          <w:rFonts w:ascii="Times New Roman" w:hAnsi="Times New Roman" w:cs="Times New Roman"/>
          <w:sz w:val="24"/>
          <w:szCs w:val="24"/>
        </w:rPr>
        <w:t>379</w:t>
      </w:r>
      <w:r w:rsidRPr="00B10A33">
        <w:rPr>
          <w:rFonts w:ascii="Times New Roman" w:hAnsi="Times New Roman" w:cs="Times New Roman"/>
          <w:sz w:val="24"/>
          <w:szCs w:val="24"/>
        </w:rPr>
        <w:t xml:space="preserve"> hours is primarily attributed to a better understanding of </w:t>
      </w:r>
      <w:r w:rsidRPr="00B10A33" w:rsidR="003729D6">
        <w:rPr>
          <w:rFonts w:ascii="Times New Roman" w:hAnsi="Times New Roman" w:cs="Times New Roman"/>
          <w:sz w:val="24"/>
          <w:szCs w:val="24"/>
        </w:rPr>
        <w:t>how many manufacturers perform emissions testing in their own laboratories and how many engine families are certified</w:t>
      </w:r>
      <w:r w:rsidRPr="00B10A33" w:rsidR="000430B7">
        <w:rPr>
          <w:rFonts w:ascii="Times New Roman" w:hAnsi="Times New Roman" w:cs="Times New Roman"/>
          <w:sz w:val="24"/>
          <w:szCs w:val="24"/>
        </w:rPr>
        <w:t xml:space="preserve"> by those manufacturers</w:t>
      </w:r>
      <w:r w:rsidRPr="00B10A33" w:rsidR="003729D6">
        <w:rPr>
          <w:rFonts w:ascii="Times New Roman" w:hAnsi="Times New Roman" w:cs="Times New Roman"/>
          <w:sz w:val="24"/>
          <w:szCs w:val="24"/>
        </w:rPr>
        <w:t>. The EPA now collects information o</w:t>
      </w:r>
      <w:r w:rsidRPr="00B10A33" w:rsidR="00C47C01">
        <w:rPr>
          <w:rFonts w:ascii="Times New Roman" w:hAnsi="Times New Roman" w:cs="Times New Roman"/>
          <w:sz w:val="24"/>
          <w:szCs w:val="24"/>
        </w:rPr>
        <w:t xml:space="preserve">n where emissions testing was performed and by </w:t>
      </w:r>
      <w:r w:rsidRPr="00B10A33" w:rsidR="000430B7">
        <w:rPr>
          <w:rFonts w:ascii="Times New Roman" w:hAnsi="Times New Roman" w:cs="Times New Roman"/>
          <w:sz w:val="24"/>
          <w:szCs w:val="24"/>
        </w:rPr>
        <w:t>what test laboratory</w:t>
      </w:r>
      <w:r w:rsidRPr="00B10A33" w:rsidR="00C47C01">
        <w:rPr>
          <w:rFonts w:ascii="Times New Roman" w:hAnsi="Times New Roman" w:cs="Times New Roman"/>
          <w:sz w:val="24"/>
          <w:szCs w:val="24"/>
        </w:rPr>
        <w:t>. We now have a more robust data set to inform our e</w:t>
      </w:r>
      <w:r w:rsidRPr="00B10A33" w:rsidR="002C361F">
        <w:rPr>
          <w:rFonts w:ascii="Times New Roman" w:hAnsi="Times New Roman" w:cs="Times New Roman"/>
          <w:sz w:val="24"/>
          <w:szCs w:val="24"/>
        </w:rPr>
        <w:t xml:space="preserve">stimation(s) and further assist the EPA in our compliance responsibilities. </w:t>
      </w:r>
    </w:p>
    <w:p w:rsidR="002C361F" w:rsidRPr="00B10A33" w:rsidP="006F722D" w14:paraId="722ABBB6" w14:textId="77777777">
      <w:pPr>
        <w:spacing w:after="0" w:line="240" w:lineRule="auto"/>
        <w:rPr>
          <w:rFonts w:ascii="Times New Roman" w:hAnsi="Times New Roman" w:cs="Times New Roman"/>
          <w:sz w:val="24"/>
          <w:szCs w:val="24"/>
        </w:rPr>
      </w:pPr>
    </w:p>
    <w:p w:rsidR="006F722D" w:rsidRPr="00B10A33" w:rsidP="006F722D" w14:paraId="5A211D17" w14:textId="77777777">
      <w:pPr>
        <w:spacing w:after="0" w:line="240" w:lineRule="auto"/>
        <w:rPr>
          <w:rFonts w:ascii="Times New Roman" w:hAnsi="Times New Roman" w:cs="Times New Roman"/>
          <w:sz w:val="24"/>
          <w:szCs w:val="24"/>
          <w:u w:val="single"/>
        </w:rPr>
      </w:pPr>
      <w:r w:rsidRPr="00B10A33">
        <w:rPr>
          <w:rFonts w:ascii="Times New Roman" w:hAnsi="Times New Roman" w:cs="Times New Roman"/>
          <w:sz w:val="24"/>
          <w:szCs w:val="24"/>
        </w:rPr>
        <w:t xml:space="preserve">(ii)  </w:t>
      </w:r>
      <w:r w:rsidRPr="00B10A33">
        <w:rPr>
          <w:rFonts w:ascii="Times New Roman" w:hAnsi="Times New Roman" w:cs="Times New Roman"/>
          <w:sz w:val="24"/>
          <w:szCs w:val="24"/>
          <w:u w:val="single"/>
        </w:rPr>
        <w:t>Agency Tally</w:t>
      </w:r>
    </w:p>
    <w:p w:rsidR="006F722D" w:rsidRPr="00B10A33" w:rsidP="006F722D" w14:paraId="4365D26C" w14:textId="77777777">
      <w:pPr>
        <w:spacing w:after="0" w:line="240" w:lineRule="auto"/>
        <w:rPr>
          <w:rFonts w:ascii="Times New Roman" w:hAnsi="Times New Roman" w:cs="Times New Roman"/>
          <w:sz w:val="24"/>
          <w:szCs w:val="24"/>
          <w:u w:val="single"/>
        </w:rPr>
      </w:pPr>
    </w:p>
    <w:tbl>
      <w:tblPr>
        <w:tblStyle w:val="TableGrid"/>
        <w:tblW w:w="0" w:type="auto"/>
        <w:tblLook w:val="04A0"/>
      </w:tblPr>
      <w:tblGrid>
        <w:gridCol w:w="4675"/>
        <w:gridCol w:w="4675"/>
      </w:tblGrid>
      <w:tr w14:paraId="4EF7B46A" w14:textId="77777777" w:rsidTr="001E59CE">
        <w:tblPrEx>
          <w:tblW w:w="0" w:type="auto"/>
          <w:tblLook w:val="04A0"/>
        </w:tblPrEx>
        <w:tc>
          <w:tcPr>
            <w:tcW w:w="4675" w:type="dxa"/>
          </w:tcPr>
          <w:p w:rsidR="001E59CE" w:rsidRPr="00B10A33" w:rsidP="00C06FD0" w14:paraId="193F59DE" w14:textId="76F3E4DF">
            <w:pPr>
              <w:rPr>
                <w:sz w:val="24"/>
                <w:szCs w:val="24"/>
              </w:rPr>
            </w:pPr>
            <w:r w:rsidRPr="00B10A33">
              <w:rPr>
                <w:sz w:val="24"/>
                <w:szCs w:val="24"/>
              </w:rPr>
              <w:t xml:space="preserve">Annual </w:t>
            </w:r>
            <w:r w:rsidRPr="00B10A33">
              <w:rPr>
                <w:sz w:val="24"/>
                <w:szCs w:val="24"/>
              </w:rPr>
              <w:t xml:space="preserve">LABOR </w:t>
            </w:r>
            <w:r w:rsidRPr="00B10A33">
              <w:rPr>
                <w:sz w:val="24"/>
                <w:szCs w:val="24"/>
              </w:rPr>
              <w:t>Hours</w:t>
            </w:r>
            <w:r w:rsidRPr="00B10A33">
              <w:rPr>
                <w:sz w:val="24"/>
                <w:szCs w:val="24"/>
              </w:rPr>
              <w:t>:</w:t>
            </w:r>
          </w:p>
        </w:tc>
        <w:tc>
          <w:tcPr>
            <w:tcW w:w="4675" w:type="dxa"/>
          </w:tcPr>
          <w:p w:rsidR="001E59CE" w:rsidRPr="00457895" w:rsidP="006E4A37" w14:paraId="2E6760C2" w14:textId="1E678449">
            <w:pPr>
              <w:rPr>
                <w:sz w:val="24"/>
                <w:szCs w:val="24"/>
              </w:rPr>
            </w:pPr>
            <w:r w:rsidRPr="00B10A33">
              <w:rPr>
                <w:sz w:val="24"/>
                <w:szCs w:val="24"/>
              </w:rPr>
              <w:t>2</w:t>
            </w:r>
            <w:r w:rsidRPr="00B10A33" w:rsidR="008831E7">
              <w:rPr>
                <w:sz w:val="24"/>
                <w:szCs w:val="24"/>
              </w:rPr>
              <w:t>,</w:t>
            </w:r>
            <w:r w:rsidRPr="00B10A33">
              <w:rPr>
                <w:sz w:val="24"/>
                <w:szCs w:val="24"/>
              </w:rPr>
              <w:t>784</w:t>
            </w:r>
          </w:p>
        </w:tc>
      </w:tr>
      <w:tr w14:paraId="0F4E9081" w14:textId="77777777" w:rsidTr="001E59CE">
        <w:tblPrEx>
          <w:tblW w:w="0" w:type="auto"/>
          <w:tblLook w:val="04A0"/>
        </w:tblPrEx>
        <w:tc>
          <w:tcPr>
            <w:tcW w:w="4675" w:type="dxa"/>
          </w:tcPr>
          <w:p w:rsidR="001E59CE" w:rsidRPr="00B10A33" w:rsidP="00C06FD0" w14:paraId="0FD11A5B" w14:textId="2E7F5D8A">
            <w:pPr>
              <w:rPr>
                <w:sz w:val="24"/>
                <w:szCs w:val="24"/>
              </w:rPr>
            </w:pPr>
            <w:r w:rsidRPr="00B10A33">
              <w:rPr>
                <w:sz w:val="24"/>
                <w:szCs w:val="24"/>
              </w:rPr>
              <w:t xml:space="preserve">Agency </w:t>
            </w:r>
            <w:r w:rsidRPr="00B10A33">
              <w:rPr>
                <w:sz w:val="24"/>
                <w:szCs w:val="24"/>
              </w:rPr>
              <w:t>COST</w:t>
            </w:r>
          </w:p>
        </w:tc>
        <w:tc>
          <w:tcPr>
            <w:tcW w:w="4675" w:type="dxa"/>
          </w:tcPr>
          <w:p w:rsidR="001E59CE" w:rsidRPr="00457895" w:rsidP="00896CDA" w14:paraId="63ECD259" w14:textId="044AA530">
            <w:pPr>
              <w:rPr>
                <w:sz w:val="24"/>
                <w:szCs w:val="24"/>
              </w:rPr>
            </w:pPr>
            <w:r w:rsidRPr="00B10A33">
              <w:rPr>
                <w:sz w:val="24"/>
                <w:szCs w:val="24"/>
              </w:rPr>
              <w:t>$</w:t>
            </w:r>
            <w:r w:rsidRPr="00B10A33" w:rsidR="00052446">
              <w:rPr>
                <w:sz w:val="24"/>
                <w:szCs w:val="24"/>
              </w:rPr>
              <w:t>219,909</w:t>
            </w:r>
          </w:p>
        </w:tc>
      </w:tr>
    </w:tbl>
    <w:p w:rsidR="006F722D" w:rsidRPr="00B10A33" w:rsidP="006F722D" w14:paraId="540A551E" w14:textId="77777777">
      <w:pPr>
        <w:spacing w:after="0" w:line="240" w:lineRule="auto"/>
        <w:rPr>
          <w:rFonts w:ascii="Times New Roman" w:hAnsi="Times New Roman" w:cs="Times New Roman"/>
          <w:sz w:val="24"/>
          <w:szCs w:val="24"/>
        </w:rPr>
      </w:pPr>
    </w:p>
    <w:p w:rsidR="006F722D" w:rsidRPr="00B10A33" w:rsidP="006F722D" w14:paraId="2B7038D7"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6(f) </w:t>
      </w:r>
      <w:r w:rsidRPr="00B10A33">
        <w:rPr>
          <w:rFonts w:ascii="Times New Roman" w:hAnsi="Times New Roman" w:cs="Times New Roman"/>
          <w:sz w:val="24"/>
          <w:szCs w:val="24"/>
          <w:u w:val="single"/>
        </w:rPr>
        <w:t>Reasons for change in burden</w:t>
      </w:r>
    </w:p>
    <w:p w:rsidR="006F722D" w:rsidRPr="00B10A33" w:rsidP="006F722D" w14:paraId="0B415AE3" w14:textId="77777777">
      <w:pPr>
        <w:spacing w:after="0" w:line="240" w:lineRule="auto"/>
        <w:rPr>
          <w:rFonts w:ascii="Times New Roman" w:hAnsi="Times New Roman" w:cs="Times New Roman"/>
          <w:sz w:val="24"/>
          <w:szCs w:val="24"/>
        </w:rPr>
      </w:pPr>
    </w:p>
    <w:p w:rsidR="00332FAA" w:rsidRPr="00457895" w:rsidP="00332FAA" w14:paraId="2AAA86D6" w14:textId="3F85DF2A">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The </w:t>
      </w:r>
      <w:r w:rsidRPr="00B10A33" w:rsidR="006F722D">
        <w:rPr>
          <w:rFonts w:ascii="Times New Roman" w:hAnsi="Times New Roman" w:cs="Times New Roman"/>
          <w:sz w:val="24"/>
          <w:szCs w:val="24"/>
        </w:rPr>
        <w:t xml:space="preserve">EPA has not made any program changes since </w:t>
      </w:r>
      <w:r w:rsidRPr="00B10A33">
        <w:rPr>
          <w:rFonts w:ascii="Times New Roman" w:hAnsi="Times New Roman" w:cs="Times New Roman"/>
          <w:sz w:val="24"/>
          <w:szCs w:val="24"/>
        </w:rPr>
        <w:t xml:space="preserve">submitting </w:t>
      </w:r>
      <w:r w:rsidRPr="00B10A33" w:rsidR="006F722D">
        <w:rPr>
          <w:rFonts w:ascii="Times New Roman" w:hAnsi="Times New Roman" w:cs="Times New Roman"/>
          <w:sz w:val="24"/>
          <w:szCs w:val="24"/>
        </w:rPr>
        <w:t xml:space="preserve">the previous ICR renewal. </w:t>
      </w:r>
      <w:r w:rsidRPr="00457895">
        <w:rPr>
          <w:rFonts w:ascii="Times New Roman" w:hAnsi="Times New Roman" w:cs="Times New Roman"/>
          <w:sz w:val="24"/>
          <w:szCs w:val="24"/>
        </w:rPr>
        <w:t xml:space="preserve">The increase of </w:t>
      </w:r>
      <w:r w:rsidRPr="00457895">
        <w:rPr>
          <w:rFonts w:ascii="Times New Roman" w:hAnsi="Times New Roman" w:cs="Times New Roman"/>
          <w:sz w:val="24"/>
          <w:szCs w:val="24"/>
        </w:rPr>
        <w:t>960</w:t>
      </w:r>
      <w:r w:rsidRPr="00457895">
        <w:rPr>
          <w:rFonts w:ascii="Times New Roman" w:hAnsi="Times New Roman" w:cs="Times New Roman"/>
          <w:sz w:val="24"/>
          <w:szCs w:val="24"/>
        </w:rPr>
        <w:t xml:space="preserve"> hours </w:t>
      </w:r>
      <w:r w:rsidRPr="00457895">
        <w:rPr>
          <w:rFonts w:ascii="Times New Roman" w:hAnsi="Times New Roman" w:cs="Times New Roman"/>
          <w:sz w:val="24"/>
          <w:szCs w:val="24"/>
        </w:rPr>
        <w:t xml:space="preserve">and other </w:t>
      </w:r>
      <w:r w:rsidRPr="00457895" w:rsidR="00386E08">
        <w:rPr>
          <w:rFonts w:ascii="Times New Roman" w:hAnsi="Times New Roman" w:cs="Times New Roman"/>
          <w:sz w:val="24"/>
          <w:szCs w:val="24"/>
        </w:rPr>
        <w:t>changes</w:t>
      </w:r>
      <w:r w:rsidRPr="00457895">
        <w:rPr>
          <w:rFonts w:ascii="Times New Roman" w:hAnsi="Times New Roman" w:cs="Times New Roman"/>
          <w:sz w:val="24"/>
          <w:szCs w:val="24"/>
        </w:rPr>
        <w:t xml:space="preserve"> to costs can be </w:t>
      </w:r>
      <w:r w:rsidRPr="00457895">
        <w:rPr>
          <w:rFonts w:ascii="Times New Roman" w:hAnsi="Times New Roman" w:cs="Times New Roman"/>
          <w:sz w:val="24"/>
          <w:szCs w:val="24"/>
        </w:rPr>
        <w:t xml:space="preserve">primarily attributed to </w:t>
      </w:r>
      <w:r w:rsidRPr="00457895">
        <w:rPr>
          <w:rFonts w:ascii="Times New Roman" w:hAnsi="Times New Roman" w:cs="Times New Roman"/>
          <w:sz w:val="24"/>
          <w:szCs w:val="24"/>
        </w:rPr>
        <w:t xml:space="preserve">the following factors: </w:t>
      </w:r>
    </w:p>
    <w:p w:rsidR="00332FAA" w:rsidRPr="00457895" w:rsidP="00457895" w14:paraId="736C7F25" w14:textId="53954A21">
      <w:pPr>
        <w:pStyle w:val="ListParagraph"/>
        <w:numPr>
          <w:ilvl w:val="0"/>
          <w:numId w:val="9"/>
        </w:numPr>
        <w:spacing w:after="0" w:line="240" w:lineRule="auto"/>
        <w:rPr>
          <w:rFonts w:ascii="Times New Roman" w:hAnsi="Times New Roman" w:cs="Times New Roman"/>
          <w:sz w:val="24"/>
          <w:szCs w:val="24"/>
        </w:rPr>
      </w:pPr>
      <w:r w:rsidRPr="00457895">
        <w:rPr>
          <w:rFonts w:ascii="Times New Roman" w:hAnsi="Times New Roman" w:cs="Times New Roman"/>
          <w:sz w:val="24"/>
          <w:szCs w:val="24"/>
        </w:rPr>
        <w:t xml:space="preserve">An increase in manufacturers counted due to the addition of 13 new gas-powered motorcycle manufacturers and the inclusion of 27 electric motorcycle manufacturers (which were not included in the previous ICR). </w:t>
      </w:r>
    </w:p>
    <w:p w:rsidR="00332FAA" w:rsidRPr="00457895" w:rsidP="00457895" w14:paraId="57D4FF7F" w14:textId="29B1DE5D">
      <w:pPr>
        <w:pStyle w:val="ListParagraph"/>
        <w:numPr>
          <w:ilvl w:val="0"/>
          <w:numId w:val="9"/>
        </w:numPr>
        <w:spacing w:after="0" w:line="240" w:lineRule="auto"/>
        <w:rPr>
          <w:rFonts w:ascii="Times New Roman" w:hAnsi="Times New Roman" w:cs="Times New Roman"/>
          <w:sz w:val="24"/>
          <w:szCs w:val="24"/>
        </w:rPr>
      </w:pPr>
      <w:r w:rsidRPr="00457895">
        <w:rPr>
          <w:rFonts w:ascii="Times New Roman" w:hAnsi="Times New Roman" w:cs="Times New Roman"/>
          <w:sz w:val="24"/>
          <w:szCs w:val="24"/>
        </w:rPr>
        <w:t xml:space="preserve">a better understanding of how many manufacturers perform emissions testing in their own laboratories and how many engine families are certified by those manufacturers. </w:t>
      </w:r>
    </w:p>
    <w:p w:rsidR="00386E08" w:rsidRPr="00B10A33" w:rsidP="00223687" w14:paraId="107FE3B4" w14:textId="240ACDE2">
      <w:pPr>
        <w:pStyle w:val="ListParagraph"/>
        <w:numPr>
          <w:ilvl w:val="0"/>
          <w:numId w:val="9"/>
        </w:numPr>
        <w:spacing w:after="0" w:line="240" w:lineRule="auto"/>
        <w:rPr>
          <w:rFonts w:ascii="Times New Roman" w:hAnsi="Times New Roman" w:cs="Times New Roman"/>
          <w:sz w:val="24"/>
          <w:szCs w:val="24"/>
        </w:rPr>
      </w:pPr>
      <w:r w:rsidRPr="00457895">
        <w:rPr>
          <w:rFonts w:ascii="Times New Roman" w:hAnsi="Times New Roman" w:cs="Times New Roman"/>
          <w:sz w:val="24"/>
          <w:szCs w:val="24"/>
        </w:rPr>
        <w:t xml:space="preserve">Refined calculations about the number of new engine families expected in the upcoming </w:t>
      </w:r>
      <w:r w:rsidRPr="00457895">
        <w:rPr>
          <w:rFonts w:ascii="Times New Roman" w:hAnsi="Times New Roman" w:cs="Times New Roman"/>
          <w:sz w:val="24"/>
          <w:szCs w:val="24"/>
        </w:rPr>
        <w:t xml:space="preserve">period versus the number of engine families that are expected to use carry-over data from the previous year.  </w:t>
      </w:r>
    </w:p>
    <w:p w:rsidR="00223687" w:rsidRPr="00B10A33" w:rsidP="00223687" w14:paraId="0413E0E1" w14:textId="4F0F096B">
      <w:pPr>
        <w:pStyle w:val="ListParagraph"/>
        <w:numPr>
          <w:ilvl w:val="0"/>
          <w:numId w:val="9"/>
        </w:numPr>
        <w:rPr>
          <w:rFonts w:ascii="Times New Roman" w:hAnsi="Times New Roman" w:cs="Times New Roman"/>
          <w:sz w:val="24"/>
          <w:szCs w:val="24"/>
        </w:rPr>
      </w:pPr>
      <w:r w:rsidRPr="00B10A33">
        <w:rPr>
          <w:rFonts w:ascii="Times New Roman" w:hAnsi="Times New Roman" w:cs="Times New Roman"/>
          <w:sz w:val="24"/>
          <w:szCs w:val="24"/>
        </w:rPr>
        <w:t xml:space="preserve">Expanded EPA understanding of the total labor </w:t>
      </w:r>
      <w:r w:rsidRPr="00B10A33">
        <w:rPr>
          <w:rFonts w:ascii="Times New Roman" w:hAnsi="Times New Roman" w:cs="Times New Roman"/>
          <w:sz w:val="24"/>
          <w:szCs w:val="24"/>
        </w:rPr>
        <w:t xml:space="preserve">(increased) </w:t>
      </w:r>
      <w:r w:rsidRPr="00B10A33">
        <w:rPr>
          <w:rFonts w:ascii="Times New Roman" w:hAnsi="Times New Roman" w:cs="Times New Roman"/>
          <w:sz w:val="24"/>
          <w:szCs w:val="24"/>
        </w:rPr>
        <w:t>and labor mix (note inclusion of a new labor category for engineers) associated with certification tasks.</w:t>
      </w:r>
    </w:p>
    <w:p w:rsidR="00223687" w:rsidRPr="00457895" w:rsidP="00457895" w14:paraId="4D891B96" w14:textId="7ABF199F">
      <w:pPr>
        <w:pStyle w:val="ListParagraph"/>
        <w:numPr>
          <w:ilvl w:val="0"/>
          <w:numId w:val="9"/>
        </w:num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Natural cost inflation</w:t>
      </w:r>
    </w:p>
    <w:p w:rsidR="00B10A33" w:rsidRPr="00B10A33" w:rsidP="00223687" w14:paraId="5E9A20F7" w14:textId="77777777">
      <w:pPr>
        <w:pStyle w:val="ListParagraph"/>
        <w:numPr>
          <w:ilvl w:val="0"/>
          <w:numId w:val="9"/>
        </w:numPr>
        <w:rPr>
          <w:rFonts w:ascii="Times New Roman" w:hAnsi="Times New Roman" w:cs="Times New Roman"/>
          <w:sz w:val="24"/>
          <w:szCs w:val="24"/>
        </w:rPr>
      </w:pPr>
      <w:r w:rsidRPr="00457895">
        <w:rPr>
          <w:rFonts w:ascii="Times New Roman" w:hAnsi="Times New Roman" w:cs="Times New Roman"/>
          <w:sz w:val="24"/>
          <w:szCs w:val="24"/>
        </w:rPr>
        <w:t xml:space="preserve">Updated (downward) estimates on the number of manufacturers that will carry out in-house testing versus those that will outsource the testing work. </w:t>
      </w:r>
      <w:r w:rsidRPr="00457895" w:rsidR="00332FAA">
        <w:rPr>
          <w:rFonts w:ascii="Times New Roman" w:hAnsi="Times New Roman" w:cs="Times New Roman"/>
          <w:sz w:val="24"/>
          <w:szCs w:val="24"/>
        </w:rPr>
        <w:t>The EPA now collects information on where emissions testing was performed and by what test laboratory. We now have a more robust data set to inform our estimation(s) and further assist the EPA in our compliance responsibilities.</w:t>
      </w:r>
    </w:p>
    <w:p w:rsidR="006F722D" w:rsidRPr="00B10A33" w:rsidP="00457895" w14:paraId="41B0C6B7" w14:textId="21B1B442">
      <w:pPr>
        <w:pStyle w:val="ListParagraph"/>
        <w:numPr>
          <w:ilvl w:val="0"/>
          <w:numId w:val="9"/>
        </w:numPr>
        <w:rPr>
          <w:rFonts w:ascii="Times New Roman" w:hAnsi="Times New Roman" w:cs="Times New Roman"/>
          <w:sz w:val="24"/>
          <w:szCs w:val="24"/>
        </w:rPr>
      </w:pPr>
      <w:r w:rsidRPr="00B10A33">
        <w:rPr>
          <w:rFonts w:ascii="Times New Roman" w:hAnsi="Times New Roman" w:cs="Times New Roman"/>
          <w:sz w:val="24"/>
          <w:szCs w:val="24"/>
        </w:rPr>
        <w:t xml:space="preserve">Corrections made to cost calculation formulas. </w:t>
      </w:r>
      <w:r w:rsidRPr="00457895" w:rsidR="00332FAA">
        <w:rPr>
          <w:rFonts w:ascii="Times New Roman" w:hAnsi="Times New Roman" w:cs="Times New Roman"/>
          <w:sz w:val="24"/>
          <w:szCs w:val="24"/>
        </w:rPr>
        <w:t xml:space="preserve"> </w:t>
      </w:r>
    </w:p>
    <w:p w:rsidR="006F722D" w:rsidRPr="00B10A33" w:rsidP="006F722D" w14:paraId="35C42842"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6(g) </w:t>
      </w:r>
      <w:r w:rsidRPr="00B10A33">
        <w:rPr>
          <w:rFonts w:ascii="Times New Roman" w:hAnsi="Times New Roman" w:cs="Times New Roman"/>
          <w:sz w:val="24"/>
          <w:szCs w:val="24"/>
          <w:u w:val="single"/>
        </w:rPr>
        <w:t>Burden Statement</w:t>
      </w:r>
    </w:p>
    <w:p w:rsidR="006F722D" w:rsidRPr="00B10A33" w:rsidP="006F722D" w14:paraId="41493448" w14:textId="77777777">
      <w:pPr>
        <w:spacing w:after="0" w:line="240" w:lineRule="auto"/>
        <w:rPr>
          <w:rFonts w:ascii="Times New Roman" w:hAnsi="Times New Roman" w:cs="Times New Roman"/>
          <w:sz w:val="24"/>
          <w:szCs w:val="24"/>
        </w:rPr>
      </w:pPr>
    </w:p>
    <w:p w:rsidR="008831E7" w:rsidRPr="00B10A33" w:rsidP="008831E7" w14:paraId="4D9C5181" w14:textId="6CC060FC">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The average annual burden per respondent is approximately </w:t>
      </w:r>
      <w:r w:rsidRPr="00B10A33">
        <w:rPr>
          <w:rFonts w:ascii="Times New Roman" w:hAnsi="Times New Roman" w:cs="Times New Roman"/>
          <w:sz w:val="24"/>
          <w:szCs w:val="24"/>
        </w:rPr>
        <w:t>97</w:t>
      </w:r>
      <w:r w:rsidRPr="00B10A33">
        <w:rPr>
          <w:rFonts w:ascii="Times New Roman" w:hAnsi="Times New Roman" w:cs="Times New Roman"/>
          <w:sz w:val="24"/>
          <w:szCs w:val="24"/>
        </w:rPr>
        <w:t xml:space="preserve"> hours, per engine family. These estimates include time to review applicable regulations and guidance documents, generate and gather the necessary information, submit documents, conduct certification and compliance testing, and provide all required reporting and record keeping activities.</w:t>
      </w:r>
    </w:p>
    <w:p w:rsidR="006F722D" w:rsidRPr="00B10A33" w:rsidP="006F722D" w14:paraId="1079E08F" w14:textId="77777777">
      <w:pPr>
        <w:spacing w:after="0" w:line="240" w:lineRule="auto"/>
        <w:rPr>
          <w:rFonts w:ascii="Times New Roman" w:hAnsi="Times New Roman" w:cs="Times New Roman"/>
          <w:sz w:val="24"/>
          <w:szCs w:val="24"/>
        </w:rPr>
      </w:pPr>
    </w:p>
    <w:p w:rsidR="006F722D" w:rsidRPr="00B10A33" w:rsidP="006F722D" w14:paraId="2EA8913C" w14:textId="6DB7BA8F">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Burden means the total time, effort, or financial resources expended by persons to generate, maintain, retain, or disclose or provide information to or for a </w:t>
      </w:r>
      <w:r w:rsidRPr="00B10A33" w:rsidR="00641B3A">
        <w:rPr>
          <w:rFonts w:ascii="Times New Roman" w:hAnsi="Times New Roman" w:cs="Times New Roman"/>
          <w:sz w:val="24"/>
          <w:szCs w:val="24"/>
        </w:rPr>
        <w:t>federal</w:t>
      </w:r>
      <w:r w:rsidRPr="00B10A33">
        <w:rPr>
          <w:rFonts w:ascii="Times New Roman" w:hAnsi="Times New Roman" w:cs="Times New Roman"/>
          <w:sz w:val="24"/>
          <w:szCs w:val="24"/>
        </w:rPr>
        <w:t xml:space="preserve"> agency. This includes the time needed to review instructions; develop, acquire, install, and utilize technology and systems for the purposes of collecting, validating, and </w:t>
      </w:r>
      <w:r w:rsidRPr="00B10A33" w:rsidR="00072451">
        <w:rPr>
          <w:rFonts w:ascii="Times New Roman" w:hAnsi="Times New Roman" w:cs="Times New Roman"/>
          <w:sz w:val="24"/>
          <w:szCs w:val="24"/>
        </w:rPr>
        <w:t>submitting</w:t>
      </w:r>
      <w:r w:rsidRPr="00B10A33">
        <w:rPr>
          <w:rFonts w:ascii="Times New Roman" w:hAnsi="Times New Roman" w:cs="Times New Roman"/>
          <w:sz w:val="24"/>
          <w:szCs w:val="24"/>
        </w:rPr>
        <w:t xml:space="preserve">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w:t>
      </w:r>
      <w:r w:rsidRPr="00B10A33">
        <w:rPr>
          <w:rFonts w:ascii="Times New Roman" w:hAnsi="Times New Roman" w:cs="Times New Roman"/>
          <w:sz w:val="24"/>
          <w:szCs w:val="24"/>
        </w:rPr>
        <w:t xml:space="preserve">of information; and transmit or otherwise disclose the information. An agency may not conduct or sponsor, and a person is not required to respond to, a collection of information unless it displays a currently valid OMB control number. The OMB control numbers for </w:t>
      </w:r>
      <w:r w:rsidRPr="00B10A33" w:rsidR="00295584">
        <w:rPr>
          <w:rFonts w:ascii="Times New Roman" w:hAnsi="Times New Roman" w:cs="Times New Roman"/>
          <w:sz w:val="24"/>
          <w:szCs w:val="24"/>
        </w:rPr>
        <w:t xml:space="preserve">the </w:t>
      </w:r>
      <w:r w:rsidRPr="00B10A33">
        <w:rPr>
          <w:rFonts w:ascii="Times New Roman" w:hAnsi="Times New Roman" w:cs="Times New Roman"/>
          <w:sz w:val="24"/>
          <w:szCs w:val="24"/>
        </w:rPr>
        <w:t>EPA’s regulations are listed in 40 CFR Part 9 and 48 CFR Chapter 15.</w:t>
      </w:r>
    </w:p>
    <w:p w:rsidR="006F722D" w:rsidRPr="00B10A33" w:rsidP="006F722D" w14:paraId="13D888FC" w14:textId="77777777">
      <w:pPr>
        <w:spacing w:after="0" w:line="240" w:lineRule="auto"/>
        <w:rPr>
          <w:rFonts w:ascii="Times New Roman" w:hAnsi="Times New Roman" w:cs="Times New Roman"/>
          <w:sz w:val="24"/>
          <w:szCs w:val="24"/>
        </w:rPr>
      </w:pPr>
    </w:p>
    <w:p w:rsidR="001B463C" w:rsidRPr="00B10A33" w:rsidP="001B463C" w14:paraId="750BEB62" w14:textId="77777777">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 xml:space="preserve">To comment on the Agency's need for this information, the accuracy of the provided burden estimates, and any suggested methods for minimizing respondent burden, including the use of automated collection techniques, </w:t>
      </w:r>
      <w:r w:rsidRPr="00B10A33" w:rsidR="00295584">
        <w:rPr>
          <w:rFonts w:ascii="Times New Roman" w:hAnsi="Times New Roman" w:cs="Times New Roman"/>
          <w:sz w:val="24"/>
          <w:szCs w:val="24"/>
        </w:rPr>
        <w:t xml:space="preserve">the </w:t>
      </w:r>
      <w:r w:rsidRPr="00B10A33">
        <w:rPr>
          <w:rFonts w:ascii="Times New Roman" w:hAnsi="Times New Roman" w:cs="Times New Roman"/>
          <w:sz w:val="24"/>
          <w:szCs w:val="24"/>
        </w:rPr>
        <w:t>EPA has established a public docket for this ICR under Docket ID Number EPA-HQ-</w:t>
      </w:r>
      <w:r w:rsidRPr="00B10A33" w:rsidR="001E59CE">
        <w:rPr>
          <w:rFonts w:ascii="Times New Roman" w:hAnsi="Times New Roman" w:cs="Times New Roman"/>
          <w:sz w:val="24"/>
          <w:szCs w:val="24"/>
        </w:rPr>
        <w:t>OAR–2016–0027</w:t>
      </w:r>
      <w:r w:rsidRPr="00B10A33">
        <w:rPr>
          <w:rFonts w:ascii="Times New Roman" w:hAnsi="Times New Roman" w:cs="Times New Roman"/>
          <w:sz w:val="24"/>
          <w:szCs w:val="24"/>
        </w:rPr>
        <w:t xml:space="preserve">, which is available for online viewing at </w:t>
      </w:r>
      <w:r w:rsidRPr="00B10A33">
        <w:rPr>
          <w:rFonts w:ascii="Times New Roman" w:hAnsi="Times New Roman" w:cs="Times New Roman"/>
          <w:sz w:val="24"/>
          <w:szCs w:val="24"/>
        </w:rPr>
        <w:t>regulations.gov.</w:t>
      </w:r>
    </w:p>
    <w:p w:rsidR="001B463C" w:rsidRPr="00B10A33" w:rsidP="001B463C" w14:paraId="65520583" w14:textId="77777777">
      <w:pPr>
        <w:spacing w:after="0" w:line="240" w:lineRule="auto"/>
        <w:rPr>
          <w:rFonts w:ascii="Times New Roman" w:hAnsi="Times New Roman" w:cs="Times New Roman"/>
          <w:sz w:val="24"/>
          <w:szCs w:val="24"/>
        </w:rPr>
      </w:pPr>
    </w:p>
    <w:p w:rsidR="001B463C" w:rsidRPr="00B10A33" w:rsidP="001B463C" w14:paraId="16AA569F" w14:textId="77777777">
      <w:pPr>
        <w:spacing w:after="0" w:line="240" w:lineRule="auto"/>
        <w:rPr>
          <w:rFonts w:ascii="Times New Roman" w:hAnsi="Times New Roman" w:cs="Times New Roman"/>
          <w:bCs/>
          <w:sz w:val="24"/>
          <w:szCs w:val="24"/>
        </w:rPr>
      </w:pPr>
      <w:r w:rsidRPr="00B10A33">
        <w:rPr>
          <w:rFonts w:ascii="Times New Roman" w:hAnsi="Times New Roman" w:cs="Times New Roman"/>
          <w:sz w:val="24"/>
          <w:szCs w:val="24"/>
        </w:rPr>
        <w:t>This site can be used to submit or view public comments, access the index listing of the contents of the public docket, and to access those documents in the public docket that are available electronically</w:t>
      </w:r>
      <w:r w:rsidRPr="00B10A33" w:rsidR="00830CE7">
        <w:rPr>
          <w:rFonts w:ascii="Times New Roman" w:hAnsi="Times New Roman" w:cs="Times New Roman"/>
          <w:sz w:val="24"/>
          <w:szCs w:val="24"/>
        </w:rPr>
        <w:t xml:space="preserve">. </w:t>
      </w:r>
      <w:r w:rsidRPr="00B10A33">
        <w:rPr>
          <w:rFonts w:ascii="Times New Roman" w:hAnsi="Times New Roman" w:cs="Times New Roman"/>
          <w:sz w:val="24"/>
          <w:szCs w:val="24"/>
        </w:rPr>
        <w:t xml:space="preserve">When in the system, select “search,” then key in the Docket ID Number identified above. </w:t>
      </w:r>
      <w:r w:rsidRPr="00B10A33">
        <w:rPr>
          <w:rFonts w:ascii="Times New Roman" w:hAnsi="Times New Roman" w:cs="Times New Roman"/>
          <w:bCs/>
          <w:sz w:val="24"/>
          <w:szCs w:val="24"/>
        </w:rPr>
        <w:t xml:space="preserve">EPA Docket Center, Environmental Protection Agency, </w:t>
      </w:r>
      <w:r w:rsidRPr="00B10A33">
        <w:rPr>
          <w:rFonts w:ascii="Times New Roman" w:hAnsi="Times New Roman" w:cs="Times New Roman"/>
          <w:bCs/>
          <w:sz w:val="24"/>
          <w:szCs w:val="24"/>
        </w:rPr>
        <w:t>Mailcode</w:t>
      </w:r>
      <w:r w:rsidRPr="00B10A33">
        <w:rPr>
          <w:rFonts w:ascii="Times New Roman" w:hAnsi="Times New Roman" w:cs="Times New Roman"/>
          <w:bCs/>
          <w:sz w:val="24"/>
          <w:szCs w:val="24"/>
        </w:rPr>
        <w:t xml:space="preserve"> 28221T, 1200 Pennsylvania Ave., NW., Washington, DC 20460.</w:t>
      </w:r>
    </w:p>
    <w:p w:rsidR="001B463C" w:rsidRPr="00B10A33" w:rsidP="001B463C" w14:paraId="1FC9D80C" w14:textId="77777777">
      <w:pPr>
        <w:spacing w:after="0" w:line="240" w:lineRule="auto"/>
        <w:rPr>
          <w:rFonts w:ascii="Times New Roman" w:hAnsi="Times New Roman" w:cs="Times New Roman"/>
          <w:sz w:val="24"/>
          <w:szCs w:val="24"/>
        </w:rPr>
      </w:pPr>
    </w:p>
    <w:p w:rsidR="001B463C" w:rsidRPr="00B10A33" w:rsidP="001B463C" w14:paraId="1D720660" w14:textId="77777777">
      <w:pPr>
        <w:spacing w:after="0" w:line="240" w:lineRule="auto"/>
        <w:rPr>
          <w:rFonts w:ascii="Times New Roman" w:hAnsi="Times New Roman" w:cs="Times New Roman"/>
          <w:bCs/>
          <w:sz w:val="24"/>
          <w:szCs w:val="24"/>
        </w:rPr>
      </w:pPr>
      <w:r w:rsidRPr="00B10A33">
        <w:rPr>
          <w:rFonts w:ascii="Times New Roman" w:hAnsi="Times New Roman" w:cs="Times New Roman"/>
          <w:bCs/>
          <w:sz w:val="24"/>
          <w:szCs w:val="24"/>
        </w:rPr>
        <w:t xml:space="preserve">The </w:t>
      </w:r>
      <w:r w:rsidRPr="00B10A33">
        <w:rPr>
          <w:rFonts w:ascii="Times New Roman" w:hAnsi="Times New Roman" w:cs="Times New Roman"/>
          <w:bCs/>
          <w:sz w:val="24"/>
          <w:szCs w:val="24"/>
        </w:rPr>
        <w:t>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r w:rsidRPr="00B10A33" w:rsidR="00830CE7">
        <w:rPr>
          <w:rFonts w:ascii="Times New Roman" w:hAnsi="Times New Roman" w:cs="Times New Roman"/>
          <w:bCs/>
          <w:sz w:val="24"/>
          <w:szCs w:val="24"/>
        </w:rPr>
        <w:t xml:space="preserve">. </w:t>
      </w:r>
    </w:p>
    <w:p w:rsidR="001B463C" w:rsidRPr="00B10A33" w:rsidP="001B463C" w14:paraId="3A6B4553" w14:textId="77777777">
      <w:pPr>
        <w:spacing w:after="0" w:line="240" w:lineRule="auto"/>
        <w:rPr>
          <w:rFonts w:ascii="Times New Roman" w:hAnsi="Times New Roman" w:cs="Times New Roman"/>
          <w:sz w:val="24"/>
          <w:szCs w:val="24"/>
        </w:rPr>
      </w:pPr>
    </w:p>
    <w:p w:rsidR="001B463C" w:rsidRPr="001B463C" w:rsidP="001B463C" w14:paraId="404F60B0" w14:textId="700FB5D6">
      <w:pPr>
        <w:spacing w:after="0" w:line="240" w:lineRule="auto"/>
        <w:rPr>
          <w:rFonts w:ascii="Times New Roman" w:hAnsi="Times New Roman" w:cs="Times New Roman"/>
          <w:sz w:val="24"/>
          <w:szCs w:val="24"/>
        </w:rPr>
      </w:pPr>
      <w:r w:rsidRPr="00B10A33">
        <w:rPr>
          <w:rFonts w:ascii="Times New Roman" w:hAnsi="Times New Roman" w:cs="Times New Roman"/>
          <w:sz w:val="24"/>
          <w:szCs w:val="24"/>
        </w:rPr>
        <w:t>Comments can also be sent to the Office of Information and Regulatory Affairs, Office of Management and Budget, 725 17th Street, NW, Washington, D.C. 20503, Attention: Desk Officer for EPA</w:t>
      </w:r>
      <w:r w:rsidRPr="00B10A33" w:rsidR="00830CE7">
        <w:rPr>
          <w:rFonts w:ascii="Times New Roman" w:hAnsi="Times New Roman" w:cs="Times New Roman"/>
          <w:sz w:val="24"/>
          <w:szCs w:val="24"/>
        </w:rPr>
        <w:t xml:space="preserve">. </w:t>
      </w:r>
      <w:r w:rsidRPr="00B10A33">
        <w:rPr>
          <w:rFonts w:ascii="Times New Roman" w:hAnsi="Times New Roman" w:cs="Times New Roman"/>
          <w:sz w:val="24"/>
          <w:szCs w:val="24"/>
        </w:rPr>
        <w:t>Please include the EPA Docket ID EPA-HQ-OAR-2016-0027 and OMB Control Number 2060-</w:t>
      </w:r>
      <w:r w:rsidRPr="00B10A33" w:rsidR="005E2E73">
        <w:rPr>
          <w:rFonts w:ascii="Times New Roman" w:hAnsi="Times New Roman" w:cs="Times New Roman"/>
          <w:sz w:val="24"/>
          <w:szCs w:val="24"/>
        </w:rPr>
        <w:t xml:space="preserve">0710 </w:t>
      </w:r>
      <w:r w:rsidRPr="00B10A33">
        <w:rPr>
          <w:rFonts w:ascii="Times New Roman" w:hAnsi="Times New Roman" w:cs="Times New Roman"/>
          <w:sz w:val="24"/>
          <w:szCs w:val="24"/>
        </w:rPr>
        <w:t>in any correspondence.</w:t>
      </w:r>
    </w:p>
    <w:p w:rsidR="001B463C" w:rsidP="001B463C" w14:paraId="403D0A1E" w14:textId="77777777">
      <w:pPr>
        <w:spacing w:after="0" w:line="240" w:lineRule="auto"/>
        <w:rPr>
          <w:rFonts w:ascii="Times New Roman" w:hAnsi="Times New Roman" w:cs="Times New Roman"/>
          <w:sz w:val="24"/>
          <w:szCs w:val="24"/>
        </w:rPr>
      </w:pPr>
    </w:p>
    <w:sectPr w:rsidSect="00830BDD">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3637548"/>
      <w:docPartObj>
        <w:docPartGallery w:val="Page Numbers (Bottom of Page)"/>
        <w:docPartUnique/>
      </w:docPartObj>
    </w:sdtPr>
    <w:sdtEndPr>
      <w:rPr>
        <w:noProof/>
      </w:rPr>
    </w:sdtEndPr>
    <w:sdtContent>
      <w:p w:rsidR="007857C0" w14:paraId="7D0AF29C" w14:textId="77777777">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7857C0" w14:paraId="280A41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70FA" w:rsidP="00D608A0" w14:paraId="397081B8" w14:textId="77777777">
      <w:pPr>
        <w:spacing w:after="0" w:line="240" w:lineRule="auto"/>
      </w:pPr>
      <w:r>
        <w:separator/>
      </w:r>
    </w:p>
  </w:footnote>
  <w:footnote w:type="continuationSeparator" w:id="1">
    <w:p w:rsidR="005A70FA" w:rsidP="00D608A0" w14:paraId="6122C83A" w14:textId="77777777">
      <w:pPr>
        <w:spacing w:after="0" w:line="240" w:lineRule="auto"/>
      </w:pPr>
      <w:r>
        <w:continuationSeparator/>
      </w:r>
    </w:p>
  </w:footnote>
  <w:footnote w:type="continuationNotice" w:id="2">
    <w:p w:rsidR="00084968" w14:paraId="5058D097" w14:textId="77777777">
      <w:pPr>
        <w:spacing w:after="0" w:line="240" w:lineRule="auto"/>
      </w:pPr>
    </w:p>
  </w:footnote>
  <w:footnote w:id="3">
    <w:p w:rsidR="007857C0" w:rsidP="003D6E8C" w14:paraId="781354F6" w14:textId="1420B275">
      <w:pPr>
        <w:pStyle w:val="FootnoteText"/>
      </w:pPr>
      <w:r>
        <w:rPr>
          <w:rStyle w:val="FootnoteReference"/>
        </w:rPr>
        <w:footnoteRef/>
      </w:r>
      <w:r>
        <w:t xml:space="preserve"> The term “model year” is defined under 40 CFR § 86.402-78(a); “</w:t>
      </w:r>
      <w:r w:rsidRPr="00DD65C0">
        <w:rPr>
          <w:i/>
        </w:rPr>
        <w:t>Model year</w:t>
      </w:r>
      <w:r w:rsidRPr="003D6E8C">
        <w:t xml:space="preserve"> means the manufacturer's annual production period (as determined by the Administrator) which includes January first of such calendar year. If the manufacturer has no annual production period, the term model year shall mean the calendar year.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6C2AC"/>
    <w:multiLevelType w:val="singleLevel"/>
    <w:tmpl w:val="50B0D42C"/>
    <w:lvl w:ilvl="0">
      <w:start w:val="1"/>
      <w:numFmt w:val="lowerRoman"/>
      <w:lvlText w:val="(%1)"/>
      <w:lvlJc w:val="left"/>
      <w:pPr>
        <w:ind w:left="720" w:hanging="360"/>
      </w:pPr>
      <w:rPr>
        <w:color w:val="000000"/>
      </w:rPr>
    </w:lvl>
  </w:abstractNum>
  <w:abstractNum w:abstractNumId="1">
    <w:nsid w:val="0843E9F7"/>
    <w:multiLevelType w:val="singleLevel"/>
    <w:tmpl w:val="6E735C16"/>
    <w:lvl w:ilvl="0">
      <w:start w:val="1"/>
      <w:numFmt w:val="lowerLetter"/>
      <w:lvlText w:val="5(%1)"/>
      <w:lvlJc w:val="left"/>
      <w:pPr>
        <w:tabs>
          <w:tab w:val="num" w:pos="504"/>
        </w:tabs>
      </w:pPr>
      <w:rPr>
        <w:color w:val="000000"/>
      </w:rPr>
    </w:lvl>
  </w:abstractNum>
  <w:abstractNum w:abstractNumId="2">
    <w:nsid w:val="0E6B5493"/>
    <w:multiLevelType w:val="hybridMultilevel"/>
    <w:tmpl w:val="C0E834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EF0103"/>
    <w:multiLevelType w:val="hybridMultilevel"/>
    <w:tmpl w:val="05481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0606D1"/>
    <w:multiLevelType w:val="hybridMultilevel"/>
    <w:tmpl w:val="41E44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6D40C6"/>
    <w:multiLevelType w:val="hybridMultilevel"/>
    <w:tmpl w:val="7C764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C533FB"/>
    <w:multiLevelType w:val="hybridMultilevel"/>
    <w:tmpl w:val="6690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9B6FE1"/>
    <w:multiLevelType w:val="hybridMultilevel"/>
    <w:tmpl w:val="7AD84E7A"/>
    <w:lvl w:ilvl="0">
      <w:start w:val="2"/>
      <w:numFmt w:val="bullet"/>
      <w:lvlText w:val="-"/>
      <w:lvlJc w:val="left"/>
      <w:pPr>
        <w:ind w:left="420" w:hanging="360"/>
      </w:pPr>
      <w:rPr>
        <w:rFonts w:ascii="Times New Roman" w:hAnsi="Times New Roman" w:eastAsiaTheme="minorHAnsi" w:cs="Times New Roman" w:hint="default"/>
        <w:sz w:val="24"/>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8">
    <w:nsid w:val="5EDF4F38"/>
    <w:multiLevelType w:val="hybridMultilevel"/>
    <w:tmpl w:val="C5B2B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149199">
    <w:abstractNumId w:val="1"/>
  </w:num>
  <w:num w:numId="2" w16cid:durableId="622997417">
    <w:abstractNumId w:val="0"/>
  </w:num>
  <w:num w:numId="3" w16cid:durableId="1245607260">
    <w:abstractNumId w:val="4"/>
  </w:num>
  <w:num w:numId="4" w16cid:durableId="1240558344">
    <w:abstractNumId w:val="8"/>
  </w:num>
  <w:num w:numId="5" w16cid:durableId="1894731400">
    <w:abstractNumId w:val="3"/>
  </w:num>
  <w:num w:numId="6" w16cid:durableId="385840029">
    <w:abstractNumId w:val="5"/>
  </w:num>
  <w:num w:numId="7" w16cid:durableId="1590847512">
    <w:abstractNumId w:val="6"/>
  </w:num>
  <w:num w:numId="8" w16cid:durableId="219441614">
    <w:abstractNumId w:val="7"/>
  </w:num>
  <w:num w:numId="9" w16cid:durableId="1034621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A0"/>
    <w:rsid w:val="000053C6"/>
    <w:rsid w:val="000119A4"/>
    <w:rsid w:val="000303BE"/>
    <w:rsid w:val="00033094"/>
    <w:rsid w:val="000430B7"/>
    <w:rsid w:val="00051AD8"/>
    <w:rsid w:val="000520CA"/>
    <w:rsid w:val="00052446"/>
    <w:rsid w:val="00056FF3"/>
    <w:rsid w:val="000578E9"/>
    <w:rsid w:val="0006695B"/>
    <w:rsid w:val="00072451"/>
    <w:rsid w:val="00077B52"/>
    <w:rsid w:val="00084968"/>
    <w:rsid w:val="00086250"/>
    <w:rsid w:val="00090903"/>
    <w:rsid w:val="00095873"/>
    <w:rsid w:val="000A341C"/>
    <w:rsid w:val="000A45AF"/>
    <w:rsid w:val="000B07EC"/>
    <w:rsid w:val="000B0F73"/>
    <w:rsid w:val="000B65BB"/>
    <w:rsid w:val="000C641F"/>
    <w:rsid w:val="000D2D8D"/>
    <w:rsid w:val="000D770D"/>
    <w:rsid w:val="000E04DB"/>
    <w:rsid w:val="000E2532"/>
    <w:rsid w:val="000E673B"/>
    <w:rsid w:val="000F12F0"/>
    <w:rsid w:val="001033AA"/>
    <w:rsid w:val="00105C00"/>
    <w:rsid w:val="001061E8"/>
    <w:rsid w:val="00110068"/>
    <w:rsid w:val="00110B73"/>
    <w:rsid w:val="001115F7"/>
    <w:rsid w:val="001245C4"/>
    <w:rsid w:val="00133057"/>
    <w:rsid w:val="001378AA"/>
    <w:rsid w:val="001503D5"/>
    <w:rsid w:val="0015377D"/>
    <w:rsid w:val="00160F2F"/>
    <w:rsid w:val="001637F1"/>
    <w:rsid w:val="00163E55"/>
    <w:rsid w:val="001644B5"/>
    <w:rsid w:val="001649A8"/>
    <w:rsid w:val="00171E37"/>
    <w:rsid w:val="001741B0"/>
    <w:rsid w:val="00180DBD"/>
    <w:rsid w:val="00186B19"/>
    <w:rsid w:val="00191852"/>
    <w:rsid w:val="001945AB"/>
    <w:rsid w:val="00194934"/>
    <w:rsid w:val="00194AA8"/>
    <w:rsid w:val="001A055D"/>
    <w:rsid w:val="001A19FF"/>
    <w:rsid w:val="001B463C"/>
    <w:rsid w:val="001C0590"/>
    <w:rsid w:val="001C24FA"/>
    <w:rsid w:val="001C5C81"/>
    <w:rsid w:val="001D3DBF"/>
    <w:rsid w:val="001E12FB"/>
    <w:rsid w:val="001E59CE"/>
    <w:rsid w:val="00211521"/>
    <w:rsid w:val="00223687"/>
    <w:rsid w:val="002252C7"/>
    <w:rsid w:val="00227589"/>
    <w:rsid w:val="0023133E"/>
    <w:rsid w:val="00240E5D"/>
    <w:rsid w:val="002751ED"/>
    <w:rsid w:val="002911F8"/>
    <w:rsid w:val="0029185A"/>
    <w:rsid w:val="00295368"/>
    <w:rsid w:val="00295584"/>
    <w:rsid w:val="00297749"/>
    <w:rsid w:val="002A035C"/>
    <w:rsid w:val="002A1CB5"/>
    <w:rsid w:val="002B3691"/>
    <w:rsid w:val="002C361F"/>
    <w:rsid w:val="002D4185"/>
    <w:rsid w:val="002D64F2"/>
    <w:rsid w:val="002E3439"/>
    <w:rsid w:val="002E590B"/>
    <w:rsid w:val="002F037B"/>
    <w:rsid w:val="002F0831"/>
    <w:rsid w:val="002F11FB"/>
    <w:rsid w:val="002F1CBD"/>
    <w:rsid w:val="002F4276"/>
    <w:rsid w:val="002F79E8"/>
    <w:rsid w:val="00302D8B"/>
    <w:rsid w:val="0030703C"/>
    <w:rsid w:val="0030764E"/>
    <w:rsid w:val="003160EE"/>
    <w:rsid w:val="00317337"/>
    <w:rsid w:val="003205E3"/>
    <w:rsid w:val="00321096"/>
    <w:rsid w:val="00325928"/>
    <w:rsid w:val="00327312"/>
    <w:rsid w:val="00332FAA"/>
    <w:rsid w:val="00335077"/>
    <w:rsid w:val="0034022B"/>
    <w:rsid w:val="003413BD"/>
    <w:rsid w:val="00341441"/>
    <w:rsid w:val="003539C6"/>
    <w:rsid w:val="00364098"/>
    <w:rsid w:val="003729D6"/>
    <w:rsid w:val="00373F1A"/>
    <w:rsid w:val="00375784"/>
    <w:rsid w:val="00376EBF"/>
    <w:rsid w:val="00377074"/>
    <w:rsid w:val="00385BAA"/>
    <w:rsid w:val="003869B7"/>
    <w:rsid w:val="00386E08"/>
    <w:rsid w:val="0038799B"/>
    <w:rsid w:val="00392E85"/>
    <w:rsid w:val="00393943"/>
    <w:rsid w:val="00396982"/>
    <w:rsid w:val="003B2E1D"/>
    <w:rsid w:val="003C0885"/>
    <w:rsid w:val="003C1D9B"/>
    <w:rsid w:val="003C4F35"/>
    <w:rsid w:val="003D2998"/>
    <w:rsid w:val="003D6E8C"/>
    <w:rsid w:val="003E033F"/>
    <w:rsid w:val="003E1C11"/>
    <w:rsid w:val="003E3624"/>
    <w:rsid w:val="003F51EA"/>
    <w:rsid w:val="003F58CA"/>
    <w:rsid w:val="003F7BA3"/>
    <w:rsid w:val="00402331"/>
    <w:rsid w:val="00404500"/>
    <w:rsid w:val="0040721C"/>
    <w:rsid w:val="00411E46"/>
    <w:rsid w:val="00412C93"/>
    <w:rsid w:val="00412FEB"/>
    <w:rsid w:val="0041448F"/>
    <w:rsid w:val="004201D8"/>
    <w:rsid w:val="00432F65"/>
    <w:rsid w:val="00440E73"/>
    <w:rsid w:val="00457895"/>
    <w:rsid w:val="004607A8"/>
    <w:rsid w:val="00472DB4"/>
    <w:rsid w:val="004878CE"/>
    <w:rsid w:val="00493AFD"/>
    <w:rsid w:val="004941D5"/>
    <w:rsid w:val="00497448"/>
    <w:rsid w:val="004A23DA"/>
    <w:rsid w:val="004A715E"/>
    <w:rsid w:val="004B00AB"/>
    <w:rsid w:val="004B0936"/>
    <w:rsid w:val="004B0C0C"/>
    <w:rsid w:val="004B7589"/>
    <w:rsid w:val="004B77AF"/>
    <w:rsid w:val="004D0520"/>
    <w:rsid w:val="004D2459"/>
    <w:rsid w:val="004E0B5D"/>
    <w:rsid w:val="004E613F"/>
    <w:rsid w:val="004F39D0"/>
    <w:rsid w:val="004F5CAC"/>
    <w:rsid w:val="004F768B"/>
    <w:rsid w:val="00510DC9"/>
    <w:rsid w:val="00524821"/>
    <w:rsid w:val="00552D5E"/>
    <w:rsid w:val="0055360D"/>
    <w:rsid w:val="0057142D"/>
    <w:rsid w:val="00572070"/>
    <w:rsid w:val="005813C3"/>
    <w:rsid w:val="00584A2D"/>
    <w:rsid w:val="005A18E2"/>
    <w:rsid w:val="005A70FA"/>
    <w:rsid w:val="005B2FC2"/>
    <w:rsid w:val="005B4152"/>
    <w:rsid w:val="005B645F"/>
    <w:rsid w:val="005C5ABC"/>
    <w:rsid w:val="005C76E6"/>
    <w:rsid w:val="005D188A"/>
    <w:rsid w:val="005D1D1E"/>
    <w:rsid w:val="005D51B6"/>
    <w:rsid w:val="005D5EC2"/>
    <w:rsid w:val="005E2E73"/>
    <w:rsid w:val="005E782A"/>
    <w:rsid w:val="005F427F"/>
    <w:rsid w:val="005F6A96"/>
    <w:rsid w:val="00603AB3"/>
    <w:rsid w:val="006067C8"/>
    <w:rsid w:val="00610740"/>
    <w:rsid w:val="0061471C"/>
    <w:rsid w:val="006201D8"/>
    <w:rsid w:val="00641B3A"/>
    <w:rsid w:val="00652834"/>
    <w:rsid w:val="00662935"/>
    <w:rsid w:val="006640D0"/>
    <w:rsid w:val="00664E09"/>
    <w:rsid w:val="00672403"/>
    <w:rsid w:val="00676ABC"/>
    <w:rsid w:val="00681326"/>
    <w:rsid w:val="00686BF9"/>
    <w:rsid w:val="00693DE1"/>
    <w:rsid w:val="006B76A9"/>
    <w:rsid w:val="006C003B"/>
    <w:rsid w:val="006C47F0"/>
    <w:rsid w:val="006C569E"/>
    <w:rsid w:val="006C5CE6"/>
    <w:rsid w:val="006E4A37"/>
    <w:rsid w:val="006E6BCD"/>
    <w:rsid w:val="006E78D5"/>
    <w:rsid w:val="006F3584"/>
    <w:rsid w:val="006F6195"/>
    <w:rsid w:val="006F722D"/>
    <w:rsid w:val="00706503"/>
    <w:rsid w:val="00710018"/>
    <w:rsid w:val="0071379A"/>
    <w:rsid w:val="0072031B"/>
    <w:rsid w:val="00745D19"/>
    <w:rsid w:val="007468A6"/>
    <w:rsid w:val="00747063"/>
    <w:rsid w:val="0075052A"/>
    <w:rsid w:val="00766682"/>
    <w:rsid w:val="0077034F"/>
    <w:rsid w:val="007713D3"/>
    <w:rsid w:val="007857C0"/>
    <w:rsid w:val="00790AF2"/>
    <w:rsid w:val="00792131"/>
    <w:rsid w:val="007A08D8"/>
    <w:rsid w:val="007A5C8F"/>
    <w:rsid w:val="007B5EA4"/>
    <w:rsid w:val="007C315C"/>
    <w:rsid w:val="007C568B"/>
    <w:rsid w:val="007C6FB6"/>
    <w:rsid w:val="007D5550"/>
    <w:rsid w:val="007D746B"/>
    <w:rsid w:val="007D77F7"/>
    <w:rsid w:val="007E067B"/>
    <w:rsid w:val="007E2F7A"/>
    <w:rsid w:val="007E5ADA"/>
    <w:rsid w:val="007F3D15"/>
    <w:rsid w:val="007F4B46"/>
    <w:rsid w:val="00806B73"/>
    <w:rsid w:val="0081117B"/>
    <w:rsid w:val="0081636B"/>
    <w:rsid w:val="00823410"/>
    <w:rsid w:val="0082708B"/>
    <w:rsid w:val="00830BDD"/>
    <w:rsid w:val="00830CE7"/>
    <w:rsid w:val="00841F8D"/>
    <w:rsid w:val="00852C2C"/>
    <w:rsid w:val="00852DB2"/>
    <w:rsid w:val="0085431B"/>
    <w:rsid w:val="00855908"/>
    <w:rsid w:val="008831E7"/>
    <w:rsid w:val="0088771C"/>
    <w:rsid w:val="0089351B"/>
    <w:rsid w:val="00896CDA"/>
    <w:rsid w:val="00896FB2"/>
    <w:rsid w:val="008A26AF"/>
    <w:rsid w:val="008A2EEB"/>
    <w:rsid w:val="008A4585"/>
    <w:rsid w:val="008A68E3"/>
    <w:rsid w:val="008A74BF"/>
    <w:rsid w:val="008B03F3"/>
    <w:rsid w:val="008B3C6F"/>
    <w:rsid w:val="008C0137"/>
    <w:rsid w:val="008C260B"/>
    <w:rsid w:val="008C53F5"/>
    <w:rsid w:val="008D0A90"/>
    <w:rsid w:val="008D48D7"/>
    <w:rsid w:val="008D75E1"/>
    <w:rsid w:val="008E4899"/>
    <w:rsid w:val="008F3404"/>
    <w:rsid w:val="008F7913"/>
    <w:rsid w:val="0090291A"/>
    <w:rsid w:val="009050FA"/>
    <w:rsid w:val="00917F64"/>
    <w:rsid w:val="00922047"/>
    <w:rsid w:val="00923DCA"/>
    <w:rsid w:val="00923E0C"/>
    <w:rsid w:val="009257D5"/>
    <w:rsid w:val="0094160E"/>
    <w:rsid w:val="009607E8"/>
    <w:rsid w:val="00962E28"/>
    <w:rsid w:val="00962F60"/>
    <w:rsid w:val="00962FEB"/>
    <w:rsid w:val="009662C5"/>
    <w:rsid w:val="00981277"/>
    <w:rsid w:val="0098599F"/>
    <w:rsid w:val="00996A3A"/>
    <w:rsid w:val="009A2618"/>
    <w:rsid w:val="009A29EB"/>
    <w:rsid w:val="009B1681"/>
    <w:rsid w:val="009D62C5"/>
    <w:rsid w:val="009D68AE"/>
    <w:rsid w:val="009E4B3B"/>
    <w:rsid w:val="009F5406"/>
    <w:rsid w:val="009F779D"/>
    <w:rsid w:val="00A02242"/>
    <w:rsid w:val="00A04D3E"/>
    <w:rsid w:val="00A078E3"/>
    <w:rsid w:val="00A111C1"/>
    <w:rsid w:val="00A11BDB"/>
    <w:rsid w:val="00A1439C"/>
    <w:rsid w:val="00A263B1"/>
    <w:rsid w:val="00A27B65"/>
    <w:rsid w:val="00A30D05"/>
    <w:rsid w:val="00A32058"/>
    <w:rsid w:val="00A33E04"/>
    <w:rsid w:val="00A3693A"/>
    <w:rsid w:val="00A41D6D"/>
    <w:rsid w:val="00A5663F"/>
    <w:rsid w:val="00A6093C"/>
    <w:rsid w:val="00A6737B"/>
    <w:rsid w:val="00A67ABB"/>
    <w:rsid w:val="00A925E7"/>
    <w:rsid w:val="00A97E18"/>
    <w:rsid w:val="00AA656C"/>
    <w:rsid w:val="00AA6E15"/>
    <w:rsid w:val="00AA7F91"/>
    <w:rsid w:val="00AB51F6"/>
    <w:rsid w:val="00AC2ECD"/>
    <w:rsid w:val="00AD21F3"/>
    <w:rsid w:val="00AD7921"/>
    <w:rsid w:val="00AE380A"/>
    <w:rsid w:val="00AF7204"/>
    <w:rsid w:val="00B027DC"/>
    <w:rsid w:val="00B05C78"/>
    <w:rsid w:val="00B07955"/>
    <w:rsid w:val="00B10A33"/>
    <w:rsid w:val="00B12061"/>
    <w:rsid w:val="00B1265B"/>
    <w:rsid w:val="00B258CE"/>
    <w:rsid w:val="00B267F5"/>
    <w:rsid w:val="00B331C4"/>
    <w:rsid w:val="00B47DD7"/>
    <w:rsid w:val="00B61B65"/>
    <w:rsid w:val="00B66A34"/>
    <w:rsid w:val="00B7406F"/>
    <w:rsid w:val="00B76509"/>
    <w:rsid w:val="00B770E2"/>
    <w:rsid w:val="00B85F7C"/>
    <w:rsid w:val="00B90317"/>
    <w:rsid w:val="00BA1A83"/>
    <w:rsid w:val="00BA3D4D"/>
    <w:rsid w:val="00BB096D"/>
    <w:rsid w:val="00BB5E9D"/>
    <w:rsid w:val="00BC42A4"/>
    <w:rsid w:val="00BD3B53"/>
    <w:rsid w:val="00BD58D7"/>
    <w:rsid w:val="00BE1142"/>
    <w:rsid w:val="00BE5EC2"/>
    <w:rsid w:val="00BE7270"/>
    <w:rsid w:val="00BF2AF6"/>
    <w:rsid w:val="00BF435C"/>
    <w:rsid w:val="00BF665C"/>
    <w:rsid w:val="00C01C4C"/>
    <w:rsid w:val="00C034E1"/>
    <w:rsid w:val="00C0433E"/>
    <w:rsid w:val="00C06FD0"/>
    <w:rsid w:val="00C11203"/>
    <w:rsid w:val="00C119E9"/>
    <w:rsid w:val="00C205A8"/>
    <w:rsid w:val="00C35062"/>
    <w:rsid w:val="00C350DE"/>
    <w:rsid w:val="00C36CA5"/>
    <w:rsid w:val="00C41D6C"/>
    <w:rsid w:val="00C47C01"/>
    <w:rsid w:val="00C5282F"/>
    <w:rsid w:val="00C56A5D"/>
    <w:rsid w:val="00C63814"/>
    <w:rsid w:val="00C930A4"/>
    <w:rsid w:val="00CA5D54"/>
    <w:rsid w:val="00CC2043"/>
    <w:rsid w:val="00CD43E2"/>
    <w:rsid w:val="00CD493C"/>
    <w:rsid w:val="00CD50A0"/>
    <w:rsid w:val="00CE5CCD"/>
    <w:rsid w:val="00CF340E"/>
    <w:rsid w:val="00D0273E"/>
    <w:rsid w:val="00D0278A"/>
    <w:rsid w:val="00D03BFB"/>
    <w:rsid w:val="00D1290C"/>
    <w:rsid w:val="00D154BE"/>
    <w:rsid w:val="00D236B7"/>
    <w:rsid w:val="00D2664C"/>
    <w:rsid w:val="00D30155"/>
    <w:rsid w:val="00D366A5"/>
    <w:rsid w:val="00D414BD"/>
    <w:rsid w:val="00D421D0"/>
    <w:rsid w:val="00D43AC9"/>
    <w:rsid w:val="00D55E74"/>
    <w:rsid w:val="00D573E7"/>
    <w:rsid w:val="00D608A0"/>
    <w:rsid w:val="00D65B03"/>
    <w:rsid w:val="00D77940"/>
    <w:rsid w:val="00D83603"/>
    <w:rsid w:val="00D97283"/>
    <w:rsid w:val="00DB1CCC"/>
    <w:rsid w:val="00DB2CB2"/>
    <w:rsid w:val="00DB4C6E"/>
    <w:rsid w:val="00DB54EA"/>
    <w:rsid w:val="00DC120F"/>
    <w:rsid w:val="00DC3A71"/>
    <w:rsid w:val="00DC4C95"/>
    <w:rsid w:val="00DD10E9"/>
    <w:rsid w:val="00DD65C0"/>
    <w:rsid w:val="00DD69B1"/>
    <w:rsid w:val="00DD779A"/>
    <w:rsid w:val="00DE7217"/>
    <w:rsid w:val="00E024E1"/>
    <w:rsid w:val="00E1325A"/>
    <w:rsid w:val="00E157C2"/>
    <w:rsid w:val="00E20948"/>
    <w:rsid w:val="00E21E82"/>
    <w:rsid w:val="00E249C1"/>
    <w:rsid w:val="00E35A67"/>
    <w:rsid w:val="00E41755"/>
    <w:rsid w:val="00E64AEE"/>
    <w:rsid w:val="00E67E7E"/>
    <w:rsid w:val="00E76AF5"/>
    <w:rsid w:val="00E83BC1"/>
    <w:rsid w:val="00E850D7"/>
    <w:rsid w:val="00E866D1"/>
    <w:rsid w:val="00E92A88"/>
    <w:rsid w:val="00E95529"/>
    <w:rsid w:val="00E97782"/>
    <w:rsid w:val="00EA06DE"/>
    <w:rsid w:val="00EA17F9"/>
    <w:rsid w:val="00EA1A66"/>
    <w:rsid w:val="00EA596C"/>
    <w:rsid w:val="00EB3D4A"/>
    <w:rsid w:val="00EB531B"/>
    <w:rsid w:val="00EB553B"/>
    <w:rsid w:val="00EB607C"/>
    <w:rsid w:val="00EC5822"/>
    <w:rsid w:val="00EC64DB"/>
    <w:rsid w:val="00ED7BF2"/>
    <w:rsid w:val="00EE6063"/>
    <w:rsid w:val="00EF2B12"/>
    <w:rsid w:val="00EF5601"/>
    <w:rsid w:val="00F12603"/>
    <w:rsid w:val="00F144EA"/>
    <w:rsid w:val="00F5724D"/>
    <w:rsid w:val="00F64EDB"/>
    <w:rsid w:val="00F70612"/>
    <w:rsid w:val="00F72781"/>
    <w:rsid w:val="00F73575"/>
    <w:rsid w:val="00F77723"/>
    <w:rsid w:val="00F837B9"/>
    <w:rsid w:val="00F87B87"/>
    <w:rsid w:val="00FA0FAB"/>
    <w:rsid w:val="00FD05DA"/>
    <w:rsid w:val="00FE0A86"/>
    <w:rsid w:val="00FF1509"/>
    <w:rsid w:val="00FF3E11"/>
    <w:rsid w:val="00FF4311"/>
    <w:rsid w:val="03A3258C"/>
    <w:rsid w:val="0CE1543F"/>
    <w:rsid w:val="0F3CBC52"/>
    <w:rsid w:val="18E71A02"/>
    <w:rsid w:val="1BECB85A"/>
    <w:rsid w:val="1F2F927D"/>
    <w:rsid w:val="227765DE"/>
    <w:rsid w:val="23637334"/>
    <w:rsid w:val="25354D03"/>
    <w:rsid w:val="260AEA15"/>
    <w:rsid w:val="2BC7B57A"/>
    <w:rsid w:val="31728D9B"/>
    <w:rsid w:val="344608F8"/>
    <w:rsid w:val="3A75FFBC"/>
    <w:rsid w:val="3BE4F4F4"/>
    <w:rsid w:val="3C5C012C"/>
    <w:rsid w:val="3FEB0F3A"/>
    <w:rsid w:val="437FAAEC"/>
    <w:rsid w:val="43B93FFF"/>
    <w:rsid w:val="47EBBD8F"/>
    <w:rsid w:val="47EDC41D"/>
    <w:rsid w:val="4B15F24E"/>
    <w:rsid w:val="5712EE70"/>
    <w:rsid w:val="5877967C"/>
    <w:rsid w:val="5B2850F7"/>
    <w:rsid w:val="5C37F0E6"/>
    <w:rsid w:val="5D9EFF33"/>
    <w:rsid w:val="61058BBC"/>
    <w:rsid w:val="63F2F57C"/>
    <w:rsid w:val="6D1137B0"/>
    <w:rsid w:val="6E204EDF"/>
    <w:rsid w:val="6F61E6B6"/>
    <w:rsid w:val="705CE834"/>
    <w:rsid w:val="70E8DCC1"/>
    <w:rsid w:val="71BFB1E6"/>
    <w:rsid w:val="73C2381E"/>
    <w:rsid w:val="74424BF7"/>
    <w:rsid w:val="79CD5B33"/>
    <w:rsid w:val="7BE46C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A0A42A"/>
  <w15:chartTrackingRefBased/>
  <w15:docId w15:val="{404A5971-7440-4D83-BD56-DB3AADC2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8A0"/>
  </w:style>
  <w:style w:type="paragraph" w:styleId="Footer">
    <w:name w:val="footer"/>
    <w:basedOn w:val="Normal"/>
    <w:link w:val="FooterChar"/>
    <w:uiPriority w:val="99"/>
    <w:unhideWhenUsed/>
    <w:rsid w:val="00D60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8A0"/>
  </w:style>
  <w:style w:type="character" w:styleId="CommentReference">
    <w:name w:val="annotation reference"/>
    <w:basedOn w:val="DefaultParagraphFont"/>
    <w:uiPriority w:val="99"/>
    <w:semiHidden/>
    <w:unhideWhenUsed/>
    <w:rsid w:val="009D68AE"/>
    <w:rPr>
      <w:sz w:val="16"/>
      <w:szCs w:val="16"/>
    </w:rPr>
  </w:style>
  <w:style w:type="paragraph" w:styleId="CommentText">
    <w:name w:val="annotation text"/>
    <w:basedOn w:val="Normal"/>
    <w:link w:val="CommentTextChar"/>
    <w:uiPriority w:val="99"/>
    <w:unhideWhenUsed/>
    <w:rsid w:val="009D68AE"/>
    <w:pPr>
      <w:spacing w:line="240" w:lineRule="auto"/>
    </w:pPr>
    <w:rPr>
      <w:sz w:val="20"/>
      <w:szCs w:val="20"/>
    </w:rPr>
  </w:style>
  <w:style w:type="character" w:customStyle="1" w:styleId="CommentTextChar">
    <w:name w:val="Comment Text Char"/>
    <w:basedOn w:val="DefaultParagraphFont"/>
    <w:link w:val="CommentText"/>
    <w:uiPriority w:val="99"/>
    <w:rsid w:val="009D68AE"/>
    <w:rPr>
      <w:sz w:val="20"/>
      <w:szCs w:val="20"/>
    </w:rPr>
  </w:style>
  <w:style w:type="paragraph" w:styleId="CommentSubject">
    <w:name w:val="annotation subject"/>
    <w:basedOn w:val="CommentText"/>
    <w:next w:val="CommentText"/>
    <w:link w:val="CommentSubjectChar"/>
    <w:uiPriority w:val="99"/>
    <w:semiHidden/>
    <w:unhideWhenUsed/>
    <w:rsid w:val="009D68AE"/>
    <w:rPr>
      <w:b/>
      <w:bCs/>
    </w:rPr>
  </w:style>
  <w:style w:type="character" w:customStyle="1" w:styleId="CommentSubjectChar">
    <w:name w:val="Comment Subject Char"/>
    <w:basedOn w:val="CommentTextChar"/>
    <w:link w:val="CommentSubject"/>
    <w:uiPriority w:val="99"/>
    <w:semiHidden/>
    <w:rsid w:val="009D68AE"/>
    <w:rPr>
      <w:b/>
      <w:bCs/>
      <w:sz w:val="20"/>
      <w:szCs w:val="20"/>
    </w:rPr>
  </w:style>
  <w:style w:type="paragraph" w:styleId="Revision">
    <w:name w:val="Revision"/>
    <w:hidden/>
    <w:uiPriority w:val="99"/>
    <w:semiHidden/>
    <w:rsid w:val="009D68AE"/>
    <w:pPr>
      <w:spacing w:after="0" w:line="240" w:lineRule="auto"/>
    </w:pPr>
  </w:style>
  <w:style w:type="paragraph" w:styleId="BalloonText">
    <w:name w:val="Balloon Text"/>
    <w:basedOn w:val="Normal"/>
    <w:link w:val="BalloonTextChar"/>
    <w:uiPriority w:val="99"/>
    <w:semiHidden/>
    <w:unhideWhenUsed/>
    <w:rsid w:val="009D6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8AE"/>
    <w:rPr>
      <w:rFonts w:ascii="Segoe UI" w:hAnsi="Segoe UI" w:cs="Segoe UI"/>
      <w:sz w:val="18"/>
      <w:szCs w:val="18"/>
    </w:rPr>
  </w:style>
  <w:style w:type="character" w:styleId="Hyperlink">
    <w:name w:val="Hyperlink"/>
    <w:basedOn w:val="DefaultParagraphFont"/>
    <w:uiPriority w:val="99"/>
    <w:unhideWhenUsed/>
    <w:rsid w:val="00B66A34"/>
    <w:rPr>
      <w:color w:val="0563C1" w:themeColor="hyperlink"/>
      <w:u w:val="single"/>
    </w:rPr>
  </w:style>
  <w:style w:type="table" w:styleId="TableGrid">
    <w:name w:val="Table Grid"/>
    <w:basedOn w:val="TableNormal"/>
    <w:rsid w:val="008D0A90"/>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913"/>
    <w:pPr>
      <w:ind w:left="720"/>
      <w:contextualSpacing/>
    </w:pPr>
  </w:style>
  <w:style w:type="paragraph" w:styleId="FootnoteText">
    <w:name w:val="footnote text"/>
    <w:basedOn w:val="Normal"/>
    <w:link w:val="FootnoteTextChar"/>
    <w:uiPriority w:val="99"/>
    <w:semiHidden/>
    <w:unhideWhenUsed/>
    <w:rsid w:val="008163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36B"/>
    <w:rPr>
      <w:sz w:val="20"/>
      <w:szCs w:val="20"/>
    </w:rPr>
  </w:style>
  <w:style w:type="character" w:styleId="FootnoteReference">
    <w:name w:val="footnote reference"/>
    <w:basedOn w:val="DefaultParagraphFont"/>
    <w:uiPriority w:val="99"/>
    <w:semiHidden/>
    <w:unhideWhenUsed/>
    <w:rsid w:val="0081636B"/>
    <w:rPr>
      <w:vertAlign w:val="superscript"/>
    </w:rPr>
  </w:style>
  <w:style w:type="character" w:styleId="FollowedHyperlink">
    <w:name w:val="FollowedHyperlink"/>
    <w:basedOn w:val="DefaultParagraphFont"/>
    <w:uiPriority w:val="99"/>
    <w:semiHidden/>
    <w:unhideWhenUsed/>
    <w:rsid w:val="00D0273E"/>
    <w:rPr>
      <w:color w:val="954F72" w:themeColor="followedHyperlink"/>
      <w:u w:val="single"/>
    </w:rPr>
  </w:style>
  <w:style w:type="character" w:styleId="UnresolvedMention">
    <w:name w:val="Unresolved Mention"/>
    <w:basedOn w:val="DefaultParagraphFont"/>
    <w:uiPriority w:val="99"/>
    <w:semiHidden/>
    <w:unhideWhenUsed/>
    <w:rsid w:val="00FF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epa.gov/clean-air-act-overview/title-ii-emission-standards-moving-sources" TargetMode="External" /><Relationship Id="rId7" Type="http://schemas.openxmlformats.org/officeDocument/2006/relationships/hyperlink" Target="http://www.ecfr.gov" TargetMode="External" /><Relationship Id="rId8" Type="http://schemas.openxmlformats.org/officeDocument/2006/relationships/hyperlink" Target="mailto:matthew_k_johnson@na.honda.com" TargetMode="External" /><Relationship Id="rId9" Type="http://schemas.openxmlformats.org/officeDocument/2006/relationships/hyperlink" Target="https://www.epa.gov/vehicles-and-eng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4E2C5-808F-4723-8577-93427653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4910</Words>
  <Characters>28626</Characters>
  <Application>Microsoft Office Word</Application>
  <DocSecurity>0</DocSecurity>
  <Lines>608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Julian</dc:creator>
  <cp:lastModifiedBy>Schultz, Eric</cp:lastModifiedBy>
  <cp:revision>5</cp:revision>
  <dcterms:created xsi:type="dcterms:W3CDTF">2023-11-01T01:41:00Z</dcterms:created>
  <dcterms:modified xsi:type="dcterms:W3CDTF">2023-11-01T01:54:00Z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2e558dbe79329afa91cb220e1f34d6a8e10de15446ed2ebe080df968a1eff916</vt:lpwstr>
  </property>
</Properties>
</file>